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E6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4F20313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633CF5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73E9F23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公开招标文件</w:t>
      </w:r>
    </w:p>
    <w:p w14:paraId="3D9C1C74">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2B07E4B8">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159B0FE">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52A2F2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院内招标：闽人院购后[202</w:t>
      </w:r>
      <w:r>
        <w:rPr>
          <w:rFonts w:hint="eastAsia" w:ascii="宋体" w:hAnsi="宋体" w:eastAsia="宋体" w:cs="宋体"/>
          <w:b/>
          <w:color w:val="000000"/>
          <w:sz w:val="28"/>
          <w:lang w:val="en-US" w:eastAsia="zh-CN"/>
        </w:rPr>
        <w:t>6</w:t>
      </w:r>
      <w:r>
        <w:rPr>
          <w:rFonts w:ascii="宋体" w:hAnsi="宋体" w:eastAsia="宋体" w:cs="宋体"/>
          <w:b/>
          <w:color w:val="000000"/>
          <w:sz w:val="28"/>
        </w:rPr>
        <w:t>]</w:t>
      </w:r>
      <w:r>
        <w:rPr>
          <w:rFonts w:hint="eastAsia" w:ascii="宋体" w:hAnsi="宋体" w:eastAsia="宋体" w:cs="宋体"/>
          <w:b/>
          <w:color w:val="000000"/>
          <w:sz w:val="28"/>
          <w:lang w:val="en-US" w:eastAsia="zh-CN"/>
        </w:rPr>
        <w:t>04</w:t>
      </w:r>
      <w:r>
        <w:rPr>
          <w:rFonts w:ascii="宋体" w:hAnsi="宋体" w:eastAsia="宋体" w:cs="宋体"/>
          <w:b/>
          <w:color w:val="000000"/>
          <w:sz w:val="28"/>
        </w:rPr>
        <w:t>号</w:t>
      </w:r>
    </w:p>
    <w:p w14:paraId="045C774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hint="default" w:eastAsia="宋体"/>
          <w:lang w:val="en-US" w:eastAsia="zh-CN"/>
        </w:rPr>
      </w:pPr>
      <w:r>
        <w:rPr>
          <w:rFonts w:ascii="宋体" w:hAnsi="宋体" w:eastAsia="宋体" w:cs="宋体"/>
          <w:b/>
          <w:color w:val="000000"/>
          <w:sz w:val="28"/>
        </w:rPr>
        <w:t xml:space="preserve"> 项目名称：</w:t>
      </w:r>
      <w:r>
        <w:rPr>
          <w:rFonts w:hint="eastAsia" w:ascii="宋体" w:hAnsi="宋体" w:eastAsia="宋体" w:cs="宋体"/>
          <w:b/>
          <w:color w:val="000000"/>
          <w:sz w:val="28"/>
          <w:lang w:val="en-US" w:eastAsia="zh-CN"/>
        </w:rPr>
        <w:t>专利代理服务项目</w:t>
      </w:r>
    </w:p>
    <w:p w14:paraId="3E3DC3F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717B50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B5DF58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5A3156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235F681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 xml:space="preserve">   </w:t>
      </w:r>
      <w:r>
        <w:rPr>
          <w:rFonts w:hint="eastAsia" w:ascii="宋体" w:hAnsi="宋体" w:eastAsia="宋体" w:cs="宋体"/>
          <w:b/>
          <w:color w:val="000000"/>
          <w:sz w:val="32"/>
          <w:lang w:val="en-US" w:eastAsia="zh-CN"/>
        </w:rPr>
        <w:t xml:space="preserve"> 2026</w:t>
      </w:r>
      <w:r>
        <w:rPr>
          <w:rFonts w:ascii="宋体" w:hAnsi="宋体" w:eastAsia="宋体" w:cs="宋体"/>
          <w:b/>
          <w:color w:val="000000"/>
          <w:sz w:val="32"/>
        </w:rPr>
        <w:t>年</w:t>
      </w:r>
      <w:r>
        <w:rPr>
          <w:rFonts w:hint="eastAsia" w:ascii="宋体" w:hAnsi="宋体" w:eastAsia="宋体" w:cs="宋体"/>
          <w:b/>
          <w:color w:val="000000"/>
          <w:sz w:val="32"/>
          <w:lang w:val="en-US" w:eastAsia="zh-CN"/>
        </w:rPr>
        <w:t>3</w:t>
      </w:r>
      <w:r>
        <w:rPr>
          <w:rFonts w:ascii="宋体" w:hAnsi="宋体" w:eastAsia="宋体" w:cs="宋体"/>
          <w:b/>
          <w:color w:val="000000"/>
          <w:sz w:val="32"/>
        </w:rPr>
        <w:t>月</w:t>
      </w:r>
    </w:p>
    <w:p w14:paraId="1489F05C">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5AC86AD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一、公开招标邀请</w:t>
      </w:r>
    </w:p>
    <w:p w14:paraId="3A9E91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hint="eastAsia" w:ascii="宋体" w:hAnsi="宋体" w:eastAsia="宋体" w:cs="宋体"/>
          <w:color w:val="000000"/>
          <w:sz w:val="24"/>
          <w:u w:val="single"/>
          <w:lang w:val="en-US" w:eastAsia="zh-CN"/>
        </w:rPr>
        <w:t>专利代理服务项目</w:t>
      </w:r>
      <w:r>
        <w:rPr>
          <w:rFonts w:ascii="宋体" w:hAnsi="宋体" w:eastAsia="宋体" w:cs="宋体"/>
          <w:color w:val="000000"/>
          <w:sz w:val="24"/>
        </w:rPr>
        <w:t>进行院内公开招标采购，现欢迎有能力提供产品的供应商前来提交密封的报价。</w:t>
      </w:r>
    </w:p>
    <w:p w14:paraId="4D191AB5">
      <w:pPr>
        <w:numPr>
          <w:ilvl w:val="0"/>
          <w:numId w:val="1"/>
        </w:num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b w:val="0"/>
          <w:bCs w:val="0"/>
          <w:sz w:val="24"/>
        </w:rPr>
      </w:pPr>
      <w:r>
        <w:rPr>
          <w:rFonts w:ascii="宋体" w:hAnsi="宋体" w:eastAsia="宋体" w:cs="宋体"/>
          <w:color w:val="000000"/>
          <w:sz w:val="24"/>
        </w:rPr>
        <w:t>公示时间：</w:t>
      </w:r>
      <w:r>
        <w:rPr>
          <w:rFonts w:hint="eastAsia" w:ascii="宋体" w:hAnsi="宋体" w:eastAsia="宋体" w:cs="宋体"/>
          <w:b w:val="0"/>
          <w:bCs w:val="0"/>
          <w:sz w:val="24"/>
          <w:lang w:val="en-US" w:eastAsia="zh-CN"/>
        </w:rPr>
        <w:t>2026</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0</w:t>
      </w:r>
      <w:r>
        <w:rPr>
          <w:rFonts w:hint="eastAsia" w:ascii="宋体" w:hAnsi="宋体" w:cs="宋体"/>
          <w:b w:val="0"/>
          <w:bCs w:val="0"/>
          <w:sz w:val="24"/>
          <w:lang w:val="en-US" w:eastAsia="zh-CN"/>
        </w:rPr>
        <w:t>3</w:t>
      </w:r>
      <w:r>
        <w:rPr>
          <w:rFonts w:hint="eastAsia" w:ascii="宋体" w:hAnsi="宋体" w:eastAsia="宋体" w:cs="宋体"/>
          <w:b w:val="0"/>
          <w:bCs w:val="0"/>
          <w:sz w:val="24"/>
        </w:rPr>
        <w:t>月</w:t>
      </w:r>
      <w:r>
        <w:rPr>
          <w:rFonts w:hint="eastAsia" w:ascii="宋体" w:hAnsi="宋体" w:cs="宋体"/>
          <w:b w:val="0"/>
          <w:bCs w:val="0"/>
          <w:sz w:val="24"/>
          <w:lang w:val="en-US" w:eastAsia="zh-CN"/>
        </w:rPr>
        <w:t>19</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w:t>
      </w: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年0</w:t>
      </w:r>
      <w:r>
        <w:rPr>
          <w:rFonts w:hint="eastAsia" w:ascii="宋体" w:hAnsi="宋体" w:cs="宋体"/>
          <w:b w:val="0"/>
          <w:bCs w:val="0"/>
          <w:sz w:val="24"/>
          <w:lang w:val="en-US" w:eastAsia="zh-CN"/>
        </w:rPr>
        <w:t>3</w:t>
      </w:r>
      <w:r>
        <w:rPr>
          <w:rFonts w:hint="eastAsia" w:ascii="宋体" w:hAnsi="宋体" w:eastAsia="宋体" w:cs="宋体"/>
          <w:b w:val="0"/>
          <w:bCs w:val="0"/>
          <w:sz w:val="24"/>
        </w:rPr>
        <w:t>月</w:t>
      </w:r>
      <w:r>
        <w:rPr>
          <w:rFonts w:hint="eastAsia" w:ascii="宋体" w:hAnsi="宋体" w:cs="宋体"/>
          <w:b w:val="0"/>
          <w:bCs w:val="0"/>
          <w:sz w:val="24"/>
          <w:lang w:val="en-US" w:eastAsia="zh-CN"/>
        </w:rPr>
        <w:t>30</w:t>
      </w:r>
      <w:r>
        <w:rPr>
          <w:rFonts w:hint="eastAsia" w:ascii="宋体" w:hAnsi="宋体" w:eastAsia="宋体" w:cs="宋体"/>
          <w:b w:val="0"/>
          <w:bCs w:val="0"/>
          <w:sz w:val="24"/>
        </w:rPr>
        <w:t>日</w:t>
      </w:r>
    </w:p>
    <w:p w14:paraId="2079B135">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pPr>
      <w:r>
        <w:rPr>
          <w:rFonts w:ascii="宋体" w:hAnsi="宋体" w:eastAsia="宋体" w:cs="宋体"/>
          <w:color w:val="000000"/>
          <w:sz w:val="24"/>
        </w:rPr>
        <w:t>2.递交投标文件截止</w:t>
      </w:r>
      <w:bookmarkStart w:id="0" w:name="_GoBack"/>
      <w:bookmarkEnd w:id="0"/>
      <w:r>
        <w:rPr>
          <w:rFonts w:ascii="宋体" w:hAnsi="宋体" w:eastAsia="宋体" w:cs="宋体"/>
          <w:color w:val="000000"/>
          <w:sz w:val="24"/>
        </w:rPr>
        <w:t>时间：</w:t>
      </w:r>
      <w:r>
        <w:rPr>
          <w:rFonts w:hint="eastAsia" w:ascii="宋体" w:hAnsi="宋体" w:eastAsia="宋体" w:cs="宋体"/>
          <w:color w:val="000000"/>
          <w:sz w:val="24"/>
        </w:rPr>
        <w:t>2026年03月30日，上午：09:30（北京时间）。</w:t>
      </w:r>
      <w:r>
        <w:rPr>
          <w:rFonts w:ascii="宋体" w:hAnsi="宋体" w:eastAsia="宋体" w:cs="宋体"/>
          <w:color w:val="000000"/>
          <w:sz w:val="24"/>
        </w:rPr>
        <w:t xml:space="preserve">超过递交截止时间递交的投标文件恕不接受。投标文件开标后概不退还，逾期送达（以签到为准）、未送达指定地点及未按公开招标文件要求密封的投标文件均不予接受。 </w:t>
      </w:r>
    </w:p>
    <w:p w14:paraId="1113740E">
      <w:pPr>
        <w:pBdr>
          <w:top w:val="none" w:color="000000" w:sz="0" w:space="0"/>
          <w:left w:val="none" w:color="000000" w:sz="0" w:space="0"/>
          <w:bottom w:val="none" w:color="000000" w:sz="0" w:space="0"/>
          <w:right w:val="none" w:color="000000" w:sz="0" w:space="0"/>
        </w:pBdr>
        <w:spacing w:before="0" w:after="0" w:line="360" w:lineRule="auto"/>
        <w:ind w:left="357" w:right="0" w:firstLine="0"/>
        <w:rPr>
          <w:b/>
          <w:bCs/>
        </w:rPr>
      </w:pPr>
      <w:r>
        <w:rPr>
          <w:rFonts w:ascii="宋体" w:hAnsi="宋体" w:eastAsia="宋体" w:cs="宋体"/>
          <w:color w:val="000000"/>
          <w:sz w:val="24"/>
        </w:rPr>
        <w:t xml:space="preserve"> 3.评标开始时间</w:t>
      </w:r>
      <w:r>
        <w:rPr>
          <w:rFonts w:hint="eastAsia" w:ascii="宋体" w:hAnsi="宋体" w:eastAsia="宋体" w:cs="宋体"/>
          <w:color w:val="000000"/>
          <w:sz w:val="24"/>
          <w:lang w:eastAsia="zh-CN"/>
        </w:rPr>
        <w:t>：2026年03月30日，上午：09:30（北京时间）。</w:t>
      </w:r>
    </w:p>
    <w:p w14:paraId="0346A43C">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b/>
          <w:color w:val="000000"/>
          <w:spacing w:val="-6"/>
          <w:sz w:val="24"/>
        </w:rPr>
        <w:t>福建中医药大学附属人民医院6号楼2层会议室</w:t>
      </w:r>
      <w:r>
        <w:rPr>
          <w:rFonts w:ascii="宋体" w:hAnsi="宋体" w:eastAsia="宋体" w:cs="宋体"/>
          <w:color w:val="000000"/>
          <w:sz w:val="24"/>
        </w:rPr>
        <w:t>。</w:t>
      </w:r>
    </w:p>
    <w:p w14:paraId="005F31D2">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64765D5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 xml:space="preserve">通知，请供应商随时关注相关网站，以免错漏重要信息。 </w:t>
      </w:r>
    </w:p>
    <w:p w14:paraId="37269F29">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61B4C7F5">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 xml:space="preserve">联系人： </w:t>
      </w:r>
      <w:r>
        <w:rPr>
          <w:rFonts w:hint="eastAsia" w:ascii="宋体" w:hAnsi="宋体" w:eastAsia="宋体" w:cs="宋体"/>
          <w:color w:val="000000"/>
          <w:sz w:val="24"/>
          <w:lang w:val="en-US" w:eastAsia="zh-CN"/>
        </w:rPr>
        <w:t>谢先生</w:t>
      </w:r>
      <w:r>
        <w:rPr>
          <w:rFonts w:ascii="宋体" w:hAnsi="宋体" w:eastAsia="宋体" w:cs="宋体"/>
          <w:color w:val="000000"/>
          <w:sz w:val="24"/>
        </w:rPr>
        <w:t xml:space="preserve">  0591-83942123（办公室）。      </w:t>
      </w:r>
    </w:p>
    <w:p w14:paraId="656C979B">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6BC03C7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618FCF63">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1E0A6513">
      <w:pPr>
        <w:pStyle w:val="12"/>
      </w:pPr>
    </w:p>
    <w:p w14:paraId="1936CB11">
      <w:pPr>
        <w:pStyle w:val="12"/>
      </w:pPr>
    </w:p>
    <w:p w14:paraId="7014FCD7">
      <w:pPr>
        <w:pStyle w:val="12"/>
      </w:pPr>
    </w:p>
    <w:p w14:paraId="00B65077">
      <w:pPr>
        <w:pStyle w:val="12"/>
      </w:pPr>
    </w:p>
    <w:p w14:paraId="325F1487">
      <w:pPr>
        <w:pStyle w:val="12"/>
      </w:pPr>
    </w:p>
    <w:p w14:paraId="787E1C35">
      <w:pPr>
        <w:pStyle w:val="12"/>
      </w:pPr>
    </w:p>
    <w:p w14:paraId="09A45F98">
      <w:pPr>
        <w:pStyle w:val="12"/>
      </w:pPr>
    </w:p>
    <w:p w14:paraId="2628DFE1">
      <w:pPr>
        <w:pStyle w:val="12"/>
      </w:pPr>
    </w:p>
    <w:p w14:paraId="3F034AF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7D3BC5D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sz w:val="21"/>
          <w:szCs w:val="21"/>
        </w:rPr>
      </w:pPr>
    </w:p>
    <w:p w14:paraId="0D72AFBB">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二、供应商须知</w:t>
      </w:r>
    </w:p>
    <w:p w14:paraId="1DC1852D">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4BB4583A">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213519E3">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2.采购方式：院内公开招标</w:t>
      </w:r>
    </w:p>
    <w:p w14:paraId="515EFE3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2.1采购方组织的院内公开招标按招标文件规定的时间和地点进行。投标人须在截止时间前递交投标文件。</w:t>
      </w:r>
    </w:p>
    <w:p w14:paraId="1C8A485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2.2成交原则：</w:t>
      </w:r>
    </w:p>
    <w:p w14:paraId="3DDDBF5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2.2.1本项目评审采用</w:t>
      </w:r>
      <w:r>
        <w:rPr>
          <w:rFonts w:ascii="宋体" w:hAnsi="宋体" w:eastAsia="宋体" w:cs="宋体"/>
          <w:b/>
          <w:color w:val="000000"/>
          <w:sz w:val="24"/>
          <w:u w:val="none"/>
        </w:rPr>
        <w:t>最低评标价法</w:t>
      </w:r>
      <w:r>
        <w:rPr>
          <w:rFonts w:ascii="宋体" w:hAnsi="宋体" w:eastAsia="宋体" w:cs="宋体"/>
          <w:color w:val="000000"/>
          <w:sz w:val="24"/>
        </w:rPr>
        <w:t>进行评审。</w:t>
      </w:r>
    </w:p>
    <w:p w14:paraId="52A3B032">
      <w:pPr>
        <w:pBdr>
          <w:top w:val="none" w:color="000000" w:sz="0" w:space="0"/>
          <w:left w:val="none" w:color="000000" w:sz="0" w:space="0"/>
          <w:bottom w:val="none" w:color="000000" w:sz="0" w:space="0"/>
          <w:right w:val="none" w:color="000000" w:sz="0" w:space="0"/>
        </w:pBdr>
        <w:spacing w:before="0" w:after="0" w:line="360" w:lineRule="auto"/>
        <w:ind w:left="0" w:right="0" w:firstLine="482"/>
        <w:rPr>
          <w:rFonts w:hint="eastAsia" w:ascii="宋体" w:hAnsi="宋体" w:eastAsia="宋体" w:cs="宋体"/>
          <w:color w:val="000000"/>
          <w:sz w:val="24"/>
          <w:lang w:val="en-US" w:eastAsia="zh-CN"/>
        </w:rPr>
      </w:pPr>
      <w:r>
        <w:rPr>
          <w:rFonts w:ascii="宋体" w:hAnsi="宋体" w:eastAsia="宋体" w:cs="宋体"/>
          <w:color w:val="000000"/>
          <w:sz w:val="24"/>
        </w:rPr>
        <w:t>2.2.2</w:t>
      </w:r>
      <w:r>
        <w:rPr>
          <w:rFonts w:hint="eastAsia" w:ascii="宋体" w:hAnsi="宋体" w:eastAsia="宋体" w:cs="宋体"/>
          <w:color w:val="000000"/>
          <w:sz w:val="24"/>
          <w:lang w:val="en-US" w:eastAsia="zh-CN"/>
        </w:rPr>
        <w:t>定标</w:t>
      </w:r>
    </w:p>
    <w:p w14:paraId="7C4717CA">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r>
        <w:rPr>
          <w:rFonts w:ascii="宋体" w:hAnsi="宋体" w:eastAsia="宋体" w:cs="宋体"/>
          <w:color w:val="000000"/>
          <w:sz w:val="24"/>
        </w:rPr>
        <w:t>采购人授权评审小组根据完全满足采购的技术、质量、商务和服务的需求且最终报价最低的原则确定成交供应商。</w:t>
      </w:r>
    </w:p>
    <w:p w14:paraId="2FF2BCFB">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default" w:ascii="宋体" w:hAnsi="宋体" w:eastAsia="宋体" w:cs="宋体"/>
          <w:color w:val="000000"/>
          <w:sz w:val="24"/>
          <w:lang w:val="en-US"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）评审</w:t>
      </w:r>
      <w:r>
        <w:rPr>
          <w:rFonts w:hint="eastAsia" w:ascii="宋体" w:hAnsi="宋体" w:eastAsia="宋体" w:cs="宋体"/>
          <w:color w:val="000000"/>
          <w:sz w:val="24"/>
        </w:rPr>
        <w:t>采用低价优先法计算，即满足招标文件要求且投标价格最低的投标报价为评标基准价，其</w:t>
      </w:r>
      <w:r>
        <w:rPr>
          <w:rFonts w:hint="eastAsia" w:ascii="宋体" w:hAnsi="宋体" w:eastAsia="宋体" w:cs="宋体"/>
          <w:color w:val="000000"/>
          <w:sz w:val="24"/>
          <w:lang w:eastAsia="zh-CN"/>
        </w:rPr>
        <w:t>评审</w:t>
      </w:r>
      <w:r>
        <w:rPr>
          <w:rFonts w:hint="eastAsia" w:ascii="宋体" w:hAnsi="宋体" w:eastAsia="宋体" w:cs="宋体"/>
          <w:color w:val="000000"/>
          <w:sz w:val="24"/>
        </w:rPr>
        <w:t>价格分为满分</w:t>
      </w:r>
      <w:r>
        <w:rPr>
          <w:rFonts w:hint="eastAsia" w:ascii="宋体" w:hAnsi="宋体" w:eastAsia="宋体" w:cs="宋体"/>
          <w:color w:val="000000"/>
          <w:sz w:val="24"/>
          <w:lang w:eastAsia="zh-CN"/>
        </w:rPr>
        <w:t>，</w:t>
      </w:r>
      <w:r>
        <w:rPr>
          <w:rFonts w:hint="eastAsia" w:ascii="宋体" w:hAnsi="宋体" w:eastAsia="宋体" w:cs="宋体"/>
          <w:color w:val="000000"/>
          <w:sz w:val="24"/>
        </w:rPr>
        <w:t>其他投标人的价格分</w:t>
      </w:r>
      <w:r>
        <w:rPr>
          <w:rFonts w:hint="eastAsia" w:ascii="宋体" w:hAnsi="宋体" w:eastAsia="宋体" w:cs="宋体"/>
          <w:color w:val="000000"/>
          <w:sz w:val="24"/>
          <w:lang w:val="en-US" w:eastAsia="zh-CN"/>
        </w:rPr>
        <w:t>F1、F2和F3</w:t>
      </w:r>
      <w:r>
        <w:rPr>
          <w:rFonts w:hint="eastAsia" w:ascii="宋体" w:hAnsi="宋体" w:eastAsia="宋体" w:cs="宋体"/>
          <w:color w:val="000000"/>
          <w:sz w:val="24"/>
        </w:rPr>
        <w:t>统一按照下列公式计算：投标报价得分=（评标基准价／投标报价）×</w:t>
      </w:r>
      <w:r>
        <w:rPr>
          <w:rFonts w:hint="eastAsia" w:ascii="宋体" w:hAnsi="宋体" w:eastAsia="宋体" w:cs="宋体"/>
          <w:color w:val="000000"/>
          <w:sz w:val="24"/>
          <w:lang w:val="en-US" w:eastAsia="zh-CN"/>
        </w:rPr>
        <w:t>评审比例。</w:t>
      </w:r>
    </w:p>
    <w:p w14:paraId="595BDB0F">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(3)评审比例如下表所示：</w:t>
      </w:r>
    </w:p>
    <w:tbl>
      <w:tblPr>
        <w:tblStyle w:val="30"/>
        <w:tblW w:w="6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41"/>
        <w:gridCol w:w="1523"/>
        <w:gridCol w:w="1665"/>
        <w:gridCol w:w="1590"/>
      </w:tblGrid>
      <w:tr w14:paraId="2ACD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8F2C">
            <w:pPr>
              <w:keepNext w:val="0"/>
              <w:keepLines w:val="0"/>
              <w:widowControl/>
              <w:suppressLineNumbers w:val="0"/>
              <w:jc w:val="center"/>
              <w:textAlignment w:val="center"/>
              <w:rPr>
                <w:rFonts w:hint="default" w:ascii="宋体" w:hAnsi="宋体" w:eastAsia="宋体" w:cs="宋体"/>
                <w:b w:val="0"/>
                <w:bCs/>
                <w:i w:val="0"/>
                <w:iCs w:val="0"/>
                <w:color w:val="000000"/>
                <w:sz w:val="24"/>
                <w:szCs w:val="24"/>
                <w:highlight w:val="none"/>
                <w:u w:val="none"/>
                <w:lang w:val="en-US" w:eastAsia="zh-CN"/>
              </w:rPr>
            </w:pPr>
            <w:r>
              <w:rPr>
                <w:rFonts w:hint="eastAsia" w:ascii="宋体" w:hAnsi="宋体" w:eastAsia="宋体" w:cs="宋体"/>
                <w:b w:val="0"/>
                <w:bCs/>
                <w:i w:val="0"/>
                <w:iCs w:val="0"/>
                <w:color w:val="000000"/>
                <w:sz w:val="24"/>
                <w:szCs w:val="24"/>
                <w:highlight w:val="none"/>
                <w:u w:val="none"/>
                <w:lang w:val="en-US" w:eastAsia="zh-CN"/>
              </w:rPr>
              <w:t>报价项目</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633E">
            <w:pPr>
              <w:keepNext w:val="0"/>
              <w:keepLines w:val="0"/>
              <w:widowControl/>
              <w:suppressLineNumbers w:val="0"/>
              <w:jc w:val="center"/>
              <w:textAlignment w:val="center"/>
              <w:rPr>
                <w:rFonts w:hint="eastAsia" w:ascii="宋体" w:hAnsi="宋体" w:eastAsia="宋体" w:cs="宋体"/>
                <w:b w:val="0"/>
                <w:bCs/>
                <w:i w:val="0"/>
                <w:iCs w:val="0"/>
                <w:color w:val="000000"/>
                <w:sz w:val="24"/>
                <w:szCs w:val="24"/>
                <w:highlight w:val="none"/>
                <w:u w:val="none"/>
              </w:rPr>
            </w:pPr>
            <w:r>
              <w:rPr>
                <w:rFonts w:hint="eastAsia" w:ascii="宋体" w:hAnsi="宋体" w:eastAsia="宋体" w:cs="宋体"/>
                <w:b w:val="0"/>
                <w:bCs/>
                <w:i w:val="0"/>
                <w:iCs w:val="0"/>
                <w:color w:val="000000"/>
                <w:kern w:val="0"/>
                <w:sz w:val="24"/>
                <w:szCs w:val="24"/>
                <w:highlight w:val="none"/>
                <w:u w:val="none"/>
                <w:lang w:val="en-US" w:eastAsia="zh-CN" w:bidi="ar"/>
              </w:rPr>
              <w:t>国内发明专利申请</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EFE5">
            <w:pPr>
              <w:keepNext w:val="0"/>
              <w:keepLines w:val="0"/>
              <w:widowControl/>
              <w:suppressLineNumbers w:val="0"/>
              <w:jc w:val="center"/>
              <w:textAlignment w:val="center"/>
              <w:rPr>
                <w:rFonts w:hint="eastAsia" w:ascii="宋体" w:hAnsi="宋体" w:eastAsia="宋体" w:cs="宋体"/>
                <w:b w:val="0"/>
                <w:bCs/>
                <w:i w:val="0"/>
                <w:iCs w:val="0"/>
                <w:color w:val="000000"/>
                <w:sz w:val="24"/>
                <w:szCs w:val="24"/>
                <w:highlight w:val="none"/>
                <w:u w:val="none"/>
              </w:rPr>
            </w:pPr>
            <w:r>
              <w:rPr>
                <w:rFonts w:hint="eastAsia" w:ascii="宋体" w:hAnsi="宋体" w:eastAsia="宋体" w:cs="宋体"/>
                <w:b w:val="0"/>
                <w:bCs/>
                <w:i w:val="0"/>
                <w:iCs w:val="0"/>
                <w:color w:val="000000"/>
                <w:kern w:val="0"/>
                <w:sz w:val="24"/>
                <w:szCs w:val="24"/>
                <w:highlight w:val="none"/>
                <w:u w:val="none"/>
                <w:lang w:val="en-US" w:eastAsia="zh-CN" w:bidi="ar"/>
              </w:rPr>
              <w:t>国内实用新型专利申请</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A8F4">
            <w:pPr>
              <w:keepNext w:val="0"/>
              <w:keepLines w:val="0"/>
              <w:widowControl/>
              <w:suppressLineNumbers w:val="0"/>
              <w:jc w:val="center"/>
              <w:textAlignment w:val="center"/>
              <w:rPr>
                <w:rFonts w:hint="eastAsia" w:ascii="宋体" w:hAnsi="宋体" w:eastAsia="宋体" w:cs="宋体"/>
                <w:b w:val="0"/>
                <w:bCs/>
                <w:i w:val="0"/>
                <w:iCs w:val="0"/>
                <w:color w:val="333333"/>
                <w:sz w:val="24"/>
                <w:szCs w:val="24"/>
                <w:highlight w:val="none"/>
                <w:u w:val="none"/>
              </w:rPr>
            </w:pPr>
            <w:r>
              <w:rPr>
                <w:rFonts w:hint="eastAsia" w:ascii="宋体" w:hAnsi="宋体" w:eastAsia="宋体" w:cs="宋体"/>
                <w:b w:val="0"/>
                <w:bCs/>
                <w:i w:val="0"/>
                <w:iCs w:val="0"/>
                <w:color w:val="333333"/>
                <w:kern w:val="0"/>
                <w:sz w:val="24"/>
                <w:szCs w:val="24"/>
                <w:highlight w:val="none"/>
                <w:u w:val="none"/>
                <w:lang w:val="en-US" w:eastAsia="zh-CN" w:bidi="ar"/>
              </w:rPr>
              <w:t>国内外观设计专利申请</w:t>
            </w:r>
          </w:p>
        </w:tc>
      </w:tr>
      <w:tr w14:paraId="5EC7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8F82">
            <w:pPr>
              <w:keepNext w:val="0"/>
              <w:keepLines w:val="0"/>
              <w:widowControl/>
              <w:suppressLineNumbers w:val="0"/>
              <w:jc w:val="center"/>
              <w:textAlignment w:val="center"/>
              <w:rPr>
                <w:rFonts w:hint="eastAsia" w:ascii="宋体" w:hAnsi="宋体" w:eastAsia="宋体" w:cs="宋体"/>
                <w:b w:val="0"/>
                <w:bCs/>
                <w:i w:val="0"/>
                <w:iCs w:val="0"/>
                <w:color w:val="000000"/>
                <w:sz w:val="24"/>
                <w:szCs w:val="24"/>
                <w:highlight w:val="none"/>
                <w:u w:val="none"/>
              </w:rPr>
            </w:pPr>
            <w:r>
              <w:rPr>
                <w:rFonts w:hint="eastAsia" w:ascii="宋体" w:hAnsi="宋体" w:eastAsia="宋体" w:cs="宋体"/>
                <w:b w:val="0"/>
                <w:bCs/>
                <w:i w:val="0"/>
                <w:iCs w:val="0"/>
                <w:color w:val="000000"/>
                <w:kern w:val="0"/>
                <w:sz w:val="24"/>
                <w:szCs w:val="24"/>
                <w:highlight w:val="none"/>
                <w:u w:val="none"/>
                <w:lang w:val="en-US" w:eastAsia="zh-CN" w:bidi="ar"/>
              </w:rPr>
              <w:t>价格分</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8265">
            <w:pPr>
              <w:keepNext w:val="0"/>
              <w:keepLines w:val="0"/>
              <w:widowControl/>
              <w:suppressLineNumbers w:val="0"/>
              <w:jc w:val="center"/>
              <w:textAlignment w:val="center"/>
              <w:rPr>
                <w:rFonts w:hint="default" w:ascii="宋体" w:hAnsi="宋体" w:eastAsia="宋体" w:cs="宋体"/>
                <w:b w:val="0"/>
                <w:bCs/>
                <w:i w:val="0"/>
                <w:iCs w:val="0"/>
                <w:color w:val="000000"/>
                <w:sz w:val="24"/>
                <w:szCs w:val="24"/>
                <w:highlight w:val="none"/>
                <w:u w:val="none"/>
                <w:lang w:val="en-US"/>
              </w:rPr>
            </w:pPr>
            <w:r>
              <w:rPr>
                <w:rFonts w:hint="eastAsia" w:ascii="宋体" w:hAnsi="宋体" w:eastAsia="宋体" w:cs="宋体"/>
                <w:b w:val="0"/>
                <w:bCs/>
                <w:i w:val="0"/>
                <w:iCs w:val="0"/>
                <w:color w:val="000000"/>
                <w:kern w:val="0"/>
                <w:sz w:val="24"/>
                <w:szCs w:val="24"/>
                <w:highlight w:val="none"/>
                <w:u w:val="none"/>
                <w:lang w:val="en-US" w:eastAsia="zh-CN" w:bidi="ar"/>
              </w:rPr>
              <w:t>F1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3563">
            <w:pPr>
              <w:keepNext w:val="0"/>
              <w:keepLines w:val="0"/>
              <w:widowControl/>
              <w:suppressLineNumbers w:val="0"/>
              <w:jc w:val="center"/>
              <w:textAlignment w:val="center"/>
              <w:rPr>
                <w:rFonts w:hint="default" w:ascii="宋体" w:hAnsi="宋体" w:eastAsia="宋体" w:cs="宋体"/>
                <w:b w:val="0"/>
                <w:bCs/>
                <w:i w:val="0"/>
                <w:iCs w:val="0"/>
                <w:color w:val="000000"/>
                <w:sz w:val="24"/>
                <w:szCs w:val="24"/>
                <w:highlight w:val="none"/>
                <w:u w:val="none"/>
                <w:lang w:val="en-US" w:eastAsia="zh-CN"/>
              </w:rPr>
            </w:pPr>
            <w:r>
              <w:rPr>
                <w:rFonts w:hint="eastAsia" w:ascii="宋体" w:hAnsi="宋体" w:eastAsia="宋体" w:cs="宋体"/>
                <w:b w:val="0"/>
                <w:bCs/>
                <w:i w:val="0"/>
                <w:iCs w:val="0"/>
                <w:color w:val="000000"/>
                <w:sz w:val="24"/>
                <w:szCs w:val="24"/>
                <w:highlight w:val="none"/>
                <w:u w:val="none"/>
                <w:lang w:val="en-US" w:eastAsia="zh-CN"/>
              </w:rPr>
              <w:t>F2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59AC">
            <w:pPr>
              <w:keepNext w:val="0"/>
              <w:keepLines w:val="0"/>
              <w:widowControl/>
              <w:suppressLineNumbers w:val="0"/>
              <w:jc w:val="center"/>
              <w:textAlignment w:val="center"/>
              <w:rPr>
                <w:rFonts w:hint="default" w:ascii="宋体" w:hAnsi="宋体" w:eastAsia="宋体" w:cs="宋体"/>
                <w:b w:val="0"/>
                <w:bCs/>
                <w:i w:val="0"/>
                <w:iCs w:val="0"/>
                <w:color w:val="000000"/>
                <w:sz w:val="24"/>
                <w:szCs w:val="24"/>
                <w:highlight w:val="none"/>
                <w:u w:val="none"/>
                <w:lang w:val="en-US" w:eastAsia="zh-CN"/>
              </w:rPr>
            </w:pPr>
            <w:r>
              <w:rPr>
                <w:rFonts w:hint="eastAsia" w:ascii="宋体" w:hAnsi="宋体" w:eastAsia="宋体" w:cs="宋体"/>
                <w:b w:val="0"/>
                <w:bCs/>
                <w:i w:val="0"/>
                <w:iCs w:val="0"/>
                <w:color w:val="000000"/>
                <w:sz w:val="24"/>
                <w:szCs w:val="24"/>
                <w:highlight w:val="none"/>
                <w:u w:val="none"/>
                <w:lang w:val="en-US" w:eastAsia="zh-CN"/>
              </w:rPr>
              <w:t>F3</w:t>
            </w:r>
          </w:p>
        </w:tc>
      </w:tr>
      <w:tr w14:paraId="6904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C60A">
            <w:pPr>
              <w:keepNext w:val="0"/>
              <w:keepLines w:val="0"/>
              <w:widowControl/>
              <w:suppressLineNumbers w:val="0"/>
              <w:jc w:val="center"/>
              <w:textAlignment w:val="center"/>
              <w:rPr>
                <w:rFonts w:hint="eastAsia" w:ascii="宋体" w:hAnsi="宋体" w:eastAsia="宋体" w:cs="宋体"/>
                <w:b w:val="0"/>
                <w:bCs/>
                <w:i w:val="0"/>
                <w:iCs w:val="0"/>
                <w:color w:val="000000"/>
                <w:sz w:val="24"/>
                <w:szCs w:val="24"/>
                <w:highlight w:val="none"/>
                <w:u w:val="none"/>
              </w:rPr>
            </w:pPr>
            <w:r>
              <w:rPr>
                <w:rFonts w:hint="eastAsia" w:ascii="宋体" w:hAnsi="宋体" w:eastAsia="宋体" w:cs="宋体"/>
                <w:b w:val="0"/>
                <w:bCs/>
                <w:i w:val="0"/>
                <w:iCs w:val="0"/>
                <w:color w:val="000000"/>
                <w:kern w:val="0"/>
                <w:sz w:val="24"/>
                <w:szCs w:val="24"/>
                <w:highlight w:val="none"/>
                <w:u w:val="none"/>
                <w:lang w:val="en-US" w:eastAsia="zh-CN" w:bidi="ar"/>
              </w:rPr>
              <w:t>评审比例（%）</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79AE">
            <w:pPr>
              <w:keepNext w:val="0"/>
              <w:keepLines w:val="0"/>
              <w:widowControl/>
              <w:suppressLineNumbers w:val="0"/>
              <w:jc w:val="center"/>
              <w:textAlignment w:val="center"/>
              <w:rPr>
                <w:rFonts w:hint="default" w:ascii="宋体" w:hAnsi="宋体" w:eastAsia="宋体" w:cs="宋体"/>
                <w:b w:val="0"/>
                <w:bCs/>
                <w:i w:val="0"/>
                <w:iCs w:val="0"/>
                <w:color w:val="000000"/>
                <w:sz w:val="24"/>
                <w:szCs w:val="24"/>
                <w:highlight w:val="none"/>
                <w:u w:val="none"/>
                <w:lang w:val="en-US" w:eastAsia="zh-CN"/>
              </w:rPr>
            </w:pPr>
            <w:r>
              <w:rPr>
                <w:rFonts w:hint="eastAsia" w:ascii="宋体" w:hAnsi="宋体" w:eastAsia="宋体" w:cs="宋体"/>
                <w:b w:val="0"/>
                <w:bCs/>
                <w:i w:val="0"/>
                <w:iCs w:val="0"/>
                <w:color w:val="000000"/>
                <w:sz w:val="24"/>
                <w:szCs w:val="24"/>
                <w:highlight w:val="none"/>
                <w:u w:val="none"/>
                <w:lang w:val="en-US" w:eastAsia="zh-CN"/>
              </w:rPr>
              <w:t>40</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D6A1">
            <w:pPr>
              <w:keepNext w:val="0"/>
              <w:keepLines w:val="0"/>
              <w:widowControl/>
              <w:suppressLineNumbers w:val="0"/>
              <w:jc w:val="center"/>
              <w:textAlignment w:val="center"/>
              <w:rPr>
                <w:rFonts w:hint="default" w:ascii="宋体" w:hAnsi="宋体" w:eastAsia="宋体" w:cs="宋体"/>
                <w:b w:val="0"/>
                <w:bCs/>
                <w:i w:val="0"/>
                <w:iCs w:val="0"/>
                <w:color w:val="000000"/>
                <w:sz w:val="24"/>
                <w:szCs w:val="24"/>
                <w:highlight w:val="none"/>
                <w:u w:val="none"/>
                <w:lang w:val="en-US" w:eastAsia="zh-CN"/>
              </w:rPr>
            </w:pPr>
            <w:r>
              <w:rPr>
                <w:rFonts w:hint="eastAsia" w:ascii="宋体" w:hAnsi="宋体" w:eastAsia="宋体" w:cs="宋体"/>
                <w:b w:val="0"/>
                <w:bCs/>
                <w:i w:val="0"/>
                <w:iCs w:val="0"/>
                <w:color w:val="000000"/>
                <w:sz w:val="24"/>
                <w:szCs w:val="24"/>
                <w:highlight w:val="none"/>
                <w:u w:val="none"/>
                <w:lang w:val="en-US" w:eastAsia="zh-CN"/>
              </w:rPr>
              <w:t>50</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2F9F">
            <w:pPr>
              <w:keepNext w:val="0"/>
              <w:keepLines w:val="0"/>
              <w:widowControl/>
              <w:suppressLineNumbers w:val="0"/>
              <w:jc w:val="center"/>
              <w:textAlignment w:val="center"/>
              <w:rPr>
                <w:rFonts w:hint="default" w:ascii="宋体" w:hAnsi="宋体" w:eastAsia="宋体" w:cs="宋体"/>
                <w:b w:val="0"/>
                <w:bCs/>
                <w:i w:val="0"/>
                <w:iCs w:val="0"/>
                <w:color w:val="000000"/>
                <w:sz w:val="24"/>
                <w:szCs w:val="24"/>
                <w:highlight w:val="none"/>
                <w:u w:val="none"/>
                <w:lang w:val="en-US" w:eastAsia="zh-CN"/>
              </w:rPr>
            </w:pPr>
            <w:r>
              <w:rPr>
                <w:rFonts w:hint="eastAsia" w:ascii="宋体" w:hAnsi="宋体" w:eastAsia="宋体" w:cs="宋体"/>
                <w:b w:val="0"/>
                <w:bCs/>
                <w:i w:val="0"/>
                <w:iCs w:val="0"/>
                <w:color w:val="000000"/>
                <w:sz w:val="24"/>
                <w:szCs w:val="24"/>
                <w:highlight w:val="none"/>
                <w:u w:val="none"/>
                <w:lang w:val="en-US" w:eastAsia="zh-CN"/>
              </w:rPr>
              <w:t>10</w:t>
            </w:r>
          </w:p>
        </w:tc>
      </w:tr>
      <w:tr w14:paraId="497A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49B8">
            <w:pPr>
              <w:keepNext w:val="0"/>
              <w:keepLines w:val="0"/>
              <w:widowControl/>
              <w:suppressLineNumbers w:val="0"/>
              <w:jc w:val="center"/>
              <w:textAlignment w:val="center"/>
              <w:rPr>
                <w:rFonts w:hint="default" w:ascii="宋体" w:hAnsi="宋体" w:eastAsia="宋体" w:cs="宋体"/>
                <w:b w:val="0"/>
                <w:bCs/>
                <w:i w:val="0"/>
                <w:iCs w:val="0"/>
                <w:color w:val="000000"/>
                <w:kern w:val="0"/>
                <w:sz w:val="24"/>
                <w:szCs w:val="24"/>
                <w:highlight w:val="none"/>
                <w:u w:val="none"/>
                <w:lang w:val="en-US" w:eastAsia="zh-CN" w:bidi="ar"/>
              </w:rPr>
            </w:pPr>
            <w:r>
              <w:rPr>
                <w:rFonts w:hint="eastAsia" w:ascii="宋体" w:hAnsi="宋体" w:eastAsia="宋体" w:cs="宋体"/>
                <w:b w:val="0"/>
                <w:bCs/>
                <w:i w:val="0"/>
                <w:iCs w:val="0"/>
                <w:color w:val="000000"/>
                <w:kern w:val="0"/>
                <w:sz w:val="24"/>
                <w:szCs w:val="24"/>
                <w:highlight w:val="none"/>
                <w:u w:val="none"/>
                <w:lang w:val="en-US" w:eastAsia="zh-CN" w:bidi="ar"/>
              </w:rPr>
              <w:t>备注</w:t>
            </w:r>
          </w:p>
        </w:tc>
        <w:tc>
          <w:tcPr>
            <w:tcW w:w="47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EC13">
            <w:pPr>
              <w:keepNext w:val="0"/>
              <w:keepLines w:val="0"/>
              <w:widowControl/>
              <w:suppressLineNumbers w:val="0"/>
              <w:jc w:val="left"/>
              <w:textAlignment w:val="center"/>
              <w:rPr>
                <w:rFonts w:hint="eastAsia" w:ascii="宋体" w:hAnsi="宋体" w:eastAsia="宋体" w:cs="宋体"/>
                <w:b w:val="0"/>
                <w:bCs/>
                <w:i w:val="0"/>
                <w:iCs w:val="0"/>
                <w:color w:val="000000"/>
                <w:sz w:val="24"/>
                <w:szCs w:val="24"/>
                <w:highlight w:val="none"/>
                <w:u w:val="none"/>
                <w:lang w:val="en-US" w:eastAsia="zh-CN"/>
              </w:rPr>
            </w:pPr>
            <w:r>
              <w:rPr>
                <w:rFonts w:hint="eastAsia" w:ascii="宋体" w:hAnsi="宋体" w:eastAsia="宋体" w:cs="宋体"/>
                <w:b w:val="0"/>
                <w:bCs/>
                <w:i w:val="0"/>
                <w:iCs w:val="0"/>
                <w:color w:val="000000"/>
                <w:sz w:val="24"/>
                <w:szCs w:val="24"/>
                <w:highlight w:val="none"/>
                <w:u w:val="none"/>
                <w:lang w:val="en-US" w:eastAsia="zh-CN"/>
              </w:rPr>
              <w:t>各类专利的代理费均为含税价格，且不含官费</w:t>
            </w:r>
          </w:p>
        </w:tc>
      </w:tr>
    </w:tbl>
    <w:p w14:paraId="2F8D587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（4）最终以评审价格分(F=F1+F2+F3)</w:t>
      </w:r>
      <w:r>
        <w:rPr>
          <w:rFonts w:hint="eastAsia" w:ascii="宋体" w:hAnsi="宋体" w:eastAsia="宋体" w:cs="宋体"/>
          <w:color w:val="000000"/>
          <w:sz w:val="24"/>
          <w:lang w:eastAsia="zh-CN"/>
        </w:rPr>
        <w:t>最高的原则确定成交供应商（得分越高，总报价越低）。</w:t>
      </w:r>
    </w:p>
    <w:p w14:paraId="5E5F3D46">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003337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2.2.4评标结果公示：公开招标结果将在福建中医药大学附属人民医院院内网、院外网的公告栏目内公示。</w:t>
      </w:r>
    </w:p>
    <w:p w14:paraId="0779844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2.3成交通知：公开招标结果将在福建中医药大学附属人民医院院内网、院外网的公告栏目内公示，公示期满无异议后，由采购人向中标供应商授予中标通知书。</w:t>
      </w:r>
    </w:p>
    <w:p w14:paraId="1ECA449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2.4签订合同：</w:t>
      </w:r>
    </w:p>
    <w:p w14:paraId="3D4C75F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2.4.1中标人收到中标通知书后5个工作日内须来我院办理合同签订手续。</w:t>
      </w:r>
    </w:p>
    <w:p w14:paraId="167567D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2.4.2招标文件、中标人的投标文件及有效承诺文件等，均为签订合同的依据。</w:t>
      </w:r>
    </w:p>
    <w:p w14:paraId="6881F989">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2.4.3结算说明：</w:t>
      </w:r>
    </w:p>
    <w:p w14:paraId="553CF0F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val="0"/>
          <w:color w:val="000000"/>
          <w:sz w:val="24"/>
          <w:lang w:eastAsia="zh-CN"/>
        </w:rPr>
      </w:pPr>
      <w:r>
        <w:rPr>
          <w:rFonts w:hint="eastAsia" w:ascii="宋体" w:hAnsi="宋体" w:eastAsia="宋体" w:cs="宋体"/>
          <w:b w:val="0"/>
          <w:bCs w:val="0"/>
          <w:color w:val="000000"/>
          <w:sz w:val="24"/>
          <w:lang w:eastAsia="zh-CN"/>
        </w:rPr>
        <w:t>（</w:t>
      </w:r>
      <w:r>
        <w:rPr>
          <w:rFonts w:hint="eastAsia" w:ascii="宋体" w:hAnsi="宋体" w:eastAsia="宋体" w:cs="宋体"/>
          <w:b w:val="0"/>
          <w:bCs w:val="0"/>
          <w:color w:val="000000"/>
          <w:sz w:val="24"/>
          <w:lang w:val="en-US" w:eastAsia="zh-CN"/>
        </w:rPr>
        <w:t>1</w:t>
      </w:r>
      <w:r>
        <w:rPr>
          <w:rFonts w:hint="eastAsia" w:ascii="宋体" w:hAnsi="宋体" w:eastAsia="宋体" w:cs="宋体"/>
          <w:b w:val="0"/>
          <w:bCs w:val="0"/>
          <w:color w:val="000000"/>
          <w:sz w:val="24"/>
          <w:lang w:eastAsia="zh-CN"/>
        </w:rPr>
        <w:t>）采用按季度汇总，对公转账的结算模式。投标人按季度汇总该季度内已收到受理通知书的案件，向院方提交费用结算清单及受理通知书扫描件，经院方审核确认后，开具合法有效的增值税专用</w:t>
      </w:r>
      <w:r>
        <w:rPr>
          <w:rFonts w:hint="eastAsia" w:ascii="宋体" w:hAnsi="宋体" w:eastAsia="宋体" w:cs="宋体"/>
          <w:b w:val="0"/>
          <w:bCs w:val="0"/>
          <w:color w:val="000000"/>
          <w:sz w:val="24"/>
          <w:lang w:val="en-US" w:eastAsia="zh-CN"/>
        </w:rPr>
        <w:t>发票或</w:t>
      </w:r>
      <w:r>
        <w:rPr>
          <w:rFonts w:hint="eastAsia" w:ascii="宋体" w:hAnsi="宋体" w:eastAsia="宋体" w:cs="宋体"/>
          <w:b w:val="0"/>
          <w:bCs w:val="0"/>
          <w:color w:val="000000"/>
          <w:sz w:val="24"/>
          <w:lang w:eastAsia="zh-CN"/>
        </w:rPr>
        <w:t xml:space="preserve">普通发票，院方在收到完整结算资料后30个工作日内完成对公支付。 </w:t>
      </w:r>
    </w:p>
    <w:p w14:paraId="75F4D998">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val="0"/>
          <w:color w:val="000000"/>
          <w:sz w:val="24"/>
        </w:rPr>
      </w:pPr>
      <w:r>
        <w:rPr>
          <w:rFonts w:hint="eastAsia" w:ascii="宋体" w:hAnsi="宋体" w:eastAsia="宋体" w:cs="宋体"/>
          <w:b w:val="0"/>
          <w:bCs w:val="0"/>
          <w:color w:val="000000"/>
          <w:sz w:val="24"/>
          <w:lang w:eastAsia="zh-CN"/>
        </w:rPr>
        <w:t>（</w:t>
      </w:r>
      <w:r>
        <w:rPr>
          <w:rFonts w:hint="eastAsia" w:ascii="宋体" w:hAnsi="宋体" w:eastAsia="宋体" w:cs="宋体"/>
          <w:b w:val="0"/>
          <w:bCs w:val="0"/>
          <w:color w:val="000000"/>
          <w:sz w:val="24"/>
          <w:lang w:val="en-US" w:eastAsia="zh-CN"/>
        </w:rPr>
        <w:t>2</w:t>
      </w:r>
      <w:r>
        <w:rPr>
          <w:rFonts w:hint="eastAsia" w:ascii="宋体" w:hAnsi="宋体" w:eastAsia="宋体" w:cs="宋体"/>
          <w:b w:val="0"/>
          <w:bCs w:val="0"/>
          <w:color w:val="000000"/>
          <w:sz w:val="24"/>
          <w:lang w:eastAsia="zh-CN"/>
        </w:rPr>
        <w:t>）</w:t>
      </w:r>
      <w:r>
        <w:rPr>
          <w:rFonts w:hint="eastAsia" w:ascii="宋体" w:hAnsi="宋体" w:eastAsia="宋体" w:cs="宋体"/>
          <w:b w:val="0"/>
          <w:bCs w:val="0"/>
          <w:color w:val="000000"/>
          <w:sz w:val="24"/>
          <w:lang w:val="en-US" w:eastAsia="zh-CN"/>
        </w:rPr>
        <w:t>合同执行总金额为150000元</w:t>
      </w:r>
      <w:r>
        <w:rPr>
          <w:rFonts w:hint="eastAsia" w:ascii="宋体" w:hAnsi="宋体" w:eastAsia="宋体" w:cs="宋体"/>
          <w:b w:val="0"/>
          <w:bCs w:val="0"/>
          <w:color w:val="000000"/>
          <w:sz w:val="24"/>
          <w:lang w:eastAsia="zh-CN"/>
        </w:rPr>
        <w:t>，当累计执行金额达到</w:t>
      </w:r>
      <w:r>
        <w:rPr>
          <w:rFonts w:hint="eastAsia" w:ascii="宋体" w:hAnsi="宋体" w:eastAsia="宋体" w:cs="宋体"/>
          <w:b w:val="0"/>
          <w:bCs w:val="0"/>
          <w:color w:val="000000"/>
          <w:sz w:val="24"/>
          <w:lang w:val="en-US" w:eastAsia="zh-CN"/>
        </w:rPr>
        <w:t>合同总金额</w:t>
      </w:r>
      <w:r>
        <w:rPr>
          <w:rFonts w:hint="eastAsia" w:ascii="宋体" w:hAnsi="宋体" w:eastAsia="宋体" w:cs="宋体"/>
          <w:b w:val="0"/>
          <w:bCs w:val="0"/>
          <w:color w:val="000000"/>
          <w:sz w:val="24"/>
          <w:lang w:eastAsia="zh-CN"/>
        </w:rPr>
        <w:t>的80%（即12</w:t>
      </w:r>
      <w:r>
        <w:rPr>
          <w:rFonts w:hint="eastAsia" w:ascii="宋体" w:hAnsi="宋体" w:eastAsia="宋体" w:cs="宋体"/>
          <w:b w:val="0"/>
          <w:bCs w:val="0"/>
          <w:color w:val="000000"/>
          <w:sz w:val="24"/>
          <w:lang w:val="en-US" w:eastAsia="zh-CN"/>
        </w:rPr>
        <w:t>0000</w:t>
      </w:r>
      <w:r>
        <w:rPr>
          <w:rFonts w:hint="eastAsia" w:ascii="宋体" w:hAnsi="宋体" w:eastAsia="宋体" w:cs="宋体"/>
          <w:b w:val="0"/>
          <w:bCs w:val="0"/>
          <w:color w:val="000000"/>
          <w:sz w:val="24"/>
          <w:lang w:eastAsia="zh-CN"/>
        </w:rPr>
        <w:t>元)时，投标人有义务在提交新申请前向院方发出书面预警，由院方做出决策后再执行专利申请，若因投标人未履行预警义务导致超额提交，</w:t>
      </w:r>
      <w:r>
        <w:rPr>
          <w:rFonts w:hint="eastAsia" w:ascii="宋体" w:hAnsi="宋体" w:eastAsia="宋体" w:cs="宋体"/>
          <w:b w:val="0"/>
          <w:bCs w:val="0"/>
          <w:color w:val="000000"/>
          <w:sz w:val="24"/>
          <w:lang w:val="en-US" w:eastAsia="zh-CN"/>
        </w:rPr>
        <w:t>超额部分的</w:t>
      </w:r>
      <w:r>
        <w:rPr>
          <w:rFonts w:hint="eastAsia" w:ascii="宋体" w:hAnsi="宋体" w:eastAsia="宋体" w:cs="宋体"/>
          <w:b w:val="0"/>
          <w:bCs w:val="0"/>
          <w:color w:val="000000"/>
          <w:sz w:val="24"/>
          <w:lang w:eastAsia="zh-CN"/>
        </w:rPr>
        <w:t>费用由投标人承担。</w:t>
      </w:r>
    </w:p>
    <w:p w14:paraId="61CD183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三、招标项目具体要求</w:t>
      </w:r>
    </w:p>
    <w:p w14:paraId="441FDCE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1.项目概况：</w:t>
      </w:r>
      <w:r>
        <w:rPr>
          <w:rFonts w:hint="eastAsia" w:ascii="宋体" w:hAnsi="宋体" w:eastAsia="宋体" w:cs="宋体"/>
          <w:color w:val="auto"/>
          <w:sz w:val="24"/>
          <w:szCs w:val="24"/>
          <w:highlight w:val="none"/>
          <w:lang w:val="en-US" w:eastAsia="zh-CN"/>
        </w:rPr>
        <w:t>我院需委托一家供应商提供专利代理服务</w:t>
      </w:r>
      <w:r>
        <w:rPr>
          <w:rFonts w:hint="eastAsia" w:ascii="宋体" w:hAnsi="宋体" w:eastAsia="宋体" w:cs="宋体"/>
          <w:color w:val="000000"/>
          <w:sz w:val="24"/>
          <w:lang w:val="en-US" w:eastAsia="zh-CN"/>
        </w:rPr>
        <w:t>。</w:t>
      </w:r>
    </w:p>
    <w:p w14:paraId="42BEA3E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2.资质要求：</w:t>
      </w:r>
    </w:p>
    <w:p w14:paraId="1EF0171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2.1具有独立法人资格和营业执照。</w:t>
      </w:r>
    </w:p>
    <w:p w14:paraId="23E33214">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rPr>
      </w:pPr>
      <w:r>
        <w:rPr>
          <w:rFonts w:ascii="宋体" w:hAnsi="宋体" w:eastAsia="宋体" w:cs="宋体"/>
          <w:color w:val="000000"/>
          <w:sz w:val="24"/>
        </w:rPr>
        <w:t>2.2</w:t>
      </w:r>
      <w:r>
        <w:rPr>
          <w:rFonts w:hint="eastAsia" w:ascii="宋体" w:hAnsi="宋体" w:eastAsia="宋体" w:cs="宋体"/>
          <w:color w:val="000000"/>
          <w:sz w:val="24"/>
        </w:rPr>
        <w:t>投标</w:t>
      </w:r>
      <w:r>
        <w:rPr>
          <w:rFonts w:hint="eastAsia" w:ascii="宋体" w:hAnsi="宋体" w:eastAsia="宋体" w:cs="宋体"/>
          <w:color w:val="000000"/>
          <w:sz w:val="24"/>
          <w:lang w:val="en-US" w:eastAsia="zh-CN"/>
        </w:rPr>
        <w:t>人</w:t>
      </w:r>
      <w:r>
        <w:rPr>
          <w:rFonts w:hint="eastAsia" w:ascii="宋体" w:hAnsi="宋体" w:eastAsia="宋体" w:cs="宋体"/>
          <w:color w:val="000000"/>
          <w:sz w:val="24"/>
        </w:rPr>
        <w:t>须为在国家知识产权局合法备案</w:t>
      </w:r>
      <w:r>
        <w:rPr>
          <w:rFonts w:hint="eastAsia" w:ascii="宋体" w:hAnsi="宋体" w:eastAsia="宋体" w:cs="宋体"/>
          <w:color w:val="000000"/>
          <w:sz w:val="24"/>
          <w:lang w:eastAsia="zh-CN"/>
        </w:rPr>
        <w:t>，</w:t>
      </w:r>
      <w:r>
        <w:rPr>
          <w:rFonts w:hint="eastAsia" w:ascii="宋体" w:hAnsi="宋体" w:eastAsia="宋体" w:cs="宋体"/>
          <w:color w:val="000000"/>
          <w:sz w:val="24"/>
        </w:rPr>
        <w:t>持有专利代理机构注册证</w:t>
      </w:r>
      <w:r>
        <w:rPr>
          <w:rFonts w:hint="eastAsia" w:ascii="宋体" w:hAnsi="宋体" w:eastAsia="宋体" w:cs="宋体"/>
          <w:color w:val="000000"/>
          <w:sz w:val="24"/>
          <w:lang w:eastAsia="zh-CN"/>
        </w:rPr>
        <w:t>，</w:t>
      </w:r>
      <w:r>
        <w:rPr>
          <w:rFonts w:hint="eastAsia" w:ascii="宋体" w:hAnsi="宋体" w:eastAsia="宋体" w:cs="宋体"/>
          <w:color w:val="000000"/>
          <w:sz w:val="24"/>
        </w:rPr>
        <w:t>且在全国专利代理信息公示平台可查询的执业机构</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提供相关证明材料</w:t>
      </w:r>
      <w:r>
        <w:rPr>
          <w:rFonts w:hint="eastAsia" w:ascii="宋体" w:hAnsi="宋体" w:eastAsia="宋体" w:cs="宋体"/>
          <w:color w:val="000000"/>
          <w:sz w:val="24"/>
        </w:rPr>
        <w:t>。</w:t>
      </w:r>
    </w:p>
    <w:p w14:paraId="3031BB49">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3投标人的</w:t>
      </w:r>
      <w:r>
        <w:rPr>
          <w:rFonts w:hint="eastAsia" w:ascii="宋体" w:hAnsi="宋体" w:eastAsia="宋体" w:cs="宋体"/>
          <w:color w:val="000000"/>
          <w:sz w:val="24"/>
        </w:rPr>
        <w:t>核心代理团队须拥有丰富的生物医药及医疗器械领域专利代理经验，能提供近三年(2023-2025年)在中医药</w:t>
      </w:r>
      <w:r>
        <w:rPr>
          <w:rFonts w:hint="eastAsia" w:ascii="宋体" w:hAnsi="宋体" w:eastAsia="宋体" w:cs="宋体"/>
          <w:color w:val="000000"/>
          <w:sz w:val="24"/>
          <w:lang w:val="en-US" w:eastAsia="zh-CN"/>
        </w:rPr>
        <w:t>领域</w:t>
      </w:r>
      <w:r>
        <w:rPr>
          <w:rFonts w:hint="eastAsia" w:ascii="宋体" w:hAnsi="宋体" w:eastAsia="宋体" w:cs="宋体"/>
          <w:color w:val="000000"/>
          <w:sz w:val="24"/>
        </w:rPr>
        <w:t>(如中药复方、制剂方法、临床应用以及医用器械、设备等</w:t>
      </w:r>
      <w:r>
        <w:rPr>
          <w:rFonts w:hint="eastAsia" w:ascii="宋体" w:hAnsi="宋体" w:eastAsia="宋体" w:cs="宋体"/>
          <w:color w:val="000000"/>
          <w:sz w:val="24"/>
          <w:lang w:eastAsia="zh-CN"/>
        </w:rPr>
        <w:t>）</w:t>
      </w:r>
      <w:r>
        <w:rPr>
          <w:rFonts w:hint="eastAsia" w:ascii="宋体" w:hAnsi="宋体" w:eastAsia="宋体" w:cs="宋体"/>
          <w:color w:val="000000"/>
          <w:sz w:val="24"/>
        </w:rPr>
        <w:t>代理且授权案例</w:t>
      </w:r>
      <w:r>
        <w:rPr>
          <w:rFonts w:hint="eastAsia" w:ascii="宋体" w:hAnsi="宋体" w:eastAsia="宋体" w:cs="宋体"/>
          <w:color w:val="000000"/>
          <w:sz w:val="24"/>
          <w:lang w:val="en-US" w:eastAsia="zh-CN"/>
        </w:rPr>
        <w:t>的</w:t>
      </w:r>
      <w:r>
        <w:rPr>
          <w:rFonts w:hint="eastAsia" w:ascii="宋体" w:hAnsi="宋体" w:eastAsia="宋体" w:cs="宋体"/>
          <w:color w:val="000000"/>
          <w:sz w:val="24"/>
        </w:rPr>
        <w:t>证明清单</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案例数量</w:t>
      </w:r>
      <w:r>
        <w:rPr>
          <w:rFonts w:hint="eastAsia" w:ascii="宋体" w:hAnsi="宋体" w:eastAsia="宋体" w:cs="宋体"/>
          <w:color w:val="000000"/>
          <w:sz w:val="24"/>
        </w:rPr>
        <w:t>不少于100例。</w:t>
      </w:r>
    </w:p>
    <w:p w14:paraId="6784935E">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eastAsia="宋体"/>
          <w:lang w:eastAsia="zh-CN"/>
        </w:rPr>
      </w:pPr>
      <w:r>
        <w:rPr>
          <w:rFonts w:hint="eastAsia" w:ascii="宋体" w:hAnsi="宋体" w:eastAsia="宋体" w:cs="宋体"/>
          <w:color w:val="000000"/>
          <w:sz w:val="24"/>
          <w:lang w:val="en-US" w:eastAsia="zh-CN"/>
        </w:rPr>
        <w:t>2.4投标人应具备稳定的专业团队与规范的内部质量控制流程，并提供2025年医药相关领域代理业务的总体授权率高于50%的证明材料，以此作为其服务能力与质量的参考依据。</w:t>
      </w:r>
    </w:p>
    <w:p w14:paraId="10CB06A7">
      <w:pPr>
        <w:numPr>
          <w:ilvl w:val="0"/>
          <w:numId w:val="0"/>
        </w:numPr>
        <w:pBdr>
          <w:top w:val="none" w:color="000000" w:sz="0" w:space="0"/>
          <w:left w:val="none" w:color="000000" w:sz="0" w:space="0"/>
          <w:bottom w:val="none" w:color="000000" w:sz="0" w:space="0"/>
          <w:right w:val="none" w:color="000000" w:sz="0" w:space="0"/>
        </w:pBdr>
        <w:spacing w:before="0" w:after="0" w:line="360" w:lineRule="auto"/>
        <w:ind w:firstLine="482" w:firstLineChars="200"/>
        <w:rPr>
          <w:rFonts w:ascii="宋体" w:hAnsi="宋体" w:eastAsia="宋体" w:cs="宋体"/>
          <w:b/>
          <w:bCs/>
          <w:color w:val="000000"/>
          <w:sz w:val="24"/>
        </w:rPr>
      </w:pPr>
      <w:r>
        <w:rPr>
          <w:rFonts w:hint="eastAsia" w:ascii="宋体" w:hAnsi="宋体" w:eastAsia="宋体" w:cs="宋体"/>
          <w:b/>
          <w:bCs/>
          <w:color w:val="000000"/>
          <w:sz w:val="24"/>
          <w:lang w:val="en-US" w:eastAsia="zh-CN"/>
        </w:rPr>
        <w:t>3.本项目</w:t>
      </w:r>
      <w:r>
        <w:rPr>
          <w:rFonts w:ascii="宋体" w:hAnsi="宋体" w:eastAsia="宋体" w:cs="宋体"/>
          <w:b/>
          <w:bCs/>
          <w:color w:val="000000"/>
          <w:sz w:val="24"/>
        </w:rPr>
        <w:t>招标控制</w:t>
      </w:r>
      <w:r>
        <w:rPr>
          <w:rFonts w:hint="eastAsia" w:ascii="宋体" w:hAnsi="宋体" w:eastAsia="宋体" w:cs="宋体"/>
          <w:b/>
          <w:bCs/>
          <w:color w:val="000000"/>
          <w:sz w:val="24"/>
          <w:lang w:val="en-US" w:eastAsia="zh-CN"/>
        </w:rPr>
        <w:t>单</w:t>
      </w:r>
      <w:r>
        <w:rPr>
          <w:rFonts w:ascii="宋体" w:hAnsi="宋体" w:eastAsia="宋体" w:cs="宋体"/>
          <w:b/>
          <w:bCs/>
          <w:color w:val="000000"/>
          <w:sz w:val="24"/>
        </w:rPr>
        <w:t>价</w:t>
      </w:r>
      <w:r>
        <w:rPr>
          <w:rFonts w:hint="eastAsia" w:ascii="宋体" w:hAnsi="宋体" w:eastAsia="宋体" w:cs="宋体"/>
          <w:b/>
          <w:bCs/>
          <w:color w:val="000000"/>
          <w:sz w:val="24"/>
          <w:lang w:val="en-US" w:eastAsia="zh-CN"/>
        </w:rPr>
        <w:t>为：国内发明专利申请4463.64元/项、国内实用新型专利申请1827.27元/项、国内外观设计专利申请700元/项。</w:t>
      </w:r>
      <w:r>
        <w:rPr>
          <w:rFonts w:ascii="宋体" w:hAnsi="宋体" w:eastAsia="宋体" w:cs="宋体"/>
          <w:b/>
          <w:bCs/>
          <w:color w:val="000000"/>
          <w:sz w:val="24"/>
        </w:rPr>
        <w:t>投标人</w:t>
      </w:r>
      <w:r>
        <w:rPr>
          <w:rFonts w:hint="eastAsia" w:ascii="宋体" w:hAnsi="宋体" w:eastAsia="宋体" w:cs="宋体"/>
          <w:b/>
          <w:bCs/>
          <w:color w:val="000000"/>
          <w:sz w:val="24"/>
          <w:lang w:val="en-US" w:eastAsia="zh-CN"/>
        </w:rPr>
        <w:t>各项</w:t>
      </w:r>
      <w:r>
        <w:rPr>
          <w:rFonts w:ascii="宋体" w:hAnsi="宋体" w:eastAsia="宋体" w:cs="宋体"/>
          <w:b/>
          <w:bCs/>
          <w:color w:val="000000"/>
          <w:sz w:val="24"/>
        </w:rPr>
        <w:t>报价</w:t>
      </w:r>
      <w:r>
        <w:rPr>
          <w:rFonts w:hint="eastAsia" w:ascii="宋体" w:hAnsi="宋体" w:eastAsia="宋体" w:cs="宋体"/>
          <w:b/>
          <w:bCs/>
          <w:color w:val="000000"/>
          <w:sz w:val="24"/>
          <w:lang w:val="en-US" w:eastAsia="zh-CN"/>
        </w:rPr>
        <w:t>不得</w:t>
      </w:r>
      <w:r>
        <w:rPr>
          <w:rFonts w:ascii="宋体" w:hAnsi="宋体" w:eastAsia="宋体" w:cs="宋体"/>
          <w:b/>
          <w:bCs/>
          <w:color w:val="000000"/>
          <w:sz w:val="24"/>
        </w:rPr>
        <w:t>超过招标控制</w:t>
      </w:r>
      <w:r>
        <w:rPr>
          <w:rFonts w:hint="eastAsia" w:ascii="宋体" w:hAnsi="宋体" w:eastAsia="宋体" w:cs="宋体"/>
          <w:b/>
          <w:bCs/>
          <w:color w:val="000000"/>
          <w:sz w:val="24"/>
          <w:lang w:val="en-US" w:eastAsia="zh-CN"/>
        </w:rPr>
        <w:t>单</w:t>
      </w:r>
      <w:r>
        <w:rPr>
          <w:rFonts w:ascii="宋体" w:hAnsi="宋体" w:eastAsia="宋体" w:cs="宋体"/>
          <w:b/>
          <w:bCs/>
          <w:color w:val="000000"/>
          <w:sz w:val="24"/>
        </w:rPr>
        <w:t>价，</w:t>
      </w:r>
      <w:r>
        <w:rPr>
          <w:rFonts w:hint="eastAsia" w:ascii="宋体" w:hAnsi="宋体" w:eastAsia="宋体" w:cs="宋体"/>
          <w:b/>
          <w:bCs/>
          <w:color w:val="000000"/>
          <w:sz w:val="24"/>
          <w:lang w:val="en-US" w:eastAsia="zh-CN"/>
        </w:rPr>
        <w:t>否则</w:t>
      </w:r>
      <w:r>
        <w:rPr>
          <w:rFonts w:ascii="宋体" w:hAnsi="宋体" w:eastAsia="宋体" w:cs="宋体"/>
          <w:b/>
          <w:bCs/>
          <w:color w:val="000000"/>
          <w:sz w:val="24"/>
        </w:rPr>
        <w:t>视为无效投标。</w:t>
      </w:r>
    </w:p>
    <w:p w14:paraId="486B7D16">
      <w:pPr>
        <w:numPr>
          <w:ilvl w:val="0"/>
          <w:numId w:val="2"/>
        </w:numPr>
        <w:pBdr>
          <w:top w:val="none" w:color="000000" w:sz="0" w:space="0"/>
          <w:left w:val="none" w:color="000000" w:sz="0" w:space="0"/>
          <w:bottom w:val="none" w:color="000000" w:sz="0" w:space="0"/>
          <w:right w:val="none" w:color="000000" w:sz="0" w:space="0"/>
        </w:pBdr>
        <w:spacing w:before="0" w:after="0" w:line="360" w:lineRule="auto"/>
        <w:ind w:left="0" w:right="0" w:firstLine="482"/>
        <w:rPr>
          <w:rFonts w:ascii="宋体" w:hAnsi="宋体" w:eastAsia="宋体" w:cs="宋体"/>
          <w:b/>
          <w:bCs w:val="0"/>
          <w:color w:val="000000"/>
          <w:sz w:val="24"/>
        </w:rPr>
      </w:pPr>
      <w:r>
        <w:rPr>
          <w:rFonts w:hint="eastAsia" w:ascii="宋体" w:hAnsi="宋体" w:eastAsia="宋体" w:cs="宋体"/>
          <w:b/>
          <w:bCs w:val="0"/>
          <w:color w:val="000000"/>
          <w:sz w:val="24"/>
          <w:lang w:val="en-US" w:eastAsia="zh-CN"/>
        </w:rPr>
        <w:t>采购</w:t>
      </w:r>
      <w:r>
        <w:rPr>
          <w:rFonts w:ascii="宋体" w:hAnsi="宋体" w:eastAsia="宋体" w:cs="宋体"/>
          <w:b/>
          <w:bCs w:val="0"/>
          <w:color w:val="000000"/>
          <w:sz w:val="24"/>
        </w:rPr>
        <w:t>内容：</w:t>
      </w:r>
    </w:p>
    <w:p w14:paraId="3E83E340">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ascii="宋体" w:hAnsi="宋体" w:eastAsia="宋体" w:cs="宋体"/>
          <w:b w:val="0"/>
          <w:bCs/>
          <w:color w:val="000000"/>
          <w:sz w:val="24"/>
        </w:rPr>
      </w:pPr>
      <w:r>
        <w:rPr>
          <w:rFonts w:hint="eastAsia" w:ascii="宋体" w:hAnsi="宋体" w:eastAsia="宋体" w:cs="宋体"/>
          <w:b w:val="0"/>
          <w:bCs/>
          <w:color w:val="000000"/>
          <w:sz w:val="24"/>
          <w:lang w:val="en-US" w:eastAsia="zh-CN"/>
        </w:rPr>
        <w:t>4.1</w:t>
      </w:r>
      <w:r>
        <w:rPr>
          <w:rFonts w:ascii="宋体" w:hAnsi="宋体" w:eastAsia="宋体" w:cs="宋体"/>
          <w:b w:val="0"/>
          <w:bCs/>
          <w:color w:val="000000"/>
          <w:sz w:val="24"/>
        </w:rPr>
        <w:t>全生命周期一站式服务：</w:t>
      </w:r>
      <w:r>
        <w:rPr>
          <w:rFonts w:hint="eastAsia" w:ascii="宋体" w:hAnsi="宋体" w:eastAsia="宋体" w:cs="宋体"/>
          <w:b w:val="0"/>
          <w:bCs/>
          <w:color w:val="000000"/>
          <w:sz w:val="24"/>
          <w:lang w:val="en-US" w:eastAsia="zh-CN"/>
        </w:rPr>
        <w:t>投标人</w:t>
      </w:r>
      <w:r>
        <w:rPr>
          <w:rFonts w:ascii="宋体" w:hAnsi="宋体" w:eastAsia="宋体" w:cs="宋体"/>
          <w:b w:val="0"/>
          <w:bCs/>
          <w:color w:val="000000"/>
          <w:sz w:val="24"/>
        </w:rPr>
        <w:t>须提供从项目启动到权利终止的全流程、一站式代理服务，具体应涵盖(但不限于)以下全部环节：</w:t>
      </w:r>
    </w:p>
    <w:p w14:paraId="738904C2">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ascii="宋体" w:hAnsi="宋体" w:eastAsia="宋体" w:cs="宋体"/>
          <w:b w:val="0"/>
          <w:bCs/>
          <w:color w:val="000000"/>
          <w:sz w:val="24"/>
        </w:rPr>
      </w:pPr>
      <w:r>
        <w:rPr>
          <w:rFonts w:ascii="宋体" w:hAnsi="宋体" w:eastAsia="宋体" w:cs="宋体"/>
          <w:b w:val="0"/>
          <w:bCs/>
          <w:color w:val="000000"/>
          <w:sz w:val="24"/>
        </w:rPr>
        <w:t>(</w:t>
      </w:r>
      <w:r>
        <w:rPr>
          <w:rFonts w:hint="eastAsia" w:ascii="宋体" w:hAnsi="宋体" w:eastAsia="宋体" w:cs="宋体"/>
          <w:b w:val="0"/>
          <w:bCs/>
          <w:color w:val="000000"/>
          <w:sz w:val="24"/>
          <w:lang w:val="en-US" w:eastAsia="zh-CN"/>
        </w:rPr>
        <w:t>1</w:t>
      </w:r>
      <w:r>
        <w:rPr>
          <w:rFonts w:ascii="宋体" w:hAnsi="宋体" w:eastAsia="宋体" w:cs="宋体"/>
          <w:b w:val="0"/>
          <w:bCs/>
          <w:color w:val="000000"/>
          <w:sz w:val="24"/>
        </w:rPr>
        <w:t>)申请前准备：提供技术交底书的结构化指导与完善建议；进行专利性(新颖性、创造性、实用性)初步判断；提供申请所必需的专利性初步检索与分析，以评估技术方案的新颖性与创造性，并为确定权利保护范围提供依据。</w:t>
      </w:r>
    </w:p>
    <w:p w14:paraId="679566C7">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ascii="宋体" w:hAnsi="宋体" w:eastAsia="宋体" w:cs="宋体"/>
          <w:b w:val="0"/>
          <w:bCs/>
          <w:color w:val="000000"/>
          <w:sz w:val="24"/>
        </w:rPr>
      </w:pPr>
      <w:r>
        <w:rPr>
          <w:rFonts w:ascii="宋体" w:hAnsi="宋体" w:eastAsia="宋体" w:cs="宋体"/>
          <w:b w:val="0"/>
          <w:bCs/>
          <w:color w:val="000000"/>
          <w:sz w:val="24"/>
        </w:rPr>
        <w:t>(2)申请文件撰写与提交：基于技术交底，高质量完成权利要求书、说明书、说明书摘要、附图等官方要求的全套申请文件撰写、定稿与提交；代为办理所有申请手续(含费减备案等)。</w:t>
      </w:r>
    </w:p>
    <w:p w14:paraId="7E26077D">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ascii="宋体" w:hAnsi="宋体" w:eastAsia="宋体" w:cs="宋体"/>
          <w:b w:val="0"/>
          <w:bCs/>
          <w:color w:val="000000"/>
          <w:sz w:val="24"/>
        </w:rPr>
      </w:pPr>
      <w:r>
        <w:rPr>
          <w:rFonts w:ascii="宋体" w:hAnsi="宋体" w:eastAsia="宋体" w:cs="宋体"/>
          <w:b w:val="0"/>
          <w:bCs/>
          <w:color w:val="000000"/>
          <w:sz w:val="24"/>
        </w:rPr>
        <w:t>(3)审查阶段全流程代理：全程跟踪审查进度，负责处理发明专利申请的提前公开请求；针对国家知识产权局下发的所有官方通知书(如补正通知书、审查意见通知书等)进行专业分析、撰写并提交答复意见；根据审查情况，必要时提请并代理复审请求。</w:t>
      </w:r>
    </w:p>
    <w:p w14:paraId="1EB52D55">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ascii="宋体" w:hAnsi="宋体" w:eastAsia="宋体" w:cs="宋体"/>
          <w:b w:val="0"/>
          <w:bCs/>
          <w:color w:val="000000"/>
          <w:sz w:val="24"/>
        </w:rPr>
      </w:pPr>
      <w:r>
        <w:rPr>
          <w:rFonts w:ascii="宋体" w:hAnsi="宋体" w:eastAsia="宋体" w:cs="宋体"/>
          <w:b w:val="0"/>
          <w:bCs/>
          <w:color w:val="000000"/>
          <w:sz w:val="24"/>
        </w:rPr>
        <w:t>(4)特殊程序与状态处理：如遇申请需要主动撤回、著录项目变更、权利恢复请求等任何程序性事务，均应提供专业操作与办理服务。对于最终结果为驳回或视撤的案件，须提供详细的结案分析报告及后续法律程序(如复审、行政诉讼)的可行性建议。</w:t>
      </w:r>
    </w:p>
    <w:p w14:paraId="098170C9">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ascii="宋体" w:hAnsi="宋体" w:eastAsia="宋体" w:cs="宋体"/>
          <w:b w:val="0"/>
          <w:bCs/>
          <w:color w:val="000000"/>
          <w:sz w:val="24"/>
        </w:rPr>
      </w:pPr>
      <w:r>
        <w:rPr>
          <w:rFonts w:ascii="宋体" w:hAnsi="宋体" w:eastAsia="宋体" w:cs="宋体"/>
          <w:b w:val="0"/>
          <w:bCs/>
          <w:color w:val="000000"/>
          <w:sz w:val="24"/>
        </w:rPr>
        <w:t>(5)授权后维护与管理：在专利获得授权后，负责监控并及时、准确地代缴</w:t>
      </w:r>
      <w:r>
        <w:rPr>
          <w:rFonts w:hint="eastAsia" w:ascii="宋体" w:hAnsi="宋体" w:eastAsia="宋体" w:cs="宋体"/>
          <w:b w:val="0"/>
          <w:bCs/>
          <w:color w:val="000000"/>
          <w:sz w:val="24"/>
          <w:lang w:val="en-US" w:eastAsia="zh-CN"/>
        </w:rPr>
        <w:t>授权当年的</w:t>
      </w:r>
      <w:r>
        <w:rPr>
          <w:rFonts w:ascii="宋体" w:hAnsi="宋体" w:eastAsia="宋体" w:cs="宋体"/>
          <w:b w:val="0"/>
          <w:bCs/>
          <w:color w:val="000000"/>
          <w:sz w:val="24"/>
        </w:rPr>
        <w:t>年费</w:t>
      </w:r>
      <w:r>
        <w:rPr>
          <w:rFonts w:hint="eastAsia" w:ascii="宋体" w:hAnsi="宋体" w:eastAsia="宋体" w:cs="宋体"/>
          <w:b w:val="0"/>
          <w:bCs/>
          <w:color w:val="000000"/>
          <w:sz w:val="24"/>
          <w:lang w:val="en-US" w:eastAsia="zh-CN"/>
        </w:rPr>
        <w:t>且免收年费服务费</w:t>
      </w:r>
      <w:r>
        <w:rPr>
          <w:rFonts w:ascii="宋体" w:hAnsi="宋体" w:eastAsia="宋体" w:cs="宋体"/>
          <w:b w:val="0"/>
          <w:bCs/>
          <w:color w:val="000000"/>
          <w:sz w:val="24"/>
        </w:rPr>
        <w:t>，并提供缴费凭证及年限状态报告；及时提醒并代理办理专利证书领取、专利权转让、许可备案等事务。</w:t>
      </w:r>
    </w:p>
    <w:p w14:paraId="4278EB33">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ascii="宋体" w:hAnsi="宋体" w:eastAsia="宋体" w:cs="宋体"/>
          <w:b w:val="0"/>
          <w:bCs/>
          <w:color w:val="000000"/>
          <w:sz w:val="24"/>
        </w:rPr>
      </w:pPr>
      <w:r>
        <w:rPr>
          <w:rFonts w:hint="eastAsia" w:ascii="宋体" w:hAnsi="宋体" w:eastAsia="宋体" w:cs="宋体"/>
          <w:b w:val="0"/>
          <w:bCs/>
          <w:color w:val="000000"/>
          <w:sz w:val="24"/>
          <w:lang w:val="en-US" w:eastAsia="zh-CN"/>
        </w:rPr>
        <w:t>4.2</w:t>
      </w:r>
      <w:r>
        <w:rPr>
          <w:rFonts w:ascii="宋体" w:hAnsi="宋体" w:eastAsia="宋体" w:cs="宋体"/>
          <w:b w:val="0"/>
          <w:bCs/>
          <w:color w:val="000000"/>
          <w:sz w:val="24"/>
        </w:rPr>
        <w:t>专属管理与进度可视化：必须为我院配置专属服务团队或固定接口</w:t>
      </w:r>
      <w:r>
        <w:rPr>
          <w:rFonts w:hint="eastAsia" w:ascii="宋体" w:hAnsi="宋体" w:eastAsia="宋体" w:cs="宋体"/>
          <w:b w:val="0"/>
          <w:bCs/>
          <w:color w:val="000000"/>
          <w:sz w:val="24"/>
          <w:lang w:val="en-US" w:eastAsia="zh-CN"/>
        </w:rPr>
        <w:t>人员，</w:t>
      </w:r>
      <w:r>
        <w:rPr>
          <w:rFonts w:ascii="宋体" w:hAnsi="宋体" w:eastAsia="宋体" w:cs="宋体"/>
          <w:b w:val="0"/>
          <w:bCs/>
          <w:color w:val="000000"/>
          <w:sz w:val="24"/>
        </w:rPr>
        <w:t>提供专用的线上管理平台或定期的电子化进度报告，确保我院可实时、透明地查询所有申请案的进展、官方时限及费用缴纳状态。</w:t>
      </w:r>
    </w:p>
    <w:p w14:paraId="09001371">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ascii="宋体" w:hAnsi="宋体" w:eastAsia="宋体" w:cs="宋体"/>
          <w:b w:val="0"/>
          <w:bCs/>
          <w:color w:val="000000"/>
          <w:sz w:val="24"/>
        </w:rPr>
      </w:pPr>
      <w:r>
        <w:rPr>
          <w:rFonts w:hint="eastAsia" w:ascii="宋体" w:hAnsi="宋体" w:eastAsia="宋体" w:cs="宋体"/>
          <w:b w:val="0"/>
          <w:bCs/>
          <w:color w:val="000000"/>
          <w:sz w:val="24"/>
          <w:lang w:val="en-US" w:eastAsia="zh-CN"/>
        </w:rPr>
        <w:t>4.3</w:t>
      </w:r>
      <w:r>
        <w:rPr>
          <w:rFonts w:ascii="宋体" w:hAnsi="宋体" w:eastAsia="宋体" w:cs="宋体"/>
          <w:b w:val="0"/>
          <w:bCs/>
          <w:color w:val="000000"/>
          <w:sz w:val="24"/>
        </w:rPr>
        <w:t>增值服务：根据</w:t>
      </w:r>
      <w:r>
        <w:rPr>
          <w:rFonts w:hint="eastAsia" w:ascii="宋体" w:hAnsi="宋体" w:eastAsia="宋体" w:cs="宋体"/>
          <w:b w:val="0"/>
          <w:bCs/>
          <w:color w:val="000000"/>
          <w:sz w:val="24"/>
          <w:lang w:val="en-US" w:eastAsia="zh-CN"/>
        </w:rPr>
        <w:t>院方</w:t>
      </w:r>
      <w:r>
        <w:rPr>
          <w:rFonts w:ascii="宋体" w:hAnsi="宋体" w:eastAsia="宋体" w:cs="宋体"/>
          <w:b w:val="0"/>
          <w:bCs/>
          <w:color w:val="000000"/>
          <w:sz w:val="24"/>
        </w:rPr>
        <w:t>需要提供知识产权培训</w:t>
      </w:r>
      <w:r>
        <w:rPr>
          <w:rFonts w:hint="eastAsia" w:ascii="宋体" w:hAnsi="宋体" w:eastAsia="宋体" w:cs="宋体"/>
          <w:b w:val="0"/>
          <w:bCs/>
          <w:color w:val="000000"/>
          <w:sz w:val="24"/>
          <w:lang w:val="en-US" w:eastAsia="zh-CN"/>
        </w:rPr>
        <w:t>1-2次</w:t>
      </w:r>
      <w:r>
        <w:rPr>
          <w:rFonts w:ascii="宋体" w:hAnsi="宋体" w:eastAsia="宋体" w:cs="宋体"/>
          <w:b w:val="0"/>
          <w:bCs/>
          <w:color w:val="000000"/>
          <w:sz w:val="24"/>
        </w:rPr>
        <w:t>、</w:t>
      </w:r>
      <w:r>
        <w:rPr>
          <w:rFonts w:hint="eastAsia" w:ascii="宋体" w:hAnsi="宋体" w:eastAsia="宋体" w:cs="宋体"/>
          <w:b w:val="0"/>
          <w:bCs/>
          <w:color w:val="000000"/>
          <w:sz w:val="24"/>
          <w:lang w:val="en-US" w:eastAsia="zh-CN"/>
        </w:rPr>
        <w:t>编制</w:t>
      </w:r>
      <w:r>
        <w:rPr>
          <w:rFonts w:ascii="宋体" w:hAnsi="宋体" w:eastAsia="宋体" w:cs="宋体"/>
          <w:b w:val="0"/>
          <w:bCs/>
          <w:color w:val="000000"/>
          <w:sz w:val="24"/>
        </w:rPr>
        <w:t>年度专利分析报告，并协助进行专利布局规划、专利导航等深度咨询服务，以支撑我院创新管理与成果转化工作。</w:t>
      </w:r>
    </w:p>
    <w:p w14:paraId="15A65661">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4.4投标人应免费为院方提供年费监控服务至相关专利授权后的第二年。自相关专利授权后的第二年起，该专利之后的年费监控由院方自行缴纳。</w:t>
      </w:r>
    </w:p>
    <w:p w14:paraId="4B6E0415">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4.5本项目签订合同期限为1年。</w:t>
      </w:r>
    </w:p>
    <w:p w14:paraId="5EF27A0C">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4.6本项目不接受联合体投标。</w:t>
      </w:r>
    </w:p>
    <w:p w14:paraId="38BF58F5">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rPr>
          <w:rFonts w:hint="eastAsia" w:ascii="宋体" w:hAnsi="宋体" w:eastAsia="宋体" w:cs="宋体"/>
          <w:b w:val="0"/>
          <w:bCs/>
          <w:color w:val="000000"/>
          <w:sz w:val="24"/>
          <w:lang w:val="en-US" w:eastAsia="zh-CN"/>
        </w:rPr>
      </w:pPr>
      <w:r>
        <w:rPr>
          <w:rFonts w:hint="eastAsia" w:ascii="宋体" w:hAnsi="宋体" w:eastAsia="宋体" w:cs="宋体"/>
          <w:b w:val="0"/>
          <w:bCs/>
          <w:color w:val="000000"/>
          <w:sz w:val="24"/>
          <w:lang w:val="en-US" w:eastAsia="zh-CN"/>
        </w:rPr>
        <w:t>4.7我院近三年专利评审通过情况如下(仅供投标人参考)：</w:t>
      </w:r>
    </w:p>
    <w:tbl>
      <w:tblPr>
        <w:tblStyle w:val="186"/>
        <w:tblW w:w="7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6"/>
        <w:gridCol w:w="1155"/>
        <w:gridCol w:w="1410"/>
        <w:gridCol w:w="1425"/>
      </w:tblGrid>
      <w:tr w14:paraId="0EE8F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3026" w:type="dxa"/>
            <w:vAlign w:val="center"/>
          </w:tcPr>
          <w:p w14:paraId="6BCCB3D3">
            <w:pPr>
              <w:kinsoku w:val="0"/>
              <w:autoSpaceDE w:val="0"/>
              <w:autoSpaceDN w:val="0"/>
              <w:adjustRightInd w:val="0"/>
              <w:snapToGrid w:val="0"/>
              <w:spacing w:before="196" w:line="221"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10"/>
                <w:kern w:val="0"/>
                <w:sz w:val="24"/>
                <w:szCs w:val="24"/>
                <w:lang w:val="en-US" w:eastAsia="en-US" w:bidi="ar-SA"/>
              </w:rPr>
              <w:t>时间</w:t>
            </w:r>
          </w:p>
        </w:tc>
        <w:tc>
          <w:tcPr>
            <w:tcW w:w="1155" w:type="dxa"/>
            <w:vAlign w:val="center"/>
          </w:tcPr>
          <w:p w14:paraId="17932C71">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b w:val="0"/>
                <w:bCs/>
                <w:i w:val="0"/>
                <w:iCs w:val="0"/>
                <w:color w:val="000000"/>
                <w:kern w:val="0"/>
                <w:sz w:val="24"/>
                <w:szCs w:val="24"/>
                <w:highlight w:val="none"/>
                <w:u w:val="none"/>
                <w:lang w:val="en-US" w:eastAsia="zh-CN" w:bidi="ar"/>
              </w:rPr>
              <w:t>国内发明专利申请</w:t>
            </w:r>
          </w:p>
        </w:tc>
        <w:tc>
          <w:tcPr>
            <w:tcW w:w="1410" w:type="dxa"/>
            <w:vAlign w:val="center"/>
          </w:tcPr>
          <w:p w14:paraId="1D7013FE">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b w:val="0"/>
                <w:bCs/>
                <w:i w:val="0"/>
                <w:iCs w:val="0"/>
                <w:color w:val="000000"/>
                <w:kern w:val="0"/>
                <w:sz w:val="24"/>
                <w:szCs w:val="24"/>
                <w:highlight w:val="none"/>
                <w:u w:val="none"/>
                <w:lang w:val="en-US" w:eastAsia="zh-CN" w:bidi="ar"/>
              </w:rPr>
              <w:t>国内实用新型专利申请</w:t>
            </w:r>
          </w:p>
        </w:tc>
        <w:tc>
          <w:tcPr>
            <w:tcW w:w="1425" w:type="dxa"/>
            <w:vAlign w:val="center"/>
          </w:tcPr>
          <w:p w14:paraId="15988F10">
            <w:pPr>
              <w:keepNext w:val="0"/>
              <w:keepLines w:val="0"/>
              <w:widowControl/>
              <w:suppressLineNumbers w:val="0"/>
              <w:jc w:val="center"/>
              <w:textAlignment w:val="center"/>
              <w:rPr>
                <w:rFonts w:ascii="宋体" w:hAnsi="宋体" w:eastAsia="宋体" w:cs="宋体"/>
                <w:snapToGrid w:val="0"/>
                <w:color w:val="000000"/>
                <w:kern w:val="0"/>
                <w:sz w:val="24"/>
                <w:szCs w:val="24"/>
                <w:lang w:val="en-US" w:eastAsia="en-US" w:bidi="ar-SA"/>
              </w:rPr>
            </w:pPr>
            <w:r>
              <w:rPr>
                <w:rFonts w:hint="eastAsia" w:ascii="宋体" w:hAnsi="宋体" w:eastAsia="宋体" w:cs="宋体"/>
                <w:b w:val="0"/>
                <w:bCs/>
                <w:i w:val="0"/>
                <w:iCs w:val="0"/>
                <w:color w:val="333333"/>
                <w:kern w:val="0"/>
                <w:sz w:val="24"/>
                <w:szCs w:val="24"/>
                <w:highlight w:val="none"/>
                <w:u w:val="none"/>
                <w:lang w:val="en-US" w:eastAsia="zh-CN" w:bidi="ar"/>
              </w:rPr>
              <w:t>国内外观设计专利申请</w:t>
            </w:r>
          </w:p>
        </w:tc>
      </w:tr>
      <w:tr w14:paraId="6F2BB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3026" w:type="dxa"/>
            <w:vAlign w:val="top"/>
          </w:tcPr>
          <w:p w14:paraId="0789F783">
            <w:pPr>
              <w:kinsoku w:val="0"/>
              <w:autoSpaceDE w:val="0"/>
              <w:autoSpaceDN w:val="0"/>
              <w:adjustRightInd w:val="0"/>
              <w:snapToGrid w:val="0"/>
              <w:spacing w:before="191"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2023年4月和8月</w:t>
            </w:r>
          </w:p>
        </w:tc>
        <w:tc>
          <w:tcPr>
            <w:tcW w:w="1155" w:type="dxa"/>
            <w:vAlign w:val="top"/>
          </w:tcPr>
          <w:p w14:paraId="612409A9">
            <w:pPr>
              <w:kinsoku w:val="0"/>
              <w:autoSpaceDE w:val="0"/>
              <w:autoSpaceDN w:val="0"/>
              <w:adjustRightInd w:val="0"/>
              <w:snapToGrid w:val="0"/>
              <w:spacing w:before="211"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0</w:t>
            </w:r>
          </w:p>
        </w:tc>
        <w:tc>
          <w:tcPr>
            <w:tcW w:w="1410" w:type="dxa"/>
            <w:vAlign w:val="top"/>
          </w:tcPr>
          <w:p w14:paraId="1389FC50">
            <w:pPr>
              <w:kinsoku w:val="0"/>
              <w:autoSpaceDE w:val="0"/>
              <w:autoSpaceDN w:val="0"/>
              <w:adjustRightInd w:val="0"/>
              <w:snapToGrid w:val="0"/>
              <w:spacing w:before="211"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30</w:t>
            </w:r>
          </w:p>
        </w:tc>
        <w:tc>
          <w:tcPr>
            <w:tcW w:w="1425" w:type="dxa"/>
            <w:vAlign w:val="top"/>
          </w:tcPr>
          <w:p w14:paraId="23A89C83">
            <w:pPr>
              <w:kinsoku w:val="0"/>
              <w:autoSpaceDE w:val="0"/>
              <w:autoSpaceDN w:val="0"/>
              <w:adjustRightInd w:val="0"/>
              <w:snapToGrid w:val="0"/>
              <w:spacing w:before="211"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0</w:t>
            </w:r>
          </w:p>
        </w:tc>
      </w:tr>
      <w:tr w14:paraId="2404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3026" w:type="dxa"/>
            <w:vAlign w:val="top"/>
          </w:tcPr>
          <w:p w14:paraId="1C0ADC5D">
            <w:pPr>
              <w:kinsoku w:val="0"/>
              <w:autoSpaceDE w:val="0"/>
              <w:autoSpaceDN w:val="0"/>
              <w:adjustRightInd w:val="0"/>
              <w:snapToGrid w:val="0"/>
              <w:spacing w:before="194"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6"/>
                <w:kern w:val="0"/>
                <w:sz w:val="24"/>
                <w:szCs w:val="24"/>
                <w:lang w:val="en-US" w:eastAsia="en-US" w:bidi="ar-SA"/>
              </w:rPr>
              <w:t>2024年6月</w:t>
            </w:r>
          </w:p>
        </w:tc>
        <w:tc>
          <w:tcPr>
            <w:tcW w:w="1155" w:type="dxa"/>
            <w:vAlign w:val="top"/>
          </w:tcPr>
          <w:p w14:paraId="17140B84">
            <w:pPr>
              <w:kinsoku w:val="0"/>
              <w:autoSpaceDE w:val="0"/>
              <w:autoSpaceDN w:val="0"/>
              <w:adjustRightInd w:val="0"/>
              <w:snapToGrid w:val="0"/>
              <w:spacing w:before="214"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3</w:t>
            </w:r>
          </w:p>
        </w:tc>
        <w:tc>
          <w:tcPr>
            <w:tcW w:w="1410" w:type="dxa"/>
            <w:vAlign w:val="top"/>
          </w:tcPr>
          <w:p w14:paraId="7C0B12F8">
            <w:pPr>
              <w:kinsoku w:val="0"/>
              <w:autoSpaceDE w:val="0"/>
              <w:autoSpaceDN w:val="0"/>
              <w:adjustRightInd w:val="0"/>
              <w:snapToGrid w:val="0"/>
              <w:spacing w:before="214"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7</w:t>
            </w:r>
          </w:p>
        </w:tc>
        <w:tc>
          <w:tcPr>
            <w:tcW w:w="1425" w:type="dxa"/>
            <w:vAlign w:val="top"/>
          </w:tcPr>
          <w:p w14:paraId="1EDDA758">
            <w:pPr>
              <w:kinsoku w:val="0"/>
              <w:autoSpaceDE w:val="0"/>
              <w:autoSpaceDN w:val="0"/>
              <w:adjustRightInd w:val="0"/>
              <w:snapToGrid w:val="0"/>
              <w:spacing w:before="214"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0</w:t>
            </w:r>
          </w:p>
        </w:tc>
      </w:tr>
      <w:tr w14:paraId="4B5C3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3026" w:type="dxa"/>
            <w:vAlign w:val="top"/>
          </w:tcPr>
          <w:p w14:paraId="3DC68E73">
            <w:pPr>
              <w:kinsoku w:val="0"/>
              <w:autoSpaceDE w:val="0"/>
              <w:autoSpaceDN w:val="0"/>
              <w:adjustRightInd w:val="0"/>
              <w:snapToGrid w:val="0"/>
              <w:spacing w:before="266" w:line="219"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2025年3、6、9、12月</w:t>
            </w:r>
          </w:p>
        </w:tc>
        <w:tc>
          <w:tcPr>
            <w:tcW w:w="1155" w:type="dxa"/>
            <w:vAlign w:val="top"/>
          </w:tcPr>
          <w:p w14:paraId="085BDB9A">
            <w:pPr>
              <w:kinsoku w:val="0"/>
              <w:autoSpaceDE w:val="0"/>
              <w:autoSpaceDN w:val="0"/>
              <w:adjustRightInd w:val="0"/>
              <w:snapToGrid w:val="0"/>
              <w:spacing w:before="286"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31</w:t>
            </w:r>
          </w:p>
        </w:tc>
        <w:tc>
          <w:tcPr>
            <w:tcW w:w="1410" w:type="dxa"/>
            <w:vAlign w:val="top"/>
          </w:tcPr>
          <w:p w14:paraId="7D63827C">
            <w:pPr>
              <w:kinsoku w:val="0"/>
              <w:autoSpaceDE w:val="0"/>
              <w:autoSpaceDN w:val="0"/>
              <w:adjustRightInd w:val="0"/>
              <w:snapToGrid w:val="0"/>
              <w:spacing w:before="286"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34</w:t>
            </w:r>
          </w:p>
        </w:tc>
        <w:tc>
          <w:tcPr>
            <w:tcW w:w="1425" w:type="dxa"/>
            <w:vAlign w:val="top"/>
          </w:tcPr>
          <w:p w14:paraId="796DE18C">
            <w:pPr>
              <w:kinsoku w:val="0"/>
              <w:autoSpaceDE w:val="0"/>
              <w:autoSpaceDN w:val="0"/>
              <w:adjustRightInd w:val="0"/>
              <w:snapToGrid w:val="0"/>
              <w:spacing w:before="286" w:line="240" w:lineRule="auto"/>
              <w:jc w:val="center"/>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0</w:t>
            </w:r>
          </w:p>
        </w:tc>
      </w:tr>
    </w:tbl>
    <w:p w14:paraId="78D86AE3">
      <w:pPr>
        <w:pBdr>
          <w:top w:val="none" w:color="000000" w:sz="0" w:space="0"/>
          <w:left w:val="none" w:color="000000" w:sz="0" w:space="0"/>
          <w:bottom w:val="none" w:color="000000" w:sz="0" w:space="0"/>
          <w:right w:val="none" w:color="000000" w:sz="0" w:space="0"/>
        </w:pBdr>
        <w:spacing w:before="0" w:after="0" w:line="360" w:lineRule="auto"/>
        <w:ind w:right="0"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5.双方的权利与义务</w:t>
      </w:r>
    </w:p>
    <w:p w14:paraId="7D18D96C">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5.1中标人应接受院方委托的专利申请代理事务，包括：咨询、撰写、补正等，院方对专利事务代理的进展程度、结果等享有知悉权和监督权。院方在专利事务代理过程中有选择权和决定权。</w:t>
      </w:r>
    </w:p>
    <w:p w14:paraId="2DE6E47D">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5.2为了防止专利申请的技术成果被剽窃，也为了确保专利申请进度和质量，院方的每项委托事务应与中标人签订委托协议。院方在专利申请流程中有任何问题应与中标人指定部门联系，中标人应于第一时间内处理好院方的相关事务，切实保护院方权益。</w:t>
      </w:r>
    </w:p>
    <w:p w14:paraId="4EDB0E81">
      <w:pPr>
        <w:pBdr>
          <w:top w:val="none" w:color="000000" w:sz="0" w:space="0"/>
          <w:left w:val="none" w:color="000000" w:sz="0" w:space="0"/>
          <w:bottom w:val="none" w:color="000000" w:sz="0" w:space="0"/>
          <w:right w:val="none" w:color="000000" w:sz="0" w:space="0"/>
        </w:pBdr>
        <w:spacing w:before="0" w:after="0" w:line="360" w:lineRule="auto"/>
        <w:ind w:right="0"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5.3专利申请过程中，中标人向院方发送的各类专利局来文及联系函，均以邮件或挂号信作为凭证。若院方的联系方式、邮箱或地址发生变动，应及时告知中标人，以便保持联系。若院方更换联系人但未向中标人办理相关变更手续，由此造成的后果由院方自行承担。</w:t>
      </w:r>
    </w:p>
    <w:p w14:paraId="070F90A6">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5.4中标人名称、住所及联系方式如有变更，应及时通知院方。</w:t>
      </w:r>
    </w:p>
    <w:p w14:paraId="070EAAF0">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5.5本专利申请如通过审批，院方取得办理专利权登记手续通知书后15日内应将向国家交纳的登年印费(根据国知局通知)，由中标人代缴。院方逾期未交费造成专利权丧失的，院方自负责任。</w:t>
      </w:r>
    </w:p>
    <w:p w14:paraId="5E063938">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5.6未经院方书面同意，中标人不得利用该项目的人物资料作为公司的形象展示或其他形式的宣传。</w:t>
      </w:r>
    </w:p>
    <w:p w14:paraId="1F7992EB">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5.7合同生效起，院方交付齐备的技术资料后，中标人指派专利代理人在15个工作日内完成专利申请文件的撰写并将申请文件发给院方确认(提交国家知识产权局前必须电联院方联系人做最终确认),经院方确认无异议后递交国家知识产权局专利局。如因特殊原因需逾期 ,应提前与院方协商并取得同意。</w:t>
      </w:r>
    </w:p>
    <w:p w14:paraId="398A478B">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5.8专利申请发出7天内，中标人应向院方发送由国家知识产权局发来的电子受理通知书。如因特殊原因需逾期，应提前与院方协商并取得同意。</w:t>
      </w:r>
    </w:p>
    <w:p w14:paraId="608543E8">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5.9为了占领国际市场，院方可在专利申请后一年内委托中标人代理国际专利申请事务。</w:t>
      </w:r>
    </w:p>
    <w:p w14:paraId="3AE6F5AB">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5.10院方如径自撤回委托代办事项或未经中标人同意而终止或解除本合同，所约定费用应如数照付。院方就中标人以函件/电话通知的任何事项，应在3日内答复中标人或履行，如因院方的原因导致延误法定时效，中标人不承担代理责任。</w:t>
      </w:r>
    </w:p>
    <w:p w14:paraId="515A3162">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5.11申请的过程中产生的新的知识产权归院方所有。若中标人违反本条约定，擅自申请、使用或处置归院方所有的知识产权，应按本合同违约责任条款的约定承担相应违约责任，并将相关权利无偿、完整地转让回院方，同时赔偿因此给院方造成的全部损失。本条款不因合同的变更、解除或终止而失效。</w:t>
      </w:r>
    </w:p>
    <w:p w14:paraId="53EE733A">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5.12如需开展快速预审、优先审查、代理复审、国内著录项目变更、权利恢复请求等情况，双方通过补充协议进行约定。</w:t>
      </w:r>
    </w:p>
    <w:p w14:paraId="60904EE7">
      <w:pPr>
        <w:pBdr>
          <w:top w:val="none" w:color="000000" w:sz="0" w:space="0"/>
          <w:left w:val="none" w:color="000000" w:sz="0" w:space="0"/>
          <w:bottom w:val="none" w:color="000000" w:sz="0" w:space="0"/>
          <w:right w:val="none" w:color="000000" w:sz="0" w:space="0"/>
        </w:pBdr>
        <w:spacing w:before="0" w:after="0" w:line="360" w:lineRule="auto"/>
        <w:ind w:right="0" w:firstLine="482" w:firstLineChars="20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6.双方关于保密条款及有关保密事项的具体说明</w:t>
      </w:r>
    </w:p>
    <w:p w14:paraId="1836E121">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6.1双方对在代理委托过程中所知悉的对方的商业秘密以及所提交的与专利申请有关的材料，包括但不限于各类文字材料、图片、视(音)频文件、设计实物、信息等)负有永久保密责任。此保密条款具有独立性，不因本协议的无效、解除、终止、撤销、不具有履行的可能性或其他任何原因而失效，与专利申请成功与否无关。</w:t>
      </w:r>
    </w:p>
    <w:p w14:paraId="09276873">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6.2所有涉及该项目的保密信息的保密期限自合同签署生效之日起至双方主动公开或公开渠道能获取这些信息为止。未经对方书面同意，不得向任何第三方透露与本专利申请有关的内容。如果因任何一方原因未履行保密义务而导致泄密、致使专利未能申请或给对方带来损失，过失方应承担相应法律责任，包括但不限于诉讼费、律师费、差旅费及其他损失赔偿等。</w:t>
      </w:r>
    </w:p>
    <w:p w14:paraId="2D968E8C">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7.违约责任</w:t>
      </w:r>
    </w:p>
    <w:p w14:paraId="699E0A44">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7.1任何一方违反本合同约定，均应承担违约责任。若中标人因故意或重大过失未在规定期限内提交专利申请、答复审查意见，或泄露院方技术秘密，导致专利申请权或专利权丧失、或造成院方其他损失的，中标人应退还该案件已收取的全部代理费用，并赔偿因此给院方造成的经济损失。此外，因中标人原因导致专利申请被驳回或权利失效的，中标人应负责免费协助院方进行后续复审或救济程序。</w:t>
      </w:r>
    </w:p>
    <w:p w14:paraId="56E578DD">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7.2因不可抗力或国家知识产权局审查政策调整导致的延迟，不视为中标人违约，但双方应及时沟通并采取减损措施。</w:t>
      </w:r>
    </w:p>
    <w:p w14:paraId="31084058">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b/>
          <w:color w:val="auto"/>
          <w:spacing w:val="-12"/>
          <w:sz w:val="36"/>
          <w:szCs w:val="36"/>
        </w:rPr>
      </w:pPr>
      <w:r>
        <w:rPr>
          <w:rFonts w:hint="eastAsia" w:ascii="宋体" w:hAnsi="宋体" w:eastAsia="宋体" w:cs="宋体"/>
          <w:color w:val="000000"/>
          <w:sz w:val="24"/>
          <w:lang w:val="en-US" w:eastAsia="zh-CN"/>
        </w:rPr>
        <w:t>7.3合同解除或终止后，保密义务及已产生费用的结算条款持续有效。</w:t>
      </w:r>
    </w:p>
    <w:p w14:paraId="58F8FD95">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36"/>
          <w:szCs w:val="36"/>
        </w:rPr>
      </w:pPr>
      <w:r>
        <w:rPr>
          <w:rFonts w:hint="eastAsia" w:ascii="宋体" w:hAnsi="宋体"/>
          <w:b/>
          <w:color w:val="auto"/>
          <w:spacing w:val="-12"/>
          <w:sz w:val="36"/>
          <w:szCs w:val="36"/>
        </w:rPr>
        <w:t>四、投标文件的要求</w:t>
      </w:r>
    </w:p>
    <w:p w14:paraId="7400096E">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24"/>
          <w:szCs w:val="24"/>
        </w:rPr>
      </w:pPr>
      <w:r>
        <w:rPr>
          <w:rFonts w:hint="eastAsia" w:ascii="宋体" w:hAnsi="宋体"/>
          <w:b/>
          <w:color w:val="auto"/>
          <w:sz w:val="24"/>
          <w:szCs w:val="24"/>
        </w:rPr>
        <w:t>（包含但不限于以下要求）</w:t>
      </w:r>
    </w:p>
    <w:p w14:paraId="7F1D923A">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firstLine="434" w:firstLineChars="200"/>
        <w:textAlignment w:val="auto"/>
        <w:rPr>
          <w:rFonts w:ascii="宋体" w:hAnsi="宋体"/>
          <w:b/>
          <w:color w:val="auto"/>
          <w:spacing w:val="-12"/>
          <w:sz w:val="24"/>
          <w:szCs w:val="24"/>
          <w:u w:val="single"/>
        </w:rPr>
      </w:pPr>
      <w:r>
        <w:rPr>
          <w:rFonts w:hint="eastAsia" w:ascii="宋体" w:hAnsi="宋体"/>
          <w:b/>
          <w:color w:val="auto"/>
          <w:spacing w:val="-12"/>
          <w:sz w:val="24"/>
          <w:szCs w:val="24"/>
          <w:u w:val="single"/>
          <w:lang w:eastAsia="zh-CN"/>
        </w:rPr>
        <w:t>供应商</w:t>
      </w:r>
      <w:r>
        <w:rPr>
          <w:rFonts w:hint="eastAsia" w:ascii="宋体" w:hAnsi="宋体"/>
          <w:b/>
          <w:color w:val="auto"/>
          <w:spacing w:val="-12"/>
          <w:sz w:val="24"/>
          <w:szCs w:val="24"/>
          <w:u w:val="single"/>
        </w:rPr>
        <w:t>投标文件为一正三副，同时必须满足以下要求，否则视为无效投标。</w:t>
      </w:r>
    </w:p>
    <w:p w14:paraId="3633703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1、报价表（附表）；</w:t>
      </w:r>
    </w:p>
    <w:p w14:paraId="3B610DE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2、营业执照复印件；</w:t>
      </w:r>
    </w:p>
    <w:p w14:paraId="1ADF36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3、法定代表人身份证明书；</w:t>
      </w:r>
    </w:p>
    <w:p w14:paraId="1A2BBF6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4、法定代表人授权委托书原件并加盖公章(供应商是法定代表人的无需提供)；</w:t>
      </w:r>
    </w:p>
    <w:p w14:paraId="3D90E3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5、法定代表人及投标代表的有效身份证复印件；</w:t>
      </w:r>
    </w:p>
    <w:p w14:paraId="110310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6、国家知识产权局合法备案证明材料；</w:t>
      </w:r>
    </w:p>
    <w:p w14:paraId="5964A46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7、有效的专利代理机构注册证复印件；</w:t>
      </w:r>
    </w:p>
    <w:p w14:paraId="5C90512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8、全国专利代理信息公示平台查询的执业机构证明材料；</w:t>
      </w:r>
    </w:p>
    <w:p w14:paraId="778550B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9、近三年(2023-2025年)在中医药领域(如中药复方、制剂方法、临床应用以及医用器械、设备等）代理且授权案例的证明清单，案例数量不少于100例(提供案例清单及真实性承诺函，格式自拟)；</w:t>
      </w:r>
    </w:p>
    <w:p w14:paraId="23ED8C0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10、提供2025年医药相关领域代理业务的总体授权率高于50%的证明材料(提供授权清单列表、网站截图证明及真实性承诺函，格式自拟)；</w:t>
      </w:r>
    </w:p>
    <w:p w14:paraId="3FAA63E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11、提供响应本招标文件采购内容的服务承诺函（格式自拟）；</w:t>
      </w:r>
    </w:p>
    <w:p w14:paraId="246FF9B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lang w:val="en-US" w:eastAsia="zh-CN"/>
        </w:rPr>
        <w:t>12、</w:t>
      </w:r>
      <w:r>
        <w:rPr>
          <w:rFonts w:hint="eastAsia" w:ascii="宋体" w:hAnsi="宋体" w:cs="宋体"/>
          <w:color w:val="000000"/>
          <w:kern w:val="0"/>
          <w:sz w:val="24"/>
        </w:rPr>
        <w:t>无违法记录的书面声明。</w:t>
      </w:r>
    </w:p>
    <w:p w14:paraId="2DE6A775">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注意事项：</w:t>
      </w:r>
    </w:p>
    <w:p w14:paraId="37509137">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ascii="宋体" w:hAnsi="宋体"/>
          <w:b/>
          <w:bCs w:val="0"/>
          <w:color w:val="auto"/>
          <w:sz w:val="24"/>
          <w:szCs w:val="24"/>
        </w:rPr>
      </w:pPr>
      <w:r>
        <w:rPr>
          <w:rFonts w:hint="eastAsia" w:ascii="宋体" w:hAnsi="宋体"/>
          <w:b/>
          <w:bCs w:val="0"/>
          <w:color w:val="auto"/>
          <w:sz w:val="24"/>
          <w:szCs w:val="24"/>
        </w:rPr>
        <w:t>（1）以上内容没有规定格式的请各</w:t>
      </w:r>
      <w:r>
        <w:rPr>
          <w:rFonts w:hint="eastAsia" w:ascii="宋体" w:hAnsi="宋体"/>
          <w:b/>
          <w:bCs w:val="0"/>
          <w:color w:val="auto"/>
          <w:sz w:val="24"/>
          <w:szCs w:val="24"/>
          <w:lang w:eastAsia="zh-CN"/>
        </w:rPr>
        <w:t>供应商</w:t>
      </w:r>
      <w:r>
        <w:rPr>
          <w:rFonts w:hint="eastAsia" w:ascii="宋体" w:hAnsi="宋体"/>
          <w:b/>
          <w:bCs w:val="0"/>
          <w:color w:val="auto"/>
          <w:sz w:val="24"/>
          <w:szCs w:val="24"/>
        </w:rPr>
        <w:t>自行设计格式编写；</w:t>
      </w:r>
    </w:p>
    <w:p w14:paraId="2843CA0A">
      <w:pPr>
        <w:keepNext w:val="0"/>
        <w:keepLines w:val="0"/>
        <w:pageBreakBefore w:val="0"/>
        <w:widowControl w:val="0"/>
        <w:kinsoku/>
        <w:wordWrap/>
        <w:overflowPunct/>
        <w:topLinePunct w:val="0"/>
        <w:autoSpaceDE/>
        <w:autoSpaceDN/>
        <w:bidi w:val="0"/>
        <w:spacing w:line="460" w:lineRule="exact"/>
        <w:ind w:firstLine="482" w:firstLineChars="200"/>
        <w:textAlignment w:val="auto"/>
        <w:outlineLvl w:val="0"/>
        <w:rPr>
          <w:rFonts w:hint="eastAsia" w:ascii="宋体" w:hAnsi="宋体" w:cs="宋体"/>
          <w:b/>
          <w:bCs w:val="0"/>
          <w:color w:val="auto"/>
          <w:kern w:val="0"/>
          <w:sz w:val="24"/>
          <w:szCs w:val="24"/>
        </w:rPr>
      </w:pPr>
      <w:r>
        <w:rPr>
          <w:rFonts w:hint="eastAsia" w:ascii="宋体" w:hAnsi="宋体"/>
          <w:b/>
          <w:bCs w:val="0"/>
          <w:color w:val="auto"/>
          <w:sz w:val="24"/>
          <w:szCs w:val="24"/>
        </w:rPr>
        <w:t>（2）</w:t>
      </w:r>
      <w:r>
        <w:rPr>
          <w:rFonts w:hint="eastAsia" w:ascii="宋体" w:hAnsi="宋体"/>
          <w:b/>
          <w:bCs w:val="0"/>
          <w:color w:val="auto"/>
          <w:sz w:val="24"/>
          <w:szCs w:val="24"/>
          <w:u w:val="single"/>
        </w:rPr>
        <w:t>正本的每一页</w:t>
      </w:r>
      <w:r>
        <w:rPr>
          <w:rFonts w:hint="eastAsia" w:ascii="宋体" w:hAnsi="宋体"/>
          <w:b/>
          <w:bCs w:val="0"/>
          <w:color w:val="auto"/>
          <w:sz w:val="24"/>
          <w:szCs w:val="24"/>
        </w:rPr>
        <w:t>须加盖公章</w:t>
      </w:r>
      <w:r>
        <w:rPr>
          <w:rFonts w:hint="eastAsia" w:ascii="宋体" w:hAnsi="宋体" w:cs="宋体"/>
          <w:b/>
          <w:bCs w:val="0"/>
          <w:color w:val="auto"/>
          <w:kern w:val="0"/>
          <w:sz w:val="24"/>
          <w:szCs w:val="24"/>
        </w:rPr>
        <w:t>，以上材料须</w:t>
      </w:r>
      <w:r>
        <w:rPr>
          <w:rFonts w:hint="eastAsia" w:ascii="宋体" w:hAnsi="宋体"/>
          <w:b/>
          <w:bCs w:val="0"/>
          <w:color w:val="auto"/>
          <w:sz w:val="24"/>
          <w:szCs w:val="24"/>
          <w:u w:val="single"/>
        </w:rPr>
        <w:t>装订成册并密封</w:t>
      </w:r>
      <w:r>
        <w:rPr>
          <w:rFonts w:hint="eastAsia" w:ascii="宋体" w:hAnsi="宋体" w:cs="宋体"/>
          <w:b/>
          <w:bCs w:val="0"/>
          <w:color w:val="auto"/>
          <w:kern w:val="0"/>
          <w:sz w:val="24"/>
          <w:szCs w:val="24"/>
        </w:rPr>
        <w:t>。</w:t>
      </w:r>
    </w:p>
    <w:p w14:paraId="30CFE120">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06382D1E">
      <w:pPr>
        <w:pBdr>
          <w:top w:val="none" w:color="000000" w:sz="0" w:space="0"/>
          <w:left w:val="none" w:color="000000" w:sz="0" w:space="0"/>
          <w:bottom w:val="none" w:color="000000" w:sz="0" w:space="0"/>
          <w:right w:val="none" w:color="000000" w:sz="0" w:space="0"/>
        </w:pBdr>
        <w:spacing w:before="0" w:after="0" w:line="360" w:lineRule="auto"/>
        <w:jc w:val="center"/>
        <w:rPr>
          <w:rFonts w:hint="eastAsia" w:ascii="宋体" w:hAnsi="宋体" w:eastAsia="宋体" w:cs="宋体"/>
          <w:b w:val="0"/>
          <w:bCs/>
          <w:color w:val="000000"/>
          <w:spacing w:val="-12"/>
          <w:sz w:val="24"/>
          <w:szCs w:val="24"/>
          <w:lang w:val="en-US" w:eastAsia="zh-CN"/>
        </w:rPr>
      </w:pPr>
      <w:r>
        <w:rPr>
          <w:rFonts w:ascii="宋体" w:hAnsi="宋体" w:eastAsia="宋体" w:cs="宋体"/>
          <w:b/>
          <w:color w:val="000000"/>
          <w:spacing w:val="-12"/>
          <w:sz w:val="36"/>
        </w:rPr>
        <w:t>五、报价表</w:t>
      </w:r>
    </w:p>
    <w:p w14:paraId="307DAE3B">
      <w:pPr>
        <w:pStyle w:val="12"/>
        <w:rPr>
          <w:rFonts w:hint="default"/>
          <w:lang w:val="en-US" w:eastAsia="zh-CN"/>
        </w:rPr>
      </w:pPr>
    </w:p>
    <w:tbl>
      <w:tblPr>
        <w:tblStyle w:val="30"/>
        <w:tblW w:w="0" w:type="auto"/>
        <w:jc w:val="center"/>
        <w:tblLayout w:type="fixed"/>
        <w:tblCellMar>
          <w:top w:w="0" w:type="dxa"/>
          <w:left w:w="108" w:type="dxa"/>
          <w:bottom w:w="0" w:type="dxa"/>
          <w:right w:w="108" w:type="dxa"/>
        </w:tblCellMar>
      </w:tblPr>
      <w:tblGrid>
        <w:gridCol w:w="2673"/>
        <w:gridCol w:w="1745"/>
        <w:gridCol w:w="1980"/>
        <w:gridCol w:w="2040"/>
      </w:tblGrid>
      <w:tr w14:paraId="7C35568B">
        <w:tblPrEx>
          <w:tblCellMar>
            <w:top w:w="0" w:type="dxa"/>
            <w:left w:w="108" w:type="dxa"/>
            <w:bottom w:w="0" w:type="dxa"/>
            <w:right w:w="108" w:type="dxa"/>
          </w:tblCellMar>
        </w:tblPrEx>
        <w:trPr>
          <w:cantSplit/>
          <w:tblHeader/>
          <w:jc w:val="center"/>
        </w:trPr>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797F">
            <w:pPr>
              <w:keepNext w:val="0"/>
              <w:keepLines w:val="0"/>
              <w:pageBreakBefore w:val="0"/>
              <w:widowControl/>
              <w:kinsoku/>
              <w:wordWrap/>
              <w:overflowPunct/>
              <w:topLinePunct w:val="0"/>
              <w:bidi w:val="0"/>
              <w:adjustRightInd/>
              <w:snapToGrid w:val="0"/>
              <w:spacing w:line="460" w:lineRule="exact"/>
              <w:jc w:val="center"/>
              <w:textAlignment w:val="center"/>
              <w:rPr>
                <w:rFonts w:hint="eastAsia" w:ascii="宋体" w:hAnsi="宋体" w:eastAsia="宋体" w:cs="宋体"/>
                <w:b w:val="0"/>
                <w:bCs/>
                <w:color w:val="000000"/>
                <w:kern w:val="2"/>
                <w:sz w:val="24"/>
                <w:szCs w:val="24"/>
                <w:lang w:eastAsia="zh-CN"/>
              </w:rPr>
            </w:pPr>
            <w:r>
              <w:rPr>
                <w:rFonts w:hint="eastAsia" w:ascii="宋体" w:hAnsi="宋体" w:eastAsia="宋体" w:cs="宋体"/>
                <w:b w:val="0"/>
                <w:bCs/>
                <w:color w:val="000000"/>
                <w:kern w:val="0"/>
                <w:sz w:val="24"/>
                <w:szCs w:val="24"/>
                <w:lang w:eastAsia="zh-CN"/>
              </w:rPr>
              <w:t>公司名称</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3975">
            <w:pPr>
              <w:keepNext w:val="0"/>
              <w:keepLines w:val="0"/>
              <w:pageBreakBefore w:val="0"/>
              <w:widowControl/>
              <w:kinsoku/>
              <w:wordWrap/>
              <w:overflowPunct/>
              <w:topLinePunct w:val="0"/>
              <w:bidi w:val="0"/>
              <w:adjustRightInd/>
              <w:snapToGrid w:val="0"/>
              <w:spacing w:line="460" w:lineRule="exact"/>
              <w:jc w:val="center"/>
              <w:textAlignment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eastAsia="zh-CN"/>
              </w:rPr>
              <w:t>国内发明专利</w:t>
            </w:r>
            <w:r>
              <w:rPr>
                <w:rFonts w:hint="eastAsia" w:ascii="宋体" w:hAnsi="宋体" w:eastAsia="宋体" w:cs="宋体"/>
                <w:b w:val="0"/>
                <w:bCs/>
                <w:color w:val="000000"/>
                <w:kern w:val="0"/>
                <w:sz w:val="24"/>
                <w:szCs w:val="24"/>
                <w:lang w:val="en-US" w:eastAsia="zh-CN"/>
              </w:rPr>
              <w:t>申请</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元/项</w:t>
            </w:r>
            <w:r>
              <w:rPr>
                <w:rFonts w:hint="eastAsia" w:ascii="宋体" w:hAnsi="宋体" w:eastAsia="宋体" w:cs="宋体"/>
                <w:b w:val="0"/>
                <w:bCs/>
                <w:color w:val="000000"/>
                <w:kern w:val="0"/>
                <w:sz w:val="24"/>
                <w:szCs w:val="24"/>
                <w:lang w:eastAsia="zh-CN"/>
              </w:rPr>
              <w:t>）</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DE4EA">
            <w:pPr>
              <w:keepNext w:val="0"/>
              <w:keepLines w:val="0"/>
              <w:pageBreakBefore w:val="0"/>
              <w:widowControl/>
              <w:kinsoku/>
              <w:wordWrap/>
              <w:overflowPunct/>
              <w:topLinePunct w:val="0"/>
              <w:bidi w:val="0"/>
              <w:adjustRightInd/>
              <w:snapToGrid w:val="0"/>
              <w:spacing w:line="460" w:lineRule="exact"/>
              <w:jc w:val="center"/>
              <w:textAlignment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eastAsia="zh-CN"/>
              </w:rPr>
              <w:t>国内实用新型专利申请（</w:t>
            </w:r>
            <w:r>
              <w:rPr>
                <w:rFonts w:hint="eastAsia" w:ascii="宋体" w:hAnsi="宋体" w:eastAsia="宋体" w:cs="宋体"/>
                <w:b w:val="0"/>
                <w:bCs/>
                <w:color w:val="000000"/>
                <w:kern w:val="0"/>
                <w:sz w:val="24"/>
                <w:szCs w:val="24"/>
                <w:lang w:val="en-US" w:eastAsia="zh-CN"/>
              </w:rPr>
              <w:t>元/项</w:t>
            </w:r>
            <w:r>
              <w:rPr>
                <w:rFonts w:hint="eastAsia" w:ascii="宋体" w:hAnsi="宋体" w:eastAsia="宋体" w:cs="宋体"/>
                <w:b w:val="0"/>
                <w:bCs/>
                <w:color w:val="000000"/>
                <w:kern w:val="0"/>
                <w:sz w:val="24"/>
                <w:szCs w:val="24"/>
                <w:lang w:eastAsia="zh-CN"/>
              </w:rPr>
              <w:t>）</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4593">
            <w:pPr>
              <w:keepNext w:val="0"/>
              <w:keepLines w:val="0"/>
              <w:pageBreakBefore w:val="0"/>
              <w:widowControl/>
              <w:kinsoku/>
              <w:wordWrap/>
              <w:overflowPunct/>
              <w:topLinePunct w:val="0"/>
              <w:bidi w:val="0"/>
              <w:adjustRightInd/>
              <w:snapToGrid w:val="0"/>
              <w:spacing w:line="460" w:lineRule="exact"/>
              <w:jc w:val="center"/>
              <w:textAlignment w:val="center"/>
              <w:rPr>
                <w:rFonts w:hint="eastAsia" w:ascii="宋体" w:hAnsi="宋体" w:eastAsia="宋体" w:cs="宋体"/>
                <w:b w:val="0"/>
                <w:bCs/>
                <w:color w:val="000000"/>
                <w:kern w:val="0"/>
                <w:sz w:val="24"/>
                <w:szCs w:val="24"/>
                <w:lang w:eastAsia="zh-CN"/>
              </w:rPr>
            </w:pPr>
            <w:r>
              <w:rPr>
                <w:rFonts w:hint="eastAsia" w:ascii="宋体" w:hAnsi="宋体" w:eastAsia="宋体" w:cs="宋体"/>
                <w:b w:val="0"/>
                <w:bCs/>
                <w:color w:val="000000"/>
                <w:kern w:val="0"/>
                <w:sz w:val="24"/>
                <w:szCs w:val="24"/>
                <w:lang w:eastAsia="zh-CN"/>
              </w:rPr>
              <w:t>国内外观设计专利申请（</w:t>
            </w:r>
            <w:r>
              <w:rPr>
                <w:rFonts w:hint="eastAsia" w:ascii="宋体" w:hAnsi="宋体" w:eastAsia="宋体" w:cs="宋体"/>
                <w:b w:val="0"/>
                <w:bCs/>
                <w:color w:val="000000"/>
                <w:kern w:val="0"/>
                <w:sz w:val="24"/>
                <w:szCs w:val="24"/>
                <w:lang w:val="en-US" w:eastAsia="zh-CN"/>
              </w:rPr>
              <w:t>元/项</w:t>
            </w:r>
            <w:r>
              <w:rPr>
                <w:rFonts w:hint="eastAsia" w:ascii="宋体" w:hAnsi="宋体" w:eastAsia="宋体" w:cs="宋体"/>
                <w:b w:val="0"/>
                <w:bCs/>
                <w:color w:val="000000"/>
                <w:kern w:val="0"/>
                <w:sz w:val="24"/>
                <w:szCs w:val="24"/>
                <w:lang w:eastAsia="zh-CN"/>
              </w:rPr>
              <w:t>）</w:t>
            </w:r>
          </w:p>
        </w:tc>
      </w:tr>
      <w:tr w14:paraId="5CC5F437">
        <w:tblPrEx>
          <w:tblCellMar>
            <w:top w:w="0" w:type="dxa"/>
            <w:left w:w="108" w:type="dxa"/>
            <w:bottom w:w="0" w:type="dxa"/>
            <w:right w:w="108" w:type="dxa"/>
          </w:tblCellMar>
        </w:tblPrEx>
        <w:trPr>
          <w:cantSplit/>
          <w:trHeight w:val="1020" w:hRule="atLeast"/>
          <w:jc w:val="center"/>
        </w:trPr>
        <w:tc>
          <w:tcPr>
            <w:tcW w:w="2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7EDA">
            <w:pPr>
              <w:keepNext w:val="0"/>
              <w:keepLines w:val="0"/>
              <w:pageBreakBefore w:val="0"/>
              <w:widowControl/>
              <w:kinsoku/>
              <w:wordWrap/>
              <w:overflowPunct/>
              <w:topLinePunct w:val="0"/>
              <w:bidi w:val="0"/>
              <w:adjustRightInd/>
              <w:snapToGrid w:val="0"/>
              <w:spacing w:line="460" w:lineRule="exact"/>
              <w:jc w:val="left"/>
              <w:textAlignment w:val="center"/>
              <w:rPr>
                <w:rFonts w:hint="eastAsia" w:ascii="宋体" w:hAnsi="宋体" w:eastAsia="宋体" w:cs="宋体"/>
                <w:color w:val="000000"/>
                <w:kern w:val="2"/>
                <w:sz w:val="24"/>
                <w:szCs w:val="24"/>
                <w:lang w:eastAsia="zh-CN"/>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FC9A">
            <w:pPr>
              <w:keepNext w:val="0"/>
              <w:keepLines w:val="0"/>
              <w:pageBreakBefore w:val="0"/>
              <w:widowControl/>
              <w:kinsoku/>
              <w:wordWrap/>
              <w:overflowPunct/>
              <w:topLinePunct w:val="0"/>
              <w:bidi w:val="0"/>
              <w:adjustRightInd/>
              <w:snapToGrid w:val="0"/>
              <w:spacing w:line="460" w:lineRule="exact"/>
              <w:jc w:val="center"/>
              <w:textAlignment w:val="center"/>
              <w:rPr>
                <w:rFonts w:hint="eastAsia" w:ascii="宋体" w:hAnsi="宋体" w:eastAsia="宋体" w:cs="宋体"/>
                <w:color w:val="000000"/>
                <w:kern w:val="2"/>
                <w:sz w:val="24"/>
                <w:szCs w:val="24"/>
                <w:lang w:eastAsia="zh-CN"/>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D29D">
            <w:pPr>
              <w:keepNext w:val="0"/>
              <w:keepLines w:val="0"/>
              <w:pageBreakBefore w:val="0"/>
              <w:widowControl/>
              <w:kinsoku/>
              <w:wordWrap/>
              <w:overflowPunct/>
              <w:topLinePunct w:val="0"/>
              <w:bidi w:val="0"/>
              <w:adjustRightInd/>
              <w:snapToGrid w:val="0"/>
              <w:spacing w:line="460" w:lineRule="exact"/>
              <w:jc w:val="center"/>
              <w:textAlignment w:val="center"/>
              <w:rPr>
                <w:rFonts w:hint="eastAsia" w:ascii="宋体" w:hAnsi="宋体" w:eastAsia="宋体" w:cs="宋体"/>
                <w:color w:val="000000"/>
                <w:kern w:val="2"/>
                <w:sz w:val="24"/>
                <w:szCs w:val="24"/>
                <w:lang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E795">
            <w:pPr>
              <w:keepNext w:val="0"/>
              <w:keepLines w:val="0"/>
              <w:pageBreakBefore w:val="0"/>
              <w:widowControl/>
              <w:kinsoku/>
              <w:wordWrap/>
              <w:overflowPunct/>
              <w:topLinePunct w:val="0"/>
              <w:bidi w:val="0"/>
              <w:adjustRightInd/>
              <w:snapToGrid w:val="0"/>
              <w:spacing w:line="460" w:lineRule="exact"/>
              <w:jc w:val="center"/>
              <w:textAlignment w:val="center"/>
              <w:rPr>
                <w:rFonts w:hint="eastAsia" w:ascii="宋体" w:hAnsi="宋体" w:eastAsia="宋体" w:cs="宋体"/>
                <w:color w:val="000000"/>
                <w:kern w:val="2"/>
                <w:sz w:val="24"/>
                <w:szCs w:val="24"/>
                <w:lang w:eastAsia="zh-CN"/>
              </w:rPr>
            </w:pPr>
          </w:p>
        </w:tc>
      </w:tr>
      <w:tr w14:paraId="4B438AA0">
        <w:tblPrEx>
          <w:tblCellMar>
            <w:top w:w="0" w:type="dxa"/>
            <w:left w:w="108" w:type="dxa"/>
            <w:bottom w:w="0" w:type="dxa"/>
            <w:right w:w="108" w:type="dxa"/>
          </w:tblCellMar>
        </w:tblPrEx>
        <w:trPr>
          <w:cantSplit/>
          <w:trHeight w:val="790" w:hRule="atLeast"/>
          <w:jc w:val="center"/>
        </w:trPr>
        <w:tc>
          <w:tcPr>
            <w:tcW w:w="84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38B558">
            <w:pPr>
              <w:keepNext w:val="0"/>
              <w:keepLines w:val="0"/>
              <w:pageBreakBefore w:val="0"/>
              <w:widowControl/>
              <w:kinsoku/>
              <w:wordWrap/>
              <w:overflowPunct/>
              <w:topLinePunct w:val="0"/>
              <w:bidi w:val="0"/>
              <w:adjustRightInd/>
              <w:snapToGrid w:val="0"/>
              <w:spacing w:line="460" w:lineRule="exact"/>
              <w:jc w:val="both"/>
              <w:textAlignment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备注：1.采用分类报价，各类专利的代理费均为统一价格(含税)，代理费用不含官费；</w:t>
            </w:r>
          </w:p>
          <w:p w14:paraId="509FF067">
            <w:pPr>
              <w:keepNext w:val="0"/>
              <w:keepLines w:val="0"/>
              <w:pageBreakBefore w:val="0"/>
              <w:widowControl/>
              <w:kinsoku/>
              <w:wordWrap/>
              <w:overflowPunct/>
              <w:topLinePunct w:val="0"/>
              <w:bidi w:val="0"/>
              <w:adjustRightInd/>
              <w:snapToGrid w:val="0"/>
              <w:spacing w:line="460" w:lineRule="exact"/>
              <w:jc w:val="both"/>
              <w:textAlignment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2.国家知识产权局不收取任何额外官费，投标人只需报价快速预审以及优先审查各自的代理费用（部分专利可能会走快速预审或优先审查）；</w:t>
            </w:r>
          </w:p>
          <w:p w14:paraId="78A74F24">
            <w:pPr>
              <w:keepNext w:val="0"/>
              <w:keepLines w:val="0"/>
              <w:pageBreakBefore w:val="0"/>
              <w:widowControl/>
              <w:kinsoku/>
              <w:wordWrap/>
              <w:overflowPunct/>
              <w:topLinePunct w:val="0"/>
              <w:bidi w:val="0"/>
              <w:adjustRightInd/>
              <w:snapToGrid w:val="0"/>
              <w:spacing w:line="460" w:lineRule="exact"/>
              <w:jc w:val="both"/>
              <w:textAlignment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3.官费以国家知识产权局规定为准，我院为费减备案单位，官费价格为按85%的比例减缓后的价格，即申请阶段三类专利固定官费为：国内发明专利560元/项、国内实用新型和国内外观设计专利为75元/项；</w:t>
            </w:r>
          </w:p>
          <w:p w14:paraId="4A1B28E2">
            <w:pPr>
              <w:keepNext w:val="0"/>
              <w:keepLines w:val="0"/>
              <w:pageBreakBefore w:val="0"/>
              <w:widowControl/>
              <w:kinsoku/>
              <w:wordWrap/>
              <w:overflowPunct/>
              <w:topLinePunct w:val="0"/>
              <w:bidi w:val="0"/>
              <w:adjustRightInd/>
              <w:snapToGrid w:val="0"/>
              <w:spacing w:line="460" w:lineRule="exact"/>
              <w:jc w:val="both"/>
              <w:textAlignment w:val="center"/>
              <w:rPr>
                <w:rFonts w:hint="default"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4.以上费用为本专利申请授权(普通程序)或实质审查程序结束，院方如需代理复审、国内著录项目变更、权利恢复请求等情况，双方针对特定专利另行签订补充协议约定。</w:t>
            </w:r>
          </w:p>
        </w:tc>
      </w:tr>
    </w:tbl>
    <w:p w14:paraId="3FA6E04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hint="eastAsia" w:ascii="宋体" w:hAnsi="宋体" w:eastAsia="宋体" w:cs="宋体"/>
          <w:b/>
          <w:color w:val="000000"/>
          <w:sz w:val="28"/>
          <w:lang w:val="en-US" w:eastAsia="zh-CN"/>
        </w:rPr>
      </w:pPr>
    </w:p>
    <w:p w14:paraId="244242E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p>
    <w:p w14:paraId="3BAC25A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556D544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4C01E15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15FC0B0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06FB3F7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4DB6DFE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66D5F66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10C5F64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05123F1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0C8FA71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r>
        <w:rPr>
          <w:rFonts w:ascii="宋体" w:hAnsi="宋体" w:eastAsia="宋体" w:cs="宋体"/>
          <w:b/>
          <w:color w:val="000000"/>
          <w:sz w:val="28"/>
        </w:rPr>
        <w:t>法定代表人身份证明书（格式）</w:t>
      </w:r>
    </w:p>
    <w:p w14:paraId="5E3E4CD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60EB7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u w:val="single"/>
        </w:rPr>
        <w:t xml:space="preserve">         </w:t>
      </w:r>
      <w:r>
        <w:rPr>
          <w:rFonts w:ascii="宋体" w:hAnsi="宋体" w:eastAsia="宋体" w:cs="宋体"/>
          <w:color w:val="000000"/>
          <w:sz w:val="24"/>
        </w:rPr>
        <w:t>（法定代表人姓名）在</w:t>
      </w:r>
      <w:r>
        <w:rPr>
          <w:rFonts w:ascii="宋体" w:hAnsi="宋体" w:eastAsia="宋体" w:cs="宋体"/>
          <w:color w:val="000000"/>
          <w:sz w:val="24"/>
          <w:u w:val="single"/>
        </w:rPr>
        <w:t xml:space="preserve">                       </w:t>
      </w:r>
      <w:r>
        <w:rPr>
          <w:rFonts w:ascii="宋体" w:hAnsi="宋体" w:eastAsia="宋体" w:cs="宋体"/>
          <w:color w:val="000000"/>
          <w:sz w:val="24"/>
        </w:rPr>
        <w:t>（供应商名称）任</w:t>
      </w:r>
      <w:r>
        <w:rPr>
          <w:rFonts w:ascii="宋体" w:hAnsi="宋体" w:eastAsia="宋体" w:cs="宋体"/>
          <w:color w:val="000000"/>
          <w:sz w:val="24"/>
          <w:u w:val="single"/>
        </w:rPr>
        <w:t xml:space="preserve">           </w:t>
      </w:r>
      <w:r>
        <w:rPr>
          <w:rFonts w:ascii="宋体" w:hAnsi="宋体" w:eastAsia="宋体" w:cs="宋体"/>
          <w:color w:val="000000"/>
          <w:sz w:val="24"/>
        </w:rPr>
        <w:t>（职务名称）职务，是</w:t>
      </w:r>
      <w:r>
        <w:rPr>
          <w:rFonts w:ascii="宋体" w:hAnsi="宋体" w:eastAsia="宋体" w:cs="宋体"/>
          <w:color w:val="000000"/>
          <w:sz w:val="24"/>
          <w:u w:val="single"/>
        </w:rPr>
        <w:t xml:space="preserve">                       </w:t>
      </w:r>
      <w:r>
        <w:rPr>
          <w:rFonts w:ascii="宋体" w:hAnsi="宋体" w:eastAsia="宋体" w:cs="宋体"/>
          <w:color w:val="000000"/>
          <w:sz w:val="24"/>
        </w:rPr>
        <w:t>（供应商名称）的法定代表人。</w:t>
      </w:r>
    </w:p>
    <w:p w14:paraId="4F97A3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07A22B3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7CBF708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15920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F3D01C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0320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F7218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28820B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0C43A9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0178B5B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3891391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ED8477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6A8C1D2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6FB52BE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4FFB32B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2BE5F51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619143E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E5EC9EE">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1BC92BB">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34907AFD">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00A0BCBC">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243E461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45E7A84">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6F8B954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B8516F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法定代表人授权委托书（格式）</w:t>
      </w:r>
    </w:p>
    <w:p w14:paraId="51D78B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0CF2F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15EE7BB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370E52F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162DF9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05EDDC3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w:t>
      </w:r>
      <w:r>
        <w:rPr>
          <w:rFonts w:ascii="宋体" w:hAnsi="宋体" w:eastAsia="宋体" w:cs="宋体"/>
          <w:color w:val="000000"/>
          <w:sz w:val="24"/>
          <w:u w:val="single"/>
        </w:rPr>
        <w:t xml:space="preserve">                       </w:t>
      </w:r>
      <w:r>
        <w:rPr>
          <w:rFonts w:ascii="宋体" w:hAnsi="宋体" w:eastAsia="宋体" w:cs="宋体"/>
          <w:color w:val="000000"/>
          <w:sz w:val="24"/>
        </w:rPr>
        <w:t>（被授权人姓名及身份证代码）代表我单位全权办理对上述项目的投标、签约等具体工作，并签署全部有关的文件、协议及合同。</w:t>
      </w:r>
    </w:p>
    <w:p w14:paraId="09DFAE4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1D0B2E7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6661B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B7F7B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45D525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36F2866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424A608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CFEC7F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6584E42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4B38A13">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77C79F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0A7AEC6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09E5ED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4A010162">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55BE9"/>
    <w:multiLevelType w:val="singleLevel"/>
    <w:tmpl w:val="D3F55BE9"/>
    <w:lvl w:ilvl="0" w:tentative="0">
      <w:start w:val="1"/>
      <w:numFmt w:val="decimal"/>
      <w:lvlText w:val="%1."/>
      <w:lvlJc w:val="left"/>
      <w:pPr>
        <w:tabs>
          <w:tab w:val="left" w:pos="312"/>
        </w:tabs>
      </w:pPr>
    </w:lvl>
  </w:abstractNum>
  <w:abstractNum w:abstractNumId="1">
    <w:nsid w:val="0053208E"/>
    <w:multiLevelType w:val="multilevel"/>
    <w:tmpl w:val="0053208E"/>
    <w:lvl w:ilvl="0" w:tentative="0">
      <w:start w:val="4"/>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0"/>
  <w:drawingGridVerticalSpacing w:val="312"/>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760C0"/>
    <w:rsid w:val="07C325BB"/>
    <w:rsid w:val="08EF69B5"/>
    <w:rsid w:val="0FB7600D"/>
    <w:rsid w:val="106B3265"/>
    <w:rsid w:val="11F3162F"/>
    <w:rsid w:val="12C856B2"/>
    <w:rsid w:val="17412575"/>
    <w:rsid w:val="188720CE"/>
    <w:rsid w:val="19084220"/>
    <w:rsid w:val="1A0F38E5"/>
    <w:rsid w:val="1A3D7B88"/>
    <w:rsid w:val="1AFC4E30"/>
    <w:rsid w:val="24EC3F48"/>
    <w:rsid w:val="257B28C0"/>
    <w:rsid w:val="29CA25B8"/>
    <w:rsid w:val="2E11427C"/>
    <w:rsid w:val="2F863A2B"/>
    <w:rsid w:val="30642ABC"/>
    <w:rsid w:val="34216D97"/>
    <w:rsid w:val="357E7F48"/>
    <w:rsid w:val="3A163F4A"/>
    <w:rsid w:val="3DCF37D0"/>
    <w:rsid w:val="42751089"/>
    <w:rsid w:val="43825906"/>
    <w:rsid w:val="44893184"/>
    <w:rsid w:val="449F0313"/>
    <w:rsid w:val="44BF0470"/>
    <w:rsid w:val="44F07657"/>
    <w:rsid w:val="4B0D4E47"/>
    <w:rsid w:val="4D541E3A"/>
    <w:rsid w:val="4DC34779"/>
    <w:rsid w:val="4ECA68D4"/>
    <w:rsid w:val="522023DE"/>
    <w:rsid w:val="54722F1C"/>
    <w:rsid w:val="573D67FF"/>
    <w:rsid w:val="5746712D"/>
    <w:rsid w:val="5D1F0D86"/>
    <w:rsid w:val="617F4EEF"/>
    <w:rsid w:val="62512E4C"/>
    <w:rsid w:val="6516599A"/>
    <w:rsid w:val="65F90D39"/>
    <w:rsid w:val="68F848B2"/>
    <w:rsid w:val="6ADA15C6"/>
    <w:rsid w:val="6C47220F"/>
    <w:rsid w:val="6F176C95"/>
    <w:rsid w:val="6FAC2A3A"/>
    <w:rsid w:val="711C7B49"/>
    <w:rsid w:val="71DD6DB1"/>
    <w:rsid w:val="721F2FE3"/>
    <w:rsid w:val="72593500"/>
    <w:rsid w:val="72A10F1A"/>
    <w:rsid w:val="735D6CE3"/>
    <w:rsid w:val="7677439C"/>
    <w:rsid w:val="77C55445"/>
    <w:rsid w:val="77DF1E38"/>
    <w:rsid w:val="7BDC7AE0"/>
    <w:rsid w:val="7E90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unhideWhenUsed/>
    <w:qFormat/>
    <w:uiPriority w:val="99"/>
    <w:pPr>
      <w:ind w:firstLine="420"/>
    </w:pPr>
    <w:rPr>
      <w:szCs w:val="20"/>
    </w:r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link w:val="2"/>
    <w:qFormat/>
    <w:uiPriority w:val="9"/>
    <w:rPr>
      <w:rFonts w:ascii="Arial" w:hAnsi="Arial" w:eastAsia="Arial" w:cs="Arial"/>
      <w:sz w:val="40"/>
      <w:szCs w:val="40"/>
    </w:rPr>
  </w:style>
  <w:style w:type="character" w:customStyle="1" w:styleId="37">
    <w:name w:val="Heading 2 Char"/>
    <w:basedOn w:val="32"/>
    <w:link w:val="3"/>
    <w:qFormat/>
    <w:uiPriority w:val="9"/>
    <w:rPr>
      <w:rFonts w:ascii="Arial" w:hAnsi="Arial" w:eastAsia="Arial" w:cs="Arial"/>
      <w:sz w:val="34"/>
    </w:rPr>
  </w:style>
  <w:style w:type="character" w:customStyle="1" w:styleId="38">
    <w:name w:val="Heading 3 Char"/>
    <w:basedOn w:val="32"/>
    <w:link w:val="4"/>
    <w:qFormat/>
    <w:uiPriority w:val="9"/>
    <w:rPr>
      <w:rFonts w:ascii="Arial" w:hAnsi="Arial" w:eastAsia="Arial" w:cs="Arial"/>
      <w:sz w:val="30"/>
      <w:szCs w:val="30"/>
    </w:rPr>
  </w:style>
  <w:style w:type="character" w:customStyle="1" w:styleId="39">
    <w:name w:val="Heading 4 Char"/>
    <w:basedOn w:val="32"/>
    <w:link w:val="5"/>
    <w:qFormat/>
    <w:uiPriority w:val="9"/>
    <w:rPr>
      <w:rFonts w:ascii="Arial" w:hAnsi="Arial" w:eastAsia="Arial" w:cs="Arial"/>
      <w:b/>
      <w:bCs/>
      <w:sz w:val="26"/>
      <w:szCs w:val="26"/>
    </w:rPr>
  </w:style>
  <w:style w:type="character" w:customStyle="1" w:styleId="40">
    <w:name w:val="Heading 5 Char"/>
    <w:basedOn w:val="32"/>
    <w:link w:val="6"/>
    <w:qFormat/>
    <w:uiPriority w:val="9"/>
    <w:rPr>
      <w:rFonts w:ascii="Arial" w:hAnsi="Arial" w:eastAsia="Arial" w:cs="Arial"/>
      <w:b/>
      <w:bCs/>
      <w:sz w:val="24"/>
      <w:szCs w:val="24"/>
    </w:rPr>
  </w:style>
  <w:style w:type="character" w:customStyle="1" w:styleId="41">
    <w:name w:val="Heading 6 Char"/>
    <w:basedOn w:val="32"/>
    <w:link w:val="7"/>
    <w:qFormat/>
    <w:uiPriority w:val="9"/>
    <w:rPr>
      <w:rFonts w:ascii="Arial" w:hAnsi="Arial" w:eastAsia="Arial" w:cs="Arial"/>
      <w:b/>
      <w:bCs/>
      <w:sz w:val="22"/>
      <w:szCs w:val="22"/>
    </w:rPr>
  </w:style>
  <w:style w:type="character" w:customStyle="1" w:styleId="42">
    <w:name w:val="Heading 7 Char"/>
    <w:basedOn w:val="32"/>
    <w:link w:val="8"/>
    <w:qFormat/>
    <w:uiPriority w:val="9"/>
    <w:rPr>
      <w:rFonts w:ascii="Arial" w:hAnsi="Arial" w:eastAsia="Arial" w:cs="Arial"/>
      <w:b/>
      <w:bCs/>
      <w:i/>
      <w:iCs/>
      <w:sz w:val="22"/>
      <w:szCs w:val="22"/>
    </w:rPr>
  </w:style>
  <w:style w:type="character" w:customStyle="1" w:styleId="43">
    <w:name w:val="Heading 8 Char"/>
    <w:basedOn w:val="32"/>
    <w:link w:val="9"/>
    <w:qFormat/>
    <w:uiPriority w:val="9"/>
    <w:rPr>
      <w:rFonts w:ascii="Arial" w:hAnsi="Arial" w:eastAsia="Arial" w:cs="Arial"/>
      <w:i/>
      <w:iCs/>
      <w:sz w:val="22"/>
      <w:szCs w:val="22"/>
    </w:rPr>
  </w:style>
  <w:style w:type="character" w:customStyle="1" w:styleId="44">
    <w:name w:val="Heading 9 Char"/>
    <w:basedOn w:val="32"/>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7">
    <w:name w:val="Title Char"/>
    <w:basedOn w:val="32"/>
    <w:link w:val="29"/>
    <w:qFormat/>
    <w:uiPriority w:val="10"/>
    <w:rPr>
      <w:sz w:val="48"/>
      <w:szCs w:val="48"/>
    </w:rPr>
  </w:style>
  <w:style w:type="character" w:customStyle="1" w:styleId="48">
    <w:name w:val="Subtitle Char"/>
    <w:basedOn w:val="32"/>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link w:val="19"/>
    <w:qFormat/>
    <w:uiPriority w:val="99"/>
  </w:style>
  <w:style w:type="character" w:customStyle="1" w:styleId="54">
    <w:name w:val="Footer Char"/>
    <w:basedOn w:val="32"/>
    <w:link w:val="18"/>
    <w:qFormat/>
    <w:uiPriority w:val="99"/>
  </w:style>
  <w:style w:type="character" w:customStyle="1" w:styleId="55">
    <w:name w:val="Caption Char"/>
    <w:link w:val="18"/>
    <w:qFormat/>
    <w:uiPriority w:val="99"/>
  </w:style>
  <w:style w:type="table" w:customStyle="1" w:styleId="56">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4">
    <w:name w:val="Grid Table 1 Light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5">
    <w:name w:val="Grid Table 1 Light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6">
    <w:name w:val="Grid Table 1 Light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7">
    <w:name w:val="Grid Table 1 Light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8">
    <w:name w:val="Grid Table 1 Light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1">
    <w:name w:val="Grid Table 2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2">
    <w:name w:val="Grid Table 2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3">
    <w:name w:val="Grid Table 2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4">
    <w:name w:val="Grid Table 2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5">
    <w:name w:val="Grid Table 2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8">
    <w:name w:val="Grid Table 3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9">
    <w:name w:val="Grid Table 3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0">
    <w:name w:val="Grid Table 3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1">
    <w:name w:val="Grid Table 3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2">
    <w:name w:val="Grid Table 3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0"/>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5">
    <w:name w:val="Grid Table 4 - Accent 2"/>
    <w:basedOn w:val="30"/>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6">
    <w:name w:val="Grid Table 4 - Accent 3"/>
    <w:basedOn w:val="30"/>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7">
    <w:name w:val="Grid Table 4 - Accent 4"/>
    <w:basedOn w:val="30"/>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8">
    <w:name w:val="Grid Table 4 - Accent 5"/>
    <w:basedOn w:val="30"/>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9">
    <w:name w:val="Grid Table 4 - Accent 6"/>
    <w:basedOn w:val="30"/>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0">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2">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3">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4">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5">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6">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7">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0"/>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0"/>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0"/>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3">
    <w:name w:val="Grid Table 6 Colorful - Accent 6"/>
    <w:basedOn w:val="30"/>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4">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0"/>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0"/>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0"/>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0"/>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0"/>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0">
    <w:name w:val="Grid Table 7 Colorful - Accent 6"/>
    <w:basedOn w:val="30"/>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1">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0"/>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3">
    <w:name w:val="List Table 1 Light - Accent 2"/>
    <w:basedOn w:val="30"/>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4">
    <w:name w:val="List Table 1 Light - Accent 3"/>
    <w:basedOn w:val="30"/>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5">
    <w:name w:val="List Table 1 Light - Accent 4"/>
    <w:basedOn w:val="30"/>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6">
    <w:name w:val="List Table 1 Light - Accent 5"/>
    <w:basedOn w:val="30"/>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7">
    <w:name w:val="List Table 1 Light - Accent 6"/>
    <w:basedOn w:val="30"/>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8">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0"/>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0">
    <w:name w:val="List Table 2 - Accent 2"/>
    <w:basedOn w:val="30"/>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1">
    <w:name w:val="List Table 2 - Accent 3"/>
    <w:basedOn w:val="30"/>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2">
    <w:name w:val="List Table 2 - Accent 4"/>
    <w:basedOn w:val="30"/>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3">
    <w:name w:val="List Table 2 - Accent 5"/>
    <w:basedOn w:val="30"/>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4">
    <w:name w:val="List Table 2 - Accent 6"/>
    <w:basedOn w:val="30"/>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5">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0"/>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7">
    <w:name w:val="List Table 3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8">
    <w:name w:val="List Table 3 - Accent 3"/>
    <w:basedOn w:val="30"/>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9">
    <w:name w:val="List Table 3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0">
    <w:name w:val="List Table 3 - Accent 5"/>
    <w:basedOn w:val="30"/>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1">
    <w:name w:val="List Table 3 - Accent 6"/>
    <w:basedOn w:val="30"/>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2">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0"/>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4">
    <w:name w:val="List Table 4 - Accent 2"/>
    <w:basedOn w:val="30"/>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5">
    <w:name w:val="List Table 4 - Accent 3"/>
    <w:basedOn w:val="30"/>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6">
    <w:name w:val="List Table 4 - Accent 4"/>
    <w:basedOn w:val="30"/>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7">
    <w:name w:val="List Table 4 - Accent 5"/>
    <w:basedOn w:val="30"/>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8">
    <w:name w:val="List Table 4 - Accent 6"/>
    <w:basedOn w:val="30"/>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9">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0"/>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1">
    <w:name w:val="List Table 5 Dark - Accent 2"/>
    <w:basedOn w:val="30"/>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2">
    <w:name w:val="List Table 5 Dark - Accent 3"/>
    <w:basedOn w:val="30"/>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3">
    <w:name w:val="List Table 5 Dark - Accent 4"/>
    <w:basedOn w:val="30"/>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4">
    <w:name w:val="List Table 5 Dark - Accent 5"/>
    <w:basedOn w:val="30"/>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5">
    <w:name w:val="List Table 5 Dark - Accent 6"/>
    <w:basedOn w:val="30"/>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6">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0"/>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8">
    <w:name w:val="List Table 6 Colorful - Accent 2"/>
    <w:basedOn w:val="30"/>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0"/>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0"/>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0"/>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0"/>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0"/>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5">
    <w:name w:val="List Table 7 Colorful - Accent 2"/>
    <w:basedOn w:val="30"/>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0"/>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0"/>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0"/>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0"/>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0"/>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2">
    <w:name w:val="Lined - Accent 2"/>
    <w:basedOn w:val="30"/>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3">
    <w:name w:val="Lined - Accent 3"/>
    <w:basedOn w:val="30"/>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4">
    <w:name w:val="Lined - Accent 4"/>
    <w:basedOn w:val="30"/>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5">
    <w:name w:val="Lined - Accent 5"/>
    <w:basedOn w:val="30"/>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6">
    <w:name w:val="Lined - Accent 6"/>
    <w:basedOn w:val="30"/>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7">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0"/>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9">
    <w:name w:val="Bordered &amp; Lined - Accent 2"/>
    <w:basedOn w:val="30"/>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0">
    <w:name w:val="Bordered &amp; Lined - Accent 3"/>
    <w:basedOn w:val="30"/>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1">
    <w:name w:val="Bordered &amp; Lined - Accent 4"/>
    <w:basedOn w:val="30"/>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2">
    <w:name w:val="Bordered &amp; Lined - Accent 5"/>
    <w:basedOn w:val="30"/>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3">
    <w:name w:val="Bordered &amp; Lined - Accent 6"/>
    <w:basedOn w:val="30"/>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4">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6">
    <w:name w:val="Bordered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7">
    <w:name w:val="Bordered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8">
    <w:name w:val="Bordered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9">
    <w:name w:val="Bordered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0">
    <w:name w:val="Bordered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heme="minorHAnsi" w:hAnsiTheme="minorHAnsi" w:eastAsiaTheme="minorEastAsia" w:cstheme="minorBidi"/>
    </w:rPr>
  </w:style>
  <w:style w:type="paragraph" w:customStyle="1" w:styleId="184">
    <w:name w:val="Default"/>
    <w:qFormat/>
    <w:uiPriority w:val="0"/>
    <w:pPr>
      <w:widowControl w:val="0"/>
      <w:autoSpaceDE w:val="0"/>
      <w:autoSpaceDN w:val="0"/>
      <w:adjustRightInd w:val="0"/>
    </w:pPr>
    <w:rPr>
      <w:rFonts w:hint="default" w:ascii="宋体" w:hAnsi="Times New Roman" w:eastAsia="宋体" w:cs="Times New Roman"/>
      <w:color w:val="000000"/>
      <w:sz w:val="24"/>
      <w:lang w:val="en-US" w:eastAsia="zh-CN" w:bidi="ar-SA"/>
    </w:rPr>
  </w:style>
  <w:style w:type="paragraph" w:customStyle="1" w:styleId="185">
    <w:name w:val="Table Text"/>
    <w:basedOn w:val="1"/>
    <w:semiHidden/>
    <w:qFormat/>
    <w:uiPriority w:val="0"/>
    <w:rPr>
      <w:rFonts w:ascii="宋体" w:hAnsi="宋体" w:eastAsia="宋体" w:cs="宋体"/>
      <w:sz w:val="16"/>
      <w:szCs w:val="16"/>
      <w:lang w:val="en-US" w:eastAsia="en-US" w:bidi="ar-SA"/>
    </w:rPr>
  </w:style>
  <w:style w:type="table" w:customStyle="1" w:styleId="18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890</Words>
  <Characters>959</Characters>
  <TotalTime>0</TotalTime>
  <ScaleCrop>false</ScaleCrop>
  <LinksUpToDate>false</LinksUpToDate>
  <CharactersWithSpaces>992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2026-03-19T03:44:57Z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16F14FEEC724429B9249FC59D84A859C_13</vt:lpwstr>
  </property>
  <property fmtid="{D5CDD505-2E9C-101B-9397-08002B2CF9AE}" pid="4" name="KSOTemplateDocerSaveRecord">
    <vt:lpwstr>eyJoZGlkIjoiZWY4YTdjODU0OTdjMzNhMjAwOTY1ZGY2MTViMWM4NGMiLCJ1c2VySWQiOiI2OTQ4MTc1NDIifQ==</vt:lpwstr>
  </property>
</Properties>
</file>