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崇左市老年人康复护理大楼租赁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甲方（出租方/产权方）：崇左市民政局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统一社会信用代码：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住所地：崇左市江州区山秀路21号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法定代表人/负责人：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乙方（承租方/运营方）：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统一社会信用代码：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深化养老服务改革，放开养老服务市场，鼓励社会力量参与公办养老设施运营管理，提升公办养老设施使用效益与服务质量，根据《中华人民共和国民法典》《中华人民共和国老年人权益保障法》《养老机构管理办法》《广西壮族自治区养老设施公建民营实施办法（试行）》等法律法规与政策文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《崇左市老年人康复护理大楼公开招租方案》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甲乙双方本着平等自愿、公平诚信、公益优先原则，经充分协商，订立本协议，以资共同信守。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第一条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合作背景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崇左市老年人康复护理大楼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为甲方合法产权标的物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位于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崇左市江州区山秀路21号民政福利园内，占地10.76亩，地下1层、地上5层，总建筑面积15126㎡，项目总投资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万元（最终以政府相关部门审核认定的竣工结算文件或资产评估报告为准），土地取得方式为划拨。该建筑已主体竣工，产权清晰，无权属争议、无查封抵押、无权利负担。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乙方为依法登记注册、具备养老服务/医疗服务相应运营资质，且拥有3年以上同类养老服务/医疗服务运营管理经验的市场主体，自愿承租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标的物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并按照“公建民营”模式规范运营。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甲乙双方依据现行法律法规及公开招租文件，平等协商达成租赁及运营合作约定，签订本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第二条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租赁标的与使用要求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崇左市老年人康复护理大楼整体建筑物、场地及附属设施设备（具体以双方签署的附件《资产移交明细表》为准）。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产权归属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所有权永久归甲方所有，乙方仅在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有效期内享有约定范围内的使用权及运营管理权。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使用用途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限用于老年人康复护理服务，包括老年人生活照料、康复医疗、健康管理、安宁疗护等相关养老服务业务；开展其他配套业务须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由乙方提出书面申请并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经甲方书面批准。未经甲方书面同意，乙方不得擅自改变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标的物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用途，不得转租、转借、分包运营权，不得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擅自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处置资产，不得以租赁标的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对外抵押、担保、融资或贷款。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第三条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租赁期限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日起至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日止，共计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租赁期前2年为建设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期，计入总租赁期限，建设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期免收租金。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乙方应在2年建设（培育）期内完成装修改造、设施设备及人员配置等，确保装修改造、消防设施设备配置符合相关标准并通过二次消防验收；针对一次消防验收中未完成的部分项目，须在二次装修过程中同步完成整改，相关整改及配置费用均由乙方承担，并实现正式对外运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第四条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资产移交与管理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移交条件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乙方足额缴纳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首期租金、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履约保证金、修缮维护发展资金后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5个工作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日内，甲方完成资产移交。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移交程序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甲乙双方共同现场清点、核对资产，签署《资产移交明细表》，双方签字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盖章后视为移交完成。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保管维护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移交完成后，乙方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承担资产日常保管、维护、维修责任，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资产安全完整；严禁拆改建筑主体结构、承重结构及消防核心设施。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第五条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保证金、专项资金及费用承担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（一）履约保证金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乙方应在本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签订后5个工作日内，向甲方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指定的银行账户交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纳人民币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叁拾万元整（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作为履约保证金。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租赁期满，乙方无违约、无欠费、资产完好移交并完成全部交接手续后，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账户内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履约保证金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剩余资金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甲方无息退还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乙方发生违约行为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且未履行整改及赔偿责任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的，甲方有权从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履约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保证金中抵扣违约金、赔偿金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及乙方应付各类欠款、赔付和规费等款项，具体包含但不限于：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(1)运营期间的医疗责任赔付;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(2)运营期间，发生因工资、社会保险等劳动争议的，经依法裁决后应由乙方承担的费用;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(3)运营期间，因乙方违反法律法规而被有关部门处以的罚款;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(4)运营期间，因其它民事纠纷相关法律文书确定由乙方承担的费用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(5)管理、水、电、收视、网络通讯等各项欠费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履约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保证金抵扣部分，乙方应在甲方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发出补足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通知后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次月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足额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补足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至人民币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（二）修缮维护发展资金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乙方应在本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签订后5个工作日内，将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修缮维护发展资金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共计人民币玖拾万元整（¥900000.00）足额存入甲方指定银行账户。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资金专项用于大楼庭院、内外墙面、门窗、雨污水管网、公共区域等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部位的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维修维护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及更新改造，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严禁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挪作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资金支出后次月内，乙方应将账户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修缮维护发展资金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余额补足至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租赁期满，双方结清全部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费用后，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账户内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修缮维护发展资金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剩余资金由甲方无息退还乙方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（三）运营费用承担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租赁期间，与运营相关的水费、电费、燃气费、通信费、网络费、有线电视费、物业管理费、设施设备采购、人员薪酬、保险费、税费等全部费用，均由乙方自行承担，甲方不承担任何相关费用。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第六条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租金标准及支付方式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年租金底价：人民币199668元，最终租金以公开竞租成交价为准。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（二）各年度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递增规则</w:t>
      </w:r>
    </w:p>
    <w:tbl>
      <w:tblPr>
        <w:tblStyle w:val="5"/>
        <w:tblW w:w="9375" w:type="dxa"/>
        <w:tblInd w:w="9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547"/>
        <w:gridCol w:w="1547"/>
        <w:gridCol w:w="1547"/>
        <w:gridCol w:w="1547"/>
        <w:gridCol w:w="15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租金</w:t>
            </w:r>
          </w:p>
        </w:tc>
        <w:tc>
          <w:tcPr>
            <w:tcW w:w="1547" w:type="dxa"/>
            <w:tcBorders>
              <w:lef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第一年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第二年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第三年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第四年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第五年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640" w:type="dxa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建设（培育）期免收租金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建设（培育）期免收租金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按成交价递增5%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租金</w:t>
            </w:r>
          </w:p>
        </w:tc>
        <w:tc>
          <w:tcPr>
            <w:tcW w:w="1547" w:type="dxa"/>
            <w:tcBorders>
              <w:lef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第六年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第七年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第八年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第九年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640" w:type="dxa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租期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租金</w:t>
            </w:r>
          </w:p>
        </w:tc>
        <w:tc>
          <w:tcPr>
            <w:tcW w:w="1547" w:type="dxa"/>
            <w:tcBorders>
              <w:lef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第十一年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第十二年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第十三年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第十四年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第十五年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6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支付方式：按年预付，乙方按期足额存入甲方指定账户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，不得逾期、拖欠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首期租金（第3年）：首期租金（第3年）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合同签订后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工作日内支付；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其他年度租金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年租金在第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租赁年度结束前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1个月内支付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后续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各年度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租金在上一租赁年度结束前1个月内支付下一周期租金。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租金全额上缴市级财政，实行收支两条线管理。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第七条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运营管理核心要求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乙方应在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建设（培育）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期内投入不低于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人民币壹仟万元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00000.00）用于大楼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装修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装饰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及基建改造（不含设备采购、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日常用品、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人员工资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等投入资金以及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运营流动资金等），最终以甲方选定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有资质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的第三方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评估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评估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结果为准。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按照国家及地方标准，足额配备养老护理、康复、医疗、社工等专业技术人员，持证上岗。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（三）乙方要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确保总床位中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安排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不低于20%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的公益性床位，专门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用于政府基本养老服务保障对象及政策规定的优先保障对象；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公益性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床位连续闲置超过1个月可临时接收社会老人，但须随时保障政府保障对象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即时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入住需求。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收费管理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政府基本养老服务保障对象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收费（床位费、护理费、伙食费）不高于当地救助供养标准；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低保、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低保边缘及刚性支出困难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家庭失能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失智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独居老人、优抚对象、计生特殊家庭老人等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重点保障对象，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床位费、护理费执行政府指导价，伙食费按非营利原则据实收取；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其他社会老人实行市场调节价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由乙方合理确定并公示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乙方调整收费标准，应提前3个月书面告知民政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、卫生健康等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主管部门及入住老人（或代理人），确保入住老人及家属有充足时间适应。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乙方须足额购买火灾险、公众责任险、财产综合险等相关保险，保障运营安全。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（六）乙方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严格遵守建筑、消防、食品安全、医疗卫生、环保等法律法规及养老机构管理规定，严禁欺老虐老、非法集资、虚假宣传等违法违规行为。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第八条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双方权利与义务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（一）甲方权利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对乙方运营服务、收费标准、资产使用、公益性床位落实、资金投入等履约情况进行监督检查。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委托第三方会计师事务所对乙方运营、财务、资产管理情况进行动态审计，审计费用由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对乙方违约行为有权发出整改通知，乙方在指定期限内拒不整改或整改不到位的，甲方有权单方解除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、收回租赁标的物、没收履约保证金，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由此造成的损失由乙方自负，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并要求乙方承担相应赔偿责任。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或单方解除本合同后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，有权收回租赁标的物，以及乙方在租赁期间增设的不可移动装修、固定附属设施，该部分资产无偿归甲方所有。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（二）甲方义务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按约定向乙方移交无权利瑕疵的租赁标的物。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2.及时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提供产权及项目相关证明文件，协助乙方办理运营许可、备案及政策扶持手续。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定向捐赠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用于标的物或乙方运营的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资金、物资，全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交由乙方运营使用，不得截留、挪用。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负责因非乙方原因导致建筑主体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结构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、公共外墙、重大基础设施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损坏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的维修。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不得非法干涉乙方合法、合规的自主经营活动。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（三）乙方权利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约定范围内，实行独立核算、自主经营、自负盈亏。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依法享受国家及地方养老服务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扶持政策。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约定自主确定非公益性床位及符合规定的社会老人收费标准。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租赁期满，甲方重新公开遴选运营方时，同等条件下乙方享有优先承租权。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（四）乙方义务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严格按照法律法规、国家标准、地方标准及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约定规范运营。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按时足额缴纳租金、履约保证金、修缮维护发展资金及各项运营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妥善保管、合理使用租赁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标的物及附属设施设备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，不得出租、出借、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擅自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处置，不得用于抵押、融资、担保。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每年向甲方提交年度运营报告及资产管理报告，如实反映运营情况和资产状况；发生安全事故、经营变动等重大事项时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应立即报告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配合甲方开展养老护理培训、行业示范、居家养老服务辐射等工作。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承担运营期间全部安全、服务、人员、事故等法律责任与经济责任。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7.未经甲方书面同意，不得转让运营权、变更经营范围。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8.乙方控股股东、实际控制人变更或资产出现抵押、查封、拍卖等重大变动，应及时书面告知甲方。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解除或终止时，配合甲方制定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处置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预案，妥善安置入住老人，确保老人权益不受损害，完成资产移交与人员交接。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10.租赁期满未续约的，在资产移交完成前，继续履行运营服务及安全管理义务，保障服务不间断。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第九条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乙方逾期支付租金、保证金、修缮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维护发展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资金等费用的，每逾期一日，按应付未付金额的0.05%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向甲方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支付违约金；逾期超过30日的，甲方有权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单方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收回租赁标的物以及乙方在租赁期间增设的不可移动装修、固定附属设施，该部分资产归甲方无偿所有，乙方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缴纳的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租金、保证金、修缮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维护发展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资金不予退还，乙方还应赔偿甲方全部损失（包括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产生的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律师费、诉讼费、保全费、差旅费等）。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乙方有下列情形之一的，甲方有权单方解除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，乙方投入的装修、设备及已缴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纳的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履约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保证金、修缮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维护发展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资金全部款项归甲方所有，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同时乙方还应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赔偿甲方全部损失并承担法律责任：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未按约定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足额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完成装修及基建改造投入，经甲方催告后仍未补足的；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未在2年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建设（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期内完成装修改造、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设施设备配备、人员配备、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消防验收并实现正式对外运营的；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擅自改变用途、违规处置资产，或擅自转租、转借、分包运营权的；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发生重大安全责任事故，造成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重大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人员伤亡或重大财产损失的；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存在欺老虐老、非法集资等严重侵害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服务对象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权益行为；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因违法违规被行政机关处罚，造成恶劣社会影响。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甲方逾期移交资产的，每逾期一日，租赁期限相应顺延一日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；若逾期超过30日，乙方有权要求甲方承担违约责任，或单方解除本合同并要求甲方赔偿实际损失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因国家法律法规、政策重大调整导致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无法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继续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履行的，双方可协商解除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，甲方按规定对乙方合理投入给予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补偿，具体补偿金额可委托第三方机构评估确定。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第十条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协议的解除与终止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乙方违反本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第七条、第八条约定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或下列情形之一的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，甲方发出整改通知后30日内拒不改正或整改不符合要求的，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除按第七条、第八条规定执行外，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甲方有权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单方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，没收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履约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保证金，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已提前收取的第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年租金及后续租金不退还，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还应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赔偿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甲方因此遭受的全部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运营行为违反法律法规，被行政机关给予行政处罚、行政强制或通报批评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，情节严重的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 运营过程中不符合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消防、卫健、环保、食品药品、建筑等强制性标准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，存在重大安全隐患且无法及时整改的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发生安全责任事故，未及时处置或处置不当，造成恶劣社会影响的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甲乙双方协商一致，可书面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形式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变更或解除本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终止后，乙方应：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妥善安置全部入住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服务对象，确保服务对象的生活、医疗、护理服务不受影响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2.租赁期间乙方增设的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不可移动装修、改造及固定附属设施无偿归甲方所有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，乙方不得拆除、损毁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结清全部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费用（包括租金、运营费用、违约金、赔偿金等），完成租赁标的物及附属资产移交后按期退出。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履行期间，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若有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新法律法规、标准出台或修订的，双方应遵照执行，并可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根据新规定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协商调整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本合同相应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，另行签订补充协议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满足下列全部条件，本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正式终止：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租赁期限届满；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双方结清全部应缴费用、违约金、赔偿金等相关款项；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乙方完成运营权及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租赁标的物、附属资产的全部移交工作，双方签署移交确认文件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特别约定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甲方负有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对修缮维护发展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专项监管责任，专款专用，不得挪作他用。若甲方违规挪用资金，须立即全额返还挪用款项，并赔偿因此给乙方造成的全部经济损失，乙方有权依法追究甲方相应法律责任。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解除或终止时，无论何种原因，乙方均应配合甲方制定应急预案，妥善安置入住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服务对象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，保障过渡期服务不间断、安全无事故。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非因乙方违约导致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解除或终止的，过渡期视为租赁期顺延，乙方按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约定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继续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履行运营义务，甲方不额外收取租金。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本合同解除或终止时，乙方应在甲方通知的期限内完成资产移交，资产移交期限最长不超过2个月；资产移交完成后，乙方应在1个月内全部退出租赁场地，逾期未退出的，租赁场地内的全部设施设备无偿归甲方所有，甲方有权强制清场，由此产生的费用和造成的损失由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第十二条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争议解决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履行过程中发生争议，双方应首先友好协商解决；协商不成的，任何一方均有权向租赁标的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所在地人民法院提起诉讼。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第十三条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其他条款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自甲乙双方签字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盖章之日起生效。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附件《资产移交明细表》为本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组成部分，与本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未尽事宜，双方可签订书面补充协议，补充协议与本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一式肆份，甲乙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执贰份，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每份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甲方（盖章）：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法定代表人/授权代表（签字）：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签订日期：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乙方（盖章）：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法定代表人/授权代表（签字）：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签订日期：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>合同签订地点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2154" w:right="1417" w:bottom="204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>—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>—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951B3"/>
    <w:multiLevelType w:val="singleLevel"/>
    <w:tmpl w:val="43B951B3"/>
    <w:lvl w:ilvl="0" w:tentative="0">
      <w:start w:val="11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92ACF"/>
    <w:rsid w:val="00287B7B"/>
    <w:rsid w:val="0176068A"/>
    <w:rsid w:val="02CA61DC"/>
    <w:rsid w:val="071C62A2"/>
    <w:rsid w:val="081A78CC"/>
    <w:rsid w:val="091C6467"/>
    <w:rsid w:val="13292ACF"/>
    <w:rsid w:val="15FE4006"/>
    <w:rsid w:val="16FE688D"/>
    <w:rsid w:val="18722EE9"/>
    <w:rsid w:val="18E65685"/>
    <w:rsid w:val="1A302494"/>
    <w:rsid w:val="1AC973F5"/>
    <w:rsid w:val="1B2C19A9"/>
    <w:rsid w:val="1B2F53D6"/>
    <w:rsid w:val="1CD02D1B"/>
    <w:rsid w:val="1CE078C1"/>
    <w:rsid w:val="1D6D1536"/>
    <w:rsid w:val="1F947BE9"/>
    <w:rsid w:val="1FCF3C30"/>
    <w:rsid w:val="2080016D"/>
    <w:rsid w:val="20D61B3B"/>
    <w:rsid w:val="216566D9"/>
    <w:rsid w:val="231801E5"/>
    <w:rsid w:val="24E57F7A"/>
    <w:rsid w:val="26804A23"/>
    <w:rsid w:val="27486482"/>
    <w:rsid w:val="2AB44866"/>
    <w:rsid w:val="2C182AE6"/>
    <w:rsid w:val="2CE87C64"/>
    <w:rsid w:val="31E94A76"/>
    <w:rsid w:val="34871897"/>
    <w:rsid w:val="38800011"/>
    <w:rsid w:val="3EEB534B"/>
    <w:rsid w:val="3FDE4150"/>
    <w:rsid w:val="44432913"/>
    <w:rsid w:val="445B7579"/>
    <w:rsid w:val="457D7C1D"/>
    <w:rsid w:val="46D240D1"/>
    <w:rsid w:val="46F25D74"/>
    <w:rsid w:val="47CB4EA0"/>
    <w:rsid w:val="4B76760B"/>
    <w:rsid w:val="4B830169"/>
    <w:rsid w:val="4DB62116"/>
    <w:rsid w:val="4E1B7665"/>
    <w:rsid w:val="518A549C"/>
    <w:rsid w:val="59EE791A"/>
    <w:rsid w:val="5AF07329"/>
    <w:rsid w:val="602E4D8B"/>
    <w:rsid w:val="64B4330F"/>
    <w:rsid w:val="66654C3E"/>
    <w:rsid w:val="6A7A2CD5"/>
    <w:rsid w:val="6B1222ED"/>
    <w:rsid w:val="6B1A7790"/>
    <w:rsid w:val="6C9A10B5"/>
    <w:rsid w:val="6D111970"/>
    <w:rsid w:val="72734E3F"/>
    <w:rsid w:val="748F08DE"/>
    <w:rsid w:val="74CD7C10"/>
    <w:rsid w:val="754C1D3C"/>
    <w:rsid w:val="76145C0C"/>
    <w:rsid w:val="761A4142"/>
    <w:rsid w:val="78866B18"/>
    <w:rsid w:val="79B04962"/>
    <w:rsid w:val="7B4C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5656</Words>
  <Characters>5784</Characters>
  <Lines>0</Lines>
  <Paragraphs>0</Paragraphs>
  <TotalTime>1</TotalTime>
  <ScaleCrop>false</ScaleCrop>
  <LinksUpToDate>false</LinksUpToDate>
  <CharactersWithSpaces>6170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2026-04-21T11:44:00Z</dcterms:created>
  <dc:creator>李开</dc:creator>
  <cp:lastModifiedBy>周一帆</cp:lastModifiedBy>
  <cp:lastPrinted>2026-05-07T12:27:00Z</cp:lastPrinted>
  <dcterms:modified xsi:type="dcterms:W3CDTF">2026-05-12T07:35:30Z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CF9A63AA034743F2B5B4086C4E42FF9C_13</vt:lpwstr>
  </property>
  <property fmtid="{D5CDD505-2E9C-101B-9397-08002B2CF9AE}" pid="4" name="KSOTemplateDocerSaveRecord">
    <vt:lpwstr>eyJoZGlkIjoiZmI1MzhhOGE1MWRmZTA2NmM2YzI1ZDc0ZmViZDg4YmIiLCJ1c2VySWQiOiI1ODQ1NTY3NTEifQ==</vt:lpwstr>
  </property>
</Properties>
</file>