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360" w:lineRule="auto"/>
        <w:ind w:left="0" w:leftChars="0" w:firstLine="0" w:firstLineChars="0"/>
        <w:jc w:val="center"/>
        <w:rPr>
          <w:rFonts w:hint="eastAsia" w:ascii="微软雅黑" w:hAnsi="微软雅黑" w:eastAsia="微软雅黑"/>
          <w:b/>
          <w:sz w:val="32"/>
          <w:szCs w:val="32"/>
          <w:lang w:eastAsia="zh-CN"/>
        </w:rPr>
      </w:pPr>
      <w:r>
        <w:rPr>
          <w:rFonts w:hint="eastAsia" w:ascii="微软雅黑" w:hAnsi="微软雅黑" w:eastAsia="微软雅黑"/>
          <w:b/>
          <w:sz w:val="32"/>
          <w:szCs w:val="32"/>
          <w:lang w:eastAsia="zh-CN"/>
        </w:rPr>
        <w:t>供应商资质基本要求</w:t>
      </w:r>
    </w:p>
    <w:p>
      <w:pPr>
        <w:pStyle w:val="8"/>
        <w:spacing w:line="360" w:lineRule="auto"/>
        <w:ind w:left="0" w:leftChars="0" w:firstLine="0" w:firstLineChars="0"/>
        <w:rPr>
          <w:rFonts w:ascii="微软雅黑" w:hAnsi="微软雅黑" w:eastAsia="微软雅黑"/>
          <w:b/>
          <w:sz w:val="24"/>
          <w:szCs w:val="24"/>
          <w:lang w:eastAsia="zh-CN"/>
        </w:rPr>
      </w:pPr>
      <w:bookmarkStart w:id="0" w:name="OLE_LINK6"/>
      <w:bookmarkStart w:id="1" w:name="OLE_LINK1"/>
      <w:r>
        <w:rPr>
          <w:rFonts w:ascii="微软雅黑" w:hAnsi="微软雅黑" w:eastAsia="微软雅黑"/>
          <w:b/>
          <w:sz w:val="24"/>
          <w:szCs w:val="24"/>
          <w:lang w:eastAsia="zh-CN"/>
        </w:rPr>
        <w:t>1</w:t>
      </w:r>
      <w:r>
        <w:rPr>
          <w:rFonts w:hint="eastAsia" w:ascii="微软雅黑" w:hAnsi="微软雅黑" w:eastAsia="微软雅黑"/>
          <w:b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18"/>
          <w:szCs w:val="18"/>
          <w:highlight w:val="none"/>
          <w:lang w:val="en-US" w:eastAsia="zh-CN"/>
        </w:rPr>
        <w:t>★</w:t>
      </w:r>
      <w:r>
        <w:rPr>
          <w:rFonts w:hint="eastAsia" w:ascii="微软雅黑" w:hAnsi="微软雅黑" w:eastAsia="微软雅黑"/>
          <w:b/>
          <w:sz w:val="24"/>
          <w:szCs w:val="24"/>
          <w:lang w:eastAsia="zh-CN"/>
        </w:rPr>
        <w:t>资质要求：</w:t>
      </w:r>
      <w:r>
        <w:rPr>
          <w:rFonts w:ascii="微软雅黑" w:hAnsi="微软雅黑" w:eastAsia="微软雅黑"/>
          <w:b/>
          <w:sz w:val="24"/>
          <w:szCs w:val="24"/>
          <w:lang w:eastAsia="zh-CN"/>
        </w:rPr>
        <w:t xml:space="preserve"> </w:t>
      </w:r>
    </w:p>
    <w:p>
      <w:pPr>
        <w:widowControl/>
        <w:rPr>
          <w:rFonts w:hint="eastAsia" w:ascii="宋体" w:hAnsi="宋体" w:eastAsia="宋体" w:cs="宋体"/>
          <w:sz w:val="24"/>
          <w:szCs w:val="24"/>
          <w:lang w:val="en-US" w:eastAsia="en-US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（1）</w:t>
      </w:r>
      <w:r>
        <w:rPr>
          <w:rFonts w:hint="eastAsia" w:ascii="宋体" w:hAnsi="宋体" w:eastAsia="宋体" w:cs="宋体"/>
          <w:sz w:val="24"/>
          <w:szCs w:val="24"/>
          <w:lang w:val="en-US" w:eastAsia="en-US" w:bidi="ar-SA"/>
        </w:rPr>
        <w:t>应答人具有合法有效的企业法人营业执照、税务登记证及组织机构代码证 或证照合一的营业执照，应答时需提供原件扫描件（原件备查）。</w:t>
      </w:r>
    </w:p>
    <w:p>
      <w:pPr>
        <w:widowControl/>
        <w:rPr>
          <w:rFonts w:hint="eastAsia" w:ascii="宋体" w:hAnsi="宋体" w:eastAsia="宋体" w:cs="宋体"/>
          <w:sz w:val="24"/>
          <w:szCs w:val="24"/>
          <w:lang w:val="en-US" w:eastAsia="en-US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（2）</w:t>
      </w:r>
      <w:r>
        <w:rPr>
          <w:rFonts w:hint="eastAsia" w:ascii="宋体" w:hAnsi="宋体" w:eastAsia="宋体" w:cs="宋体"/>
          <w:sz w:val="24"/>
          <w:szCs w:val="24"/>
          <w:lang w:val="en-US" w:eastAsia="en-US" w:bidi="ar-SA"/>
        </w:rPr>
        <w:t>应答人为事业单位的，应具有合法有效的事业单位法人证书，应答时需提供原件扫描件（原件备查）。</w:t>
      </w:r>
    </w:p>
    <w:p>
      <w:pPr>
        <w:widowControl/>
        <w:rPr>
          <w:rFonts w:hint="eastAsia" w:ascii="宋体" w:hAnsi="宋体" w:eastAsia="宋体" w:cs="宋体"/>
          <w:sz w:val="24"/>
          <w:szCs w:val="24"/>
          <w:lang w:val="en-US" w:eastAsia="en-US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（3）</w:t>
      </w:r>
      <w:r>
        <w:rPr>
          <w:rFonts w:hint="eastAsia" w:ascii="宋体" w:hAnsi="宋体" w:eastAsia="宋体" w:cs="宋体"/>
          <w:sz w:val="24"/>
          <w:szCs w:val="24"/>
          <w:lang w:val="en-US" w:eastAsia="en-US" w:bidi="ar-SA"/>
        </w:rPr>
        <w:t>应答人为分公司的，应具有合法有效的营业执照和上级法人单位授权书，分公司与上级法人单位只可一家参与应答，同时参与应答的，应答均无效。</w:t>
      </w:r>
    </w:p>
    <w:p>
      <w:pPr>
        <w:pStyle w:val="8"/>
        <w:spacing w:line="360" w:lineRule="auto"/>
        <w:ind w:left="0" w:leftChars="0" w:firstLine="0" w:firstLineChars="0"/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color w:val="auto"/>
          <w:sz w:val="18"/>
          <w:szCs w:val="18"/>
          <w:highlight w:val="none"/>
          <w:lang w:val="en-US" w:eastAsia="zh-CN"/>
        </w:rPr>
        <w:t>★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 xml:space="preserve">业绩要求： </w:t>
      </w:r>
    </w:p>
    <w:bookmarkEnd w:id="0"/>
    <w:bookmarkEnd w:id="1"/>
    <w:p>
      <w:pPr>
        <w:pStyle w:val="8"/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1）2023年1月1日至应答截止日（以合同签署时间为准），应答人应提交至少1项已完成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 w:bidi="ar-SA"/>
        </w:rPr>
        <w:t>的图像采集类设备的销</w:t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售业绩。</w:t>
      </w:r>
    </w:p>
    <w:p>
      <w:pPr>
        <w:pStyle w:val="8"/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2）应答人须按规定格式提交业绩，并提交相关业绩证明文件。业绩证明文件必须至少体现以下内容：①业绩合同复印件，包括：合同首页、合同签署时间、合同签署页（应有双方签字或盖章）、供货内容等内容；②合同所对应的结算全额发票。（备注：上述两项资料都需要提供，否则可能影响评审结果）</w:t>
      </w:r>
    </w:p>
    <w:p>
      <w:pPr>
        <w:pStyle w:val="8"/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3）若业绩合同为框架协议，还应至少提供1项完成订单，要求订单编号或者内容要与框架协议相关联，并提供相应的发票。同一个年协合同提供1项及以上订单的均算为1个有效业绩。</w:t>
      </w:r>
    </w:p>
    <w:p>
      <w:pPr>
        <w:pStyle w:val="8"/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4）没有提供业绩证明文件或部分业绩证明文件，均视为未响应。应答人所提供的业绩须为合格且有效的业绩，全部发票不得出现因质量等问题导致的退票、作废、红冲等情况。评审时评委通过网上查询发票真伪，如查询发票出现退票、作废、红冲等情况，本项业绩将直接评审为不合格。如包含多项业绩，每项业绩均按照以上要求评审，如所有业绩评审均不合格，则此项将直接评审为不合格。</w:t>
      </w:r>
    </w:p>
    <w:p>
      <w:pPr>
        <w:pStyle w:val="8"/>
        <w:spacing w:line="360" w:lineRule="auto"/>
        <w:ind w:left="0" w:leftChars="0" w:firstLine="0" w:firstLineChars="0"/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b/>
          <w:bCs/>
          <w:color w:val="auto"/>
          <w:sz w:val="18"/>
          <w:szCs w:val="18"/>
          <w:highlight w:val="none"/>
          <w:lang w:val="en-US" w:eastAsia="zh-CN"/>
        </w:rPr>
        <w:t>★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供应商性质：</w:t>
      </w:r>
    </w:p>
    <w:p>
      <w:pPr>
        <w:keepNext w:val="0"/>
        <w:keepLines w:val="0"/>
        <w:suppressLineNumbers w:val="0"/>
        <w:spacing w:before="0" w:beforeAutospacing="0" w:after="0" w:afterAutospacing="0" w:line="240" w:lineRule="auto"/>
        <w:ind w:left="0" w:right="0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针对本次采购项目，接受应答人为报价货物的制造商或贸易商、代理商参与报价（报价人根据实际情况选择下列一种要求提供证明材料）。</w:t>
      </w:r>
    </w:p>
    <w:p>
      <w:pPr>
        <w:pStyle w:val="8"/>
        <w:numPr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（1）如为制造商，提供必要材料证明具备生产能力。（1）若自有厂房提供厂房产权证或土地使用证，若租赁厂房提供有效期内的租赁合同；（2）报价人自有的用于生产的生产设备，提供生产设备照片和购买合同，或者生产设备照片和购买发票。以上两项资料都需提供，否则会废标。（注：报价人关联公司（母、子公司等）的厂房不视为自有厂房，报价人关联公司（母、子公司等）的设备不视为自有设备）。</w:t>
      </w:r>
    </w:p>
    <w:p>
      <w:pPr>
        <w:pStyle w:val="8"/>
        <w:numPr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（2）如为</w:t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贸易商，需满足以下条件：</w:t>
      </w:r>
    </w:p>
    <w:p>
      <w:pPr>
        <w:pStyle w:val="8"/>
        <w:numPr>
          <w:numId w:val="0"/>
        </w:numPr>
        <w:spacing w:line="360" w:lineRule="auto"/>
        <w:ind w:lef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1）承揽中国海油的业务量与其资质能力、财务状况、质量保障能力相匹配。</w:t>
      </w:r>
    </w:p>
    <w:p>
      <w:pPr>
        <w:pStyle w:val="8"/>
        <w:numPr>
          <w:numId w:val="0"/>
        </w:numPr>
        <w:spacing w:line="360" w:lineRule="auto"/>
        <w:ind w:lef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2) 具有获取产品的渠道能力，且产品质量优良。</w:t>
      </w:r>
    </w:p>
    <w:p>
      <w:pPr>
        <w:pStyle w:val="8"/>
        <w:numPr>
          <w:numId w:val="0"/>
        </w:numPr>
        <w:spacing w:line="360" w:lineRule="auto"/>
        <w:ind w:lef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3）自有社保人数≥5人，可提供近个三月连续社保证明。</w:t>
      </w:r>
    </w:p>
    <w:p>
      <w:pPr>
        <w:pStyle w:val="8"/>
        <w:numPr>
          <w:numId w:val="0"/>
        </w:numPr>
        <w:spacing w:line="360" w:lineRule="auto"/>
        <w:ind w:lef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4）中国海油不是我司唯一服务客户，我司具有中国海油外业绩，且为近三年内已完成业绩，并可提供原件合同及发票备查。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>（3）如为</w:t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代理商，需满足以下条件：</w:t>
      </w:r>
    </w:p>
    <w:p>
      <w:pPr>
        <w:pStyle w:val="8"/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1）承揽中国海油的业务量与其资质能力、财务状况、质量保障能力相匹配。</w:t>
      </w:r>
    </w:p>
    <w:p>
      <w:pPr>
        <w:pStyle w:val="8"/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2) 具有获取产品的渠道能力，且产品质量优良。</w:t>
      </w:r>
    </w:p>
    <w:p>
      <w:pPr>
        <w:pStyle w:val="8"/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3）自有社保人数≥5人，可提供近个三月连续社保证明。</w:t>
      </w:r>
    </w:p>
    <w:p>
      <w:pPr>
        <w:pStyle w:val="8"/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4）中国海油不是我司唯一服务客户，我司具有中国海油外业绩，且为近三年内已完成业绩，并可提供原件合同及发票备查。</w:t>
      </w:r>
    </w:p>
    <w:p>
      <w:pPr>
        <w:pStyle w:val="2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5）具有有效的制造商授权代理证书，制造商为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 w:bidi="ar-SA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；授权的产品或服务为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 w:bidi="ar-SA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；代理模式为（□独家□一般□其他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 w:bidi="ar-SA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）代理商，且不属于项目代理，可提供制造商证明材料备查。</w:t>
      </w:r>
    </w:p>
    <w:p>
      <w:pPr>
        <w:pStyle w:val="8"/>
        <w:spacing w:line="360" w:lineRule="auto"/>
        <w:ind w:left="0" w:leftChars="0" w:firstLine="0" w:firstLineChars="0"/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b/>
          <w:bCs/>
          <w:color w:val="auto"/>
          <w:sz w:val="18"/>
          <w:szCs w:val="18"/>
          <w:highlight w:val="none"/>
          <w:lang w:val="en-US" w:eastAsia="zh-CN"/>
        </w:rPr>
        <w:t>★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信誉要求：</w:t>
      </w:r>
    </w:p>
    <w:p>
      <w:pPr>
        <w:jc w:val="both"/>
        <w:outlineLvl w:val="9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 xml:space="preserve">（1）应答人不得被各级法院中列入失信被执行人名单； </w:t>
      </w:r>
    </w:p>
    <w:p>
      <w:pPr>
        <w:jc w:val="left"/>
        <w:outlineLvl w:val="9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（2）应答人自2023年1月1日（提示：由投标截止日上推3年）起至投标截止时间止，应答人或其法定代表人、拟委任的项目负责人无行贿犯罪行为的。为便于招标人复核，应答人应自行到中国裁判文书网；（http://wenshu.court.gov.cn）查询本单位及其法定代表人、拟委任的项目负责人的行贿犯罪信息，确认没有行贿犯罪的页面截图打印出来，写明“经查我单位及法定代表人、项目负责人在截至本次投标时无行贿犯罪记录”加盖其公司公章提供给招标人；</w:t>
      </w:r>
    </w:p>
    <w:p>
      <w:pPr>
        <w:jc w:val="left"/>
        <w:outlineLvl w:val="9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（3）应答人承诺：中国海油在职员工（不含正式派出的）未有在应答人单位担任股东、法人代表、董事、监事和其他任职人员的情形。 注：（上述带网站网址的信誉要求条款，应答人请自行查询，将查询结果加盖公章后放入投标文件）。</w:t>
      </w:r>
    </w:p>
    <w:p>
      <w:pPr>
        <w:jc w:val="center"/>
        <w:outlineLvl w:val="9"/>
        <w:rPr>
          <w:rFonts w:hint="eastAsia" w:ascii="黑体" w:hAnsi="黑体" w:eastAsia="黑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>
      <w:pPr>
        <w:jc w:val="center"/>
        <w:outlineLvl w:val="9"/>
        <w:rPr>
          <w:rFonts w:hint="eastAsia" w:ascii="黑体" w:hAnsi="黑体" w:eastAsia="黑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>
      <w:pPr>
        <w:jc w:val="center"/>
        <w:outlineLvl w:val="9"/>
        <w:rPr>
          <w:rFonts w:hint="eastAsia" w:ascii="黑体" w:hAnsi="黑体" w:eastAsia="黑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>
      <w:pPr>
        <w:jc w:val="center"/>
        <w:outlineLvl w:val="9"/>
        <w:rPr>
          <w:rFonts w:hint="eastAsia" w:ascii="黑体" w:hAnsi="黑体" w:eastAsia="黑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>
      <w:pPr>
        <w:jc w:val="center"/>
        <w:outlineLvl w:val="9"/>
        <w:rPr>
          <w:rFonts w:hint="eastAsia" w:ascii="黑体" w:hAnsi="黑体" w:eastAsia="黑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>
      <w:pPr>
        <w:jc w:val="center"/>
        <w:outlineLvl w:val="9"/>
        <w:rPr>
          <w:rFonts w:hint="eastAsia" w:ascii="黑体" w:hAnsi="黑体" w:eastAsia="黑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>
      <w:pPr>
        <w:jc w:val="center"/>
        <w:outlineLvl w:val="9"/>
        <w:rPr>
          <w:rFonts w:hint="eastAsia" w:ascii="黑体" w:hAnsi="黑体" w:eastAsia="黑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>
      <w:pPr>
        <w:jc w:val="center"/>
        <w:outlineLvl w:val="9"/>
        <w:rPr>
          <w:rFonts w:hint="default" w:ascii="黑体" w:hAnsi="黑体" w:eastAsia="黑体"/>
          <w:b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2" w:name="_GoBack"/>
      <w:bookmarkEnd w:id="2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 UI">
    <w:altName w:val="Droid Sans Fallbac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JhMWJhZTQ4YzZjODAxNDNhNWMyYThjMjMyNjk1NjEifQ=="/>
  </w:docVars>
  <w:rsids>
    <w:rsidRoot w:val="005416CC"/>
    <w:rsid w:val="000004AD"/>
    <w:rsid w:val="000B54A3"/>
    <w:rsid w:val="00101862"/>
    <w:rsid w:val="001046B0"/>
    <w:rsid w:val="0011220A"/>
    <w:rsid w:val="001E50D7"/>
    <w:rsid w:val="00207642"/>
    <w:rsid w:val="002179F9"/>
    <w:rsid w:val="00244D83"/>
    <w:rsid w:val="0034249E"/>
    <w:rsid w:val="00405821"/>
    <w:rsid w:val="00465909"/>
    <w:rsid w:val="00510016"/>
    <w:rsid w:val="005416CC"/>
    <w:rsid w:val="005811F6"/>
    <w:rsid w:val="006A73D7"/>
    <w:rsid w:val="00793688"/>
    <w:rsid w:val="009903F6"/>
    <w:rsid w:val="009D7DEC"/>
    <w:rsid w:val="00B26127"/>
    <w:rsid w:val="00E3644E"/>
    <w:rsid w:val="00EA641F"/>
    <w:rsid w:val="00F046FF"/>
    <w:rsid w:val="018A0C01"/>
    <w:rsid w:val="01AD7413"/>
    <w:rsid w:val="01DD6ACC"/>
    <w:rsid w:val="030A7317"/>
    <w:rsid w:val="032E2DE6"/>
    <w:rsid w:val="052076D5"/>
    <w:rsid w:val="05F2584F"/>
    <w:rsid w:val="06AC0501"/>
    <w:rsid w:val="06F41180"/>
    <w:rsid w:val="07317B7D"/>
    <w:rsid w:val="079E3C9C"/>
    <w:rsid w:val="08392C80"/>
    <w:rsid w:val="08A53B3F"/>
    <w:rsid w:val="09621596"/>
    <w:rsid w:val="09C254F4"/>
    <w:rsid w:val="09E63982"/>
    <w:rsid w:val="0B375501"/>
    <w:rsid w:val="0CFC11A2"/>
    <w:rsid w:val="0D7336D7"/>
    <w:rsid w:val="0DC67D96"/>
    <w:rsid w:val="0ED87C76"/>
    <w:rsid w:val="0F8C280E"/>
    <w:rsid w:val="0FB737A9"/>
    <w:rsid w:val="104D4D6C"/>
    <w:rsid w:val="10BF5108"/>
    <w:rsid w:val="1224631A"/>
    <w:rsid w:val="126B7053"/>
    <w:rsid w:val="135276B5"/>
    <w:rsid w:val="13833F28"/>
    <w:rsid w:val="13885631"/>
    <w:rsid w:val="13AD22D8"/>
    <w:rsid w:val="141B4B0A"/>
    <w:rsid w:val="14C57350"/>
    <w:rsid w:val="14F1597F"/>
    <w:rsid w:val="153D3846"/>
    <w:rsid w:val="15576A90"/>
    <w:rsid w:val="15B5080F"/>
    <w:rsid w:val="162F0CF2"/>
    <w:rsid w:val="1808510E"/>
    <w:rsid w:val="186A1C00"/>
    <w:rsid w:val="186E1913"/>
    <w:rsid w:val="192B2C59"/>
    <w:rsid w:val="199713EA"/>
    <w:rsid w:val="1A240C73"/>
    <w:rsid w:val="1A9628AA"/>
    <w:rsid w:val="1ADB1218"/>
    <w:rsid w:val="1B8C2902"/>
    <w:rsid w:val="1BB511B2"/>
    <w:rsid w:val="1CE97AB9"/>
    <w:rsid w:val="1D0165EA"/>
    <w:rsid w:val="1D284742"/>
    <w:rsid w:val="1D395428"/>
    <w:rsid w:val="1D620362"/>
    <w:rsid w:val="1DF7657D"/>
    <w:rsid w:val="1EFC4C0E"/>
    <w:rsid w:val="1F0771F7"/>
    <w:rsid w:val="20132BAC"/>
    <w:rsid w:val="208233EF"/>
    <w:rsid w:val="21346507"/>
    <w:rsid w:val="219D08AB"/>
    <w:rsid w:val="22660E07"/>
    <w:rsid w:val="227C2A97"/>
    <w:rsid w:val="227D55A4"/>
    <w:rsid w:val="229D0F77"/>
    <w:rsid w:val="24223B77"/>
    <w:rsid w:val="24367F76"/>
    <w:rsid w:val="24667681"/>
    <w:rsid w:val="25073049"/>
    <w:rsid w:val="268D5D4F"/>
    <w:rsid w:val="28D56EC0"/>
    <w:rsid w:val="2A225855"/>
    <w:rsid w:val="2ACB3B4E"/>
    <w:rsid w:val="2AFE79D7"/>
    <w:rsid w:val="2BF319D0"/>
    <w:rsid w:val="2C394F5B"/>
    <w:rsid w:val="2D2C2B04"/>
    <w:rsid w:val="2DF7019E"/>
    <w:rsid w:val="2F15297B"/>
    <w:rsid w:val="2F3C476D"/>
    <w:rsid w:val="2F80399E"/>
    <w:rsid w:val="313E07BD"/>
    <w:rsid w:val="315D2D09"/>
    <w:rsid w:val="31AC630C"/>
    <w:rsid w:val="31C72EE6"/>
    <w:rsid w:val="32BB1B3A"/>
    <w:rsid w:val="330E4C4E"/>
    <w:rsid w:val="33CE6AA4"/>
    <w:rsid w:val="347507BC"/>
    <w:rsid w:val="34AC0E5D"/>
    <w:rsid w:val="355F119C"/>
    <w:rsid w:val="36445A95"/>
    <w:rsid w:val="369A0A23"/>
    <w:rsid w:val="36C10065"/>
    <w:rsid w:val="37111966"/>
    <w:rsid w:val="388A00B1"/>
    <w:rsid w:val="389A4C91"/>
    <w:rsid w:val="39F5707E"/>
    <w:rsid w:val="3B2136F0"/>
    <w:rsid w:val="3C6514A3"/>
    <w:rsid w:val="3C68729E"/>
    <w:rsid w:val="3C742C4C"/>
    <w:rsid w:val="3CFFE64F"/>
    <w:rsid w:val="3D964BB4"/>
    <w:rsid w:val="3DD849E3"/>
    <w:rsid w:val="3ED45DA4"/>
    <w:rsid w:val="3ED7241F"/>
    <w:rsid w:val="3FAB2584"/>
    <w:rsid w:val="40130F24"/>
    <w:rsid w:val="404104F9"/>
    <w:rsid w:val="40550A94"/>
    <w:rsid w:val="40B604B8"/>
    <w:rsid w:val="419A7831"/>
    <w:rsid w:val="41CD6F0C"/>
    <w:rsid w:val="41E60F1A"/>
    <w:rsid w:val="421A4959"/>
    <w:rsid w:val="42D0213D"/>
    <w:rsid w:val="43923868"/>
    <w:rsid w:val="43D22DC0"/>
    <w:rsid w:val="447211D8"/>
    <w:rsid w:val="449E239E"/>
    <w:rsid w:val="466B2BA2"/>
    <w:rsid w:val="46C918BE"/>
    <w:rsid w:val="47372FE6"/>
    <w:rsid w:val="483D2E89"/>
    <w:rsid w:val="48544460"/>
    <w:rsid w:val="48747149"/>
    <w:rsid w:val="496B3A52"/>
    <w:rsid w:val="499C08B6"/>
    <w:rsid w:val="49BE170B"/>
    <w:rsid w:val="4A514331"/>
    <w:rsid w:val="4B037E14"/>
    <w:rsid w:val="4B477F0A"/>
    <w:rsid w:val="4B4D0748"/>
    <w:rsid w:val="4B723891"/>
    <w:rsid w:val="4B977B17"/>
    <w:rsid w:val="4BEC4E4D"/>
    <w:rsid w:val="4C8E55BC"/>
    <w:rsid w:val="4CB21C7C"/>
    <w:rsid w:val="4CDF5BD4"/>
    <w:rsid w:val="4D1474EB"/>
    <w:rsid w:val="4D3C2946"/>
    <w:rsid w:val="4D5D3024"/>
    <w:rsid w:val="4EB25654"/>
    <w:rsid w:val="4FEF7E37"/>
    <w:rsid w:val="5057296A"/>
    <w:rsid w:val="50A046BC"/>
    <w:rsid w:val="50A628DD"/>
    <w:rsid w:val="51FA0FC1"/>
    <w:rsid w:val="52FE2AB7"/>
    <w:rsid w:val="537539FA"/>
    <w:rsid w:val="555C427C"/>
    <w:rsid w:val="55A968B0"/>
    <w:rsid w:val="56024CC2"/>
    <w:rsid w:val="563D1091"/>
    <w:rsid w:val="56DC352C"/>
    <w:rsid w:val="58155C60"/>
    <w:rsid w:val="582C5C37"/>
    <w:rsid w:val="58366547"/>
    <w:rsid w:val="597F36AF"/>
    <w:rsid w:val="5A6E1669"/>
    <w:rsid w:val="5AA76556"/>
    <w:rsid w:val="5B2F7529"/>
    <w:rsid w:val="5BB60836"/>
    <w:rsid w:val="5BEB4FDF"/>
    <w:rsid w:val="5D276434"/>
    <w:rsid w:val="5D406CA0"/>
    <w:rsid w:val="5D4C3F91"/>
    <w:rsid w:val="5D6F1A08"/>
    <w:rsid w:val="5D97319B"/>
    <w:rsid w:val="5E0B4AD1"/>
    <w:rsid w:val="5E782489"/>
    <w:rsid w:val="5FD27242"/>
    <w:rsid w:val="5FF22CA5"/>
    <w:rsid w:val="5FFFBB82"/>
    <w:rsid w:val="603440DE"/>
    <w:rsid w:val="61526439"/>
    <w:rsid w:val="616D1D11"/>
    <w:rsid w:val="61AA6976"/>
    <w:rsid w:val="62233ED9"/>
    <w:rsid w:val="62C5631B"/>
    <w:rsid w:val="62D56AC4"/>
    <w:rsid w:val="62F85172"/>
    <w:rsid w:val="6357379B"/>
    <w:rsid w:val="644C11B4"/>
    <w:rsid w:val="669D141B"/>
    <w:rsid w:val="66B323F9"/>
    <w:rsid w:val="66FD60EB"/>
    <w:rsid w:val="6715402C"/>
    <w:rsid w:val="67AC32A5"/>
    <w:rsid w:val="680848B9"/>
    <w:rsid w:val="689E1934"/>
    <w:rsid w:val="68C11690"/>
    <w:rsid w:val="69262B12"/>
    <w:rsid w:val="696B760A"/>
    <w:rsid w:val="6A586707"/>
    <w:rsid w:val="6AE83F12"/>
    <w:rsid w:val="6C0360C6"/>
    <w:rsid w:val="6C0A4BCD"/>
    <w:rsid w:val="6C1A4482"/>
    <w:rsid w:val="6C5F2AE0"/>
    <w:rsid w:val="6CA86B23"/>
    <w:rsid w:val="6CD550FC"/>
    <w:rsid w:val="6CD82036"/>
    <w:rsid w:val="6CFF4B44"/>
    <w:rsid w:val="6E0E1A5F"/>
    <w:rsid w:val="6E993C51"/>
    <w:rsid w:val="6EC52DE9"/>
    <w:rsid w:val="6EEE24F3"/>
    <w:rsid w:val="6F253C0F"/>
    <w:rsid w:val="6F4D0429"/>
    <w:rsid w:val="6F6D675F"/>
    <w:rsid w:val="6F967B51"/>
    <w:rsid w:val="6FA10775"/>
    <w:rsid w:val="6FCF34C9"/>
    <w:rsid w:val="6FD1622B"/>
    <w:rsid w:val="70D74BA8"/>
    <w:rsid w:val="71477F3F"/>
    <w:rsid w:val="746A65F5"/>
    <w:rsid w:val="74862689"/>
    <w:rsid w:val="74F57957"/>
    <w:rsid w:val="759D6F04"/>
    <w:rsid w:val="75CB0B67"/>
    <w:rsid w:val="75D9721E"/>
    <w:rsid w:val="768C1913"/>
    <w:rsid w:val="76AF3B36"/>
    <w:rsid w:val="76D07B19"/>
    <w:rsid w:val="771976F5"/>
    <w:rsid w:val="77276A0B"/>
    <w:rsid w:val="77D10D5E"/>
    <w:rsid w:val="78321267"/>
    <w:rsid w:val="7833714F"/>
    <w:rsid w:val="78760F2E"/>
    <w:rsid w:val="79001B14"/>
    <w:rsid w:val="79006B25"/>
    <w:rsid w:val="79697EBE"/>
    <w:rsid w:val="7A1302CB"/>
    <w:rsid w:val="7C4C127B"/>
    <w:rsid w:val="7C9B7F09"/>
    <w:rsid w:val="7EFA2E85"/>
    <w:rsid w:val="BA63FFEA"/>
    <w:rsid w:val="BF5F3472"/>
    <w:rsid w:val="ECAE086C"/>
    <w:rsid w:val="F6DB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nhideWhenUsed="0" w:uiPriority="1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0" w:semiHidden="0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qFormat/>
    <w:uiPriority w:val="1"/>
    <w:pPr>
      <w:spacing w:line="610" w:lineRule="exact"/>
      <w:ind w:left="-4" w:right="11"/>
      <w:jc w:val="center"/>
      <w:outlineLvl w:val="0"/>
    </w:pPr>
    <w:rPr>
      <w:rFonts w:ascii="Microsoft YaHei UI" w:hAnsi="Microsoft YaHei UI" w:eastAsia="Microsoft YaHei UI"/>
      <w:spacing w:val="2"/>
      <w:sz w:val="44"/>
      <w:szCs w:val="44"/>
      <w:lang w:eastAsia="zh-CN"/>
    </w:rPr>
  </w:style>
  <w:style w:type="paragraph" w:styleId="4">
    <w:name w:val="heading 2"/>
    <w:basedOn w:val="1"/>
    <w:next w:val="1"/>
    <w:qFormat/>
    <w:uiPriority w:val="1"/>
    <w:pPr>
      <w:spacing w:line="479" w:lineRule="exact"/>
      <w:outlineLvl w:val="1"/>
    </w:pPr>
    <w:rPr>
      <w:rFonts w:ascii="Microsoft YaHei UI" w:hAnsi="Microsoft YaHei UI" w:eastAsia="Microsoft YaHei UI"/>
      <w:spacing w:val="2"/>
      <w:sz w:val="32"/>
      <w:szCs w:val="32"/>
      <w:lang w:eastAsia="zh-CN"/>
    </w:rPr>
  </w:style>
  <w:style w:type="paragraph" w:styleId="5">
    <w:name w:val="heading 4"/>
    <w:basedOn w:val="1"/>
    <w:next w:val="1"/>
    <w:qFormat/>
    <w:uiPriority w:val="1"/>
    <w:pPr>
      <w:spacing w:before="14"/>
      <w:ind w:left="494"/>
      <w:outlineLvl w:val="3"/>
    </w:pPr>
    <w:rPr>
      <w:rFonts w:ascii="宋体" w:hAnsi="宋体" w:eastAsia="宋体"/>
      <w:sz w:val="28"/>
      <w:szCs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Indent"/>
    <w:basedOn w:val="1"/>
    <w:next w:val="1"/>
    <w:unhideWhenUsed/>
    <w:qFormat/>
    <w:uiPriority w:val="99"/>
    <w:pPr>
      <w:ind w:firstLine="420" w:firstLineChars="200"/>
      <w:jc w:val="both"/>
    </w:pPr>
    <w:rPr>
      <w:rFonts w:ascii="Calibri" w:hAnsi="Calibri" w:eastAsia="宋体" w:cs="Times New Roman"/>
      <w:kern w:val="2"/>
      <w:sz w:val="21"/>
      <w:lang w:eastAsia="zh-CN"/>
    </w:rPr>
  </w:style>
  <w:style w:type="paragraph" w:styleId="7">
    <w:name w:val="annotation text"/>
    <w:basedOn w:val="1"/>
    <w:semiHidden/>
    <w:unhideWhenUsed/>
    <w:qFormat/>
    <w:uiPriority w:val="99"/>
  </w:style>
  <w:style w:type="paragraph" w:styleId="8">
    <w:name w:val="Body Text"/>
    <w:basedOn w:val="1"/>
    <w:next w:val="1"/>
    <w:link w:val="23"/>
    <w:qFormat/>
    <w:uiPriority w:val="1"/>
    <w:pPr>
      <w:ind w:firstLine="200" w:firstLineChars="200"/>
      <w:jc w:val="both"/>
    </w:pPr>
    <w:rPr>
      <w:rFonts w:ascii="Microsoft YaHei UI" w:hAnsi="Microsoft YaHei UI" w:eastAsia="Microsoft YaHei UI"/>
      <w:sz w:val="21"/>
      <w:szCs w:val="21"/>
    </w:rPr>
  </w:style>
  <w:style w:type="paragraph" w:styleId="9">
    <w:name w:val="Body Text Indent"/>
    <w:basedOn w:val="1"/>
    <w:next w:val="10"/>
    <w:qFormat/>
    <w:uiPriority w:val="0"/>
    <w:pPr>
      <w:widowControl/>
      <w:spacing w:after="120"/>
      <w:ind w:left="420" w:leftChars="200"/>
    </w:pPr>
    <w:rPr>
      <w:rFonts w:ascii="Calibri" w:hAnsi="Calibri" w:eastAsia="宋体" w:cs="Times New Roman"/>
      <w:sz w:val="24"/>
      <w:szCs w:val="24"/>
      <w:lang w:val="zh-CN" w:eastAsia="zh-CN"/>
    </w:rPr>
  </w:style>
  <w:style w:type="paragraph" w:styleId="10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1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6"/>
    <w:basedOn w:val="1"/>
    <w:next w:val="1"/>
    <w:qFormat/>
    <w:uiPriority w:val="0"/>
    <w:pPr>
      <w:ind w:left="2100" w:leftChars="1000"/>
    </w:pPr>
  </w:style>
  <w:style w:type="paragraph" w:styleId="13">
    <w:name w:val="Body Text First Indent"/>
    <w:basedOn w:val="8"/>
    <w:next w:val="12"/>
    <w:qFormat/>
    <w:uiPriority w:val="0"/>
    <w:pPr>
      <w:widowControl/>
      <w:spacing w:before="0" w:after="120"/>
      <w:ind w:left="0" w:firstLine="420" w:firstLineChars="100"/>
    </w:pPr>
    <w:rPr>
      <w:rFonts w:ascii="Arial" w:hAnsi="Arial" w:cs="Times New Roman"/>
      <w:szCs w:val="20"/>
      <w:lang w:val="zh-CN"/>
    </w:rPr>
  </w:style>
  <w:style w:type="paragraph" w:styleId="14">
    <w:name w:val="Body Text First Indent 2"/>
    <w:basedOn w:val="9"/>
    <w:next w:val="1"/>
    <w:unhideWhenUsed/>
    <w:qFormat/>
    <w:uiPriority w:val="0"/>
    <w:pPr>
      <w:ind w:firstLine="420" w:firstLineChars="200"/>
    </w:pPr>
    <w:rPr>
      <w:rFonts w:eastAsia="宋体" w:cs="Times New Roman"/>
      <w:kern w:val="2"/>
      <w:sz w:val="21"/>
      <w:szCs w:val="22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qFormat/>
    <w:uiPriority w:val="0"/>
    <w:rPr>
      <w:color w:val="0000FF"/>
      <w:u w:val="single"/>
    </w:rPr>
  </w:style>
  <w:style w:type="paragraph" w:customStyle="1" w:styleId="19">
    <w:name w:val="Default"/>
    <w:next w:val="20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20">
    <w:name w:val="大标题"/>
    <w:basedOn w:val="1"/>
    <w:next w:val="14"/>
    <w:qFormat/>
    <w:uiPriority w:val="0"/>
    <w:pPr>
      <w:jc w:val="center"/>
    </w:pPr>
    <w:rPr>
      <w:rFonts w:ascii="Arial" w:hAnsi="Arial"/>
      <w:b/>
      <w:sz w:val="28"/>
    </w:rPr>
  </w:style>
  <w:style w:type="character" w:customStyle="1" w:styleId="21">
    <w:name w:val="页眉 字符"/>
    <w:basedOn w:val="17"/>
    <w:link w:val="11"/>
    <w:qFormat/>
    <w:uiPriority w:val="99"/>
    <w:rPr>
      <w:sz w:val="18"/>
      <w:szCs w:val="18"/>
    </w:rPr>
  </w:style>
  <w:style w:type="character" w:customStyle="1" w:styleId="22">
    <w:name w:val="页脚 字符"/>
    <w:basedOn w:val="17"/>
    <w:link w:val="2"/>
    <w:qFormat/>
    <w:uiPriority w:val="99"/>
    <w:rPr>
      <w:sz w:val="18"/>
      <w:szCs w:val="18"/>
    </w:rPr>
  </w:style>
  <w:style w:type="character" w:customStyle="1" w:styleId="23">
    <w:name w:val="正文文本 字符"/>
    <w:basedOn w:val="17"/>
    <w:link w:val="8"/>
    <w:qFormat/>
    <w:uiPriority w:val="1"/>
    <w:rPr>
      <w:rFonts w:ascii="Microsoft YaHei UI" w:hAnsi="Microsoft YaHei UI" w:eastAsia="Microsoft YaHei UI"/>
      <w:kern w:val="0"/>
      <w:szCs w:val="21"/>
      <w:lang w:eastAsia="en-US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paragraph" w:customStyle="1" w:styleId="25">
    <w:name w:val="Table Paragraph"/>
    <w:basedOn w:val="1"/>
    <w:qFormat/>
    <w:uiPriority w:val="1"/>
  </w:style>
  <w:style w:type="paragraph" w:customStyle="1" w:styleId="26">
    <w:name w:val="Normal_0"/>
    <w:qFormat/>
    <w:uiPriority w:val="0"/>
    <w:rPr>
      <w:rFonts w:ascii="Times New Roman" w:hAnsi="Times New Roman" w:eastAsia="Times New Roman" w:cs="Times New Roman"/>
      <w:sz w:val="24"/>
      <w:szCs w:val="24"/>
      <w:lang w:bidi="ar-SA"/>
    </w:rPr>
  </w:style>
  <w:style w:type="paragraph" w:customStyle="1" w:styleId="27">
    <w:name w:val="Normal_11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customStyle="1" w:styleId="28">
    <w:name w:val="正文_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9">
    <w:name w:val="书目1"/>
    <w:basedOn w:val="1"/>
    <w:next w:val="1"/>
    <w:unhideWhenUsed/>
    <w:qFormat/>
    <w:uiPriority w:val="37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1396</Words>
  <Characters>1485</Characters>
  <Lines>23</Lines>
  <Paragraphs>6</Paragraphs>
  <TotalTime>1</TotalTime>
  <ScaleCrop>false</ScaleCrop>
  <LinksUpToDate>false</LinksUpToDate>
  <CharactersWithSpaces>1514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2021-05-14T16:45:00Z</dcterms:created>
  <dc:creator>许朝阳</dc:creator>
  <cp:lastModifiedBy>yanxh8</cp:lastModifiedBy>
  <dcterms:modified xsi:type="dcterms:W3CDTF">2026-01-21T16:06:29Z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0085760DB02A4CF591AA1BB51485FAEF</vt:lpwstr>
  </property>
</Properties>
</file>