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numPr>
          <w:ilvl w:val="0"/>
          <w:numId w:val="1"/>
        </w:numPr>
        <w:wordWrap/>
        <w:topLinePunct w:val="0"/>
        <w:bidi w:val="0"/>
        <w:spacing w:line="360" w:lineRule="exact"/>
        <w:rPr>
          <w:rFonts w:hint="eastAsia" w:eastAsia="宋体" w:cs="Times New Roman"/>
          <w:color w:val="auto"/>
          <w:szCs w:val="22"/>
          <w:highlight w:val="none"/>
        </w:rPr>
      </w:pPr>
      <w:bookmarkStart w:id="0" w:name="_Toc146123636"/>
      <w:r>
        <w:rPr>
          <w:rFonts w:hint="eastAsia" w:eastAsia="宋体" w:cs="Times New Roman"/>
          <w:color w:val="auto"/>
          <w:szCs w:val="22"/>
          <w:highlight w:val="none"/>
        </w:rPr>
        <w:t xml:space="preserve"> 资格预审公告</w:t>
      </w:r>
      <w:bookmarkEnd w:id="0"/>
    </w:p>
    <w:p>
      <w:pPr>
        <w:pageBreakBefore w:val="0"/>
        <w:topLinePunct w:val="0"/>
        <w:bidi w:val="0"/>
        <w:spacing w:line="360" w:lineRule="exact"/>
        <w:jc w:val="center"/>
        <w:rPr>
          <w:rFonts w:ascii="黑体" w:hAnsi="黑体" w:eastAsia="黑体"/>
          <w:sz w:val="32"/>
          <w:highlight w:val="none"/>
        </w:rPr>
      </w:pPr>
    </w:p>
    <w:p>
      <w:pPr>
        <w:pageBreakBefore w:val="0"/>
        <w:topLinePunct w:val="0"/>
        <w:bidi w:val="0"/>
        <w:adjustRightInd w:val="0"/>
        <w:snapToGrid w:val="0"/>
        <w:spacing w:line="360" w:lineRule="exact"/>
        <w:jc w:val="center"/>
        <w:rPr>
          <w:rFonts w:hint="eastAsia" w:ascii="宋体" w:hAnsi="宋体" w:eastAsia="宋体" w:cs="宋体"/>
          <w:b/>
          <w:bCs/>
          <w:sz w:val="28"/>
          <w:szCs w:val="28"/>
          <w:highlight w:val="none"/>
          <w:lang w:val="en-US" w:eastAsia="zh-CN"/>
        </w:rPr>
      </w:pPr>
      <w:r>
        <w:rPr>
          <w:rFonts w:hint="eastAsia" w:ascii="宋体" w:hAnsi="宋体" w:cs="宋体"/>
          <w:b/>
          <w:bCs/>
          <w:sz w:val="28"/>
          <w:szCs w:val="28"/>
          <w:highlight w:val="none"/>
          <w:lang w:val="zh-CN"/>
        </w:rPr>
        <w:t>国网重庆市电力公司产业2024年第二次补充物资框架入围（资格预审）采购</w:t>
      </w:r>
    </w:p>
    <w:p>
      <w:pPr>
        <w:pageBreakBefore w:val="0"/>
        <w:topLinePunct w:val="0"/>
        <w:bidi w:val="0"/>
        <w:adjustRightInd w:val="0"/>
        <w:snapToGrid w:val="0"/>
        <w:spacing w:line="360" w:lineRule="exact"/>
        <w:jc w:val="center"/>
        <w:rPr>
          <w:rFonts w:hint="eastAsia" w:eastAsia="宋体"/>
          <w:b/>
          <w:strike/>
          <w:dstrike w:val="0"/>
          <w:sz w:val="28"/>
          <w:szCs w:val="28"/>
          <w:highlight w:val="none"/>
          <w:lang w:eastAsia="zh-CN"/>
        </w:rPr>
      </w:pPr>
      <w:r>
        <w:rPr>
          <w:rFonts w:hint="eastAsia"/>
          <w:b/>
          <w:sz w:val="28"/>
          <w:szCs w:val="28"/>
          <w:highlight w:val="none"/>
        </w:rPr>
        <w:t>预审</w:t>
      </w:r>
      <w:r>
        <w:rPr>
          <w:b/>
          <w:sz w:val="28"/>
          <w:szCs w:val="28"/>
          <w:highlight w:val="none"/>
        </w:rPr>
        <w:t>编号：</w:t>
      </w:r>
      <w:r>
        <w:rPr>
          <w:rFonts w:hint="eastAsia"/>
          <w:b/>
          <w:strike w:val="0"/>
          <w:dstrike w:val="0"/>
          <w:sz w:val="28"/>
          <w:szCs w:val="28"/>
          <w:highlight w:val="none"/>
          <w:lang w:eastAsia="zh-CN"/>
        </w:rPr>
        <w:t>202405KJ</w:t>
      </w:r>
    </w:p>
    <w:p>
      <w:pPr>
        <w:pageBreakBefore w:val="0"/>
        <w:topLinePunct w:val="0"/>
        <w:bidi w:val="0"/>
        <w:adjustRightInd w:val="0"/>
        <w:snapToGrid w:val="0"/>
        <w:spacing w:line="360" w:lineRule="exact"/>
        <w:jc w:val="center"/>
        <w:rPr>
          <w:b/>
          <w:color w:val="FF0000"/>
          <w:szCs w:val="21"/>
          <w:highlight w:val="none"/>
        </w:rPr>
      </w:pPr>
    </w:p>
    <w:p>
      <w:pPr>
        <w:pageBreakBefore w:val="0"/>
        <w:topLinePunct w:val="0"/>
        <w:bidi w:val="0"/>
        <w:spacing w:line="360" w:lineRule="exact"/>
        <w:jc w:val="right"/>
        <w:rPr>
          <w:sz w:val="20"/>
          <w:szCs w:val="28"/>
          <w:highlight w:val="none"/>
        </w:rPr>
      </w:pPr>
    </w:p>
    <w:p>
      <w:pPr>
        <w:pStyle w:val="27"/>
        <w:keepNext w:val="0"/>
        <w:keepLines w:val="0"/>
        <w:pageBreakBefore w:val="0"/>
        <w:widowControl/>
        <w:wordWrap/>
        <w:topLinePunct w:val="0"/>
        <w:bidi w:val="0"/>
        <w:spacing w:line="360" w:lineRule="exact"/>
        <w:ind w:firstLine="422"/>
        <w:jc w:val="left"/>
        <w:outlineLvl w:val="1"/>
        <w:rPr>
          <w:rFonts w:hint="eastAsia" w:ascii="宋体" w:hAnsi="宋体" w:eastAsia="宋体" w:cs="宋体"/>
          <w:b/>
          <w:color w:val="auto"/>
          <w:kern w:val="0"/>
          <w:sz w:val="21"/>
          <w:szCs w:val="21"/>
          <w:highlight w:val="none"/>
        </w:rPr>
      </w:pPr>
      <w:bookmarkStart w:id="1" w:name="_Toc144974394"/>
      <w:bookmarkStart w:id="2" w:name="_Toc152047191"/>
      <w:bookmarkStart w:id="3" w:name="_Toc146123637"/>
      <w:bookmarkStart w:id="4" w:name="_Toc48841731"/>
      <w:bookmarkStart w:id="5" w:name="_Toc16249"/>
      <w:bookmarkStart w:id="6" w:name="_Toc408358701"/>
      <w:r>
        <w:rPr>
          <w:rFonts w:hint="eastAsia" w:ascii="宋体" w:hAnsi="宋体" w:eastAsia="宋体" w:cs="宋体"/>
          <w:b/>
          <w:color w:val="auto"/>
          <w:kern w:val="0"/>
          <w:sz w:val="21"/>
          <w:szCs w:val="21"/>
          <w:highlight w:val="none"/>
        </w:rPr>
        <w:t>1．</w:t>
      </w:r>
      <w:r>
        <w:rPr>
          <w:rFonts w:hint="eastAsia" w:ascii="宋体" w:hAnsi="宋体" w:eastAsia="宋体" w:cs="宋体"/>
          <w:b/>
          <w:color w:val="auto"/>
          <w:kern w:val="0"/>
          <w:sz w:val="21"/>
          <w:szCs w:val="21"/>
          <w:highlight w:val="none"/>
          <w:lang w:val="en-US" w:eastAsia="zh-CN"/>
        </w:rPr>
        <w:t>采购</w:t>
      </w:r>
      <w:r>
        <w:rPr>
          <w:rFonts w:hint="eastAsia" w:ascii="宋体" w:hAnsi="宋体" w:eastAsia="宋体" w:cs="宋体"/>
          <w:b/>
          <w:color w:val="auto"/>
          <w:kern w:val="0"/>
          <w:sz w:val="21"/>
          <w:szCs w:val="21"/>
          <w:highlight w:val="none"/>
        </w:rPr>
        <w:t>条件</w:t>
      </w:r>
      <w:bookmarkEnd w:id="1"/>
      <w:bookmarkEnd w:id="2"/>
      <w:bookmarkEnd w:id="3"/>
      <w:bookmarkEnd w:id="4"/>
      <w:bookmarkEnd w:id="5"/>
      <w:bookmarkEnd w:id="6"/>
    </w:p>
    <w:p>
      <w:pPr>
        <w:pStyle w:val="27"/>
        <w:keepNext w:val="0"/>
        <w:keepLines w:val="0"/>
        <w:pageBreakBefore w:val="0"/>
        <w:widowControl/>
        <w:wordWrap/>
        <w:topLinePunct w:val="0"/>
        <w:bidi w:val="0"/>
        <w:spacing w:line="360" w:lineRule="exact"/>
        <w:ind w:firstLine="422"/>
        <w:jc w:val="left"/>
        <w:outlineLvl w:val="1"/>
        <w:rPr>
          <w:rFonts w:hint="eastAsia" w:ascii="宋体" w:hAnsi="宋体" w:eastAsia="宋体" w:cs="宋体"/>
          <w:sz w:val="21"/>
          <w:szCs w:val="21"/>
          <w:highlight w:val="none"/>
        </w:rPr>
      </w:pPr>
      <w:bookmarkStart w:id="7" w:name="_Toc144974395"/>
      <w:bookmarkStart w:id="8" w:name="_Toc152047192"/>
      <w:bookmarkStart w:id="9" w:name="_Toc408358702"/>
      <w:r>
        <w:rPr>
          <w:rFonts w:hint="eastAsia" w:ascii="宋体" w:hAnsi="宋体" w:eastAsia="宋体" w:cs="宋体"/>
          <w:b/>
          <w:color w:val="auto"/>
          <w:kern w:val="0"/>
          <w:sz w:val="21"/>
          <w:szCs w:val="21"/>
          <w:highlight w:val="none"/>
        </w:rPr>
        <w:t>本项目的项目建设单位为国网重庆市电力公司所属子公司（含产业单位）（以下简称“项</w:t>
      </w:r>
      <w:r>
        <w:rPr>
          <w:rFonts w:hint="eastAsia" w:ascii="宋体" w:hAnsi="宋体" w:eastAsia="宋体" w:cs="宋体"/>
          <w:sz w:val="21"/>
          <w:szCs w:val="21"/>
          <w:highlight w:val="none"/>
        </w:rPr>
        <w:t>目单位”），</w:t>
      </w:r>
      <w:r>
        <w:rPr>
          <w:rStyle w:val="25"/>
          <w:rFonts w:hint="eastAsia" w:ascii="宋体" w:hAnsi="宋体" w:eastAsia="宋体" w:cs="宋体"/>
          <w:color w:val="auto"/>
          <w:sz w:val="21"/>
          <w:szCs w:val="21"/>
          <w:highlight w:val="none"/>
        </w:rPr>
        <w:t>建设资金来自</w:t>
      </w:r>
      <w:r>
        <w:rPr>
          <w:rStyle w:val="25"/>
          <w:rFonts w:hint="eastAsia" w:ascii="宋体" w:hAnsi="宋体" w:eastAsia="宋体" w:cs="宋体"/>
          <w:color w:val="auto"/>
          <w:sz w:val="21"/>
          <w:szCs w:val="21"/>
          <w:highlight w:val="none"/>
          <w:lang w:eastAsia="zh-CN"/>
        </w:rPr>
        <w:t>采购人</w:t>
      </w:r>
      <w:r>
        <w:rPr>
          <w:rStyle w:val="25"/>
          <w:rFonts w:hint="eastAsia" w:ascii="宋体" w:hAnsi="宋体" w:eastAsia="宋体" w:cs="宋体"/>
          <w:color w:val="auto"/>
          <w:sz w:val="21"/>
          <w:szCs w:val="21"/>
          <w:highlight w:val="none"/>
        </w:rPr>
        <w:t>自有资金</w:t>
      </w:r>
      <w:r>
        <w:rPr>
          <w:rFonts w:hint="eastAsia" w:ascii="宋体" w:hAnsi="宋体" w:eastAsia="宋体" w:cs="宋体"/>
          <w:sz w:val="21"/>
          <w:szCs w:val="21"/>
          <w:highlight w:val="none"/>
        </w:rPr>
        <w:t>，出资比例为100%。</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为</w:t>
      </w:r>
      <w:r>
        <w:rPr>
          <w:rStyle w:val="25"/>
          <w:rFonts w:hint="eastAsia" w:ascii="宋体" w:hAnsi="宋体" w:eastAsia="宋体" w:cs="宋体"/>
          <w:color w:val="auto"/>
          <w:sz w:val="21"/>
          <w:szCs w:val="21"/>
          <w:highlight w:val="none"/>
        </w:rPr>
        <w:t>国网重庆市电力公司</w:t>
      </w:r>
      <w:r>
        <w:rPr>
          <w:rFonts w:hint="eastAsia" w:ascii="宋体" w:hAnsi="宋体" w:eastAsia="宋体" w:cs="宋体"/>
          <w:sz w:val="21"/>
          <w:szCs w:val="21"/>
          <w:highlight w:val="none"/>
        </w:rPr>
        <w:t>，并委托</w:t>
      </w:r>
      <w:r>
        <w:rPr>
          <w:rStyle w:val="25"/>
          <w:rFonts w:hint="eastAsia" w:ascii="宋体" w:hAnsi="宋体" w:eastAsia="宋体" w:cs="宋体"/>
          <w:color w:val="auto"/>
          <w:sz w:val="21"/>
          <w:szCs w:val="21"/>
          <w:highlight w:val="none"/>
        </w:rPr>
        <w:t>重庆展帆电力工程勘察设计咨询有限公司嘉智达分公司</w:t>
      </w:r>
      <w:r>
        <w:rPr>
          <w:rFonts w:hint="eastAsia" w:ascii="宋体" w:hAnsi="宋体" w:eastAsia="宋体" w:cs="宋体"/>
          <w:sz w:val="21"/>
          <w:szCs w:val="21"/>
          <w:highlight w:val="none"/>
        </w:rPr>
        <w:t>为</w:t>
      </w:r>
      <w:bookmarkStart w:id="10" w:name="_Hlk146112994"/>
      <w:r>
        <w:rPr>
          <w:rFonts w:hint="eastAsia" w:ascii="宋体" w:hAnsi="宋体" w:eastAsia="宋体" w:cs="宋体"/>
          <w:sz w:val="21"/>
          <w:szCs w:val="21"/>
          <w:highlight w:val="none"/>
        </w:rPr>
        <w:t>招标代理机构</w:t>
      </w:r>
      <w:bookmarkEnd w:id="10"/>
      <w:r>
        <w:rPr>
          <w:rFonts w:hint="eastAsia" w:ascii="宋体" w:hAnsi="宋体" w:eastAsia="宋体" w:cs="宋体"/>
          <w:sz w:val="21"/>
          <w:szCs w:val="21"/>
          <w:highlight w:val="none"/>
        </w:rPr>
        <w:t>。</w:t>
      </w:r>
    </w:p>
    <w:p>
      <w:pPr>
        <w:pageBreakBefore w:val="0"/>
        <w:widowControl/>
        <w:topLinePunct w:val="0"/>
        <w:bidi w:val="0"/>
        <w:adjustRightInd w:val="0"/>
        <w:snapToGrid w:val="0"/>
        <w:spacing w:line="360" w:lineRule="exact"/>
        <w:ind w:firstLine="420" w:firstLineChars="200"/>
        <w:rPr>
          <w:rFonts w:hint="eastAsia" w:ascii="宋体" w:hAnsi="宋体" w:eastAsia="宋体" w:cs="宋体"/>
          <w:sz w:val="21"/>
          <w:szCs w:val="21"/>
          <w:highlight w:val="none"/>
        </w:rPr>
      </w:pPr>
      <w:r>
        <w:rPr>
          <w:rFonts w:hint="eastAsia" w:ascii="宋体" w:hAnsi="宋体" w:cs="宋体"/>
          <w:sz w:val="21"/>
          <w:szCs w:val="21"/>
          <w:highlight w:val="none"/>
          <w:lang w:eastAsia="zh-CN"/>
        </w:rPr>
        <w:t>国网重庆市电力公司产业2024年第二次补充物资框架入围（资格预审）采购</w:t>
      </w:r>
      <w:r>
        <w:rPr>
          <w:rFonts w:hint="eastAsia" w:ascii="宋体" w:hAnsi="宋体" w:eastAsia="宋体" w:cs="宋体"/>
          <w:sz w:val="21"/>
          <w:szCs w:val="21"/>
          <w:highlight w:val="none"/>
        </w:rPr>
        <w:t>的相关品类采用资格预审方式进行，本次</w:t>
      </w:r>
      <w:r>
        <w:rPr>
          <w:rFonts w:hint="eastAsia" w:ascii="宋体" w:hAnsi="宋体" w:eastAsia="宋体" w:cs="宋体"/>
          <w:b/>
          <w:bCs/>
          <w:sz w:val="21"/>
          <w:szCs w:val="21"/>
          <w:highlight w:val="none"/>
        </w:rPr>
        <w:t>预审结果有效期为</w:t>
      </w:r>
      <w:r>
        <w:rPr>
          <w:rStyle w:val="25"/>
          <w:rFonts w:hint="eastAsia"/>
          <w:b/>
          <w:bCs/>
          <w:color w:val="auto"/>
          <w:highlight w:val="none"/>
          <w:lang w:eastAsia="zh-CN"/>
        </w:rPr>
        <w:t>合同</w:t>
      </w:r>
      <w:r>
        <w:rPr>
          <w:rStyle w:val="25"/>
          <w:rFonts w:hint="eastAsia"/>
          <w:b/>
          <w:bCs/>
          <w:color w:val="auto"/>
          <w:highlight w:val="none"/>
          <w:lang w:val="en-US" w:eastAsia="zh-CN"/>
        </w:rPr>
        <w:t>签订</w:t>
      </w:r>
      <w:r>
        <w:rPr>
          <w:rStyle w:val="25"/>
          <w:rFonts w:hint="eastAsia"/>
          <w:b/>
          <w:bCs/>
          <w:color w:val="auto"/>
          <w:highlight w:val="none"/>
          <w:lang w:eastAsia="zh-CN"/>
        </w:rPr>
        <w:t>之日</w:t>
      </w:r>
      <w:r>
        <w:rPr>
          <w:rStyle w:val="25"/>
          <w:rFonts w:hint="eastAsia"/>
          <w:b/>
          <w:bCs/>
          <w:color w:val="auto"/>
          <w:highlight w:val="none"/>
          <w:lang w:val="en-US" w:eastAsia="zh-CN"/>
        </w:rPr>
        <w:t>起</w:t>
      </w:r>
      <w:r>
        <w:rPr>
          <w:rFonts w:hint="eastAsia" w:ascii="宋体" w:hAnsi="宋体" w:eastAsia="宋体" w:cs="宋体"/>
          <w:b/>
          <w:bCs/>
          <w:sz w:val="21"/>
          <w:szCs w:val="21"/>
          <w:highlight w:val="none"/>
        </w:rPr>
        <w:t>之日起至202</w:t>
      </w:r>
      <w:r>
        <w:rPr>
          <w:rFonts w:hint="eastAsia" w:ascii="宋体" w:hAnsi="宋体" w:eastAsia="宋体" w:cs="宋体"/>
          <w:b/>
          <w:bCs/>
          <w:sz w:val="21"/>
          <w:szCs w:val="21"/>
          <w:highlight w:val="none"/>
          <w:lang w:val="en-US" w:eastAsia="zh-CN"/>
        </w:rPr>
        <w:t>6</w:t>
      </w:r>
      <w:r>
        <w:rPr>
          <w:rFonts w:hint="eastAsia" w:ascii="宋体" w:hAnsi="宋体" w:eastAsia="宋体" w:cs="宋体"/>
          <w:b/>
          <w:bCs/>
          <w:sz w:val="21"/>
          <w:szCs w:val="21"/>
          <w:highlight w:val="none"/>
        </w:rPr>
        <w:t>年</w:t>
      </w:r>
      <w:r>
        <w:rPr>
          <w:rFonts w:hint="eastAsia" w:ascii="宋体" w:hAnsi="宋体" w:eastAsia="宋体" w:cs="宋体"/>
          <w:b/>
          <w:bCs/>
          <w:sz w:val="21"/>
          <w:szCs w:val="21"/>
          <w:highlight w:val="none"/>
          <w:lang w:val="en-US" w:eastAsia="zh-CN"/>
        </w:rPr>
        <w:t>3</w:t>
      </w:r>
      <w:r>
        <w:rPr>
          <w:rFonts w:hint="eastAsia" w:ascii="宋体" w:hAnsi="宋体" w:eastAsia="宋体" w:cs="宋体"/>
          <w:b/>
          <w:bCs/>
          <w:sz w:val="21"/>
          <w:szCs w:val="21"/>
          <w:highlight w:val="none"/>
        </w:rPr>
        <w:t>月31日。</w:t>
      </w:r>
      <w:r>
        <w:rPr>
          <w:rFonts w:hint="eastAsia" w:ascii="宋体" w:hAnsi="宋体" w:eastAsia="宋体" w:cs="宋体"/>
          <w:sz w:val="21"/>
          <w:szCs w:val="21"/>
          <w:highlight w:val="none"/>
        </w:rPr>
        <w:t>在有效期内，</w:t>
      </w:r>
      <w:r>
        <w:rPr>
          <w:rFonts w:hint="eastAsia" w:ascii="宋体" w:hAnsi="宋体" w:cs="宋体"/>
          <w:sz w:val="21"/>
          <w:szCs w:val="21"/>
          <w:highlight w:val="none"/>
          <w:lang w:eastAsia="zh-CN"/>
        </w:rPr>
        <w:t>国网重庆市电力公司产业2024年第二次补充物资框架入围（资格预审）采购</w:t>
      </w:r>
      <w:r>
        <w:rPr>
          <w:rFonts w:hint="eastAsia" w:ascii="宋体" w:hAnsi="宋体" w:eastAsia="宋体" w:cs="宋体"/>
          <w:sz w:val="21"/>
          <w:szCs w:val="21"/>
          <w:highlight w:val="none"/>
        </w:rPr>
        <w:t>相关分标仅接受资格预审合格的申请人参加</w:t>
      </w:r>
      <w:r>
        <w:rPr>
          <w:rFonts w:hint="eastAsia" w:ascii="宋体" w:hAnsi="宋体" w:eastAsia="宋体" w:cs="宋体"/>
          <w:sz w:val="21"/>
          <w:szCs w:val="21"/>
          <w:highlight w:val="none"/>
          <w:lang w:val="en-US" w:eastAsia="zh-CN"/>
        </w:rPr>
        <w:t>应答</w:t>
      </w:r>
      <w:r>
        <w:rPr>
          <w:rFonts w:hint="eastAsia" w:ascii="宋体" w:hAnsi="宋体" w:eastAsia="宋体" w:cs="宋体"/>
          <w:sz w:val="21"/>
          <w:szCs w:val="21"/>
          <w:highlight w:val="none"/>
        </w:rPr>
        <w:t>。在有效期内，可视情况组织补充资格预审，未参加或未通过本次联合资格预审的申请人可报名参加。</w:t>
      </w:r>
    </w:p>
    <w:p>
      <w:pPr>
        <w:pageBreakBefore w:val="0"/>
        <w:widowControl/>
        <w:topLinePunct w:val="0"/>
        <w:bidi w:val="0"/>
        <w:adjustRightInd w:val="0"/>
        <w:snapToGrid w:val="0"/>
        <w:spacing w:line="36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在此，特邀请有兴趣的潜在</w:t>
      </w:r>
      <w:r>
        <w:rPr>
          <w:rFonts w:hint="eastAsia" w:ascii="宋体" w:hAnsi="宋体" w:eastAsia="宋体" w:cs="宋体"/>
          <w:sz w:val="21"/>
          <w:szCs w:val="21"/>
          <w:highlight w:val="none"/>
          <w:lang w:val="en-US" w:eastAsia="zh-CN"/>
        </w:rPr>
        <w:t>应答</w:t>
      </w:r>
      <w:r>
        <w:rPr>
          <w:rFonts w:hint="eastAsia" w:ascii="宋体" w:hAnsi="宋体" w:eastAsia="宋体" w:cs="宋体"/>
          <w:sz w:val="21"/>
          <w:szCs w:val="21"/>
          <w:highlight w:val="none"/>
        </w:rPr>
        <w:t>人（以下简称申请人）提出资格预审申请。</w:t>
      </w:r>
    </w:p>
    <w:p>
      <w:pPr>
        <w:pStyle w:val="5"/>
        <w:ind w:firstLine="420"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zh-CN" w:eastAsia="zh-CN" w:bidi="ar-SA"/>
        </w:rPr>
        <w:t>本次资格预审仅接受未参加或未通过</w:t>
      </w:r>
      <w:r>
        <w:rPr>
          <w:rFonts w:hint="default" w:ascii="宋体" w:hAnsi="宋体" w:eastAsia="宋体" w:cs="宋体"/>
          <w:kern w:val="2"/>
          <w:sz w:val="21"/>
          <w:szCs w:val="21"/>
          <w:highlight w:val="none"/>
          <w:lang w:val="zh-CN" w:eastAsia="zh-CN" w:bidi="ar-SA"/>
        </w:rPr>
        <w:t>“国网重庆市电力公司产业2024年第一次物资框架入围（资格预审）采购”</w:t>
      </w:r>
      <w:r>
        <w:rPr>
          <w:rFonts w:hint="eastAsia" w:ascii="宋体" w:hAnsi="宋体" w:eastAsia="宋体" w:cs="宋体"/>
          <w:kern w:val="2"/>
          <w:sz w:val="21"/>
          <w:szCs w:val="21"/>
          <w:highlight w:val="none"/>
          <w:lang w:val="zh-CN" w:eastAsia="zh-CN" w:bidi="ar-SA"/>
        </w:rPr>
        <w:t>（预审编号202402KJ）</w:t>
      </w:r>
      <w:r>
        <w:rPr>
          <w:rFonts w:hint="eastAsia" w:ascii="宋体" w:hAnsi="宋体" w:cs="宋体"/>
          <w:kern w:val="2"/>
          <w:sz w:val="21"/>
          <w:szCs w:val="21"/>
          <w:highlight w:val="none"/>
          <w:lang w:val="en-US" w:eastAsia="zh-CN" w:bidi="ar-SA"/>
        </w:rPr>
        <w:t>和“国网重庆市电力公司产业2024年第一次补充物资框架入围（资格预审）采购”</w:t>
      </w:r>
      <w:r>
        <w:rPr>
          <w:rFonts w:hint="eastAsia" w:ascii="宋体" w:hAnsi="宋体" w:eastAsia="宋体" w:cs="宋体"/>
          <w:kern w:val="2"/>
          <w:sz w:val="21"/>
          <w:szCs w:val="21"/>
          <w:highlight w:val="none"/>
          <w:lang w:val="zh-CN" w:eastAsia="zh-CN" w:bidi="ar-SA"/>
        </w:rPr>
        <w:t>（预审编号20240</w:t>
      </w:r>
      <w:r>
        <w:rPr>
          <w:rFonts w:hint="eastAsia" w:ascii="宋体" w:hAnsi="宋体" w:cs="宋体"/>
          <w:kern w:val="2"/>
          <w:sz w:val="21"/>
          <w:szCs w:val="21"/>
          <w:highlight w:val="none"/>
          <w:lang w:val="en-US" w:eastAsia="zh-CN" w:bidi="ar-SA"/>
        </w:rPr>
        <w:t>4</w:t>
      </w:r>
      <w:r>
        <w:rPr>
          <w:rFonts w:hint="eastAsia" w:ascii="宋体" w:hAnsi="宋体" w:eastAsia="宋体" w:cs="宋体"/>
          <w:kern w:val="2"/>
          <w:sz w:val="21"/>
          <w:szCs w:val="21"/>
          <w:highlight w:val="none"/>
          <w:lang w:val="zh-CN" w:eastAsia="zh-CN" w:bidi="ar-SA"/>
        </w:rPr>
        <w:t>KJ）相应标段的潜在申请人（以下简称申请人）报名，已通过联合资格预审相应标段的申请人无需报名。</w:t>
      </w:r>
    </w:p>
    <w:p>
      <w:pPr>
        <w:pStyle w:val="27"/>
        <w:keepNext w:val="0"/>
        <w:keepLines w:val="0"/>
        <w:pageBreakBefore w:val="0"/>
        <w:widowControl/>
        <w:wordWrap/>
        <w:topLinePunct w:val="0"/>
        <w:bidi w:val="0"/>
        <w:spacing w:line="360" w:lineRule="exact"/>
        <w:ind w:firstLine="422"/>
        <w:jc w:val="left"/>
        <w:outlineLvl w:val="1"/>
        <w:rPr>
          <w:rFonts w:hint="eastAsia" w:ascii="宋体" w:hAnsi="宋体" w:eastAsia="宋体" w:cs="宋体"/>
          <w:b/>
          <w:color w:val="auto"/>
          <w:kern w:val="0"/>
          <w:sz w:val="21"/>
          <w:szCs w:val="21"/>
          <w:highlight w:val="none"/>
        </w:rPr>
      </w:pPr>
      <w:bookmarkStart w:id="11" w:name="_Toc146123638"/>
      <w:bookmarkStart w:id="12" w:name="_Toc48841732"/>
      <w:bookmarkStart w:id="13" w:name="_Toc23429"/>
      <w:r>
        <w:rPr>
          <w:rFonts w:hint="eastAsia" w:ascii="宋体" w:hAnsi="宋体" w:eastAsia="宋体" w:cs="宋体"/>
          <w:b/>
          <w:color w:val="auto"/>
          <w:kern w:val="0"/>
          <w:sz w:val="21"/>
          <w:szCs w:val="21"/>
          <w:highlight w:val="none"/>
        </w:rPr>
        <w:t>2．</w:t>
      </w:r>
      <w:bookmarkEnd w:id="7"/>
      <w:bookmarkEnd w:id="8"/>
      <w:r>
        <w:rPr>
          <w:rFonts w:hint="eastAsia" w:ascii="宋体" w:hAnsi="宋体" w:eastAsia="宋体" w:cs="宋体"/>
          <w:b/>
          <w:color w:val="auto"/>
          <w:kern w:val="0"/>
          <w:sz w:val="21"/>
          <w:szCs w:val="21"/>
          <w:highlight w:val="none"/>
        </w:rPr>
        <w:t>项目概况与招标</w:t>
      </w:r>
      <w:bookmarkEnd w:id="9"/>
      <w:r>
        <w:rPr>
          <w:rFonts w:hint="eastAsia" w:ascii="宋体" w:hAnsi="宋体" w:eastAsia="宋体" w:cs="宋体"/>
          <w:b/>
          <w:color w:val="auto"/>
          <w:kern w:val="0"/>
          <w:sz w:val="21"/>
          <w:szCs w:val="21"/>
          <w:highlight w:val="none"/>
        </w:rPr>
        <w:t>范围</w:t>
      </w:r>
      <w:bookmarkEnd w:id="11"/>
      <w:bookmarkEnd w:id="12"/>
      <w:bookmarkEnd w:id="13"/>
    </w:p>
    <w:p>
      <w:pPr>
        <w:pStyle w:val="27"/>
        <w:keepNext w:val="0"/>
        <w:keepLines w:val="0"/>
        <w:pageBreakBefore w:val="0"/>
        <w:widowControl/>
        <w:wordWrap/>
        <w:topLinePunct w:val="0"/>
        <w:bidi w:val="0"/>
        <w:spacing w:line="360" w:lineRule="exact"/>
        <w:ind w:firstLine="422"/>
        <w:jc w:val="left"/>
        <w:outlineLvl w:val="1"/>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2.1采用资格预审的物资类别</w:t>
      </w:r>
    </w:p>
    <w:p>
      <w:pPr>
        <w:pageBreakBefore w:val="0"/>
        <w:topLinePunct w:val="0"/>
        <w:bidi w:val="0"/>
        <w:adjustRightInd w:val="0"/>
        <w:snapToGrid w:val="0"/>
        <w:spacing w:line="360" w:lineRule="exact"/>
        <w:ind w:firstLine="437"/>
        <w:rPr>
          <w:rFonts w:hint="eastAsia" w:ascii="宋体" w:hAnsi="宋体" w:eastAsia="宋体" w:cs="宋体"/>
          <w:b/>
          <w:sz w:val="21"/>
          <w:szCs w:val="21"/>
          <w:highlight w:val="none"/>
        </w:rPr>
      </w:pPr>
      <w:bookmarkStart w:id="14" w:name="_Toc444166079"/>
      <w:bookmarkStart w:id="15" w:name="_Toc144974396"/>
      <w:bookmarkStart w:id="16" w:name="_Toc408358703"/>
      <w:bookmarkStart w:id="17" w:name="_Toc152047193"/>
    </w:p>
    <w:tbl>
      <w:tblPr>
        <w:tblStyle w:val="15"/>
        <w:tblW w:w="9000" w:type="dxa"/>
        <w:tblInd w:w="0" w:type="dxa"/>
        <w:tblLayout w:type="fixed"/>
        <w:tblCellMar>
          <w:top w:w="0" w:type="dxa"/>
          <w:left w:w="0" w:type="dxa"/>
          <w:bottom w:w="0" w:type="dxa"/>
          <w:right w:w="0" w:type="dxa"/>
        </w:tblCellMar>
      </w:tblPr>
      <w:tblGrid>
        <w:gridCol w:w="1045"/>
        <w:gridCol w:w="4007"/>
        <w:gridCol w:w="3948"/>
      </w:tblGrid>
      <w:tr>
        <w:tblPrEx>
          <w:tblCellMar>
            <w:top w:w="0" w:type="dxa"/>
            <w:left w:w="0" w:type="dxa"/>
            <w:bottom w:w="0" w:type="dxa"/>
            <w:right w:w="0" w:type="dxa"/>
          </w:tblCellMar>
        </w:tblPrEx>
        <w:trPr>
          <w:trHeight w:val="415" w:hRule="atLeast"/>
        </w:trPr>
        <w:tc>
          <w:tcPr>
            <w:tcW w:w="1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eastAsia" w:ascii="宋体" w:hAnsi="宋体" w:eastAsia="宋体" w:cs="宋体"/>
                <w:b/>
                <w:sz w:val="21"/>
                <w:szCs w:val="21"/>
                <w:highlight w:val="none"/>
              </w:rPr>
            </w:pPr>
            <w:r>
              <w:rPr>
                <w:rFonts w:hint="eastAsia" w:ascii="宋体" w:hAnsi="宋体" w:eastAsia="宋体" w:cs="宋体"/>
                <w:b/>
                <w:kern w:val="0"/>
                <w:sz w:val="21"/>
                <w:szCs w:val="21"/>
                <w:highlight w:val="none"/>
              </w:rPr>
              <w:t>序号</w:t>
            </w:r>
          </w:p>
        </w:tc>
        <w:tc>
          <w:tcPr>
            <w:tcW w:w="4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分标名称</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eastAsia" w:ascii="宋体" w:hAnsi="宋体" w:eastAsia="宋体" w:cs="宋体"/>
                <w:b/>
                <w:sz w:val="21"/>
                <w:szCs w:val="21"/>
                <w:highlight w:val="none"/>
                <w:lang w:eastAsia="zh-CN"/>
              </w:rPr>
            </w:pPr>
            <w:r>
              <w:rPr>
                <w:rFonts w:hint="eastAsia" w:ascii="宋体" w:hAnsi="宋体" w:eastAsia="宋体" w:cs="宋体"/>
                <w:b/>
                <w:kern w:val="0"/>
                <w:sz w:val="21"/>
                <w:szCs w:val="21"/>
                <w:highlight w:val="none"/>
                <w:lang w:val="en-US" w:eastAsia="zh-CN"/>
              </w:rPr>
              <w:t>备注</w:t>
            </w:r>
          </w:p>
        </w:tc>
      </w:tr>
      <w:tr>
        <w:tblPrEx>
          <w:tblCellMar>
            <w:top w:w="0" w:type="dxa"/>
            <w:left w:w="0" w:type="dxa"/>
            <w:bottom w:w="0" w:type="dxa"/>
            <w:right w:w="0" w:type="dxa"/>
          </w:tblCellMar>
        </w:tblPrEx>
        <w:trPr>
          <w:trHeight w:val="415" w:hRule="atLeast"/>
        </w:trPr>
        <w:tc>
          <w:tcPr>
            <w:tcW w:w="1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1</w:t>
            </w:r>
          </w:p>
        </w:tc>
        <w:tc>
          <w:tcPr>
            <w:tcW w:w="4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0"/>
                <w:szCs w:val="20"/>
                <w:u w:val="none"/>
                <w:lang w:val="en-US" w:eastAsia="zh-CN" w:bidi="ar"/>
              </w:rPr>
              <w:fldChar w:fldCharType="begin"/>
            </w:r>
            <w:r>
              <w:rPr>
                <w:rFonts w:hint="eastAsia" w:ascii="宋体" w:hAnsi="宋体" w:eastAsia="宋体" w:cs="宋体"/>
                <w:i w:val="0"/>
                <w:iCs w:val="0"/>
                <w:color w:val="auto"/>
                <w:kern w:val="0"/>
                <w:sz w:val="20"/>
                <w:szCs w:val="20"/>
                <w:u w:val="none"/>
                <w:lang w:val="en-US" w:eastAsia="zh-CN" w:bidi="ar"/>
              </w:rPr>
              <w:instrText xml:space="preserve"> HYPERLINK "" \l "金具!A1" </w:instrText>
            </w:r>
            <w:r>
              <w:rPr>
                <w:rFonts w:hint="eastAsia" w:ascii="宋体" w:hAnsi="宋体" w:eastAsia="宋体" w:cs="宋体"/>
                <w:i w:val="0"/>
                <w:iCs w:val="0"/>
                <w:color w:val="auto"/>
                <w:kern w:val="0"/>
                <w:sz w:val="20"/>
                <w:szCs w:val="20"/>
                <w:u w:val="none"/>
                <w:lang w:val="en-US" w:eastAsia="zh-CN" w:bidi="ar"/>
              </w:rPr>
              <w:fldChar w:fldCharType="separate"/>
            </w:r>
            <w:r>
              <w:rPr>
                <w:rStyle w:val="18"/>
                <w:rFonts w:hint="eastAsia" w:ascii="宋体" w:hAnsi="宋体" w:eastAsia="宋体" w:cs="宋体"/>
                <w:i w:val="0"/>
                <w:iCs w:val="0"/>
                <w:color w:val="auto"/>
                <w:sz w:val="20"/>
                <w:szCs w:val="20"/>
                <w:u w:val="none"/>
              </w:rPr>
              <w:t>金具</w:t>
            </w:r>
            <w:r>
              <w:rPr>
                <w:rFonts w:hint="eastAsia" w:ascii="宋体" w:hAnsi="宋体" w:eastAsia="宋体" w:cs="宋体"/>
                <w:i w:val="0"/>
                <w:iCs w:val="0"/>
                <w:color w:val="auto"/>
                <w:kern w:val="0"/>
                <w:sz w:val="20"/>
                <w:szCs w:val="20"/>
                <w:u w:val="none"/>
                <w:lang w:val="en-US" w:eastAsia="zh-CN" w:bidi="ar"/>
              </w:rPr>
              <w:fldChar w:fldCharType="end"/>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415" w:hRule="atLeast"/>
        </w:trPr>
        <w:tc>
          <w:tcPr>
            <w:tcW w:w="1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2</w:t>
            </w:r>
          </w:p>
        </w:tc>
        <w:tc>
          <w:tcPr>
            <w:tcW w:w="4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0"/>
                <w:szCs w:val="20"/>
                <w:u w:val="none"/>
                <w:lang w:val="en-US" w:eastAsia="zh-CN" w:bidi="ar"/>
              </w:rPr>
              <w:t>电缆接线端子</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415" w:hRule="atLeast"/>
        </w:trPr>
        <w:tc>
          <w:tcPr>
            <w:tcW w:w="1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default" w:ascii="宋体" w:hAnsi="宋体" w:eastAsia="宋体" w:cs="宋体"/>
                <w:kern w:val="0"/>
                <w:sz w:val="21"/>
                <w:szCs w:val="21"/>
                <w:highlight w:val="none"/>
                <w:lang w:val="en-US" w:eastAsia="zh-CN"/>
              </w:rPr>
            </w:pPr>
            <w:r>
              <w:rPr>
                <w:rFonts w:hint="eastAsia" w:ascii="宋体" w:hAnsi="宋体" w:cs="宋体"/>
                <w:kern w:val="0"/>
                <w:sz w:val="21"/>
                <w:szCs w:val="21"/>
                <w:highlight w:val="none"/>
                <w:lang w:val="en-US" w:eastAsia="zh-CN"/>
              </w:rPr>
              <w:t>3</w:t>
            </w:r>
          </w:p>
        </w:tc>
        <w:tc>
          <w:tcPr>
            <w:tcW w:w="4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0"/>
                <w:szCs w:val="20"/>
                <w:u w:val="none"/>
                <w:lang w:val="en-US" w:eastAsia="zh-CN" w:bidi="ar"/>
              </w:rPr>
              <w:fldChar w:fldCharType="begin"/>
            </w:r>
            <w:r>
              <w:rPr>
                <w:rFonts w:hint="eastAsia" w:ascii="宋体" w:hAnsi="宋体" w:eastAsia="宋体" w:cs="宋体"/>
                <w:i w:val="0"/>
                <w:iCs w:val="0"/>
                <w:color w:val="auto"/>
                <w:kern w:val="0"/>
                <w:sz w:val="20"/>
                <w:szCs w:val="20"/>
                <w:u w:val="none"/>
                <w:lang w:val="en-US" w:eastAsia="zh-CN" w:bidi="ar"/>
              </w:rPr>
              <w:instrText xml:space="preserve"> HYPERLINK "" \l "'铁附件（待定）'!A1" </w:instrText>
            </w:r>
            <w:r>
              <w:rPr>
                <w:rFonts w:hint="eastAsia" w:ascii="宋体" w:hAnsi="宋体" w:eastAsia="宋体" w:cs="宋体"/>
                <w:i w:val="0"/>
                <w:iCs w:val="0"/>
                <w:color w:val="auto"/>
                <w:kern w:val="0"/>
                <w:sz w:val="20"/>
                <w:szCs w:val="20"/>
                <w:u w:val="none"/>
                <w:lang w:val="en-US" w:eastAsia="zh-CN" w:bidi="ar"/>
              </w:rPr>
              <w:fldChar w:fldCharType="separate"/>
            </w:r>
            <w:r>
              <w:rPr>
                <w:rStyle w:val="18"/>
                <w:rFonts w:hint="eastAsia" w:ascii="宋体" w:hAnsi="宋体" w:eastAsia="宋体" w:cs="宋体"/>
                <w:i w:val="0"/>
                <w:iCs w:val="0"/>
                <w:color w:val="auto"/>
                <w:sz w:val="20"/>
                <w:szCs w:val="20"/>
                <w:u w:val="none"/>
              </w:rPr>
              <w:t>铁附件</w:t>
            </w:r>
            <w:r>
              <w:rPr>
                <w:rFonts w:hint="eastAsia" w:ascii="宋体" w:hAnsi="宋体" w:eastAsia="宋体" w:cs="宋体"/>
                <w:i w:val="0"/>
                <w:iCs w:val="0"/>
                <w:color w:val="auto"/>
                <w:kern w:val="0"/>
                <w:sz w:val="20"/>
                <w:szCs w:val="20"/>
                <w:u w:val="none"/>
                <w:lang w:val="en-US" w:eastAsia="zh-CN" w:bidi="ar"/>
              </w:rPr>
              <w:fldChar w:fldCharType="end"/>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415" w:hRule="atLeast"/>
        </w:trPr>
        <w:tc>
          <w:tcPr>
            <w:tcW w:w="1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default" w:ascii="宋体" w:hAnsi="宋体" w:eastAsia="宋体" w:cs="宋体"/>
                <w:kern w:val="0"/>
                <w:sz w:val="21"/>
                <w:szCs w:val="21"/>
                <w:highlight w:val="none"/>
                <w:lang w:val="en-US" w:eastAsia="zh-CN"/>
              </w:rPr>
            </w:pPr>
            <w:r>
              <w:rPr>
                <w:rFonts w:hint="eastAsia" w:ascii="宋体" w:hAnsi="宋体" w:cs="宋体"/>
                <w:kern w:val="0"/>
                <w:sz w:val="21"/>
                <w:szCs w:val="21"/>
                <w:highlight w:val="none"/>
                <w:lang w:val="en-US" w:eastAsia="zh-CN"/>
              </w:rPr>
              <w:t>4</w:t>
            </w:r>
          </w:p>
        </w:tc>
        <w:tc>
          <w:tcPr>
            <w:tcW w:w="4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0"/>
                <w:szCs w:val="20"/>
                <w:u w:val="none"/>
                <w:lang w:val="en-US" w:eastAsia="zh-CN" w:bidi="ar"/>
              </w:rPr>
              <w:t>铜铝母线</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topLinePunct w:val="0"/>
              <w:bidi w:val="0"/>
              <w:spacing w:line="360" w:lineRule="exact"/>
              <w:jc w:val="center"/>
              <w:textAlignment w:val="center"/>
              <w:rPr>
                <w:rFonts w:hint="eastAsia" w:ascii="宋体" w:hAnsi="宋体" w:eastAsia="宋体" w:cs="宋体"/>
                <w:sz w:val="21"/>
                <w:szCs w:val="21"/>
                <w:highlight w:val="none"/>
              </w:rPr>
            </w:pPr>
          </w:p>
        </w:tc>
      </w:tr>
    </w:tbl>
    <w:p>
      <w:pPr>
        <w:pStyle w:val="2"/>
        <w:pageBreakBefore w:val="0"/>
        <w:topLinePunct w:val="0"/>
        <w:bidi w:val="0"/>
        <w:spacing w:line="360" w:lineRule="exact"/>
        <w:rPr>
          <w:rFonts w:hint="eastAsia" w:ascii="宋体" w:hAnsi="宋体" w:eastAsia="宋体" w:cs="宋体"/>
          <w:sz w:val="21"/>
          <w:szCs w:val="21"/>
          <w:highlight w:val="none"/>
        </w:rPr>
      </w:pPr>
    </w:p>
    <w:bookmarkEnd w:id="14"/>
    <w:p>
      <w:pPr>
        <w:pageBreakBefore w:val="0"/>
        <w:topLinePunct w:val="0"/>
        <w:bidi w:val="0"/>
        <w:adjustRightInd w:val="0"/>
        <w:snapToGrid w:val="0"/>
        <w:spacing w:line="360" w:lineRule="exact"/>
        <w:ind w:firstLine="437"/>
        <w:rPr>
          <w:rFonts w:hint="eastAsia" w:ascii="宋体" w:hAnsi="宋体" w:eastAsia="宋体" w:cs="宋体"/>
          <w:b/>
          <w:sz w:val="21"/>
          <w:szCs w:val="21"/>
          <w:highlight w:val="none"/>
        </w:rPr>
      </w:pPr>
      <w:bookmarkStart w:id="18" w:name="_Toc48841733"/>
      <w:bookmarkStart w:id="19" w:name="_Toc29641"/>
      <w:bookmarkStart w:id="20" w:name="_Toc146123639"/>
      <w:r>
        <w:rPr>
          <w:rFonts w:hint="eastAsia" w:ascii="宋体" w:hAnsi="宋体" w:eastAsia="宋体" w:cs="宋体"/>
          <w:b/>
          <w:sz w:val="21"/>
          <w:szCs w:val="21"/>
          <w:highlight w:val="none"/>
        </w:rPr>
        <w:t>3．申请人资格要求</w:t>
      </w:r>
      <w:bookmarkEnd w:id="15"/>
      <w:bookmarkEnd w:id="16"/>
      <w:bookmarkEnd w:id="17"/>
      <w:bookmarkEnd w:id="18"/>
      <w:bookmarkEnd w:id="19"/>
      <w:bookmarkEnd w:id="20"/>
    </w:p>
    <w:p>
      <w:pPr>
        <w:pageBreakBefore w:val="0"/>
        <w:widowControl/>
        <w:topLinePunct w:val="0"/>
        <w:bidi w:val="0"/>
        <w:adjustRightInd w:val="0"/>
        <w:snapToGrid w:val="0"/>
        <w:spacing w:line="360" w:lineRule="exact"/>
        <w:ind w:firstLine="420" w:firstLineChars="200"/>
        <w:rPr>
          <w:rFonts w:hint="eastAsia" w:ascii="宋体" w:hAnsi="宋体" w:eastAsia="宋体" w:cs="宋体"/>
          <w:b/>
          <w:sz w:val="21"/>
          <w:szCs w:val="21"/>
          <w:highlight w:val="none"/>
        </w:rPr>
      </w:pPr>
      <w:r>
        <w:rPr>
          <w:rFonts w:hint="eastAsia" w:ascii="宋体" w:hAnsi="宋体" w:eastAsia="宋体" w:cs="宋体"/>
          <w:sz w:val="21"/>
          <w:szCs w:val="21"/>
          <w:highlight w:val="none"/>
        </w:rPr>
        <w:t>3.1本次资格预审要求申请人须为中华人民共和国境内依法注册的法人或其他组织，须具备相应货物的制造能力，并在人员、设备、资金等方面具有保障如期交货等承担招标项目的能力。除特别注明外，这些资格、资质、业绩均系申请人本企业所拥有的权利权益。</w:t>
      </w:r>
      <w:r>
        <w:rPr>
          <w:rFonts w:hint="eastAsia" w:ascii="宋体" w:hAnsi="宋体" w:eastAsia="宋体" w:cs="宋体"/>
          <w:b/>
          <w:sz w:val="21"/>
          <w:szCs w:val="21"/>
          <w:highlight w:val="none"/>
        </w:rPr>
        <w:t>申请人及其申请预审产品须满足通用资格要求和专用资质业绩要求。</w:t>
      </w:r>
    </w:p>
    <w:p>
      <w:pPr>
        <w:pageBreakBefore w:val="0"/>
        <w:widowControl/>
        <w:topLinePunct w:val="0"/>
        <w:bidi w:val="0"/>
        <w:adjustRightInd w:val="0"/>
        <w:snapToGrid w:val="0"/>
        <w:spacing w:line="36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3.2不接受联合体资格预审申请。</w:t>
      </w:r>
    </w:p>
    <w:p>
      <w:pPr>
        <w:pageBreakBefore w:val="0"/>
        <w:widowControl/>
        <w:topLinePunct w:val="0"/>
        <w:bidi w:val="0"/>
        <w:adjustRightInd w:val="0"/>
        <w:snapToGrid w:val="0"/>
        <w:spacing w:line="36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3.3不接受代理商资格预审申请。</w:t>
      </w:r>
    </w:p>
    <w:p>
      <w:pPr>
        <w:pageBreakBefore w:val="0"/>
        <w:widowControl/>
        <w:topLinePunct w:val="0"/>
        <w:bidi w:val="0"/>
        <w:adjustRightInd w:val="0"/>
        <w:snapToGrid w:val="0"/>
        <w:spacing w:line="360" w:lineRule="exact"/>
        <w:ind w:firstLine="422" w:firstLineChars="200"/>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3.4申请人及其资格预审产品须满足如下通用资格要求：</w:t>
      </w:r>
    </w:p>
    <w:p>
      <w:pPr>
        <w:keepNext w:val="0"/>
        <w:keepLines w:val="0"/>
        <w:pageBreakBefore w:val="0"/>
        <w:widowControl/>
        <w:kinsoku/>
        <w:wordWrap/>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sz w:val="21"/>
          <w:szCs w:val="21"/>
          <w:highlight w:val="none"/>
        </w:rPr>
      </w:pPr>
      <w:bookmarkStart w:id="21" w:name="_Toc408358704"/>
      <w:bookmarkStart w:id="22" w:name="_Toc152047194"/>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）设计制造过与申请预审产品相同结构、相同型式、同等或以上技术规格的产品。在与规范相同或较规范更严格的条件下，该产品的投运数量及其成功运行时间或者合同数量满足要求。</w:t>
      </w:r>
    </w:p>
    <w:p>
      <w:pPr>
        <w:keepNext w:val="0"/>
        <w:keepLines w:val="0"/>
        <w:pageBreakBefore w:val="0"/>
        <w:widowControl/>
        <w:kinsoku/>
        <w:wordWrap/>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）申请人应提供</w:t>
      </w:r>
      <w:bookmarkStart w:id="23" w:name="_Hlk146120341"/>
      <w:r>
        <w:rPr>
          <w:rFonts w:hint="eastAsia" w:ascii="宋体" w:hAnsi="宋体" w:eastAsia="宋体" w:cs="宋体"/>
          <w:sz w:val="21"/>
          <w:szCs w:val="21"/>
          <w:highlight w:val="none"/>
        </w:rPr>
        <w:t>具备相应资质的第三方检测机构</w:t>
      </w:r>
      <w:bookmarkEnd w:id="23"/>
      <w:r>
        <w:rPr>
          <w:rFonts w:hint="eastAsia" w:ascii="宋体" w:hAnsi="宋体" w:eastAsia="宋体" w:cs="宋体"/>
          <w:sz w:val="21"/>
          <w:szCs w:val="21"/>
          <w:highlight w:val="none"/>
        </w:rPr>
        <w:t>出具的有效型式试验报告或检验（检测）报告，关于报告具体要求详见各标段相关规定。</w:t>
      </w:r>
    </w:p>
    <w:p>
      <w:pPr>
        <w:keepNext w:val="0"/>
        <w:keepLines w:val="0"/>
        <w:pageBreakBefore w:val="0"/>
        <w:widowControl/>
        <w:kinsoku/>
        <w:wordWrap/>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国家、行业已经发布相应产品标准的，申请人须取得具备</w:t>
      </w:r>
      <w:r>
        <w:rPr>
          <w:rFonts w:hint="eastAsia" w:ascii="宋体" w:hAnsi="宋体" w:eastAsia="宋体" w:cs="宋体"/>
          <w:color w:val="000000" w:themeColor="text1"/>
          <w:sz w:val="21"/>
          <w:szCs w:val="21"/>
          <w:highlight w:val="none"/>
          <w14:textFill>
            <w14:solidFill>
              <w14:schemeClr w14:val="tx1"/>
            </w14:solidFill>
          </w14:textFill>
        </w:rPr>
        <w:t>相应资质的</w:t>
      </w:r>
      <w:r>
        <w:rPr>
          <w:rFonts w:hint="eastAsia" w:ascii="宋体" w:hAnsi="宋体" w:eastAsia="宋体" w:cs="宋体"/>
          <w:iCs/>
          <w:sz w:val="21"/>
          <w:szCs w:val="21"/>
          <w:highlight w:val="none"/>
        </w:rPr>
        <w:t>第三方</w:t>
      </w:r>
      <w:r>
        <w:rPr>
          <w:rFonts w:hint="eastAsia" w:ascii="宋体" w:hAnsi="宋体" w:eastAsia="宋体" w:cs="宋体"/>
          <w:sz w:val="21"/>
          <w:szCs w:val="21"/>
          <w:highlight w:val="none"/>
        </w:rPr>
        <w:t>检验检测机构出具的型式试验报告；</w:t>
      </w:r>
    </w:p>
    <w:p>
      <w:pPr>
        <w:keepNext w:val="0"/>
        <w:keepLines w:val="0"/>
        <w:pageBreakBefore w:val="0"/>
        <w:kinsoku/>
        <w:wordWrap/>
        <w:overflowPunct/>
        <w:topLinePunct w:val="0"/>
        <w:autoSpaceDE/>
        <w:autoSpaceDN/>
        <w:bidi w:val="0"/>
        <w:adjustRightInd w:val="0"/>
        <w:snapToGrid w:val="0"/>
        <w:spacing w:line="360" w:lineRule="exact"/>
        <w:ind w:firstLine="435"/>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rPr>
        <w:t>国家、行业尚未发布相应产品标准的，申请人须取得具备</w:t>
      </w:r>
      <w:r>
        <w:rPr>
          <w:rFonts w:hint="eastAsia" w:ascii="宋体" w:hAnsi="宋体" w:eastAsia="宋体" w:cs="宋体"/>
          <w:color w:val="000000" w:themeColor="text1"/>
          <w:sz w:val="21"/>
          <w:szCs w:val="21"/>
          <w:highlight w:val="none"/>
          <w14:textFill>
            <w14:solidFill>
              <w14:schemeClr w14:val="tx1"/>
            </w14:solidFill>
          </w14:textFill>
        </w:rPr>
        <w:t>相应资质的</w:t>
      </w:r>
      <w:r>
        <w:rPr>
          <w:rFonts w:hint="eastAsia" w:ascii="宋体" w:hAnsi="宋体" w:eastAsia="宋体" w:cs="宋体"/>
          <w:iCs/>
          <w:sz w:val="21"/>
          <w:szCs w:val="21"/>
          <w:highlight w:val="none"/>
        </w:rPr>
        <w:t>第三方</w:t>
      </w:r>
      <w:r>
        <w:rPr>
          <w:rFonts w:hint="eastAsia" w:ascii="宋体" w:hAnsi="宋体" w:eastAsia="宋体" w:cs="宋体"/>
          <w:sz w:val="21"/>
          <w:szCs w:val="21"/>
          <w:highlight w:val="none"/>
        </w:rPr>
        <w:t>检验检测机构依据国家电网有限公司企业标准出具的</w:t>
      </w:r>
      <w:r>
        <w:rPr>
          <w:rFonts w:hint="eastAsia" w:ascii="宋体" w:hAnsi="宋体" w:eastAsia="宋体" w:cs="宋体"/>
          <w:iCs/>
          <w:sz w:val="21"/>
          <w:szCs w:val="21"/>
          <w:highlight w:val="none"/>
        </w:rPr>
        <w:t>检验（检测）报告</w:t>
      </w:r>
      <w:r>
        <w:rPr>
          <w:rFonts w:hint="eastAsia" w:ascii="宋体" w:hAnsi="宋体" w:eastAsia="宋体" w:cs="宋体"/>
          <w:sz w:val="21"/>
          <w:szCs w:val="21"/>
          <w:highlight w:val="none"/>
        </w:rPr>
        <w:t>。</w:t>
      </w:r>
      <w:r>
        <w:rPr>
          <w:rFonts w:hint="eastAsia" w:ascii="宋体" w:hAnsi="宋体" w:eastAsia="宋体" w:cs="宋体"/>
          <w:iCs/>
          <w:sz w:val="21"/>
          <w:szCs w:val="21"/>
          <w:highlight w:val="none"/>
        </w:rPr>
        <w:t>专业检测是指国家电网有限公司新技术产品或者根据现场运行需要，委托国家级检验检测机构公开邀请进行的专门检测活动。</w:t>
      </w:r>
    </w:p>
    <w:p>
      <w:pPr>
        <w:pStyle w:val="4"/>
        <w:keepNext w:val="0"/>
        <w:keepLines w:val="0"/>
        <w:pageBreakBefore w:val="0"/>
        <w:kinsoku/>
        <w:wordWrap/>
        <w:overflowPunct/>
        <w:topLinePunct w:val="0"/>
        <w:autoSpaceDE/>
        <w:autoSpaceDN/>
        <w:bidi w:val="0"/>
        <w:spacing w:line="360" w:lineRule="exact"/>
        <w:ind w:firstLine="422"/>
        <w:textAlignment w:val="auto"/>
        <w:rPr>
          <w:rFonts w:hint="eastAsia" w:ascii="宋体" w:hAnsi="宋体" w:eastAsia="宋体" w:cs="宋体"/>
          <w:sz w:val="21"/>
          <w:szCs w:val="21"/>
          <w:highlight w:val="none"/>
        </w:rPr>
      </w:pPr>
      <w:r>
        <w:rPr>
          <w:rFonts w:hint="eastAsia" w:ascii="宋体" w:hAnsi="宋体" w:eastAsia="宋体" w:cs="宋体"/>
          <w:b/>
          <w:iCs/>
          <w:sz w:val="21"/>
          <w:szCs w:val="21"/>
          <w:highlight w:val="none"/>
        </w:rPr>
        <w:t>在后续</w:t>
      </w:r>
      <w:r>
        <w:rPr>
          <w:rFonts w:hint="eastAsia" w:ascii="宋体" w:hAnsi="宋体" w:eastAsia="宋体" w:cs="宋体"/>
          <w:b/>
          <w:iCs/>
          <w:sz w:val="21"/>
          <w:szCs w:val="21"/>
          <w:highlight w:val="none"/>
          <w:lang w:val="en-US" w:eastAsia="zh-CN"/>
        </w:rPr>
        <w:t>采购</w:t>
      </w:r>
      <w:r>
        <w:rPr>
          <w:rFonts w:hint="eastAsia" w:ascii="宋体" w:hAnsi="宋体" w:eastAsia="宋体" w:cs="宋体"/>
          <w:b/>
          <w:iCs/>
          <w:sz w:val="21"/>
          <w:szCs w:val="21"/>
          <w:highlight w:val="none"/>
        </w:rPr>
        <w:t>中，申请人应按照</w:t>
      </w:r>
      <w:r>
        <w:rPr>
          <w:rFonts w:hint="eastAsia" w:ascii="宋体" w:hAnsi="宋体" w:eastAsia="宋体" w:cs="宋体"/>
          <w:b/>
          <w:iCs/>
          <w:sz w:val="21"/>
          <w:szCs w:val="21"/>
          <w:highlight w:val="none"/>
          <w:lang w:eastAsia="zh-CN"/>
        </w:rPr>
        <w:t>采购文件</w:t>
      </w:r>
      <w:r>
        <w:rPr>
          <w:rFonts w:hint="eastAsia" w:ascii="宋体" w:hAnsi="宋体" w:eastAsia="宋体" w:cs="宋体"/>
          <w:b/>
          <w:iCs/>
          <w:sz w:val="21"/>
          <w:szCs w:val="21"/>
          <w:highlight w:val="none"/>
        </w:rPr>
        <w:t>要求在</w:t>
      </w:r>
      <w:r>
        <w:rPr>
          <w:rFonts w:hint="eastAsia" w:ascii="宋体" w:hAnsi="宋体" w:eastAsia="宋体" w:cs="宋体"/>
          <w:b/>
          <w:iCs/>
          <w:sz w:val="21"/>
          <w:szCs w:val="21"/>
          <w:highlight w:val="none"/>
          <w:lang w:val="en-US" w:eastAsia="zh-CN"/>
        </w:rPr>
        <w:t>应答</w:t>
      </w:r>
      <w:r>
        <w:rPr>
          <w:rFonts w:hint="eastAsia" w:ascii="宋体" w:hAnsi="宋体" w:eastAsia="宋体" w:cs="宋体"/>
          <w:b/>
          <w:iCs/>
          <w:sz w:val="21"/>
          <w:szCs w:val="21"/>
          <w:highlight w:val="none"/>
        </w:rPr>
        <w:t>/供货前提供所投/供产品有效的</w:t>
      </w:r>
      <w:r>
        <w:rPr>
          <w:rFonts w:hint="eastAsia" w:ascii="宋体" w:hAnsi="宋体" w:eastAsia="宋体" w:cs="宋体"/>
          <w:b/>
          <w:bCs/>
          <w:iCs/>
          <w:sz w:val="21"/>
          <w:szCs w:val="21"/>
          <w:highlight w:val="none"/>
        </w:rPr>
        <w:t>型式试验报告或检验（检测）报告</w:t>
      </w:r>
      <w:r>
        <w:rPr>
          <w:rFonts w:hint="eastAsia" w:ascii="宋体" w:hAnsi="宋体" w:eastAsia="宋体" w:cs="宋体"/>
          <w:b/>
          <w:iCs/>
          <w:strike w:val="0"/>
          <w:dstrike w:val="0"/>
          <w:sz w:val="21"/>
          <w:szCs w:val="21"/>
          <w:highlight w:val="none"/>
        </w:rPr>
        <w:t>。</w:t>
      </w:r>
    </w:p>
    <w:p>
      <w:pPr>
        <w:keepNext w:val="0"/>
        <w:keepLines w:val="0"/>
        <w:pageBreakBefore w:val="0"/>
        <w:widowControl/>
        <w:kinsoku/>
        <w:wordWrap/>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申请人应具备对外购外协原材料、配套元件和外部委托加工及进口散装的部件进行进厂验收所需的检验制度、检测手段和能力，和由材料、元件和部件供应商提供的检测合格证明。原材料组部件管理具有可追溯性。</w:t>
      </w:r>
    </w:p>
    <w:p>
      <w:pPr>
        <w:keepNext w:val="0"/>
        <w:keepLines w:val="0"/>
        <w:pageBreakBefore w:val="0"/>
        <w:widowControl/>
        <w:kinsoku/>
        <w:wordWrap/>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）取得国家法律、法规、部门规章规定的有效许可证件。取得资格预审文件要求的有效认证证书。</w:t>
      </w:r>
    </w:p>
    <w:p>
      <w:pPr>
        <w:keepNext w:val="0"/>
        <w:keepLines w:val="0"/>
        <w:pageBreakBefore w:val="0"/>
        <w:widowControl/>
        <w:kinsoku/>
        <w:wordWrap/>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）应有良好的财务状况和商业信用。</w:t>
      </w:r>
    </w:p>
    <w:p>
      <w:pPr>
        <w:keepNext w:val="0"/>
        <w:keepLines w:val="0"/>
        <w:pageBreakBefore w:val="0"/>
        <w:widowControl/>
        <w:kinsoku/>
        <w:wordWrap/>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）本资格预审</w:t>
      </w:r>
      <w:r>
        <w:rPr>
          <w:rFonts w:hint="eastAsia" w:ascii="宋体" w:hAnsi="宋体" w:eastAsia="宋体" w:cs="宋体"/>
          <w:sz w:val="21"/>
          <w:szCs w:val="21"/>
          <w:highlight w:val="none"/>
          <w:lang w:eastAsia="zh-CN"/>
        </w:rPr>
        <w:t>采购活动</w:t>
      </w:r>
      <w:r>
        <w:rPr>
          <w:rFonts w:hint="eastAsia" w:ascii="宋体" w:hAnsi="宋体" w:eastAsia="宋体" w:cs="宋体"/>
          <w:sz w:val="21"/>
          <w:szCs w:val="21"/>
          <w:highlight w:val="none"/>
        </w:rPr>
        <w:t>不接受贴牌代工的申请，也不接受其他任何分包行为的申请。</w:t>
      </w:r>
    </w:p>
    <w:p>
      <w:pPr>
        <w:keepNext w:val="0"/>
        <w:keepLines w:val="0"/>
        <w:pageBreakBefore w:val="0"/>
        <w:widowControl/>
        <w:kinsoku/>
        <w:wordWrap/>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w:t>
      </w:r>
      <w:r>
        <w:rPr>
          <w:rFonts w:hint="eastAsia" w:ascii="宋体" w:hAnsi="宋体" w:eastAsia="宋体" w:cs="宋体"/>
          <w:kern w:val="0"/>
          <w:sz w:val="21"/>
          <w:szCs w:val="21"/>
          <w:highlight w:val="none"/>
        </w:rPr>
        <w:t>在资格预审结果有效期内，通过资格预审的申请人发生合并、分立、破产等重大变化的，应当及时书面告知招标代理机构。是否影响其资格条件，将由</w:t>
      </w:r>
      <w:r>
        <w:rPr>
          <w:rFonts w:hint="eastAsia" w:ascii="宋体" w:hAnsi="宋体" w:eastAsia="宋体" w:cs="宋体"/>
          <w:kern w:val="0"/>
          <w:sz w:val="21"/>
          <w:szCs w:val="21"/>
          <w:highlight w:val="none"/>
          <w:lang w:eastAsia="zh-CN"/>
        </w:rPr>
        <w:t>采购人</w:t>
      </w:r>
      <w:r>
        <w:rPr>
          <w:rFonts w:hint="eastAsia" w:ascii="宋体" w:hAnsi="宋体" w:eastAsia="宋体" w:cs="宋体"/>
          <w:kern w:val="0"/>
          <w:sz w:val="21"/>
          <w:szCs w:val="21"/>
          <w:highlight w:val="none"/>
        </w:rPr>
        <w:t>组织的资格审查委员会对其提交的书面材料进行评审并作出认定。</w:t>
      </w:r>
      <w:r>
        <w:rPr>
          <w:rFonts w:hint="eastAsia" w:ascii="宋体" w:hAnsi="宋体" w:eastAsia="宋体" w:cs="宋体"/>
          <w:kern w:val="0"/>
          <w:sz w:val="21"/>
          <w:szCs w:val="21"/>
          <w:highlight w:val="none"/>
          <w:lang w:eastAsia="zh-CN"/>
        </w:rPr>
        <w:t>申请人</w:t>
      </w:r>
      <w:r>
        <w:rPr>
          <w:rFonts w:hint="eastAsia" w:ascii="宋体" w:hAnsi="宋体" w:eastAsia="宋体" w:cs="宋体"/>
          <w:kern w:val="0"/>
          <w:sz w:val="21"/>
          <w:szCs w:val="21"/>
          <w:highlight w:val="none"/>
        </w:rPr>
        <w:t>不再具备资格预审文件、</w:t>
      </w:r>
      <w:r>
        <w:rPr>
          <w:rFonts w:hint="eastAsia" w:ascii="宋体" w:hAnsi="宋体" w:eastAsia="宋体" w:cs="宋体"/>
          <w:kern w:val="0"/>
          <w:sz w:val="21"/>
          <w:szCs w:val="21"/>
          <w:highlight w:val="none"/>
          <w:lang w:eastAsia="zh-CN"/>
        </w:rPr>
        <w:t>采购文件</w:t>
      </w:r>
      <w:r>
        <w:rPr>
          <w:rFonts w:hint="eastAsia" w:ascii="宋体" w:hAnsi="宋体" w:eastAsia="宋体" w:cs="宋体"/>
          <w:kern w:val="0"/>
          <w:sz w:val="21"/>
          <w:szCs w:val="21"/>
          <w:highlight w:val="none"/>
        </w:rPr>
        <w:t>规定的资格条件或者其投标影响</w:t>
      </w:r>
      <w:r>
        <w:rPr>
          <w:rFonts w:hint="eastAsia" w:ascii="宋体" w:hAnsi="宋体" w:eastAsia="宋体" w:cs="宋体"/>
          <w:kern w:val="0"/>
          <w:sz w:val="21"/>
          <w:szCs w:val="21"/>
          <w:highlight w:val="none"/>
          <w:lang w:val="en-US" w:eastAsia="zh-CN"/>
        </w:rPr>
        <w:t>采购</w:t>
      </w:r>
      <w:r>
        <w:rPr>
          <w:rFonts w:hint="eastAsia" w:ascii="宋体" w:hAnsi="宋体" w:eastAsia="宋体" w:cs="宋体"/>
          <w:kern w:val="0"/>
          <w:sz w:val="21"/>
          <w:szCs w:val="21"/>
          <w:highlight w:val="none"/>
        </w:rPr>
        <w:t>公正性的，其</w:t>
      </w:r>
      <w:r>
        <w:rPr>
          <w:rFonts w:hint="eastAsia" w:ascii="宋体" w:hAnsi="宋体" w:eastAsia="宋体" w:cs="宋体"/>
          <w:kern w:val="0"/>
          <w:sz w:val="21"/>
          <w:szCs w:val="21"/>
          <w:highlight w:val="none"/>
          <w:lang w:val="en-US" w:eastAsia="zh-CN"/>
        </w:rPr>
        <w:t>应答</w:t>
      </w:r>
      <w:r>
        <w:rPr>
          <w:rFonts w:hint="eastAsia" w:ascii="宋体" w:hAnsi="宋体" w:eastAsia="宋体" w:cs="宋体"/>
          <w:kern w:val="0"/>
          <w:sz w:val="21"/>
          <w:szCs w:val="21"/>
          <w:highlight w:val="none"/>
        </w:rPr>
        <w:t>无效。</w:t>
      </w:r>
    </w:p>
    <w:p>
      <w:pPr>
        <w:pStyle w:val="4"/>
        <w:keepNext w:val="0"/>
        <w:keepLines w:val="0"/>
        <w:pageBreakBefore w:val="0"/>
        <w:kinsoku/>
        <w:wordWrap/>
        <w:overflowPunct/>
        <w:topLinePunct w:val="0"/>
        <w:autoSpaceDE/>
        <w:autoSpaceDN/>
        <w:bidi w:val="0"/>
        <w:spacing w:line="36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申请人生产厂房应为自有或长期租赁。其中生产厂房为自有的提供土地使用权证或房屋产权证；长期租赁的提供租赁合同，并提供厂房所有人的土地使用权或房屋产权证明。生产厂房布局、环境应满足生产需要，并提供厂区平面图。对于因各种原因未办理土地所有权证及房屋产权证的，应提供乡镇及以上政府相关部门出具的有效证明材料。</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有权对其进行进一步的现场核实。</w:t>
      </w:r>
    </w:p>
    <w:p>
      <w:pPr>
        <w:keepNext w:val="0"/>
        <w:keepLines w:val="0"/>
        <w:pageBreakBefore w:val="0"/>
        <w:kinsoku/>
        <w:wordWrap/>
        <w:overflowPunct/>
        <w:topLinePunct w:val="0"/>
        <w:autoSpaceDE/>
        <w:autoSpaceDN/>
        <w:bidi w:val="0"/>
        <w:adjustRightInd w:val="0"/>
        <w:snapToGrid w:val="0"/>
        <w:spacing w:line="360" w:lineRule="exact"/>
        <w:ind w:firstLine="43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）必须具有生产资格预审产品所需的出厂检测能力，包括试验场地、试验设备和试验人员。</w:t>
      </w:r>
    </w:p>
    <w:p>
      <w:pPr>
        <w:pStyle w:val="4"/>
        <w:keepNext w:val="0"/>
        <w:keepLines w:val="0"/>
        <w:pageBreakBefore w:val="0"/>
        <w:kinsoku/>
        <w:wordWrap/>
        <w:overflowPunct/>
        <w:topLinePunct w:val="0"/>
        <w:autoSpaceDE/>
        <w:autoSpaceDN/>
        <w:bidi w:val="0"/>
        <w:spacing w:line="360" w:lineRule="exact"/>
        <w:textAlignment w:val="auto"/>
        <w:rPr>
          <w:rStyle w:val="19"/>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w:t>
      </w:r>
      <w:r>
        <w:rPr>
          <w:rStyle w:val="19"/>
          <w:rFonts w:hint="eastAsia" w:ascii="宋体" w:hAnsi="宋体" w:eastAsia="宋体" w:cs="宋体"/>
          <w:sz w:val="21"/>
          <w:szCs w:val="21"/>
          <w:highlight w:val="none"/>
        </w:rPr>
        <w:t>申请人应自行响应资格预审文件，不得委托中介机构或者中间人编制申请文件或代行办理投标事宜，不得相互串通投标。</w:t>
      </w:r>
    </w:p>
    <w:p>
      <w:pPr>
        <w:pageBreakBefore w:val="0"/>
        <w:widowControl/>
        <w:topLinePunct w:val="0"/>
        <w:bidi w:val="0"/>
        <w:adjustRightInd w:val="0"/>
        <w:snapToGrid w:val="0"/>
        <w:spacing w:line="360" w:lineRule="exact"/>
        <w:ind w:firstLine="422" w:firstLineChars="200"/>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3.5申请人专用资质业绩要求：</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Style w:val="19"/>
          <w:rFonts w:hint="eastAsia" w:ascii="宋体" w:hAnsi="宋体" w:eastAsia="宋体" w:cs="宋体"/>
          <w:sz w:val="21"/>
          <w:szCs w:val="21"/>
          <w:highlight w:val="none"/>
        </w:rPr>
      </w:pPr>
      <w:r>
        <w:rPr>
          <w:rStyle w:val="19"/>
          <w:rFonts w:hint="eastAsia" w:ascii="宋体" w:hAnsi="宋体" w:eastAsia="宋体" w:cs="宋体"/>
          <w:sz w:val="21"/>
          <w:szCs w:val="21"/>
          <w:highlight w:val="none"/>
        </w:rPr>
        <w:t>本表作为专有资质业绩条件，申请人及其申请产品须满足相应的专用资质业绩要求，各类物资专用具体资质业绩要求事项及其数据、状态分别如下：</w:t>
      </w:r>
    </w:p>
    <w:p>
      <w:pPr>
        <w:pStyle w:val="4"/>
        <w:pageBreakBefore w:val="0"/>
        <w:topLinePunct w:val="0"/>
        <w:bidi w:val="0"/>
        <w:spacing w:line="360" w:lineRule="exact"/>
        <w:rPr>
          <w:rFonts w:hint="eastAsia" w:ascii="宋体" w:hAnsi="宋体" w:eastAsia="宋体" w:cs="宋体"/>
          <w:sz w:val="21"/>
          <w:szCs w:val="21"/>
          <w:highlight w:val="none"/>
        </w:rPr>
        <w:sectPr>
          <w:footerReference r:id="rId3" w:type="default"/>
          <w:pgSz w:w="11906" w:h="16838"/>
          <w:pgMar w:top="1440" w:right="1440" w:bottom="1440" w:left="144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tbl>
      <w:tblPr>
        <w:tblStyle w:val="15"/>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00"/>
        <w:gridCol w:w="1500"/>
        <w:gridCol w:w="4400"/>
        <w:gridCol w:w="2744"/>
        <w:gridCol w:w="2528"/>
        <w:gridCol w:w="1103"/>
        <w:gridCol w:w="8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blHead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预审标段</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业绩要求</w:t>
            </w:r>
          </w:p>
        </w:tc>
        <w:tc>
          <w:tcPr>
            <w:tcW w:w="4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试验报告</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主要生产设备</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主要试验设备</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生产许可证（是/否）</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申请人类别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81" w:hRule="atLeast"/>
          <w:tblHead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金具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300万元</w:t>
            </w:r>
          </w:p>
        </w:tc>
        <w:tc>
          <w:tcPr>
            <w:tcW w:w="4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国家认可第三方权威检测机构的有效的检测报告（申请人需提供悬垂线夹、耐张线夹、连接金具、接续金具、防振锤、绝缘导线配套金具（悬垂线夹）、绝缘导线配套金具（耐张线夹）、绝缘导线配套金具（接续金具）、绝缘导线配套金具（绝缘罩）中至少任意五种试验报告）。</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加热设备、铸造设备、锻压设备、热处理设备、机加工设备、焊接设备等</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1.普通五元素快速分析仪或光谱分析仪等化学成分分析设备；</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2.锌层厚度测试设备；</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3.拉力试验设备；</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4.通止规；</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5.涉及绝缘导线配套金具的供应商应具备直流电阻测试仪、交流试验变压器(50kV及以上）、绝缘电阻测试仪。</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否</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A仅接受制造商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81" w:hRule="atLeast"/>
          <w:tblHead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电缆接线端子</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800套</w:t>
            </w:r>
          </w:p>
        </w:tc>
        <w:tc>
          <w:tcPr>
            <w:tcW w:w="4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型式试验</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加热设备、挤压设备、热处理设备、机加工设备、焊接设备等</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电阻测试仪、光谱仪、硬度计等</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否</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A仅接受制造商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81" w:hRule="atLeast"/>
          <w:tblHead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铁附件</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300万元</w:t>
            </w:r>
          </w:p>
        </w:tc>
        <w:tc>
          <w:tcPr>
            <w:tcW w:w="4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具备相应资质的第三方检测机构出具的有效的检测报告（提供铁附件中的横担、抱箍、接地铁、顶架、拉线棒、支架、拉攀（环）等非定型金具至少任意两种试验报告）</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角钢、型钢及板材加工设备（剪板机、折弯机、切割机、冲床或钻床）；二氧化碳气体保护焊机（或直流焊机）不少于2台；具有热镀锌能力，具有排污许可证（镀锌可外委，镀锌外委时则应有固定合作方，且需提供与镀锌厂签订的镀锌外委合同。镀锌厂的营业执照、排污许可证、组织机构代码证书或含社会统一信用代码的新版营业执照）</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锌层厚度检测仪</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否</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A仅接受制造商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81" w:hRule="atLeast"/>
          <w:tblHead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铜铝母线</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300万元</w:t>
            </w:r>
          </w:p>
        </w:tc>
        <w:tc>
          <w:tcPr>
            <w:tcW w:w="4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型式试验报告</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拉拔设备、挤压设备、定尺台等</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both"/>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电导（率）仪、光谱仪、硬度计等</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否</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line="360" w:lineRule="exact"/>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A仅接受制造商</w:t>
            </w:r>
          </w:p>
        </w:tc>
      </w:tr>
    </w:tbl>
    <w:p>
      <w:pPr>
        <w:pStyle w:val="4"/>
        <w:pageBreakBefore w:val="0"/>
        <w:topLinePunct w:val="0"/>
        <w:bidi w:val="0"/>
        <w:spacing w:line="360" w:lineRule="exact"/>
        <w:ind w:firstLine="422"/>
        <w:rPr>
          <w:rFonts w:ascii="宋体" w:hAnsi="Arial" w:cs="宋体"/>
          <w:b/>
          <w:i/>
          <w:color w:val="FF0000"/>
          <w:kern w:val="0"/>
          <w:szCs w:val="21"/>
          <w:highlight w:val="none"/>
          <w:lang w:val="zh-CN"/>
        </w:rPr>
      </w:pPr>
      <w:r>
        <w:rPr>
          <w:rFonts w:hint="eastAsia" w:ascii="宋体" w:hAnsi="宋体"/>
          <w:b/>
          <w:iCs/>
          <w:szCs w:val="21"/>
          <w:highlight w:val="none"/>
        </w:rPr>
        <w:t xml:space="preserve"> </w:t>
      </w:r>
      <w:r>
        <w:rPr>
          <w:b/>
          <w:szCs w:val="21"/>
          <w:highlight w:val="none"/>
        </w:rPr>
        <w:t>3.6环保体系及智能制造</w:t>
      </w:r>
      <w:r>
        <w:rPr>
          <w:rFonts w:hint="eastAsia"/>
          <w:b/>
          <w:szCs w:val="21"/>
          <w:highlight w:val="none"/>
        </w:rPr>
        <w:t>要求（非否决项）</w:t>
      </w:r>
    </w:p>
    <w:p>
      <w:pPr>
        <w:pStyle w:val="4"/>
        <w:pageBreakBefore w:val="0"/>
        <w:topLinePunct w:val="0"/>
        <w:bidi w:val="0"/>
        <w:spacing w:line="36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bCs/>
          <w:szCs w:val="21"/>
          <w:highlight w:val="none"/>
        </w:rPr>
        <w:t>为</w:t>
      </w:r>
      <w:r>
        <w:rPr>
          <w:rFonts w:hint="eastAsia" w:asciiTheme="minorEastAsia" w:hAnsiTheme="minorEastAsia" w:eastAsiaTheme="minorEastAsia" w:cstheme="minorEastAsia"/>
          <w:szCs w:val="21"/>
          <w:highlight w:val="none"/>
        </w:rPr>
        <w:t>落实“双碳”目标和新型电力系统建设的相关要求，请申请人提供以下相关支持证明材料，此项内容为非否决项。</w:t>
      </w:r>
    </w:p>
    <w:tbl>
      <w:tblPr>
        <w:tblStyle w:val="16"/>
        <w:tblW w:w="14174"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786"/>
        <w:gridCol w:w="91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tcPr>
          <w:p>
            <w:pPr>
              <w:pStyle w:val="4"/>
              <w:pageBreakBefore w:val="0"/>
              <w:topLinePunct w:val="0"/>
              <w:bidi w:val="0"/>
              <w:spacing w:line="360" w:lineRule="exact"/>
              <w:ind w:firstLine="0" w:firstLineChars="0"/>
              <w:jc w:val="center"/>
              <w:rPr>
                <w:rFonts w:asciiTheme="majorEastAsia" w:hAnsiTheme="majorEastAsia" w:eastAsiaTheme="majorEastAsia" w:cstheme="majorEastAsia"/>
                <w:b/>
                <w:bCs/>
                <w:szCs w:val="21"/>
                <w:highlight w:val="none"/>
              </w:rPr>
            </w:pPr>
            <w:r>
              <w:rPr>
                <w:rFonts w:hint="eastAsia" w:asciiTheme="majorEastAsia" w:hAnsiTheme="majorEastAsia" w:eastAsiaTheme="majorEastAsia" w:cstheme="majorEastAsia"/>
                <w:b/>
                <w:bCs/>
                <w:szCs w:val="21"/>
                <w:highlight w:val="none"/>
              </w:rPr>
              <w:t>序号</w:t>
            </w:r>
          </w:p>
        </w:tc>
        <w:tc>
          <w:tcPr>
            <w:tcW w:w="3786" w:type="dxa"/>
            <w:tcBorders>
              <w:tl2br w:val="nil"/>
              <w:tr2bl w:val="nil"/>
            </w:tcBorders>
          </w:tcPr>
          <w:p>
            <w:pPr>
              <w:pStyle w:val="4"/>
              <w:pageBreakBefore w:val="0"/>
              <w:topLinePunct w:val="0"/>
              <w:bidi w:val="0"/>
              <w:spacing w:line="360" w:lineRule="exact"/>
              <w:ind w:firstLine="0" w:firstLineChars="0"/>
              <w:jc w:val="center"/>
              <w:rPr>
                <w:rFonts w:asciiTheme="majorEastAsia" w:hAnsiTheme="majorEastAsia" w:eastAsiaTheme="majorEastAsia" w:cstheme="majorEastAsia"/>
                <w:b/>
                <w:bCs/>
                <w:szCs w:val="21"/>
                <w:highlight w:val="none"/>
              </w:rPr>
            </w:pPr>
            <w:r>
              <w:rPr>
                <w:rFonts w:hint="eastAsia" w:asciiTheme="majorEastAsia" w:hAnsiTheme="majorEastAsia" w:eastAsiaTheme="majorEastAsia" w:cstheme="majorEastAsia"/>
                <w:b/>
                <w:bCs/>
                <w:szCs w:val="21"/>
                <w:highlight w:val="none"/>
              </w:rPr>
              <w:t>类型</w:t>
            </w:r>
          </w:p>
        </w:tc>
        <w:tc>
          <w:tcPr>
            <w:tcW w:w="9187" w:type="dxa"/>
            <w:tcBorders>
              <w:tl2br w:val="nil"/>
              <w:tr2bl w:val="nil"/>
            </w:tcBorders>
          </w:tcPr>
          <w:p>
            <w:pPr>
              <w:pStyle w:val="4"/>
              <w:pageBreakBefore w:val="0"/>
              <w:topLinePunct w:val="0"/>
              <w:bidi w:val="0"/>
              <w:spacing w:line="360" w:lineRule="exact"/>
              <w:ind w:firstLine="0" w:firstLineChars="0"/>
              <w:jc w:val="center"/>
              <w:rPr>
                <w:rFonts w:asciiTheme="majorEastAsia" w:hAnsiTheme="majorEastAsia" w:eastAsiaTheme="majorEastAsia" w:cstheme="majorEastAsia"/>
                <w:b/>
                <w:bCs/>
                <w:szCs w:val="21"/>
                <w:highlight w:val="none"/>
              </w:rPr>
            </w:pPr>
            <w:r>
              <w:rPr>
                <w:rFonts w:hint="eastAsia" w:asciiTheme="majorEastAsia" w:hAnsiTheme="majorEastAsia" w:eastAsiaTheme="majorEastAsia" w:cstheme="majorEastAsia"/>
                <w:b/>
                <w:bCs/>
                <w:szCs w:val="21"/>
                <w:highlight w:val="none"/>
              </w:rPr>
              <w:t>资料明细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4"/>
              <w:pageBreakBefore w:val="0"/>
              <w:topLinePunct w:val="0"/>
              <w:bidi w:val="0"/>
              <w:spacing w:line="360" w:lineRule="exact"/>
              <w:ind w:firstLine="0" w:firstLineChars="0"/>
              <w:jc w:val="center"/>
              <w:rPr>
                <w:rFonts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1</w:t>
            </w:r>
          </w:p>
        </w:tc>
        <w:tc>
          <w:tcPr>
            <w:tcW w:w="3786" w:type="dxa"/>
            <w:tcBorders>
              <w:tl2br w:val="nil"/>
              <w:tr2bl w:val="nil"/>
            </w:tcBorders>
            <w:vAlign w:val="center"/>
          </w:tcPr>
          <w:p>
            <w:pPr>
              <w:pStyle w:val="4"/>
              <w:pageBreakBefore w:val="0"/>
              <w:topLinePunct w:val="0"/>
              <w:bidi w:val="0"/>
              <w:spacing w:line="360" w:lineRule="exact"/>
              <w:ind w:firstLine="0" w:firstLineChars="0"/>
              <w:rPr>
                <w:rFonts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环保体系</w:t>
            </w:r>
          </w:p>
        </w:tc>
        <w:tc>
          <w:tcPr>
            <w:tcW w:w="9187" w:type="dxa"/>
            <w:tcBorders>
              <w:tl2br w:val="nil"/>
              <w:tr2bl w:val="nil"/>
            </w:tcBorders>
          </w:tcPr>
          <w:p>
            <w:pPr>
              <w:pStyle w:val="4"/>
              <w:pageBreakBefore w:val="0"/>
              <w:topLinePunct w:val="0"/>
              <w:bidi w:val="0"/>
              <w:spacing w:line="360" w:lineRule="exact"/>
              <w:ind w:firstLine="0" w:firstLineChars="0"/>
              <w:rPr>
                <w:rFonts w:ascii="宋体" w:hAnsi="宋体" w:cs="宋体"/>
                <w:kern w:val="0"/>
                <w:szCs w:val="21"/>
                <w:highlight w:val="none"/>
                <w:lang w:bidi="ar"/>
              </w:rPr>
            </w:pPr>
            <w:r>
              <w:rPr>
                <w:rFonts w:hint="eastAsia" w:ascii="宋体" w:hAnsi="宋体" w:cs="宋体"/>
                <w:kern w:val="0"/>
                <w:szCs w:val="21"/>
                <w:highlight w:val="none"/>
                <w:lang w:bidi="ar"/>
              </w:rPr>
              <w:t>提供具有环境影响评价乙级及以上资质的环评机构出具的环评报告；</w:t>
            </w:r>
          </w:p>
          <w:p>
            <w:pPr>
              <w:pStyle w:val="4"/>
              <w:pageBreakBefore w:val="0"/>
              <w:topLinePunct w:val="0"/>
              <w:bidi w:val="0"/>
              <w:spacing w:line="360" w:lineRule="exact"/>
              <w:ind w:firstLine="0" w:firstLineChars="0"/>
              <w:rPr>
                <w:rFonts w:ascii="宋体" w:hAnsi="宋体" w:cs="宋体"/>
                <w:kern w:val="0"/>
                <w:szCs w:val="21"/>
                <w:highlight w:val="none"/>
                <w:lang w:bidi="ar"/>
              </w:rPr>
            </w:pPr>
            <w:r>
              <w:rPr>
                <w:rFonts w:hint="eastAsia" w:ascii="宋体" w:hAnsi="宋体" w:cs="宋体"/>
                <w:kern w:val="0"/>
                <w:szCs w:val="21"/>
                <w:highlight w:val="none"/>
                <w:lang w:bidi="ar"/>
              </w:rPr>
              <w:t>提供废水/废气/废固等净化/回收的处理设备购置的证明材料。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1" w:type="dxa"/>
            <w:tcBorders>
              <w:tl2br w:val="nil"/>
              <w:tr2bl w:val="nil"/>
            </w:tcBorders>
            <w:vAlign w:val="center"/>
          </w:tcPr>
          <w:p>
            <w:pPr>
              <w:pStyle w:val="4"/>
              <w:pageBreakBefore w:val="0"/>
              <w:topLinePunct w:val="0"/>
              <w:bidi w:val="0"/>
              <w:spacing w:line="360" w:lineRule="exact"/>
              <w:ind w:firstLine="0" w:firstLineChars="0"/>
              <w:jc w:val="center"/>
              <w:rPr>
                <w:rFonts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2</w:t>
            </w:r>
          </w:p>
        </w:tc>
        <w:tc>
          <w:tcPr>
            <w:tcW w:w="3786" w:type="dxa"/>
            <w:tcBorders>
              <w:tl2br w:val="nil"/>
              <w:tr2bl w:val="nil"/>
            </w:tcBorders>
            <w:vAlign w:val="center"/>
          </w:tcPr>
          <w:p>
            <w:pPr>
              <w:pStyle w:val="4"/>
              <w:pageBreakBefore w:val="0"/>
              <w:topLinePunct w:val="0"/>
              <w:bidi w:val="0"/>
              <w:spacing w:line="360" w:lineRule="exact"/>
              <w:ind w:firstLine="0" w:firstLineChars="0"/>
              <w:rPr>
                <w:rFonts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智能制造</w:t>
            </w:r>
          </w:p>
        </w:tc>
        <w:tc>
          <w:tcPr>
            <w:tcW w:w="9187" w:type="dxa"/>
            <w:tcBorders>
              <w:tl2br w:val="nil"/>
              <w:tr2bl w:val="nil"/>
            </w:tcBorders>
          </w:tcPr>
          <w:p>
            <w:pPr>
              <w:pStyle w:val="4"/>
              <w:pageBreakBefore w:val="0"/>
              <w:topLinePunct w:val="0"/>
              <w:bidi w:val="0"/>
              <w:spacing w:line="360" w:lineRule="exact"/>
              <w:ind w:firstLine="0" w:firstLineChars="0"/>
              <w:rPr>
                <w:rFonts w:asciiTheme="majorEastAsia" w:hAnsiTheme="majorEastAsia" w:eastAsiaTheme="majorEastAsia" w:cstheme="majorEastAsia"/>
                <w:szCs w:val="21"/>
                <w:highlight w:val="none"/>
              </w:rPr>
            </w:pPr>
            <w:r>
              <w:rPr>
                <w:rFonts w:hint="eastAsia" w:ascii="宋体" w:hAnsi="宋体" w:cs="宋体"/>
                <w:kern w:val="0"/>
                <w:szCs w:val="21"/>
                <w:highlight w:val="none"/>
                <w:lang w:bidi="ar"/>
              </w:rPr>
              <w:t>提供应用CAD设计、MES生产、BIM建造等工业系统软件，进行订单、原材料、工艺、生产、质量、成品全流程智能管理的证明材料。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4"/>
              <w:pageBreakBefore w:val="0"/>
              <w:topLinePunct w:val="0"/>
              <w:bidi w:val="0"/>
              <w:spacing w:line="360" w:lineRule="exact"/>
              <w:ind w:firstLine="0" w:firstLineChars="0"/>
              <w:jc w:val="center"/>
              <w:rPr>
                <w:rFonts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3</w:t>
            </w:r>
          </w:p>
        </w:tc>
        <w:tc>
          <w:tcPr>
            <w:tcW w:w="3786" w:type="dxa"/>
            <w:tcBorders>
              <w:tl2br w:val="nil"/>
              <w:tr2bl w:val="nil"/>
            </w:tcBorders>
            <w:vAlign w:val="center"/>
          </w:tcPr>
          <w:p>
            <w:pPr>
              <w:pStyle w:val="4"/>
              <w:pageBreakBefore w:val="0"/>
              <w:topLinePunct w:val="0"/>
              <w:bidi w:val="0"/>
              <w:spacing w:line="360" w:lineRule="exact"/>
              <w:ind w:firstLine="0" w:firstLineChars="0"/>
              <w:rPr>
                <w:rFonts w:asciiTheme="majorEastAsia" w:hAnsiTheme="majorEastAsia" w:eastAsiaTheme="majorEastAsia" w:cstheme="majorEastAsia"/>
                <w:szCs w:val="21"/>
                <w:highlight w:val="none"/>
              </w:rPr>
            </w:pPr>
            <w:r>
              <w:rPr>
                <w:rFonts w:hint="eastAsia" w:asciiTheme="minorEastAsia" w:hAnsiTheme="minorEastAsia" w:eastAsiaTheme="minorEastAsia" w:cstheme="minorEastAsia"/>
                <w:szCs w:val="21"/>
                <w:highlight w:val="none"/>
              </w:rPr>
              <w:t>环境管理体系认证证书</w:t>
            </w:r>
          </w:p>
        </w:tc>
        <w:tc>
          <w:tcPr>
            <w:tcW w:w="9187" w:type="dxa"/>
            <w:tcBorders>
              <w:tl2br w:val="nil"/>
              <w:tr2bl w:val="nil"/>
            </w:tcBorders>
          </w:tcPr>
          <w:p>
            <w:pPr>
              <w:pStyle w:val="4"/>
              <w:pageBreakBefore w:val="0"/>
              <w:topLinePunct w:val="0"/>
              <w:bidi w:val="0"/>
              <w:spacing w:line="360" w:lineRule="exact"/>
              <w:ind w:firstLine="0" w:firstLineChars="0"/>
              <w:rPr>
                <w:rFonts w:asciiTheme="minorEastAsia" w:hAnsiTheme="minorEastAsia" w:eastAsiaTheme="minorEastAsia" w:cstheme="minorEastAsia"/>
                <w:szCs w:val="21"/>
                <w:highlight w:val="none"/>
              </w:rPr>
            </w:pPr>
            <w:r>
              <w:rPr>
                <w:rFonts w:hint="eastAsia" w:ascii="宋体" w:hAnsi="宋体" w:cs="宋体"/>
                <w:kern w:val="0"/>
                <w:szCs w:val="21"/>
                <w:highlight w:val="none"/>
                <w:lang w:bidi="ar"/>
              </w:rPr>
              <w:t>提供</w:t>
            </w:r>
            <w:r>
              <w:rPr>
                <w:rFonts w:hint="eastAsia" w:asciiTheme="minorEastAsia" w:hAnsiTheme="minorEastAsia" w:eastAsiaTheme="minorEastAsia" w:cstheme="minorEastAsia"/>
                <w:szCs w:val="21"/>
                <w:highlight w:val="none"/>
              </w:rPr>
              <w:t>环境管理体系认证证书扫描件。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4"/>
              <w:pageBreakBefore w:val="0"/>
              <w:topLinePunct w:val="0"/>
              <w:bidi w:val="0"/>
              <w:spacing w:line="360" w:lineRule="exact"/>
              <w:ind w:firstLine="0" w:firstLineChars="0"/>
              <w:jc w:val="center"/>
              <w:rPr>
                <w:rFonts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4</w:t>
            </w:r>
          </w:p>
        </w:tc>
        <w:tc>
          <w:tcPr>
            <w:tcW w:w="3786" w:type="dxa"/>
            <w:tcBorders>
              <w:tl2br w:val="nil"/>
              <w:tr2bl w:val="nil"/>
            </w:tcBorders>
            <w:vAlign w:val="center"/>
          </w:tcPr>
          <w:p>
            <w:pPr>
              <w:pStyle w:val="4"/>
              <w:pageBreakBefore w:val="0"/>
              <w:topLinePunct w:val="0"/>
              <w:bidi w:val="0"/>
              <w:spacing w:line="360" w:lineRule="exact"/>
              <w:ind w:firstLine="0" w:firstLineChars="0"/>
              <w:rPr>
                <w:rFonts w:asciiTheme="majorEastAsia" w:hAnsiTheme="majorEastAsia" w:eastAsiaTheme="majorEastAsia" w:cstheme="majorEastAsia"/>
                <w:szCs w:val="21"/>
                <w:highlight w:val="none"/>
              </w:rPr>
            </w:pPr>
            <w:r>
              <w:rPr>
                <w:rFonts w:hint="eastAsia" w:asciiTheme="minorEastAsia" w:hAnsiTheme="minorEastAsia" w:eastAsiaTheme="minorEastAsia" w:cstheme="minorEastAsia"/>
                <w:szCs w:val="21"/>
                <w:highlight w:val="none"/>
              </w:rPr>
              <w:t>职业健康安全管理体系认证证书</w:t>
            </w:r>
          </w:p>
        </w:tc>
        <w:tc>
          <w:tcPr>
            <w:tcW w:w="9187" w:type="dxa"/>
            <w:tcBorders>
              <w:tl2br w:val="nil"/>
              <w:tr2bl w:val="nil"/>
            </w:tcBorders>
          </w:tcPr>
          <w:p>
            <w:pPr>
              <w:pStyle w:val="4"/>
              <w:pageBreakBefore w:val="0"/>
              <w:topLinePunct w:val="0"/>
              <w:bidi w:val="0"/>
              <w:spacing w:line="360" w:lineRule="exact"/>
              <w:ind w:firstLine="0" w:firstLineChars="0"/>
              <w:rPr>
                <w:rFonts w:ascii="宋体" w:hAnsi="宋体" w:cs="宋体"/>
                <w:kern w:val="0"/>
                <w:szCs w:val="21"/>
                <w:highlight w:val="none"/>
                <w:lang w:bidi="ar"/>
              </w:rPr>
            </w:pPr>
            <w:r>
              <w:rPr>
                <w:rFonts w:hint="eastAsia" w:asciiTheme="minorEastAsia" w:hAnsiTheme="minorEastAsia" w:eastAsiaTheme="minorEastAsia" w:cstheme="minorEastAsia"/>
                <w:szCs w:val="21"/>
                <w:highlight w:val="none"/>
                <w:lang w:bidi="ar"/>
              </w:rPr>
              <w:t>提供</w:t>
            </w:r>
            <w:r>
              <w:rPr>
                <w:rFonts w:hint="eastAsia" w:asciiTheme="minorEastAsia" w:hAnsiTheme="minorEastAsia" w:eastAsiaTheme="minorEastAsia" w:cstheme="minorEastAsia"/>
                <w:szCs w:val="21"/>
                <w:highlight w:val="none"/>
              </w:rPr>
              <w:t>职业健康安全管理体系认证证书扫描件。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4"/>
              <w:pageBreakBefore w:val="0"/>
              <w:topLinePunct w:val="0"/>
              <w:bidi w:val="0"/>
              <w:spacing w:line="360" w:lineRule="exact"/>
              <w:ind w:firstLine="0" w:firstLineChars="0"/>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5</w:t>
            </w:r>
          </w:p>
        </w:tc>
        <w:tc>
          <w:tcPr>
            <w:tcW w:w="3786" w:type="dxa"/>
            <w:tcBorders>
              <w:tl2br w:val="nil"/>
              <w:tr2bl w:val="nil"/>
            </w:tcBorders>
            <w:vAlign w:val="center"/>
          </w:tcPr>
          <w:p>
            <w:pPr>
              <w:pStyle w:val="4"/>
              <w:pageBreakBefore w:val="0"/>
              <w:topLinePunct w:val="0"/>
              <w:bidi w:val="0"/>
              <w:spacing w:line="360" w:lineRule="exact"/>
              <w:ind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产品碳足迹证书</w:t>
            </w:r>
          </w:p>
        </w:tc>
        <w:tc>
          <w:tcPr>
            <w:tcW w:w="9187" w:type="dxa"/>
            <w:tcBorders>
              <w:tl2br w:val="nil"/>
              <w:tr2bl w:val="nil"/>
            </w:tcBorders>
          </w:tcPr>
          <w:p>
            <w:pPr>
              <w:pStyle w:val="4"/>
              <w:pageBreakBefore w:val="0"/>
              <w:topLinePunct w:val="0"/>
              <w:bidi w:val="0"/>
              <w:spacing w:line="360" w:lineRule="exact"/>
              <w:ind w:firstLine="0" w:firstLineChars="0"/>
              <w:rPr>
                <w:rFonts w:hint="eastAsia" w:asciiTheme="minorEastAsia" w:hAnsiTheme="minorEastAsia" w:eastAsiaTheme="minorEastAsia" w:cstheme="minorEastAsia"/>
                <w:szCs w:val="21"/>
                <w:highlight w:val="none"/>
                <w:lang w:bidi="ar"/>
              </w:rPr>
            </w:pPr>
            <w:r>
              <w:rPr>
                <w:rFonts w:hint="eastAsia" w:ascii="宋体" w:hAnsi="宋体" w:cs="宋体"/>
                <w:kern w:val="0"/>
                <w:szCs w:val="21"/>
                <w:highlight w:val="none"/>
                <w:lang w:bidi="ar"/>
              </w:rPr>
              <w:t>提供</w:t>
            </w:r>
            <w:r>
              <w:rPr>
                <w:rFonts w:hint="eastAsia" w:asciiTheme="minorEastAsia" w:hAnsiTheme="minorEastAsia" w:eastAsiaTheme="minorEastAsia" w:cstheme="minorEastAsia"/>
                <w:szCs w:val="21"/>
                <w:highlight w:val="none"/>
              </w:rPr>
              <w:t>碳足迹体系证书扫描件。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4"/>
              <w:pageBreakBefore w:val="0"/>
              <w:topLinePunct w:val="0"/>
              <w:bidi w:val="0"/>
              <w:spacing w:line="360" w:lineRule="exact"/>
              <w:ind w:firstLine="0" w:firstLineChars="0"/>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6</w:t>
            </w:r>
          </w:p>
        </w:tc>
        <w:tc>
          <w:tcPr>
            <w:tcW w:w="3786" w:type="dxa"/>
            <w:tcBorders>
              <w:tl2br w:val="nil"/>
              <w:tr2bl w:val="nil"/>
            </w:tcBorders>
            <w:vAlign w:val="center"/>
          </w:tcPr>
          <w:p>
            <w:pPr>
              <w:pStyle w:val="4"/>
              <w:pageBreakBefore w:val="0"/>
              <w:topLinePunct w:val="0"/>
              <w:bidi w:val="0"/>
              <w:spacing w:line="360" w:lineRule="exact"/>
              <w:ind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绿色工厂评价</w:t>
            </w:r>
          </w:p>
        </w:tc>
        <w:tc>
          <w:tcPr>
            <w:tcW w:w="9187" w:type="dxa"/>
            <w:tcBorders>
              <w:tl2br w:val="nil"/>
              <w:tr2bl w:val="nil"/>
            </w:tcBorders>
          </w:tcPr>
          <w:p>
            <w:pPr>
              <w:pStyle w:val="4"/>
              <w:pageBreakBefore w:val="0"/>
              <w:topLinePunct w:val="0"/>
              <w:bidi w:val="0"/>
              <w:spacing w:line="360" w:lineRule="exact"/>
              <w:ind w:firstLine="0" w:firstLineChars="0"/>
              <w:rPr>
                <w:rFonts w:hint="eastAsia" w:ascii="宋体" w:hAnsi="宋体" w:cs="宋体"/>
                <w:kern w:val="0"/>
                <w:szCs w:val="21"/>
                <w:highlight w:val="none"/>
                <w:lang w:bidi="ar"/>
              </w:rPr>
            </w:pPr>
            <w:r>
              <w:rPr>
                <w:rFonts w:hint="eastAsia" w:ascii="宋体" w:hAnsi="宋体" w:cs="宋体"/>
                <w:kern w:val="0"/>
                <w:szCs w:val="21"/>
                <w:highlight w:val="none"/>
                <w:lang w:bidi="ar"/>
              </w:rPr>
              <w:t>提供</w:t>
            </w:r>
            <w:r>
              <w:rPr>
                <w:rFonts w:hint="eastAsia" w:asciiTheme="minorEastAsia" w:hAnsiTheme="minorEastAsia" w:eastAsiaTheme="minorEastAsia" w:cstheme="minorEastAsia"/>
                <w:szCs w:val="21"/>
                <w:highlight w:val="none"/>
              </w:rPr>
              <w:t>绿色工厂评价相关证明材料扫描件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4"/>
              <w:pageBreakBefore w:val="0"/>
              <w:topLinePunct w:val="0"/>
              <w:bidi w:val="0"/>
              <w:spacing w:line="360" w:lineRule="exact"/>
              <w:ind w:firstLine="0" w:firstLineChars="0"/>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7</w:t>
            </w:r>
          </w:p>
        </w:tc>
        <w:tc>
          <w:tcPr>
            <w:tcW w:w="3786" w:type="dxa"/>
            <w:tcBorders>
              <w:tl2br w:val="nil"/>
              <w:tr2bl w:val="nil"/>
            </w:tcBorders>
            <w:vAlign w:val="center"/>
          </w:tcPr>
          <w:p>
            <w:pPr>
              <w:pStyle w:val="4"/>
              <w:pageBreakBefore w:val="0"/>
              <w:topLinePunct w:val="0"/>
              <w:bidi w:val="0"/>
              <w:spacing w:line="360" w:lineRule="exact"/>
              <w:ind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绿色设计产品评价</w:t>
            </w:r>
          </w:p>
        </w:tc>
        <w:tc>
          <w:tcPr>
            <w:tcW w:w="9187" w:type="dxa"/>
            <w:tcBorders>
              <w:tl2br w:val="nil"/>
              <w:tr2bl w:val="nil"/>
            </w:tcBorders>
          </w:tcPr>
          <w:p>
            <w:pPr>
              <w:pStyle w:val="4"/>
              <w:pageBreakBefore w:val="0"/>
              <w:topLinePunct w:val="0"/>
              <w:bidi w:val="0"/>
              <w:spacing w:line="360" w:lineRule="exact"/>
              <w:ind w:firstLine="0" w:firstLineChars="0"/>
              <w:rPr>
                <w:rFonts w:hint="eastAsia" w:ascii="宋体" w:hAnsi="宋体" w:cs="宋体"/>
                <w:kern w:val="0"/>
                <w:szCs w:val="21"/>
                <w:highlight w:val="none"/>
                <w:lang w:bidi="ar"/>
              </w:rPr>
            </w:pPr>
            <w:r>
              <w:rPr>
                <w:rFonts w:hint="eastAsia" w:ascii="宋体" w:hAnsi="宋体" w:cs="宋体"/>
                <w:kern w:val="0"/>
                <w:szCs w:val="21"/>
                <w:highlight w:val="none"/>
                <w:lang w:bidi="ar"/>
              </w:rPr>
              <w:t>提供</w:t>
            </w:r>
            <w:r>
              <w:rPr>
                <w:rFonts w:hint="eastAsia" w:asciiTheme="minorEastAsia" w:hAnsiTheme="minorEastAsia" w:eastAsiaTheme="minorEastAsia" w:cstheme="minorEastAsia"/>
                <w:szCs w:val="21"/>
                <w:highlight w:val="none"/>
              </w:rPr>
              <w:t>绿色设计产品评价相关证明材料扫描件</w:t>
            </w:r>
          </w:p>
        </w:tc>
      </w:tr>
    </w:tbl>
    <w:p>
      <w:pPr>
        <w:pStyle w:val="5"/>
        <w:pageBreakBefore w:val="0"/>
        <w:topLinePunct w:val="0"/>
        <w:bidi w:val="0"/>
        <w:spacing w:line="360" w:lineRule="exact"/>
        <w:rPr>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4"/>
        <w:pageBreakBefore w:val="0"/>
        <w:topLinePunct w:val="0"/>
        <w:bidi w:val="0"/>
        <w:spacing w:line="360" w:lineRule="exact"/>
        <w:ind w:firstLine="422"/>
        <w:rPr>
          <w:rFonts w:hint="eastAsia" w:ascii="宋体" w:hAnsi="宋体" w:eastAsia="宋体" w:cs="Times New Roman"/>
          <w:b/>
          <w:iCs/>
          <w:szCs w:val="21"/>
          <w:highlight w:val="none"/>
        </w:rPr>
      </w:pPr>
      <w:bookmarkStart w:id="24" w:name="_Toc31602"/>
      <w:bookmarkStart w:id="25" w:name="_Toc48841734"/>
      <w:bookmarkStart w:id="26" w:name="_Toc146123640"/>
      <w:r>
        <w:rPr>
          <w:rFonts w:hint="eastAsia" w:ascii="宋体" w:hAnsi="宋体" w:eastAsia="宋体" w:cs="Times New Roman"/>
          <w:b/>
          <w:iCs/>
          <w:szCs w:val="21"/>
          <w:highlight w:val="none"/>
        </w:rPr>
        <w:t>4．审核标准</w:t>
      </w:r>
      <w:bookmarkEnd w:id="24"/>
      <w:bookmarkEnd w:id="25"/>
      <w:bookmarkEnd w:id="26"/>
    </w:p>
    <w:p>
      <w:pPr>
        <w:pStyle w:val="4"/>
        <w:pageBreakBefore w:val="0"/>
        <w:topLinePunct w:val="0"/>
        <w:bidi w:val="0"/>
        <w:spacing w:line="360" w:lineRule="exact"/>
        <w:ind w:firstLine="422"/>
        <w:rPr>
          <w:rFonts w:hint="eastAsia" w:ascii="宋体" w:hAnsi="宋体" w:eastAsia="宋体" w:cs="Times New Roman"/>
          <w:b/>
          <w:iCs/>
          <w:szCs w:val="21"/>
          <w:highlight w:val="none"/>
        </w:rPr>
      </w:pPr>
      <w:r>
        <w:rPr>
          <w:rFonts w:hint="eastAsia" w:ascii="宋体" w:hAnsi="宋体" w:eastAsia="宋体" w:cs="Times New Roman"/>
          <w:b/>
          <w:iCs/>
          <w:szCs w:val="21"/>
          <w:highlight w:val="none"/>
        </w:rPr>
        <w:t>4.1总则（适用于各标段）</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需要按《资格预审申请文件》格式填写应答文件表格，并按其“编制说明”提供对应支持证明材料。</w:t>
      </w:r>
    </w:p>
    <w:p>
      <w:pPr>
        <w:keepNext w:val="0"/>
        <w:keepLines w:val="0"/>
        <w:pageBreakBefore w:val="0"/>
        <w:widowControl w:val="0"/>
        <w:kinsoku/>
        <w:wordWrap/>
        <w:overflowPunct/>
        <w:topLinePunct w:val="0"/>
        <w:autoSpaceDE/>
        <w:autoSpaceDN/>
        <w:bidi w:val="0"/>
        <w:adjustRightInd w:val="0"/>
        <w:snapToGrid w:val="0"/>
        <w:spacing w:line="360" w:lineRule="exact"/>
        <w:ind w:firstLine="424" w:firstLineChars="201"/>
        <w:textAlignment w:val="auto"/>
        <w:rPr>
          <w:rFonts w:ascii="宋体" w:hAnsi="宋体"/>
          <w:iCs/>
          <w:color w:val="FF0000"/>
          <w:szCs w:val="21"/>
          <w:highlight w:val="none"/>
        </w:rPr>
      </w:pPr>
      <w:r>
        <w:rPr>
          <w:b/>
          <w:iCs/>
          <w:szCs w:val="21"/>
          <w:highlight w:val="none"/>
        </w:rPr>
        <w:t>4.1.1</w:t>
      </w:r>
      <w:r>
        <w:rPr>
          <w:rFonts w:hAnsi="宋体"/>
          <w:b/>
          <w:iCs/>
          <w:szCs w:val="21"/>
          <w:highlight w:val="none"/>
        </w:rPr>
        <w:t>业绩审核标准</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eastAsiaTheme="minorEastAsia"/>
          <w:b/>
          <w:szCs w:val="21"/>
          <w:highlight w:val="none"/>
        </w:rPr>
      </w:pPr>
      <w:r>
        <w:rPr>
          <w:rFonts w:hAnsi="宋体"/>
          <w:iCs/>
          <w:szCs w:val="21"/>
          <w:highlight w:val="none"/>
        </w:rPr>
        <w:t>（</w:t>
      </w:r>
      <w:r>
        <w:rPr>
          <w:iCs/>
          <w:szCs w:val="21"/>
          <w:highlight w:val="none"/>
        </w:rPr>
        <w:t>1</w:t>
      </w:r>
      <w:r>
        <w:rPr>
          <w:rFonts w:hAnsi="宋体"/>
          <w:iCs/>
          <w:szCs w:val="21"/>
          <w:highlight w:val="none"/>
        </w:rPr>
        <w:t>）有效既有业绩时间范围：</w:t>
      </w:r>
      <w:r>
        <w:rPr>
          <w:b/>
          <w:iCs/>
          <w:color w:val="FF0000"/>
          <w:szCs w:val="21"/>
          <w:highlight w:val="none"/>
        </w:rPr>
        <w:t>20</w:t>
      </w:r>
      <w:r>
        <w:rPr>
          <w:rFonts w:hint="eastAsia"/>
          <w:b/>
          <w:iCs/>
          <w:color w:val="FF0000"/>
          <w:szCs w:val="21"/>
          <w:highlight w:val="none"/>
        </w:rPr>
        <w:t>2</w:t>
      </w:r>
      <w:r>
        <w:rPr>
          <w:rFonts w:hint="eastAsia"/>
          <w:b/>
          <w:iCs/>
          <w:color w:val="FF0000"/>
          <w:szCs w:val="21"/>
          <w:highlight w:val="none"/>
          <w:lang w:val="en-US" w:eastAsia="zh-CN"/>
        </w:rPr>
        <w:t>1</w:t>
      </w:r>
      <w:r>
        <w:rPr>
          <w:rFonts w:hAnsi="Arial"/>
          <w:b/>
          <w:iCs/>
          <w:color w:val="FF0000"/>
          <w:szCs w:val="21"/>
          <w:highlight w:val="none"/>
        </w:rPr>
        <w:t>年</w:t>
      </w:r>
      <w:r>
        <w:rPr>
          <w:rFonts w:hint="eastAsia" w:hAnsi="Arial"/>
          <w:b/>
          <w:iCs/>
          <w:color w:val="FF0000"/>
          <w:szCs w:val="21"/>
          <w:highlight w:val="none"/>
        </w:rPr>
        <w:t>0</w:t>
      </w:r>
      <w:r>
        <w:rPr>
          <w:b/>
          <w:iCs/>
          <w:color w:val="FF0000"/>
          <w:szCs w:val="21"/>
          <w:highlight w:val="none"/>
        </w:rPr>
        <w:t>1</w:t>
      </w:r>
      <w:r>
        <w:rPr>
          <w:rFonts w:hAnsi="Arial"/>
          <w:b/>
          <w:iCs/>
          <w:color w:val="FF0000"/>
          <w:szCs w:val="21"/>
          <w:highlight w:val="none"/>
        </w:rPr>
        <w:t>月</w:t>
      </w:r>
      <w:r>
        <w:rPr>
          <w:rFonts w:hint="eastAsia" w:hAnsi="Arial"/>
          <w:b/>
          <w:iCs/>
          <w:color w:val="FF0000"/>
          <w:szCs w:val="21"/>
          <w:highlight w:val="none"/>
        </w:rPr>
        <w:t>0</w:t>
      </w:r>
      <w:r>
        <w:rPr>
          <w:b/>
          <w:iCs/>
          <w:color w:val="FF0000"/>
          <w:szCs w:val="21"/>
          <w:highlight w:val="none"/>
        </w:rPr>
        <w:t>1</w:t>
      </w:r>
      <w:r>
        <w:rPr>
          <w:rFonts w:hAnsi="Arial"/>
          <w:b/>
          <w:iCs/>
          <w:color w:val="FF0000"/>
          <w:szCs w:val="21"/>
          <w:highlight w:val="none"/>
        </w:rPr>
        <w:t>日</w:t>
      </w:r>
      <w:r>
        <w:rPr>
          <w:rFonts w:hint="eastAsia" w:hAnsi="Arial"/>
          <w:b/>
          <w:iCs/>
          <w:color w:val="FF0000"/>
          <w:szCs w:val="21"/>
          <w:highlight w:val="none"/>
          <w:lang w:eastAsia="zh-CN"/>
        </w:rPr>
        <w:t>至</w:t>
      </w:r>
      <w:r>
        <w:rPr>
          <w:rFonts w:hint="eastAsia" w:hAnsi="Arial"/>
          <w:b/>
          <w:iCs/>
          <w:color w:val="FF0000"/>
          <w:szCs w:val="21"/>
          <w:highlight w:val="none"/>
          <w:lang w:val="en-US" w:eastAsia="zh-CN"/>
        </w:rPr>
        <w:t>2024年</w:t>
      </w:r>
      <w:r>
        <w:rPr>
          <w:rFonts w:hint="eastAsia" w:hAnsi="Arial"/>
          <w:b/>
          <w:iCs/>
          <w:color w:val="FF0000"/>
          <w:szCs w:val="21"/>
          <w:highlight w:val="none"/>
          <w:lang w:eastAsia="zh-CN"/>
        </w:rPr>
        <w:t>12月8日</w:t>
      </w:r>
      <w:r>
        <w:rPr>
          <w:rFonts w:hAnsi="宋体"/>
          <w:iCs/>
          <w:szCs w:val="21"/>
          <w:highlight w:val="none"/>
        </w:rPr>
        <w:t>。资格预审申请人提供的有效期间内合同业绩数量应满足专用资质条件要求。</w:t>
      </w:r>
      <w:r>
        <w:rPr>
          <w:rFonts w:eastAsiaTheme="minorEastAsia"/>
          <w:b/>
          <w:szCs w:val="21"/>
          <w:highlight w:val="none"/>
        </w:rPr>
        <w:t>业绩时间</w:t>
      </w:r>
      <w:r>
        <w:rPr>
          <w:rFonts w:hint="eastAsia" w:eastAsiaTheme="minorEastAsia"/>
          <w:b/>
          <w:szCs w:val="21"/>
          <w:highlight w:val="none"/>
        </w:rPr>
        <w:t>计算</w:t>
      </w:r>
      <w:r>
        <w:rPr>
          <w:rFonts w:eastAsiaTheme="minorEastAsia"/>
          <w:b/>
          <w:szCs w:val="21"/>
          <w:highlight w:val="none"/>
        </w:rPr>
        <w:t>以合同签订时间为准，业绩数量（金额）</w:t>
      </w:r>
      <w:r>
        <w:rPr>
          <w:rFonts w:hint="eastAsia" w:eastAsiaTheme="minorEastAsia"/>
          <w:b/>
          <w:szCs w:val="21"/>
          <w:highlight w:val="none"/>
        </w:rPr>
        <w:t>计算</w:t>
      </w:r>
      <w:r>
        <w:rPr>
          <w:rFonts w:eastAsiaTheme="minorEastAsia"/>
          <w:b/>
          <w:szCs w:val="21"/>
          <w:highlight w:val="none"/>
        </w:rPr>
        <w:t>以提供发票为准。</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Ansi="宋体"/>
          <w:iCs/>
          <w:strike w:val="0"/>
          <w:dstrike w:val="0"/>
          <w:szCs w:val="21"/>
          <w:highlight w:val="none"/>
          <w:u w:val="none"/>
        </w:rPr>
        <w:t>（</w:t>
      </w:r>
      <w:r>
        <w:rPr>
          <w:iCs/>
          <w:strike w:val="0"/>
          <w:dstrike w:val="0"/>
          <w:szCs w:val="21"/>
          <w:highlight w:val="none"/>
          <w:u w:val="none"/>
        </w:rPr>
        <w:t>2</w:t>
      </w:r>
      <w:r>
        <w:rPr>
          <w:rFonts w:hAnsi="宋体"/>
          <w:iCs/>
          <w:strike w:val="0"/>
          <w:dstrike w:val="0"/>
          <w:szCs w:val="21"/>
          <w:highlight w:val="none"/>
          <w:u w:val="none"/>
        </w:rPr>
        <w:t>）</w:t>
      </w:r>
      <w:r>
        <w:rPr>
          <w:rFonts w:hAnsi="Arial"/>
          <w:b/>
          <w:iCs/>
          <w:strike w:val="0"/>
          <w:dstrike w:val="0"/>
          <w:szCs w:val="21"/>
          <w:highlight w:val="none"/>
          <w:u w:val="none"/>
        </w:rPr>
        <w:t>申请</w:t>
      </w:r>
      <w:r>
        <w:rPr>
          <w:rFonts w:hAnsi="Arial"/>
          <w:b/>
          <w:iCs/>
          <w:strike w:val="0"/>
          <w:dstrike w:val="0"/>
          <w:szCs w:val="21"/>
          <w:highlight w:val="none"/>
        </w:rPr>
        <w:t>人</w:t>
      </w:r>
      <w:r>
        <w:rPr>
          <w:rFonts w:hint="eastAsia" w:hAnsi="Arial"/>
          <w:b/>
          <w:iCs/>
          <w:szCs w:val="21"/>
          <w:highlight w:val="none"/>
        </w:rPr>
        <w:t>业绩支持证明材料要求：</w:t>
      </w:r>
      <w:r>
        <w:rPr>
          <w:rFonts w:hAnsi="宋体"/>
          <w:iCs/>
          <w:szCs w:val="21"/>
          <w:highlight w:val="none"/>
        </w:rPr>
        <w:t>销售业绩必须提供对应的合同和发票</w:t>
      </w:r>
      <w:r>
        <w:rPr>
          <w:rFonts w:hint="eastAsia" w:hAnsi="宋体"/>
          <w:iCs/>
          <w:szCs w:val="21"/>
          <w:highlight w:val="none"/>
        </w:rPr>
        <w:t>扫描</w:t>
      </w:r>
      <w:r>
        <w:rPr>
          <w:rFonts w:hAnsi="宋体"/>
          <w:iCs/>
          <w:szCs w:val="21"/>
          <w:highlight w:val="none"/>
        </w:rPr>
        <w:t>件，</w:t>
      </w:r>
      <w:r>
        <w:rPr>
          <w:rFonts w:hint="eastAsia" w:eastAsiaTheme="minorEastAsia"/>
          <w:b/>
          <w:bCs/>
          <w:iCs/>
          <w:color w:val="FF0000"/>
          <w:szCs w:val="21"/>
          <w:highlight w:val="none"/>
        </w:rPr>
        <w:t>发票开具时间须在</w:t>
      </w:r>
      <w:r>
        <w:rPr>
          <w:rFonts w:eastAsiaTheme="minorEastAsia"/>
          <w:b/>
          <w:bCs/>
          <w:iCs/>
          <w:color w:val="FF0000"/>
          <w:szCs w:val="21"/>
          <w:highlight w:val="none"/>
        </w:rPr>
        <w:t>20</w:t>
      </w:r>
      <w:r>
        <w:rPr>
          <w:rFonts w:hint="eastAsia" w:eastAsiaTheme="minorEastAsia"/>
          <w:b/>
          <w:bCs/>
          <w:iCs/>
          <w:color w:val="FF0000"/>
          <w:szCs w:val="21"/>
          <w:highlight w:val="none"/>
        </w:rPr>
        <w:t>2</w:t>
      </w:r>
      <w:r>
        <w:rPr>
          <w:rFonts w:hint="eastAsia" w:eastAsiaTheme="minorEastAsia"/>
          <w:b/>
          <w:bCs/>
          <w:iCs/>
          <w:color w:val="FF0000"/>
          <w:szCs w:val="21"/>
          <w:highlight w:val="none"/>
          <w:lang w:val="en-US" w:eastAsia="zh-CN"/>
        </w:rPr>
        <w:t>1</w:t>
      </w:r>
      <w:r>
        <w:rPr>
          <w:rFonts w:hint="eastAsia" w:eastAsiaTheme="minorEastAsia"/>
          <w:b/>
          <w:bCs/>
          <w:iCs/>
          <w:color w:val="FF0000"/>
          <w:szCs w:val="21"/>
          <w:highlight w:val="none"/>
        </w:rPr>
        <w:t>年0</w:t>
      </w:r>
      <w:r>
        <w:rPr>
          <w:rFonts w:eastAsiaTheme="minorEastAsia"/>
          <w:b/>
          <w:bCs/>
          <w:iCs/>
          <w:color w:val="FF0000"/>
          <w:szCs w:val="21"/>
          <w:highlight w:val="none"/>
        </w:rPr>
        <w:t>1</w:t>
      </w:r>
      <w:r>
        <w:rPr>
          <w:rFonts w:hint="eastAsia" w:eastAsiaTheme="minorEastAsia"/>
          <w:b/>
          <w:bCs/>
          <w:iCs/>
          <w:color w:val="FF0000"/>
          <w:szCs w:val="21"/>
          <w:highlight w:val="none"/>
        </w:rPr>
        <w:t>月0</w:t>
      </w:r>
      <w:r>
        <w:rPr>
          <w:rFonts w:eastAsiaTheme="minorEastAsia"/>
          <w:b/>
          <w:bCs/>
          <w:iCs/>
          <w:color w:val="FF0000"/>
          <w:szCs w:val="21"/>
          <w:highlight w:val="none"/>
        </w:rPr>
        <w:t>1</w:t>
      </w:r>
      <w:r>
        <w:rPr>
          <w:rFonts w:hint="eastAsia" w:eastAsiaTheme="minorEastAsia"/>
          <w:b/>
          <w:bCs/>
          <w:iCs/>
          <w:color w:val="FF0000"/>
          <w:szCs w:val="21"/>
          <w:highlight w:val="none"/>
        </w:rPr>
        <w:t>日</w:t>
      </w:r>
      <w:r>
        <w:rPr>
          <w:rFonts w:hint="eastAsia" w:eastAsiaTheme="minorEastAsia"/>
          <w:b/>
          <w:bCs/>
          <w:iCs/>
          <w:color w:val="FF0000"/>
          <w:szCs w:val="21"/>
          <w:highlight w:val="none"/>
          <w:lang w:eastAsia="zh-CN"/>
        </w:rPr>
        <w:t>至</w:t>
      </w:r>
      <w:r>
        <w:rPr>
          <w:rFonts w:hint="eastAsia" w:hAnsi="Arial"/>
          <w:b/>
          <w:iCs/>
          <w:color w:val="FF0000"/>
          <w:szCs w:val="21"/>
          <w:highlight w:val="none"/>
          <w:lang w:val="en-US" w:eastAsia="zh-CN"/>
        </w:rPr>
        <w:t>2024年</w:t>
      </w:r>
      <w:r>
        <w:rPr>
          <w:rFonts w:hint="eastAsia" w:eastAsiaTheme="minorEastAsia"/>
          <w:b/>
          <w:bCs/>
          <w:iCs/>
          <w:color w:val="FF0000"/>
          <w:szCs w:val="21"/>
          <w:highlight w:val="none"/>
          <w:lang w:eastAsia="zh-CN"/>
        </w:rPr>
        <w:t>12月8日</w:t>
      </w:r>
      <w:r>
        <w:rPr>
          <w:rFonts w:hint="eastAsia" w:eastAsiaTheme="minorEastAsia"/>
          <w:b/>
          <w:bCs/>
          <w:iCs/>
          <w:color w:val="FF0000"/>
          <w:szCs w:val="21"/>
          <w:highlight w:val="none"/>
        </w:rPr>
        <w:t>期间内</w:t>
      </w:r>
      <w:r>
        <w:rPr>
          <w:rFonts w:hint="eastAsia" w:hAnsi="宋体"/>
          <w:iCs/>
          <w:szCs w:val="21"/>
          <w:highlight w:val="none"/>
        </w:rPr>
        <w:t>，发票扫描件后须附通过国家税务总局全国增值税发票查验平台（网址：https://inv-veri.chinatax.gov.cn/）查验的发票结果截图，“一发票一截图”，未提供对应发票查验结果截图或结果截图与平台查验结果不一致的发票金额（数量）不予认可。对于存在造假行为的申请人，将严格按照《</w:t>
      </w:r>
      <w:r>
        <w:rPr>
          <w:rStyle w:val="26"/>
          <w:rFonts w:hint="eastAsia" w:ascii="宋体" w:hAnsi="宋体" w:eastAsia="宋体" w:cs="宋体"/>
          <w:color w:val="auto"/>
          <w:kern w:val="2"/>
          <w:sz w:val="21"/>
          <w:szCs w:val="21"/>
          <w:highlight w:val="none"/>
          <w:lang w:val="en-US" w:eastAsia="zh-CN" w:bidi="ar"/>
        </w:rPr>
        <w:t>国家电网有限公司供应商关系管理办法</w:t>
      </w:r>
      <w:r>
        <w:rPr>
          <w:rFonts w:hint="eastAsia" w:hAnsi="宋体"/>
          <w:iCs/>
          <w:szCs w:val="21"/>
          <w:highlight w:val="none"/>
        </w:rPr>
        <w:t>》进行处理。</w:t>
      </w:r>
      <w:r>
        <w:rPr>
          <w:rFonts w:hAnsi="宋体"/>
          <w:iCs/>
          <w:szCs w:val="21"/>
          <w:highlight w:val="none"/>
        </w:rPr>
        <w:t>所有业绩</w:t>
      </w:r>
      <w:r>
        <w:rPr>
          <w:rFonts w:hint="eastAsia" w:hAnsi="宋体"/>
          <w:iCs/>
          <w:szCs w:val="21"/>
          <w:highlight w:val="none"/>
        </w:rPr>
        <w:t>支持</w:t>
      </w:r>
      <w:r>
        <w:rPr>
          <w:rFonts w:hAnsi="宋体"/>
          <w:iCs/>
          <w:szCs w:val="21"/>
          <w:highlight w:val="none"/>
        </w:rPr>
        <w:t>证明材料内容须保证清晰、可辨认且不得遮盖、涂抹</w:t>
      </w:r>
      <w:r>
        <w:rPr>
          <w:rFonts w:hint="eastAsia" w:hAnsi="宋体"/>
          <w:iCs/>
          <w:szCs w:val="21"/>
          <w:highlight w:val="none"/>
        </w:rPr>
        <w:t>。合同扫描件可提供合同封面、签字页及其货物清册即可，合同封面、签字页及其货物清册须一一对应，按时间顺序由远及近排列合同及发票扫描件，并制定目录。</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iCs/>
          <w:szCs w:val="21"/>
          <w:highlight w:val="none"/>
        </w:rPr>
      </w:pPr>
      <w:r>
        <w:rPr>
          <w:highlight w:val="none"/>
        </w:rPr>
        <w:t>（</w:t>
      </w:r>
      <w:r>
        <w:rPr>
          <w:rFonts w:hint="eastAsia"/>
          <w:highlight w:val="none"/>
          <w:lang w:val="en-US" w:eastAsia="zh-CN"/>
        </w:rPr>
        <w:t>3</w:t>
      </w:r>
      <w:r>
        <w:rPr>
          <w:highlight w:val="none"/>
        </w:rPr>
        <w:t>）</w:t>
      </w:r>
      <w:r>
        <w:rPr>
          <w:rFonts w:hAnsi="宋体"/>
          <w:iCs/>
          <w:szCs w:val="21"/>
          <w:highlight w:val="none"/>
        </w:rPr>
        <w:t>业绩数量计算具体要求详见各标段相关规定。</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iCs/>
          <w:szCs w:val="21"/>
          <w:highlight w:val="none"/>
        </w:rPr>
      </w:pPr>
      <w:r>
        <w:rPr>
          <w:highlight w:val="none"/>
        </w:rPr>
        <w:t>（</w:t>
      </w:r>
      <w:r>
        <w:rPr>
          <w:rFonts w:hint="eastAsia"/>
          <w:highlight w:val="none"/>
          <w:lang w:val="en-US" w:eastAsia="zh-CN"/>
        </w:rPr>
        <w:t>4</w:t>
      </w:r>
      <w:r>
        <w:rPr>
          <w:highlight w:val="none"/>
        </w:rPr>
        <w:t>）</w:t>
      </w:r>
      <w:r>
        <w:rPr>
          <w:rFonts w:hAnsi="宋体"/>
          <w:iCs/>
          <w:szCs w:val="21"/>
          <w:highlight w:val="none"/>
        </w:rPr>
        <w:t>既有业绩合同供货方和实际产品生产方必须均为申请人。</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iCs/>
          <w:szCs w:val="21"/>
          <w:highlight w:val="none"/>
        </w:rPr>
      </w:pPr>
      <w:r>
        <w:rPr>
          <w:highlight w:val="none"/>
        </w:rPr>
        <w:t>（</w:t>
      </w:r>
      <w:r>
        <w:rPr>
          <w:rFonts w:hint="eastAsia"/>
          <w:highlight w:val="none"/>
          <w:lang w:val="en-US" w:eastAsia="zh-CN"/>
        </w:rPr>
        <w:t>5</w:t>
      </w:r>
      <w:r>
        <w:rPr>
          <w:highlight w:val="none"/>
        </w:rPr>
        <w:t>）</w:t>
      </w:r>
      <w:r>
        <w:rPr>
          <w:rFonts w:hAnsi="宋体"/>
          <w:iCs/>
          <w:szCs w:val="21"/>
          <w:highlight w:val="none"/>
        </w:rPr>
        <w:t>业绩不认可的有（包括但不限于）：</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Ansi="宋体"/>
          <w:iCs/>
          <w:szCs w:val="21"/>
          <w:highlight w:val="none"/>
        </w:rPr>
        <w:t>①与同类产品制造厂之间的业绩；</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Ansi="宋体"/>
          <w:iCs/>
          <w:szCs w:val="21"/>
          <w:highlight w:val="none"/>
        </w:rPr>
        <w:t>②在试验室或试验站的业绩；</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Ansi="宋体"/>
          <w:iCs/>
          <w:szCs w:val="21"/>
          <w:highlight w:val="none"/>
        </w:rPr>
        <w:t>③与代理商之间的业绩；</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Ansi="宋体"/>
          <w:iCs/>
          <w:szCs w:val="21"/>
          <w:highlight w:val="none"/>
        </w:rPr>
        <w:t>④与非最终用户（即业主单位或负责所供货物运行、使用的单位以外的主体）签订的供货合同，但申请人作为外购外协方与配网成套设备的中标人签订的成套设备的供货合同除外；</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Ansi="宋体"/>
          <w:iCs/>
          <w:szCs w:val="21"/>
          <w:highlight w:val="none"/>
        </w:rPr>
        <w:t>⑤出口业绩的外贸合同、发票、报关单及对应产品型号等信息资料难以核实或不全的；</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Ansi="宋体"/>
          <w:iCs/>
          <w:szCs w:val="21"/>
          <w:highlight w:val="none"/>
        </w:rPr>
        <w:t>⑥作为元器件、组部件的业绩。</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Ansi="宋体"/>
          <w:iCs/>
          <w:szCs w:val="21"/>
          <w:highlight w:val="none"/>
        </w:rPr>
        <w:t>（</w:t>
      </w:r>
      <w:r>
        <w:rPr>
          <w:rFonts w:hint="eastAsia" w:hAnsi="宋体"/>
          <w:iCs/>
          <w:szCs w:val="21"/>
          <w:highlight w:val="none"/>
          <w:lang w:val="en-US" w:eastAsia="zh-CN"/>
        </w:rPr>
        <w:t>6</w:t>
      </w:r>
      <w:r>
        <w:rPr>
          <w:rFonts w:hAnsi="宋体"/>
          <w:iCs/>
          <w:szCs w:val="21"/>
          <w:highlight w:val="none"/>
        </w:rPr>
        <w:t>）</w:t>
      </w:r>
      <w:r>
        <w:rPr>
          <w:rFonts w:hint="eastAsia" w:hAnsi="宋体"/>
          <w:iCs/>
          <w:szCs w:val="21"/>
          <w:highlight w:val="none"/>
        </w:rPr>
        <w:t>母公司与子公司之间、同一母公司下的各个子公司之间、存在控股关系的不同公司之间的业绩不能相互替代</w:t>
      </w:r>
      <w:r>
        <w:rPr>
          <w:rFonts w:hAnsi="宋体"/>
          <w:iCs/>
          <w:szCs w:val="21"/>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iCs/>
          <w:color w:val="auto"/>
          <w:szCs w:val="21"/>
          <w:highlight w:val="none"/>
        </w:rPr>
      </w:pPr>
      <w:r>
        <w:rPr>
          <w:color w:val="auto"/>
          <w:highlight w:val="none"/>
        </w:rPr>
        <w:t>（</w:t>
      </w:r>
      <w:r>
        <w:rPr>
          <w:rFonts w:hint="eastAsia"/>
          <w:color w:val="auto"/>
          <w:highlight w:val="none"/>
          <w:lang w:val="en-US" w:eastAsia="zh-CN"/>
        </w:rPr>
        <w:t>7</w:t>
      </w:r>
      <w:r>
        <w:rPr>
          <w:color w:val="auto"/>
          <w:highlight w:val="none"/>
        </w:rPr>
        <w:t>）</w:t>
      </w:r>
      <w:r>
        <w:rPr>
          <w:rFonts w:hAnsi="宋体"/>
          <w:iCs/>
          <w:color w:val="auto"/>
          <w:szCs w:val="21"/>
          <w:highlight w:val="none"/>
        </w:rPr>
        <w:t>收购其他企业，被收购企业注销的，收购方可继承被收购方的业绩。</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highlight w:val="none"/>
        </w:rPr>
      </w:pPr>
      <w:r>
        <w:rPr>
          <w:highlight w:val="none"/>
        </w:rPr>
        <w:t>（</w:t>
      </w:r>
      <w:r>
        <w:rPr>
          <w:rFonts w:hint="eastAsia"/>
          <w:highlight w:val="none"/>
          <w:lang w:val="en-US" w:eastAsia="zh-CN"/>
        </w:rPr>
        <w:t>8</w:t>
      </w:r>
      <w:r>
        <w:rPr>
          <w:highlight w:val="none"/>
        </w:rPr>
        <w:t>）</w:t>
      </w:r>
      <w:r>
        <w:rPr>
          <w:rFonts w:hint="eastAsia" w:hAnsi="宋体"/>
          <w:iCs/>
          <w:szCs w:val="21"/>
          <w:highlight w:val="none"/>
        </w:rPr>
        <w:t>申请人如发生收购、重组、改制、合并、分立、名称变更等情况，须提供充分且合法、有效的证明材料，供资格审查委员会审查</w:t>
      </w:r>
      <w:r>
        <w:rPr>
          <w:rFonts w:hAnsi="宋体"/>
          <w:iCs/>
          <w:szCs w:val="21"/>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Ansi="宋体"/>
          <w:b/>
          <w:iCs/>
          <w:szCs w:val="21"/>
          <w:highlight w:val="none"/>
        </w:rPr>
      </w:pPr>
      <w:r>
        <w:rPr>
          <w:rFonts w:hAnsi="宋体"/>
          <w:b/>
          <w:iCs/>
          <w:szCs w:val="21"/>
          <w:highlight w:val="none"/>
        </w:rPr>
        <w:t>4.1.</w:t>
      </w:r>
      <w:r>
        <w:rPr>
          <w:rFonts w:hint="eastAsia" w:hAnsi="宋体"/>
          <w:b/>
          <w:iCs/>
          <w:szCs w:val="21"/>
          <w:highlight w:val="none"/>
        </w:rPr>
        <w:t>2试验报告审核标准</w:t>
      </w:r>
    </w:p>
    <w:p>
      <w:pPr>
        <w:pStyle w:val="4"/>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Ansi="宋体"/>
          <w:iCs/>
          <w:szCs w:val="21"/>
          <w:highlight w:val="none"/>
        </w:rPr>
      </w:pPr>
      <w:r>
        <w:rPr>
          <w:rFonts w:hint="eastAsia" w:hAnsi="宋体"/>
          <w:iCs/>
          <w:szCs w:val="21"/>
          <w:highlight w:val="none"/>
        </w:rPr>
        <w:t>（1）申请人应提供具备相应资质的第三方检测机构出具有效的型式试验报告，关于报告具体要求详见各标段相关规定</w:t>
      </w:r>
      <w:r>
        <w:rPr>
          <w:rFonts w:hAnsi="宋体"/>
          <w:iCs/>
          <w:szCs w:val="21"/>
          <w:highlight w:val="none"/>
        </w:rPr>
        <w:t>。</w:t>
      </w:r>
      <w:r>
        <w:rPr>
          <w:rFonts w:hAnsi="Arial"/>
          <w:iCs/>
          <w:szCs w:val="21"/>
          <w:highlight w:val="none"/>
        </w:rPr>
        <w:t>关于</w:t>
      </w:r>
      <w:r>
        <w:rPr>
          <w:rFonts w:hint="eastAsia" w:hAnsi="宋体"/>
          <w:iCs/>
          <w:szCs w:val="21"/>
          <w:highlight w:val="none"/>
        </w:rPr>
        <w:t>检验（检测）报告出具机构详见相关产品的资质能力核实标准规范；</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int="eastAsia" w:hAnsi="宋体"/>
          <w:iCs/>
          <w:szCs w:val="21"/>
          <w:highlight w:val="none"/>
        </w:rPr>
        <w:t>（</w:t>
      </w:r>
      <w:r>
        <w:rPr>
          <w:rFonts w:hint="eastAsia" w:hAnsi="宋体"/>
          <w:iCs/>
          <w:szCs w:val="21"/>
          <w:highlight w:val="none"/>
          <w:lang w:val="en-US" w:eastAsia="zh-CN"/>
        </w:rPr>
        <w:t>2</w:t>
      </w:r>
      <w:r>
        <w:rPr>
          <w:rFonts w:hint="eastAsia" w:hAnsi="宋体"/>
          <w:iCs/>
          <w:szCs w:val="21"/>
          <w:highlight w:val="none"/>
        </w:rPr>
        <w:t>）不同电压等级型式试验报告不能互相替代；</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int="eastAsia" w:hAnsi="宋体"/>
          <w:iCs/>
          <w:szCs w:val="21"/>
          <w:highlight w:val="none"/>
        </w:rPr>
        <w:t>（</w:t>
      </w:r>
      <w:r>
        <w:rPr>
          <w:rFonts w:hint="eastAsia" w:hAnsi="宋体"/>
          <w:iCs/>
          <w:szCs w:val="21"/>
          <w:highlight w:val="none"/>
          <w:lang w:val="en-US" w:eastAsia="zh-CN"/>
        </w:rPr>
        <w:t>3</w:t>
      </w:r>
      <w:r>
        <w:rPr>
          <w:rFonts w:hint="eastAsia" w:hAnsi="宋体"/>
          <w:iCs/>
          <w:szCs w:val="21"/>
          <w:highlight w:val="none"/>
        </w:rPr>
        <w:t>）试验报告的委托方和产品制造方是申请人自身；</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int="eastAsia" w:hAnsi="宋体"/>
          <w:iCs/>
          <w:szCs w:val="21"/>
          <w:highlight w:val="none"/>
        </w:rPr>
        <w:t>（</w:t>
      </w:r>
      <w:r>
        <w:rPr>
          <w:rFonts w:hint="eastAsia" w:hAnsi="宋体"/>
          <w:iCs/>
          <w:szCs w:val="21"/>
          <w:highlight w:val="none"/>
          <w:lang w:val="en-US" w:eastAsia="zh-CN"/>
        </w:rPr>
        <w:t>4</w:t>
      </w:r>
      <w:r>
        <w:rPr>
          <w:rFonts w:hint="eastAsia" w:hAnsi="宋体"/>
          <w:iCs/>
          <w:szCs w:val="21"/>
          <w:highlight w:val="none"/>
        </w:rPr>
        <w:t>）产品的检测报告符合相应的国家标准、行业标准、国家电网有限公司物资采购标准规定的试验项目和试验数值的要求；</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int="eastAsia" w:hAnsi="宋体"/>
          <w:iCs/>
          <w:szCs w:val="21"/>
          <w:highlight w:val="none"/>
        </w:rPr>
        <w:t>（</w:t>
      </w:r>
      <w:r>
        <w:rPr>
          <w:rFonts w:hint="eastAsia" w:hAnsi="宋体"/>
          <w:iCs/>
          <w:szCs w:val="21"/>
          <w:highlight w:val="none"/>
          <w:lang w:val="en-US" w:eastAsia="zh-CN"/>
        </w:rPr>
        <w:t>5</w:t>
      </w:r>
      <w:r>
        <w:rPr>
          <w:rFonts w:hint="eastAsia" w:hAnsi="宋体"/>
          <w:iCs/>
          <w:szCs w:val="21"/>
          <w:highlight w:val="none"/>
        </w:rPr>
        <w:t>）</w:t>
      </w:r>
      <w:r>
        <w:rPr>
          <w:rFonts w:hAnsi="宋体"/>
          <w:iCs/>
          <w:szCs w:val="21"/>
          <w:highlight w:val="none"/>
        </w:rPr>
        <w:t>各类试验报告均系针对具体型式规格产品的试验报告</w:t>
      </w:r>
      <w:r>
        <w:rPr>
          <w:rFonts w:hint="eastAsia" w:hAnsi="宋体"/>
          <w:iCs/>
          <w:szCs w:val="21"/>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int="eastAsia" w:hAnsi="宋体"/>
          <w:iCs/>
          <w:szCs w:val="21"/>
          <w:highlight w:val="none"/>
        </w:rPr>
        <w:t>（</w:t>
      </w:r>
      <w:r>
        <w:rPr>
          <w:rFonts w:hint="eastAsia" w:hAnsi="宋体"/>
          <w:iCs/>
          <w:szCs w:val="21"/>
          <w:highlight w:val="none"/>
          <w:lang w:val="en-US" w:eastAsia="zh-CN"/>
        </w:rPr>
        <w:t>6</w:t>
      </w:r>
      <w:r>
        <w:rPr>
          <w:rFonts w:hint="eastAsia" w:hAnsi="宋体"/>
          <w:iCs/>
          <w:szCs w:val="21"/>
          <w:highlight w:val="none"/>
        </w:rPr>
        <w:t>）检测报告有效期按国标、行标规定执行；</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zCs w:val="21"/>
          <w:highlight w:val="none"/>
        </w:rPr>
      </w:pPr>
      <w:r>
        <w:rPr>
          <w:rFonts w:hint="eastAsia" w:hAnsi="宋体"/>
          <w:iCs/>
          <w:szCs w:val="21"/>
          <w:highlight w:val="none"/>
        </w:rPr>
        <w:t>（</w:t>
      </w:r>
      <w:r>
        <w:rPr>
          <w:rFonts w:hint="eastAsia" w:hAnsi="宋体"/>
          <w:iCs/>
          <w:szCs w:val="21"/>
          <w:highlight w:val="none"/>
          <w:lang w:val="en-US" w:eastAsia="zh-CN"/>
        </w:rPr>
        <w:t>7</w:t>
      </w:r>
      <w:r>
        <w:rPr>
          <w:rFonts w:hint="eastAsia" w:hAnsi="宋体"/>
          <w:iCs/>
          <w:szCs w:val="21"/>
          <w:highlight w:val="none"/>
        </w:rPr>
        <w:t>）外文报告必须提供经公证的中文译本</w:t>
      </w:r>
      <w:r>
        <w:rPr>
          <w:rFonts w:hAnsi="宋体"/>
          <w:iCs/>
          <w:szCs w:val="21"/>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b/>
          <w:iCs/>
          <w:szCs w:val="21"/>
          <w:highlight w:val="none"/>
        </w:rPr>
      </w:pPr>
      <w:r>
        <w:rPr>
          <w:b/>
          <w:iCs/>
          <w:szCs w:val="21"/>
          <w:highlight w:val="none"/>
        </w:rPr>
        <w:t>4.1.3</w:t>
      </w:r>
      <w:r>
        <w:rPr>
          <w:rFonts w:hAnsi="Arial"/>
          <w:b/>
          <w:iCs/>
          <w:color w:val="000000"/>
          <w:szCs w:val="21"/>
          <w:highlight w:val="none"/>
        </w:rPr>
        <w:t>生产许可证或其他证书审核标准</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iCs/>
          <w:szCs w:val="21"/>
          <w:highlight w:val="none"/>
        </w:rPr>
      </w:pPr>
      <w:r>
        <w:rPr>
          <w:rFonts w:hAnsi="宋体"/>
          <w:iCs/>
          <w:szCs w:val="21"/>
          <w:highlight w:val="none"/>
        </w:rPr>
        <w:t>关于生产许可证或其他证书具体要求详见各标段相关规定。申请人提供的生产许可证应在有效期内，应与资格预审产品种类对应。需提供</w:t>
      </w:r>
      <w:r>
        <w:rPr>
          <w:iCs/>
          <w:szCs w:val="21"/>
          <w:highlight w:val="none"/>
        </w:rPr>
        <w:t>3C</w:t>
      </w:r>
      <w:r>
        <w:rPr>
          <w:rFonts w:hAnsi="宋体"/>
          <w:iCs/>
          <w:szCs w:val="21"/>
          <w:highlight w:val="none"/>
        </w:rPr>
        <w:t>认证、入网许可证等其他许可、认定证明文件的，相关文件应覆盖资格预审产品种类，且在有效期内。</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b/>
          <w:iCs/>
          <w:szCs w:val="21"/>
          <w:highlight w:val="none"/>
        </w:rPr>
      </w:pPr>
      <w:r>
        <w:rPr>
          <w:rFonts w:eastAsia="仿宋_GB2312"/>
          <w:b/>
          <w:iCs/>
          <w:szCs w:val="21"/>
          <w:highlight w:val="none"/>
        </w:rPr>
        <w:t>4.1.4</w:t>
      </w:r>
      <w:r>
        <w:rPr>
          <w:rFonts w:hAnsi="宋体"/>
          <w:b/>
          <w:iCs/>
          <w:szCs w:val="21"/>
          <w:highlight w:val="none"/>
        </w:rPr>
        <w:t>生产试验设备审核标准</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Arial"/>
          <w:iCs/>
          <w:strike w:val="0"/>
          <w:dstrike w:val="0"/>
          <w:szCs w:val="21"/>
          <w:highlight w:val="none"/>
        </w:rPr>
      </w:pPr>
      <w:r>
        <w:rPr>
          <w:rFonts w:hAnsi="Arial"/>
          <w:iCs/>
          <w:strike w:val="0"/>
          <w:dstrike w:val="0"/>
          <w:szCs w:val="21"/>
          <w:highlight w:val="none"/>
        </w:rPr>
        <w:t>（1）</w:t>
      </w:r>
      <w:r>
        <w:rPr>
          <w:rFonts w:hAnsi="Arial"/>
          <w:b/>
          <w:iCs/>
          <w:strike w:val="0"/>
          <w:dstrike w:val="0"/>
          <w:szCs w:val="21"/>
          <w:highlight w:val="none"/>
        </w:rPr>
        <w:t>须</w:t>
      </w:r>
      <w:r>
        <w:rPr>
          <w:rFonts w:hint="eastAsia" w:hAnsi="Arial"/>
          <w:b/>
          <w:iCs/>
          <w:strike w:val="0"/>
          <w:dstrike w:val="0"/>
          <w:szCs w:val="21"/>
          <w:highlight w:val="none"/>
        </w:rPr>
        <w:t>提供生产</w:t>
      </w:r>
      <w:r>
        <w:rPr>
          <w:rFonts w:hAnsi="Arial"/>
          <w:b/>
          <w:iCs/>
          <w:strike w:val="0"/>
          <w:dstrike w:val="0"/>
          <w:szCs w:val="21"/>
          <w:highlight w:val="none"/>
        </w:rPr>
        <w:t>试验设备合同和发票等凭证扫描件。</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trike w:val="0"/>
          <w:dstrike w:val="0"/>
          <w:szCs w:val="21"/>
          <w:highlight w:val="none"/>
        </w:rPr>
      </w:pPr>
      <w:r>
        <w:rPr>
          <w:strike w:val="0"/>
          <w:dstrike w:val="0"/>
          <w:highlight w:val="none"/>
        </w:rPr>
        <w:t>（</w:t>
      </w:r>
      <w:r>
        <w:rPr>
          <w:rFonts w:hint="eastAsia"/>
          <w:strike w:val="0"/>
          <w:dstrike w:val="0"/>
          <w:highlight w:val="none"/>
          <w:lang w:val="en-US" w:eastAsia="zh-CN"/>
        </w:rPr>
        <w:t>2</w:t>
      </w:r>
      <w:r>
        <w:rPr>
          <w:strike w:val="0"/>
          <w:dstrike w:val="0"/>
          <w:highlight w:val="none"/>
        </w:rPr>
        <w:t>）</w:t>
      </w:r>
      <w:r>
        <w:rPr>
          <w:rFonts w:hAnsi="宋体"/>
          <w:iCs/>
          <w:strike w:val="0"/>
          <w:dstrike w:val="0"/>
          <w:szCs w:val="21"/>
          <w:highlight w:val="none"/>
        </w:rPr>
        <w:t>申请人提供的生产试验设备应满足专用资质条件要求。</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b/>
          <w:iCs/>
          <w:szCs w:val="21"/>
          <w:highlight w:val="none"/>
        </w:rPr>
      </w:pPr>
      <w:r>
        <w:rPr>
          <w:rFonts w:eastAsia="仿宋_GB2312"/>
          <w:b/>
          <w:iCs/>
          <w:szCs w:val="21"/>
          <w:highlight w:val="none"/>
        </w:rPr>
        <w:t>4.1.5</w:t>
      </w:r>
      <w:r>
        <w:rPr>
          <w:rFonts w:hAnsi="宋体"/>
          <w:b/>
          <w:iCs/>
          <w:szCs w:val="21"/>
          <w:highlight w:val="none"/>
        </w:rPr>
        <w:t>生产</w:t>
      </w:r>
      <w:r>
        <w:rPr>
          <w:rFonts w:hint="eastAsia" w:hAnsi="宋体"/>
          <w:b/>
          <w:iCs/>
          <w:szCs w:val="21"/>
          <w:highlight w:val="none"/>
        </w:rPr>
        <w:t>厂房</w:t>
      </w:r>
      <w:r>
        <w:rPr>
          <w:rFonts w:hAnsi="宋体"/>
          <w:b/>
          <w:iCs/>
          <w:szCs w:val="21"/>
          <w:highlight w:val="none"/>
        </w:rPr>
        <w:t>审核标准</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Arial"/>
          <w:iCs/>
          <w:strike w:val="0"/>
          <w:dstrike w:val="0"/>
          <w:szCs w:val="21"/>
          <w:highlight w:val="none"/>
        </w:rPr>
      </w:pPr>
      <w:r>
        <w:rPr>
          <w:rFonts w:hAnsi="Arial"/>
          <w:iCs/>
          <w:strike w:val="0"/>
          <w:dstrike w:val="0"/>
          <w:szCs w:val="21"/>
          <w:highlight w:val="none"/>
        </w:rPr>
        <w:t>（1）须提供生产厂房土地使用权证或房屋产权证等凭证扫描件。</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Ansi="宋体"/>
          <w:iCs/>
          <w:strike w:val="0"/>
          <w:dstrike w:val="0"/>
          <w:szCs w:val="21"/>
          <w:highlight w:val="none"/>
        </w:rPr>
      </w:pPr>
      <w:r>
        <w:rPr>
          <w:strike w:val="0"/>
          <w:dstrike w:val="0"/>
          <w:highlight w:val="none"/>
        </w:rPr>
        <w:t>（</w:t>
      </w:r>
      <w:r>
        <w:rPr>
          <w:rFonts w:hint="eastAsia"/>
          <w:strike w:val="0"/>
          <w:dstrike w:val="0"/>
          <w:highlight w:val="none"/>
          <w:lang w:val="en-US" w:eastAsia="zh-CN"/>
        </w:rPr>
        <w:t>2</w:t>
      </w:r>
      <w:r>
        <w:rPr>
          <w:strike w:val="0"/>
          <w:dstrike w:val="0"/>
          <w:highlight w:val="none"/>
        </w:rPr>
        <w:t>）</w:t>
      </w:r>
      <w:r>
        <w:rPr>
          <w:rFonts w:hAnsi="宋体"/>
          <w:iCs/>
          <w:strike w:val="0"/>
          <w:dstrike w:val="0"/>
          <w:szCs w:val="21"/>
          <w:highlight w:val="none"/>
        </w:rPr>
        <w:t>申请人提供的</w:t>
      </w:r>
      <w:r>
        <w:rPr>
          <w:rFonts w:hint="eastAsia" w:hAnsi="宋体"/>
          <w:iCs/>
          <w:strike w:val="0"/>
          <w:dstrike w:val="0"/>
          <w:szCs w:val="21"/>
          <w:highlight w:val="none"/>
        </w:rPr>
        <w:t>生产厂房信息</w:t>
      </w:r>
      <w:r>
        <w:rPr>
          <w:rFonts w:hAnsi="宋体"/>
          <w:iCs/>
          <w:strike w:val="0"/>
          <w:dstrike w:val="0"/>
          <w:szCs w:val="21"/>
          <w:highlight w:val="none"/>
        </w:rPr>
        <w:t>应满足</w:t>
      </w:r>
      <w:r>
        <w:rPr>
          <w:rFonts w:hint="eastAsia" w:hAnsi="宋体"/>
          <w:iCs/>
          <w:strike w:val="0"/>
          <w:dstrike w:val="0"/>
          <w:szCs w:val="21"/>
          <w:highlight w:val="none"/>
        </w:rPr>
        <w:t>通用资格</w:t>
      </w:r>
      <w:r>
        <w:rPr>
          <w:rFonts w:hAnsi="宋体"/>
          <w:iCs/>
          <w:strike w:val="0"/>
          <w:dstrike w:val="0"/>
          <w:szCs w:val="21"/>
          <w:highlight w:val="none"/>
        </w:rPr>
        <w:t>要求。</w:t>
      </w:r>
    </w:p>
    <w:p>
      <w:pPr>
        <w:pStyle w:val="4"/>
        <w:pageBreakBefore w:val="0"/>
        <w:topLinePunct w:val="0"/>
        <w:bidi w:val="0"/>
        <w:spacing w:line="360" w:lineRule="exact"/>
        <w:ind w:firstLine="422"/>
        <w:rPr>
          <w:rFonts w:hint="eastAsia" w:ascii="宋体" w:hAnsi="宋体" w:eastAsia="宋体" w:cs="Times New Roman"/>
          <w:b/>
          <w:iCs/>
          <w:szCs w:val="21"/>
          <w:highlight w:val="none"/>
        </w:rPr>
      </w:pPr>
      <w:bookmarkStart w:id="27" w:name="_Toc48841735"/>
      <w:bookmarkStart w:id="28" w:name="_Toc146123641"/>
      <w:bookmarkStart w:id="29" w:name="_Toc29197"/>
      <w:r>
        <w:rPr>
          <w:rFonts w:hint="eastAsia" w:ascii="宋体" w:hAnsi="宋体" w:eastAsia="宋体" w:cs="Times New Roman"/>
          <w:b/>
          <w:iCs/>
          <w:szCs w:val="21"/>
          <w:highlight w:val="none"/>
        </w:rPr>
        <w:t>5．资格预审方法</w:t>
      </w:r>
      <w:bookmarkEnd w:id="21"/>
      <w:bookmarkEnd w:id="22"/>
      <w:bookmarkEnd w:id="27"/>
      <w:bookmarkEnd w:id="28"/>
      <w:bookmarkEnd w:id="29"/>
    </w:p>
    <w:p>
      <w:pPr>
        <w:pageBreakBefore w:val="0"/>
        <w:topLinePunct w:val="0"/>
        <w:bidi w:val="0"/>
        <w:adjustRightInd w:val="0"/>
        <w:snapToGrid w:val="0"/>
        <w:spacing w:line="360" w:lineRule="exact"/>
        <w:ind w:firstLine="435"/>
        <w:rPr>
          <w:rFonts w:hint="eastAsia" w:ascii="Times New Roman" w:hAnsi="Times New Roman" w:cs="Times New Roman"/>
          <w:szCs w:val="21"/>
          <w:highlight w:val="none"/>
        </w:rPr>
      </w:pPr>
      <w:r>
        <w:rPr>
          <w:rFonts w:hint="eastAsia" w:ascii="Times New Roman" w:hAnsi="Times New Roman" w:cs="Times New Roman"/>
          <w:szCs w:val="21"/>
          <w:highlight w:val="none"/>
        </w:rPr>
        <w:t>本次资格预审采用合格制。</w:t>
      </w:r>
    </w:p>
    <w:p>
      <w:pPr>
        <w:pStyle w:val="4"/>
        <w:pageBreakBefore w:val="0"/>
        <w:topLinePunct w:val="0"/>
        <w:bidi w:val="0"/>
        <w:spacing w:line="360" w:lineRule="exact"/>
        <w:ind w:firstLine="422"/>
        <w:rPr>
          <w:rFonts w:hint="eastAsia" w:ascii="宋体" w:hAnsi="宋体" w:eastAsia="宋体" w:cs="Times New Roman"/>
          <w:b/>
          <w:iCs/>
          <w:szCs w:val="21"/>
          <w:highlight w:val="none"/>
        </w:rPr>
      </w:pPr>
      <w:bookmarkStart w:id="30" w:name="_Toc152047195"/>
      <w:bookmarkStart w:id="31" w:name="_Toc144974398"/>
      <w:bookmarkStart w:id="32" w:name="_Toc146123642"/>
      <w:bookmarkStart w:id="33" w:name="_Toc48841736"/>
      <w:bookmarkStart w:id="34" w:name="_Toc408358705"/>
      <w:bookmarkStart w:id="35" w:name="_Toc10408"/>
      <w:r>
        <w:rPr>
          <w:rFonts w:hint="eastAsia" w:ascii="宋体" w:hAnsi="宋体" w:eastAsia="宋体" w:cs="Times New Roman"/>
          <w:b/>
          <w:iCs/>
          <w:szCs w:val="21"/>
          <w:highlight w:val="none"/>
        </w:rPr>
        <w:t>6．资格预审文件的获取</w:t>
      </w:r>
      <w:bookmarkEnd w:id="30"/>
      <w:bookmarkEnd w:id="31"/>
      <w:bookmarkEnd w:id="32"/>
      <w:bookmarkEnd w:id="33"/>
      <w:bookmarkEnd w:id="34"/>
      <w:bookmarkEnd w:id="35"/>
    </w:p>
    <w:p>
      <w:pPr>
        <w:pageBreakBefore w:val="0"/>
        <w:topLinePunct w:val="0"/>
        <w:bidi w:val="0"/>
        <w:adjustRightInd w:val="0"/>
        <w:snapToGrid w:val="0"/>
        <w:spacing w:line="360" w:lineRule="exact"/>
        <w:ind w:firstLine="435"/>
        <w:rPr>
          <w:rFonts w:ascii="Times New Roman" w:hAnsi="Times New Roman" w:cs="Times New Roman"/>
          <w:szCs w:val="21"/>
          <w:highlight w:val="none"/>
        </w:rPr>
      </w:pPr>
      <w:bookmarkStart w:id="36" w:name="_Toc408358706"/>
      <w:bookmarkStart w:id="37" w:name="_Toc144974400"/>
      <w:bookmarkStart w:id="38" w:name="_Toc152047196"/>
      <w:r>
        <w:rPr>
          <w:rFonts w:ascii="Times New Roman" w:hAnsi="Times New Roman" w:cs="Times New Roman"/>
          <w:szCs w:val="21"/>
          <w:highlight w:val="none"/>
        </w:rPr>
        <w:t>6.1</w:t>
      </w:r>
      <w:r>
        <w:rPr>
          <w:rFonts w:hint="eastAsia" w:ascii="Times New Roman" w:hAnsi="Times New Roman" w:cs="Times New Roman"/>
          <w:szCs w:val="21"/>
          <w:highlight w:val="none"/>
        </w:rPr>
        <w:t>凡有意参加的申请人，请于</w:t>
      </w:r>
      <w:r>
        <w:rPr>
          <w:rFonts w:hint="eastAsia" w:ascii="Times New Roman" w:hAnsi="Times New Roman" w:cs="Times New Roman"/>
          <w:color w:val="FF0000"/>
          <w:szCs w:val="21"/>
          <w:highlight w:val="none"/>
        </w:rPr>
        <w:t>202</w:t>
      </w:r>
      <w:r>
        <w:rPr>
          <w:rFonts w:hint="eastAsia" w:cs="Times New Roman"/>
          <w:color w:val="FF0000"/>
          <w:szCs w:val="21"/>
          <w:highlight w:val="none"/>
          <w:lang w:val="en-US" w:eastAsia="zh-CN"/>
        </w:rPr>
        <w:t>5</w:t>
      </w:r>
      <w:r>
        <w:rPr>
          <w:rFonts w:ascii="Times New Roman" w:hAnsi="Times New Roman" w:cs="Times New Roman"/>
          <w:color w:val="FF0000"/>
          <w:szCs w:val="21"/>
          <w:highlight w:val="none"/>
        </w:rPr>
        <w:t>年</w:t>
      </w:r>
      <w:r>
        <w:rPr>
          <w:rFonts w:hint="eastAsia" w:cs="Times New Roman"/>
          <w:color w:val="FF0000"/>
          <w:szCs w:val="21"/>
          <w:highlight w:val="none"/>
          <w:lang w:val="en-US" w:eastAsia="zh-CN"/>
        </w:rPr>
        <w:t>6</w:t>
      </w:r>
      <w:r>
        <w:rPr>
          <w:rFonts w:ascii="Times New Roman" w:hAnsi="Times New Roman" w:cs="Times New Roman"/>
          <w:color w:val="FF0000"/>
          <w:szCs w:val="21"/>
          <w:highlight w:val="none"/>
        </w:rPr>
        <w:t>月</w:t>
      </w:r>
      <w:r>
        <w:rPr>
          <w:rFonts w:hint="eastAsia" w:cs="Times New Roman"/>
          <w:color w:val="FF0000"/>
          <w:szCs w:val="21"/>
          <w:highlight w:val="none"/>
          <w:lang w:val="en-US" w:eastAsia="zh-CN"/>
        </w:rPr>
        <w:t>27</w:t>
      </w:r>
      <w:r>
        <w:rPr>
          <w:rFonts w:ascii="Times New Roman" w:hAnsi="Times New Roman" w:cs="Times New Roman"/>
          <w:color w:val="FF0000"/>
          <w:szCs w:val="21"/>
          <w:highlight w:val="none"/>
        </w:rPr>
        <w:t>日</w:t>
      </w:r>
      <w:r>
        <w:rPr>
          <w:rFonts w:hint="eastAsia" w:cs="Times New Roman"/>
          <w:color w:val="FF0000"/>
          <w:szCs w:val="21"/>
          <w:highlight w:val="none"/>
          <w:lang w:val="en-US" w:eastAsia="zh-CN"/>
        </w:rPr>
        <w:t>18:00</w:t>
      </w:r>
      <w:r>
        <w:rPr>
          <w:rFonts w:hint="eastAsia" w:ascii="Times New Roman" w:hAnsi="Times New Roman" w:cs="Times New Roman"/>
          <w:color w:val="FF0000"/>
          <w:szCs w:val="21"/>
          <w:highlight w:val="none"/>
        </w:rPr>
        <w:t>至202</w:t>
      </w:r>
      <w:r>
        <w:rPr>
          <w:rFonts w:hint="eastAsia" w:cs="Times New Roman"/>
          <w:color w:val="FF0000"/>
          <w:szCs w:val="21"/>
          <w:highlight w:val="none"/>
          <w:lang w:val="en-US" w:eastAsia="zh-CN"/>
        </w:rPr>
        <w:t>5</w:t>
      </w:r>
      <w:r>
        <w:rPr>
          <w:rFonts w:ascii="Times New Roman" w:hAnsi="Times New Roman" w:cs="Times New Roman"/>
          <w:color w:val="FF0000"/>
          <w:szCs w:val="21"/>
          <w:highlight w:val="none"/>
        </w:rPr>
        <w:t>年</w:t>
      </w:r>
      <w:r>
        <w:rPr>
          <w:rFonts w:hint="eastAsia" w:cs="Times New Roman"/>
          <w:color w:val="FF0000"/>
          <w:szCs w:val="21"/>
          <w:highlight w:val="none"/>
          <w:lang w:val="en-US" w:eastAsia="zh-CN"/>
        </w:rPr>
        <w:t>7</w:t>
      </w:r>
      <w:r>
        <w:rPr>
          <w:rFonts w:ascii="Times New Roman" w:hAnsi="Times New Roman" w:cs="Times New Roman"/>
          <w:color w:val="FF0000"/>
          <w:szCs w:val="21"/>
          <w:highlight w:val="none"/>
        </w:rPr>
        <w:t>月</w:t>
      </w:r>
      <w:r>
        <w:rPr>
          <w:rFonts w:hint="eastAsia" w:cs="Times New Roman"/>
          <w:color w:val="FF0000"/>
          <w:szCs w:val="21"/>
          <w:highlight w:val="none"/>
          <w:lang w:val="en-US" w:eastAsia="zh-CN"/>
        </w:rPr>
        <w:t>3</w:t>
      </w:r>
      <w:r>
        <w:rPr>
          <w:rFonts w:ascii="Times New Roman" w:hAnsi="Times New Roman" w:cs="Times New Roman"/>
          <w:color w:val="FF0000"/>
          <w:szCs w:val="21"/>
          <w:highlight w:val="none"/>
        </w:rPr>
        <w:t>日</w:t>
      </w:r>
      <w:r>
        <w:rPr>
          <w:rFonts w:hint="eastAsia" w:cs="Times New Roman"/>
          <w:color w:val="FF0000"/>
          <w:szCs w:val="21"/>
          <w:highlight w:val="none"/>
          <w:lang w:val="en-US" w:eastAsia="zh-CN"/>
        </w:rPr>
        <w:t>00</w:t>
      </w:r>
      <w:r>
        <w:rPr>
          <w:rFonts w:ascii="Times New Roman" w:hAnsi="Times New Roman" w:cs="Times New Roman"/>
          <w:color w:val="FF0000"/>
          <w:szCs w:val="21"/>
          <w:highlight w:val="none"/>
        </w:rPr>
        <w:t>:</w:t>
      </w:r>
      <w:r>
        <w:rPr>
          <w:rFonts w:hint="eastAsia" w:ascii="Times New Roman" w:hAnsi="Times New Roman" w:cs="Times New Roman"/>
          <w:color w:val="FF0000"/>
          <w:szCs w:val="21"/>
          <w:highlight w:val="none"/>
        </w:rPr>
        <w:t>00</w:t>
      </w:r>
      <w:r>
        <w:rPr>
          <w:rFonts w:ascii="Times New Roman" w:hAnsi="Times New Roman" w:cs="Times New Roman"/>
          <w:color w:val="FF0000"/>
          <w:szCs w:val="21"/>
          <w:highlight w:val="none"/>
        </w:rPr>
        <w:t>时</w:t>
      </w:r>
      <w:r>
        <w:rPr>
          <w:rFonts w:hint="eastAsia" w:ascii="Times New Roman" w:hAnsi="Times New Roman" w:cs="Times New Roman"/>
          <w:szCs w:val="21"/>
          <w:highlight w:val="none"/>
        </w:rPr>
        <w:t>（北京时间，下同），</w:t>
      </w:r>
      <w:r>
        <w:rPr>
          <w:rFonts w:hint="eastAsia" w:ascii="Times New Roman" w:hAnsi="Times New Roman" w:cs="Times New Roman"/>
          <w:szCs w:val="21"/>
          <w:highlight w:val="none"/>
          <w:lang w:val="zh-CN"/>
        </w:rPr>
        <w:t>登录国家电网公司新一代电子商务平台电工交易专区</w:t>
      </w:r>
      <w:r>
        <w:rPr>
          <w:rFonts w:hint="eastAsia" w:ascii="Times New Roman" w:hAnsi="Times New Roman" w:cs="Times New Roman"/>
          <w:szCs w:val="21"/>
          <w:highlight w:val="none"/>
        </w:rPr>
        <w:t>(</w:t>
      </w:r>
      <w:r>
        <w:rPr>
          <w:rFonts w:hint="eastAsia" w:ascii="Times New Roman" w:hAnsi="Times New Roman" w:cs="Times New Roman"/>
          <w:szCs w:val="21"/>
          <w:highlight w:val="none"/>
          <w:lang w:val="zh-CN"/>
        </w:rPr>
        <w:t>以下简称</w:t>
      </w:r>
      <w:r>
        <w:rPr>
          <w:rFonts w:hint="eastAsia" w:ascii="Times New Roman" w:hAnsi="Times New Roman" w:cs="Times New Roman"/>
          <w:szCs w:val="21"/>
          <w:highlight w:val="none"/>
        </w:rPr>
        <w:t>“</w:t>
      </w:r>
      <w:r>
        <w:rPr>
          <w:rFonts w:hint="eastAsia" w:ascii="Times New Roman" w:hAnsi="Times New Roman" w:cs="Times New Roman"/>
          <w:szCs w:val="21"/>
          <w:highlight w:val="none"/>
          <w:lang w:val="zh-CN"/>
        </w:rPr>
        <w:t>电子商务平台</w:t>
      </w:r>
      <w:r>
        <w:rPr>
          <w:rFonts w:hint="eastAsia" w:ascii="Times New Roman" w:hAnsi="Times New Roman" w:cs="Times New Roman"/>
          <w:szCs w:val="21"/>
          <w:highlight w:val="none"/>
        </w:rPr>
        <w:t>”</w:t>
      </w:r>
      <w:r>
        <w:rPr>
          <w:rFonts w:hint="eastAsia" w:ascii="Times New Roman" w:hAnsi="Times New Roman" w:cs="Times New Roman"/>
          <w:szCs w:val="21"/>
          <w:highlight w:val="none"/>
          <w:lang w:val="zh-CN"/>
        </w:rPr>
        <w:t>或</w:t>
      </w:r>
      <w:r>
        <w:rPr>
          <w:rFonts w:hint="eastAsia" w:ascii="Times New Roman" w:hAnsi="Times New Roman" w:cs="Times New Roman"/>
          <w:szCs w:val="21"/>
          <w:highlight w:val="none"/>
        </w:rPr>
        <w:t>“ETP”)</w:t>
      </w:r>
      <w:r>
        <w:rPr>
          <w:rFonts w:hint="eastAsia" w:ascii="Times New Roman" w:hAnsi="Times New Roman" w:cs="Times New Roman"/>
          <w:szCs w:val="21"/>
          <w:highlight w:val="none"/>
          <w:lang w:val="zh-CN"/>
        </w:rPr>
        <w:t>完成购买流程</w:t>
      </w:r>
      <w:r>
        <w:rPr>
          <w:rFonts w:hint="eastAsia" w:ascii="Times New Roman" w:hAnsi="Times New Roman" w:cs="Times New Roman"/>
          <w:szCs w:val="21"/>
          <w:highlight w:val="none"/>
        </w:rPr>
        <w:t>，</w:t>
      </w:r>
      <w:r>
        <w:rPr>
          <w:rFonts w:hint="eastAsia" w:ascii="Times New Roman" w:hAnsi="Times New Roman" w:cs="Times New Roman"/>
          <w:szCs w:val="21"/>
          <w:highlight w:val="none"/>
          <w:lang w:val="zh-CN"/>
        </w:rPr>
        <w:t>地址</w:t>
      </w:r>
      <w:r>
        <w:rPr>
          <w:rFonts w:hint="eastAsia" w:ascii="Times New Roman" w:hAnsi="Times New Roman" w:cs="Times New Roman"/>
          <w:szCs w:val="21"/>
          <w:highlight w:val="none"/>
        </w:rPr>
        <w:t>：</w:t>
      </w:r>
      <w:r>
        <w:rPr>
          <w:rFonts w:hint="eastAsia" w:ascii="宋体" w:hAnsi="宋体" w:eastAsia="宋体" w:cs="宋体"/>
          <w:b w:val="0"/>
          <w:bCs/>
          <w:color w:val="auto"/>
          <w:sz w:val="21"/>
          <w:szCs w:val="21"/>
          <w:highlight w:val="none"/>
        </w:rPr>
        <w:fldChar w:fldCharType="begin"/>
      </w:r>
      <w:r>
        <w:rPr>
          <w:rFonts w:hint="eastAsia" w:ascii="宋体" w:hAnsi="宋体" w:eastAsia="宋体" w:cs="宋体"/>
          <w:b w:val="0"/>
          <w:bCs/>
          <w:color w:val="auto"/>
          <w:sz w:val="21"/>
          <w:szCs w:val="21"/>
          <w:highlight w:val="none"/>
        </w:rPr>
        <w:instrText xml:space="preserve"> HYPERLINK "https://etp.sgcc.com.cn/portal/" \l "/" </w:instrText>
      </w:r>
      <w:r>
        <w:rPr>
          <w:rFonts w:hint="eastAsia" w:ascii="宋体" w:hAnsi="宋体" w:eastAsia="宋体" w:cs="宋体"/>
          <w:b w:val="0"/>
          <w:bCs/>
          <w:color w:val="auto"/>
          <w:sz w:val="21"/>
          <w:szCs w:val="21"/>
          <w:highlight w:val="none"/>
        </w:rPr>
        <w:fldChar w:fldCharType="separate"/>
      </w:r>
      <w:r>
        <w:rPr>
          <w:rStyle w:val="18"/>
          <w:rFonts w:hint="eastAsia" w:ascii="宋体" w:hAnsi="宋体" w:eastAsia="宋体" w:cs="宋体"/>
          <w:b w:val="0"/>
          <w:bCs/>
          <w:color w:val="auto"/>
          <w:sz w:val="21"/>
          <w:szCs w:val="21"/>
          <w:highlight w:val="none"/>
        </w:rPr>
        <w:t>https://sgcc</w:t>
      </w:r>
      <w:r>
        <w:rPr>
          <w:rStyle w:val="18"/>
          <w:rFonts w:hint="eastAsia" w:ascii="宋体" w:hAnsi="宋体" w:eastAsia="宋体" w:cs="宋体"/>
          <w:b w:val="0"/>
          <w:bCs/>
          <w:color w:val="auto"/>
          <w:sz w:val="21"/>
          <w:szCs w:val="21"/>
          <w:highlight w:val="none"/>
          <w:lang w:val="en-US" w:eastAsia="zh-CN"/>
        </w:rPr>
        <w:t>etp</w:t>
      </w:r>
      <w:r>
        <w:rPr>
          <w:rStyle w:val="18"/>
          <w:rFonts w:hint="eastAsia" w:ascii="宋体" w:hAnsi="宋体" w:eastAsia="宋体" w:cs="宋体"/>
          <w:b w:val="0"/>
          <w:bCs/>
          <w:color w:val="auto"/>
          <w:sz w:val="21"/>
          <w:szCs w:val="21"/>
          <w:highlight w:val="none"/>
        </w:rPr>
        <w:t>.com.cn/portal/#/</w:t>
      </w:r>
      <w:r>
        <w:rPr>
          <w:rStyle w:val="18"/>
          <w:rFonts w:hint="eastAsia" w:ascii="宋体" w:hAnsi="宋体" w:eastAsia="宋体" w:cs="宋体"/>
          <w:b w:val="0"/>
          <w:bCs/>
          <w:color w:val="auto"/>
          <w:sz w:val="21"/>
          <w:szCs w:val="21"/>
          <w:highlight w:val="none"/>
        </w:rPr>
        <w:fldChar w:fldCharType="end"/>
      </w:r>
      <w:r>
        <w:rPr>
          <w:rFonts w:hint="eastAsia" w:ascii="Times New Roman" w:hAnsi="Times New Roman" w:cs="Times New Roman"/>
          <w:szCs w:val="21"/>
          <w:highlight w:val="none"/>
        </w:rPr>
        <w:t>（</w:t>
      </w:r>
      <w:r>
        <w:rPr>
          <w:rFonts w:hint="eastAsia" w:ascii="Times New Roman" w:hAnsi="Times New Roman" w:cs="Times New Roman"/>
          <w:szCs w:val="21"/>
          <w:highlight w:val="none"/>
          <w:lang w:val="zh-CN"/>
        </w:rPr>
        <w:t>建议谷歌浏览器</w:t>
      </w:r>
      <w:r>
        <w:rPr>
          <w:rFonts w:hint="eastAsia" w:ascii="Times New Roman" w:hAnsi="Times New Roman" w:cs="Times New Roman"/>
          <w:szCs w:val="21"/>
          <w:highlight w:val="none"/>
        </w:rPr>
        <w:t>），下载资格预审文件。获取截止时间后将无法下载资格预审文件。按《电子招标投标办法》等国家法律法规要求，到第三方认证机构办理CA证书电子钥匙，电子钥匙的办理需要一定的时间，请申请人高度重视。由于没有及时办理电子钥匙导致获取并下载资格预审文件失败，由申请人自行承担相关责任。</w:t>
      </w:r>
    </w:p>
    <w:p>
      <w:pPr>
        <w:pageBreakBefore w:val="0"/>
        <w:topLinePunct w:val="0"/>
        <w:bidi w:val="0"/>
        <w:adjustRightInd w:val="0"/>
        <w:snapToGrid w:val="0"/>
        <w:spacing w:line="360" w:lineRule="exact"/>
        <w:ind w:firstLine="435"/>
        <w:rPr>
          <w:rFonts w:ascii="Times New Roman" w:hAnsi="Times New Roman" w:cs="Times New Roman"/>
          <w:szCs w:val="21"/>
          <w:highlight w:val="none"/>
        </w:rPr>
      </w:pPr>
      <w:r>
        <w:rPr>
          <w:rFonts w:hint="eastAsia" w:ascii="Times New Roman" w:hAnsi="Times New Roman" w:cs="Times New Roman"/>
          <w:szCs w:val="21"/>
          <w:highlight w:val="none"/>
        </w:rPr>
        <w:t>请使用谷歌浏览器打开上述网址，电脑配置推荐使用WIN7、WIN8、WIN10系统。</w:t>
      </w:r>
    </w:p>
    <w:p>
      <w:pPr>
        <w:pageBreakBefore w:val="0"/>
        <w:topLinePunct w:val="0"/>
        <w:bidi w:val="0"/>
        <w:adjustRightInd w:val="0"/>
        <w:snapToGrid w:val="0"/>
        <w:spacing w:line="360" w:lineRule="exact"/>
        <w:ind w:firstLine="435"/>
        <w:rPr>
          <w:rFonts w:ascii="Times New Roman" w:hAnsi="Times New Roman" w:cs="Times New Roman"/>
          <w:szCs w:val="21"/>
          <w:highlight w:val="none"/>
        </w:rPr>
      </w:pPr>
      <w:r>
        <w:rPr>
          <w:rFonts w:ascii="Times New Roman" w:hAnsi="Times New Roman" w:cs="Times New Roman"/>
          <w:szCs w:val="21"/>
          <w:highlight w:val="none"/>
        </w:rPr>
        <w:t>6.2</w:t>
      </w:r>
      <w:r>
        <w:rPr>
          <w:rFonts w:hint="eastAsia" w:ascii="Times New Roman" w:hAnsi="Times New Roman" w:cs="Times New Roman"/>
          <w:szCs w:val="21"/>
          <w:highlight w:val="none"/>
        </w:rPr>
        <w:t>资格预审文件（电子文件）免费获取。</w:t>
      </w:r>
    </w:p>
    <w:p>
      <w:pPr>
        <w:pageBreakBefore w:val="0"/>
        <w:topLinePunct w:val="0"/>
        <w:bidi w:val="0"/>
        <w:adjustRightInd w:val="0"/>
        <w:snapToGrid w:val="0"/>
        <w:spacing w:line="360" w:lineRule="exact"/>
        <w:ind w:firstLine="435"/>
        <w:rPr>
          <w:rFonts w:hint="eastAsia" w:ascii="Times New Roman" w:hAnsi="Times New Roman" w:cs="Times New Roman"/>
          <w:szCs w:val="21"/>
          <w:highlight w:val="none"/>
          <w:lang w:eastAsia="zh-CN"/>
        </w:rPr>
      </w:pPr>
      <w:r>
        <w:rPr>
          <w:rFonts w:ascii="Times New Roman" w:hAnsi="Times New Roman" w:cs="Times New Roman"/>
          <w:szCs w:val="21"/>
          <w:highlight w:val="none"/>
        </w:rPr>
        <w:t>6.3</w:t>
      </w:r>
      <w:r>
        <w:rPr>
          <w:rFonts w:hint="eastAsia" w:ascii="Times New Roman" w:hAnsi="Times New Roman" w:cs="Times New Roman"/>
          <w:szCs w:val="21"/>
          <w:highlight w:val="none"/>
        </w:rPr>
        <w:t>申请人在ETP完成资格预审文件购买后，无需在“</w:t>
      </w:r>
      <w:r>
        <w:rPr>
          <w:rFonts w:hint="eastAsia" w:ascii="Times New Roman" w:hAnsi="Times New Roman" w:cs="Times New Roman"/>
          <w:szCs w:val="21"/>
          <w:highlight w:val="none"/>
          <w:lang w:val="en-US" w:eastAsia="zh-CN"/>
        </w:rPr>
        <w:t>渝电数智采购平台</w:t>
      </w:r>
      <w:r>
        <w:rPr>
          <w:rFonts w:hint="eastAsia" w:ascii="Times New Roman" w:hAnsi="Times New Roman" w:cs="Times New Roman"/>
          <w:szCs w:val="21"/>
          <w:highlight w:val="none"/>
        </w:rPr>
        <w:t>”再次进行资格预审文件购买，ETP资格预审文件发售时间截止后，购买信息将同步至渝电数智采购平台</w:t>
      </w:r>
      <w:r>
        <w:rPr>
          <w:rFonts w:hint="eastAsia" w:ascii="Times New Roman" w:hAnsi="Times New Roman" w:cs="Times New Roman"/>
          <w:szCs w:val="21"/>
          <w:highlight w:val="none"/>
          <w:lang w:eastAsia="zh-CN"/>
        </w:rPr>
        <w:t>。</w:t>
      </w:r>
    </w:p>
    <w:p>
      <w:pPr>
        <w:pageBreakBefore w:val="0"/>
        <w:topLinePunct w:val="0"/>
        <w:bidi w:val="0"/>
        <w:adjustRightInd w:val="0"/>
        <w:snapToGrid w:val="0"/>
        <w:spacing w:line="360" w:lineRule="exact"/>
        <w:ind w:firstLine="435"/>
        <w:rPr>
          <w:rFonts w:ascii="宋体" w:hAnsi="宋体"/>
          <w:szCs w:val="24"/>
          <w:highlight w:val="none"/>
        </w:rPr>
      </w:pPr>
      <w:r>
        <w:rPr>
          <w:szCs w:val="21"/>
          <w:highlight w:val="none"/>
        </w:rPr>
        <w:t>6.</w:t>
      </w:r>
      <w:r>
        <w:rPr>
          <w:rFonts w:hint="eastAsia"/>
          <w:szCs w:val="21"/>
          <w:highlight w:val="none"/>
          <w:lang w:val="en-US" w:eastAsia="zh-CN"/>
        </w:rPr>
        <w:t>4</w:t>
      </w:r>
      <w:r>
        <w:rPr>
          <w:rFonts w:hint="eastAsia" w:ascii="宋体" w:hAnsi="宋体"/>
          <w:szCs w:val="24"/>
          <w:highlight w:val="none"/>
        </w:rPr>
        <w:t>凡有意参加的申请人，应在“</w:t>
      </w:r>
      <w:r>
        <w:rPr>
          <w:rStyle w:val="26"/>
          <w:rFonts w:hint="eastAsia" w:ascii="宋体" w:hAnsi="宋体" w:cs="宋体"/>
          <w:b/>
          <w:color w:val="auto"/>
          <w:kern w:val="2"/>
          <w:sz w:val="21"/>
          <w:szCs w:val="21"/>
          <w:highlight w:val="none"/>
          <w:lang w:val="en-US" w:eastAsia="zh-CN" w:bidi="ar"/>
        </w:rPr>
        <w:t>渝电数智采购平台</w:t>
      </w:r>
      <w:r>
        <w:rPr>
          <w:rFonts w:hint="eastAsia" w:ascii="宋体" w:hAnsi="宋体"/>
          <w:szCs w:val="24"/>
          <w:highlight w:val="none"/>
        </w:rPr>
        <w:t>”上完成账户注册，并且办理安装企业CA证书电子钥匙（电子钥匙在ETP及</w:t>
      </w:r>
      <w:r>
        <w:rPr>
          <w:rFonts w:hint="eastAsia" w:ascii="宋体" w:hAnsi="宋体" w:eastAsia="宋体" w:cs="宋体"/>
          <w:bCs/>
          <w:color w:val="auto"/>
          <w:sz w:val="21"/>
          <w:szCs w:val="21"/>
          <w:highlight w:val="none"/>
          <w:lang w:val="en-US" w:eastAsia="zh-CN" w:bidi="en-US"/>
        </w:rPr>
        <w:t>渝电数智采购平台</w:t>
      </w:r>
      <w:r>
        <w:rPr>
          <w:rFonts w:hint="eastAsia" w:ascii="宋体" w:hAnsi="宋体"/>
          <w:szCs w:val="24"/>
          <w:highlight w:val="none"/>
        </w:rPr>
        <w:t>通用），文件上传时必须使用电子钥匙进行加密。申请人应妥善保管</w:t>
      </w:r>
      <w:r>
        <w:rPr>
          <w:rFonts w:hint="eastAsia" w:ascii="宋体" w:hAnsi="宋体"/>
          <w:szCs w:val="24"/>
          <w:highlight w:val="none"/>
          <w:lang w:val="en-US" w:eastAsia="zh-CN"/>
        </w:rPr>
        <w:t>ETP</w:t>
      </w:r>
      <w:r>
        <w:rPr>
          <w:rFonts w:hint="eastAsia" w:ascii="宋体" w:hAnsi="宋体"/>
          <w:szCs w:val="24"/>
          <w:highlight w:val="none"/>
        </w:rPr>
        <w:t>账号和密码，以及</w:t>
      </w:r>
      <w:r>
        <w:rPr>
          <w:rFonts w:hint="eastAsia" w:ascii="宋体" w:hAnsi="宋体"/>
          <w:strike w:val="0"/>
          <w:dstrike w:val="0"/>
          <w:szCs w:val="24"/>
          <w:highlight w:val="none"/>
          <w:lang w:val="en-US" w:eastAsia="zh-CN"/>
        </w:rPr>
        <w:t>CA</w:t>
      </w:r>
      <w:r>
        <w:rPr>
          <w:rFonts w:hint="eastAsia" w:ascii="宋体" w:hAnsi="宋体"/>
          <w:szCs w:val="24"/>
          <w:highlight w:val="none"/>
        </w:rPr>
        <w:t>数字证书和密码，因上述账号、数字证书或密码保管不当造成的损失，由申请人自行承担。</w:t>
      </w:r>
    </w:p>
    <w:p>
      <w:pPr>
        <w:pageBreakBefore w:val="0"/>
        <w:topLinePunct w:val="0"/>
        <w:bidi w:val="0"/>
        <w:adjustRightInd w:val="0"/>
        <w:snapToGrid w:val="0"/>
        <w:spacing w:line="360" w:lineRule="exact"/>
        <w:ind w:firstLine="435"/>
        <w:rPr>
          <w:rFonts w:ascii="宋体" w:hAnsi="宋体"/>
          <w:szCs w:val="24"/>
          <w:highlight w:val="none"/>
        </w:rPr>
      </w:pPr>
      <w:r>
        <w:rPr>
          <w:rFonts w:hint="eastAsia" w:ascii="宋体" w:hAnsi="宋体"/>
          <w:szCs w:val="24"/>
          <w:highlight w:val="none"/>
        </w:rPr>
        <w:t>（1）已办理安装</w:t>
      </w:r>
      <w:r>
        <w:rPr>
          <w:rFonts w:hint="eastAsia" w:ascii="宋体" w:hAnsi="宋体"/>
          <w:szCs w:val="24"/>
          <w:highlight w:val="none"/>
          <w:lang w:val="en-US" w:eastAsia="zh-CN"/>
        </w:rPr>
        <w:t>ETP</w:t>
      </w:r>
      <w:r>
        <w:rPr>
          <w:rFonts w:hint="eastAsia" w:ascii="宋体" w:hAnsi="宋体"/>
          <w:szCs w:val="24"/>
          <w:highlight w:val="none"/>
        </w:rPr>
        <w:t>电子钥匙的潜在申请人：</w:t>
      </w:r>
    </w:p>
    <w:p>
      <w:pPr>
        <w:pageBreakBefore w:val="0"/>
        <w:topLinePunct w:val="0"/>
        <w:bidi w:val="0"/>
        <w:adjustRightInd w:val="0"/>
        <w:snapToGrid w:val="0"/>
        <w:spacing w:line="360" w:lineRule="exact"/>
        <w:ind w:firstLine="435"/>
        <w:rPr>
          <w:rFonts w:ascii="宋体" w:hAnsi="宋体"/>
          <w:szCs w:val="24"/>
          <w:highlight w:val="none"/>
        </w:rPr>
      </w:pPr>
      <w:r>
        <w:rPr>
          <w:rFonts w:hint="eastAsia" w:ascii="宋体" w:hAnsi="宋体"/>
          <w:szCs w:val="24"/>
          <w:highlight w:val="none"/>
          <w:lang w:val="en-US" w:eastAsia="zh-CN"/>
        </w:rPr>
        <w:t>ETP</w:t>
      </w:r>
      <w:r>
        <w:rPr>
          <w:rFonts w:hint="eastAsia" w:ascii="宋体" w:hAnsi="宋体"/>
          <w:szCs w:val="24"/>
          <w:highlight w:val="none"/>
        </w:rPr>
        <w:t>的电子钥匙可以在“</w:t>
      </w:r>
      <w:r>
        <w:rPr>
          <w:rStyle w:val="26"/>
          <w:rFonts w:hint="eastAsia" w:ascii="宋体" w:hAnsi="宋体" w:cs="宋体"/>
          <w:b/>
          <w:color w:val="auto"/>
          <w:kern w:val="2"/>
          <w:sz w:val="21"/>
          <w:szCs w:val="21"/>
          <w:highlight w:val="none"/>
          <w:lang w:val="en-US" w:eastAsia="zh-CN" w:bidi="ar"/>
        </w:rPr>
        <w:t>渝电数智采购平台</w:t>
      </w:r>
      <w:r>
        <w:rPr>
          <w:rFonts w:hint="eastAsia" w:ascii="宋体" w:hAnsi="宋体"/>
          <w:szCs w:val="24"/>
          <w:highlight w:val="none"/>
        </w:rPr>
        <w:t>”通用。已办理安装</w:t>
      </w:r>
      <w:r>
        <w:rPr>
          <w:rFonts w:hint="eastAsia" w:ascii="宋体" w:hAnsi="宋体"/>
          <w:szCs w:val="24"/>
          <w:highlight w:val="none"/>
          <w:lang w:val="en-US" w:eastAsia="zh-CN"/>
        </w:rPr>
        <w:t>ETP</w:t>
      </w:r>
      <w:r>
        <w:rPr>
          <w:rFonts w:hint="eastAsia" w:ascii="宋体" w:hAnsi="宋体"/>
          <w:szCs w:val="24"/>
          <w:highlight w:val="none"/>
        </w:rPr>
        <w:t>电子钥匙且电子钥匙在有效期内的潜在申请人无需重新办理电子钥匙但应在“</w:t>
      </w:r>
      <w:r>
        <w:rPr>
          <w:rStyle w:val="26"/>
          <w:rFonts w:hint="eastAsia" w:ascii="宋体" w:hAnsi="宋体" w:cs="宋体"/>
          <w:b/>
          <w:color w:val="auto"/>
          <w:kern w:val="2"/>
          <w:sz w:val="21"/>
          <w:szCs w:val="21"/>
          <w:highlight w:val="none"/>
          <w:lang w:val="en-US" w:eastAsia="zh-CN" w:bidi="ar"/>
        </w:rPr>
        <w:t>渝电数智采购平台</w:t>
      </w:r>
      <w:r>
        <w:rPr>
          <w:rFonts w:hint="eastAsia" w:ascii="宋体" w:hAnsi="宋体"/>
          <w:szCs w:val="24"/>
          <w:highlight w:val="none"/>
        </w:rPr>
        <w:t>”进行电子钥匙绑定及安装。</w:t>
      </w:r>
    </w:p>
    <w:p>
      <w:pPr>
        <w:pageBreakBefore w:val="0"/>
        <w:topLinePunct w:val="0"/>
        <w:bidi w:val="0"/>
        <w:adjustRightInd w:val="0"/>
        <w:snapToGrid w:val="0"/>
        <w:spacing w:line="360" w:lineRule="exact"/>
        <w:ind w:firstLine="435"/>
        <w:rPr>
          <w:rFonts w:ascii="宋体" w:hAnsi="宋体"/>
          <w:szCs w:val="24"/>
          <w:highlight w:val="none"/>
        </w:rPr>
      </w:pPr>
      <w:r>
        <w:rPr>
          <w:rFonts w:hint="eastAsia" w:ascii="宋体" w:hAnsi="宋体"/>
          <w:szCs w:val="24"/>
          <w:highlight w:val="none"/>
        </w:rPr>
        <w:t>（2）未办理安装“</w:t>
      </w:r>
      <w:r>
        <w:rPr>
          <w:rFonts w:hint="eastAsia" w:ascii="宋体" w:hAnsi="宋体"/>
          <w:szCs w:val="24"/>
          <w:highlight w:val="none"/>
          <w:lang w:val="en-US" w:eastAsia="zh-CN"/>
        </w:rPr>
        <w:t>ETP</w:t>
      </w:r>
      <w:r>
        <w:rPr>
          <w:rFonts w:hint="eastAsia" w:ascii="宋体" w:hAnsi="宋体"/>
          <w:szCs w:val="24"/>
          <w:highlight w:val="none"/>
        </w:rPr>
        <w:t>”电子钥匙的潜在申请人：</w:t>
      </w:r>
    </w:p>
    <w:p>
      <w:pPr>
        <w:pageBreakBefore w:val="0"/>
        <w:topLinePunct w:val="0"/>
        <w:bidi w:val="0"/>
        <w:adjustRightInd w:val="0"/>
        <w:snapToGrid w:val="0"/>
        <w:spacing w:line="360" w:lineRule="exact"/>
        <w:ind w:firstLine="435"/>
        <w:rPr>
          <w:rFonts w:ascii="宋体" w:hAnsi="宋体"/>
          <w:szCs w:val="24"/>
          <w:highlight w:val="none"/>
        </w:rPr>
      </w:pPr>
      <w:r>
        <w:rPr>
          <w:rFonts w:hint="eastAsia" w:ascii="宋体" w:hAnsi="宋体"/>
          <w:szCs w:val="24"/>
          <w:highlight w:val="none"/>
        </w:rPr>
        <w:t>未办理安装“</w:t>
      </w:r>
      <w:r>
        <w:rPr>
          <w:rFonts w:hint="eastAsia" w:ascii="宋体" w:hAnsi="宋体"/>
          <w:szCs w:val="24"/>
          <w:highlight w:val="none"/>
          <w:lang w:val="en-US" w:eastAsia="zh-CN"/>
        </w:rPr>
        <w:t>ETP</w:t>
      </w:r>
      <w:r>
        <w:rPr>
          <w:rFonts w:hint="eastAsia" w:ascii="宋体" w:hAnsi="宋体"/>
          <w:szCs w:val="24"/>
          <w:highlight w:val="none"/>
        </w:rPr>
        <w:t>”电子钥匙的潜在申请人需登录</w:t>
      </w:r>
      <w:r>
        <w:rPr>
          <w:rFonts w:hint="eastAsia" w:ascii="宋体" w:hAnsi="宋体" w:eastAsia="宋体" w:cs="宋体"/>
          <w:color w:val="auto"/>
          <w:sz w:val="21"/>
          <w:szCs w:val="21"/>
          <w:highlight w:val="none"/>
          <w:lang w:bidi="ar"/>
        </w:rPr>
        <w:t>电子商务平台电工交易专区（</w:t>
      </w:r>
      <w:r>
        <w:rPr>
          <w:rFonts w:hint="eastAsia" w:ascii="宋体" w:hAnsi="宋体" w:eastAsia="宋体" w:cs="宋体"/>
          <w:b w:val="0"/>
          <w:bCs/>
          <w:color w:val="auto"/>
          <w:sz w:val="21"/>
          <w:szCs w:val="21"/>
          <w:highlight w:val="none"/>
        </w:rPr>
        <w:fldChar w:fldCharType="begin"/>
      </w:r>
      <w:r>
        <w:rPr>
          <w:rFonts w:hint="eastAsia" w:ascii="宋体" w:hAnsi="宋体" w:eastAsia="宋体" w:cs="宋体"/>
          <w:b w:val="0"/>
          <w:bCs/>
          <w:color w:val="auto"/>
          <w:sz w:val="21"/>
          <w:szCs w:val="21"/>
          <w:highlight w:val="none"/>
        </w:rPr>
        <w:instrText xml:space="preserve"> HYPERLINK "https://etp.sgcc.com.cn/portal/" \l "/" </w:instrText>
      </w:r>
      <w:r>
        <w:rPr>
          <w:rFonts w:hint="eastAsia" w:ascii="宋体" w:hAnsi="宋体" w:eastAsia="宋体" w:cs="宋体"/>
          <w:b w:val="0"/>
          <w:bCs/>
          <w:color w:val="auto"/>
          <w:sz w:val="21"/>
          <w:szCs w:val="21"/>
          <w:highlight w:val="none"/>
        </w:rPr>
        <w:fldChar w:fldCharType="separate"/>
      </w:r>
      <w:r>
        <w:rPr>
          <w:rStyle w:val="18"/>
          <w:rFonts w:hint="eastAsia" w:ascii="宋体" w:hAnsi="宋体" w:eastAsia="宋体" w:cs="宋体"/>
          <w:b w:val="0"/>
          <w:bCs/>
          <w:color w:val="auto"/>
          <w:sz w:val="21"/>
          <w:szCs w:val="21"/>
          <w:highlight w:val="none"/>
        </w:rPr>
        <w:t>https://sgcc</w:t>
      </w:r>
      <w:r>
        <w:rPr>
          <w:rStyle w:val="18"/>
          <w:rFonts w:hint="eastAsia" w:ascii="宋体" w:hAnsi="宋体" w:eastAsia="宋体" w:cs="宋体"/>
          <w:b w:val="0"/>
          <w:bCs/>
          <w:color w:val="auto"/>
          <w:sz w:val="21"/>
          <w:szCs w:val="21"/>
          <w:highlight w:val="none"/>
          <w:lang w:val="en-US" w:eastAsia="zh-CN"/>
        </w:rPr>
        <w:t>etp</w:t>
      </w:r>
      <w:r>
        <w:rPr>
          <w:rStyle w:val="18"/>
          <w:rFonts w:hint="eastAsia" w:ascii="宋体" w:hAnsi="宋体" w:eastAsia="宋体" w:cs="宋体"/>
          <w:b w:val="0"/>
          <w:bCs/>
          <w:color w:val="auto"/>
          <w:sz w:val="21"/>
          <w:szCs w:val="21"/>
          <w:highlight w:val="none"/>
        </w:rPr>
        <w:t>.com.cn/portal/#/</w:t>
      </w:r>
      <w:r>
        <w:rPr>
          <w:rStyle w:val="18"/>
          <w:rFonts w:hint="eastAsia" w:ascii="宋体" w:hAnsi="宋体" w:eastAsia="宋体" w:cs="宋体"/>
          <w:b w:val="0"/>
          <w:bCs/>
          <w:color w:val="auto"/>
          <w:sz w:val="21"/>
          <w:szCs w:val="21"/>
          <w:highlight w:val="none"/>
        </w:rPr>
        <w:fldChar w:fldCharType="end"/>
      </w:r>
      <w:r>
        <w:rPr>
          <w:rFonts w:hint="eastAsia" w:ascii="宋体" w:hAnsi="宋体" w:eastAsia="宋体" w:cs="宋体"/>
          <w:color w:val="auto"/>
          <w:sz w:val="21"/>
          <w:szCs w:val="21"/>
          <w:highlight w:val="none"/>
          <w:lang w:bidi="ar"/>
        </w:rPr>
        <w:t>）</w:t>
      </w:r>
      <w:r>
        <w:rPr>
          <w:rFonts w:hint="eastAsia" w:ascii="宋体" w:hAnsi="宋体"/>
          <w:szCs w:val="24"/>
          <w:highlight w:val="none"/>
        </w:rPr>
        <w:t>首页，在供应商应用指南专区完成电子钥匙办理及安装，如遇问题可拨打</w:t>
      </w:r>
      <w:r>
        <w:rPr>
          <w:rFonts w:hint="eastAsia" w:ascii="宋体" w:hAnsi="宋体"/>
          <w:szCs w:val="24"/>
          <w:highlight w:val="none"/>
          <w:lang w:val="en-US" w:eastAsia="zh-CN"/>
        </w:rPr>
        <w:t>ETP</w:t>
      </w:r>
      <w:r>
        <w:rPr>
          <w:rFonts w:hint="eastAsia" w:ascii="宋体" w:hAnsi="宋体"/>
          <w:szCs w:val="24"/>
          <w:highlight w:val="none"/>
        </w:rPr>
        <w:t>首页中</w:t>
      </w:r>
      <w:r>
        <w:rPr>
          <w:rFonts w:hint="eastAsia" w:ascii="宋体" w:hAnsi="宋体" w:eastAsia="宋体" w:cs="宋体"/>
          <w:color w:val="auto"/>
          <w:sz w:val="21"/>
          <w:szCs w:val="21"/>
          <w:highlight w:val="none"/>
          <w:lang w:eastAsia="zh-CN"/>
        </w:rPr>
        <w:t>010-63411000</w:t>
      </w:r>
      <w:r>
        <w:rPr>
          <w:rFonts w:hint="eastAsia" w:ascii="宋体" w:hAnsi="宋体"/>
          <w:szCs w:val="24"/>
          <w:highlight w:val="none"/>
        </w:rPr>
        <w:t>等供应商服务热线。注：电子钥匙办理时间较长，潜在申请人应高度重视，及时办理。</w:t>
      </w:r>
    </w:p>
    <w:p>
      <w:pPr>
        <w:keepNext w:val="0"/>
        <w:keepLines w:val="0"/>
        <w:pageBreakBefore w:val="0"/>
        <w:widowControl w:val="0"/>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Cs w:val="21"/>
          <w:highlight w:val="none"/>
          <w:lang w:val="en-US" w:eastAsia="zh-CN" w:bidi="ar"/>
        </w:rPr>
      </w:pPr>
      <w:r>
        <w:rPr>
          <w:rFonts w:hint="eastAsia" w:ascii="宋体" w:hAnsi="宋体"/>
          <w:szCs w:val="24"/>
          <w:highlight w:val="none"/>
        </w:rPr>
        <w:t>（</w:t>
      </w:r>
      <w:r>
        <w:rPr>
          <w:rFonts w:hint="eastAsia" w:ascii="宋体" w:hAnsi="宋体"/>
          <w:szCs w:val="24"/>
          <w:highlight w:val="none"/>
          <w:lang w:val="en-US" w:eastAsia="zh-CN"/>
        </w:rPr>
        <w:t>3</w:t>
      </w:r>
      <w:r>
        <w:rPr>
          <w:rFonts w:hint="eastAsia" w:ascii="宋体" w:hAnsi="宋体"/>
          <w:szCs w:val="24"/>
          <w:highlight w:val="none"/>
        </w:rPr>
        <w:t>）</w:t>
      </w:r>
      <w:r>
        <w:rPr>
          <w:rFonts w:hint="eastAsia" w:ascii="宋体" w:hAnsi="宋体" w:cs="Times New Roman"/>
          <w:szCs w:val="24"/>
          <w:highlight w:val="none"/>
        </w:rPr>
        <w:t>电子钥匙绑定及安装：申请人登录“渝电数智采购平台”，</w:t>
      </w:r>
      <w:r>
        <w:rPr>
          <w:rFonts w:hint="eastAsia" w:ascii="宋体" w:hAnsi="宋体" w:eastAsia="宋体" w:cs="宋体"/>
          <w:color w:val="auto"/>
          <w:szCs w:val="21"/>
          <w:highlight w:val="none"/>
          <w:lang w:val="en-US" w:eastAsia="zh-CN" w:bidi="ar"/>
        </w:rPr>
        <w:t>网址：https://ydzb.cq.sgcc.com.cn:10443/ydzb/login（建议谷歌浏览器）。在登录页面或帮助中心可下载《供应商操作手册》，根据操作手册指引进行注册、登录、电子钥匙绑定及投标应答等操作，如遇问题可拨打技术支持服务热线进行咨询。技术运维服务热线：</w:t>
      </w:r>
      <w:r>
        <w:rPr>
          <w:rFonts w:hint="eastAsia" w:ascii="宋体" w:hAnsi="宋体" w:eastAsia="宋体" w:cs="宋体"/>
          <w:color w:val="auto"/>
          <w:sz w:val="21"/>
          <w:szCs w:val="21"/>
          <w:highlight w:val="none"/>
          <w:lang w:val="en-US" w:eastAsia="zh-CN"/>
        </w:rPr>
        <w:t>023-63686468</w:t>
      </w:r>
      <w:r>
        <w:rPr>
          <w:rFonts w:hint="eastAsia" w:ascii="宋体" w:hAnsi="宋体" w:eastAsia="宋体" w:cs="宋体"/>
          <w:color w:val="auto"/>
          <w:szCs w:val="21"/>
          <w:highlight w:val="none"/>
          <w:lang w:val="en-US" w:eastAsia="zh-CN" w:bidi="ar"/>
        </w:rPr>
        <w:t>。</w:t>
      </w:r>
    </w:p>
    <w:p>
      <w:pPr>
        <w:pStyle w:val="5"/>
        <w:pageBreakBefore w:val="0"/>
        <w:numPr>
          <w:ilvl w:val="0"/>
          <w:numId w:val="0"/>
        </w:numPr>
        <w:topLinePunct w:val="0"/>
        <w:bidi w:val="0"/>
        <w:spacing w:line="360" w:lineRule="exact"/>
        <w:ind w:firstLine="420" w:firstLineChars="200"/>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kern w:val="2"/>
          <w:sz w:val="21"/>
          <w:szCs w:val="24"/>
          <w:highlight w:val="none"/>
          <w:lang w:val="en-US" w:eastAsia="zh-CN" w:bidi="ar-SA"/>
        </w:rPr>
        <w:t>6.5未按照上述要求获取资格预审文件的应答，采购人将不予受理。</w:t>
      </w:r>
    </w:p>
    <w:p>
      <w:pPr>
        <w:pStyle w:val="4"/>
        <w:pageBreakBefore w:val="0"/>
        <w:topLinePunct w:val="0"/>
        <w:bidi w:val="0"/>
        <w:spacing w:line="360" w:lineRule="exact"/>
        <w:ind w:firstLine="422"/>
        <w:rPr>
          <w:rFonts w:hint="eastAsia" w:ascii="宋体" w:hAnsi="宋体" w:eastAsia="宋体" w:cs="Times New Roman"/>
          <w:b/>
          <w:iCs/>
          <w:szCs w:val="21"/>
          <w:highlight w:val="none"/>
        </w:rPr>
      </w:pPr>
      <w:bookmarkStart w:id="39" w:name="_Toc146123643"/>
      <w:bookmarkStart w:id="40" w:name="_Toc48841737"/>
      <w:bookmarkStart w:id="41" w:name="_Toc11269"/>
      <w:r>
        <w:rPr>
          <w:rFonts w:hint="eastAsia" w:ascii="宋体" w:hAnsi="宋体" w:eastAsia="宋体" w:cs="Times New Roman"/>
          <w:b/>
          <w:iCs/>
          <w:szCs w:val="21"/>
          <w:highlight w:val="none"/>
        </w:rPr>
        <w:t>7．资格预审申请文件的递交</w:t>
      </w:r>
      <w:bookmarkEnd w:id="36"/>
      <w:bookmarkEnd w:id="37"/>
      <w:bookmarkEnd w:id="38"/>
      <w:bookmarkEnd w:id="39"/>
      <w:bookmarkEnd w:id="40"/>
      <w:bookmarkEnd w:id="41"/>
    </w:p>
    <w:p>
      <w:pPr>
        <w:pageBreakBefore w:val="0"/>
        <w:topLinePunct w:val="0"/>
        <w:bidi w:val="0"/>
        <w:adjustRightInd w:val="0"/>
        <w:snapToGrid w:val="0"/>
        <w:spacing w:line="360" w:lineRule="exact"/>
        <w:ind w:firstLine="437"/>
        <w:rPr>
          <w:rFonts w:ascii="宋体" w:hAnsi="宋体" w:eastAsia="宋体" w:cs="宋体"/>
          <w:color w:val="000000" w:themeColor="text1"/>
          <w:highlight w:val="none"/>
          <w14:textFill>
            <w14:solidFill>
              <w14:schemeClr w14:val="tx1"/>
            </w14:solidFill>
          </w14:textFill>
        </w:rPr>
      </w:pPr>
      <w:bookmarkStart w:id="42" w:name="_Toc48841738"/>
      <w:bookmarkStart w:id="43" w:name="_Toc146123644"/>
      <w:bookmarkStart w:id="44" w:name="_Toc408358707"/>
      <w:bookmarkStart w:id="45" w:name="_Toc2319"/>
      <w:bookmarkStart w:id="46" w:name="_Toc144974401"/>
      <w:bookmarkStart w:id="47" w:name="_Toc152047197"/>
      <w:r>
        <w:rPr>
          <w:rFonts w:hint="eastAsia" w:ascii="宋体" w:hAnsi="宋体" w:eastAsia="宋体" w:cs="宋体"/>
          <w:color w:val="000000" w:themeColor="text1"/>
          <w:highlight w:val="none"/>
          <w14:textFill>
            <w14:solidFill>
              <w14:schemeClr w14:val="tx1"/>
            </w14:solidFill>
          </w14:textFill>
        </w:rPr>
        <w:t>7.1资格预审申请文件递交（提交）的截止时间为</w:t>
      </w:r>
      <w:r>
        <w:rPr>
          <w:rFonts w:hint="eastAsia" w:ascii="宋体" w:hAnsi="宋体" w:eastAsia="宋体" w:cs="宋体"/>
          <w:color w:val="FF0000"/>
          <w:highlight w:val="none"/>
        </w:rPr>
        <w:t>2025年</w:t>
      </w:r>
      <w:r>
        <w:rPr>
          <w:rFonts w:hint="eastAsia" w:ascii="宋体" w:hAnsi="宋体" w:cs="宋体"/>
          <w:color w:val="FF0000"/>
          <w:highlight w:val="none"/>
          <w:lang w:val="en-US" w:eastAsia="zh-CN"/>
        </w:rPr>
        <w:t>7</w:t>
      </w:r>
      <w:r>
        <w:rPr>
          <w:rFonts w:hint="eastAsia" w:ascii="宋体" w:hAnsi="宋体" w:eastAsia="宋体" w:cs="宋体"/>
          <w:color w:val="FF0000"/>
          <w:highlight w:val="none"/>
        </w:rPr>
        <w:t>月</w:t>
      </w:r>
      <w:r>
        <w:rPr>
          <w:rFonts w:hint="eastAsia" w:ascii="宋体" w:hAnsi="宋体" w:cs="宋体"/>
          <w:color w:val="FF0000"/>
          <w:highlight w:val="none"/>
          <w:lang w:val="en-US" w:eastAsia="zh-CN"/>
        </w:rPr>
        <w:t>9</w:t>
      </w:r>
      <w:r>
        <w:rPr>
          <w:rFonts w:hint="eastAsia" w:ascii="宋体" w:hAnsi="宋体" w:eastAsia="宋体" w:cs="宋体"/>
          <w:color w:val="FF0000"/>
          <w:highlight w:val="none"/>
        </w:rPr>
        <w:t>日</w:t>
      </w:r>
      <w:r>
        <w:rPr>
          <w:rFonts w:hint="eastAsia" w:ascii="宋体" w:hAnsi="宋体" w:eastAsia="宋体" w:cs="宋体"/>
          <w:color w:val="FF0000"/>
          <w:highlight w:val="none"/>
          <w:lang w:val="en-US" w:eastAsia="zh-CN"/>
        </w:rPr>
        <w:t>0</w:t>
      </w:r>
      <w:r>
        <w:rPr>
          <w:rFonts w:hint="eastAsia" w:ascii="宋体" w:hAnsi="宋体" w:eastAsia="宋体" w:cs="宋体"/>
          <w:color w:val="FF0000"/>
          <w:highlight w:val="none"/>
        </w:rPr>
        <w:t>9:00时</w:t>
      </w:r>
      <w:r>
        <w:rPr>
          <w:rFonts w:hint="eastAsia" w:ascii="宋体" w:hAnsi="宋体" w:eastAsia="宋体" w:cs="宋体"/>
          <w:color w:val="000000" w:themeColor="text1"/>
          <w:highlight w:val="none"/>
          <w14:textFill>
            <w14:solidFill>
              <w14:schemeClr w14:val="tx1"/>
            </w14:solidFill>
          </w14:textFill>
        </w:rPr>
        <w:t>。申请人应在截止时间前通过</w:t>
      </w:r>
      <w:r>
        <w:rPr>
          <w:rFonts w:hint="eastAsia" w:ascii="宋体" w:hAnsi="宋体" w:eastAsia="宋体" w:cs="宋体"/>
          <w:color w:val="000000" w:themeColor="text1"/>
          <w:kern w:val="0"/>
          <w:szCs w:val="21"/>
          <w:highlight w:val="none"/>
          <w14:textFill>
            <w14:solidFill>
              <w14:schemeClr w14:val="tx1"/>
            </w14:solidFill>
          </w14:textFill>
        </w:rPr>
        <w:t>采购人招投标交易平台信息系统</w:t>
      </w:r>
      <w:r>
        <w:rPr>
          <w:rFonts w:hint="eastAsia" w:ascii="宋体" w:hAnsi="宋体" w:eastAsia="宋体" w:cs="宋体"/>
          <w:b w:val="0"/>
          <w:bCs w:val="0"/>
          <w:color w:val="000000" w:themeColor="text1"/>
          <w:kern w:val="0"/>
          <w:szCs w:val="21"/>
          <w:highlight w:val="none"/>
          <w14:textFill>
            <w14:solidFill>
              <w14:schemeClr w14:val="tx1"/>
            </w14:solidFill>
          </w14:textFill>
        </w:rPr>
        <w:t>（</w:t>
      </w:r>
      <w:r>
        <w:rPr>
          <w:rFonts w:hint="eastAsia"/>
          <w:b w:val="0"/>
          <w:bCs w:val="0"/>
          <w:szCs w:val="21"/>
          <w:highlight w:val="none"/>
        </w:rPr>
        <w:t>ETP系统和渝电数智采购平台）</w:t>
      </w:r>
      <w:r>
        <w:rPr>
          <w:rFonts w:hint="eastAsia" w:ascii="宋体" w:hAnsi="宋体" w:eastAsia="宋体" w:cs="宋体"/>
          <w:bCs/>
          <w:color w:val="000000" w:themeColor="text1"/>
          <w:highlight w:val="none"/>
          <w14:textFill>
            <w14:solidFill>
              <w14:schemeClr w14:val="tx1"/>
            </w14:solidFill>
          </w14:textFill>
        </w:rPr>
        <w:t>提交电子申</w:t>
      </w:r>
      <w:r>
        <w:rPr>
          <w:rFonts w:hint="eastAsia" w:ascii="宋体" w:hAnsi="宋体" w:eastAsia="宋体" w:cs="宋体"/>
          <w:color w:val="000000" w:themeColor="text1"/>
          <w:highlight w:val="none"/>
          <w14:textFill>
            <w14:solidFill>
              <w14:schemeClr w14:val="tx1"/>
            </w14:solidFill>
          </w14:textFill>
        </w:rPr>
        <w:t>请文件，</w:t>
      </w:r>
      <w:r>
        <w:rPr>
          <w:rFonts w:hint="eastAsia" w:ascii="宋体" w:hAnsi="宋体" w:eastAsia="宋体" w:cs="宋体"/>
          <w:color w:val="000000" w:themeColor="text1"/>
          <w:szCs w:val="21"/>
          <w:highlight w:val="none"/>
          <w14:textFill>
            <w14:solidFill>
              <w14:schemeClr w14:val="tx1"/>
            </w14:solidFill>
          </w14:textFill>
        </w:rPr>
        <w:t>本次预审项目不接受其他形式的申请文件。</w:t>
      </w:r>
    </w:p>
    <w:p>
      <w:pPr>
        <w:pageBreakBefore w:val="0"/>
        <w:topLinePunct w:val="0"/>
        <w:bidi w:val="0"/>
        <w:adjustRightInd w:val="0"/>
        <w:snapToGrid w:val="0"/>
        <w:spacing w:line="360" w:lineRule="exact"/>
        <w:ind w:firstLine="435"/>
        <w:rPr>
          <w:rFonts w:hint="eastAsia" w:ascii="宋体" w:hAnsi="宋体" w:eastAsia="宋体" w:cs="宋体"/>
          <w:bCs/>
          <w:color w:val="000000" w:themeColor="text1"/>
          <w:highlight w:val="none"/>
          <w:lang w:eastAsia="zh-CN"/>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（1）申请文件提交时间：所有申请文件应当在截止时间前提交采购人</w:t>
      </w:r>
      <w:r>
        <w:rPr>
          <w:rFonts w:hint="eastAsia" w:ascii="宋体" w:hAnsi="宋体" w:eastAsia="宋体" w:cs="宋体"/>
          <w:bCs/>
          <w:color w:val="000000" w:themeColor="text1"/>
          <w:highlight w:val="none"/>
          <w:lang w:eastAsia="zh-CN"/>
          <w14:textFill>
            <w14:solidFill>
              <w14:schemeClr w14:val="tx1"/>
            </w14:solidFill>
          </w14:textFill>
        </w:rPr>
        <w:t>。</w:t>
      </w:r>
    </w:p>
    <w:p>
      <w:pPr>
        <w:pageBreakBefore w:val="0"/>
        <w:topLinePunct w:val="0"/>
        <w:bidi w:val="0"/>
        <w:adjustRightInd w:val="0"/>
        <w:snapToGrid w:val="0"/>
        <w:spacing w:line="360" w:lineRule="exact"/>
        <w:ind w:firstLine="420" w:firstLineChars="200"/>
        <w:rPr>
          <w:rFonts w:ascii="宋体" w:hAnsi="宋体" w:eastAsia="宋体" w:cs="宋体"/>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（2）申请文件提交地点：</w:t>
      </w:r>
      <w:r>
        <w:rPr>
          <w:rFonts w:hint="eastAsia" w:ascii="宋体" w:hAnsi="宋体" w:eastAsia="宋体" w:cs="宋体"/>
          <w:bCs/>
          <w:color w:val="000000" w:themeColor="text1"/>
          <w:kern w:val="0"/>
          <w:szCs w:val="21"/>
          <w:highlight w:val="none"/>
          <w14:textFill>
            <w14:solidFill>
              <w14:schemeClr w14:val="tx1"/>
            </w14:solidFill>
          </w14:textFill>
        </w:rPr>
        <w:t>采购人招投标交易平台信息系统（</w:t>
      </w:r>
      <w:r>
        <w:rPr>
          <w:rFonts w:hint="eastAsia"/>
          <w:bCs/>
          <w:szCs w:val="21"/>
          <w:highlight w:val="none"/>
        </w:rPr>
        <w:t>ETP系统和渝电数智采购平台）</w:t>
      </w:r>
      <w:r>
        <w:rPr>
          <w:rFonts w:hint="eastAsia" w:ascii="宋体" w:hAnsi="宋体" w:eastAsia="宋体" w:cs="宋体"/>
          <w:bCs/>
          <w:color w:val="000000" w:themeColor="text1"/>
          <w:highlight w:val="none"/>
          <w14:textFill>
            <w14:solidFill>
              <w14:schemeClr w14:val="tx1"/>
            </w14:solidFill>
          </w14:textFill>
        </w:rPr>
        <w:t>。</w:t>
      </w:r>
    </w:p>
    <w:p>
      <w:pPr>
        <w:pageBreakBefore w:val="0"/>
        <w:topLinePunct w:val="0"/>
        <w:bidi w:val="0"/>
        <w:adjustRightInd w:val="0"/>
        <w:snapToGrid w:val="0"/>
        <w:spacing w:line="360" w:lineRule="exact"/>
        <w:ind w:firstLine="420" w:firstLineChars="200"/>
        <w:rPr>
          <w:rFonts w:hint="eastAsia" w:ascii="宋体" w:hAnsi="宋体" w:eastAsia="宋体" w:cs="宋体"/>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（3）申请文件提交方式：本次资格预审仅接受通过ETP系统和渝电数智采购平台上传的电子申请文件。</w:t>
      </w:r>
    </w:p>
    <w:p>
      <w:pPr>
        <w:pageBreakBefore w:val="0"/>
        <w:topLinePunct w:val="0"/>
        <w:bidi w:val="0"/>
        <w:adjustRightInd w:val="0"/>
        <w:snapToGrid w:val="0"/>
        <w:spacing w:line="360" w:lineRule="exact"/>
        <w:ind w:firstLine="420" w:firstLineChars="200"/>
        <w:rPr>
          <w:rFonts w:hint="eastAsia" w:ascii="宋体" w:hAnsi="宋体" w:eastAsia="宋体" w:cs="宋体"/>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电子申请文件（部分文件）：指申请人上传至</w:t>
      </w:r>
      <w:r>
        <w:rPr>
          <w:rFonts w:hint="eastAsia" w:ascii="宋体" w:hAnsi="宋体" w:eastAsia="宋体" w:cs="宋体"/>
          <w:b/>
          <w:bCs w:val="0"/>
          <w:color w:val="000000" w:themeColor="text1"/>
          <w:highlight w:val="none"/>
          <w14:textFill>
            <w14:solidFill>
              <w14:schemeClr w14:val="tx1"/>
            </w14:solidFill>
          </w14:textFill>
        </w:rPr>
        <w:t>ETP系统</w:t>
      </w:r>
      <w:r>
        <w:rPr>
          <w:rFonts w:hint="eastAsia" w:ascii="宋体" w:hAnsi="宋体" w:eastAsia="宋体" w:cs="宋体"/>
          <w:bCs/>
          <w:color w:val="000000" w:themeColor="text1"/>
          <w:highlight w:val="none"/>
          <w14:textFill>
            <w14:solidFill>
              <w14:schemeClr w14:val="tx1"/>
            </w14:solidFill>
          </w14:textFill>
        </w:rPr>
        <w:t>的资格预审申请文件，按“</w:t>
      </w:r>
      <w:r>
        <w:rPr>
          <w:rFonts w:hint="eastAsia" w:ascii="宋体" w:hAnsi="宋体" w:eastAsia="宋体" w:cs="宋体"/>
          <w:b/>
          <w:bCs w:val="0"/>
          <w:color w:val="000000" w:themeColor="text1"/>
          <w:highlight w:val="none"/>
          <w14:textFill>
            <w14:solidFill>
              <w14:schemeClr w14:val="tx1"/>
            </w14:solidFill>
          </w14:textFill>
        </w:rPr>
        <w:t>分</w:t>
      </w:r>
      <w:r>
        <w:rPr>
          <w:rFonts w:hint="eastAsia" w:ascii="宋体" w:hAnsi="宋体" w:eastAsia="宋体" w:cs="宋体"/>
          <w:b/>
          <w:bCs w:val="0"/>
          <w:color w:val="000000" w:themeColor="text1"/>
          <w:highlight w:val="none"/>
          <w:lang w:val="en-US" w:eastAsia="zh-CN"/>
          <w14:textFill>
            <w14:solidFill>
              <w14:schemeClr w14:val="tx1"/>
            </w14:solidFill>
          </w14:textFill>
        </w:rPr>
        <w:t>标</w:t>
      </w:r>
      <w:r>
        <w:rPr>
          <w:rFonts w:hint="eastAsia" w:ascii="宋体" w:hAnsi="宋体" w:eastAsia="宋体" w:cs="宋体"/>
          <w:bCs/>
          <w:color w:val="000000" w:themeColor="text1"/>
          <w:highlight w:val="none"/>
          <w14:textFill>
            <w14:solidFill>
              <w14:schemeClr w14:val="tx1"/>
            </w14:solidFill>
          </w14:textFill>
        </w:rPr>
        <w:t>”上传，包括以下内容：</w:t>
      </w:r>
    </w:p>
    <w:p>
      <w:pPr>
        <w:pageBreakBefore w:val="0"/>
        <w:topLinePunct w:val="0"/>
        <w:bidi w:val="0"/>
        <w:adjustRightInd w:val="0"/>
        <w:snapToGrid w:val="0"/>
        <w:spacing w:line="360" w:lineRule="exact"/>
        <w:ind w:firstLine="420" w:firstLineChars="200"/>
        <w:rPr>
          <w:rFonts w:hint="eastAsia" w:ascii="宋体" w:hAnsi="宋体" w:eastAsia="宋体" w:cs="宋体"/>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 xml:space="preserve">①资格预审申请函 </w:t>
      </w:r>
    </w:p>
    <w:p>
      <w:pPr>
        <w:pageBreakBefore w:val="0"/>
        <w:topLinePunct w:val="0"/>
        <w:bidi w:val="0"/>
        <w:adjustRightInd w:val="0"/>
        <w:snapToGrid w:val="0"/>
        <w:spacing w:line="360" w:lineRule="exact"/>
        <w:ind w:firstLine="420" w:firstLineChars="200"/>
        <w:rPr>
          <w:rFonts w:hint="eastAsia" w:ascii="宋体" w:hAnsi="宋体" w:eastAsia="宋体" w:cs="宋体"/>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使用离线投标工具（最新版）按标批量在</w:t>
      </w:r>
      <w:r>
        <w:rPr>
          <w:rFonts w:hint="eastAsia" w:ascii="宋体" w:hAnsi="宋体" w:eastAsia="宋体" w:cs="宋体"/>
          <w:b/>
          <w:bCs w:val="0"/>
          <w:color w:val="000000" w:themeColor="text1"/>
          <w:highlight w:val="none"/>
          <w14:textFill>
            <w14:solidFill>
              <w14:schemeClr w14:val="tx1"/>
            </w14:solidFill>
          </w14:textFill>
        </w:rPr>
        <w:t>技术部分</w:t>
      </w:r>
      <w:r>
        <w:rPr>
          <w:rFonts w:hint="eastAsia" w:ascii="宋体" w:hAnsi="宋体" w:eastAsia="宋体" w:cs="宋体"/>
          <w:bCs/>
          <w:color w:val="000000" w:themeColor="text1"/>
          <w:highlight w:val="none"/>
          <w14:textFill>
            <w14:solidFill>
              <w14:schemeClr w14:val="tx1"/>
            </w14:solidFill>
          </w14:textFill>
        </w:rPr>
        <w:t>“投标工具-其他技术应答文件-维护其他技术应答文件-专用技术规范要求的图纸”端口上传。价格、商务文件无需编制、上传。</w:t>
      </w:r>
    </w:p>
    <w:p>
      <w:pPr>
        <w:pageBreakBefore w:val="0"/>
        <w:topLinePunct w:val="0"/>
        <w:bidi w:val="0"/>
        <w:adjustRightInd w:val="0"/>
        <w:snapToGrid w:val="0"/>
        <w:spacing w:line="360" w:lineRule="exact"/>
        <w:ind w:firstLine="420" w:firstLineChars="200"/>
        <w:rPr>
          <w:rFonts w:hint="eastAsia" w:ascii="宋体" w:hAnsi="宋体" w:eastAsia="宋体" w:cs="宋体"/>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lang w:val="en-US" w:eastAsia="zh-CN"/>
          <w14:textFill>
            <w14:solidFill>
              <w14:schemeClr w14:val="tx1"/>
            </w14:solidFill>
          </w14:textFill>
        </w:rPr>
        <w:t>电</w:t>
      </w:r>
      <w:r>
        <w:rPr>
          <w:rFonts w:hint="eastAsia" w:ascii="宋体" w:hAnsi="宋体" w:eastAsia="宋体" w:cs="宋体"/>
          <w:bCs/>
          <w:color w:val="000000" w:themeColor="text1"/>
          <w:highlight w:val="none"/>
          <w14:textFill>
            <w14:solidFill>
              <w14:schemeClr w14:val="tx1"/>
            </w14:solidFill>
          </w14:textFill>
        </w:rPr>
        <w:t>子申请文件（完整文件）：指申请人上传至</w:t>
      </w:r>
      <w:r>
        <w:rPr>
          <w:rFonts w:hint="eastAsia" w:ascii="宋体" w:hAnsi="宋体" w:eastAsia="宋体" w:cs="宋体"/>
          <w:b/>
          <w:bCs w:val="0"/>
          <w:color w:val="000000" w:themeColor="text1"/>
          <w:highlight w:val="none"/>
          <w14:textFill>
            <w14:solidFill>
              <w14:schemeClr w14:val="tx1"/>
            </w14:solidFill>
          </w14:textFill>
        </w:rPr>
        <w:t>渝电数智采购平台</w:t>
      </w:r>
      <w:r>
        <w:rPr>
          <w:rFonts w:hint="eastAsia" w:ascii="宋体" w:hAnsi="宋体" w:eastAsia="宋体" w:cs="宋体"/>
          <w:bCs/>
          <w:color w:val="000000" w:themeColor="text1"/>
          <w:highlight w:val="none"/>
          <w14:textFill>
            <w14:solidFill>
              <w14:schemeClr w14:val="tx1"/>
            </w14:solidFill>
          </w14:textFill>
        </w:rPr>
        <w:t>的完整版资格预审申请文件，按“</w:t>
      </w:r>
      <w:r>
        <w:rPr>
          <w:rFonts w:hint="eastAsia" w:ascii="宋体" w:hAnsi="宋体" w:eastAsia="宋体" w:cs="宋体"/>
          <w:b/>
          <w:bCs w:val="0"/>
          <w:color w:val="000000" w:themeColor="text1"/>
          <w:highlight w:val="none"/>
          <w14:textFill>
            <w14:solidFill>
              <w14:schemeClr w14:val="tx1"/>
            </w14:solidFill>
          </w14:textFill>
        </w:rPr>
        <w:t>分标</w:t>
      </w:r>
      <w:r>
        <w:rPr>
          <w:rFonts w:hint="eastAsia" w:ascii="宋体" w:hAnsi="宋体" w:eastAsia="宋体" w:cs="宋体"/>
          <w:bCs/>
          <w:color w:val="000000" w:themeColor="text1"/>
          <w:highlight w:val="none"/>
          <w14:textFill>
            <w14:solidFill>
              <w14:schemeClr w14:val="tx1"/>
            </w14:solidFill>
          </w14:textFill>
        </w:rPr>
        <w:t>”上传。</w:t>
      </w:r>
    </w:p>
    <w:p>
      <w:pPr>
        <w:pageBreakBefore w:val="0"/>
        <w:topLinePunct w:val="0"/>
        <w:bidi w:val="0"/>
        <w:adjustRightInd w:val="0"/>
        <w:snapToGrid w:val="0"/>
        <w:spacing w:line="360" w:lineRule="exact"/>
        <w:ind w:firstLine="420" w:firstLineChars="200"/>
        <w:rPr>
          <w:rFonts w:hint="eastAsia" w:ascii="宋体" w:hAnsi="宋体" w:eastAsia="宋体" w:cs="宋体"/>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完整版资格预审申请文件按标制作，按标上传至渝电数智采购平台。</w:t>
      </w:r>
    </w:p>
    <w:p>
      <w:pPr>
        <w:pageBreakBefore w:val="0"/>
        <w:topLinePunct w:val="0"/>
        <w:bidi w:val="0"/>
        <w:adjustRightInd w:val="0"/>
        <w:snapToGrid w:val="0"/>
        <w:spacing w:line="360" w:lineRule="exact"/>
        <w:ind w:firstLine="420" w:firstLineChars="200"/>
        <w:rPr>
          <w:rFonts w:hint="eastAsia" w:ascii="宋体" w:hAnsi="宋体" w:eastAsia="宋体" w:cs="宋体"/>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完整版资格预审申请文件</w:t>
      </w:r>
      <w:r>
        <w:rPr>
          <w:rFonts w:hint="eastAsia" w:ascii="宋体" w:hAnsi="宋体" w:eastAsia="宋体" w:cs="宋体"/>
          <w:bCs/>
          <w:color w:val="000000" w:themeColor="text1"/>
          <w:highlight w:val="none"/>
          <w:lang w:eastAsia="zh-CN"/>
          <w14:textFill>
            <w14:solidFill>
              <w14:schemeClr w14:val="tx1"/>
            </w14:solidFill>
          </w14:textFill>
        </w:rPr>
        <w:t>制作：使用</w:t>
      </w:r>
      <w:r>
        <w:rPr>
          <w:rFonts w:hint="eastAsia" w:ascii="宋体" w:hAnsi="宋体" w:eastAsia="宋体" w:cs="宋体"/>
          <w:bCs/>
          <w:color w:val="000000" w:themeColor="text1"/>
          <w:highlight w:val="none"/>
          <w14:textFill>
            <w14:solidFill>
              <w14:schemeClr w14:val="tx1"/>
            </w14:solidFill>
          </w14:textFill>
        </w:rPr>
        <w:t>渝电数智采购平台最新版投标文件生成工具（免费）。</w:t>
      </w:r>
      <w:r>
        <w:rPr>
          <w:rFonts w:hint="eastAsia" w:ascii="宋体" w:hAnsi="宋体" w:eastAsia="宋体" w:cs="宋体"/>
          <w:bCs/>
          <w:color w:val="000000" w:themeColor="text1"/>
          <w:highlight w:val="none"/>
          <w:lang w:val="en-US" w:eastAsia="zh-CN"/>
          <w14:textFill>
            <w14:solidFill>
              <w14:schemeClr w14:val="tx1"/>
            </w14:solidFill>
          </w14:textFill>
        </w:rPr>
        <w:t>投</w:t>
      </w:r>
      <w:r>
        <w:rPr>
          <w:rFonts w:hint="eastAsia" w:ascii="宋体" w:hAnsi="宋体" w:eastAsia="宋体" w:cs="宋体"/>
          <w:bCs/>
          <w:color w:val="000000" w:themeColor="text1"/>
          <w:highlight w:val="none"/>
          <w14:textFill>
            <w14:solidFill>
              <w14:schemeClr w14:val="tx1"/>
            </w14:solidFill>
          </w14:textFill>
        </w:rPr>
        <w:t>标人在使用投标文件生成工具前，请先仔细阅读</w:t>
      </w:r>
      <w:r>
        <w:rPr>
          <w:rFonts w:hint="default" w:ascii="宋体" w:hAnsi="宋体" w:eastAsia="宋体" w:cs="宋体"/>
          <w:bCs/>
          <w:color w:val="000000" w:themeColor="text1"/>
          <w:highlight w:val="none"/>
          <w:lang w:val="en-US" w:eastAsia="zh-CN"/>
          <w14:textFill>
            <w14:solidFill>
              <w14:schemeClr w14:val="tx1"/>
            </w14:solidFill>
          </w14:textFill>
        </w:rPr>
        <w:t>附件《渝电数智采购平台供应商操作手册》</w:t>
      </w:r>
      <w:r>
        <w:rPr>
          <w:rFonts w:hint="eastAsia" w:ascii="宋体" w:hAnsi="宋体" w:eastAsia="宋体" w:cs="宋体"/>
          <w:bCs/>
          <w:color w:val="000000" w:themeColor="text1"/>
          <w:highlight w:val="none"/>
          <w14:textFill>
            <w14:solidFill>
              <w14:schemeClr w14:val="tx1"/>
            </w14:solidFill>
          </w14:textFill>
        </w:rPr>
        <w:t>，如有仍有疑问，请致电咨询：</w:t>
      </w:r>
      <w:r>
        <w:rPr>
          <w:rFonts w:hint="eastAsia" w:ascii="宋体" w:hAnsi="宋体" w:eastAsia="宋体" w:cs="宋体"/>
          <w:color w:val="auto"/>
          <w:sz w:val="21"/>
          <w:szCs w:val="21"/>
          <w:highlight w:val="none"/>
          <w:lang w:val="en-US" w:eastAsia="zh-CN"/>
        </w:rPr>
        <w:t>023-63686468</w:t>
      </w:r>
      <w:r>
        <w:rPr>
          <w:rFonts w:hint="eastAsia" w:ascii="宋体" w:hAnsi="宋体" w:eastAsia="宋体" w:cs="宋体"/>
          <w:bCs/>
          <w:color w:val="000000" w:themeColor="text1"/>
          <w:highlight w:val="none"/>
          <w14:textFill>
            <w14:solidFill>
              <w14:schemeClr w14:val="tx1"/>
            </w14:solidFill>
          </w14:textFill>
        </w:rPr>
        <w:t>。</w:t>
      </w:r>
    </w:p>
    <w:p>
      <w:pPr>
        <w:pageBreakBefore w:val="0"/>
        <w:topLinePunct w:val="0"/>
        <w:bidi w:val="0"/>
        <w:adjustRightInd w:val="0"/>
        <w:snapToGrid w:val="0"/>
        <w:spacing w:line="360" w:lineRule="exact"/>
        <w:ind w:firstLine="420" w:firstLineChars="200"/>
        <w:rPr>
          <w:rFonts w:ascii="宋体" w:hAnsi="宋体" w:eastAsia="宋体" w:cs="宋体"/>
          <w:bCs/>
          <w:color w:val="000000" w:themeColor="text1"/>
          <w:highlight w:val="none"/>
          <w14:textFill>
            <w14:solidFill>
              <w14:schemeClr w14:val="tx1"/>
            </w14:solidFill>
          </w14:textFill>
        </w:rPr>
      </w:pPr>
      <w:r>
        <w:rPr>
          <w:rFonts w:hint="eastAsia" w:eastAsia="宋体"/>
          <w:bCs/>
          <w:szCs w:val="21"/>
          <w:highlight w:val="none"/>
        </w:rPr>
        <w:t>（4）</w:t>
      </w:r>
      <w:r>
        <w:rPr>
          <w:rFonts w:hint="eastAsia" w:ascii="宋体" w:hAnsi="宋体" w:eastAsia="宋体" w:cs="宋体"/>
          <w:bCs/>
          <w:color w:val="000000" w:themeColor="text1"/>
          <w:highlight w:val="none"/>
          <w14:textFill>
            <w14:solidFill>
              <w14:schemeClr w14:val="tx1"/>
            </w14:solidFill>
          </w14:textFill>
        </w:rPr>
        <w:t>电子申请文件具体递交方式详见第四章资格预审申请文件格式。</w:t>
      </w:r>
    </w:p>
    <w:p>
      <w:pPr>
        <w:pageBreakBefore w:val="0"/>
        <w:topLinePunct w:val="0"/>
        <w:bidi w:val="0"/>
        <w:spacing w:line="360" w:lineRule="exact"/>
        <w:ind w:firstLine="420" w:firstLineChars="200"/>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7.2 逾期送达的申请文件，</w:t>
      </w:r>
      <w:r>
        <w:rPr>
          <w:rFonts w:hint="eastAsia" w:ascii="宋体" w:hAnsi="宋体" w:eastAsia="宋体" w:cs="宋体"/>
          <w:color w:val="000000" w:themeColor="text1"/>
          <w:kern w:val="0"/>
          <w:szCs w:val="21"/>
          <w:highlight w:val="none"/>
          <w14:textFill>
            <w14:solidFill>
              <w14:schemeClr w14:val="tx1"/>
            </w14:solidFill>
          </w14:textFill>
        </w:rPr>
        <w:t>招投标交易平台信息系统（</w:t>
      </w:r>
      <w:r>
        <w:rPr>
          <w:rFonts w:hint="eastAsia"/>
          <w:szCs w:val="21"/>
          <w:highlight w:val="none"/>
        </w:rPr>
        <w:t>ETP系统和渝电数智采购平台）</w:t>
      </w:r>
      <w:r>
        <w:rPr>
          <w:rFonts w:hint="eastAsia" w:ascii="宋体" w:hAnsi="宋体" w:eastAsia="宋体" w:cs="宋体"/>
          <w:color w:val="000000" w:themeColor="text1"/>
          <w:highlight w:val="none"/>
          <w14:textFill>
            <w14:solidFill>
              <w14:schemeClr w14:val="tx1"/>
            </w14:solidFill>
          </w14:textFill>
        </w:rPr>
        <w:t>将予以拒收。</w:t>
      </w:r>
      <w:r>
        <w:rPr>
          <w:rFonts w:hint="eastAsia" w:ascii="宋体" w:hAnsi="宋体" w:eastAsia="宋体" w:cs="宋体"/>
          <w:color w:val="000000" w:themeColor="text1"/>
          <w:kern w:val="0"/>
          <w:szCs w:val="21"/>
          <w:highlight w:val="none"/>
          <w14:textFill>
            <w14:solidFill>
              <w14:schemeClr w14:val="tx1"/>
            </w14:solidFill>
          </w14:textFill>
        </w:rPr>
        <w:t>不接受邮寄、现场提交等电子提交方式以外的其他方式提交资格申请文件及资格申请文件的修改文件；</w:t>
      </w:r>
      <w:r>
        <w:rPr>
          <w:rFonts w:hint="eastAsia" w:ascii="宋体" w:hAnsi="宋体" w:eastAsia="宋体" w:cs="宋体"/>
          <w:color w:val="000000" w:themeColor="text1"/>
          <w:szCs w:val="21"/>
          <w:highlight w:val="none"/>
          <w14:textFill>
            <w14:solidFill>
              <w14:schemeClr w14:val="tx1"/>
            </w14:solidFill>
          </w14:textFill>
        </w:rPr>
        <w:t>不接受未按规定加密的申请文件及申请文件的修改文件。</w:t>
      </w:r>
    </w:p>
    <w:p>
      <w:pPr>
        <w:pageBreakBefore w:val="0"/>
        <w:topLinePunct w:val="0"/>
        <w:bidi w:val="0"/>
        <w:adjustRightInd w:val="0"/>
        <w:snapToGrid w:val="0"/>
        <w:spacing w:line="360" w:lineRule="exact"/>
        <w:ind w:firstLine="437"/>
        <w:rPr>
          <w:szCs w:val="21"/>
          <w:highlight w:val="none"/>
        </w:rPr>
      </w:pPr>
      <w:r>
        <w:rPr>
          <w:rFonts w:hint="eastAsia" w:ascii="宋体" w:hAnsi="宋体" w:eastAsia="宋体" w:cs="宋体"/>
          <w:color w:val="000000" w:themeColor="text1"/>
          <w:highlight w:val="none"/>
          <w14:textFill>
            <w14:solidFill>
              <w14:schemeClr w14:val="tx1"/>
            </w14:solidFill>
          </w14:textFill>
        </w:rPr>
        <w:t>7.3请各申请人在申请文件递交后，在评审期间保持电话畅通，以便及时澄清相关问题。</w:t>
      </w:r>
    </w:p>
    <w:p>
      <w:pPr>
        <w:pStyle w:val="4"/>
        <w:pageBreakBefore w:val="0"/>
        <w:topLinePunct w:val="0"/>
        <w:bidi w:val="0"/>
        <w:spacing w:line="360" w:lineRule="exact"/>
        <w:ind w:firstLine="422"/>
        <w:rPr>
          <w:rFonts w:hint="eastAsia" w:ascii="宋体" w:hAnsi="宋体" w:eastAsia="宋体" w:cs="Times New Roman"/>
          <w:b/>
          <w:iCs/>
          <w:szCs w:val="21"/>
          <w:highlight w:val="none"/>
        </w:rPr>
      </w:pPr>
      <w:r>
        <w:rPr>
          <w:rFonts w:hint="eastAsia" w:ascii="宋体" w:hAnsi="宋体" w:eastAsia="宋体" w:cs="Times New Roman"/>
          <w:b/>
          <w:iCs/>
          <w:szCs w:val="21"/>
          <w:highlight w:val="none"/>
        </w:rPr>
        <w:t>8．发布公告的媒介</w:t>
      </w:r>
      <w:bookmarkEnd w:id="42"/>
      <w:bookmarkEnd w:id="43"/>
      <w:bookmarkEnd w:id="44"/>
      <w:bookmarkEnd w:id="45"/>
    </w:p>
    <w:p>
      <w:pPr>
        <w:keepNext w:val="0"/>
        <w:keepLines w:val="0"/>
        <w:pageBreakBefore w:val="0"/>
        <w:widowControl w:val="0"/>
        <w:kinsoku/>
        <w:wordWrap w:val="0"/>
        <w:overflowPunct/>
        <w:topLinePunct w:val="0"/>
        <w:autoSpaceDE/>
        <w:autoSpaceDN/>
        <w:bidi w:val="0"/>
        <w:adjustRightInd w:val="0"/>
        <w:snapToGrid w:val="0"/>
        <w:spacing w:line="360" w:lineRule="exact"/>
        <w:ind w:firstLine="437"/>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本次资格预审公告同时在国家电网新一代电子商务平台-电工交易专区（</w:t>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HYPERLINK "https://etp.sgcc.com.cn/portal/" \l "/"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https://sgcc</w:t>
      </w:r>
      <w:r>
        <w:rPr>
          <w:rFonts w:hint="eastAsia" w:ascii="宋体" w:hAnsi="宋体" w:eastAsia="宋体" w:cs="宋体"/>
          <w:color w:val="000000" w:themeColor="text1"/>
          <w:highlight w:val="none"/>
          <w:lang w:val="en-US" w:eastAsia="zh-CN"/>
          <w14:textFill>
            <w14:solidFill>
              <w14:schemeClr w14:val="tx1"/>
            </w14:solidFill>
          </w14:textFill>
        </w:rPr>
        <w:t>etp</w:t>
      </w:r>
      <w:r>
        <w:rPr>
          <w:rFonts w:hint="eastAsia" w:ascii="宋体" w:hAnsi="宋体" w:eastAsia="宋体" w:cs="宋体"/>
          <w:color w:val="000000" w:themeColor="text1"/>
          <w:highlight w:val="none"/>
          <w14:textFill>
            <w14:solidFill>
              <w14:schemeClr w14:val="tx1"/>
            </w14:solidFill>
          </w14:textFill>
        </w:rPr>
        <w:t>.com.cn/portal/#/</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highlight w:val="none"/>
          <w14:textFill>
            <w14:solidFill>
              <w14:schemeClr w14:val="tx1"/>
            </w14:solidFill>
          </w14:textFill>
        </w:rPr>
        <w:t>）上和中国招标投标公共服务平台（http://www.cebpubservice.com）上发布。</w:t>
      </w:r>
    </w:p>
    <w:p>
      <w:pPr>
        <w:pStyle w:val="4"/>
        <w:pageBreakBefore w:val="0"/>
        <w:topLinePunct w:val="0"/>
        <w:bidi w:val="0"/>
        <w:spacing w:line="360" w:lineRule="exact"/>
        <w:ind w:firstLine="422"/>
        <w:rPr>
          <w:rFonts w:hint="eastAsia" w:ascii="宋体" w:hAnsi="宋体" w:eastAsia="宋体" w:cs="Times New Roman"/>
          <w:b/>
          <w:iCs/>
          <w:szCs w:val="21"/>
          <w:highlight w:val="none"/>
        </w:rPr>
      </w:pPr>
      <w:bookmarkStart w:id="48" w:name="_Toc146123645"/>
      <w:bookmarkStart w:id="49" w:name="_Toc408358708"/>
      <w:bookmarkStart w:id="50" w:name="_Toc48841739"/>
      <w:bookmarkStart w:id="51" w:name="_Toc26238"/>
      <w:r>
        <w:rPr>
          <w:rFonts w:hint="eastAsia" w:ascii="宋体" w:hAnsi="宋体" w:eastAsia="宋体" w:cs="Times New Roman"/>
          <w:b/>
          <w:iCs/>
          <w:szCs w:val="21"/>
          <w:highlight w:val="none"/>
        </w:rPr>
        <w:t>9．联系方式</w:t>
      </w:r>
      <w:bookmarkEnd w:id="46"/>
      <w:bookmarkEnd w:id="47"/>
      <w:bookmarkEnd w:id="48"/>
      <w:bookmarkEnd w:id="49"/>
      <w:bookmarkEnd w:id="50"/>
      <w:bookmarkEnd w:id="51"/>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bookmarkStart w:id="52" w:name="_Toc146123646"/>
      <w:bookmarkStart w:id="53" w:name="_Toc12992"/>
      <w:bookmarkStart w:id="54" w:name="_Toc48841740"/>
      <w:bookmarkStart w:id="55" w:name="_Toc408358709"/>
      <w:r>
        <w:rPr>
          <w:rFonts w:hint="eastAsia" w:ascii="宋体" w:hAnsi="宋体" w:eastAsia="宋体" w:cs="宋体"/>
          <w:color w:val="auto"/>
          <w:sz w:val="21"/>
          <w:szCs w:val="21"/>
          <w:highlight w:val="none"/>
          <w:lang w:eastAsia="zh-CN"/>
        </w:rPr>
        <w:t>采购人:国网重庆市电力公司</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地址:重庆市渝中区中山三路21号</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邮编：400015</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采购代理机构：重庆展帆电力工程勘察设计咨询有限公司嘉智达分公司</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地址：重庆市渝北区青枫北路20号凤凰座</w:t>
      </w:r>
      <w:r>
        <w:rPr>
          <w:rFonts w:hint="eastAsia" w:ascii="宋体" w:hAnsi="宋体" w:eastAsia="宋体" w:cs="宋体"/>
          <w:color w:val="auto"/>
          <w:sz w:val="21"/>
          <w:szCs w:val="21"/>
          <w:highlight w:val="none"/>
          <w:lang w:val="en-US" w:eastAsia="zh-CN"/>
        </w:rPr>
        <w:t>D九</w:t>
      </w:r>
      <w:r>
        <w:rPr>
          <w:rFonts w:hint="eastAsia" w:ascii="宋体" w:hAnsi="宋体" w:eastAsia="宋体" w:cs="宋体"/>
          <w:color w:val="auto"/>
          <w:sz w:val="21"/>
          <w:szCs w:val="21"/>
          <w:highlight w:val="none"/>
          <w:lang w:eastAsia="zh-CN"/>
        </w:rPr>
        <w:t>楼</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邮编：401121</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联系人：代先生</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联系人电话：4001047177；</w:t>
      </w:r>
      <w:r>
        <w:rPr>
          <w:rFonts w:hint="eastAsia" w:ascii="宋体" w:hAnsi="宋体" w:eastAsia="宋体" w:cs="宋体"/>
          <w:color w:val="auto"/>
          <w:sz w:val="21"/>
          <w:szCs w:val="21"/>
          <w:highlight w:val="none"/>
          <w:lang w:val="en-US" w:eastAsia="zh-CN"/>
        </w:rPr>
        <w:t>ETP</w:t>
      </w:r>
      <w:r>
        <w:rPr>
          <w:rFonts w:hint="eastAsia" w:ascii="宋体" w:hAnsi="宋体" w:eastAsia="宋体" w:cs="宋体"/>
          <w:color w:val="auto"/>
          <w:sz w:val="21"/>
          <w:szCs w:val="21"/>
          <w:highlight w:val="none"/>
          <w:lang w:eastAsia="zh-CN"/>
        </w:rPr>
        <w:t>技术运维咨询：023-88121005；渝电数智采购平台技术支持人员：</w:t>
      </w:r>
      <w:r>
        <w:rPr>
          <w:rFonts w:hint="eastAsia" w:ascii="宋体" w:hAnsi="宋体" w:eastAsia="宋体" w:cs="宋体"/>
          <w:color w:val="auto"/>
          <w:sz w:val="21"/>
          <w:szCs w:val="21"/>
          <w:highlight w:val="none"/>
          <w:lang w:val="en-US" w:eastAsia="zh-CN"/>
        </w:rPr>
        <w:t>023-63686468</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成交服务费咨询（发票信息）：023-88120377</w:t>
      </w:r>
      <w:r>
        <w:rPr>
          <w:rFonts w:hint="eastAsia" w:ascii="宋体" w:hAnsi="宋体" w:eastAsia="宋体" w:cs="宋体"/>
          <w:color w:val="auto"/>
          <w:sz w:val="21"/>
          <w:szCs w:val="21"/>
          <w:highlight w:val="none"/>
          <w:lang w:eastAsia="zh-CN"/>
        </w:rPr>
        <w:t>。</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国网重庆市电力公司纪委举报电话：023-63682450</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国网重庆市电力公司物资分公司纪委举报电话：023-88120041</w:t>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eastAsia="zh-CN"/>
        </w:rPr>
        <w:t>电子邮件：</w:t>
      </w:r>
      <w:r>
        <w:rPr>
          <w:rFonts w:hint="eastAsia" w:ascii="宋体" w:hAnsi="宋体" w:eastAsia="宋体" w:cs="宋体"/>
          <w:color w:val="auto"/>
          <w:sz w:val="21"/>
          <w:szCs w:val="21"/>
          <w:highlight w:val="none"/>
          <w:lang w:val="zh-CN" w:eastAsia="zh-CN"/>
        </w:rPr>
        <w:fldChar w:fldCharType="begin"/>
      </w:r>
      <w:r>
        <w:rPr>
          <w:rFonts w:hint="eastAsia" w:ascii="宋体" w:hAnsi="宋体" w:eastAsia="宋体" w:cs="宋体"/>
          <w:color w:val="auto"/>
          <w:sz w:val="21"/>
          <w:szCs w:val="21"/>
          <w:highlight w:val="none"/>
          <w:lang w:val="zh-CN" w:eastAsia="zh-CN"/>
        </w:rPr>
        <w:instrText xml:space="preserve"> HYPERLINK "mailto:JZD_WZ@163.com" </w:instrText>
      </w:r>
      <w:r>
        <w:rPr>
          <w:rFonts w:hint="eastAsia" w:ascii="宋体" w:hAnsi="宋体" w:eastAsia="宋体" w:cs="宋体"/>
          <w:color w:val="auto"/>
          <w:sz w:val="21"/>
          <w:szCs w:val="21"/>
          <w:highlight w:val="none"/>
          <w:lang w:val="zh-CN" w:eastAsia="zh-CN"/>
        </w:rPr>
        <w:fldChar w:fldCharType="separate"/>
      </w:r>
      <w:r>
        <w:rPr>
          <w:rFonts w:hint="eastAsia" w:ascii="宋体" w:hAnsi="宋体" w:eastAsia="宋体" w:cs="宋体"/>
          <w:color w:val="auto"/>
          <w:sz w:val="21"/>
          <w:szCs w:val="21"/>
          <w:highlight w:val="none"/>
          <w:lang w:val="zh-CN" w:eastAsia="zh-CN"/>
        </w:rPr>
        <w:t>JZD_WZ@163.com</w:t>
      </w:r>
      <w:r>
        <w:rPr>
          <w:rFonts w:hint="eastAsia" w:ascii="宋体" w:hAnsi="宋体" w:eastAsia="宋体" w:cs="宋体"/>
          <w:color w:val="auto"/>
          <w:sz w:val="21"/>
          <w:szCs w:val="21"/>
          <w:highlight w:val="none"/>
          <w:lang w:val="zh-CN" w:eastAsia="zh-CN"/>
        </w:rPr>
        <w:fldChar w:fldCharType="end"/>
      </w:r>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保险相关事宜咨询：张经理，023-67396768</w:t>
      </w:r>
    </w:p>
    <w:p>
      <w:pPr>
        <w:keepNext w:val="0"/>
        <w:keepLines w:val="0"/>
        <w:pageBreakBefore w:val="0"/>
        <w:widowControl w:val="0"/>
        <w:tabs>
          <w:tab w:val="left" w:pos="1135"/>
        </w:tabs>
        <w:kinsoku/>
        <w:wordWrap w:val="0"/>
        <w:overflowPunct/>
        <w:topLinePunct w:val="0"/>
        <w:autoSpaceDE/>
        <w:autoSpaceDN/>
        <w:bidi w:val="0"/>
        <w:adjustRightInd w:val="0"/>
        <w:snapToGrid w:val="0"/>
        <w:spacing w:line="400" w:lineRule="exact"/>
        <w:ind w:firstLine="422" w:firstLineChars="200"/>
        <w:textAlignment w:val="auto"/>
        <w:rPr>
          <w:rFonts w:hint="default" w:eastAsia="宋体"/>
          <w:color w:val="auto"/>
          <w:highlight w:val="none"/>
          <w:lang w:val="en-US" w:eastAsia="zh-CN"/>
        </w:rPr>
      </w:pPr>
      <w:r>
        <w:rPr>
          <w:rFonts w:hint="eastAsia" w:ascii="宋体" w:hAnsi="宋体" w:eastAsia="宋体" w:cs="宋体"/>
          <w:b/>
          <w:color w:val="auto"/>
          <w:szCs w:val="21"/>
          <w:highlight w:val="none"/>
          <w:lang w:bidi="ar"/>
        </w:rPr>
        <w:t>国家电网公司新一代电子商务平台电工交易专区：https://sgccetp.com.cn/portal/#/（建议谷歌浏览器）</w:t>
      </w:r>
      <w:r>
        <w:rPr>
          <w:rFonts w:hint="eastAsia" w:ascii="宋体" w:hAnsi="宋体" w:eastAsia="宋体" w:cs="宋体"/>
          <w:b/>
          <w:color w:val="auto"/>
          <w:szCs w:val="21"/>
          <w:highlight w:val="none"/>
          <w:lang w:eastAsia="zh-CN" w:bidi="ar"/>
        </w:rPr>
        <w:t>、渝电数智采购平台</w:t>
      </w:r>
      <w:r>
        <w:rPr>
          <w:rFonts w:hint="eastAsia" w:ascii="宋体" w:hAnsi="宋体" w:eastAsia="宋体" w:cs="宋体"/>
          <w:b/>
          <w:color w:val="auto"/>
          <w:szCs w:val="21"/>
          <w:highlight w:val="none"/>
          <w:lang w:val="en-US" w:eastAsia="zh-CN" w:bidi="ar"/>
        </w:rPr>
        <w:t>网址https://ydzb.cq.sgcc.com.cn:10443/ydzb/login（建议谷歌浏览器）。</w:t>
      </w:r>
    </w:p>
    <w:p>
      <w:pPr>
        <w:pStyle w:val="4"/>
        <w:pageBreakBefore w:val="0"/>
        <w:topLinePunct w:val="0"/>
        <w:bidi w:val="0"/>
        <w:spacing w:line="360" w:lineRule="exact"/>
        <w:ind w:firstLine="422"/>
        <w:rPr>
          <w:rFonts w:hint="eastAsia" w:ascii="宋体" w:hAnsi="宋体" w:eastAsia="宋体" w:cs="Times New Roman"/>
          <w:b/>
          <w:iCs/>
          <w:szCs w:val="21"/>
          <w:highlight w:val="none"/>
        </w:rPr>
      </w:pPr>
      <w:r>
        <w:rPr>
          <w:rFonts w:hint="eastAsia" w:ascii="宋体" w:hAnsi="宋体" w:eastAsia="宋体" w:cs="Times New Roman"/>
          <w:b/>
          <w:iCs/>
          <w:szCs w:val="21"/>
          <w:highlight w:val="none"/>
        </w:rPr>
        <w:t>10．合规声明</w:t>
      </w:r>
      <w:bookmarkEnd w:id="52"/>
      <w:bookmarkEnd w:id="53"/>
      <w:bookmarkEnd w:id="54"/>
      <w:bookmarkStart w:id="56" w:name="_Toc146120992"/>
      <w:bookmarkStart w:id="57" w:name="_Toc48841741"/>
      <w:bookmarkStart w:id="58" w:name="_Toc6588"/>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本资格预审文件符合国家相关法律法规规定，若国家颁布新的法律法规或对原有法律法规进行修订，本资格预审文件将按照新颁布或修订的法律法规执行。</w:t>
      </w:r>
      <w:bookmarkEnd w:id="56"/>
    </w:p>
    <w:p>
      <w:pPr>
        <w:pStyle w:val="4"/>
        <w:pageBreakBefore w:val="0"/>
        <w:topLinePunct w:val="0"/>
        <w:bidi w:val="0"/>
        <w:spacing w:line="360" w:lineRule="exact"/>
        <w:ind w:firstLine="422"/>
        <w:rPr>
          <w:rFonts w:hint="eastAsia" w:ascii="宋体" w:hAnsi="宋体" w:eastAsia="宋体" w:cs="Times New Roman"/>
          <w:b/>
          <w:iCs/>
          <w:szCs w:val="21"/>
          <w:highlight w:val="none"/>
        </w:rPr>
      </w:pPr>
      <w:bookmarkStart w:id="59" w:name="_Toc146123647"/>
      <w:r>
        <w:rPr>
          <w:rFonts w:hint="eastAsia" w:ascii="宋体" w:hAnsi="宋体" w:eastAsia="宋体" w:cs="Times New Roman"/>
          <w:b/>
          <w:iCs/>
          <w:szCs w:val="21"/>
          <w:highlight w:val="none"/>
        </w:rPr>
        <w:t>11．其他事项</w:t>
      </w:r>
      <w:bookmarkEnd w:id="55"/>
      <w:bookmarkEnd w:id="57"/>
      <w:bookmarkEnd w:id="58"/>
      <w:bookmarkEnd w:id="59"/>
    </w:p>
    <w:p>
      <w:pPr>
        <w:keepNext w:val="0"/>
        <w:keepLines w:val="0"/>
        <w:pageBreakBefore w:val="0"/>
        <w:widowControl/>
        <w:tabs>
          <w:tab w:val="left" w:pos="1135"/>
        </w:tabs>
        <w:kinsoku/>
        <w:wordWrap w:val="0"/>
        <w:overflowPunct/>
        <w:topLinePunct w:val="0"/>
        <w:autoSpaceDE/>
        <w:autoSpaceDN/>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2023年8月工业和信息化部、国家发展改革委、国务院国资委印发的《关于支持首台（套）重大技术装备平等参与企业招标投标活动的指导意见》，现明确首台（套）重大技术装备参与招标投标活动，仅需提交首台（套）相关证明材料，即视同满足市场占有率、应用业绩等要求。</w:t>
      </w:r>
    </w:p>
    <w:p>
      <w:pPr>
        <w:keepNext w:val="0"/>
        <w:keepLines w:val="0"/>
        <w:pageBreakBefore w:val="0"/>
        <w:widowControl w:val="0"/>
        <w:numPr>
          <w:ilvl w:val="0"/>
          <w:numId w:val="0"/>
        </w:numPr>
        <w:tabs>
          <w:tab w:val="left" w:pos="620"/>
        </w:tabs>
        <w:kinsoku/>
        <w:wordWrap/>
        <w:overflowPunct/>
        <w:topLinePunct w:val="0"/>
        <w:autoSpaceDE/>
        <w:autoSpaceDN/>
        <w:bidi w:val="0"/>
        <w:adjustRightInd/>
        <w:snapToGrid/>
        <w:spacing w:line="360" w:lineRule="exact"/>
        <w:ind w:leftChars="0" w:firstLine="420" w:firstLineChars="200"/>
        <w:textAlignment w:val="auto"/>
        <w:rPr>
          <w:b/>
          <w:color w:val="0000FF"/>
          <w:sz w:val="21"/>
          <w:szCs w:val="21"/>
          <w:highlight w:val="none"/>
        </w:rPr>
      </w:pPr>
      <w:r>
        <w:rPr>
          <w:rFonts w:hint="eastAsia"/>
          <w:b w:val="0"/>
          <w:bCs/>
          <w:color w:val="auto"/>
          <w:sz w:val="21"/>
          <w:szCs w:val="21"/>
          <w:highlight w:val="none"/>
          <w:lang w:val="en-US" w:eastAsia="zh-CN"/>
        </w:rPr>
        <w:t>11.1</w:t>
      </w:r>
      <w:r>
        <w:rPr>
          <w:rFonts w:hint="eastAsia"/>
          <w:b w:val="0"/>
          <w:bCs/>
          <w:color w:val="auto"/>
          <w:sz w:val="21"/>
          <w:szCs w:val="21"/>
          <w:highlight w:val="none"/>
        </w:rPr>
        <w:t>本次</w:t>
      </w:r>
      <w:r>
        <w:rPr>
          <w:rFonts w:hint="eastAsia"/>
          <w:b w:val="0"/>
          <w:bCs/>
          <w:color w:val="auto"/>
          <w:sz w:val="21"/>
          <w:szCs w:val="21"/>
          <w:highlight w:val="none"/>
          <w:lang w:val="en-US" w:eastAsia="zh-CN"/>
        </w:rPr>
        <w:t>采购</w:t>
      </w:r>
      <w:r>
        <w:rPr>
          <w:rFonts w:hint="eastAsia"/>
          <w:b w:val="0"/>
          <w:bCs/>
          <w:color w:val="auto"/>
          <w:sz w:val="21"/>
          <w:szCs w:val="21"/>
          <w:highlight w:val="none"/>
        </w:rPr>
        <w:t>项目</w:t>
      </w:r>
      <w:r>
        <w:rPr>
          <w:rFonts w:hint="eastAsia"/>
          <w:b w:val="0"/>
          <w:bCs/>
          <w:color w:val="auto"/>
          <w:sz w:val="21"/>
          <w:szCs w:val="21"/>
          <w:highlight w:val="none"/>
          <w:lang w:val="en-US" w:eastAsia="zh-CN"/>
        </w:rPr>
        <w:t>所有分标</w:t>
      </w:r>
      <w:r>
        <w:rPr>
          <w:rFonts w:hint="eastAsia"/>
          <w:color w:val="auto"/>
          <w:sz w:val="21"/>
          <w:szCs w:val="21"/>
          <w:highlight w:val="none"/>
          <w:lang w:val="en-US" w:eastAsia="zh-CN"/>
        </w:rPr>
        <w:t>均</w:t>
      </w:r>
      <w:r>
        <w:rPr>
          <w:rFonts w:hint="eastAsia"/>
          <w:b/>
          <w:color w:val="auto"/>
          <w:sz w:val="21"/>
          <w:szCs w:val="21"/>
          <w:highlight w:val="none"/>
        </w:rPr>
        <w:t>纳入</w:t>
      </w:r>
      <w:r>
        <w:rPr>
          <w:rFonts w:hint="eastAsia"/>
          <w:b/>
          <w:color w:val="auto"/>
          <w:sz w:val="21"/>
          <w:szCs w:val="21"/>
          <w:highlight w:val="none"/>
          <w:lang w:eastAsia="zh-CN"/>
        </w:rPr>
        <w:t>国家电网有限公司电子商务平台国网商城产业专区</w:t>
      </w:r>
      <w:r>
        <w:rPr>
          <w:rFonts w:hint="eastAsia"/>
          <w:b/>
          <w:color w:val="auto"/>
          <w:sz w:val="21"/>
          <w:szCs w:val="21"/>
          <w:highlight w:val="none"/>
          <w:lang w:val="en-US" w:eastAsia="zh-CN"/>
        </w:rPr>
        <w:t>履约，采取竞价采购的方式在</w:t>
      </w:r>
      <w:r>
        <w:rPr>
          <w:rFonts w:hint="eastAsia" w:ascii="Times New Roman" w:hAnsi="Times New Roman" w:eastAsia="宋体" w:cs="Times New Roman"/>
          <w:b/>
          <w:color w:val="auto"/>
          <w:sz w:val="21"/>
          <w:szCs w:val="21"/>
          <w:highlight w:val="none"/>
          <w:lang w:val="en-US" w:eastAsia="zh-CN"/>
        </w:rPr>
        <w:t>合格</w:t>
      </w:r>
      <w:r>
        <w:rPr>
          <w:rFonts w:hint="eastAsia"/>
          <w:b/>
          <w:color w:val="auto"/>
          <w:sz w:val="21"/>
          <w:szCs w:val="21"/>
          <w:highlight w:val="none"/>
          <w:lang w:val="en-US" w:eastAsia="zh-CN"/>
        </w:rPr>
        <w:t>供应商中确定供货单位。</w:t>
      </w:r>
    </w:p>
    <w:p>
      <w:pPr>
        <w:pageBreakBefore w:val="0"/>
        <w:topLinePunct w:val="0"/>
        <w:bidi w:val="0"/>
        <w:spacing w:line="360" w:lineRule="exact"/>
        <w:ind w:firstLine="420" w:firstLineChars="200"/>
        <w:jc w:val="left"/>
        <w:rPr>
          <w:bCs/>
          <w:color w:val="auto"/>
          <w:sz w:val="21"/>
          <w:szCs w:val="21"/>
          <w:highlight w:val="none"/>
        </w:rPr>
      </w:pPr>
      <w:r>
        <w:rPr>
          <w:rFonts w:hint="eastAsia"/>
          <w:bCs/>
          <w:color w:val="auto"/>
          <w:sz w:val="21"/>
          <w:szCs w:val="21"/>
          <w:highlight w:val="none"/>
          <w:lang w:val="en-US" w:eastAsia="zh-CN"/>
        </w:rPr>
        <w:t>11.1.1</w:t>
      </w:r>
      <w:r>
        <w:rPr>
          <w:rFonts w:hint="eastAsia"/>
          <w:bCs/>
          <w:color w:val="auto"/>
          <w:sz w:val="21"/>
          <w:szCs w:val="21"/>
          <w:highlight w:val="none"/>
        </w:rPr>
        <w:t>本次采购确定</w:t>
      </w:r>
      <w:r>
        <w:rPr>
          <w:rFonts w:hint="eastAsia"/>
          <w:bCs/>
          <w:color w:val="auto"/>
          <w:sz w:val="21"/>
          <w:szCs w:val="21"/>
          <w:highlight w:val="none"/>
          <w:lang w:val="en-US" w:eastAsia="zh-CN"/>
        </w:rPr>
        <w:t>合格</w:t>
      </w:r>
      <w:r>
        <w:rPr>
          <w:rFonts w:hint="eastAsia"/>
          <w:bCs/>
          <w:color w:val="auto"/>
          <w:sz w:val="21"/>
          <w:szCs w:val="21"/>
          <w:highlight w:val="none"/>
        </w:rPr>
        <w:t>供应商后，由</w:t>
      </w:r>
      <w:r>
        <w:rPr>
          <w:rFonts w:hint="eastAsia"/>
          <w:bCs/>
          <w:color w:val="auto"/>
          <w:sz w:val="21"/>
          <w:szCs w:val="21"/>
          <w:highlight w:val="none"/>
          <w:lang w:val="en-US" w:eastAsia="zh-CN"/>
        </w:rPr>
        <w:t>采购</w:t>
      </w:r>
      <w:r>
        <w:rPr>
          <w:rFonts w:hint="eastAsia"/>
          <w:bCs/>
          <w:color w:val="auto"/>
          <w:sz w:val="21"/>
          <w:szCs w:val="21"/>
          <w:highlight w:val="none"/>
        </w:rPr>
        <w:t>人委托</w:t>
      </w:r>
      <w:r>
        <w:rPr>
          <w:rFonts w:hint="eastAsia"/>
          <w:bCs/>
          <w:color w:val="auto"/>
          <w:sz w:val="21"/>
          <w:szCs w:val="21"/>
          <w:highlight w:val="none"/>
          <w:lang w:val="en-US" w:eastAsia="zh-CN"/>
        </w:rPr>
        <w:t>国网重庆市电力公司物资分公司</w:t>
      </w:r>
      <w:r>
        <w:rPr>
          <w:rFonts w:hint="eastAsia"/>
          <w:bCs/>
          <w:color w:val="auto"/>
          <w:sz w:val="21"/>
          <w:szCs w:val="21"/>
          <w:highlight w:val="none"/>
        </w:rPr>
        <w:t>与</w:t>
      </w:r>
      <w:r>
        <w:rPr>
          <w:rFonts w:hint="eastAsia"/>
          <w:bCs/>
          <w:color w:val="auto"/>
          <w:sz w:val="21"/>
          <w:szCs w:val="21"/>
          <w:highlight w:val="none"/>
          <w:lang w:val="en-US" w:eastAsia="zh-CN"/>
        </w:rPr>
        <w:t>合格</w:t>
      </w:r>
      <w:r>
        <w:rPr>
          <w:rFonts w:hint="eastAsia"/>
          <w:bCs/>
          <w:color w:val="auto"/>
          <w:sz w:val="21"/>
          <w:szCs w:val="21"/>
          <w:highlight w:val="none"/>
        </w:rPr>
        <w:t>供应商签订框架协议。</w:t>
      </w:r>
    </w:p>
    <w:p>
      <w:pPr>
        <w:pageBreakBefore w:val="0"/>
        <w:topLinePunct w:val="0"/>
        <w:bidi w:val="0"/>
        <w:spacing w:line="360" w:lineRule="exact"/>
        <w:ind w:firstLine="420" w:firstLineChars="200"/>
        <w:jc w:val="left"/>
        <w:rPr>
          <w:rFonts w:hint="eastAsia"/>
          <w:bCs/>
          <w:color w:val="auto"/>
          <w:sz w:val="21"/>
          <w:szCs w:val="21"/>
          <w:highlight w:val="none"/>
        </w:rPr>
      </w:pPr>
      <w:r>
        <w:rPr>
          <w:rFonts w:hint="eastAsia"/>
          <w:bCs/>
          <w:color w:val="auto"/>
          <w:sz w:val="21"/>
          <w:szCs w:val="21"/>
          <w:highlight w:val="none"/>
          <w:lang w:val="en-US" w:eastAsia="zh-CN"/>
        </w:rPr>
        <w:t>11.1.2国网重庆市电力公司物资分公司</w:t>
      </w:r>
      <w:r>
        <w:rPr>
          <w:rFonts w:hint="eastAsia"/>
          <w:bCs/>
          <w:color w:val="auto"/>
          <w:sz w:val="21"/>
          <w:szCs w:val="21"/>
          <w:highlight w:val="none"/>
          <w:lang w:eastAsia="zh-CN"/>
        </w:rPr>
        <w:t>与国网电商科技有限公司</w:t>
      </w:r>
      <w:r>
        <w:rPr>
          <w:rFonts w:hint="eastAsia"/>
          <w:bCs/>
          <w:color w:val="auto"/>
          <w:sz w:val="21"/>
          <w:szCs w:val="21"/>
          <w:highlight w:val="none"/>
        </w:rPr>
        <w:t>（国网</w:t>
      </w:r>
      <w:r>
        <w:rPr>
          <w:rFonts w:hint="eastAsia"/>
          <w:bCs/>
          <w:color w:val="auto"/>
          <w:sz w:val="21"/>
          <w:szCs w:val="21"/>
          <w:highlight w:val="none"/>
          <w:lang w:val="en-US" w:eastAsia="zh-CN"/>
        </w:rPr>
        <w:t>商城</w:t>
      </w:r>
      <w:r>
        <w:rPr>
          <w:rFonts w:hint="eastAsia"/>
          <w:bCs/>
          <w:color w:val="auto"/>
          <w:sz w:val="21"/>
          <w:szCs w:val="21"/>
          <w:highlight w:val="none"/>
        </w:rPr>
        <w:t>）</w:t>
      </w:r>
      <w:r>
        <w:rPr>
          <w:rFonts w:hint="eastAsia"/>
          <w:bCs/>
          <w:color w:val="auto"/>
          <w:sz w:val="21"/>
          <w:szCs w:val="21"/>
          <w:highlight w:val="none"/>
          <w:lang w:eastAsia="zh-CN"/>
        </w:rPr>
        <w:t>签订电商化采购服务协议，</w:t>
      </w:r>
      <w:r>
        <w:rPr>
          <w:rFonts w:hint="eastAsia"/>
          <w:bCs/>
          <w:color w:val="auto"/>
          <w:sz w:val="21"/>
          <w:szCs w:val="21"/>
          <w:highlight w:val="none"/>
          <w:lang w:val="en-US" w:eastAsia="zh-CN"/>
        </w:rPr>
        <w:t>合格</w:t>
      </w:r>
      <w:r>
        <w:rPr>
          <w:rFonts w:hint="eastAsia"/>
          <w:bCs/>
          <w:color w:val="auto"/>
          <w:sz w:val="21"/>
          <w:szCs w:val="21"/>
          <w:highlight w:val="none"/>
          <w:lang w:eastAsia="zh-CN"/>
        </w:rPr>
        <w:t>供应商与国网电商科技有限公司</w:t>
      </w:r>
      <w:r>
        <w:rPr>
          <w:rFonts w:hint="eastAsia"/>
          <w:bCs/>
          <w:color w:val="auto"/>
          <w:sz w:val="21"/>
          <w:szCs w:val="21"/>
          <w:highlight w:val="none"/>
        </w:rPr>
        <w:t>（国网</w:t>
      </w:r>
      <w:r>
        <w:rPr>
          <w:rFonts w:hint="eastAsia"/>
          <w:bCs/>
          <w:color w:val="auto"/>
          <w:sz w:val="21"/>
          <w:szCs w:val="21"/>
          <w:highlight w:val="none"/>
          <w:lang w:val="en-US" w:eastAsia="zh-CN"/>
        </w:rPr>
        <w:t>商城</w:t>
      </w:r>
      <w:r>
        <w:rPr>
          <w:rFonts w:hint="eastAsia"/>
          <w:bCs/>
          <w:color w:val="auto"/>
          <w:sz w:val="21"/>
          <w:szCs w:val="21"/>
          <w:highlight w:val="none"/>
        </w:rPr>
        <w:t>）</w:t>
      </w:r>
      <w:r>
        <w:rPr>
          <w:rFonts w:hint="eastAsia"/>
          <w:bCs/>
          <w:color w:val="auto"/>
          <w:sz w:val="21"/>
          <w:szCs w:val="21"/>
          <w:highlight w:val="none"/>
          <w:lang w:eastAsia="zh-CN"/>
        </w:rPr>
        <w:t>签订电商化采购商户服务协议。</w:t>
      </w:r>
    </w:p>
    <w:p>
      <w:pPr>
        <w:pageBreakBefore w:val="0"/>
        <w:topLinePunct w:val="0"/>
        <w:bidi w:val="0"/>
        <w:spacing w:line="360" w:lineRule="exact"/>
        <w:ind w:firstLine="420" w:firstLineChars="200"/>
        <w:jc w:val="left"/>
        <w:rPr>
          <w:rFonts w:hint="eastAsia"/>
          <w:bCs/>
          <w:color w:val="auto"/>
          <w:sz w:val="21"/>
          <w:szCs w:val="21"/>
          <w:highlight w:val="none"/>
        </w:rPr>
      </w:pPr>
      <w:r>
        <w:rPr>
          <w:rFonts w:hint="eastAsia"/>
          <w:bCs/>
          <w:color w:val="auto"/>
          <w:sz w:val="21"/>
          <w:szCs w:val="21"/>
          <w:highlight w:val="none"/>
          <w:lang w:val="en-US" w:eastAsia="zh-CN"/>
        </w:rPr>
        <w:t>11.1.3</w:t>
      </w:r>
      <w:r>
        <w:rPr>
          <w:rFonts w:hint="eastAsia"/>
          <w:bCs/>
          <w:color w:val="auto"/>
          <w:sz w:val="21"/>
          <w:szCs w:val="21"/>
          <w:highlight w:val="none"/>
        </w:rPr>
        <w:t>纳入</w:t>
      </w:r>
      <w:r>
        <w:rPr>
          <w:rFonts w:hint="eastAsia"/>
          <w:bCs/>
          <w:color w:val="auto"/>
          <w:sz w:val="21"/>
          <w:szCs w:val="21"/>
          <w:highlight w:val="none"/>
          <w:lang w:eastAsia="zh-CN"/>
        </w:rPr>
        <w:t>国家电网有限公司电子商务平台国网商城产业专区</w:t>
      </w:r>
      <w:r>
        <w:rPr>
          <w:rFonts w:hint="eastAsia"/>
          <w:bCs/>
          <w:color w:val="auto"/>
          <w:sz w:val="21"/>
          <w:szCs w:val="21"/>
          <w:highlight w:val="none"/>
        </w:rPr>
        <w:t>的物资通过国网商城履约，各产业单位在平台上完成下订单、结算、支付等采购过程。每笔采购订单国网商城向中标供应商收取订单金额千分之八的服务费用。</w:t>
      </w:r>
    </w:p>
    <w:p>
      <w:pPr>
        <w:pageBreakBefore w:val="0"/>
        <w:topLinePunct w:val="0"/>
        <w:bidi w:val="0"/>
        <w:spacing w:line="360" w:lineRule="exact"/>
        <w:ind w:firstLine="420" w:firstLineChars="200"/>
        <w:jc w:val="left"/>
        <w:rPr>
          <w:rFonts w:hint="eastAsia"/>
          <w:b/>
          <w:bCs w:val="0"/>
          <w:color w:val="auto"/>
          <w:sz w:val="21"/>
          <w:szCs w:val="21"/>
          <w:highlight w:val="none"/>
          <w:lang w:val="en-US" w:eastAsia="zh-CN"/>
        </w:rPr>
      </w:pPr>
      <w:r>
        <w:rPr>
          <w:rFonts w:hint="eastAsia"/>
          <w:bCs/>
          <w:color w:val="auto"/>
          <w:sz w:val="21"/>
          <w:szCs w:val="21"/>
          <w:highlight w:val="none"/>
          <w:lang w:val="en-US" w:eastAsia="zh-CN"/>
        </w:rPr>
        <w:t>11.2</w:t>
      </w:r>
      <w:r>
        <w:rPr>
          <w:rFonts w:hint="eastAsia"/>
          <w:b/>
          <w:bCs w:val="0"/>
          <w:color w:val="auto"/>
          <w:sz w:val="21"/>
          <w:szCs w:val="21"/>
          <w:highlight w:val="none"/>
          <w:lang w:val="en-US" w:eastAsia="zh-CN"/>
        </w:rPr>
        <w:t xml:space="preserve">后续采购中采取竞价采购的方式在资格预审合格供应商中确定供货单位。                 </w:t>
      </w:r>
    </w:p>
    <w:p>
      <w:pPr>
        <w:pageBreakBefore w:val="0"/>
        <w:topLinePunct w:val="0"/>
        <w:bidi w:val="0"/>
        <w:spacing w:line="360" w:lineRule="exact"/>
        <w:ind w:firstLine="420" w:firstLineChars="200"/>
        <w:jc w:val="left"/>
        <w:rPr>
          <w:rFonts w:hint="eastAsia"/>
          <w:bCs/>
          <w:color w:val="auto"/>
          <w:sz w:val="21"/>
          <w:szCs w:val="21"/>
          <w:highlight w:val="none"/>
          <w:lang w:val="en-US" w:eastAsia="zh-CN"/>
        </w:rPr>
      </w:pPr>
      <w:r>
        <w:rPr>
          <w:rFonts w:hint="eastAsia"/>
          <w:bCs/>
          <w:color w:val="auto"/>
          <w:sz w:val="21"/>
          <w:szCs w:val="21"/>
          <w:highlight w:val="none"/>
          <w:lang w:val="en-US" w:eastAsia="zh-CN"/>
        </w:rPr>
        <w:t>合格供应商为竞价采购的入围供应商，具备参与具体项目的竞价采购资格。</w:t>
      </w:r>
    </w:p>
    <w:p>
      <w:pPr>
        <w:pStyle w:val="4"/>
        <w:pageBreakBefore w:val="0"/>
        <w:topLinePunct w:val="0"/>
        <w:bidi w:val="0"/>
        <w:spacing w:line="360" w:lineRule="exact"/>
        <w:ind w:firstLine="422"/>
        <w:rPr>
          <w:rFonts w:hint="eastAsia" w:ascii="宋体" w:hAnsi="宋体" w:eastAsia="宋体" w:cs="Times New Roman"/>
          <w:b/>
          <w:iCs/>
          <w:szCs w:val="21"/>
          <w:highlight w:val="none"/>
          <w:lang w:val="en-US" w:eastAsia="zh-CN"/>
        </w:rPr>
      </w:pPr>
      <w:r>
        <w:rPr>
          <w:rFonts w:hint="eastAsia" w:ascii="宋体" w:hAnsi="宋体" w:eastAsia="宋体" w:cs="Times New Roman"/>
          <w:b/>
          <w:iCs/>
          <w:szCs w:val="21"/>
          <w:highlight w:val="none"/>
          <w:lang w:val="en-US" w:eastAsia="zh-CN"/>
        </w:rPr>
        <w:t>12.中标服务费</w:t>
      </w:r>
    </w:p>
    <w:p>
      <w:pPr>
        <w:keepNext w:val="0"/>
        <w:keepLines w:val="0"/>
        <w:pageBreakBefore w:val="0"/>
        <w:widowControl w:val="0"/>
        <w:numPr>
          <w:ilvl w:val="0"/>
          <w:numId w:val="0"/>
        </w:numPr>
        <w:tabs>
          <w:tab w:val="left" w:pos="620"/>
        </w:tabs>
        <w:kinsoku/>
        <w:wordWrap/>
        <w:overflowPunct/>
        <w:topLinePunct w:val="0"/>
        <w:autoSpaceDE/>
        <w:autoSpaceDN/>
        <w:bidi w:val="0"/>
        <w:adjustRightInd/>
        <w:snapToGrid/>
        <w:spacing w:line="360" w:lineRule="exact"/>
        <w:ind w:leftChars="0" w:firstLine="420" w:firstLineChars="200"/>
        <w:textAlignment w:val="auto"/>
        <w:rPr>
          <w:rFonts w:hint="default"/>
          <w:b w:val="0"/>
          <w:bCs/>
          <w:color w:val="auto"/>
          <w:sz w:val="21"/>
          <w:szCs w:val="21"/>
          <w:highlight w:val="none"/>
          <w:lang w:val="en-US" w:eastAsia="zh-CN"/>
        </w:rPr>
      </w:pPr>
      <w:r>
        <w:rPr>
          <w:rFonts w:hint="eastAsia"/>
          <w:b w:val="0"/>
          <w:bCs/>
          <w:color w:val="auto"/>
          <w:sz w:val="21"/>
          <w:szCs w:val="21"/>
          <w:highlight w:val="none"/>
          <w:lang w:val="en-US" w:eastAsia="zh-CN"/>
        </w:rPr>
        <w:t>12.1.本次招标代理服务费作如下约定：</w:t>
      </w:r>
    </w:p>
    <w:p>
      <w:pPr>
        <w:keepNext w:val="0"/>
        <w:keepLines w:val="0"/>
        <w:pageBreakBefore w:val="0"/>
        <w:widowControl w:val="0"/>
        <w:numPr>
          <w:ilvl w:val="0"/>
          <w:numId w:val="0"/>
        </w:numPr>
        <w:tabs>
          <w:tab w:val="left" w:pos="620"/>
        </w:tabs>
        <w:kinsoku/>
        <w:wordWrap/>
        <w:overflowPunct/>
        <w:topLinePunct w:val="0"/>
        <w:autoSpaceDE/>
        <w:autoSpaceDN/>
        <w:bidi w:val="0"/>
        <w:adjustRightInd/>
        <w:snapToGrid/>
        <w:spacing w:line="360" w:lineRule="exact"/>
        <w:ind w:leftChars="0" w:firstLine="420" w:firstLineChars="200"/>
        <w:textAlignment w:val="auto"/>
        <w:rPr>
          <w:rFonts w:hint="eastAsia"/>
          <w:b w:val="0"/>
          <w:bCs/>
          <w:color w:val="auto"/>
          <w:sz w:val="21"/>
          <w:szCs w:val="21"/>
          <w:highlight w:val="none"/>
          <w:lang w:val="en-US" w:eastAsia="zh-CN"/>
        </w:rPr>
      </w:pPr>
      <w:r>
        <w:rPr>
          <w:rFonts w:hint="eastAsia"/>
          <w:b w:val="0"/>
          <w:bCs/>
          <w:color w:val="auto"/>
          <w:sz w:val="21"/>
          <w:szCs w:val="21"/>
          <w:highlight w:val="none"/>
          <w:lang w:val="en-US" w:eastAsia="zh-CN"/>
        </w:rPr>
        <w:t>招标代理服务收费标准参见下表执行，招标代理服务费根据执行量按季度进行收取，按每笔订单计算中标服务费。</w:t>
      </w:r>
    </w:p>
    <w:p>
      <w:pPr>
        <w:keepNext w:val="0"/>
        <w:keepLines w:val="0"/>
        <w:pageBreakBefore w:val="0"/>
        <w:widowControl w:val="0"/>
        <w:numPr>
          <w:ilvl w:val="0"/>
          <w:numId w:val="0"/>
        </w:numPr>
        <w:tabs>
          <w:tab w:val="left" w:pos="620"/>
        </w:tabs>
        <w:kinsoku/>
        <w:wordWrap/>
        <w:overflowPunct/>
        <w:topLinePunct w:val="0"/>
        <w:autoSpaceDE/>
        <w:autoSpaceDN/>
        <w:bidi w:val="0"/>
        <w:adjustRightInd/>
        <w:snapToGrid/>
        <w:spacing w:line="360" w:lineRule="exact"/>
        <w:ind w:leftChars="0" w:firstLine="420" w:firstLineChars="200"/>
        <w:textAlignment w:val="auto"/>
        <w:rPr>
          <w:rFonts w:hint="eastAsia"/>
          <w:b w:val="0"/>
          <w:bCs/>
          <w:color w:val="auto"/>
          <w:sz w:val="21"/>
          <w:szCs w:val="21"/>
          <w:highlight w:val="none"/>
          <w:lang w:val="en-US" w:eastAsia="zh-CN"/>
        </w:rPr>
      </w:pPr>
      <w:r>
        <w:rPr>
          <w:rFonts w:hint="eastAsia"/>
          <w:b w:val="0"/>
          <w:bCs/>
          <w:color w:val="auto"/>
          <w:sz w:val="21"/>
          <w:szCs w:val="21"/>
          <w:highlight w:val="none"/>
          <w:lang w:val="en-US" w:eastAsia="zh-CN"/>
        </w:rPr>
        <w:t>供应商收到中标（成交、中选）通知书后，因自身原因未能按时履行签订合同、支付代理服务费等手续，给正常业务进度造成影响的，暂停中标资格6个月。</w:t>
      </w:r>
    </w:p>
    <w:p>
      <w:pPr>
        <w:pStyle w:val="4"/>
        <w:pageBreakBefore w:val="0"/>
        <w:topLinePunct w:val="0"/>
        <w:bidi w:val="0"/>
        <w:spacing w:line="360" w:lineRule="exact"/>
        <w:rPr>
          <w:rFonts w:hint="eastAsia"/>
          <w:color w:val="auto"/>
          <w:highlight w:val="none"/>
          <w:lang w:val="en-US" w:eastAsia="zh-CN"/>
        </w:rPr>
      </w:pPr>
    </w:p>
    <w:p>
      <w:pPr>
        <w:pageBreakBefore w:val="0"/>
        <w:topLinePunct w:val="0"/>
        <w:bidi w:val="0"/>
        <w:adjustRightInd w:val="0"/>
        <w:snapToGrid w:val="0"/>
        <w:spacing w:line="360" w:lineRule="exact"/>
        <w:jc w:val="center"/>
        <w:rPr>
          <w:rFonts w:ascii="Arial" w:hAnsi="Arial" w:eastAsia="黑体" w:cs="Arial"/>
          <w:b/>
          <w:color w:val="auto"/>
          <w:highlight w:val="none"/>
        </w:rPr>
      </w:pPr>
      <w:r>
        <w:rPr>
          <w:rFonts w:ascii="Arial" w:hAnsi="Arial" w:eastAsia="黑体" w:cs="Arial"/>
          <w:b/>
          <w:color w:val="auto"/>
          <w:highlight w:val="none"/>
        </w:rPr>
        <w:t>招标代理服务收费标准</w:t>
      </w:r>
    </w:p>
    <w:tbl>
      <w:tblPr>
        <w:tblStyle w:val="15"/>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2"/>
        <w:gridCol w:w="4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52"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中标金额（万元）</w:t>
            </w:r>
          </w:p>
        </w:tc>
        <w:tc>
          <w:tcPr>
            <w:tcW w:w="4376"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2"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100以下</w:t>
            </w:r>
          </w:p>
        </w:tc>
        <w:tc>
          <w:tcPr>
            <w:tcW w:w="4376"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2"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100至500</w:t>
            </w:r>
          </w:p>
        </w:tc>
        <w:tc>
          <w:tcPr>
            <w:tcW w:w="4376"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52"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500至1000</w:t>
            </w:r>
          </w:p>
        </w:tc>
        <w:tc>
          <w:tcPr>
            <w:tcW w:w="4376"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2"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1000至5000</w:t>
            </w:r>
          </w:p>
        </w:tc>
        <w:tc>
          <w:tcPr>
            <w:tcW w:w="4376"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52"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5000至10000</w:t>
            </w:r>
          </w:p>
        </w:tc>
        <w:tc>
          <w:tcPr>
            <w:tcW w:w="4376"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2"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10000至50000</w:t>
            </w:r>
          </w:p>
        </w:tc>
        <w:tc>
          <w:tcPr>
            <w:tcW w:w="4376"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0.05％</w:t>
            </w:r>
          </w:p>
        </w:tc>
      </w:tr>
    </w:tbl>
    <w:p>
      <w:pPr>
        <w:pStyle w:val="5"/>
        <w:pageBreakBefore w:val="0"/>
        <w:topLinePunct w:val="0"/>
        <w:bidi w:val="0"/>
        <w:spacing w:line="360" w:lineRule="exact"/>
        <w:rPr>
          <w:rFonts w:ascii="Arial" w:hAnsi="Arial" w:eastAsia="黑体" w:cs="Arial"/>
          <w:b/>
          <w:color w:val="auto"/>
          <w:sz w:val="24"/>
          <w:highlight w:val="none"/>
        </w:rPr>
      </w:pPr>
    </w:p>
    <w:p>
      <w:pPr>
        <w:pageBreakBefore w:val="0"/>
        <w:topLinePunct w:val="0"/>
        <w:bidi w:val="0"/>
        <w:adjustRightInd w:val="0"/>
        <w:snapToGrid w:val="0"/>
        <w:spacing w:line="360" w:lineRule="exact"/>
        <w:jc w:val="center"/>
        <w:rPr>
          <w:rFonts w:ascii="Arial" w:hAnsi="Arial" w:eastAsia="黑体" w:cs="Arial"/>
          <w:b/>
          <w:color w:val="auto"/>
          <w:sz w:val="24"/>
          <w:highlight w:val="none"/>
        </w:rPr>
      </w:pPr>
      <w:r>
        <w:rPr>
          <w:rFonts w:ascii="Arial" w:hAnsi="Arial" w:eastAsia="黑体" w:cs="Arial"/>
          <w:b/>
          <w:color w:val="auto"/>
          <w:highlight w:val="none"/>
        </w:rPr>
        <w:t>招标代理服务收费标准</w:t>
      </w:r>
    </w:p>
    <w:tbl>
      <w:tblPr>
        <w:tblStyle w:val="15"/>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5"/>
        <w:gridCol w:w="4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5"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中标金额（万元）</w:t>
            </w:r>
          </w:p>
        </w:tc>
        <w:tc>
          <w:tcPr>
            <w:tcW w:w="4373"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5"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50000至100000</w:t>
            </w:r>
          </w:p>
        </w:tc>
        <w:tc>
          <w:tcPr>
            <w:tcW w:w="4373"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5"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100000至500000</w:t>
            </w:r>
          </w:p>
        </w:tc>
        <w:tc>
          <w:tcPr>
            <w:tcW w:w="4373"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5"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500000至1000000</w:t>
            </w:r>
          </w:p>
        </w:tc>
        <w:tc>
          <w:tcPr>
            <w:tcW w:w="4373"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5"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1000000以上</w:t>
            </w:r>
          </w:p>
        </w:tc>
        <w:tc>
          <w:tcPr>
            <w:tcW w:w="4373" w:type="dxa"/>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center"/>
              <w:rPr>
                <w:rFonts w:hint="default" w:ascii="Arial" w:hAnsi="Arial" w:cs="Arial"/>
                <w:color w:val="auto"/>
                <w:sz w:val="20"/>
                <w:szCs w:val="20"/>
                <w:highlight w:val="none"/>
              </w:rPr>
            </w:pPr>
            <w:r>
              <w:rPr>
                <w:rFonts w:hint="default" w:ascii="Arial" w:hAnsi="Arial" w:cs="Arial"/>
                <w:color w:val="auto"/>
                <w:sz w:val="20"/>
                <w:szCs w:val="20"/>
                <w:highlight w:val="none"/>
              </w:rPr>
              <w:t>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8" w:type="dxa"/>
            <w:gridSpan w:val="2"/>
            <w:vAlign w:val="center"/>
          </w:tcPr>
          <w:p>
            <w:pPr>
              <w:keepNext w:val="0"/>
              <w:keepLines w:val="0"/>
              <w:pageBreakBefore w:val="0"/>
              <w:suppressLineNumbers w:val="0"/>
              <w:topLinePunct w:val="0"/>
              <w:bidi w:val="0"/>
              <w:adjustRightInd w:val="0"/>
              <w:snapToGrid w:val="0"/>
              <w:spacing w:before="0" w:beforeAutospacing="0" w:after="0" w:afterAutospacing="0" w:line="360" w:lineRule="exact"/>
              <w:ind w:left="0" w:right="0"/>
              <w:jc w:val="left"/>
              <w:rPr>
                <w:rFonts w:hint="default" w:ascii="Arial" w:hAnsi="Arial" w:cs="Arial"/>
                <w:color w:val="auto"/>
                <w:sz w:val="20"/>
                <w:szCs w:val="20"/>
                <w:highlight w:val="none"/>
              </w:rPr>
            </w:pPr>
            <w:r>
              <w:rPr>
                <w:rFonts w:hint="default" w:ascii="Arial" w:hAnsi="Arial" w:cs="Arial"/>
                <w:color w:val="auto"/>
                <w:highlight w:val="none"/>
              </w:rPr>
              <w:t>招标代理服务费根据执行量按季度进行收取，按每笔订单计算中标服务费。</w:t>
            </w:r>
          </w:p>
        </w:tc>
      </w:tr>
    </w:tbl>
    <w:p>
      <w:pPr>
        <w:pStyle w:val="4"/>
        <w:pageBreakBefore w:val="0"/>
        <w:topLinePunct w:val="0"/>
        <w:bidi w:val="0"/>
        <w:spacing w:line="360" w:lineRule="exact"/>
        <w:rPr>
          <w:rFonts w:hint="default" w:eastAsia="宋体"/>
          <w:highlight w:val="yellow"/>
          <w:lang w:val="en-US" w:eastAsia="zh-CN"/>
        </w:rPr>
      </w:pPr>
    </w:p>
    <w:p>
      <w:pPr>
        <w:pStyle w:val="4"/>
        <w:pageBreakBefore w:val="0"/>
        <w:topLinePunct w:val="0"/>
        <w:bidi w:val="0"/>
        <w:spacing w:line="360" w:lineRule="exact"/>
        <w:ind w:firstLine="422"/>
        <w:rPr>
          <w:rFonts w:hint="eastAsia" w:ascii="宋体" w:hAnsi="宋体" w:eastAsia="宋体" w:cs="Times New Roman"/>
          <w:b/>
          <w:iCs/>
          <w:szCs w:val="21"/>
          <w:highlight w:val="none"/>
          <w:lang w:val="en-US" w:eastAsia="zh-CN"/>
        </w:rPr>
      </w:pPr>
      <w:bookmarkStart w:id="60" w:name="_Toc146123648"/>
      <w:r>
        <w:rPr>
          <w:rFonts w:hint="eastAsia" w:ascii="宋体" w:hAnsi="宋体" w:eastAsia="宋体" w:cs="Times New Roman"/>
          <w:b/>
          <w:iCs/>
          <w:szCs w:val="21"/>
          <w:highlight w:val="none"/>
          <w:lang w:val="en-US" w:eastAsia="zh-CN"/>
        </w:rPr>
        <w:t>13. 权利声明</w:t>
      </w:r>
      <w:bookmarkEnd w:id="60"/>
    </w:p>
    <w:p>
      <w:pPr>
        <w:pageBreakBefore w:val="0"/>
        <w:topLinePunct w:val="0"/>
        <w:bidi w:val="0"/>
        <w:adjustRightInd w:val="0"/>
        <w:spacing w:line="360" w:lineRule="exact"/>
        <w:ind w:firstLine="420" w:firstLineChars="200"/>
        <w:jc w:val="left"/>
        <w:rPr>
          <w:rFonts w:ascii="宋体" w:hAnsi="宋体"/>
          <w:bCs/>
          <w:szCs w:val="21"/>
          <w:highlight w:val="none"/>
        </w:rPr>
      </w:pPr>
      <w:r>
        <w:rPr>
          <w:rFonts w:hint="eastAsia" w:ascii="宋体" w:hAnsi="宋体"/>
          <w:bCs/>
          <w:szCs w:val="21"/>
          <w:highlight w:val="none"/>
        </w:rPr>
        <w:t>禁止对本资格预审文件（依法必须招标项目的资格预审公告部分除外）进行任何形式的转载（包括但不限于部分或全文转载、修改后转载）或任何未经书面授权的使用。转载依法必须招标项目的资格预审公告的，不得改变资格预审公告的内容，须注明信息来源，不得用于非法用途。任何单位或个人不得违法转载（包括但不限于改变内容转载、转载不注明来源、遗漏或不及时转载修改或补充内容等）资格预审公告、不得对资格预审公告等内容进行不全面、不准确、不客观地分析或使用，任何单位或个人违法或违反本条规定转载、使用本资格预审文件的，</w:t>
      </w:r>
      <w:r>
        <w:rPr>
          <w:rFonts w:hint="eastAsia" w:ascii="宋体" w:hAnsi="宋体"/>
          <w:bCs/>
          <w:szCs w:val="21"/>
          <w:highlight w:val="none"/>
          <w:lang w:eastAsia="zh-CN"/>
        </w:rPr>
        <w:t>采购人</w:t>
      </w:r>
      <w:r>
        <w:rPr>
          <w:rFonts w:hint="eastAsia" w:ascii="宋体" w:hAnsi="宋体"/>
          <w:bCs/>
          <w:szCs w:val="21"/>
          <w:highlight w:val="none"/>
        </w:rPr>
        <w:t>将依法追究法律责任。</w:t>
      </w:r>
    </w:p>
    <w:p>
      <w:pPr>
        <w:pageBreakBefore w:val="0"/>
        <w:topLinePunct w:val="0"/>
        <w:bidi w:val="0"/>
        <w:snapToGrid w:val="0"/>
        <w:spacing w:line="360" w:lineRule="exact"/>
        <w:ind w:firstLine="420" w:firstLineChars="200"/>
        <w:rPr>
          <w:rFonts w:ascii="Arial" w:hAnsi="Arial" w:cs="Arial"/>
          <w:color w:val="000000" w:themeColor="text1"/>
          <w:szCs w:val="21"/>
          <w:highlight w:val="none"/>
          <w14:textFill>
            <w14:solidFill>
              <w14:schemeClr w14:val="tx1"/>
            </w14:solidFill>
          </w14:textFill>
        </w:rPr>
      </w:pPr>
    </w:p>
    <w:p>
      <w:pPr>
        <w:pageBreakBefore w:val="0"/>
        <w:topLinePunct w:val="0"/>
        <w:bidi w:val="0"/>
        <w:adjustRightInd w:val="0"/>
        <w:snapToGrid w:val="0"/>
        <w:spacing w:line="360" w:lineRule="exact"/>
        <w:ind w:firstLine="420" w:firstLineChars="200"/>
        <w:jc w:val="left"/>
        <w:rPr>
          <w:color w:val="000000"/>
          <w:szCs w:val="21"/>
          <w:highlight w:val="none"/>
        </w:rPr>
      </w:pPr>
    </w:p>
    <w:p>
      <w:pPr>
        <w:pStyle w:val="4"/>
        <w:pageBreakBefore w:val="0"/>
        <w:topLinePunct w:val="0"/>
        <w:bidi w:val="0"/>
        <w:spacing w:line="360" w:lineRule="exact"/>
        <w:rPr>
          <w:highlight w:val="none"/>
        </w:rPr>
      </w:pPr>
    </w:p>
    <w:p>
      <w:pPr>
        <w:pStyle w:val="5"/>
        <w:pageBreakBefore w:val="0"/>
        <w:topLinePunct w:val="0"/>
        <w:bidi w:val="0"/>
        <w:spacing w:line="360" w:lineRule="exact"/>
        <w:rPr>
          <w:highlight w:val="none"/>
        </w:rPr>
      </w:pPr>
    </w:p>
    <w:p>
      <w:pPr>
        <w:pageBreakBefore w:val="0"/>
        <w:topLinePunct w:val="0"/>
        <w:bidi w:val="0"/>
        <w:adjustRightInd w:val="0"/>
        <w:snapToGrid w:val="0"/>
        <w:spacing w:line="360" w:lineRule="exact"/>
        <w:ind w:firstLine="420" w:firstLineChars="200"/>
        <w:jc w:val="right"/>
        <w:rPr>
          <w:color w:val="000000"/>
          <w:szCs w:val="21"/>
          <w:highlight w:val="none"/>
        </w:rPr>
      </w:pPr>
    </w:p>
    <w:p>
      <w:pPr>
        <w:pageBreakBefore w:val="0"/>
        <w:topLinePunct w:val="0"/>
        <w:bidi w:val="0"/>
        <w:adjustRightInd w:val="0"/>
        <w:snapToGrid w:val="0"/>
        <w:spacing w:line="360" w:lineRule="exact"/>
        <w:ind w:firstLine="420" w:firstLineChars="200"/>
        <w:jc w:val="right"/>
        <w:rPr>
          <w:color w:val="000000"/>
          <w:szCs w:val="21"/>
          <w:highlight w:val="none"/>
        </w:rPr>
      </w:pPr>
      <w:r>
        <w:rPr>
          <w:color w:val="000000"/>
          <w:szCs w:val="21"/>
          <w:highlight w:val="none"/>
        </w:rPr>
        <w:t>20</w:t>
      </w:r>
      <w:r>
        <w:rPr>
          <w:rFonts w:hint="eastAsia"/>
          <w:color w:val="000000"/>
          <w:szCs w:val="21"/>
          <w:highlight w:val="none"/>
        </w:rPr>
        <w:t>2</w:t>
      </w:r>
      <w:r>
        <w:rPr>
          <w:rFonts w:hint="eastAsia"/>
          <w:color w:val="000000"/>
          <w:szCs w:val="21"/>
          <w:highlight w:val="none"/>
          <w:lang w:val="en-US" w:eastAsia="zh-CN"/>
        </w:rPr>
        <w:t>5</w:t>
      </w:r>
      <w:r>
        <w:rPr>
          <w:rFonts w:hAnsi="Arial"/>
          <w:color w:val="000000"/>
          <w:szCs w:val="21"/>
          <w:highlight w:val="none"/>
        </w:rPr>
        <w:t>年</w:t>
      </w:r>
      <w:r>
        <w:rPr>
          <w:rFonts w:hint="eastAsia"/>
          <w:color w:val="000000"/>
          <w:szCs w:val="21"/>
          <w:highlight w:val="none"/>
          <w:lang w:val="en-US" w:eastAsia="zh-CN"/>
        </w:rPr>
        <w:t>6</w:t>
      </w:r>
      <w:r>
        <w:rPr>
          <w:rFonts w:hAnsi="Arial"/>
          <w:color w:val="000000"/>
          <w:szCs w:val="21"/>
          <w:highlight w:val="none"/>
        </w:rPr>
        <w:t>月</w:t>
      </w:r>
      <w:r>
        <w:rPr>
          <w:rFonts w:hint="eastAsia" w:hAnsi="Arial"/>
          <w:color w:val="000000"/>
          <w:szCs w:val="21"/>
          <w:highlight w:val="none"/>
          <w:lang w:val="en-US" w:eastAsia="zh-CN"/>
        </w:rPr>
        <w:t>27</w:t>
      </w:r>
      <w:r>
        <w:rPr>
          <w:rFonts w:hint="eastAsia" w:hAnsi="Arial"/>
          <w:color w:val="000000"/>
          <w:szCs w:val="21"/>
          <w:highlight w:val="none"/>
        </w:rPr>
        <w:t>日</w:t>
      </w:r>
    </w:p>
    <w:p>
      <w:pPr>
        <w:pageBreakBefore w:val="0"/>
        <w:widowControl/>
        <w:topLinePunct w:val="0"/>
        <w:bidi w:val="0"/>
        <w:spacing w:line="360" w:lineRule="exact"/>
        <w:jc w:val="left"/>
        <w:rPr>
          <w:rFonts w:hint="eastAsia" w:ascii="宋体" w:hAnsi="宋体" w:eastAsia="宋体" w:cs="宋体"/>
          <w:strike w:val="0"/>
          <w:dstrike w:val="0"/>
          <w:sz w:val="21"/>
          <w:szCs w:val="21"/>
          <w:highlight w:val="none"/>
          <w:lang w:val="en-US" w:eastAsia="zh-CN"/>
        </w:rPr>
      </w:pPr>
      <w:r>
        <w:rPr>
          <w:highlight w:val="none"/>
        </w:rPr>
        <w:br w:type="page"/>
      </w:r>
      <w:r>
        <w:rPr>
          <w:rFonts w:hint="eastAsia" w:ascii="宋体" w:hAnsi="宋体" w:eastAsia="宋体" w:cs="宋体"/>
          <w:strike w:val="0"/>
          <w:dstrike w:val="0"/>
          <w:sz w:val="21"/>
          <w:szCs w:val="21"/>
          <w:highlight w:val="none"/>
        </w:rPr>
        <w:t>附</w:t>
      </w:r>
      <w:r>
        <w:rPr>
          <w:rFonts w:hint="eastAsia" w:ascii="宋体" w:hAnsi="宋体" w:eastAsia="宋体" w:cs="宋体"/>
          <w:strike w:val="0"/>
          <w:dstrike w:val="0"/>
          <w:sz w:val="21"/>
          <w:szCs w:val="21"/>
          <w:highlight w:val="none"/>
          <w:lang w:val="en-US" w:eastAsia="zh-CN"/>
        </w:rPr>
        <w:t>件</w:t>
      </w:r>
      <w:r>
        <w:rPr>
          <w:rFonts w:hint="eastAsia" w:ascii="宋体" w:hAnsi="宋体" w:eastAsia="宋体" w:cs="宋体"/>
          <w:strike w:val="0"/>
          <w:dstrike w:val="0"/>
          <w:sz w:val="21"/>
          <w:szCs w:val="21"/>
          <w:highlight w:val="none"/>
        </w:rPr>
        <w:t>1：</w:t>
      </w:r>
      <w:r>
        <w:rPr>
          <w:rFonts w:hint="eastAsia" w:ascii="宋体" w:hAnsi="宋体" w:eastAsia="宋体" w:cs="宋体"/>
          <w:strike w:val="0"/>
          <w:dstrike w:val="0"/>
          <w:sz w:val="21"/>
          <w:szCs w:val="21"/>
          <w:highlight w:val="none"/>
          <w:lang w:val="en-US" w:eastAsia="zh-CN"/>
        </w:rPr>
        <w:t>国网重庆市电力公司所属产业单位、子公司</w:t>
      </w:r>
    </w:p>
    <w:p>
      <w:pPr>
        <w:pStyle w:val="5"/>
        <w:rPr>
          <w:rFonts w:hint="eastAsia"/>
          <w:lang w:val="en-US" w:eastAsia="zh-CN"/>
        </w:rPr>
      </w:pPr>
      <w:r>
        <w:rPr>
          <w:rFonts w:hint="eastAsia" w:eastAsia="宋体"/>
          <w:highlight w:val="none"/>
          <w:lang w:eastAsia="zh-CN"/>
        </w:rPr>
        <w:object>
          <v:shape id="_x0000_i1025" o:spt="75" type="#_x0000_t75" style="height:66pt;width:72.75pt;" o:ole="t" filled="f" o:preferrelative="t" stroked="f" coordsize="21600,21600">
            <v:path/>
            <v:fill on="f" focussize="0,0"/>
            <v:stroke on="f"/>
            <v:imagedata r:id="rId6" o:title=""/>
            <o:lock v:ext="edit" aspectratio="t"/>
            <w10:wrap type="none"/>
            <w10:anchorlock/>
          </v:shape>
          <o:OLEObject Type="Embed" ProgID="Excel.Sheet.12" ShapeID="_x0000_i1025" DrawAspect="Icon" ObjectID="_1468075725" r:id="rId5">
            <o:LockedField>false</o:LockedField>
          </o:OLEObject>
        </w:object>
      </w:r>
    </w:p>
    <w:p>
      <w:pPr>
        <w:pStyle w:val="13"/>
        <w:pageBreakBefore w:val="0"/>
        <w:topLinePunct w:val="0"/>
        <w:bidi w:val="0"/>
        <w:spacing w:line="360" w:lineRule="exact"/>
        <w:ind w:left="0" w:leftChars="0" w:firstLine="0" w:firstLineChars="0"/>
        <w:jc w:val="left"/>
        <w:rPr>
          <w:rFonts w:hint="eastAsia" w:ascii="宋体" w:hAnsi="宋体" w:eastAsia="宋体" w:cs="宋体"/>
          <w:strike w:val="0"/>
          <w:dstrike w:val="0"/>
          <w:kern w:val="2"/>
          <w:sz w:val="21"/>
          <w:szCs w:val="21"/>
          <w:highlight w:val="none"/>
          <w:lang w:val="en-US" w:eastAsia="zh-CN" w:bidi="ar-SA"/>
        </w:rPr>
      </w:pPr>
      <w:r>
        <w:rPr>
          <w:rFonts w:hint="eastAsia" w:ascii="宋体" w:hAnsi="宋体" w:eastAsia="宋体" w:cs="宋体"/>
          <w:strike w:val="0"/>
          <w:dstrike w:val="0"/>
          <w:kern w:val="2"/>
          <w:sz w:val="21"/>
          <w:szCs w:val="21"/>
          <w:highlight w:val="none"/>
          <w:lang w:val="en-US" w:eastAsia="zh-CN" w:bidi="ar-SA"/>
        </w:rPr>
        <w:t>附</w:t>
      </w:r>
      <w:r>
        <w:rPr>
          <w:rFonts w:hint="eastAsia" w:ascii="宋体" w:hAnsi="宋体" w:eastAsia="宋体" w:cs="宋体"/>
          <w:strike w:val="0"/>
          <w:dstrike w:val="0"/>
          <w:sz w:val="21"/>
          <w:szCs w:val="21"/>
          <w:highlight w:val="none"/>
          <w:lang w:val="en-US" w:eastAsia="zh-CN"/>
        </w:rPr>
        <w:t>件</w:t>
      </w:r>
      <w:r>
        <w:rPr>
          <w:rFonts w:hint="eastAsia" w:ascii="宋体" w:hAnsi="宋体" w:eastAsia="宋体" w:cs="宋体"/>
          <w:strike w:val="0"/>
          <w:dstrike w:val="0"/>
          <w:kern w:val="2"/>
          <w:sz w:val="21"/>
          <w:szCs w:val="21"/>
          <w:highlight w:val="none"/>
          <w:lang w:val="en-US" w:eastAsia="zh-CN" w:bidi="ar-SA"/>
        </w:rPr>
        <w:t>2：技术规范书</w:t>
      </w:r>
    </w:p>
    <w:p>
      <w:pPr>
        <w:pStyle w:val="14"/>
        <w:rPr>
          <w:rFonts w:hint="eastAsia"/>
          <w:lang w:val="en-US" w:eastAsia="zh-CN"/>
        </w:rPr>
      </w:pPr>
      <w:r>
        <w:rPr>
          <w:rFonts w:hint="eastAsia"/>
          <w:lang w:val="en-US" w:eastAsia="zh-CN"/>
        </w:rPr>
        <w:object>
          <v:shape id="_x0000_i1026" o:spt="75" type="#_x0000_t75" style="height:66pt;width:72.75pt;" o:ole="t" filled="f" o:preferrelative="t" stroked="f" coordsize="21600,21600">
            <v:path/>
            <v:fill on="f" focussize="0,0"/>
            <v:stroke on="f"/>
            <v:imagedata r:id="rId8" o:title=""/>
            <o:lock v:ext="edit" aspectratio="t"/>
            <w10:wrap type="none"/>
            <w10:anchorlock/>
          </v:shape>
          <o:OLEObject Type="Embed" ProgID="Package" ShapeID="_x0000_i1026" DrawAspect="Icon" ObjectID="_1468075726" r:id="rId7">
            <o:LockedField>false</o:LockedField>
          </o:OLEObject>
        </w:object>
      </w:r>
    </w:p>
    <w:p>
      <w:pPr>
        <w:pStyle w:val="14"/>
        <w:pageBreakBefore w:val="0"/>
        <w:topLinePunct w:val="0"/>
        <w:bidi w:val="0"/>
        <w:spacing w:line="360" w:lineRule="exact"/>
        <w:rPr>
          <w:rFonts w:hint="eastAsia"/>
          <w:lang w:val="en-US" w:eastAsia="zh-CN"/>
        </w:rPr>
      </w:pPr>
    </w:p>
    <w:p>
      <w:pPr>
        <w:pStyle w:val="14"/>
        <w:pageBreakBefore w:val="0"/>
        <w:topLinePunct w:val="0"/>
        <w:bidi w:val="0"/>
        <w:spacing w:line="360" w:lineRule="exact"/>
        <w:rPr>
          <w:rFonts w:hint="eastAsia"/>
          <w:lang w:val="en-US" w:eastAsia="zh-CN"/>
        </w:rPr>
      </w:pPr>
      <w:bookmarkStart w:id="61" w:name="_GoBack"/>
      <w:bookmarkEnd w:id="61"/>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4050"/>
      </w:tabs>
      <w:rPr>
        <w:rFonts w:ascii="Times New Roman" w:hAnsi="Times New Roman"/>
        <w:sz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A0BC7"/>
    <w:multiLevelType w:val="singleLevel"/>
    <w:tmpl w:val="5ABA0BC7"/>
    <w:lvl w:ilvl="0" w:tentative="0">
      <w:start w:val="1"/>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DC70EA"/>
    <w:rsid w:val="026F53BD"/>
    <w:rsid w:val="02DC3F04"/>
    <w:rsid w:val="035660A6"/>
    <w:rsid w:val="04D81ACE"/>
    <w:rsid w:val="05A150B1"/>
    <w:rsid w:val="05D60AF4"/>
    <w:rsid w:val="061444BD"/>
    <w:rsid w:val="062F07EF"/>
    <w:rsid w:val="0630316C"/>
    <w:rsid w:val="06655EE4"/>
    <w:rsid w:val="06875D43"/>
    <w:rsid w:val="070178BC"/>
    <w:rsid w:val="070E4CDF"/>
    <w:rsid w:val="07686690"/>
    <w:rsid w:val="07CE3B6C"/>
    <w:rsid w:val="09296316"/>
    <w:rsid w:val="09913CED"/>
    <w:rsid w:val="0A570C38"/>
    <w:rsid w:val="0C0C7857"/>
    <w:rsid w:val="0C3161FB"/>
    <w:rsid w:val="0CB559BC"/>
    <w:rsid w:val="0CCE4124"/>
    <w:rsid w:val="0D191092"/>
    <w:rsid w:val="0D3F00EE"/>
    <w:rsid w:val="0D4968B1"/>
    <w:rsid w:val="0D945ED5"/>
    <w:rsid w:val="0FE92EC5"/>
    <w:rsid w:val="111359C8"/>
    <w:rsid w:val="112C1B55"/>
    <w:rsid w:val="12933E9A"/>
    <w:rsid w:val="144D3B68"/>
    <w:rsid w:val="15534C77"/>
    <w:rsid w:val="15CF2620"/>
    <w:rsid w:val="167F57B5"/>
    <w:rsid w:val="17E838C7"/>
    <w:rsid w:val="181E0C67"/>
    <w:rsid w:val="185115BE"/>
    <w:rsid w:val="1BC42F37"/>
    <w:rsid w:val="1CD4055C"/>
    <w:rsid w:val="1DA41B2E"/>
    <w:rsid w:val="1DE0793F"/>
    <w:rsid w:val="1F330B82"/>
    <w:rsid w:val="1F9366D1"/>
    <w:rsid w:val="1FCF32C0"/>
    <w:rsid w:val="20272FB9"/>
    <w:rsid w:val="21854266"/>
    <w:rsid w:val="21E95779"/>
    <w:rsid w:val="22C355DC"/>
    <w:rsid w:val="2375580B"/>
    <w:rsid w:val="242A25F0"/>
    <w:rsid w:val="26362DF6"/>
    <w:rsid w:val="26F92847"/>
    <w:rsid w:val="27567996"/>
    <w:rsid w:val="27644D65"/>
    <w:rsid w:val="27BD4D1E"/>
    <w:rsid w:val="27D02D34"/>
    <w:rsid w:val="28E94241"/>
    <w:rsid w:val="293935AF"/>
    <w:rsid w:val="2A031B7E"/>
    <w:rsid w:val="2A5A477F"/>
    <w:rsid w:val="2AFA3F97"/>
    <w:rsid w:val="2B72166D"/>
    <w:rsid w:val="2D946557"/>
    <w:rsid w:val="2E3E036C"/>
    <w:rsid w:val="2E71566D"/>
    <w:rsid w:val="2EAB7C7A"/>
    <w:rsid w:val="2ED4317A"/>
    <w:rsid w:val="2F895F8E"/>
    <w:rsid w:val="2FA801C0"/>
    <w:rsid w:val="2FD25B04"/>
    <w:rsid w:val="30134210"/>
    <w:rsid w:val="314225BD"/>
    <w:rsid w:val="315F1A90"/>
    <w:rsid w:val="31E27CDA"/>
    <w:rsid w:val="32056724"/>
    <w:rsid w:val="324B0CE3"/>
    <w:rsid w:val="32890FF2"/>
    <w:rsid w:val="33546239"/>
    <w:rsid w:val="337E4F0D"/>
    <w:rsid w:val="33AE6D56"/>
    <w:rsid w:val="343B539C"/>
    <w:rsid w:val="343C56C0"/>
    <w:rsid w:val="35770D53"/>
    <w:rsid w:val="35C673C5"/>
    <w:rsid w:val="364F62A7"/>
    <w:rsid w:val="36F942BF"/>
    <w:rsid w:val="393825F0"/>
    <w:rsid w:val="39856E6C"/>
    <w:rsid w:val="39A43E9E"/>
    <w:rsid w:val="39FA48AC"/>
    <w:rsid w:val="3C750C00"/>
    <w:rsid w:val="3C9B6051"/>
    <w:rsid w:val="3CE0073A"/>
    <w:rsid w:val="3D5B54EF"/>
    <w:rsid w:val="3EC76A8F"/>
    <w:rsid w:val="3F091CF0"/>
    <w:rsid w:val="3F5678EC"/>
    <w:rsid w:val="3FDC2D53"/>
    <w:rsid w:val="3FE03E83"/>
    <w:rsid w:val="3FE300D7"/>
    <w:rsid w:val="401B701A"/>
    <w:rsid w:val="404C5672"/>
    <w:rsid w:val="405F437D"/>
    <w:rsid w:val="40690752"/>
    <w:rsid w:val="409867E1"/>
    <w:rsid w:val="41B70980"/>
    <w:rsid w:val="42646EFA"/>
    <w:rsid w:val="426A502E"/>
    <w:rsid w:val="43605E98"/>
    <w:rsid w:val="444B7EE7"/>
    <w:rsid w:val="44C2005E"/>
    <w:rsid w:val="460813C3"/>
    <w:rsid w:val="480D21B6"/>
    <w:rsid w:val="48604D74"/>
    <w:rsid w:val="4959470F"/>
    <w:rsid w:val="4A5640AA"/>
    <w:rsid w:val="4B901606"/>
    <w:rsid w:val="4D7935D0"/>
    <w:rsid w:val="4EE0450F"/>
    <w:rsid w:val="4F2A6A73"/>
    <w:rsid w:val="4FF23118"/>
    <w:rsid w:val="4FF84917"/>
    <w:rsid w:val="51002F21"/>
    <w:rsid w:val="51B45F98"/>
    <w:rsid w:val="51E52ACF"/>
    <w:rsid w:val="522A725B"/>
    <w:rsid w:val="54244783"/>
    <w:rsid w:val="54C60E7E"/>
    <w:rsid w:val="54D7039F"/>
    <w:rsid w:val="5508638F"/>
    <w:rsid w:val="55630A49"/>
    <w:rsid w:val="55825F61"/>
    <w:rsid w:val="570C30CC"/>
    <w:rsid w:val="579C6592"/>
    <w:rsid w:val="58A00BDA"/>
    <w:rsid w:val="59542D99"/>
    <w:rsid w:val="59903300"/>
    <w:rsid w:val="5B164584"/>
    <w:rsid w:val="5D2111EA"/>
    <w:rsid w:val="5D8C38F4"/>
    <w:rsid w:val="5DB96BD3"/>
    <w:rsid w:val="5DEA4EEC"/>
    <w:rsid w:val="5DF94B59"/>
    <w:rsid w:val="5E4333F2"/>
    <w:rsid w:val="5F4D6FE9"/>
    <w:rsid w:val="5F676838"/>
    <w:rsid w:val="5FCE7606"/>
    <w:rsid w:val="5FE900A0"/>
    <w:rsid w:val="62220B5F"/>
    <w:rsid w:val="62EE2F69"/>
    <w:rsid w:val="662A000B"/>
    <w:rsid w:val="66B32544"/>
    <w:rsid w:val="66D92254"/>
    <w:rsid w:val="66E747E1"/>
    <w:rsid w:val="68AB14AA"/>
    <w:rsid w:val="692A7B37"/>
    <w:rsid w:val="6A5D43AB"/>
    <w:rsid w:val="6A711CE7"/>
    <w:rsid w:val="6AA0129D"/>
    <w:rsid w:val="6B2A1F55"/>
    <w:rsid w:val="6B7323D5"/>
    <w:rsid w:val="6BDF4E0D"/>
    <w:rsid w:val="6BE4794D"/>
    <w:rsid w:val="6C6405F3"/>
    <w:rsid w:val="6C807B96"/>
    <w:rsid w:val="6C85305B"/>
    <w:rsid w:val="6D136935"/>
    <w:rsid w:val="6D6832E7"/>
    <w:rsid w:val="6DC82B69"/>
    <w:rsid w:val="6DDB0D8F"/>
    <w:rsid w:val="6DDD674E"/>
    <w:rsid w:val="6E0B4D1F"/>
    <w:rsid w:val="6F70624D"/>
    <w:rsid w:val="70681E7A"/>
    <w:rsid w:val="70FD5027"/>
    <w:rsid w:val="72CC6B57"/>
    <w:rsid w:val="74722C9A"/>
    <w:rsid w:val="75036D8F"/>
    <w:rsid w:val="75077659"/>
    <w:rsid w:val="75981122"/>
    <w:rsid w:val="76271066"/>
    <w:rsid w:val="768D6C2F"/>
    <w:rsid w:val="76DC39A7"/>
    <w:rsid w:val="771D7BDC"/>
    <w:rsid w:val="773F0462"/>
    <w:rsid w:val="77CB39F2"/>
    <w:rsid w:val="77EA3533"/>
    <w:rsid w:val="77F8529E"/>
    <w:rsid w:val="784B0DB1"/>
    <w:rsid w:val="78CF6BCF"/>
    <w:rsid w:val="79952321"/>
    <w:rsid w:val="79B71911"/>
    <w:rsid w:val="7A162807"/>
    <w:rsid w:val="7AB26F5C"/>
    <w:rsid w:val="7B0A0E92"/>
    <w:rsid w:val="7BBA7B4B"/>
    <w:rsid w:val="7BCA1FA7"/>
    <w:rsid w:val="7D934A19"/>
    <w:rsid w:val="7E0250CA"/>
    <w:rsid w:val="7E9E4028"/>
    <w:rsid w:val="7ECC0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39"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macro"/>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lang w:val="en-US" w:eastAsia="zh-CN" w:bidi="ar-SA"/>
    </w:rPr>
  </w:style>
  <w:style w:type="paragraph" w:styleId="4">
    <w:name w:val="Normal Indent"/>
    <w:basedOn w:val="1"/>
    <w:next w:val="5"/>
    <w:qFormat/>
    <w:uiPriority w:val="0"/>
    <w:pPr>
      <w:ind w:firstLine="420" w:firstLineChars="200"/>
    </w:pPr>
  </w:style>
  <w:style w:type="paragraph" w:styleId="5">
    <w:name w:val="Body Text"/>
    <w:basedOn w:val="1"/>
    <w:next w:val="6"/>
    <w:qFormat/>
    <w:uiPriority w:val="0"/>
    <w:pPr>
      <w:spacing w:after="120"/>
    </w:pPr>
    <w:rPr>
      <w:kern w:val="0"/>
      <w:sz w:val="20"/>
    </w:rPr>
  </w:style>
  <w:style w:type="paragraph" w:styleId="6">
    <w:name w:val="toc 5"/>
    <w:basedOn w:val="1"/>
    <w:next w:val="1"/>
    <w:unhideWhenUsed/>
    <w:qFormat/>
    <w:uiPriority w:val="39"/>
    <w:pPr>
      <w:ind w:left="1680" w:leftChars="800"/>
    </w:pPr>
  </w:style>
  <w:style w:type="paragraph" w:styleId="7">
    <w:name w:val="Body Text Indent"/>
    <w:basedOn w:val="1"/>
    <w:qFormat/>
    <w:uiPriority w:val="0"/>
    <w:pPr>
      <w:spacing w:after="120"/>
      <w:ind w:left="420"/>
    </w:pPr>
    <w:rPr>
      <w:rFonts w:ascii="Times New Roman" w:hAnsi="Times New Roman" w:cs="Times New Roman"/>
      <w:szCs w:val="24"/>
    </w:rPr>
  </w:style>
  <w:style w:type="paragraph" w:styleId="8">
    <w:name w:val="toc 3"/>
    <w:basedOn w:val="1"/>
    <w:next w:val="1"/>
    <w:qFormat/>
    <w:uiPriority w:val="39"/>
    <w:pPr>
      <w:ind w:left="840" w:leftChars="400"/>
    </w:pPr>
    <w:rPr>
      <w:rFonts w:ascii="Times New Roman" w:hAnsi="Times New Roman"/>
      <w:szCs w:val="24"/>
    </w:rPr>
  </w:style>
  <w:style w:type="paragraph" w:styleId="9">
    <w:name w:val="footer"/>
    <w:basedOn w:val="1"/>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List"/>
    <w:basedOn w:val="1"/>
    <w:qFormat/>
    <w:uiPriority w:val="0"/>
    <w:pPr>
      <w:ind w:left="420" w:hanging="420"/>
    </w:pPr>
    <w:rPr>
      <w:rFonts w:hint="eastAsia" w:ascii="Times New Roman" w:hAnsi="Times New Roman" w:eastAsia="宋体" w:cs="Times New Roman"/>
      <w:szCs w:val="20"/>
    </w:rPr>
  </w:style>
  <w:style w:type="paragraph" w:styleId="12">
    <w:name w:val="Title"/>
    <w:basedOn w:val="1"/>
    <w:next w:val="1"/>
    <w:qFormat/>
    <w:uiPriority w:val="0"/>
    <w:pPr>
      <w:spacing w:before="240" w:after="60"/>
      <w:jc w:val="center"/>
      <w:outlineLvl w:val="0"/>
    </w:pPr>
    <w:rPr>
      <w:rFonts w:ascii="Cambria" w:hAnsi="Cambria"/>
      <w:b/>
      <w:sz w:val="32"/>
    </w:rPr>
  </w:style>
  <w:style w:type="paragraph" w:styleId="13">
    <w:name w:val="Body Text First Indent 2"/>
    <w:basedOn w:val="7"/>
    <w:next w:val="14"/>
    <w:qFormat/>
    <w:uiPriority w:val="0"/>
    <w:pPr>
      <w:ind w:firstLine="420"/>
    </w:pPr>
  </w:style>
  <w:style w:type="paragraph" w:customStyle="1" w:styleId="14">
    <w:name w:val="表格文字"/>
    <w:basedOn w:val="11"/>
    <w:next w:val="1"/>
    <w:qFormat/>
    <w:uiPriority w:val="0"/>
    <w:pPr>
      <w:spacing w:line="420" w:lineRule="atLeast"/>
      <w:jc w:val="left"/>
      <w:textAlignment w:val="baseline"/>
    </w:pPr>
  </w:style>
  <w:style w:type="table" w:styleId="16">
    <w:name w:val="Table Grid"/>
    <w:basedOn w:val="15"/>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styleId="19">
    <w:name w:val="annotation reference"/>
    <w:basedOn w:val="17"/>
    <w:qFormat/>
    <w:uiPriority w:val="99"/>
    <w:rPr>
      <w:sz w:val="21"/>
      <w:szCs w:val="21"/>
    </w:rPr>
  </w:style>
  <w:style w:type="paragraph" w:customStyle="1" w:styleId="20">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character" w:customStyle="1" w:styleId="21">
    <w:name w:val="font11"/>
    <w:basedOn w:val="17"/>
    <w:qFormat/>
    <w:uiPriority w:val="0"/>
    <w:rPr>
      <w:rFonts w:hint="eastAsia" w:ascii="宋体" w:hAnsi="宋体" w:eastAsia="宋体" w:cs="宋体"/>
      <w:color w:val="000000"/>
      <w:sz w:val="21"/>
      <w:szCs w:val="21"/>
      <w:u w:val="none"/>
    </w:rPr>
  </w:style>
  <w:style w:type="character" w:customStyle="1" w:styleId="22">
    <w:name w:val="font31"/>
    <w:basedOn w:val="17"/>
    <w:qFormat/>
    <w:uiPriority w:val="0"/>
    <w:rPr>
      <w:rFonts w:hint="default" w:ascii="Times New Roman" w:hAnsi="Times New Roman" w:cs="Times New Roman"/>
      <w:color w:val="000000"/>
      <w:sz w:val="21"/>
      <w:szCs w:val="21"/>
      <w:u w:val="none"/>
    </w:rPr>
  </w:style>
  <w:style w:type="character" w:customStyle="1" w:styleId="23">
    <w:name w:val="font21"/>
    <w:basedOn w:val="17"/>
    <w:qFormat/>
    <w:uiPriority w:val="0"/>
    <w:rPr>
      <w:rFonts w:hint="eastAsia" w:ascii="宋体" w:hAnsi="宋体" w:eastAsia="宋体"/>
      <w:color w:val="000000"/>
      <w:sz w:val="20"/>
      <w:szCs w:val="20"/>
      <w:u w:val="none"/>
    </w:rPr>
  </w:style>
  <w:style w:type="paragraph" w:customStyle="1" w:styleId="24">
    <w:name w:val="样式1"/>
    <w:basedOn w:val="10"/>
    <w:qFormat/>
    <w:uiPriority w:val="0"/>
    <w:pPr>
      <w:pBdr>
        <w:bottom w:val="none" w:color="auto" w:sz="0" w:space="0"/>
      </w:pBdr>
    </w:pPr>
  </w:style>
  <w:style w:type="character" w:customStyle="1" w:styleId="25">
    <w:name w:val="0正文无编号样式"/>
    <w:basedOn w:val="17"/>
    <w:qFormat/>
    <w:uiPriority w:val="0"/>
  </w:style>
  <w:style w:type="character" w:customStyle="1" w:styleId="26">
    <w:name w:val="20"/>
    <w:basedOn w:val="17"/>
    <w:qFormat/>
    <w:uiPriority w:val="0"/>
    <w:rPr>
      <w:rFonts w:hint="default" w:ascii="Times New Roman" w:hAnsi="Times New Roman" w:cs="Times New Roman"/>
    </w:rPr>
  </w:style>
  <w:style w:type="paragraph" w:styleId="2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25</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2024-02-04T06:40:00Z</dcterms:created>
  <dc:creator>邓晨凤</dc:creator>
  <cp:lastModifiedBy>Administrator</cp:lastModifiedBy>
  <dcterms:modified xsi:type="dcterms:W3CDTF">2025-06-27T08:37:53Z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8CB342C7202146E58386A619AA6F65C6</vt:lpwstr>
  </property>
</Properties>
</file>