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F3B35">
      <w:pPr>
        <w:spacing w:line="360" w:lineRule="auto"/>
        <w:jc w:val="center"/>
        <w:rPr>
          <w:rFonts w:ascii="方正小标宋简体" w:hAnsi="方正小标宋简体" w:eastAsia="方正小标宋简体" w:cs="宋体"/>
          <w:color w:val="auto"/>
          <w:sz w:val="44"/>
          <w:szCs w:val="44"/>
          <w:highlight w:val="none"/>
          <w:u w:val="single"/>
        </w:rPr>
      </w:pPr>
      <w:bookmarkStart w:id="0" w:name="_Toc20384570"/>
      <w:r>
        <w:rPr>
          <w:rFonts w:hint="eastAsia" w:ascii="黑体" w:hAnsi="黑体" w:eastAsia="黑体" w:cs="宋体"/>
          <w:color w:val="auto"/>
          <w:sz w:val="32"/>
          <w:szCs w:val="32"/>
          <w:highlight w:val="none"/>
        </w:rPr>
        <w:t xml:space="preserve"> </w:t>
      </w:r>
    </w:p>
    <w:p w14:paraId="70D59F6B">
      <w:pPr>
        <w:spacing w:line="360" w:lineRule="auto"/>
        <w:jc w:val="center"/>
        <w:rPr>
          <w:rFonts w:ascii="方正小标宋简体" w:hAnsi="方正小标宋简体" w:eastAsia="方正小标宋简体" w:cs="宋体"/>
          <w:color w:val="auto"/>
          <w:sz w:val="48"/>
          <w:szCs w:val="48"/>
          <w:highlight w:val="none"/>
        </w:rPr>
      </w:pPr>
    </w:p>
    <w:p w14:paraId="6EAA48BA">
      <w:pPr>
        <w:spacing w:line="360" w:lineRule="auto"/>
        <w:jc w:val="center"/>
        <w:rPr>
          <w:rFonts w:ascii="方正小标宋简体" w:hAnsi="方正小标宋简体" w:eastAsia="方正小标宋简体" w:cs="宋体"/>
          <w:color w:val="auto"/>
          <w:sz w:val="48"/>
          <w:szCs w:val="48"/>
          <w:highlight w:val="none"/>
        </w:rPr>
      </w:pPr>
    </w:p>
    <w:p w14:paraId="426A2774">
      <w:pPr>
        <w:spacing w:line="360" w:lineRule="auto"/>
        <w:jc w:val="center"/>
        <w:rPr>
          <w:rFonts w:ascii="方正小标宋简体" w:hAnsi="方正小标宋简体" w:eastAsia="方正小标宋简体" w:cs="宋体"/>
          <w:color w:val="auto"/>
          <w:sz w:val="52"/>
          <w:szCs w:val="52"/>
          <w:highlight w:val="none"/>
        </w:rPr>
      </w:pPr>
      <w:r>
        <w:rPr>
          <w:rFonts w:hint="eastAsia" w:ascii="方正小标宋简体" w:hAnsi="方正小标宋简体" w:eastAsia="方正小标宋简体" w:cs="宋体"/>
          <w:color w:val="auto"/>
          <w:sz w:val="52"/>
          <w:szCs w:val="52"/>
          <w:highlight w:val="none"/>
        </w:rPr>
        <w:t>杭州市政府采购项目</w:t>
      </w:r>
    </w:p>
    <w:p w14:paraId="559B59A6">
      <w:pPr>
        <w:spacing w:line="360" w:lineRule="auto"/>
        <w:jc w:val="center"/>
        <w:rPr>
          <w:rFonts w:ascii="方正小标宋简体" w:hAnsi="方正小标宋简体" w:eastAsia="方正小标宋简体" w:cs="宋体"/>
          <w:color w:val="auto"/>
          <w:sz w:val="52"/>
          <w:szCs w:val="52"/>
          <w:highlight w:val="none"/>
        </w:rPr>
      </w:pPr>
      <w:r>
        <w:rPr>
          <w:rFonts w:hint="eastAsia" w:ascii="方正小标宋简体" w:hAnsi="方正小标宋简体" w:eastAsia="方正小标宋简体" w:cs="宋体"/>
          <w:color w:val="auto"/>
          <w:sz w:val="52"/>
          <w:szCs w:val="52"/>
          <w:highlight w:val="none"/>
        </w:rPr>
        <w:t>采购需求</w:t>
      </w:r>
    </w:p>
    <w:p w14:paraId="5931347F">
      <w:pPr>
        <w:spacing w:line="360" w:lineRule="auto"/>
        <w:jc w:val="center"/>
        <w:rPr>
          <w:rFonts w:ascii="仿宋_GB2312" w:hAnsi="仿宋_GB2312" w:eastAsia="仿宋_GB2312" w:cs="仿宋_GB2312"/>
          <w:color w:val="auto"/>
          <w:sz w:val="32"/>
          <w:szCs w:val="32"/>
          <w:highlight w:val="none"/>
        </w:rPr>
      </w:pPr>
    </w:p>
    <w:p w14:paraId="064E4584">
      <w:pPr>
        <w:spacing w:line="360" w:lineRule="auto"/>
        <w:jc w:val="center"/>
        <w:rPr>
          <w:rFonts w:ascii="方正小标宋简体" w:hAnsi="方正小标宋简体" w:eastAsia="方正小标宋简体"/>
          <w:color w:val="auto"/>
          <w:sz w:val="44"/>
          <w:szCs w:val="44"/>
          <w:highlight w:val="none"/>
        </w:rPr>
      </w:pPr>
    </w:p>
    <w:p w14:paraId="2D427C04">
      <w:pPr>
        <w:spacing w:line="360" w:lineRule="auto"/>
        <w:jc w:val="center"/>
        <w:rPr>
          <w:rFonts w:ascii="方正小标宋简体" w:hAnsi="方正小标宋简体" w:eastAsia="方正小标宋简体"/>
          <w:color w:val="auto"/>
          <w:sz w:val="44"/>
          <w:szCs w:val="44"/>
          <w:highlight w:val="none"/>
        </w:rPr>
      </w:pPr>
    </w:p>
    <w:p w14:paraId="0B1DD3E9">
      <w:pPr>
        <w:spacing w:line="360" w:lineRule="auto"/>
        <w:jc w:val="center"/>
        <w:rPr>
          <w:rFonts w:ascii="方正小标宋简体" w:hAnsi="方正小标宋简体" w:eastAsia="方正小标宋简体"/>
          <w:color w:val="auto"/>
          <w:sz w:val="44"/>
          <w:szCs w:val="44"/>
          <w:highlight w:val="none"/>
        </w:rPr>
      </w:pPr>
    </w:p>
    <w:p w14:paraId="34863F8C">
      <w:pPr>
        <w:spacing w:line="360" w:lineRule="auto"/>
        <w:ind w:left="420" w:leftChars="200" w:firstLine="1260" w:firstLineChars="450"/>
        <w:rPr>
          <w:rFonts w:ascii="方正小标宋简体" w:hAnsi="方正小标宋简体" w:eastAsia="方正小标宋简体"/>
          <w:color w:val="auto"/>
          <w:sz w:val="28"/>
          <w:szCs w:val="28"/>
          <w:highlight w:val="none"/>
          <w:u w:val="single"/>
        </w:rPr>
      </w:pPr>
      <w:r>
        <w:rPr>
          <w:rFonts w:hint="eastAsia" w:ascii="方正小标宋简体" w:hAnsi="方正小标宋简体" w:eastAsia="方正小标宋简体"/>
          <w:color w:val="auto"/>
          <w:sz w:val="28"/>
          <w:szCs w:val="28"/>
          <w:highlight w:val="none"/>
        </w:rPr>
        <w:t>采购单位：</w:t>
      </w:r>
      <w:r>
        <w:rPr>
          <w:rFonts w:hint="eastAsia" w:ascii="方正小标宋简体" w:hAnsi="方正小标宋简体" w:eastAsia="方正小标宋简体"/>
          <w:color w:val="auto"/>
          <w:sz w:val="28"/>
          <w:szCs w:val="28"/>
          <w:highlight w:val="none"/>
          <w:u w:val="single"/>
        </w:rPr>
        <w:t>杭州市西湖区人民政府古荡街道办事处</w:t>
      </w:r>
    </w:p>
    <w:p w14:paraId="23BF9721">
      <w:pPr>
        <w:spacing w:line="360" w:lineRule="auto"/>
        <w:ind w:left="420" w:leftChars="200" w:firstLine="1260" w:firstLineChars="450"/>
        <w:rPr>
          <w:rFonts w:hint="eastAsia" w:ascii="方正小标宋简体" w:hAnsi="方正小标宋简体" w:eastAsia="方正小标宋简体"/>
          <w:color w:val="auto"/>
          <w:sz w:val="28"/>
          <w:szCs w:val="28"/>
          <w:highlight w:val="none"/>
          <w:u w:val="single"/>
          <w:lang w:eastAsia="zh-CN"/>
        </w:rPr>
      </w:pPr>
      <w:r>
        <w:rPr>
          <w:rFonts w:ascii="方正小标宋简体" w:hAnsi="方正小标宋简体" w:eastAsia="方正小标宋简体"/>
          <w:color w:val="auto"/>
          <w:sz w:val="28"/>
          <w:szCs w:val="28"/>
          <w:highlight w:val="none"/>
        </w:rPr>
        <w:t>项目名称</w:t>
      </w:r>
      <w:r>
        <w:rPr>
          <w:rFonts w:hint="eastAsia" w:ascii="方正小标宋简体" w:hAnsi="方正小标宋简体" w:eastAsia="方正小标宋简体"/>
          <w:color w:val="auto"/>
          <w:sz w:val="28"/>
          <w:szCs w:val="28"/>
          <w:highlight w:val="none"/>
        </w:rPr>
        <w:t>：</w:t>
      </w:r>
      <w:r>
        <w:rPr>
          <w:rFonts w:hint="eastAsia" w:ascii="方正小标宋简体" w:hAnsi="方正小标宋简体" w:eastAsia="方正小标宋简体"/>
          <w:color w:val="auto"/>
          <w:sz w:val="28"/>
          <w:szCs w:val="28"/>
          <w:highlight w:val="none"/>
          <w:u w:val="single"/>
          <w:lang w:eastAsia="zh-CN"/>
        </w:rPr>
        <w:t>益乐新村北区污水零直排“回头看”项目</w:t>
      </w:r>
    </w:p>
    <w:p w14:paraId="040B1FD1">
      <w:pPr>
        <w:spacing w:line="360" w:lineRule="auto"/>
        <w:ind w:left="420" w:leftChars="200" w:firstLine="1260" w:firstLineChars="450"/>
        <w:rPr>
          <w:rFonts w:ascii="方正小标宋简体" w:hAnsi="方正小标宋简体" w:eastAsia="方正小标宋简体"/>
          <w:color w:val="auto"/>
          <w:sz w:val="28"/>
          <w:szCs w:val="28"/>
          <w:highlight w:val="none"/>
          <w:u w:val="single"/>
        </w:rPr>
      </w:pPr>
      <w:r>
        <w:rPr>
          <w:rFonts w:hint="eastAsia" w:ascii="方正小标宋简体" w:hAnsi="方正小标宋简体" w:eastAsia="方正小标宋简体"/>
          <w:color w:val="auto"/>
          <w:sz w:val="28"/>
          <w:szCs w:val="28"/>
          <w:highlight w:val="none"/>
        </w:rPr>
        <w:t>编制单位：</w:t>
      </w:r>
      <w:r>
        <w:rPr>
          <w:rFonts w:hint="eastAsia" w:ascii="方正小标宋简体" w:hAnsi="方正小标宋简体" w:eastAsia="方正小标宋简体"/>
          <w:color w:val="auto"/>
          <w:sz w:val="28"/>
          <w:szCs w:val="28"/>
          <w:highlight w:val="none"/>
          <w:u w:val="single"/>
        </w:rPr>
        <w:t>杭州市西湖区人民政府古荡街道办事处</w:t>
      </w:r>
    </w:p>
    <w:p w14:paraId="5B3DDF6C">
      <w:pPr>
        <w:spacing w:line="360" w:lineRule="auto"/>
        <w:ind w:left="420" w:leftChars="200" w:firstLine="1260" w:firstLineChars="450"/>
        <w:rPr>
          <w:rFonts w:ascii="方正小标宋简体" w:hAnsi="方正小标宋简体" w:eastAsia="方正小标宋简体"/>
          <w:color w:val="auto"/>
          <w:sz w:val="28"/>
          <w:szCs w:val="28"/>
          <w:highlight w:val="none"/>
          <w:u w:val="single"/>
        </w:rPr>
      </w:pPr>
      <w:r>
        <w:rPr>
          <w:rFonts w:hint="eastAsia" w:ascii="方正小标宋简体" w:hAnsi="方正小标宋简体" w:eastAsia="方正小标宋简体"/>
          <w:color w:val="auto"/>
          <w:sz w:val="28"/>
          <w:szCs w:val="28"/>
          <w:highlight w:val="none"/>
        </w:rPr>
        <w:t>编制时间：</w:t>
      </w:r>
      <w:r>
        <w:rPr>
          <w:rFonts w:hint="eastAsia" w:ascii="方正小标宋简体" w:hAnsi="方正小标宋简体" w:eastAsia="方正小标宋简体"/>
          <w:color w:val="auto"/>
          <w:sz w:val="28"/>
          <w:szCs w:val="28"/>
          <w:highlight w:val="none"/>
          <w:u w:val="single"/>
        </w:rPr>
        <w:t>202</w:t>
      </w:r>
      <w:r>
        <w:rPr>
          <w:rFonts w:hint="eastAsia" w:ascii="方正小标宋简体" w:hAnsi="方正小标宋简体" w:eastAsia="方正小标宋简体"/>
          <w:color w:val="auto"/>
          <w:sz w:val="28"/>
          <w:szCs w:val="28"/>
          <w:highlight w:val="none"/>
          <w:u w:val="single"/>
          <w:lang w:val="en-US" w:eastAsia="zh-CN"/>
        </w:rPr>
        <w:t>6</w:t>
      </w:r>
      <w:r>
        <w:rPr>
          <w:rFonts w:hint="eastAsia" w:ascii="方正小标宋简体" w:hAnsi="方正小标宋简体" w:eastAsia="方正小标宋简体"/>
          <w:color w:val="auto"/>
          <w:sz w:val="28"/>
          <w:szCs w:val="28"/>
          <w:highlight w:val="none"/>
          <w:u w:val="single"/>
        </w:rPr>
        <w:t>年</w:t>
      </w:r>
      <w:r>
        <w:rPr>
          <w:rFonts w:hint="eastAsia" w:ascii="方正小标宋简体" w:hAnsi="方正小标宋简体" w:eastAsia="方正小标宋简体"/>
          <w:color w:val="auto"/>
          <w:sz w:val="28"/>
          <w:szCs w:val="28"/>
          <w:highlight w:val="none"/>
          <w:u w:val="single"/>
          <w:lang w:val="en-US" w:eastAsia="zh-CN"/>
        </w:rPr>
        <w:t>2</w:t>
      </w:r>
      <w:r>
        <w:rPr>
          <w:rFonts w:hint="eastAsia" w:ascii="方正小标宋简体" w:hAnsi="方正小标宋简体" w:eastAsia="方正小标宋简体"/>
          <w:color w:val="auto"/>
          <w:sz w:val="28"/>
          <w:szCs w:val="28"/>
          <w:highlight w:val="none"/>
          <w:u w:val="single"/>
        </w:rPr>
        <w:t>月</w:t>
      </w:r>
      <w:r>
        <w:rPr>
          <w:rFonts w:hint="eastAsia" w:ascii="方正小标宋简体" w:hAnsi="方正小标宋简体" w:eastAsia="方正小标宋简体"/>
          <w:color w:val="auto"/>
          <w:sz w:val="28"/>
          <w:szCs w:val="28"/>
          <w:highlight w:val="none"/>
          <w:u w:val="single"/>
          <w:lang w:val="en-US" w:eastAsia="zh-CN"/>
        </w:rPr>
        <w:t>4</w:t>
      </w:r>
      <w:r>
        <w:rPr>
          <w:rFonts w:hint="eastAsia" w:ascii="方正小标宋简体" w:hAnsi="方正小标宋简体" w:eastAsia="方正小标宋简体"/>
          <w:color w:val="auto"/>
          <w:sz w:val="28"/>
          <w:szCs w:val="28"/>
          <w:highlight w:val="none"/>
          <w:u w:val="single"/>
        </w:rPr>
        <w:t>日</w:t>
      </w:r>
    </w:p>
    <w:p w14:paraId="5074DA87">
      <w:pPr>
        <w:spacing w:line="360" w:lineRule="auto"/>
        <w:jc w:val="left"/>
        <w:rPr>
          <w:rFonts w:hint="eastAsia" w:ascii="宋体" w:hAnsi="宋体" w:cs="仿宋_GB2312"/>
          <w:b/>
          <w:bCs/>
          <w:sz w:val="24"/>
        </w:rPr>
      </w:pPr>
      <w:r>
        <w:rPr>
          <w:rFonts w:ascii="黑体" w:hAnsi="黑体" w:eastAsia="黑体"/>
          <w:color w:val="auto"/>
          <w:sz w:val="32"/>
          <w:szCs w:val="32"/>
          <w:highlight w:val="none"/>
        </w:rPr>
        <w:br w:type="page"/>
      </w:r>
      <w:bookmarkEnd w:id="0"/>
      <w:r>
        <w:rPr>
          <w:rFonts w:hint="eastAsia" w:ascii="宋体" w:hAnsi="宋体" w:cs="仿宋_GB2312"/>
          <w:b/>
          <w:bCs/>
          <w:sz w:val="24"/>
        </w:rPr>
        <w:t>一、工程概况</w:t>
      </w:r>
    </w:p>
    <w:p w14:paraId="1B346AB0">
      <w:pPr>
        <w:spacing w:line="360" w:lineRule="auto"/>
        <w:jc w:val="left"/>
        <w:rPr>
          <w:rFonts w:hint="eastAsia" w:ascii="宋体" w:hAnsi="宋体" w:cs="仿宋_GB2312"/>
          <w:sz w:val="24"/>
        </w:rPr>
      </w:pPr>
      <w:r>
        <w:rPr>
          <w:rFonts w:hint="eastAsia" w:ascii="宋体" w:hAnsi="宋体"/>
          <w:sz w:val="24"/>
        </w:rPr>
        <w:t xml:space="preserve"> 本项目为</w:t>
      </w:r>
      <w:r>
        <w:rPr>
          <w:rFonts w:hint="eastAsia" w:ascii="宋体" w:hAnsi="宋体"/>
          <w:sz w:val="24"/>
          <w:lang w:eastAsia="zh-CN"/>
        </w:rPr>
        <w:t>益乐新村北区污水零直排“回头看”项目</w:t>
      </w:r>
      <w:r>
        <w:rPr>
          <w:rFonts w:hint="eastAsia" w:ascii="宋体" w:hAnsi="宋体"/>
          <w:sz w:val="24"/>
        </w:rPr>
        <w:t>，位于杭州市西湖区。本次招标范围：包括现状沥青路面及铺装路面翻新、排水管、弃流井及阀门井、消能井改造、安装电气及工艺等</w:t>
      </w:r>
      <w:r>
        <w:rPr>
          <w:rFonts w:hint="eastAsia" w:ascii="宋体" w:hAnsi="宋体"/>
          <w:sz w:val="24"/>
          <w:lang w:eastAsia="zh-CN"/>
        </w:rPr>
        <w:t>。</w:t>
      </w:r>
      <w:r>
        <w:rPr>
          <w:rFonts w:hint="eastAsia" w:ascii="宋体" w:hAnsi="宋体" w:cs="仿宋_GB2312"/>
          <w:b/>
          <w:bCs/>
          <w:sz w:val="24"/>
        </w:rPr>
        <w:t xml:space="preserve">二、工程内容 </w:t>
      </w:r>
    </w:p>
    <w:p w14:paraId="2BD9A2BA">
      <w:pPr>
        <w:spacing w:line="360" w:lineRule="auto"/>
        <w:ind w:left="210" w:leftChars="100"/>
        <w:jc w:val="left"/>
        <w:rPr>
          <w:rFonts w:hint="eastAsia" w:ascii="宋体" w:hAnsi="宋体" w:cs="宋体"/>
          <w:sz w:val="24"/>
          <w:lang w:eastAsia="zh-CN"/>
        </w:rPr>
      </w:pPr>
      <w:r>
        <w:rPr>
          <w:rFonts w:hint="eastAsia" w:ascii="宋体" w:hAnsi="宋体" w:cs="仿宋_GB2312"/>
          <w:sz w:val="24"/>
        </w:rPr>
        <w:t>1.工程名称：</w:t>
      </w:r>
      <w:r>
        <w:rPr>
          <w:rFonts w:hint="eastAsia" w:ascii="宋体" w:hAnsi="宋体" w:cs="宋体"/>
          <w:sz w:val="24"/>
          <w:lang w:eastAsia="zh-CN"/>
        </w:rPr>
        <w:t>益乐新村北区污水零直排“回头看”项目</w:t>
      </w:r>
    </w:p>
    <w:p w14:paraId="44B80EBD">
      <w:pPr>
        <w:spacing w:line="360" w:lineRule="auto"/>
        <w:ind w:left="210" w:leftChars="100"/>
        <w:jc w:val="left"/>
        <w:rPr>
          <w:rFonts w:hint="eastAsia" w:ascii="宋体" w:hAnsi="宋体" w:cs="仿宋_GB2312"/>
          <w:sz w:val="24"/>
        </w:rPr>
      </w:pPr>
      <w:r>
        <w:rPr>
          <w:rFonts w:hint="eastAsia" w:ascii="宋体" w:hAnsi="宋体" w:cs="仿宋_GB2312"/>
          <w:sz w:val="24"/>
        </w:rPr>
        <w:t>2.现场条件：</w:t>
      </w:r>
    </w:p>
    <w:p w14:paraId="54436B0C">
      <w:pPr>
        <w:spacing w:line="360" w:lineRule="auto"/>
        <w:ind w:firstLine="420"/>
        <w:jc w:val="left"/>
        <w:rPr>
          <w:rFonts w:hint="eastAsia" w:ascii="宋体" w:hAnsi="宋体" w:cs="仿宋_GB2312"/>
          <w:sz w:val="24"/>
        </w:rPr>
      </w:pPr>
      <w:r>
        <w:rPr>
          <w:rFonts w:hint="eastAsia" w:ascii="宋体" w:hAnsi="宋体" w:cs="仿宋_GB2312"/>
          <w:sz w:val="24"/>
        </w:rPr>
        <w:t>（1）已具备施工条件，但施工不能影响周边居民的正常的休息。</w:t>
      </w:r>
    </w:p>
    <w:p w14:paraId="3A384E29">
      <w:pPr>
        <w:spacing w:line="360" w:lineRule="auto"/>
        <w:ind w:firstLine="420"/>
        <w:jc w:val="left"/>
        <w:rPr>
          <w:rFonts w:hint="eastAsia" w:ascii="宋体" w:hAnsi="宋体" w:cs="仿宋_GB2312"/>
          <w:sz w:val="24"/>
        </w:rPr>
      </w:pPr>
      <w:r>
        <w:rPr>
          <w:rFonts w:hint="eastAsia" w:ascii="宋体" w:hAnsi="宋体" w:cs="仿宋_GB2312"/>
          <w:sz w:val="24"/>
        </w:rPr>
        <w:t>（2）采购人不组织现场踏勘，供应商应自行对工程现场和周围环境进行踏勘和了解，以获取有关编制响应文件和签署合同所需的各种资料，并应充分考虑影响本次报价的因素、预计实施过程中各种不利因素，由此可能发生的费用均由供应商考虑并包含在磋商报价中。成交后，供应商不得再以不完全了解现场情况等为理由而提出额外付款或延长工期等的要求。供应商应承担现场踏勘的责任和风险，踏勘现场的费用由供应商自行承担。</w:t>
      </w:r>
    </w:p>
    <w:p w14:paraId="7DAFF2F2">
      <w:pPr>
        <w:spacing w:line="360" w:lineRule="auto"/>
        <w:ind w:left="210" w:leftChars="100"/>
        <w:jc w:val="left"/>
        <w:rPr>
          <w:rFonts w:hint="eastAsia" w:ascii="宋体" w:hAnsi="宋体" w:cs="仿宋_GB2312"/>
          <w:sz w:val="24"/>
        </w:rPr>
      </w:pPr>
      <w:r>
        <w:rPr>
          <w:rFonts w:hint="eastAsia" w:ascii="宋体" w:hAnsi="宋体" w:cs="仿宋_GB2312"/>
          <w:sz w:val="24"/>
        </w:rPr>
        <w:t>3.工程承包范围：详见工程量清单及图纸。</w:t>
      </w:r>
    </w:p>
    <w:p w14:paraId="06835E95">
      <w:pPr>
        <w:spacing w:line="360" w:lineRule="auto"/>
        <w:ind w:left="210" w:leftChars="100"/>
        <w:jc w:val="left"/>
        <w:rPr>
          <w:rFonts w:hint="eastAsia" w:ascii="宋体" w:hAnsi="宋体" w:cs="仿宋_GB2312"/>
          <w:sz w:val="24"/>
        </w:rPr>
      </w:pPr>
      <w:r>
        <w:rPr>
          <w:rFonts w:hint="eastAsia" w:ascii="宋体" w:hAnsi="宋体" w:cs="仿宋_GB2312"/>
          <w:sz w:val="24"/>
        </w:rPr>
        <w:t>4.工程质量标准：</w:t>
      </w:r>
    </w:p>
    <w:p w14:paraId="6F15CE6B">
      <w:pPr>
        <w:spacing w:line="360" w:lineRule="auto"/>
        <w:ind w:left="210" w:leftChars="100"/>
        <w:jc w:val="left"/>
        <w:rPr>
          <w:rFonts w:hint="eastAsia" w:ascii="宋体" w:hAnsi="宋体" w:cs="仿宋_GB2312"/>
          <w:sz w:val="24"/>
        </w:rPr>
      </w:pPr>
      <w:r>
        <w:rPr>
          <w:rFonts w:hint="eastAsia" w:ascii="宋体" w:hAnsi="宋体" w:cs="仿宋_GB2312"/>
          <w:sz w:val="24"/>
        </w:rPr>
        <w:t>符合现行国家有关工程施工验收规范和标准的合格要求，注：如上述国家标准有最新版本或替代标准颁布，则执行最新版本或替代标准。</w:t>
      </w:r>
    </w:p>
    <w:p w14:paraId="02321803">
      <w:pPr>
        <w:spacing w:line="360" w:lineRule="auto"/>
        <w:ind w:left="210" w:leftChars="100"/>
        <w:jc w:val="left"/>
        <w:rPr>
          <w:rFonts w:hint="eastAsia" w:ascii="宋体" w:hAnsi="宋体" w:cs="仿宋_GB2312"/>
          <w:sz w:val="24"/>
        </w:rPr>
      </w:pPr>
      <w:r>
        <w:rPr>
          <w:rFonts w:hint="eastAsia" w:ascii="宋体" w:hAnsi="宋体" w:cs="仿宋_GB2312"/>
          <w:sz w:val="24"/>
        </w:rPr>
        <w:t>5.工程施工要求</w:t>
      </w:r>
    </w:p>
    <w:p w14:paraId="11B977F2">
      <w:pPr>
        <w:spacing w:line="360" w:lineRule="auto"/>
        <w:jc w:val="left"/>
        <w:rPr>
          <w:rFonts w:hint="eastAsia" w:ascii="宋体" w:hAnsi="宋体"/>
          <w:sz w:val="24"/>
        </w:rPr>
      </w:pPr>
      <w:r>
        <w:rPr>
          <w:rFonts w:ascii="宋体" w:hAnsi="宋体"/>
          <w:sz w:val="24"/>
        </w:rPr>
        <w:t>（1）</w:t>
      </w:r>
      <w:r>
        <w:rPr>
          <w:rFonts w:hint="eastAsia" w:ascii="宋体" w:hAnsi="宋体"/>
          <w:sz w:val="24"/>
        </w:rPr>
        <w:t>工程技术规范要求：</w:t>
      </w:r>
    </w:p>
    <w:p w14:paraId="4288736C">
      <w:pPr>
        <w:spacing w:line="360" w:lineRule="auto"/>
        <w:jc w:val="left"/>
        <w:rPr>
          <w:rFonts w:hint="eastAsia" w:ascii="宋体" w:hAnsi="宋体"/>
          <w:sz w:val="24"/>
        </w:rPr>
      </w:pPr>
      <w:r>
        <w:rPr>
          <w:rFonts w:hint="eastAsia" w:ascii="宋体" w:hAnsi="宋体"/>
          <w:sz w:val="24"/>
        </w:rPr>
        <w:t>本工程项目的材料、设备、施工必须达到现行中华人民共和国及省、市、行业的一切有关法规、规范的要求，如标准及规范要求有出入则以较严格者为准。</w:t>
      </w:r>
    </w:p>
    <w:p w14:paraId="3854F4A2">
      <w:pPr>
        <w:spacing w:line="360" w:lineRule="auto"/>
        <w:jc w:val="left"/>
        <w:rPr>
          <w:rFonts w:hint="eastAsia" w:ascii="宋体" w:hAnsi="宋体"/>
          <w:sz w:val="24"/>
        </w:rPr>
      </w:pPr>
      <w:r>
        <w:rPr>
          <w:rFonts w:hint="eastAsia" w:ascii="宋体" w:hAnsi="宋体"/>
          <w:sz w:val="24"/>
        </w:rPr>
        <w:t>对本工程所采用的标准或规范的任何部分，当成交供应商认为改用其他标准或规范，同样能够保证工程达到相同质量或更高的质量时，成交供应商可提出申请报经采购人审批后采用，但这种批准不免除成交供应商根据合同规定应承担的任何责任。申请报告中应对原采用的标准或规范与所建议改用的其他标准或规范之间的差异进行详细说明。获批之前成交供应商仍应执行原采用的标准或规范。</w:t>
      </w:r>
    </w:p>
    <w:p w14:paraId="65CAD27A">
      <w:pPr>
        <w:spacing w:line="360" w:lineRule="auto"/>
        <w:jc w:val="left"/>
        <w:rPr>
          <w:rFonts w:hint="eastAsia" w:ascii="宋体" w:hAnsi="宋体"/>
          <w:sz w:val="24"/>
        </w:rPr>
      </w:pPr>
      <w:r>
        <w:rPr>
          <w:rFonts w:ascii="宋体" w:hAnsi="宋体"/>
          <w:sz w:val="24"/>
        </w:rPr>
        <w:t>（2）</w:t>
      </w:r>
      <w:r>
        <w:rPr>
          <w:rFonts w:hint="eastAsia" w:ascii="宋体" w:hAnsi="宋体"/>
          <w:sz w:val="24"/>
        </w:rPr>
        <w:t>安全文明施工要求</w:t>
      </w:r>
    </w:p>
    <w:p w14:paraId="4128CEF6">
      <w:pPr>
        <w:spacing w:line="360" w:lineRule="auto"/>
        <w:jc w:val="left"/>
        <w:rPr>
          <w:rFonts w:hint="eastAsia" w:ascii="宋体" w:hAnsi="宋体"/>
          <w:sz w:val="24"/>
        </w:rPr>
      </w:pPr>
      <w:r>
        <w:rPr>
          <w:rFonts w:hint="eastAsia" w:ascii="宋体" w:hAnsi="宋体"/>
          <w:sz w:val="24"/>
        </w:rPr>
        <w:t>①成交供应商应对进度施工现场的施工人员进行安全文明施工教育，配备必要的劳动保护用具，保证工程的施工安全和人身安全。</w:t>
      </w:r>
    </w:p>
    <w:p w14:paraId="27BD1139">
      <w:pPr>
        <w:spacing w:line="360" w:lineRule="auto"/>
        <w:jc w:val="left"/>
        <w:rPr>
          <w:rFonts w:hint="eastAsia" w:ascii="宋体" w:hAnsi="宋体"/>
          <w:sz w:val="24"/>
        </w:rPr>
      </w:pPr>
      <w:r>
        <w:rPr>
          <w:rFonts w:hint="eastAsia" w:ascii="宋体" w:hAnsi="宋体"/>
          <w:sz w:val="24"/>
        </w:rPr>
        <w:t>②成交供应商应强化安全意识，抓好安全生产，杜绝事故发生，施工中若因供应商原因发生安全及人身事故由成交供应商自行负责处理，并承担全部费用。</w:t>
      </w:r>
    </w:p>
    <w:p w14:paraId="5F2E0DDC">
      <w:pPr>
        <w:spacing w:line="360" w:lineRule="auto"/>
        <w:jc w:val="left"/>
        <w:rPr>
          <w:rFonts w:hint="eastAsia" w:ascii="宋体" w:hAnsi="宋体"/>
          <w:sz w:val="24"/>
        </w:rPr>
      </w:pPr>
      <w:r>
        <w:rPr>
          <w:rFonts w:hint="eastAsia" w:ascii="宋体" w:hAnsi="宋体"/>
          <w:sz w:val="24"/>
        </w:rPr>
        <w:t>③成交供应商须遵守地方政府和有关部门及采购人对施工场地交通、环卫、安全和施工噪音等的管理规定，并按规定办理相关审批手续。</w:t>
      </w:r>
    </w:p>
    <w:p w14:paraId="33DC7985">
      <w:pPr>
        <w:spacing w:line="360" w:lineRule="auto"/>
        <w:jc w:val="left"/>
        <w:rPr>
          <w:rFonts w:hint="eastAsia" w:ascii="宋体" w:hAnsi="宋体"/>
          <w:sz w:val="24"/>
        </w:rPr>
      </w:pPr>
      <w:r>
        <w:rPr>
          <w:rFonts w:hint="eastAsia" w:ascii="宋体" w:hAnsi="宋体"/>
          <w:sz w:val="24"/>
        </w:rPr>
        <w:t>④成交供应商应采取有效措施尽量减小尘土和噪音污染，需要进行夜间作业时应经有关部门批准。</w:t>
      </w:r>
    </w:p>
    <w:p w14:paraId="2C4AA71D">
      <w:pPr>
        <w:spacing w:line="360" w:lineRule="auto"/>
        <w:jc w:val="left"/>
        <w:rPr>
          <w:rFonts w:hint="eastAsia" w:ascii="宋体" w:hAnsi="宋体"/>
          <w:sz w:val="24"/>
        </w:rPr>
      </w:pPr>
      <w:r>
        <w:rPr>
          <w:rFonts w:ascii="宋体" w:hAnsi="宋体"/>
          <w:sz w:val="24"/>
        </w:rPr>
        <w:t>（3）</w:t>
      </w:r>
      <w:r>
        <w:rPr>
          <w:rFonts w:hint="eastAsia" w:ascii="宋体" w:hAnsi="宋体"/>
          <w:sz w:val="24"/>
        </w:rPr>
        <w:t>其它施工过程中需注意事项</w:t>
      </w:r>
    </w:p>
    <w:p w14:paraId="5F15C1A5">
      <w:pPr>
        <w:spacing w:line="360" w:lineRule="auto"/>
        <w:jc w:val="left"/>
        <w:rPr>
          <w:rFonts w:hint="eastAsia" w:ascii="宋体" w:hAnsi="宋体"/>
          <w:sz w:val="24"/>
        </w:rPr>
      </w:pPr>
      <w:r>
        <w:rPr>
          <w:rFonts w:hint="eastAsia" w:ascii="宋体" w:hAnsi="宋体"/>
          <w:sz w:val="24"/>
        </w:rPr>
        <w:t>本工程在施工期间，成交供应商应注意保护好采购人周边现有成品，如有损坏，须无条件修复至采购人满意。</w:t>
      </w:r>
    </w:p>
    <w:p w14:paraId="21934496">
      <w:pPr>
        <w:spacing w:line="360" w:lineRule="auto"/>
        <w:jc w:val="left"/>
        <w:rPr>
          <w:rFonts w:hint="eastAsia" w:ascii="宋体" w:hAnsi="宋体"/>
          <w:sz w:val="24"/>
        </w:rPr>
      </w:pPr>
      <w:r>
        <w:rPr>
          <w:rFonts w:hint="eastAsia" w:ascii="宋体" w:hAnsi="宋体"/>
          <w:sz w:val="24"/>
        </w:rPr>
        <w:t>①废弃材料不得丢弃或随意堆放在施工现场，清理产生的拆除费、搬运费、交通运输费等各项费用均由供应商自行考虑并计入响应总价且一次性包干</w:t>
      </w:r>
    </w:p>
    <w:p w14:paraId="0C53C2A5">
      <w:pPr>
        <w:spacing w:line="360" w:lineRule="auto"/>
        <w:jc w:val="left"/>
        <w:rPr>
          <w:rFonts w:hint="eastAsia" w:ascii="宋体" w:hAnsi="宋体"/>
          <w:sz w:val="24"/>
        </w:rPr>
      </w:pPr>
      <w:r>
        <w:rPr>
          <w:rFonts w:hint="eastAsia" w:ascii="宋体" w:hAnsi="宋体"/>
          <w:sz w:val="24"/>
        </w:rPr>
        <w:t>②工程完工后，成交供应商需对施工现场进行全面的清洁工作。</w:t>
      </w:r>
    </w:p>
    <w:p w14:paraId="3F4E2A2F">
      <w:pPr>
        <w:spacing w:line="360" w:lineRule="auto"/>
        <w:ind w:left="210" w:leftChars="100"/>
        <w:jc w:val="left"/>
        <w:rPr>
          <w:rFonts w:hint="eastAsia" w:ascii="宋体" w:hAnsi="宋体" w:cs="仿宋_GB2312"/>
          <w:sz w:val="24"/>
        </w:rPr>
      </w:pPr>
      <w:r>
        <w:rPr>
          <w:rFonts w:hint="eastAsia" w:ascii="宋体" w:hAnsi="宋体" w:cs="仿宋_GB2312"/>
          <w:sz w:val="24"/>
        </w:rPr>
        <w:t>6.工程管理要求</w:t>
      </w:r>
    </w:p>
    <w:p w14:paraId="3D1A7BB3">
      <w:pPr>
        <w:spacing w:line="360" w:lineRule="auto"/>
        <w:jc w:val="left"/>
        <w:rPr>
          <w:rFonts w:hint="eastAsia" w:ascii="宋体" w:hAnsi="宋体"/>
          <w:sz w:val="24"/>
        </w:rPr>
      </w:pPr>
      <w:r>
        <w:rPr>
          <w:rFonts w:ascii="宋体" w:hAnsi="宋体"/>
          <w:sz w:val="24"/>
        </w:rPr>
        <w:t>（1）</w:t>
      </w:r>
      <w:r>
        <w:rPr>
          <w:rFonts w:hint="eastAsia" w:ascii="宋体" w:hAnsi="宋体"/>
          <w:sz w:val="24"/>
        </w:rPr>
        <w:t>工程管理原则：</w:t>
      </w:r>
    </w:p>
    <w:p w14:paraId="67CCBB9B">
      <w:pPr>
        <w:spacing w:line="360" w:lineRule="auto"/>
        <w:jc w:val="left"/>
        <w:rPr>
          <w:rFonts w:hint="eastAsia" w:ascii="宋体" w:hAnsi="宋体"/>
          <w:sz w:val="24"/>
        </w:rPr>
      </w:pPr>
      <w:r>
        <w:rPr>
          <w:rFonts w:hint="eastAsia" w:ascii="宋体" w:hAnsi="宋体"/>
          <w:sz w:val="24"/>
        </w:rPr>
        <w:t>①本工程承包范围内的工程项目，成交供应商未经采购人同意，一律不得转包，一经发现采购人有权立即取消其承包资格，成交供应商应承担由此引起的一切经济责任和法律责任；</w:t>
      </w:r>
    </w:p>
    <w:p w14:paraId="1FF758E7">
      <w:pPr>
        <w:spacing w:line="360" w:lineRule="auto"/>
        <w:jc w:val="left"/>
        <w:rPr>
          <w:rFonts w:hint="eastAsia" w:ascii="宋体" w:hAnsi="宋体"/>
          <w:sz w:val="24"/>
        </w:rPr>
      </w:pPr>
      <w:r>
        <w:rPr>
          <w:rFonts w:hint="eastAsia" w:ascii="宋体" w:hAnsi="宋体"/>
          <w:sz w:val="24"/>
        </w:rPr>
        <w:t>②在工程实施过程中，如发现成交供应商为挂靠单位，采购人可立即终止合同。成交供应商应承担由此引起的一切经济责任和法律责任。</w:t>
      </w:r>
    </w:p>
    <w:p w14:paraId="16B0D98D">
      <w:pPr>
        <w:spacing w:line="360" w:lineRule="auto"/>
        <w:jc w:val="left"/>
        <w:rPr>
          <w:rFonts w:hint="eastAsia" w:ascii="宋体" w:hAnsi="宋体"/>
          <w:sz w:val="24"/>
        </w:rPr>
      </w:pPr>
      <w:r>
        <w:rPr>
          <w:rFonts w:hint="eastAsia" w:ascii="宋体" w:hAnsi="宋体"/>
          <w:sz w:val="24"/>
        </w:rPr>
        <w:t>③成交供应商须严格按照已确认的施工技术方案组织实施，并无条件接受采购人的项目管理部门的管理。</w:t>
      </w:r>
    </w:p>
    <w:p w14:paraId="236F225F">
      <w:pPr>
        <w:spacing w:line="360" w:lineRule="auto"/>
        <w:jc w:val="left"/>
        <w:rPr>
          <w:rFonts w:hint="eastAsia" w:ascii="宋体" w:hAnsi="宋体"/>
          <w:sz w:val="24"/>
        </w:rPr>
      </w:pPr>
      <w:r>
        <w:rPr>
          <w:rFonts w:hint="eastAsia" w:ascii="宋体" w:hAnsi="宋体"/>
          <w:sz w:val="24"/>
        </w:rPr>
        <w:t>④成交供应商在响应文件中确定的工程项目经理及项目管理班子人员，未经采购人同意，不得调换和撤离，本工程确定的成交人的项目管理班子成员，不得兼任其他工程职务并应完全到位。采购人有权要求成交供应商撤换工作不负责任、管理不力、贻误工期、违法乱纪及造成严重安全事故和工程质量事故的项目班子的任何人员，直至项目经理本人。如项目班子成员被采购人撤换，按项目班子成员不到位处罚额度进行处罚，成交供应商不得姑息迁就，拖延撤换和有碍工程进展，否则，采购人有权单方面终止合同，并对由此造成的采购人损失，予以追究赔偿。</w:t>
      </w:r>
    </w:p>
    <w:p w14:paraId="582D058C">
      <w:pPr>
        <w:spacing w:line="360" w:lineRule="auto"/>
        <w:jc w:val="left"/>
        <w:rPr>
          <w:rFonts w:hint="eastAsia" w:ascii="宋体" w:hAnsi="宋体"/>
          <w:sz w:val="24"/>
        </w:rPr>
      </w:pPr>
      <w:r>
        <w:rPr>
          <w:rFonts w:ascii="宋体" w:hAnsi="宋体"/>
          <w:sz w:val="24"/>
        </w:rPr>
        <w:t>（2）</w:t>
      </w:r>
      <w:r>
        <w:rPr>
          <w:rFonts w:hint="eastAsia" w:ascii="宋体" w:hAnsi="宋体"/>
          <w:sz w:val="24"/>
        </w:rPr>
        <w:t>项目管理班子人员要求:</w:t>
      </w:r>
    </w:p>
    <w:p w14:paraId="045385A8">
      <w:pPr>
        <w:spacing w:line="360" w:lineRule="auto"/>
        <w:jc w:val="left"/>
        <w:rPr>
          <w:rFonts w:hint="eastAsia" w:ascii="宋体" w:hAnsi="宋体"/>
          <w:sz w:val="24"/>
        </w:rPr>
      </w:pPr>
      <w:r>
        <w:rPr>
          <w:rFonts w:hint="eastAsia" w:ascii="宋体" w:hAnsi="宋体"/>
          <w:sz w:val="24"/>
        </w:rPr>
        <w:t>①项目经理：本项目拟派项目经理除具备二级建造师资格，无在建项目，在施工过程中，应确保到位率达到85%（含）以上；</w:t>
      </w:r>
    </w:p>
    <w:p w14:paraId="6F2B52D9">
      <w:pPr>
        <w:spacing w:line="360" w:lineRule="auto"/>
        <w:jc w:val="left"/>
        <w:rPr>
          <w:rFonts w:hint="eastAsia" w:ascii="宋体" w:hAnsi="宋体"/>
          <w:sz w:val="24"/>
        </w:rPr>
      </w:pPr>
      <w:r>
        <w:rPr>
          <w:rFonts w:hint="eastAsia" w:ascii="宋体" w:hAnsi="宋体"/>
          <w:sz w:val="24"/>
        </w:rPr>
        <w:t>②拟派技术负责人应具有类似工程施工经验以及相关专业技术职称；</w:t>
      </w:r>
    </w:p>
    <w:p w14:paraId="28DFE21A">
      <w:pPr>
        <w:spacing w:line="360" w:lineRule="auto"/>
        <w:jc w:val="left"/>
        <w:rPr>
          <w:rFonts w:hint="eastAsia" w:ascii="宋体" w:hAnsi="宋体"/>
          <w:sz w:val="24"/>
        </w:rPr>
      </w:pPr>
      <w:r>
        <w:rPr>
          <w:rFonts w:hint="eastAsia" w:ascii="宋体" w:hAnsi="宋体"/>
          <w:sz w:val="24"/>
        </w:rPr>
        <w:t>③拟派项目管理班子中施工员、安全员、质检员、材料员等重要岗位应人员配置齐全。</w:t>
      </w:r>
    </w:p>
    <w:p w14:paraId="7BCC72DF">
      <w:pPr>
        <w:spacing w:line="360" w:lineRule="auto"/>
        <w:jc w:val="left"/>
        <w:rPr>
          <w:rFonts w:hint="eastAsia" w:ascii="宋体" w:hAnsi="宋体"/>
          <w:sz w:val="24"/>
        </w:rPr>
      </w:pPr>
      <w:r>
        <w:rPr>
          <w:rFonts w:ascii="宋体" w:hAnsi="宋体"/>
          <w:sz w:val="24"/>
        </w:rPr>
        <w:t>（3）</w:t>
      </w:r>
      <w:r>
        <w:rPr>
          <w:rFonts w:hint="eastAsia" w:ascii="宋体" w:hAnsi="宋体"/>
          <w:sz w:val="24"/>
        </w:rPr>
        <w:t>工程管理其他要求</w:t>
      </w:r>
    </w:p>
    <w:p w14:paraId="34C7D9B1">
      <w:pPr>
        <w:spacing w:line="360" w:lineRule="auto"/>
        <w:jc w:val="left"/>
        <w:rPr>
          <w:rFonts w:hint="eastAsia" w:ascii="宋体" w:hAnsi="宋体"/>
          <w:sz w:val="24"/>
        </w:rPr>
      </w:pPr>
      <w:r>
        <w:rPr>
          <w:rFonts w:hint="eastAsia" w:ascii="宋体" w:hAnsi="宋体"/>
          <w:sz w:val="24"/>
        </w:rPr>
        <w:t>①本项目施工现场采购人不提供食宿，施工期间，所有施工人员的食宿均由成交供应商自行安排，材料的堆放及停车必须服从采购人的安排。</w:t>
      </w:r>
    </w:p>
    <w:p w14:paraId="78A59DDF">
      <w:pPr>
        <w:spacing w:line="360" w:lineRule="auto"/>
        <w:jc w:val="left"/>
        <w:rPr>
          <w:rFonts w:hint="eastAsia" w:ascii="宋体" w:hAnsi="宋体"/>
          <w:sz w:val="24"/>
        </w:rPr>
      </w:pPr>
      <w:r>
        <w:rPr>
          <w:rFonts w:hint="eastAsia" w:ascii="宋体" w:hAnsi="宋体"/>
          <w:sz w:val="24"/>
        </w:rPr>
        <w:t>②施工现场严禁吸烟。</w:t>
      </w:r>
    </w:p>
    <w:p w14:paraId="715C3665">
      <w:pPr>
        <w:spacing w:line="360" w:lineRule="auto"/>
        <w:jc w:val="left"/>
        <w:rPr>
          <w:rFonts w:hint="eastAsia" w:ascii="宋体" w:hAnsi="宋体"/>
          <w:sz w:val="24"/>
        </w:rPr>
      </w:pPr>
      <w:r>
        <w:rPr>
          <w:rFonts w:hint="eastAsia" w:ascii="宋体" w:hAnsi="宋体"/>
          <w:sz w:val="24"/>
        </w:rPr>
        <w:t>③如涉及疫情管理需要，成交供应商须严格遵守采购人要求，所有进场人员需按照采购人要求做好核算检测和登记办理施工出入手续。</w:t>
      </w:r>
    </w:p>
    <w:p w14:paraId="10DF8265">
      <w:pPr>
        <w:spacing w:line="360" w:lineRule="auto"/>
        <w:ind w:left="210" w:leftChars="100"/>
        <w:jc w:val="left"/>
        <w:rPr>
          <w:rFonts w:hint="eastAsia" w:ascii="宋体" w:hAnsi="宋体" w:cs="仿宋_GB2312"/>
          <w:sz w:val="24"/>
        </w:rPr>
      </w:pPr>
      <w:r>
        <w:rPr>
          <w:rFonts w:hint="eastAsia" w:ascii="宋体" w:hAnsi="宋体" w:cs="仿宋_GB2312"/>
          <w:sz w:val="24"/>
        </w:rPr>
        <w:t xml:space="preserve">7.工程主要材料（设备）要求  </w:t>
      </w:r>
    </w:p>
    <w:p w14:paraId="59781556">
      <w:pPr>
        <w:spacing w:line="360" w:lineRule="auto"/>
        <w:rPr>
          <w:rFonts w:hint="eastAsia" w:ascii="宋体" w:hAnsi="宋体"/>
          <w:sz w:val="24"/>
        </w:rPr>
      </w:pPr>
      <w:r>
        <w:rPr>
          <w:rFonts w:ascii="宋体" w:hAnsi="宋体"/>
          <w:sz w:val="24"/>
        </w:rPr>
        <w:t>（1）</w:t>
      </w:r>
      <w:r>
        <w:rPr>
          <w:rFonts w:hint="eastAsia" w:ascii="宋体" w:hAnsi="宋体"/>
          <w:sz w:val="24"/>
        </w:rPr>
        <w:t>本项目涉及的所有材料设备，必须经采购人/监理公司确认后方能采购、进场、加工、安装。否则一律不予承认，不予支付相应款项。</w:t>
      </w:r>
    </w:p>
    <w:p w14:paraId="63C1A4A4">
      <w:pPr>
        <w:spacing w:line="360" w:lineRule="auto"/>
        <w:rPr>
          <w:rFonts w:hint="eastAsia" w:ascii="宋体" w:hAnsi="宋体"/>
          <w:sz w:val="24"/>
        </w:rPr>
      </w:pPr>
      <w:r>
        <w:rPr>
          <w:rFonts w:ascii="宋体" w:hAnsi="宋体"/>
          <w:sz w:val="24"/>
        </w:rPr>
        <w:t>（2）</w:t>
      </w:r>
      <w:r>
        <w:rPr>
          <w:rFonts w:hint="eastAsia" w:ascii="宋体" w:hAnsi="宋体"/>
          <w:sz w:val="24"/>
        </w:rPr>
        <w:t>材料规格：本磋商文件涉及的主要设备和材料，各供应商须根据磋商文件要求的用材规格进行选材并报价，并符合环保要求，严禁选择不符合施工图纸要求的低档材料进行响应报价及组织施工实施，如有其它国家强制性认证要求的也必须满足；</w:t>
      </w:r>
    </w:p>
    <w:p w14:paraId="7636278D">
      <w:pPr>
        <w:spacing w:line="360" w:lineRule="auto"/>
        <w:rPr>
          <w:rFonts w:hint="eastAsia" w:ascii="宋体" w:hAnsi="宋体"/>
          <w:sz w:val="24"/>
        </w:rPr>
      </w:pPr>
      <w:r>
        <w:rPr>
          <w:rFonts w:ascii="宋体" w:hAnsi="宋体"/>
          <w:sz w:val="24"/>
        </w:rPr>
        <w:t>（3）</w:t>
      </w:r>
      <w:r>
        <w:rPr>
          <w:rFonts w:hint="eastAsia" w:ascii="宋体" w:hAnsi="宋体"/>
          <w:sz w:val="24"/>
        </w:rPr>
        <w:t>供应商应在响应文件中写明各类主要材料（设备）的选用品牌、产地和规格，若未注明品牌的可由采购人自行选择。若成交后注明的品牌或采购人选择的品牌在施工期间市场上无现货供应，须进行订制，如该品牌无法订制时，采购人有权选择其它品牌。成交供应商不按该选用的材料和设备采购的，采购人有权拒绝验收。</w:t>
      </w:r>
    </w:p>
    <w:p w14:paraId="14CA86A3">
      <w:pPr>
        <w:spacing w:line="360" w:lineRule="auto"/>
        <w:rPr>
          <w:rFonts w:hint="eastAsia" w:ascii="宋体" w:hAnsi="宋体"/>
          <w:sz w:val="24"/>
        </w:rPr>
      </w:pPr>
      <w:r>
        <w:rPr>
          <w:rFonts w:hint="eastAsia" w:ascii="宋体" w:hAnsi="宋体"/>
          <w:sz w:val="24"/>
        </w:rPr>
        <w:t>本项目材料品牌满足主材品牌表要求,详见清单编制说明；</w:t>
      </w:r>
    </w:p>
    <w:p w14:paraId="14CAB091">
      <w:pPr>
        <w:spacing w:line="360" w:lineRule="auto"/>
        <w:rPr>
          <w:rFonts w:hint="eastAsia" w:ascii="宋体" w:hAnsi="宋体"/>
          <w:sz w:val="24"/>
        </w:rPr>
      </w:pPr>
      <w:r>
        <w:rPr>
          <w:rFonts w:ascii="宋体" w:hAnsi="宋体"/>
          <w:sz w:val="24"/>
        </w:rPr>
        <w:t>（4）</w:t>
      </w:r>
      <w:r>
        <w:rPr>
          <w:rFonts w:hint="eastAsia" w:ascii="宋体" w:hAnsi="宋体"/>
          <w:sz w:val="24"/>
        </w:rPr>
        <w:t>供应商应当有详细的材料（设备）供应计划及质量保证措施；</w:t>
      </w:r>
    </w:p>
    <w:p w14:paraId="18AA465A">
      <w:pPr>
        <w:spacing w:line="360" w:lineRule="auto"/>
        <w:rPr>
          <w:rFonts w:hint="eastAsia" w:ascii="宋体" w:hAnsi="宋体"/>
          <w:sz w:val="24"/>
        </w:rPr>
      </w:pPr>
      <w:r>
        <w:rPr>
          <w:rFonts w:ascii="宋体" w:hAnsi="宋体"/>
          <w:sz w:val="24"/>
        </w:rPr>
        <w:t>（5）</w:t>
      </w:r>
      <w:r>
        <w:rPr>
          <w:rFonts w:hint="eastAsia" w:ascii="宋体" w:hAnsi="宋体"/>
          <w:sz w:val="24"/>
        </w:rPr>
        <w:t>材料的质量要求：材料检验按法律、法规、文件规定的见证取样和送检规定的程序进行。凡检验结果证明其有害物质含量指标超标的产品不得在工程上使用。</w:t>
      </w:r>
    </w:p>
    <w:p w14:paraId="62881D55">
      <w:pPr>
        <w:spacing w:line="360" w:lineRule="auto"/>
        <w:ind w:left="210" w:leftChars="100"/>
        <w:jc w:val="left"/>
        <w:rPr>
          <w:rFonts w:hint="eastAsia" w:ascii="宋体" w:hAnsi="宋体" w:cs="仿宋_GB2312"/>
          <w:sz w:val="24"/>
        </w:rPr>
      </w:pPr>
      <w:r>
        <w:rPr>
          <w:rFonts w:hint="eastAsia" w:ascii="宋体" w:hAnsi="宋体" w:cs="仿宋_GB2312"/>
          <w:sz w:val="24"/>
        </w:rPr>
        <w:t xml:space="preserve">7.其他  </w:t>
      </w:r>
    </w:p>
    <w:p w14:paraId="1B977673">
      <w:pPr>
        <w:spacing w:line="360" w:lineRule="auto"/>
        <w:jc w:val="left"/>
        <w:rPr>
          <w:rFonts w:hint="eastAsia" w:ascii="宋体" w:hAnsi="宋体"/>
          <w:sz w:val="24"/>
          <w:u w:val="single"/>
        </w:rPr>
      </w:pPr>
      <w:r>
        <w:rPr>
          <w:rFonts w:hint="eastAsia" w:ascii="宋体" w:hAnsi="宋体" w:cs="宋体"/>
          <w:sz w:val="24"/>
          <w:szCs w:val="20"/>
        </w:rPr>
        <w:t>▲</w:t>
      </w:r>
      <w:r>
        <w:rPr>
          <w:rFonts w:hint="eastAsia" w:ascii="宋体" w:hAnsi="宋体"/>
          <w:b/>
          <w:bCs/>
          <w:sz w:val="24"/>
        </w:rPr>
        <w:t>拟派项目负责人具备：有效期内的</w:t>
      </w:r>
      <w:r>
        <w:rPr>
          <w:rFonts w:hint="eastAsia" w:ascii="宋体" w:hAnsi="宋体"/>
          <w:b/>
          <w:bCs/>
          <w:sz w:val="24"/>
          <w:lang w:val="en-US" w:eastAsia="zh-CN"/>
        </w:rPr>
        <w:t>市政公用</w:t>
      </w:r>
      <w:r>
        <w:rPr>
          <w:rFonts w:hint="eastAsia" w:ascii="宋体" w:hAnsi="宋体"/>
          <w:b/>
          <w:bCs/>
          <w:sz w:val="24"/>
        </w:rPr>
        <w:t xml:space="preserve">工程专业二级及以上注册建造师且具有有效期内的安全生产考核合格证书（B证） </w:t>
      </w:r>
    </w:p>
    <w:p w14:paraId="1D22C294">
      <w:pPr>
        <w:spacing w:line="360" w:lineRule="auto"/>
        <w:jc w:val="left"/>
        <w:rPr>
          <w:rFonts w:hint="eastAsia" w:ascii="宋体" w:hAnsi="宋体" w:cs="仿宋_GB2312"/>
          <w:b/>
          <w:bCs/>
          <w:sz w:val="24"/>
        </w:rPr>
      </w:pPr>
    </w:p>
    <w:p w14:paraId="7D05B1B5">
      <w:pPr>
        <w:spacing w:line="360" w:lineRule="auto"/>
        <w:jc w:val="left"/>
        <w:rPr>
          <w:rFonts w:hint="eastAsia" w:ascii="宋体" w:hAnsi="宋体" w:cs="仿宋_GB2312"/>
          <w:b/>
          <w:bCs/>
          <w:sz w:val="24"/>
        </w:rPr>
      </w:pPr>
      <w:r>
        <w:rPr>
          <w:rFonts w:hint="eastAsia" w:ascii="宋体" w:hAnsi="宋体" w:cs="仿宋_GB2312"/>
          <w:b/>
          <w:bCs/>
          <w:sz w:val="24"/>
        </w:rPr>
        <w:t>三、商务要求</w:t>
      </w:r>
    </w:p>
    <w:p w14:paraId="36247EB5">
      <w:pPr>
        <w:spacing w:line="360" w:lineRule="auto"/>
        <w:ind w:left="210" w:leftChars="100"/>
        <w:jc w:val="left"/>
        <w:rPr>
          <w:rFonts w:hint="eastAsia" w:ascii="宋体" w:hAnsi="宋体"/>
          <w:sz w:val="24"/>
          <w:u w:val="single"/>
        </w:rPr>
      </w:pPr>
      <w:r>
        <w:rPr>
          <w:rFonts w:hint="eastAsia" w:ascii="宋体" w:hAnsi="宋体" w:cs="仿宋_GB2312"/>
          <w:sz w:val="24"/>
        </w:rPr>
        <w:t>1.工期要求：</w:t>
      </w:r>
      <w:r>
        <w:rPr>
          <w:rFonts w:hint="eastAsia" w:ascii="宋体" w:hAnsi="宋体"/>
          <w:sz w:val="24"/>
          <w:u w:val="single"/>
        </w:rPr>
        <w:t xml:space="preserve">     </w:t>
      </w:r>
      <w:r>
        <w:rPr>
          <w:rFonts w:hint="eastAsia" w:ascii="宋体" w:hAnsi="宋体"/>
          <w:sz w:val="24"/>
          <w:u w:val="single"/>
          <w:lang w:val="en-US" w:eastAsia="zh-CN"/>
        </w:rPr>
        <w:t xml:space="preserve"> </w:t>
      </w:r>
      <w:bookmarkStart w:id="1" w:name="_GoBack"/>
      <w:bookmarkEnd w:id="1"/>
      <w:r>
        <w:rPr>
          <w:rFonts w:hint="eastAsia" w:ascii="宋体" w:hAnsi="宋体"/>
          <w:sz w:val="24"/>
          <w:u w:val="single"/>
          <w:lang w:val="en-US" w:eastAsia="zh-CN"/>
        </w:rPr>
        <w:t>75</w:t>
      </w:r>
      <w:r>
        <w:rPr>
          <w:rFonts w:hint="eastAsia" w:ascii="宋体" w:hAnsi="宋体"/>
          <w:sz w:val="24"/>
          <w:u w:val="single"/>
        </w:rPr>
        <w:t xml:space="preserve">日历天  </w:t>
      </w:r>
    </w:p>
    <w:p w14:paraId="2B0F8FA8">
      <w:pPr>
        <w:spacing w:line="360" w:lineRule="auto"/>
        <w:ind w:left="210" w:leftChars="100"/>
        <w:jc w:val="left"/>
        <w:rPr>
          <w:rFonts w:hint="eastAsia" w:ascii="宋体" w:hAnsi="宋体" w:cs="仿宋_GB2312"/>
          <w:sz w:val="24"/>
        </w:rPr>
      </w:pPr>
      <w:r>
        <w:rPr>
          <w:rFonts w:hint="eastAsia" w:ascii="宋体" w:hAnsi="宋体" w:cs="仿宋_GB2312"/>
          <w:sz w:val="24"/>
        </w:rPr>
        <w:t>2.工程地点：</w:t>
      </w:r>
      <w:r>
        <w:rPr>
          <w:rFonts w:hint="eastAsia" w:ascii="宋体" w:hAnsi="宋体" w:cs="仿宋_GB2312"/>
          <w:sz w:val="24"/>
          <w:u w:val="single"/>
        </w:rPr>
        <w:t xml:space="preserve">  杭州市西湖区</w:t>
      </w:r>
      <w:r>
        <w:rPr>
          <w:rFonts w:hint="eastAsia" w:ascii="宋体" w:hAnsi="宋体"/>
          <w:sz w:val="24"/>
          <w:u w:val="single"/>
        </w:rPr>
        <w:t xml:space="preserve">   </w:t>
      </w:r>
    </w:p>
    <w:p w14:paraId="6A0973FD">
      <w:pPr>
        <w:spacing w:line="360" w:lineRule="auto"/>
        <w:ind w:left="210" w:leftChars="100"/>
        <w:jc w:val="left"/>
        <w:rPr>
          <w:rFonts w:hint="eastAsia" w:ascii="宋体" w:hAnsi="宋体" w:cs="仿宋_GB2312"/>
          <w:sz w:val="24"/>
        </w:rPr>
      </w:pPr>
      <w:r>
        <w:rPr>
          <w:rFonts w:hint="eastAsia" w:ascii="宋体" w:hAnsi="宋体" w:cs="仿宋_GB2312"/>
          <w:sz w:val="24"/>
        </w:rPr>
        <w:t>3.付款条件（进度和方式）</w:t>
      </w:r>
    </w:p>
    <w:p w14:paraId="1704CF94">
      <w:pPr>
        <w:pStyle w:val="15"/>
        <w:ind w:firstLine="0" w:firstLineChars="0"/>
      </w:pPr>
    </w:p>
    <w:tbl>
      <w:tblPr>
        <w:tblStyle w:val="7"/>
        <w:tblW w:w="973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375"/>
        <w:gridCol w:w="2519"/>
        <w:gridCol w:w="5841"/>
      </w:tblGrid>
      <w:tr w14:paraId="5D2B627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1375" w:type="dxa"/>
            <w:shd w:val="clear" w:color="auto" w:fill="auto"/>
            <w:vAlign w:val="center"/>
          </w:tcPr>
          <w:p w14:paraId="5EC44DD1">
            <w:pPr>
              <w:spacing w:line="360" w:lineRule="auto"/>
              <w:jc w:val="center"/>
              <w:rPr>
                <w:rFonts w:hint="eastAsia" w:ascii="宋体" w:hAnsi="宋体" w:cs="仿宋_GB2312"/>
                <w:sz w:val="24"/>
              </w:rPr>
            </w:pPr>
            <w:r>
              <w:rPr>
                <w:rFonts w:hint="eastAsia" w:ascii="宋体" w:hAnsi="宋体" w:cs="仿宋_GB2312"/>
                <w:sz w:val="24"/>
              </w:rPr>
              <w:t>序号</w:t>
            </w:r>
          </w:p>
        </w:tc>
        <w:tc>
          <w:tcPr>
            <w:tcW w:w="2519" w:type="dxa"/>
            <w:shd w:val="clear" w:color="auto" w:fill="auto"/>
            <w:vAlign w:val="center"/>
          </w:tcPr>
          <w:p w14:paraId="0317E2C4">
            <w:pPr>
              <w:spacing w:line="360" w:lineRule="auto"/>
              <w:jc w:val="center"/>
              <w:rPr>
                <w:rFonts w:hint="eastAsia" w:ascii="宋体" w:hAnsi="宋体" w:cs="仿宋_GB2312"/>
                <w:sz w:val="24"/>
              </w:rPr>
            </w:pPr>
            <w:r>
              <w:rPr>
                <w:rFonts w:hint="eastAsia" w:ascii="宋体" w:hAnsi="宋体" w:cs="仿宋_GB2312"/>
                <w:sz w:val="24"/>
              </w:rPr>
              <w:t>付款比例（%）</w:t>
            </w:r>
          </w:p>
        </w:tc>
        <w:tc>
          <w:tcPr>
            <w:tcW w:w="5841" w:type="dxa"/>
            <w:shd w:val="clear" w:color="auto" w:fill="auto"/>
            <w:vAlign w:val="center"/>
          </w:tcPr>
          <w:p w14:paraId="667CC2C7">
            <w:pPr>
              <w:spacing w:line="360" w:lineRule="auto"/>
              <w:jc w:val="center"/>
              <w:rPr>
                <w:rFonts w:hint="eastAsia" w:ascii="宋体" w:hAnsi="宋体" w:cs="仿宋_GB2312"/>
                <w:sz w:val="24"/>
              </w:rPr>
            </w:pPr>
            <w:r>
              <w:rPr>
                <w:rFonts w:hint="eastAsia" w:ascii="宋体" w:hAnsi="宋体" w:cs="仿宋_GB2312"/>
                <w:sz w:val="24"/>
              </w:rPr>
              <w:t>付款方式</w:t>
            </w:r>
          </w:p>
        </w:tc>
      </w:tr>
      <w:tr w14:paraId="614D90D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65" w:hRule="atLeast"/>
        </w:trPr>
        <w:tc>
          <w:tcPr>
            <w:tcW w:w="1375" w:type="dxa"/>
            <w:shd w:val="clear" w:color="auto" w:fill="auto"/>
            <w:vAlign w:val="center"/>
          </w:tcPr>
          <w:p w14:paraId="278DEC35">
            <w:pPr>
              <w:spacing w:line="360" w:lineRule="auto"/>
              <w:jc w:val="center"/>
              <w:rPr>
                <w:rFonts w:hint="eastAsia" w:ascii="宋体" w:hAnsi="宋体" w:cs="仿宋_GB2312"/>
                <w:sz w:val="24"/>
              </w:rPr>
            </w:pPr>
            <w:r>
              <w:rPr>
                <w:rFonts w:hint="eastAsia" w:ascii="宋体" w:hAnsi="宋体" w:cs="仿宋_GB2312"/>
                <w:sz w:val="24"/>
              </w:rPr>
              <w:t>1</w:t>
            </w:r>
          </w:p>
        </w:tc>
        <w:tc>
          <w:tcPr>
            <w:tcW w:w="2519" w:type="dxa"/>
            <w:shd w:val="clear" w:color="auto" w:fill="auto"/>
            <w:vAlign w:val="center"/>
          </w:tcPr>
          <w:p w14:paraId="69AF08F0">
            <w:pPr>
              <w:snapToGrid w:val="0"/>
              <w:spacing w:line="360" w:lineRule="auto"/>
              <w:jc w:val="center"/>
              <w:rPr>
                <w:rFonts w:hint="eastAsia" w:ascii="宋体" w:hAnsi="宋体" w:cs="仿宋_GB2312"/>
                <w:sz w:val="24"/>
              </w:rPr>
            </w:pPr>
            <w:r>
              <w:rPr>
                <w:rFonts w:hint="eastAsia" w:ascii="宋体" w:hAnsi="宋体" w:cs="仿宋_GB2312"/>
                <w:sz w:val="24"/>
              </w:rPr>
              <w:t>合同总价的40%</w:t>
            </w:r>
          </w:p>
        </w:tc>
        <w:tc>
          <w:tcPr>
            <w:tcW w:w="5841" w:type="dxa"/>
            <w:shd w:val="clear" w:color="auto" w:fill="auto"/>
            <w:vAlign w:val="center"/>
          </w:tcPr>
          <w:p w14:paraId="59238E8B">
            <w:pPr>
              <w:snapToGrid w:val="0"/>
              <w:spacing w:line="360" w:lineRule="auto"/>
              <w:jc w:val="center"/>
              <w:rPr>
                <w:rFonts w:hint="eastAsia" w:ascii="宋体" w:hAnsi="宋体" w:cs="仿宋_GB2312"/>
                <w:sz w:val="24"/>
              </w:rPr>
            </w:pPr>
            <w:r>
              <w:rPr>
                <w:rFonts w:hint="eastAsia" w:ascii="宋体" w:hAnsi="宋体" w:cs="仿宋_GB2312"/>
                <w:sz w:val="24"/>
              </w:rPr>
              <w:t>合同签订生效后，支付合同总价的40%作为预付款。</w:t>
            </w:r>
          </w:p>
        </w:tc>
      </w:tr>
      <w:tr w14:paraId="14220ED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375" w:type="dxa"/>
            <w:shd w:val="clear" w:color="auto" w:fill="auto"/>
            <w:vAlign w:val="center"/>
          </w:tcPr>
          <w:p w14:paraId="1C347492">
            <w:pPr>
              <w:spacing w:line="360" w:lineRule="auto"/>
              <w:jc w:val="center"/>
              <w:rPr>
                <w:rFonts w:hint="eastAsia" w:ascii="宋体" w:hAnsi="宋体" w:cs="仿宋_GB2312"/>
                <w:sz w:val="24"/>
              </w:rPr>
            </w:pPr>
            <w:r>
              <w:rPr>
                <w:rFonts w:hint="eastAsia" w:ascii="宋体" w:hAnsi="宋体" w:cs="仿宋_GB2312"/>
                <w:sz w:val="24"/>
              </w:rPr>
              <w:t>2</w:t>
            </w:r>
          </w:p>
        </w:tc>
        <w:tc>
          <w:tcPr>
            <w:tcW w:w="2519" w:type="dxa"/>
            <w:shd w:val="clear" w:color="auto" w:fill="auto"/>
            <w:vAlign w:val="center"/>
          </w:tcPr>
          <w:p w14:paraId="5A59B68A">
            <w:pPr>
              <w:snapToGrid w:val="0"/>
              <w:spacing w:line="360" w:lineRule="auto"/>
              <w:jc w:val="center"/>
              <w:rPr>
                <w:rFonts w:hint="eastAsia" w:ascii="宋体" w:hAnsi="宋体" w:cs="仿宋_GB2312"/>
                <w:sz w:val="24"/>
              </w:rPr>
            </w:pPr>
            <w:r>
              <w:rPr>
                <w:rFonts w:hint="eastAsia" w:ascii="宋体" w:hAnsi="宋体" w:cs="仿宋_GB2312"/>
                <w:sz w:val="24"/>
              </w:rPr>
              <w:t>支付至合同总价的80%</w:t>
            </w:r>
          </w:p>
        </w:tc>
        <w:tc>
          <w:tcPr>
            <w:tcW w:w="5841" w:type="dxa"/>
            <w:shd w:val="clear" w:color="auto" w:fill="auto"/>
            <w:vAlign w:val="center"/>
          </w:tcPr>
          <w:p w14:paraId="18AD096A">
            <w:pPr>
              <w:snapToGrid w:val="0"/>
              <w:spacing w:line="360" w:lineRule="auto"/>
              <w:jc w:val="center"/>
              <w:rPr>
                <w:rFonts w:hint="eastAsia" w:ascii="宋体" w:hAnsi="宋体" w:cs="仿宋_GB2312"/>
                <w:sz w:val="24"/>
              </w:rPr>
            </w:pPr>
            <w:r>
              <w:rPr>
                <w:rFonts w:hint="eastAsia" w:ascii="宋体" w:hAnsi="宋体" w:cs="仿宋_GB2312"/>
                <w:sz w:val="24"/>
              </w:rPr>
              <w:t>已完工程量达到80%后，支付至合同总价的80%。</w:t>
            </w:r>
          </w:p>
        </w:tc>
      </w:tr>
      <w:tr w14:paraId="1C1D469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375" w:type="dxa"/>
            <w:shd w:val="clear" w:color="auto" w:fill="auto"/>
            <w:vAlign w:val="center"/>
          </w:tcPr>
          <w:p w14:paraId="1F03094F">
            <w:pPr>
              <w:spacing w:line="360" w:lineRule="auto"/>
              <w:jc w:val="center"/>
              <w:rPr>
                <w:rFonts w:hint="eastAsia" w:ascii="宋体" w:hAnsi="宋体" w:cs="仿宋_GB2312"/>
                <w:sz w:val="24"/>
              </w:rPr>
            </w:pPr>
            <w:r>
              <w:rPr>
                <w:rFonts w:hint="eastAsia" w:ascii="宋体" w:hAnsi="宋体" w:cs="仿宋_GB2312"/>
                <w:sz w:val="24"/>
              </w:rPr>
              <w:t>3</w:t>
            </w:r>
          </w:p>
        </w:tc>
        <w:tc>
          <w:tcPr>
            <w:tcW w:w="2519" w:type="dxa"/>
            <w:shd w:val="clear" w:color="auto" w:fill="auto"/>
            <w:vAlign w:val="center"/>
          </w:tcPr>
          <w:p w14:paraId="0A39C906">
            <w:pPr>
              <w:snapToGrid w:val="0"/>
              <w:spacing w:line="360" w:lineRule="auto"/>
              <w:jc w:val="center"/>
              <w:rPr>
                <w:rFonts w:hint="eastAsia" w:ascii="宋体" w:hAnsi="宋体" w:cs="仿宋_GB2312"/>
                <w:sz w:val="24"/>
              </w:rPr>
            </w:pPr>
            <w:r>
              <w:rPr>
                <w:rFonts w:hint="eastAsia" w:ascii="宋体" w:hAnsi="宋体" w:cs="仿宋_GB2312"/>
                <w:sz w:val="24"/>
              </w:rPr>
              <w:t>支付至审计审定价的100%</w:t>
            </w:r>
          </w:p>
        </w:tc>
        <w:tc>
          <w:tcPr>
            <w:tcW w:w="5841" w:type="dxa"/>
            <w:shd w:val="clear" w:color="auto" w:fill="auto"/>
            <w:vAlign w:val="center"/>
          </w:tcPr>
          <w:p w14:paraId="1CB019EC">
            <w:pPr>
              <w:snapToGrid w:val="0"/>
              <w:spacing w:line="360" w:lineRule="auto"/>
              <w:jc w:val="center"/>
              <w:rPr>
                <w:rFonts w:hint="eastAsia" w:ascii="宋体" w:hAnsi="宋体" w:cs="仿宋_GB2312"/>
                <w:sz w:val="24"/>
              </w:rPr>
            </w:pPr>
            <w:r>
              <w:rPr>
                <w:rFonts w:hint="eastAsia" w:ascii="宋体" w:hAnsi="宋体" w:cs="仿宋_GB2312"/>
                <w:sz w:val="24"/>
              </w:rPr>
              <w:t>审计结算后，并收到有效票据后支付至审计审定价的</w:t>
            </w:r>
            <w:r>
              <w:rPr>
                <w:rFonts w:hint="eastAsia" w:ascii="宋体" w:hAnsi="宋体" w:cs="仿宋_GB2312"/>
                <w:sz w:val="24"/>
                <w:lang w:val="en-US" w:eastAsia="zh-CN"/>
              </w:rPr>
              <w:t>100</w:t>
            </w:r>
            <w:r>
              <w:rPr>
                <w:rFonts w:hint="eastAsia" w:ascii="宋体" w:hAnsi="宋体" w:cs="仿宋_GB2312"/>
                <w:sz w:val="24"/>
              </w:rPr>
              <w:t>%。</w:t>
            </w:r>
          </w:p>
        </w:tc>
      </w:tr>
    </w:tbl>
    <w:p w14:paraId="301A7207">
      <w:pPr>
        <w:spacing w:line="360" w:lineRule="auto"/>
        <w:ind w:left="210" w:leftChars="100"/>
        <w:jc w:val="left"/>
      </w:pPr>
      <w:r>
        <w:rPr>
          <w:rFonts w:hint="eastAsia" w:ascii="宋体" w:hAnsi="宋体" w:cs="仿宋_GB2312"/>
          <w:b/>
          <w:bCs/>
          <w:sz w:val="24"/>
        </w:rPr>
        <w:t>注：1、上述支付时间以财政拨款为准。</w:t>
      </w:r>
    </w:p>
    <w:p w14:paraId="0C8DC217">
      <w:pPr>
        <w:spacing w:line="360" w:lineRule="auto"/>
        <w:ind w:left="210" w:leftChars="100"/>
        <w:jc w:val="left"/>
        <w:rPr>
          <w:rFonts w:hint="eastAsia" w:ascii="宋体" w:hAnsi="宋体" w:cs="仿宋_GB2312"/>
          <w:sz w:val="24"/>
        </w:rPr>
      </w:pPr>
      <w:r>
        <w:rPr>
          <w:rFonts w:hint="eastAsia" w:ascii="宋体" w:hAnsi="宋体" w:cs="仿宋_GB2312"/>
          <w:sz w:val="24"/>
        </w:rPr>
        <w:t>4.工程售后服务要求</w:t>
      </w:r>
    </w:p>
    <w:p w14:paraId="4B193E23">
      <w:pPr>
        <w:spacing w:line="360" w:lineRule="auto"/>
        <w:jc w:val="left"/>
        <w:rPr>
          <w:rFonts w:hint="eastAsia" w:ascii="宋体" w:hAnsi="宋体"/>
          <w:sz w:val="24"/>
        </w:rPr>
      </w:pPr>
      <w:r>
        <w:rPr>
          <w:rFonts w:hint="eastAsia" w:ascii="宋体" w:hAnsi="宋体"/>
          <w:sz w:val="24"/>
        </w:rPr>
        <w:t>（1）保修期：按工程质量保修书规定执行，质量保证期为本项目验收合格后不少于2年（具体详见工程质量保修书）。</w:t>
      </w:r>
    </w:p>
    <w:p w14:paraId="0ED742EF">
      <w:pPr>
        <w:spacing w:line="360" w:lineRule="auto"/>
        <w:jc w:val="left"/>
        <w:rPr>
          <w:rFonts w:hint="eastAsia" w:ascii="宋体" w:hAnsi="宋体"/>
          <w:sz w:val="24"/>
        </w:rPr>
      </w:pPr>
      <w:r>
        <w:rPr>
          <w:rFonts w:hint="eastAsia" w:ascii="宋体" w:hAnsi="宋体"/>
          <w:sz w:val="24"/>
        </w:rPr>
        <w:t>成交供应商应与采购人签订工程质量保修书，在质量保修期内，按照有关法律、法规、规章的管理规定和双方约定，承担本工程质量保修责任。</w:t>
      </w:r>
    </w:p>
    <w:p w14:paraId="19838C69">
      <w:pPr>
        <w:spacing w:line="360" w:lineRule="auto"/>
        <w:jc w:val="left"/>
        <w:rPr>
          <w:rFonts w:hint="eastAsia" w:ascii="宋体" w:hAnsi="宋体"/>
          <w:sz w:val="24"/>
        </w:rPr>
      </w:pPr>
      <w:r>
        <w:rPr>
          <w:rFonts w:hint="eastAsia" w:ascii="宋体" w:hAnsi="宋体"/>
          <w:sz w:val="24"/>
        </w:rPr>
        <w:t>（2）在保修期内，成交供应商对有缺陷的部位必须无偿地给予修理与更换，并承担一切由此引起的对采购人或第三者的直接损失，除非该缺陷是由于人为破坏或合同规定的不可抗因素造成的损坏。</w:t>
      </w:r>
    </w:p>
    <w:p w14:paraId="2097626B">
      <w:pPr>
        <w:spacing w:line="360" w:lineRule="auto"/>
        <w:jc w:val="left"/>
        <w:rPr>
          <w:rFonts w:hint="eastAsia" w:ascii="宋体" w:hAnsi="宋体"/>
          <w:sz w:val="24"/>
        </w:rPr>
      </w:pPr>
      <w:r>
        <w:rPr>
          <w:rFonts w:hint="eastAsia" w:ascii="宋体" w:hAnsi="宋体"/>
          <w:sz w:val="24"/>
        </w:rPr>
        <w:t>（3）成交供应商必须对所承包的工程的质量负全部责任，其责任不因其他材料生产商提供的保证书而减轻或更改。</w:t>
      </w:r>
    </w:p>
    <w:p w14:paraId="07CD8DB5">
      <w:pPr>
        <w:spacing w:line="360" w:lineRule="auto"/>
        <w:jc w:val="left"/>
        <w:rPr>
          <w:rFonts w:hint="eastAsia" w:ascii="宋体" w:hAnsi="宋体"/>
          <w:sz w:val="24"/>
        </w:rPr>
      </w:pPr>
      <w:r>
        <w:rPr>
          <w:rFonts w:hint="eastAsia" w:ascii="宋体" w:hAnsi="宋体"/>
          <w:sz w:val="24"/>
        </w:rPr>
        <w:t>（4）供应商应当在缺陷责任期内具有完善的售后技术支持和服务体系，能够提供服务标准、服务流程、服务内容。</w:t>
      </w:r>
    </w:p>
    <w:p w14:paraId="2FCFFEF3">
      <w:pPr>
        <w:spacing w:line="360" w:lineRule="auto"/>
        <w:ind w:left="210" w:leftChars="100"/>
        <w:jc w:val="left"/>
        <w:rPr>
          <w:rFonts w:hint="eastAsia" w:ascii="宋体" w:hAnsi="宋体" w:cs="仿宋_GB2312"/>
          <w:sz w:val="24"/>
        </w:rPr>
      </w:pPr>
      <w:r>
        <w:rPr>
          <w:rFonts w:hint="eastAsia" w:ascii="宋体" w:hAnsi="宋体" w:cs="仿宋_GB2312"/>
          <w:sz w:val="24"/>
        </w:rPr>
        <w:t>5.其他商务要求（包装和运输、保险等）</w:t>
      </w:r>
    </w:p>
    <w:p w14:paraId="1B9F6385">
      <w:pPr>
        <w:spacing w:line="360" w:lineRule="auto"/>
        <w:jc w:val="left"/>
        <w:rPr>
          <w:rFonts w:hint="eastAsia" w:ascii="宋体" w:hAnsi="宋体"/>
          <w:sz w:val="24"/>
        </w:rPr>
      </w:pPr>
      <w:r>
        <w:rPr>
          <w:rFonts w:hint="eastAsia" w:ascii="宋体" w:hAnsi="宋体"/>
          <w:sz w:val="24"/>
        </w:rPr>
        <w:t>（1）供应商应当将因施工现场搬运不便而产生的二次搬运费用计算在磋商报价中。</w:t>
      </w:r>
    </w:p>
    <w:p w14:paraId="49F7D1BC">
      <w:pPr>
        <w:spacing w:line="360" w:lineRule="auto"/>
        <w:jc w:val="left"/>
        <w:rPr>
          <w:rFonts w:hint="eastAsia" w:ascii="宋体" w:hAnsi="宋体"/>
          <w:sz w:val="24"/>
        </w:rPr>
      </w:pPr>
      <w:r>
        <w:rPr>
          <w:rFonts w:hint="eastAsia" w:ascii="宋体" w:hAnsi="宋体"/>
          <w:sz w:val="24"/>
        </w:rPr>
        <w:t>（2）供应商应当将与本项目有关的农民工工伤保险相关费用计算在磋商报价中。</w:t>
      </w:r>
    </w:p>
    <w:p w14:paraId="16CA97C6">
      <w:pPr>
        <w:spacing w:line="360" w:lineRule="auto"/>
        <w:jc w:val="left"/>
        <w:rPr>
          <w:rFonts w:hint="eastAsia" w:ascii="宋体" w:hAnsi="宋体" w:cs="仿宋_GB2312"/>
          <w:b/>
          <w:bCs/>
          <w:sz w:val="24"/>
        </w:rPr>
      </w:pPr>
      <w:r>
        <w:rPr>
          <w:rFonts w:hint="eastAsia" w:ascii="宋体" w:hAnsi="宋体" w:cs="仿宋_GB2312"/>
          <w:b/>
          <w:bCs/>
          <w:sz w:val="24"/>
        </w:rPr>
        <w:t>五、其他要求</w:t>
      </w:r>
    </w:p>
    <w:p w14:paraId="53968BB3">
      <w:pPr>
        <w:spacing w:line="360" w:lineRule="auto"/>
        <w:ind w:firstLine="482" w:firstLineChars="200"/>
        <w:jc w:val="left"/>
        <w:rPr>
          <w:rFonts w:hint="eastAsia" w:ascii="宋体" w:hAnsi="宋体" w:cs="仿宋_GB2312"/>
          <w:b/>
          <w:bCs/>
          <w:sz w:val="24"/>
        </w:rPr>
      </w:pPr>
      <w:r>
        <w:rPr>
          <w:rFonts w:hint="eastAsia" w:ascii="宋体" w:hAnsi="宋体" w:cs="仿宋_GB2312"/>
          <w:b/>
          <w:bCs/>
          <w:sz w:val="24"/>
        </w:rPr>
        <w:t>（1）工程量清单（另附）</w:t>
      </w:r>
    </w:p>
    <w:p w14:paraId="20FD61DB">
      <w:pPr>
        <w:spacing w:line="360" w:lineRule="auto"/>
        <w:ind w:firstLine="482"/>
        <w:jc w:val="left"/>
        <w:rPr>
          <w:rFonts w:hint="eastAsia" w:ascii="宋体" w:hAnsi="宋体" w:cs="仿宋_GB2312"/>
          <w:b/>
          <w:bCs/>
          <w:sz w:val="24"/>
        </w:rPr>
      </w:pPr>
      <w:r>
        <w:rPr>
          <w:rFonts w:hint="eastAsia" w:ascii="宋体" w:hAnsi="宋体" w:cs="仿宋_GB2312"/>
          <w:b/>
          <w:bCs/>
          <w:sz w:val="24"/>
        </w:rPr>
        <w:t>（2）图纸（另附）</w:t>
      </w:r>
    </w:p>
    <w:p w14:paraId="2EF2AB13">
      <w:pPr>
        <w:spacing w:line="360" w:lineRule="auto"/>
        <w:jc w:val="left"/>
        <w:rPr>
          <w:rFonts w:hint="eastAsia"/>
          <w:lang w:val="en-US" w:eastAsia="zh-CN"/>
        </w:rPr>
      </w:pPr>
    </w:p>
    <w:sectPr>
      <w:footerReference r:id="rId3" w:type="default"/>
      <w:footerReference r:id="rId4"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5C77">
    <w:pPr>
      <w:pStyle w:val="5"/>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14</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74A10">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MGFhZDlkYWJhNzUzZjE5OGQwOTg0ZDFmZDg3YzAifQ=="/>
  </w:docVars>
  <w:rsids>
    <w:rsidRoot w:val="006F0877"/>
    <w:rsid w:val="00021224"/>
    <w:rsid w:val="000311FD"/>
    <w:rsid w:val="00064381"/>
    <w:rsid w:val="000918DD"/>
    <w:rsid w:val="00092F4E"/>
    <w:rsid w:val="000C0F74"/>
    <w:rsid w:val="000C3D7C"/>
    <w:rsid w:val="000C6507"/>
    <w:rsid w:val="000D0C5A"/>
    <w:rsid w:val="000F58B1"/>
    <w:rsid w:val="001300DC"/>
    <w:rsid w:val="001444DD"/>
    <w:rsid w:val="001540ED"/>
    <w:rsid w:val="00154DF5"/>
    <w:rsid w:val="00171DEE"/>
    <w:rsid w:val="001737EA"/>
    <w:rsid w:val="00175816"/>
    <w:rsid w:val="0017709A"/>
    <w:rsid w:val="0018642F"/>
    <w:rsid w:val="00186E20"/>
    <w:rsid w:val="00192DB8"/>
    <w:rsid w:val="001965E5"/>
    <w:rsid w:val="00196A3F"/>
    <w:rsid w:val="001A0D54"/>
    <w:rsid w:val="001A4CEB"/>
    <w:rsid w:val="001A6F93"/>
    <w:rsid w:val="001C5914"/>
    <w:rsid w:val="001D2C73"/>
    <w:rsid w:val="001D73CE"/>
    <w:rsid w:val="001E59BD"/>
    <w:rsid w:val="001F0BAE"/>
    <w:rsid w:val="0021449A"/>
    <w:rsid w:val="0024056D"/>
    <w:rsid w:val="00251D5B"/>
    <w:rsid w:val="00265E4D"/>
    <w:rsid w:val="0026741D"/>
    <w:rsid w:val="002678A2"/>
    <w:rsid w:val="00280777"/>
    <w:rsid w:val="00286AAF"/>
    <w:rsid w:val="00295E38"/>
    <w:rsid w:val="002964A8"/>
    <w:rsid w:val="002C4305"/>
    <w:rsid w:val="002E3751"/>
    <w:rsid w:val="00321278"/>
    <w:rsid w:val="00322903"/>
    <w:rsid w:val="00340773"/>
    <w:rsid w:val="003507DB"/>
    <w:rsid w:val="0039420F"/>
    <w:rsid w:val="003C77ED"/>
    <w:rsid w:val="003D0FAE"/>
    <w:rsid w:val="003F6DB7"/>
    <w:rsid w:val="00402F07"/>
    <w:rsid w:val="00405CAF"/>
    <w:rsid w:val="004066EE"/>
    <w:rsid w:val="004141FE"/>
    <w:rsid w:val="00427428"/>
    <w:rsid w:val="0046019E"/>
    <w:rsid w:val="00473949"/>
    <w:rsid w:val="004956AF"/>
    <w:rsid w:val="004978DB"/>
    <w:rsid w:val="004A0291"/>
    <w:rsid w:val="004B0115"/>
    <w:rsid w:val="004D4E89"/>
    <w:rsid w:val="004E1E58"/>
    <w:rsid w:val="004F655B"/>
    <w:rsid w:val="00504F13"/>
    <w:rsid w:val="0050595D"/>
    <w:rsid w:val="00506D54"/>
    <w:rsid w:val="00537974"/>
    <w:rsid w:val="005408BD"/>
    <w:rsid w:val="00552A9C"/>
    <w:rsid w:val="005545EC"/>
    <w:rsid w:val="00561A6F"/>
    <w:rsid w:val="005B1E45"/>
    <w:rsid w:val="005C009E"/>
    <w:rsid w:val="005C0A71"/>
    <w:rsid w:val="005C0CCF"/>
    <w:rsid w:val="005F622B"/>
    <w:rsid w:val="00601EDD"/>
    <w:rsid w:val="00607AAD"/>
    <w:rsid w:val="006100E1"/>
    <w:rsid w:val="00626E7E"/>
    <w:rsid w:val="006678D9"/>
    <w:rsid w:val="00674484"/>
    <w:rsid w:val="0068268F"/>
    <w:rsid w:val="00687581"/>
    <w:rsid w:val="00692769"/>
    <w:rsid w:val="006A72B1"/>
    <w:rsid w:val="006C6381"/>
    <w:rsid w:val="006D049B"/>
    <w:rsid w:val="006D7DD7"/>
    <w:rsid w:val="006E6DC5"/>
    <w:rsid w:val="006F0877"/>
    <w:rsid w:val="00721F76"/>
    <w:rsid w:val="00725D7C"/>
    <w:rsid w:val="00765A2F"/>
    <w:rsid w:val="00773C97"/>
    <w:rsid w:val="007B2CBB"/>
    <w:rsid w:val="007D4985"/>
    <w:rsid w:val="007F38B3"/>
    <w:rsid w:val="008020B2"/>
    <w:rsid w:val="0080466B"/>
    <w:rsid w:val="00812139"/>
    <w:rsid w:val="00814F5F"/>
    <w:rsid w:val="00823618"/>
    <w:rsid w:val="00840D73"/>
    <w:rsid w:val="0087065E"/>
    <w:rsid w:val="00880915"/>
    <w:rsid w:val="00891EF2"/>
    <w:rsid w:val="0089598D"/>
    <w:rsid w:val="00896E24"/>
    <w:rsid w:val="008C58C5"/>
    <w:rsid w:val="008E73BC"/>
    <w:rsid w:val="008F4E3B"/>
    <w:rsid w:val="0090340B"/>
    <w:rsid w:val="00917BE6"/>
    <w:rsid w:val="0092280E"/>
    <w:rsid w:val="00924EB1"/>
    <w:rsid w:val="0092766B"/>
    <w:rsid w:val="00927AE6"/>
    <w:rsid w:val="00932CFC"/>
    <w:rsid w:val="00945456"/>
    <w:rsid w:val="00970BA3"/>
    <w:rsid w:val="00975ECD"/>
    <w:rsid w:val="00987C9E"/>
    <w:rsid w:val="00994A11"/>
    <w:rsid w:val="009A09E5"/>
    <w:rsid w:val="009C7390"/>
    <w:rsid w:val="009D0BEE"/>
    <w:rsid w:val="00A02CC7"/>
    <w:rsid w:val="00A21567"/>
    <w:rsid w:val="00A55C7D"/>
    <w:rsid w:val="00A63E98"/>
    <w:rsid w:val="00A7297B"/>
    <w:rsid w:val="00A8253E"/>
    <w:rsid w:val="00A855A9"/>
    <w:rsid w:val="00A91983"/>
    <w:rsid w:val="00AA13CF"/>
    <w:rsid w:val="00AF280F"/>
    <w:rsid w:val="00AF3EC7"/>
    <w:rsid w:val="00AF6CC0"/>
    <w:rsid w:val="00AF71DD"/>
    <w:rsid w:val="00B20E34"/>
    <w:rsid w:val="00B517EC"/>
    <w:rsid w:val="00B532F2"/>
    <w:rsid w:val="00B779AD"/>
    <w:rsid w:val="00BB4B73"/>
    <w:rsid w:val="00BE63D2"/>
    <w:rsid w:val="00C0392D"/>
    <w:rsid w:val="00C43ED0"/>
    <w:rsid w:val="00C5094F"/>
    <w:rsid w:val="00C728F5"/>
    <w:rsid w:val="00C97E24"/>
    <w:rsid w:val="00CB2D28"/>
    <w:rsid w:val="00CB6081"/>
    <w:rsid w:val="00CB7952"/>
    <w:rsid w:val="00CD2D8D"/>
    <w:rsid w:val="00CF4EA2"/>
    <w:rsid w:val="00D15600"/>
    <w:rsid w:val="00D3294B"/>
    <w:rsid w:val="00D35879"/>
    <w:rsid w:val="00D373A6"/>
    <w:rsid w:val="00D41BDD"/>
    <w:rsid w:val="00D55150"/>
    <w:rsid w:val="00D6434D"/>
    <w:rsid w:val="00D84530"/>
    <w:rsid w:val="00DC08EA"/>
    <w:rsid w:val="00DC40DF"/>
    <w:rsid w:val="00DD464D"/>
    <w:rsid w:val="00DD4C65"/>
    <w:rsid w:val="00DD7DD1"/>
    <w:rsid w:val="00DF4B7B"/>
    <w:rsid w:val="00E36214"/>
    <w:rsid w:val="00E44747"/>
    <w:rsid w:val="00E608EB"/>
    <w:rsid w:val="00E62F47"/>
    <w:rsid w:val="00E725FF"/>
    <w:rsid w:val="00EB34AE"/>
    <w:rsid w:val="00EC2D15"/>
    <w:rsid w:val="00EE281D"/>
    <w:rsid w:val="00F32EBD"/>
    <w:rsid w:val="00F37314"/>
    <w:rsid w:val="00F53627"/>
    <w:rsid w:val="00F5458A"/>
    <w:rsid w:val="00F560D0"/>
    <w:rsid w:val="00F61373"/>
    <w:rsid w:val="00F75DE4"/>
    <w:rsid w:val="00F80F1F"/>
    <w:rsid w:val="00F97CF8"/>
    <w:rsid w:val="00FA2D23"/>
    <w:rsid w:val="00FA681C"/>
    <w:rsid w:val="00FA7052"/>
    <w:rsid w:val="00FC3796"/>
    <w:rsid w:val="00FC4248"/>
    <w:rsid w:val="00FE2C0D"/>
    <w:rsid w:val="00FE46D0"/>
    <w:rsid w:val="00FF6893"/>
    <w:rsid w:val="02A55ABB"/>
    <w:rsid w:val="0ACB174A"/>
    <w:rsid w:val="0FFAA126"/>
    <w:rsid w:val="15A10189"/>
    <w:rsid w:val="18C035AA"/>
    <w:rsid w:val="1BD5471C"/>
    <w:rsid w:val="1E2E6ED4"/>
    <w:rsid w:val="1FBF5987"/>
    <w:rsid w:val="2CFDEC3D"/>
    <w:rsid w:val="2FF78ACD"/>
    <w:rsid w:val="3FFFE3D5"/>
    <w:rsid w:val="4057049F"/>
    <w:rsid w:val="44015A22"/>
    <w:rsid w:val="48AB31B8"/>
    <w:rsid w:val="4C3037E4"/>
    <w:rsid w:val="4FB77C3C"/>
    <w:rsid w:val="57862B93"/>
    <w:rsid w:val="5BBF1A8D"/>
    <w:rsid w:val="5D9F79E0"/>
    <w:rsid w:val="5DBFE6CB"/>
    <w:rsid w:val="5E5E5757"/>
    <w:rsid w:val="5EFB6B15"/>
    <w:rsid w:val="5F5DEEF0"/>
    <w:rsid w:val="5F7B0613"/>
    <w:rsid w:val="64F617B0"/>
    <w:rsid w:val="67F5AD5B"/>
    <w:rsid w:val="6BC749A9"/>
    <w:rsid w:val="6BFFC72E"/>
    <w:rsid w:val="6C7FD9C9"/>
    <w:rsid w:val="6FC9F4BB"/>
    <w:rsid w:val="6FEF5868"/>
    <w:rsid w:val="74BFF378"/>
    <w:rsid w:val="75FB23CF"/>
    <w:rsid w:val="7747C58A"/>
    <w:rsid w:val="7775E090"/>
    <w:rsid w:val="77FDC161"/>
    <w:rsid w:val="788A7D09"/>
    <w:rsid w:val="79F006D6"/>
    <w:rsid w:val="7A7F1594"/>
    <w:rsid w:val="7BEA5002"/>
    <w:rsid w:val="7BF55B1A"/>
    <w:rsid w:val="7CF3DF71"/>
    <w:rsid w:val="7CF76844"/>
    <w:rsid w:val="7D500D30"/>
    <w:rsid w:val="7DBBA619"/>
    <w:rsid w:val="7DFF8764"/>
    <w:rsid w:val="7E774BE7"/>
    <w:rsid w:val="7EFD2AA6"/>
    <w:rsid w:val="7FFF23F9"/>
    <w:rsid w:val="8DAF712B"/>
    <w:rsid w:val="8DFD7E3C"/>
    <w:rsid w:val="8FF68B1A"/>
    <w:rsid w:val="9BE7792B"/>
    <w:rsid w:val="9EDCEB3E"/>
    <w:rsid w:val="ABFD0AD8"/>
    <w:rsid w:val="AF230823"/>
    <w:rsid w:val="AFF76641"/>
    <w:rsid w:val="BF5FE6FA"/>
    <w:rsid w:val="BF7FCB72"/>
    <w:rsid w:val="BFCBECE1"/>
    <w:rsid w:val="BFDF593B"/>
    <w:rsid w:val="C7FF0A76"/>
    <w:rsid w:val="CFDD797F"/>
    <w:rsid w:val="D78F1D07"/>
    <w:rsid w:val="D7ADD1FB"/>
    <w:rsid w:val="D7F1A469"/>
    <w:rsid w:val="DEDF7BEB"/>
    <w:rsid w:val="DF4F7E4B"/>
    <w:rsid w:val="DFDE6D44"/>
    <w:rsid w:val="E3FF6071"/>
    <w:rsid w:val="E6D70A22"/>
    <w:rsid w:val="E6E64C1F"/>
    <w:rsid w:val="E7B92E4B"/>
    <w:rsid w:val="EA66F35A"/>
    <w:rsid w:val="EEFBD0D8"/>
    <w:rsid w:val="EF8E1714"/>
    <w:rsid w:val="EFAB0267"/>
    <w:rsid w:val="EFBFA9A5"/>
    <w:rsid w:val="F677CB77"/>
    <w:rsid w:val="F7FFC0E2"/>
    <w:rsid w:val="FAF78EC6"/>
    <w:rsid w:val="FB6E436B"/>
    <w:rsid w:val="FBEE60A5"/>
    <w:rsid w:val="FD5FE2C3"/>
    <w:rsid w:val="FD7FE3EB"/>
    <w:rsid w:val="FDE732DF"/>
    <w:rsid w:val="FDFD932C"/>
    <w:rsid w:val="FE9F133B"/>
    <w:rsid w:val="FEEE081C"/>
    <w:rsid w:val="FEFDFE82"/>
    <w:rsid w:val="FF6F38E2"/>
    <w:rsid w:val="FF8D0D1C"/>
    <w:rsid w:val="FFA31837"/>
    <w:rsid w:val="FFA7FD1E"/>
    <w:rsid w:val="FFAA6C34"/>
    <w:rsid w:val="FFAC12CF"/>
    <w:rsid w:val="FFBF1ABA"/>
    <w:rsid w:val="FFCF78C5"/>
    <w:rsid w:val="FFDB1096"/>
    <w:rsid w:val="FFEFB19B"/>
    <w:rsid w:val="FFEFF2D9"/>
    <w:rsid w:val="FFF2D8D2"/>
    <w:rsid w:val="FFFB5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qFormat/>
    <w:uiPriority w:val="0"/>
  </w:style>
  <w:style w:type="character" w:customStyle="1" w:styleId="11">
    <w:name w:val="页脚 Char1"/>
    <w:link w:val="5"/>
    <w:qFormat/>
    <w:uiPriority w:val="99"/>
    <w:rPr>
      <w:kern w:val="2"/>
      <w:sz w:val="18"/>
      <w:szCs w:val="18"/>
    </w:rPr>
  </w:style>
  <w:style w:type="character" w:customStyle="1" w:styleId="12">
    <w:name w:val="页脚 Char"/>
    <w:qFormat/>
    <w:uiPriority w:val="99"/>
    <w:rPr>
      <w:rFonts w:eastAsia="Calibri"/>
      <w:sz w:val="21"/>
    </w:rPr>
  </w:style>
  <w:style w:type="paragraph" w:customStyle="1" w:styleId="13">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
    <w:name w:val="列出段落1"/>
    <w:basedOn w:val="1"/>
    <w:qFormat/>
    <w:uiPriority w:val="34"/>
    <w:pPr>
      <w:spacing w:line="360" w:lineRule="auto"/>
      <w:ind w:firstLine="200" w:firstLineChars="200"/>
    </w:pPr>
    <w:rPr>
      <w:rFonts w:eastAsia="楷体_GB2312" w:cs="Lucida Sans"/>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6</Pages>
  <Words>3018</Words>
  <Characters>3052</Characters>
  <Lines>68</Lines>
  <Paragraphs>19</Paragraphs>
  <TotalTime>1</TotalTime>
  <ScaleCrop>false</ScaleCrop>
  <LinksUpToDate>false</LinksUpToDate>
  <CharactersWithSpaces>3075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2021-09-08T14:10:00Z</dcterms:created>
  <dc:creator>MC SYSTEM</dc:creator>
  <cp:lastModifiedBy>徐赛</cp:lastModifiedBy>
  <cp:lastPrinted>2021-07-26T01:17:00Z</cp:lastPrinted>
  <dcterms:modified xsi:type="dcterms:W3CDTF">2026-02-04T09:15:37Z</dcterms:modified>
  <dc:title>厦财采〔2021〕9号</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701382A92E884C0D9E8DD0A9DA1DE2FB_13</vt:lpwstr>
  </property>
  <property fmtid="{D5CDD505-2E9C-101B-9397-08002B2CF9AE}" pid="4" name="KSOTemplateDocerSaveRecord">
    <vt:lpwstr>eyJoZGlkIjoiYzk2MDdjZDQyMTZkN2ZkYTdmOTY4YjRiYjM2NGRmMWMiLCJ1c2VySWQiOiIyNDI1NzQ2NTAifQ==</vt:lpwstr>
  </property>
</Properties>
</file>