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9A792">
      <w:pPr>
        <w:pStyle w:val="12"/>
        <w:rPr>
          <w:rFonts w:ascii="Arial Unicode MS"/>
          <w:sz w:val="20"/>
        </w:rPr>
      </w:pPr>
    </w:p>
    <w:p w14:paraId="31E3FA81">
      <w:pPr>
        <w:pStyle w:val="12"/>
        <w:spacing w:before="15"/>
        <w:rPr>
          <w:rFonts w:ascii="Arial Unicode MS"/>
          <w:sz w:val="12"/>
        </w:rPr>
      </w:pPr>
    </w:p>
    <w:p w14:paraId="34FC7634">
      <w:pPr>
        <w:pStyle w:val="12"/>
        <w:spacing w:line="253" w:lineRule="auto"/>
        <w:ind w:left="480" w:hanging="480" w:hangingChars="100"/>
        <w:rPr>
          <w:sz w:val="48"/>
          <w:szCs w:val="48"/>
        </w:rPr>
      </w:pPr>
      <w:bookmarkStart w:id="0" w:name="OLE_LINK1"/>
      <w:r>
        <w:rPr>
          <w:rFonts w:hint="eastAsia"/>
          <w:sz w:val="48"/>
          <w:szCs w:val="48"/>
        </w:rPr>
        <w:t>2025年淮北市杜集区农村公路修复性养护工程（北陈路、蔡祖路、二豆路、毛施路）</w:t>
      </w:r>
    </w:p>
    <w:bookmarkEnd w:id="0"/>
    <w:p w14:paraId="0F1357D9">
      <w:pPr>
        <w:pStyle w:val="12"/>
        <w:spacing w:before="12"/>
        <w:rPr>
          <w:rFonts w:ascii="黑体"/>
          <w:sz w:val="39"/>
        </w:rPr>
      </w:pPr>
    </w:p>
    <w:p w14:paraId="60A676C5">
      <w:pPr>
        <w:tabs>
          <w:tab w:val="left" w:pos="3189"/>
        </w:tabs>
        <w:spacing w:before="0"/>
        <w:ind w:left="39" w:right="0" w:firstLine="3360" w:firstLineChars="1200"/>
        <w:jc w:val="both"/>
        <w:rPr>
          <w:rFonts w:hint="default" w:ascii="黑体" w:eastAsia="黑体"/>
          <w:sz w:val="28"/>
          <w:lang w:val="en-US" w:eastAsia="zh-CN"/>
        </w:rPr>
      </w:pPr>
      <w:r>
        <w:rPr>
          <w:rFonts w:hint="eastAsia" w:ascii="黑体" w:eastAsia="黑体"/>
          <w:sz w:val="28"/>
        </w:rPr>
        <w:t>招标</w:t>
      </w:r>
      <w:r>
        <w:rPr>
          <w:rFonts w:hint="eastAsia" w:ascii="黑体" w:eastAsia="黑体"/>
          <w:spacing w:val="-3"/>
          <w:sz w:val="28"/>
        </w:rPr>
        <w:t>编</w:t>
      </w:r>
      <w:r>
        <w:rPr>
          <w:rFonts w:hint="eastAsia" w:ascii="黑体" w:eastAsia="黑体"/>
          <w:sz w:val="28"/>
        </w:rPr>
        <w:t>号：</w:t>
      </w:r>
      <w:r>
        <w:rPr>
          <w:rFonts w:hint="eastAsia" w:ascii="黑体" w:eastAsia="黑体"/>
          <w:sz w:val="28"/>
          <w:u w:val="single"/>
          <w:lang w:val="en-US" w:eastAsia="zh-CN"/>
        </w:rPr>
        <w:t xml:space="preserve">       </w:t>
      </w:r>
      <w:r>
        <w:rPr>
          <w:rFonts w:hint="eastAsia" w:ascii="黑体" w:eastAsia="黑体"/>
          <w:sz w:val="28"/>
          <w:lang w:val="en-US" w:eastAsia="zh-CN"/>
        </w:rPr>
        <w:t xml:space="preserve">  </w:t>
      </w:r>
    </w:p>
    <w:p w14:paraId="6BC27DF0">
      <w:pPr>
        <w:pStyle w:val="12"/>
        <w:rPr>
          <w:rFonts w:ascii="黑体"/>
          <w:sz w:val="30"/>
        </w:rPr>
      </w:pPr>
    </w:p>
    <w:p w14:paraId="1AC1B954">
      <w:pPr>
        <w:pStyle w:val="12"/>
        <w:spacing w:before="7"/>
        <w:rPr>
          <w:rFonts w:ascii="黑体"/>
          <w:sz w:val="28"/>
        </w:rPr>
      </w:pPr>
    </w:p>
    <w:p w14:paraId="5E0D19D9">
      <w:pPr>
        <w:spacing w:before="0"/>
        <w:ind w:left="1098" w:right="1061" w:firstLine="0"/>
        <w:jc w:val="center"/>
        <w:rPr>
          <w:rFonts w:hint="eastAsia" w:ascii="黑体" w:eastAsia="黑体"/>
          <w:sz w:val="50"/>
          <w:lang w:eastAsia="zh-CN"/>
        </w:rPr>
      </w:pPr>
      <w:r>
        <w:rPr>
          <w:rFonts w:hint="eastAsia" w:ascii="黑体" w:eastAsia="黑体"/>
          <w:sz w:val="50"/>
        </w:rPr>
        <w:t>招 标 文 件</w:t>
      </w:r>
    </w:p>
    <w:p w14:paraId="283B6A25">
      <w:pPr>
        <w:spacing w:before="0"/>
        <w:ind w:left="1098" w:right="1061" w:firstLine="0"/>
        <w:jc w:val="center"/>
        <w:rPr>
          <w:rFonts w:hint="eastAsia" w:ascii="黑体" w:eastAsia="黑体"/>
          <w:sz w:val="50"/>
        </w:rPr>
      </w:pPr>
    </w:p>
    <w:p w14:paraId="210529C4">
      <w:pPr>
        <w:pStyle w:val="12"/>
        <w:jc w:val="center"/>
        <w:rPr>
          <w:sz w:val="28"/>
          <w:szCs w:val="28"/>
        </w:rPr>
      </w:pPr>
      <w:r>
        <w:rPr>
          <w:sz w:val="28"/>
          <w:szCs w:val="28"/>
          <w:lang w:val="en-US" w:eastAsia="zh-CN"/>
        </w:rPr>
        <w:t>（电子招标投标、</w:t>
      </w:r>
      <w:r>
        <w:rPr>
          <w:rFonts w:hint="default"/>
          <w:sz w:val="28"/>
          <w:szCs w:val="28"/>
          <w:lang w:val="en-US" w:eastAsia="zh-CN"/>
        </w:rPr>
        <w:t>评定分离）</w:t>
      </w:r>
    </w:p>
    <w:p w14:paraId="351B52E9">
      <w:pPr>
        <w:pStyle w:val="12"/>
        <w:jc w:val="center"/>
      </w:pPr>
    </w:p>
    <w:p w14:paraId="2E5D8C09">
      <w:pPr>
        <w:pStyle w:val="12"/>
        <w:jc w:val="center"/>
      </w:pPr>
    </w:p>
    <w:p w14:paraId="14A77657">
      <w:pPr>
        <w:pStyle w:val="12"/>
        <w:rPr>
          <w:rFonts w:ascii="黑体"/>
          <w:sz w:val="50"/>
        </w:rPr>
      </w:pPr>
    </w:p>
    <w:p w14:paraId="56E6EBAE">
      <w:pPr>
        <w:pStyle w:val="12"/>
        <w:rPr>
          <w:rFonts w:ascii="黑体"/>
          <w:sz w:val="50"/>
        </w:rPr>
      </w:pPr>
    </w:p>
    <w:p w14:paraId="33661EDE">
      <w:pPr>
        <w:rPr>
          <w:rFonts w:ascii="黑体"/>
          <w:sz w:val="50"/>
        </w:rPr>
      </w:pPr>
    </w:p>
    <w:p w14:paraId="5AE3E607">
      <w:pPr>
        <w:pStyle w:val="24"/>
        <w:rPr>
          <w:rFonts w:ascii="黑体"/>
          <w:sz w:val="50"/>
        </w:rPr>
      </w:pPr>
    </w:p>
    <w:p w14:paraId="1C09A89B">
      <w:pPr>
        <w:rPr>
          <w:rFonts w:ascii="黑体"/>
          <w:sz w:val="50"/>
        </w:rPr>
      </w:pPr>
    </w:p>
    <w:p w14:paraId="658EC23C">
      <w:pPr>
        <w:pStyle w:val="24"/>
      </w:pPr>
    </w:p>
    <w:p w14:paraId="338FB0F4">
      <w:pPr>
        <w:pStyle w:val="12"/>
        <w:spacing w:before="4"/>
        <w:rPr>
          <w:rFonts w:ascii="黑体"/>
          <w:sz w:val="36"/>
        </w:rPr>
      </w:pPr>
    </w:p>
    <w:p w14:paraId="5FB4890E">
      <w:pPr>
        <w:tabs>
          <w:tab w:val="left" w:pos="3256"/>
        </w:tabs>
        <w:spacing w:before="0"/>
        <w:ind w:right="0" w:firstLine="560" w:firstLineChars="200"/>
        <w:jc w:val="both"/>
        <w:rPr>
          <w:rFonts w:hint="eastAsia" w:ascii="黑体" w:eastAsia="黑体"/>
          <w:sz w:val="28"/>
        </w:rPr>
      </w:pPr>
      <w:r>
        <w:rPr>
          <w:rFonts w:hint="eastAsia" w:ascii="黑体" w:eastAsia="黑体"/>
          <w:sz w:val="28"/>
        </w:rPr>
        <w:t>招</w:t>
      </w:r>
      <w:r>
        <w:rPr>
          <w:rFonts w:hint="eastAsia" w:ascii="黑体" w:eastAsia="黑体"/>
          <w:sz w:val="28"/>
          <w:lang w:val="en-US" w:eastAsia="zh-CN"/>
        </w:rPr>
        <w:t xml:space="preserve">   </w:t>
      </w:r>
      <w:r>
        <w:rPr>
          <w:rFonts w:hint="eastAsia" w:ascii="黑体" w:eastAsia="黑体"/>
          <w:sz w:val="28"/>
        </w:rPr>
        <w:t>标</w:t>
      </w:r>
      <w:r>
        <w:rPr>
          <w:rFonts w:hint="eastAsia" w:ascii="黑体" w:eastAsia="黑体"/>
          <w:sz w:val="28"/>
          <w:lang w:val="en-US" w:eastAsia="zh-CN"/>
        </w:rPr>
        <w:t xml:space="preserve">   </w:t>
      </w:r>
      <w:r>
        <w:rPr>
          <w:rFonts w:hint="eastAsia" w:ascii="黑体" w:eastAsia="黑体"/>
          <w:sz w:val="28"/>
        </w:rPr>
        <w:t>人：</w:t>
      </w:r>
      <w:r>
        <w:rPr>
          <w:rFonts w:hint="eastAsia" w:ascii="黑体" w:eastAsia="黑体"/>
          <w:sz w:val="28"/>
          <w:u w:val="single"/>
        </w:rPr>
        <w:t xml:space="preserve"> </w:t>
      </w:r>
      <w:r>
        <w:rPr>
          <w:rFonts w:hint="eastAsia" w:ascii="黑体" w:eastAsia="黑体"/>
          <w:sz w:val="28"/>
          <w:u w:val="single"/>
          <w:lang w:val="en-US" w:eastAsia="zh-CN"/>
        </w:rPr>
        <w:t xml:space="preserve">   淮北市杜集区住房和城乡建设局  </w:t>
      </w:r>
      <w:r>
        <w:rPr>
          <w:rFonts w:hint="eastAsia" w:ascii="黑体" w:eastAsia="黑体"/>
          <w:sz w:val="28"/>
        </w:rPr>
        <w:t>（盖单位</w:t>
      </w:r>
      <w:r>
        <w:rPr>
          <w:rFonts w:hint="eastAsia" w:ascii="黑体" w:eastAsia="黑体"/>
          <w:spacing w:val="-3"/>
          <w:sz w:val="28"/>
        </w:rPr>
        <w:t>章</w:t>
      </w:r>
      <w:r>
        <w:rPr>
          <w:rFonts w:hint="eastAsia" w:ascii="黑体" w:eastAsia="黑体"/>
          <w:sz w:val="28"/>
        </w:rPr>
        <w:t>）</w:t>
      </w:r>
    </w:p>
    <w:p w14:paraId="4361BBCA">
      <w:pPr>
        <w:pStyle w:val="12"/>
        <w:spacing w:before="8"/>
        <w:rPr>
          <w:rFonts w:ascii="黑体"/>
          <w:sz w:val="26"/>
        </w:rPr>
      </w:pPr>
    </w:p>
    <w:p w14:paraId="52526E01"/>
    <w:p w14:paraId="1F3B6114">
      <w:pPr>
        <w:tabs>
          <w:tab w:val="left" w:pos="4098"/>
        </w:tabs>
        <w:spacing w:before="1"/>
        <w:ind w:left="39" w:right="0" w:firstLine="0"/>
        <w:jc w:val="center"/>
        <w:rPr>
          <w:rFonts w:hint="eastAsia" w:ascii="黑体" w:eastAsia="黑体"/>
          <w:sz w:val="28"/>
        </w:rPr>
      </w:pPr>
      <w:r>
        <w:rPr>
          <w:rFonts w:hint="eastAsia" w:ascii="黑体" w:eastAsia="黑体"/>
          <w:sz w:val="28"/>
        </w:rPr>
        <w:t>招标代理机构：</w:t>
      </w:r>
      <w:r>
        <w:rPr>
          <w:rFonts w:hint="eastAsia" w:ascii="黑体" w:eastAsia="黑体"/>
          <w:sz w:val="28"/>
          <w:u w:val="single"/>
        </w:rPr>
        <w:t xml:space="preserve"> </w:t>
      </w:r>
      <w:r>
        <w:rPr>
          <w:rFonts w:hint="eastAsia" w:ascii="黑体" w:eastAsia="黑体"/>
          <w:sz w:val="28"/>
          <w:u w:val="single"/>
          <w:lang w:val="en-US" w:eastAsia="zh-CN"/>
        </w:rPr>
        <w:t xml:space="preserve">    中旭腾飞工程管理有限公司   </w:t>
      </w:r>
      <w:r>
        <w:rPr>
          <w:rFonts w:hint="eastAsia" w:ascii="黑体" w:eastAsia="黑体"/>
          <w:sz w:val="28"/>
        </w:rPr>
        <w:t>（盖单位章）</w:t>
      </w:r>
    </w:p>
    <w:p w14:paraId="422AF725">
      <w:pPr>
        <w:pStyle w:val="12"/>
        <w:spacing w:before="9"/>
        <w:rPr>
          <w:rFonts w:ascii="黑体"/>
          <w:sz w:val="21"/>
        </w:rPr>
      </w:pPr>
    </w:p>
    <w:p w14:paraId="0710B068">
      <w:pPr>
        <w:tabs>
          <w:tab w:val="left" w:pos="1118"/>
          <w:tab w:val="left" w:pos="2239"/>
          <w:tab w:val="left" w:pos="3497"/>
        </w:tabs>
        <w:spacing w:before="62"/>
        <w:ind w:left="0" w:right="334" w:firstLine="0"/>
        <w:jc w:val="center"/>
        <w:rPr>
          <w:rFonts w:ascii="Times New Roman" w:eastAsia="Times New Roman"/>
          <w:w w:val="100"/>
          <w:sz w:val="28"/>
          <w:u w:val="single"/>
        </w:rPr>
      </w:pPr>
    </w:p>
    <w:p w14:paraId="5D798D06">
      <w:pPr>
        <w:tabs>
          <w:tab w:val="left" w:pos="1118"/>
          <w:tab w:val="left" w:pos="2239"/>
          <w:tab w:val="left" w:pos="3497"/>
        </w:tabs>
        <w:spacing w:before="62"/>
        <w:ind w:left="0" w:right="334" w:firstLine="0"/>
        <w:jc w:val="center"/>
        <w:rPr>
          <w:rFonts w:hint="eastAsia" w:ascii="黑体" w:eastAsia="黑体"/>
          <w:sz w:val="28"/>
        </w:rPr>
      </w:pPr>
      <w:r>
        <w:rPr>
          <w:rFonts w:ascii="Times New Roman" w:eastAsia="Times New Roman"/>
          <w:w w:val="100"/>
          <w:sz w:val="28"/>
          <w:u w:val="single"/>
        </w:rPr>
        <w:t xml:space="preserve"> </w:t>
      </w:r>
      <w:r>
        <w:rPr>
          <w:rFonts w:hint="eastAsia" w:ascii="Times New Roman"/>
          <w:sz w:val="28"/>
          <w:u w:val="single"/>
          <w:lang w:val="en-US" w:eastAsia="zh-CN"/>
        </w:rPr>
        <w:t xml:space="preserve">2025  </w:t>
      </w:r>
      <w:r>
        <w:rPr>
          <w:rFonts w:hint="eastAsia" w:ascii="黑体" w:eastAsia="黑体"/>
          <w:sz w:val="28"/>
        </w:rPr>
        <w:t>年</w:t>
      </w:r>
      <w:r>
        <w:rPr>
          <w:rFonts w:hint="eastAsia" w:ascii="黑体" w:eastAsia="黑体"/>
          <w:sz w:val="28"/>
          <w:u w:val="single"/>
          <w:lang w:val="en-US" w:eastAsia="zh-CN"/>
        </w:rPr>
        <w:t xml:space="preserve"> 4 </w:t>
      </w:r>
      <w:r>
        <w:rPr>
          <w:rFonts w:hint="eastAsia" w:ascii="黑体" w:eastAsia="黑体"/>
          <w:sz w:val="28"/>
        </w:rPr>
        <w:t>月</w:t>
      </w:r>
    </w:p>
    <w:p w14:paraId="3960B866">
      <w:pPr>
        <w:spacing w:after="0"/>
        <w:jc w:val="center"/>
        <w:rPr>
          <w:rFonts w:hint="eastAsia" w:ascii="黑体" w:eastAsia="黑体"/>
          <w:sz w:val="28"/>
        </w:rPr>
      </w:pPr>
    </w:p>
    <w:p w14:paraId="3A5BF757">
      <w:pPr>
        <w:bidi w:val="0"/>
        <w:rPr>
          <w:rFonts w:hint="eastAsia" w:ascii="宋体" w:hAnsi="宋体" w:eastAsia="宋体" w:cs="宋体"/>
          <w:sz w:val="22"/>
          <w:szCs w:val="22"/>
          <w:lang w:val="zh-CN" w:eastAsia="zh-CN" w:bidi="zh-CN"/>
        </w:rPr>
      </w:pPr>
    </w:p>
    <w:p w14:paraId="43F69C35">
      <w:pPr>
        <w:bidi w:val="0"/>
        <w:rPr>
          <w:rFonts w:hint="eastAsia"/>
          <w:lang w:val="zh-CN" w:eastAsia="zh-CN"/>
        </w:rPr>
      </w:pPr>
    </w:p>
    <w:p w14:paraId="012ADAEA">
      <w:pPr>
        <w:bidi w:val="0"/>
        <w:rPr>
          <w:rFonts w:hint="eastAsia"/>
          <w:lang w:val="zh-CN" w:eastAsia="zh-CN"/>
        </w:rPr>
      </w:pPr>
    </w:p>
    <w:p w14:paraId="2CF07D66">
      <w:pPr>
        <w:bidi w:val="0"/>
        <w:rPr>
          <w:rFonts w:hint="eastAsia"/>
          <w:lang w:val="zh-CN" w:eastAsia="zh-CN"/>
        </w:rPr>
      </w:pPr>
    </w:p>
    <w:p w14:paraId="3AF39287">
      <w:pPr>
        <w:bidi w:val="0"/>
        <w:rPr>
          <w:rFonts w:hint="eastAsia"/>
          <w:lang w:val="zh-CN" w:eastAsia="zh-CN"/>
        </w:rPr>
      </w:pPr>
    </w:p>
    <w:p w14:paraId="725E83E5">
      <w:pPr>
        <w:bidi w:val="0"/>
        <w:rPr>
          <w:rFonts w:hint="eastAsia"/>
          <w:lang w:val="zh-CN" w:eastAsia="zh-CN"/>
        </w:rPr>
      </w:pPr>
    </w:p>
    <w:p w14:paraId="2E5A5462">
      <w:pPr>
        <w:bidi w:val="0"/>
        <w:rPr>
          <w:rFonts w:hint="eastAsia"/>
          <w:lang w:val="zh-CN" w:eastAsia="zh-CN"/>
        </w:rPr>
      </w:pPr>
    </w:p>
    <w:sdt>
      <w:sdtPr>
        <w:rPr>
          <w:rFonts w:ascii="宋体" w:hAnsi="宋体" w:eastAsia="宋体" w:cs="宋体"/>
          <w:sz w:val="36"/>
          <w:szCs w:val="36"/>
          <w:lang w:val="zh-CN" w:eastAsia="zh-CN" w:bidi="zh-CN"/>
        </w:rPr>
        <w:id w:val="147463762"/>
        <w15:color w:val="DBDBDB"/>
        <w:docPartObj>
          <w:docPartGallery w:val="Table of Contents"/>
          <w:docPartUnique/>
        </w:docPartObj>
      </w:sdtPr>
      <w:sdtEndPr>
        <w:rPr>
          <w:rFonts w:ascii="宋体" w:hAnsi="宋体" w:eastAsia="宋体" w:cs="宋体"/>
          <w:sz w:val="36"/>
          <w:szCs w:val="36"/>
          <w:lang w:val="zh-CN" w:eastAsia="zh-CN" w:bidi="zh-CN"/>
        </w:rPr>
      </w:sdtEndPr>
      <w:sdtContent>
        <w:p w14:paraId="256C0C26">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w:t>
          </w:r>
          <w:r>
            <w:rPr>
              <w:rFonts w:hint="eastAsia" w:ascii="宋体" w:hAnsi="宋体" w:eastAsia="宋体"/>
              <w:sz w:val="36"/>
              <w:szCs w:val="36"/>
              <w:lang w:val="en-US" w:eastAsia="zh-CN"/>
            </w:rPr>
            <w:t xml:space="preserve">   </w:t>
          </w:r>
          <w:r>
            <w:rPr>
              <w:rFonts w:ascii="宋体" w:hAnsi="宋体" w:eastAsia="宋体"/>
              <w:sz w:val="36"/>
              <w:szCs w:val="36"/>
            </w:rPr>
            <w:t>录</w:t>
          </w:r>
        </w:p>
        <w:p w14:paraId="45ACD94F">
          <w:pPr>
            <w:pStyle w:val="46"/>
            <w:keepNext w:val="0"/>
            <w:keepLines w:val="0"/>
            <w:pageBreakBefore w:val="0"/>
            <w:widowControl/>
            <w:tabs>
              <w:tab w:val="right" w:pos="2400"/>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"1-3"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_Toc28474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一</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卷</w:t>
          </w:r>
          <w:r>
            <w:rPr>
              <w:rFonts w:hint="eastAsia" w:asciiTheme="minorEastAsia" w:hAnsiTheme="minorEastAsia" w:eastAsiaTheme="minorEastAsia" w:cstheme="minorEastAsia"/>
              <w:b/>
              <w:bCs/>
              <w:sz w:val="24"/>
              <w:szCs w:val="24"/>
            </w:rPr>
            <w:fldChar w:fldCharType="end"/>
          </w:r>
        </w:p>
        <w:p w14:paraId="15B6569A">
          <w:pPr>
            <w:pStyle w:val="47"/>
            <w:keepNext w:val="0"/>
            <w:keepLines w:val="0"/>
            <w:pageBreakBefore w:val="0"/>
            <w:widowControl/>
            <w:tabs>
              <w:tab w:val="right" w:pos="3200"/>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_Toc16804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第一章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招标公告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_Toc16804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36CF7B2">
          <w:pPr>
            <w:pStyle w:val="47"/>
            <w:keepNext w:val="0"/>
            <w:keepLines w:val="0"/>
            <w:pageBreakBefore w:val="0"/>
            <w:widowControl/>
            <w:tabs>
              <w:tab w:val="right" w:pos="3200"/>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_Toc24963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第二章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投标人须知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_Toc24963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5B00EBA">
          <w:pPr>
            <w:pStyle w:val="47"/>
            <w:keepNext w:val="0"/>
            <w:keepLines w:val="0"/>
            <w:pageBreakBefore w:val="0"/>
            <w:widowControl/>
            <w:tabs>
              <w:tab w:val="right" w:pos="3200"/>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_Toc20800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第三章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评标办法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_Toc20800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C7C3978">
          <w:pPr>
            <w:pStyle w:val="47"/>
            <w:keepNext w:val="0"/>
            <w:keepLines w:val="0"/>
            <w:pageBreakBefore w:val="0"/>
            <w:widowControl/>
            <w:tabs>
              <w:tab w:val="right" w:pos="3200"/>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_Toc5617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合同条款及格式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_Toc5617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17FF665">
          <w:pPr>
            <w:pStyle w:val="47"/>
            <w:keepNext w:val="0"/>
            <w:keepLines w:val="0"/>
            <w:pageBreakBefore w:val="0"/>
            <w:widowControl/>
            <w:tabs>
              <w:tab w:val="right" w:pos="3200"/>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_Toc18005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第五章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工程量清单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_Toc18005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57AF687">
          <w:pPr>
            <w:pStyle w:val="46"/>
            <w:keepNext w:val="0"/>
            <w:keepLines w:val="0"/>
            <w:pageBreakBefore w:val="0"/>
            <w:widowControl/>
            <w:tabs>
              <w:tab w:val="right" w:pos="2400"/>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_Toc19256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二</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卷</w:t>
          </w:r>
          <w:r>
            <w:rPr>
              <w:rFonts w:hint="eastAsia" w:asciiTheme="minorEastAsia" w:hAnsiTheme="minorEastAsia" w:eastAsiaTheme="minorEastAsia" w:cstheme="minorEastAsia"/>
              <w:b/>
              <w:bCs/>
              <w:sz w:val="24"/>
              <w:szCs w:val="24"/>
            </w:rPr>
            <w:fldChar w:fldCharType="end"/>
          </w:r>
        </w:p>
        <w:p w14:paraId="078FF6BC">
          <w:pPr>
            <w:pStyle w:val="47"/>
            <w:keepNext w:val="0"/>
            <w:keepLines w:val="0"/>
            <w:pageBreakBefore w:val="0"/>
            <w:widowControl/>
            <w:tabs>
              <w:tab w:val="right" w:pos="3200"/>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_Toc1553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第六章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图纸（另册）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_Toc1553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7C8A90C">
          <w:pPr>
            <w:pStyle w:val="46"/>
            <w:keepNext w:val="0"/>
            <w:keepLines w:val="0"/>
            <w:pageBreakBefore w:val="0"/>
            <w:widowControl/>
            <w:tabs>
              <w:tab w:val="right" w:pos="2400"/>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_Toc5614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三</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卷</w:t>
          </w:r>
          <w:r>
            <w:rPr>
              <w:rFonts w:hint="eastAsia" w:asciiTheme="minorEastAsia" w:hAnsiTheme="minorEastAsia" w:eastAsiaTheme="minorEastAsia" w:cstheme="minorEastAsia"/>
              <w:b/>
              <w:bCs/>
              <w:sz w:val="24"/>
              <w:szCs w:val="24"/>
            </w:rPr>
            <w:fldChar w:fldCharType="end"/>
          </w:r>
        </w:p>
        <w:p w14:paraId="2C9CFDC7">
          <w:pPr>
            <w:pStyle w:val="47"/>
            <w:keepNext w:val="0"/>
            <w:keepLines w:val="0"/>
            <w:pageBreakBefore w:val="0"/>
            <w:widowControl/>
            <w:tabs>
              <w:tab w:val="right" w:pos="3200"/>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_Toc3660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第七章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技术规范（另册）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_Toc3660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203B075">
          <w:pPr>
            <w:pStyle w:val="47"/>
            <w:keepNext w:val="0"/>
            <w:keepLines w:val="0"/>
            <w:pageBreakBefore w:val="0"/>
            <w:widowControl/>
            <w:tabs>
              <w:tab w:val="right" w:pos="3200"/>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_Toc12735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第八章</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t>工程量清</w:t>
          </w:r>
          <w:r>
            <w:rPr>
              <w:rFonts w:hint="eastAsia" w:asciiTheme="minorEastAsia" w:hAnsiTheme="minorEastAsia" w:eastAsiaTheme="minorEastAsia" w:cstheme="minorEastAsia"/>
              <w:bCs w:val="0"/>
              <w:spacing w:val="3"/>
              <w:sz w:val="24"/>
              <w:szCs w:val="24"/>
            </w:rPr>
            <w:t>单</w:t>
          </w:r>
          <w:r>
            <w:rPr>
              <w:rFonts w:hint="eastAsia" w:asciiTheme="minorEastAsia" w:hAnsiTheme="minorEastAsia" w:eastAsiaTheme="minorEastAsia" w:cstheme="minorEastAsia"/>
              <w:bCs w:val="0"/>
              <w:sz w:val="24"/>
              <w:szCs w:val="24"/>
            </w:rPr>
            <w:t>计量规则</w:t>
          </w:r>
          <w:r>
            <w:rPr>
              <w:rFonts w:hint="eastAsia" w:asciiTheme="minorEastAsia" w:hAnsiTheme="minorEastAsia" w:eastAsiaTheme="minorEastAsia" w:cstheme="minorEastAsia"/>
              <w:bCs w:val="0"/>
              <w:sz w:val="24"/>
              <w:szCs w:val="24"/>
              <w:lang w:eastAsia="zh-CN"/>
            </w:rPr>
            <w:t>（</w:t>
          </w:r>
          <w:r>
            <w:rPr>
              <w:rFonts w:hint="eastAsia" w:asciiTheme="minorEastAsia" w:hAnsiTheme="minorEastAsia" w:eastAsiaTheme="minorEastAsia" w:cstheme="minorEastAsia"/>
              <w:bCs w:val="0"/>
              <w:sz w:val="24"/>
              <w:szCs w:val="24"/>
              <w:lang w:val="en-US" w:eastAsia="zh-CN"/>
            </w:rPr>
            <w:t>另册）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_Toc12735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FB07EC7">
          <w:pPr>
            <w:pStyle w:val="46"/>
            <w:keepNext w:val="0"/>
            <w:keepLines w:val="0"/>
            <w:pageBreakBefore w:val="0"/>
            <w:widowControl/>
            <w:tabs>
              <w:tab w:val="right" w:pos="2400"/>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HYPERLINK \l _Toc21616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第</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四</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卷</w:t>
          </w:r>
          <w:r>
            <w:rPr>
              <w:rFonts w:hint="eastAsia" w:asciiTheme="minorEastAsia" w:hAnsiTheme="minorEastAsia" w:eastAsiaTheme="minorEastAsia" w:cstheme="minorEastAsia"/>
              <w:b/>
              <w:bCs/>
              <w:sz w:val="24"/>
              <w:szCs w:val="24"/>
            </w:rPr>
            <w:fldChar w:fldCharType="end"/>
          </w:r>
        </w:p>
        <w:p w14:paraId="76BB2FD9">
          <w:pPr>
            <w:pStyle w:val="47"/>
            <w:keepNext w:val="0"/>
            <w:keepLines w:val="0"/>
            <w:pageBreakBefore w:val="0"/>
            <w:widowControl/>
            <w:tabs>
              <w:tab w:val="right" w:pos="3200"/>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_Toc27954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第九章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投标文件格式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_Toc27954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1A97899">
          <w:pPr>
            <w:pStyle w:val="45"/>
            <w:keepNext w:val="0"/>
            <w:keepLines w:val="0"/>
            <w:pageBreakBefore w:val="0"/>
            <w:widowControl/>
            <w:tabs>
              <w:tab w:val="right" w:leader="dot" w:pos="9490"/>
            </w:tabs>
            <w:kinsoku/>
            <w:wordWrap/>
            <w:overflowPunct/>
            <w:topLinePunct w:val="0"/>
            <w:autoSpaceDE/>
            <w:autoSpaceDN/>
            <w:bidi w:val="0"/>
            <w:adjustRightInd/>
            <w:snapToGrid/>
            <w:spacing w:before="0" w:beforeLines="100" w:after="0" w:afterLines="100" w:line="360" w:lineRule="auto"/>
            <w:ind w:left="220" w:leftChars="100" w:right="220" w:rightChars="10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_Toc26782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招标单位、招标代理机构对本招标文件的意见</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_Toc26782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140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E711AA2">
          <w:pPr>
            <w:keepNext w:val="0"/>
            <w:keepLines w:val="0"/>
            <w:pageBreakBefore w:val="0"/>
            <w:widowControl/>
            <w:kinsoku/>
            <w:wordWrap/>
            <w:overflowPunct/>
            <w:topLinePunct w:val="0"/>
            <w:autoSpaceDE/>
            <w:autoSpaceDN/>
            <w:bidi w:val="0"/>
            <w:adjustRightInd/>
            <w:snapToGrid/>
            <w:spacing w:before="0" w:beforeLines="100" w:after="0" w:afterLines="100" w:line="360" w:lineRule="auto"/>
            <w:ind w:left="220" w:leftChars="100" w:right="220" w:rightChars="100" w:firstLine="480" w:firstLineChars="200"/>
            <w:textAlignment w:val="auto"/>
          </w:pPr>
          <w:r>
            <w:rPr>
              <w:rFonts w:hint="eastAsia" w:asciiTheme="minorEastAsia" w:hAnsiTheme="minorEastAsia" w:eastAsiaTheme="minorEastAsia" w:cstheme="minorEastAsia"/>
              <w:sz w:val="24"/>
              <w:szCs w:val="24"/>
            </w:rPr>
            <w:fldChar w:fldCharType="end"/>
          </w:r>
        </w:p>
      </w:sdtContent>
    </w:sdt>
    <w:p w14:paraId="662F672D">
      <w:r>
        <w:br w:type="page"/>
      </w:r>
    </w:p>
    <w:p w14:paraId="39B59245">
      <w:pPr>
        <w:bidi w:val="0"/>
        <w:outlineLvl w:val="9"/>
      </w:pPr>
      <w:bookmarkStart w:id="1" w:name="_Toc28474"/>
    </w:p>
    <w:p w14:paraId="4D2D8B5B">
      <w:pPr>
        <w:bidi w:val="0"/>
        <w:outlineLvl w:val="9"/>
      </w:pPr>
    </w:p>
    <w:p w14:paraId="10728539">
      <w:pPr>
        <w:bidi w:val="0"/>
        <w:outlineLvl w:val="9"/>
      </w:pPr>
    </w:p>
    <w:p w14:paraId="03031998">
      <w:pPr>
        <w:bidi w:val="0"/>
        <w:outlineLvl w:val="9"/>
      </w:pPr>
    </w:p>
    <w:p w14:paraId="6A42101E">
      <w:pPr>
        <w:pStyle w:val="2"/>
        <w:bidi w:val="0"/>
        <w:outlineLvl w:val="0"/>
      </w:pPr>
      <w:r>
        <w:t>第</w:t>
      </w:r>
      <w:r>
        <w:tab/>
      </w:r>
      <w:r>
        <w:t>一</w:t>
      </w:r>
      <w:r>
        <w:tab/>
      </w:r>
      <w:r>
        <w:t>卷</w:t>
      </w:r>
      <w:bookmarkEnd w:id="1"/>
    </w:p>
    <w:p w14:paraId="1A65F0A0">
      <w:pPr>
        <w:pStyle w:val="2"/>
        <w:bidi w:val="0"/>
        <w:outlineLvl w:val="9"/>
        <w:sectPr>
          <w:headerReference r:id="rId5" w:type="default"/>
          <w:footerReference r:id="rId7" w:type="default"/>
          <w:headerReference r:id="rId6" w:type="even"/>
          <w:footerReference r:id="rId8" w:type="even"/>
          <w:pgSz w:w="11910" w:h="16850"/>
          <w:pgMar w:top="1600" w:right="1200" w:bottom="280" w:left="1220" w:header="0" w:footer="0" w:gutter="0"/>
          <w:pgNumType w:fmt="decimal"/>
          <w:cols w:space="720" w:num="1"/>
        </w:sectPr>
      </w:pPr>
    </w:p>
    <w:p w14:paraId="1F72AE3C">
      <w:pPr>
        <w:pStyle w:val="12"/>
        <w:rPr>
          <w:rFonts w:ascii="黑体"/>
          <w:sz w:val="20"/>
        </w:rPr>
      </w:pPr>
    </w:p>
    <w:p w14:paraId="52FFE693">
      <w:pPr>
        <w:pStyle w:val="12"/>
        <w:rPr>
          <w:rFonts w:ascii="黑体"/>
          <w:sz w:val="20"/>
        </w:rPr>
      </w:pPr>
    </w:p>
    <w:p w14:paraId="5E21E850">
      <w:pPr>
        <w:pStyle w:val="12"/>
        <w:rPr>
          <w:rFonts w:ascii="黑体"/>
          <w:sz w:val="20"/>
        </w:rPr>
      </w:pPr>
    </w:p>
    <w:p w14:paraId="53B3EBD2">
      <w:pPr>
        <w:pStyle w:val="12"/>
        <w:rPr>
          <w:rFonts w:ascii="黑体"/>
          <w:sz w:val="20"/>
        </w:rPr>
      </w:pPr>
    </w:p>
    <w:p w14:paraId="1D72F67A">
      <w:pPr>
        <w:pStyle w:val="12"/>
        <w:rPr>
          <w:rFonts w:ascii="黑体"/>
          <w:sz w:val="20"/>
        </w:rPr>
      </w:pPr>
    </w:p>
    <w:p w14:paraId="58D7FF28">
      <w:pPr>
        <w:pStyle w:val="12"/>
        <w:rPr>
          <w:rFonts w:ascii="黑体"/>
          <w:sz w:val="20"/>
        </w:rPr>
      </w:pPr>
    </w:p>
    <w:p w14:paraId="715A2699">
      <w:pPr>
        <w:pStyle w:val="12"/>
        <w:rPr>
          <w:rFonts w:ascii="黑体"/>
          <w:sz w:val="20"/>
        </w:rPr>
      </w:pPr>
    </w:p>
    <w:p w14:paraId="33F0707E">
      <w:pPr>
        <w:pStyle w:val="12"/>
        <w:rPr>
          <w:rFonts w:ascii="黑体"/>
          <w:sz w:val="20"/>
        </w:rPr>
      </w:pPr>
    </w:p>
    <w:p w14:paraId="68F9A4B7">
      <w:pPr>
        <w:pStyle w:val="12"/>
        <w:rPr>
          <w:rFonts w:ascii="黑体"/>
          <w:sz w:val="20"/>
        </w:rPr>
      </w:pPr>
    </w:p>
    <w:p w14:paraId="321F4340">
      <w:pPr>
        <w:pStyle w:val="12"/>
        <w:rPr>
          <w:rFonts w:ascii="黑体"/>
          <w:sz w:val="20"/>
        </w:rPr>
      </w:pPr>
    </w:p>
    <w:p w14:paraId="5F1D5480">
      <w:pPr>
        <w:pStyle w:val="12"/>
        <w:rPr>
          <w:rFonts w:ascii="黑体"/>
          <w:sz w:val="20"/>
        </w:rPr>
      </w:pPr>
    </w:p>
    <w:p w14:paraId="7AD63D6D">
      <w:pPr>
        <w:pStyle w:val="12"/>
        <w:rPr>
          <w:rFonts w:ascii="黑体"/>
          <w:sz w:val="20"/>
        </w:rPr>
      </w:pPr>
    </w:p>
    <w:p w14:paraId="47269ADC">
      <w:pPr>
        <w:pStyle w:val="12"/>
        <w:rPr>
          <w:rFonts w:ascii="黑体"/>
          <w:sz w:val="20"/>
        </w:rPr>
      </w:pPr>
    </w:p>
    <w:p w14:paraId="69664752">
      <w:pPr>
        <w:pStyle w:val="12"/>
        <w:rPr>
          <w:rFonts w:ascii="黑体"/>
          <w:sz w:val="20"/>
        </w:rPr>
      </w:pPr>
    </w:p>
    <w:p w14:paraId="6C1133A5">
      <w:pPr>
        <w:pStyle w:val="12"/>
        <w:rPr>
          <w:rFonts w:ascii="黑体"/>
          <w:sz w:val="20"/>
        </w:rPr>
      </w:pPr>
    </w:p>
    <w:p w14:paraId="4465A7A1">
      <w:pPr>
        <w:pStyle w:val="12"/>
        <w:rPr>
          <w:rFonts w:ascii="黑体"/>
          <w:sz w:val="20"/>
        </w:rPr>
      </w:pPr>
    </w:p>
    <w:p w14:paraId="3026C318">
      <w:pPr>
        <w:pStyle w:val="12"/>
        <w:rPr>
          <w:rFonts w:ascii="黑体"/>
          <w:sz w:val="20"/>
        </w:rPr>
      </w:pPr>
    </w:p>
    <w:p w14:paraId="5AE445E1">
      <w:pPr>
        <w:pStyle w:val="12"/>
        <w:rPr>
          <w:rFonts w:ascii="黑体"/>
          <w:sz w:val="20"/>
        </w:rPr>
      </w:pPr>
    </w:p>
    <w:p w14:paraId="332D0D59">
      <w:pPr>
        <w:pStyle w:val="3"/>
        <w:bidi w:val="0"/>
      </w:pPr>
      <w:bookmarkStart w:id="2" w:name="_Toc16804"/>
      <w:r>
        <w:t>第一章</w:t>
      </w:r>
      <w:r>
        <w:tab/>
      </w:r>
      <w:r>
        <w:t>招标公告</w:t>
      </w:r>
      <w:bookmarkEnd w:id="2"/>
    </w:p>
    <w:p w14:paraId="488BFD50">
      <w:pPr>
        <w:pStyle w:val="3"/>
        <w:bidi w:val="0"/>
        <w:outlineLvl w:val="9"/>
        <w:sectPr>
          <w:headerReference r:id="rId9" w:type="even"/>
          <w:footerReference r:id="rId10" w:type="even"/>
          <w:pgSz w:w="11910" w:h="16850"/>
          <w:pgMar w:top="1600" w:right="1200" w:bottom="280" w:left="1220" w:header="0" w:footer="0" w:gutter="0"/>
          <w:pgNumType w:fmt="decimal"/>
          <w:cols w:space="720" w:num="1"/>
        </w:sectPr>
      </w:pPr>
    </w:p>
    <w:p w14:paraId="07F34EFE">
      <w:pPr>
        <w:pStyle w:val="4"/>
        <w:bidi w:val="0"/>
      </w:pPr>
      <w:bookmarkStart w:id="3" w:name="_bookmark0"/>
      <w:bookmarkEnd w:id="3"/>
      <w:r>
        <w:t>第一章</w:t>
      </w:r>
      <w:r>
        <w:rPr>
          <w:rFonts w:hint="eastAsia"/>
          <w:lang w:val="en-US" w:eastAsia="zh-CN"/>
        </w:rPr>
        <w:t xml:space="preserve"> </w:t>
      </w:r>
      <w:r>
        <w:t>招标公告</w:t>
      </w:r>
    </w:p>
    <w:p w14:paraId="3FB9F289">
      <w:pPr>
        <w:pStyle w:val="12"/>
        <w:rPr>
          <w:rFonts w:ascii="黑体"/>
          <w:sz w:val="20"/>
        </w:rPr>
      </w:pPr>
    </w:p>
    <w:p w14:paraId="1D2DD6E4">
      <w:pPr>
        <w:adjustRightInd w:val="0"/>
        <w:snapToGrid w:val="0"/>
        <w:spacing w:line="360" w:lineRule="auto"/>
        <w:ind w:firstLine="482" w:firstLineChars="200"/>
        <w:jc w:val="center"/>
        <w:outlineLvl w:val="9"/>
        <w:rPr>
          <w:rFonts w:hint="eastAsia" w:ascii="宋体" w:hAnsi="宋体" w:cs="宋体"/>
          <w:b/>
          <w:bCs/>
          <w:color w:val="000000"/>
          <w:sz w:val="24"/>
          <w:szCs w:val="24"/>
        </w:rPr>
      </w:pPr>
      <w:bookmarkStart w:id="4" w:name="_Toc5952"/>
      <w:bookmarkStart w:id="5" w:name="_Toc32477"/>
      <w:bookmarkStart w:id="6" w:name="_Toc31818"/>
      <w:r>
        <w:rPr>
          <w:rFonts w:hint="eastAsia" w:ascii="宋体" w:hAnsi="宋体" w:cs="宋体"/>
          <w:b/>
          <w:bCs/>
          <w:color w:val="000000"/>
          <w:sz w:val="24"/>
          <w:szCs w:val="24"/>
        </w:rPr>
        <w:t>2025年淮北市杜集区农村公路修复性养护工程（北陈路、蔡祖路、二豆路、毛施路）招标公告</w:t>
      </w:r>
    </w:p>
    <w:p w14:paraId="12DF332E">
      <w:pPr>
        <w:adjustRightInd w:val="0"/>
        <w:snapToGrid w:val="0"/>
        <w:spacing w:line="360" w:lineRule="auto"/>
        <w:ind w:firstLine="482" w:firstLineChars="200"/>
        <w:jc w:val="center"/>
        <w:outlineLvl w:val="9"/>
        <w:rPr>
          <w:rFonts w:hint="eastAsia" w:ascii="宋体" w:hAnsi="宋体" w:cs="宋体"/>
          <w:b/>
          <w:bCs/>
          <w:color w:val="000000"/>
          <w:sz w:val="24"/>
          <w:szCs w:val="24"/>
        </w:rPr>
      </w:pPr>
      <w:r>
        <w:rPr>
          <w:rFonts w:hint="eastAsia" w:ascii="宋体" w:hAnsi="宋体" w:cs="宋体"/>
          <w:b/>
          <w:bCs/>
          <w:color w:val="000000"/>
          <w:sz w:val="24"/>
          <w:szCs w:val="24"/>
        </w:rPr>
        <w:t>（电子招标投标</w:t>
      </w:r>
      <w:r>
        <w:rPr>
          <w:rFonts w:hint="eastAsia" w:cs="宋体"/>
          <w:b/>
          <w:bCs/>
          <w:color w:val="000000"/>
          <w:sz w:val="24"/>
          <w:szCs w:val="24"/>
          <w:lang w:eastAsia="zh-CN"/>
        </w:rPr>
        <w:t>、</w:t>
      </w:r>
      <w:r>
        <w:rPr>
          <w:rFonts w:hint="eastAsia" w:cs="宋体"/>
          <w:b/>
          <w:bCs/>
          <w:color w:val="000000"/>
          <w:sz w:val="24"/>
          <w:szCs w:val="24"/>
          <w:lang w:val="en-US" w:eastAsia="zh-CN"/>
        </w:rPr>
        <w:t>评定分离</w:t>
      </w:r>
      <w:r>
        <w:rPr>
          <w:rFonts w:hint="eastAsia" w:ascii="宋体" w:hAnsi="宋体" w:cs="宋体"/>
          <w:b/>
          <w:bCs/>
          <w:color w:val="000000"/>
          <w:sz w:val="24"/>
          <w:szCs w:val="24"/>
        </w:rPr>
        <w:t>）</w:t>
      </w:r>
      <w:bookmarkEnd w:id="4"/>
      <w:bookmarkEnd w:id="5"/>
      <w:bookmarkEnd w:id="6"/>
    </w:p>
    <w:p w14:paraId="40AD7E7D">
      <w:pPr>
        <w:adjustRightInd w:val="0"/>
        <w:snapToGrid w:val="0"/>
        <w:spacing w:line="360" w:lineRule="auto"/>
        <w:outlineLvl w:val="9"/>
        <w:rPr>
          <w:rFonts w:hint="eastAsia" w:ascii="宋体" w:hAnsi="宋体" w:cs="宋体"/>
          <w:b/>
          <w:bCs/>
          <w:color w:val="000000"/>
          <w:sz w:val="24"/>
          <w:szCs w:val="24"/>
        </w:rPr>
      </w:pPr>
      <w:bookmarkStart w:id="7" w:name="_Toc26547"/>
      <w:bookmarkStart w:id="8" w:name="_Toc4775"/>
      <w:r>
        <w:rPr>
          <w:rFonts w:hint="eastAsia" w:ascii="宋体" w:hAnsi="宋体" w:cs="宋体"/>
          <w:b/>
          <w:bCs/>
          <w:color w:val="000000"/>
          <w:sz w:val="24"/>
          <w:szCs w:val="24"/>
        </w:rPr>
        <w:t>1.招标条件</w:t>
      </w:r>
      <w:bookmarkEnd w:id="7"/>
      <w:bookmarkEnd w:id="8"/>
    </w:p>
    <w:p w14:paraId="60672FF1">
      <w:pPr>
        <w:adjustRightInd w:val="0"/>
        <w:snapToGrid w:val="0"/>
        <w:spacing w:line="360" w:lineRule="auto"/>
        <w:ind w:firstLine="420" w:firstLineChars="200"/>
        <w:rPr>
          <w:rFonts w:hint="eastAsia" w:ascii="宋体" w:hAnsi="宋体" w:cs="宋体"/>
          <w:color w:val="000000"/>
          <w:sz w:val="21"/>
          <w:szCs w:val="21"/>
          <w:u w:val="single"/>
        </w:rPr>
      </w:pPr>
      <w:r>
        <w:rPr>
          <w:rFonts w:hint="eastAsia" w:ascii="宋体" w:hAnsi="宋体" w:cs="宋体"/>
          <w:bCs/>
          <w:snapToGrid w:val="0"/>
          <w:color w:val="000000"/>
          <w:kern w:val="0"/>
          <w:sz w:val="21"/>
          <w:szCs w:val="21"/>
        </w:rPr>
        <w:t>1.1</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项目名称：</w:t>
      </w:r>
      <w:r>
        <w:rPr>
          <w:rFonts w:hint="eastAsia" w:ascii="宋体" w:hAnsi="宋体" w:cs="宋体"/>
          <w:bCs/>
          <w:snapToGrid w:val="0"/>
          <w:color w:val="000000"/>
          <w:kern w:val="0"/>
          <w:sz w:val="21"/>
          <w:szCs w:val="21"/>
          <w:u w:val="single"/>
        </w:rPr>
        <w:t>2025年淮北市杜集区农村公路修复性养护工程（北陈路、蔡祖路、二豆路、毛施路）</w:t>
      </w:r>
      <w:r>
        <w:rPr>
          <w:rFonts w:hint="eastAsia" w:cs="宋体"/>
          <w:color w:val="000000"/>
          <w:sz w:val="21"/>
          <w:szCs w:val="21"/>
          <w:u w:val="single"/>
          <w:lang w:val="en-US" w:eastAsia="zh-CN"/>
        </w:rPr>
        <w:t xml:space="preserve"> </w:t>
      </w:r>
      <w:r>
        <w:rPr>
          <w:rFonts w:hint="eastAsia" w:ascii="宋体" w:hAnsi="宋体" w:cs="宋体"/>
          <w:color w:val="000000"/>
          <w:sz w:val="21"/>
          <w:szCs w:val="21"/>
          <w:u w:val="single"/>
        </w:rPr>
        <w:t>；</w:t>
      </w:r>
    </w:p>
    <w:p w14:paraId="4271BB44">
      <w:pPr>
        <w:adjustRightInd w:val="0"/>
        <w:snapToGrid w:val="0"/>
        <w:spacing w:line="360" w:lineRule="auto"/>
        <w:ind w:firstLine="420" w:firstLineChars="200"/>
        <w:rPr>
          <w:rFonts w:hint="eastAsia" w:ascii="宋体" w:hAnsi="宋体" w:cs="宋体"/>
          <w:color w:val="000000"/>
          <w:sz w:val="21"/>
          <w:szCs w:val="21"/>
        </w:rPr>
      </w:pPr>
      <w:r>
        <w:rPr>
          <w:rFonts w:hint="eastAsia" w:ascii="宋体" w:hAnsi="宋体" w:cs="宋体"/>
          <w:bCs/>
          <w:snapToGrid w:val="0"/>
          <w:color w:val="000000"/>
          <w:kern w:val="0"/>
          <w:sz w:val="21"/>
          <w:szCs w:val="21"/>
        </w:rPr>
        <w:t>1.2</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项目审批、核准或备案机关名称：</w:t>
      </w:r>
      <w:r>
        <w:rPr>
          <w:rFonts w:hint="eastAsia" w:ascii="宋体" w:hAnsi="宋体" w:cs="宋体"/>
          <w:bCs/>
          <w:snapToGrid w:val="0"/>
          <w:color w:val="000000"/>
          <w:kern w:val="0"/>
          <w:sz w:val="21"/>
          <w:szCs w:val="21"/>
          <w:u w:val="single"/>
          <w:lang w:val="en-US" w:eastAsia="zh-CN"/>
        </w:rPr>
        <w:t>淮北市交通运输局</w:t>
      </w:r>
      <w:r>
        <w:rPr>
          <w:rFonts w:hint="eastAsia" w:cs="宋体"/>
          <w:color w:val="000000"/>
          <w:sz w:val="21"/>
          <w:szCs w:val="21"/>
          <w:u w:val="single"/>
          <w:lang w:val="en-US" w:eastAsia="zh-CN"/>
        </w:rPr>
        <w:t xml:space="preserve"> </w:t>
      </w:r>
      <w:r>
        <w:rPr>
          <w:rFonts w:hint="eastAsia" w:ascii="宋体" w:hAnsi="宋体" w:cs="宋体"/>
          <w:color w:val="000000"/>
          <w:sz w:val="21"/>
          <w:szCs w:val="21"/>
        </w:rPr>
        <w:t>；</w:t>
      </w:r>
    </w:p>
    <w:p w14:paraId="40334BF7">
      <w:pPr>
        <w:adjustRightInd w:val="0"/>
        <w:snapToGrid w:val="0"/>
        <w:spacing w:line="360" w:lineRule="auto"/>
        <w:ind w:firstLine="437"/>
        <w:rPr>
          <w:rFonts w:hint="eastAsia" w:ascii="宋体" w:hAnsi="宋体" w:cs="宋体"/>
          <w:color w:val="000000"/>
          <w:sz w:val="21"/>
          <w:szCs w:val="21"/>
        </w:rPr>
      </w:pPr>
      <w:r>
        <w:rPr>
          <w:rFonts w:hint="eastAsia" w:ascii="宋体" w:hAnsi="宋体" w:cs="宋体"/>
          <w:bCs/>
          <w:snapToGrid w:val="0"/>
          <w:color w:val="000000"/>
          <w:kern w:val="0"/>
          <w:sz w:val="21"/>
          <w:szCs w:val="21"/>
        </w:rPr>
        <w:t>1.3</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批文名称及编号：</w:t>
      </w:r>
      <w:r>
        <w:rPr>
          <w:rFonts w:hint="eastAsia" w:cs="宋体"/>
          <w:color w:val="000000"/>
          <w:sz w:val="21"/>
          <w:szCs w:val="21"/>
          <w:u w:val="single"/>
          <w:lang w:eastAsia="zh-CN"/>
        </w:rPr>
        <w:t>淮北市交通运输局关于下达2025年农村公路养护提升工程建设计划的通知</w:t>
      </w:r>
      <w:r>
        <w:rPr>
          <w:rFonts w:hint="eastAsia" w:cs="宋体"/>
          <w:color w:val="000000"/>
          <w:sz w:val="21"/>
          <w:szCs w:val="21"/>
          <w:u w:val="single"/>
          <w:lang w:val="en-US" w:eastAsia="zh-CN"/>
        </w:rPr>
        <w:t xml:space="preserve">-淮交 【2025】11号 </w:t>
      </w:r>
      <w:r>
        <w:rPr>
          <w:rFonts w:hint="eastAsia" w:ascii="宋体" w:hAnsi="宋体" w:cs="宋体"/>
          <w:color w:val="000000"/>
          <w:sz w:val="21"/>
          <w:szCs w:val="21"/>
        </w:rPr>
        <w:t>；</w:t>
      </w:r>
    </w:p>
    <w:p w14:paraId="77B67327">
      <w:pPr>
        <w:adjustRightInd w:val="0"/>
        <w:snapToGrid w:val="0"/>
        <w:spacing w:line="360" w:lineRule="auto"/>
        <w:ind w:firstLine="420" w:firstLineChars="200"/>
        <w:rPr>
          <w:rFonts w:hint="eastAsia" w:ascii="宋体" w:hAnsi="宋体" w:cs="宋体"/>
          <w:color w:val="000000"/>
          <w:sz w:val="21"/>
          <w:szCs w:val="21"/>
          <w:u w:val="single"/>
        </w:rPr>
      </w:pPr>
      <w:r>
        <w:rPr>
          <w:rFonts w:hint="eastAsia" w:ascii="宋体" w:hAnsi="宋体" w:cs="宋体"/>
          <w:bCs/>
          <w:snapToGrid w:val="0"/>
          <w:color w:val="000000"/>
          <w:kern w:val="0"/>
          <w:sz w:val="21"/>
          <w:szCs w:val="21"/>
        </w:rPr>
        <w:t>1.4</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招标人：</w:t>
      </w:r>
      <w:r>
        <w:rPr>
          <w:rFonts w:hint="eastAsia" w:cs="宋体"/>
          <w:color w:val="000000"/>
          <w:sz w:val="21"/>
          <w:szCs w:val="21"/>
          <w:u w:val="single"/>
          <w:lang w:eastAsia="zh-CN"/>
        </w:rPr>
        <w:t>淮北市杜集区住房和城乡建设局</w:t>
      </w:r>
      <w:r>
        <w:rPr>
          <w:rFonts w:hint="eastAsia" w:cs="宋体"/>
          <w:color w:val="000000"/>
          <w:sz w:val="21"/>
          <w:szCs w:val="21"/>
          <w:u w:val="single"/>
          <w:lang w:val="en-US" w:eastAsia="zh-CN"/>
        </w:rPr>
        <w:t xml:space="preserve"> </w:t>
      </w:r>
      <w:r>
        <w:rPr>
          <w:rFonts w:hint="eastAsia" w:ascii="宋体" w:hAnsi="宋体" w:cs="宋体"/>
          <w:color w:val="000000"/>
          <w:sz w:val="21"/>
          <w:szCs w:val="21"/>
        </w:rPr>
        <w:t>；</w:t>
      </w:r>
    </w:p>
    <w:p w14:paraId="06462BAD">
      <w:pPr>
        <w:adjustRightInd w:val="0"/>
        <w:snapToGrid w:val="0"/>
        <w:spacing w:line="360" w:lineRule="auto"/>
        <w:ind w:firstLine="437"/>
        <w:rPr>
          <w:rFonts w:hint="eastAsia" w:ascii="宋体" w:hAnsi="宋体" w:cs="宋体"/>
          <w:color w:val="000000"/>
          <w:sz w:val="21"/>
          <w:szCs w:val="21"/>
        </w:rPr>
      </w:pPr>
      <w:r>
        <w:rPr>
          <w:rFonts w:hint="eastAsia" w:ascii="宋体" w:hAnsi="宋体" w:cs="宋体"/>
          <w:bCs/>
          <w:snapToGrid w:val="0"/>
          <w:color w:val="000000"/>
          <w:kern w:val="0"/>
          <w:sz w:val="21"/>
          <w:szCs w:val="21"/>
        </w:rPr>
        <w:t>1.5</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项目业主：</w:t>
      </w:r>
      <w:r>
        <w:rPr>
          <w:rFonts w:hint="eastAsia" w:cs="宋体"/>
          <w:color w:val="000000"/>
          <w:sz w:val="21"/>
          <w:szCs w:val="21"/>
          <w:u w:val="single"/>
          <w:lang w:eastAsia="zh-CN"/>
        </w:rPr>
        <w:t>淮北市杜集区住房和城乡建设局</w:t>
      </w:r>
      <w:r>
        <w:rPr>
          <w:rFonts w:hint="eastAsia" w:cs="宋体"/>
          <w:color w:val="000000"/>
          <w:sz w:val="21"/>
          <w:szCs w:val="21"/>
          <w:u w:val="single"/>
          <w:lang w:val="en-US" w:eastAsia="zh-CN"/>
        </w:rPr>
        <w:t xml:space="preserve"> </w:t>
      </w:r>
      <w:r>
        <w:rPr>
          <w:rFonts w:hint="eastAsia" w:ascii="宋体" w:hAnsi="宋体" w:cs="宋体"/>
          <w:color w:val="000000"/>
          <w:sz w:val="21"/>
          <w:szCs w:val="21"/>
        </w:rPr>
        <w:t>；</w:t>
      </w:r>
    </w:p>
    <w:p w14:paraId="00695118">
      <w:pPr>
        <w:adjustRightInd w:val="0"/>
        <w:snapToGrid w:val="0"/>
        <w:spacing w:line="360" w:lineRule="auto"/>
        <w:ind w:firstLine="437"/>
        <w:rPr>
          <w:rFonts w:hint="eastAsia" w:ascii="宋体" w:hAnsi="宋体" w:cs="宋体"/>
          <w:color w:val="000000"/>
          <w:sz w:val="21"/>
          <w:szCs w:val="21"/>
        </w:rPr>
      </w:pPr>
      <w:r>
        <w:rPr>
          <w:rFonts w:hint="eastAsia" w:ascii="宋体" w:hAnsi="宋体" w:cs="宋体"/>
          <w:bCs/>
          <w:snapToGrid w:val="0"/>
          <w:color w:val="000000"/>
          <w:kern w:val="0"/>
          <w:sz w:val="21"/>
          <w:szCs w:val="21"/>
        </w:rPr>
        <w:t>1.6</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资金来源：</w:t>
      </w:r>
      <w:r>
        <w:rPr>
          <w:rFonts w:hint="eastAsia" w:ascii="宋体" w:hAnsi="宋体" w:cs="宋体"/>
          <w:color w:val="000000"/>
          <w:sz w:val="21"/>
          <w:szCs w:val="21"/>
          <w:u w:val="single"/>
        </w:rPr>
        <w:t>财政资金</w:t>
      </w:r>
      <w:r>
        <w:rPr>
          <w:rFonts w:hint="eastAsia" w:cs="宋体"/>
          <w:color w:val="000000"/>
          <w:sz w:val="21"/>
          <w:szCs w:val="21"/>
          <w:u w:val="single"/>
          <w:lang w:val="en-US" w:eastAsia="zh-CN"/>
        </w:rPr>
        <w:t xml:space="preserve"> </w:t>
      </w:r>
      <w:r>
        <w:rPr>
          <w:rFonts w:hint="eastAsia" w:ascii="宋体" w:hAnsi="宋体" w:cs="宋体"/>
          <w:color w:val="000000"/>
          <w:sz w:val="21"/>
          <w:szCs w:val="21"/>
        </w:rPr>
        <w:t>；</w:t>
      </w:r>
    </w:p>
    <w:p w14:paraId="64E3BC96">
      <w:pPr>
        <w:adjustRightInd w:val="0"/>
        <w:snapToGrid w:val="0"/>
        <w:spacing w:line="360" w:lineRule="auto"/>
        <w:ind w:firstLine="437"/>
        <w:rPr>
          <w:rFonts w:hint="eastAsia" w:ascii="宋体" w:hAnsi="宋体" w:cs="宋体"/>
          <w:color w:val="000000"/>
          <w:sz w:val="21"/>
          <w:szCs w:val="21"/>
        </w:rPr>
      </w:pPr>
      <w:r>
        <w:rPr>
          <w:rFonts w:hint="eastAsia" w:ascii="宋体" w:hAnsi="宋体" w:cs="宋体"/>
          <w:bCs/>
          <w:snapToGrid w:val="0"/>
          <w:color w:val="000000"/>
          <w:kern w:val="0"/>
          <w:sz w:val="21"/>
          <w:szCs w:val="21"/>
        </w:rPr>
        <w:t>1.7</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项目出资比例：</w:t>
      </w:r>
      <w:r>
        <w:rPr>
          <w:rFonts w:hint="eastAsia" w:ascii="宋体" w:hAnsi="宋体" w:cs="宋体"/>
          <w:color w:val="000000"/>
          <w:sz w:val="21"/>
          <w:szCs w:val="21"/>
          <w:u w:val="single"/>
          <w:lang w:val="en-US" w:eastAsia="zh-CN"/>
        </w:rPr>
        <w:t>100%</w:t>
      </w:r>
      <w:r>
        <w:rPr>
          <w:rFonts w:hint="eastAsia" w:cs="宋体"/>
          <w:color w:val="000000"/>
          <w:sz w:val="21"/>
          <w:szCs w:val="21"/>
          <w:u w:val="single"/>
          <w:lang w:val="en-US" w:eastAsia="zh-CN"/>
        </w:rPr>
        <w:t xml:space="preserve"> </w:t>
      </w:r>
      <w:r>
        <w:rPr>
          <w:rFonts w:hint="eastAsia" w:ascii="宋体" w:hAnsi="宋体" w:cs="宋体"/>
          <w:color w:val="000000"/>
          <w:sz w:val="21"/>
          <w:szCs w:val="21"/>
        </w:rPr>
        <w:t>；</w:t>
      </w:r>
    </w:p>
    <w:p w14:paraId="6D2EF341">
      <w:pPr>
        <w:adjustRightInd w:val="0"/>
        <w:snapToGrid w:val="0"/>
        <w:spacing w:line="360" w:lineRule="auto"/>
        <w:ind w:firstLine="437"/>
        <w:rPr>
          <w:rFonts w:hint="eastAsia" w:ascii="宋体" w:hAnsi="宋体" w:cs="宋体"/>
          <w:color w:val="000000"/>
          <w:sz w:val="21"/>
          <w:szCs w:val="21"/>
        </w:rPr>
      </w:pPr>
      <w:r>
        <w:rPr>
          <w:rFonts w:hint="eastAsia" w:ascii="宋体" w:hAnsi="宋体" w:cs="宋体"/>
          <w:color w:val="000000"/>
          <w:sz w:val="21"/>
          <w:szCs w:val="21"/>
        </w:rPr>
        <w:t>1.8</w:t>
      </w:r>
      <w:r>
        <w:rPr>
          <w:rFonts w:hint="eastAsia" w:cs="宋体"/>
          <w:color w:val="000000"/>
          <w:sz w:val="21"/>
          <w:szCs w:val="21"/>
          <w:lang w:val="en-US" w:eastAsia="zh-CN"/>
        </w:rPr>
        <w:t xml:space="preserve"> </w:t>
      </w:r>
      <w:r>
        <w:rPr>
          <w:rFonts w:hint="eastAsia" w:ascii="宋体" w:hAnsi="宋体" w:cs="宋体"/>
          <w:color w:val="000000"/>
          <w:sz w:val="21"/>
          <w:szCs w:val="21"/>
        </w:rPr>
        <w:t>招标方式：</w:t>
      </w:r>
      <w:r>
        <w:rPr>
          <w:rFonts w:hint="eastAsia" w:ascii="宋体" w:hAnsi="宋体" w:cs="宋体"/>
          <w:color w:val="000000"/>
          <w:sz w:val="21"/>
          <w:szCs w:val="21"/>
          <w:u w:val="single"/>
          <w:lang w:val="en-US" w:eastAsia="zh-CN"/>
        </w:rPr>
        <w:t>公开招标</w:t>
      </w:r>
      <w:r>
        <w:rPr>
          <w:rFonts w:hint="eastAsia" w:cs="宋体"/>
          <w:color w:val="000000"/>
          <w:sz w:val="21"/>
          <w:szCs w:val="21"/>
          <w:u w:val="single"/>
          <w:lang w:val="en-US" w:eastAsia="zh-CN"/>
        </w:rPr>
        <w:t xml:space="preserve"> </w:t>
      </w:r>
      <w:r>
        <w:rPr>
          <w:rFonts w:hint="eastAsia" w:ascii="宋体" w:hAnsi="宋体" w:cs="宋体"/>
          <w:color w:val="000000"/>
          <w:sz w:val="21"/>
          <w:szCs w:val="21"/>
        </w:rPr>
        <w:t>；</w:t>
      </w:r>
    </w:p>
    <w:p w14:paraId="44BB43D2">
      <w:pPr>
        <w:adjustRightInd w:val="0"/>
        <w:snapToGrid w:val="0"/>
        <w:spacing w:line="360" w:lineRule="auto"/>
        <w:ind w:firstLine="437"/>
        <w:rPr>
          <w:rFonts w:hint="eastAsia" w:ascii="宋体" w:hAnsi="宋体" w:cs="宋体"/>
          <w:color w:val="000000"/>
          <w:sz w:val="21"/>
          <w:szCs w:val="21"/>
        </w:rPr>
      </w:pPr>
      <w:r>
        <w:rPr>
          <w:rFonts w:hint="eastAsia" w:ascii="宋体" w:hAnsi="宋体" w:cs="宋体"/>
          <w:color w:val="000000"/>
          <w:sz w:val="21"/>
          <w:szCs w:val="21"/>
        </w:rPr>
        <w:t>1.9</w:t>
      </w:r>
      <w:r>
        <w:rPr>
          <w:rFonts w:hint="eastAsia" w:cs="宋体"/>
          <w:color w:val="000000"/>
          <w:sz w:val="21"/>
          <w:szCs w:val="21"/>
          <w:lang w:val="en-US" w:eastAsia="zh-CN"/>
        </w:rPr>
        <w:t xml:space="preserve"> </w:t>
      </w:r>
      <w:r>
        <w:rPr>
          <w:rFonts w:hint="eastAsia" w:ascii="宋体" w:hAnsi="宋体" w:cs="宋体"/>
          <w:color w:val="000000"/>
          <w:sz w:val="21"/>
          <w:szCs w:val="21"/>
        </w:rPr>
        <w:t>评标办法：</w:t>
      </w:r>
      <w:r>
        <w:rPr>
          <w:rFonts w:hint="eastAsia" w:ascii="宋体" w:hAnsi="宋体" w:cs="宋体"/>
          <w:color w:val="000000"/>
          <w:sz w:val="21"/>
          <w:szCs w:val="21"/>
          <w:u w:val="single"/>
        </w:rPr>
        <w:t>技术评分最低标价法</w:t>
      </w:r>
      <w:r>
        <w:rPr>
          <w:rFonts w:hint="eastAsia" w:cs="宋体"/>
          <w:color w:val="000000"/>
          <w:sz w:val="21"/>
          <w:szCs w:val="21"/>
          <w:u w:val="single"/>
          <w:lang w:val="en-US" w:eastAsia="zh-CN"/>
        </w:rPr>
        <w:t xml:space="preserve"> </w:t>
      </w:r>
      <w:r>
        <w:rPr>
          <w:rFonts w:hint="eastAsia" w:ascii="宋体" w:hAnsi="宋体" w:cs="宋体"/>
          <w:color w:val="000000"/>
          <w:sz w:val="21"/>
          <w:szCs w:val="21"/>
        </w:rPr>
        <w:t>；</w:t>
      </w:r>
    </w:p>
    <w:p w14:paraId="1F0014CC">
      <w:pPr>
        <w:adjustRightInd w:val="0"/>
        <w:snapToGrid w:val="0"/>
        <w:spacing w:line="360" w:lineRule="auto"/>
        <w:outlineLvl w:val="9"/>
        <w:rPr>
          <w:rFonts w:hint="eastAsia" w:ascii="宋体" w:hAnsi="宋体" w:cs="宋体"/>
          <w:b/>
          <w:bCs/>
          <w:color w:val="000000"/>
          <w:sz w:val="24"/>
          <w:szCs w:val="24"/>
        </w:rPr>
      </w:pPr>
      <w:bookmarkStart w:id="9" w:name="_Toc31450"/>
      <w:bookmarkStart w:id="10" w:name="_Toc27995"/>
      <w:r>
        <w:rPr>
          <w:rFonts w:hint="eastAsia" w:ascii="宋体" w:hAnsi="宋体" w:cs="宋体"/>
          <w:b/>
          <w:bCs/>
          <w:color w:val="000000"/>
          <w:sz w:val="24"/>
          <w:szCs w:val="24"/>
        </w:rPr>
        <w:t>2.项目概况与招标范围</w:t>
      </w:r>
      <w:bookmarkEnd w:id="9"/>
      <w:bookmarkEnd w:id="10"/>
    </w:p>
    <w:p w14:paraId="7C91B062">
      <w:pPr>
        <w:adjustRightInd w:val="0"/>
        <w:snapToGrid w:val="0"/>
        <w:spacing w:line="360" w:lineRule="auto"/>
        <w:ind w:firstLine="420" w:firstLineChars="200"/>
        <w:rPr>
          <w:rFonts w:hint="eastAsia" w:ascii="宋体" w:hAnsi="宋体" w:cs="宋体"/>
          <w:color w:val="000000"/>
          <w:sz w:val="21"/>
          <w:szCs w:val="21"/>
          <w:u w:val="single"/>
        </w:rPr>
      </w:pPr>
      <w:r>
        <w:rPr>
          <w:rFonts w:hint="eastAsia" w:ascii="宋体" w:hAnsi="宋体" w:cs="宋体"/>
          <w:bCs/>
          <w:snapToGrid w:val="0"/>
          <w:color w:val="000000"/>
          <w:kern w:val="0"/>
          <w:sz w:val="21"/>
          <w:szCs w:val="21"/>
        </w:rPr>
        <w:t>2.1</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招标项目名称：</w:t>
      </w:r>
      <w:r>
        <w:rPr>
          <w:rFonts w:hint="eastAsia" w:ascii="宋体" w:hAnsi="宋体" w:cs="宋体"/>
          <w:bCs/>
          <w:snapToGrid w:val="0"/>
          <w:color w:val="000000"/>
          <w:kern w:val="0"/>
          <w:sz w:val="21"/>
          <w:szCs w:val="21"/>
          <w:u w:val="single"/>
        </w:rPr>
        <w:t>2025年淮北市杜集区农村公路修复性养护工程（北陈路、蔡祖路、二豆路、毛施路）</w:t>
      </w:r>
      <w:r>
        <w:rPr>
          <w:rFonts w:hint="eastAsia" w:cs="宋体"/>
          <w:color w:val="000000"/>
          <w:sz w:val="21"/>
          <w:szCs w:val="21"/>
          <w:u w:val="single"/>
          <w:lang w:val="en-US" w:eastAsia="zh-CN"/>
        </w:rPr>
        <w:t xml:space="preserve"> </w:t>
      </w:r>
      <w:r>
        <w:rPr>
          <w:rFonts w:hint="eastAsia" w:ascii="宋体" w:hAnsi="宋体" w:cs="宋体"/>
          <w:color w:val="000000"/>
          <w:sz w:val="21"/>
          <w:szCs w:val="21"/>
          <w:u w:val="single"/>
        </w:rPr>
        <w:t>；</w:t>
      </w:r>
    </w:p>
    <w:p w14:paraId="2C48838A">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2.2</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招标项目编号</w:t>
      </w:r>
      <w:r>
        <w:rPr>
          <w:rFonts w:hint="eastAsia" w:cs="宋体"/>
          <w:bCs/>
          <w:snapToGrid w:val="0"/>
          <w:color w:val="000000"/>
          <w:kern w:val="0"/>
          <w:sz w:val="21"/>
          <w:szCs w:val="21"/>
          <w:lang w:eastAsia="zh-CN"/>
        </w:rPr>
        <w:t>：</w:t>
      </w:r>
      <w:r>
        <w:rPr>
          <w:rFonts w:hint="eastAsia" w:cs="宋体"/>
          <w:bCs/>
          <w:snapToGrid w:val="0"/>
          <w:color w:val="000000"/>
          <w:kern w:val="0"/>
          <w:sz w:val="21"/>
          <w:szCs w:val="21"/>
          <w:lang w:val="en-US" w:eastAsia="zh-CN"/>
        </w:rPr>
        <w:t xml:space="preserve"> </w:t>
      </w:r>
      <w:r>
        <w:rPr>
          <w:rFonts w:hint="eastAsia" w:cs="宋体"/>
          <w:bCs/>
          <w:snapToGrid w:val="0"/>
          <w:color w:val="000000"/>
          <w:kern w:val="0"/>
          <w:sz w:val="21"/>
          <w:szCs w:val="21"/>
          <w:u w:val="single"/>
          <w:lang w:val="en-US" w:eastAsia="zh-CN"/>
        </w:rPr>
        <w:t xml:space="preserve">       </w:t>
      </w:r>
      <w:r>
        <w:rPr>
          <w:rFonts w:hint="eastAsia" w:ascii="宋体" w:hAnsi="宋体" w:cs="宋体"/>
          <w:color w:val="000000"/>
          <w:sz w:val="21"/>
          <w:szCs w:val="21"/>
        </w:rPr>
        <w:t>；</w:t>
      </w:r>
    </w:p>
    <w:p w14:paraId="171ACA3A">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2.3</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标段划分：</w:t>
      </w:r>
      <w:r>
        <w:rPr>
          <w:rFonts w:hint="eastAsia" w:ascii="宋体" w:hAnsi="宋体" w:cs="宋体"/>
          <w:color w:val="000000"/>
          <w:sz w:val="21"/>
          <w:szCs w:val="21"/>
          <w:u w:val="single"/>
        </w:rPr>
        <w:t>一个标段</w:t>
      </w:r>
      <w:r>
        <w:rPr>
          <w:rFonts w:hint="eastAsia" w:cs="宋体"/>
          <w:color w:val="000000"/>
          <w:sz w:val="21"/>
          <w:szCs w:val="21"/>
          <w:u w:val="single"/>
          <w:lang w:val="en-US" w:eastAsia="zh-CN"/>
        </w:rPr>
        <w:t xml:space="preserve"> </w:t>
      </w:r>
      <w:r>
        <w:rPr>
          <w:rFonts w:hint="eastAsia" w:ascii="宋体" w:hAnsi="宋体" w:cs="宋体"/>
          <w:color w:val="000000"/>
          <w:sz w:val="21"/>
          <w:szCs w:val="21"/>
        </w:rPr>
        <w:t>；</w:t>
      </w:r>
    </w:p>
    <w:p w14:paraId="025BA314">
      <w:pPr>
        <w:adjustRightInd w:val="0"/>
        <w:snapToGrid w:val="0"/>
        <w:spacing w:line="360" w:lineRule="auto"/>
        <w:ind w:firstLine="437"/>
        <w:rPr>
          <w:rFonts w:hint="eastAsia" w:ascii="宋体" w:hAnsi="宋体" w:cs="宋体"/>
          <w:color w:val="000000"/>
          <w:sz w:val="21"/>
          <w:szCs w:val="21"/>
          <w:u w:val="single"/>
        </w:rPr>
      </w:pPr>
      <w:r>
        <w:rPr>
          <w:rFonts w:hint="eastAsia" w:ascii="宋体" w:hAnsi="宋体" w:cs="宋体"/>
          <w:bCs/>
          <w:snapToGrid w:val="0"/>
          <w:color w:val="000000"/>
          <w:kern w:val="0"/>
          <w:sz w:val="21"/>
          <w:szCs w:val="21"/>
        </w:rPr>
        <w:t>2.4</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招标项目标段编号：</w:t>
      </w:r>
      <w:r>
        <w:rPr>
          <w:rFonts w:hint="eastAsia"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u w:val="single"/>
          <w:lang w:val="en-US" w:eastAsia="zh-CN"/>
        </w:rPr>
        <w:t xml:space="preserve"> </w:t>
      </w:r>
      <w:r>
        <w:rPr>
          <w:rFonts w:hint="eastAsia" w:ascii="宋体" w:hAnsi="宋体" w:cs="宋体"/>
          <w:color w:val="000000"/>
          <w:sz w:val="21"/>
          <w:szCs w:val="21"/>
        </w:rPr>
        <w:t>；</w:t>
      </w:r>
    </w:p>
    <w:p w14:paraId="370F42C8">
      <w:pPr>
        <w:adjustRightInd w:val="0"/>
        <w:snapToGrid w:val="0"/>
        <w:spacing w:line="360" w:lineRule="auto"/>
        <w:ind w:firstLine="437"/>
        <w:rPr>
          <w:rFonts w:hint="eastAsia" w:ascii="宋体" w:hAnsi="宋体" w:cs="宋体"/>
          <w:color w:val="000000"/>
          <w:sz w:val="21"/>
          <w:szCs w:val="21"/>
        </w:rPr>
      </w:pPr>
      <w:r>
        <w:rPr>
          <w:rFonts w:hint="eastAsia" w:ascii="宋体" w:hAnsi="宋体" w:cs="宋体"/>
          <w:bCs/>
          <w:snapToGrid w:val="0"/>
          <w:color w:val="000000"/>
          <w:kern w:val="0"/>
          <w:sz w:val="21"/>
          <w:szCs w:val="21"/>
        </w:rPr>
        <w:t>2.5</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建设地点：</w:t>
      </w:r>
      <w:r>
        <w:rPr>
          <w:rFonts w:hint="eastAsia" w:cs="宋体"/>
          <w:color w:val="000000"/>
          <w:sz w:val="21"/>
          <w:szCs w:val="21"/>
          <w:u w:val="single"/>
          <w:lang w:eastAsia="zh-CN"/>
        </w:rPr>
        <w:t>淮北市杜集区境内</w:t>
      </w:r>
      <w:r>
        <w:rPr>
          <w:rFonts w:hint="eastAsia" w:cs="宋体"/>
          <w:color w:val="000000"/>
          <w:sz w:val="21"/>
          <w:szCs w:val="21"/>
          <w:u w:val="single"/>
          <w:lang w:val="en-US" w:eastAsia="zh-CN"/>
        </w:rPr>
        <w:t xml:space="preserve"> </w:t>
      </w:r>
      <w:r>
        <w:rPr>
          <w:rFonts w:hint="eastAsia" w:ascii="宋体" w:hAnsi="宋体" w:cs="宋体"/>
          <w:color w:val="000000"/>
          <w:sz w:val="21"/>
          <w:szCs w:val="21"/>
        </w:rPr>
        <w:t>；</w:t>
      </w:r>
    </w:p>
    <w:p w14:paraId="2F996EEB">
      <w:pPr>
        <w:adjustRightInd w:val="0"/>
        <w:snapToGrid w:val="0"/>
        <w:spacing w:line="360" w:lineRule="auto"/>
        <w:ind w:firstLine="437"/>
        <w:rPr>
          <w:rFonts w:hint="eastAsia" w:cs="宋体"/>
          <w:bCs/>
          <w:snapToGrid w:val="0"/>
          <w:color w:val="000000"/>
          <w:kern w:val="0"/>
          <w:sz w:val="21"/>
          <w:szCs w:val="21"/>
          <w:u w:val="single"/>
          <w:lang w:val="en-US" w:eastAsia="zh-CN"/>
        </w:rPr>
      </w:pPr>
      <w:r>
        <w:rPr>
          <w:rFonts w:hint="eastAsia" w:ascii="宋体" w:hAnsi="宋体" w:cs="宋体"/>
          <w:bCs/>
          <w:snapToGrid w:val="0"/>
          <w:color w:val="000000"/>
          <w:kern w:val="0"/>
          <w:sz w:val="21"/>
          <w:szCs w:val="21"/>
        </w:rPr>
        <w:t>2.6</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建设规模：</w:t>
      </w:r>
      <w:r>
        <w:rPr>
          <w:rFonts w:hint="eastAsia" w:cs="宋体"/>
          <w:bCs/>
          <w:snapToGrid w:val="0"/>
          <w:color w:val="000000"/>
          <w:kern w:val="0"/>
          <w:sz w:val="21"/>
          <w:szCs w:val="21"/>
          <w:u w:val="single"/>
          <w:lang w:val="en-US" w:eastAsia="zh-CN"/>
        </w:rPr>
        <w:t xml:space="preserve"> 2025年淮北市杜集区农村公路修复性养护工程（北陈路、蔡祖路、二豆路、毛施路）位于淮北市杜集区境内。 蔡祖路项目起点与现状蔡祖路 K8+000 搭接、终点与闸河桥顺接，路线长度 1.520km；二豆路项目起点与现状二豆路 K3+000 搭接、终点与现状二豆路K4+200 搭接，路线长度 1.2km ；北陈路项目起点与现状北陈路 K8+840 顺接、终点与现状北陈路K12+720 顺接，路线长度 3.88km。 毛施路项目起点与现状毛施路 K2+5548 顺接、终点与现状毛施路K6+000 顺接，路线长度 3.452km。具体工程内容为拆除原有老路面，沥青路面面层重新铺设、路面基层拆除改造、路基培土、平面交叉、新建管涵，波形护栏、交通标志、道口标注及路面标线等交安设施等。详见设计图纸及招标文件。</w:t>
      </w:r>
    </w:p>
    <w:p w14:paraId="5EE85A0E">
      <w:pPr>
        <w:adjustRightInd w:val="0"/>
        <w:snapToGrid w:val="0"/>
        <w:spacing w:line="360" w:lineRule="auto"/>
        <w:ind w:firstLine="437"/>
        <w:rPr>
          <w:rFonts w:hint="eastAsia" w:ascii="宋体" w:hAnsi="宋体" w:cs="宋体"/>
          <w:color w:val="000000"/>
          <w:sz w:val="21"/>
          <w:szCs w:val="21"/>
        </w:rPr>
      </w:pPr>
      <w:r>
        <w:rPr>
          <w:rFonts w:hint="eastAsia" w:ascii="宋体" w:hAnsi="宋体" w:cs="宋体"/>
          <w:bCs/>
          <w:snapToGrid w:val="0"/>
          <w:color w:val="000000"/>
          <w:kern w:val="0"/>
          <w:sz w:val="21"/>
          <w:szCs w:val="21"/>
        </w:rPr>
        <w:t>2.7</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合同估算价：</w:t>
      </w:r>
      <w:r>
        <w:rPr>
          <w:rFonts w:hint="eastAsia" w:ascii="宋体" w:hAnsi="宋体" w:cs="宋体"/>
          <w:bCs/>
          <w:snapToGrid w:val="0"/>
          <w:color w:val="000000"/>
          <w:kern w:val="0"/>
          <w:sz w:val="21"/>
          <w:szCs w:val="21"/>
          <w:u w:val="single"/>
        </w:rPr>
        <w:t>5170312.08 元（含暂列金46万元）</w:t>
      </w:r>
      <w:r>
        <w:rPr>
          <w:rFonts w:hint="eastAsia" w:asciiTheme="minorEastAsia" w:hAnsiTheme="minorEastAsia" w:eastAsiaTheme="minorEastAsia" w:cstheme="minorEastAsia"/>
          <w:spacing w:val="-3"/>
          <w:sz w:val="21"/>
          <w:szCs w:val="21"/>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 w:val="21"/>
          <w:szCs w:val="21"/>
          <w:u w:val="none"/>
        </w:rPr>
        <w:t>；</w:t>
      </w:r>
    </w:p>
    <w:p w14:paraId="762694A7">
      <w:pPr>
        <w:adjustRightInd w:val="0"/>
        <w:snapToGrid w:val="0"/>
        <w:spacing w:line="360" w:lineRule="auto"/>
        <w:ind w:firstLine="437"/>
        <w:rPr>
          <w:rFonts w:hint="eastAsia" w:ascii="宋体" w:hAnsi="宋体" w:cs="宋体"/>
          <w:color w:val="000000"/>
          <w:sz w:val="21"/>
          <w:szCs w:val="21"/>
        </w:rPr>
      </w:pPr>
      <w:r>
        <w:rPr>
          <w:rFonts w:hint="eastAsia" w:ascii="宋体" w:hAnsi="宋体" w:cs="宋体"/>
          <w:bCs/>
          <w:snapToGrid w:val="0"/>
          <w:color w:val="000000"/>
          <w:kern w:val="0"/>
          <w:sz w:val="21"/>
          <w:szCs w:val="21"/>
        </w:rPr>
        <w:t>2.8</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计划工期：</w:t>
      </w:r>
      <w:r>
        <w:rPr>
          <w:rFonts w:hint="eastAsia" w:cs="宋体"/>
          <w:bCs/>
          <w:snapToGrid w:val="0"/>
          <w:color w:val="000000"/>
          <w:kern w:val="0"/>
          <w:sz w:val="21"/>
          <w:szCs w:val="21"/>
          <w:u w:val="single"/>
          <w:lang w:val="en-US" w:eastAsia="zh-CN"/>
        </w:rPr>
        <w:t>6</w:t>
      </w:r>
      <w:r>
        <w:rPr>
          <w:rFonts w:hint="eastAsia" w:cs="宋体"/>
          <w:color w:val="auto"/>
          <w:sz w:val="21"/>
          <w:szCs w:val="21"/>
          <w:highlight w:val="none"/>
          <w:u w:val="single"/>
          <w:lang w:val="en-US" w:eastAsia="zh-CN"/>
        </w:rPr>
        <w:t>0</w:t>
      </w:r>
      <w:r>
        <w:rPr>
          <w:rFonts w:hint="eastAsia" w:ascii="宋体" w:hAnsi="宋体" w:cs="宋体"/>
          <w:color w:val="auto"/>
          <w:sz w:val="21"/>
          <w:szCs w:val="21"/>
          <w:highlight w:val="none"/>
          <w:u w:val="single"/>
        </w:rPr>
        <w:t>日历天</w:t>
      </w:r>
      <w:r>
        <w:rPr>
          <w:rFonts w:hint="eastAsia" w:ascii="宋体" w:hAnsi="宋体" w:cs="宋体"/>
          <w:bCs/>
          <w:snapToGrid w:val="0"/>
          <w:color w:val="auto"/>
          <w:kern w:val="0"/>
          <w:sz w:val="21"/>
          <w:szCs w:val="21"/>
          <w:highlight w:val="none"/>
          <w:u w:val="single"/>
          <w:lang w:val="en-US" w:eastAsia="zh-CN"/>
        </w:rPr>
        <w:t xml:space="preserve"> </w:t>
      </w:r>
      <w:r>
        <w:rPr>
          <w:rFonts w:hint="eastAsia" w:ascii="宋体" w:hAnsi="宋体" w:cs="宋体"/>
          <w:color w:val="000000"/>
          <w:sz w:val="21"/>
          <w:szCs w:val="21"/>
        </w:rPr>
        <w:t>；</w:t>
      </w:r>
    </w:p>
    <w:p w14:paraId="638AAA72">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2.9</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招标范围：</w:t>
      </w:r>
      <w:r>
        <w:rPr>
          <w:rFonts w:hint="eastAsia" w:ascii="宋体" w:hAnsi="宋体" w:cs="宋体"/>
          <w:bCs/>
          <w:snapToGrid w:val="0"/>
          <w:color w:val="000000"/>
          <w:kern w:val="0"/>
          <w:sz w:val="21"/>
          <w:szCs w:val="21"/>
          <w:u w:val="single"/>
        </w:rPr>
        <w:t>包括但不限于图纸及工程量清单范围的全部内容</w:t>
      </w:r>
      <w:r>
        <w:rPr>
          <w:rFonts w:hint="eastAsia" w:ascii="宋体" w:hAnsi="宋体" w:cs="宋体"/>
          <w:bCs/>
          <w:snapToGrid w:val="0"/>
          <w:color w:val="000000"/>
          <w:kern w:val="0"/>
          <w:sz w:val="21"/>
          <w:szCs w:val="21"/>
        </w:rPr>
        <w:t>。</w:t>
      </w:r>
    </w:p>
    <w:p w14:paraId="62777A09">
      <w:pPr>
        <w:adjustRightInd w:val="0"/>
        <w:snapToGrid w:val="0"/>
        <w:spacing w:line="360" w:lineRule="auto"/>
        <w:ind w:firstLine="437"/>
        <w:rPr>
          <w:rFonts w:hint="eastAsia" w:ascii="宋体" w:hAnsi="宋体" w:cs="宋体"/>
          <w:color w:val="000000"/>
          <w:sz w:val="21"/>
          <w:szCs w:val="21"/>
        </w:rPr>
      </w:pPr>
      <w:r>
        <w:rPr>
          <w:rFonts w:hint="eastAsia" w:ascii="宋体" w:hAnsi="宋体" w:cs="宋体"/>
          <w:bCs/>
          <w:snapToGrid w:val="0"/>
          <w:color w:val="000000"/>
          <w:kern w:val="0"/>
          <w:sz w:val="21"/>
          <w:szCs w:val="21"/>
        </w:rPr>
        <w:t>2.10</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项目类别：</w:t>
      </w:r>
      <w:r>
        <w:rPr>
          <w:rFonts w:hint="eastAsia" w:cs="宋体"/>
          <w:color w:val="000000"/>
          <w:sz w:val="21"/>
          <w:szCs w:val="21"/>
          <w:u w:val="single"/>
          <w:lang w:val="en-US" w:eastAsia="zh-CN"/>
        </w:rPr>
        <w:t xml:space="preserve">工程施工 </w:t>
      </w:r>
      <w:r>
        <w:rPr>
          <w:rFonts w:hint="eastAsia" w:ascii="宋体" w:hAnsi="宋体" w:cs="宋体"/>
          <w:color w:val="000000"/>
          <w:sz w:val="21"/>
          <w:szCs w:val="21"/>
        </w:rPr>
        <w:t>；</w:t>
      </w:r>
    </w:p>
    <w:p w14:paraId="39D8F32E">
      <w:pPr>
        <w:adjustRightInd w:val="0"/>
        <w:snapToGrid w:val="0"/>
        <w:spacing w:line="360" w:lineRule="auto"/>
        <w:ind w:firstLine="437"/>
        <w:rPr>
          <w:rFonts w:hint="eastAsia" w:ascii="宋体" w:hAnsi="宋体" w:cs="宋体"/>
          <w:color w:val="000000"/>
          <w:sz w:val="21"/>
          <w:szCs w:val="21"/>
        </w:rPr>
      </w:pPr>
      <w:r>
        <w:rPr>
          <w:rFonts w:hint="eastAsia" w:ascii="宋体" w:hAnsi="宋体" w:cs="宋体"/>
          <w:bCs/>
          <w:snapToGrid w:val="0"/>
          <w:color w:val="000000"/>
          <w:kern w:val="0"/>
          <w:sz w:val="21"/>
          <w:szCs w:val="21"/>
        </w:rPr>
        <w:t>2.11</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其他：</w:t>
      </w:r>
      <w:r>
        <w:rPr>
          <w:rFonts w:hint="eastAsia" w:ascii="宋体" w:hAnsi="宋体" w:cs="宋体"/>
          <w:bCs/>
          <w:snapToGrid w:val="0"/>
          <w:color w:val="000000"/>
          <w:kern w:val="0"/>
          <w:sz w:val="21"/>
          <w:szCs w:val="21"/>
          <w:u w:val="single"/>
          <w:lang w:val="en-US" w:eastAsia="zh-CN"/>
        </w:rPr>
        <w:t xml:space="preserve"> / </w:t>
      </w:r>
      <w:r>
        <w:rPr>
          <w:rFonts w:hint="eastAsia" w:ascii="宋体" w:hAnsi="宋体" w:cs="宋体"/>
          <w:color w:val="000000"/>
          <w:sz w:val="21"/>
          <w:szCs w:val="21"/>
        </w:rPr>
        <w:t>；</w:t>
      </w:r>
    </w:p>
    <w:p w14:paraId="6C72475F">
      <w:pPr>
        <w:adjustRightInd w:val="0"/>
        <w:snapToGrid w:val="0"/>
        <w:spacing w:line="360" w:lineRule="auto"/>
        <w:outlineLvl w:val="9"/>
        <w:rPr>
          <w:rFonts w:hint="eastAsia" w:ascii="宋体" w:hAnsi="宋体" w:cs="宋体"/>
          <w:b/>
          <w:bCs/>
          <w:color w:val="000000"/>
          <w:sz w:val="24"/>
          <w:szCs w:val="24"/>
        </w:rPr>
      </w:pPr>
      <w:bookmarkStart w:id="11" w:name="_Toc10554"/>
      <w:bookmarkStart w:id="12" w:name="_Toc617"/>
      <w:r>
        <w:rPr>
          <w:rFonts w:hint="eastAsia" w:ascii="宋体" w:hAnsi="宋体" w:cs="宋体"/>
          <w:b/>
          <w:bCs/>
          <w:color w:val="000000"/>
          <w:sz w:val="24"/>
          <w:szCs w:val="24"/>
        </w:rPr>
        <w:t>3.投标人资格要求</w:t>
      </w:r>
      <w:bookmarkEnd w:id="11"/>
      <w:bookmarkEnd w:id="12"/>
    </w:p>
    <w:p w14:paraId="0ABD24EA">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3.1</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投标人资质要求：</w:t>
      </w:r>
    </w:p>
    <w:p w14:paraId="46ED640F">
      <w:pPr>
        <w:numPr>
          <w:ilvl w:val="0"/>
          <w:numId w:val="0"/>
        </w:numPr>
        <w:adjustRightInd w:val="0"/>
        <w:snapToGrid w:val="0"/>
        <w:spacing w:line="360" w:lineRule="auto"/>
        <w:ind w:left="0" w:leftChars="0" w:right="0" w:rightChars="0" w:firstLine="437" w:firstLineChars="0"/>
        <w:rPr>
          <w:rFonts w:hint="eastAsia" w:ascii="宋体" w:hAnsi="宋体" w:eastAsia="宋体" w:cs="宋体"/>
          <w:color w:val="000000"/>
          <w:sz w:val="21"/>
          <w:szCs w:val="21"/>
          <w:u w:val="single"/>
          <w:lang w:val="en-US" w:eastAsia="zh-CN"/>
        </w:rPr>
      </w:pPr>
      <w:r>
        <w:rPr>
          <w:rFonts w:hint="eastAsia" w:ascii="宋体" w:hAnsi="宋体" w:cs="宋体"/>
          <w:color w:val="000000"/>
          <w:sz w:val="21"/>
          <w:szCs w:val="21"/>
          <w:u w:val="single"/>
          <w:lang w:val="en-US" w:eastAsia="zh-CN"/>
        </w:rPr>
        <w:t>投标人须具有</w:t>
      </w:r>
      <w:r>
        <w:rPr>
          <w:rFonts w:hint="eastAsia" w:cs="宋体"/>
          <w:color w:val="000000"/>
          <w:sz w:val="21"/>
          <w:szCs w:val="21"/>
          <w:u w:val="single"/>
          <w:lang w:val="en-US" w:eastAsia="zh-CN"/>
        </w:rPr>
        <w:t>公路</w:t>
      </w:r>
      <w:r>
        <w:rPr>
          <w:rFonts w:hint="eastAsia" w:ascii="宋体" w:hAnsi="宋体" w:cs="宋体"/>
          <w:color w:val="000000"/>
          <w:sz w:val="21"/>
          <w:szCs w:val="21"/>
          <w:u w:val="single"/>
          <w:lang w:val="en-US" w:eastAsia="zh-CN"/>
        </w:rPr>
        <w:t>工程</w:t>
      </w:r>
      <w:r>
        <w:rPr>
          <w:rFonts w:hint="eastAsia" w:cs="宋体"/>
          <w:color w:val="000000"/>
          <w:sz w:val="21"/>
          <w:szCs w:val="21"/>
          <w:u w:val="single"/>
          <w:lang w:val="en-US" w:eastAsia="zh-CN"/>
        </w:rPr>
        <w:t>施工总</w:t>
      </w:r>
      <w:r>
        <w:rPr>
          <w:rFonts w:hint="eastAsia" w:ascii="宋体" w:hAnsi="宋体" w:cs="宋体"/>
          <w:color w:val="000000"/>
          <w:sz w:val="21"/>
          <w:szCs w:val="21"/>
          <w:u w:val="single"/>
          <w:lang w:val="en-US" w:eastAsia="zh-CN"/>
        </w:rPr>
        <w:t>承包</w:t>
      </w:r>
      <w:r>
        <w:rPr>
          <w:rFonts w:hint="eastAsia" w:cs="宋体"/>
          <w:color w:val="000000"/>
          <w:sz w:val="21"/>
          <w:szCs w:val="21"/>
          <w:u w:val="single"/>
          <w:lang w:val="en-US" w:eastAsia="zh-CN"/>
        </w:rPr>
        <w:t>三</w:t>
      </w:r>
      <w:r>
        <w:rPr>
          <w:rFonts w:hint="eastAsia" w:ascii="宋体" w:hAnsi="宋体" w:cs="宋体"/>
          <w:color w:val="000000"/>
          <w:sz w:val="21"/>
          <w:szCs w:val="21"/>
          <w:u w:val="single"/>
          <w:lang w:val="en-US" w:eastAsia="zh-CN"/>
        </w:rPr>
        <w:t>级</w:t>
      </w:r>
      <w:r>
        <w:rPr>
          <w:rFonts w:hint="eastAsia" w:cs="宋体"/>
          <w:color w:val="000000"/>
          <w:sz w:val="21"/>
          <w:szCs w:val="21"/>
          <w:u w:val="single"/>
          <w:lang w:val="en-US" w:eastAsia="zh-CN"/>
        </w:rPr>
        <w:t>或三级以上</w:t>
      </w:r>
      <w:r>
        <w:rPr>
          <w:rFonts w:hint="eastAsia" w:ascii="宋体" w:hAnsi="宋体" w:cs="宋体"/>
          <w:color w:val="000000"/>
          <w:sz w:val="21"/>
          <w:szCs w:val="21"/>
          <w:u w:val="single"/>
          <w:lang w:val="en-US" w:eastAsia="zh-CN"/>
        </w:rPr>
        <w:t>资质（或具有建设工程资质管理制度改革后颁发的公路工程施工总承包乙级及以上资质或施工综合资质）</w:t>
      </w:r>
      <w:r>
        <w:rPr>
          <w:rFonts w:hint="eastAsia" w:cs="宋体"/>
          <w:color w:val="000000"/>
          <w:sz w:val="21"/>
          <w:szCs w:val="21"/>
          <w:u w:val="single"/>
          <w:lang w:val="en-US" w:eastAsia="zh-CN"/>
        </w:rPr>
        <w:t>，</w:t>
      </w:r>
      <w:r>
        <w:rPr>
          <w:rFonts w:hint="eastAsia" w:ascii="宋体" w:hAnsi="宋体" w:cs="宋体"/>
          <w:color w:val="000000"/>
          <w:sz w:val="21"/>
          <w:szCs w:val="21"/>
          <w:u w:val="single"/>
          <w:lang w:val="en-US" w:eastAsia="zh-CN"/>
        </w:rPr>
        <w:t>且具备有效的安全生产</w:t>
      </w:r>
      <w:r>
        <w:rPr>
          <w:rFonts w:hint="eastAsia" w:ascii="宋体" w:hAnsi="宋体" w:eastAsia="宋体" w:cs="宋体"/>
          <w:color w:val="000000"/>
          <w:sz w:val="21"/>
          <w:szCs w:val="21"/>
          <w:u w:val="single"/>
          <w:lang w:val="en-US" w:eastAsia="zh-CN"/>
        </w:rPr>
        <w:t>许可证</w:t>
      </w:r>
      <w:r>
        <w:rPr>
          <w:rFonts w:hint="eastAsia" w:cs="宋体"/>
          <w:color w:val="000000"/>
          <w:sz w:val="21"/>
          <w:szCs w:val="21"/>
          <w:u w:val="single"/>
          <w:lang w:val="en-US" w:eastAsia="zh-CN"/>
        </w:rPr>
        <w:t>。</w:t>
      </w:r>
    </w:p>
    <w:p w14:paraId="7B894A73">
      <w:pPr>
        <w:adjustRightInd w:val="0"/>
        <w:snapToGrid w:val="0"/>
        <w:spacing w:line="360" w:lineRule="auto"/>
        <w:ind w:firstLine="437"/>
        <w:rPr>
          <w:rFonts w:hint="eastAsia" w:ascii="宋体" w:hAnsi="宋体" w:eastAsia="宋体" w:cs="宋体"/>
          <w:color w:val="auto"/>
          <w:sz w:val="21"/>
          <w:szCs w:val="21"/>
          <w:u w:val="none"/>
          <w:lang w:val="en-US" w:eastAsia="zh-CN"/>
        </w:rPr>
      </w:pPr>
      <w:r>
        <w:rPr>
          <w:rFonts w:hint="eastAsia" w:ascii="宋体" w:hAnsi="宋体" w:eastAsia="宋体" w:cs="宋体"/>
          <w:color w:val="000000"/>
          <w:sz w:val="21"/>
          <w:szCs w:val="21"/>
          <w:u w:val="none"/>
          <w:lang w:val="en-US" w:eastAsia="zh-CN"/>
        </w:rPr>
        <w:t>3.2</w:t>
      </w:r>
      <w:r>
        <w:rPr>
          <w:rFonts w:hint="eastAsia" w:cs="宋体"/>
          <w:color w:val="000000"/>
          <w:sz w:val="21"/>
          <w:szCs w:val="21"/>
          <w:u w:val="none"/>
          <w:lang w:val="en-US" w:eastAsia="zh-CN"/>
        </w:rPr>
        <w:t xml:space="preserve"> </w:t>
      </w:r>
      <w:r>
        <w:rPr>
          <w:rFonts w:hint="eastAsia" w:ascii="宋体" w:hAnsi="宋体" w:eastAsia="宋体" w:cs="宋体"/>
          <w:color w:val="000000"/>
          <w:sz w:val="21"/>
          <w:szCs w:val="21"/>
          <w:u w:val="none"/>
          <w:lang w:val="en-US" w:eastAsia="zh-CN"/>
        </w:rPr>
        <w:t>投标人业绩要求：</w:t>
      </w:r>
      <w:r>
        <w:rPr>
          <w:rFonts w:hint="eastAsia" w:cs="宋体"/>
          <w:color w:val="auto"/>
          <w:sz w:val="21"/>
          <w:szCs w:val="21"/>
          <w:u w:val="single"/>
          <w:lang w:val="en-US" w:eastAsia="zh-CN"/>
        </w:rPr>
        <w:t xml:space="preserve">无 </w:t>
      </w:r>
      <w:r>
        <w:rPr>
          <w:rFonts w:hint="eastAsia" w:ascii="宋体" w:hAnsi="宋体" w:eastAsia="宋体" w:cs="宋体"/>
          <w:color w:val="auto"/>
          <w:sz w:val="21"/>
          <w:szCs w:val="21"/>
          <w:u w:val="none"/>
          <w:lang w:val="en-US" w:eastAsia="zh-CN"/>
        </w:rPr>
        <w:t>。</w:t>
      </w:r>
    </w:p>
    <w:p w14:paraId="1FDE6338">
      <w:pPr>
        <w:keepNext w:val="0"/>
        <w:keepLines w:val="0"/>
        <w:pageBreakBefore w:val="0"/>
        <w:widowControl/>
        <w:kinsoku/>
        <w:wordWrap/>
        <w:overflowPunct/>
        <w:topLinePunct w:val="0"/>
        <w:autoSpaceDE w:val="0"/>
        <w:autoSpaceDN w:val="0"/>
        <w:bidi w:val="0"/>
        <w:spacing w:line="360" w:lineRule="auto"/>
        <w:ind w:firstLine="420" w:firstLineChars="200"/>
        <w:textAlignment w:val="auto"/>
        <w:rPr>
          <w:rFonts w:hint="eastAsia" w:ascii="宋体" w:hAnsi="宋体" w:cs="宋体"/>
          <w:bCs/>
          <w:snapToGrid w:val="0"/>
          <w:color w:val="000000"/>
          <w:kern w:val="0"/>
          <w:sz w:val="21"/>
          <w:szCs w:val="21"/>
          <w:u w:val="single"/>
        </w:rPr>
      </w:pPr>
      <w:r>
        <w:rPr>
          <w:rFonts w:hint="eastAsia" w:ascii="宋体" w:hAnsi="宋体" w:cs="宋体"/>
          <w:bCs/>
          <w:snapToGrid w:val="0"/>
          <w:color w:val="000000"/>
          <w:kern w:val="0"/>
          <w:sz w:val="21"/>
          <w:szCs w:val="21"/>
        </w:rPr>
        <w:t>3.3</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项目经理资格要求：</w:t>
      </w:r>
      <w:r>
        <w:rPr>
          <w:rFonts w:hint="eastAsia" w:ascii="宋体" w:hAnsi="宋体" w:cs="宋体"/>
          <w:bCs/>
          <w:snapToGrid w:val="0"/>
          <w:color w:val="000000"/>
          <w:kern w:val="0"/>
          <w:sz w:val="21"/>
          <w:szCs w:val="21"/>
          <w:u w:val="single"/>
        </w:rPr>
        <w:t>投标人拟委任项目经理须具备</w:t>
      </w:r>
      <w:r>
        <w:rPr>
          <w:rFonts w:hint="eastAsia" w:cs="宋体"/>
          <w:color w:val="000000"/>
          <w:sz w:val="21"/>
          <w:szCs w:val="21"/>
          <w:u w:val="single"/>
          <w:lang w:val="en-US" w:eastAsia="zh-CN"/>
        </w:rPr>
        <w:t>公路</w:t>
      </w:r>
      <w:r>
        <w:rPr>
          <w:rFonts w:hint="eastAsia" w:ascii="宋体" w:hAnsi="宋体" w:cs="宋体"/>
          <w:color w:val="000000"/>
          <w:sz w:val="21"/>
          <w:szCs w:val="21"/>
          <w:u w:val="single"/>
        </w:rPr>
        <w:t>工程专业</w:t>
      </w:r>
      <w:r>
        <w:rPr>
          <w:rFonts w:hint="eastAsia" w:cs="宋体"/>
          <w:color w:val="000000"/>
          <w:sz w:val="21"/>
          <w:szCs w:val="21"/>
          <w:u w:val="single"/>
          <w:lang w:val="en-US" w:eastAsia="zh-CN"/>
        </w:rPr>
        <w:t>二</w:t>
      </w:r>
      <w:r>
        <w:rPr>
          <w:rFonts w:hint="eastAsia" w:ascii="宋体" w:hAnsi="宋体" w:cs="宋体"/>
          <w:color w:val="000000"/>
          <w:sz w:val="21"/>
          <w:szCs w:val="21"/>
          <w:u w:val="single"/>
        </w:rPr>
        <w:t>级</w:t>
      </w:r>
      <w:r>
        <w:rPr>
          <w:rFonts w:hint="eastAsia" w:cs="宋体"/>
          <w:color w:val="000000"/>
          <w:sz w:val="21"/>
          <w:szCs w:val="21"/>
          <w:u w:val="single"/>
          <w:lang w:val="en-US" w:eastAsia="zh-CN"/>
        </w:rPr>
        <w:t>或二级以上</w:t>
      </w:r>
      <w:r>
        <w:rPr>
          <w:rFonts w:hint="eastAsia" w:ascii="宋体" w:hAnsi="宋体" w:cs="宋体"/>
          <w:bCs/>
          <w:snapToGrid w:val="0"/>
          <w:color w:val="000000"/>
          <w:kern w:val="0"/>
          <w:sz w:val="21"/>
          <w:szCs w:val="21"/>
          <w:u w:val="single"/>
        </w:rPr>
        <w:t>注册建造师资格，持有</w:t>
      </w:r>
      <w:r>
        <w:rPr>
          <w:rFonts w:hint="eastAsia" w:cs="宋体"/>
          <w:bCs/>
          <w:snapToGrid w:val="0"/>
          <w:color w:val="000000"/>
          <w:kern w:val="0"/>
          <w:sz w:val="21"/>
          <w:szCs w:val="21"/>
          <w:u w:val="single"/>
          <w:lang w:eastAsia="zh-CN"/>
        </w:rPr>
        <w:t>交通主管部门颁发的B类</w:t>
      </w:r>
      <w:r>
        <w:rPr>
          <w:rFonts w:hint="eastAsia" w:ascii="宋体" w:hAnsi="宋体" w:cs="宋体"/>
          <w:bCs/>
          <w:snapToGrid w:val="0"/>
          <w:color w:val="000000"/>
          <w:kern w:val="0"/>
          <w:sz w:val="21"/>
          <w:szCs w:val="21"/>
          <w:u w:val="single"/>
        </w:rPr>
        <w:t>《安全生产考核合格证书》，且目前未在其他项目上任职或虽在其他项目上任职但本项目中标后能够从该项目撤离。</w:t>
      </w:r>
    </w:p>
    <w:p w14:paraId="76809790">
      <w:pPr>
        <w:keepNext w:val="0"/>
        <w:keepLines w:val="0"/>
        <w:pageBreakBefore w:val="0"/>
        <w:kinsoku/>
        <w:wordWrap/>
        <w:overflowPunct/>
        <w:topLinePunct w:val="0"/>
        <w:autoSpaceDE w:val="0"/>
        <w:autoSpaceDN w:val="0"/>
        <w:bidi w:val="0"/>
        <w:adjustRightInd w:val="0"/>
        <w:snapToGrid w:val="0"/>
        <w:spacing w:line="360" w:lineRule="auto"/>
        <w:ind w:firstLine="437"/>
        <w:jc w:val="left"/>
        <w:textAlignment w:val="auto"/>
        <w:rPr>
          <w:rFonts w:hint="eastAsia" w:ascii="宋体" w:hAnsi="宋体" w:cs="宋体"/>
          <w:bCs/>
          <w:snapToGrid w:val="0"/>
          <w:color w:val="auto"/>
          <w:kern w:val="0"/>
          <w:sz w:val="21"/>
          <w:szCs w:val="21"/>
        </w:rPr>
      </w:pPr>
      <w:r>
        <w:rPr>
          <w:rFonts w:hint="eastAsia" w:ascii="宋体" w:hAnsi="宋体" w:cs="宋体"/>
          <w:bCs/>
          <w:snapToGrid w:val="0"/>
          <w:color w:val="000000"/>
          <w:kern w:val="0"/>
          <w:sz w:val="21"/>
          <w:szCs w:val="21"/>
        </w:rPr>
        <w:t>3.4</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项目经理业绩要求：</w:t>
      </w:r>
      <w:r>
        <w:rPr>
          <w:rFonts w:hint="eastAsia" w:cs="宋体"/>
          <w:color w:val="auto"/>
          <w:sz w:val="21"/>
          <w:szCs w:val="21"/>
          <w:u w:val="single"/>
          <w:lang w:val="en-US" w:eastAsia="zh-CN"/>
        </w:rPr>
        <w:t>无</w:t>
      </w:r>
      <w:r>
        <w:rPr>
          <w:rFonts w:hint="eastAsia" w:ascii="宋体" w:hAnsi="宋体" w:cs="宋体"/>
          <w:bCs/>
          <w:snapToGrid w:val="0"/>
          <w:color w:val="auto"/>
          <w:kern w:val="0"/>
          <w:sz w:val="21"/>
          <w:szCs w:val="21"/>
        </w:rPr>
        <w:t>。</w:t>
      </w:r>
    </w:p>
    <w:p w14:paraId="1CE336C1">
      <w:pPr>
        <w:keepNext w:val="0"/>
        <w:keepLines w:val="0"/>
        <w:pageBreakBefore w:val="0"/>
        <w:kinsoku/>
        <w:wordWrap/>
        <w:overflowPunct/>
        <w:topLinePunct w:val="0"/>
        <w:autoSpaceDE w:val="0"/>
        <w:autoSpaceDN w:val="0"/>
        <w:bidi w:val="0"/>
        <w:adjustRightInd w:val="0"/>
        <w:snapToGrid w:val="0"/>
        <w:spacing w:line="360" w:lineRule="auto"/>
        <w:ind w:firstLine="437"/>
        <w:jc w:val="left"/>
        <w:textAlignment w:val="auto"/>
        <w:rPr>
          <w:rFonts w:hint="default" w:ascii="宋体" w:hAnsi="宋体" w:eastAsia="宋体" w:cs="宋体"/>
          <w:bCs/>
          <w:snapToGrid w:val="0"/>
          <w:color w:val="auto"/>
          <w:kern w:val="0"/>
          <w:sz w:val="21"/>
          <w:szCs w:val="21"/>
          <w:lang w:val="en-US" w:eastAsia="zh-CN"/>
        </w:rPr>
      </w:pPr>
      <w:r>
        <w:rPr>
          <w:rFonts w:hint="eastAsia" w:cs="宋体"/>
          <w:bCs/>
          <w:snapToGrid w:val="0"/>
          <w:color w:val="auto"/>
          <w:kern w:val="0"/>
          <w:sz w:val="21"/>
          <w:szCs w:val="21"/>
          <w:lang w:val="en-US" w:eastAsia="zh-CN"/>
        </w:rPr>
        <w:t>3.5 项目技术负责人（总工）：具有公路工程相关专业中级或中级以上职称。（注：提供职称证书原件的扫描件或影印件）</w:t>
      </w:r>
    </w:p>
    <w:p w14:paraId="0C59C946">
      <w:pPr>
        <w:keepNext w:val="0"/>
        <w:keepLines w:val="0"/>
        <w:pageBreakBefore w:val="0"/>
        <w:tabs>
          <w:tab w:val="center" w:pos="4470"/>
        </w:tabs>
        <w:kinsoku/>
        <w:wordWrap/>
        <w:overflowPunct/>
        <w:topLinePunct w:val="0"/>
        <w:autoSpaceDE w:val="0"/>
        <w:autoSpaceDN w:val="0"/>
        <w:bidi w:val="0"/>
        <w:adjustRightInd w:val="0"/>
        <w:snapToGrid w:val="0"/>
        <w:spacing w:line="360" w:lineRule="auto"/>
        <w:ind w:firstLine="437"/>
        <w:jc w:val="left"/>
        <w:textAlignment w:val="auto"/>
        <w:rPr>
          <w:rFonts w:hint="eastAsia" w:ascii="宋体" w:hAnsi="宋体" w:cs="宋体"/>
          <w:bCs/>
          <w:snapToGrid w:val="0"/>
          <w:color w:val="auto"/>
          <w:kern w:val="0"/>
          <w:sz w:val="21"/>
          <w:szCs w:val="21"/>
        </w:rPr>
      </w:pPr>
      <w:r>
        <w:rPr>
          <w:rFonts w:hint="eastAsia" w:ascii="宋体" w:hAnsi="宋体" w:cs="宋体"/>
          <w:bCs/>
          <w:snapToGrid w:val="0"/>
          <w:color w:val="auto"/>
          <w:kern w:val="0"/>
          <w:sz w:val="21"/>
          <w:szCs w:val="21"/>
        </w:rPr>
        <w:t>3.</w:t>
      </w:r>
      <w:r>
        <w:rPr>
          <w:rFonts w:hint="eastAsia" w:cs="宋体"/>
          <w:bCs/>
          <w:snapToGrid w:val="0"/>
          <w:color w:val="auto"/>
          <w:kern w:val="0"/>
          <w:sz w:val="21"/>
          <w:szCs w:val="21"/>
          <w:lang w:val="en-US" w:eastAsia="zh-CN"/>
        </w:rPr>
        <w:t xml:space="preserve">6 </w:t>
      </w:r>
      <w:r>
        <w:rPr>
          <w:rFonts w:hint="eastAsia" w:ascii="宋体" w:hAnsi="宋体" w:cs="宋体"/>
          <w:bCs/>
          <w:snapToGrid w:val="0"/>
          <w:color w:val="auto"/>
          <w:kern w:val="0"/>
          <w:sz w:val="21"/>
          <w:szCs w:val="21"/>
        </w:rPr>
        <w:t>投标人财务要求：</w:t>
      </w:r>
      <w:r>
        <w:rPr>
          <w:rFonts w:hint="eastAsia" w:cs="宋体"/>
          <w:bCs/>
          <w:snapToGrid w:val="0"/>
          <w:color w:val="auto"/>
          <w:kern w:val="0"/>
          <w:sz w:val="21"/>
          <w:szCs w:val="21"/>
          <w:u w:val="single"/>
          <w:lang w:val="en-US" w:eastAsia="zh-CN"/>
        </w:rPr>
        <w:t xml:space="preserve"> </w:t>
      </w:r>
      <w:r>
        <w:rPr>
          <w:rFonts w:hint="eastAsia" w:ascii="宋体" w:hAnsi="宋体" w:cs="宋体"/>
          <w:bCs/>
          <w:snapToGrid w:val="0"/>
          <w:color w:val="auto"/>
          <w:kern w:val="0"/>
          <w:sz w:val="21"/>
          <w:szCs w:val="21"/>
          <w:u w:val="single"/>
          <w:lang w:val="en-US" w:eastAsia="zh-CN"/>
        </w:rPr>
        <w:t>/</w:t>
      </w:r>
      <w:r>
        <w:rPr>
          <w:rFonts w:hint="eastAsia" w:ascii="宋体" w:hAnsi="宋体" w:cs="宋体"/>
          <w:bCs/>
          <w:snapToGrid w:val="0"/>
          <w:color w:val="auto"/>
          <w:kern w:val="0"/>
          <w:sz w:val="21"/>
          <w:szCs w:val="21"/>
        </w:rPr>
        <w:t>。</w:t>
      </w:r>
      <w:r>
        <w:rPr>
          <w:rFonts w:hint="eastAsia" w:ascii="宋体" w:hAnsi="宋体" w:cs="宋体"/>
          <w:bCs/>
          <w:snapToGrid w:val="0"/>
          <w:color w:val="auto"/>
          <w:kern w:val="0"/>
          <w:sz w:val="21"/>
          <w:szCs w:val="21"/>
        </w:rPr>
        <w:tab/>
      </w:r>
    </w:p>
    <w:p w14:paraId="7732B2D6">
      <w:pPr>
        <w:keepNext w:val="0"/>
        <w:keepLines w:val="0"/>
        <w:pageBreakBefore w:val="0"/>
        <w:kinsoku/>
        <w:wordWrap/>
        <w:overflowPunct/>
        <w:topLinePunct w:val="0"/>
        <w:autoSpaceDE w:val="0"/>
        <w:autoSpaceDN w:val="0"/>
        <w:bidi w:val="0"/>
        <w:adjustRightInd w:val="0"/>
        <w:snapToGrid w:val="0"/>
        <w:spacing w:line="360" w:lineRule="auto"/>
        <w:ind w:firstLine="437"/>
        <w:textAlignment w:val="auto"/>
        <w:rPr>
          <w:rFonts w:hint="eastAsia" w:ascii="宋体" w:hAnsi="宋体" w:cs="宋体"/>
          <w:bCs/>
          <w:snapToGrid w:val="0"/>
          <w:color w:val="000000"/>
          <w:kern w:val="0"/>
          <w:sz w:val="21"/>
          <w:szCs w:val="21"/>
          <w:lang w:val="en-US" w:eastAsia="zh-CN"/>
        </w:rPr>
      </w:pPr>
      <w:r>
        <w:rPr>
          <w:rFonts w:hint="eastAsia" w:ascii="宋体" w:hAnsi="宋体" w:cs="宋体"/>
          <w:bCs/>
          <w:snapToGrid w:val="0"/>
          <w:color w:val="auto"/>
          <w:kern w:val="0"/>
          <w:sz w:val="21"/>
          <w:szCs w:val="21"/>
        </w:rPr>
        <w:t>3.</w:t>
      </w:r>
      <w:r>
        <w:rPr>
          <w:rFonts w:hint="eastAsia" w:cs="宋体"/>
          <w:bCs/>
          <w:snapToGrid w:val="0"/>
          <w:color w:val="auto"/>
          <w:kern w:val="0"/>
          <w:sz w:val="21"/>
          <w:szCs w:val="21"/>
          <w:lang w:val="en-US" w:eastAsia="zh-CN"/>
        </w:rPr>
        <w:t xml:space="preserve">7 </w:t>
      </w:r>
      <w:r>
        <w:rPr>
          <w:rFonts w:hint="eastAsia" w:ascii="宋体" w:hAnsi="宋体" w:cs="宋体"/>
          <w:bCs/>
          <w:snapToGrid w:val="0"/>
          <w:color w:val="000000"/>
          <w:kern w:val="0"/>
          <w:sz w:val="21"/>
          <w:szCs w:val="21"/>
        </w:rPr>
        <w:t>本次招标</w:t>
      </w:r>
      <w:r>
        <w:rPr>
          <w:rFonts w:hint="eastAsia" w:ascii="宋体" w:hAnsi="宋体" w:cs="宋体"/>
          <w:bCs/>
          <w:snapToGrid w:val="0"/>
          <w:color w:val="000000"/>
          <w:kern w:val="0"/>
          <w:sz w:val="21"/>
          <w:szCs w:val="21"/>
          <w:u w:val="single"/>
        </w:rPr>
        <w:t>接受</w:t>
      </w:r>
      <w:r>
        <w:rPr>
          <w:rFonts w:hint="eastAsia" w:ascii="宋体" w:hAnsi="宋体" w:cs="宋体"/>
          <w:bCs/>
          <w:snapToGrid w:val="0"/>
          <w:color w:val="000000"/>
          <w:kern w:val="0"/>
          <w:sz w:val="21"/>
          <w:szCs w:val="21"/>
        </w:rPr>
        <w:t>联合体投标。联合体投标的，应满足下列要求：</w:t>
      </w:r>
      <w:r>
        <w:rPr>
          <w:rFonts w:hint="eastAsia" w:ascii="宋体" w:hAnsi="宋体" w:cs="宋体"/>
          <w:bCs/>
          <w:snapToGrid w:val="0"/>
          <w:color w:val="000000"/>
          <w:kern w:val="0"/>
          <w:sz w:val="21"/>
          <w:szCs w:val="21"/>
          <w:lang w:val="en-US" w:eastAsia="zh-CN"/>
        </w:rPr>
        <w:t xml:space="preserve"> </w:t>
      </w:r>
    </w:p>
    <w:p w14:paraId="18EF966C">
      <w:pPr>
        <w:keepNext w:val="0"/>
        <w:keepLines w:val="0"/>
        <w:pageBreakBefore w:val="0"/>
        <w:kinsoku/>
        <w:wordWrap/>
        <w:overflowPunct/>
        <w:topLinePunct w:val="0"/>
        <w:autoSpaceDE w:val="0"/>
        <w:autoSpaceDN w:val="0"/>
        <w:bidi w:val="0"/>
        <w:adjustRightInd w:val="0"/>
        <w:snapToGrid w:val="0"/>
        <w:spacing w:line="360" w:lineRule="auto"/>
        <w:ind w:firstLine="437"/>
        <w:textAlignment w:val="auto"/>
        <w:rPr>
          <w:rFonts w:hint="eastAsia" w:ascii="宋体" w:hAnsi="宋体" w:cs="宋体"/>
          <w:bCs/>
          <w:snapToGrid w:val="0"/>
          <w:color w:val="000000"/>
          <w:kern w:val="0"/>
          <w:sz w:val="21"/>
          <w:szCs w:val="21"/>
          <w:lang w:val="en-US" w:eastAsia="zh-CN"/>
        </w:rPr>
      </w:pPr>
      <w:r>
        <w:rPr>
          <w:rFonts w:hint="eastAsia" w:ascii="宋体" w:hAnsi="宋体" w:cs="宋体"/>
          <w:bCs/>
          <w:snapToGrid w:val="0"/>
          <w:color w:val="000000"/>
          <w:kern w:val="0"/>
          <w:sz w:val="21"/>
          <w:szCs w:val="21"/>
          <w:lang w:val="en-US" w:eastAsia="zh-CN"/>
        </w:rPr>
        <w:t>①联合体各方应签订联合体投标协议，明确联合体牵头人和各方权利义务以及在本项目中的职责分工，并按照联合体协议中的相应专业工作内容分工；</w:t>
      </w:r>
    </w:p>
    <w:p w14:paraId="1201E92B">
      <w:pPr>
        <w:keepNext w:val="0"/>
        <w:keepLines w:val="0"/>
        <w:pageBreakBefore w:val="0"/>
        <w:kinsoku/>
        <w:wordWrap/>
        <w:overflowPunct/>
        <w:topLinePunct w:val="0"/>
        <w:autoSpaceDE w:val="0"/>
        <w:autoSpaceDN w:val="0"/>
        <w:bidi w:val="0"/>
        <w:adjustRightInd w:val="0"/>
        <w:snapToGrid w:val="0"/>
        <w:spacing w:line="360" w:lineRule="auto"/>
        <w:ind w:firstLine="437"/>
        <w:textAlignment w:val="auto"/>
        <w:rPr>
          <w:rFonts w:hint="eastAsia" w:ascii="宋体" w:hAnsi="宋体" w:cs="宋体"/>
          <w:bCs/>
          <w:snapToGrid w:val="0"/>
          <w:color w:val="000000"/>
          <w:kern w:val="0"/>
          <w:sz w:val="21"/>
          <w:szCs w:val="21"/>
          <w:lang w:val="en-US" w:eastAsia="zh-CN"/>
        </w:rPr>
      </w:pPr>
      <w:r>
        <w:rPr>
          <w:rFonts w:hint="eastAsia" w:ascii="宋体" w:hAnsi="宋体" w:cs="宋体"/>
          <w:bCs/>
          <w:snapToGrid w:val="0"/>
          <w:color w:val="000000"/>
          <w:kern w:val="0"/>
          <w:sz w:val="21"/>
          <w:szCs w:val="21"/>
          <w:lang w:val="en-US" w:eastAsia="zh-CN"/>
        </w:rPr>
        <w:t>②联合体各方不得再以自己名义单独或加入其他联合体在本项目中参加投标。</w:t>
      </w:r>
    </w:p>
    <w:p w14:paraId="12BAA454">
      <w:pPr>
        <w:keepNext w:val="0"/>
        <w:keepLines w:val="0"/>
        <w:pageBreakBefore w:val="0"/>
        <w:kinsoku/>
        <w:wordWrap/>
        <w:overflowPunct/>
        <w:topLinePunct w:val="0"/>
        <w:autoSpaceDE w:val="0"/>
        <w:autoSpaceDN w:val="0"/>
        <w:bidi w:val="0"/>
        <w:adjustRightInd w:val="0"/>
        <w:snapToGrid w:val="0"/>
        <w:spacing w:line="360" w:lineRule="auto"/>
        <w:ind w:firstLine="437"/>
        <w:textAlignment w:val="auto"/>
        <w:rPr>
          <w:rFonts w:hint="eastAsia" w:ascii="宋体" w:hAnsi="宋体" w:cs="宋体"/>
          <w:bCs/>
          <w:snapToGrid w:val="0"/>
          <w:color w:val="000000"/>
          <w:kern w:val="0"/>
          <w:sz w:val="21"/>
          <w:szCs w:val="21"/>
          <w:lang w:val="en-US" w:eastAsia="zh-CN"/>
        </w:rPr>
      </w:pPr>
      <w:r>
        <w:rPr>
          <w:rFonts w:hint="eastAsia" w:ascii="宋体" w:hAnsi="宋体" w:cs="宋体"/>
          <w:bCs/>
          <w:snapToGrid w:val="0"/>
          <w:color w:val="000000"/>
          <w:kern w:val="0"/>
          <w:sz w:val="21"/>
          <w:szCs w:val="21"/>
          <w:lang w:val="en-US" w:eastAsia="zh-CN"/>
        </w:rPr>
        <w:t>③联合体参与投标的，下载招标文件、递交投标保证金、电子投标文件签字盖章或签章(字)、上传电子投标文件均以联合体牵头人名义完成，投标文件中须放入联合体协议书，联合体协议书须联合体全部成员签字盖章。</w:t>
      </w:r>
    </w:p>
    <w:p w14:paraId="7C414A16">
      <w:pPr>
        <w:keepNext w:val="0"/>
        <w:keepLines w:val="0"/>
        <w:pageBreakBefore w:val="0"/>
        <w:kinsoku/>
        <w:wordWrap/>
        <w:overflowPunct/>
        <w:topLinePunct w:val="0"/>
        <w:autoSpaceDE w:val="0"/>
        <w:autoSpaceDN w:val="0"/>
        <w:bidi w:val="0"/>
        <w:adjustRightInd w:val="0"/>
        <w:snapToGrid w:val="0"/>
        <w:spacing w:line="360" w:lineRule="auto"/>
        <w:ind w:firstLine="437"/>
        <w:textAlignment w:val="auto"/>
        <w:rPr>
          <w:rFonts w:hint="eastAsia" w:ascii="宋体" w:hAnsi="宋体" w:cs="宋体"/>
          <w:bCs/>
          <w:snapToGrid w:val="0"/>
          <w:color w:val="000000"/>
          <w:kern w:val="0"/>
          <w:sz w:val="21"/>
          <w:szCs w:val="21"/>
          <w:lang w:val="en-US" w:eastAsia="zh-CN"/>
        </w:rPr>
      </w:pPr>
      <w:r>
        <w:rPr>
          <w:rFonts w:hint="eastAsia" w:ascii="宋体" w:hAnsi="宋体" w:cs="宋体"/>
          <w:bCs/>
          <w:snapToGrid w:val="0"/>
          <w:color w:val="000000"/>
          <w:kern w:val="0"/>
          <w:sz w:val="21"/>
          <w:szCs w:val="21"/>
          <w:lang w:val="en-US" w:eastAsia="zh-CN"/>
        </w:rPr>
        <w:t>④由同一专业的单位组成的联合体，按照资质等级较低的单位确定资质等级。</w:t>
      </w:r>
    </w:p>
    <w:p w14:paraId="4507FAE6">
      <w:pPr>
        <w:keepNext w:val="0"/>
        <w:keepLines w:val="0"/>
        <w:pageBreakBefore w:val="0"/>
        <w:kinsoku/>
        <w:wordWrap/>
        <w:overflowPunct/>
        <w:topLinePunct w:val="0"/>
        <w:autoSpaceDE w:val="0"/>
        <w:autoSpaceDN w:val="0"/>
        <w:bidi w:val="0"/>
        <w:adjustRightInd w:val="0"/>
        <w:snapToGrid w:val="0"/>
        <w:spacing w:line="360" w:lineRule="auto"/>
        <w:ind w:firstLine="437"/>
        <w:textAlignment w:val="auto"/>
        <w:rPr>
          <w:rFonts w:hint="eastAsia" w:ascii="宋体" w:hAnsi="宋体" w:cs="宋体"/>
          <w:bCs/>
          <w:snapToGrid w:val="0"/>
          <w:color w:val="auto"/>
          <w:kern w:val="0"/>
          <w:sz w:val="21"/>
          <w:szCs w:val="21"/>
        </w:rPr>
      </w:pPr>
      <w:r>
        <w:rPr>
          <w:rFonts w:hint="eastAsia" w:ascii="宋体" w:hAnsi="宋体" w:cs="宋体"/>
          <w:bCs/>
          <w:snapToGrid w:val="0"/>
          <w:color w:val="auto"/>
          <w:kern w:val="0"/>
          <w:sz w:val="21"/>
          <w:szCs w:val="21"/>
        </w:rPr>
        <w:t>3.</w:t>
      </w:r>
      <w:r>
        <w:rPr>
          <w:rFonts w:hint="eastAsia" w:cs="宋体"/>
          <w:bCs/>
          <w:snapToGrid w:val="0"/>
          <w:color w:val="auto"/>
          <w:kern w:val="0"/>
          <w:sz w:val="21"/>
          <w:szCs w:val="21"/>
          <w:lang w:val="en-US" w:eastAsia="zh-CN"/>
        </w:rPr>
        <w:t xml:space="preserve">8 </w:t>
      </w:r>
      <w:r>
        <w:rPr>
          <w:rFonts w:hint="eastAsia" w:ascii="宋体" w:hAnsi="宋体" w:cs="宋体"/>
          <w:bCs/>
          <w:snapToGrid w:val="0"/>
          <w:color w:val="auto"/>
          <w:kern w:val="0"/>
          <w:sz w:val="21"/>
          <w:szCs w:val="21"/>
        </w:rPr>
        <w:t>各投标人均可就本招标项目上述标段中的</w:t>
      </w:r>
      <w:r>
        <w:rPr>
          <w:rFonts w:hint="eastAsia" w:cs="宋体"/>
          <w:bCs/>
          <w:snapToGrid w:val="0"/>
          <w:color w:val="auto"/>
          <w:kern w:val="0"/>
          <w:sz w:val="21"/>
          <w:szCs w:val="21"/>
          <w:u w:val="single"/>
          <w:lang w:val="en-US" w:eastAsia="zh-CN"/>
        </w:rPr>
        <w:t xml:space="preserve"> </w:t>
      </w:r>
      <w:r>
        <w:rPr>
          <w:rFonts w:hint="eastAsia" w:ascii="宋体" w:hAnsi="宋体" w:cs="宋体"/>
          <w:color w:val="auto"/>
          <w:sz w:val="21"/>
          <w:szCs w:val="21"/>
          <w:u w:val="single"/>
          <w:lang w:val="en-US" w:eastAsia="zh-CN"/>
        </w:rPr>
        <w:t>/</w:t>
      </w:r>
      <w:r>
        <w:rPr>
          <w:rFonts w:hint="eastAsia" w:cs="宋体"/>
          <w:color w:val="auto"/>
          <w:sz w:val="21"/>
          <w:szCs w:val="21"/>
          <w:u w:val="single"/>
          <w:lang w:val="en-US" w:eastAsia="zh-CN"/>
        </w:rPr>
        <w:t xml:space="preserve"> </w:t>
      </w:r>
      <w:r>
        <w:rPr>
          <w:rFonts w:hint="eastAsia" w:ascii="宋体" w:hAnsi="宋体" w:cs="宋体"/>
          <w:bCs/>
          <w:snapToGrid w:val="0"/>
          <w:color w:val="auto"/>
          <w:kern w:val="0"/>
          <w:sz w:val="21"/>
          <w:szCs w:val="21"/>
        </w:rPr>
        <w:t>个标段投标，但最多允许中标</w:t>
      </w:r>
      <w:r>
        <w:rPr>
          <w:rFonts w:hint="eastAsia" w:cs="宋体"/>
          <w:bCs/>
          <w:snapToGrid w:val="0"/>
          <w:color w:val="auto"/>
          <w:kern w:val="0"/>
          <w:sz w:val="21"/>
          <w:szCs w:val="21"/>
          <w:u w:val="single"/>
          <w:lang w:val="en-US" w:eastAsia="zh-CN"/>
        </w:rPr>
        <w:t xml:space="preserve"> </w:t>
      </w:r>
      <w:r>
        <w:rPr>
          <w:rFonts w:hint="eastAsia" w:ascii="宋体" w:hAnsi="宋体" w:cs="宋体"/>
          <w:bCs/>
          <w:snapToGrid w:val="0"/>
          <w:color w:val="auto"/>
          <w:kern w:val="0"/>
          <w:sz w:val="21"/>
          <w:szCs w:val="21"/>
          <w:u w:val="single"/>
          <w:lang w:val="en-US" w:eastAsia="zh-CN"/>
        </w:rPr>
        <w:t>/</w:t>
      </w:r>
      <w:r>
        <w:rPr>
          <w:rFonts w:hint="eastAsia" w:cs="宋体"/>
          <w:bCs/>
          <w:snapToGrid w:val="0"/>
          <w:color w:val="auto"/>
          <w:kern w:val="0"/>
          <w:sz w:val="21"/>
          <w:szCs w:val="21"/>
          <w:u w:val="single"/>
          <w:lang w:val="en-US" w:eastAsia="zh-CN"/>
        </w:rPr>
        <w:t xml:space="preserve"> </w:t>
      </w:r>
      <w:r>
        <w:rPr>
          <w:rFonts w:hint="eastAsia" w:ascii="宋体" w:hAnsi="宋体" w:cs="宋体"/>
          <w:bCs/>
          <w:snapToGrid w:val="0"/>
          <w:color w:val="auto"/>
          <w:kern w:val="0"/>
          <w:sz w:val="21"/>
          <w:szCs w:val="21"/>
        </w:rPr>
        <w:t>个标段(适用于分标段的招标项目)。</w:t>
      </w:r>
    </w:p>
    <w:p w14:paraId="138F8443">
      <w:pPr>
        <w:keepNext w:val="0"/>
        <w:keepLines w:val="0"/>
        <w:pageBreakBefore w:val="0"/>
        <w:kinsoku/>
        <w:wordWrap/>
        <w:overflowPunct/>
        <w:topLinePunct w:val="0"/>
        <w:autoSpaceDE w:val="0"/>
        <w:autoSpaceDN w:val="0"/>
        <w:bidi w:val="0"/>
        <w:adjustRightInd w:val="0"/>
        <w:snapToGrid w:val="0"/>
        <w:spacing w:line="360" w:lineRule="auto"/>
        <w:ind w:firstLine="437"/>
        <w:textAlignment w:val="auto"/>
        <w:rPr>
          <w:rFonts w:hint="eastAsia" w:ascii="宋体" w:hAnsi="宋体" w:cs="宋体"/>
          <w:bCs/>
          <w:snapToGrid w:val="0"/>
          <w:color w:val="000000"/>
          <w:kern w:val="0"/>
          <w:sz w:val="21"/>
          <w:szCs w:val="21"/>
        </w:rPr>
      </w:pPr>
      <w:r>
        <w:rPr>
          <w:rFonts w:hint="eastAsia" w:ascii="宋体" w:hAnsi="宋体" w:cs="宋体"/>
          <w:bCs/>
          <w:snapToGrid w:val="0"/>
          <w:color w:val="auto"/>
          <w:kern w:val="0"/>
          <w:sz w:val="21"/>
          <w:szCs w:val="21"/>
        </w:rPr>
        <w:t>3.</w:t>
      </w:r>
      <w:r>
        <w:rPr>
          <w:rFonts w:hint="eastAsia" w:cs="宋体"/>
          <w:bCs/>
          <w:snapToGrid w:val="0"/>
          <w:color w:val="auto"/>
          <w:kern w:val="0"/>
          <w:sz w:val="21"/>
          <w:szCs w:val="21"/>
          <w:lang w:val="en-US" w:eastAsia="zh-CN"/>
        </w:rPr>
        <w:t xml:space="preserve">9 </w:t>
      </w:r>
      <w:r>
        <w:rPr>
          <w:rFonts w:hint="eastAsia" w:ascii="宋体" w:hAnsi="宋体" w:cs="宋体"/>
          <w:bCs/>
          <w:snapToGrid w:val="0"/>
          <w:color w:val="auto"/>
          <w:kern w:val="0"/>
          <w:sz w:val="21"/>
          <w:szCs w:val="21"/>
        </w:rPr>
        <w:t>其</w:t>
      </w:r>
      <w:r>
        <w:rPr>
          <w:rFonts w:hint="eastAsia" w:ascii="宋体" w:hAnsi="宋体" w:cs="宋体"/>
          <w:bCs/>
          <w:snapToGrid w:val="0"/>
          <w:color w:val="000000"/>
          <w:kern w:val="0"/>
          <w:sz w:val="21"/>
          <w:szCs w:val="21"/>
        </w:rPr>
        <w:t>他要求：</w:t>
      </w:r>
      <w:r>
        <w:rPr>
          <w:rFonts w:hint="eastAsia" w:cs="宋体"/>
          <w:bCs/>
          <w:snapToGrid w:val="0"/>
          <w:color w:val="000000"/>
          <w:kern w:val="0"/>
          <w:sz w:val="21"/>
          <w:szCs w:val="21"/>
          <w:lang w:val="en-US" w:eastAsia="zh-CN"/>
        </w:rPr>
        <w:t>独立的投标人或联合体投标人（联合体牵头人或联合体成员）</w:t>
      </w:r>
      <w:r>
        <w:rPr>
          <w:rFonts w:hint="eastAsia" w:ascii="宋体" w:hAnsi="宋体" w:cs="宋体"/>
          <w:bCs/>
          <w:snapToGrid w:val="0"/>
          <w:color w:val="000000"/>
          <w:kern w:val="0"/>
          <w:sz w:val="21"/>
          <w:szCs w:val="21"/>
          <w:lang w:val="en-US" w:eastAsia="zh-CN"/>
        </w:rPr>
        <w:t>应进入交通运输部“全国公路建设市场监督管理系统”中的公路工程施工资质企业名录，且投标人名称和资质与该名录中的相应企业名称和资质完全一致。</w:t>
      </w:r>
    </w:p>
    <w:p w14:paraId="6593587B">
      <w:pPr>
        <w:keepNext w:val="0"/>
        <w:keepLines w:val="0"/>
        <w:pageBreakBefore w:val="0"/>
        <w:kinsoku/>
        <w:wordWrap/>
        <w:overflowPunct/>
        <w:topLinePunct w:val="0"/>
        <w:autoSpaceDE w:val="0"/>
        <w:autoSpaceDN w:val="0"/>
        <w:bidi w:val="0"/>
        <w:adjustRightInd w:val="0"/>
        <w:snapToGrid w:val="0"/>
        <w:spacing w:line="360" w:lineRule="auto"/>
        <w:textAlignment w:val="auto"/>
        <w:outlineLvl w:val="9"/>
        <w:rPr>
          <w:rFonts w:hint="eastAsia" w:ascii="宋体" w:hAnsi="宋体" w:cs="宋体"/>
          <w:b/>
          <w:bCs/>
          <w:color w:val="000000"/>
          <w:sz w:val="24"/>
          <w:szCs w:val="24"/>
        </w:rPr>
      </w:pPr>
      <w:bookmarkStart w:id="13" w:name="_Toc18080"/>
      <w:bookmarkStart w:id="14" w:name="_Toc6174"/>
      <w:r>
        <w:rPr>
          <w:rFonts w:hint="eastAsia" w:ascii="宋体" w:hAnsi="宋体" w:cs="宋体"/>
          <w:b/>
          <w:bCs/>
          <w:color w:val="000000"/>
          <w:sz w:val="24"/>
          <w:szCs w:val="24"/>
        </w:rPr>
        <w:t>4.招标文件的获取</w:t>
      </w:r>
      <w:bookmarkEnd w:id="13"/>
      <w:bookmarkEnd w:id="14"/>
    </w:p>
    <w:p w14:paraId="60B017E9">
      <w:pPr>
        <w:keepNext w:val="0"/>
        <w:keepLines w:val="0"/>
        <w:pageBreakBefore w:val="0"/>
        <w:kinsoku/>
        <w:wordWrap/>
        <w:overflowPunct/>
        <w:topLinePunct w:val="0"/>
        <w:autoSpaceDE w:val="0"/>
        <w:autoSpaceDN w:val="0"/>
        <w:bidi w:val="0"/>
        <w:adjustRightInd w:val="0"/>
        <w:snapToGrid w:val="0"/>
        <w:spacing w:line="360" w:lineRule="auto"/>
        <w:ind w:firstLine="437"/>
        <w:textAlignment w:val="auto"/>
        <w:outlineLvl w:val="9"/>
        <w:rPr>
          <w:rFonts w:hint="eastAsia" w:ascii="宋体" w:hAnsi="宋体" w:cs="宋体"/>
          <w:bCs/>
          <w:snapToGrid w:val="0"/>
          <w:color w:val="000000"/>
          <w:kern w:val="0"/>
          <w:sz w:val="21"/>
          <w:szCs w:val="21"/>
        </w:rPr>
      </w:pPr>
      <w:bookmarkStart w:id="15" w:name="_Toc17293"/>
      <w:r>
        <w:rPr>
          <w:rFonts w:hint="eastAsia" w:ascii="宋体" w:hAnsi="宋体" w:cs="宋体"/>
          <w:bCs/>
          <w:snapToGrid w:val="0"/>
          <w:color w:val="000000"/>
          <w:kern w:val="0"/>
          <w:sz w:val="21"/>
          <w:szCs w:val="21"/>
        </w:rPr>
        <w:t>4.1</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获取时间：</w:t>
      </w:r>
      <w:r>
        <w:rPr>
          <w:rFonts w:hint="eastAsia" w:ascii="宋体" w:hAnsi="宋体" w:cs="宋体"/>
          <w:bCs/>
          <w:snapToGrid w:val="0"/>
          <w:color w:val="000000"/>
          <w:kern w:val="0"/>
          <w:sz w:val="21"/>
          <w:szCs w:val="21"/>
          <w:u w:val="single"/>
          <w:lang w:val="en-US" w:eastAsia="zh-CN"/>
        </w:rPr>
        <w:t>202</w:t>
      </w:r>
      <w:r>
        <w:rPr>
          <w:rFonts w:hint="eastAsia" w:cs="宋体"/>
          <w:bCs/>
          <w:snapToGrid w:val="0"/>
          <w:color w:val="000000"/>
          <w:kern w:val="0"/>
          <w:sz w:val="21"/>
          <w:szCs w:val="21"/>
          <w:u w:val="single"/>
          <w:lang w:val="en-US" w:eastAsia="zh-CN"/>
        </w:rPr>
        <w:t>5</w:t>
      </w:r>
      <w:r>
        <w:rPr>
          <w:rFonts w:hint="eastAsia" w:ascii="宋体" w:hAnsi="宋体" w:cs="宋体"/>
          <w:bCs/>
          <w:snapToGrid w:val="0"/>
          <w:color w:val="000000"/>
          <w:kern w:val="0"/>
          <w:sz w:val="21"/>
          <w:szCs w:val="21"/>
        </w:rPr>
        <w:t>年</w:t>
      </w:r>
      <w:r>
        <w:rPr>
          <w:rFonts w:hint="eastAsia" w:ascii="宋体" w:hAnsi="宋体" w:cs="宋体"/>
          <w:bCs/>
          <w:snapToGrid w:val="0"/>
          <w:color w:val="000000"/>
          <w:kern w:val="0"/>
          <w:sz w:val="21"/>
          <w:szCs w:val="21"/>
          <w:u w:val="single"/>
          <w:lang w:val="en-US" w:eastAsia="zh-CN"/>
        </w:rPr>
        <w:t xml:space="preserve"> </w:t>
      </w:r>
      <w:r>
        <w:rPr>
          <w:rFonts w:hint="eastAsia"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rPr>
        <w:t>月</w:t>
      </w:r>
      <w:r>
        <w:rPr>
          <w:rFonts w:hint="eastAsia" w:ascii="宋体" w:hAnsi="宋体" w:cs="宋体"/>
          <w:bCs/>
          <w:snapToGrid w:val="0"/>
          <w:color w:val="000000"/>
          <w:kern w:val="0"/>
          <w:sz w:val="21"/>
          <w:szCs w:val="21"/>
          <w:u w:val="single"/>
          <w:lang w:val="en-US" w:eastAsia="zh-CN"/>
        </w:rPr>
        <w:t xml:space="preserve"> </w:t>
      </w:r>
      <w:r>
        <w:rPr>
          <w:rFonts w:hint="eastAsia"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rPr>
        <w:t>日</w:t>
      </w:r>
      <w:r>
        <w:rPr>
          <w:rFonts w:hint="eastAsia" w:ascii="宋体" w:hAnsi="宋体" w:cs="宋体"/>
          <w:bCs/>
          <w:snapToGrid w:val="0"/>
          <w:color w:val="000000"/>
          <w:kern w:val="0"/>
          <w:sz w:val="21"/>
          <w:szCs w:val="21"/>
          <w:u w:val="single"/>
          <w:lang w:val="en-US" w:eastAsia="zh-CN"/>
        </w:rPr>
        <w:t xml:space="preserve"> </w:t>
      </w:r>
      <w:r>
        <w:rPr>
          <w:rFonts w:hint="eastAsia"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rPr>
        <w:t>时</w:t>
      </w:r>
      <w:r>
        <w:rPr>
          <w:rFonts w:hint="eastAsia" w:ascii="宋体" w:hAnsi="宋体" w:cs="宋体"/>
          <w:bCs/>
          <w:snapToGrid w:val="0"/>
          <w:color w:val="000000"/>
          <w:kern w:val="0"/>
          <w:sz w:val="21"/>
          <w:szCs w:val="21"/>
          <w:u w:val="single"/>
          <w:lang w:val="en-US" w:eastAsia="zh-CN"/>
        </w:rPr>
        <w:t xml:space="preserve"> </w:t>
      </w:r>
      <w:r>
        <w:rPr>
          <w:rFonts w:hint="eastAsia"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rPr>
        <w:t>分</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至</w:t>
      </w:r>
      <w:r>
        <w:rPr>
          <w:rFonts w:hint="eastAsia" w:ascii="宋体" w:hAnsi="宋体" w:cs="宋体"/>
          <w:bCs/>
          <w:snapToGrid w:val="0"/>
          <w:color w:val="000000"/>
          <w:kern w:val="0"/>
          <w:sz w:val="21"/>
          <w:szCs w:val="21"/>
          <w:u w:val="single"/>
          <w:lang w:val="en-US" w:eastAsia="zh-CN"/>
        </w:rPr>
        <w:t>202</w:t>
      </w:r>
      <w:r>
        <w:rPr>
          <w:rFonts w:hint="eastAsia" w:cs="宋体"/>
          <w:bCs/>
          <w:snapToGrid w:val="0"/>
          <w:color w:val="000000"/>
          <w:kern w:val="0"/>
          <w:sz w:val="21"/>
          <w:szCs w:val="21"/>
          <w:u w:val="single"/>
          <w:lang w:val="en-US" w:eastAsia="zh-CN"/>
        </w:rPr>
        <w:t xml:space="preserve">5 </w:t>
      </w:r>
      <w:r>
        <w:rPr>
          <w:rFonts w:hint="eastAsia" w:ascii="宋体" w:hAnsi="宋体" w:cs="宋体"/>
          <w:bCs/>
          <w:snapToGrid w:val="0"/>
          <w:color w:val="000000"/>
          <w:kern w:val="0"/>
          <w:sz w:val="21"/>
          <w:szCs w:val="21"/>
        </w:rPr>
        <w:t>年</w:t>
      </w:r>
      <w:r>
        <w:rPr>
          <w:rFonts w:hint="eastAsia" w:ascii="宋体" w:hAnsi="宋体" w:cs="宋体"/>
          <w:bCs/>
          <w:snapToGrid w:val="0"/>
          <w:color w:val="000000"/>
          <w:kern w:val="0"/>
          <w:sz w:val="21"/>
          <w:szCs w:val="21"/>
          <w:u w:val="single"/>
          <w:lang w:val="en-US" w:eastAsia="zh-CN"/>
        </w:rPr>
        <w:t xml:space="preserve"> </w:t>
      </w:r>
      <w:r>
        <w:rPr>
          <w:rFonts w:hint="eastAsia"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rPr>
        <w:t>月</w:t>
      </w:r>
      <w:r>
        <w:rPr>
          <w:rFonts w:hint="eastAsia" w:ascii="宋体" w:hAnsi="宋体" w:cs="宋体"/>
          <w:bCs/>
          <w:snapToGrid w:val="0"/>
          <w:color w:val="000000"/>
          <w:kern w:val="0"/>
          <w:sz w:val="21"/>
          <w:szCs w:val="21"/>
          <w:u w:val="single"/>
          <w:lang w:val="en-US" w:eastAsia="zh-CN"/>
        </w:rPr>
        <w:t xml:space="preserve"> </w:t>
      </w:r>
      <w:r>
        <w:rPr>
          <w:rFonts w:hint="eastAsia"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rPr>
        <w:t>日</w:t>
      </w:r>
      <w:r>
        <w:rPr>
          <w:rFonts w:hint="eastAsia" w:ascii="宋体" w:hAnsi="宋体" w:cs="宋体"/>
          <w:bCs/>
          <w:snapToGrid w:val="0"/>
          <w:color w:val="000000"/>
          <w:kern w:val="0"/>
          <w:sz w:val="21"/>
          <w:szCs w:val="21"/>
          <w:u w:val="single"/>
          <w:lang w:val="en-US" w:eastAsia="zh-CN"/>
        </w:rPr>
        <w:t xml:space="preserve"> 09 </w:t>
      </w:r>
      <w:r>
        <w:rPr>
          <w:rFonts w:hint="eastAsia" w:ascii="宋体" w:hAnsi="宋体" w:cs="宋体"/>
          <w:bCs/>
          <w:snapToGrid w:val="0"/>
          <w:color w:val="000000"/>
          <w:kern w:val="0"/>
          <w:sz w:val="21"/>
          <w:szCs w:val="21"/>
        </w:rPr>
        <w:t>时</w:t>
      </w:r>
      <w:r>
        <w:rPr>
          <w:rFonts w:hint="eastAsia" w:ascii="宋体" w:hAnsi="宋体" w:cs="宋体"/>
          <w:bCs/>
          <w:snapToGrid w:val="0"/>
          <w:color w:val="000000"/>
          <w:kern w:val="0"/>
          <w:sz w:val="21"/>
          <w:szCs w:val="21"/>
          <w:u w:val="single"/>
          <w:lang w:val="en-US" w:eastAsia="zh-CN"/>
        </w:rPr>
        <w:t xml:space="preserve"> 00 </w:t>
      </w:r>
      <w:r>
        <w:rPr>
          <w:rFonts w:hint="eastAsia" w:ascii="宋体" w:hAnsi="宋体" w:cs="宋体"/>
          <w:bCs/>
          <w:snapToGrid w:val="0"/>
          <w:color w:val="000000"/>
          <w:kern w:val="0"/>
          <w:sz w:val="21"/>
          <w:szCs w:val="21"/>
        </w:rPr>
        <w:t>分。</w:t>
      </w:r>
      <w:bookmarkEnd w:id="15"/>
    </w:p>
    <w:p w14:paraId="44FE5246">
      <w:pPr>
        <w:keepNext w:val="0"/>
        <w:keepLines w:val="0"/>
        <w:pageBreakBefore w:val="0"/>
        <w:kinsoku/>
        <w:wordWrap/>
        <w:overflowPunct/>
        <w:topLinePunct w:val="0"/>
        <w:autoSpaceDE w:val="0"/>
        <w:autoSpaceDN w:val="0"/>
        <w:bidi w:val="0"/>
        <w:adjustRightInd w:val="0"/>
        <w:snapToGrid w:val="0"/>
        <w:spacing w:line="360" w:lineRule="auto"/>
        <w:ind w:firstLine="437"/>
        <w:textAlignment w:val="auto"/>
        <w:outlineLvl w:val="9"/>
        <w:rPr>
          <w:rFonts w:hint="eastAsia" w:ascii="宋体" w:hAnsi="宋体" w:cs="宋体"/>
          <w:bCs/>
          <w:snapToGrid w:val="0"/>
          <w:color w:val="000000"/>
          <w:kern w:val="0"/>
          <w:sz w:val="21"/>
          <w:szCs w:val="21"/>
        </w:rPr>
      </w:pPr>
      <w:bookmarkStart w:id="16" w:name="_Toc31242"/>
      <w:r>
        <w:rPr>
          <w:rFonts w:hint="eastAsia" w:ascii="宋体" w:hAnsi="宋体" w:cs="宋体"/>
          <w:bCs/>
          <w:snapToGrid w:val="0"/>
          <w:color w:val="000000"/>
          <w:kern w:val="0"/>
          <w:sz w:val="21"/>
          <w:szCs w:val="21"/>
        </w:rPr>
        <w:t>4.2</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获取方式：</w:t>
      </w:r>
      <w:bookmarkEnd w:id="16"/>
    </w:p>
    <w:p w14:paraId="17B43F62">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（1）潜在投标人须登录淮北市公共资源电子交易系统查阅招标文件。</w:t>
      </w:r>
    </w:p>
    <w:p w14:paraId="1A946C70">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（2）</w:t>
      </w:r>
      <w:r>
        <w:rPr>
          <w:rFonts w:hint="eastAsia" w:ascii="宋体" w:hAnsi="宋体" w:cs="宋体"/>
          <w:bCs/>
          <w:snapToGrid w:val="0"/>
          <w:color w:val="000000"/>
          <w:kern w:val="0"/>
          <w:sz w:val="21"/>
          <w:szCs w:val="21"/>
          <w:lang w:val="en-US" w:eastAsia="zh-CN"/>
        </w:rPr>
        <w:t>潜在投标人查阅招标文件后，如参与投标，请于招标文件获取时间内使用CA锁在淮北市公共资源交易中心电子交易系统下载招标文件及其他相关资料。招标文件免费下载。投标人首次登录须办理入库手续，办理入库不收取任何费用，入库办理流程请参见全国公共资源交易平台（安徽省淮北市）交易服务。</w:t>
      </w:r>
    </w:p>
    <w:p w14:paraId="07DE3CF1">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w:t>
      </w:r>
      <w:r>
        <w:rPr>
          <w:rFonts w:hint="eastAsia" w:ascii="宋体" w:hAnsi="宋体" w:cs="宋体"/>
          <w:bCs/>
          <w:snapToGrid w:val="0"/>
          <w:color w:val="000000"/>
          <w:kern w:val="0"/>
          <w:sz w:val="21"/>
          <w:szCs w:val="21"/>
          <w:lang w:val="en-US" w:eastAsia="zh-CN"/>
        </w:rPr>
        <w:t>3</w:t>
      </w:r>
      <w:r>
        <w:rPr>
          <w:rFonts w:hint="eastAsia" w:ascii="宋体" w:hAnsi="宋体" w:cs="宋体"/>
          <w:bCs/>
          <w:snapToGrid w:val="0"/>
          <w:color w:val="000000"/>
          <w:kern w:val="0"/>
          <w:sz w:val="21"/>
          <w:szCs w:val="21"/>
        </w:rPr>
        <w:t>）招标文件获取过程中有任何疑问，请在工作时间拨打</w:t>
      </w:r>
      <w:r>
        <w:rPr>
          <w:rFonts w:hint="eastAsia" w:ascii="宋体" w:hAnsi="宋体" w:cs="宋体"/>
          <w:bCs/>
          <w:snapToGrid w:val="0"/>
          <w:color w:val="000000"/>
          <w:kern w:val="0"/>
          <w:sz w:val="21"/>
          <w:szCs w:val="21"/>
          <w:lang w:val="en-US" w:eastAsia="zh-CN"/>
        </w:rPr>
        <w:t>0512-58188516</w:t>
      </w:r>
      <w:r>
        <w:rPr>
          <w:rFonts w:hint="eastAsia" w:ascii="宋体" w:hAnsi="宋体" w:cs="宋体"/>
          <w:bCs/>
          <w:snapToGrid w:val="0"/>
          <w:color w:val="000000"/>
          <w:kern w:val="0"/>
          <w:sz w:val="21"/>
          <w:szCs w:val="21"/>
        </w:rPr>
        <w:t>。</w:t>
      </w:r>
    </w:p>
    <w:p w14:paraId="09738857">
      <w:pPr>
        <w:adjustRightInd w:val="0"/>
        <w:snapToGrid w:val="0"/>
        <w:spacing w:line="360" w:lineRule="auto"/>
        <w:outlineLvl w:val="9"/>
        <w:rPr>
          <w:rFonts w:hint="eastAsia" w:ascii="宋体" w:hAnsi="宋体" w:cs="宋体"/>
          <w:b/>
          <w:bCs/>
          <w:color w:val="000000"/>
          <w:sz w:val="24"/>
          <w:szCs w:val="24"/>
        </w:rPr>
      </w:pPr>
      <w:bookmarkStart w:id="17" w:name="_Toc28903"/>
      <w:bookmarkStart w:id="18" w:name="_Toc7309"/>
      <w:r>
        <w:rPr>
          <w:rFonts w:hint="eastAsia" w:ascii="宋体" w:hAnsi="宋体" w:cs="宋体"/>
          <w:b/>
          <w:bCs/>
          <w:color w:val="000000"/>
          <w:sz w:val="24"/>
          <w:szCs w:val="24"/>
        </w:rPr>
        <w:t>5.投标文件的递交</w:t>
      </w:r>
      <w:bookmarkEnd w:id="17"/>
      <w:bookmarkEnd w:id="18"/>
    </w:p>
    <w:p w14:paraId="6A0159BA">
      <w:pPr>
        <w:adjustRightInd w:val="0"/>
        <w:snapToGrid w:val="0"/>
        <w:spacing w:line="360" w:lineRule="auto"/>
        <w:ind w:firstLine="435"/>
        <w:jc w:val="left"/>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投标文件递交的截止时间(投标截止时间，下同)为</w:t>
      </w:r>
      <w:r>
        <w:rPr>
          <w:rFonts w:hint="eastAsia" w:ascii="宋体" w:hAnsi="宋体" w:cs="宋体"/>
          <w:color w:val="000000"/>
          <w:sz w:val="21"/>
          <w:szCs w:val="21"/>
          <w:u w:val="single"/>
          <w:lang w:val="en-US" w:eastAsia="zh-CN"/>
        </w:rPr>
        <w:t>202</w:t>
      </w:r>
      <w:r>
        <w:rPr>
          <w:rFonts w:hint="eastAsia" w:cs="宋体"/>
          <w:color w:val="000000"/>
          <w:sz w:val="21"/>
          <w:szCs w:val="21"/>
          <w:u w:val="single"/>
          <w:lang w:val="en-US" w:eastAsia="zh-CN"/>
        </w:rPr>
        <w:t>5</w:t>
      </w:r>
      <w:r>
        <w:rPr>
          <w:rFonts w:hint="eastAsia" w:ascii="宋体" w:hAnsi="宋体" w:cs="宋体"/>
          <w:bCs/>
          <w:snapToGrid w:val="0"/>
          <w:color w:val="000000"/>
          <w:kern w:val="0"/>
          <w:sz w:val="21"/>
          <w:szCs w:val="21"/>
        </w:rPr>
        <w:t>年</w:t>
      </w:r>
      <w:r>
        <w:rPr>
          <w:rFonts w:hint="eastAsia"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rPr>
        <w:t>月</w:t>
      </w:r>
      <w:r>
        <w:rPr>
          <w:rFonts w:hint="eastAsia" w:ascii="宋体" w:hAnsi="宋体" w:cs="宋体"/>
          <w:bCs/>
          <w:snapToGrid w:val="0"/>
          <w:color w:val="000000"/>
          <w:kern w:val="0"/>
          <w:sz w:val="21"/>
          <w:szCs w:val="21"/>
          <w:u w:val="single"/>
          <w:lang w:val="en-US" w:eastAsia="zh-CN"/>
        </w:rPr>
        <w:t xml:space="preserve"> </w:t>
      </w:r>
      <w:r>
        <w:rPr>
          <w:rFonts w:hint="eastAsia"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rPr>
        <w:t>日</w:t>
      </w:r>
      <w:r>
        <w:rPr>
          <w:rFonts w:hint="eastAsia" w:cs="宋体"/>
          <w:bCs/>
          <w:snapToGrid w:val="0"/>
          <w:color w:val="000000"/>
          <w:kern w:val="0"/>
          <w:sz w:val="21"/>
          <w:szCs w:val="21"/>
          <w:u w:val="single"/>
          <w:lang w:val="en-US" w:eastAsia="zh-CN"/>
        </w:rPr>
        <w:t>09</w:t>
      </w:r>
      <w:r>
        <w:rPr>
          <w:rFonts w:hint="eastAsia" w:ascii="宋体" w:hAnsi="宋体" w:cs="宋体"/>
          <w:bCs/>
          <w:snapToGrid w:val="0"/>
          <w:color w:val="000000"/>
          <w:kern w:val="0"/>
          <w:sz w:val="21"/>
          <w:szCs w:val="21"/>
        </w:rPr>
        <w:t>时</w:t>
      </w:r>
      <w:r>
        <w:rPr>
          <w:rFonts w:hint="eastAsia" w:cs="宋体"/>
          <w:bCs/>
          <w:snapToGrid w:val="0"/>
          <w:color w:val="000000"/>
          <w:kern w:val="0"/>
          <w:sz w:val="21"/>
          <w:szCs w:val="21"/>
          <w:u w:val="single"/>
          <w:lang w:val="en-US" w:eastAsia="zh-CN"/>
        </w:rPr>
        <w:t>00</w:t>
      </w:r>
      <w:r>
        <w:rPr>
          <w:rFonts w:hint="eastAsia" w:ascii="宋体" w:hAnsi="宋体" w:cs="宋体"/>
          <w:bCs/>
          <w:snapToGrid w:val="0"/>
          <w:color w:val="000000"/>
          <w:kern w:val="0"/>
          <w:sz w:val="21"/>
          <w:szCs w:val="21"/>
        </w:rPr>
        <w:t>分，投标人应在投标截止时间前通过</w:t>
      </w:r>
      <w:r>
        <w:rPr>
          <w:rFonts w:hint="eastAsia" w:ascii="宋体" w:hAnsi="宋体" w:cs="宋体"/>
          <w:color w:val="000000"/>
          <w:sz w:val="21"/>
          <w:szCs w:val="21"/>
          <w:u w:val="single"/>
        </w:rPr>
        <w:t>淮北市公共资源交易中心电子交易系统</w:t>
      </w:r>
      <w:r>
        <w:rPr>
          <w:rFonts w:hint="eastAsia" w:ascii="宋体" w:hAnsi="宋体" w:cs="宋体"/>
          <w:bCs/>
          <w:snapToGrid w:val="0"/>
          <w:color w:val="000000"/>
          <w:kern w:val="0"/>
          <w:sz w:val="21"/>
          <w:szCs w:val="21"/>
        </w:rPr>
        <w:t>递交电子投标文件。</w:t>
      </w:r>
    </w:p>
    <w:p w14:paraId="643C6C70">
      <w:pPr>
        <w:adjustRightInd w:val="0"/>
        <w:snapToGrid w:val="0"/>
        <w:spacing w:line="360" w:lineRule="auto"/>
        <w:outlineLvl w:val="9"/>
        <w:rPr>
          <w:rFonts w:hint="eastAsia" w:ascii="宋体" w:hAnsi="宋体" w:cs="宋体"/>
          <w:b/>
          <w:bCs/>
          <w:color w:val="000000"/>
          <w:sz w:val="24"/>
          <w:szCs w:val="24"/>
        </w:rPr>
      </w:pPr>
      <w:bookmarkStart w:id="19" w:name="_Toc12099"/>
      <w:bookmarkStart w:id="20" w:name="_Toc22878"/>
      <w:r>
        <w:rPr>
          <w:rFonts w:hint="eastAsia" w:ascii="宋体" w:hAnsi="宋体" w:cs="宋体"/>
          <w:b/>
          <w:bCs/>
          <w:color w:val="000000"/>
          <w:sz w:val="24"/>
          <w:szCs w:val="24"/>
        </w:rPr>
        <w:t>6.开标时间及地点</w:t>
      </w:r>
      <w:bookmarkEnd w:id="19"/>
      <w:bookmarkEnd w:id="20"/>
    </w:p>
    <w:p w14:paraId="1D4BC745">
      <w:pPr>
        <w:adjustRightInd w:val="0"/>
        <w:snapToGrid w:val="0"/>
        <w:spacing w:line="360" w:lineRule="auto"/>
        <w:ind w:firstLine="435"/>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6.1</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开标时间：</w:t>
      </w:r>
      <w:r>
        <w:rPr>
          <w:rFonts w:hint="eastAsia" w:ascii="宋体" w:hAnsi="宋体" w:cs="宋体"/>
          <w:color w:val="000000"/>
          <w:sz w:val="21"/>
          <w:szCs w:val="21"/>
          <w:u w:val="single"/>
          <w:lang w:val="en-US" w:eastAsia="zh-CN"/>
        </w:rPr>
        <w:t>202</w:t>
      </w:r>
      <w:r>
        <w:rPr>
          <w:rFonts w:hint="eastAsia" w:cs="宋体"/>
          <w:color w:val="000000"/>
          <w:sz w:val="21"/>
          <w:szCs w:val="21"/>
          <w:u w:val="single"/>
          <w:lang w:val="en-US" w:eastAsia="zh-CN"/>
        </w:rPr>
        <w:t>5</w:t>
      </w:r>
      <w:r>
        <w:rPr>
          <w:rFonts w:hint="eastAsia" w:ascii="宋体" w:hAnsi="宋体" w:cs="宋体"/>
          <w:bCs/>
          <w:snapToGrid w:val="0"/>
          <w:color w:val="000000"/>
          <w:kern w:val="0"/>
          <w:sz w:val="21"/>
          <w:szCs w:val="21"/>
        </w:rPr>
        <w:t>年</w:t>
      </w:r>
      <w:r>
        <w:rPr>
          <w:rFonts w:hint="eastAsia"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rPr>
        <w:t>月</w:t>
      </w:r>
      <w:r>
        <w:rPr>
          <w:rFonts w:hint="eastAsia" w:ascii="宋体" w:hAnsi="宋体" w:cs="宋体"/>
          <w:bCs/>
          <w:snapToGrid w:val="0"/>
          <w:color w:val="000000"/>
          <w:kern w:val="0"/>
          <w:sz w:val="21"/>
          <w:szCs w:val="21"/>
          <w:u w:val="single"/>
          <w:lang w:val="en-US" w:eastAsia="zh-CN"/>
        </w:rPr>
        <w:t xml:space="preserve"> </w:t>
      </w:r>
      <w:r>
        <w:rPr>
          <w:rFonts w:hint="eastAsia"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rPr>
        <w:t>日</w:t>
      </w:r>
      <w:r>
        <w:rPr>
          <w:rFonts w:hint="eastAsia" w:ascii="宋体" w:hAnsi="宋体" w:cs="宋体"/>
          <w:bCs/>
          <w:snapToGrid w:val="0"/>
          <w:color w:val="000000"/>
          <w:kern w:val="0"/>
          <w:sz w:val="21"/>
          <w:szCs w:val="21"/>
          <w:u w:val="single"/>
          <w:lang w:val="en-US" w:eastAsia="zh-CN"/>
        </w:rPr>
        <w:t xml:space="preserve"> 09 </w:t>
      </w:r>
      <w:r>
        <w:rPr>
          <w:rFonts w:hint="eastAsia" w:ascii="宋体" w:hAnsi="宋体" w:cs="宋体"/>
          <w:bCs/>
          <w:snapToGrid w:val="0"/>
          <w:color w:val="000000"/>
          <w:kern w:val="0"/>
          <w:sz w:val="21"/>
          <w:szCs w:val="21"/>
        </w:rPr>
        <w:t>时</w:t>
      </w:r>
      <w:r>
        <w:rPr>
          <w:rFonts w:hint="eastAsia" w:ascii="宋体" w:hAnsi="宋体" w:cs="宋体"/>
          <w:bCs/>
          <w:snapToGrid w:val="0"/>
          <w:color w:val="000000"/>
          <w:kern w:val="0"/>
          <w:sz w:val="21"/>
          <w:szCs w:val="21"/>
          <w:u w:val="single"/>
          <w:lang w:val="en-US" w:eastAsia="zh-CN"/>
        </w:rPr>
        <w:t xml:space="preserve"> 00 </w:t>
      </w:r>
      <w:r>
        <w:rPr>
          <w:rFonts w:hint="eastAsia" w:ascii="宋体" w:hAnsi="宋体" w:cs="宋体"/>
          <w:bCs/>
          <w:snapToGrid w:val="0"/>
          <w:color w:val="000000"/>
          <w:kern w:val="0"/>
          <w:sz w:val="21"/>
          <w:szCs w:val="21"/>
        </w:rPr>
        <w:t>分。</w:t>
      </w:r>
    </w:p>
    <w:p w14:paraId="04CC04C3">
      <w:pPr>
        <w:adjustRightInd w:val="0"/>
        <w:snapToGrid w:val="0"/>
        <w:spacing w:line="360" w:lineRule="auto"/>
        <w:ind w:firstLine="435"/>
        <w:rPr>
          <w:rFonts w:hint="eastAsia" w:ascii="宋体" w:hAnsi="宋体" w:eastAsia="宋体" w:cs="宋体"/>
          <w:bCs/>
          <w:snapToGrid w:val="0"/>
          <w:color w:val="000000"/>
          <w:kern w:val="0"/>
          <w:sz w:val="21"/>
          <w:szCs w:val="21"/>
          <w:u w:val="single"/>
        </w:rPr>
      </w:pPr>
      <w:r>
        <w:rPr>
          <w:rFonts w:hint="eastAsia" w:ascii="宋体" w:hAnsi="宋体" w:cs="宋体"/>
          <w:bCs/>
          <w:snapToGrid w:val="0"/>
          <w:color w:val="000000"/>
          <w:kern w:val="0"/>
          <w:sz w:val="21"/>
          <w:szCs w:val="21"/>
        </w:rPr>
        <w:t>6.2</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开标地点：</w:t>
      </w:r>
      <w:r>
        <w:rPr>
          <w:rFonts w:hint="eastAsia" w:ascii="宋体" w:hAnsi="宋体" w:cs="宋体"/>
          <w:bCs/>
          <w:snapToGrid w:val="0"/>
          <w:color w:val="000000"/>
          <w:kern w:val="0"/>
          <w:sz w:val="21"/>
          <w:szCs w:val="21"/>
          <w:u w:val="single"/>
        </w:rPr>
        <w:t>淮北市公共资源交易中心（淮北市人民路197号，市招商大厦二楼）开标</w:t>
      </w:r>
      <w:r>
        <w:rPr>
          <w:rFonts w:hint="eastAsia" w:cs="宋体"/>
          <w:bCs/>
          <w:snapToGrid w:val="0"/>
          <w:color w:val="000000"/>
          <w:kern w:val="0"/>
          <w:sz w:val="21"/>
          <w:szCs w:val="21"/>
          <w:u w:val="single"/>
          <w:lang w:val="en-US" w:eastAsia="zh-CN"/>
        </w:rPr>
        <w:t xml:space="preserve">  </w:t>
      </w:r>
      <w:r>
        <w:rPr>
          <w:rFonts w:hint="eastAsia" w:ascii="宋体" w:hAnsi="宋体" w:cs="宋体"/>
          <w:bCs/>
          <w:snapToGrid w:val="0"/>
          <w:color w:val="000000"/>
          <w:kern w:val="0"/>
          <w:sz w:val="21"/>
          <w:szCs w:val="21"/>
          <w:u w:val="single"/>
        </w:rPr>
        <w:t>厅</w:t>
      </w:r>
      <w:r>
        <w:rPr>
          <w:rFonts w:hint="eastAsia" w:ascii="宋体" w:hAnsi="宋体" w:cs="宋体"/>
          <w:bCs/>
          <w:snapToGrid w:val="0"/>
          <w:color w:val="000000"/>
          <w:kern w:val="0"/>
          <w:sz w:val="21"/>
          <w:szCs w:val="21"/>
          <w:highlight w:val="none"/>
          <w:u w:val="none"/>
        </w:rPr>
        <w:t xml:space="preserve">。  </w:t>
      </w:r>
    </w:p>
    <w:p w14:paraId="12799AF6">
      <w:pPr>
        <w:adjustRightInd w:val="0"/>
        <w:snapToGrid w:val="0"/>
        <w:spacing w:line="360" w:lineRule="auto"/>
        <w:outlineLvl w:val="9"/>
        <w:rPr>
          <w:rFonts w:hint="eastAsia" w:ascii="宋体" w:hAnsi="宋体" w:cs="宋体"/>
          <w:b/>
          <w:bCs/>
          <w:color w:val="000000"/>
          <w:sz w:val="24"/>
          <w:szCs w:val="24"/>
        </w:rPr>
      </w:pPr>
      <w:bookmarkStart w:id="21" w:name="_Toc30082"/>
      <w:bookmarkStart w:id="22" w:name="_Toc19540"/>
      <w:r>
        <w:rPr>
          <w:rFonts w:hint="eastAsia" w:ascii="宋体" w:hAnsi="宋体" w:cs="宋体"/>
          <w:b/>
          <w:bCs/>
          <w:color w:val="000000"/>
          <w:sz w:val="24"/>
          <w:szCs w:val="24"/>
        </w:rPr>
        <w:t>7.发布公告的媒介</w:t>
      </w:r>
      <w:bookmarkEnd w:id="21"/>
      <w:bookmarkEnd w:id="22"/>
    </w:p>
    <w:p w14:paraId="18A3450A">
      <w:pPr>
        <w:adjustRightInd w:val="0"/>
        <w:snapToGrid w:val="0"/>
        <w:spacing w:line="360" w:lineRule="auto"/>
        <w:ind w:firstLine="437"/>
        <w:rPr>
          <w:rFonts w:hint="eastAsia" w:ascii="宋体" w:hAnsi="宋体" w:cs="宋体"/>
          <w:color w:val="000000"/>
          <w:sz w:val="21"/>
          <w:szCs w:val="21"/>
        </w:rPr>
      </w:pPr>
      <w:r>
        <w:rPr>
          <w:rFonts w:hint="eastAsia" w:ascii="宋体" w:hAnsi="宋体" w:cs="宋体"/>
          <w:color w:val="000000"/>
          <w:sz w:val="21"/>
          <w:szCs w:val="21"/>
          <w:lang w:val="en-US" w:eastAsia="zh-CN"/>
        </w:rPr>
        <w:t>本次招标公告同时在</w:t>
      </w:r>
      <w:r>
        <w:rPr>
          <w:rFonts w:hint="eastAsia" w:ascii="宋体" w:hAnsi="宋体" w:cs="宋体"/>
          <w:color w:val="000000"/>
          <w:sz w:val="21"/>
          <w:szCs w:val="21"/>
          <w:u w:val="single"/>
          <w:lang w:val="en-US" w:eastAsia="zh-CN"/>
        </w:rPr>
        <w:t>淮北市公共资源交易中心网站、安徽省公共资源交易监管网</w:t>
      </w:r>
      <w:r>
        <w:rPr>
          <w:rFonts w:hint="eastAsia" w:ascii="宋体" w:hAnsi="宋体" w:cs="宋体"/>
          <w:color w:val="000000"/>
          <w:sz w:val="21"/>
          <w:szCs w:val="21"/>
          <w:lang w:val="en-US" w:eastAsia="zh-CN"/>
        </w:rPr>
        <w:t>上发布。</w:t>
      </w:r>
    </w:p>
    <w:p w14:paraId="0460D6C7">
      <w:pPr>
        <w:adjustRightInd w:val="0"/>
        <w:snapToGrid w:val="0"/>
        <w:spacing w:line="360" w:lineRule="auto"/>
        <w:outlineLvl w:val="9"/>
        <w:rPr>
          <w:rFonts w:hint="eastAsia" w:ascii="宋体" w:hAnsi="宋体" w:cs="宋体"/>
          <w:b/>
          <w:bCs/>
          <w:color w:val="000000"/>
          <w:sz w:val="24"/>
          <w:szCs w:val="24"/>
        </w:rPr>
      </w:pPr>
      <w:bookmarkStart w:id="23" w:name="_Toc1958"/>
      <w:bookmarkStart w:id="24" w:name="_Toc8256"/>
      <w:r>
        <w:rPr>
          <w:rFonts w:hint="eastAsia" w:ascii="宋体" w:hAnsi="宋体" w:cs="宋体"/>
          <w:b/>
          <w:bCs/>
          <w:color w:val="000000"/>
          <w:sz w:val="24"/>
          <w:szCs w:val="24"/>
        </w:rPr>
        <w:t>8.联系方式</w:t>
      </w:r>
      <w:bookmarkEnd w:id="23"/>
      <w:r>
        <w:rPr>
          <w:rFonts w:hint="eastAsia" w:ascii="宋体" w:hAnsi="宋体" w:cs="宋体"/>
          <w:b/>
          <w:bCs/>
          <w:color w:val="000000"/>
          <w:sz w:val="24"/>
          <w:szCs w:val="24"/>
          <w:lang w:eastAsia="zh-CN"/>
        </w:rPr>
        <w:t>（受理异议联系人及联系方式）</w:t>
      </w:r>
      <w:bookmarkEnd w:id="24"/>
    </w:p>
    <w:p w14:paraId="3494EC8C">
      <w:pPr>
        <w:adjustRightInd w:val="0"/>
        <w:snapToGrid w:val="0"/>
        <w:spacing w:line="360" w:lineRule="auto"/>
        <w:ind w:firstLine="437"/>
        <w:outlineLvl w:val="9"/>
        <w:rPr>
          <w:rFonts w:hint="eastAsia" w:ascii="宋体" w:hAnsi="宋体" w:cs="宋体"/>
          <w:bCs/>
          <w:snapToGrid w:val="0"/>
          <w:color w:val="000000"/>
          <w:kern w:val="0"/>
          <w:sz w:val="21"/>
          <w:szCs w:val="21"/>
        </w:rPr>
      </w:pPr>
      <w:bookmarkStart w:id="25" w:name="_Toc25412"/>
      <w:r>
        <w:rPr>
          <w:rFonts w:hint="eastAsia" w:ascii="宋体" w:hAnsi="宋体" w:cs="宋体"/>
          <w:bCs/>
          <w:snapToGrid w:val="0"/>
          <w:color w:val="000000"/>
          <w:kern w:val="0"/>
          <w:sz w:val="21"/>
          <w:szCs w:val="21"/>
        </w:rPr>
        <w:t>8.1招标人</w:t>
      </w:r>
      <w:bookmarkEnd w:id="25"/>
    </w:p>
    <w:p w14:paraId="76089D36">
      <w:pPr>
        <w:adjustRightInd w:val="0"/>
        <w:snapToGrid w:val="0"/>
        <w:spacing w:line="360" w:lineRule="auto"/>
        <w:ind w:firstLine="437"/>
        <w:rPr>
          <w:rFonts w:hint="eastAsia" w:ascii="宋体" w:hAnsi="宋体" w:eastAsia="宋体" w:cs="宋体"/>
          <w:color w:val="000000"/>
          <w:sz w:val="21"/>
          <w:szCs w:val="21"/>
          <w:u w:val="none"/>
          <w:lang w:eastAsia="zh-CN"/>
        </w:rPr>
      </w:pPr>
      <w:r>
        <w:rPr>
          <w:rFonts w:hint="eastAsia" w:ascii="宋体" w:hAnsi="宋体" w:cs="宋体"/>
          <w:color w:val="000000"/>
          <w:sz w:val="21"/>
          <w:szCs w:val="21"/>
        </w:rPr>
        <w:t>招标</w:t>
      </w:r>
      <w:r>
        <w:rPr>
          <w:rFonts w:hint="eastAsia" w:ascii="宋体" w:hAnsi="宋体" w:cs="宋体"/>
          <w:color w:val="000000"/>
          <w:sz w:val="21"/>
          <w:szCs w:val="21"/>
          <w:u w:val="none"/>
        </w:rPr>
        <w:t>人：</w:t>
      </w:r>
      <w:r>
        <w:rPr>
          <w:rFonts w:hint="eastAsia" w:cs="宋体"/>
          <w:color w:val="000000"/>
          <w:sz w:val="21"/>
          <w:szCs w:val="21"/>
          <w:u w:val="none"/>
          <w:lang w:eastAsia="zh-CN"/>
        </w:rPr>
        <w:t>淮北市杜集区住房和城乡建设局</w:t>
      </w:r>
    </w:p>
    <w:p w14:paraId="0CBFD873">
      <w:pPr>
        <w:adjustRightInd w:val="0"/>
        <w:snapToGrid w:val="0"/>
        <w:spacing w:line="360" w:lineRule="auto"/>
        <w:ind w:firstLine="437"/>
        <w:rPr>
          <w:rFonts w:hint="eastAsia" w:ascii="宋体" w:hAnsi="宋体" w:cs="宋体"/>
          <w:color w:val="000000"/>
          <w:sz w:val="21"/>
          <w:szCs w:val="21"/>
          <w:u w:val="none"/>
        </w:rPr>
      </w:pPr>
      <w:r>
        <w:rPr>
          <w:rFonts w:hint="eastAsia" w:ascii="宋体" w:hAnsi="宋体" w:cs="宋体"/>
          <w:color w:val="000000"/>
          <w:sz w:val="21"/>
          <w:szCs w:val="21"/>
          <w:u w:val="none"/>
        </w:rPr>
        <w:t>地址：</w:t>
      </w:r>
      <w:r>
        <w:rPr>
          <w:rFonts w:hint="eastAsia" w:cs="宋体"/>
          <w:color w:val="000000"/>
          <w:sz w:val="21"/>
          <w:szCs w:val="21"/>
          <w:u w:val="none"/>
          <w:lang w:eastAsia="zh-CN"/>
        </w:rPr>
        <w:t>淮北市杜集区开渠广场西侧2号楼2楼</w:t>
      </w:r>
    </w:p>
    <w:p w14:paraId="7CBB1D42">
      <w:pPr>
        <w:adjustRightInd w:val="0"/>
        <w:snapToGrid w:val="0"/>
        <w:spacing w:line="360" w:lineRule="auto"/>
        <w:ind w:firstLine="437"/>
        <w:rPr>
          <w:rFonts w:hint="eastAsia" w:ascii="宋体" w:hAnsi="宋体" w:cs="宋体"/>
          <w:color w:val="000000"/>
          <w:sz w:val="21"/>
          <w:szCs w:val="21"/>
          <w:u w:val="none"/>
        </w:rPr>
      </w:pPr>
      <w:r>
        <w:rPr>
          <w:rFonts w:hint="eastAsia" w:ascii="宋体" w:hAnsi="宋体" w:cs="宋体"/>
          <w:color w:val="000000"/>
          <w:sz w:val="21"/>
          <w:szCs w:val="21"/>
          <w:u w:val="none"/>
        </w:rPr>
        <w:t>邮编：235</w:t>
      </w:r>
      <w:r>
        <w:rPr>
          <w:rFonts w:hint="eastAsia" w:cs="宋体"/>
          <w:color w:val="000000"/>
          <w:sz w:val="21"/>
          <w:szCs w:val="21"/>
          <w:u w:val="none"/>
          <w:lang w:val="en-US" w:eastAsia="zh-CN"/>
        </w:rPr>
        <w:t>0</w:t>
      </w:r>
      <w:r>
        <w:rPr>
          <w:rFonts w:hint="eastAsia" w:ascii="宋体" w:hAnsi="宋体" w:cs="宋体"/>
          <w:color w:val="000000"/>
          <w:sz w:val="21"/>
          <w:szCs w:val="21"/>
          <w:u w:val="none"/>
        </w:rPr>
        <w:t>00</w:t>
      </w:r>
    </w:p>
    <w:p w14:paraId="3776E2F0">
      <w:pPr>
        <w:adjustRightInd w:val="0"/>
        <w:snapToGrid w:val="0"/>
        <w:spacing w:line="360" w:lineRule="auto"/>
        <w:ind w:firstLine="437"/>
        <w:rPr>
          <w:rFonts w:hint="eastAsia" w:cs="宋体"/>
          <w:color w:val="000000"/>
          <w:sz w:val="21"/>
          <w:szCs w:val="21"/>
          <w:u w:val="none"/>
          <w:lang w:val="en-US" w:eastAsia="zh-CN"/>
        </w:rPr>
      </w:pPr>
      <w:r>
        <w:rPr>
          <w:rFonts w:hint="eastAsia" w:ascii="宋体" w:hAnsi="宋体" w:cs="宋体"/>
          <w:color w:val="000000"/>
          <w:sz w:val="21"/>
          <w:szCs w:val="21"/>
          <w:u w:val="none"/>
        </w:rPr>
        <w:t>联系人：吴怀平</w:t>
      </w:r>
    </w:p>
    <w:p w14:paraId="678588F0">
      <w:pPr>
        <w:adjustRightInd w:val="0"/>
        <w:snapToGrid w:val="0"/>
        <w:spacing w:line="360" w:lineRule="auto"/>
        <w:ind w:firstLine="437"/>
        <w:rPr>
          <w:rFonts w:hint="default" w:cs="宋体"/>
          <w:color w:val="000000"/>
          <w:sz w:val="21"/>
          <w:szCs w:val="21"/>
          <w:u w:val="none"/>
          <w:lang w:val="en-US" w:eastAsia="zh-CN"/>
        </w:rPr>
      </w:pPr>
      <w:r>
        <w:rPr>
          <w:rFonts w:hint="eastAsia" w:ascii="宋体" w:hAnsi="宋体" w:cs="宋体"/>
          <w:color w:val="000000"/>
          <w:sz w:val="21"/>
          <w:szCs w:val="21"/>
          <w:u w:val="none"/>
        </w:rPr>
        <w:t>电话：0561-3090886</w:t>
      </w:r>
    </w:p>
    <w:p w14:paraId="7BA46434">
      <w:pPr>
        <w:adjustRightInd w:val="0"/>
        <w:snapToGrid w:val="0"/>
        <w:spacing w:line="360" w:lineRule="auto"/>
        <w:ind w:firstLine="437"/>
        <w:outlineLvl w:val="9"/>
        <w:rPr>
          <w:rFonts w:hint="eastAsia" w:ascii="宋体" w:hAnsi="宋体" w:cs="宋体"/>
          <w:bCs/>
          <w:snapToGrid w:val="0"/>
          <w:color w:val="000000"/>
          <w:kern w:val="0"/>
          <w:sz w:val="21"/>
          <w:szCs w:val="21"/>
          <w:u w:val="none"/>
        </w:rPr>
      </w:pPr>
      <w:bookmarkStart w:id="26" w:name="_Toc23918"/>
      <w:r>
        <w:rPr>
          <w:rFonts w:hint="eastAsia" w:ascii="宋体" w:hAnsi="宋体" w:cs="宋体"/>
          <w:bCs/>
          <w:snapToGrid w:val="0"/>
          <w:color w:val="000000"/>
          <w:kern w:val="0"/>
          <w:sz w:val="21"/>
          <w:szCs w:val="21"/>
          <w:u w:val="none"/>
        </w:rPr>
        <w:t>8.2招标代理机构</w:t>
      </w:r>
      <w:bookmarkEnd w:id="26"/>
    </w:p>
    <w:p w14:paraId="7BD69862">
      <w:pPr>
        <w:adjustRightInd w:val="0"/>
        <w:snapToGrid w:val="0"/>
        <w:spacing w:line="360" w:lineRule="auto"/>
        <w:ind w:firstLine="437"/>
        <w:rPr>
          <w:rFonts w:hint="eastAsia" w:ascii="宋体" w:hAnsi="宋体" w:cs="宋体"/>
          <w:color w:val="000000"/>
          <w:sz w:val="21"/>
          <w:szCs w:val="21"/>
          <w:u w:val="none"/>
        </w:rPr>
      </w:pPr>
      <w:r>
        <w:rPr>
          <w:rFonts w:hint="eastAsia" w:ascii="宋体" w:hAnsi="宋体" w:cs="宋体"/>
          <w:color w:val="000000"/>
          <w:sz w:val="21"/>
          <w:szCs w:val="21"/>
          <w:u w:val="none"/>
        </w:rPr>
        <w:t>招标代理机构：中旭腾飞工程管理有限公司</w:t>
      </w:r>
    </w:p>
    <w:p w14:paraId="673DC13F">
      <w:pPr>
        <w:adjustRightInd w:val="0"/>
        <w:snapToGrid w:val="0"/>
        <w:spacing w:line="360" w:lineRule="auto"/>
        <w:ind w:firstLine="437"/>
        <w:rPr>
          <w:rFonts w:hint="default" w:ascii="宋体" w:hAnsi="宋体" w:eastAsia="宋体" w:cs="宋体"/>
          <w:color w:val="000000"/>
          <w:sz w:val="21"/>
          <w:szCs w:val="21"/>
          <w:u w:val="none"/>
          <w:lang w:val="en-US" w:eastAsia="zh-CN"/>
        </w:rPr>
      </w:pPr>
      <w:r>
        <w:rPr>
          <w:rFonts w:hint="eastAsia" w:ascii="宋体" w:hAnsi="宋体" w:cs="宋体"/>
          <w:color w:val="000000"/>
          <w:sz w:val="21"/>
          <w:szCs w:val="21"/>
          <w:u w:val="none"/>
        </w:rPr>
        <w:t>地址：</w:t>
      </w:r>
      <w:r>
        <w:rPr>
          <w:rFonts w:hint="eastAsia" w:ascii="宋体" w:hAnsi="宋体" w:cs="宋体"/>
          <w:color w:val="000000"/>
          <w:sz w:val="21"/>
          <w:szCs w:val="21"/>
          <w:u w:val="none"/>
          <w:lang w:eastAsia="zh-CN"/>
        </w:rPr>
        <w:t>淮北市</w:t>
      </w:r>
      <w:r>
        <w:rPr>
          <w:rFonts w:hint="eastAsia" w:cs="宋体"/>
          <w:color w:val="000000"/>
          <w:sz w:val="21"/>
          <w:szCs w:val="21"/>
          <w:u w:val="none"/>
          <w:lang w:val="en-US" w:eastAsia="zh-CN"/>
        </w:rPr>
        <w:t>富力相城府</w:t>
      </w:r>
    </w:p>
    <w:p w14:paraId="3C1EF1CD">
      <w:pPr>
        <w:adjustRightInd w:val="0"/>
        <w:snapToGrid w:val="0"/>
        <w:spacing w:line="360" w:lineRule="auto"/>
        <w:ind w:firstLine="437"/>
        <w:rPr>
          <w:rFonts w:hint="eastAsia" w:ascii="宋体" w:hAnsi="宋体" w:cs="宋体"/>
          <w:color w:val="000000"/>
          <w:sz w:val="21"/>
          <w:szCs w:val="21"/>
          <w:u w:val="none"/>
        </w:rPr>
      </w:pPr>
      <w:r>
        <w:rPr>
          <w:rFonts w:hint="eastAsia" w:ascii="宋体" w:hAnsi="宋体" w:cs="宋体"/>
          <w:color w:val="000000"/>
          <w:sz w:val="21"/>
          <w:szCs w:val="21"/>
          <w:u w:val="none"/>
        </w:rPr>
        <w:t>邮编：</w:t>
      </w:r>
      <w:r>
        <w:rPr>
          <w:rFonts w:hint="eastAsia" w:ascii="宋体" w:hAnsi="宋体" w:cs="宋体"/>
          <w:color w:val="000000"/>
          <w:sz w:val="21"/>
          <w:szCs w:val="21"/>
          <w:u w:val="none"/>
          <w:lang w:val="en-US" w:eastAsia="zh-CN"/>
        </w:rPr>
        <w:t>235000</w:t>
      </w:r>
    </w:p>
    <w:p w14:paraId="616FC815">
      <w:pPr>
        <w:adjustRightInd w:val="0"/>
        <w:snapToGrid w:val="0"/>
        <w:spacing w:line="360" w:lineRule="auto"/>
        <w:ind w:firstLine="437"/>
        <w:rPr>
          <w:rFonts w:hint="default" w:ascii="宋体" w:hAnsi="宋体" w:cs="宋体"/>
          <w:color w:val="000000"/>
          <w:sz w:val="21"/>
          <w:szCs w:val="21"/>
          <w:u w:val="none"/>
          <w:lang w:val="en-US"/>
        </w:rPr>
      </w:pPr>
      <w:r>
        <w:rPr>
          <w:rFonts w:hint="eastAsia" w:ascii="宋体" w:hAnsi="宋体" w:cs="宋体"/>
          <w:color w:val="000000"/>
          <w:sz w:val="21"/>
          <w:szCs w:val="21"/>
          <w:u w:val="none"/>
        </w:rPr>
        <w:t>联系人：</w:t>
      </w:r>
      <w:r>
        <w:rPr>
          <w:rFonts w:hint="eastAsia" w:cs="宋体"/>
          <w:color w:val="000000"/>
          <w:sz w:val="21"/>
          <w:szCs w:val="21"/>
          <w:u w:val="none"/>
          <w:lang w:val="en-US" w:eastAsia="zh-CN"/>
        </w:rPr>
        <w:t>田昌昌</w:t>
      </w:r>
    </w:p>
    <w:p w14:paraId="1F39F297">
      <w:pPr>
        <w:adjustRightInd w:val="0"/>
        <w:snapToGrid w:val="0"/>
        <w:spacing w:line="360" w:lineRule="auto"/>
        <w:ind w:firstLine="437"/>
        <w:rPr>
          <w:rFonts w:hint="default" w:ascii="宋体" w:hAnsi="宋体" w:eastAsia="宋体" w:cs="宋体"/>
          <w:color w:val="000000"/>
          <w:sz w:val="21"/>
          <w:szCs w:val="21"/>
          <w:u w:val="none"/>
          <w:lang w:val="en-US" w:eastAsia="zh-CN"/>
        </w:rPr>
      </w:pPr>
      <w:r>
        <w:rPr>
          <w:rFonts w:hint="eastAsia" w:ascii="宋体" w:hAnsi="宋体" w:cs="宋体"/>
          <w:color w:val="000000"/>
          <w:sz w:val="21"/>
          <w:szCs w:val="21"/>
          <w:u w:val="none"/>
        </w:rPr>
        <w:t>电话</w:t>
      </w:r>
      <w:r>
        <w:rPr>
          <w:rFonts w:hint="eastAsia" w:cs="宋体"/>
          <w:color w:val="000000"/>
          <w:sz w:val="21"/>
          <w:szCs w:val="21"/>
          <w:u w:val="none"/>
          <w:lang w:eastAsia="zh-CN"/>
        </w:rPr>
        <w:t>：</w:t>
      </w:r>
      <w:r>
        <w:rPr>
          <w:rFonts w:hint="eastAsia" w:cs="宋体"/>
          <w:color w:val="000000"/>
          <w:sz w:val="21"/>
          <w:szCs w:val="21"/>
          <w:u w:val="none"/>
          <w:lang w:val="en-US" w:eastAsia="zh-CN"/>
        </w:rPr>
        <w:t>17309618777</w:t>
      </w:r>
    </w:p>
    <w:p w14:paraId="7DB25A7E">
      <w:pPr>
        <w:adjustRightInd w:val="0"/>
        <w:snapToGrid w:val="0"/>
        <w:spacing w:line="360" w:lineRule="auto"/>
        <w:ind w:firstLine="437"/>
        <w:outlineLvl w:val="9"/>
        <w:rPr>
          <w:rFonts w:hint="eastAsia" w:ascii="宋体" w:hAnsi="宋体" w:cs="宋体"/>
          <w:color w:val="000000"/>
          <w:sz w:val="21"/>
          <w:szCs w:val="21"/>
          <w:u w:val="none"/>
        </w:rPr>
      </w:pPr>
      <w:bookmarkStart w:id="27" w:name="_Toc16001"/>
      <w:r>
        <w:rPr>
          <w:rFonts w:hint="eastAsia" w:ascii="宋体" w:hAnsi="宋体" w:cs="宋体"/>
          <w:bCs/>
          <w:snapToGrid w:val="0"/>
          <w:color w:val="000000"/>
          <w:kern w:val="0"/>
          <w:sz w:val="21"/>
          <w:szCs w:val="21"/>
          <w:u w:val="none"/>
        </w:rPr>
        <w:t>8.</w:t>
      </w:r>
      <w:r>
        <w:rPr>
          <w:rFonts w:hint="eastAsia" w:ascii="宋体" w:hAnsi="宋体" w:cs="宋体"/>
          <w:bCs/>
          <w:snapToGrid w:val="0"/>
          <w:color w:val="000000"/>
          <w:kern w:val="0"/>
          <w:sz w:val="21"/>
          <w:szCs w:val="21"/>
          <w:u w:val="none"/>
          <w:lang w:val="en-US" w:eastAsia="zh-CN"/>
        </w:rPr>
        <w:t>3</w:t>
      </w:r>
      <w:r>
        <w:rPr>
          <w:rFonts w:hint="eastAsia" w:ascii="宋体" w:hAnsi="宋体" w:cs="宋体"/>
          <w:bCs/>
          <w:snapToGrid w:val="0"/>
          <w:color w:val="000000"/>
          <w:kern w:val="0"/>
          <w:sz w:val="21"/>
          <w:szCs w:val="21"/>
          <w:u w:val="none"/>
        </w:rPr>
        <w:t>招标监督管理机构</w:t>
      </w:r>
      <w:bookmarkEnd w:id="27"/>
    </w:p>
    <w:p w14:paraId="0D03DED0">
      <w:pPr>
        <w:adjustRightInd w:val="0"/>
        <w:snapToGrid w:val="0"/>
        <w:spacing w:line="360" w:lineRule="auto"/>
        <w:ind w:firstLine="437"/>
        <w:rPr>
          <w:rFonts w:hint="eastAsia" w:ascii="宋体" w:hAnsi="宋体" w:cs="宋体"/>
          <w:color w:val="000000"/>
          <w:sz w:val="21"/>
          <w:szCs w:val="21"/>
          <w:u w:val="none"/>
        </w:rPr>
      </w:pPr>
      <w:r>
        <w:rPr>
          <w:rFonts w:hint="eastAsia" w:ascii="宋体" w:hAnsi="宋体" w:cs="宋体"/>
          <w:bCs/>
          <w:snapToGrid w:val="0"/>
          <w:color w:val="000000"/>
          <w:kern w:val="0"/>
          <w:sz w:val="21"/>
          <w:szCs w:val="21"/>
          <w:u w:val="none"/>
        </w:rPr>
        <w:t>招标监督管理机构：</w:t>
      </w:r>
      <w:r>
        <w:rPr>
          <w:rFonts w:hint="eastAsia" w:ascii="宋体" w:hAnsi="宋体" w:cs="宋体"/>
          <w:color w:val="000000"/>
          <w:sz w:val="21"/>
          <w:szCs w:val="21"/>
          <w:u w:val="none"/>
        </w:rPr>
        <w:t>淮北市公共资源交易监督管理局</w:t>
      </w:r>
    </w:p>
    <w:p w14:paraId="67DE05C4">
      <w:pPr>
        <w:adjustRightInd w:val="0"/>
        <w:snapToGrid w:val="0"/>
        <w:spacing w:line="360" w:lineRule="auto"/>
        <w:ind w:firstLine="437"/>
        <w:rPr>
          <w:rFonts w:hint="eastAsia" w:ascii="宋体" w:hAnsi="宋体" w:cs="宋体"/>
          <w:color w:val="000000"/>
          <w:sz w:val="21"/>
          <w:szCs w:val="21"/>
          <w:u w:val="none"/>
        </w:rPr>
      </w:pPr>
      <w:r>
        <w:rPr>
          <w:rFonts w:hint="eastAsia" w:ascii="宋体" w:hAnsi="宋体" w:cs="宋体"/>
          <w:bCs/>
          <w:snapToGrid w:val="0"/>
          <w:color w:val="000000"/>
          <w:kern w:val="0"/>
          <w:sz w:val="21"/>
          <w:szCs w:val="21"/>
          <w:u w:val="none"/>
        </w:rPr>
        <w:t>地址：</w:t>
      </w:r>
      <w:r>
        <w:rPr>
          <w:rFonts w:hint="eastAsia" w:ascii="宋体" w:hAnsi="宋体" w:cs="宋体"/>
          <w:color w:val="000000"/>
          <w:sz w:val="21"/>
          <w:szCs w:val="21"/>
          <w:u w:val="none"/>
        </w:rPr>
        <w:t>淮北市人民路199号招商大厦7楼</w:t>
      </w:r>
    </w:p>
    <w:p w14:paraId="5EEB3E38">
      <w:pPr>
        <w:adjustRightInd w:val="0"/>
        <w:snapToGrid w:val="0"/>
        <w:spacing w:line="360" w:lineRule="auto"/>
        <w:ind w:firstLine="437"/>
        <w:rPr>
          <w:rFonts w:hint="eastAsia" w:ascii="宋体" w:hAnsi="宋体" w:cs="宋体"/>
          <w:color w:val="000000"/>
          <w:sz w:val="21"/>
          <w:szCs w:val="21"/>
          <w:u w:val="none"/>
        </w:rPr>
      </w:pPr>
      <w:r>
        <w:rPr>
          <w:rFonts w:hint="eastAsia" w:ascii="宋体" w:hAnsi="宋体" w:cs="宋体"/>
          <w:bCs/>
          <w:snapToGrid w:val="0"/>
          <w:color w:val="000000"/>
          <w:kern w:val="0"/>
          <w:sz w:val="21"/>
          <w:szCs w:val="21"/>
          <w:u w:val="none"/>
        </w:rPr>
        <w:t>电话：</w:t>
      </w:r>
      <w:r>
        <w:rPr>
          <w:rFonts w:hint="eastAsia" w:ascii="宋体" w:hAnsi="宋体" w:cs="宋体"/>
          <w:color w:val="000000"/>
          <w:sz w:val="21"/>
          <w:szCs w:val="21"/>
          <w:u w:val="none"/>
        </w:rPr>
        <w:t>0561-3198613</w:t>
      </w:r>
    </w:p>
    <w:p w14:paraId="18D4CE0F">
      <w:pPr>
        <w:adjustRightInd w:val="0"/>
        <w:snapToGrid w:val="0"/>
        <w:spacing w:line="360" w:lineRule="auto"/>
        <w:outlineLvl w:val="9"/>
        <w:rPr>
          <w:rFonts w:hint="eastAsia" w:ascii="宋体" w:hAnsi="宋体" w:cs="宋体"/>
          <w:b/>
          <w:bCs/>
          <w:color w:val="000000"/>
          <w:sz w:val="24"/>
          <w:szCs w:val="24"/>
        </w:rPr>
      </w:pPr>
      <w:bookmarkStart w:id="28" w:name="_Toc10179"/>
      <w:bookmarkStart w:id="29" w:name="_Toc8450"/>
      <w:r>
        <w:rPr>
          <w:rFonts w:hint="eastAsia" w:ascii="宋体" w:hAnsi="宋体" w:cs="宋体"/>
          <w:b/>
          <w:bCs/>
          <w:color w:val="000000"/>
          <w:sz w:val="24"/>
          <w:szCs w:val="24"/>
        </w:rPr>
        <w:t>9.其他事项说明</w:t>
      </w:r>
      <w:bookmarkEnd w:id="28"/>
      <w:bookmarkEnd w:id="29"/>
    </w:p>
    <w:p w14:paraId="48FED75D">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9.1</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lang w:val="en-US" w:eastAsia="zh-CN"/>
        </w:rPr>
        <w:t>本项目采用网上招投标方式，请投标人在“淮北市公共资源交易中心”下载“电子招投标系统平台操作手册”、“电子投标文件制作工具”等相关资料，仔细阅读招标文件要求和相关操作手册</w:t>
      </w:r>
      <w:r>
        <w:rPr>
          <w:rFonts w:hint="eastAsia" w:cs="宋体"/>
          <w:bCs/>
          <w:snapToGrid w:val="0"/>
          <w:color w:val="000000"/>
          <w:kern w:val="0"/>
          <w:sz w:val="21"/>
          <w:szCs w:val="21"/>
          <w:lang w:val="en-US" w:eastAsia="zh-CN"/>
        </w:rPr>
        <w:t>，</w:t>
      </w:r>
      <w:r>
        <w:rPr>
          <w:rFonts w:hint="eastAsia" w:ascii="宋体" w:hAnsi="宋体" w:cs="宋体"/>
          <w:bCs/>
          <w:snapToGrid w:val="0"/>
          <w:color w:val="000000"/>
          <w:kern w:val="0"/>
          <w:sz w:val="21"/>
          <w:szCs w:val="21"/>
          <w:lang w:val="en-US" w:eastAsia="zh-CN"/>
        </w:rPr>
        <w:t xml:space="preserve">联系电话：400-850-3300。投标人须使用最新版投标文件制作工具，以免造成标书制作错误。软件启动时也将进行提示（需在国际互联网络通畅状态），各投标人需注意更新，如因此导致无效投标，责任自负。 </w:t>
      </w:r>
    </w:p>
    <w:p w14:paraId="664AA193">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9.2</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lang w:val="en-US" w:eastAsia="zh-CN"/>
        </w:rPr>
        <w:t>投标人须用数字证书签章和加密投标文件，必须使用企业 CA 锁。如未办理数字证书请及时咨询淮北市公共资源交易中心，联系电话:400-880-4959。如加密电子标书无法被系统导入或投标人未能在规定时间内远程解密完成的，视为投标人未提交合格投标文件</w:t>
      </w:r>
      <w:r>
        <w:rPr>
          <w:rFonts w:hint="eastAsia" w:ascii="宋体" w:hAnsi="宋体" w:cs="宋体"/>
          <w:bCs/>
          <w:snapToGrid w:val="0"/>
          <w:color w:val="000000"/>
          <w:kern w:val="0"/>
          <w:sz w:val="21"/>
          <w:szCs w:val="21"/>
        </w:rPr>
        <w:t>。</w:t>
      </w:r>
    </w:p>
    <w:p w14:paraId="275806A5">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9.3</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本项目招标的补遗、答疑等内容将在淮北市公共资源交易中心网发布，请投标人及时主动关注，因未及时关注而对投标造成的不利影响，由投标人自行承担。</w:t>
      </w:r>
    </w:p>
    <w:p w14:paraId="731666C7">
      <w:pPr>
        <w:adjustRightInd w:val="0"/>
        <w:snapToGrid w:val="0"/>
        <w:spacing w:line="360" w:lineRule="auto"/>
        <w:ind w:firstLine="437"/>
        <w:rPr>
          <w:rFonts w:hint="eastAsia" w:ascii="宋体" w:hAnsi="宋体" w:cs="宋体"/>
          <w:color w:val="000000"/>
          <w:sz w:val="21"/>
          <w:szCs w:val="21"/>
        </w:rPr>
      </w:pPr>
      <w:r>
        <w:rPr>
          <w:rFonts w:hint="eastAsia" w:ascii="宋体" w:hAnsi="宋体" w:cs="宋体"/>
          <w:bCs/>
          <w:snapToGrid w:val="0"/>
          <w:color w:val="000000"/>
          <w:kern w:val="0"/>
          <w:sz w:val="21"/>
          <w:szCs w:val="21"/>
        </w:rPr>
        <w:t>9.4</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本公告内容与招标文件不一致的，以招标文件为准。</w:t>
      </w:r>
    </w:p>
    <w:p w14:paraId="4E37E098">
      <w:pPr>
        <w:adjustRightInd w:val="0"/>
        <w:snapToGrid w:val="0"/>
        <w:spacing w:line="360" w:lineRule="auto"/>
        <w:outlineLvl w:val="9"/>
        <w:rPr>
          <w:rFonts w:hint="eastAsia" w:ascii="宋体" w:hAnsi="宋体" w:cs="宋体"/>
          <w:b/>
          <w:bCs/>
          <w:color w:val="000000"/>
          <w:sz w:val="24"/>
          <w:szCs w:val="24"/>
        </w:rPr>
      </w:pPr>
      <w:bookmarkStart w:id="30" w:name="_Toc25889"/>
      <w:bookmarkStart w:id="31" w:name="_Toc19202"/>
      <w:r>
        <w:rPr>
          <w:rFonts w:hint="eastAsia" w:ascii="宋体" w:hAnsi="宋体" w:cs="宋体"/>
          <w:b/>
          <w:bCs/>
          <w:color w:val="000000"/>
          <w:sz w:val="24"/>
          <w:szCs w:val="24"/>
        </w:rPr>
        <w:t>10.投标保证金收款银行账户信息</w:t>
      </w:r>
      <w:bookmarkEnd w:id="30"/>
      <w:bookmarkEnd w:id="31"/>
    </w:p>
    <w:p w14:paraId="7666C601">
      <w:pPr>
        <w:adjustRightInd w:val="0"/>
        <w:snapToGrid w:val="0"/>
        <w:spacing w:line="360" w:lineRule="auto"/>
        <w:ind w:firstLine="437"/>
        <w:rPr>
          <w:rFonts w:hint="eastAsia" w:ascii="宋体" w:hAnsi="宋体" w:cs="宋体"/>
          <w:bCs/>
          <w:snapToGrid w:val="0"/>
          <w:color w:val="000000"/>
          <w:kern w:val="0"/>
          <w:sz w:val="21"/>
          <w:szCs w:val="21"/>
        </w:rPr>
      </w:pPr>
      <w:r>
        <w:rPr>
          <w:rFonts w:hint="eastAsia" w:cs="宋体"/>
          <w:bCs/>
          <w:snapToGrid w:val="0"/>
          <w:color w:val="000000"/>
          <w:kern w:val="0"/>
          <w:sz w:val="21"/>
          <w:szCs w:val="21"/>
          <w:lang w:val="en-US" w:eastAsia="zh-CN"/>
        </w:rPr>
        <w:t xml:space="preserve">10.1 </w:t>
      </w:r>
      <w:r>
        <w:rPr>
          <w:rFonts w:hint="eastAsia" w:ascii="宋体" w:hAnsi="宋体" w:cs="宋体"/>
          <w:bCs/>
          <w:snapToGrid w:val="0"/>
          <w:color w:val="000000"/>
          <w:kern w:val="0"/>
          <w:sz w:val="21"/>
          <w:szCs w:val="21"/>
        </w:rPr>
        <w:t>是否要求投标人递交投标保证金：</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rPr>
        <w:t>不要求</w:t>
      </w:r>
      <w:r>
        <w:rPr>
          <w:rFonts w:hint="eastAsia" w:cs="宋体"/>
          <w:bCs/>
          <w:snapToGrid w:val="0"/>
          <w:color w:val="000000"/>
          <w:kern w:val="0"/>
          <w:sz w:val="21"/>
          <w:szCs w:val="21"/>
          <w:lang w:val="en-US" w:eastAsia="zh-CN"/>
        </w:rPr>
        <w:t xml:space="preserve">  </w:t>
      </w:r>
      <w:r>
        <w:rPr>
          <w:rFonts w:hint="eastAsia" w:ascii="宋体" w:hAnsi="宋体" w:cs="宋体"/>
          <w:bCs/>
          <w:snapToGrid w:val="0"/>
          <w:color w:val="000000"/>
          <w:kern w:val="0"/>
          <w:sz w:val="21"/>
          <w:szCs w:val="21"/>
          <w:lang w:val="en-US" w:eastAsia="zh-CN"/>
        </w:rPr>
        <w:t>√</w:t>
      </w:r>
      <w:r>
        <w:rPr>
          <w:rFonts w:hint="eastAsia" w:ascii="宋体" w:hAnsi="宋体" w:cs="宋体"/>
          <w:bCs/>
          <w:snapToGrid w:val="0"/>
          <w:color w:val="000000"/>
          <w:kern w:val="0"/>
          <w:sz w:val="21"/>
          <w:szCs w:val="21"/>
        </w:rPr>
        <w:t>要求</w:t>
      </w:r>
    </w:p>
    <w:p w14:paraId="2DF07BAE">
      <w:pPr>
        <w:adjustRightInd w:val="0"/>
        <w:snapToGrid w:val="0"/>
        <w:spacing w:line="360" w:lineRule="auto"/>
        <w:ind w:firstLine="437"/>
        <w:rPr>
          <w:rFonts w:hint="eastAsia" w:ascii="宋体" w:hAnsi="宋体" w:cs="宋体"/>
          <w:bCs/>
          <w:snapToGrid w:val="0"/>
          <w:color w:val="000000"/>
          <w:kern w:val="0"/>
          <w:sz w:val="21"/>
          <w:szCs w:val="21"/>
        </w:rPr>
      </w:pPr>
      <w:r>
        <w:rPr>
          <w:rFonts w:hint="eastAsia" w:cs="宋体"/>
          <w:bCs/>
          <w:snapToGrid w:val="0"/>
          <w:color w:val="000000"/>
          <w:kern w:val="0"/>
          <w:sz w:val="21"/>
          <w:szCs w:val="21"/>
          <w:lang w:val="en-US" w:eastAsia="zh-CN"/>
        </w:rPr>
        <w:t xml:space="preserve">10.2 </w:t>
      </w:r>
      <w:r>
        <w:rPr>
          <w:rFonts w:hint="eastAsia" w:ascii="宋体" w:hAnsi="宋体" w:cs="宋体"/>
          <w:bCs/>
          <w:snapToGrid w:val="0"/>
          <w:color w:val="000000"/>
          <w:kern w:val="0"/>
          <w:sz w:val="21"/>
          <w:szCs w:val="21"/>
        </w:rPr>
        <w:t>投标保证金金额：人民币</w:t>
      </w:r>
      <w:r>
        <w:rPr>
          <w:rFonts w:hint="eastAsia" w:cs="宋体"/>
          <w:bCs/>
          <w:snapToGrid w:val="0"/>
          <w:color w:val="000000"/>
          <w:kern w:val="0"/>
          <w:sz w:val="21"/>
          <w:szCs w:val="21"/>
          <w:u w:val="single"/>
          <w:lang w:val="en-US" w:eastAsia="zh-CN"/>
        </w:rPr>
        <w:t xml:space="preserve"> 10</w:t>
      </w:r>
      <w:r>
        <w:rPr>
          <w:rFonts w:hint="eastAsia" w:ascii="宋体" w:hAnsi="宋体" w:cs="宋体"/>
          <w:bCs/>
          <w:snapToGrid w:val="0"/>
          <w:color w:val="000000"/>
          <w:kern w:val="0"/>
          <w:sz w:val="21"/>
          <w:szCs w:val="21"/>
        </w:rPr>
        <w:t>万元</w:t>
      </w:r>
    </w:p>
    <w:p w14:paraId="3B17EEB0">
      <w:pPr>
        <w:adjustRightInd w:val="0"/>
        <w:snapToGrid w:val="0"/>
        <w:spacing w:line="360" w:lineRule="auto"/>
        <w:ind w:firstLine="437"/>
        <w:rPr>
          <w:rFonts w:hint="eastAsia" w:ascii="宋体" w:hAnsi="宋体" w:cs="宋体"/>
          <w:bCs/>
          <w:snapToGrid w:val="0"/>
          <w:color w:val="000000"/>
          <w:kern w:val="0"/>
          <w:sz w:val="21"/>
          <w:szCs w:val="21"/>
        </w:rPr>
      </w:pPr>
      <w:r>
        <w:rPr>
          <w:rFonts w:hint="eastAsia" w:cs="宋体"/>
          <w:bCs/>
          <w:snapToGrid w:val="0"/>
          <w:color w:val="000000"/>
          <w:kern w:val="0"/>
          <w:sz w:val="21"/>
          <w:szCs w:val="21"/>
          <w:lang w:val="en-US" w:eastAsia="zh-CN"/>
        </w:rPr>
        <w:t xml:space="preserve">10.3 </w:t>
      </w:r>
      <w:r>
        <w:rPr>
          <w:rFonts w:hint="eastAsia" w:ascii="宋体" w:hAnsi="宋体" w:cs="宋体"/>
          <w:bCs/>
          <w:snapToGrid w:val="0"/>
          <w:color w:val="000000"/>
          <w:kern w:val="0"/>
          <w:sz w:val="21"/>
          <w:szCs w:val="21"/>
        </w:rPr>
        <w:t>投标保证金形式：</w:t>
      </w:r>
    </w:p>
    <w:p w14:paraId="514CEAAB">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第一类：</w:t>
      </w:r>
      <w:r>
        <w:rPr>
          <w:rFonts w:hint="eastAsia" w:ascii="宋体" w:hAnsi="宋体" w:cs="宋体"/>
          <w:bCs/>
          <w:snapToGrid w:val="0"/>
          <w:color w:val="000000"/>
          <w:kern w:val="0"/>
          <w:sz w:val="21"/>
          <w:szCs w:val="21"/>
          <w:lang w:val="en-US" w:eastAsia="zh-CN"/>
        </w:rPr>
        <w:t>√</w:t>
      </w:r>
      <w:r>
        <w:rPr>
          <w:rFonts w:hint="eastAsia" w:ascii="宋体" w:hAnsi="宋体" w:cs="宋体"/>
          <w:bCs/>
          <w:snapToGrid w:val="0"/>
          <w:color w:val="000000"/>
          <w:kern w:val="0"/>
          <w:sz w:val="21"/>
          <w:szCs w:val="21"/>
        </w:rPr>
        <w:t>银行转账</w:t>
      </w:r>
      <w:r>
        <w:rPr>
          <w:rFonts w:hint="eastAsia" w:ascii="宋体" w:hAnsi="宋体" w:cs="宋体"/>
          <w:bCs/>
          <w:snapToGrid w:val="0"/>
          <w:color w:val="000000"/>
          <w:kern w:val="0"/>
          <w:sz w:val="21"/>
          <w:szCs w:val="21"/>
          <w:lang w:val="en-US" w:eastAsia="zh-CN"/>
        </w:rPr>
        <w:t>√</w:t>
      </w:r>
      <w:r>
        <w:rPr>
          <w:rFonts w:hint="eastAsia" w:ascii="宋体" w:hAnsi="宋体" w:cs="宋体"/>
          <w:bCs/>
          <w:snapToGrid w:val="0"/>
          <w:color w:val="000000"/>
          <w:kern w:val="0"/>
          <w:sz w:val="21"/>
          <w:szCs w:val="21"/>
        </w:rPr>
        <w:t>银行汇款</w:t>
      </w:r>
      <w:r>
        <w:rPr>
          <w:rFonts w:hint="eastAsia" w:ascii="宋体" w:hAnsi="宋体" w:cs="宋体"/>
          <w:bCs/>
          <w:snapToGrid w:val="0"/>
          <w:color w:val="000000"/>
          <w:kern w:val="0"/>
          <w:sz w:val="21"/>
          <w:szCs w:val="21"/>
          <w:lang w:val="en-US" w:eastAsia="zh-CN"/>
        </w:rPr>
        <w:t>√</w:t>
      </w:r>
      <w:r>
        <w:rPr>
          <w:rFonts w:hint="eastAsia" w:ascii="宋体" w:hAnsi="宋体" w:cs="宋体"/>
          <w:bCs/>
          <w:snapToGrid w:val="0"/>
          <w:color w:val="000000"/>
          <w:kern w:val="0"/>
          <w:sz w:val="21"/>
          <w:szCs w:val="21"/>
        </w:rPr>
        <w:t>网银</w:t>
      </w:r>
    </w:p>
    <w:p w14:paraId="46C46523">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第二类：</w:t>
      </w:r>
      <w:r>
        <w:rPr>
          <w:rFonts w:hint="eastAsia" w:ascii="宋体" w:hAnsi="宋体" w:cs="宋体"/>
          <w:bCs/>
          <w:snapToGrid w:val="0"/>
          <w:color w:val="000000"/>
          <w:kern w:val="0"/>
          <w:sz w:val="21"/>
          <w:szCs w:val="21"/>
          <w:lang w:val="en-US" w:eastAsia="zh-CN"/>
        </w:rPr>
        <w:t>√</w:t>
      </w:r>
      <w:r>
        <w:rPr>
          <w:rFonts w:hint="eastAsia" w:ascii="宋体" w:hAnsi="宋体" w:cs="宋体"/>
          <w:bCs/>
          <w:snapToGrid w:val="0"/>
          <w:color w:val="000000"/>
          <w:kern w:val="0"/>
          <w:sz w:val="21"/>
          <w:szCs w:val="21"/>
        </w:rPr>
        <w:t>纸质银行保函</w:t>
      </w:r>
    </w:p>
    <w:p w14:paraId="5B134DFA">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第三类：</w:t>
      </w:r>
      <w:r>
        <w:rPr>
          <w:rFonts w:hint="eastAsia" w:ascii="宋体" w:hAnsi="宋体" w:cs="宋体"/>
          <w:bCs/>
          <w:snapToGrid w:val="0"/>
          <w:color w:val="000000"/>
          <w:kern w:val="0"/>
          <w:sz w:val="21"/>
          <w:szCs w:val="21"/>
          <w:lang w:val="en-US" w:eastAsia="zh-CN"/>
        </w:rPr>
        <w:t>√</w:t>
      </w:r>
      <w:r>
        <w:rPr>
          <w:rFonts w:hint="eastAsia" w:ascii="宋体" w:hAnsi="宋体" w:cs="宋体"/>
          <w:bCs/>
          <w:snapToGrid w:val="0"/>
          <w:color w:val="000000"/>
          <w:kern w:val="0"/>
          <w:sz w:val="21"/>
          <w:szCs w:val="21"/>
        </w:rPr>
        <w:t>电子保函（银行、保险、担保等）</w:t>
      </w:r>
    </w:p>
    <w:p w14:paraId="76888894">
      <w:pPr>
        <w:adjustRightInd w:val="0"/>
        <w:snapToGrid w:val="0"/>
        <w:spacing w:line="360" w:lineRule="auto"/>
        <w:ind w:firstLine="437"/>
        <w:rPr>
          <w:rFonts w:hint="eastAsia" w:ascii="宋体" w:hAnsi="宋体" w:cs="宋体"/>
          <w:bCs/>
          <w:snapToGrid w:val="0"/>
          <w:color w:val="000000"/>
          <w:kern w:val="0"/>
          <w:sz w:val="21"/>
          <w:szCs w:val="21"/>
        </w:rPr>
      </w:pPr>
      <w:r>
        <w:rPr>
          <w:rFonts w:hint="eastAsia" w:cs="宋体"/>
          <w:bCs/>
          <w:snapToGrid w:val="0"/>
          <w:color w:val="000000"/>
          <w:kern w:val="0"/>
          <w:sz w:val="21"/>
          <w:szCs w:val="21"/>
          <w:lang w:val="en-US" w:eastAsia="zh-CN"/>
        </w:rPr>
        <w:t xml:space="preserve">10.4 </w:t>
      </w:r>
      <w:r>
        <w:rPr>
          <w:rFonts w:hint="eastAsia" w:ascii="宋体" w:hAnsi="宋体" w:cs="宋体"/>
          <w:bCs/>
          <w:snapToGrid w:val="0"/>
          <w:color w:val="000000"/>
          <w:kern w:val="0"/>
          <w:sz w:val="21"/>
          <w:szCs w:val="21"/>
        </w:rPr>
        <w:t>投标保证金提交方式：</w:t>
      </w:r>
    </w:p>
    <w:p w14:paraId="468AA446">
      <w:pPr>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（1）如采用第一类形式：</w:t>
      </w:r>
    </w:p>
    <w:p w14:paraId="22AB40C7">
      <w:pPr>
        <w:keepNext w:val="0"/>
        <w:keepLines w:val="0"/>
        <w:pageBreakBefore w:val="0"/>
        <w:widowControl w:val="0"/>
        <w:kinsoku/>
        <w:wordWrap/>
        <w:overflowPunct/>
        <w:topLinePunct w:val="0"/>
        <w:autoSpaceDE w:val="0"/>
        <w:autoSpaceDN w:val="0"/>
        <w:bidi w:val="0"/>
        <w:adjustRightInd w:val="0"/>
        <w:snapToGrid w:val="0"/>
        <w:spacing w:line="360" w:lineRule="auto"/>
        <w:ind w:firstLine="437"/>
        <w:textAlignment w:val="auto"/>
        <w:rPr>
          <w:rFonts w:hint="eastAsia" w:ascii="宋体" w:hAnsi="宋体" w:eastAsia="宋体" w:cs="宋体"/>
          <w:bCs/>
          <w:snapToGrid w:val="0"/>
          <w:color w:val="000000"/>
          <w:kern w:val="0"/>
          <w:sz w:val="21"/>
          <w:szCs w:val="21"/>
        </w:rPr>
      </w:pPr>
      <w:r>
        <w:rPr>
          <w:rFonts w:hint="eastAsia" w:ascii="宋体" w:hAnsi="宋体" w:eastAsia="宋体" w:cs="宋体"/>
          <w:bCs/>
          <w:snapToGrid w:val="0"/>
          <w:color w:val="000000"/>
          <w:kern w:val="0"/>
          <w:sz w:val="21"/>
          <w:szCs w:val="21"/>
        </w:rPr>
        <w:t>①投标保证金专用账户的户名、账号、开户行：</w:t>
      </w:r>
    </w:p>
    <w:p w14:paraId="40C68D41">
      <w:pPr>
        <w:keepNext w:val="0"/>
        <w:keepLines w:val="0"/>
        <w:pageBreakBefore w:val="0"/>
        <w:widowControl w:val="0"/>
        <w:kinsoku/>
        <w:wordWrap/>
        <w:overflowPunct/>
        <w:topLinePunct w:val="0"/>
        <w:autoSpaceDE w:val="0"/>
        <w:autoSpaceDN w:val="0"/>
        <w:bidi w:val="0"/>
        <w:adjustRightInd w:val="0"/>
        <w:snapToGrid w:val="0"/>
        <w:spacing w:line="360" w:lineRule="auto"/>
        <w:ind w:firstLine="437"/>
        <w:textAlignment w:val="auto"/>
        <w:rPr>
          <w:rFonts w:hint="eastAsia" w:ascii="宋体" w:hAnsi="宋体" w:eastAsia="宋体" w:cs="宋体"/>
          <w:bCs/>
          <w:snapToGrid w:val="0"/>
          <w:color w:val="000000"/>
          <w:kern w:val="0"/>
          <w:sz w:val="21"/>
          <w:szCs w:val="21"/>
        </w:rPr>
      </w:pPr>
    </w:p>
    <w:p w14:paraId="20442B67">
      <w:pPr>
        <w:keepNext w:val="0"/>
        <w:keepLines w:val="0"/>
        <w:pageBreakBefore w:val="0"/>
        <w:widowControl w:val="0"/>
        <w:kinsoku/>
        <w:wordWrap/>
        <w:overflowPunct/>
        <w:topLinePunct w:val="0"/>
        <w:autoSpaceDE w:val="0"/>
        <w:autoSpaceDN w:val="0"/>
        <w:bidi w:val="0"/>
        <w:adjustRightInd w:val="0"/>
        <w:snapToGrid w:val="0"/>
        <w:spacing w:line="360" w:lineRule="auto"/>
        <w:ind w:firstLine="437"/>
        <w:textAlignment w:val="auto"/>
        <w:rPr>
          <w:rFonts w:hint="eastAsia" w:ascii="宋体" w:hAnsi="宋体" w:eastAsia="宋体" w:cs="宋体"/>
          <w:bCs/>
          <w:snapToGrid w:val="0"/>
          <w:color w:val="000000"/>
          <w:kern w:val="0"/>
          <w:sz w:val="21"/>
          <w:szCs w:val="21"/>
        </w:rPr>
      </w:pPr>
    </w:p>
    <w:p w14:paraId="45BA74B9">
      <w:pPr>
        <w:keepNext w:val="0"/>
        <w:keepLines w:val="0"/>
        <w:pageBreakBefore w:val="0"/>
        <w:widowControl w:val="0"/>
        <w:kinsoku/>
        <w:wordWrap/>
        <w:overflowPunct/>
        <w:topLinePunct w:val="0"/>
        <w:autoSpaceDE w:val="0"/>
        <w:autoSpaceDN w:val="0"/>
        <w:bidi w:val="0"/>
        <w:adjustRightInd w:val="0"/>
        <w:snapToGrid w:val="0"/>
        <w:spacing w:line="360" w:lineRule="auto"/>
        <w:ind w:firstLine="437"/>
        <w:textAlignment w:val="auto"/>
        <w:rPr>
          <w:rFonts w:hint="eastAsia" w:ascii="宋体" w:hAnsi="宋体" w:cs="宋体"/>
          <w:bCs/>
          <w:snapToGrid w:val="0"/>
          <w:color w:val="000000"/>
          <w:kern w:val="0"/>
          <w:sz w:val="21"/>
          <w:szCs w:val="21"/>
        </w:rPr>
      </w:pPr>
      <w:r>
        <w:rPr>
          <w:rFonts w:hint="eastAsia" w:ascii="宋体" w:hAnsi="宋体" w:eastAsia="宋体" w:cs="宋体"/>
          <w:bCs/>
          <w:snapToGrid w:val="0"/>
          <w:color w:val="000000"/>
          <w:kern w:val="0"/>
          <w:sz w:val="21"/>
          <w:szCs w:val="21"/>
        </w:rPr>
        <w:t>②投标保证金必须从投标人的基本账户足额转入招标公告指定账户。投标保证金必须在投标截</w:t>
      </w:r>
      <w:r>
        <w:rPr>
          <w:rFonts w:hint="eastAsia" w:ascii="宋体" w:hAnsi="宋体" w:cs="宋体"/>
          <w:bCs/>
          <w:snapToGrid w:val="0"/>
          <w:color w:val="000000"/>
          <w:kern w:val="0"/>
          <w:sz w:val="21"/>
          <w:szCs w:val="21"/>
        </w:rPr>
        <w:t>止时间前到达指定账户，由于投标人迟汇、错汇、误汇等未按规定提交投标保证金而引起的风险由投标人自负。</w:t>
      </w:r>
    </w:p>
    <w:p w14:paraId="1EBEBD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20" w:firstLineChars="200"/>
        <w:rPr>
          <w:rFonts w:hint="eastAsia" w:ascii="宋体" w:hAnsi="宋体" w:cs="宋体"/>
          <w:bCs/>
          <w:snapToGrid w:val="0"/>
          <w:color w:val="000000"/>
          <w:kern w:val="0"/>
          <w:sz w:val="21"/>
          <w:szCs w:val="21"/>
        </w:rPr>
      </w:pPr>
      <w:r>
        <w:rPr>
          <w:rFonts w:hint="eastAsia" w:cs="宋体"/>
          <w:bCs/>
          <w:snapToGrid w:val="0"/>
          <w:color w:val="000000"/>
          <w:kern w:val="0"/>
          <w:sz w:val="21"/>
          <w:szCs w:val="21"/>
          <w:lang w:eastAsia="zh-CN"/>
        </w:rPr>
        <w:t>（</w:t>
      </w:r>
      <w:r>
        <w:rPr>
          <w:rFonts w:hint="eastAsia" w:cs="宋体"/>
          <w:bCs/>
          <w:snapToGrid w:val="0"/>
          <w:color w:val="000000"/>
          <w:kern w:val="0"/>
          <w:sz w:val="21"/>
          <w:szCs w:val="21"/>
          <w:lang w:val="en-US" w:eastAsia="zh-CN"/>
        </w:rPr>
        <w:t>2</w:t>
      </w:r>
      <w:r>
        <w:rPr>
          <w:rFonts w:hint="eastAsia" w:cs="宋体"/>
          <w:bCs/>
          <w:snapToGrid w:val="0"/>
          <w:color w:val="000000"/>
          <w:kern w:val="0"/>
          <w:sz w:val="21"/>
          <w:szCs w:val="21"/>
          <w:lang w:eastAsia="zh-CN"/>
        </w:rPr>
        <w:t>）</w:t>
      </w:r>
      <w:r>
        <w:rPr>
          <w:rFonts w:hint="eastAsia" w:ascii="宋体" w:hAnsi="宋体" w:cs="宋体"/>
          <w:bCs/>
          <w:snapToGrid w:val="0"/>
          <w:color w:val="000000"/>
          <w:kern w:val="0"/>
          <w:sz w:val="21"/>
          <w:szCs w:val="21"/>
        </w:rPr>
        <w:t>如采用第二类形式：①采用纸质银行保函的，应为投标人基本账户开户行出具的见索即付无条件银行保函；②投标人在投标文件中必须提供【基本账户开户许可证】复印件（或影印件）（或投标企业基本账户开户银行的基本存款账户信息），并按格式承诺真实有效。同时将纸质银行保函复印件(或影印件)提供在投标文件中。③投标人在投标文件中必须提供明确有效的查询途径（网址链接及查询方式），否则该纸质银行保函无效。④中标候选人须在中标候选人公示期满后3个工作日内，将其开具至本项目的纸质银行保函原件提交招标人，且原件须与投标文件中提供的复印件（或影印件）一致，如存在未按规定提交或提交内容不一致的，招标人有权取消其中标候选人资格；发现弄虚作假的，招标人将报监管部门依法处理。</w:t>
      </w:r>
    </w:p>
    <w:p w14:paraId="5B71A34F">
      <w:pPr>
        <w:keepNext w:val="0"/>
        <w:keepLines w:val="0"/>
        <w:pageBreakBefore w:val="0"/>
        <w:widowControl w:val="0"/>
        <w:kinsoku/>
        <w:wordWrap/>
        <w:overflowPunct/>
        <w:topLinePunct w:val="0"/>
        <w:autoSpaceDE/>
        <w:autoSpaceDN/>
        <w:bidi w:val="0"/>
        <w:adjustRightInd w:val="0"/>
        <w:snapToGrid w:val="0"/>
        <w:spacing w:line="360" w:lineRule="auto"/>
        <w:ind w:firstLine="437"/>
        <w:rPr>
          <w:rFonts w:hint="eastAsia" w:ascii="宋体" w:hAnsi="宋体" w:cs="宋体"/>
          <w:bCs/>
          <w:snapToGrid w:val="0"/>
          <w:color w:val="000000"/>
          <w:kern w:val="0"/>
          <w:sz w:val="21"/>
          <w:szCs w:val="21"/>
        </w:rPr>
      </w:pPr>
      <w:r>
        <w:rPr>
          <w:rFonts w:hint="eastAsia" w:ascii="宋体" w:hAnsi="宋体" w:cs="宋体"/>
          <w:bCs/>
          <w:snapToGrid w:val="0"/>
          <w:color w:val="000000"/>
          <w:kern w:val="0"/>
          <w:sz w:val="21"/>
          <w:szCs w:val="21"/>
        </w:rPr>
        <w:t>（3）如采用第三类形式：投标人须在投标文件递交截止时间前提供与淮北市公共资源交易中心交易系统对接的电子保函，否则视为投标保证金未按规定要求缴纳，由评标委员会否决其投标。</w:t>
      </w:r>
    </w:p>
    <w:p w14:paraId="188A32F3">
      <w:pPr>
        <w:keepNext w:val="0"/>
        <w:keepLines w:val="0"/>
        <w:pageBreakBefore w:val="0"/>
        <w:widowControl w:val="0"/>
        <w:kinsoku/>
        <w:wordWrap/>
        <w:overflowPunct/>
        <w:topLinePunct w:val="0"/>
        <w:autoSpaceDE/>
        <w:autoSpaceDN/>
        <w:bidi w:val="0"/>
        <w:adjustRightInd w:val="0"/>
        <w:snapToGrid w:val="0"/>
        <w:spacing w:line="360" w:lineRule="auto"/>
        <w:ind w:firstLine="437"/>
        <w:rPr>
          <w:rFonts w:hint="eastAsia" w:ascii="宋体" w:hAnsi="宋体" w:eastAsia="宋体" w:cs="宋体"/>
          <w:b/>
          <w:bCs w:val="0"/>
          <w:snapToGrid w:val="0"/>
          <w:color w:val="000000"/>
          <w:kern w:val="0"/>
          <w:sz w:val="21"/>
          <w:szCs w:val="21"/>
          <w:lang w:val="en-US" w:eastAsia="zh-CN"/>
        </w:rPr>
        <w:sectPr>
          <w:headerReference r:id="rId11" w:type="default"/>
          <w:footerReference r:id="rId13" w:type="default"/>
          <w:headerReference r:id="rId12" w:type="even"/>
          <w:footerReference r:id="rId14" w:type="even"/>
          <w:pgSz w:w="11910" w:h="16850"/>
          <w:pgMar w:top="1480" w:right="1200" w:bottom="1080" w:left="1220" w:header="883" w:footer="884" w:gutter="0"/>
          <w:pgNumType w:fmt="decimal"/>
          <w:cols w:space="720" w:num="1"/>
        </w:sectPr>
      </w:pPr>
      <w:r>
        <w:rPr>
          <w:rFonts w:hint="eastAsia" w:ascii="宋体" w:hAnsi="宋体" w:cs="宋体"/>
          <w:b/>
          <w:bCs w:val="0"/>
          <w:snapToGrid w:val="0"/>
          <w:color w:val="000000"/>
          <w:kern w:val="0"/>
          <w:sz w:val="21"/>
          <w:szCs w:val="21"/>
        </w:rPr>
        <w:t>注：采用第二类或第三类递交投标保证金的保函、保险、担保等有效期不得少于投标有效期</w:t>
      </w:r>
      <w:r>
        <w:rPr>
          <w:rFonts w:hint="eastAsia" w:cs="宋体"/>
          <w:b/>
          <w:bCs w:val="0"/>
          <w:snapToGrid w:val="0"/>
          <w:color w:val="000000"/>
          <w:kern w:val="0"/>
          <w:sz w:val="21"/>
          <w:szCs w:val="21"/>
          <w:lang w:eastAsia="zh-CN"/>
        </w:rPr>
        <w:t>。</w:t>
      </w:r>
    </w:p>
    <w:p w14:paraId="70CFBF52">
      <w:pPr>
        <w:pStyle w:val="12"/>
        <w:rPr>
          <w:sz w:val="20"/>
        </w:rPr>
      </w:pPr>
      <w:bookmarkStart w:id="32" w:name="_bookmark17"/>
      <w:bookmarkEnd w:id="32"/>
      <w:bookmarkStart w:id="33" w:name="_bookmark8"/>
      <w:bookmarkEnd w:id="33"/>
    </w:p>
    <w:p w14:paraId="6ED41EF1">
      <w:pPr>
        <w:pStyle w:val="12"/>
        <w:rPr>
          <w:sz w:val="20"/>
        </w:rPr>
      </w:pPr>
    </w:p>
    <w:p w14:paraId="775320D7">
      <w:pPr>
        <w:pStyle w:val="12"/>
        <w:rPr>
          <w:sz w:val="20"/>
        </w:rPr>
      </w:pPr>
    </w:p>
    <w:p w14:paraId="0664E062">
      <w:pPr>
        <w:pStyle w:val="12"/>
        <w:rPr>
          <w:sz w:val="20"/>
        </w:rPr>
      </w:pPr>
    </w:p>
    <w:p w14:paraId="0DE66C5C">
      <w:pPr>
        <w:pStyle w:val="12"/>
        <w:rPr>
          <w:sz w:val="20"/>
        </w:rPr>
      </w:pPr>
    </w:p>
    <w:p w14:paraId="27E443E9">
      <w:pPr>
        <w:pStyle w:val="12"/>
        <w:rPr>
          <w:sz w:val="20"/>
        </w:rPr>
      </w:pPr>
    </w:p>
    <w:p w14:paraId="68505A43">
      <w:pPr>
        <w:pStyle w:val="12"/>
        <w:rPr>
          <w:sz w:val="20"/>
        </w:rPr>
      </w:pPr>
    </w:p>
    <w:p w14:paraId="5A65D910">
      <w:pPr>
        <w:pStyle w:val="12"/>
        <w:rPr>
          <w:sz w:val="20"/>
        </w:rPr>
      </w:pPr>
    </w:p>
    <w:p w14:paraId="44D21AE9">
      <w:pPr>
        <w:pStyle w:val="12"/>
        <w:rPr>
          <w:sz w:val="20"/>
        </w:rPr>
      </w:pPr>
    </w:p>
    <w:p w14:paraId="11C81BAA">
      <w:pPr>
        <w:pStyle w:val="12"/>
        <w:rPr>
          <w:sz w:val="20"/>
        </w:rPr>
      </w:pPr>
    </w:p>
    <w:p w14:paraId="40F67E8B">
      <w:pPr>
        <w:pStyle w:val="12"/>
        <w:rPr>
          <w:sz w:val="20"/>
        </w:rPr>
      </w:pPr>
    </w:p>
    <w:p w14:paraId="57D5D9E9">
      <w:pPr>
        <w:pStyle w:val="12"/>
        <w:rPr>
          <w:sz w:val="20"/>
        </w:rPr>
      </w:pPr>
    </w:p>
    <w:p w14:paraId="422D61FE">
      <w:pPr>
        <w:pStyle w:val="12"/>
        <w:rPr>
          <w:sz w:val="20"/>
        </w:rPr>
      </w:pPr>
    </w:p>
    <w:p w14:paraId="3AD99744">
      <w:pPr>
        <w:pStyle w:val="12"/>
        <w:rPr>
          <w:sz w:val="20"/>
        </w:rPr>
      </w:pPr>
    </w:p>
    <w:p w14:paraId="07F3B54D">
      <w:pPr>
        <w:pStyle w:val="12"/>
        <w:rPr>
          <w:sz w:val="20"/>
        </w:rPr>
      </w:pPr>
    </w:p>
    <w:p w14:paraId="5D65EC38">
      <w:pPr>
        <w:pStyle w:val="12"/>
        <w:rPr>
          <w:sz w:val="20"/>
        </w:rPr>
      </w:pPr>
    </w:p>
    <w:p w14:paraId="4D196270">
      <w:pPr>
        <w:pStyle w:val="12"/>
        <w:rPr>
          <w:sz w:val="20"/>
        </w:rPr>
      </w:pPr>
    </w:p>
    <w:p w14:paraId="61F632AB">
      <w:pPr>
        <w:pStyle w:val="12"/>
        <w:rPr>
          <w:sz w:val="20"/>
        </w:rPr>
      </w:pPr>
    </w:p>
    <w:p w14:paraId="16B1F430">
      <w:pPr>
        <w:pStyle w:val="3"/>
        <w:bidi w:val="0"/>
      </w:pPr>
      <w:bookmarkStart w:id="34" w:name="_Toc24963"/>
      <w:r>
        <w:t>第二章</w:t>
      </w:r>
      <w:r>
        <w:tab/>
      </w:r>
      <w:r>
        <w:t>投标人须知</w:t>
      </w:r>
      <w:bookmarkEnd w:id="34"/>
    </w:p>
    <w:p w14:paraId="6E0EFE22">
      <w:pPr>
        <w:pStyle w:val="3"/>
        <w:bidi w:val="0"/>
        <w:outlineLvl w:val="9"/>
        <w:sectPr>
          <w:headerReference r:id="rId15" w:type="default"/>
          <w:footerReference r:id="rId17" w:type="default"/>
          <w:headerReference r:id="rId16" w:type="even"/>
          <w:pgSz w:w="11910" w:h="16850"/>
          <w:pgMar w:top="1600" w:right="1200" w:bottom="280" w:left="1220" w:header="0" w:footer="0" w:gutter="0"/>
          <w:pgNumType w:fmt="decimal"/>
          <w:cols w:space="720" w:num="1"/>
        </w:sectPr>
      </w:pPr>
    </w:p>
    <w:p w14:paraId="77B1D1A0">
      <w:pPr>
        <w:pStyle w:val="4"/>
        <w:bidi w:val="0"/>
      </w:pPr>
      <w:bookmarkStart w:id="35" w:name="_bookmark19"/>
      <w:bookmarkEnd w:id="35"/>
      <w:r>
        <w:t>第二章</w:t>
      </w:r>
      <w:r>
        <w:tab/>
      </w:r>
      <w:r>
        <w:rPr>
          <w:rFonts w:hint="eastAsia"/>
          <w:lang w:val="en-US" w:eastAsia="zh-CN"/>
        </w:rPr>
        <w:t xml:space="preserve"> </w:t>
      </w:r>
      <w:r>
        <w:t>投标人须知</w:t>
      </w:r>
    </w:p>
    <w:p w14:paraId="7F229BE4">
      <w:pPr>
        <w:pStyle w:val="5"/>
        <w:bidi w:val="0"/>
        <w:spacing w:line="360" w:lineRule="auto"/>
        <w:rPr>
          <w:rFonts w:hint="eastAsia" w:ascii="黑体" w:hAnsi="黑体" w:eastAsia="黑体" w:cs="黑体"/>
          <w:sz w:val="28"/>
          <w:szCs w:val="28"/>
        </w:rPr>
      </w:pPr>
      <w:bookmarkStart w:id="36" w:name="_bookmark20"/>
      <w:bookmarkEnd w:id="36"/>
      <w:r>
        <w:rPr>
          <w:rFonts w:hint="eastAsia" w:ascii="黑体" w:hAnsi="黑体" w:eastAsia="黑体" w:cs="黑体"/>
          <w:sz w:val="28"/>
          <w:szCs w:val="28"/>
        </w:rPr>
        <w:t>投标人须知前附表</w:t>
      </w:r>
    </w:p>
    <w:tbl>
      <w:tblPr>
        <w:tblStyle w:val="25"/>
        <w:tblW w:w="98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0"/>
        <w:gridCol w:w="8"/>
        <w:gridCol w:w="2340"/>
        <w:gridCol w:w="1"/>
        <w:gridCol w:w="6344"/>
      </w:tblGrid>
      <w:tr w14:paraId="1944A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11E3B486">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条款号</w:t>
            </w:r>
          </w:p>
        </w:tc>
        <w:tc>
          <w:tcPr>
            <w:tcW w:w="2340" w:type="dxa"/>
            <w:vAlign w:val="center"/>
          </w:tcPr>
          <w:p w14:paraId="51EB063C">
            <w:pPr>
              <w:pStyle w:val="42"/>
              <w:keepNext w:val="0"/>
              <w:keepLines w:val="0"/>
              <w:pageBreakBefore w:val="0"/>
              <w:tabs>
                <w:tab w:val="left" w:pos="423"/>
                <w:tab w:val="left" w:pos="844"/>
                <w:tab w:val="left" w:pos="1266"/>
              </w:tabs>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条</w:t>
            </w:r>
            <w:r>
              <w:rPr>
                <w:rFonts w:hint="eastAsia" w:ascii="宋体" w:hAnsi="宋体" w:eastAsia="宋体" w:cs="宋体"/>
                <w:b/>
                <w:sz w:val="21"/>
                <w:szCs w:val="21"/>
              </w:rPr>
              <w:tab/>
            </w:r>
            <w:r>
              <w:rPr>
                <w:rFonts w:hint="eastAsia" w:ascii="宋体" w:hAnsi="宋体" w:eastAsia="宋体" w:cs="宋体"/>
                <w:b/>
                <w:sz w:val="21"/>
                <w:szCs w:val="21"/>
              </w:rPr>
              <w:t>款</w:t>
            </w:r>
            <w:r>
              <w:rPr>
                <w:rFonts w:hint="eastAsia" w:ascii="宋体" w:hAnsi="宋体" w:eastAsia="宋体" w:cs="宋体"/>
                <w:b/>
                <w:sz w:val="21"/>
                <w:szCs w:val="21"/>
              </w:rPr>
              <w:tab/>
            </w:r>
            <w:r>
              <w:rPr>
                <w:rFonts w:hint="eastAsia" w:ascii="宋体" w:hAnsi="宋体" w:eastAsia="宋体" w:cs="宋体"/>
                <w:b/>
                <w:sz w:val="21"/>
                <w:szCs w:val="21"/>
              </w:rPr>
              <w:t>名</w:t>
            </w:r>
            <w:r>
              <w:rPr>
                <w:rFonts w:hint="eastAsia" w:ascii="宋体" w:hAnsi="宋体" w:eastAsia="宋体" w:cs="宋体"/>
                <w:b/>
                <w:sz w:val="21"/>
                <w:szCs w:val="21"/>
              </w:rPr>
              <w:tab/>
            </w:r>
            <w:r>
              <w:rPr>
                <w:rFonts w:hint="eastAsia" w:ascii="宋体" w:hAnsi="宋体" w:eastAsia="宋体" w:cs="宋体"/>
                <w:b/>
                <w:sz w:val="21"/>
                <w:szCs w:val="21"/>
              </w:rPr>
              <w:t>称</w:t>
            </w:r>
          </w:p>
        </w:tc>
        <w:tc>
          <w:tcPr>
            <w:tcW w:w="6345" w:type="dxa"/>
            <w:gridSpan w:val="2"/>
            <w:vAlign w:val="center"/>
          </w:tcPr>
          <w:p w14:paraId="054F07CD">
            <w:pPr>
              <w:pStyle w:val="42"/>
              <w:keepNext w:val="0"/>
              <w:keepLines w:val="0"/>
              <w:pageBreakBefore w:val="0"/>
              <w:tabs>
                <w:tab w:val="left" w:pos="427"/>
                <w:tab w:val="left" w:pos="847"/>
                <w:tab w:val="left" w:pos="1270"/>
              </w:tabs>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编</w:t>
            </w:r>
            <w:r>
              <w:rPr>
                <w:rFonts w:hint="eastAsia" w:ascii="宋体" w:hAnsi="宋体" w:eastAsia="宋体" w:cs="宋体"/>
                <w:b/>
                <w:sz w:val="21"/>
                <w:szCs w:val="21"/>
              </w:rPr>
              <w:tab/>
            </w:r>
            <w:r>
              <w:rPr>
                <w:rFonts w:hint="eastAsia" w:ascii="宋体" w:hAnsi="宋体" w:eastAsia="宋体" w:cs="宋体"/>
                <w:b/>
                <w:sz w:val="21"/>
                <w:szCs w:val="21"/>
              </w:rPr>
              <w:t>列</w:t>
            </w:r>
            <w:r>
              <w:rPr>
                <w:rFonts w:hint="eastAsia" w:ascii="宋体" w:hAnsi="宋体" w:eastAsia="宋体" w:cs="宋体"/>
                <w:b/>
                <w:sz w:val="21"/>
                <w:szCs w:val="21"/>
              </w:rPr>
              <w:tab/>
            </w:r>
            <w:r>
              <w:rPr>
                <w:rFonts w:hint="eastAsia" w:ascii="宋体" w:hAnsi="宋体" w:eastAsia="宋体" w:cs="宋体"/>
                <w:b/>
                <w:sz w:val="21"/>
                <w:szCs w:val="21"/>
              </w:rPr>
              <w:t>内</w:t>
            </w:r>
            <w:r>
              <w:rPr>
                <w:rFonts w:hint="eastAsia" w:ascii="宋体" w:hAnsi="宋体" w:eastAsia="宋体" w:cs="宋体"/>
                <w:b/>
                <w:sz w:val="21"/>
                <w:szCs w:val="21"/>
              </w:rPr>
              <w:tab/>
            </w:r>
            <w:r>
              <w:rPr>
                <w:rFonts w:hint="eastAsia" w:ascii="宋体" w:hAnsi="宋体" w:eastAsia="宋体" w:cs="宋体"/>
                <w:b/>
                <w:sz w:val="21"/>
                <w:szCs w:val="21"/>
              </w:rPr>
              <w:t>容</w:t>
            </w:r>
          </w:p>
        </w:tc>
      </w:tr>
      <w:tr w14:paraId="06930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6A217BB9">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1.1.2</w:t>
            </w:r>
          </w:p>
        </w:tc>
        <w:tc>
          <w:tcPr>
            <w:tcW w:w="2340" w:type="dxa"/>
            <w:vAlign w:val="center"/>
          </w:tcPr>
          <w:p w14:paraId="18DF877F">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招标人</w:t>
            </w:r>
          </w:p>
        </w:tc>
        <w:tc>
          <w:tcPr>
            <w:tcW w:w="6345" w:type="dxa"/>
            <w:gridSpan w:val="2"/>
            <w:vAlign w:val="center"/>
          </w:tcPr>
          <w:p w14:paraId="4E14EC10">
            <w:pPr>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名 称 ：</w:t>
            </w:r>
            <w:r>
              <w:rPr>
                <w:rFonts w:hint="eastAsia" w:ascii="宋体" w:hAnsi="宋体" w:eastAsia="宋体" w:cs="宋体"/>
                <w:color w:val="000000"/>
                <w:kern w:val="0"/>
                <w:sz w:val="21"/>
                <w:szCs w:val="21"/>
                <w:lang w:val="en-US" w:eastAsia="zh-CN"/>
              </w:rPr>
              <w:t>淮北市杜集区住房和城乡建设局</w:t>
            </w:r>
          </w:p>
          <w:p w14:paraId="6DF0274E">
            <w:pPr>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地 址 ：</w:t>
            </w:r>
            <w:r>
              <w:rPr>
                <w:rFonts w:hint="eastAsia" w:ascii="宋体" w:hAnsi="宋体" w:eastAsia="宋体" w:cs="宋体"/>
                <w:sz w:val="21"/>
                <w:szCs w:val="21"/>
                <w:lang w:eastAsia="zh-CN"/>
              </w:rPr>
              <w:t>淮北市杜集区开渠广场西侧2号楼2楼</w:t>
            </w:r>
          </w:p>
          <w:p w14:paraId="791B7D8C">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联系人：吴怀平</w:t>
            </w:r>
          </w:p>
          <w:p w14:paraId="7460661D">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话：0561-3090886</w:t>
            </w:r>
          </w:p>
        </w:tc>
      </w:tr>
      <w:tr w14:paraId="1C676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4EB08D52">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1.1.3</w:t>
            </w:r>
          </w:p>
        </w:tc>
        <w:tc>
          <w:tcPr>
            <w:tcW w:w="2340" w:type="dxa"/>
            <w:vAlign w:val="center"/>
          </w:tcPr>
          <w:p w14:paraId="73E8BCB5">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招标代理机构</w:t>
            </w:r>
          </w:p>
        </w:tc>
        <w:tc>
          <w:tcPr>
            <w:tcW w:w="6345" w:type="dxa"/>
            <w:gridSpan w:val="2"/>
            <w:vAlign w:val="center"/>
          </w:tcPr>
          <w:p w14:paraId="2297E73A">
            <w:pPr>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firstLine="0" w:firstLineChars="0"/>
              <w:jc w:val="both"/>
              <w:textAlignment w:val="auto"/>
              <w:rPr>
                <w:rFonts w:hint="eastAsia" w:cs="宋体"/>
                <w:color w:val="000000"/>
                <w:kern w:val="0"/>
                <w:sz w:val="21"/>
                <w:szCs w:val="21"/>
                <w:lang w:val="en-US" w:eastAsia="zh-CN"/>
              </w:rPr>
            </w:pPr>
            <w:r>
              <w:rPr>
                <w:rFonts w:hint="eastAsia" w:ascii="宋体" w:hAnsi="宋体" w:eastAsia="宋体" w:cs="宋体"/>
                <w:color w:val="000000"/>
                <w:kern w:val="0"/>
                <w:sz w:val="21"/>
                <w:szCs w:val="21"/>
              </w:rPr>
              <w:t>招标代理机构：</w:t>
            </w:r>
            <w:r>
              <w:rPr>
                <w:rFonts w:hint="eastAsia" w:cs="宋体"/>
                <w:color w:val="000000"/>
                <w:kern w:val="0"/>
                <w:sz w:val="21"/>
                <w:szCs w:val="21"/>
                <w:lang w:val="en-US" w:eastAsia="zh-CN"/>
              </w:rPr>
              <w:t>中旭腾飞工程管理有限公司</w:t>
            </w:r>
          </w:p>
          <w:p w14:paraId="74FA2681">
            <w:pPr>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firstLine="0" w:firstLineChars="0"/>
              <w:jc w:val="both"/>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地</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址：淮北市富力相城府</w:t>
            </w:r>
          </w:p>
          <w:p w14:paraId="7403CEF0">
            <w:pPr>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firstLine="0" w:firstLineChars="0"/>
              <w:jc w:val="both"/>
              <w:textAlignment w:val="auto"/>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联系人：</w:t>
            </w:r>
            <w:r>
              <w:rPr>
                <w:rFonts w:hint="eastAsia" w:cs="宋体"/>
                <w:color w:val="000000"/>
                <w:kern w:val="0"/>
                <w:sz w:val="21"/>
                <w:szCs w:val="21"/>
                <w:lang w:val="en-US" w:eastAsia="zh-CN"/>
              </w:rPr>
              <w:t>田昌昌</w:t>
            </w:r>
          </w:p>
          <w:p w14:paraId="6D6F9CFA">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电</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话：</w:t>
            </w:r>
            <w:r>
              <w:rPr>
                <w:rFonts w:hint="eastAsia" w:cs="宋体"/>
                <w:color w:val="000000"/>
                <w:kern w:val="0"/>
                <w:sz w:val="21"/>
                <w:szCs w:val="21"/>
                <w:lang w:val="en-US" w:eastAsia="zh-CN"/>
              </w:rPr>
              <w:t>17309618777</w:t>
            </w:r>
            <w:r>
              <w:rPr>
                <w:rFonts w:hint="eastAsia" w:ascii="宋体" w:hAnsi="宋体" w:eastAsia="宋体" w:cs="宋体"/>
                <w:color w:val="000000"/>
                <w:kern w:val="0"/>
                <w:sz w:val="21"/>
                <w:szCs w:val="21"/>
              </w:rPr>
              <w:t> </w:t>
            </w:r>
          </w:p>
        </w:tc>
      </w:tr>
      <w:tr w14:paraId="3CB41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27C1A574">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1.1.4</w:t>
            </w:r>
          </w:p>
        </w:tc>
        <w:tc>
          <w:tcPr>
            <w:tcW w:w="2340" w:type="dxa"/>
            <w:vAlign w:val="center"/>
          </w:tcPr>
          <w:p w14:paraId="56559130">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招标项目名称</w:t>
            </w:r>
          </w:p>
        </w:tc>
        <w:tc>
          <w:tcPr>
            <w:tcW w:w="6345" w:type="dxa"/>
            <w:gridSpan w:val="2"/>
            <w:vAlign w:val="center"/>
          </w:tcPr>
          <w:p w14:paraId="539CBA91">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z w:val="21"/>
                <w:szCs w:val="21"/>
              </w:rPr>
              <w:t>2025年淮北市杜集区农村公路修复性养护工程（北陈路、蔡祖路、二豆路、毛施路）</w:t>
            </w:r>
          </w:p>
        </w:tc>
      </w:tr>
      <w:tr w14:paraId="3D512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16A1E4D3">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1.1.5</w:t>
            </w:r>
          </w:p>
        </w:tc>
        <w:tc>
          <w:tcPr>
            <w:tcW w:w="2340" w:type="dxa"/>
            <w:vAlign w:val="center"/>
          </w:tcPr>
          <w:p w14:paraId="4E75C4D4">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标段建设地点</w:t>
            </w:r>
          </w:p>
        </w:tc>
        <w:tc>
          <w:tcPr>
            <w:tcW w:w="6345" w:type="dxa"/>
            <w:gridSpan w:val="2"/>
            <w:vAlign w:val="center"/>
          </w:tcPr>
          <w:p w14:paraId="3D07ED0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zh-CN"/>
              </w:rPr>
              <w:t>淮北市</w:t>
            </w:r>
            <w:r>
              <w:rPr>
                <w:rFonts w:hint="eastAsia" w:ascii="宋体" w:hAnsi="宋体" w:eastAsia="宋体" w:cs="宋体"/>
                <w:color w:val="000000"/>
                <w:kern w:val="0"/>
                <w:sz w:val="21"/>
                <w:szCs w:val="21"/>
                <w:lang w:val="en-US" w:eastAsia="zh-CN"/>
              </w:rPr>
              <w:t>杜集区</w:t>
            </w:r>
          </w:p>
        </w:tc>
      </w:tr>
      <w:tr w14:paraId="59B84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0DD0B6B9">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1.2.1</w:t>
            </w:r>
          </w:p>
        </w:tc>
        <w:tc>
          <w:tcPr>
            <w:tcW w:w="2340" w:type="dxa"/>
            <w:vAlign w:val="center"/>
          </w:tcPr>
          <w:p w14:paraId="6CF09408">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资金来源及比例</w:t>
            </w:r>
          </w:p>
        </w:tc>
        <w:tc>
          <w:tcPr>
            <w:tcW w:w="6345" w:type="dxa"/>
            <w:gridSpan w:val="2"/>
            <w:vAlign w:val="center"/>
          </w:tcPr>
          <w:p w14:paraId="75112FF4">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资金来源：财政资金 </w:t>
            </w:r>
            <w:r>
              <w:rPr>
                <w:rFonts w:hint="eastAsia" w:ascii="宋体" w:hAnsi="宋体" w:eastAsia="宋体" w:cs="宋体"/>
                <w:color w:val="000000"/>
                <w:kern w:val="0"/>
                <w:sz w:val="21"/>
                <w:szCs w:val="21"/>
                <w:u w:val="none"/>
                <w:lang w:val="en-US" w:eastAsia="zh-CN" w:bidi="ar"/>
              </w:rPr>
              <w:t xml:space="preserve"> 比例：100%</w:t>
            </w:r>
          </w:p>
        </w:tc>
      </w:tr>
      <w:tr w14:paraId="49946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783213F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1.2.2</w:t>
            </w:r>
          </w:p>
        </w:tc>
        <w:tc>
          <w:tcPr>
            <w:tcW w:w="2340" w:type="dxa"/>
            <w:vAlign w:val="center"/>
          </w:tcPr>
          <w:p w14:paraId="42198E20">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资金落实情况</w:t>
            </w:r>
          </w:p>
        </w:tc>
        <w:tc>
          <w:tcPr>
            <w:tcW w:w="6345" w:type="dxa"/>
            <w:gridSpan w:val="2"/>
            <w:vAlign w:val="center"/>
          </w:tcPr>
          <w:p w14:paraId="43C351C2">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已落实资金来源</w:t>
            </w:r>
          </w:p>
        </w:tc>
      </w:tr>
      <w:tr w14:paraId="31CAA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27F6634E">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1.3.1</w:t>
            </w:r>
          </w:p>
        </w:tc>
        <w:tc>
          <w:tcPr>
            <w:tcW w:w="2340" w:type="dxa"/>
            <w:vAlign w:val="center"/>
          </w:tcPr>
          <w:p w14:paraId="6A176DDA">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招标范围</w:t>
            </w:r>
          </w:p>
        </w:tc>
        <w:tc>
          <w:tcPr>
            <w:tcW w:w="6345" w:type="dxa"/>
            <w:gridSpan w:val="2"/>
            <w:vAlign w:val="center"/>
          </w:tcPr>
          <w:p w14:paraId="0153C4A0">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z w:val="21"/>
                <w:szCs w:val="21"/>
                <w:u w:val="none"/>
                <w:lang w:val="en-US" w:eastAsia="zh-CN"/>
              </w:rPr>
              <w:t>施工图设计文件及工程量清单列示的全部内容</w:t>
            </w:r>
          </w:p>
        </w:tc>
      </w:tr>
      <w:tr w14:paraId="0DBDD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647D0DA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p>
          <w:p w14:paraId="12AA63DA">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1.3.2</w:t>
            </w:r>
          </w:p>
        </w:tc>
        <w:tc>
          <w:tcPr>
            <w:tcW w:w="2340" w:type="dxa"/>
            <w:vAlign w:val="center"/>
          </w:tcPr>
          <w:p w14:paraId="26AF32DC">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计划工期</w:t>
            </w:r>
          </w:p>
        </w:tc>
        <w:tc>
          <w:tcPr>
            <w:tcW w:w="6345" w:type="dxa"/>
            <w:gridSpan w:val="2"/>
            <w:vAlign w:val="center"/>
          </w:tcPr>
          <w:p w14:paraId="337C1DB7">
            <w:pPr>
              <w:pStyle w:val="42"/>
              <w:keepNext w:val="0"/>
              <w:keepLines w:val="0"/>
              <w:pageBreakBefore w:val="0"/>
              <w:tabs>
                <w:tab w:val="left" w:pos="1998"/>
              </w:tabs>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z w:val="21"/>
                <w:szCs w:val="21"/>
              </w:rPr>
              <w:t>计划</w:t>
            </w:r>
            <w:r>
              <w:rPr>
                <w:rFonts w:hint="eastAsia" w:ascii="宋体" w:hAnsi="宋体" w:eastAsia="宋体" w:cs="宋体"/>
                <w:spacing w:val="-3"/>
                <w:sz w:val="21"/>
                <w:szCs w:val="21"/>
              </w:rPr>
              <w:t>工</w:t>
            </w:r>
            <w:r>
              <w:rPr>
                <w:rFonts w:hint="eastAsia" w:ascii="宋体" w:hAnsi="宋体" w:eastAsia="宋体" w:cs="宋体"/>
                <w:sz w:val="21"/>
                <w:szCs w:val="21"/>
              </w:rPr>
              <w:t>期</w:t>
            </w:r>
            <w:r>
              <w:rPr>
                <w:rFonts w:hint="eastAsia" w:ascii="宋体" w:hAnsi="宋体" w:eastAsia="宋体" w:cs="宋体"/>
                <w:spacing w:val="-3"/>
                <w:sz w:val="21"/>
                <w:szCs w:val="21"/>
              </w:rPr>
              <w:t>：</w:t>
            </w:r>
            <w:r>
              <w:rPr>
                <w:rFonts w:hint="eastAsia" w:cs="宋体"/>
                <w:spacing w:val="-3"/>
                <w:sz w:val="21"/>
                <w:szCs w:val="21"/>
                <w:highlight w:val="none"/>
                <w:u w:val="single"/>
                <w:lang w:val="en-US" w:eastAsia="zh-CN"/>
              </w:rPr>
              <w:t>60</w:t>
            </w:r>
            <w:r>
              <w:rPr>
                <w:rFonts w:hint="eastAsia" w:ascii="宋体" w:hAnsi="宋体" w:eastAsia="宋体" w:cs="宋体"/>
                <w:sz w:val="21"/>
                <w:szCs w:val="21"/>
                <w:highlight w:val="none"/>
              </w:rPr>
              <w:t>日</w:t>
            </w:r>
            <w:r>
              <w:rPr>
                <w:rFonts w:hint="eastAsia" w:ascii="宋体" w:hAnsi="宋体" w:eastAsia="宋体" w:cs="宋体"/>
                <w:spacing w:val="-3"/>
                <w:sz w:val="21"/>
                <w:szCs w:val="21"/>
                <w:highlight w:val="none"/>
              </w:rPr>
              <w:t>历</w:t>
            </w:r>
            <w:r>
              <w:rPr>
                <w:rFonts w:hint="eastAsia" w:ascii="宋体" w:hAnsi="宋体" w:eastAsia="宋体" w:cs="宋体"/>
                <w:sz w:val="21"/>
                <w:szCs w:val="21"/>
                <w:highlight w:val="none"/>
              </w:rPr>
              <w:t>天</w:t>
            </w:r>
          </w:p>
          <w:p w14:paraId="3A00B370">
            <w:pPr>
              <w:pStyle w:val="42"/>
              <w:keepNext w:val="0"/>
              <w:keepLines w:val="0"/>
              <w:pageBreakBefore w:val="0"/>
              <w:tabs>
                <w:tab w:val="left" w:pos="1998"/>
                <w:tab w:val="left" w:pos="2838"/>
                <w:tab w:val="left" w:pos="3468"/>
              </w:tabs>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z w:val="21"/>
                <w:szCs w:val="21"/>
              </w:rPr>
              <w:t>计划</w:t>
            </w:r>
            <w:r>
              <w:rPr>
                <w:rFonts w:hint="eastAsia" w:ascii="宋体" w:hAnsi="宋体" w:eastAsia="宋体" w:cs="宋体"/>
                <w:spacing w:val="-3"/>
                <w:sz w:val="21"/>
                <w:szCs w:val="21"/>
              </w:rPr>
              <w:t>开</w:t>
            </w:r>
            <w:r>
              <w:rPr>
                <w:rFonts w:hint="eastAsia" w:ascii="宋体" w:hAnsi="宋体" w:eastAsia="宋体" w:cs="宋体"/>
                <w:sz w:val="21"/>
                <w:szCs w:val="21"/>
              </w:rPr>
              <w:t>工</w:t>
            </w:r>
            <w:r>
              <w:rPr>
                <w:rFonts w:hint="eastAsia" w:ascii="宋体" w:hAnsi="宋体" w:eastAsia="宋体" w:cs="宋体"/>
                <w:spacing w:val="-3"/>
                <w:sz w:val="21"/>
                <w:szCs w:val="21"/>
              </w:rPr>
              <w:t>日</w:t>
            </w:r>
            <w:r>
              <w:rPr>
                <w:rFonts w:hint="eastAsia" w:ascii="宋体" w:hAnsi="宋体" w:eastAsia="宋体" w:cs="宋体"/>
                <w:sz w:val="21"/>
                <w:szCs w:val="21"/>
              </w:rPr>
              <w:t>期</w:t>
            </w:r>
            <w:r>
              <w:rPr>
                <w:rFonts w:hint="eastAsia" w:ascii="宋体" w:hAnsi="宋体" w:eastAsia="宋体" w:cs="宋体"/>
                <w:spacing w:val="-3"/>
                <w:sz w:val="21"/>
                <w:szCs w:val="21"/>
              </w:rPr>
              <w:t>：</w:t>
            </w:r>
            <w:r>
              <w:rPr>
                <w:rFonts w:hint="eastAsia" w:ascii="宋体" w:hAnsi="宋体" w:eastAsia="宋体" w:cs="宋体"/>
                <w:spacing w:val="-3"/>
                <w:sz w:val="21"/>
                <w:szCs w:val="21"/>
                <w:u w:val="single"/>
                <w:lang w:val="en-US" w:eastAsia="zh-CN"/>
              </w:rPr>
              <w:t>2025</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14:paraId="6C28DCBB">
            <w:pPr>
              <w:pStyle w:val="42"/>
              <w:keepNext w:val="0"/>
              <w:keepLines w:val="0"/>
              <w:pageBreakBefore w:val="0"/>
              <w:tabs>
                <w:tab w:val="left" w:pos="1998"/>
                <w:tab w:val="left" w:pos="2838"/>
                <w:tab w:val="left" w:pos="3468"/>
              </w:tabs>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pacing w:val="-3"/>
                <w:sz w:val="21"/>
                <w:szCs w:val="21"/>
              </w:rPr>
            </w:pPr>
            <w:r>
              <w:rPr>
                <w:rFonts w:hint="eastAsia" w:ascii="宋体" w:hAnsi="宋体" w:eastAsia="宋体" w:cs="宋体"/>
                <w:sz w:val="21"/>
                <w:szCs w:val="21"/>
              </w:rPr>
              <w:t>计划</w:t>
            </w:r>
            <w:r>
              <w:rPr>
                <w:rFonts w:hint="eastAsia" w:ascii="宋体" w:hAnsi="宋体" w:eastAsia="宋体" w:cs="宋体"/>
                <w:spacing w:val="-3"/>
                <w:sz w:val="21"/>
                <w:szCs w:val="21"/>
              </w:rPr>
              <w:t>交</w:t>
            </w:r>
            <w:r>
              <w:rPr>
                <w:rFonts w:hint="eastAsia" w:ascii="宋体" w:hAnsi="宋体" w:eastAsia="宋体" w:cs="宋体"/>
                <w:sz w:val="21"/>
                <w:szCs w:val="21"/>
              </w:rPr>
              <w:t>工</w:t>
            </w:r>
            <w:r>
              <w:rPr>
                <w:rFonts w:hint="eastAsia" w:ascii="宋体" w:hAnsi="宋体" w:eastAsia="宋体" w:cs="宋体"/>
                <w:spacing w:val="-3"/>
                <w:sz w:val="21"/>
                <w:szCs w:val="21"/>
              </w:rPr>
              <w:t>日</w:t>
            </w:r>
            <w:r>
              <w:rPr>
                <w:rFonts w:hint="eastAsia" w:ascii="宋体" w:hAnsi="宋体" w:eastAsia="宋体" w:cs="宋体"/>
                <w:sz w:val="21"/>
                <w:szCs w:val="21"/>
              </w:rPr>
              <w:t>期</w:t>
            </w:r>
            <w:r>
              <w:rPr>
                <w:rFonts w:hint="eastAsia" w:ascii="宋体" w:hAnsi="宋体" w:eastAsia="宋体" w:cs="宋体"/>
                <w:spacing w:val="-3"/>
                <w:sz w:val="21"/>
                <w:szCs w:val="21"/>
              </w:rPr>
              <w:t>：</w:t>
            </w:r>
            <w:r>
              <w:rPr>
                <w:rFonts w:hint="eastAsia" w:ascii="宋体" w:hAnsi="宋体" w:eastAsia="宋体" w:cs="宋体"/>
                <w:spacing w:val="-3"/>
                <w:sz w:val="21"/>
                <w:szCs w:val="21"/>
                <w:u w:val="single"/>
                <w:lang w:val="en-US" w:eastAsia="zh-CN"/>
              </w:rPr>
              <w:t>2025</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pacing w:val="-3"/>
                <w:sz w:val="21"/>
                <w:szCs w:val="21"/>
              </w:rPr>
              <w:t>日</w:t>
            </w:r>
          </w:p>
          <w:p w14:paraId="506A2BBC">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pacing w:val="-3"/>
                <w:sz w:val="21"/>
                <w:szCs w:val="21"/>
              </w:rPr>
            </w:pPr>
            <w:r>
              <w:rPr>
                <w:rFonts w:hint="eastAsia" w:ascii="宋体" w:hAnsi="宋体" w:eastAsia="宋体" w:cs="宋体"/>
                <w:color w:val="000000"/>
                <w:kern w:val="0"/>
                <w:sz w:val="21"/>
                <w:szCs w:val="21"/>
                <w:lang w:val="en-US" w:eastAsia="zh-CN" w:bidi="ar"/>
              </w:rPr>
              <w:t>(具体开工日期以监理签发的开工令为准）</w:t>
            </w:r>
          </w:p>
        </w:tc>
      </w:tr>
      <w:tr w14:paraId="09B93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5B66BF24">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1.3.3</w:t>
            </w:r>
          </w:p>
        </w:tc>
        <w:tc>
          <w:tcPr>
            <w:tcW w:w="2340" w:type="dxa"/>
            <w:vAlign w:val="center"/>
          </w:tcPr>
          <w:p w14:paraId="6AC430BC">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质量要求</w:t>
            </w:r>
          </w:p>
        </w:tc>
        <w:tc>
          <w:tcPr>
            <w:tcW w:w="6345" w:type="dxa"/>
            <w:gridSpan w:val="2"/>
            <w:vAlign w:val="center"/>
          </w:tcPr>
          <w:p w14:paraId="306324A2">
            <w:pPr>
              <w:pStyle w:val="42"/>
              <w:keepNext w:val="0"/>
              <w:keepLines w:val="0"/>
              <w:pageBreakBefore w:val="0"/>
              <w:tabs>
                <w:tab w:val="left" w:pos="2675"/>
                <w:tab w:val="left" w:pos="3518"/>
              </w:tabs>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pacing w:val="2"/>
                <w:sz w:val="21"/>
                <w:szCs w:val="21"/>
                <w:u w:val="single"/>
              </w:rPr>
            </w:pPr>
            <w:r>
              <w:rPr>
                <w:rFonts w:hint="eastAsia" w:ascii="宋体" w:hAnsi="宋体" w:eastAsia="宋体" w:cs="宋体"/>
                <w:sz w:val="21"/>
                <w:szCs w:val="21"/>
              </w:rPr>
              <w:t>标段</w:t>
            </w:r>
            <w:r>
              <w:rPr>
                <w:rFonts w:hint="eastAsia" w:ascii="宋体" w:hAnsi="宋体" w:eastAsia="宋体" w:cs="宋体"/>
                <w:spacing w:val="-3"/>
                <w:sz w:val="21"/>
                <w:szCs w:val="21"/>
              </w:rPr>
              <w:t>工</w:t>
            </w:r>
            <w:r>
              <w:rPr>
                <w:rFonts w:hint="eastAsia" w:ascii="宋体" w:hAnsi="宋体" w:eastAsia="宋体" w:cs="宋体"/>
                <w:sz w:val="21"/>
                <w:szCs w:val="21"/>
              </w:rPr>
              <w:t>程</w:t>
            </w:r>
            <w:r>
              <w:rPr>
                <w:rFonts w:hint="eastAsia" w:ascii="宋体" w:hAnsi="宋体" w:eastAsia="宋体" w:cs="宋体"/>
                <w:spacing w:val="-3"/>
                <w:sz w:val="21"/>
                <w:szCs w:val="21"/>
              </w:rPr>
              <w:t>交</w:t>
            </w:r>
            <w:r>
              <w:rPr>
                <w:rFonts w:hint="eastAsia" w:ascii="宋体" w:hAnsi="宋体" w:eastAsia="宋体" w:cs="宋体"/>
                <w:sz w:val="21"/>
                <w:szCs w:val="21"/>
              </w:rPr>
              <w:t>工</w:t>
            </w:r>
            <w:r>
              <w:rPr>
                <w:rFonts w:hint="eastAsia" w:ascii="宋体" w:hAnsi="宋体" w:eastAsia="宋体" w:cs="宋体"/>
                <w:spacing w:val="-3"/>
                <w:sz w:val="21"/>
                <w:szCs w:val="21"/>
              </w:rPr>
              <w:t>验</w:t>
            </w:r>
            <w:r>
              <w:rPr>
                <w:rFonts w:hint="eastAsia" w:ascii="宋体" w:hAnsi="宋体" w:eastAsia="宋体" w:cs="宋体"/>
                <w:sz w:val="21"/>
                <w:szCs w:val="21"/>
              </w:rPr>
              <w:t>收</w:t>
            </w:r>
            <w:r>
              <w:rPr>
                <w:rFonts w:hint="eastAsia" w:ascii="宋体" w:hAnsi="宋体" w:eastAsia="宋体" w:cs="宋体"/>
                <w:spacing w:val="-3"/>
                <w:sz w:val="21"/>
                <w:szCs w:val="21"/>
              </w:rPr>
              <w:t>的</w:t>
            </w:r>
            <w:r>
              <w:rPr>
                <w:rFonts w:hint="eastAsia" w:ascii="宋体" w:hAnsi="宋体" w:eastAsia="宋体" w:cs="宋体"/>
                <w:sz w:val="21"/>
                <w:szCs w:val="21"/>
              </w:rPr>
              <w:t>质</w:t>
            </w:r>
            <w:r>
              <w:rPr>
                <w:rFonts w:hint="eastAsia" w:ascii="宋体" w:hAnsi="宋体" w:eastAsia="宋体" w:cs="宋体"/>
                <w:spacing w:val="-3"/>
                <w:sz w:val="21"/>
                <w:szCs w:val="21"/>
              </w:rPr>
              <w:t>量</w:t>
            </w:r>
            <w:r>
              <w:rPr>
                <w:rFonts w:hint="eastAsia" w:ascii="宋体" w:hAnsi="宋体" w:eastAsia="宋体" w:cs="宋体"/>
                <w:sz w:val="21"/>
                <w:szCs w:val="21"/>
              </w:rPr>
              <w:t>评定</w:t>
            </w:r>
            <w:r>
              <w:rPr>
                <w:rFonts w:hint="eastAsia" w:ascii="宋体" w:hAnsi="宋体" w:eastAsia="宋体" w:cs="宋体"/>
                <w:spacing w:val="-3"/>
                <w:sz w:val="21"/>
                <w:szCs w:val="21"/>
              </w:rPr>
              <w:t>：</w:t>
            </w:r>
            <w:r>
              <w:rPr>
                <w:rFonts w:hint="eastAsia" w:ascii="宋体" w:hAnsi="宋体" w:eastAsia="宋体" w:cs="宋体"/>
                <w:spacing w:val="-3"/>
                <w:sz w:val="21"/>
                <w:szCs w:val="21"/>
                <w:u w:val="single"/>
                <w:lang w:val="en-US" w:eastAsia="zh-CN"/>
              </w:rPr>
              <w:t>合格</w:t>
            </w:r>
            <w:r>
              <w:rPr>
                <w:rFonts w:hint="eastAsia" w:ascii="宋体" w:hAnsi="宋体" w:eastAsia="宋体" w:cs="宋体"/>
                <w:spacing w:val="2"/>
                <w:sz w:val="21"/>
                <w:szCs w:val="21"/>
                <w:u w:val="single"/>
              </w:rPr>
              <w:t xml:space="preserve"> </w:t>
            </w:r>
          </w:p>
          <w:p w14:paraId="0EFB5F8A">
            <w:pPr>
              <w:pStyle w:val="42"/>
              <w:keepNext w:val="0"/>
              <w:keepLines w:val="0"/>
              <w:pageBreakBefore w:val="0"/>
              <w:tabs>
                <w:tab w:val="left" w:pos="2675"/>
                <w:tab w:val="left" w:pos="3518"/>
              </w:tabs>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lang w:val="en-US" w:eastAsia="zh-CN"/>
              </w:rPr>
            </w:pPr>
            <w:r>
              <w:rPr>
                <w:rFonts w:hint="eastAsia" w:ascii="宋体" w:hAnsi="宋体" w:eastAsia="宋体" w:cs="宋体"/>
                <w:spacing w:val="-1"/>
                <w:sz w:val="21"/>
                <w:szCs w:val="21"/>
              </w:rPr>
              <w:t>竣</w:t>
            </w:r>
            <w:r>
              <w:rPr>
                <w:rFonts w:hint="eastAsia" w:ascii="宋体" w:hAnsi="宋体" w:eastAsia="宋体" w:cs="宋体"/>
                <w:sz w:val="21"/>
                <w:szCs w:val="21"/>
              </w:rPr>
              <w:t>工</w:t>
            </w:r>
            <w:r>
              <w:rPr>
                <w:rFonts w:hint="eastAsia" w:ascii="宋体" w:hAnsi="宋体" w:eastAsia="宋体" w:cs="宋体"/>
                <w:spacing w:val="-3"/>
                <w:sz w:val="21"/>
                <w:szCs w:val="21"/>
              </w:rPr>
              <w:t>验</w:t>
            </w:r>
            <w:r>
              <w:rPr>
                <w:rFonts w:hint="eastAsia" w:ascii="宋体" w:hAnsi="宋体" w:eastAsia="宋体" w:cs="宋体"/>
                <w:sz w:val="21"/>
                <w:szCs w:val="21"/>
              </w:rPr>
              <w:t>收</w:t>
            </w:r>
            <w:r>
              <w:rPr>
                <w:rFonts w:hint="eastAsia" w:ascii="宋体" w:hAnsi="宋体" w:eastAsia="宋体" w:cs="宋体"/>
                <w:spacing w:val="-3"/>
                <w:sz w:val="21"/>
                <w:szCs w:val="21"/>
              </w:rPr>
              <w:t>的</w:t>
            </w:r>
            <w:r>
              <w:rPr>
                <w:rFonts w:hint="eastAsia" w:ascii="宋体" w:hAnsi="宋体" w:eastAsia="宋体" w:cs="宋体"/>
                <w:sz w:val="21"/>
                <w:szCs w:val="21"/>
              </w:rPr>
              <w:t>质</w:t>
            </w:r>
            <w:r>
              <w:rPr>
                <w:rFonts w:hint="eastAsia" w:ascii="宋体" w:hAnsi="宋体" w:eastAsia="宋体" w:cs="宋体"/>
                <w:spacing w:val="-3"/>
                <w:sz w:val="21"/>
                <w:szCs w:val="21"/>
              </w:rPr>
              <w:t>量</w:t>
            </w:r>
            <w:r>
              <w:rPr>
                <w:rFonts w:hint="eastAsia" w:ascii="宋体" w:hAnsi="宋体" w:eastAsia="宋体" w:cs="宋体"/>
                <w:sz w:val="21"/>
                <w:szCs w:val="21"/>
              </w:rPr>
              <w:t>评</w:t>
            </w:r>
            <w:r>
              <w:rPr>
                <w:rFonts w:hint="eastAsia" w:ascii="宋体" w:hAnsi="宋体" w:eastAsia="宋体" w:cs="宋体"/>
                <w:spacing w:val="-3"/>
                <w:sz w:val="21"/>
                <w:szCs w:val="21"/>
              </w:rPr>
              <w:t>定</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合格 </w:t>
            </w:r>
          </w:p>
        </w:tc>
      </w:tr>
      <w:tr w14:paraId="054F6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376F15A7">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1.3.4</w:t>
            </w:r>
          </w:p>
        </w:tc>
        <w:tc>
          <w:tcPr>
            <w:tcW w:w="2340" w:type="dxa"/>
            <w:vAlign w:val="center"/>
          </w:tcPr>
          <w:p w14:paraId="0E13409B">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安全目标</w:t>
            </w:r>
          </w:p>
        </w:tc>
        <w:tc>
          <w:tcPr>
            <w:tcW w:w="6345" w:type="dxa"/>
            <w:gridSpan w:val="2"/>
            <w:vAlign w:val="center"/>
          </w:tcPr>
          <w:p w14:paraId="3C16CADF">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无安全责任事故</w:t>
            </w:r>
          </w:p>
        </w:tc>
      </w:tr>
      <w:tr w14:paraId="1BF71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64320747">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1.4.1</w:t>
            </w:r>
          </w:p>
        </w:tc>
        <w:tc>
          <w:tcPr>
            <w:tcW w:w="2340" w:type="dxa"/>
            <w:vAlign w:val="center"/>
          </w:tcPr>
          <w:p w14:paraId="6F9B12E5">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投标人资质条件、能力和信誉</w:t>
            </w:r>
          </w:p>
        </w:tc>
        <w:tc>
          <w:tcPr>
            <w:tcW w:w="6345" w:type="dxa"/>
            <w:gridSpan w:val="2"/>
            <w:vAlign w:val="center"/>
          </w:tcPr>
          <w:p w14:paraId="0527D05D">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资质要求：见</w:t>
            </w:r>
            <w:r>
              <w:rPr>
                <w:rFonts w:hint="eastAsia" w:ascii="宋体" w:hAnsi="宋体" w:eastAsia="宋体" w:cs="宋体"/>
                <w:spacing w:val="-16"/>
                <w:sz w:val="21"/>
                <w:szCs w:val="21"/>
              </w:rPr>
              <w:t xml:space="preserve">附录 </w:t>
            </w:r>
            <w:r>
              <w:rPr>
                <w:rFonts w:hint="eastAsia" w:ascii="宋体" w:hAnsi="宋体" w:eastAsia="宋体" w:cs="宋体"/>
                <w:sz w:val="21"/>
                <w:szCs w:val="21"/>
              </w:rPr>
              <w:t>1</w:t>
            </w:r>
          </w:p>
          <w:p w14:paraId="65769BBB">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财务要求：见</w:t>
            </w:r>
            <w:r>
              <w:rPr>
                <w:rFonts w:hint="eastAsia" w:ascii="宋体" w:hAnsi="宋体" w:eastAsia="宋体" w:cs="宋体"/>
                <w:spacing w:val="-16"/>
                <w:sz w:val="21"/>
                <w:szCs w:val="21"/>
              </w:rPr>
              <w:t xml:space="preserve">附录 </w:t>
            </w:r>
            <w:r>
              <w:rPr>
                <w:rFonts w:hint="eastAsia" w:ascii="宋体" w:hAnsi="宋体" w:eastAsia="宋体" w:cs="宋体"/>
                <w:sz w:val="21"/>
                <w:szCs w:val="21"/>
              </w:rPr>
              <w:t>2</w:t>
            </w:r>
          </w:p>
          <w:p w14:paraId="724FC1F3">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业绩要求：见</w:t>
            </w:r>
            <w:r>
              <w:rPr>
                <w:rFonts w:hint="eastAsia" w:ascii="宋体" w:hAnsi="宋体" w:eastAsia="宋体" w:cs="宋体"/>
                <w:spacing w:val="-16"/>
                <w:sz w:val="21"/>
                <w:szCs w:val="21"/>
              </w:rPr>
              <w:t xml:space="preserve">附录 </w:t>
            </w:r>
            <w:r>
              <w:rPr>
                <w:rFonts w:hint="eastAsia" w:ascii="宋体" w:hAnsi="宋体" w:eastAsia="宋体" w:cs="宋体"/>
                <w:sz w:val="21"/>
                <w:szCs w:val="21"/>
              </w:rPr>
              <w:t>3</w:t>
            </w:r>
          </w:p>
          <w:p w14:paraId="55250DBB">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信誉要求：见</w:t>
            </w:r>
            <w:r>
              <w:rPr>
                <w:rFonts w:hint="eastAsia" w:ascii="宋体" w:hAnsi="宋体" w:eastAsia="宋体" w:cs="宋体"/>
                <w:spacing w:val="-16"/>
                <w:sz w:val="21"/>
                <w:szCs w:val="21"/>
              </w:rPr>
              <w:t xml:space="preserve">附录 </w:t>
            </w:r>
            <w:r>
              <w:rPr>
                <w:rFonts w:hint="eastAsia" w:ascii="宋体" w:hAnsi="宋体" w:eastAsia="宋体" w:cs="宋体"/>
                <w:sz w:val="21"/>
                <w:szCs w:val="21"/>
              </w:rPr>
              <w:t>4</w:t>
            </w:r>
          </w:p>
          <w:p w14:paraId="5CAA3644">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z w:val="21"/>
                <w:szCs w:val="21"/>
              </w:rPr>
              <w:t>项目经理和项目总工资格</w:t>
            </w:r>
            <w:r>
              <w:rPr>
                <w:rFonts w:hint="eastAsia" w:ascii="宋体" w:hAnsi="宋体" w:eastAsia="宋体" w:cs="宋体"/>
                <w:sz w:val="21"/>
                <w:szCs w:val="21"/>
                <w:lang w:eastAsia="zh-CN"/>
              </w:rPr>
              <w:t>：</w:t>
            </w:r>
            <w:r>
              <w:rPr>
                <w:rFonts w:hint="eastAsia" w:ascii="宋体" w:hAnsi="宋体" w:eastAsia="宋体" w:cs="宋体"/>
                <w:sz w:val="21"/>
                <w:szCs w:val="21"/>
              </w:rPr>
              <w:t>见附录5</w:t>
            </w:r>
          </w:p>
          <w:p w14:paraId="523686D9">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其他要求：</w:t>
            </w:r>
            <w:r>
              <w:rPr>
                <w:rFonts w:hint="eastAsia" w:ascii="宋体" w:hAnsi="宋体" w:eastAsia="宋体" w:cs="宋体"/>
                <w:sz w:val="21"/>
                <w:szCs w:val="21"/>
                <w:lang w:val="en-US" w:eastAsia="zh-CN"/>
              </w:rPr>
              <w:t>/</w:t>
            </w:r>
          </w:p>
        </w:tc>
      </w:tr>
      <w:tr w14:paraId="0A7A3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38" w:type="dxa"/>
            <w:gridSpan w:val="2"/>
            <w:vAlign w:val="center"/>
          </w:tcPr>
          <w:p w14:paraId="53922A99">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1.4.2</w:t>
            </w:r>
          </w:p>
        </w:tc>
        <w:tc>
          <w:tcPr>
            <w:tcW w:w="2340" w:type="dxa"/>
            <w:vAlign w:val="center"/>
          </w:tcPr>
          <w:p w14:paraId="1AA565EA">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是否接受联合体投标</w:t>
            </w:r>
          </w:p>
        </w:tc>
        <w:tc>
          <w:tcPr>
            <w:tcW w:w="6345" w:type="dxa"/>
            <w:gridSpan w:val="2"/>
          </w:tcPr>
          <w:p w14:paraId="658E2B84">
            <w:pPr>
              <w:pStyle w:val="42"/>
              <w:keepNext w:val="0"/>
              <w:keepLines w:val="0"/>
              <w:pageBreakBefore w:val="0"/>
              <w:kinsoku/>
              <w:wordWrap/>
              <w:overflowPunct/>
              <w:topLinePunct w:val="0"/>
              <w:autoSpaceDE w:val="0"/>
              <w:autoSpaceDN w:val="0"/>
              <w:bidi w:val="0"/>
              <w:adjustRightInd/>
              <w:snapToGrid/>
              <w:spacing w:before="0" w:line="360" w:lineRule="auto"/>
              <w:ind w:left="110" w:leftChars="50"/>
              <w:textAlignment w:val="auto"/>
              <w:rPr>
                <w:rFonts w:hint="eastAsia" w:ascii="宋体" w:hAnsi="宋体" w:eastAsia="宋体" w:cs="宋体"/>
                <w:sz w:val="21"/>
                <w:szCs w:val="21"/>
              </w:rPr>
            </w:pPr>
            <w:r>
              <w:rPr>
                <w:rFonts w:hint="eastAsia" w:cs="宋体"/>
                <w:sz w:val="21"/>
                <w:szCs w:val="21"/>
                <w:lang w:eastAsia="zh-CN"/>
              </w:rPr>
              <w:t>□</w:t>
            </w:r>
            <w:r>
              <w:rPr>
                <w:rFonts w:hint="eastAsia" w:ascii="宋体" w:hAnsi="宋体" w:eastAsia="宋体" w:cs="宋体"/>
                <w:sz w:val="21"/>
                <w:szCs w:val="21"/>
              </w:rPr>
              <w:t>不接受</w:t>
            </w:r>
          </w:p>
          <w:p w14:paraId="126CEE79">
            <w:pPr>
              <w:pStyle w:val="42"/>
              <w:keepNext w:val="0"/>
              <w:keepLines w:val="0"/>
              <w:pageBreakBefore w:val="0"/>
              <w:kinsoku/>
              <w:wordWrap/>
              <w:overflowPunct/>
              <w:topLinePunct w:val="0"/>
              <w:autoSpaceDE w:val="0"/>
              <w:autoSpaceDN w:val="0"/>
              <w:bidi w:val="0"/>
              <w:adjustRightInd/>
              <w:snapToGrid/>
              <w:spacing w:before="0" w:line="360" w:lineRule="auto"/>
              <w:ind w:left="110" w:leftChars="50"/>
              <w:textAlignment w:val="auto"/>
              <w:rPr>
                <w:rFonts w:hint="eastAsia" w:ascii="宋体" w:hAnsi="宋体" w:eastAsia="宋体" w:cs="宋体"/>
                <w:sz w:val="21"/>
                <w:szCs w:val="21"/>
              </w:rPr>
            </w:pPr>
            <w:r>
              <w:rPr>
                <w:rFonts w:hint="eastAsia" w:cs="宋体"/>
                <w:sz w:val="21"/>
                <w:szCs w:val="21"/>
                <w:lang w:eastAsia="zh-CN"/>
              </w:rPr>
              <w:t>☑</w:t>
            </w:r>
            <w:r>
              <w:rPr>
                <w:rFonts w:hint="eastAsia" w:ascii="宋体" w:hAnsi="宋体" w:eastAsia="宋体" w:cs="宋体"/>
                <w:sz w:val="21"/>
                <w:szCs w:val="21"/>
              </w:rPr>
              <w:t>接受，应满足下列要求：</w:t>
            </w:r>
          </w:p>
          <w:p w14:paraId="23BB947C">
            <w:pPr>
              <w:pStyle w:val="42"/>
              <w:keepNext w:val="0"/>
              <w:keepLines w:val="0"/>
              <w:pageBreakBefore w:val="0"/>
              <w:numPr>
                <w:ilvl w:val="0"/>
                <w:numId w:val="0"/>
              </w:numPr>
              <w:tabs>
                <w:tab w:val="left" w:pos="848"/>
                <w:tab w:val="left" w:pos="3996"/>
              </w:tabs>
              <w:kinsoku/>
              <w:wordWrap/>
              <w:overflowPunct/>
              <w:topLinePunct w:val="0"/>
              <w:autoSpaceDE w:val="0"/>
              <w:autoSpaceDN w:val="0"/>
              <w:bidi w:val="0"/>
              <w:adjustRightInd/>
              <w:snapToGrid/>
              <w:spacing w:before="0" w:after="0" w:line="360" w:lineRule="auto"/>
              <w:ind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 联合体成员数量不限；</w:t>
            </w:r>
          </w:p>
        </w:tc>
      </w:tr>
      <w:tr w14:paraId="0317F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0B33710A">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1.4.3</w:t>
            </w:r>
          </w:p>
        </w:tc>
        <w:tc>
          <w:tcPr>
            <w:tcW w:w="2340" w:type="dxa"/>
            <w:vAlign w:val="center"/>
          </w:tcPr>
          <w:p w14:paraId="4C65F799">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投标人不得存在的其他关联情形</w:t>
            </w:r>
          </w:p>
        </w:tc>
        <w:tc>
          <w:tcPr>
            <w:tcW w:w="6345" w:type="dxa"/>
            <w:gridSpan w:val="2"/>
            <w:vAlign w:val="center"/>
          </w:tcPr>
          <w:p w14:paraId="7298D7D3">
            <w:pPr>
              <w:pStyle w:val="42"/>
              <w:keepNext w:val="0"/>
              <w:keepLines w:val="0"/>
              <w:pageBreakBefore w:val="0"/>
              <w:kinsoku/>
              <w:wordWrap/>
              <w:overflowPunct/>
              <w:topLinePunct w:val="0"/>
              <w:autoSpaceDE w:val="0"/>
              <w:autoSpaceDN w:val="0"/>
              <w:bidi w:val="0"/>
              <w:adjustRightInd/>
              <w:snapToGrid/>
              <w:spacing w:before="0" w:line="360" w:lineRule="auto"/>
              <w:ind w:left="110" w:leftChars="5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65656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6257CD5D">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1.4.4</w:t>
            </w:r>
          </w:p>
        </w:tc>
        <w:tc>
          <w:tcPr>
            <w:tcW w:w="2340" w:type="dxa"/>
            <w:vAlign w:val="center"/>
          </w:tcPr>
          <w:p w14:paraId="4EAF1D37">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投标人不得存在的其他不良状况或不良信用记录</w:t>
            </w:r>
          </w:p>
        </w:tc>
        <w:tc>
          <w:tcPr>
            <w:tcW w:w="6345" w:type="dxa"/>
            <w:gridSpan w:val="2"/>
            <w:vAlign w:val="center"/>
          </w:tcPr>
          <w:p w14:paraId="67203704">
            <w:pPr>
              <w:pStyle w:val="42"/>
              <w:keepNext w:val="0"/>
              <w:keepLines w:val="0"/>
              <w:pageBreakBefore w:val="0"/>
              <w:kinsoku/>
              <w:wordWrap/>
              <w:overflowPunct/>
              <w:topLinePunct w:val="0"/>
              <w:autoSpaceDE w:val="0"/>
              <w:autoSpaceDN w:val="0"/>
              <w:bidi w:val="0"/>
              <w:adjustRightInd/>
              <w:snapToGrid/>
              <w:spacing w:before="0" w:line="360" w:lineRule="auto"/>
              <w:ind w:left="110" w:leftChars="5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14:paraId="772E3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375AB6B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1.10.2</w:t>
            </w:r>
          </w:p>
        </w:tc>
        <w:tc>
          <w:tcPr>
            <w:tcW w:w="2340" w:type="dxa"/>
            <w:vAlign w:val="center"/>
          </w:tcPr>
          <w:p w14:paraId="75FD223A">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sz w:val="21"/>
                <w:szCs w:val="21"/>
              </w:rPr>
              <w:t>投标人在投标预备会前提出问题</w:t>
            </w:r>
          </w:p>
        </w:tc>
        <w:tc>
          <w:tcPr>
            <w:tcW w:w="6345" w:type="dxa"/>
            <w:gridSpan w:val="2"/>
            <w:vAlign w:val="center"/>
          </w:tcPr>
          <w:p w14:paraId="7FD12476">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不适用</w:t>
            </w:r>
          </w:p>
        </w:tc>
      </w:tr>
      <w:tr w14:paraId="47E4F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7F53D254">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1.11.1</w:t>
            </w:r>
          </w:p>
        </w:tc>
        <w:tc>
          <w:tcPr>
            <w:tcW w:w="2340" w:type="dxa"/>
            <w:vAlign w:val="center"/>
          </w:tcPr>
          <w:p w14:paraId="24B947B8">
            <w:pPr>
              <w:pStyle w:val="42"/>
              <w:keepNext w:val="0"/>
              <w:keepLines w:val="0"/>
              <w:pageBreakBefore w:val="0"/>
              <w:widowControl w:val="0"/>
              <w:tabs>
                <w:tab w:val="left" w:pos="426"/>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分</w:t>
            </w:r>
            <w:r>
              <w:rPr>
                <w:rFonts w:hint="eastAsia" w:ascii="宋体" w:hAnsi="宋体" w:eastAsia="宋体" w:cs="宋体"/>
                <w:sz w:val="21"/>
                <w:szCs w:val="21"/>
              </w:rPr>
              <w:tab/>
            </w:r>
            <w:r>
              <w:rPr>
                <w:rFonts w:hint="eastAsia" w:ascii="宋体" w:hAnsi="宋体" w:eastAsia="宋体" w:cs="宋体"/>
                <w:sz w:val="21"/>
                <w:szCs w:val="21"/>
              </w:rPr>
              <w:t>包</w:t>
            </w:r>
          </w:p>
        </w:tc>
        <w:tc>
          <w:tcPr>
            <w:tcW w:w="6345" w:type="dxa"/>
            <w:gridSpan w:val="2"/>
            <w:vAlign w:val="center"/>
          </w:tcPr>
          <w:p w14:paraId="251808B7">
            <w:pPr>
              <w:pStyle w:val="42"/>
              <w:keepNext w:val="0"/>
              <w:keepLines w:val="0"/>
              <w:pageBreakBefore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不允许</w:t>
            </w:r>
          </w:p>
          <w:p w14:paraId="325DB3D1">
            <w:pPr>
              <w:pStyle w:val="42"/>
              <w:keepNext w:val="0"/>
              <w:keepLines w:val="0"/>
              <w:pageBreakBefore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sym w:font="Wingdings 2" w:char="00A3"/>
            </w:r>
            <w:r>
              <w:rPr>
                <w:rFonts w:hint="eastAsia" w:ascii="宋体" w:hAnsi="宋体" w:eastAsia="宋体" w:cs="宋体"/>
                <w:sz w:val="21"/>
                <w:szCs w:val="21"/>
              </w:rPr>
              <w:t>允许</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分包内容须经业主同意，且需符合相关规定</w:t>
            </w:r>
            <w:r>
              <w:rPr>
                <w:rFonts w:hint="eastAsia" w:ascii="宋体" w:hAnsi="宋体" w:eastAsia="宋体" w:cs="宋体"/>
                <w:color w:val="auto"/>
                <w:sz w:val="21"/>
                <w:szCs w:val="21"/>
                <w:u w:val="none"/>
                <w:lang w:val="en-US" w:eastAsia="zh-CN"/>
              </w:rPr>
              <w:t>。</w:t>
            </w:r>
          </w:p>
        </w:tc>
      </w:tr>
      <w:tr w14:paraId="4DF62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788842DE">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2340" w:type="dxa"/>
            <w:vAlign w:val="center"/>
          </w:tcPr>
          <w:p w14:paraId="5534F7DB">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构成招标文件的其他资料</w:t>
            </w:r>
          </w:p>
        </w:tc>
        <w:tc>
          <w:tcPr>
            <w:tcW w:w="6345" w:type="dxa"/>
            <w:gridSpan w:val="2"/>
            <w:vAlign w:val="center"/>
          </w:tcPr>
          <w:p w14:paraId="5EDCCFCC">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补遗书（如有）、通知等</w:t>
            </w:r>
          </w:p>
        </w:tc>
      </w:tr>
      <w:tr w14:paraId="1E44F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Merge w:val="restart"/>
            <w:vAlign w:val="center"/>
          </w:tcPr>
          <w:p w14:paraId="1F4A4B0E">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2.2.1</w:t>
            </w:r>
          </w:p>
        </w:tc>
        <w:tc>
          <w:tcPr>
            <w:tcW w:w="2340" w:type="dxa"/>
            <w:vMerge w:val="restart"/>
            <w:vAlign w:val="center"/>
          </w:tcPr>
          <w:p w14:paraId="19F306E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投标人要求澄清招标文件</w:t>
            </w:r>
          </w:p>
        </w:tc>
        <w:tc>
          <w:tcPr>
            <w:tcW w:w="6345" w:type="dxa"/>
            <w:gridSpan w:val="2"/>
            <w:vAlign w:val="center"/>
          </w:tcPr>
          <w:p w14:paraId="0E56BEF8">
            <w:pPr>
              <w:pStyle w:val="42"/>
              <w:keepNext w:val="0"/>
              <w:keepLines w:val="0"/>
              <w:pageBreakBefore w:val="0"/>
              <w:tabs>
                <w:tab w:val="left" w:pos="1158"/>
                <w:tab w:val="left" w:pos="1789"/>
                <w:tab w:val="left" w:pos="2418"/>
                <w:tab w:val="left" w:pos="3049"/>
                <w:tab w:val="left" w:pos="3681"/>
              </w:tabs>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pacing w:val="-3"/>
                <w:sz w:val="21"/>
                <w:szCs w:val="21"/>
              </w:rPr>
              <w:t>：</w:t>
            </w:r>
            <w:r>
              <w:rPr>
                <w:rFonts w:hint="eastAsia" w:ascii="宋体" w:hAnsi="宋体" w:eastAsia="宋体" w:cs="宋体"/>
                <w:spacing w:val="-3"/>
                <w:sz w:val="21"/>
                <w:szCs w:val="21"/>
                <w:u w:val="single"/>
                <w:lang w:val="en-US" w:eastAsia="zh-CN"/>
              </w:rPr>
              <w:t xml:space="preserve">2025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pacing w:val="-3"/>
                <w:sz w:val="21"/>
                <w:szCs w:val="21"/>
              </w:rPr>
              <w:t>月</w:t>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z w:val="21"/>
                <w:szCs w:val="21"/>
              </w:rPr>
              <w:t>日</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11 </w:t>
            </w:r>
            <w:r>
              <w:rPr>
                <w:rFonts w:hint="eastAsia" w:ascii="宋体" w:hAnsi="宋体" w:eastAsia="宋体" w:cs="宋体"/>
                <w:sz w:val="21"/>
                <w:szCs w:val="21"/>
              </w:rPr>
              <w:t>时</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00 </w:t>
            </w:r>
            <w:r>
              <w:rPr>
                <w:rFonts w:hint="eastAsia" w:ascii="宋体" w:hAnsi="宋体" w:eastAsia="宋体" w:cs="宋体"/>
                <w:sz w:val="21"/>
                <w:szCs w:val="21"/>
              </w:rPr>
              <w:t>分</w:t>
            </w:r>
          </w:p>
        </w:tc>
      </w:tr>
      <w:tr w14:paraId="533C9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38" w:type="dxa"/>
            <w:gridSpan w:val="2"/>
            <w:vMerge w:val="continue"/>
            <w:tcBorders>
              <w:top w:val="nil"/>
            </w:tcBorders>
            <w:vAlign w:val="center"/>
          </w:tcPr>
          <w:p w14:paraId="2196C749">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p>
        </w:tc>
        <w:tc>
          <w:tcPr>
            <w:tcW w:w="2340" w:type="dxa"/>
            <w:vMerge w:val="continue"/>
            <w:tcBorders>
              <w:top w:val="nil"/>
            </w:tcBorders>
            <w:vAlign w:val="center"/>
          </w:tcPr>
          <w:p w14:paraId="67D0904D">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p>
        </w:tc>
        <w:tc>
          <w:tcPr>
            <w:tcW w:w="6345" w:type="dxa"/>
            <w:gridSpan w:val="2"/>
            <w:vAlign w:val="center"/>
          </w:tcPr>
          <w:p w14:paraId="039DA36F">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sz w:val="21"/>
                <w:szCs w:val="21"/>
              </w:rPr>
              <w:t>形式：相关澄清要求应使用电子交易系统“在线提问”功能提出疑问或将疑问以电子邮件形式发送1278554427@qq.com邮箱，招标人将对投标人疑问给予解答。疑问答复时间：202</w:t>
            </w:r>
            <w:r>
              <w:rPr>
                <w:rFonts w:hint="eastAsia" w:ascii="宋体" w:hAnsi="宋体" w:eastAsia="宋体" w:cs="宋体"/>
                <w:sz w:val="21"/>
                <w:szCs w:val="21"/>
                <w:lang w:val="en-US" w:eastAsia="zh-CN"/>
              </w:rPr>
              <w:t>5</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r>
              <w:rPr>
                <w:rFonts w:hint="eastAsia" w:ascii="宋体" w:hAnsi="宋体" w:eastAsia="宋体" w:cs="宋体"/>
                <w:sz w:val="21"/>
                <w:szCs w:val="21"/>
                <w:lang w:val="en-US" w:eastAsia="zh-CN"/>
              </w:rPr>
              <w:t>17</w:t>
            </w:r>
            <w:r>
              <w:rPr>
                <w:rFonts w:hint="eastAsia" w:ascii="宋体" w:hAnsi="宋体" w:eastAsia="宋体" w:cs="宋体"/>
                <w:sz w:val="21"/>
                <w:szCs w:val="21"/>
              </w:rPr>
              <w:t>：00分前</w:t>
            </w:r>
          </w:p>
        </w:tc>
      </w:tr>
      <w:tr w14:paraId="571F8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20D56FA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2.2.2</w:t>
            </w:r>
          </w:p>
        </w:tc>
        <w:tc>
          <w:tcPr>
            <w:tcW w:w="2340" w:type="dxa"/>
            <w:vAlign w:val="center"/>
          </w:tcPr>
          <w:p w14:paraId="1BC5C6ED">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招标文件澄清发出的形式</w:t>
            </w:r>
          </w:p>
        </w:tc>
        <w:tc>
          <w:tcPr>
            <w:tcW w:w="6345" w:type="dxa"/>
            <w:gridSpan w:val="2"/>
            <w:vAlign w:val="center"/>
          </w:tcPr>
          <w:p w14:paraId="6DE2D72C">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通过淮北市公共资源交易中心网站发出，请各投标单位于开标之日前务必浏览该网站发布的相关信息。招标文件的澄清、修改、异议答复等将通过在淮北市公共资源交易网上发布。</w:t>
            </w:r>
          </w:p>
        </w:tc>
      </w:tr>
      <w:tr w14:paraId="1C3E7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Merge w:val="restart"/>
            <w:vAlign w:val="center"/>
          </w:tcPr>
          <w:p w14:paraId="15A7DBC7">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2.2.3</w:t>
            </w:r>
          </w:p>
        </w:tc>
        <w:tc>
          <w:tcPr>
            <w:tcW w:w="2340" w:type="dxa"/>
            <w:vMerge w:val="restart"/>
            <w:vAlign w:val="center"/>
          </w:tcPr>
          <w:p w14:paraId="52CD5B3F">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投标人确认收到招标文件澄清</w:t>
            </w:r>
          </w:p>
        </w:tc>
        <w:tc>
          <w:tcPr>
            <w:tcW w:w="6345" w:type="dxa"/>
            <w:gridSpan w:val="2"/>
            <w:vAlign w:val="center"/>
          </w:tcPr>
          <w:p w14:paraId="5DE80401">
            <w:pPr>
              <w:pStyle w:val="42"/>
              <w:keepNext w:val="0"/>
              <w:keepLines w:val="0"/>
              <w:pageBreakBefore w:val="0"/>
              <w:tabs>
                <w:tab w:val="left" w:pos="2209"/>
              </w:tabs>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所有下载招标文件的潜在投标人有义务在网上自行查询。</w:t>
            </w:r>
          </w:p>
        </w:tc>
      </w:tr>
      <w:tr w14:paraId="6ADB7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Merge w:val="continue"/>
            <w:tcBorders>
              <w:top w:val="nil"/>
            </w:tcBorders>
            <w:vAlign w:val="center"/>
          </w:tcPr>
          <w:p w14:paraId="29FE53CC">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p>
        </w:tc>
        <w:tc>
          <w:tcPr>
            <w:tcW w:w="2340" w:type="dxa"/>
            <w:vMerge w:val="continue"/>
            <w:tcBorders>
              <w:top w:val="nil"/>
            </w:tcBorders>
            <w:vAlign w:val="center"/>
          </w:tcPr>
          <w:p w14:paraId="60CB2A02">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p>
        </w:tc>
        <w:tc>
          <w:tcPr>
            <w:tcW w:w="6345" w:type="dxa"/>
            <w:gridSpan w:val="2"/>
            <w:vAlign w:val="center"/>
          </w:tcPr>
          <w:p w14:paraId="4CFB5E10">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sz w:val="21"/>
                <w:szCs w:val="21"/>
              </w:rPr>
              <w:t>形式：</w:t>
            </w:r>
            <w:r>
              <w:rPr>
                <w:rFonts w:hint="eastAsia" w:ascii="宋体" w:hAnsi="宋体" w:eastAsia="宋体" w:cs="宋体"/>
                <w:color w:val="000000"/>
                <w:kern w:val="0"/>
                <w:sz w:val="21"/>
                <w:szCs w:val="21"/>
                <w:lang w:val="en-US" w:eastAsia="zh-CN" w:bidi="ar"/>
              </w:rPr>
              <w:t xml:space="preserve">无需书面确认，自行查阅即可。 </w:t>
            </w:r>
          </w:p>
        </w:tc>
      </w:tr>
      <w:tr w14:paraId="3AD48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297286CC">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2.3.1</w:t>
            </w:r>
          </w:p>
        </w:tc>
        <w:tc>
          <w:tcPr>
            <w:tcW w:w="2340" w:type="dxa"/>
            <w:vAlign w:val="center"/>
          </w:tcPr>
          <w:p w14:paraId="1B93200A">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招标文件修改发出的形式</w:t>
            </w:r>
          </w:p>
        </w:tc>
        <w:tc>
          <w:tcPr>
            <w:tcW w:w="6345" w:type="dxa"/>
            <w:gridSpan w:val="2"/>
            <w:vAlign w:val="center"/>
          </w:tcPr>
          <w:p w14:paraId="0E2DC50C">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淮北市公共资源交易中心网站上发布 </w:t>
            </w:r>
          </w:p>
        </w:tc>
      </w:tr>
      <w:tr w14:paraId="2C444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Merge w:val="restart"/>
            <w:vAlign w:val="center"/>
          </w:tcPr>
          <w:p w14:paraId="0D53965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2.3.2</w:t>
            </w:r>
          </w:p>
        </w:tc>
        <w:tc>
          <w:tcPr>
            <w:tcW w:w="2340" w:type="dxa"/>
            <w:vMerge w:val="restart"/>
            <w:vAlign w:val="center"/>
          </w:tcPr>
          <w:p w14:paraId="259818EE">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投标人确认收到招标文件修改</w:t>
            </w:r>
          </w:p>
        </w:tc>
        <w:tc>
          <w:tcPr>
            <w:tcW w:w="6345" w:type="dxa"/>
            <w:gridSpan w:val="2"/>
            <w:vAlign w:val="center"/>
          </w:tcPr>
          <w:p w14:paraId="366C6E5F">
            <w:pPr>
              <w:pStyle w:val="42"/>
              <w:keepNext w:val="0"/>
              <w:keepLines w:val="0"/>
              <w:pageBreakBefore w:val="0"/>
              <w:tabs>
                <w:tab w:val="left" w:pos="2209"/>
              </w:tabs>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所有下载招标文件的潜在投标人有义务在网上自行查询。</w:t>
            </w:r>
          </w:p>
        </w:tc>
      </w:tr>
      <w:tr w14:paraId="42F5F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Merge w:val="continue"/>
            <w:tcBorders>
              <w:top w:val="nil"/>
            </w:tcBorders>
            <w:vAlign w:val="center"/>
          </w:tcPr>
          <w:p w14:paraId="17871668">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p>
        </w:tc>
        <w:tc>
          <w:tcPr>
            <w:tcW w:w="2340" w:type="dxa"/>
            <w:vMerge w:val="continue"/>
            <w:tcBorders>
              <w:top w:val="nil"/>
            </w:tcBorders>
            <w:vAlign w:val="center"/>
          </w:tcPr>
          <w:p w14:paraId="4AAAFCDB">
            <w:pPr>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p>
        </w:tc>
        <w:tc>
          <w:tcPr>
            <w:tcW w:w="6345" w:type="dxa"/>
            <w:gridSpan w:val="2"/>
            <w:vAlign w:val="center"/>
          </w:tcPr>
          <w:p w14:paraId="1A92C97F">
            <w:pPr>
              <w:pStyle w:val="42"/>
              <w:keepNext w:val="0"/>
              <w:keepLines w:val="0"/>
              <w:pageBreakBefore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sz w:val="21"/>
                <w:szCs w:val="21"/>
              </w:rPr>
              <w:t>形式：</w:t>
            </w:r>
            <w:r>
              <w:rPr>
                <w:rFonts w:hint="eastAsia" w:ascii="宋体" w:hAnsi="宋体" w:eastAsia="宋体" w:cs="宋体"/>
                <w:color w:val="000000"/>
                <w:kern w:val="0"/>
                <w:sz w:val="21"/>
                <w:szCs w:val="21"/>
                <w:lang w:val="en-US" w:eastAsia="zh-CN" w:bidi="ar"/>
              </w:rPr>
              <w:t>无需书面确认，自行查阅即可。</w:t>
            </w:r>
          </w:p>
        </w:tc>
      </w:tr>
      <w:tr w14:paraId="10666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tcBorders>
              <w:top w:val="nil"/>
            </w:tcBorders>
            <w:vAlign w:val="center"/>
          </w:tcPr>
          <w:p w14:paraId="15219EE0">
            <w:pPr>
              <w:adjustRightInd w:val="0"/>
              <w:snapToGrid w:val="0"/>
              <w:spacing w:line="360" w:lineRule="auto"/>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2.2.4</w:t>
            </w:r>
          </w:p>
        </w:tc>
        <w:tc>
          <w:tcPr>
            <w:tcW w:w="2340" w:type="dxa"/>
            <w:tcBorders>
              <w:top w:val="nil"/>
            </w:tcBorders>
            <w:vAlign w:val="center"/>
          </w:tcPr>
          <w:p w14:paraId="47150255">
            <w:pPr>
              <w:adjustRightInd w:val="0"/>
              <w:snapToGrid w:val="0"/>
              <w:spacing w:line="360" w:lineRule="auto"/>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在线提出异议的方式</w:t>
            </w:r>
          </w:p>
        </w:tc>
        <w:tc>
          <w:tcPr>
            <w:tcW w:w="6345" w:type="dxa"/>
            <w:gridSpan w:val="2"/>
            <w:vAlign w:val="center"/>
          </w:tcPr>
          <w:p w14:paraId="0AD0A53D">
            <w:pPr>
              <w:keepNext w:val="0"/>
              <w:keepLines w:val="0"/>
              <w:pageBreakBefore w:val="0"/>
              <w:widowControl/>
              <w:suppressLineNumbers w:val="0"/>
              <w:kinsoku/>
              <w:wordWrap/>
              <w:overflowPunct/>
              <w:topLinePunct w:val="0"/>
              <w:bidi w:val="0"/>
              <w:adjustRightInd/>
              <w:snapToGrid/>
              <w:spacing w:line="360" w:lineRule="auto"/>
              <w:ind w:left="110" w:leftChars="50" w:right="0" w:right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提交异议建议使用电子交易系统“在线异议”功能提出异议，且电子交易系统支持（潜在）投标人使用电子印章提出异议。</w:t>
            </w:r>
          </w:p>
        </w:tc>
      </w:tr>
      <w:tr w14:paraId="3B43E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tcBorders>
              <w:top w:val="nil"/>
            </w:tcBorders>
            <w:vAlign w:val="center"/>
          </w:tcPr>
          <w:p w14:paraId="3236DC92">
            <w:pPr>
              <w:adjustRightInd w:val="0"/>
              <w:snapToGrid w:val="0"/>
              <w:spacing w:line="360" w:lineRule="auto"/>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2.2.5</w:t>
            </w:r>
          </w:p>
        </w:tc>
        <w:tc>
          <w:tcPr>
            <w:tcW w:w="2340" w:type="dxa"/>
            <w:tcBorders>
              <w:top w:val="nil"/>
            </w:tcBorders>
            <w:vAlign w:val="center"/>
          </w:tcPr>
          <w:p w14:paraId="48EDCF98">
            <w:pPr>
              <w:adjustRightInd w:val="0"/>
              <w:snapToGrid w:val="0"/>
              <w:spacing w:line="360" w:lineRule="auto"/>
              <w:ind w:left="0" w:leftChars="0" w:right="0" w:rightChars="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在线提出投诉的方式</w:t>
            </w:r>
          </w:p>
        </w:tc>
        <w:tc>
          <w:tcPr>
            <w:tcW w:w="6345" w:type="dxa"/>
            <w:gridSpan w:val="2"/>
            <w:vAlign w:val="center"/>
          </w:tcPr>
          <w:p w14:paraId="3E96D0F3">
            <w:pPr>
              <w:keepNext w:val="0"/>
              <w:keepLines w:val="0"/>
              <w:pageBreakBefore w:val="0"/>
              <w:widowControl/>
              <w:suppressLineNumbers w:val="0"/>
              <w:kinsoku/>
              <w:wordWrap/>
              <w:overflowPunct/>
              <w:topLinePunct w:val="0"/>
              <w:bidi w:val="0"/>
              <w:adjustRightInd/>
              <w:snapToGrid/>
              <w:spacing w:line="360" w:lineRule="auto"/>
              <w:ind w:left="110" w:leftChars="50" w:right="0" w:right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诉人应当在知道或者应当知道其权益受到侵害之日起十日内向监管部门在线提出投诉。建议通过淮北市电子交易系统“在线投诉”功能提出投诉，且淮北市电子交易系统支持(潜在)投标人使用电子印章提出投诉。</w:t>
            </w:r>
          </w:p>
        </w:tc>
      </w:tr>
      <w:tr w14:paraId="7CFF8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1BF799C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3.1.1</w:t>
            </w:r>
          </w:p>
        </w:tc>
        <w:tc>
          <w:tcPr>
            <w:tcW w:w="2340" w:type="dxa"/>
            <w:vAlign w:val="center"/>
          </w:tcPr>
          <w:p w14:paraId="7F99A0C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投标文件密封形式</w:t>
            </w:r>
          </w:p>
        </w:tc>
        <w:tc>
          <w:tcPr>
            <w:tcW w:w="6345" w:type="dxa"/>
            <w:gridSpan w:val="2"/>
            <w:vAlign w:val="center"/>
          </w:tcPr>
          <w:p w14:paraId="32F5F594">
            <w:pPr>
              <w:pStyle w:val="42"/>
              <w:keepNext w:val="0"/>
              <w:keepLines w:val="0"/>
              <w:pageBreakBefore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spacing w:val="-1"/>
                <w:sz w:val="21"/>
                <w:szCs w:val="21"/>
                <w:lang w:eastAsia="zh-CN"/>
              </w:rPr>
              <w:t>☑</w:t>
            </w:r>
            <w:r>
              <w:rPr>
                <w:rFonts w:hint="eastAsia" w:ascii="宋体" w:hAnsi="宋体" w:eastAsia="宋体" w:cs="宋体"/>
                <w:sz w:val="21"/>
                <w:szCs w:val="21"/>
              </w:rPr>
              <w:t>双信封</w:t>
            </w:r>
          </w:p>
          <w:p w14:paraId="3A2B7977">
            <w:pPr>
              <w:pStyle w:val="42"/>
              <w:keepNext w:val="0"/>
              <w:keepLines w:val="0"/>
              <w:pageBreakBefore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z w:val="21"/>
                <w:szCs w:val="21"/>
              </w:rPr>
              <w:t>单信封</w:t>
            </w:r>
          </w:p>
        </w:tc>
      </w:tr>
      <w:tr w14:paraId="51629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289A9BEA">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3.1.1</w:t>
            </w:r>
          </w:p>
        </w:tc>
        <w:tc>
          <w:tcPr>
            <w:tcW w:w="2340" w:type="dxa"/>
            <w:vAlign w:val="center"/>
          </w:tcPr>
          <w:p w14:paraId="2226CD22">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构成投标文件的其他资料</w:t>
            </w:r>
          </w:p>
        </w:tc>
        <w:tc>
          <w:tcPr>
            <w:tcW w:w="6345" w:type="dxa"/>
            <w:gridSpan w:val="2"/>
            <w:vAlign w:val="center"/>
          </w:tcPr>
          <w:p w14:paraId="33A3D695">
            <w:pPr>
              <w:pStyle w:val="42"/>
              <w:keepNext w:val="0"/>
              <w:keepLines w:val="0"/>
              <w:pageBreakBefore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w:t>
            </w:r>
          </w:p>
        </w:tc>
      </w:tr>
      <w:tr w14:paraId="4598C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2B3EF5F9">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3.2.1</w:t>
            </w:r>
          </w:p>
        </w:tc>
        <w:tc>
          <w:tcPr>
            <w:tcW w:w="2340" w:type="dxa"/>
            <w:vAlign w:val="center"/>
          </w:tcPr>
          <w:p w14:paraId="3323DC9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增值税税金的计算方法</w:t>
            </w:r>
          </w:p>
        </w:tc>
        <w:tc>
          <w:tcPr>
            <w:tcW w:w="6345" w:type="dxa"/>
            <w:gridSpan w:val="2"/>
            <w:vAlign w:val="center"/>
          </w:tcPr>
          <w:p w14:paraId="243CB628">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一般计税计算法</w:t>
            </w:r>
          </w:p>
        </w:tc>
      </w:tr>
      <w:tr w14:paraId="0FE1F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1A8A0FD0">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3.2.1</w:t>
            </w:r>
          </w:p>
        </w:tc>
        <w:tc>
          <w:tcPr>
            <w:tcW w:w="2340" w:type="dxa"/>
            <w:vAlign w:val="center"/>
          </w:tcPr>
          <w:p w14:paraId="11A842A5">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工程量清单的填写方式</w:t>
            </w:r>
          </w:p>
        </w:tc>
        <w:tc>
          <w:tcPr>
            <w:tcW w:w="6345" w:type="dxa"/>
            <w:gridSpan w:val="2"/>
            <w:vAlign w:val="center"/>
          </w:tcPr>
          <w:p w14:paraId="6D640502">
            <w:pPr>
              <w:pStyle w:val="42"/>
              <w:keepNext w:val="0"/>
              <w:keepLines w:val="0"/>
              <w:pageBreakBefore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投标人按照招标人提供的工程量固化清单电子文件填</w:t>
            </w:r>
            <w:r>
              <w:rPr>
                <w:rFonts w:hint="eastAsia" w:ascii="宋体" w:hAnsi="宋体" w:eastAsia="宋体" w:cs="宋体"/>
                <w:spacing w:val="-3"/>
                <w:sz w:val="21"/>
                <w:szCs w:val="21"/>
                <w:highlight w:val="none"/>
              </w:rPr>
              <w:t>写</w:t>
            </w:r>
            <w:r>
              <w:rPr>
                <w:rFonts w:hint="eastAsia" w:ascii="宋体" w:hAnsi="宋体" w:eastAsia="宋体" w:cs="宋体"/>
                <w:sz w:val="21"/>
                <w:szCs w:val="21"/>
                <w:highlight w:val="none"/>
              </w:rPr>
              <w:t>工</w:t>
            </w:r>
            <w:r>
              <w:rPr>
                <w:rFonts w:hint="eastAsia" w:ascii="宋体" w:hAnsi="宋体" w:eastAsia="宋体" w:cs="宋体"/>
                <w:spacing w:val="-3"/>
                <w:sz w:val="21"/>
                <w:szCs w:val="21"/>
                <w:highlight w:val="none"/>
              </w:rPr>
              <w:t>程</w:t>
            </w:r>
            <w:r>
              <w:rPr>
                <w:rFonts w:hint="eastAsia" w:ascii="宋体" w:hAnsi="宋体" w:eastAsia="宋体" w:cs="宋体"/>
                <w:sz w:val="21"/>
                <w:szCs w:val="21"/>
                <w:highlight w:val="none"/>
              </w:rPr>
              <w:t>量</w:t>
            </w:r>
            <w:r>
              <w:rPr>
                <w:rFonts w:hint="eastAsia" w:ascii="宋体" w:hAnsi="宋体" w:eastAsia="宋体" w:cs="宋体"/>
                <w:spacing w:val="-3"/>
                <w:sz w:val="21"/>
                <w:szCs w:val="21"/>
                <w:highlight w:val="none"/>
              </w:rPr>
              <w:t>清</w:t>
            </w:r>
            <w:r>
              <w:rPr>
                <w:rFonts w:hint="eastAsia" w:ascii="宋体" w:hAnsi="宋体" w:eastAsia="宋体" w:cs="宋体"/>
                <w:sz w:val="21"/>
                <w:szCs w:val="21"/>
                <w:highlight w:val="none"/>
              </w:rPr>
              <w:t>单</w:t>
            </w:r>
            <w:r>
              <w:rPr>
                <w:rFonts w:hint="eastAsia" w:ascii="宋体" w:hAnsi="宋体" w:eastAsia="宋体" w:cs="宋体"/>
                <w:sz w:val="21"/>
                <w:szCs w:val="21"/>
                <w:highlight w:val="none"/>
                <w:lang w:eastAsia="zh-CN"/>
              </w:rPr>
              <w:t>。</w:t>
            </w:r>
            <w:r>
              <w:rPr>
                <w:rFonts w:hint="eastAsia" w:ascii="宋体" w:hAnsi="宋体" w:eastAsia="宋体" w:cs="宋体"/>
                <w:color w:val="000000"/>
                <w:kern w:val="0"/>
                <w:sz w:val="21"/>
                <w:szCs w:val="21"/>
                <w:highlight w:val="none"/>
                <w:lang w:val="en-US" w:eastAsia="zh-CN" w:bidi="ar"/>
              </w:rPr>
              <w:t xml:space="preserve"> </w:t>
            </w:r>
          </w:p>
          <w:p w14:paraId="06788ADB">
            <w:pPr>
              <w:pStyle w:val="42"/>
              <w:keepNext w:val="0"/>
              <w:keepLines w:val="0"/>
              <w:pageBreakBefore w:val="0"/>
              <w:kinsoku/>
              <w:wordWrap/>
              <w:overflowPunct/>
              <w:topLinePunct w:val="0"/>
              <w:autoSpaceDE w:val="0"/>
              <w:autoSpaceDN w:val="0"/>
              <w:bidi w:val="0"/>
              <w:adjustRightInd/>
              <w:snapToGrid/>
              <w:spacing w:before="0" w:line="360" w:lineRule="auto"/>
              <w:ind w:left="110" w:leftChars="5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投标人按照招标人提供的书面工程量清单填写工程量</w:t>
            </w:r>
            <w:r>
              <w:rPr>
                <w:rFonts w:hint="eastAsia" w:cs="宋体"/>
                <w:sz w:val="21"/>
                <w:szCs w:val="21"/>
                <w:highlight w:val="none"/>
                <w:lang w:eastAsia="zh-CN"/>
              </w:rPr>
              <w:t>清单</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下</w:t>
            </w:r>
            <w:r>
              <w:rPr>
                <w:rFonts w:hint="eastAsia" w:ascii="宋体" w:hAnsi="宋体" w:eastAsia="宋体" w:cs="宋体"/>
                <w:spacing w:val="-3"/>
                <w:sz w:val="21"/>
                <w:szCs w:val="21"/>
                <w:highlight w:val="none"/>
              </w:rPr>
              <w:t>载</w:t>
            </w:r>
            <w:r>
              <w:rPr>
                <w:rFonts w:hint="eastAsia" w:ascii="宋体" w:hAnsi="宋体" w:eastAsia="宋体" w:cs="宋体"/>
                <w:sz w:val="21"/>
                <w:szCs w:val="21"/>
                <w:highlight w:val="none"/>
              </w:rPr>
              <w:t>网站</w:t>
            </w:r>
            <w:r>
              <w:rPr>
                <w:rFonts w:hint="eastAsia" w:ascii="宋体" w:hAnsi="宋体" w:eastAsia="宋体" w:cs="宋体"/>
                <w:spacing w:val="-3"/>
                <w:sz w:val="21"/>
                <w:szCs w:val="21"/>
                <w:highlight w:val="none"/>
              </w:rPr>
              <w:t>：</w:t>
            </w:r>
            <w:r>
              <w:rPr>
                <w:rFonts w:hint="eastAsia" w:ascii="宋体" w:hAnsi="宋体" w:eastAsia="宋体" w:cs="宋体"/>
                <w:color w:val="000000"/>
                <w:kern w:val="0"/>
                <w:sz w:val="21"/>
                <w:szCs w:val="21"/>
                <w:highlight w:val="none"/>
                <w:lang w:val="en-US" w:eastAsia="zh-CN" w:bidi="ar"/>
              </w:rPr>
              <w:t>淮北市公共资源交易网（ggzy.huaibei.gov.cn）</w:t>
            </w:r>
          </w:p>
        </w:tc>
      </w:tr>
      <w:tr w14:paraId="5989F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1130" w:type="dxa"/>
            <w:vAlign w:val="center"/>
          </w:tcPr>
          <w:p w14:paraId="4FC869E8">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3.2.3</w:t>
            </w:r>
          </w:p>
        </w:tc>
        <w:tc>
          <w:tcPr>
            <w:tcW w:w="2349" w:type="dxa"/>
            <w:gridSpan w:val="3"/>
            <w:vAlign w:val="center"/>
          </w:tcPr>
          <w:p w14:paraId="3E392BA2">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报价方式</w:t>
            </w:r>
          </w:p>
        </w:tc>
        <w:tc>
          <w:tcPr>
            <w:tcW w:w="6344" w:type="dxa"/>
            <w:vAlign w:val="center"/>
          </w:tcPr>
          <w:p w14:paraId="103BBEBD">
            <w:pPr>
              <w:pStyle w:val="42"/>
              <w:keepNext w:val="0"/>
              <w:keepLines w:val="0"/>
              <w:pageBreakBefore w:val="0"/>
              <w:kinsoku/>
              <w:wordWrap/>
              <w:overflowPunct/>
              <w:topLinePunct w:val="0"/>
              <w:bidi w:val="0"/>
              <w:adjustRightInd/>
              <w:snapToGrid/>
              <w:spacing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spacing w:val="-1"/>
                <w:sz w:val="21"/>
                <w:szCs w:val="21"/>
                <w:lang w:eastAsia="zh-CN"/>
              </w:rPr>
              <w:t>☑</w:t>
            </w:r>
            <w:r>
              <w:rPr>
                <w:rFonts w:hint="eastAsia" w:ascii="宋体" w:hAnsi="宋体" w:eastAsia="宋体" w:cs="宋体"/>
                <w:sz w:val="21"/>
                <w:szCs w:val="21"/>
              </w:rPr>
              <w:t>单价</w:t>
            </w:r>
          </w:p>
          <w:p w14:paraId="24435067">
            <w:pPr>
              <w:pStyle w:val="42"/>
              <w:keepNext w:val="0"/>
              <w:keepLines w:val="0"/>
              <w:pageBreakBefore w:val="0"/>
              <w:kinsoku/>
              <w:wordWrap/>
              <w:overflowPunct/>
              <w:topLinePunct w:val="0"/>
              <w:bidi w:val="0"/>
              <w:adjustRightInd/>
              <w:snapToGrid/>
              <w:spacing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z w:val="21"/>
                <w:szCs w:val="21"/>
              </w:rPr>
              <w:t>总价</w:t>
            </w:r>
          </w:p>
        </w:tc>
      </w:tr>
      <w:tr w14:paraId="48018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1130" w:type="dxa"/>
            <w:vAlign w:val="center"/>
          </w:tcPr>
          <w:p w14:paraId="741C45E6">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3.2.6</w:t>
            </w:r>
          </w:p>
        </w:tc>
        <w:tc>
          <w:tcPr>
            <w:tcW w:w="2349" w:type="dxa"/>
            <w:gridSpan w:val="3"/>
            <w:vAlign w:val="center"/>
          </w:tcPr>
          <w:p w14:paraId="3F9253EC">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是否接受调价函</w:t>
            </w:r>
          </w:p>
        </w:tc>
        <w:tc>
          <w:tcPr>
            <w:tcW w:w="6344" w:type="dxa"/>
            <w:vAlign w:val="center"/>
          </w:tcPr>
          <w:p w14:paraId="5D1419EA">
            <w:pPr>
              <w:pStyle w:val="42"/>
              <w:keepNext w:val="0"/>
              <w:keepLines w:val="0"/>
              <w:pageBreakBefore w:val="0"/>
              <w:kinsoku/>
              <w:wordWrap/>
              <w:overflowPunct/>
              <w:topLinePunct w:val="0"/>
              <w:bidi w:val="0"/>
              <w:adjustRightInd/>
              <w:snapToGrid/>
              <w:spacing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z w:val="21"/>
                <w:szCs w:val="21"/>
              </w:rPr>
              <w:t>是</w:t>
            </w:r>
          </w:p>
          <w:p w14:paraId="5A30EFE1">
            <w:pPr>
              <w:pStyle w:val="42"/>
              <w:keepNext w:val="0"/>
              <w:keepLines w:val="0"/>
              <w:pageBreakBefore w:val="0"/>
              <w:kinsoku/>
              <w:wordWrap/>
              <w:overflowPunct/>
              <w:topLinePunct w:val="0"/>
              <w:bidi w:val="0"/>
              <w:adjustRightInd/>
              <w:snapToGrid/>
              <w:spacing w:line="360" w:lineRule="auto"/>
              <w:ind w:left="110" w:leftChars="50"/>
              <w:jc w:val="both"/>
              <w:textAlignment w:val="auto"/>
              <w:rPr>
                <w:rFonts w:hint="eastAsia" w:ascii="宋体" w:hAnsi="宋体" w:eastAsia="宋体" w:cs="宋体"/>
                <w:sz w:val="21"/>
                <w:szCs w:val="21"/>
              </w:rPr>
            </w:pPr>
            <w:r>
              <w:rPr>
                <w:rFonts w:hint="eastAsia" w:ascii="宋体" w:hAnsi="宋体" w:eastAsia="宋体" w:cs="宋体"/>
                <w:spacing w:val="-1"/>
                <w:sz w:val="21"/>
                <w:szCs w:val="21"/>
                <w:lang w:eastAsia="zh-CN"/>
              </w:rPr>
              <w:t>☑</w:t>
            </w:r>
            <w:r>
              <w:rPr>
                <w:rFonts w:hint="eastAsia" w:ascii="宋体" w:hAnsi="宋体" w:eastAsia="宋体" w:cs="宋体"/>
                <w:sz w:val="21"/>
                <w:szCs w:val="21"/>
              </w:rPr>
              <w:t>否</w:t>
            </w:r>
          </w:p>
        </w:tc>
      </w:tr>
      <w:tr w14:paraId="3CEC6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1130" w:type="dxa"/>
            <w:vAlign w:val="center"/>
          </w:tcPr>
          <w:p w14:paraId="006F9524">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3.2.8</w:t>
            </w:r>
          </w:p>
        </w:tc>
        <w:tc>
          <w:tcPr>
            <w:tcW w:w="2349" w:type="dxa"/>
            <w:gridSpan w:val="3"/>
            <w:vAlign w:val="center"/>
          </w:tcPr>
          <w:p w14:paraId="7B404FBC">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最高投标限价</w:t>
            </w:r>
          </w:p>
        </w:tc>
        <w:tc>
          <w:tcPr>
            <w:tcW w:w="6344" w:type="dxa"/>
          </w:tcPr>
          <w:p w14:paraId="1E252B77">
            <w:pPr>
              <w:pStyle w:val="42"/>
              <w:keepNext w:val="0"/>
              <w:keepLines w:val="0"/>
              <w:pageBreakBefore w:val="0"/>
              <w:kinsoku/>
              <w:wordWrap/>
              <w:overflowPunct/>
              <w:topLinePunct w:val="0"/>
              <w:bidi w:val="0"/>
              <w:adjustRightInd/>
              <w:snapToGrid/>
              <w:spacing w:line="360" w:lineRule="auto"/>
              <w:ind w:left="110" w:left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p w14:paraId="508745CF">
            <w:pPr>
              <w:pStyle w:val="42"/>
              <w:keepNext w:val="0"/>
              <w:keepLines w:val="0"/>
              <w:pageBreakBefore w:val="0"/>
              <w:tabs>
                <w:tab w:val="left" w:pos="2341"/>
                <w:tab w:val="left" w:pos="4593"/>
              </w:tabs>
              <w:kinsoku/>
              <w:wordWrap/>
              <w:overflowPunct/>
              <w:topLinePunct w:val="0"/>
              <w:bidi w:val="0"/>
              <w:adjustRightInd/>
              <w:snapToGrid/>
              <w:spacing w:line="360" w:lineRule="auto"/>
              <w:ind w:left="110" w:leftChars="50" w:right="-1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有</w:t>
            </w:r>
            <w:r>
              <w:rPr>
                <w:rFonts w:hint="eastAsia" w:ascii="宋体" w:hAnsi="宋体" w:eastAsia="宋体" w:cs="宋体"/>
                <w:spacing w:val="-60"/>
                <w:sz w:val="21"/>
                <w:szCs w:val="21"/>
                <w:highlight w:val="none"/>
              </w:rPr>
              <w:t>，</w:t>
            </w:r>
            <w:r>
              <w:rPr>
                <w:rFonts w:hint="eastAsia" w:ascii="宋体" w:hAnsi="宋体" w:eastAsia="宋体" w:cs="宋体"/>
                <w:sz w:val="21"/>
                <w:szCs w:val="21"/>
                <w:highlight w:val="none"/>
              </w:rPr>
              <w:t>最</w:t>
            </w:r>
            <w:r>
              <w:rPr>
                <w:rFonts w:hint="eastAsia" w:ascii="宋体" w:hAnsi="宋体" w:eastAsia="宋体" w:cs="宋体"/>
                <w:spacing w:val="-3"/>
                <w:sz w:val="21"/>
                <w:szCs w:val="21"/>
                <w:highlight w:val="none"/>
              </w:rPr>
              <w:t>高</w:t>
            </w:r>
            <w:r>
              <w:rPr>
                <w:rFonts w:hint="eastAsia" w:ascii="宋体" w:hAnsi="宋体" w:eastAsia="宋体" w:cs="宋体"/>
                <w:sz w:val="21"/>
                <w:szCs w:val="21"/>
                <w:highlight w:val="none"/>
              </w:rPr>
              <w:t>投</w:t>
            </w:r>
            <w:r>
              <w:rPr>
                <w:rFonts w:hint="eastAsia" w:ascii="宋体" w:hAnsi="宋体" w:eastAsia="宋体" w:cs="宋体"/>
                <w:spacing w:val="-3"/>
                <w:sz w:val="21"/>
                <w:szCs w:val="21"/>
                <w:highlight w:val="none"/>
              </w:rPr>
              <w:t>标</w:t>
            </w:r>
            <w:r>
              <w:rPr>
                <w:rFonts w:hint="eastAsia" w:ascii="宋体" w:hAnsi="宋体" w:eastAsia="宋体" w:cs="宋体"/>
                <w:sz w:val="21"/>
                <w:szCs w:val="21"/>
                <w:highlight w:val="none"/>
              </w:rPr>
              <w:t>限</w:t>
            </w:r>
            <w:r>
              <w:rPr>
                <w:rFonts w:hint="eastAsia" w:ascii="宋体" w:hAnsi="宋体" w:eastAsia="宋体" w:cs="宋体"/>
                <w:spacing w:val="-3"/>
                <w:sz w:val="21"/>
                <w:szCs w:val="21"/>
                <w:highlight w:val="none"/>
              </w:rPr>
              <w:t>价</w:t>
            </w:r>
            <w:r>
              <w:rPr>
                <w:rFonts w:hint="eastAsia" w:ascii="宋体" w:hAnsi="宋体" w:eastAsia="宋体" w:cs="宋体"/>
                <w:spacing w:val="-3"/>
                <w:sz w:val="21"/>
                <w:szCs w:val="21"/>
                <w:highlight w:val="none"/>
                <w:u w:val="single"/>
                <w:lang w:val="en-US" w:eastAsia="zh-CN"/>
              </w:rPr>
              <w:t xml:space="preserve"> 5170312.08 元（含暂列金额46万元）</w:t>
            </w:r>
          </w:p>
        </w:tc>
      </w:tr>
      <w:tr w14:paraId="2E0C1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0" w:type="dxa"/>
            <w:vAlign w:val="center"/>
          </w:tcPr>
          <w:p w14:paraId="173CB3DB">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3.2.9</w:t>
            </w:r>
          </w:p>
        </w:tc>
        <w:tc>
          <w:tcPr>
            <w:tcW w:w="2349" w:type="dxa"/>
            <w:gridSpan w:val="3"/>
            <w:vAlign w:val="center"/>
          </w:tcPr>
          <w:p w14:paraId="4207766C">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投标报价的其他要求</w:t>
            </w:r>
          </w:p>
        </w:tc>
        <w:tc>
          <w:tcPr>
            <w:tcW w:w="6344" w:type="dxa"/>
            <w:vAlign w:val="center"/>
          </w:tcPr>
          <w:p w14:paraId="3C2A72E8">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center"/>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tc>
      </w:tr>
      <w:tr w14:paraId="6A062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0" w:type="dxa"/>
            <w:vAlign w:val="center"/>
          </w:tcPr>
          <w:p w14:paraId="5540CFB9">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3.3.1</w:t>
            </w:r>
          </w:p>
        </w:tc>
        <w:tc>
          <w:tcPr>
            <w:tcW w:w="2349" w:type="dxa"/>
            <w:gridSpan w:val="3"/>
            <w:vAlign w:val="center"/>
          </w:tcPr>
          <w:p w14:paraId="737A0670">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投标有效期</w:t>
            </w:r>
          </w:p>
        </w:tc>
        <w:tc>
          <w:tcPr>
            <w:tcW w:w="6344" w:type="dxa"/>
            <w:vAlign w:val="center"/>
          </w:tcPr>
          <w:p w14:paraId="1376AFB4">
            <w:pPr>
              <w:pStyle w:val="42"/>
              <w:keepNext w:val="0"/>
              <w:keepLines w:val="0"/>
              <w:pageBreakBefore w:val="0"/>
              <w:tabs>
                <w:tab w:val="left" w:pos="3996"/>
              </w:tabs>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z w:val="21"/>
                <w:szCs w:val="21"/>
              </w:rPr>
              <w:t>自投</w:t>
            </w:r>
            <w:r>
              <w:rPr>
                <w:rFonts w:hint="eastAsia" w:ascii="宋体" w:hAnsi="宋体" w:eastAsia="宋体" w:cs="宋体"/>
                <w:spacing w:val="-3"/>
                <w:sz w:val="21"/>
                <w:szCs w:val="21"/>
              </w:rPr>
              <w:t>标</w:t>
            </w:r>
            <w:r>
              <w:rPr>
                <w:rFonts w:hint="eastAsia" w:ascii="宋体" w:hAnsi="宋体" w:eastAsia="宋体" w:cs="宋体"/>
                <w:sz w:val="21"/>
                <w:szCs w:val="21"/>
              </w:rPr>
              <w:t>人</w:t>
            </w:r>
            <w:r>
              <w:rPr>
                <w:rFonts w:hint="eastAsia" w:ascii="宋体" w:hAnsi="宋体" w:eastAsia="宋体" w:cs="宋体"/>
                <w:spacing w:val="-3"/>
                <w:sz w:val="21"/>
                <w:szCs w:val="21"/>
              </w:rPr>
              <w:t>提</w:t>
            </w:r>
            <w:r>
              <w:rPr>
                <w:rFonts w:hint="eastAsia" w:ascii="宋体" w:hAnsi="宋体" w:eastAsia="宋体" w:cs="宋体"/>
                <w:sz w:val="21"/>
                <w:szCs w:val="21"/>
              </w:rPr>
              <w:t>交</w:t>
            </w:r>
            <w:r>
              <w:rPr>
                <w:rFonts w:hint="eastAsia" w:ascii="宋体" w:hAnsi="宋体" w:eastAsia="宋体" w:cs="宋体"/>
                <w:spacing w:val="-3"/>
                <w:sz w:val="21"/>
                <w:szCs w:val="21"/>
              </w:rPr>
              <w:t>投</w:t>
            </w:r>
            <w:r>
              <w:rPr>
                <w:rFonts w:hint="eastAsia" w:ascii="宋体" w:hAnsi="宋体" w:eastAsia="宋体" w:cs="宋体"/>
                <w:sz w:val="21"/>
                <w:szCs w:val="21"/>
              </w:rPr>
              <w:t>标</w:t>
            </w:r>
            <w:r>
              <w:rPr>
                <w:rFonts w:hint="eastAsia" w:ascii="宋体" w:hAnsi="宋体" w:eastAsia="宋体" w:cs="宋体"/>
                <w:spacing w:val="-3"/>
                <w:sz w:val="21"/>
                <w:szCs w:val="21"/>
              </w:rPr>
              <w:t>文</w:t>
            </w:r>
            <w:r>
              <w:rPr>
                <w:rFonts w:hint="eastAsia" w:ascii="宋体" w:hAnsi="宋体" w:eastAsia="宋体" w:cs="宋体"/>
                <w:sz w:val="21"/>
                <w:szCs w:val="21"/>
              </w:rPr>
              <w:t>件</w:t>
            </w:r>
            <w:r>
              <w:rPr>
                <w:rFonts w:hint="eastAsia" w:ascii="宋体" w:hAnsi="宋体" w:eastAsia="宋体" w:cs="宋体"/>
                <w:spacing w:val="-3"/>
                <w:sz w:val="21"/>
                <w:szCs w:val="21"/>
              </w:rPr>
              <w:t>截</w:t>
            </w:r>
            <w:r>
              <w:rPr>
                <w:rFonts w:hint="eastAsia" w:ascii="宋体" w:hAnsi="宋体" w:eastAsia="宋体" w:cs="宋体"/>
                <w:sz w:val="21"/>
                <w:szCs w:val="21"/>
              </w:rPr>
              <w:t>止之</w:t>
            </w:r>
            <w:r>
              <w:rPr>
                <w:rFonts w:hint="eastAsia" w:ascii="宋体" w:hAnsi="宋体" w:eastAsia="宋体" w:cs="宋体"/>
                <w:spacing w:val="-3"/>
                <w:sz w:val="21"/>
                <w:szCs w:val="21"/>
              </w:rPr>
              <w:t>日</w:t>
            </w:r>
            <w:r>
              <w:rPr>
                <w:rFonts w:hint="eastAsia" w:ascii="宋体" w:hAnsi="宋体" w:eastAsia="宋体" w:cs="宋体"/>
                <w:sz w:val="21"/>
                <w:szCs w:val="21"/>
              </w:rPr>
              <w:t>起</w:t>
            </w:r>
            <w:r>
              <w:rPr>
                <w:rFonts w:hint="eastAsia" w:ascii="宋体" w:hAnsi="宋体" w:eastAsia="宋体" w:cs="宋体"/>
                <w:spacing w:val="-3"/>
                <w:sz w:val="21"/>
                <w:szCs w:val="21"/>
              </w:rPr>
              <w:t>计</w:t>
            </w:r>
            <w:r>
              <w:rPr>
                <w:rFonts w:hint="eastAsia" w:ascii="宋体" w:hAnsi="宋体" w:eastAsia="宋体" w:cs="宋体"/>
                <w:sz w:val="21"/>
                <w:szCs w:val="21"/>
              </w:rPr>
              <w:t>算</w:t>
            </w:r>
            <w:r>
              <w:rPr>
                <w:rFonts w:hint="eastAsia" w:ascii="宋体" w:hAnsi="宋体" w:eastAsia="宋体" w:cs="宋体"/>
                <w:sz w:val="21"/>
                <w:szCs w:val="21"/>
                <w:u w:val="single"/>
                <w:lang w:val="en-US" w:eastAsia="zh-CN"/>
              </w:rPr>
              <w:t>120</w:t>
            </w:r>
            <w:r>
              <w:rPr>
                <w:rFonts w:hint="eastAsia" w:ascii="宋体" w:hAnsi="宋体" w:eastAsia="宋体" w:cs="宋体"/>
                <w:sz w:val="21"/>
                <w:szCs w:val="21"/>
              </w:rPr>
              <w:t>日</w:t>
            </w:r>
          </w:p>
        </w:tc>
      </w:tr>
      <w:tr w14:paraId="7300E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0" w:type="dxa"/>
            <w:vAlign w:val="center"/>
          </w:tcPr>
          <w:p w14:paraId="0693D439">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3.4.1</w:t>
            </w:r>
          </w:p>
        </w:tc>
        <w:tc>
          <w:tcPr>
            <w:tcW w:w="2349" w:type="dxa"/>
            <w:gridSpan w:val="3"/>
            <w:vAlign w:val="center"/>
          </w:tcPr>
          <w:p w14:paraId="7389F74F">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投标保证金</w:t>
            </w:r>
          </w:p>
        </w:tc>
        <w:tc>
          <w:tcPr>
            <w:tcW w:w="6344" w:type="dxa"/>
          </w:tcPr>
          <w:p w14:paraId="57FF2177">
            <w:pPr>
              <w:keepNext w:val="0"/>
              <w:keepLines w:val="0"/>
              <w:pageBreakBefore w:val="0"/>
              <w:widowControl/>
              <w:suppressLineNumbers w:val="0"/>
              <w:kinsoku/>
              <w:wordWrap/>
              <w:overflowPunct/>
              <w:topLinePunct w:val="0"/>
              <w:autoSpaceDE/>
              <w:autoSpaceDN/>
              <w:bidi w:val="0"/>
              <w:adjustRightInd/>
              <w:snapToGrid/>
              <w:spacing w:line="360" w:lineRule="auto"/>
              <w:ind w:left="110" w:leftChars="5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1、投标保证金金额：</w:t>
            </w:r>
            <w:r>
              <w:rPr>
                <w:rFonts w:hint="eastAsia" w:ascii="宋体" w:hAnsi="宋体" w:eastAsia="宋体" w:cs="宋体"/>
                <w:sz w:val="21"/>
                <w:szCs w:val="21"/>
                <w:lang w:val="en-US" w:eastAsia="zh-CN" w:bidi="zh-CN"/>
              </w:rPr>
              <w:t>1</w:t>
            </w:r>
            <w:r>
              <w:rPr>
                <w:rFonts w:hint="eastAsia" w:cs="宋体"/>
                <w:sz w:val="21"/>
                <w:szCs w:val="21"/>
                <w:lang w:val="en-US" w:eastAsia="zh-CN" w:bidi="zh-CN"/>
              </w:rPr>
              <w:t>0</w:t>
            </w:r>
            <w:r>
              <w:rPr>
                <w:rFonts w:hint="eastAsia" w:ascii="宋体" w:hAnsi="宋体" w:eastAsia="宋体" w:cs="宋体"/>
                <w:sz w:val="21"/>
                <w:szCs w:val="21"/>
                <w:lang w:val="zh-CN" w:eastAsia="zh-CN" w:bidi="zh-CN"/>
              </w:rPr>
              <w:t xml:space="preserve">万元人民币 </w:t>
            </w:r>
          </w:p>
          <w:p w14:paraId="0E2366C8">
            <w:pPr>
              <w:keepNext w:val="0"/>
              <w:keepLines w:val="0"/>
              <w:pageBreakBefore w:val="0"/>
              <w:kinsoku/>
              <w:wordWrap/>
              <w:overflowPunct/>
              <w:topLinePunct w:val="0"/>
              <w:bidi w:val="0"/>
              <w:adjustRightInd/>
              <w:snapToGrid/>
              <w:spacing w:line="360" w:lineRule="auto"/>
              <w:ind w:left="110" w:leftChars="50"/>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2</w:t>
            </w:r>
            <w:r>
              <w:rPr>
                <w:rFonts w:hint="eastAsia" w:ascii="宋体" w:hAnsi="宋体" w:eastAsia="宋体" w:cs="宋体"/>
                <w:sz w:val="21"/>
                <w:szCs w:val="21"/>
                <w:lang w:val="zh-CN" w:eastAsia="zh-CN" w:bidi="zh-CN"/>
              </w:rPr>
              <w:t>、投标保证金形式：</w:t>
            </w:r>
          </w:p>
          <w:p w14:paraId="717CEDE2">
            <w:pPr>
              <w:keepNext w:val="0"/>
              <w:keepLines w:val="0"/>
              <w:pageBreakBefore w:val="0"/>
              <w:kinsoku/>
              <w:wordWrap/>
              <w:overflowPunct/>
              <w:topLinePunct w:val="0"/>
              <w:bidi w:val="0"/>
              <w:adjustRightInd/>
              <w:snapToGrid/>
              <w:spacing w:line="360" w:lineRule="auto"/>
              <w:ind w:left="110" w:leftChars="50"/>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第一类：☑银行转账☑银行汇款☑网银</w:t>
            </w:r>
          </w:p>
          <w:p w14:paraId="37A5D7B9">
            <w:pPr>
              <w:keepNext w:val="0"/>
              <w:keepLines w:val="0"/>
              <w:pageBreakBefore w:val="0"/>
              <w:kinsoku/>
              <w:wordWrap/>
              <w:overflowPunct/>
              <w:topLinePunct w:val="0"/>
              <w:bidi w:val="0"/>
              <w:adjustRightInd/>
              <w:snapToGrid/>
              <w:spacing w:line="360" w:lineRule="auto"/>
              <w:ind w:left="110" w:leftChars="50"/>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第二类：☑纸质银行保函</w:t>
            </w:r>
          </w:p>
          <w:p w14:paraId="1D75A563">
            <w:pPr>
              <w:keepNext w:val="0"/>
              <w:keepLines w:val="0"/>
              <w:pageBreakBefore w:val="0"/>
              <w:kinsoku/>
              <w:wordWrap/>
              <w:overflowPunct/>
              <w:topLinePunct w:val="0"/>
              <w:bidi w:val="0"/>
              <w:adjustRightInd/>
              <w:snapToGrid/>
              <w:spacing w:line="360" w:lineRule="auto"/>
              <w:ind w:left="110" w:leftChars="50"/>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第三类：☑电子保函（银行、保险、担保等）</w:t>
            </w:r>
          </w:p>
          <w:p w14:paraId="576F7132">
            <w:pPr>
              <w:keepNext w:val="0"/>
              <w:keepLines w:val="0"/>
              <w:pageBreakBefore w:val="0"/>
              <w:kinsoku/>
              <w:wordWrap/>
              <w:overflowPunct/>
              <w:topLinePunct w:val="0"/>
              <w:bidi w:val="0"/>
              <w:adjustRightInd/>
              <w:snapToGrid/>
              <w:spacing w:line="360" w:lineRule="auto"/>
              <w:ind w:left="110" w:leftChars="50"/>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3</w:t>
            </w:r>
            <w:r>
              <w:rPr>
                <w:rFonts w:hint="eastAsia" w:ascii="宋体" w:hAnsi="宋体" w:eastAsia="宋体" w:cs="宋体"/>
                <w:sz w:val="21"/>
                <w:szCs w:val="21"/>
                <w:lang w:val="zh-CN" w:eastAsia="zh-CN" w:bidi="zh-CN"/>
              </w:rPr>
              <w:t>、投标保证金提交方式：</w:t>
            </w:r>
          </w:p>
          <w:p w14:paraId="48CF1A41">
            <w:pPr>
              <w:keepNext w:val="0"/>
              <w:keepLines w:val="0"/>
              <w:pageBreakBefore w:val="0"/>
              <w:numPr>
                <w:ilvl w:val="0"/>
                <w:numId w:val="0"/>
              </w:numPr>
              <w:kinsoku/>
              <w:wordWrap/>
              <w:overflowPunct/>
              <w:topLinePunct w:val="0"/>
              <w:bidi w:val="0"/>
              <w:adjustRightInd/>
              <w:snapToGrid/>
              <w:spacing w:line="360" w:lineRule="auto"/>
              <w:ind w:left="110" w:leftChars="50" w:right="0" w:rightChars="0"/>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（1）如采用第一类形式：</w:t>
            </w:r>
          </w:p>
          <w:p w14:paraId="78CE5CFA">
            <w:pPr>
              <w:keepNext w:val="0"/>
              <w:keepLines w:val="0"/>
              <w:pageBreakBefore w:val="0"/>
              <w:kinsoku/>
              <w:wordWrap/>
              <w:overflowPunct/>
              <w:topLinePunct w:val="0"/>
              <w:bidi w:val="0"/>
              <w:adjustRightInd/>
              <w:snapToGrid/>
              <w:spacing w:line="360" w:lineRule="auto"/>
              <w:ind w:left="110" w:leftChars="50"/>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①投标保证金专用账户的户名、账号、开户行：</w:t>
            </w:r>
          </w:p>
          <w:p w14:paraId="28DEAE72">
            <w:pPr>
              <w:keepNext w:val="0"/>
              <w:keepLines w:val="0"/>
              <w:pageBreakBefore w:val="0"/>
              <w:kinsoku/>
              <w:wordWrap/>
              <w:overflowPunct/>
              <w:topLinePunct w:val="0"/>
              <w:bidi w:val="0"/>
              <w:adjustRightInd/>
              <w:snapToGrid/>
              <w:spacing w:line="360" w:lineRule="auto"/>
              <w:ind w:left="110" w:leftChars="50"/>
              <w:textAlignment w:val="auto"/>
              <w:rPr>
                <w:rFonts w:hint="eastAsia" w:ascii="宋体" w:hAnsi="宋体" w:eastAsia="宋体" w:cs="宋体"/>
                <w:sz w:val="21"/>
                <w:szCs w:val="21"/>
                <w:lang w:val="zh-CN" w:eastAsia="zh-CN" w:bidi="zh-CN"/>
              </w:rPr>
            </w:pPr>
          </w:p>
          <w:p w14:paraId="68B9FC28">
            <w:pPr>
              <w:keepNext w:val="0"/>
              <w:keepLines w:val="0"/>
              <w:pageBreakBefore w:val="0"/>
              <w:kinsoku/>
              <w:wordWrap/>
              <w:overflowPunct/>
              <w:topLinePunct w:val="0"/>
              <w:bidi w:val="0"/>
              <w:adjustRightInd/>
              <w:snapToGrid/>
              <w:spacing w:line="360" w:lineRule="auto"/>
              <w:ind w:left="110" w:leftChars="50"/>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②投标保证金必须从投标人的基本账户足额转入招标公告指定账户。投标保证金必须在投标截止时间前到达指定账户，由于投标人迟汇、错汇、误汇等未按规定提交投标保证金而引起的风险由投标人自负。</w:t>
            </w:r>
          </w:p>
          <w:p w14:paraId="273D2B4B">
            <w:pPr>
              <w:keepNext w:val="0"/>
              <w:keepLines w:val="0"/>
              <w:pageBreakBefore w:val="0"/>
              <w:numPr>
                <w:ilvl w:val="0"/>
                <w:numId w:val="0"/>
              </w:numPr>
              <w:kinsoku/>
              <w:wordWrap/>
              <w:overflowPunct/>
              <w:topLinePunct w:val="0"/>
              <w:bidi w:val="0"/>
              <w:adjustRightInd/>
              <w:snapToGrid/>
              <w:spacing w:line="360" w:lineRule="auto"/>
              <w:ind w:left="110" w:leftChars="50" w:right="0" w:rightChars="0"/>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2）如采用第二类形式：①采用纸质银行保函的，应为投标人基本账户开户行出具的见索即付无条件银行保函；②投标人在投标文件中必须提供【基本账户开户许可证】复印件（或影印件）（或投标企业基本账户开户银行的基本存款账户信息），并按格式承诺真实有效。同时将纸质银行保函复印件(或影印件)提供在投标文件中。③投标人在投标文件中必须提供明确有效的查询途径（网址链接及查询方式），否则该纸质银行保函无效。④中标候选人须在中标候选人公示期满后3个工作日内，将其开具至本项目的纸质银行保函原件提交招标人，且原件须与投标文件中提供的复印件（或影印件）一致，如存在未按规定提交或提交内容不一致的，招标人有权取消其中标候选人资格；发现弄虚作假的，招标人将报监管部门依法处理。</w:t>
            </w:r>
          </w:p>
          <w:p w14:paraId="23DFD30A">
            <w:pPr>
              <w:keepNext w:val="0"/>
              <w:keepLines w:val="0"/>
              <w:pageBreakBefore w:val="0"/>
              <w:numPr>
                <w:ilvl w:val="0"/>
                <w:numId w:val="0"/>
              </w:numPr>
              <w:kinsoku/>
              <w:wordWrap/>
              <w:overflowPunct/>
              <w:topLinePunct w:val="0"/>
              <w:bidi w:val="0"/>
              <w:adjustRightInd/>
              <w:snapToGrid/>
              <w:spacing w:line="360" w:lineRule="auto"/>
              <w:ind w:left="110" w:leftChars="50" w:right="0" w:rightChars="0"/>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（3）如采用第三类形式：投标人须在投标文件递交截止时间前提供与淮北市公共资源交易中心交易系统对接的电子保函，否则视为投标保证金未按规定要求缴纳，由评标委员会否决其投标。</w:t>
            </w:r>
          </w:p>
          <w:p w14:paraId="059F8F65">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rPr>
            </w:pPr>
            <w:r>
              <w:rPr>
                <w:rFonts w:hint="eastAsia" w:ascii="宋体" w:hAnsi="宋体" w:eastAsia="宋体" w:cs="宋体"/>
                <w:sz w:val="21"/>
                <w:szCs w:val="21"/>
                <w:lang w:val="zh-CN" w:eastAsia="zh-CN" w:bidi="zh-CN"/>
              </w:rPr>
              <w:t>注：采用第二类或第三类递交投标保证金的保函、保险、担保等有效期不得少于投标有效期</w:t>
            </w:r>
          </w:p>
        </w:tc>
      </w:tr>
      <w:tr w14:paraId="67CCA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0" w:type="dxa"/>
            <w:vAlign w:val="center"/>
          </w:tcPr>
          <w:p w14:paraId="382863A5">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3.4.3</w:t>
            </w:r>
          </w:p>
        </w:tc>
        <w:tc>
          <w:tcPr>
            <w:tcW w:w="2349" w:type="dxa"/>
            <w:gridSpan w:val="3"/>
            <w:vAlign w:val="center"/>
          </w:tcPr>
          <w:p w14:paraId="6DC7513E">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投标保证金的利息计算原则</w:t>
            </w:r>
          </w:p>
        </w:tc>
        <w:tc>
          <w:tcPr>
            <w:tcW w:w="6344" w:type="dxa"/>
            <w:vAlign w:val="center"/>
          </w:tcPr>
          <w:p w14:paraId="6E9FA70F">
            <w:pPr>
              <w:pStyle w:val="42"/>
              <w:keepNext w:val="0"/>
              <w:keepLines w:val="0"/>
              <w:pageBreakBefore w:val="0"/>
              <w:numPr>
                <w:ilvl w:val="0"/>
                <w:numId w:val="0"/>
              </w:numPr>
              <w:tabs>
                <w:tab w:val="left" w:pos="531"/>
              </w:tabs>
              <w:kinsoku/>
              <w:wordWrap/>
              <w:overflowPunct/>
              <w:topLinePunct w:val="0"/>
              <w:autoSpaceDE w:val="0"/>
              <w:autoSpaceDN w:val="0"/>
              <w:bidi w:val="0"/>
              <w:adjustRightInd/>
              <w:snapToGrid/>
              <w:spacing w:before="0" w:after="0" w:line="360" w:lineRule="auto"/>
              <w:ind w:left="110" w:leftChars="50" w:right="0" w:righ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有息</w:t>
            </w:r>
          </w:p>
        </w:tc>
      </w:tr>
      <w:tr w14:paraId="0F6C7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7E84AFFB">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3.4.4</w:t>
            </w:r>
          </w:p>
        </w:tc>
        <w:tc>
          <w:tcPr>
            <w:tcW w:w="2340" w:type="dxa"/>
            <w:vAlign w:val="center"/>
          </w:tcPr>
          <w:p w14:paraId="604CE09A">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其他可以不予退还投标保证金的情形</w:t>
            </w:r>
          </w:p>
        </w:tc>
        <w:tc>
          <w:tcPr>
            <w:tcW w:w="6345" w:type="dxa"/>
            <w:gridSpan w:val="2"/>
            <w:vAlign w:val="center"/>
          </w:tcPr>
          <w:p w14:paraId="3D76EC71">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中标人（中标候选人）在本项目招标过程中有下列行为之 </w:t>
            </w:r>
          </w:p>
          <w:p w14:paraId="1CD9C4F9">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一的，招标人不予退还投标保证金： </w:t>
            </w:r>
          </w:p>
          <w:p w14:paraId="2660E154">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（1）中标候选人无故放弃中标资格的； </w:t>
            </w:r>
          </w:p>
          <w:p w14:paraId="4CC78C92">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（2）中标后无正当理由不与招标人签订合同的</w:t>
            </w:r>
          </w:p>
        </w:tc>
      </w:tr>
      <w:tr w14:paraId="09B1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6DBCEDEB">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3.5</w:t>
            </w:r>
          </w:p>
        </w:tc>
        <w:tc>
          <w:tcPr>
            <w:tcW w:w="2340" w:type="dxa"/>
            <w:vAlign w:val="center"/>
          </w:tcPr>
          <w:p w14:paraId="37151BD1">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资格审查资料的特殊要求</w:t>
            </w:r>
          </w:p>
        </w:tc>
        <w:tc>
          <w:tcPr>
            <w:tcW w:w="6345" w:type="dxa"/>
            <w:gridSpan w:val="2"/>
          </w:tcPr>
          <w:p w14:paraId="3385639E">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无</w:t>
            </w:r>
          </w:p>
          <w:p w14:paraId="6F033EBB">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rPr>
            </w:pPr>
            <w:r>
              <w:rPr>
                <w:rFonts w:hint="eastAsia" w:ascii="宋体" w:hAnsi="宋体" w:eastAsia="宋体" w:cs="宋体"/>
                <w:sz w:val="21"/>
                <w:szCs w:val="21"/>
              </w:rPr>
              <w:t>□有，具体要求：</w:t>
            </w:r>
          </w:p>
        </w:tc>
      </w:tr>
      <w:tr w14:paraId="272E8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45C9ADD6">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3.5.2</w:t>
            </w:r>
          </w:p>
        </w:tc>
        <w:tc>
          <w:tcPr>
            <w:tcW w:w="2340" w:type="dxa"/>
            <w:vAlign w:val="center"/>
          </w:tcPr>
          <w:p w14:paraId="231C1440">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近年财务状况的年份要求</w:t>
            </w:r>
          </w:p>
        </w:tc>
        <w:tc>
          <w:tcPr>
            <w:tcW w:w="6345" w:type="dxa"/>
            <w:gridSpan w:val="2"/>
            <w:vAlign w:val="center"/>
          </w:tcPr>
          <w:p w14:paraId="25F85EF4">
            <w:pPr>
              <w:pStyle w:val="42"/>
              <w:keepNext w:val="0"/>
              <w:keepLines w:val="0"/>
              <w:pageBreakBefore w:val="0"/>
              <w:tabs>
                <w:tab w:val="left" w:pos="529"/>
                <w:tab w:val="left" w:pos="1369"/>
              </w:tabs>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lang w:eastAsia="zh-CN"/>
              </w:rPr>
            </w:pPr>
            <w:r>
              <w:rPr>
                <w:rFonts w:hint="eastAsia" w:ascii="宋体" w:hAnsi="宋体" w:eastAsia="宋体" w:cs="宋体"/>
                <w:w w:val="100"/>
                <w:sz w:val="21"/>
                <w:szCs w:val="21"/>
                <w:u w:val="single"/>
                <w:lang w:val="en-US" w:eastAsia="zh-CN"/>
              </w:rPr>
              <w:t>不要求</w:t>
            </w:r>
          </w:p>
        </w:tc>
      </w:tr>
      <w:tr w14:paraId="60BEB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000D9607">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3.5.3</w:t>
            </w:r>
          </w:p>
        </w:tc>
        <w:tc>
          <w:tcPr>
            <w:tcW w:w="2340" w:type="dxa"/>
            <w:vAlign w:val="center"/>
          </w:tcPr>
          <w:p w14:paraId="03EA5DB5">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近年完成的类似项目情况的时间要求</w:t>
            </w:r>
          </w:p>
        </w:tc>
        <w:tc>
          <w:tcPr>
            <w:tcW w:w="6345" w:type="dxa"/>
            <w:gridSpan w:val="2"/>
            <w:vAlign w:val="center"/>
          </w:tcPr>
          <w:p w14:paraId="483649D5">
            <w:pPr>
              <w:pStyle w:val="42"/>
              <w:keepNext w:val="0"/>
              <w:keepLines w:val="0"/>
              <w:pageBreakBefore w:val="0"/>
              <w:tabs>
                <w:tab w:val="left" w:pos="529"/>
                <w:tab w:val="left" w:pos="1158"/>
                <w:tab w:val="left" w:pos="1789"/>
                <w:tab w:val="left" w:pos="2627"/>
                <w:tab w:val="left" w:pos="3258"/>
                <w:tab w:val="left" w:pos="3888"/>
              </w:tabs>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lang w:val="en-US" w:eastAsia="zh-CN"/>
              </w:rPr>
            </w:pP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lang w:val="en-US" w:eastAsia="zh-CN"/>
              </w:rPr>
              <w:t>2020</w:t>
            </w:r>
            <w:r>
              <w:rPr>
                <w:rFonts w:hint="eastAsia" w:ascii="宋体" w:hAnsi="宋体" w:eastAsia="宋体" w:cs="宋体"/>
                <w:spacing w:val="-3"/>
                <w:sz w:val="21"/>
                <w:szCs w:val="21"/>
              </w:rPr>
              <w:t>年</w:t>
            </w:r>
            <w:r>
              <w:rPr>
                <w:rFonts w:hint="eastAsia" w:ascii="宋体" w:hAnsi="宋体" w:eastAsia="宋体" w:cs="宋体"/>
                <w:spacing w:val="-3"/>
                <w:sz w:val="21"/>
                <w:szCs w:val="21"/>
                <w:u w:val="single"/>
              </w:rPr>
              <w:t xml:space="preserve"> </w:t>
            </w:r>
            <w:r>
              <w:rPr>
                <w:rFonts w:hint="eastAsia" w:ascii="宋体" w:hAnsi="宋体" w:eastAsia="宋体" w:cs="宋体"/>
                <w:spacing w:val="-3"/>
                <w:sz w:val="21"/>
                <w:szCs w:val="21"/>
                <w:u w:val="single"/>
                <w:lang w:val="en-US" w:eastAsia="zh-CN"/>
              </w:rPr>
              <w:t xml:space="preserve">1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1 </w:t>
            </w:r>
            <w:r>
              <w:rPr>
                <w:rFonts w:hint="eastAsia" w:ascii="宋体" w:hAnsi="宋体" w:eastAsia="宋体" w:cs="宋体"/>
                <w:spacing w:val="-3"/>
                <w:sz w:val="21"/>
                <w:szCs w:val="21"/>
              </w:rPr>
              <w:t>日</w:t>
            </w:r>
            <w:r>
              <w:rPr>
                <w:rFonts w:hint="eastAsia" w:ascii="宋体" w:hAnsi="宋体" w:eastAsia="宋体" w:cs="宋体"/>
                <w:sz w:val="21"/>
                <w:szCs w:val="21"/>
              </w:rPr>
              <w:t>至</w:t>
            </w:r>
            <w:r>
              <w:rPr>
                <w:rFonts w:hint="eastAsia" w:ascii="宋体" w:hAnsi="宋体" w:eastAsia="宋体" w:cs="宋体"/>
                <w:sz w:val="21"/>
                <w:szCs w:val="21"/>
                <w:lang w:val="en-US" w:eastAsia="zh-CN"/>
              </w:rPr>
              <w:t>今（以交工或竣工验收时间为准）</w:t>
            </w:r>
          </w:p>
        </w:tc>
      </w:tr>
      <w:tr w14:paraId="5E6F0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55575DF1">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3.6.1</w:t>
            </w:r>
          </w:p>
        </w:tc>
        <w:tc>
          <w:tcPr>
            <w:tcW w:w="2340" w:type="dxa"/>
            <w:vAlign w:val="center"/>
          </w:tcPr>
          <w:p w14:paraId="49967963">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是否允许递交备选</w:t>
            </w:r>
          </w:p>
          <w:p w14:paraId="4720EA27">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投标方案</w:t>
            </w:r>
          </w:p>
        </w:tc>
        <w:tc>
          <w:tcPr>
            <w:tcW w:w="6345" w:type="dxa"/>
            <w:gridSpan w:val="2"/>
          </w:tcPr>
          <w:p w14:paraId="5DDC35CB">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不允许</w:t>
            </w:r>
          </w:p>
          <w:p w14:paraId="37B11896">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rPr>
            </w:pPr>
            <w:r>
              <w:rPr>
                <w:rFonts w:hint="eastAsia" w:ascii="宋体" w:hAnsi="宋体" w:eastAsia="宋体" w:cs="宋体"/>
                <w:sz w:val="21"/>
                <w:szCs w:val="21"/>
              </w:rPr>
              <w:t>□允许</w:t>
            </w:r>
          </w:p>
        </w:tc>
      </w:tr>
      <w:tr w14:paraId="3EDAD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2A45B9AA">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3.7.4</w:t>
            </w:r>
          </w:p>
        </w:tc>
        <w:tc>
          <w:tcPr>
            <w:tcW w:w="2340" w:type="dxa"/>
            <w:vAlign w:val="center"/>
          </w:tcPr>
          <w:p w14:paraId="5B10ACE5">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投标文件副本份数及其他要求</w:t>
            </w:r>
          </w:p>
        </w:tc>
        <w:tc>
          <w:tcPr>
            <w:tcW w:w="6345" w:type="dxa"/>
            <w:gridSpan w:val="2"/>
          </w:tcPr>
          <w:p w14:paraId="283C75D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投标文件副本份数：</w:t>
            </w:r>
            <w:r>
              <w:rPr>
                <w:rFonts w:hint="eastAsia" w:ascii="宋体" w:hAnsi="宋体" w:eastAsia="宋体" w:cs="宋体"/>
                <w:sz w:val="21"/>
                <w:szCs w:val="21"/>
                <w:lang w:val="en-US" w:eastAsia="zh-CN"/>
              </w:rPr>
              <w:t>/</w:t>
            </w:r>
          </w:p>
          <w:p w14:paraId="5DD32E2B">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是否要求提交电子版文件</w:t>
            </w:r>
            <w:r>
              <w:rPr>
                <w:rFonts w:hint="eastAsia" w:ascii="宋体" w:hAnsi="宋体" w:eastAsia="宋体" w:cs="宋体"/>
                <w:sz w:val="21"/>
                <w:szCs w:val="21"/>
                <w:lang w:val="en-US" w:eastAsia="zh-CN"/>
              </w:rPr>
              <w:t>:/</w:t>
            </w:r>
          </w:p>
          <w:p w14:paraId="7EF7A9B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rPr>
            </w:pPr>
            <w:r>
              <w:rPr>
                <w:rFonts w:hint="eastAsia" w:ascii="宋体" w:hAnsi="宋体" w:eastAsia="宋体" w:cs="宋体"/>
                <w:sz w:val="21"/>
                <w:szCs w:val="21"/>
              </w:rPr>
              <w:t>其他要求：</w:t>
            </w:r>
          </w:p>
          <w:p w14:paraId="30C9A85E">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1、投标人应在投标截止时间之前，从网上招投标系统递交加密后的电子投标文件；</w:t>
            </w:r>
          </w:p>
          <w:p w14:paraId="6051227E">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2、本项目开标时，投标人在互联网上参与开标，并解密其投标文件；</w:t>
            </w:r>
          </w:p>
          <w:p w14:paraId="00A1326F">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3、本项目无需委派法定代表人或其委托代理人（授权委托人）参加现场开标，无需携带数字证书在开标现场（投标时）对其投标文件解密，无需现场递交投标资料；</w:t>
            </w:r>
          </w:p>
          <w:p w14:paraId="379D11A2">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4、加密电子投标文件须在投标截止时间前</w:t>
            </w:r>
            <w:r>
              <w:rPr>
                <w:rFonts w:hint="eastAsia" w:cs="宋体"/>
                <w:color w:val="auto"/>
                <w:kern w:val="0"/>
                <w:sz w:val="21"/>
                <w:szCs w:val="21"/>
                <w:lang w:val="en-US" w:eastAsia="zh-CN" w:bidi="ar"/>
              </w:rPr>
              <w:t>登录</w:t>
            </w:r>
            <w:r>
              <w:rPr>
                <w:rFonts w:hint="eastAsia" w:ascii="宋体" w:hAnsi="宋体" w:eastAsia="宋体" w:cs="宋体"/>
                <w:color w:val="auto"/>
                <w:kern w:val="0"/>
                <w:sz w:val="21"/>
                <w:szCs w:val="21"/>
                <w:lang w:val="en-US" w:eastAsia="zh-CN" w:bidi="ar"/>
              </w:rPr>
              <w:t>“淮北市公共资源交易中心网”-“投标人登录”--“投标单位登录”--“工程业务”--“上传投标文件”上传。</w:t>
            </w:r>
          </w:p>
          <w:p w14:paraId="13628513">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5、本项目的投标文件均由各潜在投标人在投标截止日前以电子文件的形式上传。</w:t>
            </w:r>
          </w:p>
          <w:p w14:paraId="2D685A0A">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注：中标人在领取中标通知书前向招标人或招标代理机构提供与加密的电子投标文件一致的纸质文本一正四副和未加密的电子投标文件光盘一张。</w:t>
            </w:r>
          </w:p>
        </w:tc>
      </w:tr>
      <w:tr w14:paraId="5008F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138" w:type="dxa"/>
            <w:gridSpan w:val="2"/>
            <w:vAlign w:val="center"/>
          </w:tcPr>
          <w:p w14:paraId="2036919F">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3.7.5</w:t>
            </w:r>
          </w:p>
        </w:tc>
        <w:tc>
          <w:tcPr>
            <w:tcW w:w="2340" w:type="dxa"/>
            <w:vAlign w:val="center"/>
          </w:tcPr>
          <w:p w14:paraId="62068118">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装订的其他要求</w:t>
            </w:r>
          </w:p>
        </w:tc>
        <w:tc>
          <w:tcPr>
            <w:tcW w:w="6345" w:type="dxa"/>
            <w:gridSpan w:val="2"/>
            <w:vAlign w:val="center"/>
          </w:tcPr>
          <w:p w14:paraId="0A0B484C">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center"/>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w:t>
            </w:r>
          </w:p>
        </w:tc>
      </w:tr>
      <w:tr w14:paraId="45BAB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138" w:type="dxa"/>
            <w:gridSpan w:val="2"/>
            <w:vAlign w:val="center"/>
          </w:tcPr>
          <w:p w14:paraId="6F041FB5">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4.2.3</w:t>
            </w:r>
          </w:p>
        </w:tc>
        <w:tc>
          <w:tcPr>
            <w:tcW w:w="2340" w:type="dxa"/>
            <w:vAlign w:val="center"/>
          </w:tcPr>
          <w:p w14:paraId="66152008">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是否退还投标文件</w:t>
            </w:r>
          </w:p>
        </w:tc>
        <w:tc>
          <w:tcPr>
            <w:tcW w:w="6345" w:type="dxa"/>
            <w:gridSpan w:val="2"/>
            <w:vAlign w:val="center"/>
          </w:tcPr>
          <w:p w14:paraId="5F1DEE3B">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否</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□是，退还时间：</w:t>
            </w:r>
          </w:p>
        </w:tc>
      </w:tr>
      <w:tr w14:paraId="7527C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7392B1F2">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5.1</w:t>
            </w:r>
          </w:p>
        </w:tc>
        <w:tc>
          <w:tcPr>
            <w:tcW w:w="2340" w:type="dxa"/>
            <w:vAlign w:val="center"/>
          </w:tcPr>
          <w:p w14:paraId="6B72D950">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开标时间和地点</w:t>
            </w:r>
          </w:p>
        </w:tc>
        <w:tc>
          <w:tcPr>
            <w:tcW w:w="6345" w:type="dxa"/>
            <w:gridSpan w:val="2"/>
          </w:tcPr>
          <w:p w14:paraId="7ABAE1DF">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开标时间：同投标截止时间 </w:t>
            </w:r>
          </w:p>
          <w:p w14:paraId="3C6FFF7E">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开标地点：淮北市公共资源交易中心（淮北市相山区人民路197号）2楼</w:t>
            </w:r>
            <w:r>
              <w:rPr>
                <w:rFonts w:hint="eastAsia" w:ascii="宋体" w:hAnsi="宋体" w:eastAsia="宋体" w:cs="宋体"/>
                <w:color w:val="000000"/>
                <w:kern w:val="0"/>
                <w:sz w:val="21"/>
                <w:szCs w:val="21"/>
                <w:highlight w:val="yellow"/>
                <w:lang w:val="en-US" w:eastAsia="zh-CN" w:bidi="ar"/>
              </w:rPr>
              <w:t>开标  室</w:t>
            </w:r>
            <w:r>
              <w:rPr>
                <w:rFonts w:hint="eastAsia" w:ascii="宋体" w:hAnsi="宋体" w:eastAsia="宋体" w:cs="宋体"/>
                <w:color w:val="000000"/>
                <w:kern w:val="0"/>
                <w:sz w:val="21"/>
                <w:szCs w:val="21"/>
                <w:lang w:val="en-US" w:eastAsia="zh-CN" w:bidi="ar"/>
              </w:rPr>
              <w:t>。</w:t>
            </w:r>
          </w:p>
        </w:tc>
      </w:tr>
      <w:tr w14:paraId="461C4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34738B0B">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5.2.1</w:t>
            </w:r>
          </w:p>
        </w:tc>
        <w:tc>
          <w:tcPr>
            <w:tcW w:w="2340" w:type="dxa"/>
            <w:vAlign w:val="center"/>
          </w:tcPr>
          <w:p w14:paraId="2F6D33FF">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开标程序</w:t>
            </w:r>
          </w:p>
        </w:tc>
        <w:tc>
          <w:tcPr>
            <w:tcW w:w="6345" w:type="dxa"/>
            <w:gridSpan w:val="2"/>
          </w:tcPr>
          <w:p w14:paraId="5878C9C0">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 xml:space="preserve">开标顺序： </w:t>
            </w:r>
          </w:p>
          <w:p w14:paraId="121FD1A6">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投标人应在投标截止时间起30分钟内，通过互联网解密投标文件，超过30分钟未解密的投标文件，将被退回，不进入评标程序。</w:t>
            </w:r>
          </w:p>
          <w:p w14:paraId="6B75568A">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sz w:val="21"/>
                <w:szCs w:val="21"/>
              </w:rPr>
            </w:pPr>
            <w:r>
              <w:rPr>
                <w:rFonts w:hint="eastAsia" w:ascii="宋体" w:hAnsi="宋体" w:eastAsia="宋体" w:cs="宋体"/>
                <w:b/>
                <w:bCs/>
                <w:color w:val="auto"/>
                <w:kern w:val="0"/>
                <w:sz w:val="21"/>
                <w:szCs w:val="21"/>
                <w:lang w:val="en-US" w:eastAsia="zh-CN" w:bidi="ar"/>
              </w:rPr>
              <w:t>友情提醒：投标人可以通过后台查看评标结果，在此过程中要求投标人的授权代理人一直保持在线状态，因</w:t>
            </w:r>
            <w:r>
              <w:rPr>
                <w:rFonts w:hint="eastAsia" w:cs="宋体"/>
                <w:b/>
                <w:bCs/>
                <w:color w:val="auto"/>
                <w:kern w:val="0"/>
                <w:sz w:val="21"/>
                <w:szCs w:val="21"/>
                <w:lang w:val="en-US" w:eastAsia="zh-CN" w:bidi="ar"/>
              </w:rPr>
              <w:t>投标人</w:t>
            </w:r>
            <w:r>
              <w:rPr>
                <w:rFonts w:hint="eastAsia" w:ascii="宋体" w:hAnsi="宋体" w:eastAsia="宋体" w:cs="宋体"/>
                <w:b/>
                <w:bCs/>
                <w:color w:val="auto"/>
                <w:kern w:val="0"/>
                <w:sz w:val="21"/>
                <w:szCs w:val="21"/>
                <w:lang w:val="en-US" w:eastAsia="zh-CN" w:bidi="ar"/>
              </w:rPr>
              <w:t>未及时登录系统而无法接受评标委员会询标（远程网上询标）的风险，由投标人自行承担。</w:t>
            </w:r>
          </w:p>
        </w:tc>
      </w:tr>
      <w:tr w14:paraId="08E33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36E68F28">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6.1.1</w:t>
            </w:r>
          </w:p>
        </w:tc>
        <w:tc>
          <w:tcPr>
            <w:tcW w:w="2340" w:type="dxa"/>
            <w:vAlign w:val="center"/>
          </w:tcPr>
          <w:p w14:paraId="39ACFAE6">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评标委员会的组建</w:t>
            </w:r>
          </w:p>
        </w:tc>
        <w:tc>
          <w:tcPr>
            <w:tcW w:w="6345" w:type="dxa"/>
            <w:gridSpan w:val="2"/>
          </w:tcPr>
          <w:p w14:paraId="4878DB45">
            <w:pPr>
              <w:pStyle w:val="42"/>
              <w:keepNext w:val="0"/>
              <w:keepLines w:val="0"/>
              <w:pageBreakBefore w:val="0"/>
              <w:tabs>
                <w:tab w:val="left" w:pos="949"/>
                <w:tab w:val="left" w:pos="2209"/>
                <w:tab w:val="left" w:pos="4521"/>
              </w:tabs>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rPr>
            </w:pPr>
            <w:r>
              <w:rPr>
                <w:rFonts w:hint="eastAsia" w:ascii="宋体" w:hAnsi="宋体" w:eastAsia="宋体" w:cs="宋体"/>
                <w:sz w:val="21"/>
                <w:szCs w:val="21"/>
              </w:rPr>
              <w:t>评标由招标人依法组建的评标委员会负责，评标委员会由招标人的代表和有关技术、经济等方面的专家组成，成员人数原则上为五人或五人以上单数，其中技术、经济等方面的专家不得少于成员总数的三分之二。评标专家确定方式：依法从相应评标专家库中随机抽</w:t>
            </w:r>
            <w:r>
              <w:rPr>
                <w:rFonts w:hint="eastAsia" w:ascii="宋体" w:hAnsi="宋体" w:eastAsia="宋体" w:cs="宋体"/>
                <w:w w:val="100"/>
                <w:sz w:val="21"/>
                <w:szCs w:val="21"/>
              </w:rPr>
              <w:t>取</w:t>
            </w:r>
          </w:p>
        </w:tc>
      </w:tr>
      <w:tr w14:paraId="63C2A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12E86FB6">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6.3.2</w:t>
            </w:r>
          </w:p>
        </w:tc>
        <w:tc>
          <w:tcPr>
            <w:tcW w:w="2340" w:type="dxa"/>
            <w:vAlign w:val="center"/>
          </w:tcPr>
          <w:p w14:paraId="792DAA0E">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评标委员会推荐中标候选人的人数</w:t>
            </w:r>
          </w:p>
        </w:tc>
        <w:tc>
          <w:tcPr>
            <w:tcW w:w="6345" w:type="dxa"/>
            <w:gridSpan w:val="2"/>
            <w:vAlign w:val="center"/>
          </w:tcPr>
          <w:p w14:paraId="64B34A8C">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推荐的中标候选人为</w:t>
            </w:r>
            <w:r>
              <w:rPr>
                <w:rFonts w:hint="eastAsia" w:cs="宋体"/>
                <w:sz w:val="21"/>
                <w:szCs w:val="21"/>
                <w:lang w:val="en-US" w:eastAsia="zh-CN"/>
              </w:rPr>
              <w:t>前3</w:t>
            </w:r>
            <w:r>
              <w:rPr>
                <w:rFonts w:hint="eastAsia" w:ascii="宋体" w:hAnsi="宋体" w:eastAsia="宋体" w:cs="宋体"/>
                <w:sz w:val="21"/>
                <w:szCs w:val="21"/>
                <w:lang w:val="en-US" w:eastAsia="zh-CN"/>
              </w:rPr>
              <w:t>名</w:t>
            </w:r>
          </w:p>
        </w:tc>
      </w:tr>
      <w:tr w14:paraId="037B8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1138" w:type="dxa"/>
            <w:gridSpan w:val="2"/>
            <w:vAlign w:val="center"/>
          </w:tcPr>
          <w:p w14:paraId="490D6395">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7.1</w:t>
            </w:r>
          </w:p>
        </w:tc>
        <w:tc>
          <w:tcPr>
            <w:tcW w:w="2340" w:type="dxa"/>
            <w:vAlign w:val="center"/>
          </w:tcPr>
          <w:p w14:paraId="54A21ADC">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中标候选人公示媒介及期限</w:t>
            </w:r>
          </w:p>
        </w:tc>
        <w:tc>
          <w:tcPr>
            <w:tcW w:w="6345" w:type="dxa"/>
            <w:gridSpan w:val="2"/>
          </w:tcPr>
          <w:p w14:paraId="009BC551">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sz w:val="21"/>
                <w:szCs w:val="21"/>
              </w:rPr>
            </w:pPr>
            <w:r>
              <w:rPr>
                <w:rFonts w:hint="eastAsia" w:ascii="宋体" w:hAnsi="宋体" w:eastAsia="宋体" w:cs="宋体"/>
                <w:sz w:val="21"/>
                <w:szCs w:val="21"/>
              </w:rPr>
              <w:t>公示媒介：</w:t>
            </w:r>
            <w:r>
              <w:rPr>
                <w:rFonts w:hint="eastAsia" w:ascii="宋体" w:hAnsi="宋体" w:eastAsia="宋体" w:cs="宋体"/>
                <w:color w:val="000000"/>
                <w:kern w:val="0"/>
                <w:sz w:val="21"/>
                <w:szCs w:val="21"/>
                <w:lang w:val="en-US" w:eastAsia="zh-CN" w:bidi="ar"/>
              </w:rPr>
              <w:t>淮北市公共资源交易网</w:t>
            </w:r>
          </w:p>
          <w:p w14:paraId="0A15C62A">
            <w:pPr>
              <w:pStyle w:val="42"/>
              <w:keepNext w:val="0"/>
              <w:keepLines w:val="0"/>
              <w:pageBreakBefore w:val="0"/>
              <w:tabs>
                <w:tab w:val="left" w:pos="2104"/>
              </w:tabs>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rPr>
            </w:pPr>
            <w:r>
              <w:rPr>
                <w:rFonts w:hint="eastAsia" w:ascii="宋体" w:hAnsi="宋体" w:eastAsia="宋体" w:cs="宋体"/>
                <w:sz w:val="21"/>
                <w:szCs w:val="21"/>
              </w:rPr>
              <w:t>公示</w:t>
            </w:r>
            <w:r>
              <w:rPr>
                <w:rFonts w:hint="eastAsia" w:ascii="宋体" w:hAnsi="宋体" w:eastAsia="宋体" w:cs="宋体"/>
                <w:spacing w:val="-3"/>
                <w:sz w:val="21"/>
                <w:szCs w:val="21"/>
              </w:rPr>
              <w:t>期</w:t>
            </w:r>
            <w:r>
              <w:rPr>
                <w:rFonts w:hint="eastAsia" w:ascii="宋体" w:hAnsi="宋体" w:eastAsia="宋体" w:cs="宋体"/>
                <w:sz w:val="21"/>
                <w:szCs w:val="21"/>
              </w:rPr>
              <w:t>限</w:t>
            </w:r>
            <w:r>
              <w:rPr>
                <w:rFonts w:hint="eastAsia" w:ascii="宋体" w:hAnsi="宋体" w:eastAsia="宋体" w:cs="宋体"/>
                <w:spacing w:val="-3"/>
                <w:sz w:val="21"/>
                <w:szCs w:val="21"/>
              </w:rPr>
              <w:t>：</w:t>
            </w:r>
            <w:r>
              <w:rPr>
                <w:rFonts w:hint="eastAsia" w:ascii="宋体" w:hAnsi="宋体" w:eastAsia="宋体" w:cs="宋体"/>
                <w:spacing w:val="-3"/>
                <w:sz w:val="21"/>
                <w:szCs w:val="21"/>
                <w:u w:val="single"/>
              </w:rPr>
              <w:t xml:space="preserve"> </w:t>
            </w:r>
            <w:r>
              <w:rPr>
                <w:rFonts w:hint="eastAsia" w:ascii="宋体" w:hAnsi="宋体" w:eastAsia="宋体" w:cs="宋体"/>
                <w:spacing w:val="-3"/>
                <w:sz w:val="21"/>
                <w:szCs w:val="21"/>
                <w:u w:val="single"/>
                <w:lang w:val="en-US" w:eastAsia="zh-CN"/>
              </w:rPr>
              <w:t xml:space="preserve">3 </w:t>
            </w:r>
            <w:r>
              <w:rPr>
                <w:rFonts w:hint="eastAsia" w:ascii="宋体" w:hAnsi="宋体" w:eastAsia="宋体" w:cs="宋体"/>
                <w:sz w:val="21"/>
                <w:szCs w:val="21"/>
              </w:rPr>
              <w:t>日</w:t>
            </w:r>
          </w:p>
          <w:p w14:paraId="72EF7E32">
            <w:pPr>
              <w:pStyle w:val="42"/>
              <w:keepNext w:val="0"/>
              <w:keepLines w:val="0"/>
              <w:pageBreakBefore w:val="0"/>
              <w:tabs>
                <w:tab w:val="left" w:pos="2780"/>
              </w:tabs>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lang w:eastAsia="zh-CN"/>
              </w:rPr>
            </w:pPr>
            <w:r>
              <w:rPr>
                <w:rFonts w:hint="eastAsia" w:ascii="宋体" w:hAnsi="宋体" w:eastAsia="宋体" w:cs="宋体"/>
                <w:sz w:val="21"/>
                <w:szCs w:val="21"/>
              </w:rPr>
              <w:t>公示</w:t>
            </w:r>
            <w:r>
              <w:rPr>
                <w:rFonts w:hint="eastAsia" w:ascii="宋体" w:hAnsi="宋体" w:eastAsia="宋体" w:cs="宋体"/>
                <w:spacing w:val="-3"/>
                <w:sz w:val="21"/>
                <w:szCs w:val="21"/>
              </w:rPr>
              <w:t>的</w:t>
            </w:r>
            <w:r>
              <w:rPr>
                <w:rFonts w:hint="eastAsia" w:ascii="宋体" w:hAnsi="宋体" w:eastAsia="宋体" w:cs="宋体"/>
                <w:sz w:val="21"/>
                <w:szCs w:val="21"/>
              </w:rPr>
              <w:t>其</w:t>
            </w:r>
            <w:r>
              <w:rPr>
                <w:rFonts w:hint="eastAsia" w:ascii="宋体" w:hAnsi="宋体" w:eastAsia="宋体" w:cs="宋体"/>
                <w:spacing w:val="-3"/>
                <w:sz w:val="21"/>
                <w:szCs w:val="21"/>
              </w:rPr>
              <w:t>他</w:t>
            </w:r>
            <w:r>
              <w:rPr>
                <w:rFonts w:hint="eastAsia" w:ascii="宋体" w:hAnsi="宋体" w:eastAsia="宋体" w:cs="宋体"/>
                <w:sz w:val="21"/>
                <w:szCs w:val="21"/>
              </w:rPr>
              <w:t>内</w:t>
            </w:r>
            <w:r>
              <w:rPr>
                <w:rFonts w:hint="eastAsia" w:ascii="宋体" w:hAnsi="宋体" w:eastAsia="宋体" w:cs="宋体"/>
                <w:spacing w:val="-3"/>
                <w:sz w:val="21"/>
                <w:szCs w:val="21"/>
              </w:rPr>
              <w:t>容</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w:t>
            </w:r>
          </w:p>
        </w:tc>
      </w:tr>
      <w:tr w14:paraId="0BA97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109D5C70">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7.4</w:t>
            </w:r>
          </w:p>
        </w:tc>
        <w:tc>
          <w:tcPr>
            <w:tcW w:w="2340" w:type="dxa"/>
            <w:vAlign w:val="center"/>
          </w:tcPr>
          <w:p w14:paraId="06FA3CAC">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是否授权评标委员会确定中标人</w:t>
            </w:r>
          </w:p>
        </w:tc>
        <w:tc>
          <w:tcPr>
            <w:tcW w:w="6345" w:type="dxa"/>
            <w:gridSpan w:val="2"/>
          </w:tcPr>
          <w:p w14:paraId="7E9347BF">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rPr>
            </w:pPr>
            <w:r>
              <w:rPr>
                <w:rFonts w:hint="eastAsia" w:ascii="宋体" w:hAnsi="宋体" w:eastAsia="宋体" w:cs="宋体"/>
                <w:spacing w:val="-1"/>
                <w:sz w:val="21"/>
                <w:szCs w:val="21"/>
              </w:rPr>
              <w:t>□</w:t>
            </w:r>
            <w:r>
              <w:rPr>
                <w:rFonts w:hint="eastAsia" w:ascii="宋体" w:hAnsi="宋体" w:eastAsia="宋体" w:cs="宋体"/>
                <w:sz w:val="21"/>
                <w:szCs w:val="21"/>
              </w:rPr>
              <w:t>是</w:t>
            </w:r>
          </w:p>
          <w:p w14:paraId="028A0434">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rPr>
            </w:pPr>
            <w:r>
              <w:rPr>
                <w:rFonts w:hint="eastAsia" w:ascii="宋体" w:hAnsi="宋体" w:eastAsia="宋体" w:cs="宋体"/>
                <w:spacing w:val="-1"/>
                <w:sz w:val="21"/>
                <w:szCs w:val="21"/>
                <w:lang w:eastAsia="zh-CN"/>
              </w:rPr>
              <w:t>☑</w:t>
            </w:r>
            <w:r>
              <w:rPr>
                <w:rFonts w:hint="eastAsia" w:ascii="宋体" w:hAnsi="宋体" w:eastAsia="宋体" w:cs="宋体"/>
                <w:sz w:val="21"/>
                <w:szCs w:val="21"/>
              </w:rPr>
              <w:t>否</w:t>
            </w:r>
          </w:p>
        </w:tc>
      </w:tr>
      <w:tr w14:paraId="67E0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291D0E36">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7.5</w:t>
            </w:r>
          </w:p>
        </w:tc>
        <w:tc>
          <w:tcPr>
            <w:tcW w:w="2340" w:type="dxa"/>
            <w:vAlign w:val="center"/>
          </w:tcPr>
          <w:p w14:paraId="59C480CE">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bidi="zh-CN"/>
              </w:rPr>
              <w:t>中标结果公示媒介、期限</w:t>
            </w:r>
          </w:p>
        </w:tc>
        <w:tc>
          <w:tcPr>
            <w:tcW w:w="6345" w:type="dxa"/>
            <w:gridSpan w:val="2"/>
          </w:tcPr>
          <w:p w14:paraId="04537754">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公示媒介：淮北市公共资源交易网</w:t>
            </w:r>
          </w:p>
          <w:p w14:paraId="25532DDD">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公示期限：</w:t>
            </w:r>
            <w:r>
              <w:rPr>
                <w:rFonts w:hint="eastAsia" w:ascii="宋体" w:hAnsi="宋体" w:eastAsia="宋体" w:cs="宋体"/>
                <w:color w:val="000000"/>
                <w:kern w:val="0"/>
                <w:sz w:val="21"/>
                <w:szCs w:val="21"/>
                <w:highlight w:val="yellow"/>
                <w:u w:val="single"/>
                <w:lang w:val="en-US" w:eastAsia="zh-CN" w:bidi="ar"/>
              </w:rPr>
              <w:t xml:space="preserve"> </w:t>
            </w:r>
            <w:r>
              <w:rPr>
                <w:rFonts w:hint="eastAsia" w:cs="宋体"/>
                <w:color w:val="000000"/>
                <w:kern w:val="0"/>
                <w:sz w:val="21"/>
                <w:szCs w:val="21"/>
                <w:highlight w:val="yellow"/>
                <w:u w:val="single"/>
                <w:lang w:val="en-US" w:eastAsia="zh-CN" w:bidi="ar"/>
              </w:rPr>
              <w:t>1</w:t>
            </w:r>
            <w:r>
              <w:rPr>
                <w:rFonts w:hint="eastAsia" w:ascii="宋体" w:hAnsi="宋体" w:eastAsia="宋体" w:cs="宋体"/>
                <w:color w:val="000000"/>
                <w:kern w:val="0"/>
                <w:sz w:val="21"/>
                <w:szCs w:val="21"/>
                <w:highlight w:val="yellow"/>
                <w:u w:val="single"/>
                <w:lang w:val="en-US" w:eastAsia="zh-CN" w:bidi="ar"/>
              </w:rPr>
              <w:t xml:space="preserve">个工作 </w:t>
            </w:r>
            <w:r>
              <w:rPr>
                <w:rFonts w:hint="eastAsia" w:ascii="宋体" w:hAnsi="宋体" w:eastAsia="宋体" w:cs="宋体"/>
                <w:color w:val="000000"/>
                <w:kern w:val="0"/>
                <w:sz w:val="21"/>
                <w:szCs w:val="21"/>
                <w:highlight w:val="yellow"/>
                <w:lang w:val="en-US" w:eastAsia="zh-CN" w:bidi="ar"/>
              </w:rPr>
              <w:t>日</w:t>
            </w:r>
          </w:p>
        </w:tc>
      </w:tr>
      <w:tr w14:paraId="3863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304F5517">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7.7.1</w:t>
            </w:r>
          </w:p>
        </w:tc>
        <w:tc>
          <w:tcPr>
            <w:tcW w:w="2340" w:type="dxa"/>
            <w:vAlign w:val="center"/>
          </w:tcPr>
          <w:p w14:paraId="3C9BAD9A">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履约保证金</w:t>
            </w:r>
          </w:p>
        </w:tc>
        <w:tc>
          <w:tcPr>
            <w:tcW w:w="6345" w:type="dxa"/>
            <w:gridSpan w:val="2"/>
          </w:tcPr>
          <w:p w14:paraId="715E04B4">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rPr>
            </w:pPr>
            <w:r>
              <w:rPr>
                <w:rFonts w:hint="eastAsia" w:ascii="宋体" w:hAnsi="宋体" w:eastAsia="宋体" w:cs="宋体"/>
                <w:sz w:val="21"/>
                <w:szCs w:val="21"/>
              </w:rPr>
              <w:t>是否要求中标人提交履约保证金：</w:t>
            </w:r>
          </w:p>
          <w:p w14:paraId="481E8B15">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u w:val="single"/>
              </w:rPr>
            </w:pPr>
            <w:r>
              <w:rPr>
                <w:rFonts w:hint="eastAsia" w:ascii="宋体" w:hAnsi="宋体" w:eastAsia="宋体" w:cs="宋体"/>
                <w:sz w:val="21"/>
                <w:szCs w:val="21"/>
                <w:lang w:eastAsia="zh-CN"/>
              </w:rPr>
              <w:t>☑</w:t>
            </w:r>
            <w:r>
              <w:rPr>
                <w:rFonts w:hint="eastAsia" w:ascii="宋体" w:hAnsi="宋体" w:eastAsia="宋体" w:cs="宋体"/>
                <w:sz w:val="21"/>
                <w:szCs w:val="21"/>
              </w:rPr>
              <w:t>要求，履约保证金的形式：</w:t>
            </w:r>
            <w:r>
              <w:rPr>
                <w:rFonts w:hint="eastAsia" w:ascii="宋体" w:hAnsi="宋体" w:eastAsia="宋体" w:cs="宋体"/>
                <w:sz w:val="21"/>
                <w:szCs w:val="21"/>
                <w:u w:val="single"/>
              </w:rPr>
              <w:t>☑银行转账 ☑银行电汇 ☑网银 ☑银行保函 ☑担保机构担保 ☑保证保险</w:t>
            </w:r>
          </w:p>
          <w:p w14:paraId="22688677">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pacing w:val="-1"/>
                <w:sz w:val="21"/>
                <w:szCs w:val="21"/>
              </w:rPr>
            </w:pPr>
            <w:r>
              <w:rPr>
                <w:rFonts w:hint="eastAsia" w:ascii="宋体" w:hAnsi="宋体" w:eastAsia="宋体" w:cs="宋体"/>
                <w:spacing w:val="-4"/>
                <w:sz w:val="21"/>
                <w:szCs w:val="21"/>
              </w:rPr>
              <w:t>履约保证金的金额：</w:t>
            </w:r>
            <w:r>
              <w:rPr>
                <w:rFonts w:hint="eastAsia" w:ascii="宋体" w:hAnsi="宋体" w:eastAsia="宋体" w:cs="宋体"/>
                <w:spacing w:val="8"/>
                <w:sz w:val="21"/>
                <w:szCs w:val="21"/>
                <w:u w:val="single"/>
              </w:rPr>
              <w:t xml:space="preserve"> </w:t>
            </w:r>
            <w:r>
              <w:rPr>
                <w:rFonts w:hint="eastAsia" w:ascii="宋体" w:hAnsi="宋体" w:eastAsia="宋体" w:cs="宋体"/>
                <w:spacing w:val="8"/>
                <w:sz w:val="21"/>
                <w:szCs w:val="21"/>
                <w:u w:val="single"/>
                <w:lang w:val="en-US" w:eastAsia="zh-CN"/>
              </w:rPr>
              <w:t>2</w:t>
            </w:r>
            <w:r>
              <w:rPr>
                <w:rFonts w:hint="eastAsia" w:ascii="宋体" w:hAnsi="宋体" w:eastAsia="宋体" w:cs="宋体"/>
                <w:spacing w:val="8"/>
                <w:sz w:val="21"/>
                <w:szCs w:val="21"/>
                <w:u w:val="single"/>
              </w:rPr>
              <w:t xml:space="preserve"> </w:t>
            </w:r>
            <w:r>
              <w:rPr>
                <w:rFonts w:hint="eastAsia" w:ascii="宋体" w:hAnsi="宋体" w:eastAsia="宋体" w:cs="宋体"/>
                <w:spacing w:val="-5"/>
                <w:sz w:val="21"/>
                <w:szCs w:val="21"/>
              </w:rPr>
              <w:t>％签约合同价，被</w:t>
            </w:r>
            <w:r>
              <w:rPr>
                <w:rFonts w:hint="eastAsia" w:ascii="宋体" w:hAnsi="宋体" w:eastAsia="宋体" w:cs="宋体"/>
                <w:spacing w:val="-13"/>
                <w:sz w:val="21"/>
                <w:szCs w:val="21"/>
              </w:rPr>
              <w:t>招标项目所在地省级交通运输主管部门评为</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u w:val="single"/>
                <w:lang w:val="en-US" w:eastAsia="zh-CN"/>
              </w:rPr>
              <w:t>/</w:t>
            </w:r>
            <w:r>
              <w:rPr>
                <w:rFonts w:hint="eastAsia" w:ascii="宋体" w:hAnsi="宋体" w:eastAsia="宋体" w:cs="宋体"/>
                <w:spacing w:val="6"/>
                <w:sz w:val="21"/>
                <w:szCs w:val="21"/>
                <w:u w:val="single"/>
              </w:rPr>
              <w:t xml:space="preserve"> </w:t>
            </w:r>
            <w:r>
              <w:rPr>
                <w:rFonts w:hint="eastAsia" w:ascii="宋体" w:hAnsi="宋体" w:eastAsia="宋体" w:cs="宋体"/>
                <w:spacing w:val="-8"/>
                <w:sz w:val="21"/>
                <w:szCs w:val="21"/>
              </w:rPr>
              <w:t>信用等</w:t>
            </w:r>
            <w:r>
              <w:rPr>
                <w:rFonts w:hint="eastAsia" w:ascii="宋体" w:hAnsi="宋体" w:eastAsia="宋体" w:cs="宋体"/>
                <w:spacing w:val="-15"/>
                <w:sz w:val="21"/>
                <w:szCs w:val="21"/>
              </w:rPr>
              <w:t>级的中标人，履约保证金金额为</w:t>
            </w:r>
            <w:r>
              <w:rPr>
                <w:rFonts w:hint="eastAsia" w:ascii="宋体" w:hAnsi="宋体" w:eastAsia="宋体" w:cs="宋体"/>
                <w:spacing w:val="40"/>
                <w:sz w:val="21"/>
                <w:szCs w:val="21"/>
                <w:u w:val="single"/>
              </w:rPr>
              <w:t xml:space="preserve"> </w:t>
            </w:r>
            <w:r>
              <w:rPr>
                <w:rFonts w:hint="eastAsia" w:ascii="宋体" w:hAnsi="宋体" w:eastAsia="宋体" w:cs="宋体"/>
                <w:spacing w:val="40"/>
                <w:sz w:val="21"/>
                <w:szCs w:val="21"/>
                <w:u w:val="single"/>
                <w:lang w:val="en-US" w:eastAsia="zh-CN"/>
              </w:rPr>
              <w:t>/</w:t>
            </w:r>
            <w:r>
              <w:rPr>
                <w:rFonts w:hint="eastAsia" w:ascii="宋体" w:hAnsi="宋体" w:eastAsia="宋体" w:cs="宋体"/>
                <w:sz w:val="21"/>
                <w:szCs w:val="21"/>
              </w:rPr>
              <w:t>%</w:t>
            </w:r>
            <w:r>
              <w:rPr>
                <w:rFonts w:hint="eastAsia" w:ascii="宋体" w:hAnsi="宋体" w:eastAsia="宋体" w:cs="宋体"/>
                <w:spacing w:val="-1"/>
                <w:sz w:val="21"/>
                <w:szCs w:val="21"/>
              </w:rPr>
              <w:t>签约合同价</w:t>
            </w:r>
          </w:p>
          <w:p w14:paraId="721A3A94">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pacing w:val="-17"/>
                <w:sz w:val="21"/>
                <w:szCs w:val="21"/>
              </w:rPr>
              <w:t>采用银行保函时，</w:t>
            </w:r>
            <w:r>
              <w:rPr>
                <w:rFonts w:hint="eastAsia" w:ascii="宋体" w:hAnsi="宋体" w:eastAsia="宋体" w:cs="宋体"/>
                <w:spacing w:val="-20"/>
                <w:sz w:val="21"/>
                <w:szCs w:val="21"/>
              </w:rPr>
              <w:t>出</w:t>
            </w:r>
            <w:r>
              <w:rPr>
                <w:rFonts w:hint="eastAsia" w:ascii="宋体" w:hAnsi="宋体" w:eastAsia="宋体" w:cs="宋体"/>
                <w:spacing w:val="-17"/>
                <w:sz w:val="21"/>
                <w:szCs w:val="21"/>
              </w:rPr>
              <w:t>具保</w:t>
            </w:r>
            <w:r>
              <w:rPr>
                <w:rFonts w:hint="eastAsia" w:ascii="宋体" w:hAnsi="宋体" w:eastAsia="宋体" w:cs="宋体"/>
                <w:spacing w:val="-20"/>
                <w:sz w:val="21"/>
                <w:szCs w:val="21"/>
              </w:rPr>
              <w:t>函</w:t>
            </w:r>
            <w:r>
              <w:rPr>
                <w:rFonts w:hint="eastAsia" w:ascii="宋体" w:hAnsi="宋体" w:eastAsia="宋体" w:cs="宋体"/>
                <w:spacing w:val="-17"/>
                <w:sz w:val="21"/>
                <w:szCs w:val="21"/>
              </w:rPr>
              <w:t>的银行级别</w:t>
            </w:r>
            <w:r>
              <w:rPr>
                <w:rFonts w:hint="eastAsia" w:ascii="宋体" w:hAnsi="宋体" w:eastAsia="宋体" w:cs="宋体"/>
                <w:spacing w:val="-3"/>
                <w:sz w:val="21"/>
                <w:szCs w:val="21"/>
              </w:rPr>
              <w:t>：</w:t>
            </w:r>
            <w:r>
              <w:rPr>
                <w:rFonts w:hint="eastAsia" w:ascii="宋体" w:hAnsi="宋体" w:eastAsia="宋体" w:cs="宋体"/>
                <w:color w:val="000000"/>
                <w:kern w:val="0"/>
                <w:sz w:val="21"/>
                <w:szCs w:val="21"/>
                <w:lang w:val="en-US" w:eastAsia="zh-CN" w:bidi="ar"/>
              </w:rPr>
              <w:t>国有商业银行或股份制商业银行的区（县）级别的支行或其以上级别银行。</w:t>
            </w:r>
          </w:p>
        </w:tc>
      </w:tr>
      <w:tr w14:paraId="326E5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40A959EE">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7.7.2</w:t>
            </w:r>
          </w:p>
        </w:tc>
        <w:tc>
          <w:tcPr>
            <w:tcW w:w="2340" w:type="dxa"/>
            <w:vAlign w:val="center"/>
          </w:tcPr>
          <w:p w14:paraId="60E4DC36">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质量保证金</w:t>
            </w:r>
          </w:p>
        </w:tc>
        <w:tc>
          <w:tcPr>
            <w:tcW w:w="6345" w:type="dxa"/>
            <w:gridSpan w:val="2"/>
          </w:tcPr>
          <w:p w14:paraId="32862B40">
            <w:pPr>
              <w:keepNext w:val="0"/>
              <w:keepLines w:val="0"/>
              <w:pageBreakBefore w:val="0"/>
              <w:widowControl/>
              <w:numPr>
                <w:ilvl w:val="0"/>
                <w:numId w:val="0"/>
              </w:numPr>
              <w:suppressLineNumbers w:val="0"/>
              <w:kinsoku/>
              <w:wordWrap/>
              <w:overflowPunct/>
              <w:topLinePunct w:val="0"/>
              <w:bidi w:val="0"/>
              <w:adjustRightInd/>
              <w:snapToGrid/>
              <w:spacing w:line="360" w:lineRule="auto"/>
              <w:ind w:left="110" w:leftChars="50" w:right="0" w:right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1、在工程项目竣工前，已经缴纳履约保证金的，不同时预留工程质量保证金。</w:t>
            </w:r>
          </w:p>
          <w:p w14:paraId="5748A485">
            <w:pPr>
              <w:keepNext w:val="0"/>
              <w:keepLines w:val="0"/>
              <w:pageBreakBefore w:val="0"/>
              <w:widowControl/>
              <w:suppressLineNumbers w:val="0"/>
              <w:kinsoku/>
              <w:wordWrap/>
              <w:overflowPunct/>
              <w:topLinePunct w:val="0"/>
              <w:bidi w:val="0"/>
              <w:adjustRightInd/>
              <w:snapToGrid/>
              <w:spacing w:line="360" w:lineRule="auto"/>
              <w:ind w:left="110" w:leftChars="50"/>
              <w:jc w:val="left"/>
              <w:textAlignment w:val="auto"/>
              <w:rPr>
                <w:rFonts w:hint="eastAsia" w:ascii="宋体" w:hAnsi="宋体" w:eastAsia="宋体" w:cs="宋体"/>
                <w:spacing w:val="-1"/>
                <w:sz w:val="21"/>
                <w:szCs w:val="21"/>
              </w:rPr>
            </w:pPr>
            <w:r>
              <w:rPr>
                <w:rFonts w:hint="eastAsia" w:ascii="宋体" w:hAnsi="宋体" w:eastAsia="宋体" w:cs="宋体"/>
                <w:color w:val="000000"/>
                <w:kern w:val="0"/>
                <w:sz w:val="21"/>
                <w:szCs w:val="21"/>
                <w:lang w:val="en-US" w:eastAsia="zh-CN" w:bidi="ar"/>
              </w:rPr>
              <w:t>2、质量保证金采用以下缴纳方式均可：（1）形式：☑银行转账 ☑银行电汇 ☑网银 ☑ 银行保函 ☑担保机构担保 ☑保证保险 （2）比例/金额：中标合同金额的3％。</w:t>
            </w:r>
          </w:p>
        </w:tc>
      </w:tr>
      <w:tr w14:paraId="06DB9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4B73B36B">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7.7.3</w:t>
            </w:r>
          </w:p>
        </w:tc>
        <w:tc>
          <w:tcPr>
            <w:tcW w:w="2340" w:type="dxa"/>
            <w:vAlign w:val="center"/>
          </w:tcPr>
          <w:p w14:paraId="6B213D9C">
            <w:pPr>
              <w:keepNext w:val="0"/>
              <w:keepLines w:val="0"/>
              <w:widowControl/>
              <w:numPr>
                <w:ilvl w:val="0"/>
                <w:numId w:val="0"/>
              </w:numPr>
              <w:suppressLineNumbers w:val="0"/>
              <w:spacing w:line="360" w:lineRule="auto"/>
              <w:ind w:left="0" w:leftChars="0" w:right="0" w:rightChars="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农民工工资保证金</w:t>
            </w:r>
          </w:p>
        </w:tc>
        <w:tc>
          <w:tcPr>
            <w:tcW w:w="6345" w:type="dxa"/>
            <w:gridSpan w:val="2"/>
            <w:vAlign w:val="center"/>
          </w:tcPr>
          <w:p w14:paraId="73707165">
            <w:pPr>
              <w:keepNext w:val="0"/>
              <w:keepLines w:val="0"/>
              <w:pageBreakBefore w:val="0"/>
              <w:widowControl/>
              <w:numPr>
                <w:ilvl w:val="0"/>
                <w:numId w:val="0"/>
              </w:numPr>
              <w:suppressLineNumbers w:val="0"/>
              <w:kinsoku/>
              <w:wordWrap/>
              <w:overflowPunct/>
              <w:topLinePunct w:val="0"/>
              <w:bidi w:val="0"/>
              <w:adjustRightInd/>
              <w:snapToGrid/>
              <w:spacing w:line="360" w:lineRule="auto"/>
              <w:ind w:left="110" w:leftChars="50" w:right="0" w:right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施工总承包单位应当自工程项目取得施工许可证（开工报告批复）之日起20个工作日内（依法不需要办理施工许可证、批准开工报告的工程项目自签订施工合同之日起20个工作日之内），持营业执照、与建设单位签订的施工合同、差异化缴存证明材料，在工程项目所在地的银行开立工资保证金专门账户存储工资保证金，也可申请开立银行保函或保证保险。</w:t>
            </w:r>
          </w:p>
          <w:p w14:paraId="02D81043">
            <w:pPr>
              <w:keepNext w:val="0"/>
              <w:keepLines w:val="0"/>
              <w:pageBreakBefore w:val="0"/>
              <w:widowControl/>
              <w:numPr>
                <w:ilvl w:val="0"/>
                <w:numId w:val="0"/>
              </w:numPr>
              <w:suppressLineNumbers w:val="0"/>
              <w:kinsoku/>
              <w:wordWrap/>
              <w:overflowPunct/>
              <w:topLinePunct w:val="0"/>
              <w:bidi w:val="0"/>
              <w:adjustRightInd/>
              <w:snapToGrid/>
              <w:spacing w:line="360" w:lineRule="auto"/>
              <w:ind w:left="110" w:leftChars="50" w:right="0" w:right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缴纳形式：☑银行转账 ☑银行电汇 ☑网银 ☑ 银行保函 ☑担保机构担保 ☑保证保险</w:t>
            </w:r>
          </w:p>
        </w:tc>
      </w:tr>
      <w:tr w14:paraId="722D6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46A7C289">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8.5.1</w:t>
            </w:r>
          </w:p>
        </w:tc>
        <w:tc>
          <w:tcPr>
            <w:tcW w:w="2340" w:type="dxa"/>
            <w:vAlign w:val="center"/>
          </w:tcPr>
          <w:p w14:paraId="6FDB114E">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监督部门</w:t>
            </w:r>
          </w:p>
        </w:tc>
        <w:tc>
          <w:tcPr>
            <w:tcW w:w="6345" w:type="dxa"/>
            <w:gridSpan w:val="2"/>
          </w:tcPr>
          <w:p w14:paraId="3BEE94CF">
            <w:pPr>
              <w:pStyle w:val="42"/>
              <w:keepNext w:val="0"/>
              <w:keepLines w:val="0"/>
              <w:pageBreakBefore w:val="0"/>
              <w:widowControl w:val="0"/>
              <w:tabs>
                <w:tab w:val="left" w:pos="2466"/>
              </w:tabs>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pacing w:val="-3"/>
                <w:sz w:val="21"/>
                <w:szCs w:val="21"/>
              </w:rPr>
            </w:pPr>
            <w:r>
              <w:rPr>
                <w:rFonts w:hint="eastAsia" w:ascii="宋体" w:hAnsi="宋体" w:eastAsia="宋体" w:cs="宋体"/>
                <w:sz w:val="21"/>
                <w:szCs w:val="21"/>
              </w:rPr>
              <w:t>监督</w:t>
            </w:r>
            <w:r>
              <w:rPr>
                <w:rFonts w:hint="eastAsia" w:ascii="宋体" w:hAnsi="宋体" w:eastAsia="宋体" w:cs="宋体"/>
                <w:spacing w:val="-3"/>
                <w:sz w:val="21"/>
                <w:szCs w:val="21"/>
              </w:rPr>
              <w:t>部</w:t>
            </w:r>
            <w:r>
              <w:rPr>
                <w:rFonts w:hint="eastAsia" w:ascii="宋体" w:hAnsi="宋体" w:eastAsia="宋体" w:cs="宋体"/>
                <w:sz w:val="21"/>
                <w:szCs w:val="21"/>
              </w:rPr>
              <w:t>门</w:t>
            </w:r>
            <w:r>
              <w:rPr>
                <w:rFonts w:hint="eastAsia" w:ascii="宋体" w:hAnsi="宋体" w:eastAsia="宋体" w:cs="宋体"/>
                <w:spacing w:val="-3"/>
                <w:sz w:val="21"/>
                <w:szCs w:val="21"/>
              </w:rPr>
              <w:t>：</w:t>
            </w:r>
            <w:r>
              <w:rPr>
                <w:rFonts w:hint="eastAsia" w:ascii="宋体" w:hAnsi="宋体" w:eastAsia="宋体" w:cs="宋体"/>
                <w:spacing w:val="-3"/>
                <w:sz w:val="21"/>
                <w:szCs w:val="21"/>
                <w:lang w:val="en-US" w:eastAsia="zh-CN"/>
              </w:rPr>
              <w:t>淮北市公共资源交易监督管理局</w:t>
            </w:r>
          </w:p>
          <w:p w14:paraId="222284A7">
            <w:pPr>
              <w:pStyle w:val="42"/>
              <w:keepNext w:val="0"/>
              <w:keepLines w:val="0"/>
              <w:pageBreakBefore w:val="0"/>
              <w:widowControl w:val="0"/>
              <w:tabs>
                <w:tab w:val="left" w:pos="2466"/>
              </w:tabs>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u w:val="none"/>
              </w:rPr>
            </w:pPr>
            <w:r>
              <w:rPr>
                <w:rFonts w:hint="eastAsia" w:ascii="宋体" w:hAnsi="宋体" w:eastAsia="宋体" w:cs="宋体"/>
                <w:sz w:val="21"/>
                <w:szCs w:val="21"/>
              </w:rPr>
              <w:t xml:space="preserve">地   </w:t>
            </w:r>
            <w:r>
              <w:rPr>
                <w:rFonts w:hint="eastAsia" w:ascii="宋体" w:hAnsi="宋体" w:eastAsia="宋体" w:cs="宋体"/>
                <w:spacing w:val="1"/>
                <w:sz w:val="21"/>
                <w:szCs w:val="21"/>
              </w:rPr>
              <w:t xml:space="preserve"> </w:t>
            </w:r>
            <w:r>
              <w:rPr>
                <w:rFonts w:hint="eastAsia" w:ascii="宋体" w:hAnsi="宋体" w:eastAsia="宋体" w:cs="宋体"/>
                <w:sz w:val="21"/>
                <w:szCs w:val="21"/>
              </w:rPr>
              <w:t>址：</w:t>
            </w:r>
            <w:r>
              <w:rPr>
                <w:rFonts w:hint="eastAsia" w:ascii="宋体" w:hAnsi="宋体" w:eastAsia="宋体" w:cs="宋体"/>
                <w:w w:val="100"/>
                <w:sz w:val="21"/>
                <w:szCs w:val="21"/>
                <w:u w:val="none"/>
              </w:rPr>
              <w:t>淮北市人民路199号招商大厦7楼</w:t>
            </w:r>
            <w:r>
              <w:rPr>
                <w:rFonts w:hint="eastAsia" w:ascii="宋体" w:hAnsi="宋体" w:eastAsia="宋体" w:cs="宋体"/>
                <w:sz w:val="21"/>
                <w:szCs w:val="21"/>
                <w:u w:val="none"/>
              </w:rPr>
              <w:t xml:space="preserve"> </w:t>
            </w:r>
          </w:p>
          <w:p w14:paraId="5437BE9E">
            <w:pPr>
              <w:pStyle w:val="42"/>
              <w:keepNext w:val="0"/>
              <w:keepLines w:val="0"/>
              <w:pageBreakBefore w:val="0"/>
              <w:widowControl w:val="0"/>
              <w:tabs>
                <w:tab w:val="left" w:pos="2466"/>
              </w:tabs>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u w:val="none"/>
                <w:lang w:val="en-US"/>
              </w:rPr>
            </w:pPr>
            <w:r>
              <w:rPr>
                <w:rFonts w:hint="eastAsia" w:ascii="宋体" w:hAnsi="宋体" w:eastAsia="宋体" w:cs="宋体"/>
                <w:sz w:val="21"/>
                <w:szCs w:val="21"/>
                <w:u w:val="none"/>
              </w:rPr>
              <w:t xml:space="preserve">电   </w:t>
            </w:r>
            <w:r>
              <w:rPr>
                <w:rFonts w:hint="eastAsia" w:ascii="宋体" w:hAnsi="宋体" w:eastAsia="宋体" w:cs="宋体"/>
                <w:spacing w:val="1"/>
                <w:sz w:val="21"/>
                <w:szCs w:val="21"/>
                <w:u w:val="none"/>
              </w:rPr>
              <w:t xml:space="preserve"> </w:t>
            </w:r>
            <w:r>
              <w:rPr>
                <w:rFonts w:hint="eastAsia" w:ascii="宋体" w:hAnsi="宋体" w:eastAsia="宋体" w:cs="宋体"/>
                <w:sz w:val="21"/>
                <w:szCs w:val="21"/>
                <w:u w:val="none"/>
              </w:rPr>
              <w:t>话：</w:t>
            </w:r>
            <w:r>
              <w:rPr>
                <w:rFonts w:hint="eastAsia" w:ascii="宋体" w:hAnsi="宋体" w:eastAsia="宋体" w:cs="宋体"/>
                <w:w w:val="100"/>
                <w:sz w:val="21"/>
                <w:szCs w:val="21"/>
                <w:u w:val="none"/>
                <w:lang w:val="en-US" w:eastAsia="zh-CN"/>
              </w:rPr>
              <w:t>0561-3198613</w:t>
            </w:r>
          </w:p>
          <w:p w14:paraId="090CC3CF">
            <w:pPr>
              <w:pStyle w:val="42"/>
              <w:keepNext w:val="0"/>
              <w:keepLines w:val="0"/>
              <w:pageBreakBefore w:val="0"/>
              <w:widowControl w:val="0"/>
              <w:tabs>
                <w:tab w:val="left" w:pos="2466"/>
              </w:tabs>
              <w:kinsoku/>
              <w:wordWrap/>
              <w:overflowPunct/>
              <w:topLinePunct w:val="0"/>
              <w:autoSpaceDE w:val="0"/>
              <w:autoSpaceDN w:val="0"/>
              <w:bidi w:val="0"/>
              <w:adjustRightInd/>
              <w:snapToGrid/>
              <w:spacing w:before="0" w:line="360" w:lineRule="auto"/>
              <w:ind w:left="110" w:leftChars="50" w:right="0"/>
              <w:jc w:val="both"/>
              <w:textAlignment w:val="auto"/>
              <w:rPr>
                <w:rFonts w:hint="eastAsia" w:ascii="宋体" w:hAnsi="宋体" w:eastAsia="宋体" w:cs="宋体"/>
                <w:sz w:val="21"/>
                <w:szCs w:val="21"/>
              </w:rPr>
            </w:pPr>
            <w:r>
              <w:rPr>
                <w:rFonts w:hint="eastAsia" w:ascii="宋体" w:hAnsi="宋体" w:eastAsia="宋体" w:cs="宋体"/>
                <w:sz w:val="21"/>
                <w:szCs w:val="21"/>
                <w:u w:val="none"/>
              </w:rPr>
              <w:t>邮政</w:t>
            </w:r>
            <w:r>
              <w:rPr>
                <w:rFonts w:hint="eastAsia" w:ascii="宋体" w:hAnsi="宋体" w:eastAsia="宋体" w:cs="宋体"/>
                <w:spacing w:val="-3"/>
                <w:sz w:val="21"/>
                <w:szCs w:val="21"/>
                <w:u w:val="none"/>
              </w:rPr>
              <w:t>编</w:t>
            </w:r>
            <w:r>
              <w:rPr>
                <w:rFonts w:hint="eastAsia" w:ascii="宋体" w:hAnsi="宋体" w:eastAsia="宋体" w:cs="宋体"/>
                <w:sz w:val="21"/>
                <w:szCs w:val="21"/>
                <w:u w:val="none"/>
              </w:rPr>
              <w:t>码</w:t>
            </w:r>
            <w:r>
              <w:rPr>
                <w:rFonts w:hint="eastAsia" w:ascii="宋体" w:hAnsi="宋体" w:eastAsia="宋体" w:cs="宋体"/>
                <w:spacing w:val="-3"/>
                <w:sz w:val="21"/>
                <w:szCs w:val="21"/>
                <w:u w:val="none"/>
              </w:rPr>
              <w:t>：</w:t>
            </w:r>
            <w:r>
              <w:rPr>
                <w:rFonts w:hint="eastAsia" w:ascii="宋体" w:hAnsi="宋体" w:eastAsia="宋体" w:cs="宋体"/>
                <w:sz w:val="21"/>
                <w:szCs w:val="21"/>
                <w:u w:val="none"/>
                <w:lang w:val="en-US" w:eastAsia="zh-CN"/>
              </w:rPr>
              <w:t xml:space="preserve">235000 </w:t>
            </w:r>
          </w:p>
        </w:tc>
      </w:tr>
      <w:tr w14:paraId="76370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38" w:type="dxa"/>
            <w:gridSpan w:val="2"/>
            <w:vAlign w:val="center"/>
          </w:tcPr>
          <w:p w14:paraId="0A83466E">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w w:val="100"/>
                <w:sz w:val="21"/>
                <w:szCs w:val="21"/>
              </w:rPr>
              <w:t>9</w:t>
            </w:r>
          </w:p>
        </w:tc>
        <w:tc>
          <w:tcPr>
            <w:tcW w:w="2340" w:type="dxa"/>
            <w:vAlign w:val="center"/>
          </w:tcPr>
          <w:p w14:paraId="4FFBCD8B">
            <w:pPr>
              <w:pStyle w:val="42"/>
              <w:keepNext w:val="0"/>
              <w:keepLines w:val="0"/>
              <w:pageBreakBefore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是否采用电子招标投标</w:t>
            </w:r>
          </w:p>
        </w:tc>
        <w:tc>
          <w:tcPr>
            <w:tcW w:w="6345" w:type="dxa"/>
            <w:gridSpan w:val="2"/>
          </w:tcPr>
          <w:p w14:paraId="30FAD6F3">
            <w:pPr>
              <w:pStyle w:val="42"/>
              <w:keepNext w:val="0"/>
              <w:keepLines w:val="0"/>
              <w:pageBreakBefore w:val="0"/>
              <w:kinsoku/>
              <w:wordWrap/>
              <w:overflowPunct/>
              <w:topLinePunct w:val="0"/>
              <w:autoSpaceDE w:val="0"/>
              <w:autoSpaceDN w:val="0"/>
              <w:bidi w:val="0"/>
              <w:adjustRightInd/>
              <w:snapToGrid/>
              <w:spacing w:before="0" w:line="360" w:lineRule="auto"/>
              <w:ind w:left="110" w:leftChars="50" w:right="0"/>
              <w:textAlignment w:val="auto"/>
              <w:rPr>
                <w:rFonts w:hint="eastAsia" w:ascii="宋体" w:hAnsi="宋体" w:eastAsia="宋体" w:cs="宋体"/>
                <w:sz w:val="21"/>
                <w:szCs w:val="21"/>
              </w:rPr>
            </w:pPr>
            <w:r>
              <w:rPr>
                <w:rFonts w:hint="eastAsia" w:ascii="宋体" w:hAnsi="宋体" w:eastAsia="宋体" w:cs="宋体"/>
                <w:sz w:val="21"/>
                <w:szCs w:val="21"/>
              </w:rPr>
              <w:t>□否</w:t>
            </w:r>
          </w:p>
          <w:p w14:paraId="64C0526E">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110" w:leftChars="50" w:right="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☑是，具体要求：各潜在投标人无需提交纸质投标文件，但应在招标文件规定的时间内进行解密及答疑，若存在询标，投标人须同时须按招标文件要求执行。</w:t>
            </w:r>
          </w:p>
        </w:tc>
      </w:tr>
    </w:tbl>
    <w:tbl>
      <w:tblPr>
        <w:tblStyle w:val="26"/>
        <w:tblW w:w="9825"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2"/>
        <w:gridCol w:w="3423"/>
        <w:gridCol w:w="1180"/>
        <w:gridCol w:w="4100"/>
      </w:tblGrid>
      <w:tr w14:paraId="247F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25" w:type="dxa"/>
            <w:gridSpan w:val="5"/>
            <w:noWrap w:val="0"/>
            <w:vAlign w:val="center"/>
          </w:tcPr>
          <w:p w14:paraId="3CA7DD69">
            <w:pPr>
              <w:bidi w:val="0"/>
              <w:spacing w:line="360" w:lineRule="auto"/>
              <w:jc w:val="both"/>
              <w:rPr>
                <w:rFonts w:hint="eastAsia" w:ascii="宋体" w:hAnsi="宋体" w:eastAsia="宋体" w:cs="宋体"/>
                <w:sz w:val="21"/>
                <w:szCs w:val="21"/>
                <w:vertAlign w:val="baseline"/>
                <w:lang w:val="en-US" w:eastAsia="zh-CN"/>
              </w:rPr>
            </w:pPr>
            <w:r>
              <w:rPr>
                <w:rFonts w:hint="eastAsia" w:ascii="宋体" w:hAnsi="宋体" w:eastAsia="宋体" w:cs="宋体"/>
                <w:b/>
                <w:sz w:val="21"/>
                <w:szCs w:val="21"/>
              </w:rPr>
              <w:t>需要补充的其他内容：</w:t>
            </w:r>
          </w:p>
        </w:tc>
      </w:tr>
      <w:tr w14:paraId="3591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1122" w:type="dxa"/>
            <w:gridSpan w:val="2"/>
            <w:noWrap w:val="0"/>
            <w:vAlign w:val="center"/>
          </w:tcPr>
          <w:p w14:paraId="198811E5">
            <w:pPr>
              <w:bidi w:val="0"/>
              <w:spacing w:line="360" w:lineRule="auto"/>
              <w:jc w:val="both"/>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10.1</w:t>
            </w:r>
          </w:p>
        </w:tc>
        <w:tc>
          <w:tcPr>
            <w:tcW w:w="8703" w:type="dxa"/>
            <w:gridSpan w:val="3"/>
            <w:noWrap w:val="0"/>
            <w:vAlign w:val="center"/>
          </w:tcPr>
          <w:p w14:paraId="4DD351BD">
            <w:pPr>
              <w:spacing w:before="4" w:line="360" w:lineRule="auto"/>
              <w:ind w:right="56" w:rightChars="0"/>
              <w:jc w:val="left"/>
              <w:rPr>
                <w:rFonts w:hint="eastAsia" w:ascii="宋体" w:hAnsi="宋体" w:eastAsia="宋体" w:cs="宋体"/>
                <w:b/>
                <w:sz w:val="21"/>
                <w:szCs w:val="21"/>
                <w:lang w:val="en-US" w:eastAsia="zh-CN"/>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val="en-US" w:eastAsia="zh-CN"/>
              </w:rPr>
              <w:t>.施工总承包单位应当自工程项目取得施工许可证（开工报告批复〉之日起20个工作日内《依法不需要办理施工许可证﹑批准开工报告的工程项目自签订施工合同之日起20个工作日之内），按中标价2%的比例</w:t>
            </w:r>
            <w:r>
              <w:rPr>
                <w:rFonts w:hint="eastAsia" w:ascii="宋体" w:hAnsi="宋体" w:eastAsia="宋体" w:cs="宋体"/>
                <w:b w:val="0"/>
                <w:bCs w:val="0"/>
                <w:color w:val="000000"/>
                <w:sz w:val="21"/>
                <w:szCs w:val="21"/>
              </w:rPr>
              <w:t>，向淮北市劳动保障行政部门设立的农民工工资保障金专户缴存中标项目农民工工资保证金</w:t>
            </w:r>
            <w:r>
              <w:rPr>
                <w:rFonts w:hint="eastAsia" w:ascii="宋体" w:hAnsi="宋体" w:eastAsia="宋体" w:cs="宋体"/>
                <w:b w:val="0"/>
                <w:bCs w:val="0"/>
                <w:color w:val="000000"/>
                <w:sz w:val="21"/>
                <w:szCs w:val="21"/>
                <w:lang w:val="en-US" w:eastAsia="zh-CN"/>
              </w:rPr>
              <w:t>或使用银行保函形式缴纳保证金</w:t>
            </w:r>
            <w:r>
              <w:rPr>
                <w:rFonts w:hint="eastAsia" w:ascii="宋体" w:hAnsi="宋体" w:eastAsia="宋体" w:cs="宋体"/>
                <w:b w:val="0"/>
                <w:bCs w:val="0"/>
                <w:color w:val="000000"/>
                <w:sz w:val="21"/>
                <w:szCs w:val="21"/>
              </w:rPr>
              <w:t>。保证金的缴纳、支取、补足和退还等，均按淮北市劳动保障部门有关规定执行；2</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rPr>
              <w:t>投标单位中标后必须按照[住房和城乡建设部、人力资源社会保障部&lt;关于印发建筑工人实名制管理办法(试行)的通知]文件的要求执行。3</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rPr>
              <w:t>设立农民工工资专用账户，按照淮北市《工程建设领域农民工工资专用账户管理暂行办法》淮人社〔2022〕27号和安徽省《工程建设领域农民工工资专用账户管理暂行办法》的通知(皖人社发〔2022〕5号) 要求设立。4</w:t>
            </w:r>
            <w:r>
              <w:rPr>
                <w:rFonts w:hint="eastAsia" w:ascii="宋体" w:hAnsi="宋体" w:eastAsia="宋体" w:cs="宋体"/>
                <w:b w:val="0"/>
                <w:bCs w:val="0"/>
                <w:color w:val="000000"/>
                <w:sz w:val="21"/>
                <w:szCs w:val="21"/>
                <w:lang w:val="en-US" w:eastAsia="zh-CN"/>
              </w:rPr>
              <w:t>.</w:t>
            </w:r>
            <w:r>
              <w:rPr>
                <w:rFonts w:hint="eastAsia" w:ascii="宋体" w:hAnsi="宋体" w:eastAsia="宋体" w:cs="宋体"/>
                <w:b w:val="0"/>
                <w:bCs w:val="0"/>
                <w:color w:val="000000"/>
                <w:sz w:val="21"/>
                <w:szCs w:val="21"/>
              </w:rPr>
              <w:t>工伤保险费执行淮北市人社[2018]45号文，淮北市人力资源和社会保障局等六部门关于印发《淮北市推进铁路公路水运水利机场等工程建设项目参加工伤保险工作方案》的通知，</w:t>
            </w:r>
            <w:r>
              <w:rPr>
                <w:rFonts w:hint="eastAsia" w:ascii="宋体" w:hAnsi="宋体" w:eastAsia="宋体" w:cs="宋体"/>
                <w:b/>
                <w:bCs/>
                <w:color w:val="000000"/>
                <w:sz w:val="21"/>
                <w:szCs w:val="21"/>
              </w:rPr>
              <w:t>投标人应充分理解掌握文件精神要求，中标后按上述文件规定办理相关参保手续等事宜，相关费用包含在投标人的综合报价中。</w:t>
            </w:r>
          </w:p>
        </w:tc>
      </w:tr>
      <w:tr w14:paraId="020E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20" w:type="dxa"/>
            <w:vMerge w:val="restart"/>
            <w:noWrap w:val="0"/>
            <w:vAlign w:val="top"/>
          </w:tcPr>
          <w:p w14:paraId="7DFB0375">
            <w:pPr>
              <w:bidi w:val="0"/>
              <w:spacing w:line="360" w:lineRule="auto"/>
              <w:jc w:val="left"/>
              <w:rPr>
                <w:rFonts w:hint="eastAsia" w:ascii="宋体" w:hAnsi="宋体" w:eastAsia="宋体" w:cs="宋体"/>
                <w:sz w:val="21"/>
                <w:szCs w:val="21"/>
              </w:rPr>
            </w:pPr>
          </w:p>
          <w:p w14:paraId="38E18090">
            <w:pPr>
              <w:bidi w:val="0"/>
              <w:spacing w:line="360" w:lineRule="auto"/>
              <w:jc w:val="left"/>
              <w:rPr>
                <w:rFonts w:hint="eastAsia" w:ascii="宋体" w:hAnsi="宋体" w:eastAsia="宋体" w:cs="宋体"/>
                <w:sz w:val="21"/>
                <w:szCs w:val="21"/>
              </w:rPr>
            </w:pPr>
          </w:p>
          <w:p w14:paraId="468189C4">
            <w:pPr>
              <w:bidi w:val="0"/>
              <w:spacing w:line="360" w:lineRule="auto"/>
              <w:jc w:val="left"/>
              <w:rPr>
                <w:rFonts w:hint="eastAsia" w:ascii="宋体" w:hAnsi="宋体" w:eastAsia="宋体" w:cs="宋体"/>
                <w:sz w:val="21"/>
                <w:szCs w:val="21"/>
              </w:rPr>
            </w:pPr>
          </w:p>
          <w:p w14:paraId="4AE2C82A">
            <w:pPr>
              <w:bidi w:val="0"/>
              <w:spacing w:line="360" w:lineRule="auto"/>
              <w:jc w:val="left"/>
              <w:rPr>
                <w:rFonts w:hint="eastAsia" w:ascii="宋体" w:hAnsi="宋体" w:eastAsia="宋体" w:cs="宋体"/>
                <w:sz w:val="21"/>
                <w:szCs w:val="21"/>
              </w:rPr>
            </w:pPr>
          </w:p>
          <w:p w14:paraId="6B5D4824">
            <w:pPr>
              <w:bidi w:val="0"/>
              <w:spacing w:line="360" w:lineRule="auto"/>
              <w:jc w:val="left"/>
              <w:rPr>
                <w:rFonts w:hint="eastAsia" w:ascii="宋体" w:hAnsi="宋体" w:eastAsia="宋体" w:cs="宋体"/>
                <w:sz w:val="21"/>
                <w:szCs w:val="21"/>
              </w:rPr>
            </w:pPr>
          </w:p>
          <w:p w14:paraId="53120C7C">
            <w:pPr>
              <w:bidi w:val="0"/>
              <w:spacing w:line="360" w:lineRule="auto"/>
              <w:jc w:val="center"/>
              <w:rPr>
                <w:rFonts w:hint="eastAsia" w:ascii="宋体" w:hAnsi="宋体" w:eastAsia="宋体" w:cs="宋体"/>
                <w:b/>
                <w:sz w:val="21"/>
                <w:szCs w:val="21"/>
                <w:lang w:val="en-US" w:eastAsia="zh-CN"/>
              </w:rPr>
            </w:pPr>
            <w:r>
              <w:rPr>
                <w:rFonts w:hint="eastAsia" w:ascii="宋体" w:hAnsi="宋体" w:eastAsia="宋体" w:cs="宋体"/>
                <w:sz w:val="21"/>
                <w:szCs w:val="21"/>
              </w:rPr>
              <w:t>10.2</w:t>
            </w:r>
          </w:p>
        </w:tc>
        <w:tc>
          <w:tcPr>
            <w:tcW w:w="8705" w:type="dxa"/>
            <w:gridSpan w:val="4"/>
            <w:noWrap w:val="0"/>
            <w:vAlign w:val="top"/>
          </w:tcPr>
          <w:p w14:paraId="60162E28">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中标人须在领取中标通知书时，按以下标准向招标代理机构支付招标代理服务费</w:t>
            </w:r>
            <w:r>
              <w:rPr>
                <w:rFonts w:hint="eastAsia" w:ascii="宋体" w:hAnsi="宋体" w:eastAsia="宋体" w:cs="宋体"/>
                <w:b w:val="0"/>
                <w:bCs w:val="0"/>
                <w:sz w:val="21"/>
                <w:szCs w:val="21"/>
                <w:lang w:val="en-US" w:eastAsia="zh-CN"/>
              </w:rPr>
              <w:t>和造价咨询服务费</w:t>
            </w:r>
            <w:r>
              <w:rPr>
                <w:rFonts w:hint="eastAsia" w:ascii="宋体" w:hAnsi="宋体" w:eastAsia="宋体" w:cs="宋体"/>
                <w:b w:val="0"/>
                <w:bCs w:val="0"/>
                <w:sz w:val="21"/>
                <w:szCs w:val="21"/>
              </w:rPr>
              <w:t>：</w:t>
            </w:r>
          </w:p>
          <w:p w14:paraId="2DA3C55A">
            <w:pPr>
              <w:keepNext w:val="0"/>
              <w:keepLines w:val="0"/>
              <w:pageBreakBefore w:val="0"/>
              <w:widowControl w:val="0"/>
              <w:kinsoku/>
              <w:wordWrap/>
              <w:overflowPunct/>
              <w:topLinePunct w:val="0"/>
              <w:autoSpaceDE w:val="0"/>
              <w:autoSpaceDN w:val="0"/>
              <w:bidi w:val="0"/>
              <w:adjustRightInd/>
              <w:snapToGrid/>
              <w:spacing w:before="0" w:line="360" w:lineRule="auto"/>
              <w:ind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（1）招标代理费：</w:t>
            </w:r>
          </w:p>
        </w:tc>
      </w:tr>
      <w:tr w14:paraId="6703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0" w:type="dxa"/>
            <w:vMerge w:val="continue"/>
            <w:noWrap w:val="0"/>
            <w:vAlign w:val="top"/>
          </w:tcPr>
          <w:p w14:paraId="0039F5DF">
            <w:pPr>
              <w:bidi w:val="0"/>
              <w:spacing w:line="360" w:lineRule="auto"/>
              <w:jc w:val="left"/>
              <w:rPr>
                <w:rFonts w:hint="eastAsia" w:ascii="宋体" w:hAnsi="宋体" w:eastAsia="宋体" w:cs="宋体"/>
                <w:b/>
                <w:sz w:val="21"/>
                <w:szCs w:val="21"/>
              </w:rPr>
            </w:pPr>
          </w:p>
        </w:tc>
        <w:tc>
          <w:tcPr>
            <w:tcW w:w="3425" w:type="dxa"/>
            <w:gridSpan w:val="2"/>
            <w:noWrap w:val="0"/>
            <w:vAlign w:val="top"/>
          </w:tcPr>
          <w:p w14:paraId="4B0BF902">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中标价</w:t>
            </w:r>
            <w:r>
              <w:rPr>
                <w:rFonts w:hint="eastAsia" w:ascii="宋体" w:hAnsi="宋体" w:eastAsia="宋体" w:cs="宋体"/>
                <w:b w:val="0"/>
                <w:bCs w:val="0"/>
                <w:w w:val="99"/>
                <w:sz w:val="21"/>
                <w:szCs w:val="21"/>
              </w:rPr>
              <w:t xml:space="preserve"> </w:t>
            </w:r>
          </w:p>
        </w:tc>
        <w:tc>
          <w:tcPr>
            <w:tcW w:w="1180" w:type="dxa"/>
            <w:noWrap w:val="0"/>
            <w:vAlign w:val="top"/>
          </w:tcPr>
          <w:p w14:paraId="0997FE04">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费率</w:t>
            </w:r>
            <w:r>
              <w:rPr>
                <w:rFonts w:hint="eastAsia" w:ascii="宋体" w:hAnsi="宋体" w:eastAsia="宋体" w:cs="宋体"/>
                <w:b w:val="0"/>
                <w:bCs w:val="0"/>
                <w:w w:val="99"/>
                <w:sz w:val="21"/>
                <w:szCs w:val="21"/>
              </w:rPr>
              <w:t xml:space="preserve"> </w:t>
            </w:r>
          </w:p>
        </w:tc>
        <w:tc>
          <w:tcPr>
            <w:tcW w:w="4100" w:type="dxa"/>
            <w:vMerge w:val="restart"/>
            <w:noWrap w:val="0"/>
            <w:vAlign w:val="top"/>
          </w:tcPr>
          <w:p w14:paraId="0B36A049">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按差额定率累进法计算：</w:t>
            </w:r>
          </w:p>
          <w:p w14:paraId="3C51FC53">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例如：中标金额6000万元，</w:t>
            </w:r>
          </w:p>
          <w:p w14:paraId="3B48A9C3">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100万元*1%=1万元；</w:t>
            </w:r>
          </w:p>
          <w:p w14:paraId="27932895">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（500-100）*0.7%=2.8万元；</w:t>
            </w:r>
          </w:p>
          <w:p w14:paraId="407AB265">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（1000 -500）*0.55%=2.75万元；</w:t>
            </w:r>
          </w:p>
          <w:p w14:paraId="2018C428">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（5000 -1000）*0.35%=14万元；</w:t>
            </w:r>
          </w:p>
          <w:p w14:paraId="7C739C6A">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（6000 -5000）*0.2%=2万元；</w:t>
            </w:r>
          </w:p>
          <w:p w14:paraId="64DECBD0">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合计收费=1+2.8+2.75+14+2=22.55万元</w:t>
            </w:r>
          </w:p>
        </w:tc>
      </w:tr>
      <w:tr w14:paraId="670B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20" w:type="dxa"/>
            <w:vMerge w:val="continue"/>
            <w:noWrap w:val="0"/>
            <w:vAlign w:val="top"/>
          </w:tcPr>
          <w:p w14:paraId="5D39B825">
            <w:pPr>
              <w:bidi w:val="0"/>
              <w:spacing w:line="360" w:lineRule="auto"/>
              <w:jc w:val="left"/>
              <w:rPr>
                <w:rFonts w:hint="eastAsia" w:ascii="宋体" w:hAnsi="宋体" w:eastAsia="宋体" w:cs="宋体"/>
                <w:b/>
                <w:sz w:val="21"/>
                <w:szCs w:val="21"/>
              </w:rPr>
            </w:pPr>
          </w:p>
        </w:tc>
        <w:tc>
          <w:tcPr>
            <w:tcW w:w="3425" w:type="dxa"/>
            <w:gridSpan w:val="2"/>
            <w:noWrap w:val="0"/>
            <w:vAlign w:val="top"/>
          </w:tcPr>
          <w:p w14:paraId="330252F5">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100万元及以下</w:t>
            </w:r>
          </w:p>
        </w:tc>
        <w:tc>
          <w:tcPr>
            <w:tcW w:w="1180" w:type="dxa"/>
            <w:noWrap w:val="0"/>
            <w:vAlign w:val="top"/>
          </w:tcPr>
          <w:p w14:paraId="57F8DB52">
            <w:pPr>
              <w:bidi w:val="0"/>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1.00%</w:t>
            </w:r>
          </w:p>
        </w:tc>
        <w:tc>
          <w:tcPr>
            <w:tcW w:w="4100" w:type="dxa"/>
            <w:vMerge w:val="continue"/>
            <w:noWrap w:val="0"/>
            <w:vAlign w:val="top"/>
          </w:tcPr>
          <w:p w14:paraId="28DDA4BF">
            <w:pPr>
              <w:bidi w:val="0"/>
              <w:spacing w:line="360" w:lineRule="auto"/>
              <w:jc w:val="left"/>
              <w:rPr>
                <w:rFonts w:hint="eastAsia" w:ascii="宋体" w:hAnsi="宋体" w:eastAsia="宋体" w:cs="宋体"/>
                <w:b w:val="0"/>
                <w:bCs w:val="0"/>
                <w:sz w:val="21"/>
                <w:szCs w:val="21"/>
              </w:rPr>
            </w:pPr>
          </w:p>
        </w:tc>
      </w:tr>
      <w:tr w14:paraId="3212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20" w:type="dxa"/>
            <w:vMerge w:val="continue"/>
            <w:noWrap w:val="0"/>
            <w:vAlign w:val="top"/>
          </w:tcPr>
          <w:p w14:paraId="64880130">
            <w:pPr>
              <w:bidi w:val="0"/>
              <w:spacing w:line="360" w:lineRule="auto"/>
              <w:jc w:val="left"/>
              <w:rPr>
                <w:rFonts w:hint="eastAsia" w:ascii="宋体" w:hAnsi="宋体" w:eastAsia="宋体" w:cs="宋体"/>
                <w:b/>
                <w:sz w:val="21"/>
                <w:szCs w:val="21"/>
              </w:rPr>
            </w:pPr>
          </w:p>
        </w:tc>
        <w:tc>
          <w:tcPr>
            <w:tcW w:w="3425" w:type="dxa"/>
            <w:gridSpan w:val="2"/>
            <w:noWrap w:val="0"/>
            <w:vAlign w:val="top"/>
          </w:tcPr>
          <w:p w14:paraId="6F046148">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100万元---500万元</w:t>
            </w:r>
          </w:p>
        </w:tc>
        <w:tc>
          <w:tcPr>
            <w:tcW w:w="1180" w:type="dxa"/>
            <w:noWrap w:val="0"/>
            <w:vAlign w:val="top"/>
          </w:tcPr>
          <w:p w14:paraId="0FE4E158">
            <w:pPr>
              <w:bidi w:val="0"/>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0.70%</w:t>
            </w:r>
          </w:p>
        </w:tc>
        <w:tc>
          <w:tcPr>
            <w:tcW w:w="4100" w:type="dxa"/>
            <w:vMerge w:val="continue"/>
            <w:noWrap w:val="0"/>
            <w:vAlign w:val="top"/>
          </w:tcPr>
          <w:p w14:paraId="1FF9E9D6">
            <w:pPr>
              <w:bidi w:val="0"/>
              <w:spacing w:line="360" w:lineRule="auto"/>
              <w:jc w:val="left"/>
              <w:rPr>
                <w:rFonts w:hint="eastAsia" w:ascii="宋体" w:hAnsi="宋体" w:eastAsia="宋体" w:cs="宋体"/>
                <w:b w:val="0"/>
                <w:bCs w:val="0"/>
                <w:sz w:val="21"/>
                <w:szCs w:val="21"/>
              </w:rPr>
            </w:pPr>
          </w:p>
        </w:tc>
      </w:tr>
      <w:tr w14:paraId="5E6A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120" w:type="dxa"/>
            <w:vMerge w:val="continue"/>
            <w:noWrap w:val="0"/>
            <w:vAlign w:val="top"/>
          </w:tcPr>
          <w:p w14:paraId="7D3B5EA4">
            <w:pPr>
              <w:bidi w:val="0"/>
              <w:spacing w:line="360" w:lineRule="auto"/>
              <w:jc w:val="left"/>
              <w:rPr>
                <w:rFonts w:hint="eastAsia" w:ascii="宋体" w:hAnsi="宋体" w:eastAsia="宋体" w:cs="宋体"/>
                <w:b/>
                <w:sz w:val="21"/>
                <w:szCs w:val="21"/>
              </w:rPr>
            </w:pPr>
          </w:p>
        </w:tc>
        <w:tc>
          <w:tcPr>
            <w:tcW w:w="3425" w:type="dxa"/>
            <w:gridSpan w:val="2"/>
            <w:noWrap w:val="0"/>
            <w:vAlign w:val="top"/>
          </w:tcPr>
          <w:p w14:paraId="782CA6D9">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500万元---1000万元</w:t>
            </w:r>
          </w:p>
        </w:tc>
        <w:tc>
          <w:tcPr>
            <w:tcW w:w="1180" w:type="dxa"/>
            <w:noWrap w:val="0"/>
            <w:vAlign w:val="top"/>
          </w:tcPr>
          <w:p w14:paraId="3DCE147B">
            <w:pPr>
              <w:bidi w:val="0"/>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0.55%</w:t>
            </w:r>
          </w:p>
        </w:tc>
        <w:tc>
          <w:tcPr>
            <w:tcW w:w="4100" w:type="dxa"/>
            <w:vMerge w:val="continue"/>
            <w:noWrap w:val="0"/>
            <w:vAlign w:val="top"/>
          </w:tcPr>
          <w:p w14:paraId="098ACAA0">
            <w:pPr>
              <w:bidi w:val="0"/>
              <w:spacing w:line="360" w:lineRule="auto"/>
              <w:jc w:val="left"/>
              <w:rPr>
                <w:rFonts w:hint="eastAsia" w:ascii="宋体" w:hAnsi="宋体" w:eastAsia="宋体" w:cs="宋体"/>
                <w:b w:val="0"/>
                <w:bCs w:val="0"/>
                <w:sz w:val="21"/>
                <w:szCs w:val="21"/>
              </w:rPr>
            </w:pPr>
          </w:p>
        </w:tc>
      </w:tr>
      <w:tr w14:paraId="66AE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120" w:type="dxa"/>
            <w:vMerge w:val="continue"/>
            <w:noWrap w:val="0"/>
            <w:vAlign w:val="top"/>
          </w:tcPr>
          <w:p w14:paraId="5EDA15AC">
            <w:pPr>
              <w:bidi w:val="0"/>
              <w:spacing w:line="360" w:lineRule="auto"/>
              <w:jc w:val="left"/>
              <w:rPr>
                <w:rFonts w:hint="eastAsia" w:ascii="宋体" w:hAnsi="宋体" w:eastAsia="宋体" w:cs="宋体"/>
                <w:b/>
                <w:sz w:val="21"/>
                <w:szCs w:val="21"/>
              </w:rPr>
            </w:pPr>
          </w:p>
        </w:tc>
        <w:tc>
          <w:tcPr>
            <w:tcW w:w="3425" w:type="dxa"/>
            <w:gridSpan w:val="2"/>
            <w:noWrap w:val="0"/>
            <w:vAlign w:val="top"/>
          </w:tcPr>
          <w:p w14:paraId="69FE4B58">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1000万元---5000万元</w:t>
            </w:r>
          </w:p>
        </w:tc>
        <w:tc>
          <w:tcPr>
            <w:tcW w:w="1180" w:type="dxa"/>
            <w:noWrap w:val="0"/>
            <w:vAlign w:val="top"/>
          </w:tcPr>
          <w:p w14:paraId="21F0DD93">
            <w:pPr>
              <w:bidi w:val="0"/>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0.35%</w:t>
            </w:r>
          </w:p>
        </w:tc>
        <w:tc>
          <w:tcPr>
            <w:tcW w:w="4100" w:type="dxa"/>
            <w:vMerge w:val="continue"/>
            <w:noWrap w:val="0"/>
            <w:vAlign w:val="top"/>
          </w:tcPr>
          <w:p w14:paraId="2B0B77C4">
            <w:pPr>
              <w:bidi w:val="0"/>
              <w:spacing w:line="360" w:lineRule="auto"/>
              <w:jc w:val="left"/>
              <w:rPr>
                <w:rFonts w:hint="eastAsia" w:ascii="宋体" w:hAnsi="宋体" w:eastAsia="宋体" w:cs="宋体"/>
                <w:b w:val="0"/>
                <w:bCs w:val="0"/>
                <w:sz w:val="21"/>
                <w:szCs w:val="21"/>
              </w:rPr>
            </w:pPr>
          </w:p>
        </w:tc>
      </w:tr>
      <w:tr w14:paraId="352F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120" w:type="dxa"/>
            <w:vMerge w:val="continue"/>
            <w:noWrap w:val="0"/>
            <w:vAlign w:val="top"/>
          </w:tcPr>
          <w:p w14:paraId="37764E73">
            <w:pPr>
              <w:bidi w:val="0"/>
              <w:spacing w:line="360" w:lineRule="auto"/>
              <w:jc w:val="left"/>
              <w:rPr>
                <w:rFonts w:hint="eastAsia" w:ascii="宋体" w:hAnsi="宋体" w:eastAsia="宋体" w:cs="宋体"/>
                <w:b/>
                <w:sz w:val="21"/>
                <w:szCs w:val="21"/>
              </w:rPr>
            </w:pPr>
          </w:p>
        </w:tc>
        <w:tc>
          <w:tcPr>
            <w:tcW w:w="3425" w:type="dxa"/>
            <w:gridSpan w:val="2"/>
            <w:noWrap w:val="0"/>
            <w:vAlign w:val="top"/>
          </w:tcPr>
          <w:p w14:paraId="5EAA52BB">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5000万元---10000万元</w:t>
            </w:r>
          </w:p>
        </w:tc>
        <w:tc>
          <w:tcPr>
            <w:tcW w:w="1180" w:type="dxa"/>
            <w:noWrap w:val="0"/>
            <w:vAlign w:val="top"/>
          </w:tcPr>
          <w:p w14:paraId="5813A140">
            <w:pPr>
              <w:bidi w:val="0"/>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0.20%</w:t>
            </w:r>
          </w:p>
        </w:tc>
        <w:tc>
          <w:tcPr>
            <w:tcW w:w="4100" w:type="dxa"/>
            <w:vMerge w:val="continue"/>
            <w:noWrap w:val="0"/>
            <w:vAlign w:val="top"/>
          </w:tcPr>
          <w:p w14:paraId="5AFCD08F">
            <w:pPr>
              <w:bidi w:val="0"/>
              <w:spacing w:line="360" w:lineRule="auto"/>
              <w:jc w:val="left"/>
              <w:rPr>
                <w:rFonts w:hint="eastAsia" w:ascii="宋体" w:hAnsi="宋体" w:eastAsia="宋体" w:cs="宋体"/>
                <w:b w:val="0"/>
                <w:bCs w:val="0"/>
                <w:sz w:val="21"/>
                <w:szCs w:val="21"/>
              </w:rPr>
            </w:pPr>
          </w:p>
        </w:tc>
      </w:tr>
      <w:tr w14:paraId="0D90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0" w:type="dxa"/>
            <w:vMerge w:val="continue"/>
            <w:noWrap w:val="0"/>
            <w:vAlign w:val="top"/>
          </w:tcPr>
          <w:p w14:paraId="1162AE15">
            <w:pPr>
              <w:bidi w:val="0"/>
              <w:spacing w:line="360" w:lineRule="auto"/>
              <w:jc w:val="left"/>
              <w:rPr>
                <w:rFonts w:hint="eastAsia" w:ascii="宋体" w:hAnsi="宋体" w:eastAsia="宋体" w:cs="宋体"/>
                <w:b/>
                <w:sz w:val="21"/>
                <w:szCs w:val="21"/>
              </w:rPr>
            </w:pPr>
          </w:p>
        </w:tc>
        <w:tc>
          <w:tcPr>
            <w:tcW w:w="3425" w:type="dxa"/>
            <w:gridSpan w:val="2"/>
            <w:noWrap w:val="0"/>
            <w:vAlign w:val="top"/>
          </w:tcPr>
          <w:p w14:paraId="69A05D25">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10000万元---50000万元以下</w:t>
            </w:r>
          </w:p>
        </w:tc>
        <w:tc>
          <w:tcPr>
            <w:tcW w:w="1180" w:type="dxa"/>
            <w:noWrap w:val="0"/>
            <w:vAlign w:val="top"/>
          </w:tcPr>
          <w:p w14:paraId="578773FF">
            <w:pPr>
              <w:bidi w:val="0"/>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0.05%</w:t>
            </w:r>
          </w:p>
        </w:tc>
        <w:tc>
          <w:tcPr>
            <w:tcW w:w="4100" w:type="dxa"/>
            <w:vMerge w:val="continue"/>
            <w:noWrap w:val="0"/>
            <w:vAlign w:val="top"/>
          </w:tcPr>
          <w:p w14:paraId="6E56E876">
            <w:pPr>
              <w:bidi w:val="0"/>
              <w:spacing w:line="360" w:lineRule="auto"/>
              <w:jc w:val="left"/>
              <w:rPr>
                <w:rFonts w:hint="eastAsia" w:ascii="宋体" w:hAnsi="宋体" w:eastAsia="宋体" w:cs="宋体"/>
                <w:b w:val="0"/>
                <w:bCs w:val="0"/>
                <w:sz w:val="21"/>
                <w:szCs w:val="21"/>
              </w:rPr>
            </w:pPr>
          </w:p>
        </w:tc>
      </w:tr>
      <w:tr w14:paraId="71EB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20" w:type="dxa"/>
            <w:vMerge w:val="continue"/>
            <w:noWrap w:val="0"/>
            <w:vAlign w:val="top"/>
          </w:tcPr>
          <w:p w14:paraId="2C832785">
            <w:pPr>
              <w:bidi w:val="0"/>
              <w:spacing w:line="360" w:lineRule="auto"/>
              <w:jc w:val="left"/>
              <w:rPr>
                <w:rFonts w:hint="eastAsia" w:ascii="宋体" w:hAnsi="宋体" w:eastAsia="宋体" w:cs="宋体"/>
                <w:b/>
                <w:sz w:val="21"/>
                <w:szCs w:val="21"/>
              </w:rPr>
            </w:pPr>
          </w:p>
        </w:tc>
        <w:tc>
          <w:tcPr>
            <w:tcW w:w="3425" w:type="dxa"/>
            <w:gridSpan w:val="2"/>
            <w:noWrap w:val="0"/>
            <w:vAlign w:val="top"/>
          </w:tcPr>
          <w:p w14:paraId="63B1B2E9">
            <w:pPr>
              <w:bidi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50000万元---100000万元以下</w:t>
            </w:r>
          </w:p>
        </w:tc>
        <w:tc>
          <w:tcPr>
            <w:tcW w:w="1180" w:type="dxa"/>
            <w:noWrap w:val="0"/>
            <w:vAlign w:val="top"/>
          </w:tcPr>
          <w:p w14:paraId="33AA11B6">
            <w:pPr>
              <w:bidi w:val="0"/>
              <w:spacing w:line="360" w:lineRule="auto"/>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0.035%</w:t>
            </w:r>
          </w:p>
        </w:tc>
        <w:tc>
          <w:tcPr>
            <w:tcW w:w="4100" w:type="dxa"/>
            <w:vMerge w:val="continue"/>
            <w:noWrap w:val="0"/>
            <w:vAlign w:val="top"/>
          </w:tcPr>
          <w:p w14:paraId="36AFE48D">
            <w:pPr>
              <w:bidi w:val="0"/>
              <w:spacing w:line="360" w:lineRule="auto"/>
              <w:jc w:val="left"/>
              <w:rPr>
                <w:rFonts w:hint="eastAsia" w:ascii="宋体" w:hAnsi="宋体" w:eastAsia="宋体" w:cs="宋体"/>
                <w:b w:val="0"/>
                <w:bCs w:val="0"/>
                <w:sz w:val="21"/>
                <w:szCs w:val="21"/>
              </w:rPr>
            </w:pPr>
          </w:p>
        </w:tc>
      </w:tr>
      <w:tr w14:paraId="3F5F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4" w:hRule="atLeast"/>
        </w:trPr>
        <w:tc>
          <w:tcPr>
            <w:tcW w:w="1120" w:type="dxa"/>
            <w:vMerge w:val="continue"/>
            <w:noWrap w:val="0"/>
            <w:vAlign w:val="top"/>
          </w:tcPr>
          <w:p w14:paraId="4D9C0E89">
            <w:pPr>
              <w:bidi w:val="0"/>
              <w:spacing w:line="360" w:lineRule="auto"/>
              <w:jc w:val="left"/>
              <w:rPr>
                <w:rFonts w:hint="eastAsia" w:ascii="宋体" w:hAnsi="宋体" w:eastAsia="宋体" w:cs="宋体"/>
                <w:b/>
                <w:sz w:val="21"/>
                <w:szCs w:val="21"/>
              </w:rPr>
            </w:pPr>
          </w:p>
        </w:tc>
        <w:tc>
          <w:tcPr>
            <w:tcW w:w="8705" w:type="dxa"/>
            <w:gridSpan w:val="4"/>
            <w:noWrap w:val="0"/>
            <w:vAlign w:val="top"/>
          </w:tcPr>
          <w:p w14:paraId="4FDACDC8">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）工程量清单和</w:t>
            </w:r>
            <w:r>
              <w:rPr>
                <w:rFonts w:hint="eastAsia" w:ascii="宋体" w:hAnsi="宋体" w:eastAsia="宋体" w:cs="宋体"/>
                <w:b w:val="0"/>
                <w:bCs w:val="0"/>
                <w:sz w:val="21"/>
                <w:szCs w:val="21"/>
                <w:lang w:eastAsia="zh-CN"/>
              </w:rPr>
              <w:t>最高投标限价</w:t>
            </w:r>
            <w:r>
              <w:rPr>
                <w:rFonts w:hint="eastAsia" w:ascii="宋体" w:hAnsi="宋体" w:eastAsia="宋体" w:cs="宋体"/>
                <w:b w:val="0"/>
                <w:bCs w:val="0"/>
                <w:sz w:val="21"/>
                <w:szCs w:val="21"/>
              </w:rPr>
              <w:t>编制费：</w:t>
            </w:r>
            <w:r>
              <w:rPr>
                <w:rFonts w:hint="eastAsia" w:ascii="宋体" w:hAnsi="宋体" w:eastAsia="宋体" w:cs="宋体"/>
                <w:b w:val="0"/>
                <w:bCs w:val="0"/>
                <w:color w:val="auto"/>
                <w:sz w:val="21"/>
                <w:szCs w:val="21"/>
                <w:highlight w:val="none"/>
                <w:shd w:val="clear" w:color="auto" w:fill="auto"/>
              </w:rPr>
              <w:t>按照</w:t>
            </w:r>
            <w:r>
              <w:rPr>
                <w:rFonts w:hint="eastAsia" w:ascii="宋体" w:hAnsi="宋体" w:eastAsia="宋体" w:cs="宋体"/>
                <w:b w:val="0"/>
                <w:bCs w:val="0"/>
                <w:color w:val="auto"/>
                <w:sz w:val="21"/>
                <w:szCs w:val="21"/>
                <w:highlight w:val="none"/>
                <w:shd w:val="clear" w:color="auto" w:fill="auto"/>
                <w:lang w:val="en-US" w:eastAsia="zh-CN"/>
              </w:rPr>
              <w:t>下表</w:t>
            </w:r>
            <w:r>
              <w:rPr>
                <w:rFonts w:hint="eastAsia" w:ascii="宋体" w:hAnsi="宋体" w:eastAsia="宋体" w:cs="宋体"/>
                <w:b w:val="0"/>
                <w:bCs w:val="0"/>
                <w:color w:val="auto"/>
                <w:sz w:val="21"/>
                <w:szCs w:val="21"/>
                <w:highlight w:val="none"/>
                <w:shd w:val="clear" w:color="auto" w:fill="auto"/>
              </w:rPr>
              <w:t>规定标准收取。</w:t>
            </w:r>
          </w:p>
          <w:tbl>
            <w:tblPr>
              <w:tblStyle w:val="25"/>
              <w:tblW w:w="8139" w:type="dxa"/>
              <w:jc w:val="center"/>
              <w:tblLayout w:type="autofit"/>
              <w:tblCellMar>
                <w:top w:w="0" w:type="dxa"/>
                <w:left w:w="0" w:type="dxa"/>
                <w:bottom w:w="0" w:type="dxa"/>
                <w:right w:w="0" w:type="dxa"/>
              </w:tblCellMar>
            </w:tblPr>
            <w:tblGrid>
              <w:gridCol w:w="1528"/>
              <w:gridCol w:w="994"/>
              <w:gridCol w:w="771"/>
              <w:gridCol w:w="719"/>
              <w:gridCol w:w="603"/>
              <w:gridCol w:w="678"/>
              <w:gridCol w:w="642"/>
              <w:gridCol w:w="692"/>
              <w:gridCol w:w="790"/>
              <w:gridCol w:w="722"/>
            </w:tblGrid>
            <w:tr w14:paraId="2401D350">
              <w:tblPrEx>
                <w:tblCellMar>
                  <w:top w:w="0" w:type="dxa"/>
                  <w:left w:w="0" w:type="dxa"/>
                  <w:bottom w:w="0" w:type="dxa"/>
                  <w:right w:w="0" w:type="dxa"/>
                </w:tblCellMar>
              </w:tblPrEx>
              <w:trPr>
                <w:trHeight w:val="565" w:hRule="atLeast"/>
                <w:jc w:val="center"/>
              </w:trPr>
              <w:tc>
                <w:tcPr>
                  <w:tcW w:w="1528" w:type="dxa"/>
                  <w:vMerge w:val="restart"/>
                  <w:tcBorders>
                    <w:top w:val="single" w:color="auto" w:sz="4" w:space="0"/>
                    <w:left w:val="single" w:color="auto" w:sz="4" w:space="0"/>
                    <w:bottom w:val="single" w:color="auto" w:sz="4" w:space="0"/>
                    <w:right w:val="single" w:color="auto" w:sz="4" w:space="0"/>
                  </w:tcBorders>
                  <w:noWrap w:val="0"/>
                  <w:vAlign w:val="center"/>
                </w:tcPr>
                <w:p w14:paraId="64CDE18A">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收费基础</w:t>
                  </w:r>
                </w:p>
              </w:tc>
              <w:tc>
                <w:tcPr>
                  <w:tcW w:w="994" w:type="dxa"/>
                  <w:vMerge w:val="restart"/>
                  <w:tcBorders>
                    <w:top w:val="single" w:color="auto" w:sz="4" w:space="0"/>
                    <w:left w:val="single" w:color="auto" w:sz="4" w:space="0"/>
                    <w:bottom w:val="single" w:color="auto" w:sz="4" w:space="0"/>
                    <w:right w:val="single" w:color="auto" w:sz="4" w:space="0"/>
                  </w:tcBorders>
                  <w:noWrap w:val="0"/>
                  <w:vAlign w:val="center"/>
                </w:tcPr>
                <w:p w14:paraId="351150A3">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工程类型</w:t>
                  </w:r>
                </w:p>
              </w:tc>
              <w:tc>
                <w:tcPr>
                  <w:tcW w:w="5617" w:type="dxa"/>
                  <w:gridSpan w:val="8"/>
                  <w:tcBorders>
                    <w:top w:val="single" w:color="auto" w:sz="4" w:space="0"/>
                    <w:left w:val="nil"/>
                    <w:bottom w:val="single" w:color="auto" w:sz="4" w:space="0"/>
                    <w:right w:val="single" w:color="auto" w:sz="4" w:space="0"/>
                  </w:tcBorders>
                  <w:noWrap w:val="0"/>
                  <w:vAlign w:val="center"/>
                </w:tcPr>
                <w:p w14:paraId="432FEA6B">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单位工程金额(万元)</w:t>
                  </w:r>
                </w:p>
                <w:p w14:paraId="4D1A22F8">
                  <w:pPr>
                    <w:spacing w:line="360" w:lineRule="auto"/>
                    <w:jc w:val="right"/>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费率： ‰</w:t>
                  </w:r>
                </w:p>
              </w:tc>
            </w:tr>
            <w:tr w14:paraId="0E8FB381">
              <w:tblPrEx>
                <w:tblCellMar>
                  <w:top w:w="0" w:type="dxa"/>
                  <w:left w:w="0" w:type="dxa"/>
                  <w:bottom w:w="0" w:type="dxa"/>
                  <w:right w:w="0" w:type="dxa"/>
                </w:tblCellMar>
              </w:tblPrEx>
              <w:trPr>
                <w:trHeight w:val="649" w:hRule="atLeast"/>
                <w:jc w:val="center"/>
              </w:trPr>
              <w:tc>
                <w:tcPr>
                  <w:tcW w:w="1528" w:type="dxa"/>
                  <w:vMerge w:val="continue"/>
                  <w:tcBorders>
                    <w:top w:val="single" w:color="auto" w:sz="4" w:space="0"/>
                    <w:left w:val="single" w:color="auto" w:sz="4" w:space="0"/>
                    <w:bottom w:val="single" w:color="auto" w:sz="4" w:space="0"/>
                    <w:right w:val="single" w:color="auto" w:sz="4" w:space="0"/>
                  </w:tcBorders>
                  <w:noWrap w:val="0"/>
                  <w:vAlign w:val="center"/>
                </w:tcPr>
                <w:p w14:paraId="5F54A055">
                  <w:pPr>
                    <w:spacing w:line="360" w:lineRule="auto"/>
                    <w:jc w:val="center"/>
                    <w:rPr>
                      <w:rFonts w:hint="eastAsia" w:ascii="宋体" w:hAnsi="宋体" w:eastAsia="宋体" w:cs="宋体"/>
                      <w:b w:val="0"/>
                      <w:bCs w:val="0"/>
                      <w:color w:val="auto"/>
                      <w:sz w:val="21"/>
                      <w:szCs w:val="21"/>
                      <w:highlight w:val="none"/>
                      <w:shd w:val="clear" w:color="auto" w:fill="auto"/>
                    </w:rPr>
                  </w:pPr>
                </w:p>
              </w:tc>
              <w:tc>
                <w:tcPr>
                  <w:tcW w:w="994" w:type="dxa"/>
                  <w:vMerge w:val="continue"/>
                  <w:tcBorders>
                    <w:top w:val="single" w:color="auto" w:sz="4" w:space="0"/>
                    <w:left w:val="single" w:color="auto" w:sz="4" w:space="0"/>
                    <w:bottom w:val="single" w:color="auto" w:sz="4" w:space="0"/>
                    <w:right w:val="single" w:color="auto" w:sz="4" w:space="0"/>
                  </w:tcBorders>
                  <w:noWrap w:val="0"/>
                  <w:vAlign w:val="center"/>
                </w:tcPr>
                <w:p w14:paraId="0AF66EE7">
                  <w:pPr>
                    <w:spacing w:line="360" w:lineRule="auto"/>
                    <w:jc w:val="center"/>
                    <w:rPr>
                      <w:rFonts w:hint="eastAsia" w:ascii="宋体" w:hAnsi="宋体" w:eastAsia="宋体" w:cs="宋体"/>
                      <w:b w:val="0"/>
                      <w:bCs w:val="0"/>
                      <w:color w:val="auto"/>
                      <w:sz w:val="21"/>
                      <w:szCs w:val="21"/>
                      <w:highlight w:val="none"/>
                      <w:shd w:val="clear" w:color="auto" w:fill="auto"/>
                    </w:rPr>
                  </w:pPr>
                </w:p>
              </w:tc>
              <w:tc>
                <w:tcPr>
                  <w:tcW w:w="771" w:type="dxa"/>
                  <w:tcBorders>
                    <w:top w:val="nil"/>
                    <w:left w:val="nil"/>
                    <w:bottom w:val="single" w:color="auto" w:sz="4" w:space="0"/>
                    <w:right w:val="single" w:color="auto" w:sz="4" w:space="0"/>
                  </w:tcBorders>
                  <w:noWrap w:val="0"/>
                  <w:vAlign w:val="center"/>
                </w:tcPr>
                <w:p w14:paraId="1D2AE979">
                  <w:pPr>
                    <w:spacing w:line="360" w:lineRule="auto"/>
                    <w:jc w:val="center"/>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shd w:val="clear" w:color="auto" w:fill="auto"/>
                    </w:rPr>
                    <w:t>100</w:t>
                  </w:r>
                </w:p>
                <w:p w14:paraId="6066980E">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以内</w:t>
                  </w:r>
                </w:p>
              </w:tc>
              <w:tc>
                <w:tcPr>
                  <w:tcW w:w="719" w:type="dxa"/>
                  <w:tcBorders>
                    <w:top w:val="nil"/>
                    <w:left w:val="nil"/>
                    <w:bottom w:val="single" w:color="auto" w:sz="4" w:space="0"/>
                    <w:right w:val="single" w:color="auto" w:sz="4" w:space="0"/>
                  </w:tcBorders>
                  <w:noWrap w:val="0"/>
                  <w:vAlign w:val="center"/>
                </w:tcPr>
                <w:p w14:paraId="3068FD16">
                  <w:pPr>
                    <w:spacing w:line="360" w:lineRule="auto"/>
                    <w:jc w:val="center"/>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shd w:val="clear" w:color="auto" w:fill="auto"/>
                    </w:rPr>
                    <w:t>200</w:t>
                  </w:r>
                </w:p>
                <w:p w14:paraId="2FCD2FBC">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以内</w:t>
                  </w:r>
                </w:p>
              </w:tc>
              <w:tc>
                <w:tcPr>
                  <w:tcW w:w="603" w:type="dxa"/>
                  <w:tcBorders>
                    <w:top w:val="nil"/>
                    <w:left w:val="nil"/>
                    <w:bottom w:val="single" w:color="auto" w:sz="4" w:space="0"/>
                    <w:right w:val="single" w:color="auto" w:sz="4" w:space="0"/>
                  </w:tcBorders>
                  <w:noWrap w:val="0"/>
                  <w:vAlign w:val="center"/>
                </w:tcPr>
                <w:p w14:paraId="36185917">
                  <w:pPr>
                    <w:spacing w:line="360" w:lineRule="auto"/>
                    <w:jc w:val="center"/>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shd w:val="clear" w:color="auto" w:fill="auto"/>
                    </w:rPr>
                    <w:t>500</w:t>
                  </w:r>
                </w:p>
                <w:p w14:paraId="682268FA">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以内</w:t>
                  </w:r>
                </w:p>
              </w:tc>
              <w:tc>
                <w:tcPr>
                  <w:tcW w:w="678" w:type="dxa"/>
                  <w:tcBorders>
                    <w:top w:val="nil"/>
                    <w:left w:val="nil"/>
                    <w:bottom w:val="single" w:color="auto" w:sz="4" w:space="0"/>
                    <w:right w:val="single" w:color="auto" w:sz="4" w:space="0"/>
                  </w:tcBorders>
                  <w:noWrap w:val="0"/>
                  <w:vAlign w:val="center"/>
                </w:tcPr>
                <w:p w14:paraId="130D23B9">
                  <w:pPr>
                    <w:spacing w:line="360" w:lineRule="auto"/>
                    <w:jc w:val="center"/>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shd w:val="clear" w:color="auto" w:fill="auto"/>
                    </w:rPr>
                    <w:t>1000</w:t>
                  </w:r>
                </w:p>
                <w:p w14:paraId="6E5EBEE3">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以内</w:t>
                  </w:r>
                </w:p>
              </w:tc>
              <w:tc>
                <w:tcPr>
                  <w:tcW w:w="642" w:type="dxa"/>
                  <w:tcBorders>
                    <w:top w:val="nil"/>
                    <w:left w:val="nil"/>
                    <w:bottom w:val="single" w:color="auto" w:sz="4" w:space="0"/>
                    <w:right w:val="single" w:color="auto" w:sz="4" w:space="0"/>
                  </w:tcBorders>
                  <w:noWrap w:val="0"/>
                  <w:vAlign w:val="center"/>
                </w:tcPr>
                <w:p w14:paraId="390A7976">
                  <w:pPr>
                    <w:spacing w:line="360" w:lineRule="auto"/>
                    <w:jc w:val="center"/>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shd w:val="clear" w:color="auto" w:fill="auto"/>
                    </w:rPr>
                    <w:t>2000</w:t>
                  </w:r>
                </w:p>
                <w:p w14:paraId="614CC24C">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以内</w:t>
                  </w:r>
                </w:p>
              </w:tc>
              <w:tc>
                <w:tcPr>
                  <w:tcW w:w="692" w:type="dxa"/>
                  <w:tcBorders>
                    <w:top w:val="nil"/>
                    <w:left w:val="nil"/>
                    <w:bottom w:val="single" w:color="auto" w:sz="4" w:space="0"/>
                    <w:right w:val="single" w:color="auto" w:sz="4" w:space="0"/>
                  </w:tcBorders>
                  <w:noWrap w:val="0"/>
                  <w:vAlign w:val="center"/>
                </w:tcPr>
                <w:p w14:paraId="3D0E1F66">
                  <w:pPr>
                    <w:spacing w:line="360" w:lineRule="auto"/>
                    <w:jc w:val="center"/>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shd w:val="clear" w:color="auto" w:fill="auto"/>
                    </w:rPr>
                    <w:t>5000</w:t>
                  </w:r>
                </w:p>
                <w:p w14:paraId="39D3E890">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以内</w:t>
                  </w:r>
                </w:p>
              </w:tc>
              <w:tc>
                <w:tcPr>
                  <w:tcW w:w="790" w:type="dxa"/>
                  <w:tcBorders>
                    <w:top w:val="nil"/>
                    <w:left w:val="nil"/>
                    <w:bottom w:val="single" w:color="auto" w:sz="4" w:space="0"/>
                    <w:right w:val="single" w:color="auto" w:sz="4" w:space="0"/>
                  </w:tcBorders>
                  <w:noWrap w:val="0"/>
                  <w:vAlign w:val="center"/>
                </w:tcPr>
                <w:p w14:paraId="7854FE21">
                  <w:pPr>
                    <w:spacing w:line="360" w:lineRule="auto"/>
                    <w:jc w:val="center"/>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shd w:val="clear" w:color="auto" w:fill="auto"/>
                    </w:rPr>
                    <w:t>10000</w:t>
                  </w:r>
                </w:p>
                <w:p w14:paraId="19CA1E8C">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以内</w:t>
                  </w:r>
                </w:p>
              </w:tc>
              <w:tc>
                <w:tcPr>
                  <w:tcW w:w="722" w:type="dxa"/>
                  <w:tcBorders>
                    <w:top w:val="nil"/>
                    <w:left w:val="nil"/>
                    <w:bottom w:val="single" w:color="auto" w:sz="4" w:space="0"/>
                    <w:right w:val="single" w:color="auto" w:sz="4" w:space="0"/>
                  </w:tcBorders>
                  <w:noWrap w:val="0"/>
                  <w:vAlign w:val="center"/>
                </w:tcPr>
                <w:p w14:paraId="3233E189">
                  <w:pPr>
                    <w:spacing w:line="360" w:lineRule="auto"/>
                    <w:jc w:val="center"/>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shd w:val="clear" w:color="auto" w:fill="auto"/>
                    </w:rPr>
                    <w:t>10000</w:t>
                  </w:r>
                </w:p>
                <w:p w14:paraId="7F6E00AE">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以上</w:t>
                  </w:r>
                </w:p>
              </w:tc>
            </w:tr>
            <w:tr w14:paraId="34D2BD0D">
              <w:tblPrEx>
                <w:tblCellMar>
                  <w:top w:w="0" w:type="dxa"/>
                  <w:left w:w="0" w:type="dxa"/>
                  <w:bottom w:w="0" w:type="dxa"/>
                  <w:right w:w="0" w:type="dxa"/>
                </w:tblCellMar>
              </w:tblPrEx>
              <w:trPr>
                <w:trHeight w:val="442" w:hRule="exact"/>
                <w:jc w:val="center"/>
              </w:trPr>
              <w:tc>
                <w:tcPr>
                  <w:tcW w:w="1528" w:type="dxa"/>
                  <w:vMerge w:val="restart"/>
                  <w:tcBorders>
                    <w:top w:val="nil"/>
                    <w:left w:val="single" w:color="auto" w:sz="4" w:space="0"/>
                    <w:right w:val="single" w:color="auto" w:sz="4" w:space="0"/>
                  </w:tcBorders>
                  <w:noWrap w:val="0"/>
                  <w:vAlign w:val="center"/>
                </w:tcPr>
                <w:p w14:paraId="46AA3458">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工程量清单编制</w:t>
                  </w:r>
                </w:p>
              </w:tc>
              <w:tc>
                <w:tcPr>
                  <w:tcW w:w="994" w:type="dxa"/>
                  <w:tcBorders>
                    <w:top w:val="single" w:color="auto" w:sz="4" w:space="0"/>
                    <w:left w:val="nil"/>
                    <w:bottom w:val="single" w:color="auto" w:sz="4" w:space="0"/>
                    <w:right w:val="single" w:color="auto" w:sz="4" w:space="0"/>
                  </w:tcBorders>
                  <w:noWrap w:val="0"/>
                  <w:vAlign w:val="center"/>
                </w:tcPr>
                <w:p w14:paraId="3FD8FD3A">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建筑工程</w:t>
                  </w:r>
                </w:p>
              </w:tc>
              <w:tc>
                <w:tcPr>
                  <w:tcW w:w="771" w:type="dxa"/>
                  <w:tcBorders>
                    <w:top w:val="nil"/>
                    <w:left w:val="nil"/>
                    <w:bottom w:val="single" w:color="auto" w:sz="4" w:space="0"/>
                    <w:right w:val="single" w:color="auto" w:sz="4" w:space="0"/>
                  </w:tcBorders>
                  <w:noWrap w:val="0"/>
                  <w:vAlign w:val="center"/>
                </w:tcPr>
                <w:p w14:paraId="6D898991">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4.8</w:t>
                  </w:r>
                </w:p>
              </w:tc>
              <w:tc>
                <w:tcPr>
                  <w:tcW w:w="719" w:type="dxa"/>
                  <w:tcBorders>
                    <w:top w:val="nil"/>
                    <w:left w:val="nil"/>
                    <w:bottom w:val="single" w:color="auto" w:sz="4" w:space="0"/>
                    <w:right w:val="single" w:color="auto" w:sz="4" w:space="0"/>
                  </w:tcBorders>
                  <w:noWrap w:val="0"/>
                  <w:vAlign w:val="center"/>
                </w:tcPr>
                <w:p w14:paraId="1A16AF7B">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4.3</w:t>
                  </w:r>
                </w:p>
              </w:tc>
              <w:tc>
                <w:tcPr>
                  <w:tcW w:w="603" w:type="dxa"/>
                  <w:tcBorders>
                    <w:top w:val="nil"/>
                    <w:left w:val="nil"/>
                    <w:bottom w:val="single" w:color="auto" w:sz="4" w:space="0"/>
                    <w:right w:val="single" w:color="auto" w:sz="4" w:space="0"/>
                  </w:tcBorders>
                  <w:noWrap w:val="0"/>
                  <w:vAlign w:val="center"/>
                </w:tcPr>
                <w:p w14:paraId="74A206BF">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3.8</w:t>
                  </w:r>
                </w:p>
              </w:tc>
              <w:tc>
                <w:tcPr>
                  <w:tcW w:w="678" w:type="dxa"/>
                  <w:tcBorders>
                    <w:top w:val="nil"/>
                    <w:left w:val="nil"/>
                    <w:bottom w:val="single" w:color="auto" w:sz="4" w:space="0"/>
                    <w:right w:val="single" w:color="auto" w:sz="4" w:space="0"/>
                  </w:tcBorders>
                  <w:noWrap w:val="0"/>
                  <w:vAlign w:val="center"/>
                </w:tcPr>
                <w:p w14:paraId="51EA0C88">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3.4</w:t>
                  </w:r>
                </w:p>
              </w:tc>
              <w:tc>
                <w:tcPr>
                  <w:tcW w:w="642" w:type="dxa"/>
                  <w:tcBorders>
                    <w:top w:val="nil"/>
                    <w:left w:val="nil"/>
                    <w:bottom w:val="single" w:color="auto" w:sz="4" w:space="0"/>
                    <w:right w:val="single" w:color="auto" w:sz="4" w:space="0"/>
                  </w:tcBorders>
                  <w:noWrap w:val="0"/>
                  <w:vAlign w:val="center"/>
                </w:tcPr>
                <w:p w14:paraId="7DB27B58">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3</w:t>
                  </w:r>
                </w:p>
              </w:tc>
              <w:tc>
                <w:tcPr>
                  <w:tcW w:w="692" w:type="dxa"/>
                  <w:tcBorders>
                    <w:top w:val="nil"/>
                    <w:left w:val="nil"/>
                    <w:bottom w:val="single" w:color="auto" w:sz="4" w:space="0"/>
                    <w:right w:val="single" w:color="auto" w:sz="4" w:space="0"/>
                  </w:tcBorders>
                  <w:noWrap w:val="0"/>
                  <w:vAlign w:val="center"/>
                </w:tcPr>
                <w:p w14:paraId="31199AFF">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2.8</w:t>
                  </w:r>
                </w:p>
              </w:tc>
              <w:tc>
                <w:tcPr>
                  <w:tcW w:w="790" w:type="dxa"/>
                  <w:tcBorders>
                    <w:top w:val="nil"/>
                    <w:left w:val="nil"/>
                    <w:bottom w:val="single" w:color="auto" w:sz="4" w:space="0"/>
                    <w:right w:val="single" w:color="auto" w:sz="4" w:space="0"/>
                  </w:tcBorders>
                  <w:noWrap w:val="0"/>
                  <w:vAlign w:val="center"/>
                </w:tcPr>
                <w:p w14:paraId="0C47AFE6">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2.5</w:t>
                  </w:r>
                </w:p>
              </w:tc>
              <w:tc>
                <w:tcPr>
                  <w:tcW w:w="722" w:type="dxa"/>
                  <w:tcBorders>
                    <w:top w:val="nil"/>
                    <w:left w:val="nil"/>
                    <w:bottom w:val="single" w:color="auto" w:sz="4" w:space="0"/>
                    <w:right w:val="single" w:color="auto" w:sz="4" w:space="0"/>
                  </w:tcBorders>
                  <w:noWrap w:val="0"/>
                  <w:vAlign w:val="center"/>
                </w:tcPr>
                <w:p w14:paraId="6D0AB007">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2.3</w:t>
                  </w:r>
                </w:p>
              </w:tc>
            </w:tr>
            <w:tr w14:paraId="3E751350">
              <w:tblPrEx>
                <w:tblCellMar>
                  <w:top w:w="0" w:type="dxa"/>
                  <w:left w:w="0" w:type="dxa"/>
                  <w:bottom w:w="0" w:type="dxa"/>
                  <w:right w:w="0" w:type="dxa"/>
                </w:tblCellMar>
              </w:tblPrEx>
              <w:trPr>
                <w:trHeight w:val="442" w:hRule="exact"/>
                <w:jc w:val="center"/>
              </w:trPr>
              <w:tc>
                <w:tcPr>
                  <w:tcW w:w="1528" w:type="dxa"/>
                  <w:vMerge w:val="continue"/>
                  <w:tcBorders>
                    <w:left w:val="single" w:color="auto" w:sz="4" w:space="0"/>
                    <w:bottom w:val="single" w:color="auto" w:sz="4" w:space="0"/>
                    <w:right w:val="single" w:color="auto" w:sz="4" w:space="0"/>
                  </w:tcBorders>
                  <w:noWrap w:val="0"/>
                  <w:vAlign w:val="center"/>
                </w:tcPr>
                <w:p w14:paraId="31AF04B0">
                  <w:pPr>
                    <w:spacing w:line="360" w:lineRule="auto"/>
                    <w:jc w:val="center"/>
                    <w:rPr>
                      <w:rFonts w:hint="eastAsia" w:ascii="宋体" w:hAnsi="宋体" w:eastAsia="宋体" w:cs="宋体"/>
                      <w:b w:val="0"/>
                      <w:bCs w:val="0"/>
                      <w:color w:val="auto"/>
                      <w:sz w:val="21"/>
                      <w:szCs w:val="21"/>
                      <w:highlight w:val="none"/>
                      <w:shd w:val="clear" w:color="auto" w:fill="auto"/>
                    </w:rPr>
                  </w:pPr>
                </w:p>
              </w:tc>
              <w:tc>
                <w:tcPr>
                  <w:tcW w:w="994" w:type="dxa"/>
                  <w:tcBorders>
                    <w:top w:val="single" w:color="auto" w:sz="4" w:space="0"/>
                    <w:left w:val="nil"/>
                    <w:bottom w:val="single" w:color="auto" w:sz="4" w:space="0"/>
                    <w:right w:val="single" w:color="auto" w:sz="4" w:space="0"/>
                  </w:tcBorders>
                  <w:noWrap w:val="0"/>
                  <w:vAlign w:val="center"/>
                </w:tcPr>
                <w:p w14:paraId="21733C9D">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安装工程</w:t>
                  </w:r>
                </w:p>
              </w:tc>
              <w:tc>
                <w:tcPr>
                  <w:tcW w:w="771" w:type="dxa"/>
                  <w:tcBorders>
                    <w:top w:val="nil"/>
                    <w:left w:val="nil"/>
                    <w:bottom w:val="single" w:color="auto" w:sz="4" w:space="0"/>
                    <w:right w:val="single" w:color="auto" w:sz="4" w:space="0"/>
                  </w:tcBorders>
                  <w:noWrap w:val="0"/>
                  <w:vAlign w:val="center"/>
                </w:tcPr>
                <w:p w14:paraId="7DA2577F">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5</w:t>
                  </w:r>
                </w:p>
              </w:tc>
              <w:tc>
                <w:tcPr>
                  <w:tcW w:w="719" w:type="dxa"/>
                  <w:tcBorders>
                    <w:top w:val="nil"/>
                    <w:left w:val="nil"/>
                    <w:bottom w:val="single" w:color="auto" w:sz="4" w:space="0"/>
                    <w:right w:val="single" w:color="auto" w:sz="4" w:space="0"/>
                  </w:tcBorders>
                  <w:noWrap w:val="0"/>
                  <w:vAlign w:val="center"/>
                </w:tcPr>
                <w:p w14:paraId="0AD8B1CB">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4.6</w:t>
                  </w:r>
                </w:p>
              </w:tc>
              <w:tc>
                <w:tcPr>
                  <w:tcW w:w="603" w:type="dxa"/>
                  <w:tcBorders>
                    <w:top w:val="nil"/>
                    <w:left w:val="nil"/>
                    <w:bottom w:val="single" w:color="auto" w:sz="4" w:space="0"/>
                    <w:right w:val="single" w:color="auto" w:sz="4" w:space="0"/>
                  </w:tcBorders>
                  <w:noWrap w:val="0"/>
                  <w:vAlign w:val="center"/>
                </w:tcPr>
                <w:p w14:paraId="73060FA8">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4</w:t>
                  </w:r>
                </w:p>
              </w:tc>
              <w:tc>
                <w:tcPr>
                  <w:tcW w:w="678" w:type="dxa"/>
                  <w:tcBorders>
                    <w:top w:val="nil"/>
                    <w:left w:val="nil"/>
                    <w:bottom w:val="single" w:color="auto" w:sz="4" w:space="0"/>
                    <w:right w:val="single" w:color="auto" w:sz="4" w:space="0"/>
                  </w:tcBorders>
                  <w:noWrap w:val="0"/>
                  <w:vAlign w:val="center"/>
                </w:tcPr>
                <w:p w14:paraId="1279B7F5">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3.6</w:t>
                  </w:r>
                </w:p>
              </w:tc>
              <w:tc>
                <w:tcPr>
                  <w:tcW w:w="642" w:type="dxa"/>
                  <w:tcBorders>
                    <w:top w:val="nil"/>
                    <w:left w:val="nil"/>
                    <w:bottom w:val="single" w:color="auto" w:sz="4" w:space="0"/>
                    <w:right w:val="single" w:color="auto" w:sz="4" w:space="0"/>
                  </w:tcBorders>
                  <w:noWrap w:val="0"/>
                  <w:vAlign w:val="center"/>
                </w:tcPr>
                <w:p w14:paraId="7F9C182B">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3.1</w:t>
                  </w:r>
                </w:p>
              </w:tc>
              <w:tc>
                <w:tcPr>
                  <w:tcW w:w="692" w:type="dxa"/>
                  <w:tcBorders>
                    <w:top w:val="nil"/>
                    <w:left w:val="nil"/>
                    <w:bottom w:val="single" w:color="auto" w:sz="4" w:space="0"/>
                    <w:right w:val="single" w:color="auto" w:sz="4" w:space="0"/>
                  </w:tcBorders>
                  <w:noWrap w:val="0"/>
                  <w:vAlign w:val="center"/>
                </w:tcPr>
                <w:p w14:paraId="5045E4D7">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2.9</w:t>
                  </w:r>
                </w:p>
              </w:tc>
              <w:tc>
                <w:tcPr>
                  <w:tcW w:w="790" w:type="dxa"/>
                  <w:tcBorders>
                    <w:top w:val="nil"/>
                    <w:left w:val="nil"/>
                    <w:bottom w:val="single" w:color="auto" w:sz="4" w:space="0"/>
                    <w:right w:val="single" w:color="auto" w:sz="4" w:space="0"/>
                  </w:tcBorders>
                  <w:noWrap w:val="0"/>
                  <w:vAlign w:val="center"/>
                </w:tcPr>
                <w:p w14:paraId="5CAA240D">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2.6</w:t>
                  </w:r>
                </w:p>
              </w:tc>
              <w:tc>
                <w:tcPr>
                  <w:tcW w:w="722" w:type="dxa"/>
                  <w:tcBorders>
                    <w:top w:val="nil"/>
                    <w:left w:val="nil"/>
                    <w:bottom w:val="single" w:color="auto" w:sz="4" w:space="0"/>
                    <w:right w:val="single" w:color="auto" w:sz="4" w:space="0"/>
                  </w:tcBorders>
                  <w:noWrap w:val="0"/>
                  <w:vAlign w:val="center"/>
                </w:tcPr>
                <w:p w14:paraId="51F547EF">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2.4</w:t>
                  </w:r>
                </w:p>
              </w:tc>
            </w:tr>
            <w:tr w14:paraId="6A0981F7">
              <w:tblPrEx>
                <w:tblCellMar>
                  <w:top w:w="0" w:type="dxa"/>
                  <w:left w:w="0" w:type="dxa"/>
                  <w:bottom w:w="0" w:type="dxa"/>
                  <w:right w:w="0" w:type="dxa"/>
                </w:tblCellMar>
              </w:tblPrEx>
              <w:trPr>
                <w:trHeight w:val="442" w:hRule="exact"/>
                <w:jc w:val="center"/>
              </w:trPr>
              <w:tc>
                <w:tcPr>
                  <w:tcW w:w="1528" w:type="dxa"/>
                  <w:vMerge w:val="restart"/>
                  <w:tcBorders>
                    <w:top w:val="nil"/>
                    <w:left w:val="single" w:color="auto" w:sz="4" w:space="0"/>
                    <w:right w:val="single" w:color="auto" w:sz="4" w:space="0"/>
                  </w:tcBorders>
                  <w:noWrap w:val="0"/>
                  <w:vAlign w:val="center"/>
                </w:tcPr>
                <w:p w14:paraId="12F9D653">
                  <w:pPr>
                    <w:spacing w:line="360" w:lineRule="auto"/>
                    <w:jc w:val="center"/>
                    <w:rPr>
                      <w:rFonts w:hint="eastAsia" w:ascii="宋体" w:hAnsi="宋体" w:eastAsia="宋体" w:cs="宋体"/>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shd w:val="clear" w:color="auto" w:fill="auto"/>
                      <w:lang w:eastAsia="zh-CN"/>
                    </w:rPr>
                    <w:t>最高投标限价</w:t>
                  </w:r>
                </w:p>
              </w:tc>
              <w:tc>
                <w:tcPr>
                  <w:tcW w:w="994" w:type="dxa"/>
                  <w:tcBorders>
                    <w:top w:val="single" w:color="auto" w:sz="4" w:space="0"/>
                    <w:left w:val="nil"/>
                    <w:bottom w:val="single" w:color="auto" w:sz="4" w:space="0"/>
                    <w:right w:val="single" w:color="auto" w:sz="4" w:space="0"/>
                  </w:tcBorders>
                  <w:noWrap w:val="0"/>
                  <w:vAlign w:val="center"/>
                </w:tcPr>
                <w:p w14:paraId="221936F3">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建筑工程</w:t>
                  </w:r>
                </w:p>
              </w:tc>
              <w:tc>
                <w:tcPr>
                  <w:tcW w:w="771" w:type="dxa"/>
                  <w:tcBorders>
                    <w:top w:val="nil"/>
                    <w:left w:val="nil"/>
                    <w:bottom w:val="single" w:color="auto" w:sz="4" w:space="0"/>
                    <w:right w:val="single" w:color="auto" w:sz="4" w:space="0"/>
                  </w:tcBorders>
                  <w:noWrap w:val="0"/>
                  <w:vAlign w:val="center"/>
                </w:tcPr>
                <w:p w14:paraId="5058A0FF">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2</w:t>
                  </w:r>
                </w:p>
              </w:tc>
              <w:tc>
                <w:tcPr>
                  <w:tcW w:w="719" w:type="dxa"/>
                  <w:tcBorders>
                    <w:top w:val="nil"/>
                    <w:left w:val="nil"/>
                    <w:bottom w:val="single" w:color="auto" w:sz="4" w:space="0"/>
                    <w:right w:val="single" w:color="auto" w:sz="4" w:space="0"/>
                  </w:tcBorders>
                  <w:noWrap w:val="0"/>
                  <w:vAlign w:val="center"/>
                </w:tcPr>
                <w:p w14:paraId="470948BD">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1.8</w:t>
                  </w:r>
                </w:p>
              </w:tc>
              <w:tc>
                <w:tcPr>
                  <w:tcW w:w="603" w:type="dxa"/>
                  <w:tcBorders>
                    <w:top w:val="nil"/>
                    <w:left w:val="nil"/>
                    <w:bottom w:val="single" w:color="auto" w:sz="4" w:space="0"/>
                    <w:right w:val="single" w:color="auto" w:sz="4" w:space="0"/>
                  </w:tcBorders>
                  <w:noWrap w:val="0"/>
                  <w:vAlign w:val="center"/>
                </w:tcPr>
                <w:p w14:paraId="4D2566D0">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1.6</w:t>
                  </w:r>
                </w:p>
              </w:tc>
              <w:tc>
                <w:tcPr>
                  <w:tcW w:w="678" w:type="dxa"/>
                  <w:tcBorders>
                    <w:top w:val="nil"/>
                    <w:left w:val="nil"/>
                    <w:bottom w:val="single" w:color="auto" w:sz="4" w:space="0"/>
                    <w:right w:val="single" w:color="auto" w:sz="4" w:space="0"/>
                  </w:tcBorders>
                  <w:noWrap w:val="0"/>
                  <w:vAlign w:val="center"/>
                </w:tcPr>
                <w:p w14:paraId="666DC189">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1.4</w:t>
                  </w:r>
                </w:p>
              </w:tc>
              <w:tc>
                <w:tcPr>
                  <w:tcW w:w="642" w:type="dxa"/>
                  <w:tcBorders>
                    <w:top w:val="nil"/>
                    <w:left w:val="nil"/>
                    <w:bottom w:val="single" w:color="auto" w:sz="4" w:space="0"/>
                    <w:right w:val="single" w:color="auto" w:sz="4" w:space="0"/>
                  </w:tcBorders>
                  <w:noWrap w:val="0"/>
                  <w:vAlign w:val="center"/>
                </w:tcPr>
                <w:p w14:paraId="51EB4AB0">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1.3</w:t>
                  </w:r>
                </w:p>
              </w:tc>
              <w:tc>
                <w:tcPr>
                  <w:tcW w:w="692" w:type="dxa"/>
                  <w:tcBorders>
                    <w:top w:val="nil"/>
                    <w:left w:val="nil"/>
                    <w:bottom w:val="single" w:color="auto" w:sz="4" w:space="0"/>
                    <w:right w:val="single" w:color="auto" w:sz="4" w:space="0"/>
                  </w:tcBorders>
                  <w:noWrap w:val="0"/>
                  <w:vAlign w:val="center"/>
                </w:tcPr>
                <w:p w14:paraId="5DD0D9D7">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1.2</w:t>
                  </w:r>
                </w:p>
              </w:tc>
              <w:tc>
                <w:tcPr>
                  <w:tcW w:w="790" w:type="dxa"/>
                  <w:tcBorders>
                    <w:top w:val="nil"/>
                    <w:left w:val="nil"/>
                    <w:bottom w:val="single" w:color="auto" w:sz="4" w:space="0"/>
                    <w:right w:val="single" w:color="auto" w:sz="4" w:space="0"/>
                  </w:tcBorders>
                  <w:noWrap w:val="0"/>
                  <w:vAlign w:val="center"/>
                </w:tcPr>
                <w:p w14:paraId="775CEE30">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1.1</w:t>
                  </w:r>
                </w:p>
              </w:tc>
              <w:tc>
                <w:tcPr>
                  <w:tcW w:w="722" w:type="dxa"/>
                  <w:tcBorders>
                    <w:top w:val="nil"/>
                    <w:left w:val="nil"/>
                    <w:bottom w:val="single" w:color="auto" w:sz="4" w:space="0"/>
                    <w:right w:val="single" w:color="auto" w:sz="4" w:space="0"/>
                  </w:tcBorders>
                  <w:noWrap w:val="0"/>
                  <w:vAlign w:val="center"/>
                </w:tcPr>
                <w:p w14:paraId="4DD8F49E">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w:t>
                  </w:r>
                </w:p>
              </w:tc>
            </w:tr>
            <w:tr w14:paraId="6F8791BB">
              <w:tblPrEx>
                <w:tblCellMar>
                  <w:top w:w="0" w:type="dxa"/>
                  <w:left w:w="0" w:type="dxa"/>
                  <w:bottom w:w="0" w:type="dxa"/>
                  <w:right w:w="0" w:type="dxa"/>
                </w:tblCellMar>
              </w:tblPrEx>
              <w:trPr>
                <w:trHeight w:val="442" w:hRule="exact"/>
                <w:jc w:val="center"/>
              </w:trPr>
              <w:tc>
                <w:tcPr>
                  <w:tcW w:w="1528" w:type="dxa"/>
                  <w:vMerge w:val="continue"/>
                  <w:tcBorders>
                    <w:left w:val="single" w:color="auto" w:sz="4" w:space="0"/>
                    <w:bottom w:val="single" w:color="auto" w:sz="4" w:space="0"/>
                    <w:right w:val="single" w:color="auto" w:sz="4" w:space="0"/>
                  </w:tcBorders>
                  <w:noWrap w:val="0"/>
                  <w:vAlign w:val="center"/>
                </w:tcPr>
                <w:p w14:paraId="4BF0C568">
                  <w:pPr>
                    <w:spacing w:line="360" w:lineRule="auto"/>
                    <w:jc w:val="center"/>
                    <w:rPr>
                      <w:rFonts w:hint="eastAsia" w:ascii="宋体" w:hAnsi="宋体" w:eastAsia="宋体" w:cs="宋体"/>
                      <w:b w:val="0"/>
                      <w:bCs w:val="0"/>
                      <w:color w:val="auto"/>
                      <w:sz w:val="21"/>
                      <w:szCs w:val="21"/>
                      <w:highlight w:val="none"/>
                      <w:shd w:val="clear" w:color="auto" w:fill="auto"/>
                    </w:rPr>
                  </w:pPr>
                </w:p>
              </w:tc>
              <w:tc>
                <w:tcPr>
                  <w:tcW w:w="994" w:type="dxa"/>
                  <w:tcBorders>
                    <w:top w:val="single" w:color="auto" w:sz="4" w:space="0"/>
                    <w:left w:val="nil"/>
                    <w:bottom w:val="single" w:color="auto" w:sz="4" w:space="0"/>
                    <w:right w:val="single" w:color="auto" w:sz="4" w:space="0"/>
                  </w:tcBorders>
                  <w:noWrap w:val="0"/>
                  <w:vAlign w:val="center"/>
                </w:tcPr>
                <w:p w14:paraId="5A976FA2">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安装工程</w:t>
                  </w:r>
                </w:p>
              </w:tc>
              <w:tc>
                <w:tcPr>
                  <w:tcW w:w="771" w:type="dxa"/>
                  <w:tcBorders>
                    <w:top w:val="nil"/>
                    <w:left w:val="nil"/>
                    <w:bottom w:val="single" w:color="auto" w:sz="4" w:space="0"/>
                    <w:right w:val="single" w:color="auto" w:sz="4" w:space="0"/>
                  </w:tcBorders>
                  <w:noWrap w:val="0"/>
                  <w:vAlign w:val="center"/>
                </w:tcPr>
                <w:p w14:paraId="2ACBB07F">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2.1</w:t>
                  </w:r>
                </w:p>
              </w:tc>
              <w:tc>
                <w:tcPr>
                  <w:tcW w:w="719" w:type="dxa"/>
                  <w:tcBorders>
                    <w:top w:val="nil"/>
                    <w:left w:val="nil"/>
                    <w:bottom w:val="single" w:color="auto" w:sz="4" w:space="0"/>
                    <w:right w:val="single" w:color="auto" w:sz="4" w:space="0"/>
                  </w:tcBorders>
                  <w:noWrap w:val="0"/>
                  <w:vAlign w:val="center"/>
                </w:tcPr>
                <w:p w14:paraId="0DB4DA39">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1.9</w:t>
                  </w:r>
                </w:p>
              </w:tc>
              <w:tc>
                <w:tcPr>
                  <w:tcW w:w="603" w:type="dxa"/>
                  <w:tcBorders>
                    <w:top w:val="nil"/>
                    <w:left w:val="nil"/>
                    <w:bottom w:val="single" w:color="auto" w:sz="4" w:space="0"/>
                    <w:right w:val="single" w:color="auto" w:sz="4" w:space="0"/>
                  </w:tcBorders>
                  <w:noWrap w:val="0"/>
                  <w:vAlign w:val="center"/>
                </w:tcPr>
                <w:p w14:paraId="34EF6F6C">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1.7</w:t>
                  </w:r>
                </w:p>
              </w:tc>
              <w:tc>
                <w:tcPr>
                  <w:tcW w:w="678" w:type="dxa"/>
                  <w:tcBorders>
                    <w:top w:val="nil"/>
                    <w:left w:val="nil"/>
                    <w:bottom w:val="single" w:color="auto" w:sz="4" w:space="0"/>
                    <w:right w:val="single" w:color="auto" w:sz="4" w:space="0"/>
                  </w:tcBorders>
                  <w:noWrap w:val="0"/>
                  <w:vAlign w:val="center"/>
                </w:tcPr>
                <w:p w14:paraId="16B16287">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1.6</w:t>
                  </w:r>
                </w:p>
              </w:tc>
              <w:tc>
                <w:tcPr>
                  <w:tcW w:w="642" w:type="dxa"/>
                  <w:tcBorders>
                    <w:top w:val="nil"/>
                    <w:left w:val="nil"/>
                    <w:bottom w:val="single" w:color="auto" w:sz="4" w:space="0"/>
                    <w:right w:val="single" w:color="auto" w:sz="4" w:space="0"/>
                  </w:tcBorders>
                  <w:noWrap w:val="0"/>
                  <w:vAlign w:val="center"/>
                </w:tcPr>
                <w:p w14:paraId="65370FAA">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1.4</w:t>
                  </w:r>
                </w:p>
              </w:tc>
              <w:tc>
                <w:tcPr>
                  <w:tcW w:w="692" w:type="dxa"/>
                  <w:tcBorders>
                    <w:top w:val="nil"/>
                    <w:left w:val="nil"/>
                    <w:bottom w:val="single" w:color="auto" w:sz="4" w:space="0"/>
                    <w:right w:val="single" w:color="auto" w:sz="4" w:space="0"/>
                  </w:tcBorders>
                  <w:noWrap w:val="0"/>
                  <w:vAlign w:val="center"/>
                </w:tcPr>
                <w:p w14:paraId="351A34FA">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1.3</w:t>
                  </w:r>
                </w:p>
              </w:tc>
              <w:tc>
                <w:tcPr>
                  <w:tcW w:w="790" w:type="dxa"/>
                  <w:tcBorders>
                    <w:top w:val="nil"/>
                    <w:left w:val="nil"/>
                    <w:bottom w:val="single" w:color="auto" w:sz="4" w:space="0"/>
                    <w:right w:val="single" w:color="auto" w:sz="4" w:space="0"/>
                  </w:tcBorders>
                  <w:noWrap w:val="0"/>
                  <w:vAlign w:val="center"/>
                </w:tcPr>
                <w:p w14:paraId="45694254">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1.2</w:t>
                  </w:r>
                </w:p>
              </w:tc>
              <w:tc>
                <w:tcPr>
                  <w:tcW w:w="722" w:type="dxa"/>
                  <w:tcBorders>
                    <w:top w:val="nil"/>
                    <w:left w:val="nil"/>
                    <w:bottom w:val="single" w:color="auto" w:sz="4" w:space="0"/>
                    <w:right w:val="single" w:color="auto" w:sz="4" w:space="0"/>
                  </w:tcBorders>
                  <w:noWrap w:val="0"/>
                  <w:vAlign w:val="center"/>
                </w:tcPr>
                <w:p w14:paraId="58D0A4C4">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1.1</w:t>
                  </w:r>
                </w:p>
              </w:tc>
            </w:tr>
            <w:tr w14:paraId="2BF22938">
              <w:tblPrEx>
                <w:tblCellMar>
                  <w:top w:w="0" w:type="dxa"/>
                  <w:left w:w="0" w:type="dxa"/>
                  <w:bottom w:w="0" w:type="dxa"/>
                  <w:right w:w="0" w:type="dxa"/>
                </w:tblCellMar>
              </w:tblPrEx>
              <w:trPr>
                <w:trHeight w:val="452" w:hRule="exact"/>
                <w:jc w:val="center"/>
              </w:trPr>
              <w:tc>
                <w:tcPr>
                  <w:tcW w:w="2522" w:type="dxa"/>
                  <w:gridSpan w:val="2"/>
                  <w:tcBorders>
                    <w:top w:val="nil"/>
                    <w:left w:val="single" w:color="auto" w:sz="4" w:space="0"/>
                    <w:bottom w:val="single" w:color="auto" w:sz="4" w:space="0"/>
                    <w:right w:val="single" w:color="auto" w:sz="4" w:space="0"/>
                  </w:tcBorders>
                  <w:noWrap w:val="0"/>
                  <w:vAlign w:val="center"/>
                </w:tcPr>
                <w:p w14:paraId="75C4D517">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钢筋及预埋件计算</w:t>
                  </w:r>
                </w:p>
              </w:tc>
              <w:tc>
                <w:tcPr>
                  <w:tcW w:w="5617" w:type="dxa"/>
                  <w:gridSpan w:val="8"/>
                  <w:tcBorders>
                    <w:top w:val="nil"/>
                    <w:left w:val="nil"/>
                    <w:bottom w:val="single" w:color="auto" w:sz="4" w:space="0"/>
                    <w:right w:val="single" w:color="auto" w:sz="4" w:space="0"/>
                  </w:tcBorders>
                  <w:noWrap w:val="0"/>
                  <w:vAlign w:val="center"/>
                </w:tcPr>
                <w:p w14:paraId="344F3972">
                  <w:pPr>
                    <w:spacing w:line="360" w:lineRule="auto"/>
                    <w:jc w:val="center"/>
                    <w:rPr>
                      <w:rFonts w:hint="eastAsia" w:ascii="宋体" w:hAnsi="宋体" w:eastAsia="宋体" w:cs="宋体"/>
                      <w:b w:val="0"/>
                      <w:bCs w:val="0"/>
                      <w:color w:val="auto"/>
                      <w:sz w:val="21"/>
                      <w:szCs w:val="21"/>
                      <w:highlight w:val="none"/>
                      <w:shd w:val="clear" w:color="auto" w:fill="auto"/>
                    </w:rPr>
                  </w:pPr>
                  <w:r>
                    <w:rPr>
                      <w:rFonts w:hint="eastAsia" w:ascii="宋体" w:hAnsi="宋体" w:eastAsia="宋体" w:cs="宋体"/>
                      <w:b w:val="0"/>
                      <w:bCs w:val="0"/>
                      <w:color w:val="auto"/>
                      <w:sz w:val="21"/>
                      <w:szCs w:val="21"/>
                      <w:highlight w:val="none"/>
                      <w:shd w:val="clear" w:color="auto" w:fill="auto"/>
                    </w:rPr>
                    <w:t>10元/吨</w:t>
                  </w:r>
                </w:p>
              </w:tc>
            </w:tr>
          </w:tbl>
          <w:p w14:paraId="481CDACB">
            <w:pPr>
              <w:bidi w:val="0"/>
              <w:spacing w:line="360" w:lineRule="auto"/>
              <w:jc w:val="left"/>
              <w:rPr>
                <w:rFonts w:hint="eastAsia" w:ascii="宋体" w:hAnsi="宋体" w:eastAsia="宋体" w:cs="宋体"/>
                <w:b w:val="0"/>
                <w:bCs w:val="0"/>
                <w:sz w:val="21"/>
                <w:szCs w:val="21"/>
              </w:rPr>
            </w:pPr>
          </w:p>
        </w:tc>
      </w:tr>
      <w:tr w14:paraId="1010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120" w:type="dxa"/>
            <w:noWrap w:val="0"/>
            <w:vAlign w:val="center"/>
          </w:tcPr>
          <w:p w14:paraId="38CA3D4F">
            <w:pPr>
              <w:bidi w:val="0"/>
              <w:spacing w:line="360" w:lineRule="auto"/>
              <w:jc w:val="center"/>
              <w:rPr>
                <w:rFonts w:hint="eastAsia" w:ascii="宋体" w:hAnsi="宋体" w:eastAsia="宋体" w:cs="宋体"/>
                <w:b/>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3</w:t>
            </w:r>
          </w:p>
        </w:tc>
        <w:tc>
          <w:tcPr>
            <w:tcW w:w="8705" w:type="dxa"/>
            <w:gridSpan w:val="4"/>
            <w:noWrap w:val="0"/>
            <w:vAlign w:val="top"/>
          </w:tcPr>
          <w:p w14:paraId="7AA14090">
            <w:pPr>
              <w:pStyle w:val="12"/>
              <w:spacing w:line="360" w:lineRule="auto"/>
              <w:rPr>
                <w:rFonts w:hint="eastAsia" w:ascii="宋体" w:hAnsi="宋体" w:eastAsia="宋体" w:cs="宋体"/>
                <w:sz w:val="21"/>
                <w:szCs w:val="21"/>
              </w:rPr>
            </w:pPr>
            <w:r>
              <w:rPr>
                <w:rFonts w:hint="eastAsia" w:ascii="宋体" w:hAnsi="宋体" w:eastAsia="宋体" w:cs="宋体"/>
                <w:sz w:val="21"/>
                <w:szCs w:val="21"/>
              </w:rPr>
              <w:t>本项目招标代理费本项目的招标代理服务费参照计价格[2002]1980 号文规定标准</w:t>
            </w:r>
          </w:p>
          <w:p w14:paraId="3920B599">
            <w:pPr>
              <w:pStyle w:val="1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的80%收取，清单及控制价编制费参照皖价服[2007]86号文规定</w:t>
            </w:r>
            <w:bookmarkStart w:id="462" w:name="_GoBack"/>
            <w:bookmarkEnd w:id="462"/>
            <w:r>
              <w:rPr>
                <w:rFonts w:hint="eastAsia" w:ascii="宋体" w:hAnsi="宋体" w:eastAsia="宋体" w:cs="宋体"/>
                <w:sz w:val="21"/>
                <w:szCs w:val="21"/>
              </w:rPr>
              <w:t>标准收取费用由中标人支付</w:t>
            </w:r>
            <w:r>
              <w:rPr>
                <w:rFonts w:hint="eastAsia" w:ascii="宋体" w:hAnsi="宋体" w:eastAsia="宋体" w:cs="宋体"/>
                <w:sz w:val="21"/>
                <w:szCs w:val="21"/>
                <w:lang w:eastAsia="zh-CN"/>
              </w:rPr>
              <w:t>，招标人不承担此费用</w:t>
            </w:r>
            <w:r>
              <w:rPr>
                <w:rFonts w:hint="eastAsia" w:ascii="宋体" w:hAnsi="宋体" w:eastAsia="宋体" w:cs="宋体"/>
                <w:sz w:val="21"/>
                <w:szCs w:val="21"/>
              </w:rPr>
              <w:t>。投标单位在投标报价时应考虑此项费用，无需单独列项。</w:t>
            </w:r>
          </w:p>
        </w:tc>
      </w:tr>
      <w:tr w14:paraId="07F9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0" w:type="dxa"/>
            <w:noWrap w:val="0"/>
            <w:vAlign w:val="center"/>
          </w:tcPr>
          <w:p w14:paraId="47BAE682">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4</w:t>
            </w:r>
          </w:p>
        </w:tc>
        <w:tc>
          <w:tcPr>
            <w:tcW w:w="8705" w:type="dxa"/>
            <w:gridSpan w:val="4"/>
            <w:noWrap w:val="0"/>
            <w:vAlign w:val="top"/>
          </w:tcPr>
          <w:p w14:paraId="7481BECC">
            <w:pPr>
              <w:spacing w:before="0" w:line="360" w:lineRule="auto"/>
              <w:ind w:right="0"/>
              <w:jc w:val="lef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开标注意事项：</w:t>
            </w:r>
          </w:p>
          <w:p w14:paraId="531EA4DC">
            <w:pPr>
              <w:spacing w:before="4" w:line="360" w:lineRule="auto"/>
              <w:ind w:right="56" w:rightChars="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本项目采用网上不见面开标，</w:t>
            </w:r>
          </w:p>
          <w:p w14:paraId="141EDCD6">
            <w:pPr>
              <w:spacing w:before="4" w:line="360" w:lineRule="auto"/>
              <w:ind w:right="56" w:rightChars="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1.询标通知、开标记录表、投标人废标通知、资格审查不通过人员名单、摇号记录表等，通过网员系统自行查询。</w:t>
            </w:r>
          </w:p>
          <w:p w14:paraId="062FED91">
            <w:pPr>
              <w:spacing w:before="4" w:line="360" w:lineRule="auto"/>
              <w:ind w:right="56" w:rightChars="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2.投标人须在投标截止时间之前使用CA锁自行</w:t>
            </w:r>
            <w:r>
              <w:rPr>
                <w:rFonts w:hint="eastAsia" w:cs="宋体"/>
                <w:b w:val="0"/>
                <w:bCs/>
                <w:color w:val="auto"/>
                <w:sz w:val="21"/>
                <w:szCs w:val="21"/>
                <w:lang w:eastAsia="zh-CN"/>
              </w:rPr>
              <w:t>登录</w:t>
            </w:r>
            <w:r>
              <w:rPr>
                <w:rFonts w:hint="eastAsia" w:ascii="宋体" w:hAnsi="宋体" w:eastAsia="宋体" w:cs="宋体"/>
                <w:b w:val="0"/>
                <w:bCs/>
                <w:color w:val="auto"/>
                <w:sz w:val="21"/>
                <w:szCs w:val="21"/>
              </w:rPr>
              <w:t>不见面开标大厅，并在解密指令发出后30分钟之内完成解密，投标人未按规定完成解密，视为放弃投标。投标人在项目开、评标期间应保持在线状态，授权委托人应保持电话畅通，随时通过交易系统接受评标委员会发出的询标等信息，并在规定时间内答复。技术支持咨询电话：</w:t>
            </w:r>
            <w:r>
              <w:rPr>
                <w:rFonts w:hint="eastAsia" w:ascii="宋体" w:hAnsi="宋体" w:eastAsia="宋体" w:cs="宋体"/>
                <w:b w:val="0"/>
                <w:bCs/>
                <w:color w:val="auto"/>
                <w:sz w:val="21"/>
                <w:szCs w:val="21"/>
                <w:lang w:val="en-US" w:eastAsia="zh-CN"/>
              </w:rPr>
              <w:t>0512-58188516</w:t>
            </w:r>
            <w:r>
              <w:rPr>
                <w:rFonts w:hint="eastAsia" w:ascii="宋体" w:hAnsi="宋体" w:eastAsia="宋体" w:cs="宋体"/>
                <w:b w:val="0"/>
                <w:bCs/>
                <w:color w:val="auto"/>
                <w:sz w:val="21"/>
                <w:szCs w:val="21"/>
              </w:rPr>
              <w:t>。</w:t>
            </w:r>
          </w:p>
          <w:p w14:paraId="409479D4">
            <w:pPr>
              <w:spacing w:before="4" w:line="360" w:lineRule="auto"/>
              <w:ind w:right="56" w:rightChars="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不见面开标大厅登录方式：淮北市公共资源交易中心网站，选择不见面开标大厅登录。具体操作详见中心网站交易服务-资源下载栏目的《淮北市不见面开标大厅-操作手册（投标人）》。</w:t>
            </w:r>
          </w:p>
        </w:tc>
      </w:tr>
      <w:tr w14:paraId="3640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20" w:type="dxa"/>
            <w:noWrap w:val="0"/>
            <w:vAlign w:val="center"/>
          </w:tcPr>
          <w:p w14:paraId="15DB330C">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5</w:t>
            </w:r>
          </w:p>
        </w:tc>
        <w:tc>
          <w:tcPr>
            <w:tcW w:w="8705" w:type="dxa"/>
            <w:gridSpan w:val="4"/>
            <w:noWrap w:val="0"/>
            <w:vAlign w:val="top"/>
          </w:tcPr>
          <w:p w14:paraId="256C494E">
            <w:pPr>
              <w:spacing w:before="0" w:line="360" w:lineRule="auto"/>
              <w:ind w:right="0"/>
              <w:jc w:val="left"/>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特别提醒：</w:t>
            </w:r>
          </w:p>
          <w:p w14:paraId="252CC106">
            <w:pPr>
              <w:spacing w:line="36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1、投标人须通过淮北市公共资源交易网，进入“不见面开标大厅”，进行解密；投标人可以通过交易平台中的“模拟解密”功能，自行验证其解密环境，如有技术问题请联系：</w:t>
            </w:r>
            <w:r>
              <w:rPr>
                <w:rFonts w:hint="eastAsia" w:ascii="宋体" w:hAnsi="宋体" w:eastAsia="宋体" w:cs="宋体"/>
                <w:b w:val="0"/>
                <w:bCs/>
                <w:color w:val="auto"/>
                <w:sz w:val="21"/>
                <w:szCs w:val="21"/>
                <w:lang w:val="en-US" w:eastAsia="zh-CN"/>
              </w:rPr>
              <w:t>0512-58188516</w:t>
            </w:r>
            <w:r>
              <w:rPr>
                <w:rFonts w:hint="eastAsia" w:ascii="宋体" w:hAnsi="宋体" w:eastAsia="宋体" w:cs="宋体"/>
                <w:b w:val="0"/>
                <w:bCs/>
                <w:color w:val="auto"/>
                <w:sz w:val="21"/>
                <w:szCs w:val="21"/>
              </w:rPr>
              <w:t>。解密不成功的，后果自负。投标人不得通过非加密电子报价文件（光盘）直接将电子投标文件导入评标系统；</w:t>
            </w:r>
          </w:p>
          <w:p w14:paraId="4E1D9A87">
            <w:pPr>
              <w:autoSpaceDE w:val="0"/>
              <w:autoSpaceDN w:val="0"/>
              <w:adjustRightInd w:val="0"/>
              <w:spacing w:line="360" w:lineRule="auto"/>
              <w:jc w:val="left"/>
              <w:textAlignment w:val="cente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2、投标人解密完成后，投标人应安排专人登录系统并保持在线状态，因投标人未及时登录系统而无法接受评标委员会询标（远程网上询标）的风险，由投标人自行承担；</w:t>
            </w:r>
          </w:p>
          <w:p w14:paraId="5CFE0FFF">
            <w:pPr>
              <w:pStyle w:val="24"/>
              <w:keepNext w:val="0"/>
              <w:keepLines w:val="0"/>
              <w:pageBreakBefore w:val="0"/>
              <w:widowControl w:val="0"/>
              <w:kinsoku/>
              <w:wordWrap/>
              <w:overflowPunct/>
              <w:topLinePunct w:val="0"/>
              <w:autoSpaceDE w:val="0"/>
              <w:autoSpaceDN w:val="0"/>
              <w:bidi w:val="0"/>
              <w:adjustRightInd/>
              <w:snapToGrid/>
              <w:spacing w:after="0" w:line="360" w:lineRule="auto"/>
              <w:ind w:left="0" w:leftChars="0" w:firstLine="0" w:firstLineChars="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3、从评标委员会发起远程网上询标至询标结束原则上为</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0分钟（具体时间要求见询标系统），评标委员会将对澄清、说明或补正内容评审后判定是否符合招标文件要求。在规定时间内未按评委会要求进行澄清、说明或补正内容的视同投标人放弃澄清、说明或补正内容权利，评委会可按对投标人不利的解释去进行判定</w:t>
            </w:r>
            <w:r>
              <w:rPr>
                <w:rFonts w:hint="eastAsia" w:ascii="宋体" w:hAnsi="宋体" w:eastAsia="宋体" w:cs="宋体"/>
                <w:b w:val="0"/>
                <w:bCs/>
                <w:color w:val="auto"/>
                <w:sz w:val="21"/>
                <w:szCs w:val="21"/>
                <w:lang w:eastAsia="zh-CN"/>
              </w:rPr>
              <w:t>。</w:t>
            </w:r>
          </w:p>
          <w:p w14:paraId="31068478">
            <w:pPr>
              <w:pStyle w:val="42"/>
              <w:spacing w:before="1" w:line="36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4、投标人可以通过淮北市电子招投标交易平台依法对开标过程提出异议（质疑），并加盖投标人电子签章对质疑内容进行确认。取消招标文件中开评标现场有关书面提出异议（质疑）及澄清说明的内容。</w:t>
            </w:r>
          </w:p>
          <w:p w14:paraId="4C0F87B3">
            <w:pPr>
              <w:pStyle w:val="42"/>
              <w:spacing w:before="1" w:line="360" w:lineRule="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、投标人可通过淮北市公共资源交易</w:t>
            </w:r>
            <w:r>
              <w:rPr>
                <w:rFonts w:hint="eastAsia" w:ascii="宋体" w:hAnsi="宋体" w:eastAsia="宋体" w:cs="宋体"/>
                <w:b w:val="0"/>
                <w:bCs/>
                <w:color w:val="auto"/>
                <w:sz w:val="21"/>
                <w:szCs w:val="21"/>
                <w:lang w:val="en-US" w:eastAsia="zh-CN"/>
              </w:rPr>
              <w:t>中心网站</w:t>
            </w:r>
            <w:r>
              <w:rPr>
                <w:rFonts w:hint="eastAsia" w:ascii="宋体" w:hAnsi="宋体" w:eastAsia="宋体" w:cs="宋体"/>
                <w:b w:val="0"/>
                <w:bCs/>
                <w:color w:val="auto"/>
                <w:sz w:val="21"/>
                <w:szCs w:val="21"/>
              </w:rPr>
              <w:t xml:space="preserve">，查看评审结果；  </w:t>
            </w:r>
          </w:p>
          <w:p w14:paraId="52857454">
            <w:pPr>
              <w:pStyle w:val="42"/>
              <w:spacing w:before="3" w:line="360" w:lineRule="auto"/>
              <w:rPr>
                <w:rFonts w:hint="eastAsia" w:ascii="宋体" w:hAnsi="宋体" w:eastAsia="宋体" w:cs="宋体"/>
                <w:b w:val="0"/>
                <w:bCs/>
                <w:color w:val="auto"/>
                <w:spacing w:val="-3"/>
                <w:sz w:val="21"/>
                <w:szCs w:val="21"/>
              </w:rPr>
            </w:pPr>
            <w:r>
              <w:rPr>
                <w:rFonts w:hint="eastAsia" w:ascii="宋体" w:hAnsi="宋体" w:eastAsia="宋体" w:cs="宋体"/>
                <w:b w:val="0"/>
                <w:bCs/>
                <w:color w:val="auto"/>
                <w:sz w:val="21"/>
                <w:szCs w:val="21"/>
                <w:lang w:val="en-US" w:eastAsia="zh-CN"/>
              </w:rPr>
              <w:t>6</w:t>
            </w:r>
            <w:r>
              <w:rPr>
                <w:rFonts w:hint="eastAsia" w:ascii="宋体" w:hAnsi="宋体" w:eastAsia="宋体" w:cs="宋体"/>
                <w:b w:val="0"/>
                <w:bCs/>
                <w:color w:val="auto"/>
                <w:sz w:val="21"/>
                <w:szCs w:val="21"/>
              </w:rPr>
              <w:t xml:space="preserve">、中标人请在中标的投标文件中标注页码，以方便招投标档案管理。   </w:t>
            </w:r>
          </w:p>
        </w:tc>
      </w:tr>
      <w:tr w14:paraId="08E3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8" w:hRule="atLeast"/>
        </w:trPr>
        <w:tc>
          <w:tcPr>
            <w:tcW w:w="1120" w:type="dxa"/>
            <w:noWrap w:val="0"/>
            <w:vAlign w:val="center"/>
          </w:tcPr>
          <w:p w14:paraId="75AD9BAE">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10.</w:t>
            </w:r>
            <w:r>
              <w:rPr>
                <w:rFonts w:hint="eastAsia" w:ascii="宋体" w:hAnsi="宋体" w:eastAsia="宋体" w:cs="宋体"/>
                <w:sz w:val="21"/>
                <w:szCs w:val="21"/>
                <w:lang w:val="en-US" w:eastAsia="zh-CN"/>
              </w:rPr>
              <w:t>6</w:t>
            </w:r>
          </w:p>
        </w:tc>
        <w:tc>
          <w:tcPr>
            <w:tcW w:w="8705" w:type="dxa"/>
            <w:gridSpan w:val="4"/>
            <w:noWrap w:val="0"/>
            <w:vAlign w:val="top"/>
          </w:tcPr>
          <w:p w14:paraId="459D1DAC">
            <w:pPr>
              <w:pStyle w:val="42"/>
              <w:keepNext w:val="0"/>
              <w:keepLines w:val="0"/>
              <w:pageBreakBefore w:val="0"/>
              <w:widowControl w:val="0"/>
              <w:kinsoku w:val="0"/>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sz w:val="21"/>
                <w:szCs w:val="21"/>
              </w:rPr>
            </w:pPr>
            <w:r>
              <w:rPr>
                <w:rFonts w:hint="eastAsia" w:ascii="宋体" w:hAnsi="宋体" w:eastAsia="宋体" w:cs="宋体"/>
                <w:b/>
                <w:sz w:val="21"/>
                <w:szCs w:val="21"/>
              </w:rPr>
              <w:t>特别说明：</w:t>
            </w:r>
            <w:r>
              <w:rPr>
                <w:rFonts w:hint="eastAsia" w:ascii="宋体" w:hAnsi="宋体" w:eastAsia="宋体" w:cs="宋体"/>
                <w:b/>
                <w:w w:val="99"/>
                <w:sz w:val="21"/>
                <w:szCs w:val="21"/>
              </w:rPr>
              <w:t xml:space="preserve"> </w:t>
            </w:r>
          </w:p>
          <w:p w14:paraId="3C616FE4">
            <w:pPr>
              <w:pStyle w:val="42"/>
              <w:keepNext w:val="0"/>
              <w:keepLines w:val="0"/>
              <w:pageBreakBefore w:val="0"/>
              <w:widowControl w:val="0"/>
              <w:kinsoku w:val="0"/>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pacing w:val="-6"/>
                <w:sz w:val="21"/>
                <w:szCs w:val="21"/>
              </w:rPr>
              <w:t>、投标单位中标后必须按照[住房和城乡建设部、人力资源社会保障部&lt;关于印发建筑工人实</w:t>
            </w:r>
            <w:r>
              <w:rPr>
                <w:rFonts w:hint="eastAsia" w:ascii="宋体" w:hAnsi="宋体" w:eastAsia="宋体" w:cs="宋体"/>
                <w:spacing w:val="-5"/>
                <w:sz w:val="21"/>
                <w:szCs w:val="21"/>
              </w:rPr>
              <w:t>名制管理办法</w:t>
            </w:r>
            <w:r>
              <w:rPr>
                <w:rFonts w:hint="eastAsia" w:ascii="宋体" w:hAnsi="宋体" w:eastAsia="宋体" w:cs="宋体"/>
                <w:spacing w:val="-3"/>
                <w:sz w:val="21"/>
                <w:szCs w:val="21"/>
              </w:rPr>
              <w:t>（</w:t>
            </w:r>
            <w:r>
              <w:rPr>
                <w:rFonts w:hint="eastAsia" w:ascii="宋体" w:hAnsi="宋体" w:eastAsia="宋体" w:cs="宋体"/>
                <w:sz w:val="21"/>
                <w:szCs w:val="21"/>
              </w:rPr>
              <w:t>试行</w:t>
            </w:r>
            <w:r>
              <w:rPr>
                <w:rFonts w:hint="eastAsia" w:ascii="宋体" w:hAnsi="宋体" w:eastAsia="宋体" w:cs="宋体"/>
                <w:spacing w:val="-3"/>
                <w:sz w:val="21"/>
                <w:szCs w:val="21"/>
              </w:rPr>
              <w:t>）的通知]文件的要求执行。</w:t>
            </w:r>
          </w:p>
          <w:p w14:paraId="5D9F59F8">
            <w:pPr>
              <w:pStyle w:val="42"/>
              <w:keepNext w:val="0"/>
              <w:keepLines w:val="0"/>
              <w:pageBreakBefore w:val="0"/>
              <w:widowControl w:val="0"/>
              <w:kinsoku w:val="0"/>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pacing w:val="-5"/>
                <w:sz w:val="21"/>
                <w:szCs w:val="21"/>
              </w:rPr>
              <w:t>、投标人在制作电子投标文件商务标时，《工程量清单报价表》封面相应位置应签字盖章上</w:t>
            </w:r>
            <w:r>
              <w:rPr>
                <w:rFonts w:hint="eastAsia" w:ascii="宋体" w:hAnsi="宋体" w:eastAsia="宋体" w:cs="宋体"/>
                <w:spacing w:val="-13"/>
                <w:sz w:val="21"/>
                <w:szCs w:val="21"/>
              </w:rPr>
              <w:t>传扫描件。根据《国务院关于取消一批职业资格许可和认定事项的决定》</w:t>
            </w:r>
            <w:r>
              <w:rPr>
                <w:rFonts w:hint="eastAsia" w:ascii="宋体" w:hAnsi="宋体" w:eastAsia="宋体" w:cs="宋体"/>
                <w:spacing w:val="-3"/>
                <w:sz w:val="21"/>
                <w:szCs w:val="21"/>
              </w:rPr>
              <w:t>（</w:t>
            </w:r>
            <w:r>
              <w:rPr>
                <w:rFonts w:hint="eastAsia" w:ascii="宋体" w:hAnsi="宋体" w:eastAsia="宋体" w:cs="宋体"/>
                <w:spacing w:val="-14"/>
                <w:sz w:val="21"/>
                <w:szCs w:val="21"/>
              </w:rPr>
              <w:t>国发〔</w:t>
            </w:r>
            <w:r>
              <w:rPr>
                <w:rFonts w:hint="eastAsia" w:ascii="宋体" w:hAnsi="宋体" w:eastAsia="宋体" w:cs="宋体"/>
                <w:sz w:val="21"/>
                <w:szCs w:val="21"/>
              </w:rPr>
              <w:t>2016</w:t>
            </w:r>
            <w:r>
              <w:rPr>
                <w:rFonts w:hint="eastAsia" w:ascii="宋体" w:hAnsi="宋体" w:eastAsia="宋体" w:cs="宋体"/>
                <w:spacing w:val="-44"/>
                <w:sz w:val="21"/>
                <w:szCs w:val="21"/>
              </w:rPr>
              <w:t>〕</w:t>
            </w:r>
            <w:r>
              <w:rPr>
                <w:rFonts w:hint="eastAsia" w:ascii="宋体" w:hAnsi="宋体" w:eastAsia="宋体" w:cs="宋体"/>
                <w:sz w:val="21"/>
                <w:szCs w:val="21"/>
              </w:rPr>
              <w:t>5</w:t>
            </w:r>
            <w:r>
              <w:rPr>
                <w:rFonts w:hint="eastAsia" w:ascii="宋体" w:hAnsi="宋体" w:eastAsia="宋体" w:cs="宋体"/>
                <w:spacing w:val="7"/>
                <w:sz w:val="21"/>
                <w:szCs w:val="21"/>
              </w:rPr>
              <w:t>号</w:t>
            </w:r>
            <w:r>
              <w:rPr>
                <w:rFonts w:hint="eastAsia" w:ascii="宋体" w:hAnsi="宋体" w:eastAsia="宋体" w:cs="宋体"/>
                <w:spacing w:val="-3"/>
                <w:sz w:val="21"/>
                <w:szCs w:val="21"/>
              </w:rPr>
              <w:t>规定，造价员资格已取消，也不再换证或续期【</w:t>
            </w:r>
            <w:r>
              <w:rPr>
                <w:rFonts w:hint="eastAsia" w:ascii="宋体" w:hAnsi="宋体" w:eastAsia="宋体" w:cs="宋体"/>
                <w:b/>
                <w:sz w:val="21"/>
                <w:szCs w:val="21"/>
              </w:rPr>
              <w:t>编制人员必须是本单位注册的二级或一级注</w:t>
            </w:r>
            <w:r>
              <w:rPr>
                <w:rFonts w:hint="eastAsia" w:ascii="宋体" w:hAnsi="宋体" w:eastAsia="宋体" w:cs="宋体"/>
                <w:b/>
                <w:spacing w:val="-1"/>
                <w:sz w:val="21"/>
                <w:szCs w:val="21"/>
              </w:rPr>
              <w:t>册造价工程师或委托造价咨询单位的造价专业人员</w:t>
            </w:r>
            <w:r>
              <w:rPr>
                <w:rFonts w:hint="eastAsia" w:ascii="宋体" w:hAnsi="宋体" w:eastAsia="宋体" w:cs="宋体"/>
                <w:b/>
                <w:sz w:val="21"/>
                <w:szCs w:val="21"/>
              </w:rPr>
              <w:t>（附咨询合同</w:t>
            </w:r>
            <w:r>
              <w:rPr>
                <w:rFonts w:hint="eastAsia" w:ascii="宋体" w:hAnsi="宋体" w:eastAsia="宋体" w:cs="宋体"/>
                <w:b/>
                <w:spacing w:val="-14"/>
                <w:sz w:val="21"/>
                <w:szCs w:val="21"/>
              </w:rPr>
              <w:t>）</w:t>
            </w:r>
            <w:r>
              <w:rPr>
                <w:rFonts w:hint="eastAsia" w:ascii="宋体" w:hAnsi="宋体" w:eastAsia="宋体" w:cs="宋体"/>
                <w:b/>
                <w:spacing w:val="-12"/>
                <w:sz w:val="21"/>
                <w:szCs w:val="21"/>
              </w:rPr>
              <w:t>。</w:t>
            </w:r>
            <w:r>
              <w:rPr>
                <w:rFonts w:hint="eastAsia" w:ascii="宋体" w:hAnsi="宋体" w:eastAsia="宋体" w:cs="宋体"/>
                <w:spacing w:val="-3"/>
                <w:sz w:val="21"/>
                <w:szCs w:val="21"/>
              </w:rPr>
              <w:t xml:space="preserve">】上述相关材料可以通过投标制作软件“其他材料”端口上传。工程量清单报价书编制人应为投标本单位或工程造价咨询单位具有造价执业资格的人员。 </w:t>
            </w:r>
          </w:p>
          <w:p w14:paraId="01B04BA1">
            <w:pPr>
              <w:keepNext w:val="0"/>
              <w:keepLines w:val="0"/>
              <w:pageBreakBefore w:val="0"/>
              <w:widowControl w:val="0"/>
              <w:numPr>
                <w:ilvl w:val="0"/>
                <w:numId w:val="0"/>
              </w:numPr>
              <w:kinsoku w:val="0"/>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w:t>3、投标单位</w:t>
            </w:r>
            <w:r>
              <w:rPr>
                <w:rFonts w:hint="eastAsia" w:ascii="宋体" w:hAnsi="宋体" w:eastAsia="宋体" w:cs="宋体"/>
                <w:sz w:val="21"/>
                <w:szCs w:val="21"/>
                <w:lang w:val="en-US" w:eastAsia="zh-CN"/>
              </w:rPr>
              <w:t>应当</w:t>
            </w:r>
            <w:r>
              <w:rPr>
                <w:rFonts w:hint="eastAsia" w:ascii="宋体" w:hAnsi="宋体" w:eastAsia="宋体" w:cs="宋体"/>
                <w:sz w:val="21"/>
                <w:szCs w:val="21"/>
              </w:rPr>
              <w:t>进行现场勘查，否则因现场情况提出所有索赔和变更均不予接受。</w:t>
            </w:r>
          </w:p>
          <w:p w14:paraId="444A8EDF">
            <w:pPr>
              <w:pStyle w:val="22"/>
              <w:keepNext w:val="0"/>
              <w:keepLines w:val="0"/>
              <w:widowControl/>
              <w:suppressLineNumbers w:val="0"/>
              <w:spacing w:before="0" w:beforeAutospacing="0" w:after="0" w:afterAutospacing="0" w:line="360" w:lineRule="auto"/>
              <w:ind w:right="0"/>
              <w:jc w:val="both"/>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zh-CN" w:bidi="ar-SA"/>
              </w:rPr>
              <w:t>4、</w:t>
            </w:r>
            <w:r>
              <w:rPr>
                <w:rFonts w:hint="eastAsia" w:ascii="宋体" w:hAnsi="宋体" w:eastAsia="宋体" w:cs="宋体"/>
                <w:snapToGrid w:val="0"/>
                <w:color w:val="000000"/>
                <w:kern w:val="0"/>
                <w:sz w:val="21"/>
                <w:szCs w:val="21"/>
                <w:lang w:val="en-US" w:eastAsia="en-US" w:bidi="ar-SA"/>
              </w:rPr>
              <w:t>企业资质条件比对核查：本项目在中标候选人公示期内由招标人对前三名中标候选人的企业资质、从业人员、投标文件中业绩信息、限制投标的行政处罚信息等四个方面内容进行比对核查并出具核查报告</w:t>
            </w:r>
            <w:r>
              <w:rPr>
                <w:rFonts w:hint="eastAsia" w:ascii="宋体" w:hAnsi="宋体" w:eastAsia="宋体" w:cs="宋体"/>
                <w:snapToGrid w:val="0"/>
                <w:color w:val="00B0F0"/>
                <w:kern w:val="0"/>
                <w:sz w:val="21"/>
                <w:szCs w:val="21"/>
                <w:lang w:val="en-US" w:eastAsia="en-US" w:bidi="ar-SA"/>
              </w:rPr>
              <w:t>。</w:t>
            </w:r>
            <w:r>
              <w:rPr>
                <w:rFonts w:hint="eastAsia" w:ascii="宋体" w:hAnsi="宋体" w:eastAsia="宋体" w:cs="宋体"/>
                <w:snapToGrid w:val="0"/>
                <w:color w:val="000000"/>
                <w:kern w:val="0"/>
                <w:sz w:val="21"/>
                <w:szCs w:val="21"/>
                <w:lang w:val="en-US" w:eastAsia="en-US" w:bidi="ar-SA"/>
              </w:rPr>
              <w:t>若有比对核查发现中标候选人的信息异常，不符合招标文件明确的资格条件或法律法规要求，招标人或定标委员会对其投标可以不予认可，并将弄虚作假、骗取中标等情形报送至公共资源交易监管部门</w:t>
            </w:r>
            <w:r>
              <w:rPr>
                <w:rFonts w:hint="eastAsia" w:ascii="宋体" w:hAnsi="宋体" w:eastAsia="宋体" w:cs="宋体"/>
                <w:snapToGrid w:val="0"/>
                <w:color w:val="000000"/>
                <w:kern w:val="0"/>
                <w:sz w:val="21"/>
                <w:szCs w:val="21"/>
                <w:lang w:val="en-US" w:eastAsia="zh-CN" w:bidi="ar-SA"/>
              </w:rPr>
              <w:t>。</w:t>
            </w:r>
          </w:p>
        </w:tc>
      </w:tr>
      <w:tr w14:paraId="25CD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120" w:type="dxa"/>
            <w:noWrap w:val="0"/>
            <w:vAlign w:val="center"/>
          </w:tcPr>
          <w:p w14:paraId="147B6A76">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10.7</w:t>
            </w:r>
          </w:p>
        </w:tc>
        <w:tc>
          <w:tcPr>
            <w:tcW w:w="8705" w:type="dxa"/>
            <w:gridSpan w:val="4"/>
            <w:noWrap w:val="0"/>
            <w:vAlign w:val="top"/>
          </w:tcPr>
          <w:p w14:paraId="74E3EC83">
            <w:pPr>
              <w:keepNext w:val="0"/>
              <w:keepLines w:val="0"/>
              <w:pageBreakBefore w:val="0"/>
              <w:widowControl w:val="0"/>
              <w:numPr>
                <w:ilvl w:val="0"/>
                <w:numId w:val="0"/>
              </w:numPr>
              <w:kinsoku w:val="0"/>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中标人在中标通知书领取前，向招标人（招标代理机构）提供与加密电子投标文件完全一致的纸质投标文件一正四副，提供的纸质版投标文件上必须要有中标人在投标文件上注明“此件与投标时电子版投标文件一致”，并在投标文件封面处加盖中标单位公章；同时提供与加密电子投标文件一致的非加密电子投标文件一份（光盘或 U 盘介质）并在非加密电子投标文件密封袋上加盖中标单位公章；否则招标人有权取消其中标资格。</w:t>
            </w:r>
          </w:p>
        </w:tc>
      </w:tr>
      <w:tr w14:paraId="75DC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120" w:type="dxa"/>
            <w:noWrap w:val="0"/>
            <w:vAlign w:val="center"/>
          </w:tcPr>
          <w:p w14:paraId="009BBEF2">
            <w:p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10.8</w:t>
            </w:r>
          </w:p>
        </w:tc>
        <w:tc>
          <w:tcPr>
            <w:tcW w:w="8705" w:type="dxa"/>
            <w:gridSpan w:val="4"/>
            <w:noWrap w:val="0"/>
            <w:vAlign w:val="top"/>
          </w:tcPr>
          <w:p w14:paraId="139CB8D4">
            <w:pPr>
              <w:keepNext w:val="0"/>
              <w:keepLines w:val="0"/>
              <w:pageBreakBefore w:val="0"/>
              <w:widowControl w:val="0"/>
              <w:numPr>
                <w:ilvl w:val="0"/>
                <w:numId w:val="0"/>
              </w:numPr>
              <w:kinsoku w:val="0"/>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评定分离说明：</w:t>
            </w:r>
          </w:p>
          <w:p w14:paraId="48D9FB4A">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根据淮北市工程建设项目评定分离的指导意见（试行）淮公管，本项目采用评定分离。</w:t>
            </w:r>
          </w:p>
          <w:p w14:paraId="172C395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一、定标委员会的组成：</w:t>
            </w:r>
          </w:p>
          <w:p w14:paraId="0E9CAC2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（一）定标委员会成员数量应为5人及以上单数。</w:t>
            </w:r>
          </w:p>
          <w:p w14:paraId="6BAA897C">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（二）定标委员会成员由招标人确定，一般由招标人代表、项目业主代表、项目使用单位代表组成。确有需要的，招标人可邀请外部专家担任定标委员会成员。</w:t>
            </w:r>
          </w:p>
          <w:p w14:paraId="7B5BFB1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（三）评标委员会的成员不得作为定标成员，定标委员会成员与中标候选人有利害关系的应主动说明并申请回避。定标成员名单在中标结果确定前应当保密。</w:t>
            </w:r>
          </w:p>
          <w:p w14:paraId="0D75CF11">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二、定标因素（包括但不限于）：</w:t>
            </w:r>
          </w:p>
          <w:p w14:paraId="560BC3E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（一）投标报价：按照招标文件要求，参照平均报价、市场同类 项目价格、主要材料价格等情况，综合考虑投标人报价和可能 影响履约的异常情况。</w:t>
            </w:r>
          </w:p>
          <w:p w14:paraId="5AB53CB1">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（二）企业实力：包括企业资质等级、专业技术人员力量经营状况、财务状况、业绩及履约情况等。</w:t>
            </w:r>
          </w:p>
          <w:p w14:paraId="3BB0B169">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（三）方案及性能：施工方案主要考虑安全控制措施、质量控制措施、绿色节能控制措施、进度控制措施以及科技创新等。性能方面主要考虑拟使用材料和设备技术参数、性能、备品备 件完善程度、维修保养等配套服务、对招标文件的响应程度以 及技术水平等。</w:t>
            </w:r>
          </w:p>
          <w:p w14:paraId="51CCE35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（四）企业信用：主要是企业过往履约情况的评价信息良好信用信息主要包括获得国家级、省级、市级工程类奖项</w:t>
            </w:r>
            <w:r>
              <w:rPr>
                <w:rFonts w:hint="eastAsia" w:cs="宋体"/>
                <w:sz w:val="21"/>
                <w:szCs w:val="21"/>
                <w:highlight w:val="none"/>
                <w:lang w:val="en-US" w:eastAsia="zh-CN"/>
              </w:rPr>
              <w:t>、企业荣誉情况</w:t>
            </w:r>
            <w:r>
              <w:rPr>
                <w:rFonts w:hint="eastAsia" w:ascii="宋体" w:hAnsi="宋体" w:eastAsia="宋体" w:cs="宋体"/>
                <w:sz w:val="21"/>
                <w:szCs w:val="21"/>
                <w:highlight w:val="none"/>
                <w:lang w:val="en-US" w:eastAsia="zh-CN"/>
              </w:rPr>
              <w:t>等；不良信用信息主要包括企业及拟派项目负责人在近3年内发生安全质量事故、违法违规行为、拖欠薪酬等。定标委员会可通过“信用中国”、国家企业信用信息公示系统、四库一平台等查询。</w:t>
            </w:r>
          </w:p>
          <w:p w14:paraId="73F23E89">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（五）项目机构：中标候选人根据招标项目的整体情况以及招标文件的规定，所提交的投标文件中能够体现出的如拟委派团队成员的综合能力。</w:t>
            </w:r>
          </w:p>
          <w:p w14:paraId="7C24DF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六）其它定标因素，例如要求中标候选人答辩的，可组织中标候选人的项目负责人，针对工期控制能力、类似工程施工经验、履约表现、质量安全控制、价格构成、企业实力、企业信誉等事项，向定标委员会进行答辩。</w:t>
            </w:r>
          </w:p>
          <w:p w14:paraId="66444897">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三、定标方法：</w:t>
            </w:r>
          </w:p>
          <w:p w14:paraId="352CCD46">
            <w:pPr>
              <w:keepNext w:val="0"/>
              <w:keepLines w:val="0"/>
              <w:pageBreakBefore w:val="0"/>
              <w:widowControl w:val="0"/>
              <w:numPr>
                <w:ilvl w:val="0"/>
                <w:numId w:val="0"/>
              </w:numPr>
              <w:kinsoku w:val="0"/>
              <w:wordWrap/>
              <w:overflowPunct/>
              <w:topLinePunct w:val="0"/>
              <w:autoSpaceDE w:val="0"/>
              <w:autoSpaceDN w:val="0"/>
              <w:bidi w:val="0"/>
              <w:adjustRightInd/>
              <w:snapToGrid/>
              <w:spacing w:before="0" w:after="0" w:line="360" w:lineRule="auto"/>
              <w:ind w:left="0" w:right="0" w:rightChars="0"/>
              <w:jc w:val="left"/>
              <w:textAlignment w:val="auto"/>
              <w:rPr>
                <w:rFonts w:hint="eastAsia" w:ascii="宋体" w:hAnsi="宋体" w:eastAsia="宋体" w:cs="宋体"/>
                <w:b/>
                <w:bCs/>
                <w:color w:val="000000"/>
                <w:sz w:val="21"/>
                <w:szCs w:val="21"/>
                <w:lang w:val="en-US" w:eastAsia="zh-CN"/>
              </w:rPr>
            </w:pPr>
            <w:r>
              <w:rPr>
                <w:rFonts w:hint="eastAsia" w:ascii="宋体" w:hAnsi="宋体" w:eastAsia="宋体" w:cs="宋体"/>
                <w:sz w:val="21"/>
                <w:szCs w:val="21"/>
                <w:highlight w:val="none"/>
                <w:lang w:val="en-US" w:eastAsia="zh-CN"/>
              </w:rPr>
              <w:t>本项目采用票决定标法，定标委员会以直接票决确定中标人；定标委员会成员应当遵循择优与价格竞争的原则，依据招标文件约定的投票规则，独立行使投票权。</w:t>
            </w:r>
          </w:p>
        </w:tc>
      </w:tr>
    </w:tbl>
    <w:p w14:paraId="08BA839D">
      <w:pPr>
        <w:pStyle w:val="12"/>
        <w:spacing w:line="360" w:lineRule="auto"/>
        <w:rPr>
          <w:rFonts w:ascii="Times New Roman"/>
          <w:sz w:val="21"/>
          <w:szCs w:val="21"/>
        </w:rPr>
      </w:pPr>
    </w:p>
    <w:p w14:paraId="62CB1784">
      <w:pPr>
        <w:pStyle w:val="12"/>
        <w:spacing w:before="5"/>
        <w:rPr>
          <w:sz w:val="22"/>
        </w:rPr>
      </w:pPr>
    </w:p>
    <w:p w14:paraId="5720E952">
      <w:pPr>
        <w:pStyle w:val="12"/>
        <w:spacing w:before="5"/>
        <w:rPr>
          <w:sz w:val="22"/>
        </w:rPr>
      </w:pPr>
    </w:p>
    <w:p w14:paraId="238BC48B">
      <w:r>
        <w:br w:type="page"/>
      </w:r>
    </w:p>
    <w:p w14:paraId="0E779CB9">
      <w:pPr>
        <w:pStyle w:val="12"/>
        <w:spacing w:line="360" w:lineRule="auto"/>
        <w:rPr>
          <w:sz w:val="24"/>
          <w:szCs w:val="24"/>
        </w:rPr>
      </w:pPr>
      <w:r>
        <w:rPr>
          <w:sz w:val="24"/>
          <w:szCs w:val="24"/>
        </w:rPr>
        <w:t>附录1 资格审查条件(资质最低要求)</w:t>
      </w:r>
    </w:p>
    <w:tbl>
      <w:tblPr>
        <w:tblStyle w:val="25"/>
        <w:tblW w:w="1006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60"/>
      </w:tblGrid>
      <w:tr w14:paraId="3A9F89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54" w:hRule="atLeast"/>
          <w:jc w:val="center"/>
        </w:trPr>
        <w:tc>
          <w:tcPr>
            <w:tcW w:w="10060" w:type="dxa"/>
            <w:tcBorders>
              <w:bottom w:val="single" w:color="000000" w:sz="6" w:space="0"/>
            </w:tcBorders>
            <w:noWrap w:val="0"/>
            <w:vAlign w:val="top"/>
          </w:tcPr>
          <w:p w14:paraId="7910085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施工企业资质等级</w:t>
            </w:r>
            <w:r>
              <w:rPr>
                <w:rFonts w:hint="eastAsia" w:asciiTheme="minorEastAsia" w:hAnsiTheme="minorEastAsia" w:eastAsiaTheme="minorEastAsia" w:cstheme="minorEastAsia"/>
                <w:sz w:val="21"/>
                <w:szCs w:val="21"/>
                <w:lang w:val="en-US" w:eastAsia="zh-CN"/>
              </w:rPr>
              <w:t>要</w:t>
            </w:r>
            <w:r>
              <w:rPr>
                <w:rFonts w:hint="eastAsia" w:asciiTheme="minorEastAsia" w:hAnsiTheme="minorEastAsia" w:eastAsiaTheme="minorEastAsia" w:cstheme="minorEastAsia"/>
                <w:sz w:val="21"/>
                <w:szCs w:val="21"/>
              </w:rPr>
              <w:t>求</w:t>
            </w:r>
          </w:p>
        </w:tc>
      </w:tr>
      <w:tr w14:paraId="2775A6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96" w:hRule="atLeast"/>
          <w:jc w:val="center"/>
        </w:trPr>
        <w:tc>
          <w:tcPr>
            <w:tcW w:w="10060" w:type="dxa"/>
            <w:tcBorders>
              <w:top w:val="single" w:color="000000" w:sz="6" w:space="0"/>
            </w:tcBorders>
            <w:noWrap w:val="0"/>
            <w:vAlign w:val="top"/>
          </w:tcPr>
          <w:p w14:paraId="030439D6">
            <w:pPr>
              <w:pStyle w:val="2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firstLine="420" w:firstLineChars="200"/>
              <w:textAlignment w:val="auto"/>
              <w:rPr>
                <w:rFonts w:hint="eastAsia" w:asciiTheme="minorEastAsia" w:hAnsiTheme="minorEastAsia" w:eastAsiaTheme="minorEastAsia" w:cstheme="minorEastAsia"/>
                <w:kern w:val="0"/>
                <w:sz w:val="21"/>
                <w:szCs w:val="21"/>
                <w:u w:val="none"/>
                <w:lang w:val="zh-CN" w:eastAsia="zh-CN" w:bidi="zh-CN"/>
              </w:rPr>
            </w:pPr>
            <w:r>
              <w:rPr>
                <w:rFonts w:hint="eastAsia" w:asciiTheme="minorEastAsia" w:hAnsiTheme="minorEastAsia" w:eastAsiaTheme="minorEastAsia" w:cstheme="minorEastAsia"/>
                <w:kern w:val="0"/>
                <w:sz w:val="21"/>
                <w:szCs w:val="21"/>
                <w:u w:val="none"/>
                <w:lang w:val="zh-CN" w:eastAsia="zh-CN" w:bidi="zh-CN"/>
              </w:rPr>
              <w:t>投标人须具有公路工程施工总承包三级或三级以上资质（或具有建设工程资质管理制度改革后颁发的公路工程施工总承包乙级及以上资质或施工综合资质），且具备有效的安全生产许可证。</w:t>
            </w:r>
          </w:p>
          <w:p w14:paraId="341ABA00">
            <w:pPr>
              <w:pStyle w:val="2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bCs/>
                <w:color w:val="000000" w:themeColor="text1"/>
                <w:kern w:val="0"/>
                <w:sz w:val="21"/>
                <w:szCs w:val="21"/>
                <w:u w:val="none"/>
                <w:lang w:val="zh-CN" w:eastAsia="zh-CN" w:bidi="zh-CN"/>
                <w14:textFill>
                  <w14:solidFill>
                    <w14:schemeClr w14:val="tx1"/>
                  </w14:solidFill>
                </w14:textFill>
              </w:rPr>
              <w:t>注：提供有效的资质证书或安全许可证原件的扫描件或影印件。</w:t>
            </w:r>
          </w:p>
        </w:tc>
      </w:tr>
    </w:tbl>
    <w:p w14:paraId="638A21D1">
      <w:pPr>
        <w:pStyle w:val="12"/>
        <w:spacing w:line="360" w:lineRule="auto"/>
        <w:rPr>
          <w:rFonts w:hint="eastAsia"/>
          <w:sz w:val="24"/>
          <w:szCs w:val="24"/>
        </w:rPr>
      </w:pPr>
      <w:r>
        <w:rPr>
          <w:rFonts w:hint="eastAsia"/>
          <w:sz w:val="24"/>
          <w:szCs w:val="24"/>
        </w:rPr>
        <w:t>附录2 资格审查条件(财务最低要求)</w:t>
      </w:r>
    </w:p>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61"/>
      </w:tblGrid>
      <w:tr w14:paraId="4941DE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jc w:val="center"/>
        </w:trPr>
        <w:tc>
          <w:tcPr>
            <w:tcW w:w="10061" w:type="dxa"/>
            <w:tcBorders>
              <w:bottom w:val="single" w:color="000000" w:sz="6" w:space="0"/>
            </w:tcBorders>
            <w:noWrap w:val="0"/>
            <w:vAlign w:val="top"/>
          </w:tcPr>
          <w:p w14:paraId="071435EC">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财 务 要 求 </w:t>
            </w:r>
          </w:p>
        </w:tc>
      </w:tr>
      <w:tr w14:paraId="1B42BD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jc w:val="center"/>
        </w:trPr>
        <w:tc>
          <w:tcPr>
            <w:tcW w:w="10061" w:type="dxa"/>
            <w:tcBorders>
              <w:top w:val="single" w:color="000000" w:sz="6" w:space="0"/>
            </w:tcBorders>
            <w:noWrap w:val="0"/>
            <w:vAlign w:val="top"/>
          </w:tcPr>
          <w:p w14:paraId="693AF1E6">
            <w:pPr>
              <w:pStyle w:val="42"/>
              <w:keepNext w:val="0"/>
              <w:keepLines w:val="0"/>
              <w:pageBreakBefore w:val="0"/>
              <w:widowControl w:val="0"/>
              <w:kinsoku/>
              <w:wordWrap/>
              <w:overflowPunct/>
              <w:topLinePunct w:val="0"/>
              <w:autoSpaceDE w:val="0"/>
              <w:autoSpaceDN w:val="0"/>
              <w:bidi w:val="0"/>
              <w:adjustRightInd/>
              <w:snapToGrid/>
              <w:spacing w:before="0" w:line="36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bl>
    <w:p w14:paraId="67FAABC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附录3</w:t>
      </w:r>
      <w:r>
        <w:rPr>
          <w:rFonts w:hint="eastAsia" w:asciiTheme="minorEastAsia" w:hAnsiTheme="minorEastAsia" w:eastAsiaTheme="minorEastAsia" w:cstheme="minorEastAsia"/>
          <w:spacing w:val="6"/>
          <w:sz w:val="24"/>
          <w:szCs w:val="24"/>
        </w:rPr>
        <w:t xml:space="preserve"> 资格审查条件(业绩最低要求)</w:t>
      </w:r>
    </w:p>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77"/>
      </w:tblGrid>
      <w:tr w14:paraId="0EB560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0" w:hRule="atLeast"/>
          <w:jc w:val="center"/>
        </w:trPr>
        <w:tc>
          <w:tcPr>
            <w:tcW w:w="9977" w:type="dxa"/>
            <w:tcBorders>
              <w:bottom w:val="single" w:color="000000" w:sz="6" w:space="0"/>
            </w:tcBorders>
            <w:noWrap w:val="0"/>
            <w:vAlign w:val="top"/>
          </w:tcPr>
          <w:p w14:paraId="7406A3E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业 绩 要 求 </w:t>
            </w:r>
          </w:p>
        </w:tc>
      </w:tr>
      <w:tr w14:paraId="5578B3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9977" w:type="dxa"/>
            <w:tcBorders>
              <w:top w:val="single" w:color="000000" w:sz="6" w:space="0"/>
            </w:tcBorders>
            <w:noWrap w:val="0"/>
            <w:vAlign w:val="top"/>
          </w:tcPr>
          <w:p w14:paraId="0165FC85">
            <w:pPr>
              <w:pStyle w:val="2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firstLine="420" w:firstLineChars="20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无</w:t>
            </w:r>
          </w:p>
        </w:tc>
      </w:tr>
    </w:tbl>
    <w:p w14:paraId="0DD09B0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附录4 资格审查条件(信誉最低要求)</w:t>
      </w:r>
    </w:p>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39"/>
      </w:tblGrid>
      <w:tr w14:paraId="31ADB5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0" w:hRule="atLeast"/>
          <w:jc w:val="center"/>
        </w:trPr>
        <w:tc>
          <w:tcPr>
            <w:tcW w:w="10039" w:type="dxa"/>
            <w:tcBorders>
              <w:bottom w:val="single" w:color="000000" w:sz="6" w:space="0"/>
            </w:tcBorders>
            <w:noWrap w:val="0"/>
            <w:vAlign w:val="top"/>
          </w:tcPr>
          <w:p w14:paraId="17FFDC9E">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信 誉 要 求 </w:t>
            </w:r>
          </w:p>
        </w:tc>
      </w:tr>
      <w:tr w14:paraId="0C4702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4" w:hRule="atLeast"/>
          <w:jc w:val="center"/>
        </w:trPr>
        <w:tc>
          <w:tcPr>
            <w:tcW w:w="10039" w:type="dxa"/>
            <w:tcBorders>
              <w:top w:val="single" w:color="000000" w:sz="6" w:space="0"/>
            </w:tcBorders>
            <w:noWrap w:val="0"/>
            <w:vAlign w:val="top"/>
          </w:tcPr>
          <w:p w14:paraId="2AE48110">
            <w:pPr>
              <w:pStyle w:val="2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firstLine="420" w:firstLineChars="200"/>
              <w:textAlignment w:val="auto"/>
              <w:rPr>
                <w:rFonts w:hint="eastAsia" w:asciiTheme="minorEastAsia" w:hAnsiTheme="minorEastAsia" w:eastAsiaTheme="minorEastAsia" w:cstheme="minorEastAsia"/>
                <w:kern w:val="0"/>
                <w:sz w:val="21"/>
                <w:szCs w:val="21"/>
                <w:u w:val="none"/>
                <w:lang w:val="zh-CN" w:eastAsia="zh-CN" w:bidi="zh-CN"/>
              </w:rPr>
            </w:pPr>
            <w:r>
              <w:rPr>
                <w:rFonts w:hint="eastAsia" w:asciiTheme="minorEastAsia" w:hAnsiTheme="minorEastAsia" w:eastAsiaTheme="minorEastAsia" w:cstheme="minorEastAsia"/>
                <w:kern w:val="0"/>
                <w:sz w:val="21"/>
                <w:szCs w:val="21"/>
                <w:u w:val="none"/>
                <w:lang w:val="zh-CN" w:eastAsia="zh-CN" w:bidi="zh-CN"/>
              </w:rPr>
              <w:t>A、</w:t>
            </w:r>
            <w:r>
              <w:rPr>
                <w:rFonts w:hint="eastAsia" w:asciiTheme="minorEastAsia" w:hAnsiTheme="minorEastAsia" w:eastAsiaTheme="minorEastAsia" w:cstheme="minorEastAsia"/>
                <w:strike w:val="0"/>
                <w:dstrike w:val="0"/>
                <w:kern w:val="0"/>
                <w:sz w:val="21"/>
                <w:szCs w:val="21"/>
                <w:highlight w:val="none"/>
                <w:u w:val="none"/>
                <w:lang w:val="zh-CN" w:eastAsia="zh-CN" w:bidi="zh-CN"/>
              </w:rPr>
              <w:t>投标人或联合体成员</w:t>
            </w:r>
            <w:r>
              <w:rPr>
                <w:rFonts w:hint="eastAsia" w:asciiTheme="minorEastAsia" w:hAnsiTheme="minorEastAsia" w:eastAsiaTheme="minorEastAsia" w:cstheme="minorEastAsia"/>
                <w:kern w:val="0"/>
                <w:sz w:val="21"/>
                <w:szCs w:val="21"/>
                <w:u w:val="none"/>
                <w:lang w:val="zh-CN" w:eastAsia="zh-CN" w:bidi="zh-CN"/>
              </w:rPr>
              <w:t>应进入交通运输部“全国公路建设市场监督管理系统（https://hwdms.mot.gov.cn/BMWebSite/）”中的公路工程施工资质企业名录，且投标人名称和资质与该名录中的相应企业名称和资质完全一致。</w:t>
            </w:r>
          </w:p>
          <w:p w14:paraId="76C927C6">
            <w:pPr>
              <w:pStyle w:val="2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firstLine="420" w:firstLineChars="200"/>
              <w:textAlignment w:val="auto"/>
              <w:rPr>
                <w:rFonts w:hint="eastAsia" w:asciiTheme="minorEastAsia" w:hAnsiTheme="minorEastAsia" w:eastAsiaTheme="minorEastAsia" w:cstheme="minorEastAsia"/>
                <w:kern w:val="0"/>
                <w:sz w:val="21"/>
                <w:szCs w:val="21"/>
                <w:u w:val="none"/>
                <w:lang w:val="zh-CN" w:eastAsia="zh-CN" w:bidi="zh-CN"/>
              </w:rPr>
            </w:pPr>
            <w:r>
              <w:rPr>
                <w:rFonts w:hint="eastAsia" w:asciiTheme="minorEastAsia" w:hAnsiTheme="minorEastAsia" w:eastAsiaTheme="minorEastAsia" w:cstheme="minorEastAsia"/>
                <w:kern w:val="0"/>
                <w:sz w:val="21"/>
                <w:szCs w:val="21"/>
                <w:u w:val="none"/>
                <w:lang w:val="zh-CN" w:eastAsia="zh-CN" w:bidi="zh-CN"/>
              </w:rPr>
              <w:t>B、在“信用中国”网站（http://www.creditchina.gov.cn/）中未被列入失信被执行人名单。</w:t>
            </w:r>
          </w:p>
          <w:p w14:paraId="617AA4A2">
            <w:pPr>
              <w:pStyle w:val="22"/>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right="0" w:firstLine="422" w:firstLineChars="200"/>
              <w:textAlignment w:val="auto"/>
              <w:rPr>
                <w:rFonts w:hint="eastAsia" w:asciiTheme="minorEastAsia" w:hAnsiTheme="minorEastAsia" w:eastAsiaTheme="minorEastAsia" w:cstheme="minorEastAsia"/>
                <w:kern w:val="0"/>
                <w:sz w:val="21"/>
                <w:szCs w:val="21"/>
                <w:u w:val="none"/>
                <w:lang w:val="zh-CN" w:eastAsia="zh-CN" w:bidi="zh-CN"/>
              </w:rPr>
            </w:pPr>
            <w:r>
              <w:rPr>
                <w:rFonts w:hint="eastAsia" w:asciiTheme="minorEastAsia" w:hAnsiTheme="minorEastAsia" w:eastAsiaTheme="minorEastAsia" w:cstheme="minorEastAsia"/>
                <w:b/>
                <w:bCs/>
                <w:kern w:val="0"/>
                <w:sz w:val="21"/>
                <w:szCs w:val="21"/>
                <w:u w:val="none"/>
                <w:lang w:val="zh-CN" w:eastAsia="zh-CN" w:bidi="zh-CN"/>
              </w:rPr>
              <w:t>注：提供相关网页打印材料的扫描件或影印件。</w:t>
            </w:r>
          </w:p>
        </w:tc>
      </w:tr>
    </w:tbl>
    <w:p w14:paraId="04EB1FEA">
      <w:pPr>
        <w:spacing w:before="44" w:line="360" w:lineRule="auto"/>
        <w:jc w:val="left"/>
        <w:rPr>
          <w:sz w:val="24"/>
          <w:szCs w:val="24"/>
        </w:rPr>
      </w:pPr>
      <w:r>
        <w:rPr>
          <w:sz w:val="24"/>
          <w:szCs w:val="24"/>
        </w:rPr>
        <w:t>附录5 资格审查条件(项目经理和项目总工最低要求)</w:t>
      </w:r>
    </w:p>
    <w:tbl>
      <w:tblPr>
        <w:tblStyle w:val="25"/>
        <w:tblW w:w="991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24"/>
        <w:gridCol w:w="780"/>
        <w:gridCol w:w="5370"/>
        <w:gridCol w:w="2241"/>
      </w:tblGrid>
      <w:tr w14:paraId="3E90F0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atLeast"/>
          <w:jc w:val="center"/>
        </w:trPr>
        <w:tc>
          <w:tcPr>
            <w:tcW w:w="1524" w:type="dxa"/>
            <w:tcBorders>
              <w:bottom w:val="single" w:color="000000" w:sz="6" w:space="0"/>
              <w:right w:val="single" w:color="000000" w:sz="6" w:space="0"/>
            </w:tcBorders>
            <w:noWrap w:val="0"/>
            <w:vAlign w:val="top"/>
          </w:tcPr>
          <w:p w14:paraId="310C6757">
            <w:pPr>
              <w:pStyle w:val="42"/>
              <w:spacing w:before="173" w:line="360" w:lineRule="auto"/>
              <w:ind w:left="17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 员</w:t>
            </w:r>
          </w:p>
        </w:tc>
        <w:tc>
          <w:tcPr>
            <w:tcW w:w="780" w:type="dxa"/>
            <w:tcBorders>
              <w:left w:val="single" w:color="000000" w:sz="6" w:space="0"/>
              <w:bottom w:val="single" w:color="000000" w:sz="6" w:space="0"/>
              <w:right w:val="single" w:color="000000" w:sz="6" w:space="0"/>
            </w:tcBorders>
            <w:noWrap w:val="0"/>
            <w:vAlign w:val="top"/>
          </w:tcPr>
          <w:p w14:paraId="5E169BCB">
            <w:pPr>
              <w:pStyle w:val="42"/>
              <w:spacing w:before="173" w:line="360" w:lineRule="auto"/>
              <w:ind w:right="14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5370" w:type="dxa"/>
            <w:tcBorders>
              <w:left w:val="single" w:color="000000" w:sz="6" w:space="0"/>
              <w:bottom w:val="single" w:color="000000" w:sz="6" w:space="0"/>
              <w:right w:val="single" w:color="000000" w:sz="6" w:space="0"/>
            </w:tcBorders>
            <w:noWrap w:val="0"/>
            <w:vAlign w:val="top"/>
          </w:tcPr>
          <w:p w14:paraId="0105E978">
            <w:pPr>
              <w:pStyle w:val="42"/>
              <w:spacing w:before="173" w:line="360" w:lineRule="auto"/>
              <w:ind w:left="1961" w:right="182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资 格 要 求 </w:t>
            </w:r>
          </w:p>
        </w:tc>
        <w:tc>
          <w:tcPr>
            <w:tcW w:w="2241" w:type="dxa"/>
            <w:tcBorders>
              <w:left w:val="single" w:color="000000" w:sz="6" w:space="0"/>
              <w:bottom w:val="single" w:color="000000" w:sz="6" w:space="0"/>
            </w:tcBorders>
            <w:noWrap w:val="0"/>
            <w:vAlign w:val="top"/>
          </w:tcPr>
          <w:p w14:paraId="410450DF">
            <w:pPr>
              <w:pStyle w:val="42"/>
              <w:spacing w:before="173"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在岗要求</w:t>
            </w:r>
          </w:p>
        </w:tc>
      </w:tr>
      <w:tr w14:paraId="6BE668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8" w:hRule="atLeast"/>
          <w:jc w:val="center"/>
        </w:trPr>
        <w:tc>
          <w:tcPr>
            <w:tcW w:w="1524" w:type="dxa"/>
            <w:tcBorders>
              <w:top w:val="single" w:color="000000" w:sz="6" w:space="0"/>
              <w:right w:val="single" w:color="000000" w:sz="6" w:space="0"/>
            </w:tcBorders>
            <w:noWrap w:val="0"/>
            <w:vAlign w:val="center"/>
          </w:tcPr>
          <w:p w14:paraId="0A8D38A8">
            <w:pPr>
              <w:pStyle w:val="42"/>
              <w:spacing w:line="360" w:lineRule="auto"/>
              <w:ind w:right="14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项目经理</w:t>
            </w:r>
          </w:p>
        </w:tc>
        <w:tc>
          <w:tcPr>
            <w:tcW w:w="780" w:type="dxa"/>
            <w:tcBorders>
              <w:top w:val="single" w:color="000000" w:sz="6" w:space="0"/>
              <w:left w:val="single" w:color="000000" w:sz="6" w:space="0"/>
              <w:right w:val="single" w:color="000000" w:sz="6" w:space="0"/>
            </w:tcBorders>
            <w:noWrap w:val="0"/>
            <w:vAlign w:val="center"/>
          </w:tcPr>
          <w:p w14:paraId="59950F9D">
            <w:pPr>
              <w:pStyle w:val="42"/>
              <w:spacing w:before="1" w:line="360" w:lineRule="auto"/>
              <w:ind w:left="281" w:right="146"/>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5370" w:type="dxa"/>
            <w:tcBorders>
              <w:top w:val="single" w:color="000000" w:sz="6" w:space="0"/>
              <w:left w:val="single" w:color="000000" w:sz="6" w:space="0"/>
              <w:bottom w:val="single" w:color="000000" w:sz="6" w:space="0"/>
              <w:right w:val="single" w:color="000000" w:sz="6" w:space="0"/>
            </w:tcBorders>
            <w:noWrap w:val="0"/>
            <w:vAlign w:val="top"/>
          </w:tcPr>
          <w:p w14:paraId="4A713260">
            <w:pPr>
              <w:pStyle w:val="2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textAlignment w:val="auto"/>
              <w:rPr>
                <w:rFonts w:hint="eastAsia" w:asciiTheme="minorEastAsia" w:hAnsiTheme="minorEastAsia" w:eastAsiaTheme="minorEastAsia" w:cstheme="minorEastAsia"/>
                <w:kern w:val="0"/>
                <w:sz w:val="21"/>
                <w:szCs w:val="21"/>
                <w:u w:val="none"/>
                <w:lang w:val="zh-CN" w:eastAsia="zh-CN" w:bidi="zh-CN"/>
              </w:rPr>
            </w:pPr>
            <w:r>
              <w:rPr>
                <w:rFonts w:hint="eastAsia" w:asciiTheme="minorEastAsia" w:hAnsiTheme="minorEastAsia" w:eastAsiaTheme="minorEastAsia" w:cstheme="minorEastAsia"/>
                <w:kern w:val="0"/>
                <w:sz w:val="21"/>
                <w:szCs w:val="21"/>
                <w:u w:val="none"/>
                <w:lang w:val="zh-CN" w:eastAsia="zh-CN" w:bidi="zh-CN"/>
              </w:rPr>
              <w:t>资格：投标人拟委任项目经理须具备公路工程专业二级或二级以上注册建造师资格， 持有交通主管部门颁发的B类《安全生产考核合格证书》，且目前未在其他项目上任职或虽在其他项目上任职但本项目中标后能够从该项目撤离。</w:t>
            </w:r>
          </w:p>
          <w:p w14:paraId="7BA097C6">
            <w:pPr>
              <w:pStyle w:val="2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textAlignment w:val="auto"/>
              <w:rPr>
                <w:rFonts w:hint="default" w:asciiTheme="minorEastAsia" w:hAnsiTheme="minorEastAsia" w:eastAsiaTheme="minorEastAsia" w:cstheme="minorEastAsia"/>
                <w:kern w:val="0"/>
                <w:sz w:val="21"/>
                <w:szCs w:val="21"/>
                <w:u w:val="none"/>
                <w:lang w:val="en-US" w:eastAsia="zh-CN" w:bidi="zh-CN"/>
              </w:rPr>
            </w:pPr>
            <w:r>
              <w:rPr>
                <w:rFonts w:hint="eastAsia" w:asciiTheme="minorEastAsia" w:hAnsiTheme="minorEastAsia" w:eastAsiaTheme="minorEastAsia" w:cstheme="minorEastAsia"/>
                <w:b/>
                <w:bCs/>
                <w:color w:val="000000" w:themeColor="text1"/>
                <w:kern w:val="0"/>
                <w:sz w:val="21"/>
                <w:szCs w:val="21"/>
                <w:u w:val="none"/>
                <w:lang w:val="zh-CN" w:eastAsia="zh-CN" w:bidi="zh-CN"/>
                <w14:textFill>
                  <w14:solidFill>
                    <w14:schemeClr w14:val="tx1"/>
                  </w14:solidFill>
                </w14:textFill>
              </w:rPr>
              <w:t>注：提供相关证书原件的扫描件或影印件。</w:t>
            </w:r>
          </w:p>
        </w:tc>
        <w:tc>
          <w:tcPr>
            <w:tcW w:w="2241" w:type="dxa"/>
            <w:vMerge w:val="restart"/>
            <w:tcBorders>
              <w:top w:val="single" w:color="000000" w:sz="6" w:space="0"/>
              <w:left w:val="single" w:color="000000" w:sz="6" w:space="0"/>
            </w:tcBorders>
            <w:noWrap w:val="0"/>
            <w:vAlign w:val="top"/>
          </w:tcPr>
          <w:p w14:paraId="4DBE509F">
            <w:pPr>
              <w:pStyle w:val="42"/>
              <w:spacing w:before="159" w:line="360" w:lineRule="auto"/>
              <w:ind w:right="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无在岗项目（指目前未在其他项目上任职，或虽在其他项目上任职但本项目中标后能够从该项目撤离）</w:t>
            </w:r>
          </w:p>
        </w:tc>
      </w:tr>
      <w:tr w14:paraId="5CBED1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36" w:hRule="atLeast"/>
          <w:jc w:val="center"/>
        </w:trPr>
        <w:tc>
          <w:tcPr>
            <w:tcW w:w="1524" w:type="dxa"/>
            <w:tcBorders>
              <w:top w:val="single" w:color="000000" w:sz="6" w:space="0"/>
              <w:right w:val="single" w:color="000000" w:sz="6" w:space="0"/>
            </w:tcBorders>
            <w:noWrap w:val="0"/>
            <w:vAlign w:val="center"/>
          </w:tcPr>
          <w:p w14:paraId="07A9D1DE">
            <w:pPr>
              <w:pStyle w:val="42"/>
              <w:spacing w:line="360" w:lineRule="auto"/>
              <w:ind w:right="146"/>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项目总工</w:t>
            </w:r>
          </w:p>
        </w:tc>
        <w:tc>
          <w:tcPr>
            <w:tcW w:w="780" w:type="dxa"/>
            <w:tcBorders>
              <w:top w:val="single" w:color="000000" w:sz="6" w:space="0"/>
              <w:left w:val="single" w:color="000000" w:sz="6" w:space="0"/>
              <w:right w:val="single" w:color="000000" w:sz="6" w:space="0"/>
            </w:tcBorders>
            <w:noWrap w:val="0"/>
            <w:vAlign w:val="center"/>
          </w:tcPr>
          <w:p w14:paraId="59763276">
            <w:pPr>
              <w:pStyle w:val="42"/>
              <w:spacing w:before="1" w:line="360" w:lineRule="auto"/>
              <w:ind w:left="281" w:right="146"/>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p>
        </w:tc>
        <w:tc>
          <w:tcPr>
            <w:tcW w:w="5370" w:type="dxa"/>
            <w:tcBorders>
              <w:top w:val="single" w:color="000000" w:sz="6" w:space="0"/>
              <w:left w:val="single" w:color="000000" w:sz="6" w:space="0"/>
              <w:right w:val="single" w:color="000000" w:sz="6" w:space="0"/>
            </w:tcBorders>
            <w:noWrap w:val="0"/>
            <w:vAlign w:val="top"/>
          </w:tcPr>
          <w:p w14:paraId="596B8E8F">
            <w:pPr>
              <w:pStyle w:val="2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textAlignment w:val="auto"/>
              <w:rPr>
                <w:rFonts w:hint="eastAsia" w:asciiTheme="minorEastAsia" w:hAnsiTheme="minorEastAsia" w:eastAsiaTheme="minorEastAsia" w:cstheme="minorEastAsia"/>
                <w:color w:val="000000" w:themeColor="text1"/>
                <w:kern w:val="0"/>
                <w:sz w:val="21"/>
                <w:szCs w:val="21"/>
                <w:highlight w:val="none"/>
                <w:u w:val="none"/>
                <w:lang w:val="zh-CN" w:eastAsia="zh-CN" w:bidi="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zh-CN" w:eastAsia="zh-CN" w:bidi="zh-CN"/>
                <w14:textFill>
                  <w14:solidFill>
                    <w14:schemeClr w14:val="tx1"/>
                  </w14:solidFill>
                </w14:textFill>
              </w:rPr>
              <w:t>项目技术负责人具有公路工程相关专业中级或中级以上职称。</w:t>
            </w:r>
          </w:p>
          <w:p w14:paraId="06A9B74C">
            <w:pPr>
              <w:pStyle w:val="22"/>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textAlignment w:val="auto"/>
              <w:rPr>
                <w:rFonts w:hint="eastAsia" w:asciiTheme="minorEastAsia" w:hAnsiTheme="minorEastAsia" w:eastAsiaTheme="minorEastAsia" w:cstheme="minorEastAsia"/>
                <w:color w:val="000000" w:themeColor="text1"/>
                <w:kern w:val="0"/>
                <w:sz w:val="21"/>
                <w:szCs w:val="21"/>
                <w:highlight w:val="none"/>
                <w:u w:val="none"/>
                <w:lang w:val="en-US" w:eastAsia="zh-CN" w:bidi="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u w:val="none"/>
                <w:lang w:val="zh-CN" w:eastAsia="zh-CN" w:bidi="zh-CN"/>
                <w14:textFill>
                  <w14:solidFill>
                    <w14:schemeClr w14:val="tx1"/>
                  </w14:solidFill>
                </w14:textFill>
              </w:rPr>
              <w:t>注：提供职称证书原件的扫描件或影印件。</w:t>
            </w:r>
          </w:p>
        </w:tc>
        <w:tc>
          <w:tcPr>
            <w:tcW w:w="2241" w:type="dxa"/>
            <w:vMerge w:val="continue"/>
            <w:tcBorders>
              <w:left w:val="single" w:color="000000" w:sz="6" w:space="0"/>
            </w:tcBorders>
            <w:noWrap w:val="0"/>
            <w:vAlign w:val="top"/>
          </w:tcPr>
          <w:p w14:paraId="4A6BF05D">
            <w:pPr>
              <w:pStyle w:val="42"/>
              <w:spacing w:before="159" w:line="360" w:lineRule="auto"/>
              <w:ind w:right="24"/>
              <w:rPr>
                <w:rFonts w:hint="eastAsia" w:asciiTheme="minorEastAsia" w:hAnsiTheme="minorEastAsia" w:eastAsiaTheme="minorEastAsia" w:cstheme="minorEastAsia"/>
                <w:sz w:val="21"/>
                <w:szCs w:val="21"/>
              </w:rPr>
            </w:pPr>
          </w:p>
        </w:tc>
      </w:tr>
    </w:tbl>
    <w:p w14:paraId="6EDABE28">
      <w:pPr>
        <w:spacing w:line="360" w:lineRule="auto"/>
        <w:rPr>
          <w:rFonts w:hint="eastAsia" w:ascii="黑体" w:eastAsia="黑体"/>
          <w:color w:val="auto"/>
          <w:sz w:val="21"/>
          <w:szCs w:val="21"/>
          <w:lang w:val="en-US" w:eastAsia="zh-CN"/>
        </w:rPr>
      </w:pPr>
      <w:bookmarkStart w:id="37" w:name="_bookmark28"/>
      <w:bookmarkEnd w:id="37"/>
      <w:bookmarkStart w:id="38" w:name="_bookmark28"/>
      <w:bookmarkEnd w:id="38"/>
      <w:r>
        <w:rPr>
          <w:rFonts w:hint="eastAsia" w:ascii="黑体" w:eastAsia="黑体"/>
          <w:color w:val="auto"/>
          <w:sz w:val="21"/>
          <w:szCs w:val="21"/>
        </w:rPr>
        <w:br w:type="page"/>
      </w:r>
    </w:p>
    <w:p w14:paraId="3CCF2372">
      <w:pPr>
        <w:keepNext w:val="0"/>
        <w:keepLines w:val="0"/>
        <w:pageBreakBefore w:val="0"/>
        <w:numPr>
          <w:ilvl w:val="0"/>
          <w:numId w:val="0"/>
        </w:numPr>
        <w:tabs>
          <w:tab w:val="left" w:pos="790"/>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r>
        <w:rPr>
          <w:rFonts w:hint="default" w:ascii="黑体" w:hAnsi="黑体" w:eastAsia="黑体" w:cs="黑体"/>
          <w:w w:val="100"/>
          <w:sz w:val="21"/>
          <w:szCs w:val="21"/>
          <w:lang w:val="zh-CN" w:eastAsia="zh-CN" w:bidi="zh-CN"/>
        </w:rPr>
        <w:t>1.</w:t>
      </w:r>
      <w:r>
        <w:rPr>
          <w:rFonts w:hint="eastAsia" w:ascii="黑体" w:eastAsia="黑体"/>
          <w:sz w:val="21"/>
          <w:szCs w:val="21"/>
        </w:rPr>
        <w:t>总则</w:t>
      </w:r>
    </w:p>
    <w:p w14:paraId="2629196C">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39" w:name="_bookmark29"/>
      <w:bookmarkEnd w:id="39"/>
      <w:bookmarkStart w:id="40" w:name="_bookmark29"/>
      <w:bookmarkEnd w:id="40"/>
      <w:r>
        <w:rPr>
          <w:rFonts w:hint="default" w:ascii="黑体" w:hAnsi="宋体" w:eastAsia="黑体" w:cs="宋体"/>
          <w:spacing w:val="-9"/>
          <w:w w:val="100"/>
          <w:sz w:val="21"/>
          <w:szCs w:val="21"/>
          <w:lang w:val="zh-CN" w:eastAsia="zh-CN" w:bidi="zh-CN"/>
        </w:rPr>
        <w:t>1.1</w:t>
      </w:r>
      <w:r>
        <w:rPr>
          <w:rFonts w:hint="eastAsia" w:ascii="黑体" w:eastAsia="黑体"/>
          <w:sz w:val="21"/>
          <w:szCs w:val="21"/>
        </w:rPr>
        <w:t>项目概况</w:t>
      </w:r>
    </w:p>
    <w:p w14:paraId="366BEB13">
      <w:pPr>
        <w:pStyle w:val="41"/>
        <w:keepNext w:val="0"/>
        <w:keepLines w:val="0"/>
        <w:pageBreakBefore w:val="0"/>
        <w:numPr>
          <w:ilvl w:val="0"/>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376" w:firstLineChars="200"/>
        <w:jc w:val="left"/>
        <w:textAlignment w:val="auto"/>
        <w:rPr>
          <w:sz w:val="21"/>
          <w:szCs w:val="21"/>
        </w:rPr>
      </w:pPr>
      <w:r>
        <w:rPr>
          <w:rFonts w:hint="eastAsia"/>
          <w:spacing w:val="-11"/>
          <w:sz w:val="21"/>
          <w:szCs w:val="21"/>
          <w:lang w:val="en-US" w:eastAsia="zh-CN"/>
        </w:rPr>
        <w:t>1.1.1</w:t>
      </w:r>
      <w:r>
        <w:rPr>
          <w:spacing w:val="-11"/>
          <w:sz w:val="21"/>
          <w:szCs w:val="21"/>
        </w:rPr>
        <w:t>根据《中华人民共和国招标投标法</w:t>
      </w:r>
      <w:r>
        <w:rPr>
          <w:spacing w:val="-17"/>
          <w:sz w:val="21"/>
          <w:szCs w:val="21"/>
        </w:rPr>
        <w:t>》《中华人民共和国招标投标法实施条例》</w:t>
      </w:r>
      <w:r>
        <w:rPr>
          <w:sz w:val="21"/>
          <w:szCs w:val="21"/>
        </w:rPr>
        <w:t>《公路工程建设项目招标投标管理办法》等有关法律、法规和规章的规定，本招标项目已具备招标条件，现对本标段施工进行招标。</w:t>
      </w:r>
    </w:p>
    <w:p w14:paraId="2D6B0E93">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1.1.2 本招标项目招标人：见投标人须知前附表。 </w:t>
      </w:r>
    </w:p>
    <w:p w14:paraId="6EBA989B">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1.1.3 本标段招标代理机构：见投标人须知前附表。 </w:t>
      </w:r>
    </w:p>
    <w:p w14:paraId="2E39C060">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1.1.4 本招标项目名称：见投标人须知前附表。 </w:t>
      </w:r>
    </w:p>
    <w:p w14:paraId="6333D00E">
      <w:pPr>
        <w:keepNext w:val="0"/>
        <w:keepLines w:val="0"/>
        <w:pageBreakBefore w:val="0"/>
        <w:widowControl/>
        <w:suppressLineNumbers w:val="0"/>
        <w:kinsoku/>
        <w:wordWrap/>
        <w:overflowPunct/>
        <w:topLinePunct w:val="0"/>
        <w:autoSpaceDE w:val="0"/>
        <w:autoSpaceDN w:val="0"/>
        <w:bidi w:val="0"/>
        <w:adjustRightInd/>
        <w:snapToGrid/>
        <w:spacing w:before="0" w:line="360" w:lineRule="auto"/>
        <w:ind w:left="0" w:leftChars="0" w:right="0" w:firstLine="420" w:firstLineChars="200"/>
        <w:jc w:val="left"/>
        <w:textAlignment w:val="auto"/>
        <w:rPr>
          <w:rFonts w:ascii="Times New Roman"/>
          <w:sz w:val="21"/>
          <w:szCs w:val="21"/>
        </w:rPr>
      </w:pPr>
      <w:r>
        <w:rPr>
          <w:rFonts w:hint="eastAsia" w:ascii="宋体" w:hAnsi="宋体" w:eastAsia="宋体" w:cs="宋体"/>
          <w:color w:val="000000"/>
          <w:kern w:val="0"/>
          <w:sz w:val="21"/>
          <w:szCs w:val="21"/>
          <w:lang w:val="en-US" w:eastAsia="zh-CN" w:bidi="ar"/>
        </w:rPr>
        <w:t>1.1.5 本标段建设地点：见投标人须知前附表。</w:t>
      </w:r>
    </w:p>
    <w:p w14:paraId="05596D84">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ascii="黑体"/>
          <w:sz w:val="21"/>
          <w:szCs w:val="21"/>
        </w:rPr>
      </w:pPr>
      <w:bookmarkStart w:id="41" w:name="_bookmark30"/>
      <w:bookmarkEnd w:id="41"/>
      <w:bookmarkStart w:id="42" w:name="_bookmark30"/>
      <w:bookmarkEnd w:id="42"/>
      <w:r>
        <w:rPr>
          <w:rFonts w:hint="default" w:ascii="黑体" w:hAnsi="宋体" w:eastAsia="宋体" w:cs="宋体"/>
          <w:spacing w:val="-9"/>
          <w:w w:val="100"/>
          <w:sz w:val="21"/>
          <w:szCs w:val="21"/>
          <w:lang w:val="zh-CN" w:eastAsia="zh-CN" w:bidi="zh-CN"/>
        </w:rPr>
        <w:t>1.2</w:t>
      </w:r>
      <w:r>
        <w:rPr>
          <w:rFonts w:hint="eastAsia" w:ascii="黑体" w:eastAsia="黑体"/>
          <w:sz w:val="21"/>
          <w:szCs w:val="21"/>
        </w:rPr>
        <w:t>招标项目的资金来源和落实情况</w:t>
      </w:r>
    </w:p>
    <w:p w14:paraId="4A5C0D56">
      <w:pPr>
        <w:pStyle w:val="41"/>
        <w:keepNext w:val="0"/>
        <w:keepLines w:val="0"/>
        <w:pageBreakBefore w:val="0"/>
        <w:numPr>
          <w:ilvl w:val="0"/>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val="en-US" w:eastAsia="zh-CN"/>
        </w:rPr>
        <w:t>1.2.1</w:t>
      </w:r>
      <w:r>
        <w:rPr>
          <w:sz w:val="21"/>
          <w:szCs w:val="21"/>
        </w:rPr>
        <w:t>资金来源及比例：见投标人须知前附表。</w:t>
      </w:r>
    </w:p>
    <w:p w14:paraId="7BA2F6AB">
      <w:pPr>
        <w:pStyle w:val="41"/>
        <w:keepNext w:val="0"/>
        <w:keepLines w:val="0"/>
        <w:pageBreakBefore w:val="0"/>
        <w:numPr>
          <w:ilvl w:val="0"/>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val="en-US" w:eastAsia="zh-CN"/>
        </w:rPr>
        <w:t>1.2.2</w:t>
      </w:r>
      <w:r>
        <w:rPr>
          <w:sz w:val="21"/>
          <w:szCs w:val="21"/>
        </w:rPr>
        <w:t>资金落实情况：见投标人须知前附表。</w:t>
      </w:r>
    </w:p>
    <w:p w14:paraId="44AD8244">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ascii="黑体"/>
          <w:sz w:val="21"/>
          <w:szCs w:val="21"/>
        </w:rPr>
      </w:pPr>
      <w:bookmarkStart w:id="43" w:name="_bookmark31"/>
      <w:bookmarkEnd w:id="43"/>
      <w:bookmarkStart w:id="44" w:name="_bookmark31"/>
      <w:bookmarkEnd w:id="44"/>
      <w:r>
        <w:rPr>
          <w:rFonts w:hint="default" w:ascii="黑体" w:hAnsi="宋体" w:eastAsia="宋体" w:cs="宋体"/>
          <w:spacing w:val="-9"/>
          <w:w w:val="100"/>
          <w:sz w:val="21"/>
          <w:szCs w:val="21"/>
          <w:lang w:val="zh-CN" w:eastAsia="zh-CN" w:bidi="zh-CN"/>
        </w:rPr>
        <w:t>1.3</w:t>
      </w:r>
      <w:r>
        <w:rPr>
          <w:rFonts w:hint="eastAsia" w:ascii="黑体" w:eastAsia="黑体"/>
          <w:sz w:val="21"/>
          <w:szCs w:val="21"/>
        </w:rPr>
        <w:t>招标范围、计划工期、质量要求和安全目标</w:t>
      </w:r>
    </w:p>
    <w:p w14:paraId="3652A7FE">
      <w:pPr>
        <w:pStyle w:val="41"/>
        <w:keepNext w:val="0"/>
        <w:keepLines w:val="0"/>
        <w:pageBreakBefore w:val="0"/>
        <w:numPr>
          <w:ilvl w:val="0"/>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val="en-US" w:eastAsia="zh-CN"/>
        </w:rPr>
        <w:t>1.3.1</w:t>
      </w:r>
      <w:r>
        <w:rPr>
          <w:sz w:val="21"/>
          <w:szCs w:val="21"/>
        </w:rPr>
        <w:t>招标范围：见投标人须知前附表。</w:t>
      </w:r>
    </w:p>
    <w:p w14:paraId="77F77E8E">
      <w:pPr>
        <w:pStyle w:val="41"/>
        <w:keepNext w:val="0"/>
        <w:keepLines w:val="0"/>
        <w:pageBreakBefore w:val="0"/>
        <w:numPr>
          <w:ilvl w:val="0"/>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sz w:val="21"/>
          <w:szCs w:val="21"/>
          <w:lang w:val="en-US" w:eastAsia="zh-CN"/>
        </w:rPr>
      </w:pPr>
      <w:r>
        <w:rPr>
          <w:rFonts w:hint="eastAsia"/>
          <w:sz w:val="21"/>
          <w:szCs w:val="21"/>
          <w:lang w:val="en-US" w:eastAsia="zh-CN"/>
        </w:rPr>
        <w:t xml:space="preserve">1.3.2 本标段的计划工期：见投标人须知前附表。 </w:t>
      </w:r>
    </w:p>
    <w:p w14:paraId="713F22E0">
      <w:pPr>
        <w:pStyle w:val="41"/>
        <w:keepNext w:val="0"/>
        <w:keepLines w:val="0"/>
        <w:pageBreakBefore w:val="0"/>
        <w:numPr>
          <w:ilvl w:val="0"/>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sz w:val="21"/>
          <w:szCs w:val="21"/>
          <w:lang w:val="en-US" w:eastAsia="zh-CN"/>
        </w:rPr>
      </w:pPr>
      <w:r>
        <w:rPr>
          <w:rFonts w:hint="eastAsia"/>
          <w:sz w:val="21"/>
          <w:szCs w:val="21"/>
          <w:lang w:val="en-US" w:eastAsia="zh-CN"/>
        </w:rPr>
        <w:t xml:space="preserve">1.3.3 本标段的质量要求：见投标人须知前附表。 </w:t>
      </w:r>
    </w:p>
    <w:p w14:paraId="27D3CD34">
      <w:pPr>
        <w:pStyle w:val="41"/>
        <w:keepNext w:val="0"/>
        <w:keepLines w:val="0"/>
        <w:pageBreakBefore w:val="0"/>
        <w:numPr>
          <w:ilvl w:val="0"/>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黑体"/>
          <w:sz w:val="21"/>
          <w:szCs w:val="21"/>
        </w:rPr>
      </w:pPr>
      <w:r>
        <w:rPr>
          <w:rFonts w:hint="eastAsia"/>
          <w:sz w:val="21"/>
          <w:szCs w:val="21"/>
          <w:lang w:val="en-US" w:eastAsia="zh-CN"/>
        </w:rPr>
        <w:t xml:space="preserve">1.3.4本标段的安全目标：见投标人须知前附表。 </w:t>
      </w:r>
      <w:bookmarkStart w:id="45" w:name="_bookmark32"/>
      <w:bookmarkEnd w:id="45"/>
      <w:bookmarkStart w:id="46" w:name="_bookmark32"/>
      <w:bookmarkEnd w:id="46"/>
    </w:p>
    <w:p w14:paraId="497C5E23">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bookmarkStart w:id="47" w:name="_bookmark33"/>
      <w:bookmarkEnd w:id="47"/>
      <w:bookmarkStart w:id="48" w:name="_bookmark33"/>
      <w:bookmarkEnd w:id="48"/>
      <w:r>
        <w:rPr>
          <w:rFonts w:hint="default" w:ascii="黑体" w:hAnsi="黑体" w:eastAsia="黑体" w:cs="黑体"/>
          <w:w w:val="100"/>
          <w:sz w:val="21"/>
          <w:szCs w:val="21"/>
          <w:lang w:val="zh-CN" w:eastAsia="zh-CN" w:bidi="zh-CN"/>
        </w:rPr>
        <w:t>1.4</w:t>
      </w:r>
      <w:r>
        <w:rPr>
          <w:rFonts w:hint="eastAsia" w:ascii="黑体" w:eastAsia="黑体"/>
          <w:sz w:val="21"/>
          <w:szCs w:val="21"/>
        </w:rPr>
        <w:t>投标人资格要求</w:t>
      </w:r>
    </w:p>
    <w:p w14:paraId="6A451C90">
      <w:pPr>
        <w:pStyle w:val="41"/>
        <w:keepNext w:val="0"/>
        <w:keepLines w:val="0"/>
        <w:pageBreakBefore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1.4.1</w:t>
      </w:r>
      <w:r>
        <w:rPr>
          <w:sz w:val="21"/>
          <w:szCs w:val="21"/>
        </w:rPr>
        <w:t>投标人应具备承担本标段施工的资质条件、能力和信誉。</w:t>
      </w:r>
    </w:p>
    <w:p w14:paraId="1130D2B7">
      <w:pPr>
        <w:pStyle w:val="41"/>
        <w:keepNext w:val="0"/>
        <w:keepLines w:val="0"/>
        <w:pageBreakBefore w:val="0"/>
        <w:numPr>
          <w:ilvl w:val="0"/>
          <w:numId w:val="1"/>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sz w:val="21"/>
          <w:szCs w:val="21"/>
        </w:rPr>
      </w:pPr>
      <w:r>
        <w:rPr>
          <w:sz w:val="21"/>
          <w:szCs w:val="21"/>
        </w:rPr>
        <w:t>资质要求：见投标人须知前附表；</w:t>
      </w:r>
    </w:p>
    <w:p w14:paraId="58FD5FE2">
      <w:pPr>
        <w:pStyle w:val="41"/>
        <w:keepNext w:val="0"/>
        <w:keepLines w:val="0"/>
        <w:pageBreakBefore w:val="0"/>
        <w:numPr>
          <w:ilvl w:val="0"/>
          <w:numId w:val="1"/>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sz w:val="21"/>
          <w:szCs w:val="21"/>
        </w:rPr>
      </w:pPr>
      <w:r>
        <w:rPr>
          <w:sz w:val="21"/>
          <w:szCs w:val="21"/>
        </w:rPr>
        <w:t>财务要求：见投标人须知前附表；</w:t>
      </w:r>
    </w:p>
    <w:p w14:paraId="2375FA83">
      <w:pPr>
        <w:pStyle w:val="41"/>
        <w:keepNext w:val="0"/>
        <w:keepLines w:val="0"/>
        <w:pageBreakBefore w:val="0"/>
        <w:numPr>
          <w:ilvl w:val="0"/>
          <w:numId w:val="1"/>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sz w:val="21"/>
          <w:szCs w:val="21"/>
        </w:rPr>
      </w:pPr>
      <w:r>
        <w:rPr>
          <w:sz w:val="21"/>
          <w:szCs w:val="21"/>
        </w:rPr>
        <w:t>业绩要求：见投标人须知前附表；</w:t>
      </w:r>
    </w:p>
    <w:p w14:paraId="62EF4325">
      <w:pPr>
        <w:pStyle w:val="41"/>
        <w:keepNext w:val="0"/>
        <w:keepLines w:val="0"/>
        <w:pageBreakBefore w:val="0"/>
        <w:numPr>
          <w:ilvl w:val="0"/>
          <w:numId w:val="1"/>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sz w:val="21"/>
          <w:szCs w:val="21"/>
        </w:rPr>
      </w:pPr>
      <w:r>
        <w:rPr>
          <w:sz w:val="21"/>
          <w:szCs w:val="21"/>
        </w:rPr>
        <w:t>信誉要求：见投标人须知前附表；</w:t>
      </w:r>
    </w:p>
    <w:p w14:paraId="6DF0C3F1">
      <w:pPr>
        <w:pStyle w:val="41"/>
        <w:keepNext w:val="0"/>
        <w:keepLines w:val="0"/>
        <w:pageBreakBefore w:val="0"/>
        <w:numPr>
          <w:ilvl w:val="0"/>
          <w:numId w:val="1"/>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sz w:val="21"/>
          <w:szCs w:val="21"/>
        </w:rPr>
      </w:pPr>
      <w:r>
        <w:rPr>
          <w:sz w:val="21"/>
          <w:szCs w:val="21"/>
        </w:rPr>
        <w:t>项目经理和项目总工资格：见投标人须知前附表；</w:t>
      </w:r>
    </w:p>
    <w:p w14:paraId="7FA0DB50">
      <w:pPr>
        <w:pStyle w:val="41"/>
        <w:keepNext w:val="0"/>
        <w:keepLines w:val="0"/>
        <w:pageBreakBefore w:val="0"/>
        <w:numPr>
          <w:ilvl w:val="0"/>
          <w:numId w:val="1"/>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sz w:val="21"/>
          <w:szCs w:val="21"/>
        </w:rPr>
      </w:pPr>
      <w:r>
        <w:rPr>
          <w:sz w:val="21"/>
          <w:szCs w:val="21"/>
        </w:rPr>
        <w:t>其他要求：见投标人须知前附表。</w:t>
      </w:r>
    </w:p>
    <w:p w14:paraId="79AABA1C">
      <w:pPr>
        <w:pStyle w:val="12"/>
        <w:keepNext w:val="0"/>
        <w:keepLines w:val="0"/>
        <w:pageBreakBefore w:val="0"/>
        <w:kinsoku/>
        <w:wordWrap/>
        <w:overflowPunct/>
        <w:topLinePunct w:val="0"/>
        <w:autoSpaceDE w:val="0"/>
        <w:autoSpaceDN w:val="0"/>
        <w:bidi w:val="0"/>
        <w:adjustRightInd/>
        <w:snapToGrid/>
        <w:spacing w:before="0" w:line="360" w:lineRule="auto"/>
        <w:ind w:left="0" w:leftChars="0" w:right="0" w:firstLine="420" w:firstLineChars="200"/>
        <w:textAlignment w:val="auto"/>
        <w:rPr>
          <w:sz w:val="21"/>
          <w:szCs w:val="21"/>
        </w:rPr>
      </w:pPr>
      <w:r>
        <w:rPr>
          <w:sz w:val="21"/>
          <w:szCs w:val="21"/>
        </w:rPr>
        <w:t>需要提交的相关证明材料见本章第</w:t>
      </w:r>
      <w:r>
        <w:rPr>
          <w:rFonts w:ascii="Times New Roman" w:eastAsia="Times New Roman"/>
          <w:sz w:val="21"/>
          <w:szCs w:val="21"/>
        </w:rPr>
        <w:t xml:space="preserve">3.5 </w:t>
      </w:r>
      <w:r>
        <w:rPr>
          <w:sz w:val="21"/>
          <w:szCs w:val="21"/>
        </w:rPr>
        <w:t>款的规定。</w:t>
      </w:r>
    </w:p>
    <w:p w14:paraId="1E56315B">
      <w:pPr>
        <w:pStyle w:val="41"/>
        <w:keepNext w:val="0"/>
        <w:keepLines w:val="0"/>
        <w:pageBreakBefore w:val="0"/>
        <w:numPr>
          <w:ilvl w:val="2"/>
          <w:numId w:val="0"/>
        </w:numPr>
        <w:tabs>
          <w:tab w:val="left" w:pos="145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1.4.2</w:t>
      </w:r>
      <w:r>
        <w:rPr>
          <w:spacing w:val="3"/>
          <w:sz w:val="21"/>
          <w:szCs w:val="21"/>
        </w:rPr>
        <w:t xml:space="preserve">投标人须知前附表规定接受联合体投标的，联合体除应符合本章第 </w:t>
      </w:r>
      <w:r>
        <w:rPr>
          <w:rFonts w:ascii="Times New Roman" w:eastAsia="Times New Roman"/>
          <w:sz w:val="21"/>
          <w:szCs w:val="21"/>
        </w:rPr>
        <w:t>1.4.1</w:t>
      </w:r>
      <w:r>
        <w:rPr>
          <w:sz w:val="21"/>
          <w:szCs w:val="21"/>
        </w:rPr>
        <w:t>项和投标人须知前附表的要求外，还应遵守以下规定：</w:t>
      </w:r>
    </w:p>
    <w:p w14:paraId="0FD2FA5C">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12" w:firstLineChars="200"/>
        <w:jc w:val="left"/>
        <w:textAlignment w:val="auto"/>
        <w:rPr>
          <w:sz w:val="21"/>
          <w:szCs w:val="21"/>
        </w:rPr>
      </w:pPr>
      <w:r>
        <w:rPr>
          <w:rFonts w:hint="eastAsia"/>
          <w:spacing w:val="-2"/>
          <w:sz w:val="21"/>
          <w:szCs w:val="21"/>
          <w:lang w:eastAsia="zh-CN"/>
        </w:rPr>
        <w:t>（</w:t>
      </w:r>
      <w:r>
        <w:rPr>
          <w:rFonts w:hint="eastAsia"/>
          <w:spacing w:val="-2"/>
          <w:sz w:val="21"/>
          <w:szCs w:val="21"/>
          <w:lang w:val="en-US" w:eastAsia="zh-CN"/>
        </w:rPr>
        <w:t>1</w:t>
      </w:r>
      <w:r>
        <w:rPr>
          <w:rFonts w:hint="eastAsia"/>
          <w:spacing w:val="-2"/>
          <w:sz w:val="21"/>
          <w:szCs w:val="21"/>
          <w:lang w:eastAsia="zh-CN"/>
        </w:rPr>
        <w:t>）</w:t>
      </w:r>
      <w:r>
        <w:rPr>
          <w:spacing w:val="-2"/>
          <w:sz w:val="21"/>
          <w:szCs w:val="21"/>
        </w:rPr>
        <w:t>联合体各方应按招标文件提供的格式签订联合体协议书，明确联合体牵头</w:t>
      </w:r>
      <w:r>
        <w:rPr>
          <w:spacing w:val="-4"/>
          <w:sz w:val="21"/>
          <w:szCs w:val="21"/>
        </w:rPr>
        <w:t>人和各方权利义务，并承诺就中标项目向招标人承担连带责任；</w:t>
      </w:r>
    </w:p>
    <w:p w14:paraId="1360D4FF">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sz w:val="21"/>
          <w:szCs w:val="21"/>
        </w:rPr>
        <w:t>由同一专业的单位组成的联合体，按照资质等级较低的单位确定资质等级；</w:t>
      </w:r>
    </w:p>
    <w:p w14:paraId="453B91F9">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sz w:val="21"/>
          <w:szCs w:val="21"/>
        </w:rPr>
        <w:t>联合体各方不得再以自己名义单独或参加其他联合体在同一标段中投标；</w:t>
      </w:r>
    </w:p>
    <w:p w14:paraId="18D91E4F">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08" w:firstLineChars="200"/>
        <w:jc w:val="both"/>
        <w:textAlignment w:val="auto"/>
        <w:rPr>
          <w:sz w:val="21"/>
          <w:szCs w:val="21"/>
        </w:rPr>
      </w:pPr>
      <w:r>
        <w:rPr>
          <w:rFonts w:hint="eastAsia"/>
          <w:spacing w:val="-3"/>
          <w:sz w:val="21"/>
          <w:szCs w:val="21"/>
          <w:lang w:eastAsia="zh-CN"/>
        </w:rPr>
        <w:t>（</w:t>
      </w:r>
      <w:r>
        <w:rPr>
          <w:rFonts w:hint="eastAsia"/>
          <w:spacing w:val="-3"/>
          <w:sz w:val="21"/>
          <w:szCs w:val="21"/>
          <w:lang w:val="en-US" w:eastAsia="zh-CN"/>
        </w:rPr>
        <w:t>4</w:t>
      </w:r>
      <w:r>
        <w:rPr>
          <w:rFonts w:hint="eastAsia"/>
          <w:spacing w:val="-3"/>
          <w:sz w:val="21"/>
          <w:szCs w:val="21"/>
          <w:lang w:eastAsia="zh-CN"/>
        </w:rPr>
        <w:t>）</w:t>
      </w:r>
      <w:r>
        <w:rPr>
          <w:spacing w:val="-3"/>
          <w:sz w:val="21"/>
          <w:szCs w:val="21"/>
        </w:rPr>
        <w:t>联合体各方应分别按照本招标文件的要求，填写投标文件中的相应表格，</w:t>
      </w:r>
      <w:r>
        <w:rPr>
          <w:spacing w:val="-6"/>
          <w:sz w:val="21"/>
          <w:szCs w:val="21"/>
        </w:rPr>
        <w:t>并由联合体牵头人负责对联合体各成员的资料进行统一汇总后一并提交给招标人；联</w:t>
      </w:r>
      <w:r>
        <w:rPr>
          <w:spacing w:val="-4"/>
          <w:sz w:val="21"/>
          <w:szCs w:val="21"/>
        </w:rPr>
        <w:t>合体牵头人所提交的投标文件应认为已代表了联合体各成员的真实情况；</w:t>
      </w:r>
    </w:p>
    <w:p w14:paraId="0D9C0EC0">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00" w:firstLineChars="200"/>
        <w:jc w:val="left"/>
        <w:textAlignment w:val="auto"/>
        <w:rPr>
          <w:sz w:val="21"/>
          <w:szCs w:val="21"/>
        </w:rPr>
      </w:pPr>
      <w:r>
        <w:rPr>
          <w:rFonts w:hint="eastAsia"/>
          <w:spacing w:val="-5"/>
          <w:sz w:val="21"/>
          <w:szCs w:val="21"/>
          <w:lang w:eastAsia="zh-CN"/>
        </w:rPr>
        <w:t>（</w:t>
      </w:r>
      <w:r>
        <w:rPr>
          <w:rFonts w:hint="eastAsia"/>
          <w:spacing w:val="-5"/>
          <w:sz w:val="21"/>
          <w:szCs w:val="21"/>
          <w:lang w:val="en-US" w:eastAsia="zh-CN"/>
        </w:rPr>
        <w:t>5</w:t>
      </w:r>
      <w:r>
        <w:rPr>
          <w:rFonts w:hint="eastAsia"/>
          <w:spacing w:val="-5"/>
          <w:sz w:val="21"/>
          <w:szCs w:val="21"/>
          <w:lang w:eastAsia="zh-CN"/>
        </w:rPr>
        <w:t>）</w:t>
      </w:r>
      <w:r>
        <w:rPr>
          <w:spacing w:val="-5"/>
          <w:sz w:val="21"/>
          <w:szCs w:val="21"/>
        </w:rPr>
        <w:t>尽管委任了联合体牵头人，但联合体各成员在投标、签订合同与履行合同</w:t>
      </w:r>
      <w:r>
        <w:rPr>
          <w:spacing w:val="-4"/>
          <w:sz w:val="21"/>
          <w:szCs w:val="21"/>
        </w:rPr>
        <w:t>过程中，仍负有连带的和各自的法律责任。</w:t>
      </w:r>
    </w:p>
    <w:p w14:paraId="1F513730">
      <w:pPr>
        <w:pStyle w:val="41"/>
        <w:keepNext w:val="0"/>
        <w:keepLines w:val="0"/>
        <w:pageBreakBefore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1.4.3</w:t>
      </w:r>
      <w:r>
        <w:rPr>
          <w:sz w:val="21"/>
          <w:szCs w:val="21"/>
        </w:rPr>
        <w:t>投标人（包括联合体各成员）不得与本标段相关单位存在下列关联关系：</w:t>
      </w:r>
    </w:p>
    <w:p w14:paraId="38A1E80C">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sz w:val="21"/>
          <w:szCs w:val="21"/>
        </w:rPr>
        <w:t>为招标人不具有独立法人资格的附属机构（单位</w:t>
      </w:r>
      <w:r>
        <w:rPr>
          <w:spacing w:val="-120"/>
          <w:sz w:val="21"/>
          <w:szCs w:val="21"/>
        </w:rPr>
        <w:t>）</w:t>
      </w:r>
      <w:r>
        <w:rPr>
          <w:sz w:val="21"/>
          <w:szCs w:val="21"/>
        </w:rPr>
        <w:t>；</w:t>
      </w:r>
    </w:p>
    <w:p w14:paraId="1C2A5C47">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sz w:val="21"/>
          <w:szCs w:val="21"/>
        </w:rPr>
        <w:t>与招标人存在利害关系且可能影响招标公正性；</w:t>
      </w:r>
    </w:p>
    <w:p w14:paraId="64555787">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sz w:val="21"/>
          <w:szCs w:val="21"/>
        </w:rPr>
        <w:t>与本标段的其他投标人同为一个单位负责人；</w:t>
      </w:r>
    </w:p>
    <w:p w14:paraId="59CA04C0">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sz w:val="21"/>
          <w:szCs w:val="21"/>
        </w:rPr>
        <w:t>与本标段的其他投标人存在控股、管理关系；</w:t>
      </w:r>
    </w:p>
    <w:p w14:paraId="2BC15F0B">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5</w:t>
      </w:r>
      <w:r>
        <w:rPr>
          <w:rFonts w:hint="eastAsia"/>
          <w:sz w:val="21"/>
          <w:szCs w:val="21"/>
          <w:lang w:eastAsia="zh-CN"/>
        </w:rPr>
        <w:t>）</w:t>
      </w:r>
      <w:r>
        <w:rPr>
          <w:sz w:val="21"/>
          <w:szCs w:val="21"/>
        </w:rPr>
        <w:t>为本标段前期准备提供设计或咨询服务的法人或其任何附属机构（单位</w:t>
      </w:r>
      <w:r>
        <w:rPr>
          <w:spacing w:val="-120"/>
          <w:sz w:val="21"/>
          <w:szCs w:val="21"/>
        </w:rPr>
        <w:t>）</w:t>
      </w:r>
      <w:r>
        <w:rPr>
          <w:sz w:val="21"/>
          <w:szCs w:val="21"/>
        </w:rPr>
        <w:t>；</w:t>
      </w:r>
    </w:p>
    <w:p w14:paraId="18D37FF2">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6</w:t>
      </w:r>
      <w:r>
        <w:rPr>
          <w:rFonts w:hint="eastAsia"/>
          <w:sz w:val="21"/>
          <w:szCs w:val="21"/>
          <w:lang w:eastAsia="zh-CN"/>
        </w:rPr>
        <w:t>）</w:t>
      </w:r>
      <w:r>
        <w:rPr>
          <w:sz w:val="21"/>
          <w:szCs w:val="21"/>
        </w:rPr>
        <w:t>为本标段的监理人；</w:t>
      </w:r>
    </w:p>
    <w:p w14:paraId="75F38302">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7</w:t>
      </w:r>
      <w:r>
        <w:rPr>
          <w:rFonts w:hint="eastAsia"/>
          <w:sz w:val="21"/>
          <w:szCs w:val="21"/>
          <w:lang w:eastAsia="zh-CN"/>
        </w:rPr>
        <w:t>）</w:t>
      </w:r>
      <w:r>
        <w:rPr>
          <w:sz w:val="21"/>
          <w:szCs w:val="21"/>
        </w:rPr>
        <w:t>为本标段的代建人；</w:t>
      </w:r>
    </w:p>
    <w:p w14:paraId="0AB1BC36">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8</w:t>
      </w:r>
      <w:r>
        <w:rPr>
          <w:rFonts w:hint="eastAsia"/>
          <w:sz w:val="21"/>
          <w:szCs w:val="21"/>
          <w:lang w:eastAsia="zh-CN"/>
        </w:rPr>
        <w:t>）</w:t>
      </w:r>
      <w:r>
        <w:rPr>
          <w:sz w:val="21"/>
          <w:szCs w:val="21"/>
        </w:rPr>
        <w:t>为本标段的招标代理机构；</w:t>
      </w:r>
    </w:p>
    <w:p w14:paraId="584E807A">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9</w:t>
      </w:r>
      <w:r>
        <w:rPr>
          <w:rFonts w:hint="eastAsia"/>
          <w:sz w:val="21"/>
          <w:szCs w:val="21"/>
          <w:lang w:eastAsia="zh-CN"/>
        </w:rPr>
        <w:t>）</w:t>
      </w:r>
      <w:r>
        <w:rPr>
          <w:sz w:val="21"/>
          <w:szCs w:val="21"/>
        </w:rPr>
        <w:t>与本标段的监理人或代建人或招标代理机构同为一个法定代表人；</w:t>
      </w:r>
    </w:p>
    <w:p w14:paraId="55204515">
      <w:pPr>
        <w:pStyle w:val="41"/>
        <w:keepNext w:val="0"/>
        <w:keepLines w:val="0"/>
        <w:pageBreakBefore w:val="0"/>
        <w:numPr>
          <w:ilvl w:val="0"/>
          <w:numId w:val="0"/>
        </w:numPr>
        <w:tabs>
          <w:tab w:val="left" w:pos="145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10</w:t>
      </w:r>
      <w:r>
        <w:rPr>
          <w:rFonts w:hint="eastAsia"/>
          <w:sz w:val="21"/>
          <w:szCs w:val="21"/>
          <w:lang w:eastAsia="zh-CN"/>
        </w:rPr>
        <w:t>）</w:t>
      </w:r>
      <w:r>
        <w:rPr>
          <w:sz w:val="21"/>
          <w:szCs w:val="21"/>
        </w:rPr>
        <w:t>与本标段的监理人或代建人或招标代理机构存在控股或参股关系；</w:t>
      </w:r>
    </w:p>
    <w:p w14:paraId="267A3E78">
      <w:pPr>
        <w:pStyle w:val="41"/>
        <w:keepNext w:val="0"/>
        <w:keepLines w:val="0"/>
        <w:pageBreakBefore w:val="0"/>
        <w:numPr>
          <w:ilvl w:val="0"/>
          <w:numId w:val="0"/>
        </w:numPr>
        <w:tabs>
          <w:tab w:val="left" w:pos="144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11</w:t>
      </w:r>
      <w:r>
        <w:rPr>
          <w:rFonts w:hint="eastAsia"/>
          <w:sz w:val="21"/>
          <w:szCs w:val="21"/>
          <w:lang w:eastAsia="zh-CN"/>
        </w:rPr>
        <w:t>）</w:t>
      </w:r>
      <w:r>
        <w:rPr>
          <w:sz w:val="21"/>
          <w:szCs w:val="21"/>
        </w:rPr>
        <w:t>法律法规或投标人须知前附表规定的其他情形。</w:t>
      </w:r>
    </w:p>
    <w:p w14:paraId="4331B849">
      <w:pPr>
        <w:pStyle w:val="41"/>
        <w:keepNext w:val="0"/>
        <w:keepLines w:val="0"/>
        <w:pageBreakBefore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1.4.4</w:t>
      </w:r>
      <w:r>
        <w:rPr>
          <w:sz w:val="21"/>
          <w:szCs w:val="21"/>
        </w:rPr>
        <w:t>投标人（包括联合体各成员）不得存在下列不良状况或不良信用记录：</w:t>
      </w:r>
    </w:p>
    <w:p w14:paraId="1839B555">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sz w:val="21"/>
          <w:szCs w:val="21"/>
        </w:rPr>
        <w:t>被省级及以上交通运输主管部门取消招标项目所在地的投标资格且处于有</w:t>
      </w:r>
      <w:r>
        <w:rPr>
          <w:spacing w:val="-5"/>
          <w:sz w:val="21"/>
          <w:szCs w:val="21"/>
        </w:rPr>
        <w:t>效期内；</w:t>
      </w:r>
    </w:p>
    <w:p w14:paraId="2BC71F2E">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sz w:val="21"/>
          <w:szCs w:val="21"/>
        </w:rPr>
        <w:t>被责令停业，暂扣或吊销执照，或吊销资质证书；</w:t>
      </w:r>
    </w:p>
    <w:p w14:paraId="0954F4D0">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sz w:val="21"/>
          <w:szCs w:val="21"/>
        </w:rPr>
        <w:t>进入清算程序，或被宣告破产，或其他丧失履约能力的情形；</w:t>
      </w:r>
    </w:p>
    <w:p w14:paraId="0D3C5F35">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宋体" w:hAnsi="宋体" w:eastAsia="宋体" w:cs="宋体"/>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在国家企业信用信息公示系统</w:t>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"http://www.gsxt.gov.cn/" \h </w:instrText>
      </w:r>
      <w:r>
        <w:rPr>
          <w:rFonts w:hint="eastAsia" w:ascii="宋体" w:hAnsi="宋体" w:eastAsia="宋体" w:cs="宋体"/>
          <w:sz w:val="21"/>
          <w:szCs w:val="21"/>
        </w:rPr>
        <w:fldChar w:fldCharType="separate"/>
      </w:r>
      <w:r>
        <w:rPr>
          <w:rFonts w:hint="eastAsia" w:ascii="宋体" w:hAnsi="宋体" w:eastAsia="宋体" w:cs="宋体"/>
          <w:sz w:val="21"/>
          <w:szCs w:val="21"/>
        </w:rPr>
        <w:t>http://www.gsxt.gov.cn/</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pacing w:val="-2"/>
          <w:sz w:val="21"/>
          <w:szCs w:val="21"/>
        </w:rPr>
        <w:t>中被列入严重违法</w:t>
      </w:r>
      <w:r>
        <w:rPr>
          <w:rFonts w:hint="eastAsia" w:ascii="宋体" w:hAnsi="宋体" w:eastAsia="宋体" w:cs="宋体"/>
          <w:sz w:val="21"/>
          <w:szCs w:val="21"/>
        </w:rPr>
        <w:t>失信企业名单；</w:t>
      </w:r>
    </w:p>
    <w:p w14:paraId="5CF5F56C">
      <w:pPr>
        <w:pStyle w:val="41"/>
        <w:keepNext w:val="0"/>
        <w:keepLines w:val="0"/>
        <w:pageBreakBefore w:val="0"/>
        <w:widowControl w:val="0"/>
        <w:numPr>
          <w:ilvl w:val="0"/>
          <w:numId w:val="0"/>
        </w:numPr>
        <w:tabs>
          <w:tab w:val="left" w:pos="133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在“信用中国”网站（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"http://www.creditchina.gov.cn/" \h </w:instrText>
      </w:r>
      <w:r>
        <w:rPr>
          <w:rFonts w:hint="eastAsia" w:ascii="宋体" w:hAnsi="宋体" w:eastAsia="宋体" w:cs="宋体"/>
          <w:sz w:val="21"/>
          <w:szCs w:val="21"/>
        </w:rPr>
        <w:fldChar w:fldCharType="separate"/>
      </w:r>
      <w:r>
        <w:rPr>
          <w:rFonts w:hint="eastAsia" w:ascii="宋体" w:hAnsi="宋体" w:eastAsia="宋体" w:cs="宋体"/>
          <w:sz w:val="21"/>
          <w:szCs w:val="21"/>
        </w:rPr>
        <w:t>http://www.creditchina.gov.cn/</w:t>
      </w:r>
      <w:r>
        <w:rPr>
          <w:rFonts w:hint="eastAsia" w:ascii="宋体" w:hAnsi="宋体" w:eastAsia="宋体" w:cs="宋体"/>
          <w:sz w:val="21"/>
          <w:szCs w:val="21"/>
        </w:rPr>
        <w:fldChar w:fldCharType="end"/>
      </w:r>
      <w:r>
        <w:rPr>
          <w:rFonts w:hint="eastAsia" w:ascii="宋体" w:hAnsi="宋体" w:eastAsia="宋体" w:cs="宋体"/>
          <w:sz w:val="21"/>
          <w:szCs w:val="21"/>
        </w:rPr>
        <w:t>）中</w:t>
      </w:r>
      <w:r>
        <w:rPr>
          <w:sz w:val="21"/>
          <w:szCs w:val="21"/>
        </w:rPr>
        <w:t>被列入失信被执行人名单；</w:t>
      </w:r>
    </w:p>
    <w:p w14:paraId="41D192C7">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360" w:firstLineChars="200"/>
        <w:jc w:val="left"/>
        <w:textAlignment w:val="auto"/>
        <w:rPr>
          <w:sz w:val="21"/>
          <w:szCs w:val="21"/>
        </w:rPr>
      </w:pPr>
      <w:r>
        <w:rPr>
          <w:rFonts w:hint="eastAsia"/>
          <w:spacing w:val="-15"/>
          <w:sz w:val="21"/>
          <w:szCs w:val="21"/>
          <w:lang w:eastAsia="zh-CN"/>
        </w:rPr>
        <w:t>（</w:t>
      </w:r>
      <w:r>
        <w:rPr>
          <w:rFonts w:hint="eastAsia"/>
          <w:spacing w:val="-15"/>
          <w:sz w:val="21"/>
          <w:szCs w:val="21"/>
          <w:lang w:val="en-US" w:eastAsia="zh-CN"/>
        </w:rPr>
        <w:t>6</w:t>
      </w:r>
      <w:r>
        <w:rPr>
          <w:rFonts w:hint="eastAsia"/>
          <w:spacing w:val="-15"/>
          <w:sz w:val="21"/>
          <w:szCs w:val="21"/>
          <w:lang w:eastAsia="zh-CN"/>
        </w:rPr>
        <w:t>）</w:t>
      </w:r>
      <w:r>
        <w:rPr>
          <w:spacing w:val="-15"/>
          <w:sz w:val="21"/>
          <w:szCs w:val="21"/>
        </w:rPr>
        <w:t>投标人或其法定代表人、拟委任的项目经理在近三年内有行贿犯罪行为的</w:t>
      </w:r>
      <w:r>
        <w:rPr>
          <w:sz w:val="21"/>
          <w:szCs w:val="21"/>
        </w:rPr>
        <w:t>（</w:t>
      </w:r>
      <w:r>
        <w:rPr>
          <w:spacing w:val="-4"/>
          <w:sz w:val="21"/>
          <w:szCs w:val="21"/>
        </w:rPr>
        <w:t>行贿犯罪行为的认定以检察机关职务犯罪预防部门出具的查询结果为准</w:t>
      </w:r>
      <w:r>
        <w:rPr>
          <w:rFonts w:hint="eastAsia"/>
          <w:spacing w:val="-4"/>
          <w:sz w:val="21"/>
          <w:szCs w:val="21"/>
          <w:lang w:val="en-US" w:eastAsia="zh-CN"/>
        </w:rPr>
        <w:t>或由投标人出具承诺书</w:t>
      </w:r>
      <w:r>
        <w:rPr>
          <w:spacing w:val="-119"/>
          <w:sz w:val="21"/>
          <w:szCs w:val="21"/>
        </w:rPr>
        <w:t>）</w:t>
      </w:r>
      <w:r>
        <w:rPr>
          <w:sz w:val="21"/>
          <w:szCs w:val="21"/>
        </w:rPr>
        <w:t>；</w:t>
      </w:r>
    </w:p>
    <w:p w14:paraId="4490A795">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7</w:t>
      </w:r>
      <w:r>
        <w:rPr>
          <w:rFonts w:hint="eastAsia"/>
          <w:sz w:val="21"/>
          <w:szCs w:val="21"/>
          <w:lang w:eastAsia="zh-CN"/>
        </w:rPr>
        <w:t>）</w:t>
      </w:r>
      <w:r>
        <w:rPr>
          <w:sz w:val="21"/>
          <w:szCs w:val="21"/>
        </w:rPr>
        <w:t>法律法规或投标人须知前附表规定的其他情形。</w:t>
      </w:r>
    </w:p>
    <w:p w14:paraId="527C153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sz w:val="21"/>
          <w:szCs w:val="21"/>
        </w:rPr>
      </w:pPr>
      <w:r>
        <w:rPr>
          <w:rFonts w:hint="eastAsia"/>
          <w:sz w:val="21"/>
          <w:szCs w:val="21"/>
          <w:lang w:val="en-US" w:eastAsia="zh-CN"/>
        </w:rPr>
        <w:t>1.4.5</w:t>
      </w:r>
      <w:r>
        <w:rPr>
          <w:sz w:val="21"/>
          <w:szCs w:val="21"/>
        </w:rPr>
        <w:t>投标人（包括联合体各成员</w:t>
      </w:r>
      <w:r>
        <w:rPr>
          <w:spacing w:val="3"/>
          <w:sz w:val="21"/>
          <w:szCs w:val="21"/>
        </w:rPr>
        <w:t>）</w:t>
      </w:r>
      <w:r>
        <w:rPr>
          <w:sz w:val="21"/>
          <w:szCs w:val="21"/>
        </w:rPr>
        <w:t>应进入交通运输部“</w:t>
      </w:r>
      <w:r>
        <w:rPr>
          <w:rFonts w:hint="eastAsia"/>
          <w:sz w:val="21"/>
          <w:szCs w:val="21"/>
        </w:rPr>
        <w:t>全国公路建设市场监督管理系统（https://hwdms.mot.gov.cn/BMWebSite/）</w:t>
      </w:r>
      <w:r>
        <w:rPr>
          <w:spacing w:val="-7"/>
          <w:sz w:val="21"/>
          <w:szCs w:val="21"/>
        </w:rPr>
        <w:t>”中的公路工程施工资质企业名录，且投标人</w:t>
      </w:r>
      <w:r>
        <w:rPr>
          <w:spacing w:val="-12"/>
          <w:sz w:val="21"/>
          <w:szCs w:val="21"/>
        </w:rPr>
        <w:t>名称和资质与该名录中的相应企业名称和资质完全一致。投标人不满足本项规定条件</w:t>
      </w:r>
      <w:r>
        <w:rPr>
          <w:sz w:val="21"/>
          <w:szCs w:val="21"/>
        </w:rPr>
        <w:t>的，将被否决投标。</w:t>
      </w:r>
    </w:p>
    <w:p w14:paraId="5B5AA453">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黑体"/>
          <w:sz w:val="21"/>
          <w:szCs w:val="21"/>
        </w:rPr>
      </w:pPr>
      <w:bookmarkStart w:id="49" w:name="_bookmark34"/>
      <w:bookmarkEnd w:id="49"/>
      <w:bookmarkStart w:id="50" w:name="_bookmark34"/>
      <w:bookmarkEnd w:id="50"/>
      <w:r>
        <w:rPr>
          <w:rFonts w:hint="default" w:ascii="黑体" w:hAnsi="黑体" w:eastAsia="黑体" w:cs="黑体"/>
          <w:w w:val="100"/>
          <w:sz w:val="21"/>
          <w:szCs w:val="21"/>
          <w:lang w:val="zh-CN" w:eastAsia="zh-CN" w:bidi="zh-CN"/>
        </w:rPr>
        <w:t>1.5</w:t>
      </w:r>
      <w:r>
        <w:rPr>
          <w:rFonts w:hint="eastAsia" w:ascii="黑体" w:eastAsia="黑体"/>
          <w:sz w:val="21"/>
          <w:szCs w:val="21"/>
        </w:rPr>
        <w:t>费用承担</w:t>
      </w:r>
    </w:p>
    <w:p w14:paraId="4D586076">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黑体"/>
          <w:sz w:val="21"/>
          <w:szCs w:val="21"/>
        </w:rPr>
      </w:pPr>
      <w:bookmarkStart w:id="51" w:name="_bookmark35"/>
      <w:bookmarkEnd w:id="51"/>
      <w:bookmarkStart w:id="52" w:name="_bookmark35"/>
      <w:bookmarkEnd w:id="52"/>
      <w:r>
        <w:rPr>
          <w:rFonts w:hint="default" w:ascii="黑体" w:hAnsi="黑体" w:eastAsia="黑体" w:cs="黑体"/>
          <w:w w:val="100"/>
          <w:sz w:val="21"/>
          <w:szCs w:val="21"/>
          <w:lang w:val="zh-CN" w:eastAsia="zh-CN" w:bidi="zh-CN"/>
        </w:rPr>
        <w:t>1.6</w:t>
      </w:r>
      <w:r>
        <w:rPr>
          <w:rFonts w:hint="eastAsia" w:ascii="黑体" w:eastAsia="黑体"/>
          <w:sz w:val="21"/>
          <w:szCs w:val="21"/>
        </w:rPr>
        <w:t>保密</w:t>
      </w:r>
    </w:p>
    <w:p w14:paraId="761E05D8">
      <w:pPr>
        <w:pStyle w:val="12"/>
        <w:keepNext w:val="0"/>
        <w:keepLines w:val="0"/>
        <w:pageBreakBefore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参与招标投标活动的各方应对招标文件和投标文件中的商业和技术等秘密保密，否则应承担相应的法律责任。</w:t>
      </w:r>
    </w:p>
    <w:p w14:paraId="7B0D45F9">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黑体"/>
          <w:sz w:val="21"/>
          <w:szCs w:val="21"/>
        </w:rPr>
      </w:pPr>
      <w:bookmarkStart w:id="53" w:name="_bookmark36"/>
      <w:bookmarkEnd w:id="53"/>
      <w:bookmarkStart w:id="54" w:name="_bookmark36"/>
      <w:bookmarkEnd w:id="54"/>
      <w:r>
        <w:rPr>
          <w:rFonts w:hint="default" w:ascii="黑体" w:hAnsi="黑体" w:eastAsia="黑体" w:cs="黑体"/>
          <w:w w:val="100"/>
          <w:sz w:val="21"/>
          <w:szCs w:val="21"/>
          <w:lang w:val="zh-CN" w:eastAsia="zh-CN" w:bidi="zh-CN"/>
        </w:rPr>
        <w:t>1.7</w:t>
      </w:r>
      <w:r>
        <w:rPr>
          <w:rFonts w:hint="eastAsia" w:ascii="黑体" w:eastAsia="黑体"/>
          <w:sz w:val="21"/>
          <w:szCs w:val="21"/>
        </w:rPr>
        <w:t>语言文字</w:t>
      </w:r>
    </w:p>
    <w:p w14:paraId="3F1E478E">
      <w:pPr>
        <w:pStyle w:val="12"/>
        <w:keepNext w:val="0"/>
        <w:keepLines w:val="0"/>
        <w:pageBreakBefore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招标投标文件使用的语言文字为中文。专用术语使用外文的，应附有中文注释。</w:t>
      </w:r>
    </w:p>
    <w:p w14:paraId="512924BB">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黑体"/>
          <w:sz w:val="21"/>
          <w:szCs w:val="21"/>
        </w:rPr>
      </w:pPr>
      <w:bookmarkStart w:id="55" w:name="_bookmark37"/>
      <w:bookmarkEnd w:id="55"/>
      <w:bookmarkStart w:id="56" w:name="_bookmark37"/>
      <w:bookmarkEnd w:id="56"/>
      <w:r>
        <w:rPr>
          <w:rFonts w:hint="default" w:ascii="黑体" w:hAnsi="黑体" w:eastAsia="黑体" w:cs="黑体"/>
          <w:w w:val="100"/>
          <w:sz w:val="21"/>
          <w:szCs w:val="21"/>
          <w:lang w:val="zh-CN" w:eastAsia="zh-CN" w:bidi="zh-CN"/>
        </w:rPr>
        <w:t>1.8</w:t>
      </w:r>
      <w:r>
        <w:rPr>
          <w:rFonts w:hint="eastAsia" w:ascii="黑体" w:eastAsia="黑体"/>
          <w:sz w:val="21"/>
          <w:szCs w:val="21"/>
        </w:rPr>
        <w:t>计量单位</w:t>
      </w:r>
    </w:p>
    <w:p w14:paraId="6ABE85B6">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黑体"/>
          <w:sz w:val="21"/>
          <w:szCs w:val="21"/>
        </w:rPr>
      </w:pPr>
      <w:bookmarkStart w:id="57" w:name="_bookmark38"/>
      <w:bookmarkEnd w:id="57"/>
      <w:bookmarkStart w:id="58" w:name="_bookmark38"/>
      <w:bookmarkEnd w:id="58"/>
      <w:r>
        <w:rPr>
          <w:rFonts w:hint="default" w:ascii="黑体" w:hAnsi="黑体" w:eastAsia="黑体" w:cs="黑体"/>
          <w:w w:val="100"/>
          <w:sz w:val="21"/>
          <w:szCs w:val="21"/>
          <w:lang w:val="zh-CN" w:eastAsia="zh-CN" w:bidi="zh-CN"/>
        </w:rPr>
        <w:t>1.9</w:t>
      </w:r>
      <w:r>
        <w:rPr>
          <w:rFonts w:hint="eastAsia" w:ascii="黑体" w:eastAsia="黑体"/>
          <w:sz w:val="21"/>
          <w:szCs w:val="21"/>
        </w:rPr>
        <w:t>踏勘现场</w:t>
      </w:r>
    </w:p>
    <w:p w14:paraId="68702D22">
      <w:pPr>
        <w:pStyle w:val="41"/>
        <w:keepNext w:val="0"/>
        <w:keepLines w:val="0"/>
        <w:pageBreakBefore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1.9.1</w:t>
      </w:r>
      <w:r>
        <w:rPr>
          <w:spacing w:val="-1"/>
          <w:sz w:val="21"/>
          <w:szCs w:val="21"/>
        </w:rPr>
        <w:t>第一章“招标公告”或“投标邀请书”规定组织踏勘现场的，招标人按规</w:t>
      </w:r>
      <w:r>
        <w:rPr>
          <w:spacing w:val="-10"/>
          <w:sz w:val="21"/>
          <w:szCs w:val="21"/>
        </w:rPr>
        <w:t>定的时间、地点组织投标人踏勘项目现场。部分投标人未按时参加踏勘现场的，不影</w:t>
      </w:r>
      <w:r>
        <w:rPr>
          <w:sz w:val="21"/>
          <w:szCs w:val="21"/>
        </w:rPr>
        <w:t>响踏勘现场的正常进行。招标人不得组织单个或部分投标人踏勘项目现场。</w:t>
      </w:r>
    </w:p>
    <w:p w14:paraId="4245604B">
      <w:pPr>
        <w:pStyle w:val="41"/>
        <w:keepNext w:val="0"/>
        <w:keepLines w:val="0"/>
        <w:pageBreakBefore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1.9.2</w:t>
      </w:r>
      <w:r>
        <w:rPr>
          <w:sz w:val="21"/>
          <w:szCs w:val="21"/>
        </w:rPr>
        <w:t>招标人提供的本合同工程的水文、地质、气象和料场分布、取土场、弃土</w:t>
      </w:r>
      <w:r>
        <w:rPr>
          <w:spacing w:val="-9"/>
          <w:sz w:val="21"/>
          <w:szCs w:val="21"/>
        </w:rPr>
        <w:t>场位置等参考资料，并不构成合同文件的组成部分，投标人应对自己就上述资料的解</w:t>
      </w:r>
      <w:r>
        <w:rPr>
          <w:sz w:val="21"/>
          <w:szCs w:val="21"/>
        </w:rPr>
        <w:t>释、推论和应用负责，招标人不对投标人据此作出的判断和决策承担任何责任。</w:t>
      </w:r>
    </w:p>
    <w:p w14:paraId="46E20DAD">
      <w:pPr>
        <w:pStyle w:val="41"/>
        <w:keepNext w:val="0"/>
        <w:keepLines w:val="0"/>
        <w:pageBreakBefore w:val="0"/>
        <w:numPr>
          <w:ilvl w:val="1"/>
          <w:numId w:val="0"/>
        </w:numPr>
        <w:tabs>
          <w:tab w:val="left" w:pos="97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bookmarkStart w:id="59" w:name="_bookmark39"/>
      <w:bookmarkEnd w:id="59"/>
      <w:bookmarkStart w:id="60" w:name="_bookmark39"/>
      <w:bookmarkEnd w:id="60"/>
      <w:r>
        <w:rPr>
          <w:rFonts w:hint="default" w:ascii="黑体" w:hAnsi="黑体" w:eastAsia="黑体" w:cs="黑体"/>
          <w:w w:val="100"/>
          <w:sz w:val="21"/>
          <w:szCs w:val="21"/>
          <w:lang w:val="zh-CN" w:eastAsia="zh-CN" w:bidi="zh-CN"/>
        </w:rPr>
        <w:t>1.10</w:t>
      </w:r>
      <w:r>
        <w:rPr>
          <w:rFonts w:hint="eastAsia" w:ascii="黑体" w:eastAsia="黑体"/>
          <w:sz w:val="21"/>
          <w:szCs w:val="21"/>
        </w:rPr>
        <w:t>投标预备会</w:t>
      </w:r>
    </w:p>
    <w:p w14:paraId="5A38B5A3">
      <w:pPr>
        <w:pStyle w:val="41"/>
        <w:keepNext w:val="0"/>
        <w:keepLines w:val="0"/>
        <w:pageBreakBefore w:val="0"/>
        <w:numPr>
          <w:ilvl w:val="2"/>
          <w:numId w:val="0"/>
        </w:numPr>
        <w:tabs>
          <w:tab w:val="left" w:pos="157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1.10.1</w:t>
      </w:r>
      <w:r>
        <w:rPr>
          <w:spacing w:val="-12"/>
          <w:sz w:val="21"/>
          <w:szCs w:val="21"/>
        </w:rPr>
        <w:t>第一章“招标公告”或“投标邀请书”规定召开投标预备会的，招标人按</w:t>
      </w:r>
      <w:r>
        <w:rPr>
          <w:sz w:val="21"/>
          <w:szCs w:val="21"/>
        </w:rPr>
        <w:t>规定的时间和地点召开投标预备会，澄清投标人提出的问题。</w:t>
      </w:r>
    </w:p>
    <w:p w14:paraId="04898173">
      <w:pPr>
        <w:pStyle w:val="41"/>
        <w:keepNext w:val="0"/>
        <w:keepLines w:val="0"/>
        <w:pageBreakBefore w:val="0"/>
        <w:numPr>
          <w:ilvl w:val="2"/>
          <w:numId w:val="0"/>
        </w:numPr>
        <w:tabs>
          <w:tab w:val="left" w:pos="15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1.10.2</w:t>
      </w:r>
      <w:r>
        <w:rPr>
          <w:spacing w:val="4"/>
          <w:sz w:val="21"/>
          <w:szCs w:val="21"/>
        </w:rPr>
        <w:t>投标人应按投标人须知前附表规定的时间和形式将提出的问题送达招标</w:t>
      </w:r>
      <w:r>
        <w:rPr>
          <w:sz w:val="21"/>
          <w:szCs w:val="21"/>
        </w:rPr>
        <w:t>人，以便招标人在会议期间澄清。</w:t>
      </w:r>
    </w:p>
    <w:p w14:paraId="1037958B">
      <w:pPr>
        <w:pStyle w:val="41"/>
        <w:keepNext w:val="0"/>
        <w:keepLines w:val="0"/>
        <w:pageBreakBefore w:val="0"/>
        <w:numPr>
          <w:ilvl w:val="2"/>
          <w:numId w:val="0"/>
        </w:numPr>
        <w:tabs>
          <w:tab w:val="left" w:pos="157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1.10.3</w:t>
      </w:r>
      <w:r>
        <w:rPr>
          <w:spacing w:val="-6"/>
          <w:sz w:val="21"/>
          <w:szCs w:val="21"/>
        </w:rPr>
        <w:t xml:space="preserve">投标预备会后，招标人将对投标人所提问题的澄清，以本章第 </w:t>
      </w:r>
      <w:r>
        <w:rPr>
          <w:rFonts w:ascii="Times New Roman" w:eastAsia="Times New Roman"/>
          <w:sz w:val="21"/>
          <w:szCs w:val="21"/>
        </w:rPr>
        <w:t>2.2</w:t>
      </w:r>
      <w:r>
        <w:rPr>
          <w:rFonts w:ascii="Times New Roman" w:eastAsia="Times New Roman"/>
          <w:spacing w:val="1"/>
          <w:sz w:val="21"/>
          <w:szCs w:val="21"/>
        </w:rPr>
        <w:t xml:space="preserve"> </w:t>
      </w:r>
      <w:r>
        <w:rPr>
          <w:spacing w:val="-6"/>
          <w:sz w:val="21"/>
          <w:szCs w:val="21"/>
        </w:rPr>
        <w:t>款规定</w:t>
      </w:r>
      <w:r>
        <w:rPr>
          <w:sz w:val="21"/>
          <w:szCs w:val="21"/>
        </w:rPr>
        <w:t>的形式通知所有购买招标文件的投标人。该澄清内容为招标文件的组成部分。</w:t>
      </w:r>
      <w:bookmarkStart w:id="61" w:name="_bookmark40"/>
      <w:bookmarkEnd w:id="61"/>
      <w:bookmarkStart w:id="62" w:name="_bookmark40"/>
      <w:bookmarkEnd w:id="62"/>
    </w:p>
    <w:p w14:paraId="3F560398">
      <w:pPr>
        <w:pStyle w:val="41"/>
        <w:keepNext w:val="0"/>
        <w:keepLines w:val="0"/>
        <w:pageBreakBefore w:val="0"/>
        <w:numPr>
          <w:ilvl w:val="2"/>
          <w:numId w:val="0"/>
        </w:numPr>
        <w:tabs>
          <w:tab w:val="left" w:pos="157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1.10.4</w:t>
      </w:r>
      <w:r>
        <w:rPr>
          <w:rFonts w:hint="eastAsia" w:ascii="黑体" w:eastAsia="黑体"/>
          <w:sz w:val="21"/>
          <w:szCs w:val="21"/>
        </w:rPr>
        <w:t>分包</w:t>
      </w:r>
    </w:p>
    <w:p w14:paraId="2EFD406F">
      <w:pPr>
        <w:pStyle w:val="41"/>
        <w:keepNext w:val="0"/>
        <w:keepLines w:val="0"/>
        <w:pageBreakBefore w:val="0"/>
        <w:widowControl w:val="0"/>
        <w:numPr>
          <w:ilvl w:val="0"/>
          <w:numId w:val="0"/>
        </w:numPr>
        <w:tabs>
          <w:tab w:val="left" w:pos="1570"/>
        </w:tabs>
        <w:kinsoku/>
        <w:wordWrap/>
        <w:overflowPunct/>
        <w:topLinePunct w:val="0"/>
        <w:autoSpaceDE w:val="0"/>
        <w:autoSpaceDN w:val="0"/>
        <w:bidi w:val="0"/>
        <w:adjustRightInd/>
        <w:snapToGrid/>
        <w:spacing w:before="0" w:after="0" w:line="360" w:lineRule="auto"/>
        <w:ind w:leftChars="0" w:right="0" w:rightChars="0" w:firstLine="416" w:firstLineChars="200"/>
        <w:jc w:val="left"/>
        <w:textAlignment w:val="auto"/>
        <w:rPr>
          <w:sz w:val="21"/>
          <w:szCs w:val="21"/>
        </w:rPr>
      </w:pPr>
      <w:r>
        <w:rPr>
          <w:spacing w:val="-1"/>
          <w:sz w:val="21"/>
          <w:szCs w:val="21"/>
        </w:rPr>
        <w:t>投标人拟在中标后将中标项目的部分非主体、非关键性工作进行分包的，</w:t>
      </w:r>
      <w:r>
        <w:rPr>
          <w:sz w:val="21"/>
          <w:szCs w:val="21"/>
        </w:rPr>
        <w:t>应符合以下规定：</w:t>
      </w:r>
    </w:p>
    <w:p w14:paraId="519E9080">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392" w:firstLineChars="200"/>
        <w:jc w:val="both"/>
        <w:textAlignment w:val="auto"/>
        <w:rPr>
          <w:sz w:val="21"/>
          <w:szCs w:val="21"/>
        </w:rPr>
      </w:pPr>
      <w:r>
        <w:rPr>
          <w:rFonts w:hint="eastAsia"/>
          <w:spacing w:val="-7"/>
          <w:sz w:val="21"/>
          <w:szCs w:val="21"/>
          <w:lang w:eastAsia="zh-CN"/>
        </w:rPr>
        <w:t>（</w:t>
      </w:r>
      <w:r>
        <w:rPr>
          <w:rFonts w:hint="eastAsia"/>
          <w:spacing w:val="-7"/>
          <w:sz w:val="21"/>
          <w:szCs w:val="21"/>
          <w:lang w:val="en-US" w:eastAsia="zh-CN"/>
        </w:rPr>
        <w:t>1</w:t>
      </w:r>
      <w:r>
        <w:rPr>
          <w:rFonts w:hint="eastAsia"/>
          <w:spacing w:val="-7"/>
          <w:sz w:val="21"/>
          <w:szCs w:val="21"/>
          <w:lang w:eastAsia="zh-CN"/>
        </w:rPr>
        <w:t>）</w:t>
      </w:r>
      <w:r>
        <w:rPr>
          <w:spacing w:val="-7"/>
          <w:sz w:val="21"/>
          <w:szCs w:val="21"/>
        </w:rPr>
        <w:t>分包内容要求：允许分包的工程范围仅限于非关键性工程或适合专业化队</w:t>
      </w:r>
      <w:r>
        <w:rPr>
          <w:spacing w:val="-9"/>
          <w:sz w:val="21"/>
          <w:szCs w:val="21"/>
        </w:rPr>
        <w:t>伍施工的专项工程。招标人允许分包或不允许分包的专项工程</w:t>
      </w:r>
      <w:r>
        <w:rPr>
          <w:sz w:val="21"/>
          <w:szCs w:val="21"/>
        </w:rPr>
        <w:t>（如有</w:t>
      </w:r>
      <w:r>
        <w:rPr>
          <w:spacing w:val="-29"/>
          <w:sz w:val="21"/>
          <w:szCs w:val="21"/>
        </w:rPr>
        <w:t>）</w:t>
      </w:r>
      <w:r>
        <w:rPr>
          <w:sz w:val="21"/>
          <w:szCs w:val="21"/>
        </w:rPr>
        <w:t>应在投标人须</w:t>
      </w:r>
      <w:r>
        <w:rPr>
          <w:spacing w:val="-4"/>
          <w:sz w:val="21"/>
          <w:szCs w:val="21"/>
        </w:rPr>
        <w:t>知前附表中载明。</w:t>
      </w:r>
    </w:p>
    <w:p w14:paraId="74B703AB">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404" w:firstLineChars="200"/>
        <w:jc w:val="left"/>
        <w:textAlignment w:val="auto"/>
        <w:rPr>
          <w:sz w:val="21"/>
          <w:szCs w:val="21"/>
        </w:rPr>
      </w:pPr>
      <w:r>
        <w:rPr>
          <w:rFonts w:hint="eastAsia"/>
          <w:spacing w:val="-4"/>
          <w:sz w:val="21"/>
          <w:szCs w:val="21"/>
          <w:lang w:eastAsia="zh-CN"/>
        </w:rPr>
        <w:t>（</w:t>
      </w:r>
      <w:r>
        <w:rPr>
          <w:rFonts w:hint="eastAsia"/>
          <w:spacing w:val="-4"/>
          <w:sz w:val="21"/>
          <w:szCs w:val="21"/>
          <w:lang w:val="en-US" w:eastAsia="zh-CN"/>
        </w:rPr>
        <w:t>2</w:t>
      </w:r>
      <w:r>
        <w:rPr>
          <w:rFonts w:hint="eastAsia"/>
          <w:spacing w:val="-4"/>
          <w:sz w:val="21"/>
          <w:szCs w:val="21"/>
          <w:lang w:eastAsia="zh-CN"/>
        </w:rPr>
        <w:t>）</w:t>
      </w:r>
      <w:r>
        <w:rPr>
          <w:spacing w:val="-4"/>
          <w:sz w:val="21"/>
          <w:szCs w:val="21"/>
        </w:rPr>
        <w:t>接受分包的第三人资格要求：分包人的资格能力应与其分包工程的标准和规模相适应，且具备投标人须知前附表中规定的资格条件。</w:t>
      </w:r>
    </w:p>
    <w:p w14:paraId="47060247">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384" w:firstLineChars="200"/>
        <w:jc w:val="both"/>
        <w:textAlignment w:val="auto"/>
        <w:rPr>
          <w:sz w:val="21"/>
          <w:szCs w:val="21"/>
        </w:rPr>
      </w:pPr>
      <w:r>
        <w:rPr>
          <w:rFonts w:hint="eastAsia"/>
          <w:spacing w:val="-9"/>
          <w:sz w:val="21"/>
          <w:szCs w:val="21"/>
          <w:lang w:eastAsia="zh-CN"/>
        </w:rPr>
        <w:t>（</w:t>
      </w:r>
      <w:r>
        <w:rPr>
          <w:rFonts w:hint="eastAsia"/>
          <w:spacing w:val="-9"/>
          <w:sz w:val="21"/>
          <w:szCs w:val="21"/>
          <w:lang w:val="en-US" w:eastAsia="zh-CN"/>
        </w:rPr>
        <w:t>3</w:t>
      </w:r>
      <w:r>
        <w:rPr>
          <w:rFonts w:hint="eastAsia"/>
          <w:spacing w:val="-9"/>
          <w:sz w:val="21"/>
          <w:szCs w:val="21"/>
          <w:lang w:eastAsia="zh-CN"/>
        </w:rPr>
        <w:t>）</w:t>
      </w:r>
      <w:r>
        <w:rPr>
          <w:spacing w:val="-9"/>
          <w:sz w:val="21"/>
          <w:szCs w:val="21"/>
        </w:rPr>
        <w:t>其他要求：投标人如有分包计划，应按第九章“投标文件格式”的要求填写</w:t>
      </w:r>
      <w:r>
        <w:rPr>
          <w:spacing w:val="-16"/>
          <w:sz w:val="21"/>
          <w:szCs w:val="21"/>
        </w:rPr>
        <w:t xml:space="preserve">“拟分包项目情况表”，明确拟分包的工程及规模，且投标人中标后的分包应满足合同条款第 </w:t>
      </w:r>
      <w:r>
        <w:rPr>
          <w:rFonts w:ascii="Times New Roman" w:hAnsi="Times New Roman" w:eastAsia="Times New Roman"/>
          <w:sz w:val="21"/>
          <w:szCs w:val="21"/>
        </w:rPr>
        <w:t xml:space="preserve">4.3 </w:t>
      </w:r>
      <w:r>
        <w:rPr>
          <w:sz w:val="21"/>
          <w:szCs w:val="21"/>
        </w:rPr>
        <w:t>款的相关要求。</w:t>
      </w:r>
    </w:p>
    <w:p w14:paraId="22E15F6C">
      <w:pPr>
        <w:pStyle w:val="41"/>
        <w:keepNext w:val="0"/>
        <w:keepLines w:val="0"/>
        <w:pageBreakBefore w:val="0"/>
        <w:numPr>
          <w:ilvl w:val="2"/>
          <w:numId w:val="0"/>
        </w:numPr>
        <w:tabs>
          <w:tab w:val="left" w:pos="1560"/>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1.10.5</w:t>
      </w:r>
      <w:r>
        <w:rPr>
          <w:spacing w:val="-6"/>
          <w:sz w:val="21"/>
          <w:szCs w:val="21"/>
        </w:rPr>
        <w:t>中标人不得向他人转让中标项目，接受分包的人不得再次分包。中标人应</w:t>
      </w:r>
      <w:r>
        <w:rPr>
          <w:sz w:val="21"/>
          <w:szCs w:val="21"/>
        </w:rPr>
        <w:t>就分包项目向招标人负责，接受分包的人就分包项目承担连带责任。</w:t>
      </w:r>
    </w:p>
    <w:p w14:paraId="7B17AF4F">
      <w:pPr>
        <w:pStyle w:val="41"/>
        <w:keepNext w:val="0"/>
        <w:keepLines w:val="0"/>
        <w:pageBreakBefore w:val="0"/>
        <w:numPr>
          <w:ilvl w:val="1"/>
          <w:numId w:val="0"/>
        </w:numPr>
        <w:tabs>
          <w:tab w:val="left" w:pos="97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黑体"/>
          <w:sz w:val="21"/>
          <w:szCs w:val="21"/>
        </w:rPr>
      </w:pPr>
      <w:bookmarkStart w:id="63" w:name="_bookmark41"/>
      <w:bookmarkEnd w:id="63"/>
      <w:bookmarkStart w:id="64" w:name="_bookmark41"/>
      <w:bookmarkEnd w:id="64"/>
      <w:r>
        <w:rPr>
          <w:rFonts w:hint="default" w:ascii="黑体" w:hAnsi="黑体" w:eastAsia="黑体" w:cs="黑体"/>
          <w:w w:val="100"/>
          <w:sz w:val="21"/>
          <w:szCs w:val="21"/>
          <w:lang w:val="zh-CN" w:eastAsia="zh-CN" w:bidi="zh-CN"/>
        </w:rPr>
        <w:t>1.11</w:t>
      </w:r>
      <w:r>
        <w:rPr>
          <w:rFonts w:hint="eastAsia" w:ascii="黑体" w:eastAsia="黑体"/>
          <w:sz w:val="21"/>
          <w:szCs w:val="21"/>
        </w:rPr>
        <w:t>响应和偏差</w:t>
      </w:r>
    </w:p>
    <w:p w14:paraId="51978805">
      <w:pPr>
        <w:pStyle w:val="41"/>
        <w:keepNext w:val="0"/>
        <w:keepLines w:val="0"/>
        <w:pageBreakBefore w:val="0"/>
        <w:numPr>
          <w:ilvl w:val="2"/>
          <w:numId w:val="0"/>
        </w:numPr>
        <w:tabs>
          <w:tab w:val="left" w:pos="157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1.11.1</w:t>
      </w:r>
      <w:r>
        <w:rPr>
          <w:spacing w:val="-7"/>
          <w:sz w:val="21"/>
          <w:szCs w:val="21"/>
        </w:rPr>
        <w:t>投标文件偏离招标文件某些要求，视为投标文件存在偏差。偏差包括重大</w:t>
      </w:r>
      <w:r>
        <w:rPr>
          <w:sz w:val="21"/>
          <w:szCs w:val="21"/>
        </w:rPr>
        <w:t>偏差和细微偏差。</w:t>
      </w:r>
    </w:p>
    <w:p w14:paraId="4A7C26F7">
      <w:pPr>
        <w:pStyle w:val="41"/>
        <w:keepNext w:val="0"/>
        <w:keepLines w:val="0"/>
        <w:pageBreakBefore w:val="0"/>
        <w:numPr>
          <w:ilvl w:val="2"/>
          <w:numId w:val="0"/>
        </w:numPr>
        <w:tabs>
          <w:tab w:val="left" w:pos="15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1.11.2</w:t>
      </w:r>
      <w:r>
        <w:rPr>
          <w:spacing w:val="4"/>
          <w:sz w:val="21"/>
          <w:szCs w:val="21"/>
        </w:rPr>
        <w:t>投标文件应对招标文件的实质性要求和条件作出满足性或更有利于招标</w:t>
      </w:r>
      <w:r>
        <w:rPr>
          <w:sz w:val="21"/>
          <w:szCs w:val="21"/>
        </w:rPr>
        <w:t>人的响应，否则，视为投标文件存在重大偏差，投标人的投标将被否决。</w:t>
      </w:r>
    </w:p>
    <w:p w14:paraId="1B47D15B">
      <w:pPr>
        <w:pStyle w:val="12"/>
        <w:keepNext w:val="0"/>
        <w:keepLines w:val="0"/>
        <w:pageBreakBefore w:val="0"/>
        <w:kinsoku/>
        <w:wordWrap/>
        <w:overflowPunct/>
        <w:topLinePunct w:val="0"/>
        <w:autoSpaceDE w:val="0"/>
        <w:autoSpaceDN w:val="0"/>
        <w:bidi w:val="0"/>
        <w:adjustRightInd/>
        <w:snapToGrid/>
        <w:spacing w:before="0" w:line="360" w:lineRule="auto"/>
        <w:ind w:left="0" w:right="0" w:firstLine="388" w:firstLineChars="200"/>
        <w:textAlignment w:val="auto"/>
        <w:rPr>
          <w:sz w:val="21"/>
          <w:szCs w:val="21"/>
        </w:rPr>
      </w:pPr>
      <w:r>
        <w:rPr>
          <w:spacing w:val="-8"/>
          <w:sz w:val="21"/>
          <w:szCs w:val="21"/>
        </w:rPr>
        <w:t>投标文件存在第三章“评标办法”中所列任一否决投标情形的，均属于存在重大</w:t>
      </w:r>
      <w:r>
        <w:rPr>
          <w:sz w:val="21"/>
          <w:szCs w:val="21"/>
        </w:rPr>
        <w:t>偏差。</w:t>
      </w:r>
    </w:p>
    <w:p w14:paraId="0E35D111">
      <w:pPr>
        <w:pStyle w:val="41"/>
        <w:keepNext w:val="0"/>
        <w:keepLines w:val="0"/>
        <w:pageBreakBefore w:val="0"/>
        <w:numPr>
          <w:ilvl w:val="2"/>
          <w:numId w:val="0"/>
        </w:numPr>
        <w:tabs>
          <w:tab w:val="left" w:pos="157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1.11.3</w:t>
      </w:r>
      <w:r>
        <w:rPr>
          <w:sz w:val="21"/>
          <w:szCs w:val="21"/>
        </w:rPr>
        <w:t>投标文件中的下列偏差为细微偏差：</w:t>
      </w:r>
    </w:p>
    <w:p w14:paraId="0AC8E39D">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384" w:firstLineChars="200"/>
        <w:jc w:val="both"/>
        <w:textAlignment w:val="auto"/>
        <w:rPr>
          <w:sz w:val="21"/>
          <w:szCs w:val="21"/>
        </w:rPr>
      </w:pPr>
      <w:r>
        <w:rPr>
          <w:rFonts w:hint="eastAsia"/>
          <w:spacing w:val="-9"/>
          <w:sz w:val="21"/>
          <w:szCs w:val="21"/>
          <w:lang w:eastAsia="zh-CN"/>
        </w:rPr>
        <w:t>（</w:t>
      </w:r>
      <w:r>
        <w:rPr>
          <w:rFonts w:hint="eastAsia"/>
          <w:spacing w:val="-9"/>
          <w:sz w:val="21"/>
          <w:szCs w:val="21"/>
          <w:lang w:val="en-US" w:eastAsia="zh-CN"/>
        </w:rPr>
        <w:t>1</w:t>
      </w:r>
      <w:r>
        <w:rPr>
          <w:rFonts w:hint="eastAsia"/>
          <w:spacing w:val="-9"/>
          <w:sz w:val="21"/>
          <w:szCs w:val="21"/>
          <w:lang w:eastAsia="zh-CN"/>
        </w:rPr>
        <w:t>）</w:t>
      </w:r>
      <w:r>
        <w:rPr>
          <w:spacing w:val="-9"/>
          <w:sz w:val="21"/>
          <w:szCs w:val="21"/>
        </w:rPr>
        <w:t>在按照第三章“评标办法”的规定对投标价进行算术性错误修正及其他错</w:t>
      </w:r>
      <w:r>
        <w:rPr>
          <w:spacing w:val="-7"/>
          <w:sz w:val="21"/>
          <w:szCs w:val="21"/>
        </w:rPr>
        <w:t>误修正后，最终投标报价未超过最高投标限价</w:t>
      </w:r>
      <w:r>
        <w:rPr>
          <w:sz w:val="21"/>
          <w:szCs w:val="21"/>
        </w:rPr>
        <w:t>（如有</w:t>
      </w:r>
      <w:r>
        <w:rPr>
          <w:spacing w:val="-20"/>
          <w:sz w:val="21"/>
          <w:szCs w:val="21"/>
        </w:rPr>
        <w:t>）</w:t>
      </w:r>
      <w:r>
        <w:rPr>
          <w:spacing w:val="-6"/>
          <w:sz w:val="21"/>
          <w:szCs w:val="21"/>
        </w:rPr>
        <w:t>的情况下，出现第三章“评标</w:t>
      </w:r>
      <w:r>
        <w:rPr>
          <w:spacing w:val="-3"/>
          <w:sz w:val="21"/>
          <w:szCs w:val="21"/>
        </w:rPr>
        <w:t>办法”规定的算术性错误和投标报价的其他错误；</w:t>
      </w:r>
    </w:p>
    <w:p w14:paraId="1CEF836A">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sz w:val="21"/>
          <w:szCs w:val="21"/>
        </w:rPr>
        <w:t>施工组织设计（含关键工程技术方案）和项目管理机构不够完善；</w:t>
      </w:r>
    </w:p>
    <w:p w14:paraId="03238EF0">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396" w:firstLineChars="200"/>
        <w:jc w:val="left"/>
        <w:textAlignment w:val="auto"/>
        <w:rPr>
          <w:sz w:val="21"/>
          <w:szCs w:val="21"/>
        </w:rPr>
      </w:pPr>
      <w:r>
        <w:rPr>
          <w:rFonts w:hint="eastAsia"/>
          <w:spacing w:val="-6"/>
          <w:sz w:val="21"/>
          <w:szCs w:val="21"/>
          <w:lang w:eastAsia="zh-CN"/>
        </w:rPr>
        <w:t>（</w:t>
      </w:r>
      <w:r>
        <w:rPr>
          <w:rFonts w:hint="eastAsia"/>
          <w:spacing w:val="-6"/>
          <w:sz w:val="21"/>
          <w:szCs w:val="21"/>
          <w:lang w:val="en-US" w:eastAsia="zh-CN"/>
        </w:rPr>
        <w:t>3</w:t>
      </w:r>
      <w:r>
        <w:rPr>
          <w:rFonts w:hint="eastAsia"/>
          <w:spacing w:val="-6"/>
          <w:sz w:val="21"/>
          <w:szCs w:val="21"/>
          <w:lang w:eastAsia="zh-CN"/>
        </w:rPr>
        <w:t>）</w:t>
      </w:r>
      <w:r>
        <w:rPr>
          <w:spacing w:val="-6"/>
          <w:sz w:val="21"/>
          <w:szCs w:val="21"/>
        </w:rPr>
        <w:t>投标文件页码不连续、采用活页夹装订、个别文字有遗漏错误等不影响投</w:t>
      </w:r>
      <w:r>
        <w:rPr>
          <w:spacing w:val="-4"/>
          <w:sz w:val="21"/>
          <w:szCs w:val="21"/>
        </w:rPr>
        <w:t>标文件实质性内容的偏差。</w:t>
      </w:r>
    </w:p>
    <w:p w14:paraId="2B2DAFC7">
      <w:pPr>
        <w:pStyle w:val="41"/>
        <w:keepNext w:val="0"/>
        <w:keepLines w:val="0"/>
        <w:pageBreakBefore w:val="0"/>
        <w:numPr>
          <w:ilvl w:val="2"/>
          <w:numId w:val="0"/>
        </w:numPr>
        <w:tabs>
          <w:tab w:val="left" w:pos="157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sz w:val="21"/>
          <w:szCs w:val="21"/>
        </w:rPr>
      </w:pPr>
      <w:r>
        <w:rPr>
          <w:rFonts w:hint="default" w:ascii="Times New Roman" w:hAnsi="Times New Roman" w:eastAsia="Times New Roman" w:cs="Times New Roman"/>
          <w:w w:val="100"/>
          <w:sz w:val="21"/>
          <w:szCs w:val="21"/>
          <w:lang w:val="zh-CN" w:eastAsia="zh-CN" w:bidi="zh-CN"/>
        </w:rPr>
        <w:t>1.11.4</w:t>
      </w:r>
      <w:r>
        <w:rPr>
          <w:rFonts w:hint="eastAsia" w:asciiTheme="minorEastAsia" w:hAnsiTheme="minorEastAsia" w:eastAsiaTheme="minorEastAsia" w:cstheme="minorEastAsia"/>
          <w:sz w:val="21"/>
          <w:szCs w:val="21"/>
        </w:rPr>
        <w:t>评标委员会对投标文件中的细微偏差按如下规定处理：</w:t>
      </w:r>
    </w:p>
    <w:p w14:paraId="3BB5B873">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388"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 xml:space="preserve">对于本章第 </w:t>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z w:val="21"/>
          <w:szCs w:val="21"/>
        </w:rPr>
        <w:t>项（1）</w:t>
      </w:r>
      <w:r>
        <w:rPr>
          <w:rFonts w:hint="eastAsia" w:asciiTheme="minorEastAsia" w:hAnsiTheme="minorEastAsia" w:eastAsiaTheme="minorEastAsia" w:cstheme="minorEastAsia"/>
          <w:spacing w:val="-1"/>
          <w:sz w:val="21"/>
          <w:szCs w:val="21"/>
        </w:rPr>
        <w:t>目所述的细微偏差，按照第三章“评标办法”的</w:t>
      </w:r>
      <w:r>
        <w:rPr>
          <w:rFonts w:hint="eastAsia" w:asciiTheme="minorEastAsia" w:hAnsiTheme="minorEastAsia" w:eastAsiaTheme="minorEastAsia" w:cstheme="minorEastAsia"/>
          <w:sz w:val="21"/>
          <w:szCs w:val="21"/>
        </w:rPr>
        <w:t>规定予以修正并要求投标人进行澄清；</w:t>
      </w:r>
      <w:r>
        <w:rPr>
          <w:rFonts w:hint="eastAsia" w:asciiTheme="minorEastAsia" w:hAnsiTheme="minorEastAsia" w:eastAsiaTheme="minorEastAsia" w:cstheme="minorEastAsia"/>
          <w:spacing w:val="-8"/>
          <w:sz w:val="21"/>
          <w:szCs w:val="21"/>
        </w:rPr>
        <w:t xml:space="preserve">对于本章第 </w:t>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z w:val="21"/>
          <w:szCs w:val="21"/>
        </w:rPr>
        <w:t>项（2）</w:t>
      </w:r>
      <w:r>
        <w:rPr>
          <w:rFonts w:hint="eastAsia" w:asciiTheme="minorEastAsia" w:hAnsiTheme="minorEastAsia" w:eastAsiaTheme="minorEastAsia" w:cstheme="minorEastAsia"/>
          <w:spacing w:val="-1"/>
          <w:sz w:val="21"/>
          <w:szCs w:val="21"/>
        </w:rPr>
        <w:t>目所述的细微偏差，如果采用合理低价法或经评</w:t>
      </w:r>
      <w:r>
        <w:rPr>
          <w:rFonts w:hint="eastAsia" w:asciiTheme="minorEastAsia" w:hAnsiTheme="minorEastAsia" w:eastAsiaTheme="minorEastAsia" w:cstheme="minorEastAsia"/>
          <w:spacing w:val="-8"/>
          <w:sz w:val="21"/>
          <w:szCs w:val="21"/>
        </w:rPr>
        <w:t>审的最低投标价法评标，应要求投标人对细微偏差进行澄清，只有投标人的澄清文件</w:t>
      </w:r>
      <w:r>
        <w:rPr>
          <w:rFonts w:hint="eastAsia" w:asciiTheme="minorEastAsia" w:hAnsiTheme="minorEastAsia" w:eastAsiaTheme="minorEastAsia" w:cstheme="minorEastAsia"/>
          <w:spacing w:val="-9"/>
          <w:sz w:val="21"/>
          <w:szCs w:val="21"/>
        </w:rPr>
        <w:t>被评标委员会接受，投标人才能参加评标价的最终评比。如果采用技术评分最低标价</w:t>
      </w:r>
      <w:r>
        <w:rPr>
          <w:rFonts w:hint="eastAsia" w:asciiTheme="minorEastAsia" w:hAnsiTheme="minorEastAsia" w:eastAsiaTheme="minorEastAsia" w:cstheme="minorEastAsia"/>
          <w:sz w:val="21"/>
          <w:szCs w:val="21"/>
        </w:rPr>
        <w:t>法或综合评分法评标，可在相关评分因素的评分中酌情扣分；</w:t>
      </w:r>
    </w:p>
    <w:p w14:paraId="651F7633">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388"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2</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 xml:space="preserve">对于本章第 </w:t>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z w:val="21"/>
          <w:szCs w:val="21"/>
        </w:rPr>
        <w:t>项（3）</w:t>
      </w:r>
      <w:r>
        <w:rPr>
          <w:rFonts w:hint="eastAsia" w:asciiTheme="minorEastAsia" w:hAnsiTheme="minorEastAsia" w:eastAsiaTheme="minorEastAsia" w:cstheme="minorEastAsia"/>
          <w:spacing w:val="-1"/>
          <w:sz w:val="21"/>
          <w:szCs w:val="21"/>
        </w:rPr>
        <w:t>目所述的细微偏差，可要求投标人对细微偏差进</w:t>
      </w:r>
      <w:r>
        <w:rPr>
          <w:rFonts w:hint="eastAsia" w:asciiTheme="minorEastAsia" w:hAnsiTheme="minorEastAsia" w:eastAsiaTheme="minorEastAsia" w:cstheme="minorEastAsia"/>
          <w:sz w:val="21"/>
          <w:szCs w:val="21"/>
        </w:rPr>
        <w:t>行澄清。</w:t>
      </w:r>
    </w:p>
    <w:p w14:paraId="71895CD8">
      <w:pPr>
        <w:pStyle w:val="41"/>
        <w:keepNext w:val="0"/>
        <w:keepLines w:val="0"/>
        <w:pageBreakBefore w:val="0"/>
        <w:numPr>
          <w:ilvl w:val="2"/>
          <w:numId w:val="0"/>
        </w:numPr>
        <w:tabs>
          <w:tab w:val="left" w:pos="157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heme="minorEastAsia" w:hAnsiTheme="minorEastAsia" w:eastAsiaTheme="minorEastAsia" w:cstheme="minorEastAsia"/>
          <w:sz w:val="21"/>
          <w:szCs w:val="21"/>
        </w:rPr>
      </w:pPr>
      <w:r>
        <w:rPr>
          <w:rFonts w:hint="default" w:ascii="Times New Roman" w:hAnsi="Times New Roman" w:eastAsia="Times New Roman" w:cs="Times New Roman"/>
          <w:w w:val="100"/>
          <w:sz w:val="21"/>
          <w:szCs w:val="21"/>
          <w:lang w:val="zh-CN" w:eastAsia="zh-CN" w:bidi="zh-CN"/>
        </w:rPr>
        <w:t>1.11.5</w:t>
      </w:r>
      <w:r>
        <w:rPr>
          <w:rFonts w:hint="eastAsia" w:asciiTheme="minorEastAsia" w:hAnsiTheme="minorEastAsia" w:eastAsiaTheme="minorEastAsia" w:cstheme="minorEastAsia"/>
          <w:spacing w:val="4"/>
          <w:sz w:val="21"/>
          <w:szCs w:val="21"/>
        </w:rPr>
        <w:t>投标人应根据招标文件的要求提供施工组织设计等内容以对招标文件作</w:t>
      </w:r>
      <w:r>
        <w:rPr>
          <w:rFonts w:hint="eastAsia" w:asciiTheme="minorEastAsia" w:hAnsiTheme="minorEastAsia" w:eastAsiaTheme="minorEastAsia" w:cstheme="minorEastAsia"/>
          <w:sz w:val="21"/>
          <w:szCs w:val="21"/>
        </w:rPr>
        <w:t>出响应。</w:t>
      </w:r>
    </w:p>
    <w:p w14:paraId="396CA6A7">
      <w:pPr>
        <w:keepNext w:val="0"/>
        <w:keepLines w:val="0"/>
        <w:pageBreakBefore w:val="0"/>
        <w:numPr>
          <w:ilvl w:val="0"/>
          <w:numId w:val="0"/>
        </w:numPr>
        <w:tabs>
          <w:tab w:val="left" w:pos="790"/>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65" w:name="_bookmark42"/>
      <w:bookmarkEnd w:id="65"/>
      <w:bookmarkStart w:id="66" w:name="_bookmark42"/>
      <w:bookmarkEnd w:id="66"/>
      <w:r>
        <w:rPr>
          <w:rFonts w:hint="default" w:ascii="黑体" w:hAnsi="黑体" w:eastAsia="黑体" w:cs="黑体"/>
          <w:w w:val="100"/>
          <w:sz w:val="21"/>
          <w:szCs w:val="21"/>
          <w:lang w:val="zh-CN" w:eastAsia="zh-CN" w:bidi="zh-CN"/>
        </w:rPr>
        <w:t>2.</w:t>
      </w:r>
      <w:r>
        <w:rPr>
          <w:rFonts w:hint="eastAsia" w:ascii="黑体" w:eastAsia="黑体"/>
          <w:sz w:val="21"/>
          <w:szCs w:val="21"/>
        </w:rPr>
        <w:t>招标文件</w:t>
      </w:r>
    </w:p>
    <w:p w14:paraId="4B196CED">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ascii="黑体"/>
          <w:sz w:val="21"/>
          <w:szCs w:val="21"/>
        </w:rPr>
      </w:pPr>
      <w:bookmarkStart w:id="67" w:name="_bookmark43"/>
      <w:bookmarkEnd w:id="67"/>
      <w:bookmarkStart w:id="68" w:name="_bookmark43"/>
      <w:bookmarkEnd w:id="68"/>
      <w:r>
        <w:rPr>
          <w:rFonts w:hint="default" w:ascii="黑体" w:hAnsi="宋体" w:eastAsia="宋体" w:cs="宋体"/>
          <w:spacing w:val="-9"/>
          <w:w w:val="100"/>
          <w:sz w:val="21"/>
          <w:szCs w:val="21"/>
          <w:lang w:val="zh-CN" w:eastAsia="zh-CN" w:bidi="zh-CN"/>
        </w:rPr>
        <w:t>2.1</w:t>
      </w:r>
      <w:r>
        <w:rPr>
          <w:rFonts w:hint="eastAsia" w:ascii="黑体" w:eastAsia="黑体"/>
          <w:sz w:val="21"/>
          <w:szCs w:val="21"/>
        </w:rPr>
        <w:t>招标文件的组成</w:t>
      </w:r>
    </w:p>
    <w:p w14:paraId="4F06DF01">
      <w:pPr>
        <w:pStyle w:val="12"/>
        <w:keepNext w:val="0"/>
        <w:keepLines w:val="0"/>
        <w:pageBreakBefore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本招标文件包括：</w:t>
      </w:r>
    </w:p>
    <w:p w14:paraId="2C163DD2">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sz w:val="21"/>
          <w:szCs w:val="21"/>
        </w:rPr>
        <w:t>招标公告；</w:t>
      </w:r>
    </w:p>
    <w:p w14:paraId="50F8E707">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sz w:val="21"/>
          <w:szCs w:val="21"/>
        </w:rPr>
        <w:t>投标人须知；</w:t>
      </w:r>
    </w:p>
    <w:p w14:paraId="174FB6CB">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sz w:val="21"/>
          <w:szCs w:val="21"/>
        </w:rPr>
        <w:t>评标办法；</w:t>
      </w:r>
    </w:p>
    <w:p w14:paraId="1B1324DD">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sz w:val="21"/>
          <w:szCs w:val="21"/>
        </w:rPr>
        <w:t>合同条款及格式；</w:t>
      </w:r>
    </w:p>
    <w:p w14:paraId="54DFE0BC">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5</w:t>
      </w:r>
      <w:r>
        <w:rPr>
          <w:rFonts w:hint="eastAsia"/>
          <w:sz w:val="21"/>
          <w:szCs w:val="21"/>
          <w:lang w:eastAsia="zh-CN"/>
        </w:rPr>
        <w:t>）</w:t>
      </w:r>
      <w:r>
        <w:rPr>
          <w:sz w:val="21"/>
          <w:szCs w:val="21"/>
        </w:rPr>
        <w:t>工程量清单；</w:t>
      </w:r>
    </w:p>
    <w:p w14:paraId="0A9DED49">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6</w:t>
      </w:r>
      <w:r>
        <w:rPr>
          <w:rFonts w:hint="eastAsia"/>
          <w:sz w:val="21"/>
          <w:szCs w:val="21"/>
          <w:lang w:eastAsia="zh-CN"/>
        </w:rPr>
        <w:t>）</w:t>
      </w:r>
      <w:r>
        <w:rPr>
          <w:sz w:val="21"/>
          <w:szCs w:val="21"/>
        </w:rPr>
        <w:t>图纸；</w:t>
      </w:r>
    </w:p>
    <w:p w14:paraId="58B99387">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7</w:t>
      </w:r>
      <w:r>
        <w:rPr>
          <w:rFonts w:hint="eastAsia"/>
          <w:sz w:val="21"/>
          <w:szCs w:val="21"/>
          <w:lang w:eastAsia="zh-CN"/>
        </w:rPr>
        <w:t>）</w:t>
      </w:r>
      <w:r>
        <w:rPr>
          <w:sz w:val="21"/>
          <w:szCs w:val="21"/>
        </w:rPr>
        <w:t>技术规范；</w:t>
      </w:r>
    </w:p>
    <w:p w14:paraId="29CF230C">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8</w:t>
      </w:r>
      <w:r>
        <w:rPr>
          <w:rFonts w:hint="eastAsia"/>
          <w:sz w:val="21"/>
          <w:szCs w:val="21"/>
          <w:lang w:eastAsia="zh-CN"/>
        </w:rPr>
        <w:t>）</w:t>
      </w:r>
      <w:r>
        <w:rPr>
          <w:sz w:val="21"/>
          <w:szCs w:val="21"/>
        </w:rPr>
        <w:t>工程量清单计量规则；</w:t>
      </w:r>
    </w:p>
    <w:p w14:paraId="7FA99512">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9</w:t>
      </w:r>
      <w:r>
        <w:rPr>
          <w:rFonts w:hint="eastAsia"/>
          <w:sz w:val="21"/>
          <w:szCs w:val="21"/>
          <w:lang w:eastAsia="zh-CN"/>
        </w:rPr>
        <w:t>）</w:t>
      </w:r>
      <w:r>
        <w:rPr>
          <w:sz w:val="21"/>
          <w:szCs w:val="21"/>
        </w:rPr>
        <w:t>投标文件格式；</w:t>
      </w:r>
    </w:p>
    <w:p w14:paraId="21A36F8A">
      <w:pPr>
        <w:pStyle w:val="41"/>
        <w:keepNext w:val="0"/>
        <w:keepLines w:val="0"/>
        <w:pageBreakBefore w:val="0"/>
        <w:numPr>
          <w:ilvl w:val="0"/>
          <w:numId w:val="0"/>
        </w:numPr>
        <w:tabs>
          <w:tab w:val="left" w:pos="145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10</w:t>
      </w:r>
      <w:r>
        <w:rPr>
          <w:rFonts w:hint="eastAsia"/>
          <w:sz w:val="21"/>
          <w:szCs w:val="21"/>
          <w:lang w:eastAsia="zh-CN"/>
        </w:rPr>
        <w:t>）</w:t>
      </w:r>
      <w:r>
        <w:rPr>
          <w:sz w:val="21"/>
          <w:szCs w:val="21"/>
        </w:rPr>
        <w:t>投标人须知前附表规定的其他资料。</w:t>
      </w:r>
    </w:p>
    <w:p w14:paraId="380534F8">
      <w:pPr>
        <w:pStyle w:val="12"/>
        <w:keepNext w:val="0"/>
        <w:keepLines w:val="0"/>
        <w:pageBreakBefore w:val="0"/>
        <w:kinsoku/>
        <w:wordWrap/>
        <w:overflowPunct/>
        <w:topLinePunct w:val="0"/>
        <w:autoSpaceDE w:val="0"/>
        <w:autoSpaceDN w:val="0"/>
        <w:bidi w:val="0"/>
        <w:adjustRightInd/>
        <w:snapToGrid/>
        <w:spacing w:before="0" w:line="360" w:lineRule="auto"/>
        <w:ind w:left="0" w:right="0" w:firstLine="380" w:firstLineChars="200"/>
        <w:textAlignment w:val="auto"/>
        <w:rPr>
          <w:sz w:val="21"/>
          <w:szCs w:val="21"/>
        </w:rPr>
      </w:pPr>
      <w:r>
        <w:rPr>
          <w:spacing w:val="-10"/>
          <w:sz w:val="21"/>
          <w:szCs w:val="21"/>
        </w:rPr>
        <w:t xml:space="preserve">根据本章第 </w:t>
      </w:r>
      <w:r>
        <w:rPr>
          <w:rFonts w:ascii="Times New Roman" w:eastAsia="Times New Roman"/>
          <w:sz w:val="21"/>
          <w:szCs w:val="21"/>
        </w:rPr>
        <w:t xml:space="preserve">1.10 </w:t>
      </w:r>
      <w:r>
        <w:rPr>
          <w:spacing w:val="-18"/>
          <w:sz w:val="21"/>
          <w:szCs w:val="21"/>
        </w:rPr>
        <w:t xml:space="preserve">款、第 </w:t>
      </w:r>
      <w:r>
        <w:rPr>
          <w:rFonts w:ascii="Times New Roman" w:eastAsia="Times New Roman"/>
          <w:sz w:val="21"/>
          <w:szCs w:val="21"/>
        </w:rPr>
        <w:t xml:space="preserve">2.2 </w:t>
      </w:r>
      <w:r>
        <w:rPr>
          <w:spacing w:val="-15"/>
          <w:sz w:val="21"/>
          <w:szCs w:val="21"/>
        </w:rPr>
        <w:t xml:space="preserve">款和第 </w:t>
      </w:r>
      <w:r>
        <w:rPr>
          <w:rFonts w:ascii="Times New Roman" w:eastAsia="Times New Roman"/>
          <w:sz w:val="21"/>
          <w:szCs w:val="21"/>
        </w:rPr>
        <w:t xml:space="preserve">2.3 </w:t>
      </w:r>
      <w:r>
        <w:rPr>
          <w:spacing w:val="-3"/>
          <w:sz w:val="21"/>
          <w:szCs w:val="21"/>
        </w:rPr>
        <w:t>款对招标文件所作的澄清、修改，构成招</w:t>
      </w:r>
      <w:r>
        <w:rPr>
          <w:sz w:val="21"/>
          <w:szCs w:val="21"/>
        </w:rPr>
        <w:t>标文件的组成部分。</w:t>
      </w:r>
    </w:p>
    <w:p w14:paraId="4848C4A4">
      <w:pPr>
        <w:pStyle w:val="12"/>
        <w:keepNext w:val="0"/>
        <w:keepLines w:val="0"/>
        <w:pageBreakBefore w:val="0"/>
        <w:kinsoku/>
        <w:wordWrap/>
        <w:overflowPunct/>
        <w:topLinePunct w:val="0"/>
        <w:autoSpaceDE w:val="0"/>
        <w:autoSpaceDN w:val="0"/>
        <w:bidi w:val="0"/>
        <w:adjustRightInd/>
        <w:snapToGrid/>
        <w:spacing w:before="0" w:line="360" w:lineRule="auto"/>
        <w:ind w:left="0" w:right="0" w:firstLine="380" w:firstLineChars="200"/>
        <w:textAlignment w:val="auto"/>
        <w:rPr>
          <w:sz w:val="21"/>
          <w:szCs w:val="21"/>
        </w:rPr>
      </w:pPr>
      <w:r>
        <w:rPr>
          <w:spacing w:val="-10"/>
          <w:sz w:val="21"/>
          <w:szCs w:val="21"/>
        </w:rPr>
        <w:t>当招标文件、招标文件的澄清或修改等在同一内容的表述上不一致时，以最后发</w:t>
      </w:r>
      <w:r>
        <w:rPr>
          <w:sz w:val="21"/>
          <w:szCs w:val="21"/>
        </w:rPr>
        <w:t>出的书面文件为准。</w:t>
      </w:r>
    </w:p>
    <w:p w14:paraId="09D2D4B5">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69" w:name="_bookmark44"/>
      <w:bookmarkEnd w:id="69"/>
      <w:bookmarkStart w:id="70" w:name="_bookmark44"/>
      <w:bookmarkEnd w:id="70"/>
      <w:r>
        <w:rPr>
          <w:rFonts w:hint="default" w:ascii="黑体" w:hAnsi="宋体" w:eastAsia="黑体" w:cs="宋体"/>
          <w:spacing w:val="-9"/>
          <w:w w:val="100"/>
          <w:sz w:val="21"/>
          <w:szCs w:val="21"/>
          <w:lang w:val="zh-CN" w:eastAsia="zh-CN" w:bidi="zh-CN"/>
        </w:rPr>
        <w:t>2.2</w:t>
      </w:r>
      <w:r>
        <w:rPr>
          <w:rFonts w:hint="eastAsia" w:ascii="黑体" w:eastAsia="黑体"/>
          <w:sz w:val="21"/>
          <w:szCs w:val="21"/>
        </w:rPr>
        <w:t>招标文件的澄清</w:t>
      </w:r>
    </w:p>
    <w:p w14:paraId="6FA84F3B">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sz w:val="21"/>
          <w:szCs w:val="21"/>
        </w:rPr>
      </w:pPr>
      <w:r>
        <w:rPr>
          <w:rFonts w:hint="eastAsia"/>
          <w:sz w:val="21"/>
          <w:szCs w:val="21"/>
          <w:lang w:val="en-US" w:eastAsia="zh-CN"/>
        </w:rPr>
        <w:t>2.2.1</w:t>
      </w:r>
      <w:r>
        <w:rPr>
          <w:sz w:val="21"/>
          <w:szCs w:val="21"/>
        </w:rPr>
        <w:t xml:space="preserve">投标人应仔细阅读和检查招标文件的全部内容。如发现缺页或附件不全， </w:t>
      </w:r>
      <w:r>
        <w:rPr>
          <w:spacing w:val="-9"/>
          <w:sz w:val="21"/>
          <w:szCs w:val="21"/>
        </w:rPr>
        <w:t>应及时向招标人提出，以便补齐。如有疑问，应按投标人须知前附表规定的时间和形</w:t>
      </w:r>
      <w:r>
        <w:rPr>
          <w:sz w:val="21"/>
          <w:szCs w:val="21"/>
        </w:rPr>
        <w:t>式将提出的问题送达招标人，要求招标人对招标文件予以澄清。</w:t>
      </w:r>
    </w:p>
    <w:p w14:paraId="4B4DAED9">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spacing w:val="-2"/>
          <w:sz w:val="21"/>
          <w:szCs w:val="21"/>
        </w:rPr>
      </w:pPr>
      <w:r>
        <w:rPr>
          <w:rFonts w:hint="eastAsia"/>
          <w:sz w:val="21"/>
          <w:szCs w:val="21"/>
          <w:lang w:val="en-US" w:eastAsia="zh-CN"/>
        </w:rPr>
        <w:t>2.2.2</w:t>
      </w:r>
      <w:r>
        <w:rPr>
          <w:sz w:val="21"/>
          <w:szCs w:val="21"/>
        </w:rPr>
        <w:t>招标文件的澄清以投标人须知前附表规定的形式发给所有购买招标文件的</w:t>
      </w:r>
      <w:r>
        <w:rPr>
          <w:spacing w:val="-2"/>
          <w:sz w:val="21"/>
          <w:szCs w:val="21"/>
        </w:rPr>
        <w:t xml:space="preserve">投标人，但不指明澄清问题的来源。澄清发出的时间距本章第 </w:t>
      </w:r>
      <w:r>
        <w:rPr>
          <w:rFonts w:ascii="Times New Roman" w:eastAsia="Times New Roman"/>
          <w:sz w:val="21"/>
          <w:szCs w:val="21"/>
        </w:rPr>
        <w:t>4.2.1</w:t>
      </w:r>
      <w:r>
        <w:rPr>
          <w:rFonts w:ascii="Times New Roman" w:eastAsia="Times New Roman"/>
          <w:spacing w:val="14"/>
          <w:sz w:val="21"/>
          <w:szCs w:val="21"/>
        </w:rPr>
        <w:t xml:space="preserve"> </w:t>
      </w:r>
      <w:r>
        <w:rPr>
          <w:sz w:val="21"/>
          <w:szCs w:val="21"/>
        </w:rPr>
        <w:t>项规定的投标截</w:t>
      </w:r>
      <w:r>
        <w:rPr>
          <w:spacing w:val="-11"/>
          <w:sz w:val="21"/>
          <w:szCs w:val="21"/>
        </w:rPr>
        <w:t xml:space="preserve">止时间不足 </w:t>
      </w:r>
      <w:r>
        <w:rPr>
          <w:rFonts w:ascii="Times New Roman" w:eastAsia="Times New Roman"/>
          <w:sz w:val="21"/>
          <w:szCs w:val="21"/>
        </w:rPr>
        <w:t xml:space="preserve">15 </w:t>
      </w:r>
      <w:r>
        <w:rPr>
          <w:spacing w:val="-10"/>
          <w:sz w:val="21"/>
          <w:szCs w:val="21"/>
        </w:rPr>
        <w:t>日，且澄清内容可能影响投标文件编制的，将相应延长投标截止时间。</w:t>
      </w:r>
      <w:r>
        <w:rPr>
          <w:sz w:val="21"/>
          <w:szCs w:val="21"/>
        </w:rPr>
        <w:t>投标人在收到澄清后，</w:t>
      </w:r>
      <w:r>
        <w:rPr>
          <w:spacing w:val="-2"/>
          <w:sz w:val="21"/>
          <w:szCs w:val="21"/>
        </w:rPr>
        <w:t>应按投标人须知前附表规定的时间和形式通知招标人，确认已收到该澄清。</w:t>
      </w:r>
    </w:p>
    <w:p w14:paraId="5FABCE52">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16" w:firstLineChars="200"/>
        <w:jc w:val="left"/>
        <w:textAlignment w:val="auto"/>
        <w:rPr>
          <w:sz w:val="21"/>
          <w:szCs w:val="21"/>
        </w:rPr>
      </w:pPr>
      <w:r>
        <w:rPr>
          <w:rFonts w:hint="eastAsia"/>
          <w:spacing w:val="-1"/>
          <w:sz w:val="21"/>
          <w:szCs w:val="21"/>
          <w:lang w:val="en-US" w:eastAsia="zh-CN"/>
        </w:rPr>
        <w:t>2.2.3</w:t>
      </w:r>
      <w:r>
        <w:rPr>
          <w:spacing w:val="-1"/>
          <w:sz w:val="21"/>
          <w:szCs w:val="21"/>
        </w:rPr>
        <w:t>除非招标人认为确有必要答复，否则，招标人有权拒绝回复投标人在本章</w:t>
      </w:r>
      <w:r>
        <w:rPr>
          <w:spacing w:val="-30"/>
          <w:sz w:val="21"/>
          <w:szCs w:val="21"/>
        </w:rPr>
        <w:t>第</w:t>
      </w:r>
      <w:r>
        <w:rPr>
          <w:rFonts w:ascii="Times New Roman" w:eastAsia="Times New Roman"/>
          <w:sz w:val="21"/>
          <w:szCs w:val="21"/>
        </w:rPr>
        <w:t>2.2.1</w:t>
      </w:r>
      <w:r>
        <w:rPr>
          <w:rFonts w:ascii="Times New Roman" w:eastAsia="Times New Roman"/>
          <w:spacing w:val="-1"/>
          <w:sz w:val="21"/>
          <w:szCs w:val="21"/>
        </w:rPr>
        <w:t xml:space="preserve"> </w:t>
      </w:r>
      <w:r>
        <w:rPr>
          <w:sz w:val="21"/>
          <w:szCs w:val="21"/>
        </w:rPr>
        <w:t>项规定的时间后提出的任何澄清要求。</w:t>
      </w:r>
    </w:p>
    <w:p w14:paraId="7658100F">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71" w:name="_bookmark45"/>
      <w:bookmarkEnd w:id="71"/>
      <w:bookmarkStart w:id="72" w:name="_bookmark45"/>
      <w:bookmarkEnd w:id="72"/>
      <w:r>
        <w:rPr>
          <w:rFonts w:hint="default" w:ascii="黑体" w:hAnsi="宋体" w:eastAsia="黑体" w:cs="宋体"/>
          <w:spacing w:val="-9"/>
          <w:w w:val="100"/>
          <w:sz w:val="21"/>
          <w:szCs w:val="21"/>
          <w:lang w:val="zh-CN" w:eastAsia="zh-CN" w:bidi="zh-CN"/>
        </w:rPr>
        <w:t>2.3</w:t>
      </w:r>
      <w:r>
        <w:rPr>
          <w:rFonts w:hint="eastAsia" w:ascii="黑体" w:eastAsia="黑体"/>
          <w:sz w:val="21"/>
          <w:szCs w:val="21"/>
        </w:rPr>
        <w:t>招标文件的修改</w:t>
      </w:r>
    </w:p>
    <w:p w14:paraId="044FA0AD">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sz w:val="21"/>
          <w:szCs w:val="21"/>
        </w:rPr>
      </w:pPr>
      <w:r>
        <w:rPr>
          <w:rFonts w:hint="eastAsia"/>
          <w:sz w:val="21"/>
          <w:szCs w:val="21"/>
          <w:lang w:val="en-US" w:eastAsia="zh-CN"/>
        </w:rPr>
        <w:t>2.3.1</w:t>
      </w:r>
      <w:r>
        <w:rPr>
          <w:sz w:val="21"/>
          <w:szCs w:val="21"/>
        </w:rPr>
        <w:t>招标人以投标人须知前附表规定的形式修改招标文件，并通知所有已购买</w:t>
      </w:r>
      <w:r>
        <w:rPr>
          <w:spacing w:val="-2"/>
          <w:sz w:val="21"/>
          <w:szCs w:val="21"/>
        </w:rPr>
        <w:t>招标文件的投标人。修改招标文件的时间距本章第</w:t>
      </w:r>
      <w:r>
        <w:rPr>
          <w:rFonts w:hint="eastAsia" w:asciiTheme="minorEastAsia" w:hAnsiTheme="minorEastAsia" w:eastAsiaTheme="minorEastAsia" w:cstheme="minorEastAsia"/>
          <w:sz w:val="21"/>
          <w:szCs w:val="21"/>
        </w:rPr>
        <w:t>4.2.1</w:t>
      </w:r>
      <w:r>
        <w:rPr>
          <w:spacing w:val="-2"/>
          <w:sz w:val="21"/>
          <w:szCs w:val="21"/>
        </w:rPr>
        <w:t>项规定的投标截止时间不足</w:t>
      </w:r>
      <w:r>
        <w:rPr>
          <w:rFonts w:hint="eastAsia" w:asciiTheme="minorEastAsia" w:hAnsiTheme="minorEastAsia" w:eastAsiaTheme="minorEastAsia" w:cstheme="minorEastAsia"/>
          <w:sz w:val="21"/>
          <w:szCs w:val="21"/>
        </w:rPr>
        <w:t>15</w:t>
      </w:r>
      <w:r>
        <w:rPr>
          <w:sz w:val="21"/>
          <w:szCs w:val="21"/>
        </w:rPr>
        <w:t>日，且修改内容可能影响投标文件编制的，将相应延长投标截止时间。</w:t>
      </w:r>
    </w:p>
    <w:p w14:paraId="0957D477">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16" w:firstLineChars="200"/>
        <w:jc w:val="both"/>
        <w:textAlignment w:val="auto"/>
        <w:rPr>
          <w:sz w:val="21"/>
          <w:szCs w:val="21"/>
        </w:rPr>
      </w:pPr>
      <w:r>
        <w:rPr>
          <w:rFonts w:hint="eastAsia"/>
          <w:spacing w:val="-1"/>
          <w:sz w:val="21"/>
          <w:szCs w:val="21"/>
          <w:lang w:val="en-US" w:eastAsia="zh-CN"/>
        </w:rPr>
        <w:t>2.3.2</w:t>
      </w:r>
      <w:r>
        <w:rPr>
          <w:spacing w:val="-1"/>
          <w:sz w:val="21"/>
          <w:szCs w:val="21"/>
        </w:rPr>
        <w:t>投标人收到修改内容后，应按投标人须知前附表规定的时间和形式通知招</w:t>
      </w:r>
      <w:r>
        <w:rPr>
          <w:sz w:val="21"/>
          <w:szCs w:val="21"/>
        </w:rPr>
        <w:t>标人，确认已收到该修改。</w:t>
      </w:r>
    </w:p>
    <w:p w14:paraId="14F677ED">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73" w:name="_bookmark46"/>
      <w:bookmarkEnd w:id="73"/>
      <w:bookmarkStart w:id="74" w:name="_bookmark46"/>
      <w:bookmarkEnd w:id="74"/>
      <w:r>
        <w:rPr>
          <w:rFonts w:hint="default" w:ascii="黑体" w:hAnsi="宋体" w:eastAsia="黑体" w:cs="宋体"/>
          <w:spacing w:val="-9"/>
          <w:w w:val="100"/>
          <w:sz w:val="21"/>
          <w:szCs w:val="21"/>
          <w:lang w:val="zh-CN" w:eastAsia="zh-CN" w:bidi="zh-CN"/>
        </w:rPr>
        <w:t>2.4</w:t>
      </w:r>
      <w:r>
        <w:rPr>
          <w:rFonts w:hint="eastAsia" w:ascii="黑体" w:eastAsia="黑体"/>
          <w:sz w:val="21"/>
          <w:szCs w:val="21"/>
        </w:rPr>
        <w:t>招标文件的异议</w:t>
      </w:r>
    </w:p>
    <w:p w14:paraId="48F61972">
      <w:pPr>
        <w:pStyle w:val="12"/>
        <w:keepNext w:val="0"/>
        <w:keepLines w:val="0"/>
        <w:pageBreakBefore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投标人或其他利害关系人对招标文件有异议的，应在投标截止时间</w:t>
      </w:r>
      <w:r>
        <w:rPr>
          <w:rFonts w:ascii="Times New Roman" w:eastAsia="Times New Roman"/>
          <w:sz w:val="21"/>
          <w:szCs w:val="21"/>
        </w:rPr>
        <w:t>10</w:t>
      </w:r>
      <w:r>
        <w:rPr>
          <w:sz w:val="21"/>
          <w:szCs w:val="21"/>
        </w:rPr>
        <w:t>日前以书</w:t>
      </w:r>
      <w:r>
        <w:rPr>
          <w:spacing w:val="-9"/>
          <w:sz w:val="21"/>
          <w:szCs w:val="21"/>
        </w:rPr>
        <w:t>面形式提出。招标人将在收到异议之日起</w:t>
      </w:r>
      <w:r>
        <w:rPr>
          <w:rFonts w:ascii="Times New Roman" w:eastAsia="Times New Roman"/>
          <w:sz w:val="21"/>
          <w:szCs w:val="21"/>
        </w:rPr>
        <w:t>3</w:t>
      </w:r>
      <w:r>
        <w:rPr>
          <w:spacing w:val="-9"/>
          <w:sz w:val="21"/>
          <w:szCs w:val="21"/>
        </w:rPr>
        <w:t>日内作出答复；作出答复前，将暂停招标</w:t>
      </w:r>
      <w:r>
        <w:rPr>
          <w:sz w:val="21"/>
          <w:szCs w:val="21"/>
        </w:rPr>
        <w:t>投标活动。</w:t>
      </w:r>
    </w:p>
    <w:p w14:paraId="54441A12">
      <w:pPr>
        <w:keepNext w:val="0"/>
        <w:keepLines w:val="0"/>
        <w:pageBreakBefore w:val="0"/>
        <w:numPr>
          <w:ilvl w:val="0"/>
          <w:numId w:val="0"/>
        </w:numPr>
        <w:tabs>
          <w:tab w:val="left" w:pos="790"/>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75" w:name="_bookmark47"/>
      <w:bookmarkEnd w:id="75"/>
      <w:bookmarkStart w:id="76" w:name="_bookmark47"/>
      <w:bookmarkEnd w:id="76"/>
      <w:r>
        <w:rPr>
          <w:rFonts w:hint="default" w:ascii="黑体" w:hAnsi="黑体" w:eastAsia="黑体" w:cs="黑体"/>
          <w:w w:val="100"/>
          <w:sz w:val="21"/>
          <w:szCs w:val="21"/>
          <w:lang w:val="zh-CN" w:eastAsia="zh-CN" w:bidi="zh-CN"/>
        </w:rPr>
        <w:t>3.</w:t>
      </w:r>
      <w:r>
        <w:rPr>
          <w:rFonts w:hint="eastAsia" w:ascii="黑体" w:eastAsia="黑体"/>
          <w:sz w:val="21"/>
          <w:szCs w:val="21"/>
        </w:rPr>
        <w:t>投标文件</w:t>
      </w:r>
    </w:p>
    <w:p w14:paraId="4D438FB3">
      <w:pPr>
        <w:pStyle w:val="41"/>
        <w:keepNext w:val="0"/>
        <w:keepLines w:val="0"/>
        <w:pageBreakBefore w:val="0"/>
        <w:numPr>
          <w:ilvl w:val="1"/>
          <w:numId w:val="0"/>
        </w:numPr>
        <w:tabs>
          <w:tab w:val="left" w:pos="79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77" w:name="_bookmark48"/>
      <w:bookmarkEnd w:id="77"/>
      <w:bookmarkStart w:id="78" w:name="_bookmark48"/>
      <w:bookmarkEnd w:id="78"/>
      <w:r>
        <w:rPr>
          <w:rFonts w:hint="default" w:ascii="黑体" w:hAnsi="宋体" w:eastAsia="黑体" w:cs="宋体"/>
          <w:spacing w:val="-9"/>
          <w:w w:val="100"/>
          <w:sz w:val="21"/>
          <w:szCs w:val="21"/>
          <w:lang w:val="zh-CN" w:eastAsia="zh-CN" w:bidi="zh-CN"/>
        </w:rPr>
        <w:t>3.1</w:t>
      </w:r>
      <w:r>
        <w:rPr>
          <w:rFonts w:hint="eastAsia" w:ascii="黑体" w:eastAsia="黑体"/>
          <w:sz w:val="21"/>
          <w:szCs w:val="21"/>
        </w:rPr>
        <w:t>投标文件的组成</w:t>
      </w:r>
    </w:p>
    <w:p w14:paraId="430D4B20">
      <w:pPr>
        <w:pStyle w:val="12"/>
        <w:keepNext w:val="0"/>
        <w:keepLines w:val="0"/>
        <w:pageBreakBefore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根据投标人须知前附表规定的不同形式，投标文件的组成应满足相应条款要求。若采用双信封形式，第</w:t>
      </w:r>
      <w:r>
        <w:rPr>
          <w:rFonts w:ascii="Times New Roman" w:eastAsia="Times New Roman"/>
          <w:sz w:val="21"/>
          <w:szCs w:val="21"/>
        </w:rPr>
        <w:t xml:space="preserve">3.1.1 </w:t>
      </w:r>
      <w:r>
        <w:rPr>
          <w:sz w:val="21"/>
          <w:szCs w:val="21"/>
        </w:rPr>
        <w:t>项采用以下条款：</w:t>
      </w:r>
    </w:p>
    <w:p w14:paraId="45586BA4">
      <w:pPr>
        <w:pStyle w:val="41"/>
        <w:keepNext w:val="0"/>
        <w:keepLines w:val="0"/>
        <w:pageBreakBefore w:val="0"/>
        <w:numPr>
          <w:ilvl w:val="0"/>
          <w:numId w:val="0"/>
        </w:numPr>
        <w:tabs>
          <w:tab w:val="left" w:pos="1450"/>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ascii="宋体" w:hAnsi="宋体" w:eastAsia="宋体" w:cs="宋体"/>
          <w:sz w:val="21"/>
          <w:szCs w:val="21"/>
        </w:rPr>
      </w:pPr>
      <w:r>
        <w:rPr>
          <w:rFonts w:hint="eastAsia" w:ascii="宋体" w:hAnsi="宋体" w:eastAsia="宋体" w:cs="宋体"/>
          <w:spacing w:val="-2"/>
          <w:sz w:val="21"/>
          <w:szCs w:val="21"/>
          <w:lang w:val="en-US" w:eastAsia="zh-CN"/>
        </w:rPr>
        <w:t>3.1.1</w:t>
      </w:r>
      <w:r>
        <w:rPr>
          <w:rFonts w:hint="eastAsia" w:ascii="宋体" w:hAnsi="宋体" w:eastAsia="宋体" w:cs="宋体"/>
          <w:spacing w:val="-2"/>
          <w:sz w:val="21"/>
          <w:szCs w:val="21"/>
        </w:rPr>
        <w:t>投标文件应包括下列内容：</w:t>
      </w:r>
      <w:r>
        <w:rPr>
          <w:rFonts w:hint="eastAsia" w:ascii="宋体" w:hAnsi="宋体" w:eastAsia="宋体" w:cs="宋体"/>
          <w:sz w:val="21"/>
          <w:szCs w:val="21"/>
        </w:rPr>
        <w:t>第一个信封（商务及技术文件</w:t>
      </w:r>
      <w:r>
        <w:rPr>
          <w:rFonts w:hint="eastAsia" w:ascii="宋体" w:hAnsi="宋体" w:eastAsia="宋体" w:cs="宋体"/>
          <w:spacing w:val="-129"/>
          <w:sz w:val="21"/>
          <w:szCs w:val="21"/>
        </w:rPr>
        <w:t>）</w:t>
      </w:r>
      <w:r>
        <w:rPr>
          <w:rFonts w:hint="eastAsia" w:ascii="宋体" w:hAnsi="宋体" w:eastAsia="宋体" w:cs="宋体"/>
          <w:spacing w:val="-9"/>
          <w:sz w:val="21"/>
          <w:szCs w:val="21"/>
        </w:rPr>
        <w:t>：</w:t>
      </w:r>
    </w:p>
    <w:p w14:paraId="77ED30A9">
      <w:pPr>
        <w:pStyle w:val="41"/>
        <w:keepNext w:val="0"/>
        <w:keepLines w:val="0"/>
        <w:pageBreakBefore w:val="0"/>
        <w:widowControl w:val="0"/>
        <w:numPr>
          <w:ilvl w:val="0"/>
          <w:numId w:val="2"/>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投标函及投标函附录；</w:t>
      </w:r>
    </w:p>
    <w:p w14:paraId="27824184">
      <w:pPr>
        <w:pStyle w:val="41"/>
        <w:keepNext w:val="0"/>
        <w:keepLines w:val="0"/>
        <w:pageBreakBefore w:val="0"/>
        <w:widowControl w:val="0"/>
        <w:numPr>
          <w:ilvl w:val="0"/>
          <w:numId w:val="2"/>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授权委托书或法定代表人身份证明；</w:t>
      </w:r>
    </w:p>
    <w:p w14:paraId="1283BB28">
      <w:pPr>
        <w:pStyle w:val="41"/>
        <w:keepNext w:val="0"/>
        <w:keepLines w:val="0"/>
        <w:pageBreakBefore w:val="0"/>
        <w:widowControl w:val="0"/>
        <w:numPr>
          <w:ilvl w:val="0"/>
          <w:numId w:val="2"/>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联合体协议书；</w:t>
      </w:r>
    </w:p>
    <w:p w14:paraId="53D76626">
      <w:pPr>
        <w:pStyle w:val="41"/>
        <w:keepNext w:val="0"/>
        <w:keepLines w:val="0"/>
        <w:pageBreakBefore w:val="0"/>
        <w:widowControl w:val="0"/>
        <w:numPr>
          <w:ilvl w:val="0"/>
          <w:numId w:val="2"/>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投标保证金；</w:t>
      </w:r>
    </w:p>
    <w:p w14:paraId="42C31FC4">
      <w:pPr>
        <w:pStyle w:val="41"/>
        <w:keepNext w:val="0"/>
        <w:keepLines w:val="0"/>
        <w:pageBreakBefore w:val="0"/>
        <w:widowControl w:val="0"/>
        <w:numPr>
          <w:ilvl w:val="0"/>
          <w:numId w:val="2"/>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施工组织设计；</w:t>
      </w:r>
    </w:p>
    <w:p w14:paraId="7DEDABA8">
      <w:pPr>
        <w:pStyle w:val="41"/>
        <w:keepNext w:val="0"/>
        <w:keepLines w:val="0"/>
        <w:pageBreakBefore w:val="0"/>
        <w:widowControl w:val="0"/>
        <w:numPr>
          <w:ilvl w:val="0"/>
          <w:numId w:val="2"/>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项目管理机构；</w:t>
      </w:r>
    </w:p>
    <w:p w14:paraId="0C42FFC2">
      <w:pPr>
        <w:pStyle w:val="41"/>
        <w:keepNext w:val="0"/>
        <w:keepLines w:val="0"/>
        <w:pageBreakBefore w:val="0"/>
        <w:widowControl w:val="0"/>
        <w:numPr>
          <w:ilvl w:val="0"/>
          <w:numId w:val="2"/>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拟分包项目情况表；</w:t>
      </w:r>
    </w:p>
    <w:p w14:paraId="0E9B68A9">
      <w:pPr>
        <w:pStyle w:val="41"/>
        <w:keepNext w:val="0"/>
        <w:keepLines w:val="0"/>
        <w:pageBreakBefore w:val="0"/>
        <w:widowControl w:val="0"/>
        <w:numPr>
          <w:ilvl w:val="0"/>
          <w:numId w:val="2"/>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资格审查资料；</w:t>
      </w:r>
    </w:p>
    <w:p w14:paraId="221D3353">
      <w:pPr>
        <w:pStyle w:val="41"/>
        <w:keepNext w:val="0"/>
        <w:keepLines w:val="0"/>
        <w:pageBreakBefore w:val="0"/>
        <w:widowControl w:val="0"/>
        <w:numPr>
          <w:ilvl w:val="0"/>
          <w:numId w:val="2"/>
        </w:numPr>
        <w:tabs>
          <w:tab w:val="left" w:pos="1331"/>
        </w:tabs>
        <w:kinsoku/>
        <w:wordWrap/>
        <w:overflowPunct/>
        <w:topLinePunct w:val="0"/>
        <w:autoSpaceDE w:val="0"/>
        <w:autoSpaceDN w:val="0"/>
        <w:bidi w:val="0"/>
        <w:adjustRightInd/>
        <w:snapToGrid/>
        <w:spacing w:before="0" w:after="0" w:line="360" w:lineRule="auto"/>
        <w:ind w:left="0" w:leftChars="0" w:right="0" w:firstLine="416" w:firstLineChars="200"/>
        <w:jc w:val="left"/>
        <w:textAlignment w:val="auto"/>
        <w:rPr>
          <w:rFonts w:hint="eastAsia" w:ascii="宋体" w:hAnsi="宋体" w:eastAsia="宋体" w:cs="宋体"/>
          <w:sz w:val="21"/>
          <w:szCs w:val="21"/>
        </w:rPr>
      </w:pPr>
      <w:r>
        <w:rPr>
          <w:rFonts w:hint="eastAsia" w:ascii="宋体" w:hAnsi="宋体" w:eastAsia="宋体" w:cs="宋体"/>
          <w:spacing w:val="-1"/>
          <w:sz w:val="21"/>
          <w:szCs w:val="21"/>
        </w:rPr>
        <w:t>投标人须知前附表规定的其他资料。</w:t>
      </w:r>
    </w:p>
    <w:p w14:paraId="5FE56F82">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sz w:val="21"/>
          <w:szCs w:val="21"/>
        </w:rPr>
        <w:t>第二个信封（报价文件</w:t>
      </w:r>
      <w:r>
        <w:rPr>
          <w:spacing w:val="-120"/>
          <w:sz w:val="21"/>
          <w:szCs w:val="21"/>
        </w:rPr>
        <w:t>）</w:t>
      </w:r>
    </w:p>
    <w:p w14:paraId="07F3024E">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val="en-US" w:eastAsia="zh-CN"/>
        </w:rPr>
        <w:t>（1）</w:t>
      </w:r>
      <w:r>
        <w:rPr>
          <w:sz w:val="21"/>
          <w:szCs w:val="21"/>
        </w:rPr>
        <w:t>调价函及调价后的工程量清单（如有</w:t>
      </w:r>
      <w:r>
        <w:rPr>
          <w:spacing w:val="-120"/>
          <w:sz w:val="21"/>
          <w:szCs w:val="21"/>
        </w:rPr>
        <w:t>）</w:t>
      </w:r>
      <w:r>
        <w:rPr>
          <w:sz w:val="21"/>
          <w:szCs w:val="21"/>
        </w:rPr>
        <w:t>；</w:t>
      </w:r>
    </w:p>
    <w:p w14:paraId="403CE07D">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sz w:val="21"/>
          <w:szCs w:val="21"/>
        </w:rPr>
        <w:t>投标函；</w:t>
      </w:r>
    </w:p>
    <w:p w14:paraId="347285DE">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3</w:t>
      </w:r>
      <w:r>
        <w:rPr>
          <w:rFonts w:hint="eastAsia"/>
          <w:sz w:val="21"/>
          <w:szCs w:val="21"/>
          <w:lang w:eastAsia="zh-CN"/>
        </w:rPr>
        <w:t>）</w:t>
      </w:r>
      <w:r>
        <w:rPr>
          <w:sz w:val="21"/>
          <w:szCs w:val="21"/>
        </w:rPr>
        <w:t>已标价工程量清单；</w:t>
      </w:r>
    </w:p>
    <w:p w14:paraId="14A429C0">
      <w:pPr>
        <w:pStyle w:val="41"/>
        <w:keepNext w:val="0"/>
        <w:keepLines w:val="0"/>
        <w:pageBreakBefore w:val="0"/>
        <w:numPr>
          <w:ilvl w:val="0"/>
          <w:numId w:val="0"/>
        </w:numPr>
        <w:tabs>
          <w:tab w:val="left" w:pos="1331"/>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sz w:val="21"/>
          <w:szCs w:val="21"/>
        </w:rPr>
        <w:t>合同用款估算表。</w:t>
      </w:r>
    </w:p>
    <w:p w14:paraId="007D32CA">
      <w:pPr>
        <w:pStyle w:val="12"/>
        <w:keepNext w:val="0"/>
        <w:keepLines w:val="0"/>
        <w:pageBreakBefore w:val="0"/>
        <w:kinsoku/>
        <w:wordWrap/>
        <w:overflowPunct/>
        <w:topLinePunct w:val="0"/>
        <w:autoSpaceDE w:val="0"/>
        <w:autoSpaceDN w:val="0"/>
        <w:bidi w:val="0"/>
        <w:adjustRightInd/>
        <w:snapToGrid/>
        <w:spacing w:before="0" w:line="360" w:lineRule="auto"/>
        <w:ind w:left="0" w:right="0" w:firstLine="404" w:firstLineChars="200"/>
        <w:textAlignment w:val="auto"/>
        <w:rPr>
          <w:sz w:val="21"/>
          <w:szCs w:val="21"/>
        </w:rPr>
      </w:pPr>
      <w:r>
        <w:rPr>
          <w:spacing w:val="-4"/>
          <w:sz w:val="21"/>
          <w:szCs w:val="21"/>
        </w:rPr>
        <w:t>投标人在评标过程中作出的符合法律法规和招标文件规定的澄清确认，构成投标</w:t>
      </w:r>
      <w:r>
        <w:rPr>
          <w:sz w:val="21"/>
          <w:szCs w:val="21"/>
        </w:rPr>
        <w:t>文件的组成部分。</w:t>
      </w:r>
    </w:p>
    <w:p w14:paraId="27E3577B">
      <w:pPr>
        <w:pStyle w:val="41"/>
        <w:keepNext w:val="0"/>
        <w:keepLines w:val="0"/>
        <w:pageBreakBefore w:val="0"/>
        <w:numPr>
          <w:ilvl w:val="1"/>
          <w:numId w:val="0"/>
        </w:numPr>
        <w:tabs>
          <w:tab w:val="left" w:pos="79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79" w:name="_bookmark49"/>
      <w:bookmarkEnd w:id="79"/>
      <w:bookmarkStart w:id="80" w:name="_bookmark49"/>
      <w:bookmarkEnd w:id="80"/>
      <w:r>
        <w:rPr>
          <w:rFonts w:hint="default" w:ascii="黑体" w:hAnsi="宋体" w:eastAsia="黑体" w:cs="宋体"/>
          <w:spacing w:val="-9"/>
          <w:w w:val="100"/>
          <w:sz w:val="21"/>
          <w:szCs w:val="21"/>
          <w:lang w:val="zh-CN" w:eastAsia="zh-CN" w:bidi="zh-CN"/>
        </w:rPr>
        <w:t>3.2</w:t>
      </w:r>
      <w:r>
        <w:rPr>
          <w:rFonts w:hint="eastAsia" w:ascii="黑体" w:eastAsia="黑体"/>
          <w:sz w:val="21"/>
          <w:szCs w:val="21"/>
        </w:rPr>
        <w:t>投标报价</w:t>
      </w:r>
    </w:p>
    <w:p w14:paraId="41272C02">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392" w:firstLineChars="200"/>
        <w:jc w:val="left"/>
        <w:textAlignment w:val="auto"/>
        <w:rPr>
          <w:sz w:val="21"/>
          <w:szCs w:val="21"/>
        </w:rPr>
      </w:pPr>
      <w:r>
        <w:rPr>
          <w:rFonts w:hint="eastAsia"/>
          <w:spacing w:val="-7"/>
          <w:sz w:val="21"/>
          <w:szCs w:val="21"/>
          <w:lang w:val="en-US" w:eastAsia="zh-CN"/>
        </w:rPr>
        <w:t>3.2.1</w:t>
      </w:r>
      <w:r>
        <w:rPr>
          <w:spacing w:val="-7"/>
          <w:sz w:val="21"/>
          <w:szCs w:val="21"/>
        </w:rPr>
        <w:t>投标报价应包括国家规定的增值税税金，除投标人须知前附表另有规定外，</w:t>
      </w:r>
      <w:r>
        <w:rPr>
          <w:spacing w:val="-6"/>
          <w:sz w:val="21"/>
          <w:szCs w:val="21"/>
        </w:rPr>
        <w:t>增值税税金按一般计税方法计算。投标人应按第九章“投标文件格式”的要求在投标函中进行报价并填写工程量清单相应表格。</w:t>
      </w:r>
    </w:p>
    <w:p w14:paraId="4ABB342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92" w:firstLineChars="200"/>
        <w:textAlignment w:val="auto"/>
        <w:rPr>
          <w:sz w:val="21"/>
          <w:szCs w:val="21"/>
        </w:rPr>
      </w:pPr>
      <w:r>
        <w:rPr>
          <w:spacing w:val="-7"/>
          <w:sz w:val="21"/>
          <w:szCs w:val="21"/>
        </w:rPr>
        <w:t>工程量清单的填写分下列两种方式。投标人应按投标人须知前附表规定的方式填</w:t>
      </w:r>
      <w:r>
        <w:rPr>
          <w:sz w:val="21"/>
          <w:szCs w:val="21"/>
        </w:rPr>
        <w:t>写工程量清单。</w:t>
      </w:r>
    </w:p>
    <w:p w14:paraId="68A1BCA5">
      <w:pPr>
        <w:pStyle w:val="41"/>
        <w:keepNext w:val="0"/>
        <w:keepLines w:val="0"/>
        <w:pageBreakBefore w:val="0"/>
        <w:widowControl w:val="0"/>
        <w:numPr>
          <w:ilvl w:val="0"/>
          <w:numId w:val="3"/>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sz w:val="21"/>
          <w:szCs w:val="21"/>
        </w:rPr>
      </w:pPr>
      <w:r>
        <w:rPr>
          <w:sz w:val="21"/>
          <w:szCs w:val="21"/>
        </w:rPr>
        <w:t>本项目招标采用工程量固化清单，招标人在出售招标文件的同时向投标人提供工程量固化清单电子文件（光盘或U盘），或将工程量固化清单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68D4E7F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00" w:firstLineChars="200"/>
        <w:jc w:val="both"/>
        <w:textAlignment w:val="auto"/>
        <w:rPr>
          <w:sz w:val="21"/>
          <w:szCs w:val="21"/>
        </w:rPr>
      </w:pPr>
      <w:r>
        <w:rPr>
          <w:spacing w:val="-5"/>
          <w:sz w:val="21"/>
          <w:szCs w:val="21"/>
        </w:rPr>
        <w:t>投标人必须严格遵循工程量固化清单电子文件中的数据、格式及运算定义，并将</w:t>
      </w:r>
      <w:r>
        <w:rPr>
          <w:sz w:val="21"/>
          <w:szCs w:val="21"/>
        </w:rPr>
        <w:t>已填写完毕的投标工程量清单电子文件单独拷入招标人提供的光盘（</w:t>
      </w:r>
      <w:r>
        <w:rPr>
          <w:spacing w:val="-6"/>
          <w:sz w:val="21"/>
          <w:szCs w:val="21"/>
        </w:rPr>
        <w:t xml:space="preserve">或 </w:t>
      </w:r>
      <w:r>
        <w:rPr>
          <w:rFonts w:ascii="Times New Roman" w:eastAsia="Times New Roman"/>
          <w:sz w:val="21"/>
          <w:szCs w:val="21"/>
        </w:rPr>
        <w:t xml:space="preserve">U </w:t>
      </w:r>
      <w:r>
        <w:rPr>
          <w:sz w:val="21"/>
          <w:szCs w:val="21"/>
        </w:rPr>
        <w:t>盘）</w:t>
      </w:r>
      <w:r>
        <w:rPr>
          <w:spacing w:val="-8"/>
          <w:sz w:val="21"/>
          <w:szCs w:val="21"/>
        </w:rPr>
        <w:t>中密</w:t>
      </w:r>
      <w:r>
        <w:rPr>
          <w:spacing w:val="-7"/>
          <w:sz w:val="21"/>
          <w:szCs w:val="21"/>
        </w:rPr>
        <w:t>封在投标文件内一并交回。严禁投标人修改工程量固化清单电子文件中的数据、格式</w:t>
      </w:r>
      <w:r>
        <w:rPr>
          <w:sz w:val="21"/>
          <w:szCs w:val="21"/>
        </w:rPr>
        <w:t>及运算定义。</w:t>
      </w:r>
    </w:p>
    <w:p w14:paraId="135FAC5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4" w:firstLineChars="200"/>
        <w:jc w:val="both"/>
        <w:textAlignment w:val="auto"/>
        <w:rPr>
          <w:sz w:val="21"/>
          <w:szCs w:val="21"/>
        </w:rPr>
      </w:pPr>
      <w:r>
        <w:rPr>
          <w:spacing w:val="1"/>
          <w:sz w:val="21"/>
          <w:szCs w:val="21"/>
        </w:rPr>
        <w:t>投标人根据招标人提供的工程量固化清单电子文件填报完成并打印的投标工程</w:t>
      </w:r>
      <w:r>
        <w:rPr>
          <w:spacing w:val="-4"/>
          <w:sz w:val="21"/>
          <w:szCs w:val="21"/>
        </w:rPr>
        <w:t>量清单中的投标报价和投标函大写金额报价应一致，如果报价金额出现差异，其投标将被否决。</w:t>
      </w:r>
    </w:p>
    <w:p w14:paraId="2D216CB0">
      <w:pPr>
        <w:pStyle w:val="41"/>
        <w:keepNext w:val="0"/>
        <w:keepLines w:val="0"/>
        <w:pageBreakBefore w:val="0"/>
        <w:widowControl w:val="0"/>
        <w:numPr>
          <w:ilvl w:val="0"/>
          <w:numId w:val="3"/>
        </w:numPr>
        <w:tabs>
          <w:tab w:val="left" w:pos="1331"/>
        </w:tabs>
        <w:kinsoku/>
        <w:wordWrap/>
        <w:overflowPunct/>
        <w:topLinePunct w:val="0"/>
        <w:autoSpaceDE w:val="0"/>
        <w:autoSpaceDN w:val="0"/>
        <w:bidi w:val="0"/>
        <w:adjustRightInd/>
        <w:snapToGrid/>
        <w:spacing w:before="0" w:after="0" w:line="360" w:lineRule="auto"/>
        <w:ind w:left="0" w:leftChars="0" w:right="0" w:firstLine="408" w:firstLineChars="200"/>
        <w:jc w:val="both"/>
        <w:textAlignment w:val="auto"/>
        <w:rPr>
          <w:sz w:val="21"/>
          <w:szCs w:val="21"/>
        </w:rPr>
      </w:pPr>
      <w:r>
        <w:rPr>
          <w:spacing w:val="-3"/>
          <w:sz w:val="21"/>
          <w:szCs w:val="21"/>
        </w:rPr>
        <w:t>本项目招标由招标人提供书面工程量清单，由投标人按照招标人提供的工</w:t>
      </w:r>
      <w:r>
        <w:rPr>
          <w:spacing w:val="-8"/>
          <w:sz w:val="21"/>
          <w:szCs w:val="21"/>
        </w:rPr>
        <w:t>程量清单填写本合同各工程子目的单价、合价和总额价。评标委员会将按照第三章“</w:t>
      </w:r>
      <w:r>
        <w:rPr>
          <w:spacing w:val="-4"/>
          <w:sz w:val="21"/>
          <w:szCs w:val="21"/>
        </w:rPr>
        <w:t>评标办法”的规定对投标价进行算术性错误修正及其他错误修正。</w:t>
      </w:r>
    </w:p>
    <w:p w14:paraId="4E887E43">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sz w:val="21"/>
          <w:szCs w:val="21"/>
        </w:rPr>
      </w:pPr>
      <w:r>
        <w:rPr>
          <w:rFonts w:hint="eastAsia"/>
          <w:sz w:val="21"/>
          <w:szCs w:val="21"/>
          <w:lang w:val="en-US" w:eastAsia="zh-CN"/>
        </w:rPr>
        <w:t>3.2.2</w:t>
      </w:r>
      <w:r>
        <w:rPr>
          <w:sz w:val="21"/>
          <w:szCs w:val="21"/>
        </w:rPr>
        <w:t>投标人应充分了解本项目的总体情况以及影响投标报价的其他要素。</w:t>
      </w:r>
    </w:p>
    <w:p w14:paraId="69022044">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16" w:firstLineChars="200"/>
        <w:jc w:val="both"/>
        <w:textAlignment w:val="auto"/>
        <w:rPr>
          <w:sz w:val="21"/>
          <w:szCs w:val="21"/>
        </w:rPr>
      </w:pPr>
      <w:r>
        <w:rPr>
          <w:rFonts w:hint="eastAsia"/>
          <w:spacing w:val="-1"/>
          <w:sz w:val="21"/>
          <w:szCs w:val="21"/>
          <w:lang w:val="en-US" w:eastAsia="zh-CN"/>
        </w:rPr>
        <w:t>3.2.3</w:t>
      </w:r>
      <w:r>
        <w:rPr>
          <w:spacing w:val="-1"/>
          <w:sz w:val="21"/>
          <w:szCs w:val="21"/>
        </w:rPr>
        <w:t>本项目的报价方式见投标人须知前附表。投标人在投标截止时间前修改投</w:t>
      </w:r>
      <w:r>
        <w:rPr>
          <w:spacing w:val="-4"/>
          <w:sz w:val="21"/>
          <w:szCs w:val="21"/>
        </w:rPr>
        <w:t>标函中的投标总报价，应同时修改投标文件</w:t>
      </w:r>
      <w:r>
        <w:rPr>
          <w:rFonts w:ascii="Times New Roman" w:hAnsi="Times New Roman" w:eastAsia="Times New Roman"/>
          <w:sz w:val="21"/>
          <w:szCs w:val="21"/>
        </w:rPr>
        <w:t>“</w:t>
      </w:r>
      <w:r>
        <w:rPr>
          <w:sz w:val="21"/>
          <w:szCs w:val="21"/>
        </w:rPr>
        <w:t>已标价工程量清单</w:t>
      </w:r>
      <w:r>
        <w:rPr>
          <w:rFonts w:ascii="Times New Roman" w:hAnsi="Times New Roman" w:eastAsia="Times New Roman"/>
          <w:sz w:val="21"/>
          <w:szCs w:val="21"/>
        </w:rPr>
        <w:t>”</w:t>
      </w:r>
      <w:r>
        <w:rPr>
          <w:spacing w:val="-7"/>
          <w:sz w:val="21"/>
          <w:szCs w:val="21"/>
        </w:rPr>
        <w:t>中的相应报价。此修</w:t>
      </w:r>
      <w:r>
        <w:rPr>
          <w:spacing w:val="-8"/>
          <w:sz w:val="21"/>
          <w:szCs w:val="21"/>
        </w:rPr>
        <w:t xml:space="preserve">改须符合本章第 </w:t>
      </w:r>
      <w:r>
        <w:rPr>
          <w:rFonts w:ascii="Times New Roman" w:hAnsi="Times New Roman" w:eastAsia="Times New Roman"/>
          <w:sz w:val="21"/>
          <w:szCs w:val="21"/>
        </w:rPr>
        <w:t xml:space="preserve">4.3 </w:t>
      </w:r>
      <w:r>
        <w:rPr>
          <w:sz w:val="21"/>
          <w:szCs w:val="21"/>
        </w:rPr>
        <w:t>款的有关要求。</w:t>
      </w:r>
    </w:p>
    <w:p w14:paraId="50411068">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16" w:firstLineChars="200"/>
        <w:jc w:val="both"/>
        <w:textAlignment w:val="auto"/>
        <w:rPr>
          <w:sz w:val="21"/>
          <w:szCs w:val="21"/>
        </w:rPr>
      </w:pPr>
      <w:r>
        <w:rPr>
          <w:rFonts w:hint="eastAsia"/>
          <w:spacing w:val="-1"/>
          <w:sz w:val="21"/>
          <w:szCs w:val="21"/>
          <w:lang w:val="en-US" w:eastAsia="zh-CN"/>
        </w:rPr>
        <w:t>3.2.4</w:t>
      </w:r>
      <w:r>
        <w:rPr>
          <w:spacing w:val="-1"/>
          <w:sz w:val="21"/>
          <w:szCs w:val="21"/>
        </w:rPr>
        <w:t>投标人如果发现工程量清单中的数量与图纸中数量不一致时，应立即通知</w:t>
      </w:r>
      <w:r>
        <w:rPr>
          <w:spacing w:val="-10"/>
          <w:sz w:val="21"/>
          <w:szCs w:val="21"/>
        </w:rPr>
        <w:t>招标人核查，除非招标人以书面方式予以更正，否则，应以工程量清单中列出的数量</w:t>
      </w:r>
      <w:r>
        <w:rPr>
          <w:sz w:val="21"/>
          <w:szCs w:val="21"/>
        </w:rPr>
        <w:t>为准。</w:t>
      </w:r>
    </w:p>
    <w:p w14:paraId="077496A7">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364" w:firstLineChars="200"/>
        <w:jc w:val="both"/>
        <w:textAlignment w:val="auto"/>
        <w:rPr>
          <w:sz w:val="21"/>
          <w:szCs w:val="21"/>
        </w:rPr>
      </w:pPr>
      <w:r>
        <w:rPr>
          <w:rFonts w:hint="eastAsia"/>
          <w:spacing w:val="-14"/>
          <w:sz w:val="21"/>
          <w:szCs w:val="21"/>
          <w:lang w:val="en-US" w:eastAsia="zh-CN"/>
        </w:rPr>
        <w:t>3.2.5</w:t>
      </w:r>
      <w:r>
        <w:rPr>
          <w:spacing w:val="-14"/>
          <w:sz w:val="21"/>
          <w:szCs w:val="21"/>
        </w:rPr>
        <w:t>投标人应根据《公路水运工程安全生产监督管理办法》，在投标总价中计入</w:t>
      </w:r>
      <w:r>
        <w:rPr>
          <w:spacing w:val="-2"/>
          <w:sz w:val="21"/>
          <w:szCs w:val="21"/>
        </w:rPr>
        <w:t xml:space="preserve">安全生产费用，安全生产费用应符合合同条款第 </w:t>
      </w:r>
      <w:r>
        <w:rPr>
          <w:rFonts w:ascii="Times New Roman" w:eastAsia="Times New Roman"/>
          <w:sz w:val="21"/>
          <w:szCs w:val="21"/>
        </w:rPr>
        <w:t>9.2.5</w:t>
      </w:r>
      <w:r>
        <w:rPr>
          <w:rFonts w:ascii="Times New Roman" w:eastAsia="Times New Roman"/>
          <w:spacing w:val="29"/>
          <w:sz w:val="21"/>
          <w:szCs w:val="21"/>
        </w:rPr>
        <w:t xml:space="preserve"> </w:t>
      </w:r>
      <w:r>
        <w:rPr>
          <w:spacing w:val="-3"/>
          <w:sz w:val="21"/>
          <w:szCs w:val="21"/>
        </w:rPr>
        <w:t>项的规定。工程量清单第</w:t>
      </w:r>
      <w:r>
        <w:rPr>
          <w:rFonts w:ascii="Times New Roman" w:eastAsia="Times New Roman"/>
          <w:spacing w:val="-5"/>
          <w:sz w:val="21"/>
          <w:szCs w:val="21"/>
        </w:rPr>
        <w:t>100</w:t>
      </w:r>
      <w:r>
        <w:rPr>
          <w:sz w:val="21"/>
          <w:szCs w:val="21"/>
        </w:rPr>
        <w:t>章内列有上述安全生产费的支付子目，由投标人按招标文件的规定填写总额价。</w:t>
      </w:r>
    </w:p>
    <w:p w14:paraId="74E5BCC0">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sz w:val="21"/>
          <w:szCs w:val="21"/>
        </w:rPr>
      </w:pPr>
      <w:r>
        <w:rPr>
          <w:rFonts w:hint="eastAsia"/>
          <w:sz w:val="21"/>
          <w:szCs w:val="21"/>
          <w:lang w:val="en-US" w:eastAsia="zh-CN"/>
        </w:rPr>
        <w:t>3.2.6</w:t>
      </w:r>
      <w:r>
        <w:rPr>
          <w:sz w:val="21"/>
          <w:szCs w:val="21"/>
        </w:rPr>
        <w:t>除投标人须知前附表另有规定外，招标人不接受调价函。若招标人接受调</w:t>
      </w:r>
      <w:r>
        <w:rPr>
          <w:spacing w:val="-1"/>
          <w:sz w:val="21"/>
          <w:szCs w:val="21"/>
        </w:rPr>
        <w:t>价函，则应在招标文件中给出调价函的格式。投标人若有调价函则应遵循如下规定：</w:t>
      </w:r>
    </w:p>
    <w:p w14:paraId="7074FB0C">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408" w:firstLineChars="200"/>
        <w:jc w:val="left"/>
        <w:textAlignment w:val="auto"/>
        <w:rPr>
          <w:sz w:val="21"/>
          <w:szCs w:val="21"/>
        </w:rPr>
      </w:pPr>
      <w:r>
        <w:rPr>
          <w:rFonts w:hint="eastAsia"/>
          <w:spacing w:val="-3"/>
          <w:sz w:val="21"/>
          <w:szCs w:val="21"/>
          <w:lang w:eastAsia="zh-CN"/>
        </w:rPr>
        <w:t>（</w:t>
      </w:r>
      <w:r>
        <w:rPr>
          <w:rFonts w:hint="eastAsia"/>
          <w:spacing w:val="-3"/>
          <w:sz w:val="21"/>
          <w:szCs w:val="21"/>
          <w:lang w:val="en-US" w:eastAsia="zh-CN"/>
        </w:rPr>
        <w:t>1</w:t>
      </w:r>
      <w:r>
        <w:rPr>
          <w:rFonts w:hint="eastAsia"/>
          <w:spacing w:val="-3"/>
          <w:sz w:val="21"/>
          <w:szCs w:val="21"/>
          <w:lang w:eastAsia="zh-CN"/>
        </w:rPr>
        <w:t>）</w:t>
      </w:r>
      <w:r>
        <w:rPr>
          <w:spacing w:val="-3"/>
          <w:sz w:val="21"/>
          <w:szCs w:val="21"/>
        </w:rPr>
        <w:t>调价函必须采用招标文件规定的格式；调价函应说明调价后的最终报价，</w:t>
      </w:r>
      <w:r>
        <w:rPr>
          <w:spacing w:val="-4"/>
          <w:sz w:val="21"/>
          <w:szCs w:val="21"/>
        </w:rPr>
        <w:t>并以最终报价为准，而且投标人只能有一次调价的机会；</w:t>
      </w:r>
    </w:p>
    <w:p w14:paraId="6F6BB05B">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2</w:t>
      </w:r>
      <w:r>
        <w:rPr>
          <w:rFonts w:hint="eastAsia"/>
          <w:sz w:val="21"/>
          <w:szCs w:val="21"/>
          <w:lang w:eastAsia="zh-CN"/>
        </w:rPr>
        <w:t>）</w:t>
      </w:r>
      <w:r>
        <w:rPr>
          <w:sz w:val="21"/>
          <w:szCs w:val="21"/>
        </w:rPr>
        <w:t>工程量清单中招标人指定的报价不允许调价；</w:t>
      </w:r>
    </w:p>
    <w:p w14:paraId="23A0E315">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408" w:firstLineChars="200"/>
        <w:jc w:val="left"/>
        <w:textAlignment w:val="auto"/>
        <w:rPr>
          <w:rFonts w:ascii="宋体" w:hAnsi="宋体" w:eastAsia="宋体" w:cs="宋体"/>
          <w:spacing w:val="-6"/>
          <w:sz w:val="21"/>
          <w:szCs w:val="21"/>
          <w:lang w:val="zh-CN" w:eastAsia="zh-CN" w:bidi="zh-CN"/>
        </w:rPr>
      </w:pPr>
      <w:r>
        <w:rPr>
          <w:rFonts w:hint="eastAsia"/>
          <w:spacing w:val="-3"/>
          <w:sz w:val="21"/>
          <w:szCs w:val="21"/>
          <w:lang w:eastAsia="zh-CN"/>
        </w:rPr>
        <w:t>（</w:t>
      </w:r>
      <w:r>
        <w:rPr>
          <w:rFonts w:hint="eastAsia"/>
          <w:spacing w:val="-3"/>
          <w:sz w:val="21"/>
          <w:szCs w:val="21"/>
          <w:lang w:val="en-US" w:eastAsia="zh-CN"/>
        </w:rPr>
        <w:t>3</w:t>
      </w:r>
      <w:r>
        <w:rPr>
          <w:rFonts w:hint="eastAsia"/>
          <w:spacing w:val="-3"/>
          <w:sz w:val="21"/>
          <w:szCs w:val="21"/>
          <w:lang w:eastAsia="zh-CN"/>
        </w:rPr>
        <w:t>）</w:t>
      </w:r>
      <w:r>
        <w:rPr>
          <w:spacing w:val="-3"/>
          <w:sz w:val="21"/>
          <w:szCs w:val="21"/>
        </w:rPr>
        <w:t>调价函必须附有调价后的工程量清单；调价函必须粘贴或机械装订在投</w:t>
      </w:r>
      <w:r>
        <w:rPr>
          <w:rFonts w:ascii="宋体" w:hAnsi="宋体" w:eastAsia="宋体" w:cs="宋体"/>
          <w:spacing w:val="-6"/>
          <w:sz w:val="21"/>
          <w:szCs w:val="21"/>
          <w:lang w:val="zh-CN" w:eastAsia="zh-CN" w:bidi="zh-CN"/>
        </w:rPr>
        <w:t>标文件正本首页，与投标文件一起密封提交。</w:t>
      </w:r>
    </w:p>
    <w:p w14:paraId="0B7F435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96" w:firstLineChars="200"/>
        <w:jc w:val="both"/>
        <w:textAlignment w:val="auto"/>
        <w:rPr>
          <w:sz w:val="21"/>
          <w:szCs w:val="21"/>
        </w:rPr>
      </w:pPr>
      <w:r>
        <w:rPr>
          <w:spacing w:val="-6"/>
          <w:sz w:val="21"/>
          <w:szCs w:val="21"/>
        </w:rPr>
        <w:t>若投标人未提交调价后的工程量清单，或调价函未装在投标文件正本首页，调价</w:t>
      </w:r>
      <w:r>
        <w:rPr>
          <w:spacing w:val="-9"/>
          <w:sz w:val="21"/>
          <w:szCs w:val="21"/>
        </w:rPr>
        <w:t>函均视为无效，仍以原报价作为最终报价。若投标人提交的调价函多于一个，或对不</w:t>
      </w:r>
      <w:r>
        <w:rPr>
          <w:sz w:val="21"/>
          <w:szCs w:val="21"/>
        </w:rPr>
        <w:t>允许调价的内容进行了调价，或调价函有附加条件，其投标将被否决。</w:t>
      </w:r>
    </w:p>
    <w:p w14:paraId="188AFC02">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400" w:firstLineChars="200"/>
        <w:jc w:val="left"/>
        <w:textAlignment w:val="auto"/>
        <w:rPr>
          <w:sz w:val="21"/>
          <w:szCs w:val="21"/>
        </w:rPr>
      </w:pPr>
      <w:r>
        <w:rPr>
          <w:rFonts w:hint="eastAsia"/>
          <w:spacing w:val="-5"/>
          <w:sz w:val="21"/>
          <w:szCs w:val="21"/>
          <w:lang w:eastAsia="zh-CN"/>
        </w:rPr>
        <w:t>（</w:t>
      </w:r>
      <w:r>
        <w:rPr>
          <w:rFonts w:hint="eastAsia"/>
          <w:spacing w:val="-5"/>
          <w:sz w:val="21"/>
          <w:szCs w:val="21"/>
          <w:lang w:val="en-US" w:eastAsia="zh-CN"/>
        </w:rPr>
        <w:t>4</w:t>
      </w:r>
      <w:r>
        <w:rPr>
          <w:rFonts w:hint="eastAsia"/>
          <w:spacing w:val="-5"/>
          <w:sz w:val="21"/>
          <w:szCs w:val="21"/>
          <w:lang w:eastAsia="zh-CN"/>
        </w:rPr>
        <w:t>）</w:t>
      </w:r>
      <w:r>
        <w:rPr>
          <w:spacing w:val="-5"/>
          <w:sz w:val="21"/>
          <w:szCs w:val="21"/>
        </w:rPr>
        <w:t>若招标人接受调价函，投标人调价后的工程量清单和有效调价函的大写金</w:t>
      </w:r>
      <w:r>
        <w:rPr>
          <w:spacing w:val="-4"/>
          <w:sz w:val="21"/>
          <w:szCs w:val="21"/>
        </w:rPr>
        <w:t>额报价应保持一致，如果报价金额出现差异，则以有效调价函的大写金额报价为准。</w:t>
      </w:r>
    </w:p>
    <w:p w14:paraId="3658B29C">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16" w:firstLineChars="200"/>
        <w:jc w:val="both"/>
        <w:textAlignment w:val="auto"/>
        <w:rPr>
          <w:sz w:val="21"/>
          <w:szCs w:val="21"/>
        </w:rPr>
      </w:pPr>
      <w:r>
        <w:rPr>
          <w:rFonts w:hint="eastAsia"/>
          <w:spacing w:val="-1"/>
          <w:sz w:val="21"/>
          <w:szCs w:val="21"/>
          <w:lang w:val="en-US" w:eastAsia="zh-CN"/>
        </w:rPr>
        <w:t>3.2.7</w:t>
      </w:r>
      <w:r>
        <w:rPr>
          <w:spacing w:val="-1"/>
          <w:sz w:val="21"/>
          <w:szCs w:val="21"/>
        </w:rPr>
        <w:t>在合同实施期间，投标人填写的单价、合价和总额价是否由于物价波动进</w:t>
      </w:r>
      <w:r>
        <w:rPr>
          <w:spacing w:val="-3"/>
          <w:sz w:val="21"/>
          <w:szCs w:val="21"/>
        </w:rPr>
        <w:t>行价格调整按照合同条</w:t>
      </w:r>
      <w:r>
        <w:rPr>
          <w:spacing w:val="-1"/>
          <w:sz w:val="21"/>
          <w:szCs w:val="21"/>
        </w:rPr>
        <w:t>款第 16.1 款的规定处理。如果按照合同条款第 16.1.1 项的规</w:t>
      </w:r>
      <w:r>
        <w:rPr>
          <w:spacing w:val="-7"/>
          <w:sz w:val="21"/>
          <w:szCs w:val="21"/>
        </w:rPr>
        <w:t>定采用价格调整公式进行价格调整，由招标人根据项目实际情况测算确定价格调整公</w:t>
      </w:r>
      <w:r>
        <w:rPr>
          <w:spacing w:val="-8"/>
          <w:sz w:val="21"/>
          <w:szCs w:val="21"/>
        </w:rPr>
        <w:t>式中的变值权重范围，并在投标函附录价格指数和权重表中约定范围；投标人在此范</w:t>
      </w:r>
      <w:r>
        <w:rPr>
          <w:sz w:val="21"/>
          <w:szCs w:val="21"/>
        </w:rPr>
        <w:t>围内填写各可调因子的权重，合同实施期间将按此权重进行调价。</w:t>
      </w:r>
    </w:p>
    <w:p w14:paraId="61383FF9">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16" w:firstLineChars="200"/>
        <w:jc w:val="both"/>
        <w:textAlignment w:val="auto"/>
        <w:rPr>
          <w:sz w:val="21"/>
          <w:szCs w:val="21"/>
        </w:rPr>
      </w:pPr>
      <w:r>
        <w:rPr>
          <w:rFonts w:hint="eastAsia"/>
          <w:spacing w:val="-1"/>
          <w:sz w:val="21"/>
          <w:szCs w:val="21"/>
          <w:lang w:val="en-US" w:eastAsia="zh-CN"/>
        </w:rPr>
        <w:t>3.2.8</w:t>
      </w:r>
      <w:r>
        <w:rPr>
          <w:spacing w:val="-1"/>
          <w:sz w:val="21"/>
          <w:szCs w:val="21"/>
        </w:rPr>
        <w:t>招标人设有最高投标限价的，投标人的投标报价不得超过最高投标限价，</w:t>
      </w:r>
      <w:r>
        <w:rPr>
          <w:sz w:val="21"/>
          <w:szCs w:val="21"/>
        </w:rPr>
        <w:t>最高投标限价在投标人须知前附表中载明。</w:t>
      </w:r>
    </w:p>
    <w:p w14:paraId="1D37E048">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sz w:val="21"/>
          <w:szCs w:val="21"/>
        </w:rPr>
      </w:pPr>
      <w:r>
        <w:rPr>
          <w:rFonts w:hint="eastAsia"/>
          <w:sz w:val="21"/>
          <w:szCs w:val="21"/>
          <w:lang w:val="en-US" w:eastAsia="zh-CN"/>
        </w:rPr>
        <w:t>3.2.9</w:t>
      </w:r>
      <w:r>
        <w:rPr>
          <w:sz w:val="21"/>
          <w:szCs w:val="21"/>
        </w:rPr>
        <w:t>投标报价的其他要求见投标人须知前附表。</w:t>
      </w:r>
    </w:p>
    <w:p w14:paraId="5727965D">
      <w:pPr>
        <w:pStyle w:val="41"/>
        <w:keepNext w:val="0"/>
        <w:keepLines w:val="0"/>
        <w:pageBreakBefore w:val="0"/>
        <w:numPr>
          <w:ilvl w:val="1"/>
          <w:numId w:val="0"/>
        </w:numPr>
        <w:tabs>
          <w:tab w:val="left" w:pos="79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81" w:name="_bookmark50"/>
      <w:bookmarkEnd w:id="81"/>
      <w:bookmarkStart w:id="82" w:name="_bookmark50"/>
      <w:bookmarkEnd w:id="82"/>
      <w:r>
        <w:rPr>
          <w:rFonts w:hint="default" w:ascii="黑体" w:hAnsi="宋体" w:eastAsia="黑体" w:cs="宋体"/>
          <w:spacing w:val="-9"/>
          <w:w w:val="100"/>
          <w:sz w:val="21"/>
          <w:szCs w:val="21"/>
          <w:lang w:val="zh-CN" w:eastAsia="zh-CN" w:bidi="zh-CN"/>
        </w:rPr>
        <w:t>3.3</w:t>
      </w:r>
      <w:r>
        <w:rPr>
          <w:rFonts w:hint="eastAsia" w:ascii="黑体" w:eastAsia="黑体"/>
          <w:sz w:val="21"/>
          <w:szCs w:val="21"/>
        </w:rPr>
        <w:t>投标有效期</w:t>
      </w:r>
    </w:p>
    <w:p w14:paraId="2D0CA179">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08" w:firstLineChars="200"/>
        <w:jc w:val="both"/>
        <w:textAlignment w:val="auto"/>
        <w:rPr>
          <w:sz w:val="21"/>
          <w:szCs w:val="21"/>
        </w:rPr>
      </w:pPr>
      <w:r>
        <w:rPr>
          <w:rFonts w:hint="eastAsia"/>
          <w:spacing w:val="-3"/>
          <w:sz w:val="21"/>
          <w:szCs w:val="21"/>
          <w:lang w:val="en-US" w:eastAsia="zh-CN"/>
        </w:rPr>
        <w:t>3.3.1</w:t>
      </w:r>
      <w:r>
        <w:rPr>
          <w:spacing w:val="-3"/>
          <w:sz w:val="21"/>
          <w:szCs w:val="21"/>
        </w:rPr>
        <w:t>除投标人须知前附表另有规定外，投标有效期为</w:t>
      </w:r>
      <w:r>
        <w:rPr>
          <w:rFonts w:ascii="Times New Roman" w:eastAsia="Times New Roman"/>
          <w:sz w:val="21"/>
          <w:szCs w:val="21"/>
        </w:rPr>
        <w:t xml:space="preserve">90 </w:t>
      </w:r>
      <w:r>
        <w:rPr>
          <w:sz w:val="21"/>
          <w:szCs w:val="21"/>
        </w:rPr>
        <w:t>日。</w:t>
      </w:r>
    </w:p>
    <w:p w14:paraId="3BF1DC98">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16" w:firstLineChars="200"/>
        <w:jc w:val="both"/>
        <w:textAlignment w:val="auto"/>
        <w:rPr>
          <w:sz w:val="21"/>
          <w:szCs w:val="21"/>
        </w:rPr>
      </w:pPr>
      <w:r>
        <w:rPr>
          <w:rFonts w:hint="eastAsia"/>
          <w:spacing w:val="-1"/>
          <w:sz w:val="21"/>
          <w:szCs w:val="21"/>
          <w:lang w:val="en-US" w:eastAsia="zh-CN"/>
        </w:rPr>
        <w:t>3.3.2</w:t>
      </w:r>
      <w:r>
        <w:rPr>
          <w:spacing w:val="-1"/>
          <w:sz w:val="21"/>
          <w:szCs w:val="21"/>
        </w:rPr>
        <w:t>在投标有效期内，投标人撤销投标文件的，应承担招标文件和法律规定的</w:t>
      </w:r>
      <w:r>
        <w:rPr>
          <w:sz w:val="21"/>
          <w:szCs w:val="21"/>
        </w:rPr>
        <w:t>责任。</w:t>
      </w:r>
    </w:p>
    <w:p w14:paraId="4B9BFB87">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16" w:firstLineChars="200"/>
        <w:jc w:val="both"/>
        <w:textAlignment w:val="auto"/>
        <w:rPr>
          <w:sz w:val="21"/>
          <w:szCs w:val="21"/>
        </w:rPr>
      </w:pPr>
      <w:r>
        <w:rPr>
          <w:rFonts w:hint="eastAsia"/>
          <w:spacing w:val="-1"/>
          <w:sz w:val="21"/>
          <w:szCs w:val="21"/>
          <w:lang w:val="en-US" w:eastAsia="zh-CN"/>
        </w:rPr>
        <w:t>3.3.3</w:t>
      </w:r>
      <w:r>
        <w:rPr>
          <w:spacing w:val="-1"/>
          <w:sz w:val="21"/>
          <w:szCs w:val="21"/>
        </w:rPr>
        <w:t>出现特殊情况需要延长投标有效期的，招标人以书面形式通知所有投标人</w:t>
      </w:r>
      <w:r>
        <w:rPr>
          <w:spacing w:val="-9"/>
          <w:sz w:val="21"/>
          <w:szCs w:val="21"/>
        </w:rPr>
        <w:t>延长投标有效期。投标人应予以书面答复，同意延长的，应相应延长其投标保证金的有效期，但不得要求或被允许修改其投标文件；投标人拒绝延长的，其投标失效，但</w:t>
      </w:r>
      <w:r>
        <w:rPr>
          <w:sz w:val="21"/>
          <w:szCs w:val="21"/>
        </w:rPr>
        <w:t>投标人有权收回其投标保证金及以现金或支票形式递交的投标保证金的银行同期活期存款利息。</w:t>
      </w:r>
    </w:p>
    <w:p w14:paraId="2CD910D4">
      <w:pPr>
        <w:pStyle w:val="41"/>
        <w:keepNext w:val="0"/>
        <w:keepLines w:val="0"/>
        <w:pageBreakBefore w:val="0"/>
        <w:numPr>
          <w:ilvl w:val="1"/>
          <w:numId w:val="0"/>
        </w:numPr>
        <w:tabs>
          <w:tab w:val="left" w:pos="91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83" w:name="_bookmark51"/>
      <w:bookmarkEnd w:id="83"/>
      <w:bookmarkStart w:id="84" w:name="_bookmark51"/>
      <w:bookmarkEnd w:id="84"/>
      <w:r>
        <w:rPr>
          <w:rFonts w:hint="default" w:ascii="黑体" w:hAnsi="宋体" w:eastAsia="黑体" w:cs="宋体"/>
          <w:spacing w:val="-9"/>
          <w:w w:val="100"/>
          <w:sz w:val="21"/>
          <w:szCs w:val="21"/>
          <w:lang w:val="zh-CN" w:eastAsia="zh-CN" w:bidi="zh-CN"/>
        </w:rPr>
        <w:t>3.4</w:t>
      </w:r>
      <w:r>
        <w:rPr>
          <w:rFonts w:hint="eastAsia" w:ascii="黑体" w:eastAsia="黑体"/>
          <w:sz w:val="21"/>
          <w:szCs w:val="21"/>
        </w:rPr>
        <w:t>投标保证金</w:t>
      </w:r>
    </w:p>
    <w:p w14:paraId="33C8D3BA">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392" w:firstLineChars="200"/>
        <w:jc w:val="both"/>
        <w:textAlignment w:val="auto"/>
        <w:rPr>
          <w:sz w:val="21"/>
          <w:szCs w:val="21"/>
        </w:rPr>
      </w:pPr>
      <w:r>
        <w:rPr>
          <w:rFonts w:hint="eastAsia"/>
          <w:spacing w:val="-7"/>
          <w:sz w:val="21"/>
          <w:szCs w:val="21"/>
          <w:lang w:val="en-US" w:eastAsia="zh-CN"/>
        </w:rPr>
        <w:t>3.4.1</w:t>
      </w:r>
      <w:r>
        <w:rPr>
          <w:spacing w:val="-7"/>
          <w:sz w:val="21"/>
          <w:szCs w:val="21"/>
        </w:rPr>
        <w:t>投标人在递交投标文件的同时，应按投标人须知前附表规定的金额</w:t>
      </w:r>
      <w:r>
        <w:rPr>
          <w:spacing w:val="-5"/>
          <w:sz w:val="21"/>
          <w:szCs w:val="21"/>
        </w:rPr>
        <w:t>和第九</w:t>
      </w:r>
      <w:r>
        <w:rPr>
          <w:sz w:val="21"/>
          <w:szCs w:val="21"/>
        </w:rPr>
        <w:t>章</w:t>
      </w:r>
      <w:r>
        <w:rPr>
          <w:rFonts w:ascii="Times New Roman" w:hAnsi="Times New Roman" w:eastAsia="Times New Roman"/>
          <w:sz w:val="21"/>
          <w:szCs w:val="21"/>
        </w:rPr>
        <w:t>“</w:t>
      </w:r>
      <w:r>
        <w:rPr>
          <w:sz w:val="21"/>
          <w:szCs w:val="21"/>
        </w:rPr>
        <w:t>投标文件格式</w:t>
      </w:r>
      <w:r>
        <w:rPr>
          <w:rFonts w:ascii="Times New Roman" w:hAnsi="Times New Roman" w:eastAsia="Times New Roman"/>
          <w:sz w:val="21"/>
          <w:szCs w:val="21"/>
        </w:rPr>
        <w:t>”</w:t>
      </w:r>
      <w:r>
        <w:rPr>
          <w:spacing w:val="-5"/>
          <w:sz w:val="21"/>
          <w:szCs w:val="21"/>
        </w:rPr>
        <w:t>规定的投标保证金格式递交投标保证金，并作为其投标文件的组成</w:t>
      </w:r>
      <w:r>
        <w:rPr>
          <w:spacing w:val="-11"/>
          <w:sz w:val="21"/>
          <w:szCs w:val="21"/>
        </w:rPr>
        <w:t>部分。联合体投标的，其投标保证金由牵头人递交，并应符合投标人须知前附表的规</w:t>
      </w:r>
      <w:r>
        <w:rPr>
          <w:sz w:val="21"/>
          <w:szCs w:val="21"/>
        </w:rPr>
        <w:t>定。</w:t>
      </w:r>
    </w:p>
    <w:p w14:paraId="42064FB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84" w:firstLineChars="200"/>
        <w:textAlignment w:val="auto"/>
        <w:rPr>
          <w:sz w:val="21"/>
          <w:szCs w:val="21"/>
        </w:rPr>
      </w:pPr>
      <w:r>
        <w:rPr>
          <w:spacing w:val="-9"/>
          <w:sz w:val="21"/>
          <w:szCs w:val="21"/>
        </w:rPr>
        <w:t>投标保证金应采用现金、支票、银行保函或招标人在投标人须知前附表规定的其</w:t>
      </w:r>
      <w:r>
        <w:rPr>
          <w:sz w:val="21"/>
          <w:szCs w:val="21"/>
        </w:rPr>
        <w:t>他形式。</w:t>
      </w:r>
    </w:p>
    <w:p w14:paraId="15F071EF">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396" w:firstLineChars="200"/>
        <w:jc w:val="both"/>
        <w:textAlignment w:val="auto"/>
        <w:rPr>
          <w:sz w:val="21"/>
          <w:szCs w:val="21"/>
        </w:rPr>
      </w:pPr>
      <w:r>
        <w:rPr>
          <w:rFonts w:hint="eastAsia"/>
          <w:spacing w:val="-6"/>
          <w:sz w:val="21"/>
          <w:szCs w:val="21"/>
          <w:lang w:eastAsia="zh-CN"/>
        </w:rPr>
        <w:t>（</w:t>
      </w:r>
      <w:r>
        <w:rPr>
          <w:rFonts w:hint="eastAsia"/>
          <w:spacing w:val="-6"/>
          <w:sz w:val="21"/>
          <w:szCs w:val="21"/>
          <w:lang w:val="en-US" w:eastAsia="zh-CN"/>
        </w:rPr>
        <w:t>1</w:t>
      </w:r>
      <w:r>
        <w:rPr>
          <w:rFonts w:hint="eastAsia"/>
          <w:spacing w:val="-6"/>
          <w:sz w:val="21"/>
          <w:szCs w:val="21"/>
          <w:lang w:eastAsia="zh-CN"/>
        </w:rPr>
        <w:t>）</w:t>
      </w:r>
      <w:r>
        <w:rPr>
          <w:spacing w:val="-6"/>
          <w:sz w:val="21"/>
          <w:szCs w:val="21"/>
        </w:rPr>
        <w:t>若采用现金或支票，投标人应在递交投标文件截止时间之前，将投标保证</w:t>
      </w:r>
      <w:r>
        <w:rPr>
          <w:spacing w:val="-8"/>
          <w:sz w:val="21"/>
          <w:szCs w:val="21"/>
        </w:rPr>
        <w:t>金由投标人的基本账户转入招标人指定账户，否则视为投标保证金无效。招标人指定</w:t>
      </w:r>
      <w:r>
        <w:rPr>
          <w:spacing w:val="-4"/>
          <w:sz w:val="21"/>
          <w:szCs w:val="21"/>
        </w:rPr>
        <w:t>的开户银行及账号见投标人须知前附表。</w:t>
      </w:r>
    </w:p>
    <w:p w14:paraId="44221081">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Chars="0" w:right="0" w:rightChars="0" w:firstLine="400" w:firstLineChars="200"/>
        <w:jc w:val="both"/>
        <w:textAlignment w:val="auto"/>
        <w:rPr>
          <w:sz w:val="21"/>
          <w:szCs w:val="21"/>
        </w:rPr>
      </w:pPr>
      <w:r>
        <w:rPr>
          <w:rFonts w:hint="eastAsia"/>
          <w:spacing w:val="-5"/>
          <w:sz w:val="21"/>
          <w:szCs w:val="21"/>
          <w:lang w:eastAsia="zh-CN"/>
        </w:rPr>
        <w:t>（</w:t>
      </w:r>
      <w:r>
        <w:rPr>
          <w:rFonts w:hint="eastAsia"/>
          <w:spacing w:val="-5"/>
          <w:sz w:val="21"/>
          <w:szCs w:val="21"/>
          <w:lang w:val="en-US" w:eastAsia="zh-CN"/>
        </w:rPr>
        <w:t>2</w:t>
      </w:r>
      <w:r>
        <w:rPr>
          <w:rFonts w:hint="eastAsia"/>
          <w:spacing w:val="-5"/>
          <w:sz w:val="21"/>
          <w:szCs w:val="21"/>
          <w:lang w:eastAsia="zh-CN"/>
        </w:rPr>
        <w:t>）</w:t>
      </w:r>
      <w:r>
        <w:rPr>
          <w:spacing w:val="-5"/>
          <w:sz w:val="21"/>
          <w:szCs w:val="21"/>
        </w:rPr>
        <w:t>若采用银行保函，则应由符合投标人须知前附表规定级别的银行开具，并</w:t>
      </w:r>
      <w:r>
        <w:rPr>
          <w:spacing w:val="-10"/>
          <w:sz w:val="21"/>
          <w:szCs w:val="21"/>
        </w:rPr>
        <w:t>采用招标文件提供的格式。银行保函复印件装订在投标文件内，原件应在递交投标文</w:t>
      </w:r>
      <w:r>
        <w:rPr>
          <w:spacing w:val="-4"/>
          <w:sz w:val="21"/>
          <w:szCs w:val="21"/>
        </w:rPr>
        <w:t>件截止时间之前单独密封递交给招标人。</w:t>
      </w:r>
    </w:p>
    <w:p w14:paraId="35EE70AC">
      <w:pPr>
        <w:pStyle w:val="12"/>
        <w:keepNext w:val="0"/>
        <w:keepLines w:val="0"/>
        <w:pageBreakBefore w:val="0"/>
        <w:kinsoku/>
        <w:wordWrap/>
        <w:overflowPunct/>
        <w:topLinePunct w:val="0"/>
        <w:autoSpaceDE w:val="0"/>
        <w:autoSpaceDN w:val="0"/>
        <w:bidi w:val="0"/>
        <w:adjustRightInd/>
        <w:snapToGrid/>
        <w:spacing w:before="0" w:line="360" w:lineRule="auto"/>
        <w:ind w:left="0" w:right="0" w:firstLine="392" w:firstLineChars="200"/>
        <w:jc w:val="both"/>
        <w:textAlignment w:val="auto"/>
        <w:rPr>
          <w:sz w:val="21"/>
          <w:szCs w:val="21"/>
        </w:rPr>
      </w:pPr>
      <w:r>
        <w:rPr>
          <w:spacing w:val="-7"/>
          <w:sz w:val="21"/>
          <w:szCs w:val="21"/>
        </w:rPr>
        <w:t>无论采取何种形式的投标保证金，投标保证金有效期均应与投标有效期一致。招</w:t>
      </w:r>
      <w:r>
        <w:rPr>
          <w:spacing w:val="-6"/>
          <w:sz w:val="21"/>
          <w:szCs w:val="21"/>
        </w:rPr>
        <w:t xml:space="preserve">标人如果按本章第 </w:t>
      </w:r>
      <w:r>
        <w:rPr>
          <w:rFonts w:ascii="Times New Roman" w:eastAsia="Times New Roman"/>
          <w:sz w:val="21"/>
          <w:szCs w:val="21"/>
        </w:rPr>
        <w:t xml:space="preserve">3.3.3 </w:t>
      </w:r>
      <w:r>
        <w:rPr>
          <w:spacing w:val="-1"/>
          <w:sz w:val="21"/>
          <w:szCs w:val="21"/>
        </w:rPr>
        <w:t>项的规定延长了投标有效期，则投标保证金的有效期也相应</w:t>
      </w:r>
      <w:r>
        <w:rPr>
          <w:sz w:val="21"/>
          <w:szCs w:val="21"/>
        </w:rPr>
        <w:t>延长。</w:t>
      </w:r>
    </w:p>
    <w:p w14:paraId="134C9A0B">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392" w:firstLineChars="200"/>
        <w:jc w:val="both"/>
        <w:textAlignment w:val="auto"/>
        <w:rPr>
          <w:sz w:val="21"/>
          <w:szCs w:val="21"/>
        </w:rPr>
      </w:pPr>
      <w:r>
        <w:rPr>
          <w:rFonts w:hint="eastAsia"/>
          <w:spacing w:val="-7"/>
          <w:sz w:val="21"/>
          <w:szCs w:val="21"/>
          <w:lang w:val="en-US" w:eastAsia="zh-CN"/>
        </w:rPr>
        <w:t>3.4.2</w:t>
      </w:r>
      <w:r>
        <w:rPr>
          <w:spacing w:val="-7"/>
          <w:sz w:val="21"/>
          <w:szCs w:val="21"/>
        </w:rPr>
        <w:t xml:space="preserve">投标人不按本章第 </w:t>
      </w:r>
      <w:r>
        <w:rPr>
          <w:rFonts w:ascii="Times New Roman" w:eastAsia="Times New Roman"/>
          <w:sz w:val="21"/>
          <w:szCs w:val="21"/>
        </w:rPr>
        <w:t xml:space="preserve">3.4.1 </w:t>
      </w:r>
      <w:r>
        <w:rPr>
          <w:spacing w:val="-9"/>
          <w:sz w:val="21"/>
          <w:szCs w:val="21"/>
        </w:rPr>
        <w:t>项要求提交投标保证金的，评标委员会将否决其投</w:t>
      </w:r>
      <w:r>
        <w:rPr>
          <w:sz w:val="21"/>
          <w:szCs w:val="21"/>
        </w:rPr>
        <w:t>标。</w:t>
      </w:r>
    </w:p>
    <w:p w14:paraId="643C4B85">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08" w:firstLineChars="200"/>
        <w:jc w:val="both"/>
        <w:textAlignment w:val="auto"/>
        <w:rPr>
          <w:sz w:val="21"/>
          <w:szCs w:val="21"/>
        </w:rPr>
      </w:pPr>
      <w:r>
        <w:rPr>
          <w:rFonts w:hint="eastAsia"/>
          <w:spacing w:val="-3"/>
          <w:sz w:val="21"/>
          <w:szCs w:val="21"/>
          <w:lang w:val="en-US" w:eastAsia="zh-CN"/>
        </w:rPr>
        <w:t>3.4.3</w:t>
      </w:r>
      <w:r>
        <w:rPr>
          <w:spacing w:val="-3"/>
          <w:sz w:val="21"/>
          <w:szCs w:val="21"/>
        </w:rPr>
        <w:t>招标人最迟将在中标通知书发出后</w:t>
      </w:r>
      <w:r>
        <w:rPr>
          <w:rFonts w:ascii="Times New Roman" w:eastAsia="Times New Roman"/>
          <w:sz w:val="21"/>
          <w:szCs w:val="21"/>
        </w:rPr>
        <w:t>5</w:t>
      </w:r>
      <w:r>
        <w:rPr>
          <w:spacing w:val="-1"/>
          <w:sz w:val="21"/>
          <w:szCs w:val="21"/>
        </w:rPr>
        <w:t>日内向中标候选人以外的其他投标人</w:t>
      </w:r>
      <w:r>
        <w:rPr>
          <w:spacing w:val="-13"/>
          <w:sz w:val="21"/>
          <w:szCs w:val="21"/>
        </w:rPr>
        <w:t>退还投标保证金，与中标人签订合同后</w:t>
      </w:r>
      <w:r>
        <w:rPr>
          <w:rFonts w:ascii="Times New Roman" w:eastAsia="Times New Roman"/>
          <w:sz w:val="21"/>
          <w:szCs w:val="21"/>
        </w:rPr>
        <w:t>5</w:t>
      </w:r>
      <w:r>
        <w:rPr>
          <w:spacing w:val="-1"/>
          <w:sz w:val="21"/>
          <w:szCs w:val="21"/>
        </w:rPr>
        <w:t>日内向中标人和其他中标候选人退还投标保</w:t>
      </w:r>
      <w:r>
        <w:rPr>
          <w:spacing w:val="-10"/>
          <w:sz w:val="21"/>
          <w:szCs w:val="21"/>
        </w:rPr>
        <w:t>证金。投标保证金以现金或支票形式递交的，招标人应同时退还投标保证金的银行同</w:t>
      </w:r>
      <w:r>
        <w:rPr>
          <w:sz w:val="21"/>
          <w:szCs w:val="21"/>
        </w:rPr>
        <w:t>期活期存款利息，且退还至投标人的基本账户。</w:t>
      </w:r>
    </w:p>
    <w:p w14:paraId="0D720BF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sz w:val="21"/>
          <w:szCs w:val="21"/>
        </w:rPr>
      </w:pPr>
      <w:r>
        <w:rPr>
          <w:sz w:val="21"/>
          <w:szCs w:val="21"/>
        </w:rPr>
        <w:t>利息计算原则见投标人须知前附表。</w:t>
      </w:r>
    </w:p>
    <w:p w14:paraId="44D38227">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val="en-US" w:eastAsia="zh-CN"/>
        </w:rPr>
        <w:t>3.4.4</w:t>
      </w:r>
      <w:r>
        <w:rPr>
          <w:sz w:val="21"/>
          <w:szCs w:val="21"/>
        </w:rPr>
        <w:t>有下列情形之一的，投标保证金将不予退还：</w:t>
      </w:r>
    </w:p>
    <w:p w14:paraId="66F76594">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（1）在提交投标文件截止时间后到招标文件规定的投标有效期终止之前，投标人不得撤销其投标文件，否则招标人可以不退还其投标保证金；</w:t>
      </w:r>
    </w:p>
    <w:p w14:paraId="70CDE862">
      <w:pPr>
        <w:pStyle w:val="41"/>
        <w:keepNext w:val="0"/>
        <w:keepLines w:val="0"/>
        <w:pageBreakBefore w:val="0"/>
        <w:widowControl w:val="0"/>
        <w:numPr>
          <w:ilvl w:val="0"/>
          <w:numId w:val="0"/>
        </w:numPr>
        <w:tabs>
          <w:tab w:val="left" w:pos="133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（2）中标通知书发出后，中标人无正当理由不与招标人</w:t>
      </w:r>
      <w:r>
        <w:rPr>
          <w:rFonts w:hint="eastAsia" w:ascii="宋体" w:hAnsi="宋体" w:eastAsia="宋体" w:cs="宋体"/>
          <w:sz w:val="21"/>
          <w:szCs w:val="21"/>
          <w:lang w:val="en-US" w:eastAsia="zh-CN" w:bidi="zh-CN"/>
        </w:rPr>
        <w:t>订立</w:t>
      </w:r>
      <w:r>
        <w:rPr>
          <w:rFonts w:hint="eastAsia" w:ascii="宋体" w:hAnsi="宋体" w:eastAsia="宋体" w:cs="宋体"/>
          <w:sz w:val="21"/>
          <w:szCs w:val="21"/>
          <w:lang w:val="zh-CN" w:eastAsia="zh-CN" w:bidi="zh-CN"/>
        </w:rPr>
        <w:t>合同，在签订合同时向招标人提出附加条件或者</w:t>
      </w:r>
      <w:r>
        <w:rPr>
          <w:rFonts w:hint="eastAsia" w:ascii="宋体" w:hAnsi="宋体" w:eastAsia="宋体" w:cs="宋体"/>
          <w:sz w:val="21"/>
          <w:szCs w:val="21"/>
          <w:lang w:val="en-US" w:eastAsia="zh-CN" w:bidi="zh-CN"/>
        </w:rPr>
        <w:t>不按照招标文件要求</w:t>
      </w:r>
      <w:r>
        <w:rPr>
          <w:rFonts w:hint="eastAsia" w:ascii="宋体" w:hAnsi="宋体" w:eastAsia="宋体" w:cs="宋体"/>
          <w:sz w:val="21"/>
          <w:szCs w:val="21"/>
          <w:lang w:val="zh-CN" w:eastAsia="zh-CN" w:bidi="zh-CN"/>
        </w:rPr>
        <w:t>提交履约保证金的，取消其中标资格，投标保证金不予退还。</w:t>
      </w:r>
    </w:p>
    <w:p w14:paraId="2EC9102A">
      <w:pPr>
        <w:pStyle w:val="41"/>
        <w:keepNext w:val="0"/>
        <w:keepLines w:val="0"/>
        <w:pageBreakBefore w:val="0"/>
        <w:numPr>
          <w:ilvl w:val="1"/>
          <w:numId w:val="0"/>
        </w:numPr>
        <w:tabs>
          <w:tab w:val="left" w:pos="910"/>
        </w:tabs>
        <w:kinsoku/>
        <w:wordWrap/>
        <w:overflowPunct/>
        <w:topLinePunct w:val="0"/>
        <w:autoSpaceDE w:val="0"/>
        <w:autoSpaceDN w:val="0"/>
        <w:bidi w:val="0"/>
        <w:adjustRightInd/>
        <w:snapToGrid/>
        <w:spacing w:before="0" w:after="0" w:line="360" w:lineRule="auto"/>
        <w:ind w:left="909" w:leftChars="0" w:right="0" w:rightChars="0" w:hanging="540" w:firstLineChars="0"/>
        <w:jc w:val="left"/>
        <w:textAlignment w:val="auto"/>
        <w:rPr>
          <w:rFonts w:hint="eastAsia" w:ascii="黑体" w:eastAsia="黑体"/>
          <w:sz w:val="21"/>
          <w:szCs w:val="21"/>
        </w:rPr>
      </w:pPr>
      <w:bookmarkStart w:id="85" w:name="_bookmark52"/>
      <w:bookmarkEnd w:id="85"/>
      <w:bookmarkStart w:id="86" w:name="_bookmark52"/>
      <w:bookmarkEnd w:id="86"/>
      <w:bookmarkStart w:id="87" w:name="_bookmark53"/>
      <w:bookmarkEnd w:id="87"/>
      <w:bookmarkStart w:id="88" w:name="_bookmark53"/>
      <w:bookmarkEnd w:id="88"/>
      <w:r>
        <w:rPr>
          <w:rFonts w:hint="default" w:ascii="黑体" w:hAnsi="黑体" w:eastAsia="黑体" w:cs="黑体"/>
          <w:w w:val="100"/>
          <w:sz w:val="21"/>
          <w:szCs w:val="21"/>
          <w:lang w:val="zh-CN" w:eastAsia="zh-CN" w:bidi="zh-CN"/>
        </w:rPr>
        <w:t>3.5</w:t>
      </w:r>
      <w:r>
        <w:rPr>
          <w:rFonts w:hint="eastAsia" w:ascii="黑体" w:eastAsia="黑体"/>
          <w:sz w:val="21"/>
          <w:szCs w:val="21"/>
        </w:rPr>
        <w:t>资格审查资料</w:t>
      </w:r>
    </w:p>
    <w:p w14:paraId="29EDCCD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2" w:firstLineChars="200"/>
        <w:textAlignment w:val="auto"/>
        <w:rPr>
          <w:sz w:val="21"/>
          <w:szCs w:val="21"/>
        </w:rPr>
      </w:pPr>
      <w:r>
        <w:rPr>
          <w:spacing w:val="-7"/>
          <w:sz w:val="21"/>
          <w:szCs w:val="21"/>
        </w:rPr>
        <w:t>除投标人须知前附表另有规定外，投标人应按下列规定提供资格审查资料，以证</w:t>
      </w:r>
      <w:r>
        <w:rPr>
          <w:spacing w:val="-8"/>
          <w:sz w:val="21"/>
          <w:szCs w:val="21"/>
        </w:rPr>
        <w:t>明其满足本章第</w:t>
      </w:r>
      <w:r>
        <w:rPr>
          <w:rFonts w:ascii="Times New Roman" w:eastAsia="Times New Roman"/>
          <w:sz w:val="21"/>
          <w:szCs w:val="21"/>
        </w:rPr>
        <w:t xml:space="preserve">1.4 </w:t>
      </w:r>
      <w:r>
        <w:rPr>
          <w:sz w:val="21"/>
          <w:szCs w:val="21"/>
        </w:rPr>
        <w:t>款规定的资质、财务、业绩、信誉等要求。</w:t>
      </w:r>
    </w:p>
    <w:p w14:paraId="59700F8B">
      <w:pPr>
        <w:pStyle w:val="41"/>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color w:val="auto"/>
          <w:w w:val="100"/>
          <w:sz w:val="21"/>
          <w:szCs w:val="21"/>
          <w:lang w:val="zh-CN" w:eastAsia="zh-CN" w:bidi="zh-CN"/>
        </w:rPr>
        <w:t>3.5.1</w:t>
      </w:r>
      <w:r>
        <w:rPr>
          <w:sz w:val="21"/>
          <w:szCs w:val="21"/>
        </w:rPr>
        <w:t>“投标人基本情况表”应附企业法人营业执照副本（按照“三证合一”或“五证合一”登记制度进行登记的，可仅提供营业执照副本，下同）、施工资质证书副本、安全生产许可证副本、基本账户开户许可证的复印件，</w:t>
      </w:r>
      <w:r>
        <w:rPr>
          <w:rFonts w:hint="eastAsia"/>
          <w:sz w:val="21"/>
          <w:szCs w:val="21"/>
          <w:lang w:eastAsia="zh-CN"/>
        </w:rPr>
        <w:t>投标人或联合体成员</w:t>
      </w:r>
      <w:r>
        <w:rPr>
          <w:sz w:val="21"/>
          <w:szCs w:val="21"/>
        </w:rPr>
        <w:t>在交通运输部“</w:t>
      </w:r>
      <w:r>
        <w:rPr>
          <w:rFonts w:hint="eastAsia"/>
          <w:sz w:val="21"/>
          <w:szCs w:val="21"/>
        </w:rPr>
        <w:t>全国公路建设市场监督管理系统</w:t>
      </w:r>
      <w:r>
        <w:rPr>
          <w:sz w:val="21"/>
          <w:szCs w:val="21"/>
        </w:rPr>
        <w:t>”公路工程施工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14:paraId="3882922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textAlignment w:val="auto"/>
        <w:rPr>
          <w:sz w:val="21"/>
          <w:szCs w:val="21"/>
        </w:rPr>
      </w:pPr>
      <w:r>
        <w:rPr>
          <w:spacing w:val="-5"/>
          <w:sz w:val="21"/>
          <w:szCs w:val="21"/>
        </w:rPr>
        <w:t>企业法人营业执照副本和组织机构代码证副本、施工资质证书副本、安全生产许</w:t>
      </w:r>
      <w:r>
        <w:rPr>
          <w:spacing w:val="-15"/>
          <w:sz w:val="21"/>
          <w:szCs w:val="21"/>
        </w:rPr>
        <w:t>可证副本、基本账户开户许可证的复印件</w:t>
      </w:r>
      <w:r>
        <w:rPr>
          <w:rFonts w:hint="eastAsia"/>
          <w:spacing w:val="-15"/>
          <w:sz w:val="21"/>
          <w:szCs w:val="21"/>
          <w:lang w:eastAsia="zh-CN"/>
        </w:rPr>
        <w:t>（</w:t>
      </w:r>
      <w:r>
        <w:rPr>
          <w:rFonts w:hint="eastAsia"/>
          <w:spacing w:val="-15"/>
          <w:sz w:val="21"/>
          <w:szCs w:val="21"/>
          <w:lang w:val="en-US" w:eastAsia="zh-CN"/>
        </w:rPr>
        <w:t>若有）</w:t>
      </w:r>
      <w:r>
        <w:rPr>
          <w:spacing w:val="-9"/>
          <w:sz w:val="21"/>
          <w:szCs w:val="21"/>
        </w:rPr>
        <w:t>，</w:t>
      </w:r>
      <w:r>
        <w:rPr>
          <w:spacing w:val="-7"/>
          <w:sz w:val="21"/>
          <w:szCs w:val="21"/>
        </w:rPr>
        <w:t>应包括投标人名称、投标人其他相关信息、颁发机构名称、投标人信息变更情况等关键页在内，并逐页加盖投标人单位章。</w:t>
      </w:r>
    </w:p>
    <w:p w14:paraId="4462DC2F">
      <w:pPr>
        <w:pStyle w:val="41"/>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color w:val="auto"/>
          <w:sz w:val="21"/>
          <w:szCs w:val="21"/>
        </w:rPr>
      </w:pPr>
      <w:r>
        <w:rPr>
          <w:rFonts w:hint="default" w:ascii="Times New Roman" w:hAnsi="Times New Roman" w:eastAsia="Times New Roman" w:cs="Times New Roman"/>
          <w:color w:val="auto"/>
          <w:w w:val="100"/>
          <w:sz w:val="21"/>
          <w:szCs w:val="21"/>
          <w:lang w:val="zh-CN" w:eastAsia="zh-CN" w:bidi="zh-CN"/>
        </w:rPr>
        <w:t>3.5.2</w:t>
      </w:r>
      <w:r>
        <w:rPr>
          <w:spacing w:val="-1"/>
          <w:sz w:val="21"/>
          <w:szCs w:val="21"/>
        </w:rPr>
        <w:t>“财务状况表”应附经会计师事务所或审计机构审计的财务会计报表，包</w:t>
      </w:r>
      <w:r>
        <w:rPr>
          <w:spacing w:val="-10"/>
          <w:sz w:val="21"/>
          <w:szCs w:val="21"/>
        </w:rPr>
        <w:t>括资产负债表、现金流量表、利润表和财务情况说明书的复印件，具体年份要求见投</w:t>
      </w:r>
      <w:r>
        <w:rPr>
          <w:spacing w:val="-9"/>
          <w:sz w:val="21"/>
          <w:szCs w:val="21"/>
        </w:rPr>
        <w:t>标人须知前附表。投标人的成立时间少于投标人须知前附表规定年份的，应提供成立</w:t>
      </w:r>
      <w:r>
        <w:rPr>
          <w:sz w:val="21"/>
          <w:szCs w:val="21"/>
        </w:rPr>
        <w:t>以来的财务状况表。</w:t>
      </w:r>
      <w:r>
        <w:rPr>
          <w:rFonts w:hint="eastAsia"/>
          <w:color w:val="auto"/>
          <w:sz w:val="21"/>
          <w:szCs w:val="21"/>
          <w:lang w:val="en-US" w:eastAsia="zh-CN"/>
        </w:rPr>
        <w:t xml:space="preserve">（本项目不要求） </w:t>
      </w:r>
    </w:p>
    <w:p w14:paraId="298F557B">
      <w:pPr>
        <w:pStyle w:val="41"/>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w w:val="100"/>
          <w:sz w:val="21"/>
          <w:szCs w:val="21"/>
        </w:rPr>
      </w:pPr>
      <w:r>
        <w:rPr>
          <w:rFonts w:hint="default" w:ascii="Times New Roman" w:hAnsi="Times New Roman" w:eastAsia="Times New Roman" w:cs="Times New Roman"/>
          <w:color w:val="auto"/>
          <w:spacing w:val="0"/>
          <w:w w:val="100"/>
          <w:sz w:val="21"/>
          <w:szCs w:val="21"/>
          <w:lang w:val="zh-CN" w:eastAsia="zh-CN" w:bidi="zh-CN"/>
        </w:rPr>
        <w:t>3.5.3</w:t>
      </w:r>
      <w:r>
        <w:rPr>
          <w:spacing w:val="0"/>
          <w:w w:val="100"/>
          <w:sz w:val="21"/>
          <w:szCs w:val="21"/>
        </w:rPr>
        <w:t>“近年完成的类似项目”时间要求见投标人须知前附表。</w:t>
      </w:r>
    </w:p>
    <w:p w14:paraId="6F5BA2B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pacing w:val="0"/>
          <w:w w:val="100"/>
          <w:sz w:val="21"/>
          <w:szCs w:val="21"/>
        </w:rPr>
        <w:t>“近年完成的类似项目情况表”应附</w:t>
      </w:r>
      <w:r>
        <w:rPr>
          <w:rFonts w:hint="eastAsia"/>
          <w:spacing w:val="0"/>
          <w:w w:val="100"/>
          <w:sz w:val="21"/>
          <w:szCs w:val="21"/>
        </w:rPr>
        <w:t>中标通知书或施工合同和交工（或竣工）验收证明文件，文件中不能体现项目规模或跨度的，须提供业主证明或加盖设计单位出图章的施工图或经监理单位签认竣工图。</w:t>
      </w:r>
    </w:p>
    <w:p w14:paraId="0789A1BE">
      <w:pPr>
        <w:pStyle w:val="41"/>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color w:val="auto"/>
          <w:w w:val="100"/>
          <w:sz w:val="21"/>
          <w:szCs w:val="21"/>
          <w:lang w:val="zh-CN" w:eastAsia="zh-CN" w:bidi="zh-CN"/>
        </w:rPr>
        <w:t>3.5.4</w:t>
      </w:r>
      <w:r>
        <w:rPr>
          <w:sz w:val="21"/>
          <w:szCs w:val="21"/>
        </w:rPr>
        <w:t>“投标人的信誉情况表”应附投标人在国家企业信用信息公示系统中未被</w:t>
      </w:r>
      <w:r>
        <w:rPr>
          <w:spacing w:val="-9"/>
          <w:sz w:val="21"/>
          <w:szCs w:val="21"/>
        </w:rPr>
        <w:t>列入严重违法失信企业名单、在“信用中国”网站中未被列入失信被执行人名单的网</w:t>
      </w:r>
      <w:r>
        <w:rPr>
          <w:spacing w:val="-11"/>
          <w:sz w:val="21"/>
          <w:szCs w:val="21"/>
        </w:rPr>
        <w:t>页截图复印件</w:t>
      </w:r>
      <w:r>
        <w:rPr>
          <w:sz w:val="21"/>
          <w:szCs w:val="21"/>
        </w:rPr>
        <w:t>。</w:t>
      </w:r>
    </w:p>
    <w:p w14:paraId="79B33583">
      <w:pPr>
        <w:pStyle w:val="41"/>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7"/>
          <w:sz w:val="21"/>
          <w:szCs w:val="21"/>
        </w:rPr>
      </w:pPr>
      <w:r>
        <w:rPr>
          <w:rFonts w:hint="default" w:ascii="Times New Roman" w:hAnsi="Times New Roman" w:eastAsia="Times New Roman" w:cs="Times New Roman"/>
          <w:color w:val="auto"/>
          <w:w w:val="100"/>
          <w:sz w:val="21"/>
          <w:szCs w:val="21"/>
          <w:lang w:val="zh-CN" w:eastAsia="zh-CN" w:bidi="zh-CN"/>
        </w:rPr>
        <w:t>3.5.5</w:t>
      </w:r>
      <w:r>
        <w:rPr>
          <w:rFonts w:hint="eastAsia"/>
          <w:sz w:val="21"/>
          <w:szCs w:val="21"/>
        </w:rPr>
        <w:t>“拟委任的项目经理资历表”应附项目经理的身份证、职称资格证书以及资格审查条件所要求的其他相关证书（如建造师注册证书、安全生产考核合格证书等）的复印件。</w:t>
      </w:r>
    </w:p>
    <w:p w14:paraId="291F0669">
      <w:pPr>
        <w:pStyle w:val="41"/>
        <w:keepNext w:val="0"/>
        <w:keepLines w:val="0"/>
        <w:pageBreakBefore w:val="0"/>
        <w:widowControl w:val="0"/>
        <w:numPr>
          <w:ilvl w:val="2"/>
          <w:numId w:val="0"/>
        </w:numPr>
        <w:tabs>
          <w:tab w:val="left" w:pos="138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sz w:val="21"/>
          <w:szCs w:val="21"/>
          <w:lang w:val="en-US" w:eastAsia="zh-CN"/>
        </w:rPr>
      </w:pPr>
      <w:r>
        <w:rPr>
          <w:rFonts w:hint="eastAsia"/>
          <w:sz w:val="21"/>
          <w:szCs w:val="21"/>
        </w:rPr>
        <w:t>“拟委任的其他管理和技术人员汇总表”（如有）应填报满足投标人须知前附表附录 6 规定的其他人员的相关信息。“拟委任的其他管理和技术人员资历表”（如有）中相关人员应附身份证、职称资格证书以及资格审查条件所要求的其他相关证书的复印件。</w:t>
      </w:r>
      <w:r>
        <w:rPr>
          <w:rFonts w:hint="eastAsia"/>
          <w:sz w:val="21"/>
          <w:szCs w:val="21"/>
          <w:lang w:val="en-US" w:eastAsia="zh-CN"/>
        </w:rPr>
        <w:t xml:space="preserve"> </w:t>
      </w:r>
    </w:p>
    <w:p w14:paraId="5B25727D">
      <w:pPr>
        <w:pStyle w:val="41"/>
        <w:keepNext w:val="0"/>
        <w:keepLines w:val="0"/>
        <w:pageBreakBefore w:val="0"/>
        <w:widowControl w:val="0"/>
        <w:numPr>
          <w:ilvl w:val="2"/>
          <w:numId w:val="0"/>
        </w:numPr>
        <w:tabs>
          <w:tab w:val="left" w:pos="1380"/>
        </w:tabs>
        <w:kinsoku/>
        <w:wordWrap/>
        <w:overflowPunct/>
        <w:topLinePunct w:val="0"/>
        <w:autoSpaceDE w:val="0"/>
        <w:autoSpaceDN w:val="0"/>
        <w:bidi w:val="0"/>
        <w:adjustRightInd/>
        <w:snapToGrid/>
        <w:spacing w:before="0" w:after="0" w:line="360" w:lineRule="auto"/>
        <w:ind w:right="0" w:rightChars="0" w:firstLine="420" w:firstLineChars="200"/>
        <w:jc w:val="left"/>
        <w:textAlignment w:val="auto"/>
        <w:rPr>
          <w:sz w:val="21"/>
          <w:szCs w:val="21"/>
        </w:rPr>
      </w:pPr>
      <w:r>
        <w:rPr>
          <w:rFonts w:hint="default" w:ascii="Times New Roman" w:hAnsi="Times New Roman" w:eastAsia="Times New Roman" w:cs="Times New Roman"/>
          <w:color w:val="auto"/>
          <w:w w:val="100"/>
          <w:sz w:val="21"/>
          <w:szCs w:val="21"/>
          <w:lang w:val="zh-CN" w:eastAsia="zh-CN" w:bidi="zh-CN"/>
        </w:rPr>
        <w:t>3.5.6</w:t>
      </w:r>
      <w:r>
        <w:rPr>
          <w:sz w:val="21"/>
          <w:szCs w:val="21"/>
        </w:rPr>
        <w:t>“拟投入本标段的主要施工机械表</w:t>
      </w:r>
      <w:r>
        <w:rPr>
          <w:spacing w:val="-18"/>
          <w:sz w:val="21"/>
          <w:szCs w:val="21"/>
        </w:rPr>
        <w:t>”“拟配备本标段的主要材料试验、测量、</w:t>
      </w:r>
      <w:r>
        <w:rPr>
          <w:spacing w:val="-16"/>
          <w:sz w:val="21"/>
          <w:szCs w:val="21"/>
        </w:rPr>
        <w:t>质检仪器设备表”</w:t>
      </w:r>
      <w:r>
        <w:rPr>
          <w:sz w:val="21"/>
          <w:szCs w:val="21"/>
        </w:rPr>
        <w:t>（如有）</w:t>
      </w:r>
      <w:r>
        <w:rPr>
          <w:spacing w:val="-3"/>
          <w:sz w:val="21"/>
          <w:szCs w:val="21"/>
        </w:rPr>
        <w:t xml:space="preserve">应填报满足投标人须知前附表附录 </w:t>
      </w:r>
      <w:r>
        <w:rPr>
          <w:rFonts w:ascii="Times New Roman" w:hAnsi="Times New Roman" w:eastAsia="Times New Roman"/>
          <w:sz w:val="21"/>
          <w:szCs w:val="21"/>
        </w:rPr>
        <w:t>7</w:t>
      </w:r>
      <w:r>
        <w:rPr>
          <w:rFonts w:ascii="Times New Roman" w:hAnsi="Times New Roman" w:eastAsia="Times New Roman"/>
          <w:spacing w:val="14"/>
          <w:sz w:val="21"/>
          <w:szCs w:val="21"/>
        </w:rPr>
        <w:t xml:space="preserve"> </w:t>
      </w:r>
      <w:r>
        <w:rPr>
          <w:sz w:val="21"/>
          <w:szCs w:val="21"/>
        </w:rPr>
        <w:t>规定的机械设备和试验检测设备。</w:t>
      </w:r>
    </w:p>
    <w:p w14:paraId="3D44D7A9">
      <w:pPr>
        <w:pStyle w:val="41"/>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color w:val="auto"/>
          <w:w w:val="100"/>
          <w:sz w:val="21"/>
          <w:szCs w:val="21"/>
          <w:lang w:val="zh-CN" w:eastAsia="zh-CN" w:bidi="zh-CN"/>
        </w:rPr>
        <w:t>3.5.7</w:t>
      </w:r>
      <w:r>
        <w:rPr>
          <w:spacing w:val="-3"/>
          <w:sz w:val="21"/>
          <w:szCs w:val="21"/>
        </w:rPr>
        <w:t xml:space="preserve">投标人须知前附表规定接受联合体投标的，本章第 </w:t>
      </w:r>
      <w:r>
        <w:rPr>
          <w:rFonts w:ascii="Times New Roman" w:eastAsia="Times New Roman"/>
          <w:sz w:val="21"/>
          <w:szCs w:val="21"/>
        </w:rPr>
        <w:t>3.5.1</w:t>
      </w:r>
      <w:r>
        <w:rPr>
          <w:rFonts w:ascii="Times New Roman" w:eastAsia="Times New Roman"/>
          <w:spacing w:val="7"/>
          <w:sz w:val="21"/>
          <w:szCs w:val="21"/>
        </w:rPr>
        <w:t xml:space="preserve"> </w:t>
      </w:r>
      <w:r>
        <w:rPr>
          <w:spacing w:val="-14"/>
          <w:sz w:val="21"/>
          <w:szCs w:val="21"/>
        </w:rPr>
        <w:t xml:space="preserve">项至第 </w:t>
      </w:r>
      <w:r>
        <w:rPr>
          <w:rFonts w:ascii="Times New Roman" w:eastAsia="Times New Roman"/>
          <w:sz w:val="21"/>
          <w:szCs w:val="21"/>
        </w:rPr>
        <w:t>3.5.7</w:t>
      </w:r>
      <w:r>
        <w:rPr>
          <w:rFonts w:ascii="Times New Roman" w:eastAsia="Times New Roman"/>
          <w:spacing w:val="7"/>
          <w:sz w:val="21"/>
          <w:szCs w:val="21"/>
        </w:rPr>
        <w:t xml:space="preserve"> </w:t>
      </w:r>
      <w:r>
        <w:rPr>
          <w:spacing w:val="-8"/>
          <w:sz w:val="21"/>
          <w:szCs w:val="21"/>
        </w:rPr>
        <w:t>项规</w:t>
      </w:r>
      <w:r>
        <w:rPr>
          <w:sz w:val="21"/>
          <w:szCs w:val="21"/>
        </w:rPr>
        <w:t>定的表格和资料应包括联合体各方相关情况。</w:t>
      </w:r>
    </w:p>
    <w:p w14:paraId="50805707">
      <w:pPr>
        <w:pStyle w:val="41"/>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color w:val="auto"/>
          <w:w w:val="100"/>
          <w:sz w:val="21"/>
          <w:szCs w:val="21"/>
          <w:lang w:val="zh-CN" w:eastAsia="zh-CN" w:bidi="zh-CN"/>
        </w:rPr>
        <w:t>3.5.8</w:t>
      </w:r>
      <w:r>
        <w:rPr>
          <w:spacing w:val="-1"/>
          <w:sz w:val="21"/>
          <w:szCs w:val="21"/>
        </w:rPr>
        <w:t>除合同条款约定的特殊情形外，投标人在投标文件中填报的项目经理和项</w:t>
      </w:r>
      <w:r>
        <w:rPr>
          <w:sz w:val="21"/>
          <w:szCs w:val="21"/>
        </w:rPr>
        <w:t>目总工不允许更换。</w:t>
      </w:r>
    </w:p>
    <w:p w14:paraId="38F2BC39">
      <w:pPr>
        <w:pStyle w:val="41"/>
        <w:keepNext w:val="0"/>
        <w:keepLines w:val="0"/>
        <w:pageBreakBefore w:val="0"/>
        <w:widowControl w:val="0"/>
        <w:numPr>
          <w:ilvl w:val="2"/>
          <w:numId w:val="0"/>
        </w:numPr>
        <w:tabs>
          <w:tab w:val="left" w:pos="157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color w:val="auto"/>
          <w:w w:val="100"/>
          <w:sz w:val="21"/>
          <w:szCs w:val="21"/>
          <w:lang w:val="zh-CN" w:eastAsia="zh-CN" w:bidi="zh-CN"/>
        </w:rPr>
        <w:t>3.5.9</w:t>
      </w:r>
      <w:r>
        <w:rPr>
          <w:spacing w:val="-1"/>
          <w:sz w:val="21"/>
          <w:szCs w:val="21"/>
        </w:rPr>
        <w:t>投标人在投标文件中填报的资质、业绩、主要人员资历和目前在岗情况、</w:t>
      </w:r>
      <w:r>
        <w:rPr>
          <w:spacing w:val="-8"/>
          <w:sz w:val="21"/>
          <w:szCs w:val="21"/>
        </w:rPr>
        <w:t>信用等级等信息，应与其在交通运输主管部门“公路建设市场信用信息管理系统”上</w:t>
      </w:r>
      <w:r>
        <w:rPr>
          <w:sz w:val="21"/>
          <w:szCs w:val="21"/>
        </w:rPr>
        <w:t>填报并发布的相关信息一致。投标人应根据本单位实际情况及时完成相关信息的申报、录入和动态更新，并对相关信息的真实性、完整性和准确性负责。</w:t>
      </w:r>
    </w:p>
    <w:p w14:paraId="77FA8169">
      <w:pPr>
        <w:pStyle w:val="41"/>
        <w:keepNext w:val="0"/>
        <w:keepLines w:val="0"/>
        <w:pageBreakBefore w:val="0"/>
        <w:widowControl w:val="0"/>
        <w:numPr>
          <w:ilvl w:val="2"/>
          <w:numId w:val="0"/>
        </w:numPr>
        <w:tabs>
          <w:tab w:val="left" w:pos="156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color w:val="auto"/>
          <w:w w:val="100"/>
          <w:sz w:val="21"/>
          <w:szCs w:val="21"/>
          <w:lang w:val="zh-CN" w:eastAsia="zh-CN" w:bidi="zh-CN"/>
        </w:rPr>
        <w:t>3.5.10</w:t>
      </w:r>
      <w:r>
        <w:rPr>
          <w:spacing w:val="-6"/>
          <w:sz w:val="21"/>
          <w:szCs w:val="21"/>
        </w:rPr>
        <w:t>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w:t>
      </w:r>
      <w:r>
        <w:rPr>
          <w:spacing w:val="-8"/>
          <w:sz w:val="21"/>
          <w:szCs w:val="21"/>
        </w:rPr>
        <w:t>间发现投标人提供了虚假资料，招标人有权从工程支付款或履约保证金中扣除不超过</w:t>
      </w:r>
      <w:r>
        <w:rPr>
          <w:rFonts w:ascii="Times New Roman" w:eastAsia="Times New Roman"/>
          <w:sz w:val="21"/>
          <w:szCs w:val="21"/>
        </w:rPr>
        <w:t>10</w:t>
      </w:r>
      <w:r>
        <w:rPr>
          <w:spacing w:val="-8"/>
          <w:sz w:val="21"/>
          <w:szCs w:val="21"/>
        </w:rPr>
        <w:t>％签约合同价的金额作为违约金。同时招标人将投标人上述弄虚作假行为上报省级</w:t>
      </w:r>
      <w:r>
        <w:rPr>
          <w:sz w:val="21"/>
          <w:szCs w:val="21"/>
        </w:rPr>
        <w:t>交通运输主管部门，作为不良记录纳入公路建设市场信用信息管理系统。</w:t>
      </w:r>
    </w:p>
    <w:p w14:paraId="462C5F0F">
      <w:pPr>
        <w:pStyle w:val="41"/>
        <w:keepNext w:val="0"/>
        <w:keepLines w:val="0"/>
        <w:pageBreakBefore w:val="0"/>
        <w:widowControl w:val="0"/>
        <w:numPr>
          <w:ilvl w:val="2"/>
          <w:numId w:val="0"/>
        </w:numPr>
        <w:tabs>
          <w:tab w:val="left" w:pos="156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color w:val="auto"/>
          <w:w w:val="100"/>
          <w:sz w:val="21"/>
          <w:szCs w:val="21"/>
          <w:lang w:val="zh-CN" w:eastAsia="zh-CN" w:bidi="zh-CN"/>
        </w:rPr>
        <w:t>3.5.11</w:t>
      </w:r>
      <w:r>
        <w:rPr>
          <w:rFonts w:hint="eastAsia"/>
          <w:sz w:val="21"/>
          <w:szCs w:val="21"/>
        </w:rPr>
        <w:t>资格审查资料提交方式</w:t>
      </w:r>
    </w:p>
    <w:p w14:paraId="4F40BFDB">
      <w:pPr>
        <w:pStyle w:val="41"/>
        <w:keepNext w:val="0"/>
        <w:keepLines w:val="0"/>
        <w:pageBreakBefore w:val="0"/>
        <w:widowControl w:val="0"/>
        <w:numPr>
          <w:ilvl w:val="0"/>
          <w:numId w:val="0"/>
        </w:numPr>
        <w:tabs>
          <w:tab w:val="left" w:pos="1560"/>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rFonts w:hint="eastAsia"/>
          <w:sz w:val="21"/>
          <w:szCs w:val="21"/>
          <w:lang w:val="en-US" w:eastAsia="zh-CN"/>
        </w:rPr>
      </w:pPr>
      <w:r>
        <w:rPr>
          <w:rFonts w:hint="eastAsia"/>
          <w:sz w:val="21"/>
          <w:szCs w:val="21"/>
          <w:lang w:val="en-US" w:eastAsia="zh-CN"/>
        </w:rPr>
        <w:t>投标人营业执照、资质证书、安全生产许可证、项目负责人注册证书，可自主选择以下方式提交：①使用传统影印件上传；②使用全国公共资源交易平台成交记录、国家企业信用信息公示系统企业基本信息、全国建筑市场监管公共服务平台、省电子证照库管理系统等接口获取政务数据。</w:t>
      </w:r>
    </w:p>
    <w:p w14:paraId="6BDDB79E">
      <w:pPr>
        <w:pStyle w:val="41"/>
        <w:keepNext w:val="0"/>
        <w:keepLines w:val="0"/>
        <w:pageBreakBefore w:val="0"/>
        <w:widowControl w:val="0"/>
        <w:numPr>
          <w:ilvl w:val="0"/>
          <w:numId w:val="0"/>
        </w:numPr>
        <w:tabs>
          <w:tab w:val="left" w:pos="1560"/>
        </w:tabs>
        <w:kinsoku/>
        <w:wordWrap/>
        <w:overflowPunct/>
        <w:topLinePunct w:val="0"/>
        <w:autoSpaceDE w:val="0"/>
        <w:autoSpaceDN w:val="0"/>
        <w:bidi w:val="0"/>
        <w:adjustRightInd/>
        <w:snapToGrid/>
        <w:spacing w:before="0" w:after="0" w:line="360" w:lineRule="auto"/>
        <w:ind w:leftChars="0" w:right="0" w:rightChars="0" w:firstLine="420" w:firstLineChars="200"/>
        <w:jc w:val="left"/>
        <w:textAlignment w:val="auto"/>
        <w:rPr>
          <w:sz w:val="21"/>
          <w:szCs w:val="21"/>
        </w:rPr>
      </w:pPr>
      <w:r>
        <w:rPr>
          <w:rFonts w:hint="eastAsia"/>
          <w:sz w:val="21"/>
          <w:szCs w:val="21"/>
          <w:lang w:val="en-US" w:eastAsia="zh-CN"/>
        </w:rPr>
        <w:t>同一证明材料使用两种方式重复提供时，以传统影印件为准。</w:t>
      </w:r>
    </w:p>
    <w:p w14:paraId="709F813D">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909" w:leftChars="0" w:right="0" w:rightChars="0" w:hanging="540" w:firstLineChars="0"/>
        <w:jc w:val="left"/>
        <w:textAlignment w:val="auto"/>
        <w:rPr>
          <w:rFonts w:ascii="黑体"/>
          <w:sz w:val="21"/>
          <w:szCs w:val="21"/>
        </w:rPr>
      </w:pPr>
      <w:bookmarkStart w:id="89" w:name="_bookmark54"/>
      <w:bookmarkEnd w:id="89"/>
      <w:bookmarkStart w:id="90" w:name="_bookmark54"/>
      <w:bookmarkEnd w:id="90"/>
      <w:r>
        <w:rPr>
          <w:rFonts w:hint="default" w:ascii="黑体" w:hAnsi="黑体" w:eastAsia="黑体" w:cs="黑体"/>
          <w:w w:val="100"/>
          <w:sz w:val="21"/>
          <w:szCs w:val="21"/>
          <w:lang w:val="zh-CN" w:eastAsia="zh-CN" w:bidi="zh-CN"/>
        </w:rPr>
        <w:t>3.6</w:t>
      </w:r>
      <w:r>
        <w:rPr>
          <w:rFonts w:hint="eastAsia" w:ascii="黑体" w:eastAsia="黑体"/>
          <w:sz w:val="21"/>
          <w:szCs w:val="21"/>
        </w:rPr>
        <w:t>备选投标方案</w:t>
      </w:r>
    </w:p>
    <w:p w14:paraId="2C4E574D">
      <w:pPr>
        <w:pStyle w:val="41"/>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color w:val="auto"/>
          <w:w w:val="100"/>
          <w:sz w:val="21"/>
          <w:szCs w:val="21"/>
          <w:lang w:val="zh-CN" w:eastAsia="zh-CN" w:bidi="zh-CN"/>
        </w:rPr>
        <w:t>3.6.1</w:t>
      </w:r>
      <w:r>
        <w:rPr>
          <w:spacing w:val="-1"/>
          <w:sz w:val="21"/>
          <w:szCs w:val="21"/>
        </w:rPr>
        <w:t>除投标人须知前附表规定允许外，投标人不得递交备选投标方案，否则其</w:t>
      </w:r>
      <w:r>
        <w:rPr>
          <w:sz w:val="21"/>
          <w:szCs w:val="21"/>
        </w:rPr>
        <w:t>投标将被否决。</w:t>
      </w:r>
    </w:p>
    <w:p w14:paraId="63F779D1">
      <w:pPr>
        <w:pStyle w:val="41"/>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color w:val="auto"/>
          <w:w w:val="100"/>
          <w:sz w:val="21"/>
          <w:szCs w:val="21"/>
          <w:lang w:val="zh-CN" w:eastAsia="zh-CN" w:bidi="zh-CN"/>
        </w:rPr>
        <w:t>3.6.2</w:t>
      </w:r>
      <w:r>
        <w:rPr>
          <w:sz w:val="21"/>
          <w:szCs w:val="21"/>
        </w:rPr>
        <w:t>允许投标人递交备选投标方案的，只有中标人所递交的备选投标方案方可</w:t>
      </w:r>
      <w:r>
        <w:rPr>
          <w:spacing w:val="-11"/>
          <w:sz w:val="21"/>
          <w:szCs w:val="21"/>
        </w:rPr>
        <w:t>予以考虑。评标委员会认为中标人的备选投标方案优于其按照招标文件要求编制的投</w:t>
      </w:r>
      <w:r>
        <w:rPr>
          <w:sz w:val="21"/>
          <w:szCs w:val="21"/>
        </w:rPr>
        <w:t>标方案的，招标人可以接受该备选投标方案。</w:t>
      </w:r>
    </w:p>
    <w:p w14:paraId="023AFD31">
      <w:pPr>
        <w:pStyle w:val="41"/>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color w:val="auto"/>
          <w:w w:val="100"/>
          <w:sz w:val="21"/>
          <w:szCs w:val="21"/>
          <w:lang w:val="zh-CN" w:eastAsia="zh-CN" w:bidi="zh-CN"/>
        </w:rPr>
        <w:t>3.6.3</w:t>
      </w:r>
      <w:r>
        <w:rPr>
          <w:spacing w:val="-1"/>
          <w:sz w:val="21"/>
          <w:szCs w:val="21"/>
        </w:rPr>
        <w:t>投标人提供两个或两个以上投标报价，或在投标文件中提供一个报价，但</w:t>
      </w:r>
      <w:r>
        <w:rPr>
          <w:sz w:val="21"/>
          <w:szCs w:val="21"/>
        </w:rPr>
        <w:t>同时提供两个或两个以上施工组织设计的，视为提供备选方案。</w:t>
      </w:r>
    </w:p>
    <w:p w14:paraId="17F5DE43">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黑体"/>
          <w:sz w:val="21"/>
          <w:szCs w:val="21"/>
        </w:rPr>
      </w:pPr>
      <w:bookmarkStart w:id="91" w:name="_bookmark55"/>
      <w:bookmarkEnd w:id="91"/>
      <w:bookmarkStart w:id="92" w:name="_bookmark55"/>
      <w:bookmarkEnd w:id="92"/>
      <w:r>
        <w:rPr>
          <w:rFonts w:hint="default" w:ascii="黑体" w:hAnsi="黑体" w:eastAsia="黑体" w:cs="黑体"/>
          <w:w w:val="100"/>
          <w:sz w:val="21"/>
          <w:szCs w:val="21"/>
          <w:lang w:val="zh-CN" w:eastAsia="zh-CN" w:bidi="zh-CN"/>
        </w:rPr>
        <w:t>3.7</w:t>
      </w:r>
      <w:r>
        <w:rPr>
          <w:rFonts w:hint="eastAsia" w:ascii="黑体" w:eastAsia="黑体"/>
          <w:sz w:val="21"/>
          <w:szCs w:val="21"/>
        </w:rPr>
        <w:t>投标文件的编制</w:t>
      </w:r>
    </w:p>
    <w:p w14:paraId="2EF2121A">
      <w:pPr>
        <w:pStyle w:val="41"/>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color w:val="auto"/>
          <w:w w:val="100"/>
          <w:sz w:val="21"/>
          <w:szCs w:val="21"/>
          <w:lang w:val="zh-CN" w:eastAsia="zh-CN" w:bidi="zh-CN"/>
        </w:rPr>
        <w:t>3.7.1</w:t>
      </w:r>
      <w:r>
        <w:rPr>
          <w:sz w:val="21"/>
          <w:szCs w:val="21"/>
        </w:rPr>
        <w:t>投标文件应按第九章</w:t>
      </w:r>
      <w:r>
        <w:rPr>
          <w:rFonts w:ascii="Times New Roman" w:hAnsi="Times New Roman" w:eastAsia="Times New Roman"/>
          <w:sz w:val="21"/>
          <w:szCs w:val="21"/>
        </w:rPr>
        <w:t>“</w:t>
      </w:r>
      <w:r>
        <w:rPr>
          <w:sz w:val="21"/>
          <w:szCs w:val="21"/>
        </w:rPr>
        <w:t>投标文件格式</w:t>
      </w:r>
      <w:r>
        <w:rPr>
          <w:rFonts w:ascii="Times New Roman" w:hAnsi="Times New Roman" w:eastAsia="Times New Roman"/>
          <w:sz w:val="21"/>
          <w:szCs w:val="21"/>
        </w:rPr>
        <w:t>”</w:t>
      </w:r>
      <w:r>
        <w:rPr>
          <w:spacing w:val="-10"/>
          <w:sz w:val="21"/>
          <w:szCs w:val="21"/>
        </w:rPr>
        <w:t>进行编写，如有必要，可以增加附页，</w:t>
      </w:r>
      <w:r>
        <w:rPr>
          <w:sz w:val="21"/>
          <w:szCs w:val="21"/>
        </w:rPr>
        <w:t>作为投标文件的组成部分。其中，投标函附录在满足招标文件实质性要求的基础上，可以提出比招标文件要求更有利于招标人的承诺。</w:t>
      </w:r>
    </w:p>
    <w:p w14:paraId="101F3041">
      <w:pPr>
        <w:pStyle w:val="41"/>
        <w:keepNext w:val="0"/>
        <w:keepLines w:val="0"/>
        <w:pageBreakBefore w:val="0"/>
        <w:widowControl w:val="0"/>
        <w:numPr>
          <w:ilvl w:val="2"/>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color w:val="auto"/>
          <w:w w:val="100"/>
          <w:sz w:val="21"/>
          <w:szCs w:val="21"/>
          <w:lang w:val="zh-CN" w:eastAsia="zh-CN" w:bidi="zh-CN"/>
        </w:rPr>
        <w:t>3.7.2</w:t>
      </w:r>
      <w:r>
        <w:rPr>
          <w:spacing w:val="-1"/>
          <w:sz w:val="21"/>
          <w:szCs w:val="21"/>
        </w:rPr>
        <w:t>投标文件应对招标文件有关工期、投标有效期、质量要求、安全目标、技</w:t>
      </w:r>
      <w:r>
        <w:rPr>
          <w:sz w:val="21"/>
          <w:szCs w:val="21"/>
        </w:rPr>
        <w:t>术标准和要求、招标范围等实质性内容作出响应。</w:t>
      </w:r>
    </w:p>
    <w:p w14:paraId="202EBA8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3.7.3 </w:t>
      </w:r>
      <w:r>
        <w:rPr>
          <w:rFonts w:hint="eastAsia" w:ascii="宋体" w:hAnsi="宋体" w:eastAsia="宋体" w:cs="宋体"/>
          <w:color w:val="000000"/>
          <w:kern w:val="0"/>
          <w:sz w:val="21"/>
          <w:szCs w:val="21"/>
          <w:lang w:val="en-US" w:eastAsia="zh-CN" w:bidi="ar"/>
        </w:rPr>
        <w:t>投标文件的制作应满足以下规定</w:t>
      </w:r>
    </w:p>
    <w:p w14:paraId="3BD51E65">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（1）投标文件由投标人使用“电子交易平台”自带的“投标文件制作工具”制作生成。 </w:t>
      </w:r>
    </w:p>
    <w:p w14:paraId="7E70C6FF">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（2）投标人在编制投标文件时应建立分级目录，并按照标签提示导入相关内容。 </w:t>
      </w:r>
    </w:p>
    <w:p w14:paraId="3497487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（3）投标文件中证明资料的“复印件”均为“原件的扫描件”。 </w:t>
      </w:r>
    </w:p>
    <w:p w14:paraId="76AB477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（4）投标文件中的已标价工程量清单数据文件应与招标人提供的工程量清单数据文件格式一致。 </w:t>
      </w:r>
    </w:p>
    <w:p w14:paraId="48A8BE5E">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b/>
          <w:bCs/>
          <w:sz w:val="21"/>
          <w:szCs w:val="21"/>
        </w:rPr>
      </w:pPr>
      <w:r>
        <w:rPr>
          <w:rFonts w:hint="eastAsia" w:ascii="宋体" w:hAnsi="宋体" w:eastAsia="宋体" w:cs="宋体"/>
          <w:color w:val="000000"/>
          <w:kern w:val="0"/>
          <w:sz w:val="21"/>
          <w:szCs w:val="21"/>
          <w:lang w:val="en-US" w:eastAsia="zh-CN" w:bidi="ar"/>
        </w:rPr>
        <w:t>（5）第九章“投标文件格式”中要求盖单位章和（或）签字的地方，投标人均应使用 CA 数字证书加盖投标人的单位电子印章和（或）法定代表人的个人电子印章或电子签名章。联合体投标的，</w:t>
      </w:r>
      <w:r>
        <w:rPr>
          <w:rFonts w:hint="eastAsia" w:cs="宋体"/>
          <w:color w:val="000000"/>
          <w:kern w:val="0"/>
          <w:sz w:val="21"/>
          <w:szCs w:val="21"/>
          <w:lang w:val="en-US" w:eastAsia="zh-CN" w:bidi="ar"/>
        </w:rPr>
        <w:t>除联合体协议书外，</w:t>
      </w:r>
      <w:r>
        <w:rPr>
          <w:rFonts w:hint="eastAsia" w:ascii="宋体" w:hAnsi="宋体" w:eastAsia="宋体" w:cs="宋体"/>
          <w:color w:val="000000"/>
          <w:kern w:val="0"/>
          <w:sz w:val="21"/>
          <w:szCs w:val="21"/>
          <w:lang w:val="en-US" w:eastAsia="zh-CN" w:bidi="ar"/>
        </w:rPr>
        <w:t>投标文件由联合体牵头人按上述规定加盖联合体牵头人单位电子印章和（或）法定代表人的个人电子印章或电子签名章</w:t>
      </w:r>
      <w:r>
        <w:rPr>
          <w:rFonts w:hint="eastAsia" w:cs="宋体"/>
          <w:color w:val="000000"/>
          <w:kern w:val="0"/>
          <w:sz w:val="21"/>
          <w:szCs w:val="21"/>
          <w:lang w:val="en-US" w:eastAsia="zh-CN" w:bidi="ar"/>
        </w:rPr>
        <w:t>，</w:t>
      </w:r>
      <w:r>
        <w:rPr>
          <w:rFonts w:hint="eastAsia" w:cs="宋体"/>
          <w:b/>
          <w:bCs/>
          <w:color w:val="auto"/>
          <w:kern w:val="0"/>
          <w:sz w:val="21"/>
          <w:szCs w:val="21"/>
          <w:lang w:val="en-US" w:eastAsia="zh-CN" w:bidi="ar"/>
        </w:rPr>
        <w:t>除授权委托书和法人身份证明外投标文件中涉及到的签字或签名均可用</w:t>
      </w:r>
      <w:r>
        <w:rPr>
          <w:rFonts w:hint="eastAsia" w:ascii="宋体" w:hAnsi="宋体" w:eastAsia="宋体" w:cs="宋体"/>
          <w:b/>
          <w:bCs/>
          <w:color w:val="auto"/>
          <w:kern w:val="0"/>
          <w:sz w:val="21"/>
          <w:szCs w:val="21"/>
          <w:lang w:val="en-US" w:eastAsia="zh-CN" w:bidi="ar"/>
        </w:rPr>
        <w:t>个人电子印章或电子签名章</w:t>
      </w:r>
      <w:r>
        <w:rPr>
          <w:rFonts w:hint="eastAsia" w:cs="宋体"/>
          <w:b/>
          <w:bCs/>
          <w:color w:val="auto"/>
          <w:kern w:val="0"/>
          <w:sz w:val="21"/>
          <w:szCs w:val="21"/>
          <w:lang w:val="en-US" w:eastAsia="zh-CN" w:bidi="ar"/>
        </w:rPr>
        <w:t>签署</w:t>
      </w:r>
      <w:r>
        <w:rPr>
          <w:rFonts w:hint="eastAsia" w:ascii="宋体" w:hAnsi="宋体" w:eastAsia="宋体" w:cs="宋体"/>
          <w:b/>
          <w:bCs/>
          <w:color w:val="auto"/>
          <w:kern w:val="0"/>
          <w:sz w:val="21"/>
          <w:szCs w:val="21"/>
          <w:lang w:val="en-US" w:eastAsia="zh-CN" w:bidi="ar"/>
        </w:rPr>
        <w:t>。</w:t>
      </w:r>
      <w:r>
        <w:rPr>
          <w:rFonts w:hint="eastAsia" w:ascii="宋体" w:hAnsi="宋体" w:eastAsia="宋体" w:cs="宋体"/>
          <w:b/>
          <w:bCs/>
          <w:color w:val="000000"/>
          <w:kern w:val="0"/>
          <w:sz w:val="21"/>
          <w:szCs w:val="21"/>
          <w:lang w:val="en-US" w:eastAsia="zh-CN" w:bidi="ar"/>
        </w:rPr>
        <w:t xml:space="preserve"> </w:t>
      </w:r>
    </w:p>
    <w:p w14:paraId="5820A6AA">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（6）投标文件制作完成后，投标人应使用 CA 数字证书对投标文件进行文件加密，形成加密的投标文件。 </w:t>
      </w:r>
    </w:p>
    <w:p w14:paraId="339E4F89">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（7）投标文件制作的具体方法详见“投标文件制作工具”中的帮助文档。 </w:t>
      </w:r>
    </w:p>
    <w:p w14:paraId="2FC506F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3.7.4 </w:t>
      </w:r>
      <w:r>
        <w:rPr>
          <w:rFonts w:hint="eastAsia" w:ascii="宋体" w:hAnsi="宋体" w:eastAsia="宋体" w:cs="宋体"/>
          <w:color w:val="000000"/>
          <w:kern w:val="0"/>
          <w:sz w:val="21"/>
          <w:szCs w:val="21"/>
          <w:lang w:val="en-US" w:eastAsia="zh-CN" w:bidi="ar"/>
        </w:rPr>
        <w:t>因投标人自身原因而导致投标文件无法导入“电子交易平台”电子开标、评标系统，该投标视为无效投标，投标人自行承担由此导致的全部责任。</w:t>
      </w:r>
    </w:p>
    <w:p w14:paraId="31913D41">
      <w:pPr>
        <w:keepNext w:val="0"/>
        <w:keepLines w:val="0"/>
        <w:pageBreakBefore w:val="0"/>
        <w:numPr>
          <w:ilvl w:val="0"/>
          <w:numId w:val="0"/>
        </w:numPr>
        <w:tabs>
          <w:tab w:val="left" w:pos="790"/>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93" w:name="_bookmark56"/>
      <w:bookmarkEnd w:id="93"/>
      <w:bookmarkStart w:id="94" w:name="_bookmark56"/>
      <w:bookmarkEnd w:id="94"/>
      <w:r>
        <w:rPr>
          <w:rFonts w:hint="default" w:ascii="黑体" w:hAnsi="黑体" w:eastAsia="黑体" w:cs="黑体"/>
          <w:w w:val="100"/>
          <w:sz w:val="21"/>
          <w:szCs w:val="21"/>
          <w:lang w:val="zh-CN" w:eastAsia="zh-CN" w:bidi="zh-CN"/>
        </w:rPr>
        <w:t>4.</w:t>
      </w:r>
      <w:r>
        <w:rPr>
          <w:rFonts w:hint="eastAsia" w:ascii="黑体" w:eastAsia="黑体"/>
          <w:sz w:val="21"/>
          <w:szCs w:val="21"/>
        </w:rPr>
        <w:t>投标</w:t>
      </w:r>
    </w:p>
    <w:p w14:paraId="4752A4CD">
      <w:pPr>
        <w:pStyle w:val="41"/>
        <w:keepNext w:val="0"/>
        <w:keepLines w:val="0"/>
        <w:pageBreakBefore w:val="0"/>
        <w:numPr>
          <w:ilvl w:val="1"/>
          <w:numId w:val="0"/>
        </w:numPr>
        <w:tabs>
          <w:tab w:val="left" w:pos="91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95" w:name="_bookmark57"/>
      <w:bookmarkEnd w:id="95"/>
      <w:bookmarkStart w:id="96" w:name="_bookmark57"/>
      <w:bookmarkEnd w:id="96"/>
      <w:r>
        <w:rPr>
          <w:rFonts w:hint="default" w:ascii="黑体" w:hAnsi="宋体" w:eastAsia="黑体" w:cs="宋体"/>
          <w:spacing w:val="-9"/>
          <w:w w:val="100"/>
          <w:sz w:val="21"/>
          <w:szCs w:val="21"/>
          <w:lang w:val="zh-CN" w:eastAsia="zh-CN" w:bidi="zh-CN"/>
        </w:rPr>
        <w:t>4.1</w:t>
      </w:r>
      <w:r>
        <w:rPr>
          <w:rFonts w:hint="eastAsia" w:ascii="黑体" w:eastAsia="黑体"/>
          <w:sz w:val="21"/>
          <w:szCs w:val="21"/>
          <w:lang w:val="en-US" w:eastAsia="zh-CN"/>
        </w:rPr>
        <w:t xml:space="preserve">投标文件的加密 </w:t>
      </w:r>
    </w:p>
    <w:p w14:paraId="4530AAA6">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投标文件应按照本章第 3.7.3 项要求制作并加密，未按要求加密的投标文件，招标人（“电子交易平台”）将拒绝接收并提示。</w:t>
      </w:r>
    </w:p>
    <w:p w14:paraId="64CAD5B4">
      <w:pPr>
        <w:pStyle w:val="41"/>
        <w:keepNext w:val="0"/>
        <w:keepLines w:val="0"/>
        <w:pageBreakBefore w:val="0"/>
        <w:numPr>
          <w:ilvl w:val="1"/>
          <w:numId w:val="0"/>
        </w:numPr>
        <w:tabs>
          <w:tab w:val="left" w:pos="91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97" w:name="_bookmark58"/>
      <w:bookmarkEnd w:id="97"/>
      <w:bookmarkStart w:id="98" w:name="_bookmark58"/>
      <w:bookmarkEnd w:id="98"/>
      <w:r>
        <w:rPr>
          <w:rFonts w:hint="default" w:ascii="黑体" w:hAnsi="宋体" w:eastAsia="黑体" w:cs="宋体"/>
          <w:spacing w:val="-9"/>
          <w:w w:val="100"/>
          <w:sz w:val="21"/>
          <w:szCs w:val="21"/>
          <w:lang w:val="zh-CN" w:eastAsia="zh-CN" w:bidi="zh-CN"/>
        </w:rPr>
        <w:t>4.2</w:t>
      </w:r>
      <w:r>
        <w:rPr>
          <w:rFonts w:hint="eastAsia" w:ascii="黑体" w:eastAsia="黑体"/>
          <w:sz w:val="21"/>
          <w:szCs w:val="21"/>
        </w:rPr>
        <w:t>投标文件的递交</w:t>
      </w:r>
    </w:p>
    <w:p w14:paraId="63F63D5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16" w:firstLineChars="200"/>
        <w:jc w:val="left"/>
        <w:textAlignment w:val="auto"/>
        <w:rPr>
          <w:sz w:val="21"/>
          <w:szCs w:val="21"/>
        </w:rPr>
      </w:pPr>
      <w:r>
        <w:rPr>
          <w:rFonts w:hint="eastAsia"/>
          <w:spacing w:val="-1"/>
          <w:sz w:val="21"/>
          <w:szCs w:val="21"/>
          <w:lang w:val="en-US" w:eastAsia="zh-CN"/>
        </w:rPr>
        <w:t>4.2.1</w:t>
      </w:r>
      <w:r>
        <w:rPr>
          <w:rFonts w:hint="eastAsia" w:ascii="宋体" w:hAnsi="宋体" w:eastAsia="宋体" w:cs="宋体"/>
          <w:color w:val="000000"/>
          <w:kern w:val="0"/>
          <w:sz w:val="21"/>
          <w:szCs w:val="21"/>
          <w:lang w:val="en-US" w:eastAsia="zh-CN" w:bidi="ar"/>
        </w:rPr>
        <w:t>投标人应在第一章“招标公告”或“投标邀请书”规定的投标截止时间前，通过互联网使用 CA 数字证书登录“电子交易平台”，将加密的投标文件上传，并保存上传成功后系统自动生成的电子签收凭证，递交时间即为电子签收凭证时间。投标人应充分考虑上传文件时的不可预见因素，未在投标截止时间前完成上传的，视为逾期送达，招标人（“电子交易平台”）将拒绝接收。</w:t>
      </w:r>
    </w:p>
    <w:p w14:paraId="09B391A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sz w:val="21"/>
          <w:szCs w:val="21"/>
        </w:rPr>
      </w:pPr>
      <w:r>
        <w:rPr>
          <w:rFonts w:ascii="Times New Roman"/>
          <w:sz w:val="21"/>
          <w:szCs w:val="21"/>
        </w:rPr>
        <w:t>4.2.</w:t>
      </w:r>
      <w:r>
        <w:rPr>
          <w:rFonts w:hint="eastAsia" w:ascii="Times New Roman"/>
          <w:sz w:val="21"/>
          <w:szCs w:val="21"/>
          <w:lang w:val="en-US" w:eastAsia="zh-CN"/>
        </w:rPr>
        <w:t>2</w:t>
      </w:r>
      <w:r>
        <w:rPr>
          <w:rFonts w:hint="eastAsia" w:ascii="宋体" w:hAnsi="宋体" w:eastAsia="宋体" w:cs="宋体"/>
          <w:color w:val="000000"/>
          <w:kern w:val="0"/>
          <w:sz w:val="21"/>
          <w:szCs w:val="21"/>
          <w:lang w:val="en-US" w:eastAsia="zh-CN" w:bidi="ar"/>
        </w:rPr>
        <w:t>根据本章第 4.1 款的规定，投标人递交的投标文件，只要出现应当拒收的情形，其投标文件予以拒收。</w:t>
      </w:r>
    </w:p>
    <w:p w14:paraId="6AFF9E9E">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99" w:name="_bookmark59"/>
      <w:bookmarkEnd w:id="99"/>
      <w:bookmarkStart w:id="100" w:name="_bookmark59"/>
      <w:bookmarkEnd w:id="100"/>
      <w:r>
        <w:rPr>
          <w:rFonts w:hint="default" w:ascii="黑体" w:hAnsi="宋体" w:eastAsia="黑体" w:cs="宋体"/>
          <w:spacing w:val="-9"/>
          <w:w w:val="100"/>
          <w:sz w:val="21"/>
          <w:szCs w:val="21"/>
          <w:lang w:val="zh-CN" w:eastAsia="zh-CN" w:bidi="zh-CN"/>
        </w:rPr>
        <w:t>4.3</w:t>
      </w:r>
      <w:r>
        <w:rPr>
          <w:rFonts w:hint="eastAsia" w:ascii="黑体" w:eastAsia="黑体"/>
          <w:sz w:val="21"/>
          <w:szCs w:val="21"/>
        </w:rPr>
        <w:t>投标文件的修改与撤回</w:t>
      </w:r>
    </w:p>
    <w:p w14:paraId="175C4D2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4.3.1在本章第 4.2.1 项规定的投标截止时间前，投标人可以修改或撤回已递交的投标文件。投标人对加密的投标文件进行撤回的，应在“电子交易平台”直接进行撤回操作；投标人对加密的投标文件进行修改的，应在投标截止时间前完成上传。 </w:t>
      </w:r>
    </w:p>
    <w:p w14:paraId="22DF9DA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4.3.2投标人修改投标文件的，应使用“投标文件制作工具”制作成完整的投标文件，并按照本章第3条、第4条规定进行编制、加密和递交。对采用网上递交的加密的投标文件，以投标截止时间前最后完成上传的文件为准。 </w:t>
      </w:r>
    </w:p>
    <w:p w14:paraId="63507709">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4.3.3投标人撤回投标文件的，招标人自收到投标人书面撤回通知之日起5日内退还已收取的投标保证金。</w:t>
      </w:r>
    </w:p>
    <w:p w14:paraId="12A2B65B">
      <w:pPr>
        <w:keepNext w:val="0"/>
        <w:keepLines w:val="0"/>
        <w:pageBreakBefore w:val="0"/>
        <w:numPr>
          <w:ilvl w:val="0"/>
          <w:numId w:val="0"/>
        </w:numPr>
        <w:tabs>
          <w:tab w:val="left" w:pos="790"/>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101" w:name="_bookmark60"/>
      <w:bookmarkEnd w:id="101"/>
      <w:bookmarkStart w:id="102" w:name="_bookmark60"/>
      <w:bookmarkEnd w:id="102"/>
      <w:r>
        <w:rPr>
          <w:rFonts w:hint="default" w:ascii="黑体" w:hAnsi="黑体" w:eastAsia="黑体" w:cs="黑体"/>
          <w:w w:val="100"/>
          <w:sz w:val="21"/>
          <w:szCs w:val="21"/>
          <w:lang w:val="zh-CN" w:eastAsia="zh-CN" w:bidi="zh-CN"/>
        </w:rPr>
        <w:t>5.</w:t>
      </w:r>
      <w:r>
        <w:rPr>
          <w:rFonts w:hint="eastAsia" w:ascii="黑体" w:eastAsia="黑体"/>
          <w:sz w:val="21"/>
          <w:szCs w:val="21"/>
        </w:rPr>
        <w:t>开标</w:t>
      </w:r>
    </w:p>
    <w:p w14:paraId="6FD5E3A9">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103" w:name="_bookmark61"/>
      <w:bookmarkEnd w:id="103"/>
      <w:bookmarkStart w:id="104" w:name="_bookmark61"/>
      <w:bookmarkEnd w:id="104"/>
      <w:r>
        <w:rPr>
          <w:rFonts w:hint="default" w:ascii="黑体" w:hAnsi="宋体" w:eastAsia="黑体" w:cs="宋体"/>
          <w:spacing w:val="-9"/>
          <w:w w:val="100"/>
          <w:sz w:val="21"/>
          <w:szCs w:val="21"/>
          <w:lang w:val="zh-CN" w:eastAsia="zh-CN" w:bidi="zh-CN"/>
        </w:rPr>
        <w:t>5.1</w:t>
      </w:r>
      <w:r>
        <w:rPr>
          <w:rFonts w:hint="eastAsia" w:ascii="黑体" w:eastAsia="黑体"/>
          <w:sz w:val="21"/>
          <w:szCs w:val="21"/>
        </w:rPr>
        <w:t>开标时间和地点</w:t>
      </w:r>
    </w:p>
    <w:p w14:paraId="4DED8D3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rFonts w:hint="eastAsia"/>
          <w:sz w:val="21"/>
          <w:szCs w:val="21"/>
          <w:lang w:val="en-US" w:eastAsia="zh-CN"/>
        </w:rPr>
        <w:t xml:space="preserve">招标人在本章第 4.2.1 项规定的投标截止时间（开标时间）和投标人须知前附表规定的地点对收到的投标文件第一个信封（商务及技术文件）公开开标。 </w:t>
      </w:r>
    </w:p>
    <w:p w14:paraId="06037D8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rFonts w:hint="eastAsia"/>
          <w:sz w:val="21"/>
          <w:szCs w:val="21"/>
          <w:lang w:val="en-US" w:eastAsia="zh-CN"/>
        </w:rPr>
        <w:t xml:space="preserve">招标人在投标人须知前附表规定的时间和地点对投标文件第二个信封（报价文件）进行开标。 </w:t>
      </w:r>
    </w:p>
    <w:p w14:paraId="7F5872B6">
      <w:pPr>
        <w:pStyle w:val="41"/>
        <w:keepNext w:val="0"/>
        <w:keepLines w:val="0"/>
        <w:pageBreakBefore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ascii="黑体"/>
          <w:sz w:val="21"/>
          <w:szCs w:val="21"/>
        </w:rPr>
      </w:pPr>
      <w:bookmarkStart w:id="105" w:name="_bookmark63"/>
      <w:bookmarkEnd w:id="105"/>
      <w:bookmarkStart w:id="106" w:name="_bookmark63"/>
      <w:bookmarkEnd w:id="106"/>
      <w:r>
        <w:rPr>
          <w:rFonts w:hint="default" w:ascii="黑体" w:hAnsi="宋体" w:eastAsia="宋体" w:cs="宋体"/>
          <w:spacing w:val="-9"/>
          <w:w w:val="100"/>
          <w:sz w:val="21"/>
          <w:szCs w:val="21"/>
          <w:lang w:val="zh-CN" w:eastAsia="zh-CN" w:bidi="zh-CN"/>
        </w:rPr>
        <w:t>5.2</w:t>
      </w:r>
      <w:r>
        <w:rPr>
          <w:rFonts w:hint="eastAsia" w:ascii="黑体" w:eastAsia="黑体"/>
          <w:sz w:val="21"/>
          <w:szCs w:val="21"/>
        </w:rPr>
        <w:t>开标程序</w:t>
      </w:r>
    </w:p>
    <w:p w14:paraId="0A0B65D9">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5.2.1 主持人按下列程序对投标文件第一个信封（商务及技术文件）进行开标： </w:t>
      </w:r>
    </w:p>
    <w:p w14:paraId="6D722C3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（1）宣布开标纪律； </w:t>
      </w:r>
    </w:p>
    <w:p w14:paraId="53DB1CC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（2）公布在投标截止时间前递交投标文件的投标人数量； </w:t>
      </w:r>
    </w:p>
    <w:p w14:paraId="4CF146D2">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（3）宣布开标人、唱标人、记录人等有关人员姓名； </w:t>
      </w:r>
    </w:p>
    <w:p w14:paraId="7C3A3DA2">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（4）由招标人现场随机抽取的投标人代表抽取评标基准价系数（如有）； </w:t>
      </w:r>
    </w:p>
    <w:p w14:paraId="23674ECA">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（5）投标人代表解密加密的投标文件； </w:t>
      </w:r>
    </w:p>
    <w:p w14:paraId="641719A5">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（6）招标人对未成功解密的投标文件进行退回并按本章第5.3款进行补救处理，对已解密成功的投标文件进行二次解密； </w:t>
      </w:r>
    </w:p>
    <w:p w14:paraId="7D75032D">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（7）导入并读取所有解密成功的投标文件第一个信封（商务及技术文件）的内容； </w:t>
      </w:r>
    </w:p>
    <w:p w14:paraId="4432D355">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（8）公布标段名称、投标人名称、投标保证金的递交情况、工期及其他内容，并记录在案； </w:t>
      </w:r>
    </w:p>
    <w:p w14:paraId="047C223D">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（9）投标人代表、招标人代表、记录人等有关人员在开标记录上签字确认； </w:t>
      </w:r>
    </w:p>
    <w:p w14:paraId="0656E51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（10）开标结束。 </w:t>
      </w:r>
    </w:p>
    <w:p w14:paraId="5FFDA6D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5.2.2 投标文件第二个信封（报价文件）在投标文件第一个信封（商务及技术文件）完成评审前，“电子交易平台”的开标评标系统将不进行读取</w:t>
      </w:r>
      <w:r>
        <w:rPr>
          <w:rFonts w:hint="eastAsia" w:cs="宋体"/>
          <w:b/>
          <w:bCs/>
          <w:color w:val="000000"/>
          <w:kern w:val="0"/>
          <w:sz w:val="21"/>
          <w:szCs w:val="21"/>
          <w:lang w:val="en-US" w:eastAsia="zh-CN" w:bidi="ar"/>
        </w:rPr>
        <w:t>，具体以开标系统为准</w:t>
      </w:r>
      <w:r>
        <w:rPr>
          <w:rFonts w:hint="eastAsia" w:ascii="宋体" w:hAnsi="宋体" w:eastAsia="宋体" w:cs="宋体"/>
          <w:color w:val="000000"/>
          <w:kern w:val="0"/>
          <w:sz w:val="21"/>
          <w:szCs w:val="21"/>
          <w:lang w:val="en-US" w:eastAsia="zh-CN" w:bidi="ar"/>
        </w:rPr>
        <w:t xml:space="preserve">。 </w:t>
      </w:r>
    </w:p>
    <w:p w14:paraId="1130C433">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5.2.3招标人将按照本章第5.1款规定的时间和地点对投标文件第二个信封（报价文件）进行开标。主持人按下列程序进行开标： </w:t>
      </w:r>
    </w:p>
    <w:p w14:paraId="71736BF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（1）宣布开标纪律； </w:t>
      </w:r>
    </w:p>
    <w:p w14:paraId="69E2051F">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（2）当众拆开投标文件第一个信封（商务及技术文件）评审结果的密封袋，宣布通过投标文件第一个信封（商务及技术文件）评审的投标人名单； </w:t>
      </w:r>
    </w:p>
    <w:p w14:paraId="45024AED">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（3）宣布开标人、唱标人、记录人等有关人员姓名； </w:t>
      </w:r>
    </w:p>
    <w:p w14:paraId="48A4F9ED">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（4）开标人将所有投标文件第二个信封（报价文件）的内容导入“电子交易平台”的开标评标系统，未通过投标文件第一个信封（商务及技术文件）评审的投标人的第二个信封（报价文件）不予读取； </w:t>
      </w:r>
    </w:p>
    <w:p w14:paraId="3DDEE715">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（5）公布标段名称、投标人名称、投标报价及其他内容，并记录在案； </w:t>
      </w:r>
    </w:p>
    <w:p w14:paraId="37603DF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（6）投标人代表、招标人代表、记录人等有关人员在开标记录上签字确认； </w:t>
      </w:r>
    </w:p>
    <w:p w14:paraId="3F17322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（7）开标结束。 </w:t>
      </w:r>
    </w:p>
    <w:p w14:paraId="3557480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5.2.4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 </w:t>
      </w:r>
    </w:p>
    <w:p w14:paraId="34E757A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（1）未在投标函上填写投标总价；</w:t>
      </w:r>
    </w:p>
    <w:p w14:paraId="35B14A99">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（2）投标报价或调价函中的报价超出招标人公布的最高投标限价（如有）； </w:t>
      </w:r>
    </w:p>
    <w:p w14:paraId="5318E344">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（3）投标报价或调价函中报价的大写金额无法确定具体数值； </w:t>
      </w:r>
    </w:p>
    <w:p w14:paraId="6502142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（4）投标函上填写的标段号与投标文件封套上标记的标段号不一致。 </w:t>
      </w:r>
    </w:p>
    <w:p w14:paraId="3C5A0324">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 </w:t>
      </w:r>
    </w:p>
    <w:p w14:paraId="11B1309E">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5.2.5 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 </w:t>
      </w:r>
    </w:p>
    <w:p w14:paraId="2C00E00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bookmarkStart w:id="107" w:name="_bookmark66"/>
      <w:bookmarkEnd w:id="107"/>
      <w:bookmarkStart w:id="108" w:name="_bookmark66"/>
      <w:bookmarkEnd w:id="108"/>
      <w:r>
        <w:rPr>
          <w:rFonts w:ascii="黑体" w:hAnsi="宋体" w:eastAsia="黑体" w:cs="黑体"/>
          <w:color w:val="000000"/>
          <w:kern w:val="0"/>
          <w:sz w:val="21"/>
          <w:szCs w:val="21"/>
          <w:lang w:val="en-US" w:eastAsia="zh-CN" w:bidi="ar"/>
        </w:rPr>
        <w:t xml:space="preserve">5.3 </w:t>
      </w:r>
      <w:r>
        <w:rPr>
          <w:rFonts w:hint="eastAsia" w:ascii="黑体" w:hAnsi="宋体" w:eastAsia="黑体" w:cs="黑体"/>
          <w:color w:val="000000"/>
          <w:kern w:val="0"/>
          <w:sz w:val="21"/>
          <w:szCs w:val="21"/>
          <w:lang w:val="en-US" w:eastAsia="zh-CN" w:bidi="ar"/>
        </w:rPr>
        <w:t xml:space="preserve">开标补救措施 </w:t>
      </w:r>
    </w:p>
    <w:p w14:paraId="0D44C744">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5.3.1 开标过程中因本章第5.3.2项、第5.3.3项所列原因，导致系统无法正常运行，将按投标人须知前附表的规定采取补救措施。 </w:t>
      </w:r>
    </w:p>
    <w:p w14:paraId="3DE4CEF6">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5.3.2 因“电子交易平台”系统故障导致投标人无法正常上传加密的投标文件，投标人应打印并递交电子交易平台自动生成的上传失败的异常记录单。 </w:t>
      </w:r>
    </w:p>
    <w:p w14:paraId="567FE952">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5.3.3 当出现以下情况时，应对未开标的中止电子开标，并在恢复正常后及时安排时间开标： </w:t>
      </w:r>
    </w:p>
    <w:p w14:paraId="15040C9A">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（1）系统服务器发生故障，无法访问或无法使用系统； </w:t>
      </w:r>
    </w:p>
    <w:p w14:paraId="53900F8D">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（2）系统的软件或数据库出现错误，不能进行正常操作； </w:t>
      </w:r>
    </w:p>
    <w:p w14:paraId="7BF4A67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（3）系统发现有安全漏洞，有潜在的泄密危险； </w:t>
      </w:r>
    </w:p>
    <w:p w14:paraId="7FAC39F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（4）出现断电事故且短时间内无法恢复供电； </w:t>
      </w:r>
    </w:p>
    <w:p w14:paraId="193B104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（5）其他无法保证招投标过程正常进行的情形。 </w:t>
      </w:r>
    </w:p>
    <w:p w14:paraId="5C52B9C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5.3.4 采取补救措施时，必须对原有资料及信息作出妥善保密处理。 </w:t>
      </w:r>
    </w:p>
    <w:p w14:paraId="22376E8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黑体" w:hAnsi="宋体" w:eastAsia="黑体" w:cs="黑体"/>
          <w:color w:val="000000"/>
          <w:kern w:val="0"/>
          <w:sz w:val="21"/>
          <w:szCs w:val="21"/>
          <w:lang w:val="en-US" w:eastAsia="zh-CN" w:bidi="ar"/>
        </w:rPr>
        <w:t xml:space="preserve">5.4 开标异议 </w:t>
      </w:r>
    </w:p>
    <w:p w14:paraId="6EF57B1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both"/>
        <w:textAlignment w:val="auto"/>
        <w:rPr>
          <w:sz w:val="21"/>
          <w:szCs w:val="21"/>
        </w:rPr>
      </w:pPr>
      <w:r>
        <w:rPr>
          <w:rFonts w:hint="eastAsia" w:ascii="宋体" w:hAnsi="宋体" w:eastAsia="宋体" w:cs="宋体"/>
          <w:color w:val="000000"/>
          <w:kern w:val="0"/>
          <w:sz w:val="21"/>
          <w:szCs w:val="21"/>
          <w:lang w:val="en-US" w:eastAsia="zh-CN" w:bidi="ar"/>
        </w:rPr>
        <w:t xml:space="preserve">投标人对开标有异议的，应在开标现场提出，招标人当场作出答复，并制作记录，有异议的投标人代表、招标人代表、记录人等有关人员在记录上签字确认。 </w:t>
      </w:r>
    </w:p>
    <w:p w14:paraId="32C489CC">
      <w:pPr>
        <w:keepNext w:val="0"/>
        <w:keepLines w:val="0"/>
        <w:pageBreakBefore w:val="0"/>
        <w:numPr>
          <w:ilvl w:val="0"/>
          <w:numId w:val="0"/>
        </w:numPr>
        <w:tabs>
          <w:tab w:val="left" w:pos="790"/>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r>
        <w:rPr>
          <w:rFonts w:hint="default" w:ascii="黑体" w:hAnsi="黑体" w:eastAsia="黑体" w:cs="黑体"/>
          <w:w w:val="100"/>
          <w:sz w:val="21"/>
          <w:szCs w:val="21"/>
          <w:lang w:val="zh-CN" w:eastAsia="zh-CN" w:bidi="zh-CN"/>
        </w:rPr>
        <w:t>6.</w:t>
      </w:r>
      <w:r>
        <w:rPr>
          <w:rFonts w:hint="eastAsia" w:ascii="黑体" w:eastAsia="黑体"/>
          <w:sz w:val="21"/>
          <w:szCs w:val="21"/>
        </w:rPr>
        <w:t>评标</w:t>
      </w:r>
    </w:p>
    <w:p w14:paraId="6D3D72DF">
      <w:pPr>
        <w:pStyle w:val="41"/>
        <w:keepNext w:val="0"/>
        <w:keepLines w:val="0"/>
        <w:pageBreakBefore w:val="0"/>
        <w:widowControl w:val="0"/>
        <w:numPr>
          <w:ilvl w:val="1"/>
          <w:numId w:val="0"/>
        </w:numPr>
        <w:tabs>
          <w:tab w:val="left" w:pos="91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109" w:name="_bookmark67"/>
      <w:bookmarkEnd w:id="109"/>
      <w:bookmarkStart w:id="110" w:name="_bookmark67"/>
      <w:bookmarkEnd w:id="110"/>
      <w:r>
        <w:rPr>
          <w:rFonts w:hint="default" w:ascii="黑体" w:hAnsi="宋体" w:eastAsia="黑体" w:cs="宋体"/>
          <w:spacing w:val="-9"/>
          <w:w w:val="100"/>
          <w:sz w:val="21"/>
          <w:szCs w:val="21"/>
          <w:lang w:val="zh-CN" w:eastAsia="zh-CN" w:bidi="zh-CN"/>
        </w:rPr>
        <w:t>6.1</w:t>
      </w:r>
      <w:r>
        <w:rPr>
          <w:rFonts w:hint="eastAsia" w:ascii="黑体" w:eastAsia="黑体"/>
          <w:sz w:val="21"/>
          <w:szCs w:val="21"/>
        </w:rPr>
        <w:t>评标委员会</w:t>
      </w:r>
    </w:p>
    <w:p w14:paraId="1124462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rFonts w:ascii="Times New Roman"/>
          <w:sz w:val="21"/>
          <w:szCs w:val="21"/>
        </w:rPr>
        <w:t>6.1.1</w:t>
      </w:r>
      <w:r>
        <w:rPr>
          <w:sz w:val="21"/>
          <w:szCs w:val="21"/>
        </w:rPr>
        <w:t>评标委员会成员有下列情形之一的，应主动提出回避：</w:t>
      </w:r>
    </w:p>
    <w:p w14:paraId="72096C06">
      <w:pPr>
        <w:pStyle w:val="41"/>
        <w:keepNext w:val="0"/>
        <w:keepLines w:val="0"/>
        <w:pageBreakBefore w:val="0"/>
        <w:widowControl w:val="0"/>
        <w:numPr>
          <w:ilvl w:val="0"/>
          <w:numId w:val="4"/>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sz w:val="21"/>
          <w:szCs w:val="21"/>
        </w:rPr>
      </w:pPr>
      <w:r>
        <w:rPr>
          <w:sz w:val="21"/>
          <w:szCs w:val="21"/>
        </w:rPr>
        <w:t>为负责招标项目监督管理的交通运输主管部门的工作人员；</w:t>
      </w:r>
    </w:p>
    <w:p w14:paraId="1762F735">
      <w:pPr>
        <w:pStyle w:val="41"/>
        <w:keepNext w:val="0"/>
        <w:keepLines w:val="0"/>
        <w:pageBreakBefore w:val="0"/>
        <w:widowControl w:val="0"/>
        <w:numPr>
          <w:ilvl w:val="0"/>
          <w:numId w:val="4"/>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sz w:val="21"/>
          <w:szCs w:val="21"/>
        </w:rPr>
      </w:pPr>
      <w:r>
        <w:rPr>
          <w:sz w:val="21"/>
          <w:szCs w:val="21"/>
        </w:rPr>
        <w:t>与投标人法定代表人或其委托代理人有近亲属关系；</w:t>
      </w:r>
    </w:p>
    <w:p w14:paraId="437F23F3">
      <w:pPr>
        <w:pStyle w:val="41"/>
        <w:keepNext w:val="0"/>
        <w:keepLines w:val="0"/>
        <w:pageBreakBefore w:val="0"/>
        <w:widowControl w:val="0"/>
        <w:numPr>
          <w:ilvl w:val="0"/>
          <w:numId w:val="4"/>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sz w:val="21"/>
          <w:szCs w:val="21"/>
        </w:rPr>
      </w:pPr>
      <w:r>
        <w:rPr>
          <w:sz w:val="21"/>
          <w:szCs w:val="21"/>
        </w:rPr>
        <w:t>为投标人的工作人员或退休人员；</w:t>
      </w:r>
    </w:p>
    <w:p w14:paraId="0C43E7AA">
      <w:pPr>
        <w:pStyle w:val="41"/>
        <w:keepNext w:val="0"/>
        <w:keepLines w:val="0"/>
        <w:pageBreakBefore w:val="0"/>
        <w:widowControl w:val="0"/>
        <w:numPr>
          <w:ilvl w:val="0"/>
          <w:numId w:val="4"/>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left"/>
        <w:textAlignment w:val="auto"/>
        <w:rPr>
          <w:sz w:val="21"/>
          <w:szCs w:val="21"/>
        </w:rPr>
      </w:pPr>
      <w:r>
        <w:rPr>
          <w:sz w:val="21"/>
          <w:szCs w:val="21"/>
        </w:rPr>
        <w:t>与投标人有其他利害关系，可能影响评标活动公正性；</w:t>
      </w:r>
    </w:p>
    <w:p w14:paraId="7B8429A0">
      <w:pPr>
        <w:pStyle w:val="41"/>
        <w:keepNext w:val="0"/>
        <w:keepLines w:val="0"/>
        <w:pageBreakBefore w:val="0"/>
        <w:widowControl w:val="0"/>
        <w:numPr>
          <w:ilvl w:val="0"/>
          <w:numId w:val="4"/>
        </w:numPr>
        <w:tabs>
          <w:tab w:val="left" w:pos="1331"/>
        </w:tabs>
        <w:kinsoku/>
        <w:wordWrap/>
        <w:overflowPunct/>
        <w:topLinePunct w:val="0"/>
        <w:autoSpaceDE w:val="0"/>
        <w:autoSpaceDN w:val="0"/>
        <w:bidi w:val="0"/>
        <w:adjustRightInd/>
        <w:snapToGrid/>
        <w:spacing w:before="0" w:after="0" w:line="360" w:lineRule="auto"/>
        <w:ind w:left="0" w:leftChars="0" w:right="0" w:firstLine="396" w:firstLineChars="200"/>
        <w:jc w:val="left"/>
        <w:textAlignment w:val="auto"/>
        <w:rPr>
          <w:sz w:val="21"/>
          <w:szCs w:val="21"/>
        </w:rPr>
      </w:pPr>
      <w:r>
        <w:rPr>
          <w:spacing w:val="-6"/>
          <w:sz w:val="21"/>
          <w:szCs w:val="21"/>
        </w:rPr>
        <w:t>在与招标投标有关的活动中有过违法违规行为、曾受过行政处罚或刑事处罚。</w:t>
      </w:r>
    </w:p>
    <w:p w14:paraId="5D841D8B">
      <w:pPr>
        <w:pStyle w:val="41"/>
        <w:keepNext w:val="0"/>
        <w:keepLines w:val="0"/>
        <w:pageBreakBefore w:val="0"/>
        <w:widowControl w:val="0"/>
        <w:numPr>
          <w:ilvl w:val="2"/>
          <w:numId w:val="5"/>
        </w:numPr>
        <w:tabs>
          <w:tab w:val="left" w:pos="1450"/>
        </w:tabs>
        <w:kinsoku/>
        <w:wordWrap/>
        <w:overflowPunct/>
        <w:topLinePunct w:val="0"/>
        <w:autoSpaceDE w:val="0"/>
        <w:autoSpaceDN w:val="0"/>
        <w:bidi w:val="0"/>
        <w:adjustRightInd/>
        <w:snapToGrid/>
        <w:spacing w:before="0" w:after="0" w:line="360" w:lineRule="auto"/>
        <w:ind w:left="0" w:leftChars="0" w:right="0" w:firstLine="416" w:firstLineChars="200"/>
        <w:jc w:val="both"/>
        <w:textAlignment w:val="auto"/>
        <w:rPr>
          <w:sz w:val="21"/>
          <w:szCs w:val="21"/>
        </w:rPr>
      </w:pPr>
      <w:r>
        <w:rPr>
          <w:spacing w:val="-1"/>
          <w:sz w:val="21"/>
          <w:szCs w:val="21"/>
        </w:rPr>
        <w:t>评标过程中，评标委员会成员有回避事由、擅离职守或因健康等原因不能</w:t>
      </w:r>
      <w:r>
        <w:rPr>
          <w:spacing w:val="-10"/>
          <w:sz w:val="21"/>
          <w:szCs w:val="21"/>
        </w:rPr>
        <w:t>继续评标的，招标人有权更换。被更换的评标委员会成员作出的评审结论无效，由更</w:t>
      </w:r>
      <w:r>
        <w:rPr>
          <w:sz w:val="21"/>
          <w:szCs w:val="21"/>
        </w:rPr>
        <w:t>换后的评标委员会成员重新进行评审。</w:t>
      </w:r>
    </w:p>
    <w:p w14:paraId="2F858E79">
      <w:pPr>
        <w:pStyle w:val="41"/>
        <w:keepNext w:val="0"/>
        <w:keepLines w:val="0"/>
        <w:pageBreakBefore w:val="0"/>
        <w:widowControl w:val="0"/>
        <w:numPr>
          <w:ilvl w:val="1"/>
          <w:numId w:val="0"/>
        </w:numPr>
        <w:tabs>
          <w:tab w:val="left" w:pos="91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111" w:name="_bookmark68"/>
      <w:bookmarkEnd w:id="111"/>
      <w:bookmarkStart w:id="112" w:name="_bookmark68"/>
      <w:bookmarkEnd w:id="112"/>
      <w:r>
        <w:rPr>
          <w:rFonts w:hint="default" w:ascii="黑体" w:hAnsi="宋体" w:eastAsia="黑体" w:cs="宋体"/>
          <w:spacing w:val="-9"/>
          <w:w w:val="100"/>
          <w:sz w:val="21"/>
          <w:szCs w:val="21"/>
          <w:lang w:val="zh-CN" w:eastAsia="zh-CN" w:bidi="zh-CN"/>
        </w:rPr>
        <w:t>6.2</w:t>
      </w:r>
      <w:r>
        <w:rPr>
          <w:rFonts w:hint="eastAsia" w:ascii="黑体" w:eastAsia="黑体"/>
          <w:sz w:val="21"/>
          <w:szCs w:val="21"/>
        </w:rPr>
        <w:t>评标原则</w:t>
      </w:r>
    </w:p>
    <w:p w14:paraId="18642649">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left"/>
        <w:textAlignment w:val="auto"/>
        <w:rPr>
          <w:rFonts w:hint="eastAsia" w:ascii="黑体" w:eastAsia="黑体"/>
          <w:sz w:val="21"/>
          <w:szCs w:val="21"/>
        </w:rPr>
      </w:pPr>
      <w:bookmarkStart w:id="113" w:name="_bookmark69"/>
      <w:bookmarkEnd w:id="113"/>
      <w:bookmarkStart w:id="114" w:name="_bookmark69"/>
      <w:bookmarkEnd w:id="114"/>
      <w:r>
        <w:rPr>
          <w:rFonts w:hint="default" w:ascii="黑体" w:hAnsi="宋体" w:eastAsia="黑体" w:cs="宋体"/>
          <w:spacing w:val="-9"/>
          <w:w w:val="100"/>
          <w:sz w:val="21"/>
          <w:szCs w:val="21"/>
          <w:lang w:val="zh-CN" w:eastAsia="zh-CN" w:bidi="zh-CN"/>
        </w:rPr>
        <w:t>6.3</w:t>
      </w:r>
      <w:r>
        <w:rPr>
          <w:rFonts w:hint="eastAsia" w:ascii="黑体" w:eastAsia="黑体"/>
          <w:sz w:val="21"/>
          <w:szCs w:val="21"/>
        </w:rPr>
        <w:t>评标</w:t>
      </w:r>
    </w:p>
    <w:p w14:paraId="3523F8B2">
      <w:pPr>
        <w:pStyle w:val="41"/>
        <w:keepNext w:val="0"/>
        <w:keepLines w:val="0"/>
        <w:pageBreakBefore w:val="0"/>
        <w:widowControl w:val="0"/>
        <w:numPr>
          <w:ilvl w:val="0"/>
          <w:numId w:val="0"/>
        </w:numPr>
        <w:tabs>
          <w:tab w:val="left" w:pos="145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sz w:val="21"/>
          <w:szCs w:val="21"/>
        </w:rPr>
      </w:pPr>
      <w:r>
        <w:rPr>
          <w:rFonts w:hint="eastAsia"/>
          <w:sz w:val="21"/>
          <w:szCs w:val="21"/>
          <w:lang w:val="en-US" w:eastAsia="zh-CN"/>
        </w:rPr>
        <w:t>6.3.1</w:t>
      </w:r>
      <w:r>
        <w:rPr>
          <w:sz w:val="21"/>
          <w:szCs w:val="21"/>
        </w:rPr>
        <w:t>评标委员会按照第三章</w:t>
      </w:r>
      <w:r>
        <w:rPr>
          <w:rFonts w:ascii="Times New Roman" w:hAnsi="Times New Roman" w:eastAsia="Times New Roman"/>
          <w:sz w:val="21"/>
          <w:szCs w:val="21"/>
        </w:rPr>
        <w:t>“</w:t>
      </w:r>
      <w:r>
        <w:rPr>
          <w:sz w:val="21"/>
          <w:szCs w:val="21"/>
        </w:rPr>
        <w:t>评标办法</w:t>
      </w:r>
      <w:r>
        <w:rPr>
          <w:rFonts w:ascii="Times New Roman" w:hAnsi="Times New Roman" w:eastAsia="Times New Roman"/>
          <w:sz w:val="21"/>
          <w:szCs w:val="21"/>
        </w:rPr>
        <w:t>”</w:t>
      </w:r>
      <w:r>
        <w:rPr>
          <w:spacing w:val="-1"/>
          <w:sz w:val="21"/>
          <w:szCs w:val="21"/>
        </w:rPr>
        <w:t>规定的方法、评审因素、标准和程序对</w:t>
      </w:r>
      <w:r>
        <w:rPr>
          <w:spacing w:val="-3"/>
          <w:sz w:val="21"/>
          <w:szCs w:val="21"/>
        </w:rPr>
        <w:t>投标文件进行评审。第三章</w:t>
      </w:r>
      <w:r>
        <w:rPr>
          <w:rFonts w:ascii="Times New Roman" w:hAnsi="Times New Roman" w:eastAsia="Times New Roman"/>
          <w:sz w:val="21"/>
          <w:szCs w:val="21"/>
        </w:rPr>
        <w:t>“</w:t>
      </w:r>
      <w:r>
        <w:rPr>
          <w:sz w:val="21"/>
          <w:szCs w:val="21"/>
        </w:rPr>
        <w:t>评标办法</w:t>
      </w:r>
      <w:r>
        <w:rPr>
          <w:rFonts w:ascii="Times New Roman" w:hAnsi="Times New Roman" w:eastAsia="Times New Roman"/>
          <w:sz w:val="21"/>
          <w:szCs w:val="21"/>
        </w:rPr>
        <w:t>”</w:t>
      </w:r>
      <w:r>
        <w:rPr>
          <w:spacing w:val="-6"/>
          <w:sz w:val="21"/>
          <w:szCs w:val="21"/>
        </w:rPr>
        <w:t>没有规定的方法、评审因素和标准，不作为评</w:t>
      </w:r>
      <w:r>
        <w:rPr>
          <w:sz w:val="21"/>
          <w:szCs w:val="21"/>
        </w:rPr>
        <w:t>标依据。</w:t>
      </w:r>
    </w:p>
    <w:p w14:paraId="55DBBB1A">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376" w:firstLineChars="200"/>
        <w:jc w:val="both"/>
        <w:textAlignment w:val="auto"/>
        <w:rPr>
          <w:sz w:val="21"/>
          <w:szCs w:val="21"/>
        </w:rPr>
      </w:pPr>
      <w:r>
        <w:rPr>
          <w:rFonts w:hint="eastAsia"/>
          <w:spacing w:val="-11"/>
          <w:sz w:val="21"/>
          <w:szCs w:val="21"/>
          <w:lang w:val="en-US" w:eastAsia="zh-CN"/>
        </w:rPr>
        <w:t>6.3.2</w:t>
      </w:r>
      <w:r>
        <w:rPr>
          <w:spacing w:val="-11"/>
          <w:sz w:val="21"/>
          <w:szCs w:val="21"/>
        </w:rPr>
        <w:t>评标完成后，评标委员会应向招标人提交书面评标报告和中标候选人名单。</w:t>
      </w:r>
      <w:r>
        <w:rPr>
          <w:sz w:val="21"/>
          <w:szCs w:val="21"/>
        </w:rPr>
        <w:t>评标委员会推荐中标候选人的人数见投标人须知前附表。</w:t>
      </w:r>
    </w:p>
    <w:p w14:paraId="7B7CC1C0">
      <w:pPr>
        <w:keepNext w:val="0"/>
        <w:keepLines w:val="0"/>
        <w:pageBreakBefore w:val="0"/>
        <w:widowControl w:val="0"/>
        <w:numPr>
          <w:ilvl w:val="0"/>
          <w:numId w:val="0"/>
        </w:numPr>
        <w:tabs>
          <w:tab w:val="left" w:pos="790"/>
        </w:tabs>
        <w:kinsoku/>
        <w:wordWrap/>
        <w:overflowPunct/>
        <w:topLinePunct w:val="0"/>
        <w:autoSpaceDE w:val="0"/>
        <w:autoSpaceDN w:val="0"/>
        <w:bidi w:val="0"/>
        <w:adjustRightInd/>
        <w:snapToGrid/>
        <w:spacing w:before="0" w:line="360" w:lineRule="auto"/>
        <w:ind w:left="0" w:leftChars="0" w:right="0" w:rightChars="0" w:firstLine="420" w:firstLineChars="200"/>
        <w:jc w:val="both"/>
        <w:textAlignment w:val="auto"/>
        <w:rPr>
          <w:rFonts w:hint="eastAsia" w:ascii="黑体" w:eastAsia="黑体"/>
          <w:sz w:val="21"/>
          <w:szCs w:val="21"/>
        </w:rPr>
      </w:pPr>
      <w:bookmarkStart w:id="115" w:name="_bookmark70"/>
      <w:bookmarkEnd w:id="115"/>
      <w:bookmarkStart w:id="116" w:name="_bookmark70"/>
      <w:bookmarkEnd w:id="116"/>
      <w:r>
        <w:rPr>
          <w:rFonts w:hint="default" w:ascii="黑体" w:hAnsi="黑体" w:eastAsia="黑体" w:cs="黑体"/>
          <w:w w:val="100"/>
          <w:sz w:val="21"/>
          <w:szCs w:val="21"/>
          <w:lang w:val="zh-CN" w:eastAsia="zh-CN" w:bidi="zh-CN"/>
        </w:rPr>
        <w:t>7.</w:t>
      </w:r>
      <w:r>
        <w:rPr>
          <w:rFonts w:hint="eastAsia" w:ascii="黑体" w:eastAsia="黑体"/>
          <w:sz w:val="21"/>
          <w:szCs w:val="21"/>
        </w:rPr>
        <w:t>合同授予</w:t>
      </w:r>
    </w:p>
    <w:p w14:paraId="7C28F0C3">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both"/>
        <w:textAlignment w:val="auto"/>
        <w:rPr>
          <w:rFonts w:hint="eastAsia" w:ascii="黑体" w:eastAsia="黑体"/>
          <w:sz w:val="21"/>
          <w:szCs w:val="21"/>
        </w:rPr>
      </w:pPr>
      <w:bookmarkStart w:id="117" w:name="_bookmark71"/>
      <w:bookmarkEnd w:id="117"/>
      <w:bookmarkStart w:id="118" w:name="_bookmark71"/>
      <w:bookmarkEnd w:id="118"/>
      <w:r>
        <w:rPr>
          <w:rFonts w:hint="default" w:ascii="黑体" w:hAnsi="宋体" w:eastAsia="黑体" w:cs="宋体"/>
          <w:spacing w:val="-9"/>
          <w:w w:val="100"/>
          <w:sz w:val="21"/>
          <w:szCs w:val="21"/>
          <w:lang w:val="zh-CN" w:eastAsia="zh-CN" w:bidi="zh-CN"/>
        </w:rPr>
        <w:t>7.1</w:t>
      </w:r>
      <w:r>
        <w:rPr>
          <w:rFonts w:hint="eastAsia" w:ascii="黑体" w:eastAsia="黑体"/>
          <w:sz w:val="21"/>
          <w:szCs w:val="21"/>
        </w:rPr>
        <w:t>中标候选人公示</w:t>
      </w:r>
    </w:p>
    <w:p w14:paraId="598C043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招标人在收到评标报告之日起</w:t>
      </w:r>
      <w:r>
        <w:rPr>
          <w:sz w:val="21"/>
          <w:szCs w:val="21"/>
          <w:u w:val="single"/>
        </w:rPr>
        <w:t xml:space="preserve"> </w:t>
      </w:r>
      <w:r>
        <w:rPr>
          <w:rFonts w:ascii="Times New Roman" w:eastAsia="Times New Roman"/>
          <w:sz w:val="21"/>
          <w:szCs w:val="21"/>
          <w:u w:val="single"/>
        </w:rPr>
        <w:t xml:space="preserve">3 </w:t>
      </w:r>
      <w:r>
        <w:rPr>
          <w:sz w:val="21"/>
          <w:szCs w:val="21"/>
        </w:rPr>
        <w:t>日内，按照投标人须知前附表规定的公示媒介和期限公示中标候选人，公示期不得少于</w:t>
      </w:r>
      <w:r>
        <w:rPr>
          <w:sz w:val="21"/>
          <w:szCs w:val="21"/>
          <w:u w:val="single"/>
        </w:rPr>
        <w:t xml:space="preserve"> </w:t>
      </w:r>
      <w:r>
        <w:rPr>
          <w:rFonts w:ascii="Times New Roman" w:eastAsia="Times New Roman"/>
          <w:sz w:val="21"/>
          <w:szCs w:val="21"/>
          <w:u w:val="single"/>
        </w:rPr>
        <w:t xml:space="preserve">3 </w:t>
      </w:r>
      <w:r>
        <w:rPr>
          <w:sz w:val="21"/>
          <w:szCs w:val="21"/>
        </w:rPr>
        <w:t>日，公示内容包括：</w:t>
      </w:r>
    </w:p>
    <w:p w14:paraId="73498733">
      <w:pPr>
        <w:pStyle w:val="41"/>
        <w:keepNext w:val="0"/>
        <w:keepLines w:val="0"/>
        <w:pageBreakBefore w:val="0"/>
        <w:widowControl w:val="0"/>
        <w:numPr>
          <w:ilvl w:val="0"/>
          <w:numId w:val="6"/>
        </w:numPr>
        <w:tabs>
          <w:tab w:val="left" w:pos="1331"/>
        </w:tabs>
        <w:kinsoku/>
        <w:wordWrap/>
        <w:overflowPunct/>
        <w:topLinePunct w:val="0"/>
        <w:autoSpaceDE w:val="0"/>
        <w:autoSpaceDN w:val="0"/>
        <w:bidi w:val="0"/>
        <w:adjustRightInd/>
        <w:snapToGrid/>
        <w:spacing w:before="0" w:after="0" w:line="360" w:lineRule="auto"/>
        <w:ind w:left="0" w:leftChars="0" w:right="0" w:firstLine="388" w:firstLineChars="200"/>
        <w:jc w:val="both"/>
        <w:textAlignment w:val="auto"/>
        <w:rPr>
          <w:sz w:val="21"/>
          <w:szCs w:val="21"/>
        </w:rPr>
      </w:pPr>
      <w:r>
        <w:rPr>
          <w:spacing w:val="-8"/>
          <w:sz w:val="21"/>
          <w:szCs w:val="21"/>
        </w:rPr>
        <w:t>中标候选人名称、投标报价，对工程质量要求、安全目标和工期的响</w:t>
      </w:r>
      <w:r>
        <w:rPr>
          <w:sz w:val="21"/>
          <w:szCs w:val="21"/>
        </w:rPr>
        <w:t>应情况；</w:t>
      </w:r>
    </w:p>
    <w:p w14:paraId="18C89659">
      <w:pPr>
        <w:pStyle w:val="41"/>
        <w:keepNext w:val="0"/>
        <w:keepLines w:val="0"/>
        <w:pageBreakBefore w:val="0"/>
        <w:widowControl w:val="0"/>
        <w:numPr>
          <w:ilvl w:val="0"/>
          <w:numId w:val="6"/>
        </w:numPr>
        <w:tabs>
          <w:tab w:val="left" w:pos="1331"/>
        </w:tabs>
        <w:kinsoku/>
        <w:wordWrap/>
        <w:overflowPunct/>
        <w:topLinePunct w:val="0"/>
        <w:autoSpaceDE w:val="0"/>
        <w:autoSpaceDN w:val="0"/>
        <w:bidi w:val="0"/>
        <w:adjustRightInd/>
        <w:snapToGrid/>
        <w:spacing w:before="0" w:after="0" w:line="360" w:lineRule="auto"/>
        <w:ind w:left="0" w:leftChars="0" w:right="0" w:firstLine="408" w:firstLineChars="200"/>
        <w:jc w:val="both"/>
        <w:textAlignment w:val="auto"/>
        <w:rPr>
          <w:sz w:val="21"/>
          <w:szCs w:val="21"/>
        </w:rPr>
      </w:pPr>
      <w:r>
        <w:rPr>
          <w:spacing w:val="-3"/>
          <w:sz w:val="21"/>
          <w:szCs w:val="21"/>
        </w:rPr>
        <w:t>中标候选人在投标文件中承诺的项目经理和项目总工姓名、相</w:t>
      </w:r>
      <w:r>
        <w:rPr>
          <w:spacing w:val="-4"/>
          <w:sz w:val="21"/>
          <w:szCs w:val="21"/>
        </w:rPr>
        <w:t>关证书名称和编号；</w:t>
      </w:r>
    </w:p>
    <w:p w14:paraId="67D18B49">
      <w:pPr>
        <w:pStyle w:val="41"/>
        <w:keepNext w:val="0"/>
        <w:keepLines w:val="0"/>
        <w:pageBreakBefore w:val="0"/>
        <w:widowControl w:val="0"/>
        <w:numPr>
          <w:ilvl w:val="0"/>
          <w:numId w:val="6"/>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sz w:val="21"/>
          <w:szCs w:val="21"/>
        </w:rPr>
      </w:pPr>
      <w:r>
        <w:rPr>
          <w:sz w:val="21"/>
          <w:szCs w:val="21"/>
        </w:rPr>
        <w:t>中标候选人在投标文件中填报的项目业绩；</w:t>
      </w:r>
    </w:p>
    <w:p w14:paraId="44D0CF8B">
      <w:pPr>
        <w:pStyle w:val="41"/>
        <w:keepNext w:val="0"/>
        <w:keepLines w:val="0"/>
        <w:pageBreakBefore w:val="0"/>
        <w:widowControl w:val="0"/>
        <w:numPr>
          <w:ilvl w:val="0"/>
          <w:numId w:val="6"/>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sz w:val="21"/>
          <w:szCs w:val="21"/>
        </w:rPr>
      </w:pPr>
      <w:r>
        <w:rPr>
          <w:sz w:val="21"/>
          <w:szCs w:val="21"/>
        </w:rPr>
        <w:t>被否决投标的投标人名称、否决依据和原因；</w:t>
      </w:r>
    </w:p>
    <w:p w14:paraId="7F65871D">
      <w:pPr>
        <w:pStyle w:val="41"/>
        <w:keepNext w:val="0"/>
        <w:keepLines w:val="0"/>
        <w:pageBreakBefore w:val="0"/>
        <w:widowControl w:val="0"/>
        <w:numPr>
          <w:ilvl w:val="0"/>
          <w:numId w:val="6"/>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sz w:val="21"/>
          <w:szCs w:val="21"/>
        </w:rPr>
      </w:pPr>
      <w:r>
        <w:rPr>
          <w:sz w:val="21"/>
          <w:szCs w:val="21"/>
        </w:rPr>
        <w:t>提出异议的渠道和方式；</w:t>
      </w:r>
    </w:p>
    <w:p w14:paraId="37410AE1">
      <w:pPr>
        <w:pStyle w:val="41"/>
        <w:keepNext w:val="0"/>
        <w:keepLines w:val="0"/>
        <w:pageBreakBefore w:val="0"/>
        <w:widowControl w:val="0"/>
        <w:numPr>
          <w:ilvl w:val="0"/>
          <w:numId w:val="6"/>
        </w:numPr>
        <w:tabs>
          <w:tab w:val="left" w:pos="1331"/>
        </w:tabs>
        <w:kinsoku/>
        <w:wordWrap/>
        <w:overflowPunct/>
        <w:topLinePunct w:val="0"/>
        <w:autoSpaceDE w:val="0"/>
        <w:autoSpaceDN w:val="0"/>
        <w:bidi w:val="0"/>
        <w:adjustRightInd/>
        <w:snapToGrid/>
        <w:spacing w:before="0" w:after="0" w:line="360" w:lineRule="auto"/>
        <w:ind w:left="0" w:leftChars="0" w:right="0" w:firstLine="420" w:firstLineChars="200"/>
        <w:jc w:val="both"/>
        <w:textAlignment w:val="auto"/>
        <w:rPr>
          <w:sz w:val="21"/>
          <w:szCs w:val="21"/>
        </w:rPr>
      </w:pPr>
      <w:r>
        <w:rPr>
          <w:sz w:val="21"/>
          <w:szCs w:val="21"/>
        </w:rPr>
        <w:t>投标人须知前附表规定公示的其他内容。</w:t>
      </w:r>
    </w:p>
    <w:p w14:paraId="25B2881E">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both"/>
        <w:textAlignment w:val="auto"/>
        <w:rPr>
          <w:rFonts w:ascii="黑体"/>
          <w:sz w:val="21"/>
          <w:szCs w:val="21"/>
        </w:rPr>
      </w:pPr>
      <w:bookmarkStart w:id="119" w:name="_bookmark72"/>
      <w:bookmarkEnd w:id="119"/>
      <w:bookmarkStart w:id="120" w:name="_bookmark72"/>
      <w:bookmarkEnd w:id="120"/>
      <w:r>
        <w:rPr>
          <w:rFonts w:hint="default" w:ascii="黑体" w:hAnsi="宋体" w:eastAsia="宋体" w:cs="宋体"/>
          <w:spacing w:val="-9"/>
          <w:w w:val="100"/>
          <w:sz w:val="21"/>
          <w:szCs w:val="21"/>
          <w:lang w:val="zh-CN" w:eastAsia="zh-CN" w:bidi="zh-CN"/>
        </w:rPr>
        <w:t>7.2</w:t>
      </w:r>
      <w:r>
        <w:rPr>
          <w:rFonts w:hint="eastAsia" w:ascii="黑体" w:eastAsia="黑体"/>
          <w:sz w:val="21"/>
          <w:szCs w:val="21"/>
        </w:rPr>
        <w:t>评标结果异议</w:t>
      </w:r>
    </w:p>
    <w:p w14:paraId="0C0F254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8" w:firstLineChars="200"/>
        <w:jc w:val="both"/>
        <w:textAlignment w:val="auto"/>
        <w:rPr>
          <w:sz w:val="21"/>
          <w:szCs w:val="21"/>
        </w:rPr>
      </w:pPr>
      <w:r>
        <w:rPr>
          <w:spacing w:val="-3"/>
          <w:sz w:val="21"/>
          <w:szCs w:val="21"/>
        </w:rPr>
        <w:t>投标人或其他利害关系人对依法必须进行招标的项目的评标结果有异议的，应在</w:t>
      </w:r>
      <w:r>
        <w:rPr>
          <w:spacing w:val="-14"/>
          <w:sz w:val="21"/>
          <w:szCs w:val="21"/>
        </w:rPr>
        <w:t xml:space="preserve">中标候选人公示期间提出。招标人将在收到异议之日起 </w:t>
      </w:r>
      <w:r>
        <w:rPr>
          <w:rFonts w:ascii="Times New Roman" w:eastAsia="Times New Roman"/>
          <w:sz w:val="21"/>
          <w:szCs w:val="21"/>
        </w:rPr>
        <w:t xml:space="preserve">3 </w:t>
      </w:r>
      <w:r>
        <w:rPr>
          <w:spacing w:val="-12"/>
          <w:sz w:val="21"/>
          <w:szCs w:val="21"/>
        </w:rPr>
        <w:t>日内作出答复；作出答复前，</w:t>
      </w:r>
      <w:r>
        <w:rPr>
          <w:sz w:val="21"/>
          <w:szCs w:val="21"/>
        </w:rPr>
        <w:t>将暂停招标投标活动。</w:t>
      </w:r>
    </w:p>
    <w:p w14:paraId="6C3C00AF">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both"/>
        <w:textAlignment w:val="auto"/>
        <w:rPr>
          <w:rFonts w:hint="eastAsia" w:ascii="黑体" w:eastAsia="黑体"/>
          <w:sz w:val="21"/>
          <w:szCs w:val="21"/>
        </w:rPr>
      </w:pPr>
      <w:bookmarkStart w:id="121" w:name="_bookmark73"/>
      <w:bookmarkEnd w:id="121"/>
      <w:bookmarkStart w:id="122" w:name="_bookmark73"/>
      <w:bookmarkEnd w:id="122"/>
      <w:r>
        <w:rPr>
          <w:rFonts w:hint="default" w:ascii="黑体" w:hAnsi="宋体" w:eastAsia="黑体" w:cs="宋体"/>
          <w:spacing w:val="-9"/>
          <w:w w:val="100"/>
          <w:sz w:val="21"/>
          <w:szCs w:val="21"/>
          <w:lang w:val="zh-CN" w:eastAsia="zh-CN" w:bidi="zh-CN"/>
        </w:rPr>
        <w:t>7.3</w:t>
      </w:r>
      <w:r>
        <w:rPr>
          <w:rFonts w:hint="eastAsia" w:ascii="黑体" w:eastAsia="黑体"/>
          <w:sz w:val="21"/>
          <w:szCs w:val="21"/>
        </w:rPr>
        <w:t>中标候选人履约能力审查</w:t>
      </w:r>
    </w:p>
    <w:p w14:paraId="2A423D0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中标候选人的经营、财务状况发生较大变化或存在违法行为，招标人认为可能影</w:t>
      </w:r>
      <w:r>
        <w:rPr>
          <w:spacing w:val="-11"/>
          <w:sz w:val="21"/>
          <w:szCs w:val="21"/>
        </w:rPr>
        <w:t>响其履约能力的，将在发出中标通知书前提请原评标委员会按照招标文件规定的标准</w:t>
      </w:r>
      <w:r>
        <w:rPr>
          <w:sz w:val="21"/>
          <w:szCs w:val="21"/>
        </w:rPr>
        <w:t>和方法进行审查确认。</w:t>
      </w:r>
    </w:p>
    <w:p w14:paraId="4456B9C4">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both"/>
        <w:textAlignment w:val="auto"/>
        <w:rPr>
          <w:rFonts w:hint="eastAsia" w:ascii="黑体" w:eastAsia="黑体"/>
          <w:sz w:val="21"/>
          <w:szCs w:val="21"/>
        </w:rPr>
      </w:pPr>
      <w:bookmarkStart w:id="123" w:name="_bookmark74"/>
      <w:bookmarkEnd w:id="123"/>
      <w:bookmarkStart w:id="124" w:name="_bookmark74"/>
      <w:bookmarkEnd w:id="124"/>
      <w:r>
        <w:rPr>
          <w:rFonts w:hint="default" w:ascii="黑体" w:hAnsi="宋体" w:eastAsia="黑体" w:cs="宋体"/>
          <w:spacing w:val="-9"/>
          <w:w w:val="100"/>
          <w:sz w:val="21"/>
          <w:szCs w:val="21"/>
          <w:lang w:val="zh-CN" w:eastAsia="zh-CN" w:bidi="zh-CN"/>
        </w:rPr>
        <w:t>7.4</w:t>
      </w:r>
      <w:r>
        <w:rPr>
          <w:rFonts w:hint="eastAsia" w:ascii="黑体" w:eastAsia="黑体"/>
          <w:sz w:val="21"/>
          <w:szCs w:val="21"/>
        </w:rPr>
        <w:t>定标</w:t>
      </w:r>
    </w:p>
    <w:p w14:paraId="63EBBC5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88" w:firstLineChars="200"/>
        <w:jc w:val="both"/>
        <w:textAlignment w:val="auto"/>
        <w:rPr>
          <w:sz w:val="21"/>
          <w:szCs w:val="21"/>
        </w:rPr>
      </w:pPr>
      <w:r>
        <w:rPr>
          <w:spacing w:val="-8"/>
          <w:sz w:val="21"/>
          <w:szCs w:val="21"/>
        </w:rPr>
        <w:t>按照投标人须知前附表的规定，招标人或招标人授权的评标委员会依法确定中标</w:t>
      </w:r>
      <w:r>
        <w:rPr>
          <w:sz w:val="21"/>
          <w:szCs w:val="21"/>
        </w:rPr>
        <w:t>人。</w:t>
      </w:r>
    </w:p>
    <w:p w14:paraId="7B33915E">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both"/>
        <w:textAlignment w:val="auto"/>
        <w:rPr>
          <w:rFonts w:hint="eastAsia" w:ascii="黑体" w:eastAsia="黑体"/>
          <w:sz w:val="21"/>
          <w:szCs w:val="21"/>
        </w:rPr>
      </w:pPr>
      <w:bookmarkStart w:id="125" w:name="_bookmark75"/>
      <w:bookmarkEnd w:id="125"/>
      <w:bookmarkStart w:id="126" w:name="_bookmark75"/>
      <w:bookmarkEnd w:id="126"/>
      <w:r>
        <w:rPr>
          <w:rFonts w:hint="default" w:ascii="黑体" w:hAnsi="宋体" w:eastAsia="黑体" w:cs="宋体"/>
          <w:spacing w:val="-9"/>
          <w:w w:val="100"/>
          <w:sz w:val="21"/>
          <w:szCs w:val="21"/>
          <w:lang w:val="zh-CN" w:eastAsia="zh-CN" w:bidi="zh-CN"/>
        </w:rPr>
        <w:t>7.5</w:t>
      </w:r>
      <w:r>
        <w:rPr>
          <w:rFonts w:hint="eastAsia" w:ascii="黑体" w:eastAsia="黑体"/>
          <w:sz w:val="21"/>
          <w:szCs w:val="21"/>
        </w:rPr>
        <w:t>中标通知</w:t>
      </w:r>
    </w:p>
    <w:p w14:paraId="4CA9D7E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72" w:firstLineChars="200"/>
        <w:jc w:val="both"/>
        <w:textAlignment w:val="auto"/>
        <w:rPr>
          <w:sz w:val="21"/>
          <w:szCs w:val="21"/>
        </w:rPr>
      </w:pPr>
      <w:r>
        <w:rPr>
          <w:spacing w:val="-12"/>
          <w:sz w:val="21"/>
          <w:szCs w:val="21"/>
        </w:rPr>
        <w:t xml:space="preserve">在本章第 </w:t>
      </w:r>
      <w:r>
        <w:rPr>
          <w:rFonts w:ascii="Times New Roman" w:eastAsia="Times New Roman"/>
          <w:sz w:val="21"/>
          <w:szCs w:val="21"/>
        </w:rPr>
        <w:t xml:space="preserve">3.3 </w:t>
      </w:r>
      <w:r>
        <w:rPr>
          <w:spacing w:val="-4"/>
          <w:sz w:val="21"/>
          <w:szCs w:val="21"/>
        </w:rPr>
        <w:t>款规定的投标有效期内，招标人以投标人须知前附表规定的形式向</w:t>
      </w:r>
      <w:r>
        <w:rPr>
          <w:sz w:val="21"/>
          <w:szCs w:val="21"/>
        </w:rPr>
        <w:t>中标人发出中标通知书，同时将中标结果通知未中标的投标人。</w:t>
      </w:r>
    </w:p>
    <w:p w14:paraId="44F5E736">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both"/>
        <w:textAlignment w:val="auto"/>
        <w:rPr>
          <w:rFonts w:hint="eastAsia" w:ascii="黑体" w:eastAsia="黑体"/>
          <w:sz w:val="21"/>
          <w:szCs w:val="21"/>
        </w:rPr>
      </w:pPr>
      <w:bookmarkStart w:id="127" w:name="_bookmark76"/>
      <w:bookmarkEnd w:id="127"/>
      <w:bookmarkStart w:id="128" w:name="_bookmark76"/>
      <w:bookmarkEnd w:id="128"/>
      <w:r>
        <w:rPr>
          <w:rFonts w:hint="default" w:ascii="黑体" w:hAnsi="宋体" w:eastAsia="黑体" w:cs="宋体"/>
          <w:spacing w:val="-9"/>
          <w:w w:val="100"/>
          <w:sz w:val="21"/>
          <w:szCs w:val="21"/>
          <w:lang w:val="zh-CN" w:eastAsia="zh-CN" w:bidi="zh-CN"/>
        </w:rPr>
        <w:t>7.6</w:t>
      </w:r>
      <w:r>
        <w:rPr>
          <w:rFonts w:hint="eastAsia" w:ascii="黑体" w:eastAsia="黑体"/>
          <w:sz w:val="21"/>
          <w:szCs w:val="21"/>
        </w:rPr>
        <w:t>中标结果公告</w:t>
      </w:r>
    </w:p>
    <w:p w14:paraId="2991747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招标人在确定中标人之日起</w:t>
      </w:r>
      <w:r>
        <w:rPr>
          <w:sz w:val="21"/>
          <w:szCs w:val="21"/>
          <w:u w:val="single"/>
        </w:rPr>
        <w:t xml:space="preserve"> </w:t>
      </w:r>
      <w:r>
        <w:rPr>
          <w:rFonts w:ascii="Times New Roman" w:eastAsia="Times New Roman"/>
          <w:sz w:val="21"/>
          <w:szCs w:val="21"/>
          <w:u w:val="single"/>
        </w:rPr>
        <w:t xml:space="preserve">3 </w:t>
      </w:r>
      <w:r>
        <w:rPr>
          <w:sz w:val="21"/>
          <w:szCs w:val="21"/>
        </w:rPr>
        <w:t>日内，按照投标人须知前附表规定的公告媒介和期限公告中标结果，</w:t>
      </w:r>
      <w:r>
        <w:rPr>
          <w:sz w:val="21"/>
          <w:szCs w:val="21"/>
          <w:highlight w:val="yellow"/>
        </w:rPr>
        <w:t>公告期不得少于</w:t>
      </w:r>
      <w:r>
        <w:rPr>
          <w:sz w:val="21"/>
          <w:szCs w:val="21"/>
          <w:highlight w:val="yellow"/>
          <w:u w:val="single"/>
        </w:rPr>
        <w:t xml:space="preserve"> </w:t>
      </w:r>
      <w:r>
        <w:rPr>
          <w:rFonts w:hint="eastAsia"/>
          <w:sz w:val="21"/>
          <w:szCs w:val="21"/>
          <w:highlight w:val="yellow"/>
          <w:u w:val="single"/>
          <w:lang w:val="en-US" w:eastAsia="zh-CN"/>
        </w:rPr>
        <w:t>1</w:t>
      </w:r>
      <w:r>
        <w:rPr>
          <w:sz w:val="21"/>
          <w:szCs w:val="21"/>
          <w:highlight w:val="yellow"/>
        </w:rPr>
        <w:t>日。</w:t>
      </w:r>
      <w:r>
        <w:rPr>
          <w:sz w:val="21"/>
          <w:szCs w:val="21"/>
        </w:rPr>
        <w:t>公告内容包括中标人名称、中标价。</w:t>
      </w:r>
    </w:p>
    <w:p w14:paraId="4F1B322F">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both"/>
        <w:textAlignment w:val="auto"/>
        <w:rPr>
          <w:rFonts w:hint="eastAsia" w:ascii="黑体" w:eastAsia="黑体"/>
          <w:sz w:val="21"/>
          <w:szCs w:val="21"/>
        </w:rPr>
      </w:pPr>
      <w:bookmarkStart w:id="129" w:name="_bookmark77"/>
      <w:bookmarkEnd w:id="129"/>
      <w:bookmarkStart w:id="130" w:name="_bookmark77"/>
      <w:bookmarkEnd w:id="130"/>
      <w:r>
        <w:rPr>
          <w:rFonts w:hint="default" w:ascii="黑体" w:hAnsi="宋体" w:eastAsia="黑体" w:cs="宋体"/>
          <w:spacing w:val="-9"/>
          <w:w w:val="100"/>
          <w:sz w:val="21"/>
          <w:szCs w:val="21"/>
          <w:lang w:val="zh-CN" w:eastAsia="zh-CN" w:bidi="zh-CN"/>
        </w:rPr>
        <w:t>7.7</w:t>
      </w:r>
      <w:r>
        <w:rPr>
          <w:rFonts w:hint="eastAsia" w:ascii="黑体" w:eastAsia="黑体"/>
          <w:sz w:val="21"/>
          <w:szCs w:val="21"/>
        </w:rPr>
        <w:t>履约保证金</w:t>
      </w:r>
    </w:p>
    <w:p w14:paraId="62FD9EB7">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sz w:val="21"/>
          <w:szCs w:val="21"/>
        </w:rPr>
      </w:pPr>
      <w:r>
        <w:rPr>
          <w:rFonts w:hint="eastAsia"/>
          <w:sz w:val="21"/>
          <w:szCs w:val="21"/>
          <w:lang w:val="en-US" w:eastAsia="zh-CN"/>
        </w:rPr>
        <w:t>7.7.1</w:t>
      </w:r>
      <w:r>
        <w:rPr>
          <w:sz w:val="21"/>
          <w:szCs w:val="21"/>
        </w:rPr>
        <w:t>在签订合同前，中标人应按投标人须知前附表规定的形式、金额和招标文</w:t>
      </w:r>
      <w:r>
        <w:rPr>
          <w:spacing w:val="4"/>
          <w:sz w:val="21"/>
          <w:szCs w:val="21"/>
        </w:rPr>
        <w:t>件第四章</w:t>
      </w:r>
      <w:r>
        <w:rPr>
          <w:rFonts w:ascii="Times New Roman" w:hAnsi="Times New Roman" w:eastAsia="Times New Roman"/>
          <w:spacing w:val="3"/>
          <w:sz w:val="21"/>
          <w:szCs w:val="21"/>
        </w:rPr>
        <w:t>“</w:t>
      </w:r>
      <w:r>
        <w:rPr>
          <w:spacing w:val="4"/>
          <w:sz w:val="21"/>
          <w:szCs w:val="21"/>
        </w:rPr>
        <w:t>合同条款及格式</w:t>
      </w:r>
      <w:r>
        <w:rPr>
          <w:rFonts w:ascii="Times New Roman" w:hAnsi="Times New Roman" w:eastAsia="Times New Roman"/>
          <w:spacing w:val="3"/>
          <w:sz w:val="21"/>
          <w:szCs w:val="21"/>
        </w:rPr>
        <w:t>”</w:t>
      </w:r>
      <w:r>
        <w:rPr>
          <w:spacing w:val="3"/>
          <w:sz w:val="21"/>
          <w:szCs w:val="21"/>
        </w:rPr>
        <w:t>规定的或事先经过招标人书面认可的履约保证金格式向</w:t>
      </w:r>
      <w:r>
        <w:rPr>
          <w:spacing w:val="-4"/>
          <w:sz w:val="21"/>
          <w:szCs w:val="21"/>
        </w:rPr>
        <w:t>招标人提交履约保证金。除投标人须知前附表另有规定外，履约保证金为</w:t>
      </w:r>
      <w:r>
        <w:rPr>
          <w:color w:val="auto"/>
          <w:spacing w:val="-4"/>
          <w:sz w:val="21"/>
          <w:szCs w:val="21"/>
        </w:rPr>
        <w:t>签约合同价</w:t>
      </w:r>
      <w:r>
        <w:rPr>
          <w:color w:val="auto"/>
          <w:spacing w:val="-33"/>
          <w:sz w:val="21"/>
          <w:szCs w:val="21"/>
        </w:rPr>
        <w:t>的</w:t>
      </w:r>
      <w:r>
        <w:rPr>
          <w:rFonts w:hint="eastAsia"/>
          <w:color w:val="auto"/>
          <w:spacing w:val="-33"/>
          <w:sz w:val="21"/>
          <w:szCs w:val="21"/>
          <w:lang w:val="en-US" w:eastAsia="zh-CN"/>
        </w:rPr>
        <w:t>2</w:t>
      </w:r>
      <w:r>
        <w:rPr>
          <w:rFonts w:ascii="Times New Roman" w:hAnsi="Times New Roman" w:eastAsia="Times New Roman"/>
          <w:color w:val="auto"/>
          <w:sz w:val="21"/>
          <w:szCs w:val="21"/>
        </w:rPr>
        <w:t>%</w:t>
      </w:r>
      <w:r>
        <w:rPr>
          <w:color w:val="auto"/>
          <w:spacing w:val="-1"/>
          <w:sz w:val="21"/>
          <w:szCs w:val="21"/>
        </w:rPr>
        <w:t>。联合</w:t>
      </w:r>
      <w:r>
        <w:rPr>
          <w:spacing w:val="-1"/>
          <w:sz w:val="21"/>
          <w:szCs w:val="21"/>
        </w:rPr>
        <w:t>体中标的，其履约保证金以联合体各方或联合体中牵头人的名义提交。</w:t>
      </w:r>
    </w:p>
    <w:p w14:paraId="252BF2D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384" w:firstLineChars="200"/>
        <w:jc w:val="both"/>
        <w:textAlignment w:val="auto"/>
        <w:rPr>
          <w:sz w:val="21"/>
          <w:szCs w:val="21"/>
        </w:rPr>
      </w:pPr>
      <w:r>
        <w:rPr>
          <w:spacing w:val="-9"/>
          <w:sz w:val="21"/>
          <w:szCs w:val="21"/>
        </w:rPr>
        <w:t>采用银行保函时，应由符合投标人须知前附表规定级别的银行开具，所需的费用</w:t>
      </w:r>
      <w:r>
        <w:rPr>
          <w:sz w:val="21"/>
          <w:szCs w:val="21"/>
        </w:rPr>
        <w:t>由中标人承担，中标人应保证银行保函有效。</w:t>
      </w:r>
    </w:p>
    <w:p w14:paraId="3CEDE8AD">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396" w:firstLineChars="200"/>
        <w:jc w:val="both"/>
        <w:textAlignment w:val="auto"/>
        <w:rPr>
          <w:sz w:val="21"/>
          <w:szCs w:val="21"/>
        </w:rPr>
      </w:pPr>
      <w:r>
        <w:rPr>
          <w:rFonts w:hint="eastAsia"/>
          <w:spacing w:val="-6"/>
          <w:sz w:val="21"/>
          <w:szCs w:val="21"/>
          <w:lang w:val="en-US" w:eastAsia="zh-CN"/>
        </w:rPr>
        <w:t>7.7.2</w:t>
      </w:r>
      <w:r>
        <w:rPr>
          <w:spacing w:val="-6"/>
          <w:sz w:val="21"/>
          <w:szCs w:val="21"/>
        </w:rPr>
        <w:t xml:space="preserve">中标人不能按本章第 </w:t>
      </w:r>
      <w:r>
        <w:rPr>
          <w:rFonts w:ascii="Times New Roman" w:eastAsia="Times New Roman"/>
          <w:sz w:val="21"/>
          <w:szCs w:val="21"/>
        </w:rPr>
        <w:t xml:space="preserve">7.7.1 </w:t>
      </w:r>
      <w:r>
        <w:rPr>
          <w:spacing w:val="-8"/>
          <w:sz w:val="21"/>
          <w:szCs w:val="21"/>
        </w:rPr>
        <w:t>项要求提交履约保证金的，视为放弃中标</w:t>
      </w:r>
      <w:r>
        <w:rPr>
          <w:sz w:val="21"/>
          <w:szCs w:val="21"/>
        </w:rPr>
        <w:t>。</w:t>
      </w:r>
    </w:p>
    <w:p w14:paraId="17B59AB0">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both"/>
        <w:textAlignment w:val="auto"/>
        <w:rPr>
          <w:rFonts w:hint="eastAsia" w:ascii="黑体" w:eastAsia="黑体"/>
          <w:sz w:val="21"/>
          <w:szCs w:val="21"/>
        </w:rPr>
      </w:pPr>
      <w:bookmarkStart w:id="131" w:name="_bookmark78"/>
      <w:bookmarkEnd w:id="131"/>
      <w:bookmarkStart w:id="132" w:name="_bookmark78"/>
      <w:bookmarkEnd w:id="132"/>
      <w:r>
        <w:rPr>
          <w:rFonts w:hint="default" w:ascii="黑体" w:hAnsi="宋体" w:eastAsia="黑体" w:cs="宋体"/>
          <w:spacing w:val="-9"/>
          <w:w w:val="100"/>
          <w:sz w:val="21"/>
          <w:szCs w:val="21"/>
          <w:lang w:val="zh-CN" w:eastAsia="zh-CN" w:bidi="zh-CN"/>
        </w:rPr>
        <w:t>7.8</w:t>
      </w:r>
      <w:r>
        <w:rPr>
          <w:rFonts w:hint="eastAsia" w:ascii="黑体" w:eastAsia="黑体"/>
          <w:sz w:val="21"/>
          <w:szCs w:val="21"/>
        </w:rPr>
        <w:t>签订合同</w:t>
      </w:r>
    </w:p>
    <w:p w14:paraId="52C22D93">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08" w:firstLineChars="200"/>
        <w:jc w:val="both"/>
        <w:textAlignment w:val="auto"/>
        <w:rPr>
          <w:sz w:val="21"/>
          <w:szCs w:val="21"/>
        </w:rPr>
      </w:pPr>
      <w:r>
        <w:rPr>
          <w:rFonts w:hint="eastAsia"/>
          <w:spacing w:val="-3"/>
          <w:sz w:val="21"/>
          <w:szCs w:val="21"/>
          <w:lang w:val="en-US" w:eastAsia="zh-CN"/>
        </w:rPr>
        <w:t>7.8.1</w:t>
      </w:r>
      <w:r>
        <w:rPr>
          <w:spacing w:val="-3"/>
          <w:sz w:val="21"/>
          <w:szCs w:val="21"/>
        </w:rPr>
        <w:t>招标人和中标人应在中标通知书发出之日起</w:t>
      </w:r>
      <w:r>
        <w:rPr>
          <w:rFonts w:ascii="Times New Roman" w:eastAsia="Times New Roman"/>
          <w:sz w:val="21"/>
          <w:szCs w:val="21"/>
        </w:rPr>
        <w:t>30</w:t>
      </w:r>
      <w:r>
        <w:rPr>
          <w:spacing w:val="-12"/>
          <w:sz w:val="21"/>
          <w:szCs w:val="21"/>
        </w:rPr>
        <w:t>日内，根据招标文件和中标</w:t>
      </w:r>
      <w:r>
        <w:rPr>
          <w:spacing w:val="-7"/>
          <w:sz w:val="21"/>
          <w:szCs w:val="21"/>
        </w:rPr>
        <w:t>人的投标文件订立书面合同。中标人无正当理由拒签合同，在签订合同时向招标人提</w:t>
      </w:r>
      <w:r>
        <w:rPr>
          <w:spacing w:val="-10"/>
          <w:sz w:val="21"/>
          <w:szCs w:val="21"/>
        </w:rPr>
        <w:t>出附加条件，或不按照招标文件要求提交履约保证金的，招标人取消其中标资格，其</w:t>
      </w:r>
      <w:r>
        <w:rPr>
          <w:spacing w:val="-8"/>
          <w:sz w:val="21"/>
          <w:szCs w:val="21"/>
        </w:rPr>
        <w:t>投标保证金不予退还；给招标人造成的损失超过投标保证金数额的，中标人还应对超</w:t>
      </w:r>
      <w:r>
        <w:rPr>
          <w:sz w:val="21"/>
          <w:szCs w:val="21"/>
        </w:rPr>
        <w:t>过部分予以赔偿。</w:t>
      </w:r>
    </w:p>
    <w:p w14:paraId="3C9A9B1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16" w:firstLineChars="200"/>
        <w:jc w:val="both"/>
        <w:textAlignment w:val="auto"/>
        <w:rPr>
          <w:sz w:val="21"/>
          <w:szCs w:val="21"/>
        </w:rPr>
      </w:pPr>
      <w:r>
        <w:rPr>
          <w:spacing w:val="-1"/>
          <w:sz w:val="21"/>
          <w:szCs w:val="21"/>
        </w:rPr>
        <w:t>发出中标通知书后，招标人无正当理由拒签合同，或在签订合同时向中标</w:t>
      </w:r>
      <w:r>
        <w:rPr>
          <w:spacing w:val="-8"/>
          <w:sz w:val="21"/>
          <w:szCs w:val="21"/>
        </w:rPr>
        <w:t>人提出附加条件的，招标人向中标人退还投标保证金；给中标人造成损失的，还应赔</w:t>
      </w:r>
      <w:r>
        <w:rPr>
          <w:sz w:val="21"/>
          <w:szCs w:val="21"/>
        </w:rPr>
        <w:t>偿损失。</w:t>
      </w:r>
    </w:p>
    <w:p w14:paraId="025BE9AE">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eastAsia"/>
          <w:sz w:val="21"/>
          <w:szCs w:val="21"/>
          <w:lang w:val="en-US" w:eastAsia="zh-CN"/>
        </w:rPr>
        <w:t>7.8.2</w:t>
      </w:r>
      <w:r>
        <w:rPr>
          <w:sz w:val="21"/>
          <w:szCs w:val="21"/>
        </w:rPr>
        <w:t>签约合同价的确定原则如下：</w:t>
      </w:r>
    </w:p>
    <w:p w14:paraId="5CCE0FE4">
      <w:pPr>
        <w:pStyle w:val="41"/>
        <w:keepNext w:val="0"/>
        <w:keepLines w:val="0"/>
        <w:pageBreakBefore w:val="0"/>
        <w:widowControl w:val="0"/>
        <w:numPr>
          <w:ilvl w:val="0"/>
          <w:numId w:val="7"/>
        </w:numPr>
        <w:tabs>
          <w:tab w:val="left" w:pos="1331"/>
        </w:tabs>
        <w:kinsoku/>
        <w:wordWrap/>
        <w:overflowPunct/>
        <w:topLinePunct w:val="0"/>
        <w:autoSpaceDE w:val="0"/>
        <w:autoSpaceDN w:val="0"/>
        <w:bidi w:val="0"/>
        <w:adjustRightInd/>
        <w:snapToGrid/>
        <w:spacing w:before="0" w:after="0" w:line="360" w:lineRule="auto"/>
        <w:ind w:left="0" w:leftChars="0" w:right="0" w:firstLine="408" w:firstLineChars="200"/>
        <w:jc w:val="both"/>
        <w:textAlignment w:val="auto"/>
        <w:rPr>
          <w:sz w:val="21"/>
          <w:szCs w:val="21"/>
        </w:rPr>
      </w:pPr>
      <w:r>
        <w:rPr>
          <w:spacing w:val="-3"/>
          <w:sz w:val="21"/>
          <w:szCs w:val="21"/>
        </w:rPr>
        <w:t>按照评标办法规定对投标报价进行修正后，若修正后的最终投标报价小于</w:t>
      </w:r>
      <w:r>
        <w:rPr>
          <w:spacing w:val="-4"/>
          <w:sz w:val="21"/>
          <w:szCs w:val="21"/>
        </w:rPr>
        <w:t>开标时的投标函大写金额报价，则签订合同时以修正后的最终投标报价为准；</w:t>
      </w:r>
    </w:p>
    <w:p w14:paraId="08B24631">
      <w:pPr>
        <w:pStyle w:val="41"/>
        <w:keepNext w:val="0"/>
        <w:keepLines w:val="0"/>
        <w:pageBreakBefore w:val="0"/>
        <w:widowControl w:val="0"/>
        <w:numPr>
          <w:ilvl w:val="0"/>
          <w:numId w:val="7"/>
        </w:numPr>
        <w:tabs>
          <w:tab w:val="left" w:pos="1331"/>
        </w:tabs>
        <w:kinsoku/>
        <w:wordWrap/>
        <w:overflowPunct/>
        <w:topLinePunct w:val="0"/>
        <w:autoSpaceDE w:val="0"/>
        <w:autoSpaceDN w:val="0"/>
        <w:bidi w:val="0"/>
        <w:adjustRightInd/>
        <w:snapToGrid/>
        <w:spacing w:before="0" w:after="0" w:line="360" w:lineRule="auto"/>
        <w:ind w:left="0" w:leftChars="0" w:right="0" w:firstLine="408" w:firstLineChars="200"/>
        <w:jc w:val="both"/>
        <w:textAlignment w:val="auto"/>
        <w:rPr>
          <w:sz w:val="21"/>
          <w:szCs w:val="21"/>
        </w:rPr>
      </w:pPr>
      <w:r>
        <w:rPr>
          <w:spacing w:val="-3"/>
          <w:sz w:val="21"/>
          <w:szCs w:val="21"/>
        </w:rPr>
        <w:t>按照评标办法规定对投标报价进行修正后，若修正后的最终投标报价大于</w:t>
      </w:r>
      <w:r>
        <w:rPr>
          <w:spacing w:val="-9"/>
          <w:sz w:val="21"/>
          <w:szCs w:val="21"/>
        </w:rPr>
        <w:t>开标时的投标函大写金额报价，则签订合同时以开标时的投标函大写金额报价为准，</w:t>
      </w:r>
      <w:r>
        <w:rPr>
          <w:spacing w:val="-4"/>
          <w:sz w:val="21"/>
          <w:szCs w:val="21"/>
        </w:rPr>
        <w:t>同时按比例修正相应子目的单价或合价。</w:t>
      </w:r>
    </w:p>
    <w:p w14:paraId="23C18F66">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16" w:firstLineChars="200"/>
        <w:jc w:val="both"/>
        <w:textAlignment w:val="auto"/>
        <w:rPr>
          <w:sz w:val="21"/>
          <w:szCs w:val="21"/>
        </w:rPr>
      </w:pPr>
      <w:r>
        <w:rPr>
          <w:rFonts w:hint="eastAsia"/>
          <w:spacing w:val="-1"/>
          <w:sz w:val="21"/>
          <w:szCs w:val="21"/>
          <w:lang w:val="en-US" w:eastAsia="zh-CN"/>
        </w:rPr>
        <w:t>7.8.3</w:t>
      </w:r>
      <w:r>
        <w:rPr>
          <w:spacing w:val="-1"/>
          <w:sz w:val="21"/>
          <w:szCs w:val="21"/>
        </w:rPr>
        <w:t>联合体中标的，联合体各方应共同与招标人签订合同，就中标项目向招标</w:t>
      </w:r>
      <w:r>
        <w:rPr>
          <w:sz w:val="21"/>
          <w:szCs w:val="21"/>
        </w:rPr>
        <w:t>人承担连带责任。</w:t>
      </w:r>
    </w:p>
    <w:p w14:paraId="145D1603">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0" w:leftChars="0" w:right="0" w:rightChars="0" w:firstLine="416" w:firstLineChars="200"/>
        <w:jc w:val="both"/>
        <w:textAlignment w:val="auto"/>
        <w:rPr>
          <w:sz w:val="21"/>
          <w:szCs w:val="21"/>
        </w:rPr>
      </w:pPr>
      <w:r>
        <w:rPr>
          <w:rFonts w:hint="eastAsia"/>
          <w:spacing w:val="-1"/>
          <w:sz w:val="21"/>
          <w:szCs w:val="21"/>
          <w:lang w:val="en-US" w:eastAsia="zh-CN"/>
        </w:rPr>
        <w:t>7.8.4</w:t>
      </w:r>
      <w:r>
        <w:rPr>
          <w:spacing w:val="-1"/>
          <w:sz w:val="21"/>
          <w:szCs w:val="21"/>
        </w:rPr>
        <w:t>招标人和中标人在签订合同协议书的同时，须按照本招标文件规定的格式</w:t>
      </w:r>
      <w:r>
        <w:rPr>
          <w:spacing w:val="-7"/>
          <w:sz w:val="21"/>
          <w:szCs w:val="21"/>
        </w:rPr>
        <w:t>和要求签订廉政合同及安全生产合同，明确双方在廉政建设和安全生产方面的权利和</w:t>
      </w:r>
      <w:r>
        <w:rPr>
          <w:sz w:val="21"/>
          <w:szCs w:val="21"/>
        </w:rPr>
        <w:t>义务以及应承担的违约责任。</w:t>
      </w:r>
    </w:p>
    <w:p w14:paraId="4DF2BE4E">
      <w:pPr>
        <w:keepNext w:val="0"/>
        <w:keepLines w:val="0"/>
        <w:pageBreakBefore w:val="0"/>
        <w:widowControl w:val="0"/>
        <w:numPr>
          <w:ilvl w:val="0"/>
          <w:numId w:val="0"/>
        </w:numPr>
        <w:tabs>
          <w:tab w:val="left" w:pos="790"/>
        </w:tabs>
        <w:kinsoku/>
        <w:wordWrap/>
        <w:overflowPunct/>
        <w:topLinePunct w:val="0"/>
        <w:autoSpaceDE w:val="0"/>
        <w:autoSpaceDN w:val="0"/>
        <w:bidi w:val="0"/>
        <w:adjustRightInd/>
        <w:snapToGrid/>
        <w:spacing w:before="0" w:line="360" w:lineRule="auto"/>
        <w:ind w:left="0" w:leftChars="0" w:right="0" w:rightChars="0" w:firstLine="420" w:firstLineChars="200"/>
        <w:jc w:val="both"/>
        <w:textAlignment w:val="auto"/>
        <w:rPr>
          <w:rFonts w:hint="eastAsia" w:ascii="黑体" w:eastAsia="黑体"/>
          <w:sz w:val="21"/>
          <w:szCs w:val="21"/>
        </w:rPr>
      </w:pPr>
      <w:bookmarkStart w:id="133" w:name="_bookmark79"/>
      <w:bookmarkEnd w:id="133"/>
      <w:bookmarkStart w:id="134" w:name="_bookmark79"/>
      <w:bookmarkEnd w:id="134"/>
      <w:r>
        <w:rPr>
          <w:rFonts w:hint="default" w:ascii="黑体" w:hAnsi="黑体" w:eastAsia="黑体" w:cs="黑体"/>
          <w:w w:val="100"/>
          <w:sz w:val="21"/>
          <w:szCs w:val="21"/>
          <w:lang w:val="zh-CN" w:eastAsia="zh-CN" w:bidi="zh-CN"/>
        </w:rPr>
        <w:t>8.</w:t>
      </w:r>
      <w:r>
        <w:rPr>
          <w:rFonts w:hint="eastAsia" w:ascii="黑体" w:eastAsia="黑体"/>
          <w:spacing w:val="-1"/>
          <w:sz w:val="21"/>
          <w:szCs w:val="21"/>
        </w:rPr>
        <w:t>纪律和监督</w:t>
      </w:r>
    </w:p>
    <w:p w14:paraId="43F0280A">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both"/>
        <w:textAlignment w:val="auto"/>
        <w:rPr>
          <w:rFonts w:hint="eastAsia" w:ascii="黑体" w:eastAsia="黑体"/>
          <w:sz w:val="21"/>
          <w:szCs w:val="21"/>
        </w:rPr>
      </w:pPr>
      <w:bookmarkStart w:id="135" w:name="_bookmark80"/>
      <w:bookmarkEnd w:id="135"/>
      <w:bookmarkStart w:id="136" w:name="_bookmark80"/>
      <w:bookmarkEnd w:id="136"/>
      <w:r>
        <w:rPr>
          <w:rFonts w:hint="default" w:ascii="黑体" w:hAnsi="宋体" w:eastAsia="黑体" w:cs="宋体"/>
          <w:spacing w:val="-9"/>
          <w:w w:val="100"/>
          <w:sz w:val="21"/>
          <w:szCs w:val="21"/>
          <w:lang w:val="zh-CN" w:eastAsia="zh-CN" w:bidi="zh-CN"/>
        </w:rPr>
        <w:t>8.1</w:t>
      </w:r>
      <w:r>
        <w:rPr>
          <w:rFonts w:hint="eastAsia" w:ascii="黑体" w:eastAsia="黑体"/>
          <w:sz w:val="21"/>
          <w:szCs w:val="21"/>
        </w:rPr>
        <w:t>对招标人的纪律要求</w:t>
      </w:r>
    </w:p>
    <w:p w14:paraId="2B028CA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sz w:val="21"/>
          <w:szCs w:val="21"/>
        </w:rPr>
      </w:pPr>
      <w:r>
        <w:rPr>
          <w:spacing w:val="-5"/>
          <w:sz w:val="21"/>
          <w:szCs w:val="21"/>
        </w:rPr>
        <w:t>招标人不得泄露招标投标活动中应保密的情况和资料，不得与投标人串通损害国</w:t>
      </w:r>
      <w:r>
        <w:rPr>
          <w:sz w:val="21"/>
          <w:szCs w:val="21"/>
        </w:rPr>
        <w:t>家利益、社会公共利益或他人合法权益。</w:t>
      </w:r>
    </w:p>
    <w:p w14:paraId="29D3007B">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both"/>
        <w:textAlignment w:val="auto"/>
        <w:rPr>
          <w:rFonts w:hint="eastAsia" w:ascii="黑体" w:eastAsia="黑体"/>
          <w:sz w:val="21"/>
          <w:szCs w:val="21"/>
        </w:rPr>
      </w:pPr>
      <w:bookmarkStart w:id="137" w:name="_bookmark81"/>
      <w:bookmarkEnd w:id="137"/>
      <w:bookmarkStart w:id="138" w:name="_bookmark81"/>
      <w:bookmarkEnd w:id="138"/>
      <w:r>
        <w:rPr>
          <w:rFonts w:hint="default" w:ascii="黑体" w:hAnsi="宋体" w:eastAsia="黑体" w:cs="宋体"/>
          <w:spacing w:val="-9"/>
          <w:w w:val="100"/>
          <w:sz w:val="21"/>
          <w:szCs w:val="21"/>
          <w:lang w:val="zh-CN" w:eastAsia="zh-CN" w:bidi="zh-CN"/>
        </w:rPr>
        <w:t>8.2</w:t>
      </w:r>
      <w:r>
        <w:rPr>
          <w:rFonts w:hint="eastAsia" w:ascii="黑体" w:eastAsia="黑体"/>
          <w:sz w:val="21"/>
          <w:szCs w:val="21"/>
        </w:rPr>
        <w:t>对投标人的纪律要求</w:t>
      </w:r>
    </w:p>
    <w:p w14:paraId="2842DCC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6" w:firstLineChars="200"/>
        <w:jc w:val="both"/>
        <w:textAlignment w:val="auto"/>
        <w:rPr>
          <w:sz w:val="21"/>
          <w:szCs w:val="21"/>
        </w:rPr>
      </w:pPr>
      <w:r>
        <w:rPr>
          <w:spacing w:val="-6"/>
          <w:sz w:val="21"/>
          <w:szCs w:val="21"/>
        </w:rPr>
        <w:t>投标人不得相互串通投标或与招标人串通投标，不得向招标人或评标委员会成员</w:t>
      </w:r>
      <w:r>
        <w:rPr>
          <w:spacing w:val="-10"/>
          <w:sz w:val="21"/>
          <w:szCs w:val="21"/>
        </w:rPr>
        <w:t>行贿谋取中标，不得以他人名义投标或以其他方式弄虚作假骗取中标；投标人不得以</w:t>
      </w:r>
      <w:r>
        <w:rPr>
          <w:sz w:val="21"/>
          <w:szCs w:val="21"/>
        </w:rPr>
        <w:t>任何方式干扰、影响评标工作。</w:t>
      </w:r>
    </w:p>
    <w:p w14:paraId="4B8466CE">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both"/>
        <w:textAlignment w:val="auto"/>
        <w:rPr>
          <w:rFonts w:hint="eastAsia" w:ascii="黑体" w:eastAsia="黑体"/>
          <w:sz w:val="21"/>
          <w:szCs w:val="21"/>
        </w:rPr>
      </w:pPr>
      <w:bookmarkStart w:id="139" w:name="_bookmark82"/>
      <w:bookmarkEnd w:id="139"/>
      <w:bookmarkStart w:id="140" w:name="_bookmark82"/>
      <w:bookmarkEnd w:id="140"/>
      <w:r>
        <w:rPr>
          <w:rFonts w:hint="default" w:ascii="黑体" w:hAnsi="宋体" w:eastAsia="黑体" w:cs="宋体"/>
          <w:spacing w:val="-9"/>
          <w:w w:val="100"/>
          <w:sz w:val="21"/>
          <w:szCs w:val="21"/>
          <w:lang w:val="zh-CN" w:eastAsia="zh-CN" w:bidi="zh-CN"/>
        </w:rPr>
        <w:t>8.3</w:t>
      </w:r>
      <w:r>
        <w:rPr>
          <w:rFonts w:hint="eastAsia" w:ascii="黑体" w:eastAsia="黑体"/>
          <w:sz w:val="21"/>
          <w:szCs w:val="21"/>
        </w:rPr>
        <w:t>对评标委员会成员的纪律要求</w:t>
      </w:r>
    </w:p>
    <w:p w14:paraId="5AC24B0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6" w:firstLineChars="200"/>
        <w:jc w:val="both"/>
        <w:textAlignment w:val="auto"/>
        <w:rPr>
          <w:sz w:val="21"/>
          <w:szCs w:val="21"/>
        </w:rPr>
      </w:pPr>
      <w:r>
        <w:rPr>
          <w:spacing w:val="-6"/>
          <w:sz w:val="21"/>
          <w:szCs w:val="21"/>
        </w:rPr>
        <w:t>评标委员会成员不得收受他人的财物或其他好处，不得向他人透露对投标文件的</w:t>
      </w:r>
      <w:r>
        <w:rPr>
          <w:spacing w:val="-9"/>
          <w:sz w:val="21"/>
          <w:szCs w:val="21"/>
        </w:rPr>
        <w:t>评审和比较、中标候选人的推荐情况以及评标有关的其他情况。在评标活动中，评标</w:t>
      </w:r>
      <w:r>
        <w:rPr>
          <w:spacing w:val="-8"/>
          <w:sz w:val="21"/>
          <w:szCs w:val="21"/>
        </w:rPr>
        <w:t>委员会成员应客观、公正地履行职责，遵守职业道德，不得擅离职守，影响评标程序</w:t>
      </w:r>
      <w:r>
        <w:rPr>
          <w:sz w:val="21"/>
          <w:szCs w:val="21"/>
        </w:rPr>
        <w:t>正常进行，不得使用第三章</w:t>
      </w:r>
      <w:r>
        <w:rPr>
          <w:rFonts w:ascii="Times New Roman" w:hAnsi="Times New Roman" w:eastAsia="Times New Roman"/>
          <w:sz w:val="21"/>
          <w:szCs w:val="21"/>
        </w:rPr>
        <w:t>“</w:t>
      </w:r>
      <w:r>
        <w:rPr>
          <w:sz w:val="21"/>
          <w:szCs w:val="21"/>
        </w:rPr>
        <w:t>评标办法</w:t>
      </w:r>
      <w:r>
        <w:rPr>
          <w:rFonts w:ascii="Times New Roman" w:hAnsi="Times New Roman" w:eastAsia="Times New Roman"/>
          <w:sz w:val="21"/>
          <w:szCs w:val="21"/>
        </w:rPr>
        <w:t>”</w:t>
      </w:r>
      <w:r>
        <w:rPr>
          <w:sz w:val="21"/>
          <w:szCs w:val="21"/>
        </w:rPr>
        <w:t>没有规定的评审因素和标准进行评标。</w:t>
      </w:r>
    </w:p>
    <w:p w14:paraId="37104C55">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both"/>
        <w:textAlignment w:val="auto"/>
        <w:rPr>
          <w:rFonts w:hint="eastAsia" w:ascii="黑体" w:eastAsia="黑体"/>
          <w:sz w:val="21"/>
          <w:szCs w:val="21"/>
        </w:rPr>
      </w:pPr>
      <w:bookmarkStart w:id="141" w:name="_bookmark83"/>
      <w:bookmarkEnd w:id="141"/>
      <w:bookmarkStart w:id="142" w:name="_bookmark83"/>
      <w:bookmarkEnd w:id="142"/>
      <w:r>
        <w:rPr>
          <w:rFonts w:hint="default" w:ascii="黑体" w:hAnsi="宋体" w:eastAsia="黑体" w:cs="宋体"/>
          <w:spacing w:val="-9"/>
          <w:w w:val="100"/>
          <w:sz w:val="21"/>
          <w:szCs w:val="21"/>
          <w:lang w:val="zh-CN" w:eastAsia="zh-CN" w:bidi="zh-CN"/>
        </w:rPr>
        <w:t>8.4</w:t>
      </w:r>
      <w:r>
        <w:rPr>
          <w:rFonts w:hint="eastAsia" w:ascii="黑体" w:eastAsia="黑体"/>
          <w:sz w:val="21"/>
          <w:szCs w:val="21"/>
        </w:rPr>
        <w:t>对与评标活动有关的工作人员的纪律要求</w:t>
      </w:r>
    </w:p>
    <w:p w14:paraId="77BD6B9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与评标活动有关的工作人员不得收受他人的财物或其他好处，不得向他人透露对</w:t>
      </w:r>
      <w:r>
        <w:rPr>
          <w:spacing w:val="-8"/>
          <w:sz w:val="21"/>
          <w:szCs w:val="21"/>
        </w:rPr>
        <w:t>投标文件的评审和比较、中标候选人的推荐情况以及评标有关的其他情况。在评标活</w:t>
      </w:r>
      <w:r>
        <w:rPr>
          <w:sz w:val="21"/>
          <w:szCs w:val="21"/>
        </w:rPr>
        <w:t>动中，与评标活动有关的工作人员不得擅离职守，影响评标程序正常进行。</w:t>
      </w:r>
    </w:p>
    <w:p w14:paraId="762C7844">
      <w:pPr>
        <w:pStyle w:val="41"/>
        <w:keepNext w:val="0"/>
        <w:keepLines w:val="0"/>
        <w:pageBreakBefore w:val="0"/>
        <w:widowControl w:val="0"/>
        <w:numPr>
          <w:ilvl w:val="1"/>
          <w:numId w:val="0"/>
        </w:numPr>
        <w:tabs>
          <w:tab w:val="left" w:pos="850"/>
        </w:tabs>
        <w:kinsoku/>
        <w:wordWrap/>
        <w:overflowPunct/>
        <w:topLinePunct w:val="0"/>
        <w:autoSpaceDE w:val="0"/>
        <w:autoSpaceDN w:val="0"/>
        <w:bidi w:val="0"/>
        <w:adjustRightInd/>
        <w:snapToGrid/>
        <w:spacing w:before="0" w:after="0" w:line="360" w:lineRule="auto"/>
        <w:ind w:left="0" w:leftChars="0" w:right="0" w:rightChars="0" w:firstLine="384" w:firstLineChars="200"/>
        <w:jc w:val="both"/>
        <w:textAlignment w:val="auto"/>
        <w:rPr>
          <w:rFonts w:ascii="黑体"/>
          <w:sz w:val="21"/>
          <w:szCs w:val="21"/>
        </w:rPr>
      </w:pPr>
      <w:bookmarkStart w:id="143" w:name="_bookmark84"/>
      <w:bookmarkEnd w:id="143"/>
      <w:bookmarkStart w:id="144" w:name="_bookmark84"/>
      <w:bookmarkEnd w:id="144"/>
      <w:r>
        <w:rPr>
          <w:rFonts w:hint="default" w:ascii="黑体" w:hAnsi="宋体" w:eastAsia="宋体" w:cs="宋体"/>
          <w:spacing w:val="-9"/>
          <w:w w:val="100"/>
          <w:sz w:val="21"/>
          <w:szCs w:val="21"/>
          <w:lang w:val="zh-CN" w:eastAsia="zh-CN" w:bidi="zh-CN"/>
        </w:rPr>
        <w:t>8.5</w:t>
      </w:r>
      <w:r>
        <w:rPr>
          <w:rFonts w:hint="eastAsia" w:ascii="黑体" w:eastAsia="黑体"/>
          <w:sz w:val="21"/>
          <w:szCs w:val="21"/>
        </w:rPr>
        <w:t>投诉</w:t>
      </w:r>
    </w:p>
    <w:p w14:paraId="1BC95412">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00" w:firstLineChars="200"/>
        <w:jc w:val="both"/>
        <w:textAlignment w:val="auto"/>
        <w:rPr>
          <w:sz w:val="21"/>
          <w:szCs w:val="21"/>
        </w:rPr>
      </w:pPr>
      <w:r>
        <w:rPr>
          <w:rFonts w:hint="eastAsia"/>
          <w:spacing w:val="-5"/>
          <w:sz w:val="21"/>
          <w:szCs w:val="21"/>
          <w:lang w:val="en-US" w:eastAsia="zh-CN"/>
        </w:rPr>
        <w:t>8.5.1</w:t>
      </w:r>
      <w:r>
        <w:rPr>
          <w:spacing w:val="-5"/>
          <w:sz w:val="21"/>
          <w:szCs w:val="21"/>
        </w:rPr>
        <w:t>投标人或其他利害关系人认为招标投标活动不符合法律、行政法规规定的，</w:t>
      </w:r>
      <w:r>
        <w:rPr>
          <w:spacing w:val="-4"/>
          <w:sz w:val="21"/>
          <w:szCs w:val="21"/>
        </w:rPr>
        <w:t>可以自知道或应当知道之日起</w:t>
      </w:r>
      <w:r>
        <w:rPr>
          <w:rFonts w:ascii="Times New Roman" w:eastAsia="Times New Roman"/>
          <w:sz w:val="21"/>
          <w:szCs w:val="21"/>
        </w:rPr>
        <w:t>10</w:t>
      </w:r>
      <w:r>
        <w:rPr>
          <w:sz w:val="21"/>
          <w:szCs w:val="21"/>
        </w:rPr>
        <w:t>日内向有关行政监督部门投诉。投诉应有明确的请求和必要的证明材料。</w:t>
      </w:r>
    </w:p>
    <w:p w14:paraId="0A8BDEE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sz w:val="21"/>
          <w:szCs w:val="21"/>
        </w:rPr>
      </w:pPr>
      <w:r>
        <w:rPr>
          <w:sz w:val="21"/>
          <w:szCs w:val="21"/>
        </w:rPr>
        <w:t>监督部门的联系方式见投标人须知前附表。</w:t>
      </w:r>
    </w:p>
    <w:p w14:paraId="41BD847D">
      <w:pPr>
        <w:pStyle w:val="41"/>
        <w:keepNext w:val="0"/>
        <w:keepLines w:val="0"/>
        <w:pageBreakBefore w:val="0"/>
        <w:widowControl w:val="0"/>
        <w:numPr>
          <w:ilvl w:val="0"/>
          <w:numId w:val="0"/>
        </w:numPr>
        <w:tabs>
          <w:tab w:val="left" w:pos="1450"/>
        </w:tabs>
        <w:kinsoku/>
        <w:wordWrap/>
        <w:overflowPunct/>
        <w:topLinePunct w:val="0"/>
        <w:autoSpaceDE w:val="0"/>
        <w:autoSpaceDN w:val="0"/>
        <w:bidi w:val="0"/>
        <w:adjustRightInd/>
        <w:snapToGrid/>
        <w:spacing w:before="0" w:after="0" w:line="360" w:lineRule="auto"/>
        <w:ind w:leftChars="0" w:right="0" w:rightChars="0" w:firstLine="416" w:firstLineChars="200"/>
        <w:jc w:val="both"/>
        <w:textAlignment w:val="auto"/>
        <w:rPr>
          <w:sz w:val="21"/>
          <w:szCs w:val="21"/>
        </w:rPr>
      </w:pPr>
      <w:r>
        <w:rPr>
          <w:rFonts w:hint="eastAsia"/>
          <w:spacing w:val="-1"/>
          <w:sz w:val="21"/>
          <w:szCs w:val="21"/>
          <w:lang w:val="en-US" w:eastAsia="zh-CN"/>
        </w:rPr>
        <w:t>8.5.2</w:t>
      </w:r>
      <w:r>
        <w:rPr>
          <w:spacing w:val="-1"/>
          <w:sz w:val="21"/>
          <w:szCs w:val="21"/>
        </w:rPr>
        <w:t>投标</w:t>
      </w:r>
      <w:r>
        <w:rPr>
          <w:rFonts w:hint="eastAsia" w:asciiTheme="minorEastAsia" w:hAnsiTheme="minorEastAsia" w:eastAsiaTheme="minorEastAsia" w:cstheme="minorEastAsia"/>
          <w:spacing w:val="-1"/>
          <w:sz w:val="21"/>
          <w:szCs w:val="21"/>
        </w:rPr>
        <w:t>人或其他利害关系人对招标文件、开标和评标结果提出投诉的，应按</w:t>
      </w:r>
      <w:r>
        <w:rPr>
          <w:rFonts w:hint="eastAsia" w:asciiTheme="minorEastAsia" w:hAnsiTheme="minorEastAsia" w:eastAsiaTheme="minorEastAsia" w:cstheme="minorEastAsia"/>
          <w:spacing w:val="-10"/>
          <w:sz w:val="21"/>
          <w:szCs w:val="21"/>
        </w:rPr>
        <w:t xml:space="preserve">照本章第 </w:t>
      </w:r>
      <w:r>
        <w:rPr>
          <w:rFonts w:hint="eastAsia" w:asciiTheme="minorEastAsia" w:hAnsiTheme="minorEastAsia" w:eastAsiaTheme="minorEastAsia" w:cstheme="minorEastAsia"/>
          <w:sz w:val="21"/>
          <w:szCs w:val="21"/>
        </w:rPr>
        <w:t>2.4</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12"/>
          <w:sz w:val="21"/>
          <w:szCs w:val="21"/>
        </w:rPr>
        <w:t xml:space="preserve">款、第 </w:t>
      </w:r>
      <w:r>
        <w:rPr>
          <w:rFonts w:hint="eastAsia" w:asciiTheme="minorEastAsia" w:hAnsiTheme="minorEastAsia" w:eastAsiaTheme="minorEastAsia" w:cstheme="minorEastAsia"/>
          <w:sz w:val="21"/>
          <w:szCs w:val="21"/>
        </w:rPr>
        <w:t>5.3</w:t>
      </w:r>
      <w:r>
        <w:rPr>
          <w:rFonts w:hint="eastAsia" w:asciiTheme="minorEastAsia" w:hAnsiTheme="minorEastAsia" w:eastAsiaTheme="minorEastAsia" w:cstheme="minorEastAsia"/>
          <w:spacing w:val="15"/>
          <w:sz w:val="21"/>
          <w:szCs w:val="21"/>
        </w:rPr>
        <w:t xml:space="preserve"> </w:t>
      </w:r>
      <w:r>
        <w:rPr>
          <w:rFonts w:hint="eastAsia" w:asciiTheme="minorEastAsia" w:hAnsiTheme="minorEastAsia" w:eastAsiaTheme="minorEastAsia" w:cstheme="minorEastAsia"/>
          <w:spacing w:val="-12"/>
          <w:sz w:val="21"/>
          <w:szCs w:val="21"/>
        </w:rPr>
        <w:t xml:space="preserve">款和第 </w:t>
      </w:r>
      <w:r>
        <w:rPr>
          <w:rFonts w:hint="eastAsia" w:asciiTheme="minorEastAsia" w:hAnsiTheme="minorEastAsia" w:eastAsiaTheme="minorEastAsia" w:cstheme="minorEastAsia"/>
          <w:sz w:val="21"/>
          <w:szCs w:val="21"/>
        </w:rPr>
        <w:t>7.2</w:t>
      </w:r>
      <w:r>
        <w:rPr>
          <w:rFonts w:hint="eastAsia" w:asciiTheme="minorEastAsia" w:hAnsiTheme="minorEastAsia" w:eastAsiaTheme="minorEastAsia" w:cstheme="minorEastAsia"/>
          <w:spacing w:val="14"/>
          <w:sz w:val="21"/>
          <w:szCs w:val="21"/>
        </w:rPr>
        <w:t xml:space="preserve"> </w:t>
      </w:r>
      <w:r>
        <w:rPr>
          <w:rFonts w:hint="eastAsia" w:asciiTheme="minorEastAsia" w:hAnsiTheme="minorEastAsia" w:eastAsiaTheme="minorEastAsia" w:cstheme="minorEastAsia"/>
          <w:spacing w:val="-1"/>
          <w:sz w:val="21"/>
          <w:szCs w:val="21"/>
        </w:rPr>
        <w:t>款</w:t>
      </w:r>
      <w:r>
        <w:rPr>
          <w:spacing w:val="-1"/>
          <w:sz w:val="21"/>
          <w:szCs w:val="21"/>
        </w:rPr>
        <w:t>的规定先向招标人提出异议。异议答复期间不</w:t>
      </w:r>
      <w:r>
        <w:rPr>
          <w:spacing w:val="-13"/>
          <w:sz w:val="21"/>
          <w:szCs w:val="21"/>
        </w:rPr>
        <w:t xml:space="preserve">计算在第 </w:t>
      </w:r>
      <w:r>
        <w:rPr>
          <w:rFonts w:ascii="Times New Roman" w:eastAsia="Times New Roman"/>
          <w:sz w:val="21"/>
          <w:szCs w:val="21"/>
        </w:rPr>
        <w:t xml:space="preserve">8.5.1 </w:t>
      </w:r>
      <w:r>
        <w:rPr>
          <w:sz w:val="21"/>
          <w:szCs w:val="21"/>
        </w:rPr>
        <w:t>项规定的期限内。</w:t>
      </w:r>
    </w:p>
    <w:p w14:paraId="57612BD3">
      <w:pPr>
        <w:keepNext w:val="0"/>
        <w:keepLines w:val="0"/>
        <w:pageBreakBefore w:val="0"/>
        <w:widowControl w:val="0"/>
        <w:numPr>
          <w:ilvl w:val="0"/>
          <w:numId w:val="0"/>
        </w:numPr>
        <w:tabs>
          <w:tab w:val="left" w:pos="790"/>
        </w:tabs>
        <w:kinsoku/>
        <w:wordWrap/>
        <w:overflowPunct/>
        <w:topLinePunct w:val="0"/>
        <w:autoSpaceDE w:val="0"/>
        <w:autoSpaceDN w:val="0"/>
        <w:bidi w:val="0"/>
        <w:adjustRightInd/>
        <w:snapToGrid/>
        <w:spacing w:before="0" w:line="360" w:lineRule="auto"/>
        <w:ind w:left="0" w:leftChars="0" w:right="0" w:rightChars="0" w:firstLine="420" w:firstLineChars="200"/>
        <w:jc w:val="both"/>
        <w:textAlignment w:val="auto"/>
        <w:rPr>
          <w:rFonts w:hint="eastAsia" w:ascii="黑体" w:eastAsia="黑体"/>
          <w:sz w:val="21"/>
          <w:szCs w:val="21"/>
        </w:rPr>
      </w:pPr>
      <w:bookmarkStart w:id="145" w:name="_bookmark85"/>
      <w:bookmarkEnd w:id="145"/>
      <w:bookmarkStart w:id="146" w:name="_bookmark85"/>
      <w:bookmarkEnd w:id="146"/>
      <w:r>
        <w:rPr>
          <w:rFonts w:hint="default" w:ascii="黑体" w:hAnsi="黑体" w:eastAsia="黑体" w:cs="黑体"/>
          <w:w w:val="100"/>
          <w:sz w:val="21"/>
          <w:szCs w:val="21"/>
          <w:lang w:val="zh-CN" w:eastAsia="zh-CN" w:bidi="zh-CN"/>
        </w:rPr>
        <w:t>9.</w:t>
      </w:r>
      <w:r>
        <w:rPr>
          <w:rFonts w:hint="eastAsia" w:ascii="黑体" w:eastAsia="黑体"/>
          <w:spacing w:val="-2"/>
          <w:sz w:val="21"/>
          <w:szCs w:val="21"/>
        </w:rPr>
        <w:t>是否采用电子招标投标</w:t>
      </w:r>
    </w:p>
    <w:p w14:paraId="7ACF325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本招标项目是否采用电子招标投标方式，见投标人须知前附表。</w:t>
      </w:r>
    </w:p>
    <w:p w14:paraId="6D078915">
      <w:pPr>
        <w:keepNext w:val="0"/>
        <w:keepLines w:val="0"/>
        <w:pageBreakBefore w:val="0"/>
        <w:widowControl w:val="0"/>
        <w:numPr>
          <w:ilvl w:val="0"/>
          <w:numId w:val="0"/>
        </w:numPr>
        <w:tabs>
          <w:tab w:val="left" w:pos="929"/>
        </w:tabs>
        <w:kinsoku/>
        <w:wordWrap/>
        <w:overflowPunct/>
        <w:topLinePunct w:val="0"/>
        <w:autoSpaceDE w:val="0"/>
        <w:autoSpaceDN w:val="0"/>
        <w:bidi w:val="0"/>
        <w:adjustRightInd/>
        <w:snapToGrid/>
        <w:spacing w:before="0" w:line="360" w:lineRule="auto"/>
        <w:ind w:left="0" w:leftChars="0" w:right="0" w:rightChars="0" w:firstLine="420" w:firstLineChars="200"/>
        <w:jc w:val="both"/>
        <w:textAlignment w:val="auto"/>
        <w:rPr>
          <w:rFonts w:hint="eastAsia" w:ascii="黑体" w:eastAsia="黑体"/>
          <w:sz w:val="21"/>
          <w:szCs w:val="21"/>
        </w:rPr>
      </w:pPr>
      <w:bookmarkStart w:id="147" w:name="_bookmark86"/>
      <w:bookmarkEnd w:id="147"/>
      <w:bookmarkStart w:id="148" w:name="_bookmark86"/>
      <w:bookmarkEnd w:id="148"/>
      <w:r>
        <w:rPr>
          <w:rFonts w:hint="default" w:ascii="黑体" w:hAnsi="黑体" w:eastAsia="黑体" w:cs="黑体"/>
          <w:w w:val="100"/>
          <w:sz w:val="21"/>
          <w:szCs w:val="21"/>
          <w:lang w:val="zh-CN" w:eastAsia="zh-CN" w:bidi="zh-CN"/>
        </w:rPr>
        <w:t>10.</w:t>
      </w:r>
      <w:r>
        <w:rPr>
          <w:rFonts w:hint="eastAsia" w:ascii="黑体" w:eastAsia="黑体"/>
          <w:spacing w:val="-2"/>
          <w:sz w:val="21"/>
          <w:szCs w:val="21"/>
        </w:rPr>
        <w:t>需要补充的其他内容</w:t>
      </w:r>
    </w:p>
    <w:p w14:paraId="11B35767">
      <w:pPr>
        <w:pStyle w:val="41"/>
        <w:keepNext w:val="0"/>
        <w:keepLines w:val="0"/>
        <w:pageBreakBefore w:val="0"/>
        <w:widowControl w:val="0"/>
        <w:numPr>
          <w:ilvl w:val="0"/>
          <w:numId w:val="0"/>
        </w:numPr>
        <w:tabs>
          <w:tab w:val="left" w:pos="1392"/>
        </w:tabs>
        <w:kinsoku/>
        <w:wordWrap/>
        <w:overflowPunct/>
        <w:topLinePunct w:val="0"/>
        <w:autoSpaceDE w:val="0"/>
        <w:autoSpaceDN w:val="0"/>
        <w:bidi w:val="0"/>
        <w:adjustRightInd/>
        <w:snapToGrid/>
        <w:spacing w:before="0" w:after="0" w:line="360" w:lineRule="auto"/>
        <w:ind w:leftChars="0" w:right="0" w:rightChars="0" w:firstLine="420" w:firstLineChars="200"/>
        <w:jc w:val="both"/>
        <w:textAlignment w:val="auto"/>
        <w:rPr>
          <w:rFonts w:ascii="Times New Roman" w:eastAsia="Times New Roman"/>
          <w:sz w:val="21"/>
          <w:szCs w:val="21"/>
        </w:rPr>
      </w:pPr>
      <w:r>
        <w:rPr>
          <w:sz w:val="21"/>
          <w:szCs w:val="21"/>
        </w:rPr>
        <w:t>自购买招标文件之日起，投标人应保证其提供的联系方式</w:t>
      </w:r>
      <w:r>
        <w:rPr>
          <w:spacing w:val="5"/>
          <w:sz w:val="21"/>
          <w:szCs w:val="21"/>
        </w:rPr>
        <w:t>（</w:t>
      </w:r>
      <w:r>
        <w:rPr>
          <w:sz w:val="21"/>
          <w:szCs w:val="21"/>
        </w:rPr>
        <w:t>电话、传真、电子邮件）一直有效，以便及时收到招标人发出的函件</w:t>
      </w:r>
      <w:r>
        <w:rPr>
          <w:rFonts w:ascii="Times New Roman" w:eastAsia="Times New Roman"/>
          <w:sz w:val="21"/>
          <w:szCs w:val="21"/>
        </w:rPr>
        <w:t>(</w:t>
      </w:r>
      <w:r>
        <w:rPr>
          <w:sz w:val="21"/>
          <w:szCs w:val="21"/>
        </w:rPr>
        <w:t>招标文件的澄清、修改等</w:t>
      </w:r>
      <w:r>
        <w:rPr>
          <w:rFonts w:ascii="Times New Roman" w:eastAsia="Times New Roman"/>
          <w:spacing w:val="-9"/>
          <w:sz w:val="21"/>
          <w:szCs w:val="21"/>
        </w:rPr>
        <w:t>)</w:t>
      </w:r>
      <w:r>
        <w:rPr>
          <w:spacing w:val="-9"/>
          <w:sz w:val="21"/>
          <w:szCs w:val="21"/>
        </w:rPr>
        <w:t xml:space="preserve">， </w:t>
      </w:r>
      <w:r>
        <w:rPr>
          <w:sz w:val="21"/>
          <w:szCs w:val="21"/>
        </w:rPr>
        <w:t>并应及时向招标人反馈信息，否则招标人不承担由此引起的一切后果。</w:t>
      </w:r>
    </w:p>
    <w:p w14:paraId="23C6333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sz w:val="21"/>
          <w:szCs w:val="21"/>
        </w:rPr>
      </w:pPr>
      <w:r>
        <w:rPr>
          <w:sz w:val="21"/>
          <w:szCs w:val="21"/>
        </w:rPr>
        <w:t>需要补充的其他内容：见投标人须知前附表。</w:t>
      </w:r>
    </w:p>
    <w:p w14:paraId="56560720">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20" w:firstLineChars="200"/>
        <w:textAlignment w:val="auto"/>
        <w:rPr>
          <w:sz w:val="21"/>
          <w:szCs w:val="21"/>
        </w:rPr>
        <w:sectPr>
          <w:headerReference r:id="rId18" w:type="default"/>
          <w:footerReference r:id="rId20" w:type="default"/>
          <w:headerReference r:id="rId19" w:type="even"/>
          <w:footerReference r:id="rId21" w:type="even"/>
          <w:pgSz w:w="11910" w:h="16850"/>
          <w:pgMar w:top="1480" w:right="1200" w:bottom="1080" w:left="1220" w:header="883" w:footer="884" w:gutter="0"/>
          <w:pgNumType w:fmt="decimal"/>
          <w:cols w:space="720" w:num="1"/>
        </w:sectPr>
      </w:pPr>
    </w:p>
    <w:p w14:paraId="73228152">
      <w:pPr>
        <w:pStyle w:val="12"/>
        <w:spacing w:before="97"/>
        <w:ind w:left="369"/>
        <w:rPr>
          <w:rFonts w:hint="eastAsia" w:ascii="黑体" w:hAnsi="黑体" w:eastAsia="黑体"/>
          <w:sz w:val="14"/>
        </w:rPr>
      </w:pPr>
      <w:bookmarkStart w:id="149" w:name="_bookmark87"/>
      <w:bookmarkEnd w:id="149"/>
      <w:r>
        <w:rPr>
          <w:rFonts w:hint="eastAsia" w:ascii="黑体" w:hAnsi="黑体" w:eastAsia="黑体"/>
        </w:rPr>
        <w:t>附件一 开标记录表</w:t>
      </w:r>
    </w:p>
    <w:p w14:paraId="04FD91F3">
      <w:pPr>
        <w:pStyle w:val="12"/>
        <w:spacing w:before="4"/>
        <w:rPr>
          <w:rFonts w:ascii="黑体"/>
          <w:sz w:val="22"/>
        </w:rPr>
      </w:pPr>
    </w:p>
    <w:p w14:paraId="2C4D6F5E">
      <w:pPr>
        <w:tabs>
          <w:tab w:val="left" w:pos="1609"/>
          <w:tab w:val="left" w:pos="3854"/>
        </w:tabs>
        <w:spacing w:before="70" w:line="292" w:lineRule="auto"/>
        <w:ind w:left="4063" w:right="589" w:hanging="3431"/>
        <w:jc w:val="left"/>
        <w:rPr>
          <w:rFonts w:hint="eastAsia" w:ascii="黑体" w:eastAsia="黑体"/>
          <w:sz w:val="28"/>
        </w:rPr>
      </w:pPr>
      <w:r>
        <w:rPr>
          <w:rFonts w:ascii="Times New Roman" w:eastAsia="Times New Roman"/>
          <w:w w:val="100"/>
          <w:sz w:val="28"/>
          <w:u w:val="single"/>
        </w:rPr>
        <w:t xml:space="preserve"> </w:t>
      </w:r>
      <w:r>
        <w:rPr>
          <w:rFonts w:ascii="Times New Roman" w:eastAsia="Times New Roman"/>
          <w:sz w:val="28"/>
          <w:u w:val="single"/>
        </w:rPr>
        <w:tab/>
      </w:r>
      <w:r>
        <w:rPr>
          <w:rFonts w:hint="eastAsia" w:ascii="黑体" w:eastAsia="黑体"/>
          <w:sz w:val="28"/>
        </w:rPr>
        <w:t>（项目名称）</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标段施</w:t>
      </w:r>
      <w:r>
        <w:rPr>
          <w:rFonts w:hint="eastAsia" w:ascii="黑体" w:eastAsia="黑体"/>
          <w:spacing w:val="-3"/>
          <w:sz w:val="28"/>
        </w:rPr>
        <w:t>工第</w:t>
      </w:r>
      <w:r>
        <w:rPr>
          <w:rFonts w:hint="eastAsia" w:ascii="黑体" w:eastAsia="黑体"/>
          <w:sz w:val="28"/>
        </w:rPr>
        <w:t>一个信封（商</w:t>
      </w:r>
      <w:r>
        <w:rPr>
          <w:rFonts w:hint="eastAsia" w:ascii="黑体" w:eastAsia="黑体"/>
          <w:spacing w:val="-3"/>
          <w:sz w:val="28"/>
        </w:rPr>
        <w:t>务及</w:t>
      </w:r>
      <w:r>
        <w:rPr>
          <w:rFonts w:hint="eastAsia" w:ascii="黑体" w:eastAsia="黑体"/>
          <w:sz w:val="28"/>
        </w:rPr>
        <w:t>技术文</w:t>
      </w:r>
      <w:r>
        <w:rPr>
          <w:rFonts w:hint="eastAsia" w:ascii="黑体" w:eastAsia="黑体"/>
          <w:spacing w:val="-3"/>
          <w:sz w:val="28"/>
        </w:rPr>
        <w:t>件</w:t>
      </w:r>
      <w:r>
        <w:rPr>
          <w:rFonts w:hint="eastAsia" w:ascii="黑体" w:eastAsia="黑体"/>
          <w:spacing w:val="-15"/>
          <w:sz w:val="28"/>
        </w:rPr>
        <w:t xml:space="preserve">） </w:t>
      </w:r>
      <w:r>
        <w:rPr>
          <w:rFonts w:hint="eastAsia" w:ascii="黑体" w:eastAsia="黑体"/>
          <w:sz w:val="28"/>
        </w:rPr>
        <w:t>开标记</w:t>
      </w:r>
      <w:r>
        <w:rPr>
          <w:rFonts w:hint="eastAsia" w:ascii="黑体" w:eastAsia="黑体"/>
          <w:spacing w:val="-3"/>
          <w:sz w:val="28"/>
        </w:rPr>
        <w:t>录</w:t>
      </w:r>
      <w:r>
        <w:rPr>
          <w:rFonts w:hint="eastAsia" w:ascii="黑体" w:eastAsia="黑体"/>
          <w:sz w:val="28"/>
        </w:rPr>
        <w:t>表</w:t>
      </w:r>
    </w:p>
    <w:p w14:paraId="2B057288">
      <w:pPr>
        <w:pStyle w:val="12"/>
        <w:tabs>
          <w:tab w:val="left" w:pos="1560"/>
          <w:tab w:val="left" w:pos="2160"/>
          <w:tab w:val="left" w:pos="2760"/>
          <w:tab w:val="left" w:pos="3360"/>
          <w:tab w:val="left" w:pos="3960"/>
        </w:tabs>
        <w:spacing w:before="45" w:after="20"/>
        <w:ind w:right="324"/>
        <w:jc w:val="right"/>
      </w:pPr>
      <w:r>
        <w:t>开标时间：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rPr>
          <w:u w:val="single"/>
        </w:rPr>
        <w:t xml:space="preserve"> </w:t>
      </w:r>
      <w:r>
        <w:rPr>
          <w:u w:val="single"/>
        </w:rPr>
        <w:tab/>
      </w:r>
      <w:r>
        <w:t>时</w:t>
      </w:r>
      <w:r>
        <w:rPr>
          <w:u w:val="single"/>
        </w:rPr>
        <w:t xml:space="preserve"> </w:t>
      </w:r>
      <w:r>
        <w:rPr>
          <w:u w:val="single"/>
        </w:rPr>
        <w:tab/>
      </w:r>
      <w:r>
        <w:t>分</w:t>
      </w:r>
    </w:p>
    <w:tbl>
      <w:tblPr>
        <w:tblStyle w:val="25"/>
        <w:tblW w:w="0" w:type="auto"/>
        <w:tblInd w:w="2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596"/>
        <w:gridCol w:w="1275"/>
        <w:gridCol w:w="1560"/>
        <w:gridCol w:w="1135"/>
        <w:gridCol w:w="849"/>
        <w:gridCol w:w="1843"/>
      </w:tblGrid>
      <w:tr w14:paraId="44C67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96" w:type="dxa"/>
          </w:tcPr>
          <w:p w14:paraId="036BC30F">
            <w:pPr>
              <w:pStyle w:val="42"/>
              <w:rPr>
                <w:sz w:val="20"/>
              </w:rPr>
            </w:pPr>
          </w:p>
          <w:p w14:paraId="2F7B6AB1">
            <w:pPr>
              <w:pStyle w:val="42"/>
              <w:spacing w:before="4"/>
              <w:rPr>
                <w:sz w:val="14"/>
              </w:rPr>
            </w:pPr>
          </w:p>
          <w:p w14:paraId="6920082B">
            <w:pPr>
              <w:pStyle w:val="42"/>
              <w:ind w:left="136"/>
              <w:rPr>
                <w:sz w:val="21"/>
              </w:rPr>
            </w:pPr>
            <w:r>
              <w:rPr>
                <w:sz w:val="21"/>
              </w:rPr>
              <w:t>序号</w:t>
            </w:r>
          </w:p>
        </w:tc>
        <w:tc>
          <w:tcPr>
            <w:tcW w:w="1596" w:type="dxa"/>
          </w:tcPr>
          <w:p w14:paraId="3C7F1330">
            <w:pPr>
              <w:pStyle w:val="42"/>
              <w:rPr>
                <w:sz w:val="20"/>
              </w:rPr>
            </w:pPr>
          </w:p>
          <w:p w14:paraId="0F42AFFC">
            <w:pPr>
              <w:pStyle w:val="42"/>
              <w:spacing w:before="4"/>
              <w:rPr>
                <w:sz w:val="14"/>
              </w:rPr>
            </w:pPr>
          </w:p>
          <w:p w14:paraId="4B0C9BCD">
            <w:pPr>
              <w:pStyle w:val="42"/>
              <w:ind w:left="482"/>
              <w:rPr>
                <w:sz w:val="21"/>
              </w:rPr>
            </w:pPr>
            <w:r>
              <w:rPr>
                <w:sz w:val="21"/>
              </w:rPr>
              <w:t>投标人</w:t>
            </w:r>
          </w:p>
        </w:tc>
        <w:tc>
          <w:tcPr>
            <w:tcW w:w="1275" w:type="dxa"/>
          </w:tcPr>
          <w:p w14:paraId="09FA42CE">
            <w:pPr>
              <w:pStyle w:val="42"/>
              <w:rPr>
                <w:sz w:val="20"/>
              </w:rPr>
            </w:pPr>
          </w:p>
          <w:p w14:paraId="3A88F7A5">
            <w:pPr>
              <w:pStyle w:val="42"/>
              <w:spacing w:before="4"/>
              <w:rPr>
                <w:sz w:val="14"/>
              </w:rPr>
            </w:pPr>
          </w:p>
          <w:p w14:paraId="573218DB">
            <w:pPr>
              <w:pStyle w:val="42"/>
              <w:ind w:left="216"/>
              <w:rPr>
                <w:sz w:val="21"/>
              </w:rPr>
            </w:pPr>
            <w:r>
              <w:rPr>
                <w:sz w:val="21"/>
              </w:rPr>
              <w:t>密封情况</w:t>
            </w:r>
          </w:p>
        </w:tc>
        <w:tc>
          <w:tcPr>
            <w:tcW w:w="1560" w:type="dxa"/>
          </w:tcPr>
          <w:p w14:paraId="5E80EFBF">
            <w:pPr>
              <w:pStyle w:val="42"/>
              <w:spacing w:before="11"/>
              <w:rPr>
                <w:sz w:val="14"/>
              </w:rPr>
            </w:pPr>
          </w:p>
          <w:p w14:paraId="725ABAFC">
            <w:pPr>
              <w:pStyle w:val="42"/>
              <w:ind w:left="24" w:right="15"/>
              <w:jc w:val="center"/>
              <w:rPr>
                <w:sz w:val="21"/>
              </w:rPr>
            </w:pPr>
            <w:r>
              <w:rPr>
                <w:sz w:val="21"/>
              </w:rPr>
              <w:t>投标保证金递交</w:t>
            </w:r>
          </w:p>
          <w:p w14:paraId="58EBF188">
            <w:pPr>
              <w:pStyle w:val="42"/>
              <w:spacing w:before="2"/>
              <w:rPr>
                <w:sz w:val="18"/>
              </w:rPr>
            </w:pPr>
          </w:p>
          <w:p w14:paraId="29D96560">
            <w:pPr>
              <w:pStyle w:val="42"/>
              <w:ind w:left="24" w:right="15"/>
              <w:jc w:val="center"/>
              <w:rPr>
                <w:sz w:val="21"/>
              </w:rPr>
            </w:pPr>
            <w:r>
              <w:rPr>
                <w:sz w:val="21"/>
              </w:rPr>
              <w:t>情况</w:t>
            </w:r>
          </w:p>
        </w:tc>
        <w:tc>
          <w:tcPr>
            <w:tcW w:w="1135" w:type="dxa"/>
          </w:tcPr>
          <w:p w14:paraId="2B6EB3BB">
            <w:pPr>
              <w:pStyle w:val="42"/>
              <w:rPr>
                <w:sz w:val="20"/>
              </w:rPr>
            </w:pPr>
          </w:p>
          <w:p w14:paraId="38DF11FD">
            <w:pPr>
              <w:pStyle w:val="42"/>
              <w:spacing w:before="4"/>
              <w:rPr>
                <w:sz w:val="14"/>
              </w:rPr>
            </w:pPr>
          </w:p>
          <w:p w14:paraId="66E4881E">
            <w:pPr>
              <w:pStyle w:val="42"/>
              <w:ind w:left="355"/>
              <w:rPr>
                <w:sz w:val="21"/>
              </w:rPr>
            </w:pPr>
            <w:r>
              <w:rPr>
                <w:sz w:val="21"/>
              </w:rPr>
              <w:t>工期</w:t>
            </w:r>
          </w:p>
        </w:tc>
        <w:tc>
          <w:tcPr>
            <w:tcW w:w="849" w:type="dxa"/>
          </w:tcPr>
          <w:p w14:paraId="47B0C10A">
            <w:pPr>
              <w:pStyle w:val="42"/>
              <w:rPr>
                <w:sz w:val="20"/>
              </w:rPr>
            </w:pPr>
          </w:p>
          <w:p w14:paraId="4315B399">
            <w:pPr>
              <w:pStyle w:val="42"/>
              <w:spacing w:before="4"/>
              <w:rPr>
                <w:sz w:val="14"/>
              </w:rPr>
            </w:pPr>
          </w:p>
          <w:p w14:paraId="1B43B071">
            <w:pPr>
              <w:pStyle w:val="42"/>
              <w:ind w:left="211"/>
              <w:rPr>
                <w:sz w:val="21"/>
              </w:rPr>
            </w:pPr>
            <w:r>
              <w:rPr>
                <w:sz w:val="21"/>
              </w:rPr>
              <w:t>备注</w:t>
            </w:r>
          </w:p>
        </w:tc>
        <w:tc>
          <w:tcPr>
            <w:tcW w:w="1843" w:type="dxa"/>
          </w:tcPr>
          <w:p w14:paraId="33E3CE6F">
            <w:pPr>
              <w:pStyle w:val="42"/>
              <w:rPr>
                <w:sz w:val="20"/>
              </w:rPr>
            </w:pPr>
          </w:p>
          <w:p w14:paraId="74E0E594">
            <w:pPr>
              <w:pStyle w:val="42"/>
              <w:spacing w:before="4"/>
              <w:rPr>
                <w:sz w:val="14"/>
              </w:rPr>
            </w:pPr>
          </w:p>
          <w:p w14:paraId="6A795885">
            <w:pPr>
              <w:pStyle w:val="42"/>
              <w:ind w:left="185"/>
              <w:rPr>
                <w:sz w:val="21"/>
              </w:rPr>
            </w:pPr>
            <w:r>
              <w:rPr>
                <w:sz w:val="21"/>
              </w:rPr>
              <w:t>投标人代表签名</w:t>
            </w:r>
          </w:p>
        </w:tc>
      </w:tr>
      <w:tr w14:paraId="66D7F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96" w:type="dxa"/>
          </w:tcPr>
          <w:p w14:paraId="7561CC79">
            <w:pPr>
              <w:pStyle w:val="42"/>
              <w:rPr>
                <w:rFonts w:ascii="Times New Roman"/>
                <w:sz w:val="20"/>
              </w:rPr>
            </w:pPr>
          </w:p>
        </w:tc>
        <w:tc>
          <w:tcPr>
            <w:tcW w:w="1596" w:type="dxa"/>
          </w:tcPr>
          <w:p w14:paraId="7E0F9930">
            <w:pPr>
              <w:pStyle w:val="42"/>
              <w:rPr>
                <w:rFonts w:ascii="Times New Roman"/>
                <w:sz w:val="20"/>
              </w:rPr>
            </w:pPr>
          </w:p>
        </w:tc>
        <w:tc>
          <w:tcPr>
            <w:tcW w:w="1275" w:type="dxa"/>
          </w:tcPr>
          <w:p w14:paraId="6E6D1771">
            <w:pPr>
              <w:pStyle w:val="42"/>
              <w:rPr>
                <w:rFonts w:ascii="Times New Roman"/>
                <w:sz w:val="20"/>
              </w:rPr>
            </w:pPr>
          </w:p>
        </w:tc>
        <w:tc>
          <w:tcPr>
            <w:tcW w:w="1560" w:type="dxa"/>
          </w:tcPr>
          <w:p w14:paraId="78BBE068">
            <w:pPr>
              <w:pStyle w:val="42"/>
              <w:rPr>
                <w:rFonts w:ascii="Times New Roman"/>
                <w:sz w:val="20"/>
              </w:rPr>
            </w:pPr>
          </w:p>
        </w:tc>
        <w:tc>
          <w:tcPr>
            <w:tcW w:w="1135" w:type="dxa"/>
          </w:tcPr>
          <w:p w14:paraId="355321BB">
            <w:pPr>
              <w:pStyle w:val="42"/>
              <w:rPr>
                <w:rFonts w:ascii="Times New Roman"/>
                <w:sz w:val="20"/>
              </w:rPr>
            </w:pPr>
          </w:p>
        </w:tc>
        <w:tc>
          <w:tcPr>
            <w:tcW w:w="849" w:type="dxa"/>
          </w:tcPr>
          <w:p w14:paraId="5743F31A">
            <w:pPr>
              <w:pStyle w:val="42"/>
              <w:rPr>
                <w:rFonts w:ascii="Times New Roman"/>
                <w:sz w:val="20"/>
              </w:rPr>
            </w:pPr>
          </w:p>
        </w:tc>
        <w:tc>
          <w:tcPr>
            <w:tcW w:w="1843" w:type="dxa"/>
          </w:tcPr>
          <w:p w14:paraId="10527847">
            <w:pPr>
              <w:pStyle w:val="42"/>
              <w:rPr>
                <w:rFonts w:ascii="Times New Roman"/>
                <w:sz w:val="20"/>
              </w:rPr>
            </w:pPr>
          </w:p>
        </w:tc>
      </w:tr>
      <w:tr w14:paraId="29342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tcPr>
          <w:p w14:paraId="16B35F5A">
            <w:pPr>
              <w:pStyle w:val="42"/>
              <w:rPr>
                <w:rFonts w:ascii="Times New Roman"/>
                <w:sz w:val="20"/>
              </w:rPr>
            </w:pPr>
          </w:p>
        </w:tc>
        <w:tc>
          <w:tcPr>
            <w:tcW w:w="1596" w:type="dxa"/>
          </w:tcPr>
          <w:p w14:paraId="03766591">
            <w:pPr>
              <w:pStyle w:val="42"/>
              <w:rPr>
                <w:rFonts w:ascii="Times New Roman"/>
                <w:sz w:val="20"/>
              </w:rPr>
            </w:pPr>
          </w:p>
        </w:tc>
        <w:tc>
          <w:tcPr>
            <w:tcW w:w="1275" w:type="dxa"/>
          </w:tcPr>
          <w:p w14:paraId="3F8D0E79">
            <w:pPr>
              <w:pStyle w:val="42"/>
              <w:rPr>
                <w:rFonts w:ascii="Times New Roman"/>
                <w:sz w:val="20"/>
              </w:rPr>
            </w:pPr>
          </w:p>
        </w:tc>
        <w:tc>
          <w:tcPr>
            <w:tcW w:w="1560" w:type="dxa"/>
          </w:tcPr>
          <w:p w14:paraId="681401A3">
            <w:pPr>
              <w:pStyle w:val="42"/>
              <w:rPr>
                <w:rFonts w:ascii="Times New Roman"/>
                <w:sz w:val="20"/>
              </w:rPr>
            </w:pPr>
          </w:p>
        </w:tc>
        <w:tc>
          <w:tcPr>
            <w:tcW w:w="1135" w:type="dxa"/>
          </w:tcPr>
          <w:p w14:paraId="3B7F9306">
            <w:pPr>
              <w:pStyle w:val="42"/>
              <w:rPr>
                <w:rFonts w:ascii="Times New Roman"/>
                <w:sz w:val="20"/>
              </w:rPr>
            </w:pPr>
          </w:p>
        </w:tc>
        <w:tc>
          <w:tcPr>
            <w:tcW w:w="849" w:type="dxa"/>
          </w:tcPr>
          <w:p w14:paraId="723BE5ED">
            <w:pPr>
              <w:pStyle w:val="42"/>
              <w:rPr>
                <w:rFonts w:ascii="Times New Roman"/>
                <w:sz w:val="20"/>
              </w:rPr>
            </w:pPr>
          </w:p>
        </w:tc>
        <w:tc>
          <w:tcPr>
            <w:tcW w:w="1843" w:type="dxa"/>
          </w:tcPr>
          <w:p w14:paraId="0CCA808A">
            <w:pPr>
              <w:pStyle w:val="42"/>
              <w:rPr>
                <w:rFonts w:ascii="Times New Roman"/>
                <w:sz w:val="20"/>
              </w:rPr>
            </w:pPr>
          </w:p>
        </w:tc>
      </w:tr>
      <w:tr w14:paraId="413B7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96" w:type="dxa"/>
          </w:tcPr>
          <w:p w14:paraId="09E7CB9F">
            <w:pPr>
              <w:pStyle w:val="42"/>
              <w:rPr>
                <w:rFonts w:ascii="Times New Roman"/>
                <w:sz w:val="20"/>
              </w:rPr>
            </w:pPr>
          </w:p>
        </w:tc>
        <w:tc>
          <w:tcPr>
            <w:tcW w:w="1596" w:type="dxa"/>
          </w:tcPr>
          <w:p w14:paraId="1E71FD8B">
            <w:pPr>
              <w:pStyle w:val="42"/>
              <w:rPr>
                <w:rFonts w:ascii="Times New Roman"/>
                <w:sz w:val="20"/>
              </w:rPr>
            </w:pPr>
          </w:p>
        </w:tc>
        <w:tc>
          <w:tcPr>
            <w:tcW w:w="1275" w:type="dxa"/>
          </w:tcPr>
          <w:p w14:paraId="5003EE71">
            <w:pPr>
              <w:pStyle w:val="42"/>
              <w:rPr>
                <w:rFonts w:ascii="Times New Roman"/>
                <w:sz w:val="20"/>
              </w:rPr>
            </w:pPr>
          </w:p>
        </w:tc>
        <w:tc>
          <w:tcPr>
            <w:tcW w:w="1560" w:type="dxa"/>
          </w:tcPr>
          <w:p w14:paraId="3B66032C">
            <w:pPr>
              <w:pStyle w:val="42"/>
              <w:rPr>
                <w:rFonts w:ascii="Times New Roman"/>
                <w:sz w:val="20"/>
              </w:rPr>
            </w:pPr>
          </w:p>
        </w:tc>
        <w:tc>
          <w:tcPr>
            <w:tcW w:w="1135" w:type="dxa"/>
          </w:tcPr>
          <w:p w14:paraId="5A63B37C">
            <w:pPr>
              <w:pStyle w:val="42"/>
              <w:rPr>
                <w:rFonts w:ascii="Times New Roman"/>
                <w:sz w:val="20"/>
              </w:rPr>
            </w:pPr>
          </w:p>
        </w:tc>
        <w:tc>
          <w:tcPr>
            <w:tcW w:w="849" w:type="dxa"/>
          </w:tcPr>
          <w:p w14:paraId="325782BB">
            <w:pPr>
              <w:pStyle w:val="42"/>
              <w:rPr>
                <w:rFonts w:ascii="Times New Roman"/>
                <w:sz w:val="20"/>
              </w:rPr>
            </w:pPr>
          </w:p>
        </w:tc>
        <w:tc>
          <w:tcPr>
            <w:tcW w:w="1843" w:type="dxa"/>
          </w:tcPr>
          <w:p w14:paraId="041E2906">
            <w:pPr>
              <w:pStyle w:val="42"/>
              <w:rPr>
                <w:rFonts w:ascii="Times New Roman"/>
                <w:sz w:val="20"/>
              </w:rPr>
            </w:pPr>
          </w:p>
        </w:tc>
      </w:tr>
      <w:tr w14:paraId="777C9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tcPr>
          <w:p w14:paraId="67300688">
            <w:pPr>
              <w:pStyle w:val="42"/>
              <w:rPr>
                <w:rFonts w:ascii="Times New Roman"/>
                <w:sz w:val="20"/>
              </w:rPr>
            </w:pPr>
          </w:p>
        </w:tc>
        <w:tc>
          <w:tcPr>
            <w:tcW w:w="1596" w:type="dxa"/>
          </w:tcPr>
          <w:p w14:paraId="1D8466DF">
            <w:pPr>
              <w:pStyle w:val="42"/>
              <w:rPr>
                <w:rFonts w:ascii="Times New Roman"/>
                <w:sz w:val="20"/>
              </w:rPr>
            </w:pPr>
          </w:p>
        </w:tc>
        <w:tc>
          <w:tcPr>
            <w:tcW w:w="1275" w:type="dxa"/>
          </w:tcPr>
          <w:p w14:paraId="6043D7E8">
            <w:pPr>
              <w:pStyle w:val="42"/>
              <w:rPr>
                <w:rFonts w:ascii="Times New Roman"/>
                <w:sz w:val="20"/>
              </w:rPr>
            </w:pPr>
          </w:p>
        </w:tc>
        <w:tc>
          <w:tcPr>
            <w:tcW w:w="1560" w:type="dxa"/>
          </w:tcPr>
          <w:p w14:paraId="4043460B">
            <w:pPr>
              <w:pStyle w:val="42"/>
              <w:rPr>
                <w:rFonts w:ascii="Times New Roman"/>
                <w:sz w:val="20"/>
              </w:rPr>
            </w:pPr>
          </w:p>
        </w:tc>
        <w:tc>
          <w:tcPr>
            <w:tcW w:w="1135" w:type="dxa"/>
          </w:tcPr>
          <w:p w14:paraId="45731219">
            <w:pPr>
              <w:pStyle w:val="42"/>
              <w:rPr>
                <w:rFonts w:ascii="Times New Roman"/>
                <w:sz w:val="20"/>
              </w:rPr>
            </w:pPr>
          </w:p>
        </w:tc>
        <w:tc>
          <w:tcPr>
            <w:tcW w:w="849" w:type="dxa"/>
          </w:tcPr>
          <w:p w14:paraId="6ED49506">
            <w:pPr>
              <w:pStyle w:val="42"/>
              <w:rPr>
                <w:rFonts w:ascii="Times New Roman"/>
                <w:sz w:val="20"/>
              </w:rPr>
            </w:pPr>
          </w:p>
        </w:tc>
        <w:tc>
          <w:tcPr>
            <w:tcW w:w="1843" w:type="dxa"/>
          </w:tcPr>
          <w:p w14:paraId="5CE6FD7C">
            <w:pPr>
              <w:pStyle w:val="42"/>
              <w:rPr>
                <w:rFonts w:ascii="Times New Roman"/>
                <w:sz w:val="20"/>
              </w:rPr>
            </w:pPr>
          </w:p>
        </w:tc>
      </w:tr>
      <w:tr w14:paraId="37EB2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96" w:type="dxa"/>
          </w:tcPr>
          <w:p w14:paraId="21AE3414">
            <w:pPr>
              <w:pStyle w:val="42"/>
              <w:rPr>
                <w:rFonts w:ascii="Times New Roman"/>
                <w:sz w:val="20"/>
              </w:rPr>
            </w:pPr>
          </w:p>
        </w:tc>
        <w:tc>
          <w:tcPr>
            <w:tcW w:w="1596" w:type="dxa"/>
          </w:tcPr>
          <w:p w14:paraId="429E9089">
            <w:pPr>
              <w:pStyle w:val="42"/>
              <w:rPr>
                <w:rFonts w:ascii="Times New Roman"/>
                <w:sz w:val="20"/>
              </w:rPr>
            </w:pPr>
          </w:p>
        </w:tc>
        <w:tc>
          <w:tcPr>
            <w:tcW w:w="1275" w:type="dxa"/>
          </w:tcPr>
          <w:p w14:paraId="3CDB7D99">
            <w:pPr>
              <w:pStyle w:val="42"/>
              <w:rPr>
                <w:rFonts w:ascii="Times New Roman"/>
                <w:sz w:val="20"/>
              </w:rPr>
            </w:pPr>
          </w:p>
        </w:tc>
        <w:tc>
          <w:tcPr>
            <w:tcW w:w="1560" w:type="dxa"/>
          </w:tcPr>
          <w:p w14:paraId="0412B6C6">
            <w:pPr>
              <w:pStyle w:val="42"/>
              <w:rPr>
                <w:rFonts w:ascii="Times New Roman"/>
                <w:sz w:val="20"/>
              </w:rPr>
            </w:pPr>
          </w:p>
        </w:tc>
        <w:tc>
          <w:tcPr>
            <w:tcW w:w="1135" w:type="dxa"/>
          </w:tcPr>
          <w:p w14:paraId="1FD7347D">
            <w:pPr>
              <w:pStyle w:val="42"/>
              <w:rPr>
                <w:rFonts w:ascii="Times New Roman"/>
                <w:sz w:val="20"/>
              </w:rPr>
            </w:pPr>
          </w:p>
        </w:tc>
        <w:tc>
          <w:tcPr>
            <w:tcW w:w="849" w:type="dxa"/>
          </w:tcPr>
          <w:p w14:paraId="335FAEF0">
            <w:pPr>
              <w:pStyle w:val="42"/>
              <w:rPr>
                <w:rFonts w:ascii="Times New Roman"/>
                <w:sz w:val="20"/>
              </w:rPr>
            </w:pPr>
          </w:p>
        </w:tc>
        <w:tc>
          <w:tcPr>
            <w:tcW w:w="1843" w:type="dxa"/>
          </w:tcPr>
          <w:p w14:paraId="77469835">
            <w:pPr>
              <w:pStyle w:val="42"/>
              <w:rPr>
                <w:rFonts w:ascii="Times New Roman"/>
                <w:sz w:val="20"/>
              </w:rPr>
            </w:pPr>
          </w:p>
        </w:tc>
      </w:tr>
      <w:tr w14:paraId="00831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tcPr>
          <w:p w14:paraId="4BA89033">
            <w:pPr>
              <w:pStyle w:val="42"/>
              <w:rPr>
                <w:rFonts w:ascii="Times New Roman"/>
                <w:sz w:val="20"/>
              </w:rPr>
            </w:pPr>
          </w:p>
        </w:tc>
        <w:tc>
          <w:tcPr>
            <w:tcW w:w="1596" w:type="dxa"/>
          </w:tcPr>
          <w:p w14:paraId="198FCF11">
            <w:pPr>
              <w:pStyle w:val="42"/>
              <w:rPr>
                <w:rFonts w:ascii="Times New Roman"/>
                <w:sz w:val="20"/>
              </w:rPr>
            </w:pPr>
          </w:p>
        </w:tc>
        <w:tc>
          <w:tcPr>
            <w:tcW w:w="1275" w:type="dxa"/>
          </w:tcPr>
          <w:p w14:paraId="1C7FDF5F">
            <w:pPr>
              <w:pStyle w:val="42"/>
              <w:rPr>
                <w:rFonts w:ascii="Times New Roman"/>
                <w:sz w:val="20"/>
              </w:rPr>
            </w:pPr>
          </w:p>
        </w:tc>
        <w:tc>
          <w:tcPr>
            <w:tcW w:w="1560" w:type="dxa"/>
          </w:tcPr>
          <w:p w14:paraId="544675DA">
            <w:pPr>
              <w:pStyle w:val="42"/>
              <w:rPr>
                <w:rFonts w:ascii="Times New Roman"/>
                <w:sz w:val="20"/>
              </w:rPr>
            </w:pPr>
          </w:p>
        </w:tc>
        <w:tc>
          <w:tcPr>
            <w:tcW w:w="1135" w:type="dxa"/>
          </w:tcPr>
          <w:p w14:paraId="5A3C4C06">
            <w:pPr>
              <w:pStyle w:val="42"/>
              <w:rPr>
                <w:rFonts w:ascii="Times New Roman"/>
                <w:sz w:val="20"/>
              </w:rPr>
            </w:pPr>
          </w:p>
        </w:tc>
        <w:tc>
          <w:tcPr>
            <w:tcW w:w="849" w:type="dxa"/>
          </w:tcPr>
          <w:p w14:paraId="7B61423A">
            <w:pPr>
              <w:pStyle w:val="42"/>
              <w:rPr>
                <w:rFonts w:ascii="Times New Roman"/>
                <w:sz w:val="20"/>
              </w:rPr>
            </w:pPr>
          </w:p>
        </w:tc>
        <w:tc>
          <w:tcPr>
            <w:tcW w:w="1843" w:type="dxa"/>
          </w:tcPr>
          <w:p w14:paraId="724B8CC1">
            <w:pPr>
              <w:pStyle w:val="42"/>
              <w:rPr>
                <w:rFonts w:ascii="Times New Roman"/>
                <w:sz w:val="20"/>
              </w:rPr>
            </w:pPr>
          </w:p>
        </w:tc>
      </w:tr>
      <w:tr w14:paraId="2DF93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96" w:type="dxa"/>
          </w:tcPr>
          <w:p w14:paraId="494FB10C">
            <w:pPr>
              <w:pStyle w:val="42"/>
              <w:rPr>
                <w:rFonts w:ascii="Times New Roman"/>
                <w:sz w:val="20"/>
              </w:rPr>
            </w:pPr>
          </w:p>
        </w:tc>
        <w:tc>
          <w:tcPr>
            <w:tcW w:w="1596" w:type="dxa"/>
          </w:tcPr>
          <w:p w14:paraId="2862A22A">
            <w:pPr>
              <w:pStyle w:val="42"/>
              <w:rPr>
                <w:rFonts w:ascii="Times New Roman"/>
                <w:sz w:val="20"/>
              </w:rPr>
            </w:pPr>
          </w:p>
        </w:tc>
        <w:tc>
          <w:tcPr>
            <w:tcW w:w="1275" w:type="dxa"/>
          </w:tcPr>
          <w:p w14:paraId="1FA288B0">
            <w:pPr>
              <w:pStyle w:val="42"/>
              <w:rPr>
                <w:rFonts w:ascii="Times New Roman"/>
                <w:sz w:val="20"/>
              </w:rPr>
            </w:pPr>
          </w:p>
        </w:tc>
        <w:tc>
          <w:tcPr>
            <w:tcW w:w="1560" w:type="dxa"/>
          </w:tcPr>
          <w:p w14:paraId="307C3358">
            <w:pPr>
              <w:pStyle w:val="42"/>
              <w:rPr>
                <w:rFonts w:ascii="Times New Roman"/>
                <w:sz w:val="20"/>
              </w:rPr>
            </w:pPr>
          </w:p>
        </w:tc>
        <w:tc>
          <w:tcPr>
            <w:tcW w:w="1135" w:type="dxa"/>
          </w:tcPr>
          <w:p w14:paraId="71644A69">
            <w:pPr>
              <w:pStyle w:val="42"/>
              <w:rPr>
                <w:rFonts w:ascii="Times New Roman"/>
                <w:sz w:val="20"/>
              </w:rPr>
            </w:pPr>
          </w:p>
        </w:tc>
        <w:tc>
          <w:tcPr>
            <w:tcW w:w="849" w:type="dxa"/>
          </w:tcPr>
          <w:p w14:paraId="034A9BEE">
            <w:pPr>
              <w:pStyle w:val="42"/>
              <w:rPr>
                <w:rFonts w:ascii="Times New Roman"/>
                <w:sz w:val="20"/>
              </w:rPr>
            </w:pPr>
          </w:p>
        </w:tc>
        <w:tc>
          <w:tcPr>
            <w:tcW w:w="1843" w:type="dxa"/>
          </w:tcPr>
          <w:p w14:paraId="3960F6C6">
            <w:pPr>
              <w:pStyle w:val="42"/>
              <w:rPr>
                <w:rFonts w:ascii="Times New Roman"/>
                <w:sz w:val="20"/>
              </w:rPr>
            </w:pPr>
          </w:p>
        </w:tc>
      </w:tr>
      <w:tr w14:paraId="30DF7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tcPr>
          <w:p w14:paraId="32A4092F">
            <w:pPr>
              <w:pStyle w:val="42"/>
              <w:rPr>
                <w:rFonts w:ascii="Times New Roman"/>
                <w:sz w:val="20"/>
              </w:rPr>
            </w:pPr>
          </w:p>
        </w:tc>
        <w:tc>
          <w:tcPr>
            <w:tcW w:w="1596" w:type="dxa"/>
          </w:tcPr>
          <w:p w14:paraId="4FB92DAA">
            <w:pPr>
              <w:pStyle w:val="42"/>
              <w:rPr>
                <w:rFonts w:ascii="Times New Roman"/>
                <w:sz w:val="20"/>
              </w:rPr>
            </w:pPr>
          </w:p>
        </w:tc>
        <w:tc>
          <w:tcPr>
            <w:tcW w:w="1275" w:type="dxa"/>
          </w:tcPr>
          <w:p w14:paraId="57AEE615">
            <w:pPr>
              <w:pStyle w:val="42"/>
              <w:rPr>
                <w:rFonts w:ascii="Times New Roman"/>
                <w:sz w:val="20"/>
              </w:rPr>
            </w:pPr>
          </w:p>
        </w:tc>
        <w:tc>
          <w:tcPr>
            <w:tcW w:w="1560" w:type="dxa"/>
          </w:tcPr>
          <w:p w14:paraId="39408FD4">
            <w:pPr>
              <w:pStyle w:val="42"/>
              <w:rPr>
                <w:rFonts w:ascii="Times New Roman"/>
                <w:sz w:val="20"/>
              </w:rPr>
            </w:pPr>
          </w:p>
        </w:tc>
        <w:tc>
          <w:tcPr>
            <w:tcW w:w="1135" w:type="dxa"/>
          </w:tcPr>
          <w:p w14:paraId="38578EE6">
            <w:pPr>
              <w:pStyle w:val="42"/>
              <w:rPr>
                <w:rFonts w:ascii="Times New Roman"/>
                <w:sz w:val="20"/>
              </w:rPr>
            </w:pPr>
          </w:p>
        </w:tc>
        <w:tc>
          <w:tcPr>
            <w:tcW w:w="849" w:type="dxa"/>
          </w:tcPr>
          <w:p w14:paraId="355B006F">
            <w:pPr>
              <w:pStyle w:val="42"/>
              <w:rPr>
                <w:rFonts w:ascii="Times New Roman"/>
                <w:sz w:val="20"/>
              </w:rPr>
            </w:pPr>
          </w:p>
        </w:tc>
        <w:tc>
          <w:tcPr>
            <w:tcW w:w="1843" w:type="dxa"/>
          </w:tcPr>
          <w:p w14:paraId="60100CF2">
            <w:pPr>
              <w:pStyle w:val="42"/>
              <w:rPr>
                <w:rFonts w:ascii="Times New Roman"/>
                <w:sz w:val="20"/>
              </w:rPr>
            </w:pPr>
          </w:p>
        </w:tc>
      </w:tr>
      <w:tr w14:paraId="77963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96" w:type="dxa"/>
          </w:tcPr>
          <w:p w14:paraId="1E90495D">
            <w:pPr>
              <w:pStyle w:val="42"/>
              <w:rPr>
                <w:rFonts w:ascii="Times New Roman"/>
                <w:sz w:val="20"/>
              </w:rPr>
            </w:pPr>
          </w:p>
        </w:tc>
        <w:tc>
          <w:tcPr>
            <w:tcW w:w="1596" w:type="dxa"/>
          </w:tcPr>
          <w:p w14:paraId="2BA7D30B">
            <w:pPr>
              <w:pStyle w:val="42"/>
              <w:rPr>
                <w:rFonts w:ascii="Times New Roman"/>
                <w:sz w:val="20"/>
              </w:rPr>
            </w:pPr>
          </w:p>
        </w:tc>
        <w:tc>
          <w:tcPr>
            <w:tcW w:w="1275" w:type="dxa"/>
          </w:tcPr>
          <w:p w14:paraId="67B3EAD3">
            <w:pPr>
              <w:pStyle w:val="42"/>
              <w:rPr>
                <w:rFonts w:ascii="Times New Roman"/>
                <w:sz w:val="20"/>
              </w:rPr>
            </w:pPr>
          </w:p>
        </w:tc>
        <w:tc>
          <w:tcPr>
            <w:tcW w:w="1560" w:type="dxa"/>
          </w:tcPr>
          <w:p w14:paraId="2E4771F0">
            <w:pPr>
              <w:pStyle w:val="42"/>
              <w:rPr>
                <w:rFonts w:ascii="Times New Roman"/>
                <w:sz w:val="20"/>
              </w:rPr>
            </w:pPr>
          </w:p>
        </w:tc>
        <w:tc>
          <w:tcPr>
            <w:tcW w:w="1135" w:type="dxa"/>
          </w:tcPr>
          <w:p w14:paraId="3438974F">
            <w:pPr>
              <w:pStyle w:val="42"/>
              <w:rPr>
                <w:rFonts w:ascii="Times New Roman"/>
                <w:sz w:val="20"/>
              </w:rPr>
            </w:pPr>
          </w:p>
        </w:tc>
        <w:tc>
          <w:tcPr>
            <w:tcW w:w="849" w:type="dxa"/>
          </w:tcPr>
          <w:p w14:paraId="412C34A3">
            <w:pPr>
              <w:pStyle w:val="42"/>
              <w:rPr>
                <w:rFonts w:ascii="Times New Roman"/>
                <w:sz w:val="20"/>
              </w:rPr>
            </w:pPr>
          </w:p>
        </w:tc>
        <w:tc>
          <w:tcPr>
            <w:tcW w:w="1843" w:type="dxa"/>
          </w:tcPr>
          <w:p w14:paraId="6DA6CE22">
            <w:pPr>
              <w:pStyle w:val="42"/>
              <w:rPr>
                <w:rFonts w:ascii="Times New Roman"/>
                <w:sz w:val="20"/>
              </w:rPr>
            </w:pPr>
          </w:p>
        </w:tc>
      </w:tr>
      <w:tr w14:paraId="4CFFF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tcPr>
          <w:p w14:paraId="42A6DDC5">
            <w:pPr>
              <w:pStyle w:val="42"/>
              <w:rPr>
                <w:rFonts w:ascii="Times New Roman"/>
                <w:sz w:val="20"/>
              </w:rPr>
            </w:pPr>
          </w:p>
        </w:tc>
        <w:tc>
          <w:tcPr>
            <w:tcW w:w="1596" w:type="dxa"/>
          </w:tcPr>
          <w:p w14:paraId="4CA2E71D">
            <w:pPr>
              <w:pStyle w:val="42"/>
              <w:rPr>
                <w:rFonts w:ascii="Times New Roman"/>
                <w:sz w:val="20"/>
              </w:rPr>
            </w:pPr>
          </w:p>
        </w:tc>
        <w:tc>
          <w:tcPr>
            <w:tcW w:w="1275" w:type="dxa"/>
          </w:tcPr>
          <w:p w14:paraId="7D8F5D6B">
            <w:pPr>
              <w:pStyle w:val="42"/>
              <w:rPr>
                <w:rFonts w:ascii="Times New Roman"/>
                <w:sz w:val="20"/>
              </w:rPr>
            </w:pPr>
          </w:p>
        </w:tc>
        <w:tc>
          <w:tcPr>
            <w:tcW w:w="1560" w:type="dxa"/>
          </w:tcPr>
          <w:p w14:paraId="3EA72637">
            <w:pPr>
              <w:pStyle w:val="42"/>
              <w:rPr>
                <w:rFonts w:ascii="Times New Roman"/>
                <w:sz w:val="20"/>
              </w:rPr>
            </w:pPr>
          </w:p>
        </w:tc>
        <w:tc>
          <w:tcPr>
            <w:tcW w:w="1135" w:type="dxa"/>
          </w:tcPr>
          <w:p w14:paraId="08461943">
            <w:pPr>
              <w:pStyle w:val="42"/>
              <w:rPr>
                <w:rFonts w:ascii="Times New Roman"/>
                <w:sz w:val="20"/>
              </w:rPr>
            </w:pPr>
          </w:p>
        </w:tc>
        <w:tc>
          <w:tcPr>
            <w:tcW w:w="849" w:type="dxa"/>
          </w:tcPr>
          <w:p w14:paraId="6D7FFE21">
            <w:pPr>
              <w:pStyle w:val="42"/>
              <w:rPr>
                <w:rFonts w:ascii="Times New Roman"/>
                <w:sz w:val="20"/>
              </w:rPr>
            </w:pPr>
          </w:p>
        </w:tc>
        <w:tc>
          <w:tcPr>
            <w:tcW w:w="1843" w:type="dxa"/>
          </w:tcPr>
          <w:p w14:paraId="5B81E6A0">
            <w:pPr>
              <w:pStyle w:val="42"/>
              <w:rPr>
                <w:rFonts w:ascii="Times New Roman"/>
                <w:sz w:val="20"/>
              </w:rPr>
            </w:pPr>
          </w:p>
        </w:tc>
      </w:tr>
      <w:tr w14:paraId="46075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96" w:type="dxa"/>
          </w:tcPr>
          <w:p w14:paraId="6C40D5B4">
            <w:pPr>
              <w:pStyle w:val="42"/>
              <w:rPr>
                <w:rFonts w:ascii="Times New Roman"/>
                <w:sz w:val="20"/>
              </w:rPr>
            </w:pPr>
          </w:p>
        </w:tc>
        <w:tc>
          <w:tcPr>
            <w:tcW w:w="1596" w:type="dxa"/>
          </w:tcPr>
          <w:p w14:paraId="52F40439">
            <w:pPr>
              <w:pStyle w:val="42"/>
              <w:rPr>
                <w:rFonts w:ascii="Times New Roman"/>
                <w:sz w:val="20"/>
              </w:rPr>
            </w:pPr>
          </w:p>
        </w:tc>
        <w:tc>
          <w:tcPr>
            <w:tcW w:w="1275" w:type="dxa"/>
          </w:tcPr>
          <w:p w14:paraId="6EA47F6F">
            <w:pPr>
              <w:pStyle w:val="42"/>
              <w:rPr>
                <w:rFonts w:ascii="Times New Roman"/>
                <w:sz w:val="20"/>
              </w:rPr>
            </w:pPr>
          </w:p>
        </w:tc>
        <w:tc>
          <w:tcPr>
            <w:tcW w:w="1560" w:type="dxa"/>
          </w:tcPr>
          <w:p w14:paraId="42543B3F">
            <w:pPr>
              <w:pStyle w:val="42"/>
              <w:rPr>
                <w:rFonts w:ascii="Times New Roman"/>
                <w:sz w:val="20"/>
              </w:rPr>
            </w:pPr>
          </w:p>
        </w:tc>
        <w:tc>
          <w:tcPr>
            <w:tcW w:w="1135" w:type="dxa"/>
          </w:tcPr>
          <w:p w14:paraId="691E06A9">
            <w:pPr>
              <w:pStyle w:val="42"/>
              <w:rPr>
                <w:rFonts w:ascii="Times New Roman"/>
                <w:sz w:val="20"/>
              </w:rPr>
            </w:pPr>
          </w:p>
        </w:tc>
        <w:tc>
          <w:tcPr>
            <w:tcW w:w="849" w:type="dxa"/>
          </w:tcPr>
          <w:p w14:paraId="2D4D9629">
            <w:pPr>
              <w:pStyle w:val="42"/>
              <w:rPr>
                <w:rFonts w:ascii="Times New Roman"/>
                <w:sz w:val="20"/>
              </w:rPr>
            </w:pPr>
          </w:p>
        </w:tc>
        <w:tc>
          <w:tcPr>
            <w:tcW w:w="1843" w:type="dxa"/>
          </w:tcPr>
          <w:p w14:paraId="7A6EA3B6">
            <w:pPr>
              <w:pStyle w:val="42"/>
              <w:rPr>
                <w:rFonts w:ascii="Times New Roman"/>
                <w:sz w:val="20"/>
              </w:rPr>
            </w:pPr>
          </w:p>
        </w:tc>
      </w:tr>
      <w:tr w14:paraId="6F2CD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tcPr>
          <w:p w14:paraId="233ECAD2">
            <w:pPr>
              <w:pStyle w:val="42"/>
              <w:rPr>
                <w:rFonts w:ascii="Times New Roman"/>
                <w:sz w:val="20"/>
              </w:rPr>
            </w:pPr>
          </w:p>
        </w:tc>
        <w:tc>
          <w:tcPr>
            <w:tcW w:w="1596" w:type="dxa"/>
          </w:tcPr>
          <w:p w14:paraId="4E55458A">
            <w:pPr>
              <w:pStyle w:val="42"/>
              <w:rPr>
                <w:rFonts w:ascii="Times New Roman"/>
                <w:sz w:val="20"/>
              </w:rPr>
            </w:pPr>
          </w:p>
        </w:tc>
        <w:tc>
          <w:tcPr>
            <w:tcW w:w="1275" w:type="dxa"/>
          </w:tcPr>
          <w:p w14:paraId="6E0FDF3A">
            <w:pPr>
              <w:pStyle w:val="42"/>
              <w:rPr>
                <w:rFonts w:ascii="Times New Roman"/>
                <w:sz w:val="20"/>
              </w:rPr>
            </w:pPr>
          </w:p>
        </w:tc>
        <w:tc>
          <w:tcPr>
            <w:tcW w:w="1560" w:type="dxa"/>
          </w:tcPr>
          <w:p w14:paraId="7DC84E64">
            <w:pPr>
              <w:pStyle w:val="42"/>
              <w:rPr>
                <w:rFonts w:ascii="Times New Roman"/>
                <w:sz w:val="20"/>
              </w:rPr>
            </w:pPr>
          </w:p>
        </w:tc>
        <w:tc>
          <w:tcPr>
            <w:tcW w:w="1135" w:type="dxa"/>
          </w:tcPr>
          <w:p w14:paraId="60DE2F0C">
            <w:pPr>
              <w:pStyle w:val="42"/>
              <w:rPr>
                <w:rFonts w:ascii="Times New Roman"/>
                <w:sz w:val="20"/>
              </w:rPr>
            </w:pPr>
          </w:p>
        </w:tc>
        <w:tc>
          <w:tcPr>
            <w:tcW w:w="849" w:type="dxa"/>
          </w:tcPr>
          <w:p w14:paraId="5A20CF2A">
            <w:pPr>
              <w:pStyle w:val="42"/>
              <w:rPr>
                <w:rFonts w:ascii="Times New Roman"/>
                <w:sz w:val="20"/>
              </w:rPr>
            </w:pPr>
          </w:p>
        </w:tc>
        <w:tc>
          <w:tcPr>
            <w:tcW w:w="1843" w:type="dxa"/>
          </w:tcPr>
          <w:p w14:paraId="625DF5DA">
            <w:pPr>
              <w:pStyle w:val="42"/>
              <w:rPr>
                <w:rFonts w:ascii="Times New Roman"/>
                <w:sz w:val="20"/>
              </w:rPr>
            </w:pPr>
          </w:p>
        </w:tc>
      </w:tr>
      <w:tr w14:paraId="4C5CB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696" w:type="dxa"/>
          </w:tcPr>
          <w:p w14:paraId="37CEA7AA">
            <w:pPr>
              <w:pStyle w:val="42"/>
              <w:rPr>
                <w:rFonts w:ascii="Times New Roman"/>
                <w:sz w:val="20"/>
              </w:rPr>
            </w:pPr>
          </w:p>
        </w:tc>
        <w:tc>
          <w:tcPr>
            <w:tcW w:w="1596" w:type="dxa"/>
          </w:tcPr>
          <w:p w14:paraId="1F296777">
            <w:pPr>
              <w:pStyle w:val="42"/>
              <w:rPr>
                <w:rFonts w:ascii="Times New Roman"/>
                <w:sz w:val="20"/>
              </w:rPr>
            </w:pPr>
          </w:p>
        </w:tc>
        <w:tc>
          <w:tcPr>
            <w:tcW w:w="1275" w:type="dxa"/>
          </w:tcPr>
          <w:p w14:paraId="7B89E6A9">
            <w:pPr>
              <w:pStyle w:val="42"/>
              <w:rPr>
                <w:rFonts w:ascii="Times New Roman"/>
                <w:sz w:val="20"/>
              </w:rPr>
            </w:pPr>
          </w:p>
        </w:tc>
        <w:tc>
          <w:tcPr>
            <w:tcW w:w="1560" w:type="dxa"/>
          </w:tcPr>
          <w:p w14:paraId="0086F355">
            <w:pPr>
              <w:pStyle w:val="42"/>
              <w:rPr>
                <w:rFonts w:ascii="Times New Roman"/>
                <w:sz w:val="20"/>
              </w:rPr>
            </w:pPr>
          </w:p>
        </w:tc>
        <w:tc>
          <w:tcPr>
            <w:tcW w:w="1135" w:type="dxa"/>
          </w:tcPr>
          <w:p w14:paraId="0E5F3F8B">
            <w:pPr>
              <w:pStyle w:val="42"/>
              <w:rPr>
                <w:rFonts w:ascii="Times New Roman"/>
                <w:sz w:val="20"/>
              </w:rPr>
            </w:pPr>
          </w:p>
        </w:tc>
        <w:tc>
          <w:tcPr>
            <w:tcW w:w="849" w:type="dxa"/>
          </w:tcPr>
          <w:p w14:paraId="6EF96B20">
            <w:pPr>
              <w:pStyle w:val="42"/>
              <w:rPr>
                <w:rFonts w:ascii="Times New Roman"/>
                <w:sz w:val="20"/>
              </w:rPr>
            </w:pPr>
          </w:p>
        </w:tc>
        <w:tc>
          <w:tcPr>
            <w:tcW w:w="1843" w:type="dxa"/>
          </w:tcPr>
          <w:p w14:paraId="74A5DEB0">
            <w:pPr>
              <w:pStyle w:val="42"/>
              <w:rPr>
                <w:rFonts w:ascii="Times New Roman"/>
                <w:sz w:val="20"/>
              </w:rPr>
            </w:pPr>
          </w:p>
        </w:tc>
      </w:tr>
      <w:tr w14:paraId="0B197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696" w:type="dxa"/>
          </w:tcPr>
          <w:p w14:paraId="28EAF6DF">
            <w:pPr>
              <w:pStyle w:val="42"/>
              <w:rPr>
                <w:rFonts w:ascii="Times New Roman"/>
                <w:sz w:val="20"/>
              </w:rPr>
            </w:pPr>
          </w:p>
        </w:tc>
        <w:tc>
          <w:tcPr>
            <w:tcW w:w="1596" w:type="dxa"/>
          </w:tcPr>
          <w:p w14:paraId="63D9DDDA">
            <w:pPr>
              <w:pStyle w:val="42"/>
              <w:rPr>
                <w:rFonts w:ascii="Times New Roman"/>
                <w:sz w:val="20"/>
              </w:rPr>
            </w:pPr>
          </w:p>
        </w:tc>
        <w:tc>
          <w:tcPr>
            <w:tcW w:w="1275" w:type="dxa"/>
          </w:tcPr>
          <w:p w14:paraId="4D05E036">
            <w:pPr>
              <w:pStyle w:val="42"/>
              <w:rPr>
                <w:rFonts w:ascii="Times New Roman"/>
                <w:sz w:val="20"/>
              </w:rPr>
            </w:pPr>
          </w:p>
        </w:tc>
        <w:tc>
          <w:tcPr>
            <w:tcW w:w="1560" w:type="dxa"/>
          </w:tcPr>
          <w:p w14:paraId="46BF752F">
            <w:pPr>
              <w:pStyle w:val="42"/>
              <w:rPr>
                <w:rFonts w:ascii="Times New Roman"/>
                <w:sz w:val="20"/>
              </w:rPr>
            </w:pPr>
          </w:p>
        </w:tc>
        <w:tc>
          <w:tcPr>
            <w:tcW w:w="1135" w:type="dxa"/>
          </w:tcPr>
          <w:p w14:paraId="6D028D5C">
            <w:pPr>
              <w:pStyle w:val="42"/>
              <w:rPr>
                <w:rFonts w:ascii="Times New Roman"/>
                <w:sz w:val="20"/>
              </w:rPr>
            </w:pPr>
          </w:p>
        </w:tc>
        <w:tc>
          <w:tcPr>
            <w:tcW w:w="849" w:type="dxa"/>
          </w:tcPr>
          <w:p w14:paraId="2F4F8C9C">
            <w:pPr>
              <w:pStyle w:val="42"/>
              <w:rPr>
                <w:rFonts w:ascii="Times New Roman"/>
                <w:sz w:val="20"/>
              </w:rPr>
            </w:pPr>
          </w:p>
        </w:tc>
        <w:tc>
          <w:tcPr>
            <w:tcW w:w="1843" w:type="dxa"/>
          </w:tcPr>
          <w:p w14:paraId="3D5F42BC">
            <w:pPr>
              <w:pStyle w:val="42"/>
              <w:rPr>
                <w:rFonts w:ascii="Times New Roman"/>
                <w:sz w:val="20"/>
              </w:rPr>
            </w:pPr>
          </w:p>
        </w:tc>
      </w:tr>
    </w:tbl>
    <w:p w14:paraId="0EBFD919">
      <w:pPr>
        <w:pStyle w:val="12"/>
        <w:rPr>
          <w:sz w:val="26"/>
        </w:rPr>
      </w:pPr>
    </w:p>
    <w:p w14:paraId="37A1C4CB">
      <w:pPr>
        <w:pStyle w:val="12"/>
        <w:spacing w:before="8"/>
        <w:rPr>
          <w:sz w:val="30"/>
        </w:rPr>
      </w:pPr>
    </w:p>
    <w:p w14:paraId="2C5EECE1">
      <w:pPr>
        <w:tabs>
          <w:tab w:val="left" w:pos="2673"/>
          <w:tab w:val="left" w:pos="6615"/>
          <w:tab w:val="left" w:pos="8838"/>
        </w:tabs>
        <w:spacing w:before="0"/>
        <w:ind w:left="0" w:right="277" w:firstLine="0"/>
        <w:jc w:val="right"/>
        <w:rPr>
          <w:rFonts w:ascii="Times New Roman" w:eastAsia="Times New Roman"/>
          <w:sz w:val="21"/>
        </w:rPr>
      </w:pPr>
      <w:r>
        <w:rPr>
          <w:sz w:val="21"/>
        </w:rPr>
        <w:t>招标</w:t>
      </w:r>
      <w:r>
        <w:rPr>
          <w:spacing w:val="-3"/>
          <w:sz w:val="21"/>
        </w:rPr>
        <w:t>人</w:t>
      </w:r>
      <w:r>
        <w:rPr>
          <w:sz w:val="21"/>
        </w:rPr>
        <w:t>代</w:t>
      </w:r>
      <w:r>
        <w:rPr>
          <w:spacing w:val="-3"/>
          <w:sz w:val="21"/>
        </w:rPr>
        <w:t>表</w:t>
      </w:r>
      <w:r>
        <w:rPr>
          <w:sz w:val="21"/>
        </w:rPr>
        <w:t>：</w:t>
      </w:r>
      <w:r>
        <w:rPr>
          <w:sz w:val="21"/>
          <w:u w:val="single"/>
        </w:rPr>
        <w:t xml:space="preserve"> </w:t>
      </w:r>
      <w:r>
        <w:rPr>
          <w:sz w:val="21"/>
          <w:u w:val="single"/>
        </w:rPr>
        <w:tab/>
      </w:r>
      <w:r>
        <w:rPr>
          <w:sz w:val="21"/>
        </w:rPr>
        <w:tab/>
      </w:r>
      <w:r>
        <w:rPr>
          <w:sz w:val="21"/>
        </w:rPr>
        <w:t>记</w:t>
      </w:r>
      <w:r>
        <w:rPr>
          <w:spacing w:val="-3"/>
          <w:sz w:val="21"/>
        </w:rPr>
        <w:t>录人</w:t>
      </w:r>
      <w:r>
        <w:rPr>
          <w:sz w:val="21"/>
        </w:rPr>
        <w:t>：</w:t>
      </w:r>
      <w:r>
        <w:rPr>
          <w:rFonts w:ascii="Times New Roman" w:eastAsia="Times New Roman"/>
          <w:sz w:val="21"/>
          <w:u w:val="single"/>
        </w:rPr>
        <w:t xml:space="preserve"> </w:t>
      </w:r>
      <w:r>
        <w:rPr>
          <w:rFonts w:ascii="Times New Roman" w:eastAsia="Times New Roman"/>
          <w:sz w:val="21"/>
          <w:u w:val="single"/>
        </w:rPr>
        <w:tab/>
      </w:r>
    </w:p>
    <w:p w14:paraId="69C9EE00">
      <w:pPr>
        <w:pStyle w:val="12"/>
        <w:spacing w:before="8"/>
        <w:rPr>
          <w:rFonts w:ascii="Times New Roman"/>
          <w:sz w:val="21"/>
        </w:rPr>
      </w:pPr>
    </w:p>
    <w:p w14:paraId="441C2D3E">
      <w:pPr>
        <w:pStyle w:val="12"/>
        <w:tabs>
          <w:tab w:val="left" w:pos="959"/>
          <w:tab w:val="left" w:pos="1680"/>
          <w:tab w:val="left" w:pos="2400"/>
        </w:tabs>
        <w:spacing w:before="74"/>
        <w:ind w:right="324"/>
        <w:jc w:val="right"/>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14:paraId="4D36A0FF">
      <w:pPr>
        <w:pStyle w:val="12"/>
        <w:rPr>
          <w:sz w:val="20"/>
        </w:rPr>
      </w:pPr>
    </w:p>
    <w:p w14:paraId="30178AE7">
      <w:pPr>
        <w:pStyle w:val="12"/>
        <w:spacing w:before="11"/>
        <w:rPr>
          <w:sz w:val="18"/>
        </w:rPr>
      </w:pPr>
    </w:p>
    <w:p w14:paraId="4A208441">
      <w:pPr>
        <w:pStyle w:val="12"/>
        <w:spacing w:before="8"/>
        <w:rPr>
          <w:sz w:val="8"/>
        </w:rPr>
      </w:pPr>
    </w:p>
    <w:p w14:paraId="55D21ADE">
      <w:pPr>
        <w:pStyle w:val="12"/>
        <w:spacing w:before="8"/>
        <w:rPr>
          <w:sz w:val="8"/>
        </w:rPr>
      </w:pPr>
    </w:p>
    <w:p w14:paraId="4BF6D7E4">
      <w:pPr>
        <w:pStyle w:val="12"/>
        <w:spacing w:before="8"/>
        <w:rPr>
          <w:sz w:val="8"/>
        </w:rPr>
      </w:pPr>
    </w:p>
    <w:p w14:paraId="609C8721">
      <w:pPr>
        <w:pStyle w:val="12"/>
        <w:spacing w:before="8"/>
        <w:rPr>
          <w:sz w:val="8"/>
        </w:rPr>
      </w:pPr>
    </w:p>
    <w:p w14:paraId="6663105C">
      <w:pPr>
        <w:pStyle w:val="12"/>
        <w:spacing w:before="8"/>
        <w:rPr>
          <w:sz w:val="8"/>
        </w:rPr>
      </w:pPr>
    </w:p>
    <w:p w14:paraId="1AA9B747">
      <w:pPr>
        <w:pStyle w:val="12"/>
        <w:spacing w:before="8"/>
        <w:rPr>
          <w:sz w:val="8"/>
        </w:rPr>
      </w:pPr>
    </w:p>
    <w:p w14:paraId="5892ED4A">
      <w:pPr>
        <w:rPr>
          <w:rFonts w:ascii="Times New Roman" w:eastAsia="Times New Roman"/>
          <w:w w:val="100"/>
          <w:sz w:val="28"/>
          <w:u w:val="single"/>
        </w:rPr>
      </w:pPr>
      <w:r>
        <w:rPr>
          <w:rFonts w:ascii="Times New Roman" w:eastAsia="Times New Roman"/>
          <w:w w:val="100"/>
          <w:sz w:val="28"/>
          <w:u w:val="single"/>
        </w:rPr>
        <w:br w:type="page"/>
      </w:r>
    </w:p>
    <w:p w14:paraId="69FBB633">
      <w:pPr>
        <w:tabs>
          <w:tab w:val="left" w:pos="2029"/>
          <w:tab w:val="left" w:pos="4274"/>
        </w:tabs>
        <w:spacing w:before="70" w:line="292" w:lineRule="auto"/>
        <w:ind w:left="4063" w:right="1009" w:hanging="3011"/>
        <w:jc w:val="left"/>
        <w:rPr>
          <w:rFonts w:hint="eastAsia" w:ascii="黑体" w:eastAsia="黑体"/>
          <w:sz w:val="28"/>
        </w:rPr>
      </w:pPr>
      <w:r>
        <w:rPr>
          <w:rFonts w:ascii="Times New Roman" w:eastAsia="Times New Roman"/>
          <w:w w:val="100"/>
          <w:sz w:val="28"/>
          <w:u w:val="single"/>
        </w:rPr>
        <w:t xml:space="preserve"> </w:t>
      </w:r>
      <w:r>
        <w:rPr>
          <w:rFonts w:ascii="Times New Roman" w:eastAsia="Times New Roman"/>
          <w:sz w:val="28"/>
          <w:u w:val="single"/>
        </w:rPr>
        <w:tab/>
      </w:r>
      <w:r>
        <w:rPr>
          <w:rFonts w:hint="eastAsia" w:ascii="黑体" w:eastAsia="黑体"/>
          <w:sz w:val="28"/>
        </w:rPr>
        <w:t>（项目名称）</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u w:val="single"/>
        </w:rPr>
        <w:tab/>
      </w:r>
      <w:r>
        <w:rPr>
          <w:rFonts w:hint="eastAsia" w:ascii="黑体" w:eastAsia="黑体"/>
          <w:sz w:val="28"/>
        </w:rPr>
        <w:t>标段施工</w:t>
      </w:r>
      <w:r>
        <w:rPr>
          <w:rFonts w:hint="eastAsia" w:ascii="黑体" w:eastAsia="黑体"/>
          <w:spacing w:val="-3"/>
          <w:sz w:val="28"/>
        </w:rPr>
        <w:t>第</w:t>
      </w:r>
      <w:r>
        <w:rPr>
          <w:rFonts w:hint="eastAsia" w:ascii="黑体" w:eastAsia="黑体"/>
          <w:sz w:val="28"/>
        </w:rPr>
        <w:t>二个信</w:t>
      </w:r>
      <w:r>
        <w:rPr>
          <w:rFonts w:hint="eastAsia" w:ascii="黑体" w:eastAsia="黑体"/>
          <w:spacing w:val="-3"/>
          <w:sz w:val="28"/>
        </w:rPr>
        <w:t>封</w:t>
      </w:r>
      <w:r>
        <w:rPr>
          <w:rFonts w:hint="eastAsia" w:ascii="黑体" w:eastAsia="黑体"/>
          <w:sz w:val="28"/>
        </w:rPr>
        <w:t>（报</w:t>
      </w:r>
      <w:r>
        <w:rPr>
          <w:rFonts w:hint="eastAsia" w:ascii="黑体" w:eastAsia="黑体"/>
          <w:spacing w:val="-3"/>
          <w:sz w:val="28"/>
        </w:rPr>
        <w:t>价文</w:t>
      </w:r>
      <w:r>
        <w:rPr>
          <w:rFonts w:hint="eastAsia" w:ascii="黑体" w:eastAsia="黑体"/>
          <w:sz w:val="28"/>
        </w:rPr>
        <w:t>件</w:t>
      </w:r>
      <w:r>
        <w:rPr>
          <w:rFonts w:hint="eastAsia" w:ascii="黑体" w:eastAsia="黑体"/>
          <w:spacing w:val="-15"/>
          <w:sz w:val="28"/>
        </w:rPr>
        <w:t xml:space="preserve">） </w:t>
      </w:r>
      <w:r>
        <w:rPr>
          <w:rFonts w:hint="eastAsia" w:ascii="黑体" w:eastAsia="黑体"/>
          <w:sz w:val="28"/>
        </w:rPr>
        <w:t>开标记</w:t>
      </w:r>
      <w:r>
        <w:rPr>
          <w:rFonts w:hint="eastAsia" w:ascii="黑体" w:eastAsia="黑体"/>
          <w:spacing w:val="-3"/>
          <w:sz w:val="28"/>
        </w:rPr>
        <w:t>录</w:t>
      </w:r>
      <w:r>
        <w:rPr>
          <w:rFonts w:hint="eastAsia" w:ascii="黑体" w:eastAsia="黑体"/>
          <w:sz w:val="28"/>
        </w:rPr>
        <w:t>表</w:t>
      </w:r>
    </w:p>
    <w:p w14:paraId="180561D8">
      <w:pPr>
        <w:pStyle w:val="12"/>
        <w:tabs>
          <w:tab w:val="left" w:pos="1560"/>
          <w:tab w:val="left" w:pos="2160"/>
          <w:tab w:val="left" w:pos="2760"/>
          <w:tab w:val="left" w:pos="3360"/>
          <w:tab w:val="left" w:pos="3960"/>
        </w:tabs>
        <w:spacing w:before="43" w:after="22"/>
        <w:ind w:right="324"/>
        <w:jc w:val="right"/>
      </w:pPr>
      <w:r>
        <w:t>开标时间：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rPr>
          <w:u w:val="single"/>
        </w:rPr>
        <w:t xml:space="preserve"> </w:t>
      </w:r>
      <w:r>
        <w:rPr>
          <w:u w:val="single"/>
        </w:rPr>
        <w:tab/>
      </w:r>
      <w:r>
        <w:t>时</w:t>
      </w:r>
      <w:r>
        <w:rPr>
          <w:u w:val="single"/>
        </w:rPr>
        <w:t xml:space="preserve"> </w:t>
      </w:r>
      <w:r>
        <w:rPr>
          <w:u w:val="single"/>
        </w:rPr>
        <w:tab/>
      </w:r>
      <w:r>
        <w:t>分</w:t>
      </w:r>
    </w:p>
    <w:tbl>
      <w:tblPr>
        <w:tblStyle w:val="25"/>
        <w:tblW w:w="0" w:type="auto"/>
        <w:tblInd w:w="2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440"/>
        <w:gridCol w:w="1364"/>
        <w:gridCol w:w="1561"/>
        <w:gridCol w:w="1181"/>
        <w:gridCol w:w="1008"/>
        <w:gridCol w:w="1738"/>
      </w:tblGrid>
      <w:tr w14:paraId="7C01A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708" w:type="dxa"/>
          </w:tcPr>
          <w:p w14:paraId="488F1535">
            <w:pPr>
              <w:pStyle w:val="42"/>
              <w:rPr>
                <w:sz w:val="20"/>
              </w:rPr>
            </w:pPr>
          </w:p>
          <w:p w14:paraId="662C5334">
            <w:pPr>
              <w:pStyle w:val="42"/>
              <w:spacing w:before="4"/>
              <w:rPr>
                <w:sz w:val="14"/>
              </w:rPr>
            </w:pPr>
          </w:p>
          <w:p w14:paraId="1B02CDFD">
            <w:pPr>
              <w:pStyle w:val="42"/>
              <w:ind w:left="143"/>
              <w:rPr>
                <w:sz w:val="21"/>
              </w:rPr>
            </w:pPr>
            <w:r>
              <w:rPr>
                <w:sz w:val="21"/>
              </w:rPr>
              <w:t>序号</w:t>
            </w:r>
          </w:p>
        </w:tc>
        <w:tc>
          <w:tcPr>
            <w:tcW w:w="1440" w:type="dxa"/>
          </w:tcPr>
          <w:p w14:paraId="51A73CAC">
            <w:pPr>
              <w:pStyle w:val="42"/>
              <w:rPr>
                <w:sz w:val="20"/>
              </w:rPr>
            </w:pPr>
          </w:p>
          <w:p w14:paraId="0063BC58">
            <w:pPr>
              <w:pStyle w:val="42"/>
              <w:spacing w:before="4"/>
              <w:rPr>
                <w:sz w:val="14"/>
              </w:rPr>
            </w:pPr>
          </w:p>
          <w:p w14:paraId="462B86E1">
            <w:pPr>
              <w:pStyle w:val="42"/>
              <w:ind w:left="402"/>
              <w:rPr>
                <w:sz w:val="21"/>
              </w:rPr>
            </w:pPr>
            <w:r>
              <w:rPr>
                <w:sz w:val="21"/>
              </w:rPr>
              <w:t>投标人</w:t>
            </w:r>
          </w:p>
        </w:tc>
        <w:tc>
          <w:tcPr>
            <w:tcW w:w="1364" w:type="dxa"/>
          </w:tcPr>
          <w:p w14:paraId="1DE8E9D4">
            <w:pPr>
              <w:pStyle w:val="42"/>
              <w:rPr>
                <w:sz w:val="20"/>
              </w:rPr>
            </w:pPr>
          </w:p>
          <w:p w14:paraId="60F2FA4D">
            <w:pPr>
              <w:pStyle w:val="42"/>
              <w:spacing w:before="4"/>
              <w:rPr>
                <w:sz w:val="14"/>
              </w:rPr>
            </w:pPr>
          </w:p>
          <w:p w14:paraId="5D2C394F">
            <w:pPr>
              <w:pStyle w:val="42"/>
              <w:ind w:left="259"/>
              <w:rPr>
                <w:sz w:val="21"/>
              </w:rPr>
            </w:pPr>
            <w:r>
              <w:rPr>
                <w:sz w:val="21"/>
              </w:rPr>
              <w:t>密封情况</w:t>
            </w:r>
          </w:p>
        </w:tc>
        <w:tc>
          <w:tcPr>
            <w:tcW w:w="1561" w:type="dxa"/>
          </w:tcPr>
          <w:p w14:paraId="1AF2C217">
            <w:pPr>
              <w:pStyle w:val="42"/>
              <w:rPr>
                <w:sz w:val="20"/>
              </w:rPr>
            </w:pPr>
          </w:p>
          <w:p w14:paraId="75BAD0DB">
            <w:pPr>
              <w:pStyle w:val="42"/>
              <w:spacing w:before="4"/>
              <w:rPr>
                <w:sz w:val="14"/>
              </w:rPr>
            </w:pPr>
          </w:p>
          <w:p w14:paraId="2EEDCECD">
            <w:pPr>
              <w:pStyle w:val="42"/>
              <w:ind w:left="40"/>
              <w:rPr>
                <w:sz w:val="21"/>
              </w:rPr>
            </w:pPr>
            <w:r>
              <w:rPr>
                <w:sz w:val="21"/>
              </w:rPr>
              <w:t>投标报价（元）</w:t>
            </w:r>
          </w:p>
        </w:tc>
        <w:tc>
          <w:tcPr>
            <w:tcW w:w="1181" w:type="dxa"/>
          </w:tcPr>
          <w:p w14:paraId="4C21789D">
            <w:pPr>
              <w:pStyle w:val="42"/>
              <w:spacing w:line="500" w:lineRule="exact"/>
              <w:ind w:left="61" w:right="54"/>
              <w:rPr>
                <w:sz w:val="21"/>
              </w:rPr>
            </w:pPr>
            <w:r>
              <w:rPr>
                <w:sz w:val="21"/>
              </w:rPr>
              <w:t>是否超过最高投标限价</w:t>
            </w:r>
          </w:p>
        </w:tc>
        <w:tc>
          <w:tcPr>
            <w:tcW w:w="1008" w:type="dxa"/>
          </w:tcPr>
          <w:p w14:paraId="1259EDF3">
            <w:pPr>
              <w:pStyle w:val="42"/>
              <w:rPr>
                <w:sz w:val="20"/>
              </w:rPr>
            </w:pPr>
          </w:p>
          <w:p w14:paraId="2F685A35">
            <w:pPr>
              <w:pStyle w:val="42"/>
              <w:spacing w:before="4"/>
              <w:rPr>
                <w:sz w:val="14"/>
              </w:rPr>
            </w:pPr>
          </w:p>
          <w:p w14:paraId="7563B97D">
            <w:pPr>
              <w:pStyle w:val="42"/>
              <w:ind w:left="291"/>
              <w:rPr>
                <w:sz w:val="21"/>
              </w:rPr>
            </w:pPr>
            <w:r>
              <w:rPr>
                <w:sz w:val="21"/>
              </w:rPr>
              <w:t>备注</w:t>
            </w:r>
          </w:p>
        </w:tc>
        <w:tc>
          <w:tcPr>
            <w:tcW w:w="1738" w:type="dxa"/>
          </w:tcPr>
          <w:p w14:paraId="4E11772C">
            <w:pPr>
              <w:pStyle w:val="42"/>
              <w:rPr>
                <w:sz w:val="20"/>
              </w:rPr>
            </w:pPr>
          </w:p>
          <w:p w14:paraId="2ED2DF23">
            <w:pPr>
              <w:pStyle w:val="42"/>
              <w:spacing w:before="4"/>
              <w:rPr>
                <w:sz w:val="14"/>
              </w:rPr>
            </w:pPr>
          </w:p>
          <w:p w14:paraId="44D91BCF">
            <w:pPr>
              <w:pStyle w:val="42"/>
              <w:ind w:left="131"/>
              <w:rPr>
                <w:sz w:val="21"/>
              </w:rPr>
            </w:pPr>
            <w:r>
              <w:rPr>
                <w:sz w:val="21"/>
              </w:rPr>
              <w:t>投标人代表签名</w:t>
            </w:r>
          </w:p>
        </w:tc>
      </w:tr>
      <w:tr w14:paraId="76337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08" w:type="dxa"/>
          </w:tcPr>
          <w:p w14:paraId="7219AF81">
            <w:pPr>
              <w:pStyle w:val="42"/>
              <w:rPr>
                <w:rFonts w:ascii="Times New Roman"/>
                <w:sz w:val="22"/>
              </w:rPr>
            </w:pPr>
          </w:p>
        </w:tc>
        <w:tc>
          <w:tcPr>
            <w:tcW w:w="1440" w:type="dxa"/>
          </w:tcPr>
          <w:p w14:paraId="083F4E98">
            <w:pPr>
              <w:pStyle w:val="42"/>
              <w:rPr>
                <w:rFonts w:ascii="Times New Roman"/>
                <w:sz w:val="22"/>
              </w:rPr>
            </w:pPr>
          </w:p>
        </w:tc>
        <w:tc>
          <w:tcPr>
            <w:tcW w:w="1364" w:type="dxa"/>
          </w:tcPr>
          <w:p w14:paraId="67019DCD">
            <w:pPr>
              <w:pStyle w:val="42"/>
              <w:rPr>
                <w:rFonts w:ascii="Times New Roman"/>
                <w:sz w:val="22"/>
              </w:rPr>
            </w:pPr>
          </w:p>
        </w:tc>
        <w:tc>
          <w:tcPr>
            <w:tcW w:w="1561" w:type="dxa"/>
          </w:tcPr>
          <w:p w14:paraId="7B036832">
            <w:pPr>
              <w:pStyle w:val="42"/>
              <w:rPr>
                <w:rFonts w:ascii="Times New Roman"/>
                <w:sz w:val="22"/>
              </w:rPr>
            </w:pPr>
          </w:p>
        </w:tc>
        <w:tc>
          <w:tcPr>
            <w:tcW w:w="1181" w:type="dxa"/>
          </w:tcPr>
          <w:p w14:paraId="1BF582AF">
            <w:pPr>
              <w:pStyle w:val="42"/>
              <w:rPr>
                <w:rFonts w:ascii="Times New Roman"/>
                <w:sz w:val="22"/>
              </w:rPr>
            </w:pPr>
          </w:p>
        </w:tc>
        <w:tc>
          <w:tcPr>
            <w:tcW w:w="1008" w:type="dxa"/>
          </w:tcPr>
          <w:p w14:paraId="71B09AE7">
            <w:pPr>
              <w:pStyle w:val="42"/>
              <w:rPr>
                <w:rFonts w:ascii="Times New Roman"/>
                <w:sz w:val="22"/>
              </w:rPr>
            </w:pPr>
          </w:p>
        </w:tc>
        <w:tc>
          <w:tcPr>
            <w:tcW w:w="1738" w:type="dxa"/>
          </w:tcPr>
          <w:p w14:paraId="5F279DF9">
            <w:pPr>
              <w:pStyle w:val="42"/>
              <w:rPr>
                <w:rFonts w:ascii="Times New Roman"/>
                <w:sz w:val="22"/>
              </w:rPr>
            </w:pPr>
          </w:p>
        </w:tc>
      </w:tr>
      <w:tr w14:paraId="47CCF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08" w:type="dxa"/>
          </w:tcPr>
          <w:p w14:paraId="43E20681">
            <w:pPr>
              <w:pStyle w:val="42"/>
              <w:rPr>
                <w:rFonts w:ascii="Times New Roman"/>
                <w:sz w:val="22"/>
              </w:rPr>
            </w:pPr>
          </w:p>
        </w:tc>
        <w:tc>
          <w:tcPr>
            <w:tcW w:w="1440" w:type="dxa"/>
          </w:tcPr>
          <w:p w14:paraId="6F0246C2">
            <w:pPr>
              <w:pStyle w:val="42"/>
              <w:rPr>
                <w:rFonts w:ascii="Times New Roman"/>
                <w:sz w:val="22"/>
              </w:rPr>
            </w:pPr>
          </w:p>
        </w:tc>
        <w:tc>
          <w:tcPr>
            <w:tcW w:w="1364" w:type="dxa"/>
          </w:tcPr>
          <w:p w14:paraId="4EAAB3E8">
            <w:pPr>
              <w:pStyle w:val="42"/>
              <w:rPr>
                <w:rFonts w:ascii="Times New Roman"/>
                <w:sz w:val="22"/>
              </w:rPr>
            </w:pPr>
          </w:p>
        </w:tc>
        <w:tc>
          <w:tcPr>
            <w:tcW w:w="1561" w:type="dxa"/>
          </w:tcPr>
          <w:p w14:paraId="224E8287">
            <w:pPr>
              <w:pStyle w:val="42"/>
              <w:rPr>
                <w:rFonts w:ascii="Times New Roman"/>
                <w:sz w:val="22"/>
              </w:rPr>
            </w:pPr>
          </w:p>
        </w:tc>
        <w:tc>
          <w:tcPr>
            <w:tcW w:w="1181" w:type="dxa"/>
          </w:tcPr>
          <w:p w14:paraId="2ACED21B">
            <w:pPr>
              <w:pStyle w:val="42"/>
              <w:rPr>
                <w:rFonts w:ascii="Times New Roman"/>
                <w:sz w:val="22"/>
              </w:rPr>
            </w:pPr>
          </w:p>
        </w:tc>
        <w:tc>
          <w:tcPr>
            <w:tcW w:w="1008" w:type="dxa"/>
          </w:tcPr>
          <w:p w14:paraId="5C48DB66">
            <w:pPr>
              <w:pStyle w:val="42"/>
              <w:rPr>
                <w:rFonts w:ascii="Times New Roman"/>
                <w:sz w:val="22"/>
              </w:rPr>
            </w:pPr>
          </w:p>
        </w:tc>
        <w:tc>
          <w:tcPr>
            <w:tcW w:w="1738" w:type="dxa"/>
          </w:tcPr>
          <w:p w14:paraId="03E7392F">
            <w:pPr>
              <w:pStyle w:val="42"/>
              <w:rPr>
                <w:rFonts w:ascii="Times New Roman"/>
                <w:sz w:val="22"/>
              </w:rPr>
            </w:pPr>
          </w:p>
        </w:tc>
      </w:tr>
      <w:tr w14:paraId="29EDA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08" w:type="dxa"/>
          </w:tcPr>
          <w:p w14:paraId="3CA6C483">
            <w:pPr>
              <w:pStyle w:val="42"/>
              <w:rPr>
                <w:rFonts w:ascii="Times New Roman"/>
                <w:sz w:val="22"/>
              </w:rPr>
            </w:pPr>
          </w:p>
        </w:tc>
        <w:tc>
          <w:tcPr>
            <w:tcW w:w="1440" w:type="dxa"/>
          </w:tcPr>
          <w:p w14:paraId="6EB8A817">
            <w:pPr>
              <w:pStyle w:val="42"/>
              <w:rPr>
                <w:rFonts w:ascii="Times New Roman"/>
                <w:sz w:val="22"/>
              </w:rPr>
            </w:pPr>
          </w:p>
        </w:tc>
        <w:tc>
          <w:tcPr>
            <w:tcW w:w="1364" w:type="dxa"/>
          </w:tcPr>
          <w:p w14:paraId="4E065533">
            <w:pPr>
              <w:pStyle w:val="42"/>
              <w:rPr>
                <w:rFonts w:ascii="Times New Roman"/>
                <w:sz w:val="22"/>
              </w:rPr>
            </w:pPr>
          </w:p>
        </w:tc>
        <w:tc>
          <w:tcPr>
            <w:tcW w:w="1561" w:type="dxa"/>
          </w:tcPr>
          <w:p w14:paraId="1CE7259F">
            <w:pPr>
              <w:pStyle w:val="42"/>
              <w:rPr>
                <w:rFonts w:ascii="Times New Roman"/>
                <w:sz w:val="22"/>
              </w:rPr>
            </w:pPr>
          </w:p>
        </w:tc>
        <w:tc>
          <w:tcPr>
            <w:tcW w:w="1181" w:type="dxa"/>
          </w:tcPr>
          <w:p w14:paraId="5943A1FE">
            <w:pPr>
              <w:pStyle w:val="42"/>
              <w:rPr>
                <w:rFonts w:ascii="Times New Roman"/>
                <w:sz w:val="22"/>
              </w:rPr>
            </w:pPr>
          </w:p>
        </w:tc>
        <w:tc>
          <w:tcPr>
            <w:tcW w:w="1008" w:type="dxa"/>
          </w:tcPr>
          <w:p w14:paraId="739C7BBC">
            <w:pPr>
              <w:pStyle w:val="42"/>
              <w:rPr>
                <w:rFonts w:ascii="Times New Roman"/>
                <w:sz w:val="22"/>
              </w:rPr>
            </w:pPr>
          </w:p>
        </w:tc>
        <w:tc>
          <w:tcPr>
            <w:tcW w:w="1738" w:type="dxa"/>
          </w:tcPr>
          <w:p w14:paraId="65CE44E6">
            <w:pPr>
              <w:pStyle w:val="42"/>
              <w:rPr>
                <w:rFonts w:ascii="Times New Roman"/>
                <w:sz w:val="22"/>
              </w:rPr>
            </w:pPr>
          </w:p>
        </w:tc>
      </w:tr>
      <w:tr w14:paraId="7913B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08" w:type="dxa"/>
          </w:tcPr>
          <w:p w14:paraId="330B0CEA">
            <w:pPr>
              <w:pStyle w:val="42"/>
              <w:rPr>
                <w:rFonts w:ascii="Times New Roman"/>
                <w:sz w:val="22"/>
              </w:rPr>
            </w:pPr>
          </w:p>
        </w:tc>
        <w:tc>
          <w:tcPr>
            <w:tcW w:w="1440" w:type="dxa"/>
          </w:tcPr>
          <w:p w14:paraId="4D15CFDB">
            <w:pPr>
              <w:pStyle w:val="42"/>
              <w:rPr>
                <w:rFonts w:ascii="Times New Roman"/>
                <w:sz w:val="22"/>
              </w:rPr>
            </w:pPr>
          </w:p>
        </w:tc>
        <w:tc>
          <w:tcPr>
            <w:tcW w:w="1364" w:type="dxa"/>
          </w:tcPr>
          <w:p w14:paraId="0727F4A9">
            <w:pPr>
              <w:pStyle w:val="42"/>
              <w:rPr>
                <w:rFonts w:ascii="Times New Roman"/>
                <w:sz w:val="22"/>
              </w:rPr>
            </w:pPr>
          </w:p>
        </w:tc>
        <w:tc>
          <w:tcPr>
            <w:tcW w:w="1561" w:type="dxa"/>
          </w:tcPr>
          <w:p w14:paraId="08975448">
            <w:pPr>
              <w:pStyle w:val="42"/>
              <w:rPr>
                <w:rFonts w:ascii="Times New Roman"/>
                <w:sz w:val="22"/>
              </w:rPr>
            </w:pPr>
          </w:p>
        </w:tc>
        <w:tc>
          <w:tcPr>
            <w:tcW w:w="1181" w:type="dxa"/>
          </w:tcPr>
          <w:p w14:paraId="3F6FDA6A">
            <w:pPr>
              <w:pStyle w:val="42"/>
              <w:rPr>
                <w:rFonts w:ascii="Times New Roman"/>
                <w:sz w:val="22"/>
              </w:rPr>
            </w:pPr>
          </w:p>
        </w:tc>
        <w:tc>
          <w:tcPr>
            <w:tcW w:w="1008" w:type="dxa"/>
          </w:tcPr>
          <w:p w14:paraId="0F634F35">
            <w:pPr>
              <w:pStyle w:val="42"/>
              <w:rPr>
                <w:rFonts w:ascii="Times New Roman"/>
                <w:sz w:val="22"/>
              </w:rPr>
            </w:pPr>
          </w:p>
        </w:tc>
        <w:tc>
          <w:tcPr>
            <w:tcW w:w="1738" w:type="dxa"/>
          </w:tcPr>
          <w:p w14:paraId="3FA3FDA1">
            <w:pPr>
              <w:pStyle w:val="42"/>
              <w:rPr>
                <w:rFonts w:ascii="Times New Roman"/>
                <w:sz w:val="22"/>
              </w:rPr>
            </w:pPr>
          </w:p>
        </w:tc>
      </w:tr>
      <w:tr w14:paraId="42721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08" w:type="dxa"/>
          </w:tcPr>
          <w:p w14:paraId="28281827">
            <w:pPr>
              <w:pStyle w:val="42"/>
              <w:rPr>
                <w:rFonts w:ascii="Times New Roman"/>
                <w:sz w:val="22"/>
              </w:rPr>
            </w:pPr>
          </w:p>
        </w:tc>
        <w:tc>
          <w:tcPr>
            <w:tcW w:w="1440" w:type="dxa"/>
          </w:tcPr>
          <w:p w14:paraId="6B4C8228">
            <w:pPr>
              <w:pStyle w:val="42"/>
              <w:rPr>
                <w:rFonts w:ascii="Times New Roman"/>
                <w:sz w:val="22"/>
              </w:rPr>
            </w:pPr>
          </w:p>
        </w:tc>
        <w:tc>
          <w:tcPr>
            <w:tcW w:w="1364" w:type="dxa"/>
          </w:tcPr>
          <w:p w14:paraId="3EB7C554">
            <w:pPr>
              <w:pStyle w:val="42"/>
              <w:rPr>
                <w:rFonts w:ascii="Times New Roman"/>
                <w:sz w:val="22"/>
              </w:rPr>
            </w:pPr>
          </w:p>
        </w:tc>
        <w:tc>
          <w:tcPr>
            <w:tcW w:w="1561" w:type="dxa"/>
          </w:tcPr>
          <w:p w14:paraId="6CCE2AEA">
            <w:pPr>
              <w:pStyle w:val="42"/>
              <w:rPr>
                <w:rFonts w:ascii="Times New Roman"/>
                <w:sz w:val="22"/>
              </w:rPr>
            </w:pPr>
          </w:p>
        </w:tc>
        <w:tc>
          <w:tcPr>
            <w:tcW w:w="1181" w:type="dxa"/>
          </w:tcPr>
          <w:p w14:paraId="0807846D">
            <w:pPr>
              <w:pStyle w:val="42"/>
              <w:rPr>
                <w:rFonts w:ascii="Times New Roman"/>
                <w:sz w:val="22"/>
              </w:rPr>
            </w:pPr>
          </w:p>
        </w:tc>
        <w:tc>
          <w:tcPr>
            <w:tcW w:w="1008" w:type="dxa"/>
          </w:tcPr>
          <w:p w14:paraId="1BA06681">
            <w:pPr>
              <w:pStyle w:val="42"/>
              <w:rPr>
                <w:rFonts w:ascii="Times New Roman"/>
                <w:sz w:val="22"/>
              </w:rPr>
            </w:pPr>
          </w:p>
        </w:tc>
        <w:tc>
          <w:tcPr>
            <w:tcW w:w="1738" w:type="dxa"/>
          </w:tcPr>
          <w:p w14:paraId="6C703CA4">
            <w:pPr>
              <w:pStyle w:val="42"/>
              <w:rPr>
                <w:rFonts w:ascii="Times New Roman"/>
                <w:sz w:val="22"/>
              </w:rPr>
            </w:pPr>
          </w:p>
        </w:tc>
      </w:tr>
      <w:tr w14:paraId="3A43F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08" w:type="dxa"/>
          </w:tcPr>
          <w:p w14:paraId="443CF6E5">
            <w:pPr>
              <w:pStyle w:val="42"/>
              <w:rPr>
                <w:rFonts w:ascii="Times New Roman"/>
                <w:sz w:val="22"/>
              </w:rPr>
            </w:pPr>
          </w:p>
        </w:tc>
        <w:tc>
          <w:tcPr>
            <w:tcW w:w="1440" w:type="dxa"/>
          </w:tcPr>
          <w:p w14:paraId="04117D26">
            <w:pPr>
              <w:pStyle w:val="42"/>
              <w:rPr>
                <w:rFonts w:ascii="Times New Roman"/>
                <w:sz w:val="22"/>
              </w:rPr>
            </w:pPr>
          </w:p>
        </w:tc>
        <w:tc>
          <w:tcPr>
            <w:tcW w:w="1364" w:type="dxa"/>
          </w:tcPr>
          <w:p w14:paraId="45BBC37F">
            <w:pPr>
              <w:pStyle w:val="42"/>
              <w:rPr>
                <w:rFonts w:ascii="Times New Roman"/>
                <w:sz w:val="22"/>
              </w:rPr>
            </w:pPr>
          </w:p>
        </w:tc>
        <w:tc>
          <w:tcPr>
            <w:tcW w:w="1561" w:type="dxa"/>
          </w:tcPr>
          <w:p w14:paraId="364DCD7E">
            <w:pPr>
              <w:pStyle w:val="42"/>
              <w:rPr>
                <w:rFonts w:ascii="Times New Roman"/>
                <w:sz w:val="22"/>
              </w:rPr>
            </w:pPr>
          </w:p>
        </w:tc>
        <w:tc>
          <w:tcPr>
            <w:tcW w:w="1181" w:type="dxa"/>
          </w:tcPr>
          <w:p w14:paraId="770DDCD7">
            <w:pPr>
              <w:pStyle w:val="42"/>
              <w:rPr>
                <w:rFonts w:ascii="Times New Roman"/>
                <w:sz w:val="22"/>
              </w:rPr>
            </w:pPr>
          </w:p>
        </w:tc>
        <w:tc>
          <w:tcPr>
            <w:tcW w:w="1008" w:type="dxa"/>
          </w:tcPr>
          <w:p w14:paraId="175D8B07">
            <w:pPr>
              <w:pStyle w:val="42"/>
              <w:rPr>
                <w:rFonts w:ascii="Times New Roman"/>
                <w:sz w:val="22"/>
              </w:rPr>
            </w:pPr>
          </w:p>
        </w:tc>
        <w:tc>
          <w:tcPr>
            <w:tcW w:w="1738" w:type="dxa"/>
          </w:tcPr>
          <w:p w14:paraId="5ABF99BE">
            <w:pPr>
              <w:pStyle w:val="42"/>
              <w:rPr>
                <w:rFonts w:ascii="Times New Roman"/>
                <w:sz w:val="22"/>
              </w:rPr>
            </w:pPr>
          </w:p>
        </w:tc>
      </w:tr>
      <w:tr w14:paraId="211CC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08" w:type="dxa"/>
          </w:tcPr>
          <w:p w14:paraId="2457CD7C">
            <w:pPr>
              <w:pStyle w:val="42"/>
              <w:rPr>
                <w:rFonts w:ascii="Times New Roman"/>
                <w:sz w:val="22"/>
              </w:rPr>
            </w:pPr>
          </w:p>
        </w:tc>
        <w:tc>
          <w:tcPr>
            <w:tcW w:w="1440" w:type="dxa"/>
          </w:tcPr>
          <w:p w14:paraId="2B5DADF0">
            <w:pPr>
              <w:pStyle w:val="42"/>
              <w:rPr>
                <w:rFonts w:ascii="Times New Roman"/>
                <w:sz w:val="22"/>
              </w:rPr>
            </w:pPr>
          </w:p>
        </w:tc>
        <w:tc>
          <w:tcPr>
            <w:tcW w:w="1364" w:type="dxa"/>
          </w:tcPr>
          <w:p w14:paraId="29753514">
            <w:pPr>
              <w:pStyle w:val="42"/>
              <w:rPr>
                <w:rFonts w:ascii="Times New Roman"/>
                <w:sz w:val="22"/>
              </w:rPr>
            </w:pPr>
          </w:p>
        </w:tc>
        <w:tc>
          <w:tcPr>
            <w:tcW w:w="1561" w:type="dxa"/>
          </w:tcPr>
          <w:p w14:paraId="502BCC1E">
            <w:pPr>
              <w:pStyle w:val="42"/>
              <w:rPr>
                <w:rFonts w:ascii="Times New Roman"/>
                <w:sz w:val="22"/>
              </w:rPr>
            </w:pPr>
          </w:p>
        </w:tc>
        <w:tc>
          <w:tcPr>
            <w:tcW w:w="1181" w:type="dxa"/>
          </w:tcPr>
          <w:p w14:paraId="6F233FB0">
            <w:pPr>
              <w:pStyle w:val="42"/>
              <w:rPr>
                <w:rFonts w:ascii="Times New Roman"/>
                <w:sz w:val="22"/>
              </w:rPr>
            </w:pPr>
          </w:p>
        </w:tc>
        <w:tc>
          <w:tcPr>
            <w:tcW w:w="1008" w:type="dxa"/>
          </w:tcPr>
          <w:p w14:paraId="7943C2FE">
            <w:pPr>
              <w:pStyle w:val="42"/>
              <w:rPr>
                <w:rFonts w:ascii="Times New Roman"/>
                <w:sz w:val="22"/>
              </w:rPr>
            </w:pPr>
          </w:p>
        </w:tc>
        <w:tc>
          <w:tcPr>
            <w:tcW w:w="1738" w:type="dxa"/>
          </w:tcPr>
          <w:p w14:paraId="636EF300">
            <w:pPr>
              <w:pStyle w:val="42"/>
              <w:rPr>
                <w:rFonts w:ascii="Times New Roman"/>
                <w:sz w:val="22"/>
              </w:rPr>
            </w:pPr>
          </w:p>
        </w:tc>
      </w:tr>
      <w:tr w14:paraId="2AA75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08" w:type="dxa"/>
          </w:tcPr>
          <w:p w14:paraId="0085F91F">
            <w:pPr>
              <w:pStyle w:val="42"/>
              <w:rPr>
                <w:rFonts w:ascii="Times New Roman"/>
                <w:sz w:val="22"/>
              </w:rPr>
            </w:pPr>
          </w:p>
        </w:tc>
        <w:tc>
          <w:tcPr>
            <w:tcW w:w="1440" w:type="dxa"/>
          </w:tcPr>
          <w:p w14:paraId="45B23C47">
            <w:pPr>
              <w:pStyle w:val="42"/>
              <w:rPr>
                <w:rFonts w:ascii="Times New Roman"/>
                <w:sz w:val="22"/>
              </w:rPr>
            </w:pPr>
          </w:p>
        </w:tc>
        <w:tc>
          <w:tcPr>
            <w:tcW w:w="1364" w:type="dxa"/>
          </w:tcPr>
          <w:p w14:paraId="07956179">
            <w:pPr>
              <w:pStyle w:val="42"/>
              <w:rPr>
                <w:rFonts w:ascii="Times New Roman"/>
                <w:sz w:val="22"/>
              </w:rPr>
            </w:pPr>
          </w:p>
        </w:tc>
        <w:tc>
          <w:tcPr>
            <w:tcW w:w="1561" w:type="dxa"/>
          </w:tcPr>
          <w:p w14:paraId="39BC2DA2">
            <w:pPr>
              <w:pStyle w:val="42"/>
              <w:rPr>
                <w:rFonts w:ascii="Times New Roman"/>
                <w:sz w:val="22"/>
              </w:rPr>
            </w:pPr>
          </w:p>
        </w:tc>
        <w:tc>
          <w:tcPr>
            <w:tcW w:w="1181" w:type="dxa"/>
          </w:tcPr>
          <w:p w14:paraId="7196D92B">
            <w:pPr>
              <w:pStyle w:val="42"/>
              <w:rPr>
                <w:rFonts w:ascii="Times New Roman"/>
                <w:sz w:val="22"/>
              </w:rPr>
            </w:pPr>
          </w:p>
        </w:tc>
        <w:tc>
          <w:tcPr>
            <w:tcW w:w="1008" w:type="dxa"/>
          </w:tcPr>
          <w:p w14:paraId="12BE1E5A">
            <w:pPr>
              <w:pStyle w:val="42"/>
              <w:rPr>
                <w:rFonts w:ascii="Times New Roman"/>
                <w:sz w:val="22"/>
              </w:rPr>
            </w:pPr>
          </w:p>
        </w:tc>
        <w:tc>
          <w:tcPr>
            <w:tcW w:w="1738" w:type="dxa"/>
          </w:tcPr>
          <w:p w14:paraId="11EFC8A4">
            <w:pPr>
              <w:pStyle w:val="42"/>
              <w:rPr>
                <w:rFonts w:ascii="Times New Roman"/>
                <w:sz w:val="22"/>
              </w:rPr>
            </w:pPr>
          </w:p>
        </w:tc>
      </w:tr>
      <w:tr w14:paraId="6C558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08" w:type="dxa"/>
          </w:tcPr>
          <w:p w14:paraId="0D3FFDEE">
            <w:pPr>
              <w:pStyle w:val="42"/>
              <w:rPr>
                <w:rFonts w:ascii="Times New Roman"/>
                <w:sz w:val="22"/>
              </w:rPr>
            </w:pPr>
          </w:p>
        </w:tc>
        <w:tc>
          <w:tcPr>
            <w:tcW w:w="1440" w:type="dxa"/>
          </w:tcPr>
          <w:p w14:paraId="756DD181">
            <w:pPr>
              <w:pStyle w:val="42"/>
              <w:rPr>
                <w:rFonts w:ascii="Times New Roman"/>
                <w:sz w:val="22"/>
              </w:rPr>
            </w:pPr>
          </w:p>
        </w:tc>
        <w:tc>
          <w:tcPr>
            <w:tcW w:w="1364" w:type="dxa"/>
          </w:tcPr>
          <w:p w14:paraId="2D129102">
            <w:pPr>
              <w:pStyle w:val="42"/>
              <w:rPr>
                <w:rFonts w:ascii="Times New Roman"/>
                <w:sz w:val="22"/>
              </w:rPr>
            </w:pPr>
          </w:p>
        </w:tc>
        <w:tc>
          <w:tcPr>
            <w:tcW w:w="1561" w:type="dxa"/>
          </w:tcPr>
          <w:p w14:paraId="40AF53A3">
            <w:pPr>
              <w:pStyle w:val="42"/>
              <w:rPr>
                <w:rFonts w:ascii="Times New Roman"/>
                <w:sz w:val="22"/>
              </w:rPr>
            </w:pPr>
          </w:p>
        </w:tc>
        <w:tc>
          <w:tcPr>
            <w:tcW w:w="1181" w:type="dxa"/>
          </w:tcPr>
          <w:p w14:paraId="2EAB743E">
            <w:pPr>
              <w:pStyle w:val="42"/>
              <w:rPr>
                <w:rFonts w:ascii="Times New Roman"/>
                <w:sz w:val="22"/>
              </w:rPr>
            </w:pPr>
          </w:p>
        </w:tc>
        <w:tc>
          <w:tcPr>
            <w:tcW w:w="1008" w:type="dxa"/>
          </w:tcPr>
          <w:p w14:paraId="1386B96A">
            <w:pPr>
              <w:pStyle w:val="42"/>
              <w:rPr>
                <w:rFonts w:ascii="Times New Roman"/>
                <w:sz w:val="22"/>
              </w:rPr>
            </w:pPr>
          </w:p>
        </w:tc>
        <w:tc>
          <w:tcPr>
            <w:tcW w:w="1738" w:type="dxa"/>
          </w:tcPr>
          <w:p w14:paraId="7D5F2D18">
            <w:pPr>
              <w:pStyle w:val="42"/>
              <w:rPr>
                <w:rFonts w:ascii="Times New Roman"/>
                <w:sz w:val="22"/>
              </w:rPr>
            </w:pPr>
          </w:p>
        </w:tc>
      </w:tr>
      <w:tr w14:paraId="0F55B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08" w:type="dxa"/>
          </w:tcPr>
          <w:p w14:paraId="646158EA">
            <w:pPr>
              <w:pStyle w:val="42"/>
              <w:rPr>
                <w:rFonts w:ascii="Times New Roman"/>
                <w:sz w:val="22"/>
              </w:rPr>
            </w:pPr>
          </w:p>
        </w:tc>
        <w:tc>
          <w:tcPr>
            <w:tcW w:w="1440" w:type="dxa"/>
          </w:tcPr>
          <w:p w14:paraId="6D062355">
            <w:pPr>
              <w:pStyle w:val="42"/>
              <w:rPr>
                <w:rFonts w:ascii="Times New Roman"/>
                <w:sz w:val="22"/>
              </w:rPr>
            </w:pPr>
          </w:p>
        </w:tc>
        <w:tc>
          <w:tcPr>
            <w:tcW w:w="1364" w:type="dxa"/>
          </w:tcPr>
          <w:p w14:paraId="5DE02A90">
            <w:pPr>
              <w:pStyle w:val="42"/>
              <w:rPr>
                <w:rFonts w:ascii="Times New Roman"/>
                <w:sz w:val="22"/>
              </w:rPr>
            </w:pPr>
          </w:p>
        </w:tc>
        <w:tc>
          <w:tcPr>
            <w:tcW w:w="1561" w:type="dxa"/>
          </w:tcPr>
          <w:p w14:paraId="6D18AEAB">
            <w:pPr>
              <w:pStyle w:val="42"/>
              <w:rPr>
                <w:rFonts w:ascii="Times New Roman"/>
                <w:sz w:val="22"/>
              </w:rPr>
            </w:pPr>
          </w:p>
        </w:tc>
        <w:tc>
          <w:tcPr>
            <w:tcW w:w="1181" w:type="dxa"/>
          </w:tcPr>
          <w:p w14:paraId="51D52F4E">
            <w:pPr>
              <w:pStyle w:val="42"/>
              <w:rPr>
                <w:rFonts w:ascii="Times New Roman"/>
                <w:sz w:val="22"/>
              </w:rPr>
            </w:pPr>
          </w:p>
        </w:tc>
        <w:tc>
          <w:tcPr>
            <w:tcW w:w="1008" w:type="dxa"/>
          </w:tcPr>
          <w:p w14:paraId="428B7C8E">
            <w:pPr>
              <w:pStyle w:val="42"/>
              <w:rPr>
                <w:rFonts w:ascii="Times New Roman"/>
                <w:sz w:val="22"/>
              </w:rPr>
            </w:pPr>
          </w:p>
        </w:tc>
        <w:tc>
          <w:tcPr>
            <w:tcW w:w="1738" w:type="dxa"/>
          </w:tcPr>
          <w:p w14:paraId="4FBD14E2">
            <w:pPr>
              <w:pStyle w:val="42"/>
              <w:rPr>
                <w:rFonts w:ascii="Times New Roman"/>
                <w:sz w:val="22"/>
              </w:rPr>
            </w:pPr>
          </w:p>
        </w:tc>
      </w:tr>
      <w:tr w14:paraId="62648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08" w:type="dxa"/>
          </w:tcPr>
          <w:p w14:paraId="620711F2">
            <w:pPr>
              <w:pStyle w:val="42"/>
              <w:rPr>
                <w:rFonts w:ascii="Times New Roman"/>
                <w:sz w:val="22"/>
              </w:rPr>
            </w:pPr>
          </w:p>
        </w:tc>
        <w:tc>
          <w:tcPr>
            <w:tcW w:w="1440" w:type="dxa"/>
          </w:tcPr>
          <w:p w14:paraId="4897E716">
            <w:pPr>
              <w:pStyle w:val="42"/>
              <w:rPr>
                <w:rFonts w:ascii="Times New Roman"/>
                <w:sz w:val="22"/>
              </w:rPr>
            </w:pPr>
          </w:p>
        </w:tc>
        <w:tc>
          <w:tcPr>
            <w:tcW w:w="1364" w:type="dxa"/>
          </w:tcPr>
          <w:p w14:paraId="2A20679B">
            <w:pPr>
              <w:pStyle w:val="42"/>
              <w:rPr>
                <w:rFonts w:ascii="Times New Roman"/>
                <w:sz w:val="22"/>
              </w:rPr>
            </w:pPr>
          </w:p>
        </w:tc>
        <w:tc>
          <w:tcPr>
            <w:tcW w:w="1561" w:type="dxa"/>
          </w:tcPr>
          <w:p w14:paraId="0781C3A6">
            <w:pPr>
              <w:pStyle w:val="42"/>
              <w:rPr>
                <w:rFonts w:ascii="Times New Roman"/>
                <w:sz w:val="22"/>
              </w:rPr>
            </w:pPr>
          </w:p>
        </w:tc>
        <w:tc>
          <w:tcPr>
            <w:tcW w:w="1181" w:type="dxa"/>
          </w:tcPr>
          <w:p w14:paraId="176CAE8D">
            <w:pPr>
              <w:pStyle w:val="42"/>
              <w:rPr>
                <w:rFonts w:ascii="Times New Roman"/>
                <w:sz w:val="22"/>
              </w:rPr>
            </w:pPr>
          </w:p>
        </w:tc>
        <w:tc>
          <w:tcPr>
            <w:tcW w:w="1008" w:type="dxa"/>
          </w:tcPr>
          <w:p w14:paraId="043D17B8">
            <w:pPr>
              <w:pStyle w:val="42"/>
              <w:rPr>
                <w:rFonts w:ascii="Times New Roman"/>
                <w:sz w:val="22"/>
              </w:rPr>
            </w:pPr>
          </w:p>
        </w:tc>
        <w:tc>
          <w:tcPr>
            <w:tcW w:w="1738" w:type="dxa"/>
          </w:tcPr>
          <w:p w14:paraId="581CE88B">
            <w:pPr>
              <w:pStyle w:val="42"/>
              <w:rPr>
                <w:rFonts w:ascii="Times New Roman"/>
                <w:sz w:val="22"/>
              </w:rPr>
            </w:pPr>
          </w:p>
        </w:tc>
      </w:tr>
      <w:tr w14:paraId="344C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08" w:type="dxa"/>
          </w:tcPr>
          <w:p w14:paraId="69205F2B">
            <w:pPr>
              <w:pStyle w:val="42"/>
              <w:rPr>
                <w:rFonts w:ascii="Times New Roman"/>
                <w:sz w:val="22"/>
              </w:rPr>
            </w:pPr>
          </w:p>
        </w:tc>
        <w:tc>
          <w:tcPr>
            <w:tcW w:w="1440" w:type="dxa"/>
          </w:tcPr>
          <w:p w14:paraId="02F64A08">
            <w:pPr>
              <w:pStyle w:val="42"/>
              <w:rPr>
                <w:rFonts w:ascii="Times New Roman"/>
                <w:sz w:val="22"/>
              </w:rPr>
            </w:pPr>
          </w:p>
        </w:tc>
        <w:tc>
          <w:tcPr>
            <w:tcW w:w="1364" w:type="dxa"/>
          </w:tcPr>
          <w:p w14:paraId="568DBCB0">
            <w:pPr>
              <w:pStyle w:val="42"/>
              <w:rPr>
                <w:rFonts w:ascii="Times New Roman"/>
                <w:sz w:val="22"/>
              </w:rPr>
            </w:pPr>
          </w:p>
        </w:tc>
        <w:tc>
          <w:tcPr>
            <w:tcW w:w="1561" w:type="dxa"/>
          </w:tcPr>
          <w:p w14:paraId="0FE3A7C2">
            <w:pPr>
              <w:pStyle w:val="42"/>
              <w:rPr>
                <w:rFonts w:ascii="Times New Roman"/>
                <w:sz w:val="22"/>
              </w:rPr>
            </w:pPr>
          </w:p>
        </w:tc>
        <w:tc>
          <w:tcPr>
            <w:tcW w:w="1181" w:type="dxa"/>
          </w:tcPr>
          <w:p w14:paraId="34A8102A">
            <w:pPr>
              <w:pStyle w:val="42"/>
              <w:rPr>
                <w:rFonts w:ascii="Times New Roman"/>
                <w:sz w:val="22"/>
              </w:rPr>
            </w:pPr>
          </w:p>
        </w:tc>
        <w:tc>
          <w:tcPr>
            <w:tcW w:w="1008" w:type="dxa"/>
          </w:tcPr>
          <w:p w14:paraId="6A46011B">
            <w:pPr>
              <w:pStyle w:val="42"/>
              <w:rPr>
                <w:rFonts w:ascii="Times New Roman"/>
                <w:sz w:val="22"/>
              </w:rPr>
            </w:pPr>
          </w:p>
        </w:tc>
        <w:tc>
          <w:tcPr>
            <w:tcW w:w="1738" w:type="dxa"/>
          </w:tcPr>
          <w:p w14:paraId="01AC01A8">
            <w:pPr>
              <w:pStyle w:val="42"/>
              <w:rPr>
                <w:rFonts w:ascii="Times New Roman"/>
                <w:sz w:val="22"/>
              </w:rPr>
            </w:pPr>
          </w:p>
        </w:tc>
      </w:tr>
      <w:tr w14:paraId="491F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3512" w:type="dxa"/>
            <w:gridSpan w:val="3"/>
          </w:tcPr>
          <w:p w14:paraId="1B4B31A6">
            <w:pPr>
              <w:pStyle w:val="42"/>
              <w:spacing w:before="9"/>
              <w:rPr>
                <w:sz w:val="20"/>
              </w:rPr>
            </w:pPr>
          </w:p>
          <w:p w14:paraId="124ED013">
            <w:pPr>
              <w:pStyle w:val="42"/>
              <w:ind w:left="107"/>
              <w:rPr>
                <w:sz w:val="21"/>
              </w:rPr>
            </w:pPr>
            <w:r>
              <w:rPr>
                <w:sz w:val="21"/>
              </w:rPr>
              <w:t>招标人编制的最高投标限价（如有）</w:t>
            </w:r>
          </w:p>
        </w:tc>
        <w:tc>
          <w:tcPr>
            <w:tcW w:w="5488" w:type="dxa"/>
            <w:gridSpan w:val="4"/>
          </w:tcPr>
          <w:p w14:paraId="11820F22">
            <w:pPr>
              <w:pStyle w:val="42"/>
              <w:rPr>
                <w:rFonts w:ascii="Times New Roman"/>
                <w:sz w:val="22"/>
              </w:rPr>
            </w:pPr>
          </w:p>
        </w:tc>
      </w:tr>
    </w:tbl>
    <w:p w14:paraId="51C8FE46">
      <w:pPr>
        <w:pStyle w:val="12"/>
        <w:rPr>
          <w:sz w:val="26"/>
        </w:rPr>
      </w:pPr>
    </w:p>
    <w:p w14:paraId="607A4F79">
      <w:pPr>
        <w:pStyle w:val="12"/>
        <w:spacing w:before="8"/>
        <w:rPr>
          <w:sz w:val="30"/>
        </w:rPr>
      </w:pPr>
    </w:p>
    <w:p w14:paraId="7F301357">
      <w:pPr>
        <w:tabs>
          <w:tab w:val="left" w:pos="2673"/>
          <w:tab w:val="left" w:pos="6615"/>
          <w:tab w:val="left" w:pos="8838"/>
        </w:tabs>
        <w:spacing w:before="0"/>
        <w:ind w:left="0" w:right="277" w:firstLine="0"/>
        <w:jc w:val="right"/>
        <w:rPr>
          <w:rFonts w:ascii="Times New Roman" w:eastAsia="Times New Roman"/>
          <w:sz w:val="21"/>
        </w:rPr>
      </w:pPr>
      <w:r>
        <w:rPr>
          <w:sz w:val="21"/>
        </w:rPr>
        <w:t>招标</w:t>
      </w:r>
      <w:r>
        <w:rPr>
          <w:spacing w:val="-3"/>
          <w:sz w:val="21"/>
        </w:rPr>
        <w:t>人</w:t>
      </w:r>
      <w:r>
        <w:rPr>
          <w:sz w:val="21"/>
        </w:rPr>
        <w:t>代</w:t>
      </w:r>
      <w:r>
        <w:rPr>
          <w:spacing w:val="-3"/>
          <w:sz w:val="21"/>
        </w:rPr>
        <w:t>表</w:t>
      </w:r>
      <w:r>
        <w:rPr>
          <w:sz w:val="21"/>
        </w:rPr>
        <w:t>：</w:t>
      </w:r>
      <w:r>
        <w:rPr>
          <w:sz w:val="21"/>
          <w:u w:val="single"/>
        </w:rPr>
        <w:t xml:space="preserve"> </w:t>
      </w:r>
      <w:r>
        <w:rPr>
          <w:sz w:val="21"/>
          <w:u w:val="single"/>
        </w:rPr>
        <w:tab/>
      </w:r>
      <w:r>
        <w:rPr>
          <w:sz w:val="21"/>
        </w:rPr>
        <w:tab/>
      </w:r>
      <w:r>
        <w:rPr>
          <w:sz w:val="21"/>
        </w:rPr>
        <w:t>记</w:t>
      </w:r>
      <w:r>
        <w:rPr>
          <w:spacing w:val="-3"/>
          <w:sz w:val="21"/>
        </w:rPr>
        <w:t>录人</w:t>
      </w:r>
      <w:r>
        <w:rPr>
          <w:sz w:val="21"/>
        </w:rPr>
        <w:t>：</w:t>
      </w:r>
      <w:r>
        <w:rPr>
          <w:rFonts w:ascii="Times New Roman" w:eastAsia="Times New Roman"/>
          <w:sz w:val="21"/>
          <w:u w:val="single"/>
        </w:rPr>
        <w:t xml:space="preserve"> </w:t>
      </w:r>
      <w:r>
        <w:rPr>
          <w:rFonts w:ascii="Times New Roman" w:eastAsia="Times New Roman"/>
          <w:sz w:val="21"/>
          <w:u w:val="single"/>
        </w:rPr>
        <w:tab/>
      </w:r>
    </w:p>
    <w:p w14:paraId="0F68E3E5">
      <w:pPr>
        <w:pStyle w:val="12"/>
        <w:spacing w:before="3"/>
        <w:rPr>
          <w:rFonts w:ascii="Times New Roman"/>
          <w:sz w:val="22"/>
        </w:rPr>
      </w:pPr>
    </w:p>
    <w:p w14:paraId="1047DD33">
      <w:pPr>
        <w:pStyle w:val="12"/>
        <w:tabs>
          <w:tab w:val="left" w:pos="959"/>
          <w:tab w:val="left" w:pos="1680"/>
          <w:tab w:val="left" w:pos="2400"/>
        </w:tabs>
        <w:spacing w:before="67"/>
        <w:ind w:right="324"/>
        <w:jc w:val="right"/>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14:paraId="4974648B">
      <w:pPr>
        <w:spacing w:after="0"/>
        <w:jc w:val="right"/>
      </w:pPr>
    </w:p>
    <w:p w14:paraId="6CBDFB2D">
      <w:pPr>
        <w:bidi w:val="0"/>
        <w:rPr>
          <w:rFonts w:ascii="宋体" w:hAnsi="宋体" w:eastAsia="宋体" w:cs="宋体"/>
          <w:sz w:val="22"/>
          <w:szCs w:val="22"/>
          <w:lang w:val="zh-CN" w:eastAsia="zh-CN" w:bidi="zh-CN"/>
        </w:rPr>
      </w:pPr>
    </w:p>
    <w:p w14:paraId="4CC161A8">
      <w:pPr>
        <w:bidi w:val="0"/>
        <w:rPr>
          <w:lang w:val="zh-CN" w:eastAsia="zh-CN"/>
        </w:rPr>
      </w:pPr>
    </w:p>
    <w:p w14:paraId="4999F2E3">
      <w:pPr>
        <w:bidi w:val="0"/>
        <w:rPr>
          <w:lang w:val="zh-CN" w:eastAsia="zh-CN"/>
        </w:rPr>
      </w:pPr>
    </w:p>
    <w:p w14:paraId="0F9E9094">
      <w:pPr>
        <w:bidi w:val="0"/>
        <w:rPr>
          <w:lang w:val="zh-CN" w:eastAsia="zh-CN"/>
        </w:rPr>
      </w:pPr>
    </w:p>
    <w:p w14:paraId="69AFD4DD">
      <w:pPr>
        <w:rPr>
          <w:rFonts w:hint="eastAsia" w:ascii="黑体" w:eastAsia="黑体"/>
        </w:rPr>
      </w:pPr>
      <w:bookmarkStart w:id="150" w:name="_bookmark88"/>
      <w:bookmarkEnd w:id="150"/>
      <w:r>
        <w:rPr>
          <w:rFonts w:hint="eastAsia" w:ascii="黑体" w:eastAsia="黑体"/>
        </w:rPr>
        <w:br w:type="page"/>
      </w:r>
    </w:p>
    <w:p w14:paraId="35C4A825">
      <w:pPr>
        <w:pStyle w:val="12"/>
        <w:spacing w:before="108"/>
        <w:ind w:left="424"/>
        <w:rPr>
          <w:rFonts w:hint="eastAsia" w:ascii="黑体" w:eastAsia="黑体"/>
        </w:rPr>
      </w:pPr>
      <w:r>
        <w:rPr>
          <w:rFonts w:hint="eastAsia" w:ascii="黑体" w:eastAsia="黑体"/>
        </w:rPr>
        <w:t xml:space="preserve">附件二 </w:t>
      </w:r>
    </w:p>
    <w:p w14:paraId="68D524A9">
      <w:pPr>
        <w:pStyle w:val="12"/>
        <w:spacing w:before="108"/>
        <w:ind w:left="424"/>
        <w:rPr>
          <w:rFonts w:hint="eastAsia" w:ascii="黑体" w:eastAsia="黑体"/>
        </w:rPr>
      </w:pPr>
      <w:r>
        <w:rPr>
          <w:rFonts w:hint="eastAsia" w:ascii="黑体" w:eastAsia="黑体"/>
        </w:rPr>
        <w:t>问题澄清通知</w:t>
      </w:r>
    </w:p>
    <w:p w14:paraId="63734E57">
      <w:pPr>
        <w:pStyle w:val="12"/>
        <w:rPr>
          <w:rFonts w:ascii="黑体"/>
          <w:sz w:val="20"/>
        </w:rPr>
      </w:pPr>
    </w:p>
    <w:p w14:paraId="176609E5">
      <w:pPr>
        <w:pStyle w:val="12"/>
        <w:spacing w:before="7"/>
        <w:rPr>
          <w:rFonts w:ascii="黑体"/>
          <w:sz w:val="15"/>
        </w:rPr>
      </w:pPr>
    </w:p>
    <w:p w14:paraId="119465B2">
      <w:pPr>
        <w:spacing w:before="61"/>
        <w:ind w:left="1098" w:right="1059" w:firstLine="0"/>
        <w:jc w:val="center"/>
        <w:rPr>
          <w:rFonts w:hint="eastAsia" w:ascii="黑体" w:eastAsia="黑体"/>
          <w:sz w:val="28"/>
        </w:rPr>
      </w:pPr>
      <w:r>
        <w:rPr>
          <w:rFonts w:hint="eastAsia" w:ascii="黑体" w:eastAsia="黑体"/>
          <w:sz w:val="28"/>
        </w:rPr>
        <w:t>问题澄清通知</w:t>
      </w:r>
    </w:p>
    <w:p w14:paraId="2FA8C73F">
      <w:pPr>
        <w:tabs>
          <w:tab w:val="left" w:pos="2975"/>
        </w:tabs>
        <w:spacing w:before="151" w:line="360" w:lineRule="auto"/>
        <w:ind w:left="37" w:right="0" w:firstLine="0"/>
        <w:jc w:val="center"/>
        <w:rPr>
          <w:sz w:val="21"/>
          <w:szCs w:val="21"/>
        </w:rPr>
      </w:pPr>
      <w:r>
        <w:rPr>
          <w:sz w:val="21"/>
          <w:szCs w:val="21"/>
        </w:rPr>
        <w:t>（编</w:t>
      </w:r>
      <w:r>
        <w:rPr>
          <w:spacing w:val="-3"/>
          <w:sz w:val="21"/>
          <w:szCs w:val="21"/>
        </w:rPr>
        <w:t>号</w:t>
      </w:r>
      <w:r>
        <w:rPr>
          <w:sz w:val="21"/>
          <w:szCs w:val="21"/>
        </w:rPr>
        <w:t>：</w:t>
      </w:r>
      <w:r>
        <w:rPr>
          <w:sz w:val="21"/>
          <w:szCs w:val="21"/>
          <w:u w:val="single"/>
        </w:rPr>
        <w:t xml:space="preserve"> </w:t>
      </w:r>
      <w:r>
        <w:rPr>
          <w:sz w:val="21"/>
          <w:szCs w:val="21"/>
          <w:u w:val="single"/>
        </w:rPr>
        <w:tab/>
      </w:r>
      <w:r>
        <w:rPr>
          <w:sz w:val="21"/>
          <w:szCs w:val="21"/>
        </w:rPr>
        <w:t>）</w:t>
      </w:r>
    </w:p>
    <w:p w14:paraId="0CCD67A8">
      <w:pPr>
        <w:pStyle w:val="12"/>
        <w:spacing w:line="360" w:lineRule="auto"/>
        <w:rPr>
          <w:sz w:val="21"/>
          <w:szCs w:val="21"/>
        </w:rPr>
      </w:pPr>
    </w:p>
    <w:p w14:paraId="04F8C386">
      <w:pPr>
        <w:pStyle w:val="12"/>
        <w:spacing w:before="8" w:line="360" w:lineRule="auto"/>
        <w:rPr>
          <w:sz w:val="21"/>
          <w:szCs w:val="21"/>
        </w:rPr>
      </w:pPr>
    </w:p>
    <w:p w14:paraId="2E6761CD">
      <w:pPr>
        <w:pStyle w:val="12"/>
        <w:tabs>
          <w:tab w:val="left" w:pos="2224"/>
        </w:tabs>
        <w:spacing w:before="74" w:line="360" w:lineRule="auto"/>
        <w:ind w:left="424"/>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（投标人名称</w:t>
      </w:r>
      <w:r>
        <w:rPr>
          <w:spacing w:val="-120"/>
          <w:sz w:val="21"/>
          <w:szCs w:val="21"/>
        </w:rPr>
        <w:t>）</w:t>
      </w:r>
      <w:r>
        <w:rPr>
          <w:sz w:val="21"/>
          <w:szCs w:val="21"/>
        </w:rPr>
        <w:t>：</w:t>
      </w:r>
    </w:p>
    <w:p w14:paraId="113E9098">
      <w:pPr>
        <w:pStyle w:val="12"/>
        <w:spacing w:line="360" w:lineRule="auto"/>
        <w:rPr>
          <w:sz w:val="21"/>
          <w:szCs w:val="21"/>
        </w:rPr>
      </w:pPr>
    </w:p>
    <w:p w14:paraId="532398CC">
      <w:pPr>
        <w:pStyle w:val="12"/>
        <w:spacing w:before="7" w:line="360" w:lineRule="auto"/>
        <w:rPr>
          <w:sz w:val="21"/>
          <w:szCs w:val="21"/>
        </w:rPr>
      </w:pPr>
    </w:p>
    <w:p w14:paraId="5A3F7CFE">
      <w:pPr>
        <w:pStyle w:val="12"/>
        <w:tabs>
          <w:tab w:val="left" w:pos="1146"/>
          <w:tab w:val="left" w:pos="2956"/>
          <w:tab w:val="left" w:pos="5486"/>
        </w:tabs>
        <w:spacing w:line="360" w:lineRule="auto"/>
        <w:ind w:left="424" w:right="262"/>
        <w:rPr>
          <w:sz w:val="21"/>
          <w:szCs w:val="21"/>
        </w:rPr>
      </w:pPr>
      <w:r>
        <w:rPr>
          <w:sz w:val="21"/>
          <w:szCs w:val="21"/>
        </w:rPr>
        <w:t xml:space="preserve">   </w:t>
      </w:r>
      <w:r>
        <w:rPr>
          <w:sz w:val="21"/>
          <w:szCs w:val="21"/>
        </w:rPr>
        <w:tab/>
      </w:r>
      <w:r>
        <w:rPr>
          <w:sz w:val="21"/>
          <w:szCs w:val="21"/>
          <w:u w:val="single"/>
        </w:rPr>
        <w:t xml:space="preserve"> </w:t>
      </w:r>
      <w:r>
        <w:rPr>
          <w:sz w:val="21"/>
          <w:szCs w:val="21"/>
          <w:u w:val="single"/>
        </w:rPr>
        <w:tab/>
      </w:r>
      <w:r>
        <w:rPr>
          <w:sz w:val="21"/>
          <w:szCs w:val="21"/>
        </w:rPr>
        <w:t xml:space="preserve"> （项目名称）</w:t>
      </w:r>
      <w:r>
        <w:rPr>
          <w:sz w:val="21"/>
          <w:szCs w:val="21"/>
          <w:u w:val="single"/>
        </w:rPr>
        <w:t xml:space="preserve"> </w:t>
      </w:r>
      <w:r>
        <w:rPr>
          <w:sz w:val="21"/>
          <w:szCs w:val="21"/>
          <w:u w:val="single"/>
        </w:rPr>
        <w:tab/>
      </w:r>
      <w:r>
        <w:rPr>
          <w:sz w:val="21"/>
          <w:szCs w:val="21"/>
        </w:rPr>
        <w:t>标段施工招标的评标委员会，对你方的投标文件进行了仔细的审查</w:t>
      </w:r>
      <w:r>
        <w:rPr>
          <w:spacing w:val="-84"/>
          <w:sz w:val="21"/>
          <w:szCs w:val="21"/>
        </w:rPr>
        <w:t>，</w:t>
      </w:r>
      <w:r>
        <w:rPr>
          <w:sz w:val="21"/>
          <w:szCs w:val="21"/>
        </w:rPr>
        <w:t>现需你方对下列问题以书面形式予以澄清或说明</w:t>
      </w:r>
      <w:r>
        <w:rPr>
          <w:spacing w:val="-16"/>
          <w:sz w:val="21"/>
          <w:szCs w:val="21"/>
        </w:rPr>
        <w:t>：</w:t>
      </w:r>
    </w:p>
    <w:p w14:paraId="2D3DE6AD">
      <w:pPr>
        <w:pStyle w:val="12"/>
        <w:spacing w:line="360" w:lineRule="auto"/>
        <w:ind w:left="424"/>
        <w:rPr>
          <w:sz w:val="21"/>
          <w:szCs w:val="21"/>
        </w:rPr>
      </w:pPr>
      <w:r>
        <w:rPr>
          <w:sz w:val="21"/>
          <w:szCs w:val="21"/>
        </w:rPr>
        <w:t xml:space="preserve">   </w:t>
      </w:r>
    </w:p>
    <w:p w14:paraId="72498543">
      <w:pPr>
        <w:pStyle w:val="12"/>
        <w:spacing w:before="148" w:line="360" w:lineRule="auto"/>
        <w:ind w:left="904"/>
        <w:rPr>
          <w:rFonts w:ascii="Times New Roman"/>
          <w:sz w:val="21"/>
          <w:szCs w:val="21"/>
        </w:rPr>
      </w:pPr>
      <w:r>
        <w:rPr>
          <w:rFonts w:ascii="Times New Roman"/>
          <w:sz w:val="21"/>
          <w:szCs w:val="21"/>
        </w:rPr>
        <w:t>1.</w:t>
      </w:r>
    </w:p>
    <w:p w14:paraId="14A3B4CF">
      <w:pPr>
        <w:pStyle w:val="12"/>
        <w:spacing w:before="166" w:line="360" w:lineRule="auto"/>
        <w:ind w:left="904"/>
        <w:rPr>
          <w:rFonts w:ascii="Times New Roman"/>
          <w:sz w:val="21"/>
          <w:szCs w:val="21"/>
        </w:rPr>
      </w:pPr>
      <w:r>
        <w:rPr>
          <w:rFonts w:ascii="Times New Roman"/>
          <w:sz w:val="21"/>
          <w:szCs w:val="21"/>
        </w:rPr>
        <w:t>2.</w:t>
      </w:r>
    </w:p>
    <w:p w14:paraId="1616DC51">
      <w:pPr>
        <w:pStyle w:val="12"/>
        <w:spacing w:before="163" w:line="360" w:lineRule="auto"/>
        <w:ind w:left="1024"/>
        <w:rPr>
          <w:rFonts w:ascii="Times New Roman"/>
          <w:sz w:val="21"/>
          <w:szCs w:val="21"/>
        </w:rPr>
      </w:pPr>
      <w:r>
        <w:rPr>
          <w:rFonts w:ascii="Times New Roman"/>
          <w:sz w:val="21"/>
          <w:szCs w:val="21"/>
        </w:rPr>
        <w:t>......</w:t>
      </w:r>
    </w:p>
    <w:p w14:paraId="7CC1038E">
      <w:pPr>
        <w:pStyle w:val="12"/>
        <w:spacing w:before="147" w:line="360" w:lineRule="auto"/>
        <w:ind w:left="424"/>
        <w:jc w:val="both"/>
        <w:rPr>
          <w:sz w:val="21"/>
          <w:szCs w:val="21"/>
        </w:rPr>
      </w:pPr>
      <w:r>
        <w:rPr>
          <w:sz w:val="21"/>
          <w:szCs w:val="21"/>
        </w:rPr>
        <w:t xml:space="preserve">     </w:t>
      </w:r>
    </w:p>
    <w:p w14:paraId="20D1FEB4">
      <w:pPr>
        <w:pStyle w:val="12"/>
        <w:tabs>
          <w:tab w:val="left" w:pos="3127"/>
          <w:tab w:val="left" w:pos="8621"/>
        </w:tabs>
        <w:spacing w:before="135" w:line="360" w:lineRule="auto"/>
        <w:ind w:left="424" w:right="382"/>
        <w:jc w:val="both"/>
        <w:rPr>
          <w:sz w:val="21"/>
          <w:szCs w:val="21"/>
        </w:rPr>
      </w:pPr>
      <w:r>
        <w:rPr>
          <w:sz w:val="21"/>
          <w:szCs w:val="21"/>
        </w:rPr>
        <w:t xml:space="preserve">   </w:t>
      </w:r>
      <w:r>
        <w:rPr>
          <w:spacing w:val="-1"/>
          <w:sz w:val="21"/>
          <w:szCs w:val="21"/>
        </w:rPr>
        <w:t xml:space="preserve"> </w:t>
      </w:r>
      <w:r>
        <w:rPr>
          <w:sz w:val="21"/>
          <w:szCs w:val="21"/>
        </w:rPr>
        <w:t>请将上述问题的澄清或说明于</w:t>
      </w:r>
      <w:r>
        <w:rPr>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分前递交至</w:t>
      </w:r>
      <w:r>
        <w:rPr>
          <w:sz w:val="21"/>
          <w:szCs w:val="21"/>
          <w:u w:val="single"/>
        </w:rPr>
        <w:t xml:space="preserve">   </w:t>
      </w:r>
      <w:r>
        <w:rPr>
          <w:spacing w:val="36"/>
          <w:sz w:val="21"/>
          <w:szCs w:val="21"/>
          <w:u w:val="single"/>
        </w:rPr>
        <w:t xml:space="preserve"> </w:t>
      </w:r>
      <w:r>
        <w:rPr>
          <w:sz w:val="21"/>
          <w:szCs w:val="21"/>
          <w:u w:val="single"/>
        </w:rPr>
        <w:t>（</w:t>
      </w:r>
      <w:r>
        <w:rPr>
          <w:spacing w:val="-15"/>
          <w:sz w:val="21"/>
          <w:szCs w:val="21"/>
        </w:rPr>
        <w:t>详</w:t>
      </w:r>
      <w:r>
        <w:rPr>
          <w:sz w:val="21"/>
          <w:szCs w:val="21"/>
        </w:rPr>
        <w:t>细地址</w:t>
      </w:r>
      <w:r>
        <w:rPr>
          <w:spacing w:val="-29"/>
          <w:sz w:val="21"/>
          <w:szCs w:val="21"/>
        </w:rPr>
        <w:t>）</w:t>
      </w:r>
      <w:r>
        <w:rPr>
          <w:sz w:val="21"/>
          <w:szCs w:val="21"/>
        </w:rPr>
        <w:t>或传真至</w:t>
      </w:r>
      <w:r>
        <w:rPr>
          <w:sz w:val="21"/>
          <w:szCs w:val="21"/>
          <w:u w:val="single"/>
        </w:rPr>
        <w:t xml:space="preserve"> </w:t>
      </w:r>
      <w:r>
        <w:rPr>
          <w:sz w:val="21"/>
          <w:szCs w:val="21"/>
          <w:u w:val="single"/>
        </w:rPr>
        <w:tab/>
      </w:r>
      <w:r>
        <w:rPr>
          <w:sz w:val="21"/>
          <w:szCs w:val="21"/>
        </w:rPr>
        <w:t>（传真号码</w:t>
      </w:r>
      <w:r>
        <w:rPr>
          <w:spacing w:val="-29"/>
          <w:sz w:val="21"/>
          <w:szCs w:val="21"/>
        </w:rPr>
        <w:t>）</w:t>
      </w:r>
      <w:r>
        <w:rPr>
          <w:sz w:val="21"/>
          <w:szCs w:val="21"/>
        </w:rPr>
        <w:t>或通过下载招标文件的电子招标交易平台</w:t>
      </w:r>
      <w:r>
        <w:rPr>
          <w:spacing w:val="-14"/>
          <w:sz w:val="21"/>
          <w:szCs w:val="21"/>
        </w:rPr>
        <w:t>上</w:t>
      </w:r>
      <w:r>
        <w:rPr>
          <w:sz w:val="21"/>
          <w:szCs w:val="21"/>
        </w:rPr>
        <w:t>传</w:t>
      </w:r>
      <w:r>
        <w:rPr>
          <w:spacing w:val="-108"/>
          <w:sz w:val="21"/>
          <w:szCs w:val="21"/>
        </w:rPr>
        <w:t>。</w:t>
      </w:r>
      <w:r>
        <w:rPr>
          <w:sz w:val="21"/>
          <w:szCs w:val="21"/>
        </w:rPr>
        <w:t>采用传真方式的</w:t>
      </w:r>
      <w:r>
        <w:rPr>
          <w:spacing w:val="-108"/>
          <w:sz w:val="21"/>
          <w:szCs w:val="21"/>
        </w:rPr>
        <w:t>，</w:t>
      </w:r>
      <w:r>
        <w:rPr>
          <w:sz w:val="21"/>
          <w:szCs w:val="21"/>
        </w:rPr>
        <w:t>应在</w:t>
      </w:r>
      <w:r>
        <w:rPr>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r>
        <w:rPr>
          <w:sz w:val="21"/>
          <w:szCs w:val="21"/>
          <w:u w:val="single"/>
        </w:rPr>
        <w:t xml:space="preserve">   </w:t>
      </w:r>
      <w:r>
        <w:rPr>
          <w:sz w:val="21"/>
          <w:szCs w:val="21"/>
        </w:rPr>
        <w:t>时</w:t>
      </w:r>
      <w:r>
        <w:rPr>
          <w:sz w:val="21"/>
          <w:szCs w:val="21"/>
          <w:u w:val="single"/>
        </w:rPr>
        <w:t xml:space="preserve">   </w:t>
      </w:r>
      <w:r>
        <w:rPr>
          <w:sz w:val="21"/>
          <w:szCs w:val="21"/>
        </w:rPr>
        <w:t>分前将原件递交至</w:t>
      </w:r>
      <w:r>
        <w:rPr>
          <w:sz w:val="21"/>
          <w:szCs w:val="21"/>
          <w:u w:val="single"/>
        </w:rPr>
        <w:t xml:space="preserve"> </w:t>
      </w:r>
      <w:r>
        <w:rPr>
          <w:sz w:val="21"/>
          <w:szCs w:val="21"/>
          <w:u w:val="single"/>
        </w:rPr>
        <w:tab/>
      </w:r>
      <w:r>
        <w:rPr>
          <w:sz w:val="21"/>
          <w:szCs w:val="21"/>
          <w:u w:val="single"/>
        </w:rPr>
        <w:t>（</w:t>
      </w:r>
      <w:r>
        <w:rPr>
          <w:spacing w:val="-17"/>
          <w:sz w:val="21"/>
          <w:szCs w:val="21"/>
        </w:rPr>
        <w:t>详</w:t>
      </w:r>
      <w:r>
        <w:rPr>
          <w:sz w:val="21"/>
          <w:szCs w:val="21"/>
        </w:rPr>
        <w:t>细地址</w:t>
      </w:r>
      <w:r>
        <w:rPr>
          <w:spacing w:val="-120"/>
          <w:sz w:val="21"/>
          <w:szCs w:val="21"/>
        </w:rPr>
        <w:t>）</w:t>
      </w:r>
      <w:r>
        <w:rPr>
          <w:sz w:val="21"/>
          <w:szCs w:val="21"/>
        </w:rPr>
        <w:t>。</w:t>
      </w:r>
    </w:p>
    <w:p w14:paraId="13E3A221">
      <w:pPr>
        <w:pStyle w:val="12"/>
        <w:spacing w:line="360" w:lineRule="auto"/>
        <w:rPr>
          <w:sz w:val="21"/>
          <w:szCs w:val="21"/>
        </w:rPr>
      </w:pPr>
    </w:p>
    <w:p w14:paraId="4CF84C13">
      <w:pPr>
        <w:pStyle w:val="12"/>
        <w:spacing w:line="360" w:lineRule="auto"/>
        <w:rPr>
          <w:sz w:val="21"/>
          <w:szCs w:val="21"/>
        </w:rPr>
      </w:pPr>
    </w:p>
    <w:p w14:paraId="0F272EEC">
      <w:pPr>
        <w:pStyle w:val="12"/>
        <w:spacing w:before="9" w:line="360" w:lineRule="auto"/>
        <w:rPr>
          <w:sz w:val="21"/>
          <w:szCs w:val="21"/>
        </w:rPr>
      </w:pPr>
    </w:p>
    <w:p w14:paraId="57DE9241">
      <w:pPr>
        <w:pStyle w:val="12"/>
        <w:tabs>
          <w:tab w:val="left" w:pos="6941"/>
        </w:tabs>
        <w:spacing w:line="360" w:lineRule="auto"/>
        <w:ind w:left="1420"/>
        <w:rPr>
          <w:sz w:val="21"/>
          <w:szCs w:val="21"/>
        </w:rPr>
      </w:pPr>
      <w:r>
        <w:rPr>
          <w:sz w:val="21"/>
          <w:szCs w:val="21"/>
        </w:rPr>
        <w:t>评标委员会授权的招标人或招标代理机构：</w:t>
      </w:r>
      <w:r>
        <w:rPr>
          <w:sz w:val="21"/>
          <w:szCs w:val="21"/>
          <w:u w:val="single"/>
        </w:rPr>
        <w:t xml:space="preserve"> </w:t>
      </w:r>
      <w:r>
        <w:rPr>
          <w:sz w:val="21"/>
          <w:szCs w:val="21"/>
          <w:u w:val="single"/>
        </w:rPr>
        <w:tab/>
      </w:r>
      <w:r>
        <w:rPr>
          <w:sz w:val="21"/>
          <w:szCs w:val="21"/>
        </w:rPr>
        <w:t>（签字或盖单位章）</w:t>
      </w:r>
    </w:p>
    <w:p w14:paraId="40644C79">
      <w:pPr>
        <w:pStyle w:val="12"/>
        <w:spacing w:line="360" w:lineRule="auto"/>
        <w:rPr>
          <w:sz w:val="21"/>
          <w:szCs w:val="21"/>
        </w:rPr>
      </w:pPr>
    </w:p>
    <w:p w14:paraId="57AF012C">
      <w:pPr>
        <w:pStyle w:val="12"/>
        <w:spacing w:before="6" w:line="360" w:lineRule="auto"/>
        <w:rPr>
          <w:sz w:val="21"/>
          <w:szCs w:val="21"/>
        </w:rPr>
      </w:pPr>
    </w:p>
    <w:p w14:paraId="204579C2">
      <w:pPr>
        <w:pStyle w:val="12"/>
        <w:tabs>
          <w:tab w:val="left" w:pos="6382"/>
          <w:tab w:val="left" w:pos="7102"/>
          <w:tab w:val="left" w:pos="7822"/>
        </w:tabs>
        <w:spacing w:before="66" w:line="360" w:lineRule="auto"/>
        <w:ind w:left="5422"/>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4C3DED5A">
      <w:pPr>
        <w:spacing w:after="0" w:line="360" w:lineRule="auto"/>
        <w:rPr>
          <w:sz w:val="21"/>
          <w:szCs w:val="21"/>
        </w:rPr>
        <w:sectPr>
          <w:headerReference r:id="rId22" w:type="default"/>
          <w:footerReference r:id="rId24" w:type="default"/>
          <w:headerReference r:id="rId23" w:type="even"/>
          <w:footerReference r:id="rId25" w:type="even"/>
          <w:pgSz w:w="11910" w:h="16850"/>
          <w:pgMar w:top="1480" w:right="1200" w:bottom="1040" w:left="1220" w:header="876" w:footer="853" w:gutter="0"/>
          <w:pgNumType w:fmt="decimal"/>
          <w:cols w:space="720" w:num="1"/>
        </w:sectPr>
      </w:pPr>
    </w:p>
    <w:p w14:paraId="67B3483D">
      <w:pPr>
        <w:pStyle w:val="12"/>
        <w:spacing w:before="108"/>
        <w:ind w:left="424"/>
        <w:rPr>
          <w:rFonts w:hint="eastAsia" w:ascii="黑体" w:eastAsia="黑体"/>
        </w:rPr>
      </w:pPr>
      <w:bookmarkStart w:id="151" w:name="_bookmark89"/>
      <w:bookmarkEnd w:id="151"/>
      <w:r>
        <w:rPr>
          <w:rFonts w:hint="eastAsia" w:ascii="黑体" w:eastAsia="黑体"/>
        </w:rPr>
        <w:t>附件三 问题的澄清</w:t>
      </w:r>
    </w:p>
    <w:p w14:paraId="1319E819">
      <w:pPr>
        <w:spacing w:before="61"/>
        <w:ind w:left="1098" w:right="1052" w:firstLine="0"/>
        <w:jc w:val="center"/>
        <w:rPr>
          <w:rFonts w:hint="eastAsia" w:ascii="黑体" w:eastAsia="黑体"/>
          <w:sz w:val="28"/>
        </w:rPr>
      </w:pPr>
      <w:r>
        <w:rPr>
          <w:rFonts w:hint="eastAsia" w:ascii="黑体" w:eastAsia="黑体"/>
          <w:sz w:val="28"/>
        </w:rPr>
        <w:t>问题的澄清</w:t>
      </w:r>
    </w:p>
    <w:p w14:paraId="3C3E228E">
      <w:pPr>
        <w:keepNext w:val="0"/>
        <w:keepLines w:val="0"/>
        <w:pageBreakBefore w:val="0"/>
        <w:widowControl w:val="0"/>
        <w:tabs>
          <w:tab w:val="left" w:pos="2381"/>
        </w:tabs>
        <w:kinsoku/>
        <w:wordWrap/>
        <w:overflowPunct/>
        <w:topLinePunct w:val="0"/>
        <w:autoSpaceDE w:val="0"/>
        <w:autoSpaceDN w:val="0"/>
        <w:bidi w:val="0"/>
        <w:adjustRightInd/>
        <w:snapToGrid/>
        <w:spacing w:before="0" w:line="360" w:lineRule="auto"/>
        <w:ind w:left="0" w:right="0" w:firstLine="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（编</w:t>
      </w:r>
      <w:r>
        <w:rPr>
          <w:rFonts w:hint="eastAsia" w:ascii="宋体" w:hAnsi="宋体" w:eastAsia="宋体" w:cs="宋体"/>
          <w:b w:val="0"/>
          <w:bCs w:val="0"/>
          <w:spacing w:val="-3"/>
          <w:sz w:val="21"/>
          <w:szCs w:val="21"/>
        </w:rPr>
        <w:t>号</w:t>
      </w:r>
      <w:r>
        <w:rPr>
          <w:rFonts w:hint="eastAsia" w:ascii="宋体" w:hAnsi="宋体" w:eastAsia="宋体" w:cs="宋体"/>
          <w:b w:val="0"/>
          <w:bCs w:val="0"/>
          <w:sz w:val="21"/>
          <w:szCs w:val="21"/>
        </w:rPr>
        <w:t>：</w:t>
      </w:r>
      <w:r>
        <w:rPr>
          <w:rFonts w:hint="eastAsia" w:ascii="宋体" w:hAnsi="宋体" w:eastAsia="宋体" w:cs="宋体"/>
          <w:b w:val="0"/>
          <w:bCs w:val="0"/>
          <w:sz w:val="21"/>
          <w:szCs w:val="21"/>
          <w:u w:val="single"/>
        </w:rPr>
        <w:t xml:space="preserve"> </w:t>
      </w:r>
      <w:r>
        <w:rPr>
          <w:rFonts w:hint="eastAsia" w:ascii="宋体" w:hAnsi="宋体" w:eastAsia="宋体" w:cs="宋体"/>
          <w:b w:val="0"/>
          <w:bCs w:val="0"/>
          <w:sz w:val="21"/>
          <w:szCs w:val="21"/>
          <w:u w:val="single"/>
        </w:rPr>
        <w:tab/>
      </w:r>
      <w:r>
        <w:rPr>
          <w:rFonts w:hint="eastAsia" w:ascii="宋体" w:hAnsi="宋体" w:eastAsia="宋体" w:cs="宋体"/>
          <w:b w:val="0"/>
          <w:bCs w:val="0"/>
          <w:sz w:val="21"/>
          <w:szCs w:val="21"/>
        </w:rPr>
        <w:t>）</w:t>
      </w:r>
    </w:p>
    <w:p w14:paraId="040671BE">
      <w:pPr>
        <w:pStyle w:val="12"/>
        <w:keepNext w:val="0"/>
        <w:keepLines w:val="0"/>
        <w:pageBreakBefore w:val="0"/>
        <w:widowControl w:val="0"/>
        <w:tabs>
          <w:tab w:val="left" w:pos="2584"/>
          <w:tab w:val="left" w:pos="5104"/>
        </w:tabs>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标段施工招标评标委员会：</w:t>
      </w:r>
    </w:p>
    <w:p w14:paraId="6CCF80D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p>
    <w:p w14:paraId="128C897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p>
    <w:p w14:paraId="1FC09C0F">
      <w:pPr>
        <w:pStyle w:val="12"/>
        <w:keepNext w:val="0"/>
        <w:keepLines w:val="0"/>
        <w:pageBreakBefore w:val="0"/>
        <w:widowControl w:val="0"/>
        <w:tabs>
          <w:tab w:val="left" w:pos="4264"/>
        </w:tabs>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问题澄清通知（编号：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）已收悉，现澄清、说明如下：</w:t>
      </w:r>
    </w:p>
    <w:p w14:paraId="41069273">
      <w:pPr>
        <w:pStyle w:val="12"/>
        <w:keepNext w:val="0"/>
        <w:keepLines w:val="0"/>
        <w:pageBreakBefore w:val="0"/>
        <w:widowControl w:val="0"/>
        <w:tabs>
          <w:tab w:val="left" w:pos="1264"/>
        </w:tabs>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ab/>
      </w:r>
      <w:r>
        <w:rPr>
          <w:rFonts w:hint="eastAsia" w:ascii="宋体" w:hAnsi="宋体" w:eastAsia="宋体" w:cs="宋体"/>
          <w:sz w:val="21"/>
          <w:szCs w:val="21"/>
        </w:rPr>
        <w:t>1.</w:t>
      </w:r>
    </w:p>
    <w:p w14:paraId="22CF144F">
      <w:pPr>
        <w:pStyle w:val="12"/>
        <w:keepNext w:val="0"/>
        <w:keepLines w:val="0"/>
        <w:pageBreakBefore w:val="0"/>
        <w:widowControl w:val="0"/>
        <w:tabs>
          <w:tab w:val="left" w:pos="1264"/>
        </w:tabs>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ab/>
      </w:r>
      <w:r>
        <w:rPr>
          <w:rFonts w:hint="eastAsia" w:ascii="宋体" w:hAnsi="宋体" w:eastAsia="宋体" w:cs="宋体"/>
          <w:sz w:val="21"/>
          <w:szCs w:val="21"/>
        </w:rPr>
        <w:t>2.</w:t>
      </w:r>
    </w:p>
    <w:p w14:paraId="2615351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w:t>
      </w:r>
    </w:p>
    <w:p w14:paraId="53C1C64D">
      <w:pPr>
        <w:pStyle w:val="12"/>
        <w:keepNext w:val="0"/>
        <w:keepLines w:val="0"/>
        <w:pageBreakBefore w:val="0"/>
        <w:widowControl w:val="0"/>
        <w:tabs>
          <w:tab w:val="left" w:pos="1144"/>
        </w:tabs>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tab/>
      </w:r>
      <w:r>
        <w:rPr>
          <w:rFonts w:hint="eastAsia" w:ascii="宋体" w:hAnsi="宋体" w:eastAsia="宋体" w:cs="宋体"/>
          <w:sz w:val="21"/>
          <w:szCs w:val="21"/>
        </w:rPr>
        <w:t>.....</w:t>
      </w:r>
    </w:p>
    <w:p w14:paraId="306F8D0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p>
    <w:p w14:paraId="59233AD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p>
    <w:p w14:paraId="6071122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p>
    <w:p w14:paraId="09F45C7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上述问题澄清或说明，不改变我方投标文件的实质性内容，构成我方投标文件的组成部分。</w:t>
      </w:r>
    </w:p>
    <w:p w14:paraId="34733EE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p>
    <w:p w14:paraId="41A2412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p>
    <w:p w14:paraId="56F691F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p>
    <w:p w14:paraId="06AC74EA">
      <w:pPr>
        <w:pStyle w:val="12"/>
        <w:keepNext w:val="0"/>
        <w:keepLines w:val="0"/>
        <w:pageBreakBefore w:val="0"/>
        <w:widowControl w:val="0"/>
        <w:tabs>
          <w:tab w:val="left" w:pos="7450"/>
          <w:tab w:val="left" w:pos="8259"/>
        </w:tabs>
        <w:kinsoku/>
        <w:wordWrap/>
        <w:overflowPunct/>
        <w:topLinePunct w:val="0"/>
        <w:autoSpaceDE w:val="0"/>
        <w:autoSpaceDN w:val="0"/>
        <w:bidi w:val="0"/>
        <w:adjustRightInd/>
        <w:snapToGrid/>
        <w:spacing w:before="0" w:line="360" w:lineRule="auto"/>
        <w:ind w:left="0" w:right="0" w:firstLine="420" w:firstLineChars="200"/>
        <w:jc w:val="center"/>
        <w:textAlignment w:val="auto"/>
        <w:rPr>
          <w:rFonts w:hint="eastAsia" w:ascii="宋体" w:hAnsi="宋体" w:eastAsia="宋体" w:cs="宋体"/>
          <w:spacing w:val="-14"/>
          <w:sz w:val="21"/>
          <w:szCs w:val="21"/>
        </w:rPr>
      </w:pPr>
      <w:r>
        <w:rPr>
          <w:rFonts w:hint="eastAsia" w:ascii="宋体" w:hAnsi="宋体" w:eastAsia="宋体" w:cs="宋体"/>
          <w:sz w:val="21"/>
          <w:szCs w:val="21"/>
        </w:rPr>
        <w:t>投标人</w:t>
      </w:r>
      <w:r>
        <w:rPr>
          <w:rFonts w:hint="eastAsia" w:ascii="宋体" w:hAnsi="宋体" w:eastAsia="宋体" w:cs="宋体"/>
          <w:spacing w:val="-29"/>
          <w:sz w:val="21"/>
          <w:szCs w:val="21"/>
        </w:rPr>
        <w:t>：</w:t>
      </w:r>
      <w:r>
        <w:rPr>
          <w:rFonts w:hint="eastAsia" w:ascii="宋体" w:hAnsi="宋体" w:eastAsia="宋体" w:cs="宋体"/>
          <w:spacing w:val="-29"/>
          <w:sz w:val="21"/>
          <w:szCs w:val="21"/>
          <w:u w:val="single"/>
        </w:rPr>
        <w:t xml:space="preserve"> </w:t>
      </w:r>
      <w:r>
        <w:rPr>
          <w:rFonts w:hint="eastAsia" w:ascii="宋体" w:hAnsi="宋体" w:eastAsia="宋体" w:cs="宋体"/>
          <w:spacing w:val="-29"/>
          <w:sz w:val="21"/>
          <w:szCs w:val="21"/>
          <w:u w:val="single"/>
        </w:rPr>
        <w:tab/>
      </w:r>
      <w:r>
        <w:rPr>
          <w:rFonts w:hint="eastAsia" w:ascii="宋体" w:hAnsi="宋体" w:eastAsia="宋体" w:cs="宋体"/>
          <w:sz w:val="21"/>
          <w:szCs w:val="21"/>
        </w:rPr>
        <w:t>（盖单位章</w:t>
      </w:r>
      <w:r>
        <w:rPr>
          <w:rFonts w:hint="eastAsia" w:ascii="宋体" w:hAnsi="宋体" w:eastAsia="宋体" w:cs="宋体"/>
          <w:spacing w:val="-14"/>
          <w:sz w:val="21"/>
          <w:szCs w:val="21"/>
        </w:rPr>
        <w:t>）</w:t>
      </w:r>
    </w:p>
    <w:p w14:paraId="13900FE8">
      <w:pPr>
        <w:pStyle w:val="12"/>
        <w:keepNext w:val="0"/>
        <w:keepLines w:val="0"/>
        <w:pageBreakBefore w:val="0"/>
        <w:widowControl w:val="0"/>
        <w:tabs>
          <w:tab w:val="left" w:pos="7450"/>
          <w:tab w:val="left" w:pos="8259"/>
        </w:tabs>
        <w:kinsoku/>
        <w:wordWrap/>
        <w:overflowPunct/>
        <w:topLinePunct w:val="0"/>
        <w:autoSpaceDE w:val="0"/>
        <w:autoSpaceDN w:val="0"/>
        <w:bidi w:val="0"/>
        <w:adjustRightInd/>
        <w:snapToGrid/>
        <w:spacing w:before="0" w:line="360" w:lineRule="auto"/>
        <w:ind w:left="0" w:right="0" w:firstLine="364" w:firstLineChars="200"/>
        <w:jc w:val="center"/>
        <w:textAlignment w:val="auto"/>
        <w:rPr>
          <w:rFonts w:hint="eastAsia" w:ascii="宋体" w:hAnsi="宋体" w:eastAsia="宋体" w:cs="宋体"/>
          <w:sz w:val="21"/>
          <w:szCs w:val="21"/>
        </w:rPr>
      </w:pPr>
      <w:r>
        <w:rPr>
          <w:rFonts w:hint="eastAsia" w:ascii="宋体" w:hAnsi="宋体" w:eastAsia="宋体" w:cs="宋体"/>
          <w:spacing w:val="-14"/>
          <w:sz w:val="21"/>
          <w:szCs w:val="21"/>
        </w:rPr>
        <w:t xml:space="preserve"> </w:t>
      </w: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w:t>
      </w:r>
      <w:r>
        <w:rPr>
          <w:rFonts w:hint="eastAsia" w:ascii="宋体" w:hAnsi="宋体" w:eastAsia="宋体" w:cs="宋体"/>
          <w:sz w:val="21"/>
          <w:szCs w:val="21"/>
        </w:rPr>
        <w:t>签字</w:t>
      </w:r>
      <w:r>
        <w:rPr>
          <w:rFonts w:hint="eastAsia" w:ascii="宋体" w:hAnsi="宋体" w:eastAsia="宋体" w:cs="宋体"/>
          <w:spacing w:val="-17"/>
          <w:sz w:val="21"/>
          <w:szCs w:val="21"/>
        </w:rPr>
        <w:t>）</w:t>
      </w:r>
    </w:p>
    <w:p w14:paraId="3F7F4E7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p>
    <w:p w14:paraId="6A98D54B">
      <w:pPr>
        <w:pStyle w:val="12"/>
        <w:keepNext w:val="0"/>
        <w:keepLines w:val="0"/>
        <w:pageBreakBefore w:val="0"/>
        <w:widowControl w:val="0"/>
        <w:tabs>
          <w:tab w:val="left" w:pos="4804"/>
          <w:tab w:val="left" w:pos="5524"/>
          <w:tab w:val="left" w:pos="6245"/>
        </w:tabs>
        <w:kinsoku/>
        <w:wordWrap/>
        <w:overflowPunct/>
        <w:topLinePunct w:val="0"/>
        <w:autoSpaceDE w:val="0"/>
        <w:autoSpaceDN w:val="0"/>
        <w:bidi w:val="0"/>
        <w:adjustRightInd/>
        <w:snapToGrid/>
        <w:spacing w:before="0" w:line="360" w:lineRule="auto"/>
        <w:ind w:left="0" w:right="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日</w:t>
      </w:r>
    </w:p>
    <w:p w14:paraId="59A7AE22">
      <w:pPr>
        <w:pStyle w:val="1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textAlignment w:val="auto"/>
        <w:rPr>
          <w:rFonts w:hint="eastAsia" w:ascii="宋体" w:hAnsi="宋体" w:eastAsia="宋体" w:cs="宋体"/>
          <w:sz w:val="28"/>
          <w:szCs w:val="28"/>
        </w:rPr>
      </w:pPr>
    </w:p>
    <w:p w14:paraId="19129DC8">
      <w:pPr>
        <w:pStyle w:val="1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textAlignment w:val="auto"/>
        <w:rPr>
          <w:rFonts w:hint="eastAsia" w:ascii="宋体" w:hAnsi="宋体" w:eastAsia="宋体" w:cs="宋体"/>
          <w:sz w:val="28"/>
          <w:szCs w:val="28"/>
        </w:rPr>
      </w:pPr>
    </w:p>
    <w:p w14:paraId="415E3BCC">
      <w:pPr>
        <w:pStyle w:val="1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560" w:firstLineChars="200"/>
        <w:textAlignment w:val="auto"/>
        <w:rPr>
          <w:rFonts w:hint="eastAsia" w:ascii="宋体" w:hAnsi="宋体" w:eastAsia="宋体" w:cs="宋体"/>
          <w:sz w:val="28"/>
          <w:szCs w:val="28"/>
        </w:rPr>
      </w:pPr>
    </w:p>
    <w:p w14:paraId="3BFFB5E6">
      <w:pPr>
        <w:pStyle w:val="12"/>
        <w:keepNext w:val="0"/>
        <w:keepLines w:val="0"/>
        <w:pageBreakBefore w:val="0"/>
        <w:widowControl w:val="0"/>
        <w:kinsoku/>
        <w:wordWrap/>
        <w:overflowPunct/>
        <w:topLinePunct w:val="0"/>
        <w:autoSpaceDE w:val="0"/>
        <w:autoSpaceDN w:val="0"/>
        <w:bidi w:val="0"/>
        <w:adjustRightInd/>
        <w:snapToGrid/>
        <w:spacing w:before="0" w:line="240" w:lineRule="auto"/>
        <w:ind w:right="0"/>
        <w:textAlignment w:val="auto"/>
        <w:rPr>
          <w:rFonts w:hint="eastAsia" w:ascii="宋体" w:hAnsi="宋体" w:eastAsia="宋体" w:cs="宋体"/>
          <w:sz w:val="28"/>
          <w:szCs w:val="28"/>
        </w:rPr>
      </w:pPr>
    </w:p>
    <w:p w14:paraId="0A43D8EC">
      <w:pPr>
        <w:pStyle w:val="12"/>
        <w:keepNext w:val="0"/>
        <w:keepLines w:val="0"/>
        <w:pageBreakBefore w:val="0"/>
        <w:widowControl w:val="0"/>
        <w:kinsoku/>
        <w:wordWrap/>
        <w:overflowPunct/>
        <w:topLinePunct w:val="0"/>
        <w:autoSpaceDE w:val="0"/>
        <w:autoSpaceDN w:val="0"/>
        <w:bidi w:val="0"/>
        <w:adjustRightInd/>
        <w:snapToGrid/>
        <w:spacing w:before="0" w:line="240" w:lineRule="auto"/>
        <w:ind w:right="0"/>
        <w:textAlignment w:val="auto"/>
        <w:rPr>
          <w:rFonts w:hint="eastAsia" w:ascii="宋体" w:hAnsi="宋体" w:eastAsia="宋体" w:cs="宋体"/>
          <w:sz w:val="28"/>
          <w:szCs w:val="28"/>
        </w:rPr>
      </w:pPr>
    </w:p>
    <w:p w14:paraId="3AC02B68">
      <w:pPr>
        <w:pStyle w:val="12"/>
        <w:keepNext w:val="0"/>
        <w:keepLines w:val="0"/>
        <w:pageBreakBefore w:val="0"/>
        <w:widowControl w:val="0"/>
        <w:kinsoku/>
        <w:wordWrap/>
        <w:overflowPunct/>
        <w:topLinePunct w:val="0"/>
        <w:autoSpaceDE w:val="0"/>
        <w:autoSpaceDN w:val="0"/>
        <w:bidi w:val="0"/>
        <w:adjustRightInd/>
        <w:snapToGrid/>
        <w:spacing w:before="0" w:line="240" w:lineRule="auto"/>
        <w:ind w:right="0"/>
        <w:textAlignment w:val="auto"/>
        <w:rPr>
          <w:rFonts w:hint="eastAsia" w:ascii="宋体" w:hAnsi="宋体" w:eastAsia="宋体" w:cs="宋体"/>
          <w:sz w:val="28"/>
          <w:szCs w:val="28"/>
        </w:rPr>
      </w:pPr>
    </w:p>
    <w:p w14:paraId="04997777">
      <w:pPr>
        <w:pStyle w:val="12"/>
        <w:keepNext w:val="0"/>
        <w:keepLines w:val="0"/>
        <w:pageBreakBefore w:val="0"/>
        <w:widowControl w:val="0"/>
        <w:kinsoku/>
        <w:wordWrap/>
        <w:overflowPunct/>
        <w:topLinePunct w:val="0"/>
        <w:autoSpaceDE w:val="0"/>
        <w:autoSpaceDN w:val="0"/>
        <w:bidi w:val="0"/>
        <w:adjustRightInd/>
        <w:snapToGrid/>
        <w:spacing w:before="0" w:line="240" w:lineRule="auto"/>
        <w:ind w:right="0"/>
        <w:textAlignment w:val="auto"/>
        <w:rPr>
          <w:rFonts w:hint="eastAsia" w:ascii="宋体" w:hAnsi="宋体" w:eastAsia="宋体" w:cs="宋体"/>
          <w:sz w:val="28"/>
          <w:szCs w:val="28"/>
        </w:rPr>
      </w:pPr>
    </w:p>
    <w:p w14:paraId="7035BCA0">
      <w:pPr>
        <w:pStyle w:val="12"/>
        <w:keepNext w:val="0"/>
        <w:keepLines w:val="0"/>
        <w:pageBreakBefore w:val="0"/>
        <w:widowControl w:val="0"/>
        <w:kinsoku/>
        <w:wordWrap/>
        <w:overflowPunct/>
        <w:topLinePunct w:val="0"/>
        <w:autoSpaceDE w:val="0"/>
        <w:autoSpaceDN w:val="0"/>
        <w:bidi w:val="0"/>
        <w:adjustRightInd/>
        <w:snapToGrid/>
        <w:spacing w:before="0" w:line="240" w:lineRule="auto"/>
        <w:ind w:right="0"/>
        <w:textAlignment w:val="auto"/>
        <w:rPr>
          <w:rFonts w:hint="eastAsia" w:ascii="宋体" w:hAnsi="宋体" w:eastAsia="宋体" w:cs="宋体"/>
          <w:sz w:val="28"/>
          <w:szCs w:val="28"/>
        </w:rPr>
      </w:pPr>
    </w:p>
    <w:p w14:paraId="6D35E681">
      <w:pPr>
        <w:pStyle w:val="12"/>
        <w:keepNext w:val="0"/>
        <w:keepLines w:val="0"/>
        <w:pageBreakBefore w:val="0"/>
        <w:widowControl w:val="0"/>
        <w:kinsoku/>
        <w:wordWrap/>
        <w:overflowPunct/>
        <w:topLinePunct w:val="0"/>
        <w:autoSpaceDE w:val="0"/>
        <w:autoSpaceDN w:val="0"/>
        <w:bidi w:val="0"/>
        <w:adjustRightInd/>
        <w:snapToGrid/>
        <w:spacing w:before="0" w:line="240" w:lineRule="auto"/>
        <w:ind w:right="0"/>
        <w:textAlignment w:val="auto"/>
        <w:rPr>
          <w:rFonts w:hint="eastAsia" w:ascii="宋体" w:hAnsi="宋体" w:eastAsia="宋体" w:cs="宋体"/>
          <w:sz w:val="28"/>
          <w:szCs w:val="28"/>
        </w:rPr>
      </w:pPr>
    </w:p>
    <w:p w14:paraId="03459545">
      <w:pPr>
        <w:pStyle w:val="12"/>
        <w:rPr>
          <w:sz w:val="20"/>
        </w:rPr>
      </w:pPr>
    </w:p>
    <w:p w14:paraId="2E868DD1">
      <w:pPr>
        <w:pStyle w:val="12"/>
        <w:rPr>
          <w:sz w:val="20"/>
        </w:rPr>
      </w:pPr>
    </w:p>
    <w:p w14:paraId="7800BDC2">
      <w:pPr>
        <w:pStyle w:val="12"/>
        <w:rPr>
          <w:sz w:val="20"/>
        </w:rPr>
      </w:pPr>
    </w:p>
    <w:p w14:paraId="5446119F">
      <w:pPr>
        <w:rPr>
          <w:rFonts w:hint="eastAsia" w:ascii="黑体" w:eastAsia="黑体"/>
        </w:rPr>
      </w:pPr>
      <w:r>
        <w:rPr>
          <w:rFonts w:hint="eastAsia" w:ascii="黑体" w:eastAsia="黑体"/>
        </w:rPr>
        <w:br w:type="page"/>
      </w:r>
    </w:p>
    <w:p w14:paraId="15D5218B">
      <w:pPr>
        <w:pStyle w:val="12"/>
        <w:spacing w:before="108"/>
        <w:ind w:left="424"/>
        <w:rPr>
          <w:rFonts w:hint="eastAsia" w:ascii="黑体" w:eastAsia="黑体"/>
        </w:rPr>
      </w:pPr>
      <w:r>
        <w:rPr>
          <w:rFonts w:hint="eastAsia" w:ascii="黑体" w:eastAsia="黑体"/>
        </w:rPr>
        <w:t>附件四 中标通知书</w:t>
      </w:r>
    </w:p>
    <w:p w14:paraId="29167EB5">
      <w:pPr>
        <w:pStyle w:val="12"/>
        <w:rPr>
          <w:rFonts w:ascii="黑体"/>
          <w:sz w:val="20"/>
        </w:rPr>
      </w:pPr>
    </w:p>
    <w:p w14:paraId="125B2FEE">
      <w:pPr>
        <w:pStyle w:val="12"/>
        <w:spacing w:before="7"/>
        <w:rPr>
          <w:rFonts w:ascii="黑体"/>
          <w:sz w:val="15"/>
        </w:rPr>
      </w:pPr>
    </w:p>
    <w:p w14:paraId="37C4A3A6">
      <w:pPr>
        <w:spacing w:before="61"/>
        <w:ind w:left="1098" w:right="1052" w:firstLine="0"/>
        <w:jc w:val="center"/>
        <w:rPr>
          <w:rFonts w:hint="eastAsia" w:ascii="黑体" w:eastAsia="黑体"/>
          <w:sz w:val="28"/>
        </w:rPr>
      </w:pPr>
      <w:r>
        <w:rPr>
          <w:rFonts w:hint="eastAsia" w:ascii="黑体" w:eastAsia="黑体"/>
          <w:sz w:val="28"/>
        </w:rPr>
        <w:t>中标通知书</w:t>
      </w:r>
    </w:p>
    <w:p w14:paraId="1B4ECD3E">
      <w:pPr>
        <w:pStyle w:val="12"/>
        <w:rPr>
          <w:rFonts w:ascii="黑体"/>
          <w:sz w:val="20"/>
        </w:rPr>
      </w:pPr>
    </w:p>
    <w:p w14:paraId="09DF5A55">
      <w:pPr>
        <w:pStyle w:val="12"/>
        <w:spacing w:before="12"/>
        <w:rPr>
          <w:rFonts w:ascii="黑体"/>
          <w:sz w:val="17"/>
        </w:rPr>
      </w:pPr>
    </w:p>
    <w:p w14:paraId="5314DD75">
      <w:pPr>
        <w:pStyle w:val="12"/>
        <w:tabs>
          <w:tab w:val="left" w:pos="2824"/>
        </w:tabs>
        <w:spacing w:before="74" w:line="360" w:lineRule="auto"/>
        <w:ind w:left="544"/>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（中标人名称</w:t>
      </w:r>
      <w:r>
        <w:rPr>
          <w:spacing w:val="-120"/>
          <w:sz w:val="21"/>
          <w:szCs w:val="21"/>
        </w:rPr>
        <w:t>）</w:t>
      </w:r>
      <w:r>
        <w:rPr>
          <w:sz w:val="21"/>
          <w:szCs w:val="21"/>
        </w:rPr>
        <w:t>：</w:t>
      </w:r>
    </w:p>
    <w:p w14:paraId="1C5BF015">
      <w:pPr>
        <w:pStyle w:val="12"/>
        <w:spacing w:line="360" w:lineRule="auto"/>
        <w:rPr>
          <w:sz w:val="21"/>
          <w:szCs w:val="21"/>
        </w:rPr>
      </w:pPr>
    </w:p>
    <w:p w14:paraId="0326BB16">
      <w:pPr>
        <w:pStyle w:val="12"/>
        <w:spacing w:before="9" w:line="360" w:lineRule="auto"/>
        <w:rPr>
          <w:sz w:val="21"/>
          <w:szCs w:val="21"/>
        </w:rPr>
      </w:pPr>
    </w:p>
    <w:p w14:paraId="3CEAA05C">
      <w:pPr>
        <w:pStyle w:val="12"/>
        <w:tabs>
          <w:tab w:val="left" w:pos="2683"/>
          <w:tab w:val="left" w:pos="6720"/>
          <w:tab w:val="left" w:pos="8859"/>
        </w:tabs>
        <w:spacing w:line="360" w:lineRule="auto"/>
        <w:ind w:left="424" w:right="384"/>
        <w:rPr>
          <w:sz w:val="21"/>
          <w:szCs w:val="21"/>
        </w:rPr>
      </w:pPr>
      <w:r>
        <w:rPr>
          <w:sz w:val="21"/>
          <w:szCs w:val="21"/>
        </w:rPr>
        <w:t xml:space="preserve">   </w:t>
      </w:r>
      <w:r>
        <w:rPr>
          <w:spacing w:val="-1"/>
          <w:sz w:val="21"/>
          <w:szCs w:val="21"/>
        </w:rPr>
        <w:t xml:space="preserve"> </w:t>
      </w:r>
      <w:r>
        <w:rPr>
          <w:sz w:val="21"/>
          <w:szCs w:val="21"/>
        </w:rPr>
        <w:t>你方于</w:t>
      </w:r>
      <w:r>
        <w:rPr>
          <w:sz w:val="21"/>
          <w:szCs w:val="21"/>
          <w:u w:val="single"/>
        </w:rPr>
        <w:t xml:space="preserve"> </w:t>
      </w:r>
      <w:r>
        <w:rPr>
          <w:sz w:val="21"/>
          <w:szCs w:val="21"/>
          <w:u w:val="single"/>
        </w:rPr>
        <w:tab/>
      </w:r>
      <w:r>
        <w:rPr>
          <w:sz w:val="21"/>
          <w:szCs w:val="21"/>
        </w:rPr>
        <w:t>（投标日期</w:t>
      </w:r>
      <w:r>
        <w:rPr>
          <w:spacing w:val="-22"/>
          <w:sz w:val="21"/>
          <w:szCs w:val="21"/>
        </w:rPr>
        <w:t>）</w:t>
      </w:r>
      <w:r>
        <w:rPr>
          <w:sz w:val="21"/>
          <w:szCs w:val="21"/>
        </w:rPr>
        <w:t>所递交的</w:t>
      </w:r>
      <w:r>
        <w:rPr>
          <w:sz w:val="21"/>
          <w:szCs w:val="21"/>
          <w:u w:val="single"/>
        </w:rPr>
        <w:t xml:space="preserve"> </w:t>
      </w:r>
      <w:r>
        <w:rPr>
          <w:sz w:val="21"/>
          <w:szCs w:val="21"/>
          <w:u w:val="single"/>
        </w:rPr>
        <w:tab/>
      </w:r>
      <w:r>
        <w:rPr>
          <w:sz w:val="21"/>
          <w:szCs w:val="21"/>
        </w:rPr>
        <w:t>（项目名称</w:t>
      </w:r>
      <w:r>
        <w:rPr>
          <w:spacing w:val="-22"/>
          <w:sz w:val="21"/>
          <w:szCs w:val="21"/>
        </w:rPr>
        <w:t>）</w:t>
      </w:r>
      <w:r>
        <w:rPr>
          <w:spacing w:val="-22"/>
          <w:sz w:val="21"/>
          <w:szCs w:val="21"/>
          <w:u w:val="single"/>
        </w:rPr>
        <w:t xml:space="preserve"> </w:t>
      </w:r>
      <w:r>
        <w:rPr>
          <w:spacing w:val="-22"/>
          <w:sz w:val="21"/>
          <w:szCs w:val="21"/>
          <w:u w:val="single"/>
        </w:rPr>
        <w:tab/>
      </w:r>
      <w:r>
        <w:rPr>
          <w:spacing w:val="-17"/>
          <w:sz w:val="21"/>
          <w:szCs w:val="21"/>
        </w:rPr>
        <w:t>标</w:t>
      </w:r>
      <w:r>
        <w:rPr>
          <w:sz w:val="21"/>
          <w:szCs w:val="21"/>
        </w:rPr>
        <w:t>段施工投标文件已被我方接受，被确定为中标人。</w:t>
      </w:r>
    </w:p>
    <w:p w14:paraId="0C4BB5D3">
      <w:pPr>
        <w:pStyle w:val="12"/>
        <w:tabs>
          <w:tab w:val="left" w:pos="4144"/>
        </w:tabs>
        <w:spacing w:before="2" w:line="360" w:lineRule="auto"/>
        <w:ind w:left="424"/>
        <w:rPr>
          <w:sz w:val="21"/>
          <w:szCs w:val="21"/>
        </w:rPr>
      </w:pPr>
      <w:r>
        <w:rPr>
          <w:sz w:val="21"/>
          <w:szCs w:val="21"/>
        </w:rPr>
        <w:t xml:space="preserve">   </w:t>
      </w:r>
      <w:r>
        <w:rPr>
          <w:spacing w:val="-1"/>
          <w:sz w:val="21"/>
          <w:szCs w:val="21"/>
        </w:rPr>
        <w:t xml:space="preserve"> </w:t>
      </w:r>
      <w:r>
        <w:rPr>
          <w:sz w:val="21"/>
          <w:szCs w:val="21"/>
        </w:rPr>
        <w:t>中标价：</w:t>
      </w:r>
      <w:r>
        <w:rPr>
          <w:sz w:val="21"/>
          <w:szCs w:val="21"/>
          <w:u w:val="single"/>
        </w:rPr>
        <w:t xml:space="preserve"> </w:t>
      </w:r>
      <w:r>
        <w:rPr>
          <w:sz w:val="21"/>
          <w:szCs w:val="21"/>
          <w:u w:val="single"/>
        </w:rPr>
        <w:tab/>
      </w:r>
      <w:r>
        <w:rPr>
          <w:sz w:val="21"/>
          <w:szCs w:val="21"/>
        </w:rPr>
        <w:t>元。</w:t>
      </w:r>
    </w:p>
    <w:p w14:paraId="053F3282">
      <w:pPr>
        <w:pStyle w:val="12"/>
        <w:tabs>
          <w:tab w:val="left" w:pos="2344"/>
        </w:tabs>
        <w:spacing w:before="132" w:line="360" w:lineRule="auto"/>
        <w:ind w:left="424"/>
        <w:rPr>
          <w:sz w:val="21"/>
          <w:szCs w:val="21"/>
        </w:rPr>
      </w:pPr>
      <w:r>
        <w:rPr>
          <w:sz w:val="21"/>
          <w:szCs w:val="21"/>
        </w:rPr>
        <w:t xml:space="preserve">   </w:t>
      </w:r>
      <w:r>
        <w:rPr>
          <w:spacing w:val="-1"/>
          <w:sz w:val="21"/>
          <w:szCs w:val="21"/>
        </w:rPr>
        <w:t xml:space="preserve"> </w:t>
      </w:r>
      <w:r>
        <w:rPr>
          <w:sz w:val="21"/>
          <w:szCs w:val="21"/>
        </w:rPr>
        <w:t>工期：</w:t>
      </w:r>
      <w:r>
        <w:rPr>
          <w:sz w:val="21"/>
          <w:szCs w:val="21"/>
          <w:u w:val="single"/>
        </w:rPr>
        <w:t xml:space="preserve"> </w:t>
      </w:r>
      <w:r>
        <w:rPr>
          <w:sz w:val="21"/>
          <w:szCs w:val="21"/>
          <w:u w:val="single"/>
        </w:rPr>
        <w:tab/>
      </w:r>
      <w:r>
        <w:rPr>
          <w:sz w:val="21"/>
          <w:szCs w:val="21"/>
        </w:rPr>
        <w:t>日历天。</w:t>
      </w:r>
    </w:p>
    <w:p w14:paraId="1839498A">
      <w:pPr>
        <w:pStyle w:val="12"/>
        <w:tabs>
          <w:tab w:val="left" w:pos="5225"/>
        </w:tabs>
        <w:spacing w:before="132" w:line="360" w:lineRule="auto"/>
        <w:ind w:left="904" w:right="3539"/>
        <w:rPr>
          <w:sz w:val="21"/>
          <w:szCs w:val="21"/>
        </w:rPr>
      </w:pPr>
      <w:r>
        <w:rPr>
          <w:sz w:val="21"/>
          <w:szCs w:val="21"/>
        </w:rPr>
        <w:t>工程质量：符合</w:t>
      </w:r>
      <w:r>
        <w:rPr>
          <w:sz w:val="21"/>
          <w:szCs w:val="21"/>
          <w:u w:val="single"/>
        </w:rPr>
        <w:t xml:space="preserve"> </w:t>
      </w:r>
      <w:r>
        <w:rPr>
          <w:sz w:val="21"/>
          <w:szCs w:val="21"/>
          <w:u w:val="single"/>
        </w:rPr>
        <w:tab/>
      </w:r>
      <w:r>
        <w:rPr>
          <w:sz w:val="21"/>
          <w:szCs w:val="21"/>
        </w:rPr>
        <w:t>标准</w:t>
      </w:r>
      <w:r>
        <w:rPr>
          <w:spacing w:val="-18"/>
          <w:sz w:val="21"/>
          <w:szCs w:val="21"/>
        </w:rPr>
        <w:t>。</w:t>
      </w:r>
      <w:r>
        <w:rPr>
          <w:sz w:val="21"/>
          <w:szCs w:val="21"/>
        </w:rPr>
        <w:t>工程安全目标：</w:t>
      </w:r>
      <w:r>
        <w:rPr>
          <w:sz w:val="21"/>
          <w:szCs w:val="21"/>
          <w:u w:val="single"/>
        </w:rPr>
        <w:t xml:space="preserve"> </w:t>
      </w:r>
      <w:r>
        <w:rPr>
          <w:sz w:val="21"/>
          <w:szCs w:val="21"/>
          <w:u w:val="single"/>
        </w:rPr>
        <w:tab/>
      </w:r>
      <w:r>
        <w:rPr>
          <w:sz w:val="21"/>
          <w:szCs w:val="21"/>
        </w:rPr>
        <w:t>。</w:t>
      </w:r>
    </w:p>
    <w:p w14:paraId="26782AB3">
      <w:pPr>
        <w:pStyle w:val="12"/>
        <w:tabs>
          <w:tab w:val="left" w:pos="3813"/>
        </w:tabs>
        <w:spacing w:line="360" w:lineRule="auto"/>
        <w:ind w:left="933" w:right="4590"/>
        <w:rPr>
          <w:sz w:val="21"/>
          <w:szCs w:val="21"/>
        </w:rPr>
      </w:pPr>
      <w:r>
        <w:rPr>
          <w:sz w:val="21"/>
          <w:szCs w:val="21"/>
        </w:rPr>
        <mc:AlternateContent>
          <mc:Choice Requires="wps">
            <w:drawing>
              <wp:anchor distT="0" distB="0" distL="114300" distR="114300" simplePos="0" relativeHeight="251669504" behindDoc="1" locked="0" layoutInCell="1" allowOverlap="1">
                <wp:simplePos x="0" y="0"/>
                <wp:positionH relativeFrom="page">
                  <wp:posOffset>2129155</wp:posOffset>
                </wp:positionH>
                <wp:positionV relativeFrom="paragraph">
                  <wp:posOffset>451485</wp:posOffset>
                </wp:positionV>
                <wp:extent cx="1066800" cy="0"/>
                <wp:effectExtent l="0" t="0" r="0" b="0"/>
                <wp:wrapNone/>
                <wp:docPr id="27" name="直线 58"/>
                <wp:cNvGraphicFramePr/>
                <a:graphic xmlns:a="http://schemas.openxmlformats.org/drawingml/2006/main">
                  <a:graphicData uri="http://schemas.microsoft.com/office/word/2010/wordprocessingShape">
                    <wps:wsp>
                      <wps:cNvCnPr/>
                      <wps:spPr>
                        <a:xfrm>
                          <a:off x="0" y="0"/>
                          <a:ext cx="10668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167.65pt;margin-top:35.55pt;height:0pt;width:84pt;mso-position-horizontal-relative:page;z-index:-251646976;mso-width-relative:page;mso-height-relative:page;" filled="f" stroked="t" coordsize="21600,21600" o:gfxdata="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JphvrW&#10;AAAACQEAAA8AAAAAAAAAAQAgAAAAIgAAAGRycy9kb3ducmV2LnhtbFBLAQIUABQAAAAIAIdO4kAZ&#10;spDP6QEAAN0DAAAOAAAAAAAAAAEAIAAAACUBAABkcnMvZTJvRG9jLnhtbFBLBQYAAAAABgAGAFkB&#10;AACABQAAAAA=&#10;">
                <v:fill on="f" focussize="0,0"/>
                <v:stroke weight="0.6pt" color="#000000" joinstyle="round"/>
                <v:imagedata o:title=""/>
                <o:lock v:ext="edit" aspectratio="f"/>
              </v:line>
            </w:pict>
          </mc:Fallback>
        </mc:AlternateContent>
      </w:r>
      <w:r>
        <w:rPr>
          <w:sz w:val="21"/>
          <w:szCs w:val="21"/>
        </w:rPr>
        <w:t>项目经理：</w:t>
      </w:r>
      <w:r>
        <w:rPr>
          <w:sz w:val="21"/>
          <w:szCs w:val="21"/>
          <w:u w:val="single"/>
        </w:rPr>
        <w:t xml:space="preserve"> </w:t>
      </w:r>
      <w:r>
        <w:rPr>
          <w:sz w:val="21"/>
          <w:szCs w:val="21"/>
          <w:u w:val="single"/>
        </w:rPr>
        <w:tab/>
      </w:r>
      <w:r>
        <w:rPr>
          <w:sz w:val="21"/>
          <w:szCs w:val="21"/>
        </w:rPr>
        <w:t>（姓名</w:t>
      </w:r>
      <w:r>
        <w:rPr>
          <w:spacing w:val="-120"/>
          <w:sz w:val="21"/>
          <w:szCs w:val="21"/>
        </w:rPr>
        <w:t>）</w:t>
      </w:r>
      <w:r>
        <w:rPr>
          <w:spacing w:val="-17"/>
          <w:sz w:val="21"/>
          <w:szCs w:val="21"/>
        </w:rPr>
        <w:t>。</w:t>
      </w:r>
      <w:r>
        <w:rPr>
          <w:sz w:val="21"/>
          <w:szCs w:val="21"/>
        </w:rPr>
        <w:t>项目总工：</w:t>
      </w:r>
      <w:r>
        <w:rPr>
          <w:sz w:val="21"/>
          <w:szCs w:val="21"/>
        </w:rPr>
        <w:tab/>
      </w:r>
      <w:r>
        <w:rPr>
          <w:sz w:val="21"/>
          <w:szCs w:val="21"/>
        </w:rPr>
        <w:t>（姓名</w:t>
      </w:r>
      <w:r>
        <w:rPr>
          <w:spacing w:val="-120"/>
          <w:sz w:val="21"/>
          <w:szCs w:val="21"/>
        </w:rPr>
        <w:t>）</w:t>
      </w:r>
      <w:r>
        <w:rPr>
          <w:spacing w:val="-17"/>
          <w:sz w:val="21"/>
          <w:szCs w:val="21"/>
        </w:rPr>
        <w:t>。</w:t>
      </w:r>
    </w:p>
    <w:p w14:paraId="3FA14F66">
      <w:pPr>
        <w:pStyle w:val="12"/>
        <w:tabs>
          <w:tab w:val="left" w:pos="4384"/>
          <w:tab w:val="left" w:pos="7745"/>
        </w:tabs>
        <w:spacing w:line="360" w:lineRule="auto"/>
        <w:ind w:left="424" w:right="298"/>
        <w:rPr>
          <w:sz w:val="21"/>
          <w:szCs w:val="21"/>
        </w:rPr>
      </w:pPr>
      <w:r>
        <w:rPr>
          <w:sz w:val="21"/>
          <w:szCs w:val="21"/>
        </w:rPr>
        <mc:AlternateContent>
          <mc:Choice Requires="wps">
            <w:drawing>
              <wp:anchor distT="0" distB="0" distL="114300" distR="114300" simplePos="0" relativeHeight="251670528" behindDoc="1" locked="0" layoutInCell="1" allowOverlap="1">
                <wp:simplePos x="0" y="0"/>
                <wp:positionH relativeFrom="page">
                  <wp:posOffset>3178175</wp:posOffset>
                </wp:positionH>
                <wp:positionV relativeFrom="paragraph">
                  <wp:posOffset>172720</wp:posOffset>
                </wp:positionV>
                <wp:extent cx="381000" cy="0"/>
                <wp:effectExtent l="0" t="0" r="0" b="0"/>
                <wp:wrapNone/>
                <wp:docPr id="28" name="直线 59"/>
                <wp:cNvGraphicFramePr/>
                <a:graphic xmlns:a="http://schemas.openxmlformats.org/drawingml/2006/main">
                  <a:graphicData uri="http://schemas.microsoft.com/office/word/2010/wordprocessingShape">
                    <wps:wsp>
                      <wps:cNvCnPr/>
                      <wps:spPr>
                        <a:xfrm>
                          <a:off x="0" y="0"/>
                          <a:ext cx="3810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59" o:spid="_x0000_s1026" o:spt="20" style="position:absolute;left:0pt;margin-left:250.25pt;margin-top:13.6pt;height:0pt;width:30pt;mso-position-horizontal-relative:page;z-index:-251645952;mso-width-relative:page;mso-height-relative:page;" filled="f" stroked="t" coordsize="21600,21600" o:gfxdata="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c+bzp1QAA&#10;AAkBAAAPAAAAAAAAAAEAIAAAACIAAABkcnMvZG93bnJldi54bWxQSwECFAAUAAAACACHTuJACxb4&#10;s+gBAADcAwAADgAAAAAAAAABACAAAAAkAQAAZHJzL2Uyb0RvYy54bWxQSwUGAAAAAAYABgBZAQAA&#10;fgUAAAAA&#10;">
                <v:fill on="f" focussize="0,0"/>
                <v:stroke weight="0.6pt" color="#000000" joinstyle="round"/>
                <v:imagedata o:title=""/>
                <o:lock v:ext="edit" aspectratio="f"/>
              </v:line>
            </w:pict>
          </mc:Fallback>
        </mc:AlternateContent>
      </w:r>
      <w:r>
        <w:rPr>
          <w:sz w:val="21"/>
          <w:szCs w:val="21"/>
        </w:rPr>
        <w:t xml:space="preserve">   </w:t>
      </w:r>
      <w:r>
        <w:rPr>
          <w:spacing w:val="-1"/>
          <w:sz w:val="21"/>
          <w:szCs w:val="21"/>
        </w:rPr>
        <w:t xml:space="preserve"> </w:t>
      </w:r>
      <w:r>
        <w:rPr>
          <w:sz w:val="21"/>
          <w:szCs w:val="21"/>
        </w:rPr>
        <w:t>请你方在接到本通知书后的</w:t>
      </w:r>
      <w:r>
        <w:rPr>
          <w:sz w:val="21"/>
          <w:szCs w:val="21"/>
        </w:rPr>
        <w:tab/>
      </w:r>
      <w:r>
        <w:rPr>
          <w:sz w:val="21"/>
          <w:szCs w:val="21"/>
        </w:rPr>
        <w:t>日内到</w:t>
      </w:r>
      <w:r>
        <w:rPr>
          <w:sz w:val="21"/>
          <w:szCs w:val="21"/>
          <w:u w:val="single"/>
        </w:rPr>
        <w:t xml:space="preserve"> </w:t>
      </w:r>
      <w:r>
        <w:rPr>
          <w:sz w:val="21"/>
          <w:szCs w:val="21"/>
          <w:u w:val="single"/>
        </w:rPr>
        <w:tab/>
      </w:r>
      <w:r>
        <w:rPr>
          <w:sz w:val="21"/>
          <w:szCs w:val="21"/>
        </w:rPr>
        <w:t>（指定地点</w:t>
      </w:r>
      <w:r>
        <w:rPr>
          <w:spacing w:val="-17"/>
          <w:sz w:val="21"/>
          <w:szCs w:val="21"/>
        </w:rPr>
        <w:t xml:space="preserve">） </w:t>
      </w:r>
      <w:r>
        <w:rPr>
          <w:sz w:val="21"/>
          <w:szCs w:val="21"/>
        </w:rPr>
        <w:t>与我方签订施工承包合同</w:t>
      </w:r>
      <w:r>
        <w:rPr>
          <w:spacing w:val="-118"/>
          <w:sz w:val="21"/>
          <w:szCs w:val="21"/>
        </w:rPr>
        <w:t>，</w:t>
      </w:r>
      <w:r>
        <w:rPr>
          <w:sz w:val="21"/>
          <w:szCs w:val="21"/>
        </w:rPr>
        <w:t>并按招标文件第二章</w:t>
      </w:r>
      <w:r>
        <w:rPr>
          <w:rFonts w:ascii="Times New Roman" w:hAnsi="Times New Roman" w:eastAsia="Times New Roman"/>
          <w:sz w:val="21"/>
          <w:szCs w:val="21"/>
        </w:rPr>
        <w:t>“</w:t>
      </w:r>
      <w:r>
        <w:rPr>
          <w:sz w:val="21"/>
          <w:szCs w:val="21"/>
        </w:rPr>
        <w:t>投标人须知</w:t>
      </w:r>
      <w:r>
        <w:rPr>
          <w:rFonts w:ascii="Times New Roman" w:hAnsi="Times New Roman" w:eastAsia="Times New Roman"/>
          <w:sz w:val="21"/>
          <w:szCs w:val="21"/>
        </w:rPr>
        <w:t>”</w:t>
      </w:r>
      <w:r>
        <w:rPr>
          <w:sz w:val="21"/>
          <w:szCs w:val="21"/>
        </w:rPr>
        <w:t>第</w:t>
      </w:r>
      <w:r>
        <w:rPr>
          <w:spacing w:val="-61"/>
          <w:sz w:val="21"/>
          <w:szCs w:val="21"/>
        </w:rPr>
        <w:t xml:space="preserve"> </w:t>
      </w:r>
      <w:r>
        <w:rPr>
          <w:rFonts w:ascii="Times New Roman" w:hAnsi="Times New Roman" w:eastAsia="Times New Roman"/>
          <w:sz w:val="21"/>
          <w:szCs w:val="21"/>
        </w:rPr>
        <w:t>7.7</w:t>
      </w:r>
      <w:r>
        <w:rPr>
          <w:rFonts w:ascii="Times New Roman" w:hAnsi="Times New Roman" w:eastAsia="Times New Roman"/>
          <w:spacing w:val="1"/>
          <w:sz w:val="21"/>
          <w:szCs w:val="21"/>
        </w:rPr>
        <w:t xml:space="preserve"> </w:t>
      </w:r>
      <w:r>
        <w:rPr>
          <w:sz w:val="21"/>
          <w:szCs w:val="21"/>
        </w:rPr>
        <w:t>款规定向我方提交履约保证金。</w:t>
      </w:r>
    </w:p>
    <w:p w14:paraId="2DD01ACA">
      <w:pPr>
        <w:pStyle w:val="12"/>
        <w:spacing w:line="360" w:lineRule="auto"/>
        <w:ind w:left="424"/>
        <w:rPr>
          <w:sz w:val="21"/>
          <w:szCs w:val="21"/>
        </w:rPr>
      </w:pPr>
      <w:r>
        <w:rPr>
          <w:sz w:val="21"/>
          <w:szCs w:val="21"/>
        </w:rPr>
        <w:t xml:space="preserve">   </w:t>
      </w:r>
      <w:r>
        <w:rPr>
          <w:spacing w:val="-1"/>
          <w:sz w:val="21"/>
          <w:szCs w:val="21"/>
        </w:rPr>
        <w:t xml:space="preserve"> </w:t>
      </w:r>
      <w:r>
        <w:rPr>
          <w:sz w:val="21"/>
          <w:szCs w:val="21"/>
        </w:rPr>
        <w:t>特此通知。</w:t>
      </w:r>
    </w:p>
    <w:p w14:paraId="108AEEA6">
      <w:pPr>
        <w:pStyle w:val="12"/>
        <w:spacing w:line="360" w:lineRule="auto"/>
        <w:rPr>
          <w:sz w:val="21"/>
          <w:szCs w:val="21"/>
        </w:rPr>
      </w:pPr>
    </w:p>
    <w:p w14:paraId="58C06F6A">
      <w:pPr>
        <w:pStyle w:val="12"/>
        <w:spacing w:line="360" w:lineRule="auto"/>
        <w:rPr>
          <w:sz w:val="21"/>
          <w:szCs w:val="21"/>
        </w:rPr>
      </w:pPr>
    </w:p>
    <w:p w14:paraId="3E68425C">
      <w:pPr>
        <w:pStyle w:val="12"/>
        <w:spacing w:line="360" w:lineRule="auto"/>
        <w:rPr>
          <w:sz w:val="21"/>
          <w:szCs w:val="21"/>
        </w:rPr>
      </w:pPr>
    </w:p>
    <w:p w14:paraId="35A2F705">
      <w:pPr>
        <w:pStyle w:val="12"/>
        <w:tabs>
          <w:tab w:val="left" w:pos="7726"/>
        </w:tabs>
        <w:spacing w:before="215" w:line="360" w:lineRule="auto"/>
        <w:ind w:left="4125" w:right="317"/>
        <w:rPr>
          <w:sz w:val="21"/>
          <w:szCs w:val="21"/>
        </w:rPr>
      </w:pPr>
      <w:r>
        <w:rPr>
          <w:sz w:val="21"/>
          <w:szCs w:val="21"/>
        </w:rPr>
        <w:t>招标人：</w:t>
      </w:r>
      <w:r>
        <w:rPr>
          <w:sz w:val="21"/>
          <w:szCs w:val="21"/>
          <w:u w:val="single"/>
        </w:rPr>
        <w:t xml:space="preserve"> </w:t>
      </w:r>
      <w:r>
        <w:rPr>
          <w:sz w:val="21"/>
          <w:szCs w:val="21"/>
          <w:u w:val="single"/>
        </w:rPr>
        <w:tab/>
      </w:r>
      <w:r>
        <w:rPr>
          <w:sz w:val="21"/>
          <w:szCs w:val="21"/>
        </w:rPr>
        <w:t>（盖单位章</w:t>
      </w:r>
      <w:r>
        <w:rPr>
          <w:spacing w:val="-17"/>
          <w:sz w:val="21"/>
          <w:szCs w:val="21"/>
        </w:rPr>
        <w:t xml:space="preserve">） </w:t>
      </w:r>
      <w:r>
        <w:rPr>
          <w:sz w:val="21"/>
          <w:szCs w:val="21"/>
        </w:rPr>
        <w:t>招标代理机构：</w:t>
      </w:r>
      <w:r>
        <w:rPr>
          <w:sz w:val="21"/>
          <w:szCs w:val="21"/>
          <w:u w:val="single"/>
        </w:rPr>
        <w:t xml:space="preserve"> </w:t>
      </w:r>
      <w:r>
        <w:rPr>
          <w:sz w:val="21"/>
          <w:szCs w:val="21"/>
          <w:u w:val="single"/>
        </w:rPr>
        <w:tab/>
      </w:r>
      <w:r>
        <w:rPr>
          <w:sz w:val="21"/>
          <w:szCs w:val="21"/>
        </w:rPr>
        <w:t>（盖单位章</w:t>
      </w:r>
      <w:r>
        <w:rPr>
          <w:spacing w:val="-17"/>
          <w:sz w:val="21"/>
          <w:szCs w:val="21"/>
        </w:rPr>
        <w:t>）</w:t>
      </w:r>
    </w:p>
    <w:p w14:paraId="77AD57B1">
      <w:pPr>
        <w:pStyle w:val="12"/>
        <w:tabs>
          <w:tab w:val="left" w:pos="6161"/>
          <w:tab w:val="left" w:pos="6881"/>
          <w:tab w:val="left" w:pos="7601"/>
        </w:tabs>
        <w:spacing w:before="1" w:line="360" w:lineRule="auto"/>
        <w:ind w:left="5201"/>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431ABF27">
      <w:pPr>
        <w:spacing w:after="0" w:line="360" w:lineRule="auto"/>
        <w:rPr>
          <w:sz w:val="21"/>
          <w:szCs w:val="21"/>
        </w:rPr>
        <w:sectPr>
          <w:pgSz w:w="11910" w:h="16850"/>
          <w:pgMar w:top="1480" w:right="1200" w:bottom="1040" w:left="1220" w:header="876" w:footer="853" w:gutter="0"/>
          <w:pgNumType w:fmt="decimal"/>
          <w:cols w:space="720" w:num="1"/>
        </w:sectPr>
      </w:pPr>
    </w:p>
    <w:p w14:paraId="4C9817D3">
      <w:pPr>
        <w:pStyle w:val="12"/>
        <w:rPr>
          <w:sz w:val="20"/>
        </w:rPr>
      </w:pPr>
    </w:p>
    <w:p w14:paraId="1FDC4FAC">
      <w:pPr>
        <w:pStyle w:val="12"/>
        <w:spacing w:before="7"/>
        <w:rPr>
          <w:sz w:val="17"/>
        </w:rPr>
      </w:pPr>
    </w:p>
    <w:p w14:paraId="71EEBBBB">
      <w:pPr>
        <w:spacing w:after="0"/>
        <w:rPr>
          <w:sz w:val="17"/>
        </w:rPr>
        <w:sectPr>
          <w:pgSz w:w="11910" w:h="16850"/>
          <w:pgMar w:top="1480" w:right="1200" w:bottom="1080" w:left="1220" w:header="883" w:footer="884" w:gutter="0"/>
          <w:pgNumType w:fmt="decimal"/>
          <w:cols w:space="720" w:num="1"/>
        </w:sectPr>
      </w:pPr>
    </w:p>
    <w:p w14:paraId="71B3AED9">
      <w:pPr>
        <w:pStyle w:val="12"/>
        <w:spacing w:before="66"/>
        <w:ind w:left="424"/>
        <w:rPr>
          <w:rFonts w:hint="eastAsia" w:ascii="黑体" w:eastAsia="黑体"/>
        </w:rPr>
      </w:pPr>
      <w:bookmarkStart w:id="152" w:name="_bookmark91"/>
      <w:bookmarkEnd w:id="152"/>
      <w:r>
        <w:rPr>
          <w:rFonts w:hint="eastAsia" w:ascii="黑体" w:eastAsia="黑体"/>
        </w:rPr>
        <w:t>附件五 中标结果通知书</w:t>
      </w:r>
    </w:p>
    <w:p w14:paraId="3ADCCF7D">
      <w:pPr>
        <w:pStyle w:val="12"/>
        <w:spacing w:before="2"/>
        <w:rPr>
          <w:rFonts w:ascii="黑体"/>
          <w:sz w:val="35"/>
        </w:rPr>
      </w:pPr>
      <w:r>
        <w:br w:type="column"/>
      </w:r>
    </w:p>
    <w:p w14:paraId="39C564A4">
      <w:pPr>
        <w:spacing w:before="0"/>
        <w:ind w:left="424" w:right="0" w:firstLine="0"/>
        <w:jc w:val="left"/>
        <w:rPr>
          <w:rFonts w:hint="eastAsia" w:ascii="黑体" w:eastAsia="黑体"/>
          <w:sz w:val="28"/>
        </w:rPr>
      </w:pPr>
      <w:r>
        <w:rPr>
          <w:rFonts w:hint="eastAsia" w:ascii="黑体" w:eastAsia="黑体"/>
          <w:sz w:val="28"/>
        </w:rPr>
        <w:t>中标结果通知书</w:t>
      </w:r>
    </w:p>
    <w:p w14:paraId="2B0C1FA9">
      <w:pPr>
        <w:spacing w:after="0"/>
        <w:jc w:val="left"/>
        <w:rPr>
          <w:rFonts w:hint="eastAsia" w:ascii="黑体" w:eastAsia="黑体"/>
          <w:sz w:val="28"/>
        </w:rPr>
        <w:sectPr>
          <w:type w:val="continuous"/>
          <w:pgSz w:w="11910" w:h="16850"/>
          <w:pgMar w:top="1600" w:right="1200" w:bottom="280" w:left="1220" w:header="720" w:footer="720" w:gutter="0"/>
          <w:pgNumType w:fmt="decimal"/>
          <w:cols w:equalWidth="0" w:num="2">
            <w:col w:w="2985" w:space="373"/>
            <w:col w:w="6132"/>
          </w:cols>
        </w:sectPr>
      </w:pPr>
    </w:p>
    <w:p w14:paraId="76208BC8">
      <w:pPr>
        <w:pStyle w:val="12"/>
        <w:rPr>
          <w:rFonts w:ascii="黑体"/>
          <w:sz w:val="20"/>
        </w:rPr>
      </w:pPr>
    </w:p>
    <w:p w14:paraId="2CA0993B">
      <w:pPr>
        <w:pStyle w:val="12"/>
        <w:spacing w:before="12"/>
        <w:rPr>
          <w:rFonts w:ascii="黑体"/>
          <w:sz w:val="17"/>
        </w:rPr>
      </w:pPr>
    </w:p>
    <w:p w14:paraId="3D4E8F38">
      <w:pPr>
        <w:pStyle w:val="12"/>
        <w:tabs>
          <w:tab w:val="left" w:pos="2704"/>
        </w:tabs>
        <w:spacing w:before="74" w:line="360" w:lineRule="auto"/>
        <w:ind w:left="544"/>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（未中标人名称</w:t>
      </w:r>
      <w:r>
        <w:rPr>
          <w:spacing w:val="-120"/>
          <w:sz w:val="21"/>
          <w:szCs w:val="21"/>
        </w:rPr>
        <w:t>）</w:t>
      </w:r>
      <w:r>
        <w:rPr>
          <w:sz w:val="21"/>
          <w:szCs w:val="21"/>
        </w:rPr>
        <w:t>：</w:t>
      </w:r>
    </w:p>
    <w:p w14:paraId="5FC0EB19">
      <w:pPr>
        <w:pStyle w:val="12"/>
        <w:spacing w:line="360" w:lineRule="auto"/>
        <w:rPr>
          <w:sz w:val="21"/>
          <w:szCs w:val="21"/>
        </w:rPr>
      </w:pPr>
    </w:p>
    <w:p w14:paraId="16E9F7D4">
      <w:pPr>
        <w:pStyle w:val="12"/>
        <w:spacing w:before="9" w:line="360" w:lineRule="auto"/>
        <w:rPr>
          <w:sz w:val="21"/>
          <w:szCs w:val="21"/>
        </w:rPr>
      </w:pPr>
    </w:p>
    <w:p w14:paraId="3D29BB46">
      <w:pPr>
        <w:pStyle w:val="12"/>
        <w:tabs>
          <w:tab w:val="left" w:pos="2142"/>
          <w:tab w:val="left" w:pos="4319"/>
          <w:tab w:val="left" w:pos="7440"/>
          <w:tab w:val="left" w:pos="8619"/>
        </w:tabs>
        <w:spacing w:before="1" w:line="360" w:lineRule="auto"/>
        <w:ind w:left="424" w:right="384"/>
        <w:jc w:val="both"/>
        <w:rPr>
          <w:sz w:val="21"/>
          <w:szCs w:val="21"/>
        </w:rPr>
      </w:pPr>
      <w:r>
        <w:rPr>
          <w:sz w:val="21"/>
          <w:szCs w:val="21"/>
        </w:rPr>
        <w:t xml:space="preserve">   </w:t>
      </w:r>
      <w:r>
        <w:rPr>
          <w:spacing w:val="-1"/>
          <w:sz w:val="21"/>
          <w:szCs w:val="21"/>
        </w:rPr>
        <w:t xml:space="preserve"> </w:t>
      </w:r>
      <w:r>
        <w:rPr>
          <w:sz w:val="21"/>
          <w:szCs w:val="21"/>
        </w:rPr>
        <w:t>我方已接受</w:t>
      </w:r>
      <w:r>
        <w:rPr>
          <w:sz w:val="21"/>
          <w:szCs w:val="21"/>
          <w:u w:val="single"/>
        </w:rPr>
        <w:t xml:space="preserve"> </w:t>
      </w:r>
      <w:r>
        <w:rPr>
          <w:sz w:val="21"/>
          <w:szCs w:val="21"/>
          <w:u w:val="single"/>
        </w:rPr>
        <w:tab/>
      </w:r>
      <w:r>
        <w:rPr>
          <w:sz w:val="21"/>
          <w:szCs w:val="21"/>
        </w:rPr>
        <w:t>（中标人名称</w:t>
      </w:r>
      <w:r>
        <w:rPr>
          <w:spacing w:val="-22"/>
          <w:sz w:val="21"/>
          <w:szCs w:val="21"/>
        </w:rPr>
        <w:t>）</w:t>
      </w:r>
      <w:r>
        <w:rPr>
          <w:sz w:val="21"/>
          <w:szCs w:val="21"/>
        </w:rPr>
        <w:t>于</w:t>
      </w:r>
      <w:r>
        <w:rPr>
          <w:sz w:val="21"/>
          <w:szCs w:val="21"/>
          <w:u w:val="single"/>
        </w:rPr>
        <w:t xml:space="preserve"> </w:t>
      </w:r>
      <w:r>
        <w:rPr>
          <w:sz w:val="21"/>
          <w:szCs w:val="21"/>
          <w:u w:val="single"/>
        </w:rPr>
        <w:tab/>
      </w:r>
      <w:r>
        <w:rPr>
          <w:sz w:val="21"/>
          <w:szCs w:val="21"/>
        </w:rPr>
        <w:t>（投标日期</w:t>
      </w:r>
      <w:r>
        <w:rPr>
          <w:spacing w:val="-22"/>
          <w:sz w:val="21"/>
          <w:szCs w:val="21"/>
        </w:rPr>
        <w:t>）</w:t>
      </w:r>
      <w:r>
        <w:rPr>
          <w:spacing w:val="-16"/>
          <w:sz w:val="21"/>
          <w:szCs w:val="21"/>
        </w:rPr>
        <w:t>所</w:t>
      </w:r>
      <w:r>
        <w:rPr>
          <w:sz w:val="21"/>
          <w:szCs w:val="21"/>
        </w:rPr>
        <w:t>递交的</w:t>
      </w:r>
      <w:r>
        <w:rPr>
          <w:sz w:val="21"/>
          <w:szCs w:val="21"/>
          <w:u w:val="single"/>
        </w:rPr>
        <w:t xml:space="preserve"> </w:t>
      </w:r>
      <w:r>
        <w:rPr>
          <w:sz w:val="21"/>
          <w:szCs w:val="21"/>
          <w:u w:val="single"/>
        </w:rPr>
        <w:tab/>
      </w:r>
      <w:r>
        <w:rPr>
          <w:sz w:val="21"/>
          <w:szCs w:val="21"/>
          <w:u w:val="single"/>
        </w:rPr>
        <w:t>（</w:t>
      </w:r>
      <w:r>
        <w:rPr>
          <w:sz w:val="21"/>
          <w:szCs w:val="21"/>
        </w:rPr>
        <w:t xml:space="preserve">项目名称）   </w:t>
      </w:r>
      <w:r>
        <w:rPr>
          <w:spacing w:val="38"/>
          <w:sz w:val="21"/>
          <w:szCs w:val="21"/>
        </w:rPr>
        <w:t xml:space="preserve"> </w:t>
      </w:r>
      <w:r>
        <w:rPr>
          <w:sz w:val="21"/>
          <w:szCs w:val="21"/>
        </w:rPr>
        <w:t>标段施工投标文件</w:t>
      </w:r>
      <w:r>
        <w:rPr>
          <w:spacing w:val="-82"/>
          <w:sz w:val="21"/>
          <w:szCs w:val="21"/>
        </w:rPr>
        <w:t>，</w:t>
      </w:r>
      <w:r>
        <w:rPr>
          <w:sz w:val="21"/>
          <w:szCs w:val="21"/>
        </w:rPr>
        <w:t>确定</w:t>
      </w:r>
      <w:r>
        <w:rPr>
          <w:sz w:val="21"/>
          <w:szCs w:val="21"/>
          <w:u w:val="single"/>
        </w:rPr>
        <w:t xml:space="preserve"> </w:t>
      </w:r>
      <w:r>
        <w:rPr>
          <w:sz w:val="21"/>
          <w:szCs w:val="21"/>
          <w:u w:val="single"/>
        </w:rPr>
        <w:tab/>
      </w:r>
      <w:r>
        <w:rPr>
          <w:sz w:val="21"/>
          <w:szCs w:val="21"/>
          <w:u w:val="single"/>
        </w:rPr>
        <w:tab/>
      </w:r>
      <w:r>
        <w:rPr>
          <w:sz w:val="21"/>
          <w:szCs w:val="21"/>
        </w:rPr>
        <w:t>（</w:t>
      </w:r>
      <w:r>
        <w:rPr>
          <w:spacing w:val="-17"/>
          <w:sz w:val="21"/>
          <w:szCs w:val="21"/>
        </w:rPr>
        <w:t>中</w:t>
      </w:r>
      <w:r>
        <w:rPr>
          <w:sz w:val="21"/>
          <w:szCs w:val="21"/>
        </w:rPr>
        <w:t>标人名称）为中标人。</w:t>
      </w:r>
    </w:p>
    <w:p w14:paraId="0DB4A94B">
      <w:pPr>
        <w:pStyle w:val="12"/>
        <w:spacing w:before="1" w:line="360" w:lineRule="auto"/>
        <w:ind w:left="424"/>
        <w:jc w:val="both"/>
        <w:rPr>
          <w:sz w:val="21"/>
          <w:szCs w:val="21"/>
        </w:rPr>
      </w:pPr>
      <w:r>
        <w:rPr>
          <w:sz w:val="21"/>
          <w:szCs w:val="21"/>
        </w:rPr>
        <w:t xml:space="preserve">   </w:t>
      </w:r>
    </w:p>
    <w:p w14:paraId="0B99ED03">
      <w:pPr>
        <w:pStyle w:val="12"/>
        <w:spacing w:before="132" w:line="360" w:lineRule="auto"/>
        <w:ind w:left="424"/>
        <w:jc w:val="both"/>
        <w:rPr>
          <w:sz w:val="21"/>
          <w:szCs w:val="21"/>
        </w:rPr>
      </w:pPr>
      <w:r>
        <w:rPr>
          <w:sz w:val="21"/>
          <w:szCs w:val="21"/>
        </w:rPr>
        <w:t xml:space="preserve">    感谢你单位对招标项目的参与！</w:t>
      </w:r>
    </w:p>
    <w:p w14:paraId="2DB4E245">
      <w:pPr>
        <w:pStyle w:val="12"/>
        <w:spacing w:line="360" w:lineRule="auto"/>
        <w:rPr>
          <w:sz w:val="21"/>
          <w:szCs w:val="21"/>
        </w:rPr>
      </w:pPr>
    </w:p>
    <w:p w14:paraId="31BE31A1">
      <w:pPr>
        <w:pStyle w:val="12"/>
        <w:spacing w:line="360" w:lineRule="auto"/>
        <w:rPr>
          <w:sz w:val="21"/>
          <w:szCs w:val="21"/>
        </w:rPr>
      </w:pPr>
    </w:p>
    <w:p w14:paraId="1581B5DF">
      <w:pPr>
        <w:pStyle w:val="12"/>
        <w:spacing w:line="360" w:lineRule="auto"/>
        <w:rPr>
          <w:sz w:val="21"/>
          <w:szCs w:val="21"/>
        </w:rPr>
      </w:pPr>
    </w:p>
    <w:p w14:paraId="21E11D14">
      <w:pPr>
        <w:pStyle w:val="12"/>
        <w:spacing w:line="360" w:lineRule="auto"/>
        <w:rPr>
          <w:sz w:val="21"/>
          <w:szCs w:val="21"/>
        </w:rPr>
      </w:pPr>
    </w:p>
    <w:p w14:paraId="67D5D4C6">
      <w:pPr>
        <w:pStyle w:val="12"/>
        <w:spacing w:before="4" w:line="360" w:lineRule="auto"/>
        <w:rPr>
          <w:sz w:val="21"/>
          <w:szCs w:val="21"/>
        </w:rPr>
      </w:pPr>
    </w:p>
    <w:p w14:paraId="220EC11F">
      <w:pPr>
        <w:pStyle w:val="12"/>
        <w:tabs>
          <w:tab w:val="left" w:pos="7726"/>
        </w:tabs>
        <w:spacing w:before="1" w:line="360" w:lineRule="auto"/>
        <w:ind w:left="4125" w:right="317"/>
        <w:rPr>
          <w:sz w:val="21"/>
          <w:szCs w:val="21"/>
        </w:rPr>
      </w:pPr>
      <w:r>
        <w:rPr>
          <w:sz w:val="21"/>
          <w:szCs w:val="21"/>
        </w:rPr>
        <w:t>招标人：</w:t>
      </w:r>
      <w:r>
        <w:rPr>
          <w:sz w:val="21"/>
          <w:szCs w:val="21"/>
          <w:u w:val="single"/>
        </w:rPr>
        <w:t xml:space="preserve"> </w:t>
      </w:r>
      <w:r>
        <w:rPr>
          <w:sz w:val="21"/>
          <w:szCs w:val="21"/>
          <w:u w:val="single"/>
        </w:rPr>
        <w:tab/>
      </w:r>
      <w:r>
        <w:rPr>
          <w:sz w:val="21"/>
          <w:szCs w:val="21"/>
        </w:rPr>
        <w:t>（盖单位章</w:t>
      </w:r>
      <w:r>
        <w:rPr>
          <w:spacing w:val="-17"/>
          <w:sz w:val="21"/>
          <w:szCs w:val="21"/>
        </w:rPr>
        <w:t xml:space="preserve">） </w:t>
      </w:r>
      <w:r>
        <w:rPr>
          <w:sz w:val="21"/>
          <w:szCs w:val="21"/>
        </w:rPr>
        <w:t>招标代理机构：</w:t>
      </w:r>
      <w:r>
        <w:rPr>
          <w:sz w:val="21"/>
          <w:szCs w:val="21"/>
          <w:u w:val="single"/>
        </w:rPr>
        <w:t xml:space="preserve"> </w:t>
      </w:r>
      <w:r>
        <w:rPr>
          <w:sz w:val="21"/>
          <w:szCs w:val="21"/>
          <w:u w:val="single"/>
        </w:rPr>
        <w:tab/>
      </w:r>
      <w:r>
        <w:rPr>
          <w:sz w:val="21"/>
          <w:szCs w:val="21"/>
        </w:rPr>
        <w:t>（盖单位章</w:t>
      </w:r>
      <w:r>
        <w:rPr>
          <w:spacing w:val="-17"/>
          <w:sz w:val="21"/>
          <w:szCs w:val="21"/>
        </w:rPr>
        <w:t>）</w:t>
      </w:r>
    </w:p>
    <w:p w14:paraId="524F6978">
      <w:pPr>
        <w:pStyle w:val="12"/>
        <w:tabs>
          <w:tab w:val="left" w:pos="6425"/>
          <w:tab w:val="left" w:pos="7145"/>
          <w:tab w:val="left" w:pos="7865"/>
        </w:tabs>
        <w:spacing w:line="360" w:lineRule="auto"/>
        <w:ind w:left="5465"/>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2A8842B6">
      <w:pPr>
        <w:spacing w:after="0" w:line="360" w:lineRule="auto"/>
        <w:rPr>
          <w:sz w:val="21"/>
          <w:szCs w:val="21"/>
        </w:rPr>
        <w:sectPr>
          <w:type w:val="continuous"/>
          <w:pgSz w:w="11910" w:h="16850"/>
          <w:pgMar w:top="1600" w:right="1200" w:bottom="280" w:left="1220" w:header="720" w:footer="720" w:gutter="0"/>
          <w:pgNumType w:fmt="decimal"/>
          <w:cols w:space="720" w:num="1"/>
        </w:sectPr>
      </w:pPr>
    </w:p>
    <w:p w14:paraId="257257E3">
      <w:pPr>
        <w:pStyle w:val="12"/>
        <w:spacing w:before="108"/>
        <w:ind w:left="424"/>
        <w:rPr>
          <w:rFonts w:hint="eastAsia" w:ascii="黑体" w:eastAsia="黑体"/>
        </w:rPr>
      </w:pPr>
      <w:bookmarkStart w:id="153" w:name="_bookmark92"/>
      <w:bookmarkEnd w:id="153"/>
      <w:r>
        <w:rPr>
          <w:rFonts w:hint="eastAsia" w:ascii="黑体" w:eastAsia="黑体"/>
        </w:rPr>
        <w:t>附件六 确认通知</w:t>
      </w:r>
    </w:p>
    <w:p w14:paraId="08162869">
      <w:pPr>
        <w:pStyle w:val="12"/>
        <w:spacing w:before="3"/>
        <w:rPr>
          <w:rFonts w:ascii="黑体"/>
          <w:sz w:val="38"/>
        </w:rPr>
      </w:pPr>
      <w:r>
        <w:br w:type="column"/>
      </w:r>
    </w:p>
    <w:p w14:paraId="1228D815">
      <w:pPr>
        <w:spacing w:before="1"/>
        <w:ind w:left="424" w:right="0" w:firstLine="0"/>
        <w:jc w:val="left"/>
        <w:rPr>
          <w:rFonts w:hint="eastAsia" w:ascii="黑体" w:eastAsia="黑体"/>
          <w:sz w:val="28"/>
        </w:rPr>
      </w:pPr>
      <w:r>
        <w:rPr>
          <w:rFonts w:hint="eastAsia" w:ascii="黑体" w:eastAsia="黑体"/>
          <w:sz w:val="28"/>
        </w:rPr>
        <w:t>确 认 通 知</w:t>
      </w:r>
    </w:p>
    <w:p w14:paraId="177A754F">
      <w:pPr>
        <w:spacing w:after="0"/>
        <w:jc w:val="left"/>
        <w:rPr>
          <w:rFonts w:hint="eastAsia" w:ascii="黑体" w:eastAsia="黑体"/>
          <w:sz w:val="28"/>
        </w:rPr>
        <w:sectPr>
          <w:pgSz w:w="11910" w:h="16850"/>
          <w:pgMar w:top="1480" w:right="1200" w:bottom="1040" w:left="1220" w:header="876" w:footer="853" w:gutter="0"/>
          <w:pgNumType w:fmt="decimal"/>
          <w:cols w:equalWidth="0" w:num="2">
            <w:col w:w="2265" w:space="1302"/>
            <w:col w:w="5923"/>
          </w:cols>
        </w:sectPr>
      </w:pPr>
    </w:p>
    <w:p w14:paraId="3B6BD9E7">
      <w:pPr>
        <w:pStyle w:val="12"/>
        <w:rPr>
          <w:rFonts w:ascii="黑体"/>
          <w:sz w:val="20"/>
        </w:rPr>
      </w:pPr>
    </w:p>
    <w:p w14:paraId="4162B44C">
      <w:pPr>
        <w:pStyle w:val="12"/>
        <w:spacing w:before="1"/>
        <w:rPr>
          <w:rFonts w:ascii="黑体"/>
          <w:sz w:val="18"/>
        </w:rPr>
      </w:pPr>
    </w:p>
    <w:p w14:paraId="373976E7">
      <w:pPr>
        <w:pStyle w:val="12"/>
        <w:tabs>
          <w:tab w:val="left" w:pos="1864"/>
        </w:tabs>
        <w:spacing w:before="74" w:line="360" w:lineRule="auto"/>
        <w:ind w:left="424"/>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（招标人名称</w:t>
      </w:r>
      <w:r>
        <w:rPr>
          <w:spacing w:val="-120"/>
          <w:sz w:val="21"/>
          <w:szCs w:val="21"/>
        </w:rPr>
        <w:t>）</w:t>
      </w:r>
      <w:r>
        <w:rPr>
          <w:sz w:val="21"/>
          <w:szCs w:val="21"/>
        </w:rPr>
        <w:t>：</w:t>
      </w:r>
    </w:p>
    <w:p w14:paraId="5FAAF3BA">
      <w:pPr>
        <w:pStyle w:val="12"/>
        <w:spacing w:line="360" w:lineRule="auto"/>
        <w:rPr>
          <w:sz w:val="21"/>
          <w:szCs w:val="21"/>
        </w:rPr>
      </w:pPr>
    </w:p>
    <w:p w14:paraId="0A9469EB">
      <w:pPr>
        <w:pStyle w:val="12"/>
        <w:spacing w:line="360" w:lineRule="auto"/>
        <w:rPr>
          <w:sz w:val="21"/>
          <w:szCs w:val="21"/>
        </w:rPr>
      </w:pPr>
    </w:p>
    <w:p w14:paraId="4B33B507">
      <w:pPr>
        <w:pStyle w:val="12"/>
        <w:spacing w:before="7" w:line="360" w:lineRule="auto"/>
        <w:rPr>
          <w:sz w:val="21"/>
          <w:szCs w:val="21"/>
        </w:rPr>
      </w:pPr>
    </w:p>
    <w:p w14:paraId="6B432B36">
      <w:pPr>
        <w:pStyle w:val="12"/>
        <w:tabs>
          <w:tab w:val="left" w:pos="2471"/>
          <w:tab w:val="left" w:pos="6811"/>
        </w:tabs>
        <w:spacing w:line="360" w:lineRule="auto"/>
        <w:ind w:left="424" w:right="380"/>
        <w:jc w:val="both"/>
        <w:rPr>
          <w:sz w:val="21"/>
          <w:szCs w:val="21"/>
        </w:rPr>
      </w:pPr>
      <w:r>
        <w:rPr>
          <w:sz w:val="21"/>
          <w:szCs w:val="21"/>
        </w:rPr>
        <w:t xml:space="preserve">   </w:t>
      </w:r>
      <w:r>
        <w:rPr>
          <w:spacing w:val="-1"/>
          <w:sz w:val="21"/>
          <w:szCs w:val="21"/>
        </w:rPr>
        <w:t xml:space="preserve"> </w:t>
      </w:r>
      <w:r>
        <w:rPr>
          <w:sz w:val="21"/>
          <w:szCs w:val="21"/>
        </w:rPr>
        <w:t>你方于</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rPr>
        <w:t>月</w:t>
      </w:r>
      <w:r>
        <w:rPr>
          <w:sz w:val="21"/>
          <w:szCs w:val="21"/>
          <w:u w:val="single"/>
        </w:rPr>
        <w:t xml:space="preserve"> </w:t>
      </w:r>
      <w:r>
        <w:rPr>
          <w:spacing w:val="7"/>
          <w:sz w:val="21"/>
          <w:szCs w:val="21"/>
          <w:u w:val="single"/>
        </w:rPr>
        <w:t xml:space="preserve"> </w:t>
      </w:r>
      <w:r>
        <w:rPr>
          <w:sz w:val="21"/>
          <w:szCs w:val="21"/>
        </w:rPr>
        <w:t>日 发 出的</w:t>
      </w:r>
      <w:r>
        <w:rPr>
          <w:sz w:val="21"/>
          <w:szCs w:val="21"/>
          <w:u w:val="single"/>
        </w:rPr>
        <w:t xml:space="preserve"> </w:t>
      </w:r>
      <w:r>
        <w:rPr>
          <w:sz w:val="21"/>
          <w:szCs w:val="21"/>
          <w:u w:val="single"/>
        </w:rPr>
        <w:tab/>
      </w:r>
      <w:r>
        <w:rPr>
          <w:sz w:val="21"/>
          <w:szCs w:val="21"/>
        </w:rPr>
        <w:t>（项目名称）</w:t>
      </w:r>
      <w:r>
        <w:rPr>
          <w:spacing w:val="4"/>
          <w:sz w:val="21"/>
          <w:szCs w:val="21"/>
          <w:u w:val="single"/>
        </w:rPr>
        <w:t xml:space="preserve"> </w:t>
      </w:r>
      <w:r>
        <w:rPr>
          <w:sz w:val="21"/>
          <w:szCs w:val="21"/>
        </w:rPr>
        <w:t>标</w:t>
      </w:r>
      <w:r>
        <w:rPr>
          <w:spacing w:val="2"/>
          <w:sz w:val="21"/>
          <w:szCs w:val="21"/>
        </w:rPr>
        <w:t>段施工招标关于招标</w:t>
      </w:r>
      <w:r>
        <w:rPr>
          <w:sz w:val="21"/>
          <w:szCs w:val="21"/>
        </w:rPr>
        <w:t>文</w:t>
      </w:r>
      <w:r>
        <w:rPr>
          <w:spacing w:val="2"/>
          <w:sz w:val="21"/>
          <w:szCs w:val="21"/>
        </w:rPr>
        <w:t>件澄</w:t>
      </w:r>
      <w:r>
        <w:rPr>
          <w:spacing w:val="3"/>
          <w:sz w:val="21"/>
          <w:szCs w:val="21"/>
        </w:rPr>
        <w:t>清</w:t>
      </w:r>
      <w:r>
        <w:rPr>
          <w:rFonts w:ascii="Times New Roman" w:eastAsia="Times New Roman"/>
          <w:spacing w:val="2"/>
          <w:sz w:val="21"/>
          <w:szCs w:val="21"/>
        </w:rPr>
        <w:t>/</w:t>
      </w:r>
      <w:r>
        <w:rPr>
          <w:spacing w:val="2"/>
          <w:sz w:val="21"/>
          <w:szCs w:val="21"/>
        </w:rPr>
        <w:t>修改的通知</w:t>
      </w:r>
      <w:r>
        <w:rPr>
          <w:sz w:val="21"/>
          <w:szCs w:val="21"/>
        </w:rPr>
        <w:t>（</w:t>
      </w:r>
      <w:r>
        <w:rPr>
          <w:spacing w:val="2"/>
          <w:sz w:val="21"/>
          <w:szCs w:val="21"/>
        </w:rPr>
        <w:t>第</w:t>
      </w:r>
      <w:r>
        <w:rPr>
          <w:rFonts w:ascii="Times New Roman" w:eastAsia="Times New Roman"/>
          <w:sz w:val="21"/>
          <w:szCs w:val="21"/>
          <w:u w:val="single"/>
        </w:rPr>
        <w:t xml:space="preserve">       </w:t>
      </w:r>
      <w:r>
        <w:rPr>
          <w:rFonts w:ascii="Times New Roman" w:eastAsia="Times New Roman"/>
          <w:spacing w:val="9"/>
          <w:sz w:val="21"/>
          <w:szCs w:val="21"/>
          <w:u w:val="single"/>
        </w:rPr>
        <w:t xml:space="preserve"> </w:t>
      </w:r>
      <w:r>
        <w:rPr>
          <w:spacing w:val="2"/>
          <w:sz w:val="21"/>
          <w:szCs w:val="21"/>
        </w:rPr>
        <w:t>号补遗书，正</w:t>
      </w:r>
      <w:r>
        <w:rPr>
          <w:sz w:val="21"/>
          <w:szCs w:val="21"/>
        </w:rPr>
        <w:t>文</w:t>
      </w:r>
      <w:r>
        <w:rPr>
          <w:spacing w:val="4"/>
          <w:sz w:val="21"/>
          <w:szCs w:val="21"/>
        </w:rPr>
        <w:t>共</w:t>
      </w:r>
      <w:r>
        <w:rPr>
          <w:rFonts w:ascii="Times New Roman" w:eastAsia="Times New Roman"/>
          <w:sz w:val="21"/>
          <w:szCs w:val="21"/>
          <w:u w:val="single"/>
        </w:rPr>
        <w:t xml:space="preserve">       </w:t>
      </w:r>
      <w:r>
        <w:rPr>
          <w:rFonts w:ascii="Times New Roman" w:eastAsia="Times New Roman"/>
          <w:spacing w:val="9"/>
          <w:sz w:val="21"/>
          <w:szCs w:val="21"/>
          <w:u w:val="single"/>
        </w:rPr>
        <w:t xml:space="preserve"> </w:t>
      </w:r>
      <w:r>
        <w:rPr>
          <w:spacing w:val="2"/>
          <w:sz w:val="21"/>
          <w:szCs w:val="21"/>
        </w:rPr>
        <w:t>页</w:t>
      </w:r>
      <w:r>
        <w:rPr>
          <w:spacing w:val="-118"/>
          <w:sz w:val="21"/>
          <w:szCs w:val="21"/>
        </w:rPr>
        <w:t>）</w:t>
      </w:r>
      <w:r>
        <w:rPr>
          <w:spacing w:val="2"/>
          <w:sz w:val="21"/>
          <w:szCs w:val="21"/>
        </w:rPr>
        <w:t>，我</w:t>
      </w:r>
      <w:r>
        <w:rPr>
          <w:sz w:val="21"/>
          <w:szCs w:val="21"/>
        </w:rPr>
        <w:t>方已于</w:t>
      </w:r>
      <w:r>
        <w:rPr>
          <w:spacing w:val="119"/>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日收到。</w:t>
      </w:r>
    </w:p>
    <w:p w14:paraId="3273526B">
      <w:pPr>
        <w:pStyle w:val="12"/>
        <w:spacing w:line="360" w:lineRule="auto"/>
        <w:ind w:left="424"/>
        <w:jc w:val="both"/>
        <w:rPr>
          <w:sz w:val="21"/>
          <w:szCs w:val="21"/>
        </w:rPr>
      </w:pPr>
      <w:r>
        <w:rPr>
          <w:sz w:val="21"/>
          <w:szCs w:val="21"/>
        </w:rPr>
        <w:t xml:space="preserve">    特此确认。</w:t>
      </w:r>
    </w:p>
    <w:p w14:paraId="782B5F41">
      <w:pPr>
        <w:pStyle w:val="12"/>
        <w:spacing w:line="360" w:lineRule="auto"/>
        <w:rPr>
          <w:sz w:val="21"/>
          <w:szCs w:val="21"/>
        </w:rPr>
      </w:pPr>
    </w:p>
    <w:p w14:paraId="0B9F3C90">
      <w:pPr>
        <w:pStyle w:val="12"/>
        <w:spacing w:line="360" w:lineRule="auto"/>
        <w:rPr>
          <w:sz w:val="21"/>
          <w:szCs w:val="21"/>
        </w:rPr>
      </w:pPr>
    </w:p>
    <w:p w14:paraId="576704B1">
      <w:pPr>
        <w:pStyle w:val="12"/>
        <w:spacing w:line="360" w:lineRule="auto"/>
        <w:rPr>
          <w:sz w:val="21"/>
          <w:szCs w:val="21"/>
        </w:rPr>
      </w:pPr>
    </w:p>
    <w:p w14:paraId="42C6F442">
      <w:pPr>
        <w:pStyle w:val="12"/>
        <w:spacing w:line="360" w:lineRule="auto"/>
        <w:rPr>
          <w:sz w:val="21"/>
          <w:szCs w:val="21"/>
        </w:rPr>
      </w:pPr>
    </w:p>
    <w:p w14:paraId="51A60E31">
      <w:pPr>
        <w:pStyle w:val="12"/>
        <w:spacing w:line="360" w:lineRule="auto"/>
        <w:rPr>
          <w:sz w:val="21"/>
          <w:szCs w:val="21"/>
        </w:rPr>
      </w:pPr>
    </w:p>
    <w:p w14:paraId="032342A4">
      <w:pPr>
        <w:pStyle w:val="12"/>
        <w:tabs>
          <w:tab w:val="left" w:pos="7625"/>
        </w:tabs>
        <w:spacing w:line="360" w:lineRule="auto"/>
        <w:ind w:left="4025"/>
        <w:rPr>
          <w:sz w:val="21"/>
          <w:szCs w:val="21"/>
        </w:rPr>
      </w:pPr>
      <w:r>
        <w:rPr>
          <w:sz w:val="21"/>
          <w:szCs w:val="21"/>
        </w:rPr>
        <w:t>投标人：</w:t>
      </w:r>
      <w:r>
        <w:rPr>
          <w:sz w:val="21"/>
          <w:szCs w:val="21"/>
          <w:u w:val="single"/>
        </w:rPr>
        <w:t xml:space="preserve"> </w:t>
      </w:r>
      <w:r>
        <w:rPr>
          <w:sz w:val="21"/>
          <w:szCs w:val="21"/>
          <w:u w:val="single"/>
        </w:rPr>
        <w:tab/>
      </w:r>
      <w:r>
        <w:rPr>
          <w:sz w:val="21"/>
          <w:szCs w:val="21"/>
        </w:rPr>
        <w:t>（盖单位章）</w:t>
      </w:r>
    </w:p>
    <w:p w14:paraId="386DAEFB">
      <w:pPr>
        <w:pStyle w:val="12"/>
        <w:spacing w:line="360" w:lineRule="auto"/>
        <w:rPr>
          <w:sz w:val="21"/>
          <w:szCs w:val="21"/>
        </w:rPr>
      </w:pPr>
    </w:p>
    <w:p w14:paraId="53692E9D">
      <w:pPr>
        <w:pStyle w:val="12"/>
        <w:spacing w:before="8" w:line="360" w:lineRule="auto"/>
        <w:rPr>
          <w:sz w:val="21"/>
          <w:szCs w:val="21"/>
        </w:rPr>
      </w:pPr>
    </w:p>
    <w:p w14:paraId="1EE9B257">
      <w:pPr>
        <w:pStyle w:val="12"/>
        <w:tabs>
          <w:tab w:val="left" w:pos="5945"/>
          <w:tab w:val="left" w:pos="6665"/>
          <w:tab w:val="left" w:pos="7385"/>
        </w:tabs>
        <w:spacing w:before="66" w:line="360" w:lineRule="auto"/>
        <w:ind w:left="4985"/>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178556C6">
      <w:pPr>
        <w:spacing w:after="0" w:line="360" w:lineRule="auto"/>
        <w:rPr>
          <w:sz w:val="21"/>
          <w:szCs w:val="21"/>
        </w:rPr>
        <w:sectPr>
          <w:type w:val="continuous"/>
          <w:pgSz w:w="11910" w:h="16850"/>
          <w:pgMar w:top="1600" w:right="1200" w:bottom="280" w:left="1220" w:header="720" w:footer="720" w:gutter="0"/>
          <w:pgNumType w:fmt="decimal"/>
          <w:cols w:space="720" w:num="1"/>
        </w:sectPr>
      </w:pPr>
    </w:p>
    <w:p w14:paraId="11C794E4">
      <w:pPr>
        <w:pStyle w:val="12"/>
        <w:rPr>
          <w:sz w:val="20"/>
        </w:rPr>
      </w:pPr>
    </w:p>
    <w:p w14:paraId="5F451A4C">
      <w:pPr>
        <w:pStyle w:val="12"/>
        <w:rPr>
          <w:sz w:val="20"/>
        </w:rPr>
      </w:pPr>
    </w:p>
    <w:p w14:paraId="3E4B5FBF">
      <w:pPr>
        <w:pStyle w:val="12"/>
        <w:rPr>
          <w:sz w:val="20"/>
        </w:rPr>
      </w:pPr>
    </w:p>
    <w:p w14:paraId="689F9958">
      <w:pPr>
        <w:pStyle w:val="12"/>
        <w:rPr>
          <w:sz w:val="20"/>
        </w:rPr>
      </w:pPr>
    </w:p>
    <w:p w14:paraId="284FFFEC">
      <w:pPr>
        <w:pStyle w:val="12"/>
        <w:rPr>
          <w:sz w:val="20"/>
        </w:rPr>
      </w:pPr>
    </w:p>
    <w:p w14:paraId="10953EF3">
      <w:pPr>
        <w:pStyle w:val="12"/>
        <w:rPr>
          <w:sz w:val="20"/>
        </w:rPr>
      </w:pPr>
    </w:p>
    <w:p w14:paraId="1ED4D936">
      <w:pPr>
        <w:pStyle w:val="12"/>
        <w:rPr>
          <w:sz w:val="20"/>
        </w:rPr>
      </w:pPr>
    </w:p>
    <w:p w14:paraId="15F2B953">
      <w:pPr>
        <w:pStyle w:val="12"/>
        <w:rPr>
          <w:sz w:val="20"/>
        </w:rPr>
      </w:pPr>
    </w:p>
    <w:p w14:paraId="4A868C29">
      <w:pPr>
        <w:pStyle w:val="12"/>
        <w:rPr>
          <w:sz w:val="20"/>
        </w:rPr>
      </w:pPr>
    </w:p>
    <w:p w14:paraId="1204ADC0">
      <w:pPr>
        <w:pStyle w:val="12"/>
        <w:rPr>
          <w:sz w:val="20"/>
        </w:rPr>
      </w:pPr>
    </w:p>
    <w:p w14:paraId="1904BA79">
      <w:pPr>
        <w:pStyle w:val="12"/>
        <w:rPr>
          <w:sz w:val="20"/>
        </w:rPr>
      </w:pPr>
    </w:p>
    <w:p w14:paraId="1277320A">
      <w:pPr>
        <w:pStyle w:val="12"/>
        <w:rPr>
          <w:sz w:val="20"/>
        </w:rPr>
      </w:pPr>
    </w:p>
    <w:p w14:paraId="6F42B181">
      <w:pPr>
        <w:pStyle w:val="12"/>
        <w:rPr>
          <w:sz w:val="20"/>
        </w:rPr>
      </w:pPr>
    </w:p>
    <w:p w14:paraId="19AE853A">
      <w:pPr>
        <w:pStyle w:val="12"/>
        <w:rPr>
          <w:sz w:val="20"/>
        </w:rPr>
      </w:pPr>
    </w:p>
    <w:p w14:paraId="217377AB">
      <w:pPr>
        <w:pStyle w:val="12"/>
        <w:rPr>
          <w:sz w:val="20"/>
        </w:rPr>
      </w:pPr>
    </w:p>
    <w:p w14:paraId="4F6D3746">
      <w:pPr>
        <w:pStyle w:val="12"/>
        <w:rPr>
          <w:sz w:val="20"/>
        </w:rPr>
      </w:pPr>
    </w:p>
    <w:p w14:paraId="0718104A">
      <w:pPr>
        <w:pStyle w:val="12"/>
        <w:rPr>
          <w:sz w:val="20"/>
        </w:rPr>
      </w:pPr>
    </w:p>
    <w:p w14:paraId="6898EB38">
      <w:pPr>
        <w:pStyle w:val="12"/>
        <w:rPr>
          <w:sz w:val="20"/>
        </w:rPr>
      </w:pPr>
    </w:p>
    <w:p w14:paraId="32049B86">
      <w:pPr>
        <w:pStyle w:val="12"/>
        <w:spacing w:before="3"/>
        <w:rPr>
          <w:sz w:val="15"/>
        </w:rPr>
      </w:pPr>
    </w:p>
    <w:p w14:paraId="77610611">
      <w:pPr>
        <w:pStyle w:val="3"/>
        <w:bidi w:val="0"/>
      </w:pPr>
      <w:bookmarkStart w:id="154" w:name="_Toc20800"/>
      <w:r>
        <w:t>第三章</w:t>
      </w:r>
      <w:r>
        <w:tab/>
      </w:r>
      <w:r>
        <w:t>评标办法</w:t>
      </w:r>
      <w:bookmarkEnd w:id="154"/>
    </w:p>
    <w:p w14:paraId="1139D915">
      <w:pPr>
        <w:pStyle w:val="3"/>
        <w:bidi w:val="0"/>
        <w:outlineLvl w:val="9"/>
        <w:sectPr>
          <w:headerReference r:id="rId26" w:type="default"/>
          <w:footerReference r:id="rId27" w:type="default"/>
          <w:pgSz w:w="11910" w:h="16850"/>
          <w:pgMar w:top="1600" w:right="1200" w:bottom="280" w:left="1220" w:header="0" w:footer="0" w:gutter="0"/>
          <w:pgNumType w:fmt="decimal"/>
          <w:cols w:space="720" w:num="1"/>
        </w:sectPr>
      </w:pPr>
    </w:p>
    <w:p w14:paraId="442D2E65">
      <w:pPr>
        <w:spacing w:before="140" w:line="222" w:lineRule="auto"/>
        <w:ind w:left="285"/>
        <w:rPr>
          <w:rFonts w:ascii="黑体" w:hAnsi="黑体" w:eastAsia="黑体" w:cs="黑体"/>
          <w:sz w:val="43"/>
          <w:szCs w:val="43"/>
        </w:rPr>
      </w:pPr>
      <w:bookmarkStart w:id="155" w:name="_bookmark108"/>
      <w:bookmarkEnd w:id="155"/>
      <w:bookmarkStart w:id="156" w:name="_bookmark93"/>
      <w:bookmarkEnd w:id="156"/>
      <w:r>
        <w:rPr>
          <w:rFonts w:ascii="黑体" w:hAnsi="黑体" w:eastAsia="黑体" w:cs="黑体"/>
          <w:spacing w:val="8"/>
          <w:sz w:val="43"/>
          <w:szCs w:val="43"/>
        </w:rPr>
        <w:t>第三章  评标办法（技术评分最低标价法）</w:t>
      </w:r>
    </w:p>
    <w:p w14:paraId="5A660E53">
      <w:pPr>
        <w:spacing w:before="78" w:line="326" w:lineRule="exact"/>
        <w:ind w:left="121"/>
        <w:rPr>
          <w:rFonts w:ascii="黑体" w:hAnsi="黑体" w:eastAsia="黑体" w:cs="黑体"/>
          <w:sz w:val="13"/>
          <w:szCs w:val="13"/>
        </w:rPr>
      </w:pPr>
      <w:r>
        <w:rPr>
          <w:rFonts w:ascii="黑体" w:hAnsi="黑体" w:eastAsia="黑体" w:cs="黑体"/>
          <w:sz w:val="24"/>
          <w:szCs w:val="24"/>
        </w:rPr>
        <w:t>评标办法前附表</w:t>
      </w:r>
    </w:p>
    <w:p w14:paraId="7A7FB656">
      <w:pPr>
        <w:spacing w:line="234" w:lineRule="exact"/>
      </w:pPr>
    </w:p>
    <w:tbl>
      <w:tblPr>
        <w:tblStyle w:val="40"/>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279"/>
        <w:gridCol w:w="6626"/>
      </w:tblGrid>
      <w:tr w14:paraId="7DC2F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2272" w:type="dxa"/>
            <w:gridSpan w:val="2"/>
            <w:tcBorders>
              <w:right w:val="single" w:color="000000" w:sz="4" w:space="0"/>
            </w:tcBorders>
            <w:vAlign w:val="top"/>
          </w:tcPr>
          <w:p w14:paraId="2C2ED66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14:textOutline w14:w="3831" w14:cap="flat" w14:cmpd="sng">
                  <w14:solidFill>
                    <w14:srgbClr w14:val="000000"/>
                  </w14:solidFill>
                  <w14:prstDash w14:val="solid"/>
                  <w14:miter w14:val="0"/>
                </w14:textOutline>
              </w:rPr>
              <w:t>条款号</w:t>
            </w:r>
          </w:p>
        </w:tc>
        <w:tc>
          <w:tcPr>
            <w:tcW w:w="6626" w:type="dxa"/>
            <w:tcBorders>
              <w:left w:val="single" w:color="000000" w:sz="4" w:space="0"/>
            </w:tcBorders>
            <w:vAlign w:val="top"/>
          </w:tcPr>
          <w:p w14:paraId="47B60EB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14:textOutline w14:w="3831" w14:cap="flat" w14:cmpd="sng">
                  <w14:solidFill>
                    <w14:srgbClr w14:val="000000"/>
                  </w14:solidFill>
                  <w14:prstDash w14:val="solid"/>
                  <w14:miter w14:val="0"/>
                </w14:textOutline>
              </w:rPr>
              <w:t>评审因素与评审标准</w:t>
            </w:r>
          </w:p>
        </w:tc>
      </w:tr>
      <w:tr w14:paraId="0219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993" w:type="dxa"/>
            <w:vAlign w:val="center"/>
          </w:tcPr>
          <w:p w14:paraId="2846C174">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79" w:type="dxa"/>
            <w:tcBorders>
              <w:right w:val="single" w:color="000000" w:sz="4" w:space="0"/>
            </w:tcBorders>
            <w:vAlign w:val="center"/>
          </w:tcPr>
          <w:p w14:paraId="474B4D09">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评标方法</w:t>
            </w:r>
          </w:p>
        </w:tc>
        <w:tc>
          <w:tcPr>
            <w:tcW w:w="6626" w:type="dxa"/>
            <w:tcBorders>
              <w:left w:val="single" w:color="000000" w:sz="4" w:space="0"/>
            </w:tcBorders>
            <w:vAlign w:val="top"/>
          </w:tcPr>
          <w:p w14:paraId="7A04E38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评标价相等时，评标委员会依次按照以下优先顺序推荐中标候选人</w:t>
            </w:r>
            <w:r>
              <w:rPr>
                <w:rFonts w:hint="eastAsia" w:asciiTheme="minorEastAsia" w:hAnsiTheme="minorEastAsia" w:eastAsiaTheme="minorEastAsia" w:cstheme="minorEastAsia"/>
                <w:spacing w:val="-2"/>
                <w:sz w:val="21"/>
                <w:szCs w:val="21"/>
              </w:rPr>
              <w:t>或确定中标人：</w:t>
            </w:r>
          </w:p>
          <w:p w14:paraId="76849AD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（1）投标报价低的投标人优先；</w:t>
            </w:r>
          </w:p>
          <w:p w14:paraId="6284361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2"/>
                <w:sz w:val="21"/>
                <w:szCs w:val="21"/>
                <w:lang w:val="en-US" w:eastAsia="zh-CN"/>
              </w:rPr>
              <w:t>2</w:t>
            </w:r>
            <w:r>
              <w:rPr>
                <w:rFonts w:hint="eastAsia" w:asciiTheme="minorEastAsia" w:hAnsiTheme="minorEastAsia" w:eastAsiaTheme="minorEastAsia" w:cstheme="minorEastAsia"/>
                <w:spacing w:val="-2"/>
                <w:sz w:val="21"/>
                <w:szCs w:val="21"/>
              </w:rPr>
              <w:t>）商务和技术得分较高的投标人优先；</w:t>
            </w:r>
          </w:p>
        </w:tc>
      </w:tr>
      <w:tr w14:paraId="284EF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69" w:hRule="atLeast"/>
        </w:trPr>
        <w:tc>
          <w:tcPr>
            <w:tcW w:w="993" w:type="dxa"/>
            <w:vAlign w:val="center"/>
          </w:tcPr>
          <w:p w14:paraId="1CC9B49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16"/>
                <w:sz w:val="21"/>
                <w:szCs w:val="21"/>
              </w:rPr>
              <w:t>2.1.1</w:t>
            </w:r>
          </w:p>
          <w:p w14:paraId="645DBA5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2.1.3</w:t>
            </w:r>
          </w:p>
        </w:tc>
        <w:tc>
          <w:tcPr>
            <w:tcW w:w="1279" w:type="dxa"/>
            <w:tcBorders>
              <w:right w:val="single" w:color="000000" w:sz="4" w:space="0"/>
            </w:tcBorders>
            <w:vAlign w:val="center"/>
          </w:tcPr>
          <w:p w14:paraId="45EC410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形式评审与</w:t>
            </w:r>
            <w:r>
              <w:rPr>
                <w:rFonts w:hint="eastAsia" w:asciiTheme="minorEastAsia" w:hAnsiTheme="minorEastAsia" w:eastAsiaTheme="minorEastAsia" w:cstheme="minorEastAsia"/>
                <w:spacing w:val="-4"/>
                <w:sz w:val="21"/>
                <w:szCs w:val="21"/>
              </w:rPr>
              <w:t>响应性评审</w:t>
            </w:r>
            <w:r>
              <w:rPr>
                <w:rFonts w:hint="eastAsia" w:asciiTheme="minorEastAsia" w:hAnsiTheme="minorEastAsia" w:eastAsiaTheme="minorEastAsia" w:cstheme="minorEastAsia"/>
                <w:spacing w:val="-2"/>
                <w:sz w:val="21"/>
                <w:szCs w:val="21"/>
              </w:rPr>
              <w:t>标准</w:t>
            </w:r>
          </w:p>
        </w:tc>
        <w:tc>
          <w:tcPr>
            <w:tcW w:w="6626" w:type="dxa"/>
            <w:tcBorders>
              <w:left w:val="single" w:color="000000" w:sz="4" w:space="0"/>
            </w:tcBorders>
            <w:vAlign w:val="top"/>
          </w:tcPr>
          <w:p w14:paraId="24FD037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第一个信封（商务及技术文件）评审标准：</w:t>
            </w:r>
          </w:p>
          <w:p w14:paraId="203BD1D0">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（1）投标文件按照招标文件规定的格式、内容填写，字迹清晰可辨：</w:t>
            </w:r>
          </w:p>
          <w:p w14:paraId="0DEF713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a.投标函按招标文件规定填报了项目名称、标段号、补遗书编号（如 有）、工期、工程质量要求及安全目标；</w:t>
            </w:r>
          </w:p>
          <w:p w14:paraId="4395E0E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b.投标函附录的所有数据均符合招标文件规定；</w:t>
            </w:r>
          </w:p>
          <w:p w14:paraId="04CB034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c.投标文件组成齐全完整，内容均按规定填写。</w:t>
            </w:r>
          </w:p>
          <w:p w14:paraId="122AF9B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（2）投标文件上法定代表人或其委托代理人的签字、投标人的单位章盖 章齐全，符合招标文件规定。</w:t>
            </w:r>
          </w:p>
          <w:p w14:paraId="430B232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（3）与申请资格预审时比较，投标人发生合并、分立、破产等重大变化 的，仍具备资格预审文件规定的相应资格条件且其投标未影响招标公正</w:t>
            </w:r>
          </w:p>
          <w:p w14:paraId="4CC7541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w:t>
            </w:r>
          </w:p>
          <w:p w14:paraId="790D6720">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a.投标人应提供相关部门的合法批件及企业法人营业执照和资质证书 等证件的副本变更记录复印件；</w:t>
            </w:r>
          </w:p>
          <w:p w14:paraId="485E7729">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b.投标人仍然满足资格预审文件中规定的资格预审条件最低要求（资 质、业绩、人员、信誉、财务等）；</w:t>
            </w:r>
          </w:p>
          <w:p w14:paraId="6140CF5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c.与所投标段的其他投标人不存在控股、管理关系或单位负责人为同一 人的情况； 与招标人也不存在利害关系并可能影响招标公正性。</w:t>
            </w:r>
          </w:p>
          <w:p w14:paraId="7F6779F9">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（4）投标人按照招标文件的规定提供了投标保证金：</w:t>
            </w:r>
          </w:p>
          <w:p w14:paraId="159D5330">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a.投标保证金金额符合招标文件规定的金额，且投标保证金有效期不少 于投标有效期；</w:t>
            </w:r>
          </w:p>
        </w:tc>
      </w:tr>
    </w:tbl>
    <w:p w14:paraId="4BFCD372">
      <w:pPr>
        <w:spacing w:before="68" w:line="212" w:lineRule="auto"/>
        <w:ind w:left="8143"/>
        <w:rPr>
          <w:rFonts w:ascii="宋体" w:hAnsi="宋体" w:eastAsia="宋体" w:cs="宋体"/>
          <w:spacing w:val="2"/>
          <w:sz w:val="21"/>
          <w:szCs w:val="21"/>
        </w:rPr>
      </w:pPr>
    </w:p>
    <w:p w14:paraId="55DDFA90">
      <w:pPr>
        <w:spacing w:before="68" w:line="212" w:lineRule="auto"/>
        <w:ind w:left="8143"/>
        <w:rPr>
          <w:rFonts w:ascii="宋体" w:hAnsi="宋体" w:eastAsia="宋体" w:cs="宋体"/>
          <w:spacing w:val="2"/>
          <w:sz w:val="21"/>
          <w:szCs w:val="21"/>
        </w:rPr>
      </w:pPr>
    </w:p>
    <w:p w14:paraId="4CC9010F">
      <w:pPr>
        <w:spacing w:before="68" w:line="212" w:lineRule="auto"/>
        <w:ind w:left="8143"/>
        <w:rPr>
          <w:rFonts w:ascii="宋体" w:hAnsi="宋体" w:eastAsia="宋体" w:cs="宋体"/>
          <w:spacing w:val="2"/>
          <w:sz w:val="21"/>
          <w:szCs w:val="21"/>
        </w:rPr>
      </w:pPr>
    </w:p>
    <w:p w14:paraId="22232CBD">
      <w:pPr>
        <w:spacing w:before="68" w:line="212" w:lineRule="auto"/>
        <w:ind w:left="8143"/>
        <w:rPr>
          <w:rFonts w:ascii="宋体" w:hAnsi="宋体" w:eastAsia="宋体" w:cs="宋体"/>
          <w:spacing w:val="2"/>
          <w:sz w:val="21"/>
          <w:szCs w:val="21"/>
        </w:rPr>
      </w:pPr>
    </w:p>
    <w:p w14:paraId="04AB9741">
      <w:pPr>
        <w:spacing w:before="68" w:line="212" w:lineRule="auto"/>
        <w:ind w:left="8143"/>
        <w:rPr>
          <w:rFonts w:ascii="宋体" w:hAnsi="宋体" w:eastAsia="宋体" w:cs="宋体"/>
          <w:spacing w:val="2"/>
          <w:sz w:val="21"/>
          <w:szCs w:val="21"/>
        </w:rPr>
      </w:pPr>
    </w:p>
    <w:p w14:paraId="29170E8B">
      <w:pPr>
        <w:spacing w:before="68" w:line="212" w:lineRule="auto"/>
        <w:ind w:left="8143"/>
        <w:rPr>
          <w:rFonts w:ascii="宋体" w:hAnsi="宋体" w:eastAsia="宋体" w:cs="宋体"/>
          <w:spacing w:val="2"/>
          <w:sz w:val="21"/>
          <w:szCs w:val="21"/>
        </w:rPr>
      </w:pPr>
    </w:p>
    <w:p w14:paraId="15AD9240">
      <w:pPr>
        <w:spacing w:before="68" w:line="212" w:lineRule="auto"/>
        <w:ind w:left="8143"/>
        <w:rPr>
          <w:rFonts w:ascii="宋体" w:hAnsi="宋体" w:eastAsia="宋体" w:cs="宋体"/>
          <w:spacing w:val="2"/>
          <w:sz w:val="21"/>
          <w:szCs w:val="21"/>
        </w:rPr>
      </w:pPr>
    </w:p>
    <w:p w14:paraId="76506B7B">
      <w:pPr>
        <w:spacing w:before="68" w:line="212" w:lineRule="auto"/>
        <w:ind w:left="8143"/>
        <w:rPr>
          <w:rFonts w:ascii="宋体" w:hAnsi="宋体" w:eastAsia="宋体" w:cs="宋体"/>
          <w:spacing w:val="2"/>
          <w:sz w:val="21"/>
          <w:szCs w:val="21"/>
        </w:rPr>
      </w:pPr>
    </w:p>
    <w:p w14:paraId="22F05B6B">
      <w:pPr>
        <w:spacing w:before="68" w:line="212" w:lineRule="auto"/>
        <w:ind w:left="8143"/>
        <w:rPr>
          <w:rFonts w:ascii="宋体" w:hAnsi="宋体" w:eastAsia="宋体" w:cs="宋体"/>
          <w:sz w:val="21"/>
          <w:szCs w:val="21"/>
        </w:rPr>
      </w:pPr>
      <w:r>
        <w:rPr>
          <w:rFonts w:ascii="宋体" w:hAnsi="宋体" w:eastAsia="宋体" w:cs="宋体"/>
          <w:spacing w:val="2"/>
          <w:sz w:val="21"/>
          <w:szCs w:val="21"/>
        </w:rPr>
        <w:t>续上表</w:t>
      </w:r>
    </w:p>
    <w:tbl>
      <w:tblPr>
        <w:tblStyle w:val="40"/>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279"/>
        <w:gridCol w:w="6626"/>
      </w:tblGrid>
      <w:tr w14:paraId="6938C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272" w:type="dxa"/>
            <w:gridSpan w:val="2"/>
            <w:tcBorders>
              <w:right w:val="single" w:color="000000" w:sz="4" w:space="0"/>
            </w:tcBorders>
            <w:vAlign w:val="top"/>
          </w:tcPr>
          <w:p w14:paraId="3B5A113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14:textOutline w14:w="3831" w14:cap="flat" w14:cmpd="sng">
                  <w14:solidFill>
                    <w14:srgbClr w14:val="000000"/>
                  </w14:solidFill>
                  <w14:prstDash w14:val="solid"/>
                  <w14:miter w14:val="0"/>
                </w14:textOutline>
              </w:rPr>
              <w:t>条款号</w:t>
            </w:r>
          </w:p>
        </w:tc>
        <w:tc>
          <w:tcPr>
            <w:tcW w:w="6626" w:type="dxa"/>
            <w:tcBorders>
              <w:left w:val="single" w:color="000000" w:sz="4" w:space="0"/>
            </w:tcBorders>
            <w:vAlign w:val="top"/>
          </w:tcPr>
          <w:p w14:paraId="5558B53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14:textOutline w14:w="3831" w14:cap="flat" w14:cmpd="sng">
                  <w14:solidFill>
                    <w14:srgbClr w14:val="000000"/>
                  </w14:solidFill>
                  <w14:prstDash w14:val="solid"/>
                  <w14:miter w14:val="0"/>
                </w14:textOutline>
              </w:rPr>
              <w:t>评审因素与评审标准</w:t>
            </w:r>
          </w:p>
        </w:tc>
      </w:tr>
      <w:tr w14:paraId="1CFC1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6" w:hRule="atLeast"/>
        </w:trPr>
        <w:tc>
          <w:tcPr>
            <w:tcW w:w="993" w:type="dxa"/>
            <w:vAlign w:val="center"/>
          </w:tcPr>
          <w:p w14:paraId="03E55EE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16"/>
                <w:sz w:val="21"/>
                <w:szCs w:val="21"/>
              </w:rPr>
              <w:t>2.1.1</w:t>
            </w:r>
          </w:p>
          <w:p w14:paraId="37F8736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2.1.3</w:t>
            </w:r>
          </w:p>
        </w:tc>
        <w:tc>
          <w:tcPr>
            <w:tcW w:w="1279" w:type="dxa"/>
            <w:tcBorders>
              <w:right w:val="single" w:color="000000" w:sz="4" w:space="0"/>
            </w:tcBorders>
            <w:vAlign w:val="center"/>
          </w:tcPr>
          <w:p w14:paraId="324A88D4">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形式评审与</w:t>
            </w:r>
            <w:r>
              <w:rPr>
                <w:rFonts w:hint="eastAsia" w:asciiTheme="minorEastAsia" w:hAnsiTheme="minorEastAsia" w:eastAsiaTheme="minorEastAsia" w:cstheme="minorEastAsia"/>
                <w:spacing w:val="-4"/>
                <w:sz w:val="21"/>
                <w:szCs w:val="21"/>
              </w:rPr>
              <w:t>响应性评审</w:t>
            </w:r>
            <w:r>
              <w:rPr>
                <w:rFonts w:hint="eastAsia" w:asciiTheme="minorEastAsia" w:hAnsiTheme="minorEastAsia" w:eastAsiaTheme="minorEastAsia" w:cstheme="minorEastAsia"/>
                <w:spacing w:val="-2"/>
                <w:sz w:val="21"/>
                <w:szCs w:val="21"/>
              </w:rPr>
              <w:t>标准</w:t>
            </w:r>
          </w:p>
        </w:tc>
        <w:tc>
          <w:tcPr>
            <w:tcW w:w="6626" w:type="dxa"/>
            <w:tcBorders>
              <w:left w:val="single" w:color="000000" w:sz="4" w:space="0"/>
            </w:tcBorders>
            <w:vAlign w:val="top"/>
          </w:tcPr>
          <w:p w14:paraId="1BDA96E9">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b.若投标保证金采用现金或支票形式提交，投标人应在递交投标文件截 止时间之前，将投标保证金由投标人的基本账户转入招标人指定账户；</w:t>
            </w:r>
          </w:p>
          <w:p w14:paraId="4B76E8A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c.若投标保证金采用银行保函形式提交，银行保函的格式、开具保函的  银行均满足招标文件要求，且在递交投标文件截止时间之前向招标人提交了银行保函。</w:t>
            </w:r>
          </w:p>
          <w:p w14:paraId="5A05DFC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（5）投标人法定代表人授权委托代理人签署投标文件的，须提交授权委 托书，且授权人和被授权人均在授权委托书上签名，未使用印章、签名章 或其他电子制版签名代替。</w:t>
            </w:r>
          </w:p>
          <w:p w14:paraId="6805FBC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（6）投标人法定代表人亲自签署投标文件的，提供了法定代表人身份证 明，且法定代表人在法定代表人身份证明上签名，未使用印章、签名章或其他电子制版签名代替。</w:t>
            </w:r>
          </w:p>
          <w:p w14:paraId="19FD0A8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（7）投标人以联合体形式投标时，联合体满足招标文件的要求：</w:t>
            </w:r>
          </w:p>
          <w:p w14:paraId="3CE8EEE4">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a.未进行资格预审的，投标人按照招标文件提供的格式签订了联合体协议书，明确各方承担连带责任，并明确了联合体牵头人；</w:t>
            </w:r>
          </w:p>
          <w:p w14:paraId="44749DF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b.已进行资格预审的，投标人提供了资格预审申请文件中所附的联合体协议书复印件，且通过资格预审后的联合体无成员增减或更换的情况。</w:t>
            </w:r>
          </w:p>
          <w:p w14:paraId="19DFCA2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（8）投标人如有分包计划，符合招标文件第二章“投标人须知”第</w:t>
            </w:r>
          </w:p>
          <w:p w14:paraId="5E058D9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1.11款规定，且按招标文件第九章“投标文件格式”的要求填写了“拟分包项目情况表”。</w:t>
            </w:r>
          </w:p>
          <w:p w14:paraId="1932A83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（9）同一投标人未提交两个以上不同的投标文件，但招标文件要求提交 备选投标的除外。</w:t>
            </w:r>
          </w:p>
          <w:p w14:paraId="69AAFC05">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（10）投标文件中未出现有关投标报价的内容。</w:t>
            </w:r>
          </w:p>
          <w:p w14:paraId="24FC5D6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（11）投标文件载明的招标项目完成期限未超过招标文件规定的时限。</w:t>
            </w:r>
          </w:p>
          <w:p w14:paraId="4ECF045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（12）投标文件对招标文件的实质性要求和条件作出响应。</w:t>
            </w:r>
          </w:p>
          <w:p w14:paraId="20E3FD2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（13）权利义务符合招标文件规定：</w:t>
            </w:r>
          </w:p>
          <w:p w14:paraId="3E7AF894">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a.投标人应接受招标文件规定的风险划分原则，未提出新的风险划分办 法；</w:t>
            </w:r>
          </w:p>
          <w:p w14:paraId="2AC72EA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b.投标人未增加发包人的责任范围，或减少投标人义务；</w:t>
            </w:r>
          </w:p>
          <w:p w14:paraId="1A57F5F9">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c.投标人未提出不同的工程验收、计量、支付办法；</w:t>
            </w:r>
          </w:p>
          <w:p w14:paraId="78820DF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d.投标人对合同纠纷、事故处理办法未提出异议；</w:t>
            </w:r>
          </w:p>
          <w:p w14:paraId="6D95E8A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pacing w:val="-2"/>
                <w:sz w:val="21"/>
                <w:szCs w:val="21"/>
              </w:rPr>
            </w:pPr>
            <w:r>
              <w:rPr>
                <w:rFonts w:hint="eastAsia" w:asciiTheme="minorEastAsia" w:hAnsiTheme="minorEastAsia" w:eastAsiaTheme="minorEastAsia" w:cstheme="minorEastAsia"/>
                <w:spacing w:val="-2"/>
                <w:sz w:val="21"/>
                <w:szCs w:val="21"/>
              </w:rPr>
              <w:t>e.投标人在投标活动中无欺诈行为；</w:t>
            </w:r>
          </w:p>
          <w:p w14:paraId="7095193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f.投标人未对合同条款有重要保留。</w:t>
            </w:r>
          </w:p>
        </w:tc>
      </w:tr>
    </w:tbl>
    <w:p w14:paraId="2B84E8F6">
      <w:pPr>
        <w:rPr>
          <w:rFonts w:ascii="Arial"/>
          <w:sz w:val="21"/>
        </w:rPr>
      </w:pPr>
    </w:p>
    <w:p w14:paraId="6BFAFE54">
      <w:pPr>
        <w:rPr>
          <w:rFonts w:ascii="Arial" w:hAnsi="Arial" w:eastAsia="Arial" w:cs="Arial"/>
          <w:sz w:val="21"/>
          <w:szCs w:val="21"/>
        </w:rPr>
        <w:sectPr>
          <w:headerReference r:id="rId28" w:type="default"/>
          <w:footerReference r:id="rId29" w:type="default"/>
          <w:pgSz w:w="11907" w:h="16841"/>
          <w:pgMar w:top="1166" w:right="1471" w:bottom="1045" w:left="1531" w:header="883" w:footer="885" w:gutter="0"/>
          <w:pgNumType w:fmt="decimal"/>
          <w:cols w:space="720" w:num="1"/>
        </w:sectPr>
      </w:pPr>
    </w:p>
    <w:p w14:paraId="2AA19C98">
      <w:pPr>
        <w:spacing w:before="68" w:line="212" w:lineRule="auto"/>
        <w:ind w:left="8143"/>
        <w:rPr>
          <w:rFonts w:ascii="宋体" w:hAnsi="宋体" w:eastAsia="宋体" w:cs="宋体"/>
          <w:sz w:val="21"/>
          <w:szCs w:val="21"/>
        </w:rPr>
      </w:pPr>
      <w:r>
        <w:rPr>
          <w:rFonts w:ascii="宋体" w:hAnsi="宋体" w:eastAsia="宋体" w:cs="宋体"/>
          <w:spacing w:val="2"/>
          <w:sz w:val="21"/>
          <w:szCs w:val="21"/>
        </w:rPr>
        <w:t>续上表</w:t>
      </w:r>
    </w:p>
    <w:tbl>
      <w:tblPr>
        <w:tblStyle w:val="40"/>
        <w:tblW w:w="8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279"/>
        <w:gridCol w:w="6626"/>
      </w:tblGrid>
      <w:tr w14:paraId="410A9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272" w:type="dxa"/>
            <w:gridSpan w:val="2"/>
            <w:tcBorders>
              <w:right w:val="single" w:color="000000" w:sz="4" w:space="0"/>
            </w:tcBorders>
            <w:vAlign w:val="top"/>
          </w:tcPr>
          <w:p w14:paraId="6A136AE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14:textOutline w14:w="3831" w14:cap="flat" w14:cmpd="sng">
                  <w14:solidFill>
                    <w14:srgbClr w14:val="000000"/>
                  </w14:solidFill>
                  <w14:prstDash w14:val="solid"/>
                  <w14:miter w14:val="0"/>
                </w14:textOutline>
              </w:rPr>
              <w:t>条款号</w:t>
            </w:r>
          </w:p>
        </w:tc>
        <w:tc>
          <w:tcPr>
            <w:tcW w:w="6626" w:type="dxa"/>
            <w:tcBorders>
              <w:left w:val="single" w:color="000000" w:sz="4" w:space="0"/>
            </w:tcBorders>
            <w:vAlign w:val="top"/>
          </w:tcPr>
          <w:p w14:paraId="2E7A5F8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14:textOutline w14:w="3831" w14:cap="flat" w14:cmpd="sng">
                  <w14:solidFill>
                    <w14:srgbClr w14:val="000000"/>
                  </w14:solidFill>
                  <w14:prstDash w14:val="solid"/>
                  <w14:miter w14:val="0"/>
                </w14:textOutline>
              </w:rPr>
              <w:t>评审因素与评审标准</w:t>
            </w:r>
          </w:p>
        </w:tc>
      </w:tr>
      <w:tr w14:paraId="4301E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0" w:hRule="atLeast"/>
        </w:trPr>
        <w:tc>
          <w:tcPr>
            <w:tcW w:w="993" w:type="dxa"/>
            <w:vAlign w:val="center"/>
          </w:tcPr>
          <w:p w14:paraId="1B0AD2C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position w:val="16"/>
                <w:sz w:val="21"/>
                <w:szCs w:val="21"/>
              </w:rPr>
              <w:t>2.1.1</w:t>
            </w:r>
          </w:p>
          <w:p w14:paraId="1C9603F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2.1.3</w:t>
            </w:r>
          </w:p>
        </w:tc>
        <w:tc>
          <w:tcPr>
            <w:tcW w:w="1279" w:type="dxa"/>
            <w:tcBorders>
              <w:right w:val="single" w:color="000000" w:sz="4" w:space="0"/>
            </w:tcBorders>
            <w:vAlign w:val="center"/>
          </w:tcPr>
          <w:p w14:paraId="3D7F814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形式评审与</w:t>
            </w:r>
            <w:r>
              <w:rPr>
                <w:rFonts w:hint="eastAsia" w:asciiTheme="minorEastAsia" w:hAnsiTheme="minorEastAsia" w:eastAsiaTheme="minorEastAsia" w:cstheme="minorEastAsia"/>
                <w:spacing w:val="-4"/>
                <w:sz w:val="21"/>
                <w:szCs w:val="21"/>
              </w:rPr>
              <w:t>响应性评审</w:t>
            </w:r>
            <w:r>
              <w:rPr>
                <w:rFonts w:hint="eastAsia" w:asciiTheme="minorEastAsia" w:hAnsiTheme="minorEastAsia" w:eastAsiaTheme="minorEastAsia" w:cstheme="minorEastAsia"/>
                <w:spacing w:val="-2"/>
                <w:sz w:val="21"/>
                <w:szCs w:val="21"/>
              </w:rPr>
              <w:t>标准</w:t>
            </w:r>
          </w:p>
        </w:tc>
        <w:tc>
          <w:tcPr>
            <w:tcW w:w="6626" w:type="dxa"/>
            <w:tcBorders>
              <w:left w:val="single" w:color="000000" w:sz="4" w:space="0"/>
            </w:tcBorders>
            <w:vAlign w:val="top"/>
          </w:tcPr>
          <w:p w14:paraId="346CA75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第二个信封（报价文件）评审标准：</w:t>
            </w:r>
          </w:p>
          <w:p w14:paraId="1E67B3D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（1）投标文件按照招标文件规定的格式、内容填写，字迹清晰可辨：</w:t>
            </w:r>
          </w:p>
          <w:p w14:paraId="795275F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a.投标函按招标文件规定填报了项目名称、标段号、补遗书编号（如 有）、投标价（包括大写金额和小写金额）；</w:t>
            </w:r>
          </w:p>
          <w:p w14:paraId="0A76EB9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b.已标价工程量清单说明文字与招标文件规定一致，未进行实质性修改 和删减；</w:t>
            </w:r>
          </w:p>
          <w:p w14:paraId="61A03174">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c.投标文件组成齐全完整，内容均按规定填写。</w:t>
            </w:r>
          </w:p>
          <w:p w14:paraId="52417F0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（2）投标文件上法定代表人或其委托代理人的签字、投标人的单位章盖 章齐全，符合招标文件规定。</w:t>
            </w:r>
          </w:p>
          <w:p w14:paraId="2A011A20">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（3）投标报价或调价函中的报价未超过招标文件设定的最高投标限价 （如有）。</w:t>
            </w:r>
          </w:p>
          <w:p w14:paraId="2E361A8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（4）投标报价或调价函中报价的大写金额能够确定具体数值。</w:t>
            </w:r>
          </w:p>
          <w:p w14:paraId="01851CF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（5）同一投标人未提交两个以上不同的投标报价，但招标文件要求提交 备选投标的除外。</w:t>
            </w:r>
          </w:p>
          <w:p w14:paraId="4A334DA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（6）投标人若提交调价函，调价函符合招标文件第二章“投标人须知” 第3.2.6项要求。</w:t>
            </w:r>
          </w:p>
          <w:p w14:paraId="27F5180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（7）投标人若填写工程量固化清单，填写完毕的工程量固化清单未对工  程量固化清单电子文件中的数据、格式和运算定义进行修改；工程量固化 清单中的投标报价和投标函大写金额报价一致。</w:t>
            </w:r>
          </w:p>
        </w:tc>
      </w:tr>
      <w:tr w14:paraId="2632E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2" w:hRule="atLeast"/>
        </w:trPr>
        <w:tc>
          <w:tcPr>
            <w:tcW w:w="993" w:type="dxa"/>
            <w:vAlign w:val="center"/>
          </w:tcPr>
          <w:p w14:paraId="57C23DF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2.1.2</w:t>
            </w:r>
          </w:p>
        </w:tc>
        <w:tc>
          <w:tcPr>
            <w:tcW w:w="1279" w:type="dxa"/>
            <w:tcBorders>
              <w:right w:val="single" w:color="000000" w:sz="4" w:space="0"/>
            </w:tcBorders>
            <w:vAlign w:val="center"/>
          </w:tcPr>
          <w:p w14:paraId="5BD318D9">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资格评审</w:t>
            </w:r>
            <w:r>
              <w:rPr>
                <w:rFonts w:hint="eastAsia" w:asciiTheme="minorEastAsia" w:hAnsiTheme="minorEastAsia" w:eastAsiaTheme="minorEastAsia" w:cstheme="minorEastAsia"/>
                <w:spacing w:val="-3"/>
                <w:position w:val="-1"/>
                <w:sz w:val="21"/>
                <w:szCs w:val="21"/>
              </w:rPr>
              <w:t>标准</w:t>
            </w:r>
          </w:p>
        </w:tc>
        <w:tc>
          <w:tcPr>
            <w:tcW w:w="6626" w:type="dxa"/>
            <w:tcBorders>
              <w:left w:val="single" w:color="000000" w:sz="4" w:space="0"/>
            </w:tcBorders>
            <w:vAlign w:val="top"/>
          </w:tcPr>
          <w:p w14:paraId="350E2C6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（1）投标人具备有效的营业执照、组织机构代码证、资质证书、安全生 产许可证和基本账户开户许可证。</w:t>
            </w:r>
          </w:p>
          <w:p w14:paraId="3BA2D17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（2）投标人的资质等级符合招标文件规定。</w:t>
            </w:r>
          </w:p>
          <w:p w14:paraId="5A368EB5">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（3）投标人的财务状况符合招标文件规定。</w:t>
            </w:r>
          </w:p>
          <w:p w14:paraId="65A9D75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（4）投标人的类似项目业绩符合招标文件规定。</w:t>
            </w:r>
          </w:p>
          <w:p w14:paraId="43B290F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（5）投标人的信誉符合招标文件规定。</w:t>
            </w:r>
          </w:p>
        </w:tc>
      </w:tr>
    </w:tbl>
    <w:p w14:paraId="1811B9A4">
      <w:pPr>
        <w:spacing w:line="445" w:lineRule="auto"/>
        <w:rPr>
          <w:rFonts w:ascii="Arial"/>
          <w:sz w:val="21"/>
        </w:rPr>
      </w:pPr>
    </w:p>
    <w:p w14:paraId="1777FB86">
      <w:pPr>
        <w:spacing w:line="222" w:lineRule="auto"/>
        <w:rPr>
          <w:rFonts w:ascii="宋体" w:hAnsi="宋体" w:eastAsia="宋体" w:cs="宋体"/>
          <w:sz w:val="18"/>
          <w:szCs w:val="18"/>
        </w:rPr>
        <w:sectPr>
          <w:headerReference r:id="rId30" w:type="default"/>
          <w:footerReference r:id="rId31" w:type="default"/>
          <w:pgSz w:w="11907" w:h="16841"/>
          <w:pgMar w:top="1166" w:right="1471" w:bottom="1014" w:left="1531" w:header="883" w:footer="853" w:gutter="0"/>
          <w:pgNumType w:fmt="decimal"/>
          <w:cols w:space="720" w:num="1"/>
        </w:sectPr>
      </w:pPr>
    </w:p>
    <w:p w14:paraId="6BB7ADE4">
      <w:pPr>
        <w:spacing w:before="68" w:line="214" w:lineRule="auto"/>
        <w:ind w:left="8143"/>
        <w:rPr>
          <w:rFonts w:ascii="宋体" w:hAnsi="宋体" w:eastAsia="宋体" w:cs="宋体"/>
          <w:sz w:val="21"/>
          <w:szCs w:val="21"/>
        </w:rPr>
      </w:pPr>
      <w:r>
        <w:rPr>
          <w:rFonts w:ascii="宋体" w:hAnsi="宋体" w:eastAsia="宋体" w:cs="宋体"/>
          <w:spacing w:val="2"/>
          <w:sz w:val="21"/>
          <w:szCs w:val="21"/>
        </w:rPr>
        <w:t>续上表</w:t>
      </w:r>
    </w:p>
    <w:tbl>
      <w:tblPr>
        <w:tblStyle w:val="40"/>
        <w:tblpPr w:leftFromText="181" w:rightFromText="181" w:vertAnchor="text" w:tblpXSpec="center" w:tblpY="1"/>
        <w:tblOverlap w:val="never"/>
        <w:tblW w:w="889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279"/>
        <w:gridCol w:w="6626"/>
      </w:tblGrid>
      <w:tr w14:paraId="70E95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jc w:val="center"/>
        </w:trPr>
        <w:tc>
          <w:tcPr>
            <w:tcW w:w="2272" w:type="dxa"/>
            <w:gridSpan w:val="2"/>
            <w:tcBorders>
              <w:right w:val="single" w:color="000000" w:sz="4" w:space="0"/>
            </w:tcBorders>
            <w:vAlign w:val="top"/>
          </w:tcPr>
          <w:p w14:paraId="3B380715">
            <w:pPr>
              <w:spacing w:before="142" w:line="207" w:lineRule="auto"/>
              <w:ind w:left="825"/>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条款号</w:t>
            </w:r>
          </w:p>
        </w:tc>
        <w:tc>
          <w:tcPr>
            <w:tcW w:w="6626" w:type="dxa"/>
            <w:tcBorders>
              <w:left w:val="single" w:color="000000" w:sz="4" w:space="0"/>
            </w:tcBorders>
            <w:vAlign w:val="top"/>
          </w:tcPr>
          <w:p w14:paraId="77C6BF7E">
            <w:pPr>
              <w:spacing w:before="142" w:line="207" w:lineRule="auto"/>
              <w:ind w:left="2326"/>
              <w:rPr>
                <w:rFonts w:ascii="宋体" w:hAnsi="宋体" w:eastAsia="宋体" w:cs="宋体"/>
                <w:sz w:val="21"/>
                <w:szCs w:val="21"/>
              </w:rPr>
            </w:pPr>
            <w:r>
              <w:rPr>
                <w:rFonts w:ascii="宋体" w:hAnsi="宋体" w:eastAsia="宋体" w:cs="宋体"/>
                <w:spacing w:val="7"/>
                <w:sz w:val="21"/>
                <w:szCs w:val="21"/>
                <w14:textOutline w14:w="3831" w14:cap="flat" w14:cmpd="sng">
                  <w14:solidFill>
                    <w14:srgbClr w14:val="000000"/>
                  </w14:solidFill>
                  <w14:prstDash w14:val="solid"/>
                  <w14:miter w14:val="0"/>
                </w14:textOutline>
              </w:rPr>
              <w:t>评审因素与评审标准</w:t>
            </w:r>
          </w:p>
        </w:tc>
      </w:tr>
      <w:tr w14:paraId="65EEF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jc w:val="center"/>
        </w:trPr>
        <w:tc>
          <w:tcPr>
            <w:tcW w:w="993" w:type="dxa"/>
            <w:vAlign w:val="center"/>
          </w:tcPr>
          <w:p w14:paraId="5AD7B584">
            <w:pPr>
              <w:spacing w:before="61" w:line="187" w:lineRule="auto"/>
              <w:ind w:left="287"/>
              <w:jc w:val="center"/>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2.1.2</w:t>
            </w:r>
          </w:p>
        </w:tc>
        <w:tc>
          <w:tcPr>
            <w:tcW w:w="1279" w:type="dxa"/>
            <w:tcBorders>
              <w:right w:val="single" w:color="000000" w:sz="4" w:space="0"/>
            </w:tcBorders>
            <w:vAlign w:val="center"/>
          </w:tcPr>
          <w:p w14:paraId="2D7580E8">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宋体" w:hAnsi="宋体" w:eastAsia="宋体" w:cs="宋体"/>
                <w:sz w:val="21"/>
                <w:szCs w:val="21"/>
                <w:lang w:val="en-US" w:eastAsia="zh-CN"/>
              </w:rPr>
            </w:pPr>
            <w:r>
              <w:rPr>
                <w:rFonts w:ascii="宋体" w:hAnsi="宋体" w:eastAsia="宋体" w:cs="宋体"/>
                <w:spacing w:val="-4"/>
                <w:position w:val="12"/>
                <w:sz w:val="21"/>
                <w:szCs w:val="21"/>
              </w:rPr>
              <w:t>资格评审</w:t>
            </w:r>
            <w:r>
              <w:rPr>
                <w:rFonts w:hint="eastAsia" w:ascii="宋体" w:hAnsi="宋体" w:eastAsia="宋体" w:cs="宋体"/>
                <w:spacing w:val="-4"/>
                <w:position w:val="12"/>
                <w:sz w:val="21"/>
                <w:szCs w:val="21"/>
                <w:lang w:val="en-US" w:eastAsia="zh-CN"/>
              </w:rPr>
              <w:t>标准</w:t>
            </w:r>
          </w:p>
        </w:tc>
        <w:tc>
          <w:tcPr>
            <w:tcW w:w="6626" w:type="dxa"/>
            <w:tcBorders>
              <w:left w:val="single" w:color="000000" w:sz="4" w:space="0"/>
            </w:tcBorders>
            <w:vAlign w:val="top"/>
          </w:tcPr>
          <w:p w14:paraId="5821B7F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imes New Roman" w:hAnsi="Times New Roman" w:eastAsia="Times New Roman" w:cs="Times New Roman"/>
                <w:sz w:val="21"/>
                <w:szCs w:val="21"/>
              </w:rPr>
            </w:pPr>
            <w:r>
              <w:rPr>
                <w:rFonts w:hint="eastAsia" w:ascii="Times New Roman" w:hAnsi="Times New Roman" w:eastAsia="Times New Roman" w:cs="Times New Roman"/>
                <w:sz w:val="21"/>
                <w:szCs w:val="21"/>
              </w:rPr>
              <w:t>（6）投标人的项目经理和项目总工资格、在岗情况符合招标文件规定。</w:t>
            </w:r>
          </w:p>
          <w:p w14:paraId="76443990">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imes New Roman" w:hAnsi="Times New Roman" w:eastAsia="Times New Roman" w:cs="Times New Roman"/>
                <w:sz w:val="21"/>
                <w:szCs w:val="21"/>
              </w:rPr>
            </w:pPr>
            <w:r>
              <w:rPr>
                <w:rFonts w:hint="eastAsia" w:ascii="Times New Roman" w:hAnsi="Times New Roman" w:eastAsia="Times New Roman" w:cs="Times New Roman"/>
                <w:sz w:val="21"/>
                <w:szCs w:val="21"/>
              </w:rPr>
              <w:t>（7）投标人的其他要求符合招标文件规定。</w:t>
            </w:r>
          </w:p>
          <w:p w14:paraId="46FAFF8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imes New Roman" w:hAnsi="Times New Roman" w:eastAsia="Times New Roman" w:cs="Times New Roman"/>
                <w:sz w:val="21"/>
                <w:szCs w:val="21"/>
              </w:rPr>
            </w:pPr>
            <w:r>
              <w:rPr>
                <w:rFonts w:hint="eastAsia" w:ascii="Times New Roman" w:hAnsi="Times New Roman" w:eastAsia="Times New Roman" w:cs="Times New Roman"/>
                <w:sz w:val="21"/>
                <w:szCs w:val="21"/>
              </w:rPr>
              <w:t>（8）投标人不存在第二章“投标人须知”第 1.4.3 项或第 1.4.4 项规定的任 何一种情形。</w:t>
            </w:r>
          </w:p>
          <w:p w14:paraId="3D52EA7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hint="eastAsia" w:ascii="Times New Roman" w:hAnsi="Times New Roman" w:eastAsia="Times New Roman" w:cs="Times New Roman"/>
                <w:sz w:val="21"/>
                <w:szCs w:val="21"/>
              </w:rPr>
            </w:pPr>
            <w:r>
              <w:rPr>
                <w:rFonts w:hint="eastAsia" w:ascii="Times New Roman" w:hAnsi="Times New Roman" w:eastAsia="Times New Roman" w:cs="Times New Roman"/>
                <w:sz w:val="21"/>
                <w:szCs w:val="21"/>
              </w:rPr>
              <w:t>（9）投标人符合第二章“投标人须知”第1.4.5项规定。</w:t>
            </w:r>
          </w:p>
          <w:p w14:paraId="52573D4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textAlignment w:val="auto"/>
              <w:rPr>
                <w:rFonts w:ascii="Times New Roman" w:hAnsi="Times New Roman" w:eastAsia="Times New Roman" w:cs="Times New Roman"/>
                <w:sz w:val="21"/>
                <w:szCs w:val="21"/>
              </w:rPr>
            </w:pPr>
            <w:r>
              <w:rPr>
                <w:rFonts w:hint="eastAsia" w:ascii="Times New Roman" w:hAnsi="Times New Roman" w:eastAsia="Times New Roman" w:cs="Times New Roman"/>
                <w:sz w:val="21"/>
                <w:szCs w:val="21"/>
              </w:rPr>
              <w:t>（10）以联合体形式参与投标的，联合体各方均未再以自己名义单独或参 加其他联合体在同一标段中投标；独立参与投标的，投标人未同时参加联合体在同一标段中投标。</w:t>
            </w:r>
          </w:p>
        </w:tc>
      </w:tr>
      <w:tr w14:paraId="0A453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993" w:type="dxa"/>
            <w:vAlign w:val="top"/>
          </w:tcPr>
          <w:p w14:paraId="6586DAEE">
            <w:pPr>
              <w:spacing w:before="140" w:line="207" w:lineRule="auto"/>
              <w:ind w:left="187"/>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0"/>
                </w14:textOutline>
              </w:rPr>
              <w:t>条款号</w:t>
            </w:r>
          </w:p>
        </w:tc>
        <w:tc>
          <w:tcPr>
            <w:tcW w:w="1279" w:type="dxa"/>
            <w:tcBorders>
              <w:right w:val="single" w:color="000000" w:sz="4" w:space="0"/>
            </w:tcBorders>
            <w:vAlign w:val="top"/>
          </w:tcPr>
          <w:p w14:paraId="6E7221C6">
            <w:pPr>
              <w:spacing w:before="140" w:line="207" w:lineRule="auto"/>
              <w:ind w:left="22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条款内容</w:t>
            </w:r>
          </w:p>
        </w:tc>
        <w:tc>
          <w:tcPr>
            <w:tcW w:w="6626" w:type="dxa"/>
            <w:tcBorders>
              <w:left w:val="single" w:color="000000" w:sz="4" w:space="0"/>
            </w:tcBorders>
            <w:vAlign w:val="top"/>
          </w:tcPr>
          <w:p w14:paraId="51970943">
            <w:pPr>
              <w:spacing w:before="140" w:line="207" w:lineRule="auto"/>
              <w:ind w:left="2893"/>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0"/>
                </w14:textOutline>
              </w:rPr>
              <w:t>编列内容</w:t>
            </w:r>
          </w:p>
        </w:tc>
      </w:tr>
      <w:tr w14:paraId="55749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jc w:val="center"/>
        </w:trPr>
        <w:tc>
          <w:tcPr>
            <w:tcW w:w="993" w:type="dxa"/>
            <w:vAlign w:val="center"/>
          </w:tcPr>
          <w:p w14:paraId="4FD811BA">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2.2.1</w:t>
            </w:r>
          </w:p>
        </w:tc>
        <w:tc>
          <w:tcPr>
            <w:tcW w:w="1279" w:type="dxa"/>
            <w:tcBorders>
              <w:right w:val="single" w:color="000000" w:sz="4" w:space="0"/>
            </w:tcBorders>
            <w:vAlign w:val="center"/>
          </w:tcPr>
          <w:p w14:paraId="1D24E329">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1"/>
                <w:sz w:val="21"/>
                <w:szCs w:val="21"/>
              </w:rPr>
              <w:t>第一个信封评分分值构</w:t>
            </w:r>
            <w:r>
              <w:rPr>
                <w:rFonts w:hint="eastAsia" w:asciiTheme="minorEastAsia" w:hAnsiTheme="minorEastAsia" w:eastAsiaTheme="minorEastAsia" w:cstheme="minorEastAsia"/>
                <w:spacing w:val="-1"/>
                <w:sz w:val="21"/>
                <w:szCs w:val="21"/>
                <w:lang w:val="en-US" w:eastAsia="zh-CN"/>
              </w:rPr>
              <w:t>成（总分值100分）</w:t>
            </w:r>
          </w:p>
        </w:tc>
        <w:tc>
          <w:tcPr>
            <w:tcW w:w="6626" w:type="dxa"/>
            <w:tcBorders>
              <w:left w:val="single" w:color="000000" w:sz="4" w:space="0"/>
            </w:tcBorders>
            <w:vAlign w:val="top"/>
          </w:tcPr>
          <w:p w14:paraId="1C8ECADF">
            <w:pPr>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spacing w:val="-11"/>
                <w:sz w:val="21"/>
                <w:szCs w:val="21"/>
              </w:rPr>
              <w:t>施工组织设计：</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color w:val="000000" w:themeColor="text1"/>
                <w:sz w:val="21"/>
                <w:szCs w:val="21"/>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color="auto"/>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pacing w:val="-92"/>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1"/>
                <w:sz w:val="21"/>
                <w:szCs w:val="21"/>
                <w14:textFill>
                  <w14:solidFill>
                    <w14:schemeClr w14:val="tx1"/>
                  </w14:solidFill>
                </w14:textFill>
              </w:rPr>
              <w:t>分</w:t>
            </w:r>
          </w:p>
          <w:p w14:paraId="2E3068E7">
            <w:pPr>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pacing w:val="-14"/>
                <w:sz w:val="21"/>
                <w:szCs w:val="21"/>
                <w14:textFill>
                  <w14:solidFill>
                    <w14:schemeClr w14:val="tx1"/>
                  </w14:solidFill>
                </w14:textFill>
              </w:rPr>
              <w:t>主要人员：</w:t>
            </w:r>
            <w:r>
              <w:rPr>
                <w:rFonts w:hint="eastAsia" w:asciiTheme="minorEastAsia" w:hAnsiTheme="minorEastAsia" w:eastAsiaTheme="minorEastAsia" w:cstheme="minorEastAsia"/>
                <w:color w:val="000000" w:themeColor="text1"/>
                <w:spacing w:val="-3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color="auto"/>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pacing w:val="-14"/>
                <w:sz w:val="21"/>
                <w:szCs w:val="21"/>
                <w14:textFill>
                  <w14:solidFill>
                    <w14:schemeClr w14:val="tx1"/>
                  </w14:solidFill>
                </w14:textFill>
              </w:rPr>
              <w:t>分</w:t>
            </w:r>
          </w:p>
          <w:p w14:paraId="70144ED0">
            <w:pPr>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技术能力：</w:t>
            </w:r>
            <w:r>
              <w:rPr>
                <w:rFonts w:hint="eastAsia" w:asciiTheme="minorEastAsia" w:hAnsiTheme="minorEastAsia" w:eastAsiaTheme="minorEastAsia" w:cstheme="minorEastAsia"/>
                <w:spacing w:val="-3"/>
                <w:sz w:val="21"/>
                <w:szCs w:val="21"/>
                <w:u w:val="single" w:color="auto"/>
              </w:rPr>
              <w:t xml:space="preserve"> </w:t>
            </w:r>
            <w:r>
              <w:rPr>
                <w:rFonts w:hint="eastAsia" w:asciiTheme="minorEastAsia" w:hAnsiTheme="minorEastAsia" w:eastAsiaTheme="minorEastAsia" w:cstheme="minorEastAsia"/>
                <w:spacing w:val="-3"/>
                <w:sz w:val="21"/>
                <w:szCs w:val="21"/>
                <w:u w:val="single" w:color="auto"/>
                <w:lang w:val="en-US" w:eastAsia="zh-CN"/>
              </w:rPr>
              <w:t>15</w:t>
            </w:r>
            <w:r>
              <w:rPr>
                <w:rFonts w:hint="eastAsia" w:asciiTheme="minorEastAsia" w:hAnsiTheme="minorEastAsia" w:eastAsiaTheme="minorEastAsia" w:cstheme="minorEastAsia"/>
                <w:spacing w:val="-3"/>
                <w:sz w:val="21"/>
                <w:szCs w:val="21"/>
              </w:rPr>
              <w:t>分</w:t>
            </w:r>
          </w:p>
          <w:p w14:paraId="0E119763">
            <w:pPr>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5"/>
                <w:sz w:val="21"/>
                <w:szCs w:val="21"/>
              </w:rPr>
              <w:t>履约信誉：</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sz w:val="21"/>
                <w:szCs w:val="21"/>
                <w:u w:val="single" w:color="auto"/>
                <w:lang w:val="en-US" w:eastAsia="zh-CN"/>
              </w:rPr>
              <w:t>15</w:t>
            </w:r>
            <w:r>
              <w:rPr>
                <w:rFonts w:hint="eastAsia" w:asciiTheme="minorEastAsia" w:hAnsiTheme="minorEastAsia" w:eastAsiaTheme="minorEastAsia" w:cstheme="minorEastAsia"/>
                <w:sz w:val="21"/>
                <w:szCs w:val="21"/>
                <w:u w:val="single" w:color="auto"/>
              </w:rPr>
              <w:t xml:space="preserve"> </w:t>
            </w:r>
            <w:r>
              <w:rPr>
                <w:rFonts w:hint="eastAsia" w:asciiTheme="minorEastAsia" w:hAnsiTheme="minorEastAsia" w:eastAsiaTheme="minorEastAsia" w:cstheme="minorEastAsia"/>
                <w:spacing w:val="-93"/>
                <w:sz w:val="21"/>
                <w:szCs w:val="21"/>
              </w:rPr>
              <w:t xml:space="preserve"> </w:t>
            </w:r>
            <w:r>
              <w:rPr>
                <w:rFonts w:hint="eastAsia" w:asciiTheme="minorEastAsia" w:hAnsiTheme="minorEastAsia" w:eastAsiaTheme="minorEastAsia" w:cstheme="minorEastAsia"/>
                <w:spacing w:val="-15"/>
                <w:sz w:val="21"/>
                <w:szCs w:val="21"/>
              </w:rPr>
              <w:t>分</w:t>
            </w:r>
          </w:p>
        </w:tc>
      </w:tr>
      <w:tr w14:paraId="3198D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3" w:type="dxa"/>
            <w:vAlign w:val="center"/>
          </w:tcPr>
          <w:p w14:paraId="4B55A0DE">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2.2.3</w:t>
            </w:r>
          </w:p>
        </w:tc>
        <w:tc>
          <w:tcPr>
            <w:tcW w:w="1279" w:type="dxa"/>
            <w:tcBorders>
              <w:right w:val="single" w:color="000000" w:sz="4" w:space="0"/>
            </w:tcBorders>
            <w:vAlign w:val="center"/>
          </w:tcPr>
          <w:p w14:paraId="4AB4C51E">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第二个信封详细评审标准</w:t>
            </w:r>
          </w:p>
        </w:tc>
        <w:tc>
          <w:tcPr>
            <w:tcW w:w="6626" w:type="dxa"/>
            <w:tcBorders>
              <w:left w:val="single" w:color="000000" w:sz="4" w:space="0"/>
            </w:tcBorders>
            <w:vAlign w:val="top"/>
          </w:tcPr>
          <w:p w14:paraId="43CE1FBA">
            <w:pPr>
              <w:keepNext w:val="0"/>
              <w:keepLines w:val="0"/>
              <w:pageBreakBefore w:val="0"/>
              <w:widowControl w:val="0"/>
              <w:kinsoku/>
              <w:wordWrap/>
              <w:overflowPunct/>
              <w:topLinePunct w:val="0"/>
              <w:autoSpaceDE w:val="0"/>
              <w:autoSpaceDN w:val="0"/>
              <w:bidi w:val="0"/>
              <w:adjustRightInd/>
              <w:snapToGrid/>
              <w:spacing w:before="0" w:line="360" w:lineRule="auto"/>
              <w:ind w:left="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评标价计算公式：</w:t>
            </w:r>
          </w:p>
          <w:p w14:paraId="11132CF2">
            <w:pPr>
              <w:keepNext w:val="0"/>
              <w:keepLines w:val="0"/>
              <w:pageBreakBefore w:val="0"/>
              <w:widowControl w:val="0"/>
              <w:kinsoku/>
              <w:wordWrap/>
              <w:overflowPunct/>
              <w:topLinePunct w:val="0"/>
              <w:autoSpaceDE w:val="0"/>
              <w:autoSpaceDN w:val="0"/>
              <w:bidi w:val="0"/>
              <w:adjustRightInd/>
              <w:snapToGrid/>
              <w:spacing w:before="0" w:line="360" w:lineRule="auto"/>
              <w:ind w:right="106"/>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highlight w:val="none"/>
              </w:rPr>
              <w:t>评标价＝修正后的投标报价－暂估价－暂列金额（不含计日工总</w:t>
            </w:r>
            <w:r>
              <w:rPr>
                <w:rFonts w:hint="eastAsia" w:asciiTheme="minorEastAsia" w:hAnsiTheme="minorEastAsia" w:eastAsiaTheme="minorEastAsia" w:cstheme="minorEastAsia"/>
                <w:spacing w:val="-2"/>
                <w:position w:val="-1"/>
                <w:sz w:val="21"/>
                <w:szCs w:val="21"/>
                <w:highlight w:val="none"/>
              </w:rPr>
              <w:t>额）</w:t>
            </w:r>
          </w:p>
        </w:tc>
      </w:tr>
      <w:tr w14:paraId="6A20C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993" w:type="dxa"/>
            <w:vAlign w:val="center"/>
          </w:tcPr>
          <w:p w14:paraId="5E2912FF">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rPr>
              <w:t>3.2.4</w:t>
            </w:r>
          </w:p>
        </w:tc>
        <w:tc>
          <w:tcPr>
            <w:tcW w:w="1279" w:type="dxa"/>
            <w:tcBorders>
              <w:right w:val="single" w:color="000000" w:sz="4" w:space="0"/>
            </w:tcBorders>
            <w:vAlign w:val="center"/>
          </w:tcPr>
          <w:p w14:paraId="7391B389">
            <w:pPr>
              <w:keepNext w:val="0"/>
              <w:keepLines w:val="0"/>
              <w:pageBreakBefore w:val="0"/>
              <w:widowControl w:val="0"/>
              <w:kinsoku/>
              <w:wordWrap/>
              <w:overflowPunct/>
              <w:topLinePunct w:val="0"/>
              <w:autoSpaceDE w:val="0"/>
              <w:autoSpaceDN w:val="0"/>
              <w:bidi w:val="0"/>
              <w:adjustRightInd/>
              <w:snapToGrid/>
              <w:spacing w:before="0" w:line="360" w:lineRule="auto"/>
              <w:ind w:left="0"/>
              <w:jc w:val="center"/>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通过第一个信封详细评审的投标人数量</w:t>
            </w:r>
          </w:p>
        </w:tc>
        <w:tc>
          <w:tcPr>
            <w:tcW w:w="6626" w:type="dxa"/>
            <w:tcBorders>
              <w:left w:val="single" w:color="000000" w:sz="4" w:space="0"/>
            </w:tcBorders>
            <w:vAlign w:val="top"/>
          </w:tcPr>
          <w:p w14:paraId="0EF96C11">
            <w:pPr>
              <w:keepNext w:val="0"/>
              <w:keepLines w:val="0"/>
              <w:pageBreakBefore w:val="0"/>
              <w:widowControl w:val="0"/>
              <w:kinsoku/>
              <w:wordWrap/>
              <w:overflowPunct/>
              <w:topLinePunct w:val="0"/>
              <w:autoSpaceDE w:val="0"/>
              <w:autoSpaceDN w:val="0"/>
              <w:bidi w:val="0"/>
              <w:adjustRightInd/>
              <w:snapToGrid/>
              <w:spacing w:before="0" w:line="360" w:lineRule="auto"/>
              <w:ind w:left="0" w:right="105"/>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按照投标人的商务和技术得分由高到低排序，</w:t>
            </w:r>
            <w:r>
              <w:rPr>
                <w:rFonts w:hint="eastAsia" w:asciiTheme="minorEastAsia" w:hAnsiTheme="minorEastAsia" w:eastAsiaTheme="minorEastAsia" w:cstheme="minorEastAsia"/>
                <w:color w:val="auto"/>
                <w:spacing w:val="2"/>
                <w:sz w:val="21"/>
                <w:szCs w:val="21"/>
              </w:rPr>
              <w:t>选择前</w:t>
            </w:r>
            <w:r>
              <w:rPr>
                <w:rFonts w:hint="eastAsia" w:asciiTheme="minorEastAsia" w:hAnsiTheme="minorEastAsia" w:eastAsiaTheme="minorEastAsia" w:cstheme="minorEastAsia"/>
                <w:color w:val="auto"/>
                <w:spacing w:val="-88"/>
                <w:sz w:val="21"/>
                <w:szCs w:val="21"/>
              </w:rPr>
              <w:t xml:space="preserve"> </w:t>
            </w:r>
            <w:r>
              <w:rPr>
                <w:rFonts w:hint="eastAsia" w:asciiTheme="minorEastAsia" w:hAnsiTheme="minorEastAsia" w:eastAsiaTheme="minorEastAsia" w:cstheme="minorEastAsia"/>
                <w:color w:val="auto"/>
                <w:spacing w:val="3"/>
                <w:sz w:val="21"/>
                <w:szCs w:val="21"/>
                <w:u w:val="single" w:color="auto"/>
              </w:rPr>
              <w:t xml:space="preserve"> </w:t>
            </w:r>
            <w:r>
              <w:rPr>
                <w:rFonts w:hint="eastAsia" w:asciiTheme="minorEastAsia" w:hAnsiTheme="minorEastAsia" w:eastAsiaTheme="minorEastAsia" w:cstheme="minorEastAsia"/>
                <w:color w:val="auto"/>
                <w:spacing w:val="3"/>
                <w:sz w:val="21"/>
                <w:szCs w:val="21"/>
                <w:u w:val="single" w:color="auto"/>
                <w:lang w:val="en-US" w:eastAsia="zh-CN"/>
              </w:rPr>
              <w:t>3</w:t>
            </w:r>
            <w:r>
              <w:rPr>
                <w:rFonts w:hint="eastAsia" w:asciiTheme="minorEastAsia" w:hAnsiTheme="minorEastAsia" w:eastAsiaTheme="minorEastAsia" w:cstheme="minorEastAsia"/>
                <w:color w:val="auto"/>
                <w:spacing w:val="3"/>
                <w:sz w:val="21"/>
                <w:szCs w:val="21"/>
                <w:u w:val="single" w:color="auto"/>
              </w:rPr>
              <w:t xml:space="preserve"> </w:t>
            </w:r>
            <w:r>
              <w:rPr>
                <w:rFonts w:hint="eastAsia" w:asciiTheme="minorEastAsia" w:hAnsiTheme="minorEastAsia" w:eastAsiaTheme="minorEastAsia" w:cstheme="minorEastAsia"/>
                <w:color w:val="auto"/>
                <w:spacing w:val="-94"/>
                <w:sz w:val="21"/>
                <w:szCs w:val="21"/>
              </w:rPr>
              <w:t xml:space="preserve"> </w:t>
            </w:r>
            <w:r>
              <w:rPr>
                <w:rFonts w:hint="eastAsia" w:asciiTheme="minorEastAsia" w:hAnsiTheme="minorEastAsia" w:eastAsiaTheme="minorEastAsia" w:cstheme="minorEastAsia"/>
                <w:color w:val="auto"/>
                <w:spacing w:val="2"/>
                <w:sz w:val="21"/>
                <w:szCs w:val="21"/>
              </w:rPr>
              <w:t>名通</w:t>
            </w:r>
            <w:r>
              <w:rPr>
                <w:rFonts w:hint="eastAsia" w:asciiTheme="minorEastAsia" w:hAnsiTheme="minorEastAsia" w:eastAsiaTheme="minorEastAsia" w:cstheme="minorEastAsia"/>
                <w:color w:val="auto"/>
                <w:spacing w:val="-2"/>
                <w:sz w:val="21"/>
                <w:szCs w:val="21"/>
              </w:rPr>
              <w:t>过详</w:t>
            </w:r>
            <w:r>
              <w:rPr>
                <w:rFonts w:hint="eastAsia" w:asciiTheme="minorEastAsia" w:hAnsiTheme="minorEastAsia" w:eastAsiaTheme="minorEastAsia" w:cstheme="minorEastAsia"/>
                <w:spacing w:val="-2"/>
                <w:sz w:val="21"/>
                <w:szCs w:val="21"/>
              </w:rPr>
              <w:t>细评审</w:t>
            </w:r>
          </w:p>
        </w:tc>
      </w:tr>
    </w:tbl>
    <w:tbl>
      <w:tblPr>
        <w:tblStyle w:val="25"/>
        <w:tblW w:w="8895" w:type="dxa"/>
        <w:tblInd w:w="-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873"/>
        <w:gridCol w:w="777"/>
        <w:gridCol w:w="1121"/>
        <w:gridCol w:w="502"/>
        <w:gridCol w:w="4898"/>
      </w:tblGrid>
      <w:tr w14:paraId="38D55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997" w:type="dxa"/>
            <w:gridSpan w:val="5"/>
            <w:vAlign w:val="center"/>
          </w:tcPr>
          <w:p w14:paraId="7578D8E3">
            <w:pPr>
              <w:pStyle w:val="42"/>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评分因素与权重分值</w:t>
            </w:r>
          </w:p>
        </w:tc>
        <w:tc>
          <w:tcPr>
            <w:tcW w:w="4898" w:type="dxa"/>
            <w:vMerge w:val="restart"/>
            <w:vAlign w:val="center"/>
          </w:tcPr>
          <w:p w14:paraId="3AAEDB43">
            <w:pPr>
              <w:pStyle w:val="42"/>
              <w:spacing w:before="196"/>
              <w:jc w:val="center"/>
              <w:rPr>
                <w:rFonts w:hint="eastAsia" w:ascii="宋体" w:hAnsi="宋体" w:eastAsia="宋体" w:cs="宋体"/>
                <w:b/>
                <w:sz w:val="21"/>
                <w:szCs w:val="21"/>
              </w:rPr>
            </w:pPr>
            <w:r>
              <w:rPr>
                <w:rFonts w:hint="eastAsia" w:ascii="宋体" w:hAnsi="宋体" w:eastAsia="宋体" w:cs="宋体"/>
                <w:b/>
                <w:sz w:val="21"/>
                <w:szCs w:val="21"/>
              </w:rPr>
              <w:t>评分标准</w:t>
            </w:r>
          </w:p>
        </w:tc>
      </w:tr>
      <w:tr w14:paraId="268EF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24" w:type="dxa"/>
            <w:vAlign w:val="center"/>
          </w:tcPr>
          <w:p w14:paraId="36FC8A2E">
            <w:pPr>
              <w:pStyle w:val="42"/>
              <w:spacing w:before="1"/>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873" w:type="dxa"/>
            <w:vAlign w:val="center"/>
          </w:tcPr>
          <w:p w14:paraId="38BF7E1E">
            <w:pPr>
              <w:pStyle w:val="42"/>
              <w:spacing w:before="1"/>
              <w:jc w:val="center"/>
              <w:rPr>
                <w:rFonts w:hint="eastAsia" w:ascii="宋体" w:hAnsi="宋体" w:eastAsia="宋体" w:cs="宋体"/>
                <w:b/>
                <w:sz w:val="21"/>
                <w:szCs w:val="21"/>
              </w:rPr>
            </w:pPr>
            <w:r>
              <w:rPr>
                <w:rFonts w:hint="eastAsia" w:ascii="宋体" w:hAnsi="宋体" w:eastAsia="宋体" w:cs="宋体"/>
                <w:b/>
                <w:sz w:val="21"/>
                <w:szCs w:val="21"/>
              </w:rPr>
              <w:t>评分因素</w:t>
            </w:r>
          </w:p>
        </w:tc>
        <w:tc>
          <w:tcPr>
            <w:tcW w:w="777" w:type="dxa"/>
            <w:vAlign w:val="center"/>
          </w:tcPr>
          <w:p w14:paraId="4EAA48D7">
            <w:pPr>
              <w:pStyle w:val="42"/>
              <w:keepNext w:val="0"/>
              <w:keepLines w:val="0"/>
              <w:pageBreakBefore w:val="0"/>
              <w:widowControl w:val="0"/>
              <w:kinsoku/>
              <w:wordWrap/>
              <w:overflowPunct/>
              <w:topLinePunct w:val="0"/>
              <w:autoSpaceDE w:val="0"/>
              <w:autoSpaceDN w:val="0"/>
              <w:bidi w:val="0"/>
              <w:adjustRightInd/>
              <w:snapToGrid/>
              <w:spacing w:before="0" w:line="240" w:lineRule="auto"/>
              <w:ind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评分因素</w:t>
            </w:r>
            <w:r>
              <w:rPr>
                <w:rFonts w:hint="eastAsia" w:ascii="宋体" w:hAnsi="宋体" w:eastAsia="宋体" w:cs="宋体"/>
                <w:b/>
                <w:spacing w:val="-1"/>
                <w:sz w:val="21"/>
                <w:szCs w:val="21"/>
              </w:rPr>
              <w:t>权重分值</w:t>
            </w:r>
          </w:p>
        </w:tc>
        <w:tc>
          <w:tcPr>
            <w:tcW w:w="1121" w:type="dxa"/>
            <w:vAlign w:val="center"/>
          </w:tcPr>
          <w:p w14:paraId="4A9AD079">
            <w:pPr>
              <w:pStyle w:val="42"/>
              <w:spacing w:before="1"/>
              <w:jc w:val="center"/>
              <w:rPr>
                <w:rFonts w:hint="eastAsia" w:ascii="宋体" w:hAnsi="宋体" w:eastAsia="宋体" w:cs="宋体"/>
                <w:b/>
                <w:sz w:val="21"/>
                <w:szCs w:val="21"/>
              </w:rPr>
            </w:pPr>
            <w:r>
              <w:rPr>
                <w:rFonts w:hint="eastAsia" w:ascii="宋体" w:hAnsi="宋体" w:eastAsia="宋体" w:cs="宋体"/>
                <w:b/>
                <w:sz w:val="21"/>
                <w:szCs w:val="21"/>
              </w:rPr>
              <w:t>各评分因素细分项</w:t>
            </w:r>
          </w:p>
        </w:tc>
        <w:tc>
          <w:tcPr>
            <w:tcW w:w="502" w:type="dxa"/>
            <w:vAlign w:val="center"/>
          </w:tcPr>
          <w:p w14:paraId="1F344BD6">
            <w:pPr>
              <w:pStyle w:val="42"/>
              <w:spacing w:before="1"/>
              <w:ind w:right="-15"/>
              <w:jc w:val="center"/>
              <w:rPr>
                <w:rFonts w:hint="eastAsia" w:ascii="宋体" w:hAnsi="宋体" w:eastAsia="宋体" w:cs="宋体"/>
                <w:b/>
                <w:sz w:val="21"/>
                <w:szCs w:val="21"/>
              </w:rPr>
            </w:pPr>
            <w:r>
              <w:rPr>
                <w:rFonts w:hint="eastAsia" w:ascii="宋体" w:hAnsi="宋体" w:eastAsia="宋体" w:cs="宋体"/>
                <w:b/>
                <w:sz w:val="21"/>
                <w:szCs w:val="21"/>
              </w:rPr>
              <w:t>分值</w:t>
            </w:r>
          </w:p>
        </w:tc>
        <w:tc>
          <w:tcPr>
            <w:tcW w:w="4898" w:type="dxa"/>
            <w:vMerge w:val="continue"/>
            <w:tcBorders>
              <w:top w:val="nil"/>
            </w:tcBorders>
          </w:tcPr>
          <w:p w14:paraId="1653423F">
            <w:pPr>
              <w:rPr>
                <w:rFonts w:hint="eastAsia" w:ascii="宋体" w:hAnsi="宋体" w:eastAsia="宋体" w:cs="宋体"/>
                <w:sz w:val="21"/>
                <w:szCs w:val="21"/>
              </w:rPr>
            </w:pPr>
          </w:p>
        </w:tc>
      </w:tr>
      <w:tr w14:paraId="216EC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4" w:type="dxa"/>
            <w:vMerge w:val="restart"/>
            <w:vAlign w:val="center"/>
          </w:tcPr>
          <w:p w14:paraId="0F0E6453">
            <w:pPr>
              <w:pStyle w:val="42"/>
              <w:spacing w:before="196"/>
              <w:jc w:val="center"/>
              <w:rPr>
                <w:rFonts w:hint="eastAsia" w:ascii="宋体" w:hAnsi="宋体" w:eastAsia="宋体" w:cs="宋体"/>
                <w:sz w:val="21"/>
                <w:szCs w:val="21"/>
              </w:rPr>
            </w:pPr>
            <w:r>
              <w:rPr>
                <w:rFonts w:hint="eastAsia" w:ascii="宋体" w:hAnsi="宋体" w:eastAsia="宋体" w:cs="宋体"/>
                <w:sz w:val="21"/>
                <w:szCs w:val="21"/>
              </w:rPr>
              <w:t>2.2.2（1）</w:t>
            </w:r>
          </w:p>
        </w:tc>
        <w:tc>
          <w:tcPr>
            <w:tcW w:w="873" w:type="dxa"/>
            <w:vMerge w:val="restart"/>
            <w:vAlign w:val="center"/>
          </w:tcPr>
          <w:p w14:paraId="6849882C">
            <w:pPr>
              <w:pStyle w:val="42"/>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ascii="宋体" w:hAnsi="宋体" w:eastAsia="宋体" w:cs="宋体"/>
                <w:sz w:val="21"/>
                <w:szCs w:val="21"/>
              </w:rPr>
            </w:pPr>
            <w:r>
              <w:rPr>
                <w:rFonts w:hint="eastAsia" w:ascii="宋体" w:hAnsi="宋体" w:eastAsia="宋体" w:cs="宋体"/>
                <w:sz w:val="21"/>
                <w:szCs w:val="21"/>
              </w:rPr>
              <w:t>施工组织 设计（对 本项各详 细评审项 打分在 90%以上 （含）、60%以下 （含）的 投标人，</w:t>
            </w:r>
          </w:p>
          <w:p w14:paraId="316912CB">
            <w:pPr>
              <w:pStyle w:val="42"/>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 评委要提出充足的理由，并在评标报告中书面记录。</w:t>
            </w:r>
          </w:p>
        </w:tc>
        <w:tc>
          <w:tcPr>
            <w:tcW w:w="777" w:type="dxa"/>
            <w:vMerge w:val="restart"/>
            <w:vAlign w:val="center"/>
          </w:tcPr>
          <w:p w14:paraId="373456AC">
            <w:pPr>
              <w:pStyle w:val="42"/>
              <w:tabs>
                <w:tab w:val="left" w:pos="671"/>
              </w:tabs>
              <w:spacing w:before="196"/>
              <w:jc w:val="center"/>
              <w:rPr>
                <w:rFonts w:hint="eastAsia" w:ascii="宋体" w:hAnsi="宋体" w:eastAsia="宋体" w:cs="宋体"/>
                <w:sz w:val="21"/>
                <w:szCs w:val="21"/>
              </w:rPr>
            </w:pPr>
            <w:r>
              <w:rPr>
                <w:rFonts w:hint="eastAsia" w:cs="宋体"/>
                <w:w w:val="100"/>
                <w:sz w:val="21"/>
                <w:szCs w:val="21"/>
                <w:u w:val="none"/>
                <w:lang w:val="en-US" w:eastAsia="zh-CN"/>
              </w:rPr>
              <w:t>40</w:t>
            </w:r>
            <w:r>
              <w:rPr>
                <w:rFonts w:hint="eastAsia" w:ascii="宋体" w:hAnsi="宋体" w:eastAsia="宋体" w:cs="宋体"/>
                <w:sz w:val="21"/>
                <w:szCs w:val="21"/>
              </w:rPr>
              <w:t>分</w:t>
            </w:r>
          </w:p>
        </w:tc>
        <w:tc>
          <w:tcPr>
            <w:tcW w:w="1121" w:type="dxa"/>
            <w:vAlign w:val="center"/>
          </w:tcPr>
          <w:p w14:paraId="402E347A">
            <w:pPr>
              <w:widowControl/>
              <w:spacing w:line="3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zh-CN" w:eastAsia="zh-CN" w:bidi="zh-CN"/>
              </w:rPr>
              <w:t>总体施工组织布置及规划</w:t>
            </w:r>
          </w:p>
        </w:tc>
        <w:tc>
          <w:tcPr>
            <w:tcW w:w="502" w:type="dxa"/>
            <w:vAlign w:val="center"/>
          </w:tcPr>
          <w:p w14:paraId="01BE575A">
            <w:pPr>
              <w:pStyle w:val="42"/>
              <w:tabs>
                <w:tab w:val="left" w:pos="452"/>
              </w:tabs>
              <w:spacing w:line="360" w:lineRule="auto"/>
              <w:ind w:left="134"/>
              <w:jc w:val="center"/>
              <w:rPr>
                <w:rFonts w:hint="eastAsia" w:ascii="宋体" w:hAnsi="宋体" w:eastAsia="宋体" w:cs="宋体"/>
                <w:sz w:val="21"/>
                <w:szCs w:val="21"/>
              </w:rPr>
            </w:pPr>
            <w:r>
              <w:rPr>
                <w:rFonts w:hint="eastAsia" w:cs="宋体"/>
                <w:sz w:val="21"/>
                <w:szCs w:val="21"/>
                <w:u w:val="none"/>
                <w:lang w:val="en-US" w:eastAsia="zh-CN"/>
              </w:rPr>
              <w:t>5</w:t>
            </w:r>
            <w:r>
              <w:rPr>
                <w:rFonts w:hint="eastAsia" w:ascii="宋体" w:hAnsi="宋体" w:eastAsia="宋体" w:cs="宋体"/>
                <w:sz w:val="21"/>
                <w:szCs w:val="21"/>
              </w:rPr>
              <w:t>分</w:t>
            </w:r>
          </w:p>
        </w:tc>
        <w:tc>
          <w:tcPr>
            <w:tcW w:w="4898" w:type="dxa"/>
            <w:vAlign w:val="top"/>
          </w:tcPr>
          <w:p w14:paraId="7CE5229E">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基本分3分，根据对项目总体认识、工程概况描述、施工部署、总体组织安排、设备组织人员、施工方案（含重点、难点、关键点）、危险性较大的分部分项工程的施工方案，风险预测、施工工艺选择，设备安装、资料管理、施工进度计划、进度、质量、安全、环保等情况的合理性、可行性、针对性加0-2分，满分5分</w:t>
            </w:r>
          </w:p>
        </w:tc>
      </w:tr>
      <w:tr w14:paraId="62B55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24" w:type="dxa"/>
            <w:vMerge w:val="continue"/>
          </w:tcPr>
          <w:p w14:paraId="46E32B11">
            <w:pPr>
              <w:pStyle w:val="42"/>
              <w:spacing w:before="196"/>
              <w:ind w:left="232"/>
              <w:rPr>
                <w:rFonts w:hint="eastAsia" w:ascii="宋体" w:hAnsi="宋体" w:eastAsia="宋体" w:cs="宋体"/>
                <w:sz w:val="21"/>
                <w:szCs w:val="21"/>
              </w:rPr>
            </w:pPr>
          </w:p>
        </w:tc>
        <w:tc>
          <w:tcPr>
            <w:tcW w:w="873" w:type="dxa"/>
            <w:vMerge w:val="continue"/>
          </w:tcPr>
          <w:p w14:paraId="7D18AA62">
            <w:pPr>
              <w:pStyle w:val="42"/>
              <w:spacing w:before="1" w:line="340" w:lineRule="auto"/>
              <w:ind w:left="577" w:right="152" w:hanging="420"/>
              <w:rPr>
                <w:rFonts w:hint="eastAsia" w:ascii="宋体" w:hAnsi="宋体" w:eastAsia="宋体" w:cs="宋体"/>
                <w:sz w:val="21"/>
                <w:szCs w:val="21"/>
              </w:rPr>
            </w:pPr>
          </w:p>
        </w:tc>
        <w:tc>
          <w:tcPr>
            <w:tcW w:w="777" w:type="dxa"/>
            <w:vMerge w:val="continue"/>
          </w:tcPr>
          <w:p w14:paraId="7DB8F33C">
            <w:pPr>
              <w:pStyle w:val="42"/>
              <w:tabs>
                <w:tab w:val="left" w:pos="671"/>
              </w:tabs>
              <w:spacing w:before="196"/>
              <w:ind w:left="354"/>
              <w:rPr>
                <w:rFonts w:hint="eastAsia" w:ascii="宋体" w:hAnsi="宋体" w:eastAsia="宋体" w:cs="宋体"/>
                <w:w w:val="100"/>
                <w:sz w:val="21"/>
                <w:szCs w:val="21"/>
                <w:u w:val="none"/>
                <w:lang w:val="en-US" w:eastAsia="zh-CN"/>
              </w:rPr>
            </w:pPr>
          </w:p>
        </w:tc>
        <w:tc>
          <w:tcPr>
            <w:tcW w:w="1121" w:type="dxa"/>
            <w:vAlign w:val="center"/>
          </w:tcPr>
          <w:p w14:paraId="2571D183">
            <w:pPr>
              <w:pStyle w:val="42"/>
              <w:spacing w:line="380" w:lineRule="exact"/>
              <w:ind w:right="10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主要工程项目的施工方案方法与技术措施(含工程重点</w:t>
            </w:r>
            <w:r>
              <w:rPr>
                <w:rFonts w:hint="eastAsia" w:cs="宋体"/>
                <w:sz w:val="21"/>
                <w:szCs w:val="21"/>
                <w:lang w:eastAsia="zh-CN"/>
              </w:rPr>
              <w:t>、</w:t>
            </w:r>
            <w:r>
              <w:rPr>
                <w:rFonts w:hint="eastAsia" w:ascii="宋体" w:hAnsi="宋体" w:eastAsia="宋体" w:cs="宋体"/>
                <w:sz w:val="21"/>
                <w:szCs w:val="21"/>
                <w:lang w:eastAsia="zh-CN"/>
              </w:rPr>
              <w:t>难点、关</w:t>
            </w:r>
          </w:p>
          <w:p w14:paraId="3FAAFBB0">
            <w:pPr>
              <w:pStyle w:val="42"/>
              <w:spacing w:line="380" w:lineRule="exact"/>
              <w:ind w:right="10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键点部位) </w:t>
            </w:r>
          </w:p>
        </w:tc>
        <w:tc>
          <w:tcPr>
            <w:tcW w:w="502" w:type="dxa"/>
            <w:vAlign w:val="center"/>
          </w:tcPr>
          <w:p w14:paraId="3FA117C0">
            <w:pPr>
              <w:pStyle w:val="42"/>
              <w:tabs>
                <w:tab w:val="left" w:pos="452"/>
              </w:tabs>
              <w:spacing w:line="360" w:lineRule="auto"/>
              <w:ind w:left="134" w:leftChars="0" w:right="0" w:rightChars="0"/>
              <w:jc w:val="center"/>
              <w:rPr>
                <w:rFonts w:hint="eastAsia" w:ascii="宋体" w:hAnsi="宋体" w:eastAsia="宋体" w:cs="宋体"/>
                <w:sz w:val="21"/>
                <w:szCs w:val="21"/>
                <w:lang w:val="zh-CN" w:eastAsia="zh-CN" w:bidi="zh-CN"/>
              </w:rPr>
            </w:pPr>
            <w:r>
              <w:rPr>
                <w:rFonts w:hint="eastAsia" w:cs="宋体"/>
                <w:sz w:val="21"/>
                <w:szCs w:val="21"/>
                <w:lang w:val="en-US" w:eastAsia="zh-CN"/>
              </w:rPr>
              <w:t>5</w:t>
            </w:r>
            <w:r>
              <w:rPr>
                <w:rFonts w:hint="eastAsia" w:ascii="宋体" w:hAnsi="宋体" w:eastAsia="宋体" w:cs="宋体"/>
                <w:sz w:val="21"/>
                <w:szCs w:val="21"/>
              </w:rPr>
              <w:t>分</w:t>
            </w:r>
          </w:p>
        </w:tc>
        <w:tc>
          <w:tcPr>
            <w:tcW w:w="4898" w:type="dxa"/>
            <w:vAlign w:val="top"/>
          </w:tcPr>
          <w:p w14:paraId="1A5873D1">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基本分得3分，根据施工方案、方法与技术措施</w:t>
            </w:r>
          </w:p>
          <w:p w14:paraId="6006DB97">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(含工程重点、难点、关键点部位)科学性、合</w:t>
            </w:r>
          </w:p>
          <w:p w14:paraId="1CFE5400">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理性、可行性加0-2分，满分5分</w:t>
            </w:r>
          </w:p>
        </w:tc>
      </w:tr>
      <w:tr w14:paraId="5A4F0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724" w:type="dxa"/>
            <w:vMerge w:val="continue"/>
          </w:tcPr>
          <w:p w14:paraId="50C39BF5">
            <w:pPr>
              <w:pStyle w:val="42"/>
              <w:spacing w:before="196"/>
              <w:ind w:left="232"/>
              <w:rPr>
                <w:rFonts w:hint="eastAsia" w:ascii="宋体" w:hAnsi="宋体" w:eastAsia="宋体" w:cs="宋体"/>
                <w:sz w:val="21"/>
                <w:szCs w:val="21"/>
              </w:rPr>
            </w:pPr>
          </w:p>
        </w:tc>
        <w:tc>
          <w:tcPr>
            <w:tcW w:w="873" w:type="dxa"/>
            <w:vMerge w:val="continue"/>
          </w:tcPr>
          <w:p w14:paraId="3B6E1E1A">
            <w:pPr>
              <w:pStyle w:val="42"/>
              <w:spacing w:before="1" w:line="340" w:lineRule="auto"/>
              <w:ind w:left="577" w:right="152" w:hanging="420"/>
              <w:rPr>
                <w:rFonts w:hint="eastAsia" w:ascii="宋体" w:hAnsi="宋体" w:eastAsia="宋体" w:cs="宋体"/>
                <w:sz w:val="21"/>
                <w:szCs w:val="21"/>
              </w:rPr>
            </w:pPr>
          </w:p>
        </w:tc>
        <w:tc>
          <w:tcPr>
            <w:tcW w:w="777" w:type="dxa"/>
            <w:vMerge w:val="continue"/>
          </w:tcPr>
          <w:p w14:paraId="6EB121DF">
            <w:pPr>
              <w:pStyle w:val="42"/>
              <w:tabs>
                <w:tab w:val="left" w:pos="671"/>
              </w:tabs>
              <w:spacing w:before="196"/>
              <w:ind w:left="354"/>
              <w:rPr>
                <w:rFonts w:hint="eastAsia" w:ascii="宋体" w:hAnsi="宋体" w:eastAsia="宋体" w:cs="宋体"/>
                <w:w w:val="100"/>
                <w:sz w:val="21"/>
                <w:szCs w:val="21"/>
                <w:u w:val="none"/>
                <w:lang w:val="en-US" w:eastAsia="zh-CN"/>
              </w:rPr>
            </w:pPr>
          </w:p>
        </w:tc>
        <w:tc>
          <w:tcPr>
            <w:tcW w:w="1121" w:type="dxa"/>
            <w:vAlign w:val="center"/>
          </w:tcPr>
          <w:p w14:paraId="59965393">
            <w:pPr>
              <w:pStyle w:val="42"/>
              <w:spacing w:line="380" w:lineRule="exact"/>
              <w:ind w:right="10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工期关键线路图及保证措施</w:t>
            </w:r>
          </w:p>
        </w:tc>
        <w:tc>
          <w:tcPr>
            <w:tcW w:w="502" w:type="dxa"/>
            <w:vAlign w:val="center"/>
          </w:tcPr>
          <w:p w14:paraId="37D88976">
            <w:pPr>
              <w:pStyle w:val="42"/>
              <w:tabs>
                <w:tab w:val="left" w:pos="452"/>
              </w:tabs>
              <w:spacing w:line="360" w:lineRule="auto"/>
              <w:ind w:left="134" w:leftChars="0" w:right="0" w:rightChars="0"/>
              <w:jc w:val="center"/>
              <w:rPr>
                <w:rFonts w:hint="eastAsia" w:ascii="宋体" w:hAnsi="宋体" w:eastAsia="宋体" w:cs="宋体"/>
                <w:sz w:val="21"/>
                <w:szCs w:val="21"/>
                <w:lang w:val="zh-CN" w:eastAsia="zh-CN" w:bidi="zh-CN"/>
              </w:rPr>
            </w:pPr>
            <w:r>
              <w:rPr>
                <w:rFonts w:hint="eastAsia" w:cs="宋体"/>
                <w:sz w:val="21"/>
                <w:szCs w:val="21"/>
                <w:u w:val="none"/>
                <w:lang w:val="en-US" w:eastAsia="zh-CN"/>
              </w:rPr>
              <w:t>5</w:t>
            </w:r>
            <w:r>
              <w:rPr>
                <w:rFonts w:hint="eastAsia" w:ascii="宋体" w:hAnsi="宋体" w:eastAsia="宋体" w:cs="宋体"/>
                <w:sz w:val="21"/>
                <w:szCs w:val="21"/>
              </w:rPr>
              <w:t>分</w:t>
            </w:r>
          </w:p>
        </w:tc>
        <w:tc>
          <w:tcPr>
            <w:tcW w:w="4898" w:type="dxa"/>
            <w:vAlign w:val="top"/>
          </w:tcPr>
          <w:p w14:paraId="4446E825">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基本得分3分，施工总体进度计划、控制性项目</w:t>
            </w:r>
          </w:p>
          <w:p w14:paraId="3CD22D14">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安排，工程进度补救措施等情况的合理性，加</w:t>
            </w:r>
          </w:p>
          <w:p w14:paraId="70CDBE8B">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0-2分，满分5分</w:t>
            </w:r>
          </w:p>
        </w:tc>
      </w:tr>
      <w:tr w14:paraId="56082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724" w:type="dxa"/>
            <w:vMerge w:val="continue"/>
          </w:tcPr>
          <w:p w14:paraId="47921E50">
            <w:pPr>
              <w:pStyle w:val="42"/>
              <w:spacing w:before="196"/>
              <w:ind w:left="232"/>
              <w:rPr>
                <w:rFonts w:hint="eastAsia" w:ascii="宋体" w:hAnsi="宋体" w:eastAsia="宋体" w:cs="宋体"/>
                <w:sz w:val="21"/>
                <w:szCs w:val="21"/>
              </w:rPr>
            </w:pPr>
          </w:p>
        </w:tc>
        <w:tc>
          <w:tcPr>
            <w:tcW w:w="873" w:type="dxa"/>
            <w:vMerge w:val="continue"/>
          </w:tcPr>
          <w:p w14:paraId="032C57F5">
            <w:pPr>
              <w:pStyle w:val="42"/>
              <w:spacing w:before="1" w:line="340" w:lineRule="auto"/>
              <w:ind w:left="577" w:right="152" w:hanging="420"/>
              <w:rPr>
                <w:rFonts w:hint="eastAsia" w:ascii="宋体" w:hAnsi="宋体" w:eastAsia="宋体" w:cs="宋体"/>
                <w:sz w:val="21"/>
                <w:szCs w:val="21"/>
              </w:rPr>
            </w:pPr>
          </w:p>
        </w:tc>
        <w:tc>
          <w:tcPr>
            <w:tcW w:w="777" w:type="dxa"/>
            <w:vMerge w:val="continue"/>
          </w:tcPr>
          <w:p w14:paraId="7AECD35F">
            <w:pPr>
              <w:pStyle w:val="42"/>
              <w:tabs>
                <w:tab w:val="left" w:pos="671"/>
              </w:tabs>
              <w:spacing w:before="196"/>
              <w:ind w:left="354"/>
              <w:rPr>
                <w:rFonts w:hint="eastAsia" w:ascii="宋体" w:hAnsi="宋体" w:eastAsia="宋体" w:cs="宋体"/>
                <w:w w:val="100"/>
                <w:sz w:val="21"/>
                <w:szCs w:val="21"/>
                <w:u w:val="none"/>
                <w:lang w:val="en-US" w:eastAsia="zh-CN"/>
              </w:rPr>
            </w:pPr>
          </w:p>
        </w:tc>
        <w:tc>
          <w:tcPr>
            <w:tcW w:w="1121" w:type="dxa"/>
            <w:vAlign w:val="center"/>
          </w:tcPr>
          <w:p w14:paraId="28B0391D">
            <w:pPr>
              <w:pStyle w:val="42"/>
              <w:spacing w:line="380" w:lineRule="exact"/>
              <w:ind w:right="100"/>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工程质量管理体系及保证</w:t>
            </w:r>
            <w:r>
              <w:rPr>
                <w:rFonts w:hint="eastAsia" w:cs="宋体"/>
                <w:b/>
                <w:bCs/>
                <w:kern w:val="0"/>
                <w:sz w:val="21"/>
                <w:szCs w:val="21"/>
                <w:lang w:eastAsia="zh-CN"/>
              </w:rPr>
              <w:t>措</w:t>
            </w:r>
          </w:p>
          <w:p w14:paraId="01E985D2">
            <w:pPr>
              <w:pStyle w:val="42"/>
              <w:spacing w:line="380" w:lineRule="exact"/>
              <w:ind w:right="100"/>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 xml:space="preserve">施 </w:t>
            </w:r>
          </w:p>
        </w:tc>
        <w:tc>
          <w:tcPr>
            <w:tcW w:w="502" w:type="dxa"/>
            <w:vAlign w:val="center"/>
          </w:tcPr>
          <w:p w14:paraId="674847DA">
            <w:pPr>
              <w:pStyle w:val="42"/>
              <w:tabs>
                <w:tab w:val="left" w:pos="452"/>
              </w:tabs>
              <w:spacing w:line="360" w:lineRule="auto"/>
              <w:ind w:left="134" w:leftChars="0" w:right="0" w:rightChars="0"/>
              <w:jc w:val="center"/>
              <w:rPr>
                <w:rFonts w:hint="eastAsia" w:ascii="宋体" w:hAnsi="宋体" w:eastAsia="宋体" w:cs="宋体"/>
                <w:sz w:val="21"/>
                <w:szCs w:val="21"/>
                <w:lang w:val="en-US" w:eastAsia="zh-CN" w:bidi="zh-CN"/>
              </w:rPr>
            </w:pPr>
            <w:r>
              <w:rPr>
                <w:rFonts w:hint="eastAsia" w:cs="宋体"/>
                <w:sz w:val="21"/>
                <w:szCs w:val="21"/>
                <w:lang w:val="en-US" w:eastAsia="zh-CN"/>
              </w:rPr>
              <w:t>5</w:t>
            </w:r>
            <w:r>
              <w:rPr>
                <w:rFonts w:hint="eastAsia" w:ascii="宋体" w:hAnsi="宋体" w:eastAsia="宋体" w:cs="宋体"/>
                <w:sz w:val="21"/>
                <w:szCs w:val="21"/>
              </w:rPr>
              <w:t>分</w:t>
            </w:r>
          </w:p>
        </w:tc>
        <w:tc>
          <w:tcPr>
            <w:tcW w:w="4898" w:type="dxa"/>
            <w:vAlign w:val="top"/>
          </w:tcPr>
          <w:p w14:paraId="69AEFE81">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满足本项目质量基本要求的得基本分3分，根据</w:t>
            </w:r>
          </w:p>
          <w:p w14:paraId="11089C26">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对本工程的质量管理体系、质量目标、质量保</w:t>
            </w:r>
          </w:p>
          <w:p w14:paraId="482F42D1">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证措施等情况的合理性、针对性、科学性加0-2</w:t>
            </w:r>
          </w:p>
          <w:p w14:paraId="1DA09FD2">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分，满分5分。 </w:t>
            </w:r>
          </w:p>
        </w:tc>
      </w:tr>
      <w:tr w14:paraId="08973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724" w:type="dxa"/>
            <w:vMerge w:val="continue"/>
          </w:tcPr>
          <w:p w14:paraId="4504E63E">
            <w:pPr>
              <w:pStyle w:val="42"/>
              <w:spacing w:before="196"/>
              <w:ind w:left="232"/>
              <w:rPr>
                <w:rFonts w:hint="eastAsia" w:ascii="宋体" w:hAnsi="宋体" w:eastAsia="宋体" w:cs="宋体"/>
                <w:sz w:val="21"/>
                <w:szCs w:val="21"/>
              </w:rPr>
            </w:pPr>
          </w:p>
        </w:tc>
        <w:tc>
          <w:tcPr>
            <w:tcW w:w="873" w:type="dxa"/>
            <w:vMerge w:val="continue"/>
          </w:tcPr>
          <w:p w14:paraId="01F9A1CC">
            <w:pPr>
              <w:pStyle w:val="42"/>
              <w:spacing w:before="1" w:line="340" w:lineRule="auto"/>
              <w:ind w:left="577" w:right="152" w:hanging="420"/>
              <w:rPr>
                <w:rFonts w:hint="eastAsia" w:ascii="宋体" w:hAnsi="宋体" w:eastAsia="宋体" w:cs="宋体"/>
                <w:sz w:val="21"/>
                <w:szCs w:val="21"/>
              </w:rPr>
            </w:pPr>
          </w:p>
        </w:tc>
        <w:tc>
          <w:tcPr>
            <w:tcW w:w="777" w:type="dxa"/>
            <w:vMerge w:val="continue"/>
          </w:tcPr>
          <w:p w14:paraId="420CF774">
            <w:pPr>
              <w:pStyle w:val="42"/>
              <w:tabs>
                <w:tab w:val="left" w:pos="671"/>
              </w:tabs>
              <w:spacing w:before="196"/>
              <w:ind w:left="354"/>
              <w:rPr>
                <w:rFonts w:hint="eastAsia" w:ascii="宋体" w:hAnsi="宋体" w:eastAsia="宋体" w:cs="宋体"/>
                <w:w w:val="100"/>
                <w:sz w:val="21"/>
                <w:szCs w:val="21"/>
                <w:u w:val="none"/>
                <w:lang w:val="en-US" w:eastAsia="zh-CN"/>
              </w:rPr>
            </w:pPr>
          </w:p>
        </w:tc>
        <w:tc>
          <w:tcPr>
            <w:tcW w:w="1121" w:type="dxa"/>
            <w:vAlign w:val="center"/>
          </w:tcPr>
          <w:p w14:paraId="16AD792E">
            <w:pPr>
              <w:pStyle w:val="42"/>
              <w:spacing w:line="380" w:lineRule="exact"/>
              <w:ind w:right="100"/>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安全生产管理体系及保证措</w:t>
            </w:r>
          </w:p>
          <w:p w14:paraId="00E71C45">
            <w:pPr>
              <w:pStyle w:val="42"/>
              <w:spacing w:line="380" w:lineRule="exact"/>
              <w:ind w:right="100"/>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施</w:t>
            </w:r>
          </w:p>
        </w:tc>
        <w:tc>
          <w:tcPr>
            <w:tcW w:w="502" w:type="dxa"/>
            <w:vAlign w:val="center"/>
          </w:tcPr>
          <w:p w14:paraId="39FCEA73">
            <w:pPr>
              <w:pStyle w:val="42"/>
              <w:tabs>
                <w:tab w:val="left" w:pos="452"/>
              </w:tabs>
              <w:spacing w:line="360" w:lineRule="auto"/>
              <w:ind w:left="134" w:leftChars="0" w:right="0" w:rightChars="0"/>
              <w:jc w:val="center"/>
              <w:rPr>
                <w:rFonts w:hint="eastAsia" w:ascii="宋体" w:hAnsi="宋体" w:eastAsia="宋体" w:cs="宋体"/>
                <w:sz w:val="21"/>
                <w:szCs w:val="21"/>
                <w:lang w:val="en-US" w:eastAsia="zh-CN" w:bidi="zh-CN"/>
              </w:rPr>
            </w:pPr>
            <w:r>
              <w:rPr>
                <w:rFonts w:hint="eastAsia" w:cs="宋体"/>
                <w:sz w:val="21"/>
                <w:szCs w:val="21"/>
                <w:lang w:val="en-US" w:eastAsia="zh-CN"/>
              </w:rPr>
              <w:t>5</w:t>
            </w:r>
            <w:r>
              <w:rPr>
                <w:rFonts w:hint="eastAsia" w:ascii="宋体" w:hAnsi="宋体" w:eastAsia="宋体" w:cs="宋体"/>
                <w:sz w:val="21"/>
                <w:szCs w:val="21"/>
              </w:rPr>
              <w:t>分</w:t>
            </w:r>
          </w:p>
        </w:tc>
        <w:tc>
          <w:tcPr>
            <w:tcW w:w="4898" w:type="dxa"/>
            <w:vAlign w:val="top"/>
          </w:tcPr>
          <w:p w14:paraId="2748B6BA">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满足安全基本要求的得基本分3分，根据本项目</w:t>
            </w:r>
          </w:p>
          <w:p w14:paraId="6C000703">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的安全管理体系、项目安全生产管理制度，施</w:t>
            </w:r>
          </w:p>
          <w:p w14:paraId="13EB6D75">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工安全措施、劳动保护措施、专职安全员的安</w:t>
            </w:r>
          </w:p>
          <w:p w14:paraId="202F3379">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全管理措施等情况可行性、针对性加0-2分，满</w:t>
            </w:r>
          </w:p>
          <w:p w14:paraId="14279537">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 xml:space="preserve">分5分。 </w:t>
            </w:r>
          </w:p>
        </w:tc>
      </w:tr>
      <w:tr w14:paraId="7D1D5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0" w:hRule="atLeast"/>
        </w:trPr>
        <w:tc>
          <w:tcPr>
            <w:tcW w:w="724" w:type="dxa"/>
            <w:vMerge w:val="continue"/>
          </w:tcPr>
          <w:p w14:paraId="7F5C03D4">
            <w:pPr>
              <w:pStyle w:val="42"/>
              <w:spacing w:before="196"/>
              <w:ind w:left="232"/>
              <w:rPr>
                <w:rFonts w:hint="eastAsia" w:ascii="宋体" w:hAnsi="宋体" w:eastAsia="宋体" w:cs="宋体"/>
                <w:sz w:val="21"/>
                <w:szCs w:val="21"/>
              </w:rPr>
            </w:pPr>
          </w:p>
        </w:tc>
        <w:tc>
          <w:tcPr>
            <w:tcW w:w="873" w:type="dxa"/>
            <w:vMerge w:val="continue"/>
          </w:tcPr>
          <w:p w14:paraId="28C80C24">
            <w:pPr>
              <w:pStyle w:val="42"/>
              <w:spacing w:before="1" w:line="340" w:lineRule="auto"/>
              <w:ind w:left="577" w:right="152" w:hanging="420"/>
              <w:rPr>
                <w:rFonts w:hint="eastAsia" w:ascii="宋体" w:hAnsi="宋体" w:eastAsia="宋体" w:cs="宋体"/>
                <w:sz w:val="21"/>
                <w:szCs w:val="21"/>
              </w:rPr>
            </w:pPr>
          </w:p>
        </w:tc>
        <w:tc>
          <w:tcPr>
            <w:tcW w:w="777" w:type="dxa"/>
            <w:vMerge w:val="continue"/>
          </w:tcPr>
          <w:p w14:paraId="52065EA1">
            <w:pPr>
              <w:pStyle w:val="42"/>
              <w:tabs>
                <w:tab w:val="left" w:pos="671"/>
              </w:tabs>
              <w:spacing w:before="196"/>
              <w:ind w:left="354"/>
              <w:rPr>
                <w:rFonts w:hint="eastAsia" w:ascii="宋体" w:hAnsi="宋体" w:eastAsia="宋体" w:cs="宋体"/>
                <w:w w:val="100"/>
                <w:sz w:val="21"/>
                <w:szCs w:val="21"/>
                <w:u w:val="none"/>
                <w:lang w:val="en-US" w:eastAsia="zh-CN"/>
              </w:rPr>
            </w:pPr>
          </w:p>
        </w:tc>
        <w:tc>
          <w:tcPr>
            <w:tcW w:w="1121" w:type="dxa"/>
            <w:vAlign w:val="center"/>
          </w:tcPr>
          <w:p w14:paraId="1E489D7D">
            <w:pPr>
              <w:pStyle w:val="42"/>
              <w:spacing w:line="380" w:lineRule="exact"/>
              <w:ind w:right="100"/>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危险性较大的分部分项专项</w:t>
            </w:r>
          </w:p>
          <w:p w14:paraId="60AC9B37">
            <w:pPr>
              <w:pStyle w:val="42"/>
              <w:spacing w:line="380" w:lineRule="exact"/>
              <w:ind w:right="100"/>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施工方案、方</w:t>
            </w:r>
          </w:p>
          <w:p w14:paraId="7AC99C87">
            <w:pPr>
              <w:pStyle w:val="42"/>
              <w:spacing w:line="380" w:lineRule="exact"/>
              <w:ind w:right="100"/>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法和措施</w:t>
            </w:r>
          </w:p>
        </w:tc>
        <w:tc>
          <w:tcPr>
            <w:tcW w:w="502" w:type="dxa"/>
            <w:vAlign w:val="center"/>
          </w:tcPr>
          <w:p w14:paraId="2622AA32">
            <w:pPr>
              <w:pStyle w:val="42"/>
              <w:tabs>
                <w:tab w:val="left" w:pos="452"/>
              </w:tabs>
              <w:spacing w:line="360" w:lineRule="auto"/>
              <w:ind w:left="134" w:leftChars="0" w:right="0" w:rightChars="0"/>
              <w:jc w:val="center"/>
              <w:rPr>
                <w:rFonts w:hint="eastAsia" w:ascii="宋体" w:hAnsi="宋体" w:eastAsia="宋体" w:cs="宋体"/>
                <w:sz w:val="21"/>
                <w:szCs w:val="21"/>
                <w:lang w:val="en-US" w:eastAsia="zh-CN" w:bidi="zh-CN"/>
              </w:rPr>
            </w:pPr>
            <w:r>
              <w:rPr>
                <w:rFonts w:hint="eastAsia" w:cs="宋体"/>
                <w:sz w:val="21"/>
                <w:szCs w:val="21"/>
                <w:lang w:val="en-US" w:eastAsia="zh-CN"/>
              </w:rPr>
              <w:t>5</w:t>
            </w:r>
            <w:r>
              <w:rPr>
                <w:rFonts w:hint="eastAsia" w:ascii="宋体" w:hAnsi="宋体" w:eastAsia="宋体" w:cs="宋体"/>
                <w:sz w:val="21"/>
                <w:szCs w:val="21"/>
              </w:rPr>
              <w:t>分</w:t>
            </w:r>
          </w:p>
        </w:tc>
        <w:tc>
          <w:tcPr>
            <w:tcW w:w="4898" w:type="dxa"/>
            <w:vAlign w:val="top"/>
          </w:tcPr>
          <w:p w14:paraId="066BCC7F">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default" w:cs="宋体"/>
                <w:kern w:val="0"/>
                <w:sz w:val="21"/>
                <w:szCs w:val="21"/>
                <w:lang w:val="en-US" w:eastAsia="zh-CN"/>
              </w:rPr>
            </w:pPr>
            <w:r>
              <w:rPr>
                <w:rFonts w:hint="default" w:cs="宋体"/>
                <w:kern w:val="0"/>
                <w:sz w:val="21"/>
                <w:szCs w:val="21"/>
                <w:lang w:val="en-US" w:eastAsia="zh-CN"/>
              </w:rPr>
              <w:t>针对危险性较大的分部分项工程施工方案、方</w:t>
            </w:r>
          </w:p>
          <w:p w14:paraId="455C5B30">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default" w:cs="宋体"/>
                <w:kern w:val="0"/>
                <w:sz w:val="21"/>
                <w:szCs w:val="21"/>
                <w:lang w:val="en-US" w:eastAsia="zh-CN"/>
              </w:rPr>
            </w:pPr>
            <w:r>
              <w:rPr>
                <w:rFonts w:hint="default" w:cs="宋体"/>
                <w:kern w:val="0"/>
                <w:sz w:val="21"/>
                <w:szCs w:val="21"/>
                <w:lang w:val="en-US" w:eastAsia="zh-CN"/>
              </w:rPr>
              <w:t>法和措施一般的得3分，根据方案、方法和措施</w:t>
            </w:r>
          </w:p>
          <w:p w14:paraId="1731BAD2">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default" w:cs="宋体"/>
                <w:kern w:val="0"/>
                <w:sz w:val="21"/>
                <w:szCs w:val="21"/>
                <w:lang w:val="en-US" w:eastAsia="zh-CN"/>
              </w:rPr>
            </w:pPr>
            <w:r>
              <w:rPr>
                <w:rFonts w:hint="default" w:cs="宋体"/>
                <w:kern w:val="0"/>
                <w:sz w:val="21"/>
                <w:szCs w:val="21"/>
                <w:lang w:val="en-US" w:eastAsia="zh-CN"/>
              </w:rPr>
              <w:t>的科学性、合理性、可行性、安全程度加0-2分，</w:t>
            </w:r>
          </w:p>
          <w:p w14:paraId="56016F2F">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default" w:cs="宋体"/>
                <w:kern w:val="0"/>
                <w:sz w:val="21"/>
                <w:szCs w:val="21"/>
                <w:lang w:val="en-US" w:eastAsia="zh-CN"/>
              </w:rPr>
            </w:pPr>
            <w:r>
              <w:rPr>
                <w:rFonts w:hint="default" w:cs="宋体"/>
                <w:kern w:val="0"/>
                <w:sz w:val="21"/>
                <w:szCs w:val="21"/>
                <w:lang w:val="en-US" w:eastAsia="zh-CN"/>
              </w:rPr>
              <w:t xml:space="preserve">满分5分。 </w:t>
            </w:r>
          </w:p>
        </w:tc>
      </w:tr>
      <w:tr w14:paraId="63A13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724" w:type="dxa"/>
            <w:vMerge w:val="continue"/>
          </w:tcPr>
          <w:p w14:paraId="7FF6B84C">
            <w:pPr>
              <w:pStyle w:val="42"/>
              <w:spacing w:before="196"/>
              <w:ind w:left="232"/>
              <w:rPr>
                <w:rFonts w:hint="eastAsia" w:ascii="宋体" w:hAnsi="宋体" w:eastAsia="宋体" w:cs="宋体"/>
                <w:sz w:val="21"/>
                <w:szCs w:val="21"/>
              </w:rPr>
            </w:pPr>
          </w:p>
        </w:tc>
        <w:tc>
          <w:tcPr>
            <w:tcW w:w="873" w:type="dxa"/>
            <w:vMerge w:val="continue"/>
          </w:tcPr>
          <w:p w14:paraId="65761316">
            <w:pPr>
              <w:pStyle w:val="42"/>
              <w:spacing w:before="1" w:line="340" w:lineRule="auto"/>
              <w:ind w:left="577" w:right="152" w:hanging="420"/>
              <w:rPr>
                <w:rFonts w:hint="eastAsia" w:ascii="宋体" w:hAnsi="宋体" w:eastAsia="宋体" w:cs="宋体"/>
                <w:sz w:val="21"/>
                <w:szCs w:val="21"/>
              </w:rPr>
            </w:pPr>
          </w:p>
        </w:tc>
        <w:tc>
          <w:tcPr>
            <w:tcW w:w="777" w:type="dxa"/>
            <w:vMerge w:val="continue"/>
          </w:tcPr>
          <w:p w14:paraId="54DB806A">
            <w:pPr>
              <w:pStyle w:val="42"/>
              <w:tabs>
                <w:tab w:val="left" w:pos="671"/>
              </w:tabs>
              <w:spacing w:before="196"/>
              <w:ind w:left="354"/>
              <w:rPr>
                <w:rFonts w:hint="eastAsia" w:ascii="宋体" w:hAnsi="宋体" w:eastAsia="宋体" w:cs="宋体"/>
                <w:w w:val="100"/>
                <w:sz w:val="21"/>
                <w:szCs w:val="21"/>
                <w:u w:val="none"/>
                <w:lang w:val="en-US" w:eastAsia="zh-CN"/>
              </w:rPr>
            </w:pPr>
          </w:p>
        </w:tc>
        <w:tc>
          <w:tcPr>
            <w:tcW w:w="1121" w:type="dxa"/>
            <w:vAlign w:val="center"/>
          </w:tcPr>
          <w:p w14:paraId="68CA2F76">
            <w:pPr>
              <w:pStyle w:val="42"/>
              <w:spacing w:line="380" w:lineRule="exact"/>
              <w:ind w:right="100"/>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环境保护、水</w:t>
            </w:r>
          </w:p>
          <w:p w14:paraId="167497CD">
            <w:pPr>
              <w:pStyle w:val="42"/>
              <w:spacing w:line="380" w:lineRule="exact"/>
              <w:ind w:right="100"/>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土保持、文明施工、文物保护保证体系及保证</w:t>
            </w:r>
            <w:r>
              <w:rPr>
                <w:rFonts w:hint="eastAsia" w:cs="宋体"/>
                <w:b/>
                <w:bCs/>
                <w:kern w:val="0"/>
                <w:sz w:val="21"/>
                <w:szCs w:val="21"/>
                <w:lang w:eastAsia="zh-CN"/>
              </w:rPr>
              <w:t>措施</w:t>
            </w:r>
          </w:p>
        </w:tc>
        <w:tc>
          <w:tcPr>
            <w:tcW w:w="502" w:type="dxa"/>
            <w:vAlign w:val="center"/>
          </w:tcPr>
          <w:p w14:paraId="57C5F342">
            <w:pPr>
              <w:pStyle w:val="42"/>
              <w:tabs>
                <w:tab w:val="left" w:pos="452"/>
              </w:tabs>
              <w:spacing w:line="360" w:lineRule="auto"/>
              <w:ind w:left="134" w:leftChars="0" w:right="0" w:rightChars="0"/>
              <w:jc w:val="center"/>
              <w:rPr>
                <w:rFonts w:hint="eastAsia" w:ascii="宋体" w:hAnsi="宋体" w:eastAsia="宋体" w:cs="宋体"/>
                <w:sz w:val="21"/>
                <w:szCs w:val="21"/>
                <w:lang w:val="en-US" w:eastAsia="zh-CN" w:bidi="zh-CN"/>
              </w:rPr>
            </w:pPr>
            <w:r>
              <w:rPr>
                <w:rFonts w:hint="eastAsia" w:cs="宋体"/>
                <w:sz w:val="21"/>
                <w:szCs w:val="21"/>
                <w:lang w:val="en-US" w:eastAsia="zh-CN"/>
              </w:rPr>
              <w:t>5</w:t>
            </w:r>
            <w:r>
              <w:rPr>
                <w:rFonts w:hint="eastAsia" w:ascii="宋体" w:hAnsi="宋体" w:eastAsia="宋体" w:cs="宋体"/>
                <w:sz w:val="21"/>
                <w:szCs w:val="21"/>
              </w:rPr>
              <w:t>分</w:t>
            </w:r>
          </w:p>
        </w:tc>
        <w:tc>
          <w:tcPr>
            <w:tcW w:w="4898" w:type="dxa"/>
            <w:vAlign w:val="top"/>
          </w:tcPr>
          <w:p w14:paraId="5028E653">
            <w:pPr>
              <w:pStyle w:val="53"/>
              <w:spacing w:before="156" w:line="220" w:lineRule="auto"/>
              <w:ind w:left="9"/>
              <w:jc w:val="left"/>
              <w:rPr>
                <w:rFonts w:hint="eastAsia" w:ascii="宋体" w:hAnsi="宋体" w:eastAsia="宋体" w:cs="宋体"/>
                <w:kern w:val="0"/>
                <w:sz w:val="21"/>
                <w:szCs w:val="21"/>
              </w:rPr>
            </w:pPr>
            <w:r>
              <w:rPr>
                <w:rFonts w:hint="eastAsia"/>
              </w:rPr>
              <w:t>满足基本要求得基本分3分，根据本项目，此内容的合理性、可行性、针对性加0-2分，满分5分。</w:t>
            </w:r>
          </w:p>
        </w:tc>
      </w:tr>
      <w:tr w14:paraId="24199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24" w:type="dxa"/>
            <w:vMerge w:val="continue"/>
          </w:tcPr>
          <w:p w14:paraId="0B501C35">
            <w:pPr>
              <w:pStyle w:val="42"/>
              <w:spacing w:before="196"/>
              <w:ind w:left="232"/>
              <w:rPr>
                <w:rFonts w:hint="eastAsia" w:ascii="宋体" w:hAnsi="宋体" w:eastAsia="宋体" w:cs="宋体"/>
                <w:sz w:val="21"/>
                <w:szCs w:val="21"/>
              </w:rPr>
            </w:pPr>
          </w:p>
        </w:tc>
        <w:tc>
          <w:tcPr>
            <w:tcW w:w="873" w:type="dxa"/>
            <w:vMerge w:val="continue"/>
          </w:tcPr>
          <w:p w14:paraId="3E102D0B">
            <w:pPr>
              <w:pStyle w:val="42"/>
              <w:spacing w:before="1" w:line="340" w:lineRule="auto"/>
              <w:ind w:left="577" w:right="152" w:hanging="420"/>
              <w:rPr>
                <w:rFonts w:hint="eastAsia" w:ascii="宋体" w:hAnsi="宋体" w:eastAsia="宋体" w:cs="宋体"/>
                <w:sz w:val="21"/>
                <w:szCs w:val="21"/>
              </w:rPr>
            </w:pPr>
          </w:p>
        </w:tc>
        <w:tc>
          <w:tcPr>
            <w:tcW w:w="777" w:type="dxa"/>
            <w:vMerge w:val="continue"/>
          </w:tcPr>
          <w:p w14:paraId="78F18AF2">
            <w:pPr>
              <w:pStyle w:val="42"/>
              <w:tabs>
                <w:tab w:val="left" w:pos="671"/>
              </w:tabs>
              <w:spacing w:before="196"/>
              <w:ind w:left="354"/>
              <w:rPr>
                <w:rFonts w:hint="eastAsia" w:ascii="宋体" w:hAnsi="宋体" w:eastAsia="宋体" w:cs="宋体"/>
                <w:w w:val="100"/>
                <w:sz w:val="21"/>
                <w:szCs w:val="21"/>
                <w:u w:val="none"/>
                <w:lang w:val="en-US" w:eastAsia="zh-CN"/>
              </w:rPr>
            </w:pPr>
          </w:p>
        </w:tc>
        <w:tc>
          <w:tcPr>
            <w:tcW w:w="1121" w:type="dxa"/>
            <w:vAlign w:val="center"/>
          </w:tcPr>
          <w:p w14:paraId="53E7DF96">
            <w:pPr>
              <w:pStyle w:val="42"/>
              <w:spacing w:line="380" w:lineRule="exact"/>
              <w:ind w:right="100"/>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项目风险预与防范，事故应 急预案</w:t>
            </w:r>
          </w:p>
        </w:tc>
        <w:tc>
          <w:tcPr>
            <w:tcW w:w="502" w:type="dxa"/>
            <w:vAlign w:val="center"/>
          </w:tcPr>
          <w:p w14:paraId="1EA44A15">
            <w:pPr>
              <w:pStyle w:val="42"/>
              <w:tabs>
                <w:tab w:val="left" w:pos="452"/>
              </w:tabs>
              <w:spacing w:line="360" w:lineRule="auto"/>
              <w:ind w:left="134" w:leftChars="0" w:right="0" w:rightChars="0"/>
              <w:jc w:val="center"/>
              <w:rPr>
                <w:rFonts w:hint="eastAsia" w:ascii="宋体" w:hAnsi="宋体" w:eastAsia="宋体" w:cs="宋体"/>
                <w:sz w:val="21"/>
                <w:szCs w:val="21"/>
                <w:lang w:val="en-US" w:eastAsia="zh-CN" w:bidi="zh-CN"/>
              </w:rPr>
            </w:pPr>
            <w:r>
              <w:rPr>
                <w:rFonts w:hint="eastAsia" w:cs="宋体"/>
                <w:sz w:val="21"/>
                <w:szCs w:val="21"/>
                <w:lang w:val="en-US" w:eastAsia="zh-CN"/>
              </w:rPr>
              <w:t>5</w:t>
            </w:r>
            <w:r>
              <w:rPr>
                <w:rFonts w:hint="eastAsia" w:ascii="宋体" w:hAnsi="宋体" w:eastAsia="宋体" w:cs="宋体"/>
                <w:sz w:val="21"/>
                <w:szCs w:val="21"/>
              </w:rPr>
              <w:t>分</w:t>
            </w:r>
          </w:p>
        </w:tc>
        <w:tc>
          <w:tcPr>
            <w:tcW w:w="4898" w:type="dxa"/>
            <w:vAlign w:val="top"/>
          </w:tcPr>
          <w:p w14:paraId="55F2F121">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此项一般的得基本分3分，根据本项目风险预测</w:t>
            </w:r>
          </w:p>
          <w:p w14:paraId="0D7CC616">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与防范，事故应急预案优、良、合理、有针对性</w:t>
            </w:r>
          </w:p>
          <w:p w14:paraId="6B6036F1">
            <w:pPr>
              <w:pStyle w:val="42"/>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 xml:space="preserve">加0-2分，满分5分。 </w:t>
            </w:r>
          </w:p>
        </w:tc>
      </w:tr>
      <w:tr w14:paraId="151D5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724" w:type="dxa"/>
            <w:vMerge w:val="restart"/>
            <w:vAlign w:val="center"/>
          </w:tcPr>
          <w:p w14:paraId="67472E2A">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2.2.2（2）</w:t>
            </w:r>
          </w:p>
        </w:tc>
        <w:tc>
          <w:tcPr>
            <w:tcW w:w="873" w:type="dxa"/>
            <w:vMerge w:val="restart"/>
            <w:vAlign w:val="center"/>
          </w:tcPr>
          <w:p w14:paraId="5C327869">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主要人员</w:t>
            </w:r>
          </w:p>
        </w:tc>
        <w:tc>
          <w:tcPr>
            <w:tcW w:w="777" w:type="dxa"/>
            <w:vMerge w:val="restart"/>
            <w:vAlign w:val="center"/>
          </w:tcPr>
          <w:p w14:paraId="5D08FF5C">
            <w:pPr>
              <w:pStyle w:val="42"/>
              <w:keepNext w:val="0"/>
              <w:keepLines w:val="0"/>
              <w:pageBreakBefore w:val="0"/>
              <w:widowControl w:val="0"/>
              <w:tabs>
                <w:tab w:val="left" w:pos="671"/>
              </w:tabs>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r>
              <w:rPr>
                <w:rFonts w:hint="eastAsia" w:cs="宋体"/>
                <w:sz w:val="21"/>
                <w:szCs w:val="21"/>
                <w:lang w:val="en-US" w:eastAsia="zh-CN"/>
              </w:rPr>
              <w:t>30</w:t>
            </w:r>
            <w:r>
              <w:rPr>
                <w:rFonts w:hint="eastAsia" w:ascii="宋体" w:hAnsi="宋体" w:eastAsia="宋体" w:cs="宋体"/>
                <w:sz w:val="21"/>
                <w:szCs w:val="21"/>
              </w:rPr>
              <w:t>分</w:t>
            </w:r>
          </w:p>
        </w:tc>
        <w:tc>
          <w:tcPr>
            <w:tcW w:w="1121" w:type="dxa"/>
            <w:vAlign w:val="center"/>
          </w:tcPr>
          <w:p w14:paraId="4E6D747F">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rPr>
              <w:t>项目</w:t>
            </w:r>
            <w:r>
              <w:rPr>
                <w:rFonts w:hint="eastAsia" w:cs="宋体"/>
                <w:sz w:val="21"/>
                <w:szCs w:val="21"/>
                <w:lang w:eastAsia="zh-CN"/>
              </w:rPr>
              <w:t>经理</w:t>
            </w:r>
            <w:r>
              <w:rPr>
                <w:rFonts w:hint="eastAsia" w:cs="宋体"/>
                <w:sz w:val="21"/>
                <w:szCs w:val="21"/>
                <w:lang w:val="en-US" w:eastAsia="zh-CN"/>
              </w:rPr>
              <w:t>业绩</w:t>
            </w:r>
          </w:p>
        </w:tc>
        <w:tc>
          <w:tcPr>
            <w:tcW w:w="502" w:type="dxa"/>
            <w:vAlign w:val="center"/>
          </w:tcPr>
          <w:p w14:paraId="609196D6">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15</w:t>
            </w:r>
            <w:r>
              <w:rPr>
                <w:rFonts w:hint="eastAsia" w:ascii="宋体" w:hAnsi="宋体" w:eastAsia="宋体" w:cs="宋体"/>
                <w:sz w:val="21"/>
                <w:szCs w:val="21"/>
              </w:rPr>
              <w:t>分</w:t>
            </w:r>
          </w:p>
        </w:tc>
        <w:tc>
          <w:tcPr>
            <w:tcW w:w="4898" w:type="dxa"/>
            <w:vAlign w:val="top"/>
          </w:tcPr>
          <w:p w14:paraId="163CC145">
            <w:pPr>
              <w:pStyle w:val="4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宋体" w:hAnsi="宋体" w:eastAsia="宋体" w:cs="宋体"/>
                <w:b/>
                <w:bCs/>
                <w:color w:val="auto"/>
                <w:sz w:val="21"/>
                <w:szCs w:val="21"/>
                <w:lang w:val="en-US" w:eastAsia="zh-CN"/>
              </w:rPr>
            </w:pPr>
            <w:r>
              <w:rPr>
                <w:rFonts w:hint="eastAsia" w:cs="宋体"/>
                <w:b/>
                <w:bCs/>
                <w:color w:val="auto"/>
                <w:sz w:val="21"/>
                <w:szCs w:val="21"/>
                <w:lang w:val="en-US" w:eastAsia="zh-CN"/>
              </w:rPr>
              <w:t>1、</w:t>
            </w:r>
            <w:r>
              <w:rPr>
                <w:rFonts w:hint="default" w:ascii="宋体" w:hAnsi="宋体" w:eastAsia="宋体" w:cs="宋体"/>
                <w:b/>
                <w:bCs/>
                <w:color w:val="auto"/>
                <w:sz w:val="21"/>
                <w:szCs w:val="21"/>
                <w:lang w:val="en-US" w:eastAsia="zh-CN"/>
              </w:rPr>
              <w:t>投标人近五年（自2020年1月1日以来，以交工或  竣工验收时间为准），拟派项目负责人完成过单项合同金额不少于400万元的公路养护作业项目施工业绩，每提供一个得</w:t>
            </w:r>
            <w:r>
              <w:rPr>
                <w:rFonts w:hint="eastAsia" w:cs="宋体"/>
                <w:b/>
                <w:bCs/>
                <w:color w:val="auto"/>
                <w:sz w:val="21"/>
                <w:szCs w:val="21"/>
                <w:lang w:val="en-US" w:eastAsia="zh-CN"/>
              </w:rPr>
              <w:t>15</w:t>
            </w:r>
            <w:r>
              <w:rPr>
                <w:rFonts w:hint="default" w:ascii="宋体" w:hAnsi="宋体" w:eastAsia="宋体" w:cs="宋体"/>
                <w:b/>
                <w:bCs/>
                <w:color w:val="auto"/>
                <w:sz w:val="21"/>
                <w:szCs w:val="21"/>
                <w:lang w:val="en-US" w:eastAsia="zh-CN"/>
              </w:rPr>
              <w:t>分，满分</w:t>
            </w:r>
            <w:r>
              <w:rPr>
                <w:rFonts w:hint="eastAsia" w:cs="宋体"/>
                <w:b/>
                <w:bCs/>
                <w:color w:val="auto"/>
                <w:sz w:val="21"/>
                <w:szCs w:val="21"/>
                <w:lang w:val="en-US" w:eastAsia="zh-CN"/>
              </w:rPr>
              <w:t>15</w:t>
            </w:r>
            <w:r>
              <w:rPr>
                <w:rFonts w:hint="default" w:ascii="宋体" w:hAnsi="宋体" w:eastAsia="宋体" w:cs="宋体"/>
                <w:b/>
                <w:bCs/>
                <w:color w:val="auto"/>
                <w:sz w:val="21"/>
                <w:szCs w:val="21"/>
                <w:lang w:val="en-US" w:eastAsia="zh-CN"/>
              </w:rPr>
              <w:t>分。</w:t>
            </w:r>
          </w:p>
          <w:p w14:paraId="251EA4A2">
            <w:pPr>
              <w:pStyle w:val="4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注：业绩证明材料：1.投标文件须附在交通运输部 “全国公路建设市场信用信息管理系统”</w:t>
            </w:r>
          </w:p>
          <w:p w14:paraId="16B19C52">
            <w:pPr>
              <w:pStyle w:val="4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(http://glxy.mot.gov.cn)或项目所在地省级交通运 输主管部门“公路建设市场信用信息管理系统”中查 询到的企业“业绩信息”相关项目网页截图</w:t>
            </w:r>
          </w:p>
          <w:p w14:paraId="7DF50B4D">
            <w:pPr>
              <w:pStyle w:val="4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2.提供中标通知书（或施工合同）和交工或竣工验收 证明文件。文件中不能体现工程内容的，须提供业主 证明文件或加盖设计单位出图章的施工图。上传原件 扫描件或原件影印件。</w:t>
            </w:r>
          </w:p>
          <w:p w14:paraId="4D7C053F">
            <w:pPr>
              <w:pStyle w:val="4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textAlignment w:val="auto"/>
              <w:rPr>
                <w:rFonts w:hint="default" w:ascii="宋体" w:hAnsi="宋体" w:eastAsia="宋体" w:cs="宋体"/>
                <w:b/>
                <w:bCs/>
                <w:color w:val="auto"/>
                <w:sz w:val="21"/>
                <w:szCs w:val="21"/>
                <w:lang w:val="en-US" w:eastAsia="zh-CN"/>
              </w:rPr>
            </w:pPr>
          </w:p>
        </w:tc>
      </w:tr>
      <w:tr w14:paraId="2D36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724" w:type="dxa"/>
            <w:vMerge w:val="continue"/>
            <w:vAlign w:val="center"/>
          </w:tcPr>
          <w:p w14:paraId="339EA5B4">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pPr>
          </w:p>
        </w:tc>
        <w:tc>
          <w:tcPr>
            <w:tcW w:w="873" w:type="dxa"/>
            <w:vMerge w:val="continue"/>
            <w:vAlign w:val="center"/>
          </w:tcPr>
          <w:p w14:paraId="758DF596">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pPr>
          </w:p>
        </w:tc>
        <w:tc>
          <w:tcPr>
            <w:tcW w:w="777" w:type="dxa"/>
            <w:vMerge w:val="continue"/>
            <w:vAlign w:val="center"/>
          </w:tcPr>
          <w:p w14:paraId="0F514D1B">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pPr>
          </w:p>
        </w:tc>
        <w:tc>
          <w:tcPr>
            <w:tcW w:w="1121" w:type="dxa"/>
            <w:vAlign w:val="center"/>
          </w:tcPr>
          <w:p w14:paraId="54E91A20">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拟派项目班子其他成员</w:t>
            </w:r>
          </w:p>
        </w:tc>
        <w:tc>
          <w:tcPr>
            <w:tcW w:w="502" w:type="dxa"/>
            <w:vAlign w:val="center"/>
          </w:tcPr>
          <w:p w14:paraId="19A8AB8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sz w:val="21"/>
                <w:szCs w:val="21"/>
              </w:rPr>
            </w:pPr>
            <w:r>
              <w:rPr>
                <w:rFonts w:hint="eastAsia" w:cs="宋体"/>
                <w:sz w:val="21"/>
                <w:szCs w:val="21"/>
                <w:lang w:val="en-US" w:eastAsia="zh-CN"/>
              </w:rPr>
              <w:t>15</w:t>
            </w:r>
            <w:r>
              <w:rPr>
                <w:rFonts w:hint="eastAsia" w:ascii="宋体" w:hAnsi="宋体" w:eastAsia="宋体" w:cs="宋体"/>
                <w:sz w:val="21"/>
                <w:szCs w:val="21"/>
                <w:lang w:val="en-US" w:eastAsia="zh-CN"/>
              </w:rPr>
              <w:t>分</w:t>
            </w:r>
          </w:p>
        </w:tc>
        <w:tc>
          <w:tcPr>
            <w:tcW w:w="4898" w:type="dxa"/>
            <w:vAlign w:val="top"/>
          </w:tcPr>
          <w:p w14:paraId="3D1AB29B">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投标人拟派项目班子成员</w:t>
            </w:r>
            <w:r>
              <w:rPr>
                <w:rFonts w:hint="eastAsia" w:cs="宋体"/>
                <w:b w:val="0"/>
                <w:bCs w:val="0"/>
                <w:color w:val="auto"/>
                <w:sz w:val="21"/>
                <w:szCs w:val="21"/>
                <w:lang w:val="en-US" w:eastAsia="zh-CN"/>
              </w:rPr>
              <w:t>(除项目经理和项目总工外）每提供一名具有公路工程相关专业中级及以上职称的得15分；本项</w:t>
            </w:r>
            <w:r>
              <w:rPr>
                <w:rFonts w:hint="eastAsia" w:ascii="宋体" w:hAnsi="宋体" w:eastAsia="宋体" w:cs="宋体"/>
                <w:b w:val="0"/>
                <w:bCs w:val="0"/>
                <w:color w:val="auto"/>
                <w:sz w:val="21"/>
                <w:szCs w:val="21"/>
                <w:lang w:val="en-US" w:eastAsia="zh-CN"/>
              </w:rPr>
              <w:t>满分</w:t>
            </w:r>
            <w:r>
              <w:rPr>
                <w:rFonts w:hint="eastAsia" w:cs="宋体"/>
                <w:b w:val="0"/>
                <w:bCs w:val="0"/>
                <w:color w:val="auto"/>
                <w:sz w:val="21"/>
                <w:szCs w:val="21"/>
                <w:lang w:val="en-US" w:eastAsia="zh-CN"/>
              </w:rPr>
              <w:t>15</w:t>
            </w:r>
            <w:r>
              <w:rPr>
                <w:rFonts w:hint="eastAsia" w:ascii="宋体" w:hAnsi="宋体" w:eastAsia="宋体" w:cs="宋体"/>
                <w:b w:val="0"/>
                <w:bCs w:val="0"/>
                <w:color w:val="auto"/>
                <w:sz w:val="21"/>
                <w:szCs w:val="21"/>
                <w:lang w:val="en-US" w:eastAsia="zh-CN"/>
              </w:rPr>
              <w:t>分。</w:t>
            </w:r>
          </w:p>
          <w:p w14:paraId="50AA5343">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left"/>
              <w:textAlignment w:val="auto"/>
              <w:rPr>
                <w:rFonts w:hint="eastAsia" w:ascii="宋体" w:hAnsi="宋体" w:eastAsia="宋体" w:cs="宋体"/>
                <w:sz w:val="21"/>
                <w:szCs w:val="21"/>
              </w:rPr>
            </w:pPr>
            <w:r>
              <w:rPr>
                <w:rFonts w:hint="eastAsia" w:ascii="宋体" w:hAnsi="宋体" w:eastAsia="宋体" w:cs="宋体"/>
                <w:b/>
                <w:bCs/>
                <w:sz w:val="21"/>
                <w:szCs w:val="21"/>
              </w:rPr>
              <w:t>注：须提供</w:t>
            </w:r>
            <w:r>
              <w:rPr>
                <w:rFonts w:hint="eastAsia" w:ascii="宋体" w:hAnsi="宋体" w:eastAsia="宋体" w:cs="宋体"/>
                <w:b/>
                <w:bCs/>
                <w:sz w:val="21"/>
                <w:szCs w:val="21"/>
                <w:lang w:val="en-US" w:eastAsia="zh-CN"/>
              </w:rPr>
              <w:t>职称证书</w:t>
            </w:r>
            <w:r>
              <w:rPr>
                <w:rFonts w:hint="eastAsia" w:cs="宋体"/>
                <w:b/>
                <w:bCs/>
                <w:sz w:val="21"/>
                <w:szCs w:val="21"/>
                <w:lang w:val="en-US" w:eastAsia="zh-CN"/>
              </w:rPr>
              <w:t>等，上传原件扫描件或原件影印件</w:t>
            </w:r>
            <w:r>
              <w:rPr>
                <w:rFonts w:hint="eastAsia" w:ascii="宋体" w:hAnsi="宋体" w:eastAsia="宋体" w:cs="宋体"/>
                <w:b/>
                <w:bCs/>
                <w:sz w:val="21"/>
                <w:szCs w:val="21"/>
              </w:rPr>
              <w:t>。</w:t>
            </w:r>
          </w:p>
        </w:tc>
      </w:tr>
      <w:tr w14:paraId="07364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24" w:type="dxa"/>
            <w:vMerge w:val="restart"/>
            <w:vAlign w:val="center"/>
          </w:tcPr>
          <w:p w14:paraId="15F3C2A8">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p>
          <w:p w14:paraId="0DE61378">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p>
          <w:p w14:paraId="440D0FA7">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p>
          <w:p w14:paraId="7B529F3E">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p>
          <w:p w14:paraId="51721D0F">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2.2.2（3）</w:t>
            </w:r>
          </w:p>
        </w:tc>
        <w:tc>
          <w:tcPr>
            <w:tcW w:w="873" w:type="dxa"/>
            <w:vMerge w:val="restart"/>
            <w:vAlign w:val="center"/>
          </w:tcPr>
          <w:p w14:paraId="6D2BC807">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p>
          <w:p w14:paraId="447F4118">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p>
          <w:p w14:paraId="66BAC667">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p>
          <w:p w14:paraId="7C0B2042">
            <w:pPr>
              <w:pStyle w:val="24"/>
              <w:jc w:val="center"/>
              <w:rPr>
                <w:rFonts w:hint="eastAsia" w:ascii="宋体" w:hAnsi="宋体" w:eastAsia="宋体" w:cs="宋体"/>
                <w:sz w:val="21"/>
                <w:szCs w:val="21"/>
              </w:rPr>
            </w:pPr>
          </w:p>
          <w:p w14:paraId="1E4CA951">
            <w:pPr>
              <w:jc w:val="center"/>
              <w:rPr>
                <w:rFonts w:hint="eastAsia" w:ascii="宋体" w:hAnsi="宋体" w:eastAsia="宋体" w:cs="宋体"/>
                <w:sz w:val="21"/>
                <w:szCs w:val="21"/>
              </w:rPr>
            </w:pPr>
          </w:p>
          <w:p w14:paraId="6AB30489">
            <w:pPr>
              <w:pStyle w:val="24"/>
              <w:jc w:val="center"/>
              <w:rPr>
                <w:rFonts w:hint="eastAsia" w:ascii="宋体" w:hAnsi="宋体" w:eastAsia="宋体" w:cs="宋体"/>
                <w:sz w:val="21"/>
                <w:szCs w:val="21"/>
              </w:rPr>
            </w:pPr>
          </w:p>
          <w:p w14:paraId="2946E87F">
            <w:pPr>
              <w:jc w:val="center"/>
              <w:rPr>
                <w:rFonts w:hint="eastAsia"/>
              </w:rPr>
            </w:pPr>
          </w:p>
          <w:p w14:paraId="519A9BFC">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p>
          <w:p w14:paraId="40A93E38">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p>
          <w:p w14:paraId="24C9AE00">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其他因素</w:t>
            </w:r>
          </w:p>
        </w:tc>
        <w:tc>
          <w:tcPr>
            <w:tcW w:w="777" w:type="dxa"/>
            <w:vAlign w:val="center"/>
          </w:tcPr>
          <w:p w14:paraId="35348D52">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技术能力</w:t>
            </w:r>
          </w:p>
          <w:p w14:paraId="78481101">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sz w:val="21"/>
                <w:szCs w:val="21"/>
                <w:lang w:val="en-US" w:eastAsia="zh-CN"/>
              </w:rPr>
            </w:pPr>
            <w:r>
              <w:rPr>
                <w:rFonts w:hint="eastAsia" w:cs="宋体"/>
                <w:sz w:val="21"/>
                <w:szCs w:val="21"/>
                <w:lang w:val="en-US" w:eastAsia="zh-CN"/>
              </w:rPr>
              <w:t>15分</w:t>
            </w:r>
          </w:p>
        </w:tc>
        <w:tc>
          <w:tcPr>
            <w:tcW w:w="1121" w:type="dxa"/>
            <w:vAlign w:val="center"/>
          </w:tcPr>
          <w:p w14:paraId="78647102">
            <w:pPr>
              <w:pStyle w:val="42"/>
              <w:keepNext w:val="0"/>
              <w:keepLines w:val="0"/>
              <w:pageBreakBefore w:val="0"/>
              <w:widowControl w:val="0"/>
              <w:tabs>
                <w:tab w:val="left" w:pos="671"/>
              </w:tabs>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r>
              <w:rPr>
                <w:rFonts w:hint="eastAsia" w:ascii="宋体" w:hAnsi="宋体" w:eastAsia="宋体" w:cs="宋体"/>
                <w:color w:val="auto"/>
                <w:sz w:val="21"/>
                <w:szCs w:val="21"/>
              </w:rPr>
              <w:t>技术创新能力</w:t>
            </w:r>
          </w:p>
        </w:tc>
        <w:tc>
          <w:tcPr>
            <w:tcW w:w="502" w:type="dxa"/>
            <w:vAlign w:val="center"/>
          </w:tcPr>
          <w:p w14:paraId="012E6744">
            <w:pPr>
              <w:pStyle w:val="42"/>
              <w:keepNext w:val="0"/>
              <w:keepLines w:val="0"/>
              <w:pageBreakBefore w:val="0"/>
              <w:widowControl w:val="0"/>
              <w:tabs>
                <w:tab w:val="left" w:pos="420"/>
              </w:tabs>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color w:val="auto"/>
                <w:sz w:val="21"/>
                <w:szCs w:val="21"/>
              </w:rPr>
            </w:pPr>
            <w:r>
              <w:rPr>
                <w:rFonts w:hint="eastAsia" w:cs="宋体"/>
                <w:color w:val="auto"/>
                <w:sz w:val="21"/>
                <w:szCs w:val="21"/>
                <w:u w:val="none"/>
                <w:lang w:val="en-US" w:eastAsia="zh-CN"/>
              </w:rPr>
              <w:t>15</w:t>
            </w:r>
            <w:r>
              <w:rPr>
                <w:rFonts w:hint="eastAsia" w:ascii="宋体" w:hAnsi="宋体" w:eastAsia="宋体" w:cs="宋体"/>
                <w:color w:val="auto"/>
                <w:position w:val="1"/>
                <w:sz w:val="21"/>
                <w:szCs w:val="21"/>
                <w:u w:val="none"/>
              </w:rPr>
              <w:t>分</w:t>
            </w:r>
          </w:p>
        </w:tc>
        <w:tc>
          <w:tcPr>
            <w:tcW w:w="4898" w:type="dxa"/>
            <w:vAlign w:val="top"/>
          </w:tcPr>
          <w:p w14:paraId="1DB1CD91">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独立投标人(</w:t>
            </w:r>
            <w:r>
              <w:rPr>
                <w:rFonts w:hint="eastAsia" w:ascii="宋体" w:hAnsi="宋体" w:eastAsia="宋体" w:cs="宋体"/>
                <w:kern w:val="0"/>
                <w:sz w:val="21"/>
                <w:szCs w:val="21"/>
                <w:lang w:val="en-US" w:eastAsia="zh-CN"/>
              </w:rPr>
              <w:t>牵头人</w:t>
            </w:r>
            <w:r>
              <w:rPr>
                <w:rFonts w:hint="eastAsia" w:ascii="宋体" w:hAnsi="宋体" w:eastAsia="宋体" w:cs="宋体"/>
                <w:kern w:val="0"/>
                <w:sz w:val="21"/>
                <w:szCs w:val="21"/>
                <w:lang w:eastAsia="zh-CN"/>
              </w:rPr>
              <w:t>或联合体成员)</w:t>
            </w:r>
            <w:r>
              <w:rPr>
                <w:rFonts w:hint="eastAsia" w:ascii="宋体" w:hAnsi="宋体" w:eastAsia="宋体" w:cs="宋体"/>
                <w:kern w:val="0"/>
                <w:sz w:val="21"/>
                <w:szCs w:val="21"/>
              </w:rPr>
              <w:t>通过ISO19001质量体系认证证书、环境管理体系认证证书、职业健康安全体系认证证书，</w:t>
            </w:r>
            <w:r>
              <w:rPr>
                <w:rFonts w:hint="eastAsia" w:cs="宋体"/>
                <w:kern w:val="0"/>
                <w:sz w:val="21"/>
                <w:szCs w:val="21"/>
                <w:lang w:val="en-US" w:eastAsia="zh-CN"/>
              </w:rPr>
              <w:t>提供一个得5分</w:t>
            </w:r>
            <w:r>
              <w:rPr>
                <w:rFonts w:hint="eastAsia" w:ascii="宋体" w:hAnsi="宋体" w:eastAsia="宋体" w:cs="宋体"/>
                <w:kern w:val="0"/>
                <w:sz w:val="21"/>
                <w:szCs w:val="21"/>
              </w:rPr>
              <w:t>，</w:t>
            </w:r>
            <w:r>
              <w:rPr>
                <w:rFonts w:hint="eastAsia" w:cs="宋体"/>
                <w:kern w:val="0"/>
                <w:sz w:val="21"/>
                <w:szCs w:val="21"/>
                <w:lang w:val="en-US" w:eastAsia="zh-CN"/>
              </w:rPr>
              <w:t>提供两个得10分，提供三个的得15分，满分得15</w:t>
            </w:r>
            <w:r>
              <w:rPr>
                <w:rFonts w:hint="eastAsia" w:ascii="宋体" w:hAnsi="宋体" w:eastAsia="宋体" w:cs="宋体"/>
                <w:kern w:val="0"/>
                <w:sz w:val="21"/>
                <w:szCs w:val="21"/>
              </w:rPr>
              <w:t>分。</w:t>
            </w:r>
          </w:p>
          <w:p w14:paraId="23DAA6AA">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textAlignment w:val="auto"/>
              <w:rPr>
                <w:rFonts w:hint="default" w:ascii="宋体" w:hAnsi="宋体" w:eastAsia="宋体" w:cs="宋体"/>
                <w:color w:val="auto"/>
                <w:sz w:val="21"/>
                <w:szCs w:val="21"/>
                <w:lang w:val="en-US"/>
              </w:rPr>
            </w:pPr>
            <w:r>
              <w:rPr>
                <w:rFonts w:hint="eastAsia" w:ascii="宋体" w:hAnsi="宋体" w:eastAsia="宋体" w:cs="宋体"/>
                <w:b/>
                <w:bCs/>
                <w:kern w:val="0"/>
                <w:sz w:val="21"/>
                <w:szCs w:val="21"/>
              </w:rPr>
              <w:t>注：认证证书要在有效期内，需提供证书扫描件及全国认证认可信息公共服务平台(cx.cnca.cn)官网证书信息查询截图</w:t>
            </w:r>
            <w:r>
              <w:rPr>
                <w:rFonts w:hint="eastAsia" w:ascii="宋体" w:hAnsi="宋体" w:eastAsia="宋体" w:cs="宋体"/>
                <w:b/>
                <w:bCs/>
                <w:sz w:val="21"/>
                <w:szCs w:val="21"/>
              </w:rPr>
              <w:t>。</w:t>
            </w:r>
          </w:p>
        </w:tc>
      </w:tr>
      <w:tr w14:paraId="164E3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6" w:hRule="atLeast"/>
        </w:trPr>
        <w:tc>
          <w:tcPr>
            <w:tcW w:w="724" w:type="dxa"/>
            <w:vMerge w:val="continue"/>
            <w:vAlign w:val="center"/>
          </w:tcPr>
          <w:p w14:paraId="67A7B7A8">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p>
        </w:tc>
        <w:tc>
          <w:tcPr>
            <w:tcW w:w="873" w:type="dxa"/>
            <w:vMerge w:val="continue"/>
          </w:tcPr>
          <w:p w14:paraId="35B26720">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sz w:val="21"/>
                <w:szCs w:val="21"/>
              </w:rPr>
            </w:pPr>
          </w:p>
        </w:tc>
        <w:tc>
          <w:tcPr>
            <w:tcW w:w="777" w:type="dxa"/>
          </w:tcPr>
          <w:p w14:paraId="5B46F1CD">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sz w:val="21"/>
                <w:szCs w:val="21"/>
              </w:rPr>
            </w:pPr>
          </w:p>
          <w:p w14:paraId="2F9EEA57">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sz w:val="21"/>
                <w:szCs w:val="21"/>
              </w:rPr>
            </w:pPr>
          </w:p>
          <w:p w14:paraId="5852DC06">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sz w:val="21"/>
                <w:szCs w:val="21"/>
              </w:rPr>
            </w:pPr>
          </w:p>
          <w:p w14:paraId="65C5DF65">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sz w:val="21"/>
                <w:szCs w:val="21"/>
              </w:rPr>
            </w:pPr>
          </w:p>
          <w:p w14:paraId="07651A84">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sz w:val="21"/>
                <w:szCs w:val="21"/>
              </w:rPr>
            </w:pPr>
          </w:p>
          <w:p w14:paraId="03166C06">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sz w:val="21"/>
                <w:szCs w:val="21"/>
              </w:rPr>
            </w:pPr>
          </w:p>
          <w:p w14:paraId="3227C340">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b w:val="0"/>
                <w:bCs w:val="0"/>
                <w:sz w:val="21"/>
                <w:szCs w:val="21"/>
              </w:rPr>
            </w:pPr>
          </w:p>
          <w:p w14:paraId="26E9AA04">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履约</w:t>
            </w:r>
          </w:p>
          <w:p w14:paraId="65EB60DD">
            <w:pPr>
              <w:pStyle w:val="42"/>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信誉</w:t>
            </w:r>
          </w:p>
          <w:p w14:paraId="75EB9F0B">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sz w:val="21"/>
                <w:szCs w:val="21"/>
              </w:rPr>
            </w:pPr>
            <w:r>
              <w:rPr>
                <w:rFonts w:hint="eastAsia" w:cs="宋体"/>
                <w:b w:val="0"/>
                <w:bCs w:val="0"/>
                <w:sz w:val="21"/>
                <w:szCs w:val="21"/>
                <w:lang w:val="en-US" w:eastAsia="zh-CN"/>
              </w:rPr>
              <w:t>15分</w:t>
            </w:r>
          </w:p>
        </w:tc>
        <w:tc>
          <w:tcPr>
            <w:tcW w:w="1121" w:type="dxa"/>
          </w:tcPr>
          <w:p w14:paraId="5344433E">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color w:val="auto"/>
                <w:sz w:val="21"/>
                <w:szCs w:val="21"/>
              </w:rPr>
            </w:pPr>
          </w:p>
          <w:p w14:paraId="67342120">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b w:val="0"/>
                <w:bCs w:val="0"/>
                <w:color w:val="auto"/>
                <w:sz w:val="21"/>
                <w:szCs w:val="21"/>
              </w:rPr>
            </w:pPr>
          </w:p>
          <w:p w14:paraId="3FC8CAD0">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color w:val="auto"/>
                <w:sz w:val="21"/>
                <w:szCs w:val="21"/>
              </w:rPr>
            </w:pPr>
          </w:p>
          <w:p w14:paraId="2E68010A">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color w:val="auto"/>
                <w:sz w:val="21"/>
                <w:szCs w:val="21"/>
                <w:lang w:eastAsia="zh-CN"/>
              </w:rPr>
            </w:pPr>
          </w:p>
          <w:p w14:paraId="1CD92E28">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color w:val="auto"/>
                <w:sz w:val="21"/>
                <w:szCs w:val="21"/>
                <w:lang w:eastAsia="zh-CN"/>
              </w:rPr>
            </w:pPr>
          </w:p>
          <w:p w14:paraId="0A3E95CF">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color w:val="auto"/>
                <w:sz w:val="21"/>
                <w:szCs w:val="21"/>
                <w:lang w:eastAsia="zh-CN"/>
              </w:rPr>
            </w:pPr>
          </w:p>
          <w:p w14:paraId="3EF7F8AA">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color w:val="auto"/>
                <w:sz w:val="21"/>
                <w:szCs w:val="21"/>
                <w:lang w:eastAsia="zh-CN"/>
              </w:rPr>
            </w:pPr>
          </w:p>
          <w:p w14:paraId="4176F46D">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color w:val="auto"/>
                <w:sz w:val="21"/>
                <w:szCs w:val="21"/>
                <w:lang w:eastAsia="zh-CN"/>
              </w:rPr>
            </w:pPr>
          </w:p>
          <w:p w14:paraId="297DDED0">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color w:val="auto"/>
                <w:sz w:val="21"/>
                <w:szCs w:val="21"/>
                <w:lang w:eastAsia="zh-CN"/>
              </w:rPr>
            </w:pPr>
          </w:p>
          <w:p w14:paraId="74F42FE3">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color w:val="auto"/>
                <w:sz w:val="21"/>
                <w:szCs w:val="21"/>
                <w:lang w:eastAsia="zh-CN"/>
              </w:rPr>
            </w:pPr>
          </w:p>
          <w:p w14:paraId="4829C02D">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企业</w:t>
            </w:r>
            <w:r>
              <w:rPr>
                <w:rFonts w:hint="eastAsia" w:cs="宋体"/>
                <w:b w:val="0"/>
                <w:bCs w:val="0"/>
                <w:color w:val="auto"/>
                <w:sz w:val="21"/>
                <w:szCs w:val="21"/>
                <w:lang w:val="en-US" w:eastAsia="zh-CN"/>
              </w:rPr>
              <w:t>荣</w:t>
            </w:r>
            <w:r>
              <w:rPr>
                <w:rFonts w:hint="eastAsia" w:ascii="宋体" w:hAnsi="宋体" w:eastAsia="宋体" w:cs="宋体"/>
                <w:b w:val="0"/>
                <w:bCs w:val="0"/>
                <w:color w:val="auto"/>
                <w:sz w:val="21"/>
                <w:szCs w:val="21"/>
                <w:lang w:eastAsia="zh-CN"/>
              </w:rPr>
              <w:t>誉</w:t>
            </w:r>
          </w:p>
        </w:tc>
        <w:tc>
          <w:tcPr>
            <w:tcW w:w="502" w:type="dxa"/>
            <w:vAlign w:val="center"/>
          </w:tcPr>
          <w:p w14:paraId="6585A3F0">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jc w:val="center"/>
              <w:textAlignment w:val="auto"/>
              <w:rPr>
                <w:rFonts w:hint="eastAsia" w:ascii="宋体" w:hAnsi="宋体" w:eastAsia="宋体" w:cs="宋体"/>
                <w:b/>
                <w:bCs/>
                <w:color w:val="auto"/>
                <w:sz w:val="21"/>
                <w:szCs w:val="21"/>
                <w:lang w:val="en-US" w:eastAsia="zh-CN" w:bidi="zh-CN"/>
              </w:rPr>
            </w:pPr>
            <w:r>
              <w:rPr>
                <w:rFonts w:hint="eastAsia" w:cs="宋体"/>
                <w:b w:val="0"/>
                <w:bCs w:val="0"/>
                <w:color w:val="auto"/>
                <w:sz w:val="21"/>
                <w:szCs w:val="21"/>
                <w:lang w:val="en-US" w:eastAsia="zh-CN"/>
              </w:rPr>
              <w:t>15分</w:t>
            </w:r>
          </w:p>
        </w:tc>
        <w:tc>
          <w:tcPr>
            <w:tcW w:w="4898" w:type="dxa"/>
            <w:vAlign w:val="top"/>
          </w:tcPr>
          <w:p w14:paraId="5A947B7E">
            <w:pPr>
              <w:keepNext w:val="0"/>
              <w:keepLines w:val="0"/>
              <w:pageBreakBefore w:val="0"/>
              <w:kinsoku/>
              <w:wordWrap/>
              <w:overflowPunct/>
              <w:topLinePunct w:val="0"/>
              <w:autoSpaceDE w:val="0"/>
              <w:autoSpaceDN w:val="0"/>
              <w:bidi w:val="0"/>
              <w:adjustRightInd/>
              <w:snapToGrid/>
              <w:spacing w:line="360" w:lineRule="auto"/>
              <w:ind w:left="0" w:leftChars="0" w:right="0" w:rightChars="0"/>
              <w:textAlignment w:val="auto"/>
              <w:rPr>
                <w:rFonts w:hint="eastAsia" w:ascii="宋体" w:hAnsi="宋体" w:eastAsia="宋体" w:cs="宋体"/>
                <w:b/>
                <w:bCs/>
                <w:color w:val="auto"/>
                <w:sz w:val="21"/>
                <w:szCs w:val="21"/>
                <w:lang w:val="zh-CN" w:eastAsia="zh-CN" w:bidi="zh-CN"/>
              </w:rPr>
            </w:pPr>
            <w:r>
              <w:rPr>
                <w:rFonts w:hint="eastAsia" w:cs="宋体"/>
                <w:b/>
                <w:bCs/>
                <w:color w:val="auto"/>
                <w:sz w:val="21"/>
                <w:szCs w:val="21"/>
                <w:lang w:val="en-US" w:eastAsia="zh-CN" w:bidi="zh-CN"/>
              </w:rPr>
              <w:t>1、</w:t>
            </w:r>
            <w:r>
              <w:rPr>
                <w:rFonts w:hint="eastAsia" w:ascii="宋体" w:hAnsi="宋体" w:eastAsia="宋体" w:cs="宋体"/>
                <w:b/>
                <w:bCs/>
                <w:color w:val="auto"/>
                <w:sz w:val="21"/>
                <w:szCs w:val="21"/>
                <w:lang w:val="zh-CN" w:eastAsia="zh-CN" w:bidi="zh-CN"/>
              </w:rPr>
              <w:t>企业荣誉：自2020年1月1日以来独立投标人或联  合体成员，获得过市级及以上荣誉或奖项的，提供一个得5分；本小项满分15分。</w:t>
            </w:r>
          </w:p>
          <w:p w14:paraId="67B531B6">
            <w:pPr>
              <w:keepNext w:val="0"/>
              <w:keepLines w:val="0"/>
              <w:pageBreakBefore w:val="0"/>
              <w:kinsoku/>
              <w:wordWrap/>
              <w:overflowPunct/>
              <w:topLinePunct w:val="0"/>
              <w:autoSpaceDE w:val="0"/>
              <w:autoSpaceDN w:val="0"/>
              <w:bidi w:val="0"/>
              <w:adjustRightInd/>
              <w:snapToGrid/>
              <w:spacing w:line="360" w:lineRule="auto"/>
              <w:ind w:left="0" w:leftChars="0" w:right="0" w:rightChars="0"/>
              <w:textAlignment w:val="auto"/>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注：1.提供获奖证书文件或证书或官方网站截图及网 址等相关有效证明材料并加盖公章。上传原件扫描件 或原件影印件。</w:t>
            </w:r>
          </w:p>
          <w:p w14:paraId="54BCBD69">
            <w:pPr>
              <w:keepNext w:val="0"/>
              <w:keepLines w:val="0"/>
              <w:pageBreakBefore w:val="0"/>
              <w:kinsoku/>
              <w:wordWrap/>
              <w:overflowPunct/>
              <w:topLinePunct w:val="0"/>
              <w:autoSpaceDE w:val="0"/>
              <w:autoSpaceDN w:val="0"/>
              <w:bidi w:val="0"/>
              <w:adjustRightInd/>
              <w:snapToGrid/>
              <w:spacing w:line="360" w:lineRule="auto"/>
              <w:ind w:left="0" w:leftChars="0" w:right="0" w:rightChars="0"/>
              <w:textAlignment w:val="auto"/>
              <w:rPr>
                <w:rFonts w:hint="eastAsia" w:ascii="宋体" w:hAnsi="宋体" w:eastAsia="宋体" w:cs="宋体"/>
                <w:b/>
                <w:bCs/>
                <w:color w:val="auto"/>
                <w:sz w:val="21"/>
                <w:szCs w:val="21"/>
                <w:lang w:val="zh-CN" w:eastAsia="zh-CN" w:bidi="zh-CN"/>
              </w:rPr>
            </w:pPr>
            <w:r>
              <w:rPr>
                <w:rFonts w:hint="eastAsia" w:ascii="宋体" w:hAnsi="宋体" w:eastAsia="宋体" w:cs="宋体"/>
                <w:b/>
                <w:bCs/>
                <w:color w:val="auto"/>
                <w:sz w:val="21"/>
                <w:szCs w:val="21"/>
                <w:lang w:val="zh-CN" w:eastAsia="zh-CN" w:bidi="zh-CN"/>
              </w:rPr>
              <w:t>2.奖项、荣誉以行政主管部门或在国内依法登记注册 的行业协会（或学会）颁发的奖项、荣誉为准。民政 部公布的“离岸社团”、“山寨社团”或中国社会组 织政务服务平台中“全国社会组织信用信息公示平台 （试运行） ”公示的“涉嫌非法社会组织”颁发的奖项、荣誉无效。</w:t>
            </w:r>
          </w:p>
        </w:tc>
      </w:tr>
      <w:tr w14:paraId="1F5EF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895" w:type="dxa"/>
            <w:gridSpan w:val="6"/>
            <w:vAlign w:val="center"/>
          </w:tcPr>
          <w:p w14:paraId="7DC65370">
            <w:pPr>
              <w:keepNext w:val="0"/>
              <w:keepLines w:val="0"/>
              <w:pageBreakBefore w:val="0"/>
              <w:kinsoku/>
              <w:wordWrap/>
              <w:overflowPunct/>
              <w:topLinePunct w:val="0"/>
              <w:autoSpaceDE w:val="0"/>
              <w:autoSpaceDN w:val="0"/>
              <w:bidi w:val="0"/>
              <w:adjustRightInd/>
              <w:snapToGrid/>
              <w:spacing w:line="240" w:lineRule="auto"/>
              <w:textAlignment w:val="auto"/>
              <w:rPr>
                <w:rFonts w:hint="eastAsia" w:cs="宋体"/>
                <w:b/>
                <w:bCs/>
                <w:kern w:val="0"/>
                <w:sz w:val="21"/>
                <w:szCs w:val="21"/>
                <w:lang w:eastAsia="zh-CN"/>
              </w:rPr>
            </w:pPr>
            <w:r>
              <w:rPr>
                <w:rFonts w:hint="eastAsia" w:cs="宋体"/>
                <w:b/>
                <w:bCs/>
                <w:kern w:val="0"/>
                <w:sz w:val="21"/>
                <w:szCs w:val="21"/>
                <w:lang w:eastAsia="zh-CN"/>
              </w:rPr>
              <w:t>需要补充的其他内容：</w:t>
            </w:r>
          </w:p>
          <w:p w14:paraId="76A50AF9">
            <w:pPr>
              <w:spacing w:line="360" w:lineRule="auto"/>
              <w:rPr>
                <w:rFonts w:hint="eastAsia"/>
                <w:sz w:val="21"/>
                <w:szCs w:val="21"/>
                <w:lang w:val="en-US" w:eastAsia="zh-CN"/>
              </w:rPr>
            </w:pPr>
            <w:r>
              <w:rPr>
                <w:rFonts w:hint="eastAsia"/>
                <w:sz w:val="21"/>
                <w:szCs w:val="21"/>
                <w:lang w:val="en-US" w:eastAsia="zh-CN"/>
              </w:rPr>
              <w:t>1、各评分因素（评标价和履约信誉评分项除外）得分一般不得低于其权重分值的60%，且各评分因素得分应以评标委员会各成员的打分平均值确定，评标委员会成员总数为7人以上时，该 平均值以去掉一个最高分和一个最低分后计算。评标委员会成员对某一项评分因素的评分低于权重分值60%的，应在评标报告中作出说明。</w:t>
            </w:r>
          </w:p>
          <w:p w14:paraId="487C168F">
            <w:pPr>
              <w:pStyle w:val="53"/>
              <w:spacing w:before="35" w:line="359" w:lineRule="auto"/>
              <w:ind w:left="13" w:right="61" w:firstLine="5"/>
              <w:jc w:val="both"/>
              <w:rPr>
                <w:rFonts w:hint="eastAsia" w:ascii="宋体" w:hAnsi="宋体" w:eastAsia="宋体" w:cs="宋体"/>
                <w:sz w:val="21"/>
                <w:szCs w:val="21"/>
                <w:lang w:val="en-US" w:eastAsia="zh-CN" w:bidi="zh-CN"/>
              </w:rPr>
            </w:pPr>
            <w:r>
              <w:rPr>
                <w:rFonts w:hint="eastAsia"/>
                <w:sz w:val="21"/>
                <w:szCs w:val="21"/>
                <w:lang w:val="en-US" w:eastAsia="zh-CN"/>
              </w:rPr>
              <w:t>2、</w:t>
            </w:r>
            <w:r>
              <w:rPr>
                <w:rFonts w:hint="eastAsia" w:ascii="宋体" w:hAnsi="宋体" w:eastAsia="宋体" w:cs="宋体"/>
                <w:sz w:val="21"/>
                <w:szCs w:val="21"/>
                <w:lang w:val="en-US" w:eastAsia="zh-CN" w:bidi="zh-CN"/>
              </w:rPr>
              <w:t>有效投标不足3个的情况：对于通过第一个信封评审的有效投标不足3个且评标委员会未否决全部投标的，第二个信封报价文件，评标委员会在进行评审时应当对有效投标是否仍具有竞争性进行评审，评标委员会一致认为有效投标仍具有竞争性的，应当继续按照规定的程序进行第二个信封报价文件评审，并在评标报告中予以说明。评标委员会对有效投标是否仍具有竞争性无法达成一致意见的，应当否决全部投标。</w:t>
            </w:r>
          </w:p>
          <w:p w14:paraId="2FD5EB3E">
            <w:pPr>
              <w:spacing w:line="360" w:lineRule="auto"/>
              <w:rPr>
                <w:rFonts w:hint="default"/>
                <w:lang w:val="en-US" w:eastAsia="zh-CN"/>
              </w:rPr>
            </w:pPr>
            <w:r>
              <w:rPr>
                <w:rFonts w:hint="eastAsia" w:ascii="宋体" w:hAnsi="宋体" w:eastAsia="宋体" w:cs="宋体"/>
                <w:sz w:val="21"/>
                <w:szCs w:val="21"/>
                <w:lang w:val="en-US" w:eastAsia="zh-CN" w:bidi="zh-CN"/>
              </w:rPr>
              <w:t>3、提供的主要人员需是投标单位在职人员，需提供2024年以来所在单位为其缴纳的任意一个月的社保证明（或官网在线打印件，证明文件两个月内有效），若是事业单位的，暂未缴纳社保的，须由其主管部门出具证明。</w:t>
            </w:r>
          </w:p>
        </w:tc>
      </w:tr>
    </w:tbl>
    <w:p w14:paraId="07A1BED0">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bookmarkStart w:id="157" w:name="bookmark120"/>
      <w:bookmarkEnd w:id="157"/>
      <w:r>
        <w:rPr>
          <w:rFonts w:ascii="黑体" w:hAnsi="黑体" w:eastAsia="黑体" w:cs="黑体"/>
          <w:spacing w:val="0"/>
          <w:position w:val="0"/>
          <w:sz w:val="21"/>
          <w:szCs w:val="21"/>
        </w:rPr>
        <w:t>1.评标方法</w:t>
      </w:r>
    </w:p>
    <w:p w14:paraId="2CDEA18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w:t>
      </w:r>
      <w:r>
        <w:rPr>
          <w:rFonts w:hint="eastAsia" w:cs="宋体"/>
          <w:spacing w:val="0"/>
          <w:position w:val="0"/>
          <w:sz w:val="21"/>
          <w:szCs w:val="21"/>
          <w:lang w:eastAsia="zh-CN"/>
        </w:rPr>
        <w:t>（不排序或排序不分先后）</w:t>
      </w:r>
      <w:r>
        <w:rPr>
          <w:rFonts w:ascii="宋体" w:hAnsi="宋体" w:eastAsia="宋体" w:cs="宋体"/>
          <w:spacing w:val="0"/>
          <w:position w:val="0"/>
          <w:sz w:val="21"/>
          <w:szCs w:val="21"/>
        </w:rPr>
        <w:t>，或根据招标人授权直接确定中标人，但投标报价低于其成本的除外。评标价相等时，评标委员会应按照评标办法前附表规定的优先次序推荐中标候选人或确定中标人。</w:t>
      </w:r>
    </w:p>
    <w:p w14:paraId="04C48827">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bookmarkStart w:id="158" w:name="bookmark121"/>
      <w:bookmarkEnd w:id="158"/>
      <w:bookmarkStart w:id="159" w:name="bookmark122"/>
      <w:bookmarkEnd w:id="159"/>
      <w:r>
        <w:rPr>
          <w:rFonts w:ascii="黑体" w:hAnsi="黑体" w:eastAsia="黑体" w:cs="黑体"/>
          <w:spacing w:val="0"/>
          <w:position w:val="0"/>
          <w:sz w:val="21"/>
          <w:szCs w:val="21"/>
        </w:rPr>
        <w:t>2.评审标准</w:t>
      </w:r>
    </w:p>
    <w:p w14:paraId="39CCC1E3">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2.1初步评审标准</w:t>
      </w:r>
    </w:p>
    <w:p w14:paraId="083C738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2.1.2资格评审标准：见资格预审文件第三章“资格审查办法”详细审查标准（适用于已进行资格预审的）。</w:t>
      </w:r>
    </w:p>
    <w:p w14:paraId="621ECD4B">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bookmarkStart w:id="160" w:name="bookmark123"/>
      <w:bookmarkEnd w:id="160"/>
      <w:r>
        <w:rPr>
          <w:rFonts w:ascii="黑体" w:hAnsi="黑体" w:eastAsia="黑体" w:cs="黑体"/>
          <w:spacing w:val="0"/>
          <w:position w:val="0"/>
          <w:sz w:val="21"/>
          <w:szCs w:val="21"/>
        </w:rPr>
        <w:t>2.2分值构成与评分标准</w:t>
      </w:r>
    </w:p>
    <w:p w14:paraId="6E1CEEA4">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r>
        <w:rPr>
          <w:rFonts w:ascii="Times New Roman" w:hAnsi="Times New Roman" w:eastAsia="Times New Roman" w:cs="Times New Roman"/>
          <w:spacing w:val="0"/>
          <w:position w:val="0"/>
          <w:sz w:val="21"/>
          <w:szCs w:val="21"/>
        </w:rPr>
        <w:t>2.2.1</w:t>
      </w:r>
      <w:r>
        <w:rPr>
          <w:rFonts w:ascii="黑体" w:hAnsi="黑体" w:eastAsia="黑体" w:cs="黑体"/>
          <w:spacing w:val="0"/>
          <w:position w:val="0"/>
          <w:sz w:val="21"/>
          <w:szCs w:val="21"/>
        </w:rPr>
        <w:t>第一个信封评分分值构成</w:t>
      </w:r>
    </w:p>
    <w:p w14:paraId="3F1F81B8">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（1）施工组织设计：见评标办法前附表；</w:t>
      </w:r>
    </w:p>
    <w:p w14:paraId="651F150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（2）主要人员：见评标办法前附表；</w:t>
      </w:r>
    </w:p>
    <w:p w14:paraId="123F0DA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（3）其他评分因素：见评标办法前附表。</w:t>
      </w:r>
    </w:p>
    <w:p w14:paraId="7FFA2EC5">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r>
        <w:rPr>
          <w:rFonts w:ascii="Times New Roman" w:hAnsi="Times New Roman" w:eastAsia="Times New Roman" w:cs="Times New Roman"/>
          <w:spacing w:val="0"/>
          <w:position w:val="0"/>
          <w:sz w:val="21"/>
          <w:szCs w:val="21"/>
        </w:rPr>
        <w:t>2.2.2</w:t>
      </w:r>
      <w:r>
        <w:rPr>
          <w:rFonts w:ascii="黑体" w:hAnsi="黑体" w:eastAsia="黑体" w:cs="黑体"/>
          <w:spacing w:val="0"/>
          <w:position w:val="0"/>
          <w:sz w:val="21"/>
          <w:szCs w:val="21"/>
        </w:rPr>
        <w:t>第一个信封评分评分标准</w:t>
      </w:r>
    </w:p>
    <w:p w14:paraId="31CCA99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（1）施工组织设计评分标准：见评标办法前附表；</w:t>
      </w:r>
    </w:p>
    <w:p w14:paraId="5B571A2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（2）主要人员评分标准：见评标办法前附表；</w:t>
      </w:r>
    </w:p>
    <w:p w14:paraId="7DF9077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（3）其他因素评分标准：见评标办法前附表。</w:t>
      </w:r>
    </w:p>
    <w:p w14:paraId="74E7EDE8">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2.2.3第二个信封详细评审标准：见评标办法前附表。</w:t>
      </w:r>
    </w:p>
    <w:p w14:paraId="769D400C">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bookmarkStart w:id="161" w:name="bookmark125"/>
      <w:bookmarkEnd w:id="161"/>
      <w:bookmarkStart w:id="162" w:name="bookmark124"/>
      <w:bookmarkEnd w:id="162"/>
      <w:r>
        <w:rPr>
          <w:rFonts w:ascii="黑体" w:hAnsi="黑体" w:eastAsia="黑体" w:cs="黑体"/>
          <w:spacing w:val="0"/>
          <w:position w:val="0"/>
          <w:sz w:val="21"/>
          <w:szCs w:val="21"/>
        </w:rPr>
        <w:t>3.评标程序</w:t>
      </w:r>
    </w:p>
    <w:p w14:paraId="47C82D72">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3.1第一个信封初步评审</w:t>
      </w:r>
    </w:p>
    <w:p w14:paraId="350EF50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left"/>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3.1.1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w:t>
      </w:r>
    </w:p>
    <w:p w14:paraId="460692CF">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bookmarkStart w:id="163" w:name="bookmark126"/>
      <w:bookmarkEnd w:id="163"/>
      <w:r>
        <w:rPr>
          <w:rFonts w:ascii="黑体" w:hAnsi="黑体" w:eastAsia="黑体" w:cs="黑体"/>
          <w:spacing w:val="0"/>
          <w:position w:val="0"/>
          <w:sz w:val="21"/>
          <w:szCs w:val="21"/>
        </w:rPr>
        <w:t>3.2第一个信封详细评审</w:t>
      </w:r>
    </w:p>
    <w:p w14:paraId="12E88E4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3.2.1评标委员会按本章第2.2款规定的量化因素和分值进行打分，并计算出各投标人的商务和技术得分。</w:t>
      </w:r>
    </w:p>
    <w:p w14:paraId="35D7071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（1）按本章第2.2.2项（1）目规定的评审因素和分值对施工组织设计部分计算出得分A；</w:t>
      </w:r>
    </w:p>
    <w:p w14:paraId="7E032434">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（2）按本章第2.2.2项（2）目规定的评审因素和分值对主要人员部分计算出得分B；</w:t>
      </w:r>
    </w:p>
    <w:p w14:paraId="50D8D28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（3）按本章第2.2.2项（3）目规定的评审因素和分值对其他部分计算出得分C。</w:t>
      </w:r>
    </w:p>
    <w:p w14:paraId="1CA3B28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3.2.2投标人的商务和技术得分分值计算保留小数点后两位，小数点后第三位“四舍五入”。</w:t>
      </w:r>
    </w:p>
    <w:p w14:paraId="33D2C450">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3.2.3投标人的商务和技术得分=A+B+C。</w:t>
      </w:r>
    </w:p>
    <w:p w14:paraId="6237936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3.2.4评标委员会按照投标人的商务和技术得分由高到低排序，排名在评标办法前附表规定数量以内的投标人，其投标文件第一个信封（商务及技术文件）通过详细评审。</w:t>
      </w:r>
    </w:p>
    <w:p w14:paraId="60C3D35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3.2.5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4A3E6E15">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bookmarkStart w:id="164" w:name="bookmark127"/>
      <w:bookmarkEnd w:id="164"/>
      <w:r>
        <w:rPr>
          <w:rFonts w:ascii="黑体" w:hAnsi="黑体" w:eastAsia="黑体" w:cs="黑体"/>
          <w:spacing w:val="0"/>
          <w:position w:val="0"/>
          <w:sz w:val="21"/>
          <w:szCs w:val="21"/>
        </w:rPr>
        <w:t>3.3第二个信封开标</w:t>
      </w:r>
    </w:p>
    <w:p w14:paraId="5334939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第一个信封（商务及技术文件）评审结束后，招标人将按照第二章“投标人须知”第5.1款规定的时间和地点对通过投标文件第一个信封（商务及技术文件）评审的</w:t>
      </w:r>
      <w:bookmarkStart w:id="165" w:name="bookmark128"/>
      <w:bookmarkEnd w:id="165"/>
      <w:r>
        <w:rPr>
          <w:rFonts w:hint="eastAsia" w:asciiTheme="minorEastAsia" w:hAnsiTheme="minorEastAsia" w:eastAsiaTheme="minorEastAsia" w:cstheme="minorEastAsia"/>
          <w:spacing w:val="0"/>
          <w:position w:val="0"/>
          <w:sz w:val="21"/>
          <w:szCs w:val="21"/>
        </w:rPr>
        <w:t>投标文件第二个信封（报价文件）进行开标。</w:t>
      </w:r>
    </w:p>
    <w:p w14:paraId="6DCC833A">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3.4第二个信封初步评审</w:t>
      </w:r>
    </w:p>
    <w:p w14:paraId="19966FF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3.4.1评标委员会依据本章第2.1.1项、第2.1.3项规定的评审标准对投标文件第二个信封（报价文件）进行初步评审。有一项不符合评审标准的，评标委员会应否决其投标。</w:t>
      </w:r>
    </w:p>
    <w:p w14:paraId="6FE801E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3.4.2投标报价有算术错误的，评标委员会按以下原则对投标报价进行修正，修正的价格经投标人书面确认后具有约束力。投标人不接受修正价格的，评标委员会应否决其投标。</w:t>
      </w:r>
    </w:p>
    <w:p w14:paraId="3F3BA7F1">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（1）投标文件中的大写金额与小写金额不一致的，以大写金额为准；</w:t>
      </w:r>
    </w:p>
    <w:p w14:paraId="7E5287C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left"/>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（2）总价金额与依据单价计算出的结果不一致的，以单价金额为准修正总价，但单价金额小数点有明显错误的除外;</w:t>
      </w:r>
    </w:p>
    <w:p w14:paraId="44CC6FB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（3）当单价与数量相乘不等于合价时，以单价计算为准，如果单价有明显的小数点位置差错，应以标出的合价为准，同时对单价予以修正；</w:t>
      </w:r>
    </w:p>
    <w:p w14:paraId="34A9375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（4）当各子目的合价累计不等于总价时，应以各子目合价累计数为准，修正总价。</w:t>
      </w:r>
    </w:p>
    <w:p w14:paraId="215EC135">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3.4.3工程量清单中的投标报价有其他错误的，评标委员会按以下原则对投标报价进行修正，修正的价格经投标人书面确认后具有约束力。投标人不接受修正价格的，评标委员会应否决其投标。</w:t>
      </w:r>
    </w:p>
    <w:p w14:paraId="252F440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3F122E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355BE03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（3）当单价与数量的乘积与合价（金额）虽然一致，但投标人修改了该子目的工程数量，则其合价按招标人给定的工程数量乘以投标人所报单价予以修正。</w:t>
      </w:r>
    </w:p>
    <w:p w14:paraId="7A01F4F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Theme="minorEastAsia" w:hAnsiTheme="minorEastAsia" w:eastAsiaTheme="minorEastAsia" w:cstheme="minorEastAsia"/>
          <w:spacing w:val="0"/>
          <w:position w:val="0"/>
          <w:sz w:val="21"/>
          <w:szCs w:val="21"/>
        </w:rPr>
      </w:pPr>
      <w:r>
        <w:rPr>
          <w:rFonts w:hint="eastAsia" w:asciiTheme="minorEastAsia" w:hAnsiTheme="minorEastAsia" w:eastAsiaTheme="minorEastAsia" w:cstheme="minorEastAsia"/>
          <w:spacing w:val="0"/>
          <w:position w:val="0"/>
          <w:sz w:val="21"/>
          <w:szCs w:val="21"/>
        </w:rPr>
        <w:t>3.4.4修正后的最终投标报价若超过最高投标限价（如有），评标委员会应否决</w:t>
      </w:r>
      <w:bookmarkStart w:id="166" w:name="bookmark129"/>
      <w:bookmarkEnd w:id="166"/>
      <w:r>
        <w:rPr>
          <w:rFonts w:hint="eastAsia" w:asciiTheme="minorEastAsia" w:hAnsiTheme="minorEastAsia" w:eastAsiaTheme="minorEastAsia" w:cstheme="minorEastAsia"/>
          <w:spacing w:val="0"/>
          <w:position w:val="0"/>
          <w:sz w:val="21"/>
          <w:szCs w:val="21"/>
        </w:rPr>
        <w:t>其投标。</w:t>
      </w:r>
    </w:p>
    <w:p w14:paraId="6A5592C3">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3.5第二个信封详细评审</w:t>
      </w:r>
    </w:p>
    <w:p w14:paraId="24C2C655">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3.5.1</w:t>
      </w:r>
      <w:r>
        <w:rPr>
          <w:rFonts w:ascii="宋体" w:hAnsi="宋体" w:eastAsia="宋体" w:cs="宋体"/>
          <w:spacing w:val="0"/>
          <w:position w:val="0"/>
          <w:sz w:val="21"/>
          <w:szCs w:val="21"/>
        </w:rPr>
        <w:t>评标委员会按本章第</w:t>
      </w:r>
      <w:r>
        <w:rPr>
          <w:rFonts w:ascii="Times New Roman" w:hAnsi="Times New Roman" w:eastAsia="Times New Roman" w:cs="Times New Roman"/>
          <w:spacing w:val="0"/>
          <w:position w:val="0"/>
          <w:sz w:val="21"/>
          <w:szCs w:val="21"/>
        </w:rPr>
        <w:t>2.2</w:t>
      </w:r>
      <w:r>
        <w:rPr>
          <w:rFonts w:ascii="宋体" w:hAnsi="宋体" w:eastAsia="宋体" w:cs="宋体"/>
          <w:spacing w:val="0"/>
          <w:position w:val="0"/>
          <w:sz w:val="21"/>
          <w:szCs w:val="21"/>
        </w:rPr>
        <w:t>款规定的量化因素和标准进行价格折算，计算出评标价，并编制价格比较一览表。</w:t>
      </w:r>
    </w:p>
    <w:p w14:paraId="575AD53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3.5.2</w:t>
      </w:r>
      <w:r>
        <w:rPr>
          <w:rFonts w:ascii="宋体" w:hAnsi="宋体" w:eastAsia="宋体" w:cs="宋体"/>
          <w:spacing w:val="0"/>
          <w:position w:val="0"/>
          <w:sz w:val="21"/>
          <w:szCs w:val="21"/>
        </w:rPr>
        <w:t>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w:t>
      </w:r>
      <w:bookmarkStart w:id="167" w:name="bookmark130"/>
      <w:bookmarkEnd w:id="167"/>
      <w:r>
        <w:rPr>
          <w:rFonts w:ascii="宋体" w:hAnsi="宋体" w:eastAsia="宋体" w:cs="宋体"/>
          <w:spacing w:val="0"/>
          <w:position w:val="0"/>
          <w:sz w:val="21"/>
          <w:szCs w:val="21"/>
        </w:rPr>
        <w:t>本报价竞标，并否决其投标。</w:t>
      </w:r>
    </w:p>
    <w:p w14:paraId="54DEAE31">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3.6投标文件相关信息的核查</w:t>
      </w:r>
    </w:p>
    <w:p w14:paraId="30D4AD65">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3.6.1</w:t>
      </w:r>
      <w:r>
        <w:rPr>
          <w:rFonts w:ascii="宋体" w:hAnsi="宋体" w:eastAsia="宋体" w:cs="宋体"/>
          <w:spacing w:val="0"/>
          <w:position w:val="0"/>
          <w:sz w:val="21"/>
          <w:szCs w:val="21"/>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3311679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3.6.2</w:t>
      </w:r>
      <w:r>
        <w:rPr>
          <w:rFonts w:ascii="宋体" w:hAnsi="宋体" w:eastAsia="宋体" w:cs="宋体"/>
          <w:spacing w:val="0"/>
          <w:position w:val="0"/>
          <w:sz w:val="21"/>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14:paraId="3C8311C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w:t>
      </w:r>
      <w:r>
        <w:rPr>
          <w:rFonts w:ascii="Times New Roman" w:hAnsi="Times New Roman" w:eastAsia="Times New Roman" w:cs="Times New Roman"/>
          <w:spacing w:val="0"/>
          <w:position w:val="0"/>
          <w:sz w:val="21"/>
          <w:szCs w:val="21"/>
        </w:rPr>
        <w:t>1</w:t>
      </w:r>
      <w:r>
        <w:rPr>
          <w:rFonts w:ascii="宋体" w:hAnsi="宋体" w:eastAsia="宋体" w:cs="宋体"/>
          <w:spacing w:val="0"/>
          <w:position w:val="0"/>
          <w:sz w:val="21"/>
          <w:szCs w:val="21"/>
        </w:rPr>
        <w:t>）有下列情形之一的，属于投标人相互串通投标：</w:t>
      </w:r>
    </w:p>
    <w:p w14:paraId="7EC7D369">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a.</w:t>
      </w:r>
      <w:r>
        <w:rPr>
          <w:rFonts w:ascii="宋体" w:hAnsi="宋体" w:eastAsia="宋体" w:cs="宋体"/>
          <w:spacing w:val="0"/>
          <w:position w:val="0"/>
          <w:sz w:val="21"/>
          <w:szCs w:val="21"/>
        </w:rPr>
        <w:t>投标人之间协商投标报价等投标文件的实质性内容；</w:t>
      </w:r>
    </w:p>
    <w:p w14:paraId="4AFBF55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b.</w:t>
      </w:r>
      <w:r>
        <w:rPr>
          <w:rFonts w:ascii="宋体" w:hAnsi="宋体" w:eastAsia="宋体" w:cs="宋体"/>
          <w:spacing w:val="0"/>
          <w:position w:val="0"/>
          <w:sz w:val="21"/>
          <w:szCs w:val="21"/>
        </w:rPr>
        <w:t>投标人之间约定中标人；</w:t>
      </w:r>
    </w:p>
    <w:p w14:paraId="26D0F584">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c.</w:t>
      </w:r>
      <w:r>
        <w:rPr>
          <w:rFonts w:ascii="宋体" w:hAnsi="宋体" w:eastAsia="宋体" w:cs="宋体"/>
          <w:spacing w:val="0"/>
          <w:position w:val="0"/>
          <w:sz w:val="21"/>
          <w:szCs w:val="21"/>
        </w:rPr>
        <w:t>投标人之间约定部分投标人放弃投标或中标；</w:t>
      </w:r>
    </w:p>
    <w:p w14:paraId="29358A8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d.</w:t>
      </w:r>
      <w:r>
        <w:rPr>
          <w:rFonts w:ascii="宋体" w:hAnsi="宋体" w:eastAsia="宋体" w:cs="宋体"/>
          <w:spacing w:val="0"/>
          <w:position w:val="0"/>
          <w:sz w:val="21"/>
          <w:szCs w:val="21"/>
        </w:rPr>
        <w:t>属于同一集团、协会、商会等组织成员的投标人按照该组织要求协同投标；</w:t>
      </w:r>
    </w:p>
    <w:p w14:paraId="42BC1A2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e.</w:t>
      </w:r>
      <w:r>
        <w:rPr>
          <w:rFonts w:ascii="宋体" w:hAnsi="宋体" w:eastAsia="宋体" w:cs="宋体"/>
          <w:spacing w:val="0"/>
          <w:position w:val="0"/>
          <w:sz w:val="21"/>
          <w:szCs w:val="21"/>
        </w:rPr>
        <w:t>投标人之间为谋取中标或排斥特定投标人而采取的其他联合行动。</w:t>
      </w:r>
    </w:p>
    <w:p w14:paraId="7A10EB90">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w:t>
      </w:r>
      <w:r>
        <w:rPr>
          <w:rFonts w:ascii="Times New Roman" w:hAnsi="Times New Roman" w:eastAsia="Times New Roman" w:cs="Times New Roman"/>
          <w:spacing w:val="0"/>
          <w:position w:val="0"/>
          <w:sz w:val="21"/>
          <w:szCs w:val="21"/>
        </w:rPr>
        <w:t>2</w:t>
      </w:r>
      <w:r>
        <w:rPr>
          <w:rFonts w:ascii="宋体" w:hAnsi="宋体" w:eastAsia="宋体" w:cs="宋体"/>
          <w:spacing w:val="0"/>
          <w:position w:val="0"/>
          <w:sz w:val="21"/>
          <w:szCs w:val="21"/>
        </w:rPr>
        <w:t>）有下列情形之一的，视为投标人相互串通投标：</w:t>
      </w:r>
    </w:p>
    <w:p w14:paraId="323FDF2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a.</w:t>
      </w:r>
      <w:r>
        <w:rPr>
          <w:rFonts w:ascii="宋体" w:hAnsi="宋体" w:eastAsia="宋体" w:cs="宋体"/>
          <w:spacing w:val="0"/>
          <w:position w:val="0"/>
          <w:sz w:val="21"/>
          <w:szCs w:val="21"/>
        </w:rPr>
        <w:t>不同投标人的投标文件由同一单位或个人编制；</w:t>
      </w:r>
    </w:p>
    <w:p w14:paraId="142F36B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b.</w:t>
      </w:r>
      <w:r>
        <w:rPr>
          <w:rFonts w:ascii="宋体" w:hAnsi="宋体" w:eastAsia="宋体" w:cs="宋体"/>
          <w:spacing w:val="0"/>
          <w:position w:val="0"/>
          <w:sz w:val="21"/>
          <w:szCs w:val="21"/>
        </w:rPr>
        <w:t>不同投标人委托同一单位或个人办理投标事宜；</w:t>
      </w:r>
    </w:p>
    <w:p w14:paraId="68DAFED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c.</w:t>
      </w:r>
      <w:r>
        <w:rPr>
          <w:rFonts w:ascii="宋体" w:hAnsi="宋体" w:eastAsia="宋体" w:cs="宋体"/>
          <w:spacing w:val="0"/>
          <w:position w:val="0"/>
          <w:sz w:val="21"/>
          <w:szCs w:val="21"/>
        </w:rPr>
        <w:t>不同投标人的投标文件载明的项目管理成员为同一人；</w:t>
      </w:r>
    </w:p>
    <w:p w14:paraId="0C030F9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d.</w:t>
      </w:r>
      <w:r>
        <w:rPr>
          <w:rFonts w:ascii="宋体" w:hAnsi="宋体" w:eastAsia="宋体" w:cs="宋体"/>
          <w:spacing w:val="0"/>
          <w:position w:val="0"/>
          <w:sz w:val="21"/>
          <w:szCs w:val="21"/>
        </w:rPr>
        <w:t>不同投标人的投标文件异常一致或投标报价呈规律性差异；</w:t>
      </w:r>
    </w:p>
    <w:p w14:paraId="689B6F80">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e.</w:t>
      </w:r>
      <w:r>
        <w:rPr>
          <w:rFonts w:ascii="宋体" w:hAnsi="宋体" w:eastAsia="宋体" w:cs="宋体"/>
          <w:spacing w:val="0"/>
          <w:position w:val="0"/>
          <w:sz w:val="21"/>
          <w:szCs w:val="21"/>
        </w:rPr>
        <w:t>不同投标人的投标文件相互混装；</w:t>
      </w:r>
    </w:p>
    <w:p w14:paraId="7083A6E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f.</w:t>
      </w:r>
      <w:r>
        <w:rPr>
          <w:rFonts w:ascii="宋体" w:hAnsi="宋体" w:eastAsia="宋体" w:cs="宋体"/>
          <w:spacing w:val="0"/>
          <w:position w:val="0"/>
          <w:sz w:val="21"/>
          <w:szCs w:val="21"/>
        </w:rPr>
        <w:t>不同投标人的投标保证金从同一单位或个人的账户转出。</w:t>
      </w:r>
    </w:p>
    <w:p w14:paraId="751FD5C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w:t>
      </w:r>
      <w:r>
        <w:rPr>
          <w:rFonts w:ascii="Times New Roman" w:hAnsi="Times New Roman" w:eastAsia="Times New Roman" w:cs="Times New Roman"/>
          <w:spacing w:val="0"/>
          <w:position w:val="0"/>
          <w:sz w:val="21"/>
          <w:szCs w:val="21"/>
        </w:rPr>
        <w:t>3</w:t>
      </w:r>
      <w:r>
        <w:rPr>
          <w:rFonts w:ascii="宋体" w:hAnsi="宋体" w:eastAsia="宋体" w:cs="宋体"/>
          <w:spacing w:val="0"/>
          <w:position w:val="0"/>
          <w:sz w:val="21"/>
          <w:szCs w:val="21"/>
        </w:rPr>
        <w:t>）有下列情形之一的，属于招标人与投标人串通投标：</w:t>
      </w:r>
    </w:p>
    <w:p w14:paraId="096D1D5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Times New Roman" w:hAnsi="Times New Roman" w:eastAsia="Times New Roman" w:cs="Times New Roman"/>
          <w:spacing w:val="0"/>
          <w:position w:val="0"/>
          <w:sz w:val="21"/>
          <w:szCs w:val="21"/>
        </w:rPr>
      </w:pPr>
      <w:r>
        <w:rPr>
          <w:rFonts w:ascii="Times New Roman" w:hAnsi="Times New Roman" w:eastAsia="Times New Roman" w:cs="Times New Roman"/>
          <w:spacing w:val="0"/>
          <w:position w:val="0"/>
          <w:sz w:val="21"/>
          <w:szCs w:val="21"/>
        </w:rPr>
        <w:t>a.</w:t>
      </w:r>
      <w:r>
        <w:rPr>
          <w:rFonts w:ascii="宋体" w:hAnsi="宋体" w:eastAsia="宋体" w:cs="宋体"/>
          <w:spacing w:val="0"/>
          <w:position w:val="0"/>
          <w:sz w:val="21"/>
          <w:szCs w:val="21"/>
        </w:rPr>
        <w:t>招标人在开标前开启投标文件并将有关信息泄露给其他投标人</w:t>
      </w:r>
      <w:r>
        <w:rPr>
          <w:rFonts w:ascii="Times New Roman" w:hAnsi="Times New Roman" w:eastAsia="Times New Roman" w:cs="Times New Roman"/>
          <w:spacing w:val="0"/>
          <w:position w:val="0"/>
          <w:sz w:val="21"/>
          <w:szCs w:val="21"/>
        </w:rPr>
        <w:t>;</w:t>
      </w:r>
    </w:p>
    <w:p w14:paraId="6DA24A2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b.</w:t>
      </w:r>
      <w:r>
        <w:rPr>
          <w:rFonts w:ascii="宋体" w:hAnsi="宋体" w:eastAsia="宋体" w:cs="宋体"/>
          <w:spacing w:val="0"/>
          <w:position w:val="0"/>
          <w:sz w:val="21"/>
          <w:szCs w:val="21"/>
        </w:rPr>
        <w:t>招标人直接或间接向投标人泄露标底、评标委员会成员等信息；</w:t>
      </w:r>
    </w:p>
    <w:p w14:paraId="21FB4BA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c.</w:t>
      </w:r>
      <w:r>
        <w:rPr>
          <w:rFonts w:ascii="宋体" w:hAnsi="宋体" w:eastAsia="宋体" w:cs="宋体"/>
          <w:spacing w:val="0"/>
          <w:position w:val="0"/>
          <w:sz w:val="21"/>
          <w:szCs w:val="21"/>
        </w:rPr>
        <w:t>招标人明示或暗示投标人压低或抬高投标报价；</w:t>
      </w:r>
    </w:p>
    <w:p w14:paraId="2227CBB2">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d.</w:t>
      </w:r>
      <w:r>
        <w:rPr>
          <w:rFonts w:ascii="宋体" w:hAnsi="宋体" w:eastAsia="宋体" w:cs="宋体"/>
          <w:spacing w:val="0"/>
          <w:position w:val="0"/>
          <w:sz w:val="21"/>
          <w:szCs w:val="21"/>
        </w:rPr>
        <w:t>招标人授意投标人撤换、修改投标文件；</w:t>
      </w:r>
    </w:p>
    <w:p w14:paraId="43A95C0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e.</w:t>
      </w:r>
      <w:r>
        <w:rPr>
          <w:rFonts w:ascii="宋体" w:hAnsi="宋体" w:eastAsia="宋体" w:cs="宋体"/>
          <w:spacing w:val="0"/>
          <w:position w:val="0"/>
          <w:sz w:val="21"/>
          <w:szCs w:val="21"/>
        </w:rPr>
        <w:t>招标人明示或暗示投标人为特定投标人中标提供方便；</w:t>
      </w:r>
    </w:p>
    <w:p w14:paraId="559484B4">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f.</w:t>
      </w:r>
      <w:r>
        <w:rPr>
          <w:rFonts w:ascii="宋体" w:hAnsi="宋体" w:eastAsia="宋体" w:cs="宋体"/>
          <w:spacing w:val="0"/>
          <w:position w:val="0"/>
          <w:sz w:val="21"/>
          <w:szCs w:val="21"/>
        </w:rPr>
        <w:t>招标人与投标人为谋求特定投标人中标而采取的其他串通行为。</w:t>
      </w:r>
    </w:p>
    <w:p w14:paraId="4516094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Arial"/>
          <w:spacing w:val="0"/>
          <w:position w:val="0"/>
          <w:sz w:val="21"/>
          <w:szCs w:val="21"/>
        </w:rPr>
      </w:pPr>
      <w:r>
        <w:rPr>
          <w:rFonts w:ascii="宋体" w:hAnsi="宋体" w:eastAsia="宋体" w:cs="宋体"/>
          <w:spacing w:val="0"/>
          <w:position w:val="0"/>
          <w:sz w:val="21"/>
          <w:szCs w:val="21"/>
        </w:rPr>
        <w:t>（</w:t>
      </w:r>
      <w:r>
        <w:rPr>
          <w:rFonts w:ascii="Times New Roman" w:hAnsi="Times New Roman" w:eastAsia="Times New Roman" w:cs="Times New Roman"/>
          <w:spacing w:val="0"/>
          <w:position w:val="0"/>
          <w:sz w:val="21"/>
          <w:szCs w:val="21"/>
        </w:rPr>
        <w:t>4</w:t>
      </w:r>
      <w:r>
        <w:rPr>
          <w:rFonts w:ascii="宋体" w:hAnsi="宋体" w:eastAsia="宋体" w:cs="宋体"/>
          <w:spacing w:val="0"/>
          <w:position w:val="0"/>
          <w:sz w:val="21"/>
          <w:szCs w:val="21"/>
        </w:rPr>
        <w:t>）投标人有下列情形之一的，属于弄虚作假的行为：</w:t>
      </w:r>
    </w:p>
    <w:p w14:paraId="04108D0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a.</w:t>
      </w:r>
      <w:r>
        <w:rPr>
          <w:rFonts w:ascii="宋体" w:hAnsi="宋体" w:eastAsia="宋体" w:cs="宋体"/>
          <w:spacing w:val="0"/>
          <w:position w:val="0"/>
          <w:sz w:val="21"/>
          <w:szCs w:val="21"/>
        </w:rPr>
        <w:t>使用通过受让或租借等方式获取的资格、资质证书投标；</w:t>
      </w:r>
    </w:p>
    <w:p w14:paraId="09F8F09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b.</w:t>
      </w:r>
      <w:r>
        <w:rPr>
          <w:rFonts w:ascii="宋体" w:hAnsi="宋体" w:eastAsia="宋体" w:cs="宋体"/>
          <w:spacing w:val="0"/>
          <w:position w:val="0"/>
          <w:sz w:val="21"/>
          <w:szCs w:val="21"/>
        </w:rPr>
        <w:t>使用伪造、变造的许可证件；</w:t>
      </w:r>
    </w:p>
    <w:p w14:paraId="3DA07D9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c.</w:t>
      </w:r>
      <w:r>
        <w:rPr>
          <w:rFonts w:ascii="宋体" w:hAnsi="宋体" w:eastAsia="宋体" w:cs="宋体"/>
          <w:spacing w:val="0"/>
          <w:position w:val="0"/>
          <w:sz w:val="21"/>
          <w:szCs w:val="21"/>
        </w:rPr>
        <w:t>提供虚假的财务状况或业绩；</w:t>
      </w:r>
    </w:p>
    <w:p w14:paraId="0270CA6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d.</w:t>
      </w:r>
      <w:r>
        <w:rPr>
          <w:rFonts w:ascii="宋体" w:hAnsi="宋体" w:eastAsia="宋体" w:cs="宋体"/>
          <w:spacing w:val="0"/>
          <w:position w:val="0"/>
          <w:sz w:val="21"/>
          <w:szCs w:val="21"/>
        </w:rPr>
        <w:t>提供虚假的项目负责人或主要技术人员简历、劳动关系证明；</w:t>
      </w:r>
    </w:p>
    <w:p w14:paraId="28E6D01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e.</w:t>
      </w:r>
      <w:r>
        <w:rPr>
          <w:rFonts w:ascii="宋体" w:hAnsi="宋体" w:eastAsia="宋体" w:cs="宋体"/>
          <w:spacing w:val="0"/>
          <w:position w:val="0"/>
          <w:sz w:val="21"/>
          <w:szCs w:val="21"/>
        </w:rPr>
        <w:t>提供虚假的信用状况；</w:t>
      </w:r>
    </w:p>
    <w:p w14:paraId="3DA3DB2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bookmarkStart w:id="168" w:name="bookmark131"/>
      <w:bookmarkEnd w:id="168"/>
      <w:r>
        <w:rPr>
          <w:rFonts w:ascii="Times New Roman" w:hAnsi="Times New Roman" w:eastAsia="Times New Roman" w:cs="Times New Roman"/>
          <w:spacing w:val="0"/>
          <w:position w:val="0"/>
          <w:sz w:val="21"/>
          <w:szCs w:val="21"/>
        </w:rPr>
        <w:t>f.</w:t>
      </w:r>
      <w:r>
        <w:rPr>
          <w:rFonts w:ascii="宋体" w:hAnsi="宋体" w:eastAsia="宋体" w:cs="宋体"/>
          <w:spacing w:val="0"/>
          <w:position w:val="0"/>
          <w:sz w:val="21"/>
          <w:szCs w:val="21"/>
        </w:rPr>
        <w:t>其他弄虚作假的行为。</w:t>
      </w:r>
    </w:p>
    <w:p w14:paraId="2C371ADC">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3.7投标文件的澄清和说明</w:t>
      </w:r>
    </w:p>
    <w:p w14:paraId="4F33A5C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3.7.1</w:t>
      </w:r>
      <w:r>
        <w:rPr>
          <w:rFonts w:ascii="宋体" w:hAnsi="宋体" w:eastAsia="宋体" w:cs="宋体"/>
          <w:spacing w:val="0"/>
          <w:position w:val="0"/>
          <w:sz w:val="21"/>
          <w:szCs w:val="21"/>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8C31AB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3.7.2</w:t>
      </w:r>
      <w:r>
        <w:rPr>
          <w:rFonts w:ascii="宋体" w:hAnsi="宋体" w:eastAsia="宋体" w:cs="宋体"/>
          <w:spacing w:val="0"/>
          <w:position w:val="0"/>
          <w:sz w:val="21"/>
          <w:szCs w:val="21"/>
        </w:rPr>
        <w:t>澄清和说明不得超出投标文件的范围或改变投标文件的实质性内容（算术性错误的修正除外）。投标人的书面澄清、说明属于投标文件的组成部分。</w:t>
      </w:r>
    </w:p>
    <w:p w14:paraId="4B24502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left"/>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3.7.3</w:t>
      </w:r>
      <w:r>
        <w:rPr>
          <w:rFonts w:ascii="宋体" w:hAnsi="宋体" w:eastAsia="宋体" w:cs="宋体"/>
          <w:spacing w:val="0"/>
          <w:position w:val="0"/>
          <w:sz w:val="21"/>
          <w:szCs w:val="21"/>
        </w:rPr>
        <w:t>评标委员会不得暗示或诱导投标人作出澄清、说明，对投标人提交的澄清、说明有疑问的，可以要求投标人进一步澄清或说明，直至满足评标委员会的要求。</w:t>
      </w:r>
    </w:p>
    <w:p w14:paraId="15190A2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3.7.4</w:t>
      </w:r>
      <w:r>
        <w:rPr>
          <w:rFonts w:ascii="宋体" w:hAnsi="宋体" w:eastAsia="宋体" w:cs="宋体"/>
          <w:spacing w:val="0"/>
          <w:position w:val="0"/>
          <w:sz w:val="21"/>
          <w:szCs w:val="21"/>
        </w:rPr>
        <w:t>凡超出招标文件规定的或给发包人带来未曾要求的利益的变化、偏差或其</w:t>
      </w:r>
      <w:bookmarkStart w:id="169" w:name="bookmark132"/>
      <w:bookmarkEnd w:id="169"/>
      <w:r>
        <w:rPr>
          <w:rFonts w:ascii="宋体" w:hAnsi="宋体" w:eastAsia="宋体" w:cs="宋体"/>
          <w:spacing w:val="0"/>
          <w:position w:val="0"/>
          <w:sz w:val="21"/>
          <w:szCs w:val="21"/>
        </w:rPr>
        <w:t>他因素在评标时不予考虑。</w:t>
      </w:r>
    </w:p>
    <w:p w14:paraId="3FE54FF5">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3.8不得否决投标的情形</w:t>
      </w:r>
    </w:p>
    <w:p w14:paraId="3F7FED5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rFonts w:ascii="宋体" w:hAnsi="宋体" w:eastAsia="宋体" w:cs="宋体"/>
          <w:spacing w:val="0"/>
          <w:position w:val="0"/>
          <w:sz w:val="21"/>
          <w:szCs w:val="21"/>
        </w:rPr>
      </w:pPr>
      <w:r>
        <w:rPr>
          <w:rFonts w:ascii="宋体" w:hAnsi="宋体" w:eastAsia="宋体" w:cs="宋体"/>
          <w:spacing w:val="0"/>
          <w:position w:val="0"/>
          <w:sz w:val="21"/>
          <w:szCs w:val="21"/>
        </w:rPr>
        <w:t>投标文件存在第二章“投标人须知”第</w:t>
      </w:r>
      <w:r>
        <w:rPr>
          <w:rFonts w:ascii="Times New Roman" w:hAnsi="Times New Roman" w:eastAsia="Times New Roman" w:cs="Times New Roman"/>
          <w:spacing w:val="0"/>
          <w:position w:val="0"/>
          <w:sz w:val="21"/>
          <w:szCs w:val="21"/>
        </w:rPr>
        <w:t>1.12.3</w:t>
      </w:r>
      <w:r>
        <w:rPr>
          <w:rFonts w:ascii="宋体" w:hAnsi="宋体" w:eastAsia="宋体" w:cs="宋体"/>
          <w:spacing w:val="0"/>
          <w:position w:val="0"/>
          <w:sz w:val="21"/>
          <w:szCs w:val="21"/>
        </w:rPr>
        <w:t>项所列情形的，均视为细微偏差，评标委员会不得否决投标人的投标，应按照第二章“投标人须知”第</w:t>
      </w:r>
      <w:r>
        <w:rPr>
          <w:rFonts w:ascii="Times New Roman" w:hAnsi="Times New Roman" w:eastAsia="Times New Roman" w:cs="Times New Roman"/>
          <w:spacing w:val="0"/>
          <w:position w:val="0"/>
          <w:sz w:val="21"/>
          <w:szCs w:val="21"/>
        </w:rPr>
        <w:t>1.12.4</w:t>
      </w:r>
      <w:r>
        <w:rPr>
          <w:rFonts w:ascii="宋体" w:hAnsi="宋体" w:eastAsia="宋体" w:cs="宋体"/>
          <w:spacing w:val="0"/>
          <w:position w:val="0"/>
          <w:sz w:val="21"/>
          <w:szCs w:val="21"/>
        </w:rPr>
        <w:t>项规定</w:t>
      </w:r>
      <w:bookmarkStart w:id="170" w:name="bookmark133"/>
      <w:bookmarkEnd w:id="170"/>
      <w:r>
        <w:rPr>
          <w:rFonts w:ascii="宋体" w:hAnsi="宋体" w:eastAsia="宋体" w:cs="宋体"/>
          <w:spacing w:val="0"/>
          <w:position w:val="0"/>
          <w:sz w:val="21"/>
          <w:szCs w:val="21"/>
        </w:rPr>
        <w:t>的原则处理。</w:t>
      </w:r>
    </w:p>
    <w:p w14:paraId="27989F2C">
      <w:pPr>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rFonts w:ascii="黑体" w:hAnsi="黑体" w:eastAsia="黑体" w:cs="黑体"/>
          <w:spacing w:val="0"/>
          <w:position w:val="0"/>
          <w:sz w:val="21"/>
          <w:szCs w:val="21"/>
        </w:rPr>
      </w:pPr>
      <w:r>
        <w:rPr>
          <w:rFonts w:ascii="黑体" w:hAnsi="黑体" w:eastAsia="黑体" w:cs="黑体"/>
          <w:spacing w:val="0"/>
          <w:position w:val="0"/>
          <w:sz w:val="21"/>
          <w:szCs w:val="21"/>
        </w:rPr>
        <w:t>3.9评标结果</w:t>
      </w:r>
    </w:p>
    <w:p w14:paraId="66851BD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3.9.1</w:t>
      </w:r>
      <w:r>
        <w:rPr>
          <w:rFonts w:ascii="宋体" w:hAnsi="宋体" w:eastAsia="宋体" w:cs="宋体"/>
          <w:spacing w:val="0"/>
          <w:position w:val="0"/>
          <w:sz w:val="21"/>
          <w:szCs w:val="21"/>
        </w:rPr>
        <w:t>除第二章</w:t>
      </w:r>
      <w:r>
        <w:rPr>
          <w:rFonts w:ascii="Times New Roman" w:hAnsi="Times New Roman" w:eastAsia="Times New Roman" w:cs="Times New Roman"/>
          <w:spacing w:val="0"/>
          <w:position w:val="0"/>
          <w:sz w:val="21"/>
          <w:szCs w:val="21"/>
        </w:rPr>
        <w:t>“</w:t>
      </w:r>
      <w:r>
        <w:rPr>
          <w:rFonts w:ascii="宋体" w:hAnsi="宋体" w:eastAsia="宋体" w:cs="宋体"/>
          <w:spacing w:val="0"/>
          <w:position w:val="0"/>
          <w:sz w:val="21"/>
          <w:szCs w:val="21"/>
        </w:rPr>
        <w:t>投标人须知</w:t>
      </w:r>
      <w:r>
        <w:rPr>
          <w:rFonts w:ascii="Times New Roman" w:hAnsi="Times New Roman" w:eastAsia="Times New Roman" w:cs="Times New Roman"/>
          <w:spacing w:val="0"/>
          <w:position w:val="0"/>
          <w:sz w:val="21"/>
          <w:szCs w:val="21"/>
        </w:rPr>
        <w:t>”</w:t>
      </w:r>
      <w:r>
        <w:rPr>
          <w:rFonts w:ascii="宋体" w:hAnsi="宋体" w:eastAsia="宋体" w:cs="宋体"/>
          <w:spacing w:val="0"/>
          <w:position w:val="0"/>
          <w:sz w:val="21"/>
          <w:szCs w:val="21"/>
        </w:rPr>
        <w:t>前附表授权直接确定中标人外，评标委员会按照评标价由低到高的顺序推荐中标候选人，</w:t>
      </w:r>
      <w:r>
        <w:rPr>
          <w:rFonts w:hint="eastAsia" w:ascii="宋体" w:hAnsi="宋体" w:eastAsia="宋体" w:cs="宋体"/>
          <w:spacing w:val="0"/>
          <w:position w:val="0"/>
          <w:sz w:val="21"/>
          <w:szCs w:val="21"/>
          <w:lang w:eastAsia="zh-CN"/>
        </w:rPr>
        <w:t>中标候选人排名不分先后</w:t>
      </w:r>
      <w:r>
        <w:rPr>
          <w:rFonts w:ascii="宋体" w:hAnsi="宋体" w:eastAsia="宋体" w:cs="宋体"/>
          <w:spacing w:val="0"/>
          <w:position w:val="0"/>
          <w:sz w:val="21"/>
          <w:szCs w:val="21"/>
        </w:rPr>
        <w:t>。</w:t>
      </w:r>
    </w:p>
    <w:p w14:paraId="4B382ADF">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1"/>
          <w:szCs w:val="21"/>
        </w:rPr>
      </w:pPr>
      <w:r>
        <w:rPr>
          <w:rFonts w:ascii="Times New Roman" w:hAnsi="Times New Roman" w:eastAsia="Times New Roman" w:cs="Times New Roman"/>
          <w:spacing w:val="0"/>
          <w:position w:val="0"/>
          <w:sz w:val="21"/>
          <w:szCs w:val="21"/>
        </w:rPr>
        <w:t>3.9.2</w:t>
      </w:r>
      <w:r>
        <w:rPr>
          <w:rFonts w:ascii="宋体" w:hAnsi="宋体" w:eastAsia="宋体" w:cs="宋体"/>
          <w:spacing w:val="0"/>
          <w:position w:val="0"/>
          <w:sz w:val="21"/>
          <w:szCs w:val="21"/>
        </w:rPr>
        <w:t>评标委员会完成评标后，应向招标人提交书面评标报告。</w:t>
      </w:r>
    </w:p>
    <w:p w14:paraId="6EF9CD9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hAnsi="黑体" w:eastAsia="黑体" w:cs="黑体"/>
          <w:b w:val="0"/>
          <w:bCs w:val="0"/>
          <w:spacing w:val="0"/>
          <w:position w:val="0"/>
          <w:sz w:val="21"/>
          <w:szCs w:val="21"/>
          <w:lang w:eastAsia="zh-CN"/>
        </w:rPr>
      </w:pPr>
      <w:r>
        <w:rPr>
          <w:rFonts w:hint="eastAsia" w:ascii="黑体" w:hAnsi="黑体" w:eastAsia="黑体" w:cs="黑体"/>
          <w:b w:val="0"/>
          <w:bCs w:val="0"/>
          <w:spacing w:val="0"/>
          <w:position w:val="0"/>
          <w:sz w:val="21"/>
          <w:szCs w:val="21"/>
          <w:lang w:eastAsia="zh-CN"/>
        </w:rPr>
        <w:t>3.</w:t>
      </w:r>
      <w:r>
        <w:rPr>
          <w:rFonts w:hint="eastAsia" w:ascii="黑体" w:hAnsi="黑体" w:eastAsia="黑体" w:cs="黑体"/>
          <w:b w:val="0"/>
          <w:bCs w:val="0"/>
          <w:spacing w:val="0"/>
          <w:position w:val="0"/>
          <w:sz w:val="21"/>
          <w:szCs w:val="21"/>
          <w:lang w:val="en-US" w:eastAsia="zh-CN"/>
        </w:rPr>
        <w:t>10</w:t>
      </w:r>
      <w:r>
        <w:rPr>
          <w:rFonts w:hint="eastAsia" w:ascii="黑体" w:hAnsi="黑体" w:eastAsia="黑体" w:cs="黑体"/>
          <w:b w:val="0"/>
          <w:bCs w:val="0"/>
          <w:spacing w:val="0"/>
          <w:position w:val="0"/>
          <w:sz w:val="21"/>
          <w:szCs w:val="21"/>
          <w:lang w:eastAsia="zh-CN"/>
        </w:rPr>
        <w:t>定标遵循</w:t>
      </w:r>
    </w:p>
    <w:p w14:paraId="60291A1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充分竞争、公平公正、择优选优的原则。</w:t>
      </w:r>
    </w:p>
    <w:p w14:paraId="6952400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3.</w:t>
      </w:r>
      <w:r>
        <w:rPr>
          <w:rFonts w:hint="eastAsia" w:cs="宋体"/>
          <w:spacing w:val="0"/>
          <w:position w:val="0"/>
          <w:sz w:val="21"/>
          <w:szCs w:val="21"/>
          <w:lang w:val="en-US" w:eastAsia="zh-CN"/>
        </w:rPr>
        <w:t>10</w:t>
      </w:r>
      <w:r>
        <w:rPr>
          <w:rFonts w:hint="eastAsia" w:ascii="宋体" w:hAnsi="宋体" w:eastAsia="宋体" w:cs="宋体"/>
          <w:spacing w:val="0"/>
          <w:position w:val="0"/>
          <w:sz w:val="21"/>
          <w:szCs w:val="21"/>
          <w:lang w:eastAsia="zh-CN"/>
        </w:rPr>
        <w:t>.1中标候选人考察：招标人在定标前可视情决定是否对中标候选人及拟派项目负责人进行考察，考察可采取网上调查、书面函询或实地考察等方式，考察应组成考察组并形成书面考察报告。主要考察中标候选人的经营状况、履约能力、投标文件承诺事项的真实性进行定性的评价。若定标候选人的投标所用业绩、奖项等弄虚作假，是经营、财务状况发生较大变化或者存在违法行为，可能影响其履约能力的，招标人应如实记录并提交定标委员会参考。参与调查的人员不得作为定标成员。</w:t>
      </w:r>
    </w:p>
    <w:p w14:paraId="1C688D5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3.</w:t>
      </w:r>
      <w:r>
        <w:rPr>
          <w:rFonts w:hint="eastAsia" w:cs="宋体"/>
          <w:spacing w:val="0"/>
          <w:position w:val="0"/>
          <w:sz w:val="21"/>
          <w:szCs w:val="21"/>
          <w:lang w:val="en-US" w:eastAsia="zh-CN"/>
        </w:rPr>
        <w:t>10</w:t>
      </w:r>
      <w:r>
        <w:rPr>
          <w:rFonts w:hint="eastAsia" w:ascii="宋体" w:hAnsi="宋体" w:eastAsia="宋体" w:cs="宋体"/>
          <w:spacing w:val="0"/>
          <w:position w:val="0"/>
          <w:sz w:val="21"/>
          <w:szCs w:val="21"/>
          <w:lang w:eastAsia="zh-CN"/>
        </w:rPr>
        <w:t>.2 定标委员会的组成：详见招标文件投标须知前附表。定标委员会的主要职责如下：</w:t>
      </w:r>
    </w:p>
    <w:p w14:paraId="4CD7D91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一、查看评标委员会出具的评标报告、考察小组提供的考察报告等相关材料）（如有）；</w:t>
      </w:r>
    </w:p>
    <w:p w14:paraId="001B61B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二、根据定标办法确定中标人；</w:t>
      </w:r>
    </w:p>
    <w:p w14:paraId="1C088D97">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三、出具定标报告等。</w:t>
      </w:r>
    </w:p>
    <w:p w14:paraId="21D4C31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3.</w:t>
      </w:r>
      <w:r>
        <w:rPr>
          <w:rFonts w:hint="eastAsia" w:cs="宋体"/>
          <w:spacing w:val="0"/>
          <w:position w:val="0"/>
          <w:sz w:val="21"/>
          <w:szCs w:val="21"/>
          <w:lang w:val="en-US" w:eastAsia="zh-CN"/>
        </w:rPr>
        <w:t>10</w:t>
      </w:r>
      <w:r>
        <w:rPr>
          <w:rFonts w:hint="eastAsia" w:ascii="宋体" w:hAnsi="宋体" w:eastAsia="宋体" w:cs="宋体"/>
          <w:spacing w:val="0"/>
          <w:position w:val="0"/>
          <w:sz w:val="21"/>
          <w:szCs w:val="21"/>
          <w:lang w:eastAsia="zh-CN"/>
        </w:rPr>
        <w:t>.3 召开定标会议：招标人在中标候选人公示结束后</w:t>
      </w:r>
      <w:r>
        <w:rPr>
          <w:rFonts w:hint="eastAsia" w:cs="宋体"/>
          <w:spacing w:val="0"/>
          <w:position w:val="0"/>
          <w:sz w:val="21"/>
          <w:szCs w:val="21"/>
          <w:lang w:val="en-US" w:eastAsia="zh-CN"/>
        </w:rPr>
        <w:t>5</w:t>
      </w:r>
      <w:r>
        <w:rPr>
          <w:rFonts w:hint="eastAsia" w:ascii="宋体" w:hAnsi="宋体" w:eastAsia="宋体" w:cs="宋体"/>
          <w:spacing w:val="0"/>
          <w:position w:val="0"/>
          <w:sz w:val="21"/>
          <w:szCs w:val="21"/>
          <w:lang w:eastAsia="zh-CN"/>
        </w:rPr>
        <w:t>个工作日内召开定标会议，招标人定标前组织考察的，定标会议时间可以适当延迟。定标会议在市公共资源交易中心进行。定标委员会根据招标文件确定的方法定标，并形成定标报告。定标报告包括定标委员会对每名中标候选人的评分或投票情况、定标委员会集体商议意见及定标理由等。定标会议由定标委员会组长主持，全过程录音录像存档备查，定标委员会可视情邀请评标委员会的代表报告评标情况，供定标委员会参考。</w:t>
      </w:r>
    </w:p>
    <w:p w14:paraId="4957FA30">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定标会议按以下程序进行：</w:t>
      </w:r>
    </w:p>
    <w:p w14:paraId="64AD076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一、招标人介绍定标程序及须知，定标成员签署承诺书；</w:t>
      </w:r>
    </w:p>
    <w:p w14:paraId="3ACB8DC9">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二、招标人介绍项目基本情况、招标情况；</w:t>
      </w:r>
    </w:p>
    <w:p w14:paraId="6FCB760C">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三、评标专家小组组长或招标人介绍评标情况、专家评审意见及提醒注意事项等；</w:t>
      </w:r>
    </w:p>
    <w:p w14:paraId="3AED5F9D">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四、招标人结合对中标候选人的考察情况、样品评估及相关资料，汇报各中标候选人的优势、不足、风险等；</w:t>
      </w:r>
    </w:p>
    <w:p w14:paraId="21AC1B05">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五、非定标相关人员离场(不含监督小组等工作人员) ；</w:t>
      </w:r>
    </w:p>
    <w:p w14:paraId="2C1B3D7A">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六、形成定标报告。定标报告由定标委员会全体成员签字。对定标结果有不同意见的定标委员会成员应当以书面形式说明其不同意见和理由，定标报告应当注明该不同意见。定标委员会成员拒绝在定标报告上签字又不书面说明其不同意见和理由的，视为同意定标结果。定标报告包括但不限于以下内容：项目名称、招标人及代理机构名称、定标委员会成员名单、定标方法、中标人名称、定标相关会议记录等内容。</w:t>
      </w:r>
    </w:p>
    <w:p w14:paraId="164636DE">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3.</w:t>
      </w:r>
      <w:r>
        <w:rPr>
          <w:rFonts w:hint="eastAsia" w:cs="宋体"/>
          <w:spacing w:val="0"/>
          <w:position w:val="0"/>
          <w:sz w:val="21"/>
          <w:szCs w:val="21"/>
          <w:lang w:val="en-US" w:eastAsia="zh-CN"/>
        </w:rPr>
        <w:t>10</w:t>
      </w:r>
      <w:r>
        <w:rPr>
          <w:rFonts w:hint="eastAsia" w:ascii="宋体" w:hAnsi="宋体" w:eastAsia="宋体" w:cs="宋体"/>
          <w:spacing w:val="0"/>
          <w:position w:val="0"/>
          <w:sz w:val="21"/>
          <w:szCs w:val="21"/>
          <w:lang w:eastAsia="zh-CN"/>
        </w:rPr>
        <w:t>.4 定标因素：1、参考评标委员会提供的书面评标报告中说明的各中标候选人投标文件的优势、缺点、风险等评审情况和推荐理由和评标委员会对其技术、质量、安全、工期的控制能力等提供技术咨询建议。2、结合考察小组对中标候选人考察：招标人在定标前可视情决定是否对中标候选人及拟派项目负责人进行考察，考察可采取网上调查、书面函询或实地考察等方式，考察应组成考察小组并形成书面考察报告。主要考察中标候选人的经营状况、履约能力、业绩、投标文件承诺事项的真实性进行定性的评价。若定标候选人的投标所用业绩、奖项等弄虚作假，或是经营、财务状况发生较大变化或者存在违法行为，可能影响其履约能力的，招标人应如实记录并提交定标委员会参考。参与调查的人员不得作为定标成员。</w:t>
      </w:r>
    </w:p>
    <w:p w14:paraId="607928E3">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3.</w:t>
      </w:r>
      <w:r>
        <w:rPr>
          <w:rFonts w:hint="eastAsia" w:cs="宋体"/>
          <w:spacing w:val="0"/>
          <w:position w:val="0"/>
          <w:sz w:val="21"/>
          <w:szCs w:val="21"/>
          <w:lang w:val="en-US" w:eastAsia="zh-CN"/>
        </w:rPr>
        <w:t>10</w:t>
      </w:r>
      <w:r>
        <w:rPr>
          <w:rFonts w:hint="eastAsia" w:ascii="宋体" w:hAnsi="宋体" w:eastAsia="宋体" w:cs="宋体"/>
          <w:spacing w:val="0"/>
          <w:position w:val="0"/>
          <w:sz w:val="21"/>
          <w:szCs w:val="21"/>
          <w:lang w:eastAsia="zh-CN"/>
        </w:rPr>
        <w:t>.5 集体票决法：定标委员会成员对各中标候选人进行评审并比较后，进行一次性票决排名。票决采取无记名投票计分法，按总票数由高到低进行排名。得票数相同且影响中标人确定及排名，由定标委员会对票数相同的单位进行再次票决确定排名。由定标委员会确定总票数最高的中标候选人为中标人。</w:t>
      </w:r>
    </w:p>
    <w:p w14:paraId="55A7DDD8">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3.</w:t>
      </w:r>
      <w:r>
        <w:rPr>
          <w:rFonts w:hint="eastAsia" w:cs="宋体"/>
          <w:spacing w:val="0"/>
          <w:position w:val="0"/>
          <w:sz w:val="21"/>
          <w:szCs w:val="21"/>
          <w:lang w:val="en-US" w:eastAsia="zh-CN"/>
        </w:rPr>
        <w:t>10</w:t>
      </w:r>
      <w:r>
        <w:rPr>
          <w:rFonts w:hint="eastAsia" w:ascii="宋体" w:hAnsi="宋体" w:eastAsia="宋体" w:cs="宋体"/>
          <w:spacing w:val="0"/>
          <w:position w:val="0"/>
          <w:sz w:val="21"/>
          <w:szCs w:val="21"/>
          <w:lang w:eastAsia="zh-CN"/>
        </w:rPr>
        <w:t>.6 中标(定标)结果公告。招标人自定标会议结束之日起3日内公告中标(定标)结果。</w:t>
      </w:r>
    </w:p>
    <w:p w14:paraId="3604570B">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3.</w:t>
      </w:r>
      <w:r>
        <w:rPr>
          <w:rFonts w:hint="eastAsia" w:cs="宋体"/>
          <w:spacing w:val="0"/>
          <w:position w:val="0"/>
          <w:sz w:val="21"/>
          <w:szCs w:val="21"/>
          <w:lang w:val="en-US" w:eastAsia="zh-CN"/>
        </w:rPr>
        <w:t>10</w:t>
      </w:r>
      <w:r>
        <w:rPr>
          <w:rFonts w:hint="eastAsia" w:ascii="宋体" w:hAnsi="宋体" w:eastAsia="宋体" w:cs="宋体"/>
          <w:spacing w:val="0"/>
          <w:position w:val="0"/>
          <w:sz w:val="21"/>
          <w:szCs w:val="21"/>
          <w:lang w:eastAsia="zh-CN"/>
        </w:rPr>
        <w:t>.7 异议与投诉。中标候选人对中标(定标)结果有异议的,应当在公告期内提出。异议和投诉改变中标(定标)结果的，应重新发布中标(定标)结果公告。</w:t>
      </w:r>
    </w:p>
    <w:p w14:paraId="0B9B69F6">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position w:val="0"/>
          <w:sz w:val="21"/>
          <w:szCs w:val="21"/>
          <w:lang w:eastAsia="zh-CN"/>
        </w:rPr>
      </w:pPr>
      <w:r>
        <w:rPr>
          <w:rFonts w:hint="eastAsia" w:ascii="宋体" w:hAnsi="宋体" w:eastAsia="宋体" w:cs="宋体"/>
          <w:spacing w:val="0"/>
          <w:position w:val="0"/>
          <w:sz w:val="21"/>
          <w:szCs w:val="21"/>
          <w:lang w:eastAsia="zh-CN"/>
        </w:rPr>
        <w:t>3.</w:t>
      </w:r>
      <w:r>
        <w:rPr>
          <w:rFonts w:hint="eastAsia" w:cs="宋体"/>
          <w:spacing w:val="0"/>
          <w:position w:val="0"/>
          <w:sz w:val="21"/>
          <w:szCs w:val="21"/>
          <w:lang w:val="en-US" w:eastAsia="zh-CN"/>
        </w:rPr>
        <w:t>10</w:t>
      </w:r>
      <w:r>
        <w:rPr>
          <w:rFonts w:hint="eastAsia" w:ascii="宋体" w:hAnsi="宋体" w:eastAsia="宋体" w:cs="宋体"/>
          <w:spacing w:val="0"/>
          <w:position w:val="0"/>
          <w:sz w:val="21"/>
          <w:szCs w:val="21"/>
          <w:lang w:eastAsia="zh-CN"/>
        </w:rPr>
        <w:t>.8 中标通知书发放。招标人应当自确定中标人之日起15日内发出中标通知书，并自确定中标人之日起15日内，向招投标行政主管部门提交有关招标投标情况的书面报告。</w:t>
      </w:r>
    </w:p>
    <w:p w14:paraId="7EBE34E9">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ascii="宋体" w:hAnsi="宋体" w:eastAsia="宋体" w:cs="宋体"/>
          <w:spacing w:val="0"/>
          <w:position w:val="0"/>
          <w:sz w:val="24"/>
          <w:szCs w:val="24"/>
        </w:rPr>
        <w:sectPr>
          <w:headerReference r:id="rId32" w:type="default"/>
          <w:footerReference r:id="rId33" w:type="default"/>
          <w:pgSz w:w="11907" w:h="16841"/>
          <w:pgMar w:top="1166" w:right="1500" w:bottom="1045" w:left="1615" w:header="883" w:footer="885" w:gutter="0"/>
          <w:pgNumType w:fmt="decimal"/>
          <w:cols w:space="720" w:num="1"/>
        </w:sectPr>
      </w:pPr>
      <w:r>
        <w:rPr>
          <w:rFonts w:hint="eastAsia" w:ascii="宋体" w:hAnsi="宋体" w:eastAsia="宋体" w:cs="宋体"/>
          <w:spacing w:val="0"/>
          <w:position w:val="0"/>
          <w:sz w:val="21"/>
          <w:szCs w:val="21"/>
          <w:lang w:eastAsia="zh-CN"/>
        </w:rPr>
        <w:t>3.</w:t>
      </w:r>
      <w:r>
        <w:rPr>
          <w:rFonts w:hint="eastAsia" w:cs="宋体"/>
          <w:spacing w:val="0"/>
          <w:position w:val="0"/>
          <w:sz w:val="21"/>
          <w:szCs w:val="21"/>
          <w:lang w:val="en-US" w:eastAsia="zh-CN"/>
        </w:rPr>
        <w:t>10</w:t>
      </w:r>
      <w:r>
        <w:rPr>
          <w:rFonts w:hint="eastAsia" w:ascii="宋体" w:hAnsi="宋体" w:eastAsia="宋体" w:cs="宋体"/>
          <w:spacing w:val="0"/>
          <w:position w:val="0"/>
          <w:sz w:val="21"/>
          <w:szCs w:val="21"/>
          <w:lang w:eastAsia="zh-CN"/>
        </w:rPr>
        <w:t>.9 重新定标或重新招标。中标人放弃中标、因不可抗力不能履行合同、未在招标文件的规定期限内提供履约担保的，或者被查实存在影响中标结果的违法行为等不符合中标条 件的情形的，或者因异议和投诉取消中标资格的，招标人可以采用原定标办法，由原定标委员会在中标候选人名单中确定新的中标人，或者按照原定标会议确定的中标候选人排序依次确定新的中标人。其余中标候选人与招标人预期差距较大，或者对招标人明显不利的，可以重新招标。</w:t>
      </w:r>
      <w:r>
        <w:rPr>
          <w:rFonts w:hint="eastAsia" w:ascii="宋体" w:hAnsi="宋体" w:eastAsia="宋体" w:cs="宋体"/>
          <w:spacing w:val="0"/>
          <w:position w:val="0"/>
          <w:sz w:val="24"/>
          <w:szCs w:val="24"/>
        </w:rPr>
        <w:br w:type="page"/>
      </w:r>
    </w:p>
    <w:p w14:paraId="4C0CB99D">
      <w:pPr>
        <w:rPr>
          <w:sz w:val="24"/>
        </w:rPr>
      </w:pPr>
    </w:p>
    <w:p w14:paraId="33FFBC6B">
      <w:pPr>
        <w:pStyle w:val="12"/>
        <w:rPr>
          <w:sz w:val="20"/>
        </w:rPr>
      </w:pPr>
    </w:p>
    <w:p w14:paraId="31853819">
      <w:pPr>
        <w:pStyle w:val="12"/>
        <w:rPr>
          <w:sz w:val="20"/>
        </w:rPr>
      </w:pPr>
    </w:p>
    <w:p w14:paraId="24D5418E">
      <w:pPr>
        <w:pStyle w:val="12"/>
        <w:rPr>
          <w:sz w:val="20"/>
        </w:rPr>
      </w:pPr>
    </w:p>
    <w:p w14:paraId="7CAAE56F">
      <w:pPr>
        <w:pStyle w:val="12"/>
        <w:rPr>
          <w:sz w:val="20"/>
        </w:rPr>
      </w:pPr>
    </w:p>
    <w:p w14:paraId="37A11A88">
      <w:pPr>
        <w:pStyle w:val="12"/>
        <w:rPr>
          <w:sz w:val="20"/>
        </w:rPr>
      </w:pPr>
    </w:p>
    <w:p w14:paraId="1E04CBBC">
      <w:pPr>
        <w:pStyle w:val="12"/>
        <w:rPr>
          <w:sz w:val="20"/>
        </w:rPr>
      </w:pPr>
    </w:p>
    <w:p w14:paraId="3EEDD017">
      <w:pPr>
        <w:pStyle w:val="12"/>
        <w:rPr>
          <w:sz w:val="20"/>
        </w:rPr>
      </w:pPr>
    </w:p>
    <w:p w14:paraId="1CF2FCFC">
      <w:pPr>
        <w:pStyle w:val="12"/>
        <w:rPr>
          <w:sz w:val="20"/>
        </w:rPr>
      </w:pPr>
    </w:p>
    <w:p w14:paraId="7C06E43C">
      <w:pPr>
        <w:pStyle w:val="12"/>
        <w:rPr>
          <w:sz w:val="20"/>
        </w:rPr>
      </w:pPr>
    </w:p>
    <w:p w14:paraId="40BDBFB4">
      <w:pPr>
        <w:pStyle w:val="12"/>
        <w:rPr>
          <w:sz w:val="20"/>
        </w:rPr>
      </w:pPr>
    </w:p>
    <w:p w14:paraId="483C2745">
      <w:pPr>
        <w:pStyle w:val="12"/>
        <w:rPr>
          <w:sz w:val="20"/>
        </w:rPr>
      </w:pPr>
    </w:p>
    <w:p w14:paraId="05A9C7E9">
      <w:pPr>
        <w:pStyle w:val="12"/>
        <w:rPr>
          <w:sz w:val="20"/>
        </w:rPr>
      </w:pPr>
    </w:p>
    <w:p w14:paraId="376AADBE">
      <w:pPr>
        <w:pStyle w:val="12"/>
        <w:rPr>
          <w:sz w:val="20"/>
        </w:rPr>
      </w:pPr>
    </w:p>
    <w:p w14:paraId="0E096EB7">
      <w:pPr>
        <w:pStyle w:val="12"/>
        <w:rPr>
          <w:sz w:val="20"/>
        </w:rPr>
      </w:pPr>
    </w:p>
    <w:p w14:paraId="013900F0">
      <w:pPr>
        <w:pStyle w:val="12"/>
        <w:rPr>
          <w:sz w:val="20"/>
        </w:rPr>
      </w:pPr>
    </w:p>
    <w:p w14:paraId="6F182790">
      <w:pPr>
        <w:pStyle w:val="12"/>
        <w:rPr>
          <w:sz w:val="20"/>
        </w:rPr>
      </w:pPr>
    </w:p>
    <w:p w14:paraId="03590B0B">
      <w:pPr>
        <w:pStyle w:val="12"/>
        <w:rPr>
          <w:sz w:val="20"/>
        </w:rPr>
      </w:pPr>
    </w:p>
    <w:p w14:paraId="6F2F6005">
      <w:pPr>
        <w:pStyle w:val="12"/>
        <w:rPr>
          <w:sz w:val="20"/>
        </w:rPr>
      </w:pPr>
    </w:p>
    <w:p w14:paraId="79B4DF50">
      <w:pPr>
        <w:pStyle w:val="12"/>
        <w:rPr>
          <w:sz w:val="20"/>
        </w:rPr>
      </w:pPr>
    </w:p>
    <w:p w14:paraId="7A381B36">
      <w:pPr>
        <w:pStyle w:val="12"/>
        <w:spacing w:before="4"/>
        <w:rPr>
          <w:sz w:val="23"/>
        </w:rPr>
      </w:pPr>
    </w:p>
    <w:p w14:paraId="6EF078A6">
      <w:pPr>
        <w:pStyle w:val="3"/>
        <w:bidi w:val="0"/>
      </w:pPr>
      <w:bookmarkStart w:id="171" w:name="_bookmark155"/>
      <w:bookmarkEnd w:id="171"/>
      <w:bookmarkStart w:id="172" w:name="_Toc5617"/>
      <w:r>
        <w:t>第四章</w:t>
      </w:r>
      <w:r>
        <w:tab/>
      </w:r>
      <w:r>
        <w:t>合同条款及格式</w:t>
      </w:r>
      <w:bookmarkEnd w:id="172"/>
    </w:p>
    <w:p w14:paraId="21155DE9">
      <w:pPr>
        <w:pStyle w:val="3"/>
        <w:bidi w:val="0"/>
        <w:outlineLvl w:val="9"/>
        <w:sectPr>
          <w:headerReference r:id="rId34" w:type="default"/>
          <w:footerReference r:id="rId36" w:type="default"/>
          <w:headerReference r:id="rId35" w:type="even"/>
          <w:footerReference r:id="rId37" w:type="even"/>
          <w:pgSz w:w="11910" w:h="16850"/>
          <w:pgMar w:top="1480" w:right="1200" w:bottom="1080" w:left="1220" w:header="883" w:footer="884" w:gutter="0"/>
          <w:pgNumType w:fmt="decimal"/>
          <w:cols w:space="720" w:num="1"/>
        </w:sectPr>
      </w:pPr>
    </w:p>
    <w:p w14:paraId="7711086C">
      <w:pPr>
        <w:pStyle w:val="12"/>
        <w:spacing w:before="12"/>
        <w:rPr>
          <w:rFonts w:ascii="黑体"/>
          <w:sz w:val="23"/>
        </w:rPr>
      </w:pPr>
    </w:p>
    <w:p w14:paraId="0795C3BE">
      <w:pPr>
        <w:pStyle w:val="4"/>
        <w:numPr>
          <w:ilvl w:val="0"/>
          <w:numId w:val="8"/>
        </w:numPr>
        <w:bidi w:val="0"/>
      </w:pPr>
      <w:bookmarkStart w:id="173" w:name="_bookmark156"/>
      <w:bookmarkEnd w:id="173"/>
      <w:r>
        <w:t>通用合同条款</w:t>
      </w:r>
    </w:p>
    <w:p w14:paraId="63EAE0A8">
      <w:pPr>
        <w:pStyle w:val="7"/>
        <w:numPr>
          <w:ilvl w:val="0"/>
          <w:numId w:val="0"/>
        </w:numPr>
        <w:tabs>
          <w:tab w:val="left" w:pos="1717"/>
        </w:tabs>
        <w:ind w:right="0" w:rightChars="0"/>
        <w:jc w:val="both"/>
        <w:outlineLvl w:val="9"/>
        <w:rPr>
          <w:rFonts w:hint="eastAsia" w:ascii="黑体" w:hAnsi="黑体" w:eastAsia="黑体"/>
          <w:sz w:val="28"/>
        </w:rPr>
      </w:pPr>
    </w:p>
    <w:p w14:paraId="12E536FE">
      <w:pPr>
        <w:bidi w:val="0"/>
        <w:jc w:val="center"/>
        <w:rPr>
          <w:rFonts w:hint="eastAsia"/>
          <w:b/>
          <w:bCs/>
          <w:sz w:val="28"/>
          <w:szCs w:val="28"/>
        </w:rPr>
      </w:pPr>
      <w:r>
        <w:rPr>
          <w:rFonts w:hint="eastAsia"/>
          <w:b/>
          <w:bCs/>
          <w:sz w:val="28"/>
          <w:szCs w:val="28"/>
        </w:rPr>
        <w:t>“通用合同条款”采用《标准施工招标文件》的“通用合同条款”。</w:t>
      </w:r>
      <w:bookmarkStart w:id="174" w:name="_bookmark157"/>
      <w:bookmarkEnd w:id="174"/>
    </w:p>
    <w:p w14:paraId="4E774484">
      <w:pPr>
        <w:tabs>
          <w:tab w:val="left" w:pos="1717"/>
        </w:tabs>
        <w:spacing w:before="108"/>
        <w:ind w:left="37" w:right="0" w:firstLine="0"/>
        <w:jc w:val="center"/>
        <w:rPr>
          <w:rFonts w:hint="eastAsia" w:ascii="黑体" w:eastAsia="黑体"/>
          <w:sz w:val="42"/>
        </w:rPr>
      </w:pPr>
    </w:p>
    <w:p w14:paraId="394BA7F0">
      <w:pPr>
        <w:pStyle w:val="4"/>
        <w:bidi w:val="0"/>
        <w:rPr>
          <w:rFonts w:hint="eastAsia"/>
        </w:rPr>
      </w:pPr>
      <w:r>
        <w:rPr>
          <w:rFonts w:hint="eastAsia"/>
        </w:rPr>
        <w:t>第二节</w:t>
      </w:r>
      <w:r>
        <w:rPr>
          <w:rFonts w:hint="eastAsia"/>
        </w:rPr>
        <w:tab/>
      </w:r>
      <w:r>
        <w:rPr>
          <w:rFonts w:hint="eastAsia"/>
        </w:rPr>
        <w:t>专用合同条款</w:t>
      </w:r>
    </w:p>
    <w:p w14:paraId="2A8809FC">
      <w:pPr>
        <w:pStyle w:val="4"/>
        <w:bidi w:val="0"/>
        <w:outlineLvl w:val="9"/>
        <w:rPr>
          <w:rFonts w:hint="eastAsia"/>
        </w:rPr>
        <w:sectPr>
          <w:footerReference r:id="rId38" w:type="default"/>
          <w:footerReference r:id="rId39" w:type="even"/>
          <w:pgSz w:w="11910" w:h="16850"/>
          <w:pgMar w:top="1480" w:right="1200" w:bottom="1040" w:left="1220" w:header="876" w:footer="853" w:gutter="0"/>
          <w:pgNumType w:fmt="decimal"/>
          <w:cols w:space="720" w:num="1"/>
        </w:sectPr>
      </w:pPr>
    </w:p>
    <w:p w14:paraId="7CA09A17">
      <w:pPr>
        <w:pStyle w:val="5"/>
        <w:keepNext w:val="0"/>
        <w:keepLines w:val="0"/>
        <w:pageBreakBefore w:val="0"/>
        <w:widowControl w:val="0"/>
        <w:numPr>
          <w:ilvl w:val="3"/>
          <w:numId w:val="0"/>
        </w:numPr>
        <w:kinsoku/>
        <w:wordWrap/>
        <w:overflowPunct/>
        <w:topLinePunct w:val="0"/>
        <w:autoSpaceDE w:val="0"/>
        <w:autoSpaceDN w:val="0"/>
        <w:bidi w:val="0"/>
        <w:adjustRightInd/>
        <w:snapToGrid/>
        <w:spacing w:before="0"/>
        <w:ind w:left="0" w:leftChars="0" w:right="0" w:rightChars="0" w:firstLine="0" w:firstLineChars="0"/>
        <w:textAlignment w:val="auto"/>
        <w:rPr>
          <w:rFonts w:hint="eastAsia"/>
          <w:w w:val="100"/>
        </w:rPr>
      </w:pPr>
      <w:bookmarkStart w:id="175" w:name="_bookmark158"/>
      <w:bookmarkEnd w:id="175"/>
      <w:bookmarkStart w:id="176" w:name="_bookmark158"/>
      <w:bookmarkEnd w:id="176"/>
      <w:r>
        <w:rPr>
          <w:rFonts w:hint="default" w:ascii="Times New Roman" w:hAnsi="Times New Roman" w:eastAsia="Times New Roman" w:cs="Times New Roman"/>
          <w:w w:val="100"/>
          <w:sz w:val="32"/>
          <w:szCs w:val="32"/>
          <w:lang w:val="zh-CN" w:eastAsia="zh-CN" w:bidi="zh-CN"/>
        </w:rPr>
        <w:t>A.</w:t>
      </w:r>
      <w:r>
        <w:rPr>
          <w:rFonts w:hint="eastAsia"/>
          <w:w w:val="100"/>
        </w:rPr>
        <w:t>公路工程专用合同条款</w:t>
      </w:r>
    </w:p>
    <w:p w14:paraId="6BD4ADC7">
      <w:pPr>
        <w:pStyle w:val="12"/>
        <w:rPr>
          <w:rFonts w:ascii="黑体"/>
          <w:sz w:val="20"/>
        </w:rPr>
      </w:pPr>
    </w:p>
    <w:p w14:paraId="3DA8FB85">
      <w:pPr>
        <w:pStyle w:val="41"/>
        <w:keepNext w:val="0"/>
        <w:keepLines w:val="0"/>
        <w:pageBreakBefore w:val="0"/>
        <w:widowControl w:val="0"/>
        <w:numPr>
          <w:ilvl w:val="0"/>
          <w:numId w:val="0"/>
        </w:numPr>
        <w:tabs>
          <w:tab w:val="left" w:pos="77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bookmarkStart w:id="177" w:name="_bookmark159"/>
      <w:bookmarkEnd w:id="177"/>
      <w:bookmarkStart w:id="178" w:name="_bookmark159"/>
      <w:bookmarkEnd w:id="178"/>
      <w:r>
        <w:rPr>
          <w:rFonts w:hint="default" w:ascii="Times New Roman" w:hAnsi="Times New Roman" w:eastAsia="Times New Roman" w:cs="Times New Roman"/>
          <w:w w:val="100"/>
          <w:sz w:val="21"/>
          <w:szCs w:val="21"/>
          <w:lang w:val="zh-CN" w:eastAsia="zh-CN" w:bidi="zh-CN"/>
        </w:rPr>
        <w:t>1.</w:t>
      </w:r>
      <w:r>
        <w:rPr>
          <w:rFonts w:hint="eastAsia" w:ascii="黑体" w:eastAsia="黑体"/>
          <w:sz w:val="21"/>
          <w:szCs w:val="21"/>
        </w:rPr>
        <w:t>一般约定</w:t>
      </w:r>
    </w:p>
    <w:p w14:paraId="194EE81E">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179" w:name="_bookmark160"/>
      <w:bookmarkEnd w:id="179"/>
      <w:bookmarkStart w:id="180" w:name="_bookmark160"/>
      <w:bookmarkEnd w:id="180"/>
      <w:r>
        <w:rPr>
          <w:rFonts w:hint="default" w:ascii="Times New Roman" w:hAnsi="Times New Roman" w:eastAsia="Times New Roman" w:cs="Times New Roman"/>
          <w:spacing w:val="-1"/>
          <w:w w:val="100"/>
          <w:sz w:val="21"/>
          <w:szCs w:val="21"/>
          <w:lang w:val="zh-CN" w:eastAsia="zh-CN" w:bidi="zh-CN"/>
        </w:rPr>
        <w:t>1.1</w:t>
      </w:r>
      <w:r>
        <w:rPr>
          <w:rFonts w:hint="eastAsia" w:ascii="黑体" w:eastAsia="黑体"/>
          <w:sz w:val="21"/>
          <w:szCs w:val="21"/>
        </w:rPr>
        <w:t>词语定义</w:t>
      </w:r>
    </w:p>
    <w:p w14:paraId="0FEA6E4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r>
        <w:rPr>
          <w:rFonts w:ascii="Times New Roman" w:eastAsia="Times New Roman"/>
          <w:sz w:val="21"/>
          <w:szCs w:val="21"/>
        </w:rPr>
        <w:t xml:space="preserve">1.1.1 </w:t>
      </w:r>
      <w:r>
        <w:rPr>
          <w:rFonts w:hint="eastAsia" w:ascii="黑体" w:eastAsia="黑体"/>
          <w:sz w:val="21"/>
          <w:szCs w:val="21"/>
        </w:rPr>
        <w:t>合同</w:t>
      </w:r>
    </w:p>
    <w:p w14:paraId="44095B0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1.1.1.6 </w:t>
      </w:r>
      <w:r>
        <w:rPr>
          <w:sz w:val="21"/>
          <w:szCs w:val="21"/>
        </w:rPr>
        <w:t>目细化为：</w:t>
      </w:r>
    </w:p>
    <w:p w14:paraId="7FAADAE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技术规范：指本合同所约定的技术标准和要求，是合同文件的组成部分。通用合同条款中</w:t>
      </w:r>
      <w:r>
        <w:rPr>
          <w:rFonts w:ascii="Times New Roman" w:hAnsi="Times New Roman" w:eastAsia="Times New Roman"/>
          <w:sz w:val="21"/>
          <w:szCs w:val="21"/>
        </w:rPr>
        <w:t>“</w:t>
      </w:r>
      <w:r>
        <w:rPr>
          <w:sz w:val="21"/>
          <w:szCs w:val="21"/>
        </w:rPr>
        <w:t>技术标准和要求</w:t>
      </w:r>
      <w:r>
        <w:rPr>
          <w:rFonts w:ascii="Times New Roman" w:hAnsi="Times New Roman" w:eastAsia="Times New Roman"/>
          <w:sz w:val="21"/>
          <w:szCs w:val="21"/>
        </w:rPr>
        <w:t>”</w:t>
      </w:r>
      <w:r>
        <w:rPr>
          <w:sz w:val="21"/>
          <w:szCs w:val="21"/>
        </w:rPr>
        <w:t>一词具有相同含义。</w:t>
      </w:r>
    </w:p>
    <w:p w14:paraId="2AB070F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1.1.1.8 </w:t>
      </w:r>
      <w:r>
        <w:rPr>
          <w:sz w:val="21"/>
          <w:szCs w:val="21"/>
        </w:rPr>
        <w:t>目细化为：</w:t>
      </w:r>
    </w:p>
    <w:p w14:paraId="6834516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6" w:firstLineChars="200"/>
        <w:jc w:val="both"/>
        <w:textAlignment w:val="auto"/>
        <w:rPr>
          <w:sz w:val="21"/>
          <w:szCs w:val="21"/>
        </w:rPr>
      </w:pPr>
      <w:r>
        <w:rPr>
          <w:spacing w:val="-1"/>
          <w:sz w:val="21"/>
          <w:szCs w:val="21"/>
        </w:rPr>
        <w:t>已标价工程量清单：指构成合同文件组成部分的已标明价格、经算术性错误</w:t>
      </w:r>
      <w:r>
        <w:rPr>
          <w:sz w:val="21"/>
          <w:szCs w:val="21"/>
        </w:rPr>
        <w:t>修正及其他错误修正（如有）且承包人已确认的最终的工程量清单，包括工程量清单说明、投标报价说明、计日工说明、其他说明及工程量清单各项表格（工程量清</w:t>
      </w:r>
      <w:r>
        <w:rPr>
          <w:spacing w:val="-21"/>
          <w:sz w:val="21"/>
          <w:szCs w:val="21"/>
        </w:rPr>
        <w:t xml:space="preserve">单表 </w:t>
      </w:r>
      <w:r>
        <w:rPr>
          <w:rFonts w:ascii="Times New Roman" w:eastAsia="Times New Roman"/>
          <w:sz w:val="21"/>
          <w:szCs w:val="21"/>
        </w:rPr>
        <w:t>5.1</w:t>
      </w:r>
      <w:r>
        <w:rPr>
          <w:sz w:val="21"/>
          <w:szCs w:val="21"/>
        </w:rPr>
        <w:t>～</w:t>
      </w:r>
      <w:r>
        <w:rPr>
          <w:spacing w:val="-30"/>
          <w:sz w:val="21"/>
          <w:szCs w:val="21"/>
        </w:rPr>
        <w:t xml:space="preserve">表 </w:t>
      </w:r>
      <w:r>
        <w:rPr>
          <w:rFonts w:ascii="Times New Roman" w:eastAsia="Times New Roman"/>
          <w:sz w:val="21"/>
          <w:szCs w:val="21"/>
        </w:rPr>
        <w:t>5.5</w:t>
      </w:r>
      <w:r>
        <w:rPr>
          <w:spacing w:val="-120"/>
          <w:sz w:val="21"/>
          <w:szCs w:val="21"/>
        </w:rPr>
        <w:t>）</w:t>
      </w:r>
      <w:r>
        <w:rPr>
          <w:sz w:val="21"/>
          <w:szCs w:val="21"/>
        </w:rPr>
        <w:t>。</w:t>
      </w:r>
    </w:p>
    <w:p w14:paraId="790A690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本项补充第 </w:t>
      </w:r>
      <w:r>
        <w:rPr>
          <w:rFonts w:ascii="Times New Roman" w:eastAsia="Times New Roman"/>
          <w:sz w:val="21"/>
          <w:szCs w:val="21"/>
        </w:rPr>
        <w:t xml:space="preserve">1.1.1.10 </w:t>
      </w:r>
      <w:r>
        <w:rPr>
          <w:sz w:val="21"/>
          <w:szCs w:val="21"/>
        </w:rPr>
        <w:t>目：</w:t>
      </w:r>
    </w:p>
    <w:p w14:paraId="51A551A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rFonts w:ascii="Times New Roman" w:eastAsia="Times New Roman"/>
          <w:sz w:val="21"/>
          <w:szCs w:val="21"/>
        </w:rPr>
        <w:t xml:space="preserve">1.1.1.10 </w:t>
      </w:r>
      <w:r>
        <w:rPr>
          <w:sz w:val="21"/>
          <w:szCs w:val="21"/>
        </w:rPr>
        <w:t>补遗书：指发出招标文件之后由招标人向已取得招标文件的投标人发出的、编号的对招标文件所作的澄清、修改书。</w:t>
      </w:r>
    </w:p>
    <w:p w14:paraId="39DE1D4E">
      <w:pPr>
        <w:pStyle w:val="41"/>
        <w:keepNext w:val="0"/>
        <w:keepLines w:val="0"/>
        <w:pageBreakBefore w:val="0"/>
        <w:widowControl w:val="0"/>
        <w:numPr>
          <w:ilvl w:val="2"/>
          <w:numId w:val="0"/>
        </w:numPr>
        <w:tabs>
          <w:tab w:val="left" w:pos="15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1.1.2</w:t>
      </w:r>
      <w:r>
        <w:rPr>
          <w:rFonts w:hint="eastAsia" w:ascii="黑体" w:eastAsia="黑体"/>
          <w:sz w:val="21"/>
          <w:szCs w:val="21"/>
        </w:rPr>
        <w:t>合同当事人和人员</w:t>
      </w:r>
    </w:p>
    <w:p w14:paraId="23C0208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本项补充第 </w:t>
      </w:r>
      <w:r>
        <w:rPr>
          <w:rFonts w:ascii="Times New Roman" w:eastAsia="Times New Roman"/>
          <w:sz w:val="21"/>
          <w:szCs w:val="21"/>
        </w:rPr>
        <w:t xml:space="preserve">1.1.2.8 </w:t>
      </w:r>
      <w:r>
        <w:rPr>
          <w:sz w:val="21"/>
          <w:szCs w:val="21"/>
        </w:rPr>
        <w:t>目：</w:t>
      </w:r>
    </w:p>
    <w:p w14:paraId="43405A0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rFonts w:ascii="Times New Roman" w:eastAsia="Times New Roman"/>
          <w:sz w:val="21"/>
          <w:szCs w:val="21"/>
        </w:rPr>
        <w:t xml:space="preserve">1.1.2.8 </w:t>
      </w:r>
      <w:r>
        <w:rPr>
          <w:sz w:val="21"/>
          <w:szCs w:val="21"/>
        </w:rPr>
        <w:t>承包人项目总工：指由承包人书面委派常驻现场负责管理本合同工程的总工程师或技术总负责人。</w:t>
      </w:r>
    </w:p>
    <w:p w14:paraId="417037B6">
      <w:pPr>
        <w:pStyle w:val="41"/>
        <w:keepNext w:val="0"/>
        <w:keepLines w:val="0"/>
        <w:pageBreakBefore w:val="0"/>
        <w:widowControl w:val="0"/>
        <w:numPr>
          <w:ilvl w:val="2"/>
          <w:numId w:val="0"/>
        </w:numPr>
        <w:tabs>
          <w:tab w:val="left" w:pos="15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1.1.3</w:t>
      </w:r>
      <w:r>
        <w:rPr>
          <w:rFonts w:hint="eastAsia" w:ascii="黑体" w:eastAsia="黑体"/>
          <w:sz w:val="21"/>
          <w:szCs w:val="21"/>
        </w:rPr>
        <w:t>工程和设备</w:t>
      </w:r>
    </w:p>
    <w:p w14:paraId="00349BA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1.1.3.4 </w:t>
      </w:r>
      <w:r>
        <w:rPr>
          <w:sz w:val="21"/>
          <w:szCs w:val="21"/>
        </w:rPr>
        <w:t>目细化为：</w:t>
      </w:r>
    </w:p>
    <w:p w14:paraId="493C4F0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单位工程：指在建设项目中，根据签订的合同，具有独立施工条件的工程。第</w:t>
      </w:r>
      <w:r>
        <w:rPr>
          <w:rFonts w:ascii="Times New Roman" w:eastAsia="Times New Roman"/>
          <w:sz w:val="21"/>
          <w:szCs w:val="21"/>
        </w:rPr>
        <w:t xml:space="preserve">1.1.3.10 </w:t>
      </w:r>
      <w:r>
        <w:rPr>
          <w:sz w:val="21"/>
          <w:szCs w:val="21"/>
        </w:rPr>
        <w:t>目细化为：</w:t>
      </w:r>
    </w:p>
    <w:p w14:paraId="30E089D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永久占地：指为实施本合同工程而需要的一切永久占用的土地，包括公路两侧路权范围内的用地。</w:t>
      </w:r>
    </w:p>
    <w:p w14:paraId="4AF52A0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1.1.3.11 </w:t>
      </w:r>
      <w:r>
        <w:rPr>
          <w:sz w:val="21"/>
          <w:szCs w:val="21"/>
        </w:rPr>
        <w:t>目细化为：</w:t>
      </w:r>
    </w:p>
    <w:p w14:paraId="6AA536F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临时占地：指为实施本合同工程而需要的一切临时占用的土地，包括施工所</w:t>
      </w:r>
      <w:r>
        <w:rPr>
          <w:spacing w:val="-7"/>
          <w:sz w:val="21"/>
          <w:szCs w:val="21"/>
        </w:rPr>
        <w:t>用的临时支线、便道、便桥和现场的临时出入通道，以及生产</w:t>
      </w:r>
      <w:r>
        <w:rPr>
          <w:sz w:val="21"/>
          <w:szCs w:val="21"/>
        </w:rPr>
        <w:t>（办公</w:t>
      </w:r>
      <w:r>
        <w:rPr>
          <w:spacing w:val="-120"/>
          <w:sz w:val="21"/>
          <w:szCs w:val="21"/>
        </w:rPr>
        <w:t>）</w:t>
      </w:r>
      <w:r>
        <w:rPr>
          <w:spacing w:val="-6"/>
          <w:sz w:val="21"/>
          <w:szCs w:val="21"/>
        </w:rPr>
        <w:t>、生活等临时</w:t>
      </w:r>
      <w:r>
        <w:rPr>
          <w:sz w:val="21"/>
          <w:szCs w:val="21"/>
        </w:rPr>
        <w:t>设施用地等。</w:t>
      </w:r>
    </w:p>
    <w:p w14:paraId="1E72521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本项补充第 </w:t>
      </w:r>
      <w:r>
        <w:rPr>
          <w:rFonts w:ascii="Times New Roman" w:eastAsia="Times New Roman"/>
          <w:sz w:val="21"/>
          <w:szCs w:val="21"/>
        </w:rPr>
        <w:t xml:space="preserve">1.1.3.12 </w:t>
      </w:r>
      <w:r>
        <w:rPr>
          <w:sz w:val="21"/>
          <w:szCs w:val="21"/>
        </w:rPr>
        <w:t xml:space="preserve">目、第 </w:t>
      </w:r>
      <w:r>
        <w:rPr>
          <w:rFonts w:ascii="Times New Roman" w:eastAsia="Times New Roman"/>
          <w:sz w:val="21"/>
          <w:szCs w:val="21"/>
        </w:rPr>
        <w:t xml:space="preserve">1.1.3.13 </w:t>
      </w:r>
      <w:r>
        <w:rPr>
          <w:sz w:val="21"/>
          <w:szCs w:val="21"/>
        </w:rPr>
        <w:t>目：</w:t>
      </w:r>
    </w:p>
    <w:p w14:paraId="1DAF1DA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分部工程：指在单位工程中，按结构部位、路段长度及施工特点或施工任务划分的若干个工程。</w:t>
      </w:r>
    </w:p>
    <w:p w14:paraId="5A1F69C5">
      <w:pPr>
        <w:pStyle w:val="41"/>
        <w:keepNext w:val="0"/>
        <w:keepLines w:val="0"/>
        <w:pageBreakBefore w:val="0"/>
        <w:widowControl w:val="0"/>
        <w:numPr>
          <w:ilvl w:val="3"/>
          <w:numId w:val="0"/>
        </w:numPr>
        <w:tabs>
          <w:tab w:val="left" w:pos="20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1.1.3.12</w:t>
      </w:r>
      <w:r>
        <w:rPr>
          <w:sz w:val="21"/>
          <w:szCs w:val="21"/>
        </w:rPr>
        <w:t>分项工程：指在分部工程中，按不同的施工方法、材料、工序及路段长度等划分的若干个工程。</w:t>
      </w:r>
    </w:p>
    <w:p w14:paraId="3DBD59C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r>
        <w:rPr>
          <w:rFonts w:ascii="Times New Roman" w:eastAsia="Times New Roman"/>
          <w:sz w:val="21"/>
          <w:szCs w:val="21"/>
        </w:rPr>
        <w:t xml:space="preserve">1.1.6 </w:t>
      </w:r>
      <w:r>
        <w:rPr>
          <w:rFonts w:hint="eastAsia" w:ascii="黑体" w:eastAsia="黑体"/>
          <w:sz w:val="21"/>
          <w:szCs w:val="21"/>
        </w:rPr>
        <w:t>其他</w:t>
      </w:r>
    </w:p>
    <w:p w14:paraId="5949FC1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本项补充第 </w:t>
      </w:r>
      <w:r>
        <w:rPr>
          <w:rFonts w:ascii="Times New Roman" w:eastAsia="Times New Roman"/>
          <w:sz w:val="21"/>
          <w:szCs w:val="21"/>
        </w:rPr>
        <w:t xml:space="preserve">1.1.6.2 </w:t>
      </w:r>
      <w:r>
        <w:rPr>
          <w:sz w:val="21"/>
          <w:szCs w:val="21"/>
        </w:rPr>
        <w:t xml:space="preserve">目～第 </w:t>
      </w:r>
      <w:r>
        <w:rPr>
          <w:rFonts w:ascii="Times New Roman" w:eastAsia="Times New Roman"/>
          <w:sz w:val="21"/>
          <w:szCs w:val="21"/>
        </w:rPr>
        <w:t xml:space="preserve">1.1.6.9 </w:t>
      </w:r>
      <w:r>
        <w:rPr>
          <w:sz w:val="21"/>
          <w:szCs w:val="21"/>
        </w:rPr>
        <w:t>目：</w:t>
      </w:r>
    </w:p>
    <w:p w14:paraId="1C2854CF">
      <w:pPr>
        <w:pStyle w:val="41"/>
        <w:keepNext w:val="0"/>
        <w:keepLines w:val="0"/>
        <w:pageBreakBefore w:val="0"/>
        <w:widowControl w:val="0"/>
        <w:numPr>
          <w:ilvl w:val="3"/>
          <w:numId w:val="0"/>
        </w:numPr>
        <w:tabs>
          <w:tab w:val="left" w:pos="1925"/>
        </w:tabs>
        <w:kinsoku/>
        <w:wordWrap/>
        <w:overflowPunct/>
        <w:topLinePunct w:val="0"/>
        <w:autoSpaceDE w:val="0"/>
        <w:autoSpaceDN w:val="0"/>
        <w:bidi w:val="0"/>
        <w:adjustRightInd/>
        <w:snapToGrid/>
        <w:spacing w:before="0" w:after="0" w:line="360" w:lineRule="auto"/>
        <w:ind w:left="0" w:leftChars="0" w:right="0" w:rightChars="0" w:firstLine="360" w:firstLineChars="200"/>
        <w:jc w:val="both"/>
        <w:textAlignment w:val="auto"/>
        <w:rPr>
          <w:sz w:val="21"/>
          <w:szCs w:val="21"/>
        </w:rPr>
      </w:pPr>
      <w:r>
        <w:rPr>
          <w:rFonts w:hint="default" w:ascii="Times New Roman" w:hAnsi="Times New Roman" w:eastAsia="Times New Roman" w:cs="Times New Roman"/>
          <w:spacing w:val="-15"/>
          <w:w w:val="100"/>
          <w:sz w:val="21"/>
          <w:szCs w:val="21"/>
          <w:lang w:val="zh-CN" w:eastAsia="zh-CN" w:bidi="zh-CN"/>
        </w:rPr>
        <w:t>1.1.6.2</w:t>
      </w:r>
      <w:r>
        <w:rPr>
          <w:spacing w:val="-3"/>
          <w:sz w:val="21"/>
          <w:szCs w:val="21"/>
        </w:rPr>
        <w:t>竣工验收：指《公路工程竣</w:t>
      </w:r>
      <w:r>
        <w:rPr>
          <w:sz w:val="21"/>
          <w:szCs w:val="21"/>
        </w:rPr>
        <w:t>（交</w:t>
      </w:r>
      <w:r>
        <w:rPr>
          <w:spacing w:val="-5"/>
          <w:sz w:val="21"/>
          <w:szCs w:val="21"/>
        </w:rPr>
        <w:t>）</w:t>
      </w:r>
      <w:r>
        <w:rPr>
          <w:spacing w:val="-3"/>
          <w:sz w:val="21"/>
          <w:szCs w:val="21"/>
        </w:rPr>
        <w:t>工验收办法》中的竣工验收。通用</w:t>
      </w:r>
      <w:r>
        <w:rPr>
          <w:sz w:val="21"/>
          <w:szCs w:val="21"/>
        </w:rPr>
        <w:t>合同条款中</w:t>
      </w:r>
      <w:r>
        <w:rPr>
          <w:rFonts w:ascii="Times New Roman" w:hAnsi="Times New Roman" w:eastAsia="Times New Roman"/>
          <w:sz w:val="21"/>
          <w:szCs w:val="21"/>
        </w:rPr>
        <w:t>“</w:t>
      </w:r>
      <w:r>
        <w:rPr>
          <w:sz w:val="21"/>
          <w:szCs w:val="21"/>
        </w:rPr>
        <w:t>国家验收</w:t>
      </w:r>
      <w:r>
        <w:rPr>
          <w:rFonts w:ascii="Times New Roman" w:hAnsi="Times New Roman" w:eastAsia="Times New Roman"/>
          <w:sz w:val="21"/>
          <w:szCs w:val="21"/>
        </w:rPr>
        <w:t>”</w:t>
      </w:r>
      <w:r>
        <w:rPr>
          <w:sz w:val="21"/>
          <w:szCs w:val="21"/>
        </w:rPr>
        <w:t>一词具有相同含义。</w:t>
      </w:r>
    </w:p>
    <w:p w14:paraId="3434000F">
      <w:pPr>
        <w:pStyle w:val="41"/>
        <w:keepNext w:val="0"/>
        <w:keepLines w:val="0"/>
        <w:pageBreakBefore w:val="0"/>
        <w:widowControl w:val="0"/>
        <w:numPr>
          <w:ilvl w:val="3"/>
          <w:numId w:val="0"/>
        </w:numPr>
        <w:tabs>
          <w:tab w:val="left" w:pos="1901"/>
        </w:tabs>
        <w:kinsoku/>
        <w:wordWrap/>
        <w:overflowPunct/>
        <w:topLinePunct w:val="0"/>
        <w:autoSpaceDE w:val="0"/>
        <w:autoSpaceDN w:val="0"/>
        <w:bidi w:val="0"/>
        <w:adjustRightInd/>
        <w:snapToGrid/>
        <w:spacing w:before="0" w:after="0" w:line="360" w:lineRule="auto"/>
        <w:ind w:left="0" w:leftChars="0" w:right="0" w:rightChars="0" w:firstLine="360" w:firstLineChars="200"/>
        <w:jc w:val="both"/>
        <w:textAlignment w:val="auto"/>
        <w:rPr>
          <w:sz w:val="21"/>
          <w:szCs w:val="21"/>
        </w:rPr>
      </w:pPr>
      <w:r>
        <w:rPr>
          <w:rFonts w:hint="default" w:ascii="Times New Roman" w:hAnsi="Times New Roman" w:eastAsia="Times New Roman" w:cs="Times New Roman"/>
          <w:spacing w:val="-15"/>
          <w:w w:val="100"/>
          <w:sz w:val="21"/>
          <w:szCs w:val="21"/>
          <w:lang w:val="zh-CN" w:eastAsia="zh-CN" w:bidi="zh-CN"/>
        </w:rPr>
        <w:t>1.1.6.3</w:t>
      </w:r>
      <w:r>
        <w:rPr>
          <w:sz w:val="21"/>
          <w:szCs w:val="21"/>
        </w:rPr>
        <w:t>交工：指《公路工程竣（交）</w:t>
      </w:r>
      <w:r>
        <w:rPr>
          <w:spacing w:val="-1"/>
          <w:sz w:val="21"/>
          <w:szCs w:val="21"/>
        </w:rPr>
        <w:t>工验收办法》中的交工。通用合同条款</w:t>
      </w:r>
      <w:r>
        <w:rPr>
          <w:sz w:val="21"/>
          <w:szCs w:val="21"/>
        </w:rPr>
        <w:t>中</w:t>
      </w:r>
      <w:r>
        <w:rPr>
          <w:rFonts w:ascii="Times New Roman" w:hAnsi="Times New Roman" w:eastAsia="Times New Roman"/>
          <w:sz w:val="21"/>
          <w:szCs w:val="21"/>
        </w:rPr>
        <w:t>“</w:t>
      </w:r>
      <w:r>
        <w:rPr>
          <w:sz w:val="21"/>
          <w:szCs w:val="21"/>
        </w:rPr>
        <w:t>竣工</w:t>
      </w:r>
      <w:r>
        <w:rPr>
          <w:rFonts w:ascii="Times New Roman" w:hAnsi="Times New Roman" w:eastAsia="Times New Roman"/>
          <w:sz w:val="21"/>
          <w:szCs w:val="21"/>
        </w:rPr>
        <w:t>”</w:t>
      </w:r>
      <w:r>
        <w:rPr>
          <w:sz w:val="21"/>
          <w:szCs w:val="21"/>
        </w:rPr>
        <w:t>一词具有相同含义。</w:t>
      </w:r>
    </w:p>
    <w:p w14:paraId="5DB65304">
      <w:pPr>
        <w:pStyle w:val="41"/>
        <w:keepNext w:val="0"/>
        <w:keepLines w:val="0"/>
        <w:pageBreakBefore w:val="0"/>
        <w:widowControl w:val="0"/>
        <w:numPr>
          <w:ilvl w:val="3"/>
          <w:numId w:val="0"/>
        </w:numPr>
        <w:tabs>
          <w:tab w:val="left" w:pos="1901"/>
        </w:tabs>
        <w:kinsoku/>
        <w:wordWrap/>
        <w:overflowPunct/>
        <w:topLinePunct w:val="0"/>
        <w:autoSpaceDE w:val="0"/>
        <w:autoSpaceDN w:val="0"/>
        <w:bidi w:val="0"/>
        <w:adjustRightInd/>
        <w:snapToGrid/>
        <w:spacing w:before="0" w:after="0" w:line="360" w:lineRule="auto"/>
        <w:ind w:left="0" w:leftChars="0" w:right="0" w:rightChars="0" w:firstLine="360" w:firstLineChars="200"/>
        <w:jc w:val="both"/>
        <w:textAlignment w:val="auto"/>
        <w:rPr>
          <w:sz w:val="21"/>
          <w:szCs w:val="21"/>
        </w:rPr>
      </w:pPr>
      <w:r>
        <w:rPr>
          <w:rFonts w:hint="default" w:ascii="Times New Roman" w:hAnsi="Times New Roman" w:eastAsia="Times New Roman" w:cs="Times New Roman"/>
          <w:spacing w:val="-15"/>
          <w:w w:val="100"/>
          <w:sz w:val="21"/>
          <w:szCs w:val="21"/>
          <w:lang w:val="zh-CN" w:eastAsia="zh-CN" w:bidi="zh-CN"/>
        </w:rPr>
        <w:t>1.1.6.4</w:t>
      </w:r>
      <w:r>
        <w:rPr>
          <w:sz w:val="21"/>
          <w:szCs w:val="21"/>
        </w:rPr>
        <w:t>交工验收：指《公路工程竣（交）</w:t>
      </w:r>
      <w:r>
        <w:rPr>
          <w:spacing w:val="-2"/>
          <w:sz w:val="21"/>
          <w:szCs w:val="21"/>
        </w:rPr>
        <w:t>工验收办法》中的交工验收。通用</w:t>
      </w:r>
      <w:r>
        <w:rPr>
          <w:sz w:val="21"/>
          <w:szCs w:val="21"/>
        </w:rPr>
        <w:t>合同条款中</w:t>
      </w:r>
      <w:r>
        <w:rPr>
          <w:rFonts w:ascii="Times New Roman" w:hAnsi="Times New Roman" w:eastAsia="Times New Roman"/>
          <w:sz w:val="21"/>
          <w:szCs w:val="21"/>
        </w:rPr>
        <w:t>“</w:t>
      </w:r>
      <w:r>
        <w:rPr>
          <w:sz w:val="21"/>
          <w:szCs w:val="21"/>
        </w:rPr>
        <w:t>竣工验收</w:t>
      </w:r>
      <w:r>
        <w:rPr>
          <w:rFonts w:ascii="Times New Roman" w:hAnsi="Times New Roman" w:eastAsia="Times New Roman"/>
          <w:sz w:val="21"/>
          <w:szCs w:val="21"/>
        </w:rPr>
        <w:t>”</w:t>
      </w:r>
      <w:r>
        <w:rPr>
          <w:sz w:val="21"/>
          <w:szCs w:val="21"/>
        </w:rPr>
        <w:t>一词具有相同含义。</w:t>
      </w:r>
    </w:p>
    <w:p w14:paraId="7D849BEF">
      <w:pPr>
        <w:pStyle w:val="41"/>
        <w:keepNext w:val="0"/>
        <w:keepLines w:val="0"/>
        <w:pageBreakBefore w:val="0"/>
        <w:widowControl w:val="0"/>
        <w:numPr>
          <w:ilvl w:val="3"/>
          <w:numId w:val="0"/>
        </w:numPr>
        <w:tabs>
          <w:tab w:val="left" w:pos="1901"/>
        </w:tabs>
        <w:kinsoku/>
        <w:wordWrap/>
        <w:overflowPunct/>
        <w:topLinePunct w:val="0"/>
        <w:autoSpaceDE w:val="0"/>
        <w:autoSpaceDN w:val="0"/>
        <w:bidi w:val="0"/>
        <w:adjustRightInd/>
        <w:snapToGrid/>
        <w:spacing w:before="0" w:after="0" w:line="360" w:lineRule="auto"/>
        <w:ind w:left="0" w:leftChars="0" w:right="0" w:rightChars="0" w:firstLine="360" w:firstLineChars="200"/>
        <w:jc w:val="both"/>
        <w:textAlignment w:val="auto"/>
        <w:rPr>
          <w:sz w:val="21"/>
          <w:szCs w:val="21"/>
        </w:rPr>
      </w:pPr>
      <w:r>
        <w:rPr>
          <w:rFonts w:hint="default" w:ascii="Times New Roman" w:hAnsi="Times New Roman" w:eastAsia="Times New Roman" w:cs="Times New Roman"/>
          <w:spacing w:val="-15"/>
          <w:w w:val="100"/>
          <w:sz w:val="21"/>
          <w:szCs w:val="21"/>
          <w:lang w:val="zh-CN" w:eastAsia="zh-CN" w:bidi="zh-CN"/>
        </w:rPr>
        <w:t>1.1.6.5</w:t>
      </w:r>
      <w:r>
        <w:rPr>
          <w:sz w:val="21"/>
          <w:szCs w:val="21"/>
        </w:rPr>
        <w:t>交工验收证书：指《公路工程竣（交）</w:t>
      </w:r>
      <w:r>
        <w:rPr>
          <w:spacing w:val="-2"/>
          <w:sz w:val="21"/>
          <w:szCs w:val="21"/>
        </w:rPr>
        <w:t>工验收办法》中的交工验收证</w:t>
      </w:r>
      <w:r>
        <w:rPr>
          <w:sz w:val="21"/>
          <w:szCs w:val="21"/>
        </w:rPr>
        <w:t>书。通用合同条款中</w:t>
      </w:r>
      <w:r>
        <w:rPr>
          <w:rFonts w:ascii="Times New Roman" w:hAnsi="Times New Roman" w:eastAsia="Times New Roman"/>
          <w:sz w:val="21"/>
          <w:szCs w:val="21"/>
        </w:rPr>
        <w:t>“</w:t>
      </w:r>
      <w:r>
        <w:rPr>
          <w:sz w:val="21"/>
          <w:szCs w:val="21"/>
        </w:rPr>
        <w:t>工程接收证书</w:t>
      </w:r>
      <w:r>
        <w:rPr>
          <w:rFonts w:ascii="Times New Roman" w:hAnsi="Times New Roman" w:eastAsia="Times New Roman"/>
          <w:sz w:val="21"/>
          <w:szCs w:val="21"/>
        </w:rPr>
        <w:t>”</w:t>
      </w:r>
      <w:r>
        <w:rPr>
          <w:sz w:val="21"/>
          <w:szCs w:val="21"/>
        </w:rPr>
        <w:t>一词具有相同含义。</w:t>
      </w:r>
    </w:p>
    <w:p w14:paraId="5E113089">
      <w:pPr>
        <w:pStyle w:val="41"/>
        <w:keepNext w:val="0"/>
        <w:keepLines w:val="0"/>
        <w:pageBreakBefore w:val="0"/>
        <w:widowControl w:val="0"/>
        <w:numPr>
          <w:ilvl w:val="3"/>
          <w:numId w:val="0"/>
        </w:numPr>
        <w:tabs>
          <w:tab w:val="left" w:pos="1901"/>
        </w:tabs>
        <w:kinsoku/>
        <w:wordWrap/>
        <w:overflowPunct/>
        <w:topLinePunct w:val="0"/>
        <w:autoSpaceDE w:val="0"/>
        <w:autoSpaceDN w:val="0"/>
        <w:bidi w:val="0"/>
        <w:adjustRightInd/>
        <w:snapToGrid/>
        <w:spacing w:before="0" w:after="0" w:line="360" w:lineRule="auto"/>
        <w:ind w:left="0" w:leftChars="0" w:right="0" w:rightChars="0" w:firstLine="360" w:firstLineChars="200"/>
        <w:jc w:val="both"/>
        <w:textAlignment w:val="auto"/>
        <w:rPr>
          <w:sz w:val="21"/>
          <w:szCs w:val="21"/>
        </w:rPr>
      </w:pPr>
      <w:r>
        <w:rPr>
          <w:rFonts w:hint="default" w:ascii="Times New Roman" w:hAnsi="Times New Roman" w:eastAsia="Times New Roman" w:cs="Times New Roman"/>
          <w:spacing w:val="-15"/>
          <w:w w:val="100"/>
          <w:sz w:val="21"/>
          <w:szCs w:val="21"/>
          <w:lang w:val="zh-CN" w:eastAsia="zh-CN" w:bidi="zh-CN"/>
        </w:rPr>
        <w:t>1.1.6.6</w:t>
      </w:r>
      <w:r>
        <w:rPr>
          <w:spacing w:val="-1"/>
          <w:sz w:val="21"/>
          <w:szCs w:val="21"/>
        </w:rPr>
        <w:t>转包：指承包人违反法律和不履行合同规定的责任和义务，将中标工</w:t>
      </w:r>
      <w:r>
        <w:rPr>
          <w:sz w:val="21"/>
          <w:szCs w:val="21"/>
        </w:rPr>
        <w:t>程全部委托或以专业分包的名义将中标工程肢解后全部委托给其他施工企业施工的行为。</w:t>
      </w:r>
    </w:p>
    <w:p w14:paraId="0153CEBC">
      <w:pPr>
        <w:pStyle w:val="41"/>
        <w:keepNext w:val="0"/>
        <w:keepLines w:val="0"/>
        <w:pageBreakBefore w:val="0"/>
        <w:widowControl w:val="0"/>
        <w:numPr>
          <w:ilvl w:val="3"/>
          <w:numId w:val="0"/>
        </w:numPr>
        <w:tabs>
          <w:tab w:val="left" w:pos="1901"/>
        </w:tabs>
        <w:kinsoku/>
        <w:wordWrap/>
        <w:overflowPunct/>
        <w:topLinePunct w:val="0"/>
        <w:autoSpaceDE w:val="0"/>
        <w:autoSpaceDN w:val="0"/>
        <w:bidi w:val="0"/>
        <w:adjustRightInd/>
        <w:snapToGrid/>
        <w:spacing w:before="0" w:after="0" w:line="360" w:lineRule="auto"/>
        <w:ind w:left="0" w:leftChars="0" w:right="0" w:rightChars="0" w:firstLine="360" w:firstLineChars="200"/>
        <w:jc w:val="left"/>
        <w:textAlignment w:val="auto"/>
        <w:rPr>
          <w:rFonts w:hint="default" w:eastAsia="宋体"/>
          <w:b/>
          <w:bCs/>
          <w:sz w:val="21"/>
          <w:szCs w:val="21"/>
          <w:lang w:val="en-US" w:eastAsia="zh-CN"/>
        </w:rPr>
      </w:pPr>
      <w:r>
        <w:rPr>
          <w:rFonts w:hint="default" w:ascii="Times New Roman" w:hAnsi="Times New Roman" w:eastAsia="Times New Roman" w:cs="Times New Roman"/>
          <w:b/>
          <w:bCs/>
          <w:spacing w:val="-15"/>
          <w:w w:val="100"/>
          <w:sz w:val="21"/>
          <w:szCs w:val="21"/>
          <w:lang w:val="zh-CN" w:eastAsia="zh-CN" w:bidi="zh-CN"/>
        </w:rPr>
        <w:t>1.1.6.7</w:t>
      </w:r>
      <w:r>
        <w:rPr>
          <w:sz w:val="21"/>
          <w:szCs w:val="21"/>
        </w:rPr>
        <w:t>专业分包：指承包人与具有相应资格的施工企业签订专业分包合同，</w:t>
      </w:r>
      <w:r>
        <w:rPr>
          <w:spacing w:val="-6"/>
          <w:sz w:val="21"/>
          <w:szCs w:val="21"/>
        </w:rPr>
        <w:t>由分包人承担承包人委托的分部工程、分项工程或适合专业化队伍施工的其他工程，</w:t>
      </w:r>
      <w:r>
        <w:rPr>
          <w:sz w:val="21"/>
          <w:szCs w:val="21"/>
        </w:rPr>
        <w:t>整体结算，并能独立控制工程质量、施工进度、材料采购、生产安全的施工行为。</w:t>
      </w:r>
      <w:r>
        <w:rPr>
          <w:rFonts w:hint="eastAsia"/>
          <w:sz w:val="21"/>
          <w:szCs w:val="21"/>
          <w:lang w:val="en-US" w:eastAsia="zh-CN"/>
        </w:rPr>
        <w:t>本项目分包须经招标人同意批准后方可分包。</w:t>
      </w:r>
    </w:p>
    <w:p w14:paraId="2C846E0D">
      <w:pPr>
        <w:pStyle w:val="41"/>
        <w:keepNext w:val="0"/>
        <w:keepLines w:val="0"/>
        <w:pageBreakBefore w:val="0"/>
        <w:widowControl w:val="0"/>
        <w:numPr>
          <w:ilvl w:val="3"/>
          <w:numId w:val="0"/>
        </w:numPr>
        <w:tabs>
          <w:tab w:val="left" w:pos="1901"/>
        </w:tabs>
        <w:kinsoku/>
        <w:wordWrap/>
        <w:overflowPunct/>
        <w:topLinePunct w:val="0"/>
        <w:autoSpaceDE w:val="0"/>
        <w:autoSpaceDN w:val="0"/>
        <w:bidi w:val="0"/>
        <w:adjustRightInd/>
        <w:snapToGrid/>
        <w:spacing w:before="0" w:after="0" w:line="360" w:lineRule="auto"/>
        <w:ind w:left="0" w:leftChars="0" w:right="0" w:rightChars="0" w:firstLine="360" w:firstLineChars="200"/>
        <w:jc w:val="left"/>
        <w:textAlignment w:val="auto"/>
        <w:rPr>
          <w:sz w:val="21"/>
          <w:szCs w:val="21"/>
        </w:rPr>
      </w:pPr>
      <w:r>
        <w:rPr>
          <w:rFonts w:hint="default" w:ascii="Times New Roman" w:hAnsi="Times New Roman" w:eastAsia="Times New Roman" w:cs="Times New Roman"/>
          <w:spacing w:val="-15"/>
          <w:w w:val="100"/>
          <w:sz w:val="21"/>
          <w:szCs w:val="21"/>
          <w:lang w:val="zh-CN" w:eastAsia="zh-CN" w:bidi="zh-CN"/>
        </w:rPr>
        <w:t>1.1.6.8</w:t>
      </w:r>
      <w:r>
        <w:rPr>
          <w:sz w:val="21"/>
          <w:szCs w:val="21"/>
        </w:rPr>
        <w:t>劳务分包：指承包人与具有施工劳务资质的劳务企业签订劳务分包合</w:t>
      </w:r>
      <w:r>
        <w:rPr>
          <w:spacing w:val="-10"/>
          <w:sz w:val="21"/>
          <w:szCs w:val="21"/>
        </w:rPr>
        <w:t>同，由劳务企业提供劳务人员及机具，由承包人统一组织施工、统一控制工程质量、</w:t>
      </w:r>
      <w:r>
        <w:rPr>
          <w:sz w:val="21"/>
          <w:szCs w:val="21"/>
        </w:rPr>
        <w:t>施工进度、材料采购、生产安全的施工行为。</w:t>
      </w:r>
    </w:p>
    <w:p w14:paraId="331FA20B">
      <w:pPr>
        <w:pStyle w:val="41"/>
        <w:keepNext w:val="0"/>
        <w:keepLines w:val="0"/>
        <w:pageBreakBefore w:val="0"/>
        <w:widowControl w:val="0"/>
        <w:numPr>
          <w:ilvl w:val="3"/>
          <w:numId w:val="0"/>
        </w:numPr>
        <w:tabs>
          <w:tab w:val="left" w:pos="1901"/>
        </w:tabs>
        <w:kinsoku/>
        <w:wordWrap/>
        <w:overflowPunct/>
        <w:topLinePunct w:val="0"/>
        <w:autoSpaceDE w:val="0"/>
        <w:autoSpaceDN w:val="0"/>
        <w:bidi w:val="0"/>
        <w:adjustRightInd/>
        <w:snapToGrid/>
        <w:spacing w:before="0" w:after="0" w:line="360" w:lineRule="auto"/>
        <w:ind w:left="0" w:leftChars="0" w:right="0" w:rightChars="0" w:firstLine="360" w:firstLineChars="200"/>
        <w:jc w:val="left"/>
        <w:textAlignment w:val="auto"/>
        <w:rPr>
          <w:sz w:val="21"/>
          <w:szCs w:val="21"/>
        </w:rPr>
      </w:pPr>
      <w:r>
        <w:rPr>
          <w:rFonts w:hint="default" w:ascii="Times New Roman" w:hAnsi="Times New Roman" w:eastAsia="Times New Roman" w:cs="Times New Roman"/>
          <w:spacing w:val="-15"/>
          <w:w w:val="100"/>
          <w:sz w:val="21"/>
          <w:szCs w:val="21"/>
          <w:lang w:val="zh-CN" w:eastAsia="zh-CN" w:bidi="zh-CN"/>
        </w:rPr>
        <w:t>1.1.6.9</w:t>
      </w:r>
      <w:r>
        <w:rPr>
          <w:spacing w:val="-1"/>
          <w:sz w:val="21"/>
          <w:szCs w:val="21"/>
        </w:rPr>
        <w:t>雇用民工：指承包人与具有相应劳动能力的自然人签订劳动合同，由</w:t>
      </w:r>
      <w:r>
        <w:rPr>
          <w:sz w:val="21"/>
          <w:szCs w:val="21"/>
        </w:rPr>
        <w:t>承包人统一组织管理，从事分项工程施工或配套工程施工的行为。</w:t>
      </w:r>
    </w:p>
    <w:p w14:paraId="45DE4F63">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181" w:name="_bookmark161"/>
      <w:bookmarkEnd w:id="181"/>
      <w:bookmarkStart w:id="182" w:name="_bookmark161"/>
      <w:bookmarkEnd w:id="182"/>
      <w:r>
        <w:rPr>
          <w:rFonts w:hint="default" w:ascii="Times New Roman" w:hAnsi="Times New Roman" w:eastAsia="Times New Roman" w:cs="Times New Roman"/>
          <w:spacing w:val="-1"/>
          <w:w w:val="100"/>
          <w:sz w:val="21"/>
          <w:szCs w:val="21"/>
          <w:lang w:val="zh-CN" w:eastAsia="zh-CN" w:bidi="zh-CN"/>
        </w:rPr>
        <w:t>1.4</w:t>
      </w:r>
      <w:r>
        <w:rPr>
          <w:rFonts w:hint="eastAsia" w:ascii="黑体" w:eastAsia="黑体"/>
          <w:sz w:val="21"/>
          <w:szCs w:val="21"/>
        </w:rPr>
        <w:t>合同文件的优先顺序</w:t>
      </w:r>
    </w:p>
    <w:p w14:paraId="5C88B57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本款约定为：</w:t>
      </w:r>
    </w:p>
    <w:p w14:paraId="23A4E28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组成合同的各项文件应互相解释，互为说明。除项目专用合同条款另有约定外， 解释合同文件的优先顺序如下：</w:t>
      </w:r>
    </w:p>
    <w:p w14:paraId="4BD8AD9D">
      <w:pPr>
        <w:pStyle w:val="12"/>
        <w:keepNext w:val="0"/>
        <w:keepLines w:val="0"/>
        <w:pageBreakBefore w:val="0"/>
        <w:widowControl w:val="0"/>
        <w:kinsoku/>
        <w:wordWrap/>
        <w:overflowPunct/>
        <w:topLinePunct w:val="0"/>
        <w:autoSpaceDE w:val="0"/>
        <w:autoSpaceDN w:val="0"/>
        <w:bidi w:val="0"/>
        <w:adjustRightInd/>
        <w:snapToGrid/>
        <w:spacing w:before="0" w:line="360" w:lineRule="auto"/>
        <w:ind w:right="0" w:firstLine="380" w:firstLineChars="200"/>
        <w:textAlignment w:val="auto"/>
        <w:rPr>
          <w:sz w:val="21"/>
          <w:szCs w:val="21"/>
        </w:rPr>
      </w:pPr>
      <w:r>
        <w:rPr>
          <w:spacing w:val="-10"/>
          <w:sz w:val="21"/>
          <w:szCs w:val="21"/>
        </w:rPr>
        <w:t>（</w:t>
      </w:r>
      <w:r>
        <w:rPr>
          <w:rFonts w:ascii="Times New Roman" w:eastAsia="Times New Roman"/>
          <w:spacing w:val="-10"/>
          <w:sz w:val="21"/>
          <w:szCs w:val="21"/>
        </w:rPr>
        <w:t>1</w:t>
      </w:r>
      <w:r>
        <w:rPr>
          <w:spacing w:val="-10"/>
          <w:sz w:val="21"/>
          <w:szCs w:val="21"/>
        </w:rPr>
        <w:t>）</w:t>
      </w:r>
      <w:r>
        <w:rPr>
          <w:spacing w:val="-3"/>
          <w:sz w:val="21"/>
          <w:szCs w:val="21"/>
        </w:rPr>
        <w:t>合同协议书及各种合同附件</w:t>
      </w:r>
      <w:r>
        <w:rPr>
          <w:sz w:val="21"/>
          <w:szCs w:val="21"/>
        </w:rPr>
        <w:t>（</w:t>
      </w:r>
      <w:r>
        <w:rPr>
          <w:spacing w:val="-1"/>
          <w:sz w:val="21"/>
          <w:szCs w:val="21"/>
        </w:rPr>
        <w:t>含评标期间和合同谈判过程中的澄清文件和补充资料</w:t>
      </w:r>
      <w:r>
        <w:rPr>
          <w:spacing w:val="-120"/>
          <w:sz w:val="21"/>
          <w:szCs w:val="21"/>
        </w:rPr>
        <w:t>）</w:t>
      </w:r>
      <w:r>
        <w:rPr>
          <w:sz w:val="21"/>
          <w:szCs w:val="21"/>
        </w:rPr>
        <w:t>；</w:t>
      </w:r>
    </w:p>
    <w:p w14:paraId="006407E1">
      <w:pPr>
        <w:pStyle w:val="12"/>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sz w:val="21"/>
          <w:szCs w:val="21"/>
        </w:rPr>
      </w:pPr>
      <w:r>
        <w:rPr>
          <w:sz w:val="21"/>
          <w:szCs w:val="21"/>
        </w:rPr>
        <w:t>（</w:t>
      </w:r>
      <w:r>
        <w:rPr>
          <w:rFonts w:ascii="Times New Roman" w:eastAsia="Times New Roman"/>
          <w:sz w:val="21"/>
          <w:szCs w:val="21"/>
        </w:rPr>
        <w:t>2</w:t>
      </w:r>
      <w:r>
        <w:rPr>
          <w:sz w:val="21"/>
          <w:szCs w:val="21"/>
        </w:rPr>
        <w:t>）中标通知书；</w:t>
      </w:r>
    </w:p>
    <w:p w14:paraId="05CF3A24">
      <w:pPr>
        <w:pStyle w:val="12"/>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sz w:val="21"/>
          <w:szCs w:val="21"/>
        </w:rPr>
      </w:pPr>
      <w:r>
        <w:rPr>
          <w:sz w:val="21"/>
          <w:szCs w:val="21"/>
        </w:rPr>
        <w:t>（</w:t>
      </w:r>
      <w:r>
        <w:rPr>
          <w:rFonts w:ascii="Times New Roman" w:eastAsia="Times New Roman"/>
          <w:sz w:val="21"/>
          <w:szCs w:val="21"/>
        </w:rPr>
        <w:t>3</w:t>
      </w:r>
      <w:r>
        <w:rPr>
          <w:sz w:val="21"/>
          <w:szCs w:val="21"/>
        </w:rPr>
        <w:t>）投标函及投标函附录；</w:t>
      </w:r>
    </w:p>
    <w:p w14:paraId="0E313DC6">
      <w:pPr>
        <w:pStyle w:val="12"/>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sz w:val="21"/>
          <w:szCs w:val="21"/>
        </w:rPr>
      </w:pPr>
      <w:r>
        <w:rPr>
          <w:sz w:val="21"/>
          <w:szCs w:val="21"/>
        </w:rPr>
        <w:t>（</w:t>
      </w:r>
      <w:r>
        <w:rPr>
          <w:rFonts w:ascii="Times New Roman" w:eastAsia="Times New Roman"/>
          <w:sz w:val="21"/>
          <w:szCs w:val="21"/>
        </w:rPr>
        <w:t>4</w:t>
      </w:r>
      <w:r>
        <w:rPr>
          <w:sz w:val="21"/>
          <w:szCs w:val="21"/>
        </w:rPr>
        <w:t>）项目专用合同条款；</w:t>
      </w:r>
    </w:p>
    <w:p w14:paraId="2CA1273F">
      <w:pPr>
        <w:pStyle w:val="12"/>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sz w:val="21"/>
          <w:szCs w:val="21"/>
        </w:rPr>
      </w:pPr>
      <w:r>
        <w:rPr>
          <w:sz w:val="21"/>
          <w:szCs w:val="21"/>
        </w:rPr>
        <w:t>（</w:t>
      </w:r>
      <w:r>
        <w:rPr>
          <w:rFonts w:ascii="Times New Roman" w:eastAsia="Times New Roman"/>
          <w:sz w:val="21"/>
          <w:szCs w:val="21"/>
        </w:rPr>
        <w:t>5</w:t>
      </w:r>
      <w:r>
        <w:rPr>
          <w:sz w:val="21"/>
          <w:szCs w:val="21"/>
        </w:rPr>
        <w:t>）公路工程专用合同条款；</w:t>
      </w:r>
    </w:p>
    <w:p w14:paraId="0640D280">
      <w:pPr>
        <w:pStyle w:val="12"/>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sz w:val="21"/>
          <w:szCs w:val="21"/>
        </w:rPr>
      </w:pPr>
      <w:r>
        <w:rPr>
          <w:rFonts w:hint="eastAsia"/>
          <w:sz w:val="21"/>
          <w:szCs w:val="21"/>
          <w:lang w:eastAsia="zh-CN"/>
        </w:rPr>
        <w:t>（</w:t>
      </w:r>
      <w:r>
        <w:rPr>
          <w:rFonts w:hint="eastAsia"/>
          <w:sz w:val="21"/>
          <w:szCs w:val="21"/>
          <w:lang w:val="en-US" w:eastAsia="zh-CN"/>
        </w:rPr>
        <w:t>6</w:t>
      </w:r>
      <w:r>
        <w:rPr>
          <w:rFonts w:hint="eastAsia"/>
          <w:sz w:val="21"/>
          <w:szCs w:val="21"/>
          <w:lang w:eastAsia="zh-CN"/>
        </w:rPr>
        <w:t>）</w:t>
      </w:r>
      <w:r>
        <w:rPr>
          <w:sz w:val="21"/>
          <w:szCs w:val="21"/>
        </w:rPr>
        <w:t>通用合同条款；</w:t>
      </w:r>
    </w:p>
    <w:p w14:paraId="03F72F3A">
      <w:pPr>
        <w:pStyle w:val="12"/>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sz w:val="21"/>
          <w:szCs w:val="21"/>
        </w:rPr>
      </w:pPr>
      <w:r>
        <w:rPr>
          <w:rFonts w:hint="eastAsia"/>
          <w:sz w:val="21"/>
          <w:szCs w:val="21"/>
          <w:lang w:eastAsia="zh-CN"/>
        </w:rPr>
        <w:t>（</w:t>
      </w:r>
      <w:r>
        <w:rPr>
          <w:rFonts w:hint="eastAsia"/>
          <w:sz w:val="21"/>
          <w:szCs w:val="21"/>
          <w:lang w:val="en-US" w:eastAsia="zh-CN"/>
        </w:rPr>
        <w:t>7</w:t>
      </w:r>
      <w:r>
        <w:rPr>
          <w:rFonts w:hint="eastAsia"/>
          <w:sz w:val="21"/>
          <w:szCs w:val="21"/>
          <w:lang w:eastAsia="zh-CN"/>
        </w:rPr>
        <w:t>）</w:t>
      </w:r>
      <w:r>
        <w:rPr>
          <w:sz w:val="21"/>
          <w:szCs w:val="21"/>
        </w:rPr>
        <w:t>工程量清单计量规则；</w:t>
      </w:r>
    </w:p>
    <w:p w14:paraId="1BA0821E">
      <w:pPr>
        <w:pStyle w:val="12"/>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sz w:val="21"/>
          <w:szCs w:val="21"/>
        </w:rPr>
      </w:pPr>
      <w:r>
        <w:rPr>
          <w:sz w:val="21"/>
          <w:szCs w:val="21"/>
        </w:rPr>
        <w:t>（</w:t>
      </w:r>
      <w:r>
        <w:rPr>
          <w:rFonts w:ascii="Times New Roman" w:eastAsia="Times New Roman"/>
          <w:sz w:val="21"/>
          <w:szCs w:val="21"/>
        </w:rPr>
        <w:t>8</w:t>
      </w:r>
      <w:r>
        <w:rPr>
          <w:sz w:val="21"/>
          <w:szCs w:val="21"/>
        </w:rPr>
        <w:t>）技术规范；</w:t>
      </w:r>
    </w:p>
    <w:p w14:paraId="760E68E5">
      <w:pPr>
        <w:pStyle w:val="12"/>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sz w:val="21"/>
          <w:szCs w:val="21"/>
        </w:rPr>
      </w:pPr>
      <w:r>
        <w:rPr>
          <w:sz w:val="21"/>
          <w:szCs w:val="21"/>
        </w:rPr>
        <w:t>（</w:t>
      </w:r>
      <w:r>
        <w:rPr>
          <w:rFonts w:ascii="Times New Roman" w:eastAsia="Times New Roman"/>
          <w:sz w:val="21"/>
          <w:szCs w:val="21"/>
        </w:rPr>
        <w:t>9</w:t>
      </w:r>
      <w:r>
        <w:rPr>
          <w:sz w:val="21"/>
          <w:szCs w:val="21"/>
        </w:rPr>
        <w:t>）图纸；</w:t>
      </w:r>
    </w:p>
    <w:p w14:paraId="2B1178C7">
      <w:pPr>
        <w:pStyle w:val="12"/>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sz w:val="21"/>
          <w:szCs w:val="21"/>
        </w:rPr>
      </w:pPr>
      <w:r>
        <w:rPr>
          <w:sz w:val="21"/>
          <w:szCs w:val="21"/>
        </w:rPr>
        <w:t>（</w:t>
      </w:r>
      <w:r>
        <w:rPr>
          <w:rFonts w:ascii="Times New Roman" w:eastAsia="Times New Roman"/>
          <w:sz w:val="21"/>
          <w:szCs w:val="21"/>
        </w:rPr>
        <w:t>10</w:t>
      </w:r>
      <w:r>
        <w:rPr>
          <w:sz w:val="21"/>
          <w:szCs w:val="21"/>
        </w:rPr>
        <w:t>）已标价工程量清单；</w:t>
      </w:r>
    </w:p>
    <w:p w14:paraId="457918F0">
      <w:pPr>
        <w:pStyle w:val="12"/>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sz w:val="21"/>
          <w:szCs w:val="21"/>
        </w:rPr>
      </w:pPr>
      <w:r>
        <w:rPr>
          <w:sz w:val="21"/>
          <w:szCs w:val="21"/>
        </w:rPr>
        <w:t>（</w:t>
      </w:r>
      <w:r>
        <w:rPr>
          <w:rFonts w:ascii="Times New Roman" w:eastAsia="Times New Roman"/>
          <w:sz w:val="21"/>
          <w:szCs w:val="21"/>
        </w:rPr>
        <w:t>11</w:t>
      </w:r>
      <w:r>
        <w:rPr>
          <w:sz w:val="21"/>
          <w:szCs w:val="21"/>
        </w:rPr>
        <w:t>）承包人有关人员、设备投入的承诺及投标文件中的施工组织设计；</w:t>
      </w:r>
    </w:p>
    <w:p w14:paraId="17A6611C">
      <w:pPr>
        <w:pStyle w:val="12"/>
        <w:keepNext w:val="0"/>
        <w:keepLines w:val="0"/>
        <w:pageBreakBefore w:val="0"/>
        <w:widowControl w:val="0"/>
        <w:kinsoku/>
        <w:wordWrap/>
        <w:overflowPunct/>
        <w:topLinePunct w:val="0"/>
        <w:autoSpaceDE w:val="0"/>
        <w:autoSpaceDN w:val="0"/>
        <w:bidi w:val="0"/>
        <w:adjustRightInd/>
        <w:snapToGrid/>
        <w:spacing w:before="0" w:line="360" w:lineRule="auto"/>
        <w:ind w:right="0" w:firstLine="420" w:firstLineChars="200"/>
        <w:textAlignment w:val="auto"/>
        <w:rPr>
          <w:sz w:val="21"/>
          <w:szCs w:val="21"/>
        </w:rPr>
      </w:pPr>
      <w:r>
        <w:rPr>
          <w:sz w:val="21"/>
          <w:szCs w:val="21"/>
        </w:rPr>
        <w:t>（</w:t>
      </w:r>
      <w:r>
        <w:rPr>
          <w:rFonts w:ascii="Times New Roman" w:eastAsia="Times New Roman"/>
          <w:sz w:val="21"/>
          <w:szCs w:val="21"/>
        </w:rPr>
        <w:t>12</w:t>
      </w:r>
      <w:r>
        <w:rPr>
          <w:sz w:val="21"/>
          <w:szCs w:val="21"/>
        </w:rPr>
        <w:t>）其他合同文件。</w:t>
      </w:r>
    </w:p>
    <w:p w14:paraId="71538D6A">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ascii="黑体"/>
          <w:sz w:val="21"/>
          <w:szCs w:val="21"/>
        </w:rPr>
      </w:pPr>
      <w:bookmarkStart w:id="183" w:name="_bookmark162"/>
      <w:bookmarkEnd w:id="183"/>
      <w:bookmarkStart w:id="184" w:name="_bookmark162"/>
      <w:bookmarkEnd w:id="184"/>
      <w:r>
        <w:rPr>
          <w:rFonts w:hint="default" w:ascii="Times New Roman" w:hAnsi="Times New Roman" w:eastAsia="Times New Roman" w:cs="Times New Roman"/>
          <w:spacing w:val="-1"/>
          <w:w w:val="100"/>
          <w:sz w:val="21"/>
          <w:szCs w:val="21"/>
          <w:lang w:val="zh-CN" w:eastAsia="zh-CN" w:bidi="zh-CN"/>
        </w:rPr>
        <w:t>1.5</w:t>
      </w:r>
      <w:r>
        <w:rPr>
          <w:rFonts w:hint="eastAsia" w:ascii="黑体" w:eastAsia="黑体"/>
          <w:sz w:val="21"/>
          <w:szCs w:val="21"/>
        </w:rPr>
        <w:t>合同协议书</w:t>
      </w:r>
    </w:p>
    <w:p w14:paraId="3480A44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本款补充：</w:t>
      </w:r>
    </w:p>
    <w:p w14:paraId="6CC8AF0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2" w:firstLineChars="200"/>
        <w:textAlignment w:val="auto"/>
        <w:rPr>
          <w:sz w:val="21"/>
          <w:szCs w:val="21"/>
        </w:rPr>
      </w:pPr>
      <w:r>
        <w:rPr>
          <w:spacing w:val="-7"/>
          <w:sz w:val="21"/>
          <w:szCs w:val="21"/>
        </w:rPr>
        <w:t>制备本合同文件的费用由发包人承担。在合同协议书签订并生效之前，投标函和</w:t>
      </w:r>
      <w:r>
        <w:rPr>
          <w:sz w:val="21"/>
          <w:szCs w:val="21"/>
        </w:rPr>
        <w:t>中标通知书将对双方具有约束力。</w:t>
      </w:r>
    </w:p>
    <w:p w14:paraId="1CF115D7">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185" w:name="_bookmark163"/>
      <w:bookmarkEnd w:id="185"/>
      <w:bookmarkStart w:id="186" w:name="_bookmark163"/>
      <w:bookmarkEnd w:id="186"/>
      <w:r>
        <w:rPr>
          <w:rFonts w:hint="default" w:ascii="Times New Roman" w:hAnsi="Times New Roman" w:eastAsia="Times New Roman" w:cs="Times New Roman"/>
          <w:spacing w:val="-1"/>
          <w:w w:val="100"/>
          <w:sz w:val="21"/>
          <w:szCs w:val="21"/>
          <w:lang w:val="zh-CN" w:eastAsia="zh-CN" w:bidi="zh-CN"/>
        </w:rPr>
        <w:t>1.6</w:t>
      </w:r>
      <w:r>
        <w:rPr>
          <w:rFonts w:hint="eastAsia" w:ascii="黑体" w:eastAsia="黑体"/>
          <w:sz w:val="21"/>
          <w:szCs w:val="21"/>
        </w:rPr>
        <w:t>图纸和承包人文件</w:t>
      </w:r>
    </w:p>
    <w:p w14:paraId="7E7481FF">
      <w:pPr>
        <w:pStyle w:val="41"/>
        <w:keepNext w:val="0"/>
        <w:keepLines w:val="0"/>
        <w:pageBreakBefore w:val="0"/>
        <w:widowControl w:val="0"/>
        <w:numPr>
          <w:ilvl w:val="2"/>
          <w:numId w:val="0"/>
        </w:numPr>
        <w:tabs>
          <w:tab w:val="left" w:pos="15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1.6.1</w:t>
      </w:r>
      <w:r>
        <w:rPr>
          <w:rFonts w:hint="eastAsia" w:ascii="黑体" w:eastAsia="黑体"/>
          <w:sz w:val="21"/>
          <w:szCs w:val="21"/>
        </w:rPr>
        <w:t>图纸的提供</w:t>
      </w:r>
    </w:p>
    <w:p w14:paraId="5422D09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本项细化为：</w:t>
      </w:r>
    </w:p>
    <w:p w14:paraId="1921BAF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监理人应在发出中标通知书之后 </w:t>
      </w:r>
      <w:r>
        <w:rPr>
          <w:rFonts w:ascii="Times New Roman" w:eastAsia="Times New Roman"/>
          <w:sz w:val="21"/>
          <w:szCs w:val="21"/>
        </w:rPr>
        <w:t xml:space="preserve">42 </w:t>
      </w:r>
      <w:r>
        <w:rPr>
          <w:sz w:val="21"/>
          <w:szCs w:val="21"/>
        </w:rPr>
        <w:t>天内，向承包人免费提供由发包人或其委托</w:t>
      </w:r>
      <w:r>
        <w:rPr>
          <w:spacing w:val="-2"/>
          <w:sz w:val="21"/>
          <w:szCs w:val="21"/>
        </w:rPr>
        <w:t xml:space="preserve">的设计单位设计的施工图纸、技术规范和其他技术资料 </w:t>
      </w:r>
      <w:r>
        <w:rPr>
          <w:rFonts w:ascii="Times New Roman" w:eastAsia="Times New Roman"/>
          <w:sz w:val="21"/>
          <w:szCs w:val="21"/>
        </w:rPr>
        <w:t xml:space="preserve">2 </w:t>
      </w:r>
      <w:r>
        <w:rPr>
          <w:spacing w:val="-2"/>
          <w:sz w:val="21"/>
          <w:szCs w:val="21"/>
        </w:rPr>
        <w:t>份，并向承包人进行技术</w:t>
      </w:r>
      <w:r>
        <w:rPr>
          <w:sz w:val="21"/>
          <w:szCs w:val="21"/>
        </w:rPr>
        <w:t>交底。承包人需要更多份数时，应自费复制。由于发包人未按时提供图纸造成工期</w:t>
      </w:r>
      <w:r>
        <w:rPr>
          <w:spacing w:val="-9"/>
          <w:sz w:val="21"/>
          <w:szCs w:val="21"/>
        </w:rPr>
        <w:t xml:space="preserve">延误的，按第 </w:t>
      </w:r>
      <w:r>
        <w:rPr>
          <w:rFonts w:ascii="Times New Roman" w:eastAsia="Times New Roman"/>
          <w:spacing w:val="-3"/>
          <w:sz w:val="21"/>
          <w:szCs w:val="21"/>
        </w:rPr>
        <w:t xml:space="preserve">11.3 </w:t>
      </w:r>
      <w:r>
        <w:rPr>
          <w:sz w:val="21"/>
          <w:szCs w:val="21"/>
        </w:rPr>
        <w:t>款的约定办理。</w:t>
      </w:r>
    </w:p>
    <w:p w14:paraId="7F5F0EA6">
      <w:pPr>
        <w:pStyle w:val="41"/>
        <w:keepNext w:val="0"/>
        <w:keepLines w:val="0"/>
        <w:pageBreakBefore w:val="0"/>
        <w:widowControl w:val="0"/>
        <w:numPr>
          <w:ilvl w:val="2"/>
          <w:numId w:val="0"/>
        </w:numPr>
        <w:tabs>
          <w:tab w:val="left" w:pos="149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1.6.2</w:t>
      </w:r>
      <w:r>
        <w:rPr>
          <w:rFonts w:hint="eastAsia" w:ascii="黑体" w:eastAsia="黑体"/>
          <w:sz w:val="21"/>
          <w:szCs w:val="21"/>
        </w:rPr>
        <w:t>承包人提供的文件</w:t>
      </w:r>
    </w:p>
    <w:p w14:paraId="00197FC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本项细化为：</w:t>
      </w:r>
    </w:p>
    <w:p w14:paraId="279B549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有下列情形之一的，承包人应免费向监理人提交相关部分工程的施工图纸 </w:t>
      </w:r>
      <w:r>
        <w:rPr>
          <w:rFonts w:ascii="Times New Roman" w:eastAsia="Times New Roman"/>
          <w:sz w:val="21"/>
          <w:szCs w:val="21"/>
        </w:rPr>
        <w:t xml:space="preserve">3 </w:t>
      </w:r>
      <w:r>
        <w:rPr>
          <w:sz w:val="21"/>
          <w:szCs w:val="21"/>
        </w:rPr>
        <w:t>份，并附必要的计算书、技术资料，或施工工艺图、设备安装图及安装设备的使用和维护手册各</w:t>
      </w:r>
      <w:r>
        <w:rPr>
          <w:rFonts w:ascii="Times New Roman" w:eastAsia="Times New Roman"/>
          <w:sz w:val="21"/>
          <w:szCs w:val="21"/>
        </w:rPr>
        <w:t xml:space="preserve">2 </w:t>
      </w:r>
      <w:r>
        <w:rPr>
          <w:sz w:val="21"/>
          <w:szCs w:val="21"/>
        </w:rPr>
        <w:t>份供监理人批准。</w:t>
      </w:r>
    </w:p>
    <w:p w14:paraId="7A3280B2">
      <w:pPr>
        <w:pStyle w:val="41"/>
        <w:keepNext w:val="0"/>
        <w:keepLines w:val="0"/>
        <w:pageBreakBefore w:val="0"/>
        <w:widowControl w:val="0"/>
        <w:numPr>
          <w:ilvl w:val="0"/>
          <w:numId w:val="0"/>
        </w:numPr>
        <w:tabs>
          <w:tab w:val="left" w:pos="1417"/>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pacing w:val="-15"/>
          <w:sz w:val="21"/>
          <w:szCs w:val="21"/>
          <w:lang w:eastAsia="zh-CN"/>
        </w:rPr>
        <w:t>（</w:t>
      </w:r>
      <w:r>
        <w:rPr>
          <w:rFonts w:hint="eastAsia"/>
          <w:spacing w:val="-15"/>
          <w:sz w:val="21"/>
          <w:szCs w:val="21"/>
          <w:lang w:val="en-US" w:eastAsia="zh-CN"/>
        </w:rPr>
        <w:t>1</w:t>
      </w:r>
      <w:r>
        <w:rPr>
          <w:rFonts w:hint="eastAsia"/>
          <w:spacing w:val="-15"/>
          <w:sz w:val="21"/>
          <w:szCs w:val="21"/>
          <w:lang w:eastAsia="zh-CN"/>
        </w:rPr>
        <w:t>）</w:t>
      </w:r>
      <w:r>
        <w:rPr>
          <w:spacing w:val="-15"/>
          <w:sz w:val="21"/>
          <w:szCs w:val="21"/>
        </w:rPr>
        <w:t xml:space="preserve">为使第 </w:t>
      </w:r>
      <w:r>
        <w:rPr>
          <w:rFonts w:ascii="Times New Roman" w:eastAsia="Times New Roman"/>
          <w:sz w:val="21"/>
          <w:szCs w:val="21"/>
        </w:rPr>
        <w:t xml:space="preserve">1.6.1 </w:t>
      </w:r>
      <w:r>
        <w:rPr>
          <w:sz w:val="21"/>
          <w:szCs w:val="21"/>
        </w:rPr>
        <w:t>项所述的施工图纸适合于经施工测量后的纵、横断面；</w:t>
      </w:r>
    </w:p>
    <w:p w14:paraId="57E0B5D6">
      <w:pPr>
        <w:pStyle w:val="41"/>
        <w:keepNext w:val="0"/>
        <w:keepLines w:val="0"/>
        <w:pageBreakBefore w:val="0"/>
        <w:widowControl w:val="0"/>
        <w:numPr>
          <w:ilvl w:val="0"/>
          <w:numId w:val="0"/>
        </w:numPr>
        <w:tabs>
          <w:tab w:val="left" w:pos="1417"/>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pacing w:val="-15"/>
          <w:sz w:val="21"/>
          <w:szCs w:val="21"/>
          <w:lang w:eastAsia="zh-CN"/>
        </w:rPr>
        <w:t>（</w:t>
      </w:r>
      <w:r>
        <w:rPr>
          <w:rFonts w:hint="eastAsia"/>
          <w:spacing w:val="-15"/>
          <w:sz w:val="21"/>
          <w:szCs w:val="21"/>
          <w:lang w:val="en-US" w:eastAsia="zh-CN"/>
        </w:rPr>
        <w:t>2</w:t>
      </w:r>
      <w:r>
        <w:rPr>
          <w:rFonts w:hint="eastAsia"/>
          <w:spacing w:val="-15"/>
          <w:sz w:val="21"/>
          <w:szCs w:val="21"/>
          <w:lang w:eastAsia="zh-CN"/>
        </w:rPr>
        <w:t>）</w:t>
      </w:r>
      <w:r>
        <w:rPr>
          <w:spacing w:val="-15"/>
          <w:sz w:val="21"/>
          <w:szCs w:val="21"/>
        </w:rPr>
        <w:t xml:space="preserve">为使第 </w:t>
      </w:r>
      <w:r>
        <w:rPr>
          <w:rFonts w:ascii="Times New Roman" w:eastAsia="Times New Roman"/>
          <w:sz w:val="21"/>
          <w:szCs w:val="21"/>
        </w:rPr>
        <w:t xml:space="preserve">1.6.1 </w:t>
      </w:r>
      <w:r>
        <w:rPr>
          <w:sz w:val="21"/>
          <w:szCs w:val="21"/>
        </w:rPr>
        <w:t>项所述的施工图纸适合于现场具体地形；</w:t>
      </w:r>
    </w:p>
    <w:p w14:paraId="0B4C46FB">
      <w:pPr>
        <w:pStyle w:val="41"/>
        <w:keepNext w:val="0"/>
        <w:keepLines w:val="0"/>
        <w:pageBreakBefore w:val="0"/>
        <w:widowControl w:val="0"/>
        <w:numPr>
          <w:ilvl w:val="0"/>
          <w:numId w:val="0"/>
        </w:numPr>
        <w:tabs>
          <w:tab w:val="left" w:pos="1417"/>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pacing w:val="-15"/>
          <w:sz w:val="21"/>
          <w:szCs w:val="21"/>
          <w:lang w:eastAsia="zh-CN"/>
        </w:rPr>
        <w:t>（</w:t>
      </w:r>
      <w:r>
        <w:rPr>
          <w:rFonts w:hint="eastAsia"/>
          <w:spacing w:val="-15"/>
          <w:sz w:val="21"/>
          <w:szCs w:val="21"/>
          <w:lang w:val="en-US" w:eastAsia="zh-CN"/>
        </w:rPr>
        <w:t>3</w:t>
      </w:r>
      <w:r>
        <w:rPr>
          <w:rFonts w:hint="eastAsia"/>
          <w:spacing w:val="-15"/>
          <w:sz w:val="21"/>
          <w:szCs w:val="21"/>
          <w:lang w:eastAsia="zh-CN"/>
        </w:rPr>
        <w:t>）</w:t>
      </w:r>
      <w:r>
        <w:rPr>
          <w:spacing w:val="-15"/>
          <w:sz w:val="21"/>
          <w:szCs w:val="21"/>
        </w:rPr>
        <w:t xml:space="preserve">为使第 </w:t>
      </w:r>
      <w:r>
        <w:rPr>
          <w:rFonts w:ascii="Times New Roman" w:eastAsia="Times New Roman"/>
          <w:sz w:val="21"/>
          <w:szCs w:val="21"/>
        </w:rPr>
        <w:t xml:space="preserve">1.6.1 </w:t>
      </w:r>
      <w:r>
        <w:rPr>
          <w:sz w:val="21"/>
          <w:szCs w:val="21"/>
        </w:rPr>
        <w:t>项所述的施工图纸适合于因尺寸与位置变化而引起局部变更；</w:t>
      </w:r>
    </w:p>
    <w:p w14:paraId="59E83379">
      <w:pPr>
        <w:pStyle w:val="41"/>
        <w:keepNext w:val="0"/>
        <w:keepLines w:val="0"/>
        <w:pageBreakBefore w:val="0"/>
        <w:widowControl w:val="0"/>
        <w:numPr>
          <w:ilvl w:val="0"/>
          <w:numId w:val="0"/>
        </w:numPr>
        <w:tabs>
          <w:tab w:val="left" w:pos="1417"/>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sz w:val="21"/>
          <w:szCs w:val="21"/>
        </w:rPr>
        <w:t>由于合同要求与施工需要。</w:t>
      </w:r>
    </w:p>
    <w:p w14:paraId="604210A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2" w:firstLineChars="200"/>
        <w:textAlignment w:val="auto"/>
        <w:rPr>
          <w:sz w:val="21"/>
          <w:szCs w:val="21"/>
        </w:rPr>
      </w:pPr>
      <w:r>
        <w:rPr>
          <w:spacing w:val="-7"/>
          <w:sz w:val="21"/>
          <w:szCs w:val="21"/>
        </w:rPr>
        <w:t>此类图纸应按监理人规定的格式和图幅绘制。监理人在收到由承包人绘制的上述</w:t>
      </w:r>
      <w:r>
        <w:rPr>
          <w:spacing w:val="-11"/>
          <w:sz w:val="21"/>
          <w:szCs w:val="21"/>
        </w:rPr>
        <w:t xml:space="preserve">工程、工艺图纸、计算书和有关技术资料后 </w:t>
      </w:r>
      <w:r>
        <w:rPr>
          <w:rFonts w:ascii="Times New Roman" w:eastAsia="Times New Roman"/>
          <w:sz w:val="21"/>
          <w:szCs w:val="21"/>
        </w:rPr>
        <w:t xml:space="preserve">14 </w:t>
      </w:r>
      <w:r>
        <w:rPr>
          <w:spacing w:val="-4"/>
          <w:sz w:val="21"/>
          <w:szCs w:val="21"/>
        </w:rPr>
        <w:t>天内应予批准或提出修改要求，承包</w:t>
      </w:r>
      <w:r>
        <w:rPr>
          <w:sz w:val="21"/>
          <w:szCs w:val="21"/>
        </w:rPr>
        <w:t xml:space="preserve">人应按监理人提出的要求作出修改，重新向监理人提交，监理人应在 </w:t>
      </w:r>
      <w:r>
        <w:rPr>
          <w:rFonts w:ascii="Times New Roman" w:eastAsia="Times New Roman"/>
          <w:sz w:val="21"/>
          <w:szCs w:val="21"/>
        </w:rPr>
        <w:t xml:space="preserve">7 </w:t>
      </w:r>
      <w:r>
        <w:rPr>
          <w:sz w:val="21"/>
          <w:szCs w:val="21"/>
        </w:rPr>
        <w:t>天内批准或提出进一步的修改意见。</w:t>
      </w:r>
    </w:p>
    <w:p w14:paraId="17BBD80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r>
        <w:rPr>
          <w:rFonts w:ascii="Times New Roman" w:eastAsia="Times New Roman"/>
          <w:sz w:val="21"/>
          <w:szCs w:val="21"/>
        </w:rPr>
        <w:t xml:space="preserve">1.6.4 </w:t>
      </w:r>
      <w:r>
        <w:rPr>
          <w:rFonts w:hint="eastAsia" w:ascii="黑体" w:eastAsia="黑体"/>
          <w:sz w:val="21"/>
          <w:szCs w:val="21"/>
        </w:rPr>
        <w:t>图纸的错误</w:t>
      </w:r>
    </w:p>
    <w:p w14:paraId="0CC388D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本项细化为：</w:t>
      </w:r>
    </w:p>
    <w:p w14:paraId="03CD91F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6" w:firstLineChars="200"/>
        <w:jc w:val="both"/>
        <w:textAlignment w:val="auto"/>
        <w:rPr>
          <w:sz w:val="21"/>
          <w:szCs w:val="21"/>
        </w:rPr>
      </w:pPr>
      <w:r>
        <w:rPr>
          <w:spacing w:val="-6"/>
          <w:sz w:val="21"/>
          <w:szCs w:val="21"/>
        </w:rPr>
        <w:t>当承包人在查阅合同文件或在本合同工程实施过程中，发现有关的工程设计、技</w:t>
      </w:r>
      <w:r>
        <w:rPr>
          <w:sz w:val="21"/>
          <w:szCs w:val="21"/>
        </w:rPr>
        <w:t>术规范、图纸或其他资料中的任何差错、遗漏或缺陷后，应及时通知监理人。监理人接到该通知后，应立即就此作出决定，并通知承包人和发包人。</w:t>
      </w:r>
    </w:p>
    <w:p w14:paraId="66D3786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bookmarkStart w:id="187" w:name="_bookmark164"/>
      <w:bookmarkEnd w:id="187"/>
      <w:r>
        <w:rPr>
          <w:rFonts w:ascii="Times New Roman" w:eastAsia="Times New Roman"/>
          <w:sz w:val="21"/>
          <w:szCs w:val="21"/>
        </w:rPr>
        <w:t>1.</w:t>
      </w:r>
      <w:r>
        <w:rPr>
          <w:rFonts w:hint="eastAsia" w:ascii="Times New Roman" w:eastAsia="宋体"/>
          <w:sz w:val="21"/>
          <w:szCs w:val="21"/>
          <w:lang w:val="en-US" w:eastAsia="zh-CN"/>
        </w:rPr>
        <w:t>7</w:t>
      </w:r>
      <w:r>
        <w:rPr>
          <w:rFonts w:ascii="Times New Roman" w:eastAsia="Times New Roman"/>
          <w:spacing w:val="59"/>
          <w:sz w:val="21"/>
          <w:szCs w:val="21"/>
        </w:rPr>
        <w:t xml:space="preserve"> </w:t>
      </w:r>
      <w:r>
        <w:rPr>
          <w:rFonts w:hint="eastAsia" w:ascii="黑体" w:eastAsia="黑体"/>
          <w:sz w:val="21"/>
          <w:szCs w:val="21"/>
        </w:rPr>
        <w:t>严禁贿赂</w:t>
      </w:r>
    </w:p>
    <w:p w14:paraId="7007FC4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本款补充：</w:t>
      </w:r>
    </w:p>
    <w:p w14:paraId="22CCD76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80" w:firstLineChars="200"/>
        <w:jc w:val="both"/>
        <w:textAlignment w:val="auto"/>
        <w:rPr>
          <w:sz w:val="21"/>
          <w:szCs w:val="21"/>
        </w:rPr>
      </w:pPr>
      <w:r>
        <w:rPr>
          <w:spacing w:val="-10"/>
          <w:sz w:val="21"/>
          <w:szCs w:val="21"/>
        </w:rPr>
        <w:t>在合同执行过程中，发包人和承包人应严格履行《廉政合同》约定的双方在廉政</w:t>
      </w:r>
      <w:r>
        <w:rPr>
          <w:sz w:val="21"/>
          <w:szCs w:val="21"/>
        </w:rPr>
        <w:t>建设方面的权利和义务以及应承担的违约责任。承包人如果用行贿、送礼或其他不正当手段企图影响或已经影响了发包人或监理人的行为和（或）</w:t>
      </w:r>
      <w:r>
        <w:rPr>
          <w:spacing w:val="-2"/>
          <w:sz w:val="21"/>
          <w:szCs w:val="21"/>
        </w:rPr>
        <w:t>欲获得或已获得超</w:t>
      </w:r>
      <w:r>
        <w:rPr>
          <w:spacing w:val="-1"/>
          <w:sz w:val="21"/>
          <w:szCs w:val="21"/>
        </w:rPr>
        <w:t>出合同规定以外的额外费用，则发包人应按有关法纪严肃处理当事人，且承包人应对其上述行为造成的工程损害、发包人的经济损失等承担一切责任，并予赔偿。情</w:t>
      </w:r>
      <w:r>
        <w:rPr>
          <w:sz w:val="21"/>
          <w:szCs w:val="21"/>
        </w:rPr>
        <w:t>节严重者，发包人有权终止承包人在本合同项下的承包。</w:t>
      </w:r>
    </w:p>
    <w:p w14:paraId="5C91049B">
      <w:pPr>
        <w:keepNext w:val="0"/>
        <w:keepLines w:val="0"/>
        <w:pageBreakBefore w:val="0"/>
        <w:widowControl w:val="0"/>
        <w:numPr>
          <w:ilvl w:val="0"/>
          <w:numId w:val="0"/>
        </w:numPr>
        <w:tabs>
          <w:tab w:val="left" w:pos="775"/>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188" w:name="_bookmark165"/>
      <w:bookmarkEnd w:id="188"/>
      <w:bookmarkStart w:id="189" w:name="_bookmark165"/>
      <w:bookmarkEnd w:id="189"/>
      <w:r>
        <w:rPr>
          <w:rFonts w:hint="default" w:ascii="Times New Roman" w:hAnsi="Times New Roman" w:eastAsia="Times New Roman" w:cs="Times New Roman"/>
          <w:w w:val="100"/>
          <w:sz w:val="21"/>
          <w:szCs w:val="21"/>
          <w:lang w:val="zh-CN" w:eastAsia="zh-CN" w:bidi="zh-CN"/>
        </w:rPr>
        <w:t>2.</w:t>
      </w:r>
      <w:r>
        <w:rPr>
          <w:rFonts w:hint="eastAsia" w:ascii="黑体" w:eastAsia="黑体"/>
          <w:spacing w:val="-1"/>
          <w:sz w:val="21"/>
          <w:szCs w:val="21"/>
        </w:rPr>
        <w:t>发包人义务</w:t>
      </w:r>
    </w:p>
    <w:p w14:paraId="5863326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bookmarkStart w:id="190" w:name="_bookmark166"/>
      <w:bookmarkEnd w:id="190"/>
      <w:r>
        <w:rPr>
          <w:rFonts w:ascii="Times New Roman" w:eastAsia="Times New Roman"/>
          <w:sz w:val="21"/>
          <w:szCs w:val="21"/>
        </w:rPr>
        <w:t>2.3</w:t>
      </w:r>
      <w:r>
        <w:rPr>
          <w:rFonts w:ascii="Times New Roman" w:eastAsia="Times New Roman"/>
          <w:spacing w:val="59"/>
          <w:sz w:val="21"/>
          <w:szCs w:val="21"/>
        </w:rPr>
        <w:t xml:space="preserve"> </w:t>
      </w:r>
      <w:r>
        <w:rPr>
          <w:rFonts w:hint="eastAsia" w:ascii="黑体" w:eastAsia="黑体"/>
          <w:sz w:val="21"/>
          <w:szCs w:val="21"/>
        </w:rPr>
        <w:t>提供施工场地</w:t>
      </w:r>
    </w:p>
    <w:p w14:paraId="1468EE1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本款补充：</w:t>
      </w:r>
    </w:p>
    <w:p w14:paraId="09E7641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jc w:val="both"/>
        <w:textAlignment w:val="auto"/>
        <w:rPr>
          <w:sz w:val="21"/>
          <w:szCs w:val="21"/>
        </w:rPr>
      </w:pPr>
      <w:r>
        <w:rPr>
          <w:spacing w:val="-5"/>
          <w:sz w:val="21"/>
          <w:szCs w:val="21"/>
        </w:rPr>
        <w:t>发包人负责办理永久占地的征用及与之有关的拆迁赔偿手续并承担相关费用。承</w:t>
      </w:r>
      <w:r>
        <w:rPr>
          <w:spacing w:val="-11"/>
          <w:sz w:val="21"/>
          <w:szCs w:val="21"/>
        </w:rPr>
        <w:t xml:space="preserve">包人在按第 </w:t>
      </w:r>
      <w:r>
        <w:rPr>
          <w:rFonts w:ascii="Times New Roman" w:eastAsia="Times New Roman"/>
          <w:sz w:val="21"/>
          <w:szCs w:val="21"/>
        </w:rPr>
        <w:t xml:space="preserve">10 </w:t>
      </w:r>
      <w:r>
        <w:rPr>
          <w:spacing w:val="-7"/>
          <w:sz w:val="21"/>
          <w:szCs w:val="21"/>
        </w:rPr>
        <w:t>条规定提交施工进度计划的同时，应向监理人提交一份按施工先后次</w:t>
      </w:r>
    </w:p>
    <w:p w14:paraId="1FB0F12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 xml:space="preserve">序所需的永久占地计划。监理人应在收到此计划后的 </w:t>
      </w:r>
      <w:r>
        <w:rPr>
          <w:rFonts w:ascii="Times New Roman" w:eastAsia="Times New Roman"/>
          <w:sz w:val="21"/>
          <w:szCs w:val="21"/>
        </w:rPr>
        <w:t xml:space="preserve">14 </w:t>
      </w:r>
      <w:r>
        <w:rPr>
          <w:sz w:val="21"/>
          <w:szCs w:val="21"/>
        </w:rPr>
        <w:t>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w:t>
      </w:r>
    </w:p>
    <w:p w14:paraId="53AA93EE">
      <w:pPr>
        <w:keepNext w:val="0"/>
        <w:keepLines w:val="0"/>
        <w:pageBreakBefore w:val="0"/>
        <w:widowControl w:val="0"/>
        <w:numPr>
          <w:ilvl w:val="0"/>
          <w:numId w:val="0"/>
        </w:numPr>
        <w:tabs>
          <w:tab w:val="left" w:pos="775"/>
        </w:tabs>
        <w:kinsoku/>
        <w:wordWrap/>
        <w:overflowPunct/>
        <w:topLinePunct w:val="0"/>
        <w:autoSpaceDE w:val="0"/>
        <w:autoSpaceDN w:val="0"/>
        <w:bidi w:val="0"/>
        <w:adjustRightInd/>
        <w:snapToGrid/>
        <w:spacing w:before="0" w:line="360" w:lineRule="auto"/>
        <w:ind w:leftChars="0" w:right="0" w:rightChars="0" w:firstLine="420" w:firstLineChars="200"/>
        <w:jc w:val="left"/>
        <w:textAlignment w:val="auto"/>
        <w:rPr>
          <w:rFonts w:hint="eastAsia" w:ascii="黑体" w:eastAsia="黑体"/>
          <w:sz w:val="21"/>
          <w:szCs w:val="21"/>
        </w:rPr>
      </w:pPr>
      <w:r>
        <w:rPr>
          <w:rFonts w:ascii="宋体" w:hAnsi="宋体" w:eastAsia="宋体" w:cs="宋体"/>
          <w:sz w:val="21"/>
          <w:szCs w:val="21"/>
          <w:lang w:val="zh-CN" w:eastAsia="zh-CN" w:bidi="zh-CN"/>
        </w:rPr>
        <w:t>由于发包人未能按照本项规定办妥永久占地征用手续，影响承包人及时使用永久占地造成的费用增加和（或）工期延误应由发包人承担。</w:t>
      </w:r>
      <w:bookmarkStart w:id="191" w:name="_bookmark167"/>
      <w:bookmarkEnd w:id="191"/>
      <w:bookmarkStart w:id="192" w:name="_bookmark167"/>
      <w:bookmarkEnd w:id="192"/>
    </w:p>
    <w:p w14:paraId="0C4DE86F">
      <w:pPr>
        <w:keepNext w:val="0"/>
        <w:keepLines w:val="0"/>
        <w:pageBreakBefore w:val="0"/>
        <w:widowControl w:val="0"/>
        <w:numPr>
          <w:ilvl w:val="0"/>
          <w:numId w:val="0"/>
        </w:numPr>
        <w:tabs>
          <w:tab w:val="left" w:pos="775"/>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3.</w:t>
      </w:r>
      <w:r>
        <w:rPr>
          <w:rFonts w:hint="eastAsia" w:ascii="黑体" w:eastAsia="黑体"/>
          <w:sz w:val="21"/>
          <w:szCs w:val="21"/>
        </w:rPr>
        <w:t>监理人</w:t>
      </w:r>
    </w:p>
    <w:p w14:paraId="33B93667">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193" w:name="_bookmark168"/>
      <w:bookmarkEnd w:id="193"/>
      <w:bookmarkStart w:id="194" w:name="_bookmark168"/>
      <w:bookmarkEnd w:id="194"/>
      <w:r>
        <w:rPr>
          <w:rFonts w:hint="default" w:ascii="Times New Roman" w:hAnsi="Times New Roman" w:eastAsia="Times New Roman" w:cs="Times New Roman"/>
          <w:spacing w:val="-1"/>
          <w:w w:val="100"/>
          <w:sz w:val="21"/>
          <w:szCs w:val="21"/>
          <w:lang w:val="zh-CN" w:eastAsia="zh-CN" w:bidi="zh-CN"/>
        </w:rPr>
        <w:t>3.1</w:t>
      </w:r>
      <w:r>
        <w:rPr>
          <w:rFonts w:hint="eastAsia" w:ascii="黑体" w:eastAsia="黑体"/>
          <w:sz w:val="21"/>
          <w:szCs w:val="21"/>
        </w:rPr>
        <w:t>监理人的职责和权力</w:t>
      </w:r>
    </w:p>
    <w:p w14:paraId="3B6BC37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3.1.1 </w:t>
      </w:r>
      <w:r>
        <w:rPr>
          <w:sz w:val="21"/>
          <w:szCs w:val="21"/>
        </w:rPr>
        <w:t>项补充：</w:t>
      </w:r>
    </w:p>
    <w:p w14:paraId="7B55DD8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监理人在行使下列权力前需要经发包人事先批准：</w:t>
      </w:r>
    </w:p>
    <w:p w14:paraId="20F6F74C">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372" w:firstLineChars="200"/>
        <w:jc w:val="left"/>
        <w:textAlignment w:val="auto"/>
        <w:rPr>
          <w:sz w:val="21"/>
          <w:szCs w:val="21"/>
        </w:rPr>
      </w:pPr>
      <w:r>
        <w:rPr>
          <w:rFonts w:hint="default" w:ascii="宋体" w:hAnsi="宋体" w:eastAsia="宋体" w:cs="宋体"/>
          <w:spacing w:val="-12"/>
          <w:w w:val="100"/>
          <w:sz w:val="21"/>
          <w:szCs w:val="21"/>
          <w:lang w:val="zh-CN" w:eastAsia="zh-CN" w:bidi="zh-CN"/>
        </w:rPr>
        <w:t>（1）</w:t>
      </w:r>
      <w:r>
        <w:rPr>
          <w:spacing w:val="-15"/>
          <w:sz w:val="21"/>
          <w:szCs w:val="21"/>
        </w:rPr>
        <w:t xml:space="preserve">根据第 </w:t>
      </w:r>
      <w:r>
        <w:rPr>
          <w:rFonts w:ascii="Times New Roman" w:eastAsia="Times New Roman"/>
          <w:sz w:val="21"/>
          <w:szCs w:val="21"/>
        </w:rPr>
        <w:t xml:space="preserve">4.3 </w:t>
      </w:r>
      <w:r>
        <w:rPr>
          <w:spacing w:val="-4"/>
          <w:sz w:val="21"/>
          <w:szCs w:val="21"/>
        </w:rPr>
        <w:t>款，同意分包本工程的某些非关键性工作或者适合专业化队伍</w:t>
      </w:r>
      <w:r>
        <w:rPr>
          <w:sz w:val="21"/>
          <w:szCs w:val="21"/>
        </w:rPr>
        <w:t>施工的专项工程；</w:t>
      </w:r>
    </w:p>
    <w:p w14:paraId="715E00E9">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372" w:firstLineChars="200"/>
        <w:jc w:val="left"/>
        <w:textAlignment w:val="auto"/>
        <w:rPr>
          <w:sz w:val="21"/>
          <w:szCs w:val="21"/>
        </w:rPr>
      </w:pPr>
      <w:r>
        <w:rPr>
          <w:rFonts w:hint="default" w:ascii="宋体" w:hAnsi="宋体" w:eastAsia="宋体" w:cs="宋体"/>
          <w:spacing w:val="-12"/>
          <w:w w:val="100"/>
          <w:sz w:val="21"/>
          <w:szCs w:val="21"/>
          <w:lang w:val="zh-CN" w:eastAsia="zh-CN" w:bidi="zh-CN"/>
        </w:rPr>
        <w:t>（2）</w:t>
      </w:r>
      <w:r>
        <w:rPr>
          <w:spacing w:val="-15"/>
          <w:sz w:val="21"/>
          <w:szCs w:val="21"/>
        </w:rPr>
        <w:t xml:space="preserve">确定第 </w:t>
      </w:r>
      <w:r>
        <w:rPr>
          <w:rFonts w:ascii="Times New Roman" w:eastAsia="Times New Roman"/>
          <w:spacing w:val="-3"/>
          <w:sz w:val="21"/>
          <w:szCs w:val="21"/>
        </w:rPr>
        <w:t>4.11</w:t>
      </w:r>
      <w:r>
        <w:rPr>
          <w:rFonts w:ascii="Times New Roman" w:eastAsia="Times New Roman"/>
          <w:sz w:val="21"/>
          <w:szCs w:val="21"/>
        </w:rPr>
        <w:t xml:space="preserve"> </w:t>
      </w:r>
      <w:r>
        <w:rPr>
          <w:sz w:val="21"/>
          <w:szCs w:val="21"/>
        </w:rPr>
        <w:t>款下产生的费用增加额；</w:t>
      </w:r>
    </w:p>
    <w:p w14:paraId="3B87C90C">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372" w:firstLineChars="200"/>
        <w:jc w:val="left"/>
        <w:textAlignment w:val="auto"/>
        <w:rPr>
          <w:sz w:val="21"/>
          <w:szCs w:val="21"/>
        </w:rPr>
      </w:pPr>
      <w:r>
        <w:rPr>
          <w:rFonts w:hint="default" w:ascii="宋体" w:hAnsi="宋体" w:eastAsia="宋体" w:cs="宋体"/>
          <w:spacing w:val="-12"/>
          <w:w w:val="100"/>
          <w:sz w:val="21"/>
          <w:szCs w:val="21"/>
          <w:lang w:val="zh-CN" w:eastAsia="zh-CN" w:bidi="zh-CN"/>
        </w:rPr>
        <w:t>（3）</w:t>
      </w:r>
      <w:r>
        <w:rPr>
          <w:spacing w:val="-15"/>
          <w:sz w:val="21"/>
          <w:szCs w:val="21"/>
        </w:rPr>
        <w:t xml:space="preserve">根据第 </w:t>
      </w:r>
      <w:r>
        <w:rPr>
          <w:rFonts w:ascii="Times New Roman" w:eastAsia="Times New Roman"/>
          <w:spacing w:val="-3"/>
          <w:sz w:val="21"/>
          <w:szCs w:val="21"/>
        </w:rPr>
        <w:t>11.1</w:t>
      </w:r>
      <w:r>
        <w:rPr>
          <w:rFonts w:ascii="Times New Roman" w:eastAsia="Times New Roman"/>
          <w:sz w:val="21"/>
          <w:szCs w:val="21"/>
        </w:rPr>
        <w:t xml:space="preserve"> </w:t>
      </w:r>
      <w:r>
        <w:rPr>
          <w:spacing w:val="-17"/>
          <w:sz w:val="21"/>
          <w:szCs w:val="21"/>
        </w:rPr>
        <w:t xml:space="preserve">款、第 </w:t>
      </w:r>
      <w:r>
        <w:rPr>
          <w:rFonts w:ascii="Times New Roman" w:eastAsia="Times New Roman"/>
          <w:sz w:val="21"/>
          <w:szCs w:val="21"/>
        </w:rPr>
        <w:t xml:space="preserve">12.3 </w:t>
      </w:r>
      <w:r>
        <w:rPr>
          <w:spacing w:val="-17"/>
          <w:sz w:val="21"/>
          <w:szCs w:val="21"/>
        </w:rPr>
        <w:t xml:space="preserve">款、第 </w:t>
      </w:r>
      <w:r>
        <w:rPr>
          <w:rFonts w:ascii="Times New Roman" w:eastAsia="Times New Roman"/>
          <w:sz w:val="21"/>
          <w:szCs w:val="21"/>
        </w:rPr>
        <w:t>12.4</w:t>
      </w:r>
      <w:r>
        <w:rPr>
          <w:rFonts w:ascii="Times New Roman" w:eastAsia="Times New Roman"/>
          <w:spacing w:val="1"/>
          <w:sz w:val="21"/>
          <w:szCs w:val="21"/>
        </w:rPr>
        <w:t xml:space="preserve"> </w:t>
      </w:r>
      <w:r>
        <w:rPr>
          <w:spacing w:val="-2"/>
          <w:sz w:val="21"/>
          <w:szCs w:val="21"/>
        </w:rPr>
        <w:t>款发布开工通知、暂停施工指示或复</w:t>
      </w:r>
      <w:r>
        <w:rPr>
          <w:sz w:val="21"/>
          <w:szCs w:val="21"/>
        </w:rPr>
        <w:t>工通知；</w:t>
      </w:r>
    </w:p>
    <w:p w14:paraId="26E2AD50">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372" w:firstLineChars="200"/>
        <w:jc w:val="left"/>
        <w:textAlignment w:val="auto"/>
        <w:rPr>
          <w:sz w:val="21"/>
          <w:szCs w:val="21"/>
        </w:rPr>
      </w:pPr>
      <w:r>
        <w:rPr>
          <w:rFonts w:hint="default" w:ascii="宋体" w:hAnsi="宋体" w:eastAsia="宋体" w:cs="宋体"/>
          <w:spacing w:val="-12"/>
          <w:w w:val="100"/>
          <w:sz w:val="21"/>
          <w:szCs w:val="21"/>
          <w:lang w:val="zh-CN" w:eastAsia="zh-CN" w:bidi="zh-CN"/>
        </w:rPr>
        <w:t>（4）</w:t>
      </w:r>
      <w:r>
        <w:rPr>
          <w:spacing w:val="-15"/>
          <w:sz w:val="21"/>
          <w:szCs w:val="21"/>
        </w:rPr>
        <w:t xml:space="preserve">决定第 </w:t>
      </w:r>
      <w:r>
        <w:rPr>
          <w:rFonts w:ascii="Times New Roman" w:eastAsia="Times New Roman"/>
          <w:spacing w:val="-3"/>
          <w:sz w:val="21"/>
          <w:szCs w:val="21"/>
        </w:rPr>
        <w:t>11.3</w:t>
      </w:r>
      <w:r>
        <w:rPr>
          <w:rFonts w:ascii="Times New Roman" w:eastAsia="Times New Roman"/>
          <w:sz w:val="21"/>
          <w:szCs w:val="21"/>
        </w:rPr>
        <w:t xml:space="preserve"> </w:t>
      </w:r>
      <w:r>
        <w:rPr>
          <w:spacing w:val="-15"/>
          <w:sz w:val="21"/>
          <w:szCs w:val="21"/>
        </w:rPr>
        <w:t xml:space="preserve">款、第 </w:t>
      </w:r>
      <w:r>
        <w:rPr>
          <w:rFonts w:ascii="Times New Roman" w:eastAsia="Times New Roman"/>
          <w:spacing w:val="-3"/>
          <w:sz w:val="21"/>
          <w:szCs w:val="21"/>
        </w:rPr>
        <w:t>11.4</w:t>
      </w:r>
      <w:r>
        <w:rPr>
          <w:rFonts w:ascii="Times New Roman" w:eastAsia="Times New Roman"/>
          <w:sz w:val="21"/>
          <w:szCs w:val="21"/>
        </w:rPr>
        <w:t xml:space="preserve"> </w:t>
      </w:r>
      <w:r>
        <w:rPr>
          <w:sz w:val="21"/>
          <w:szCs w:val="21"/>
        </w:rPr>
        <w:t>款下的工期延长；</w:t>
      </w:r>
    </w:p>
    <w:p w14:paraId="4F9087D3">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372" w:firstLineChars="200"/>
        <w:jc w:val="left"/>
        <w:textAlignment w:val="auto"/>
        <w:rPr>
          <w:sz w:val="21"/>
          <w:szCs w:val="21"/>
        </w:rPr>
      </w:pPr>
      <w:r>
        <w:rPr>
          <w:rFonts w:hint="default" w:ascii="宋体" w:hAnsi="宋体" w:eastAsia="宋体" w:cs="宋体"/>
          <w:spacing w:val="-12"/>
          <w:w w:val="100"/>
          <w:sz w:val="21"/>
          <w:szCs w:val="21"/>
          <w:lang w:val="zh-CN" w:eastAsia="zh-CN" w:bidi="zh-CN"/>
        </w:rPr>
        <w:t>（5）</w:t>
      </w:r>
      <w:r>
        <w:rPr>
          <w:sz w:val="21"/>
          <w:szCs w:val="21"/>
        </w:rPr>
        <w:t>审查批准技术方案或设计的变更；</w:t>
      </w:r>
    </w:p>
    <w:p w14:paraId="5BE02A64">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372" w:firstLineChars="200"/>
        <w:jc w:val="left"/>
        <w:textAlignment w:val="auto"/>
        <w:rPr>
          <w:sz w:val="21"/>
          <w:szCs w:val="21"/>
        </w:rPr>
      </w:pPr>
      <w:r>
        <w:rPr>
          <w:rFonts w:hint="default" w:ascii="宋体" w:hAnsi="宋体" w:eastAsia="宋体" w:cs="宋体"/>
          <w:spacing w:val="-12"/>
          <w:w w:val="100"/>
          <w:sz w:val="21"/>
          <w:szCs w:val="21"/>
          <w:lang w:val="zh-CN" w:eastAsia="zh-CN" w:bidi="zh-CN"/>
        </w:rPr>
        <w:t>（6）</w:t>
      </w:r>
      <w:r>
        <w:rPr>
          <w:spacing w:val="-3"/>
          <w:sz w:val="21"/>
          <w:szCs w:val="21"/>
        </w:rPr>
        <w:t xml:space="preserve">根据第 </w:t>
      </w:r>
      <w:r>
        <w:rPr>
          <w:rFonts w:ascii="Times New Roman" w:eastAsia="Times New Roman"/>
          <w:sz w:val="21"/>
          <w:szCs w:val="21"/>
        </w:rPr>
        <w:t>15.3</w:t>
      </w:r>
      <w:r>
        <w:rPr>
          <w:rFonts w:ascii="Times New Roman" w:eastAsia="Times New Roman"/>
          <w:spacing w:val="49"/>
          <w:sz w:val="21"/>
          <w:szCs w:val="21"/>
        </w:rPr>
        <w:t xml:space="preserve"> </w:t>
      </w:r>
      <w:r>
        <w:rPr>
          <w:spacing w:val="-1"/>
          <w:sz w:val="21"/>
          <w:szCs w:val="21"/>
        </w:rPr>
        <w:t>款发出的变更指示，其单项工程变更或累计变更涉及的金额</w:t>
      </w:r>
      <w:r>
        <w:rPr>
          <w:sz w:val="21"/>
          <w:szCs w:val="21"/>
        </w:rPr>
        <w:t>超过了项目专用合同条款数据表中规定的金额；</w:t>
      </w:r>
    </w:p>
    <w:p w14:paraId="20924B3A">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372" w:firstLineChars="200"/>
        <w:jc w:val="left"/>
        <w:textAlignment w:val="auto"/>
        <w:rPr>
          <w:sz w:val="21"/>
          <w:szCs w:val="21"/>
        </w:rPr>
      </w:pPr>
      <w:r>
        <w:rPr>
          <w:rFonts w:hint="default" w:ascii="宋体" w:hAnsi="宋体" w:eastAsia="宋体" w:cs="宋体"/>
          <w:spacing w:val="-12"/>
          <w:w w:val="100"/>
          <w:sz w:val="21"/>
          <w:szCs w:val="21"/>
          <w:lang w:val="zh-CN" w:eastAsia="zh-CN" w:bidi="zh-CN"/>
        </w:rPr>
        <w:t>（7）</w:t>
      </w:r>
      <w:r>
        <w:rPr>
          <w:spacing w:val="-15"/>
          <w:sz w:val="21"/>
          <w:szCs w:val="21"/>
        </w:rPr>
        <w:t xml:space="preserve">确定第 </w:t>
      </w:r>
      <w:r>
        <w:rPr>
          <w:rFonts w:ascii="Times New Roman" w:eastAsia="Times New Roman"/>
          <w:sz w:val="21"/>
          <w:szCs w:val="21"/>
        </w:rPr>
        <w:t xml:space="preserve">15.4 </w:t>
      </w:r>
      <w:r>
        <w:rPr>
          <w:sz w:val="21"/>
          <w:szCs w:val="21"/>
        </w:rPr>
        <w:t>款下变更工作的单价；</w:t>
      </w:r>
    </w:p>
    <w:p w14:paraId="498699A1">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372" w:firstLineChars="200"/>
        <w:jc w:val="left"/>
        <w:textAlignment w:val="auto"/>
        <w:rPr>
          <w:sz w:val="21"/>
          <w:szCs w:val="21"/>
        </w:rPr>
      </w:pPr>
      <w:r>
        <w:rPr>
          <w:rFonts w:hint="default" w:ascii="宋体" w:hAnsi="宋体" w:eastAsia="宋体" w:cs="宋体"/>
          <w:spacing w:val="-12"/>
          <w:w w:val="100"/>
          <w:sz w:val="21"/>
          <w:szCs w:val="21"/>
          <w:lang w:val="zh-CN" w:eastAsia="zh-CN" w:bidi="zh-CN"/>
        </w:rPr>
        <w:t>（8）</w:t>
      </w:r>
      <w:r>
        <w:rPr>
          <w:spacing w:val="-15"/>
          <w:sz w:val="21"/>
          <w:szCs w:val="21"/>
        </w:rPr>
        <w:t xml:space="preserve">按照第 </w:t>
      </w:r>
      <w:r>
        <w:rPr>
          <w:rFonts w:ascii="Times New Roman" w:eastAsia="Times New Roman"/>
          <w:sz w:val="21"/>
          <w:szCs w:val="21"/>
        </w:rPr>
        <w:t xml:space="preserve">15.6 </w:t>
      </w:r>
      <w:r>
        <w:rPr>
          <w:sz w:val="21"/>
          <w:szCs w:val="21"/>
        </w:rPr>
        <w:t>款决定有关暂列金额的使用；</w:t>
      </w:r>
    </w:p>
    <w:p w14:paraId="6BF33D28">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372" w:firstLineChars="200"/>
        <w:jc w:val="left"/>
        <w:textAlignment w:val="auto"/>
        <w:rPr>
          <w:sz w:val="21"/>
          <w:szCs w:val="21"/>
        </w:rPr>
      </w:pPr>
      <w:r>
        <w:rPr>
          <w:rFonts w:hint="default" w:ascii="宋体" w:hAnsi="宋体" w:eastAsia="宋体" w:cs="宋体"/>
          <w:spacing w:val="-12"/>
          <w:w w:val="100"/>
          <w:sz w:val="21"/>
          <w:szCs w:val="21"/>
          <w:lang w:val="zh-CN" w:eastAsia="zh-CN" w:bidi="zh-CN"/>
        </w:rPr>
        <w:t>（9）</w:t>
      </w:r>
      <w:r>
        <w:rPr>
          <w:spacing w:val="-15"/>
          <w:sz w:val="21"/>
          <w:szCs w:val="21"/>
        </w:rPr>
        <w:t xml:space="preserve">确定第 </w:t>
      </w:r>
      <w:r>
        <w:rPr>
          <w:rFonts w:ascii="Times New Roman" w:eastAsia="Times New Roman"/>
          <w:sz w:val="21"/>
          <w:szCs w:val="21"/>
        </w:rPr>
        <w:t xml:space="preserve">15.8 </w:t>
      </w:r>
      <w:r>
        <w:rPr>
          <w:sz w:val="21"/>
          <w:szCs w:val="21"/>
        </w:rPr>
        <w:t>款下的暂估价金额；</w:t>
      </w:r>
    </w:p>
    <w:p w14:paraId="5EA80D21">
      <w:pPr>
        <w:pStyle w:val="41"/>
        <w:keepNext w:val="0"/>
        <w:keepLines w:val="0"/>
        <w:pageBreakBefore w:val="0"/>
        <w:widowControl w:val="0"/>
        <w:numPr>
          <w:ilvl w:val="2"/>
          <w:numId w:val="0"/>
        </w:numPr>
        <w:tabs>
          <w:tab w:val="left" w:pos="1626"/>
        </w:tabs>
        <w:kinsoku/>
        <w:wordWrap/>
        <w:overflowPunct/>
        <w:topLinePunct w:val="0"/>
        <w:autoSpaceDE w:val="0"/>
        <w:autoSpaceDN w:val="0"/>
        <w:bidi w:val="0"/>
        <w:adjustRightInd/>
        <w:snapToGrid/>
        <w:spacing w:before="0" w:after="0" w:line="360" w:lineRule="auto"/>
        <w:ind w:left="0" w:leftChars="0" w:right="0" w:rightChars="0" w:firstLine="372" w:firstLineChars="200"/>
        <w:jc w:val="left"/>
        <w:textAlignment w:val="auto"/>
        <w:rPr>
          <w:sz w:val="21"/>
          <w:szCs w:val="21"/>
        </w:rPr>
      </w:pPr>
      <w:r>
        <w:rPr>
          <w:rFonts w:hint="default" w:ascii="宋体" w:hAnsi="宋体" w:eastAsia="宋体" w:cs="宋体"/>
          <w:spacing w:val="-12"/>
          <w:w w:val="100"/>
          <w:sz w:val="21"/>
          <w:szCs w:val="21"/>
          <w:lang w:val="zh-CN" w:eastAsia="zh-CN" w:bidi="zh-CN"/>
        </w:rPr>
        <w:t>（10）</w:t>
      </w:r>
      <w:r>
        <w:rPr>
          <w:spacing w:val="-15"/>
          <w:sz w:val="21"/>
          <w:szCs w:val="21"/>
        </w:rPr>
        <w:t xml:space="preserve">确定第 </w:t>
      </w:r>
      <w:r>
        <w:rPr>
          <w:rFonts w:ascii="Times New Roman" w:eastAsia="Times New Roman"/>
          <w:sz w:val="21"/>
          <w:szCs w:val="21"/>
        </w:rPr>
        <w:t xml:space="preserve">23.1 </w:t>
      </w:r>
      <w:r>
        <w:rPr>
          <w:sz w:val="21"/>
          <w:szCs w:val="21"/>
        </w:rPr>
        <w:t>款下的索赔额。</w:t>
      </w:r>
    </w:p>
    <w:p w14:paraId="638AF1D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如果发生紧急情况，监理人认为将造成人员伤亡，或危及本工程或邻近的财产需立即采取行动，监理人有权在未征得发包人的批准的情况下发布处理紧急情况所</w:t>
      </w:r>
      <w:r>
        <w:rPr>
          <w:spacing w:val="-1"/>
          <w:sz w:val="21"/>
          <w:szCs w:val="21"/>
        </w:rPr>
        <w:t xml:space="preserve">必需的指令，承包人应予执行，由此造成的费用增加由监理人按第 </w:t>
      </w:r>
      <w:r>
        <w:rPr>
          <w:rFonts w:ascii="Times New Roman" w:eastAsia="Times New Roman"/>
          <w:sz w:val="21"/>
          <w:szCs w:val="21"/>
        </w:rPr>
        <w:t xml:space="preserve">3.5 </w:t>
      </w:r>
      <w:r>
        <w:rPr>
          <w:spacing w:val="-4"/>
          <w:sz w:val="21"/>
          <w:szCs w:val="21"/>
        </w:rPr>
        <w:t>款商定或确</w:t>
      </w:r>
      <w:r>
        <w:rPr>
          <w:sz w:val="21"/>
          <w:szCs w:val="21"/>
        </w:rPr>
        <w:t>定。</w:t>
      </w:r>
    </w:p>
    <w:p w14:paraId="316A22B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bookmarkStart w:id="195" w:name="_bookmark169"/>
      <w:bookmarkEnd w:id="195"/>
      <w:r>
        <w:rPr>
          <w:rFonts w:ascii="Times New Roman" w:eastAsia="Times New Roman"/>
          <w:sz w:val="21"/>
          <w:szCs w:val="21"/>
        </w:rPr>
        <w:t>3.5</w:t>
      </w:r>
      <w:r>
        <w:rPr>
          <w:rFonts w:ascii="Times New Roman" w:eastAsia="Times New Roman"/>
          <w:spacing w:val="59"/>
          <w:sz w:val="21"/>
          <w:szCs w:val="21"/>
        </w:rPr>
        <w:t xml:space="preserve"> </w:t>
      </w:r>
      <w:r>
        <w:rPr>
          <w:rFonts w:hint="eastAsia" w:ascii="黑体" w:eastAsia="黑体"/>
          <w:sz w:val="21"/>
          <w:szCs w:val="21"/>
        </w:rPr>
        <w:t>商定或确定</w:t>
      </w:r>
    </w:p>
    <w:p w14:paraId="76A8445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3.5.1 </w:t>
      </w:r>
      <w:r>
        <w:rPr>
          <w:sz w:val="21"/>
          <w:szCs w:val="21"/>
        </w:rPr>
        <w:t>项补充：</w:t>
      </w:r>
    </w:p>
    <w:p w14:paraId="6ED9A63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如果这项商定或确定导致费用增加和（或）工期延长，或者涉及确定变更工程的价格，则总监理工程师在发出通知前，应征得发包人的同意。</w:t>
      </w:r>
    </w:p>
    <w:p w14:paraId="5E3EFB25">
      <w:pPr>
        <w:keepNext w:val="0"/>
        <w:keepLines w:val="0"/>
        <w:pageBreakBefore w:val="0"/>
        <w:widowControl w:val="0"/>
        <w:numPr>
          <w:ilvl w:val="0"/>
          <w:numId w:val="0"/>
        </w:numPr>
        <w:tabs>
          <w:tab w:val="left" w:pos="775"/>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ascii="黑体"/>
          <w:sz w:val="21"/>
          <w:szCs w:val="21"/>
        </w:rPr>
      </w:pPr>
      <w:bookmarkStart w:id="196" w:name="_bookmark170"/>
      <w:bookmarkEnd w:id="196"/>
      <w:bookmarkStart w:id="197" w:name="_bookmark170"/>
      <w:bookmarkEnd w:id="197"/>
      <w:r>
        <w:rPr>
          <w:rFonts w:hint="default" w:ascii="Times New Roman" w:hAnsi="Times New Roman" w:eastAsia="Times New Roman" w:cs="Times New Roman"/>
          <w:w w:val="100"/>
          <w:sz w:val="21"/>
          <w:szCs w:val="21"/>
          <w:lang w:val="zh-CN" w:eastAsia="zh-CN" w:bidi="zh-CN"/>
        </w:rPr>
        <w:t>4.</w:t>
      </w:r>
      <w:r>
        <w:rPr>
          <w:rFonts w:hint="eastAsia" w:ascii="黑体" w:eastAsia="黑体"/>
          <w:sz w:val="21"/>
          <w:szCs w:val="21"/>
        </w:rPr>
        <w:t>承包人</w:t>
      </w:r>
    </w:p>
    <w:p w14:paraId="4D1029BA">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198" w:name="_bookmark171"/>
      <w:bookmarkEnd w:id="198"/>
      <w:bookmarkStart w:id="199" w:name="_bookmark171"/>
      <w:bookmarkEnd w:id="199"/>
      <w:r>
        <w:rPr>
          <w:rFonts w:hint="default" w:ascii="Times New Roman" w:hAnsi="Times New Roman" w:eastAsia="Times New Roman" w:cs="Times New Roman"/>
          <w:spacing w:val="-1"/>
          <w:w w:val="100"/>
          <w:sz w:val="21"/>
          <w:szCs w:val="21"/>
          <w:lang w:val="zh-CN" w:eastAsia="zh-CN" w:bidi="zh-CN"/>
        </w:rPr>
        <w:t>4.1</w:t>
      </w:r>
      <w:r>
        <w:rPr>
          <w:rFonts w:hint="eastAsia" w:ascii="黑体" w:eastAsia="黑体"/>
          <w:sz w:val="21"/>
          <w:szCs w:val="21"/>
        </w:rPr>
        <w:t>承包人的一般义务</w:t>
      </w:r>
    </w:p>
    <w:p w14:paraId="62DD99D9">
      <w:pPr>
        <w:pStyle w:val="41"/>
        <w:keepNext w:val="0"/>
        <w:keepLines w:val="0"/>
        <w:pageBreakBefore w:val="0"/>
        <w:widowControl w:val="0"/>
        <w:numPr>
          <w:ilvl w:val="2"/>
          <w:numId w:val="0"/>
        </w:numPr>
        <w:tabs>
          <w:tab w:val="left" w:pos="149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4.1.9</w:t>
      </w:r>
      <w:r>
        <w:rPr>
          <w:rFonts w:hint="eastAsia" w:ascii="黑体" w:eastAsia="黑体"/>
          <w:sz w:val="21"/>
          <w:szCs w:val="21"/>
        </w:rPr>
        <w:t>工程的维护和照管</w:t>
      </w:r>
    </w:p>
    <w:p w14:paraId="0384A36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本项细化为：</w:t>
      </w:r>
    </w:p>
    <w:p w14:paraId="6BB79230">
      <w:pPr>
        <w:pStyle w:val="41"/>
        <w:keepNext w:val="0"/>
        <w:keepLines w:val="0"/>
        <w:pageBreakBefore w:val="0"/>
        <w:widowControl w:val="0"/>
        <w:numPr>
          <w:ilvl w:val="0"/>
          <w:numId w:val="0"/>
        </w:numPr>
        <w:tabs>
          <w:tab w:val="left" w:pos="1417"/>
        </w:tabs>
        <w:kinsoku/>
        <w:wordWrap/>
        <w:overflowPunct/>
        <w:topLinePunct w:val="0"/>
        <w:autoSpaceDE w:val="0"/>
        <w:autoSpaceDN w:val="0"/>
        <w:bidi w:val="0"/>
        <w:adjustRightInd/>
        <w:snapToGrid/>
        <w:spacing w:before="0" w:after="0" w:line="360" w:lineRule="auto"/>
        <w:ind w:left="0" w:leftChars="0" w:right="0" w:rightChars="0" w:firstLine="360" w:firstLineChars="200"/>
        <w:jc w:val="both"/>
        <w:textAlignment w:val="auto"/>
        <w:rPr>
          <w:sz w:val="21"/>
          <w:szCs w:val="21"/>
        </w:rPr>
      </w:pPr>
      <w:r>
        <w:rPr>
          <w:rFonts w:hint="default" w:ascii="宋体" w:hAnsi="宋体" w:eastAsia="宋体" w:cs="宋体"/>
          <w:spacing w:val="-15"/>
          <w:w w:val="100"/>
          <w:sz w:val="21"/>
          <w:szCs w:val="21"/>
          <w:lang w:val="zh-CN" w:eastAsia="zh-CN" w:bidi="zh-CN"/>
        </w:rPr>
        <w:t>（1）</w:t>
      </w:r>
      <w:r>
        <w:rPr>
          <w:spacing w:val="-1"/>
          <w:sz w:val="21"/>
          <w:szCs w:val="21"/>
        </w:rPr>
        <w:t>交工验收证书颁发前，承包人应负责照管和维护工程及将用于或安装在本</w:t>
      </w:r>
      <w:r>
        <w:rPr>
          <w:sz w:val="21"/>
          <w:szCs w:val="21"/>
        </w:rPr>
        <w:t>工程中的材料、设备。交工验收证书颁发时尚有部分未交工工程的，承包人还应负</w:t>
      </w:r>
      <w:r>
        <w:rPr>
          <w:spacing w:val="-1"/>
          <w:sz w:val="21"/>
          <w:szCs w:val="21"/>
        </w:rPr>
        <w:t>责该未交工工程、材料、设备的照管和维护工作，直至交工后移交给发包人为止。</w:t>
      </w:r>
    </w:p>
    <w:p w14:paraId="5BAF84A7">
      <w:pPr>
        <w:pStyle w:val="41"/>
        <w:keepNext w:val="0"/>
        <w:keepLines w:val="0"/>
        <w:pageBreakBefore w:val="0"/>
        <w:widowControl w:val="0"/>
        <w:numPr>
          <w:ilvl w:val="0"/>
          <w:numId w:val="0"/>
        </w:numPr>
        <w:tabs>
          <w:tab w:val="left" w:pos="1417"/>
        </w:tabs>
        <w:kinsoku/>
        <w:wordWrap/>
        <w:overflowPunct/>
        <w:topLinePunct w:val="0"/>
        <w:autoSpaceDE w:val="0"/>
        <w:autoSpaceDN w:val="0"/>
        <w:bidi w:val="0"/>
        <w:adjustRightInd/>
        <w:snapToGrid/>
        <w:spacing w:before="0" w:after="0" w:line="360" w:lineRule="auto"/>
        <w:ind w:left="0" w:leftChars="0" w:right="0" w:rightChars="0" w:firstLine="360" w:firstLineChars="200"/>
        <w:jc w:val="both"/>
        <w:textAlignment w:val="auto"/>
        <w:rPr>
          <w:sz w:val="21"/>
          <w:szCs w:val="21"/>
        </w:rPr>
      </w:pPr>
      <w:r>
        <w:rPr>
          <w:rFonts w:hint="default" w:ascii="宋体" w:hAnsi="宋体" w:eastAsia="宋体" w:cs="宋体"/>
          <w:spacing w:val="-15"/>
          <w:w w:val="100"/>
          <w:sz w:val="21"/>
          <w:szCs w:val="21"/>
          <w:lang w:val="zh-CN" w:eastAsia="zh-CN" w:bidi="zh-CN"/>
        </w:rPr>
        <w:t>（2）</w:t>
      </w:r>
      <w:r>
        <w:rPr>
          <w:spacing w:val="-1"/>
          <w:sz w:val="21"/>
          <w:szCs w:val="21"/>
        </w:rPr>
        <w:t>在承包人负责照管与维护期间，如果本工程或材料、设备等发生损失或损</w:t>
      </w:r>
      <w:r>
        <w:rPr>
          <w:sz w:val="21"/>
          <w:szCs w:val="21"/>
        </w:rPr>
        <w:t>害，除不可抗力原因之外，承包人均应自费弥补，并达到合同要求。承包人还应对</w:t>
      </w:r>
      <w:r>
        <w:rPr>
          <w:spacing w:val="-21"/>
          <w:sz w:val="21"/>
          <w:szCs w:val="21"/>
        </w:rPr>
        <w:t xml:space="preserve">按第 </w:t>
      </w:r>
      <w:r>
        <w:rPr>
          <w:rFonts w:ascii="Times New Roman" w:eastAsia="Times New Roman"/>
          <w:sz w:val="21"/>
          <w:szCs w:val="21"/>
        </w:rPr>
        <w:t xml:space="preserve">19 </w:t>
      </w:r>
      <w:r>
        <w:rPr>
          <w:sz w:val="21"/>
          <w:szCs w:val="21"/>
        </w:rPr>
        <w:t>条规定而实施作业过程中由承包人造成的对工程的任何损失或损害负责。</w:t>
      </w:r>
    </w:p>
    <w:p w14:paraId="1E07179A">
      <w:pPr>
        <w:pStyle w:val="41"/>
        <w:keepNext w:val="0"/>
        <w:keepLines w:val="0"/>
        <w:pageBreakBefore w:val="0"/>
        <w:widowControl w:val="0"/>
        <w:numPr>
          <w:ilvl w:val="2"/>
          <w:numId w:val="0"/>
        </w:numPr>
        <w:tabs>
          <w:tab w:val="left" w:pos="161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4.1.10</w:t>
      </w:r>
      <w:r>
        <w:rPr>
          <w:rFonts w:hint="eastAsia" w:ascii="黑体" w:eastAsia="黑体"/>
          <w:sz w:val="21"/>
          <w:szCs w:val="21"/>
        </w:rPr>
        <w:t>其他义务</w:t>
      </w:r>
    </w:p>
    <w:p w14:paraId="21B44C1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本项细化为：</w:t>
      </w:r>
    </w:p>
    <w:p w14:paraId="7B40E337">
      <w:pPr>
        <w:pStyle w:val="41"/>
        <w:keepNext w:val="0"/>
        <w:keepLines w:val="0"/>
        <w:pageBreakBefore w:val="0"/>
        <w:widowControl w:val="0"/>
        <w:numPr>
          <w:ilvl w:val="0"/>
          <w:numId w:val="0"/>
        </w:numPr>
        <w:tabs>
          <w:tab w:val="left" w:pos="149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（1）</w:t>
      </w:r>
      <w:r>
        <w:rPr>
          <w:spacing w:val="-5"/>
          <w:sz w:val="21"/>
          <w:szCs w:val="21"/>
        </w:rPr>
        <w:t>临时占地由承包人向当地政府土地管理部门申请，并办理租用手续，承包</w:t>
      </w:r>
      <w:r>
        <w:rPr>
          <w:sz w:val="21"/>
          <w:szCs w:val="21"/>
        </w:rPr>
        <w:t>人按有关规定直接支付其费用，发包人对此将予以协调。</w:t>
      </w:r>
    </w:p>
    <w:p w14:paraId="4EDB058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6" w:firstLineChars="200"/>
        <w:textAlignment w:val="auto"/>
        <w:rPr>
          <w:sz w:val="21"/>
          <w:szCs w:val="21"/>
        </w:rPr>
      </w:pPr>
      <w:r>
        <w:rPr>
          <w:spacing w:val="-1"/>
          <w:sz w:val="21"/>
          <w:szCs w:val="21"/>
        </w:rPr>
        <w:t>临时占地范围包括承包人驻地的办公室、食堂、宿舍、道路和机械设备停放场、</w:t>
      </w:r>
      <w:r>
        <w:rPr>
          <w:sz w:val="21"/>
          <w:szCs w:val="21"/>
        </w:rPr>
        <w:t>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w:t>
      </w:r>
      <w:r>
        <w:rPr>
          <w:spacing w:val="-7"/>
          <w:sz w:val="21"/>
          <w:szCs w:val="21"/>
        </w:rPr>
        <w:t>临时占地数量、时间及因此而发生的协调、租用、复耕、地面附着物</w:t>
      </w:r>
      <w:r>
        <w:rPr>
          <w:sz w:val="21"/>
          <w:szCs w:val="21"/>
        </w:rPr>
        <w:t>（</w:t>
      </w:r>
      <w:r>
        <w:rPr>
          <w:spacing w:val="-6"/>
          <w:sz w:val="21"/>
          <w:szCs w:val="21"/>
        </w:rPr>
        <w:t>电力、电信、</w:t>
      </w:r>
      <w:r>
        <w:rPr>
          <w:sz w:val="21"/>
          <w:szCs w:val="21"/>
        </w:rPr>
        <w:t>房屋、坟墓除外）的拆迁补偿等相关费用。除项目专用合同条款另有约定外，临时</w:t>
      </w:r>
      <w:r>
        <w:rPr>
          <w:spacing w:val="-3"/>
          <w:sz w:val="21"/>
          <w:szCs w:val="21"/>
        </w:rPr>
        <w:t xml:space="preserve">占地的租地费用实行总额包干，列入工程量清单第 </w:t>
      </w:r>
      <w:r>
        <w:rPr>
          <w:rFonts w:ascii="Times New Roman" w:hAnsi="Times New Roman" w:eastAsia="Times New Roman"/>
          <w:sz w:val="21"/>
          <w:szCs w:val="21"/>
        </w:rPr>
        <w:t xml:space="preserve">100 </w:t>
      </w:r>
      <w:r>
        <w:rPr>
          <w:sz w:val="21"/>
          <w:szCs w:val="21"/>
        </w:rPr>
        <w:t>章中由承包人按总额报价。</w:t>
      </w:r>
    </w:p>
    <w:p w14:paraId="32B68BE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76" w:firstLineChars="200"/>
        <w:jc w:val="both"/>
        <w:textAlignment w:val="auto"/>
        <w:rPr>
          <w:sz w:val="21"/>
          <w:szCs w:val="21"/>
        </w:rPr>
      </w:pPr>
      <w:r>
        <w:rPr>
          <w:spacing w:val="-11"/>
          <w:sz w:val="21"/>
          <w:szCs w:val="21"/>
        </w:rPr>
        <w:t>临时占地退还前，承包人应自费恢复到临时占地使用前的状况。如因承包人撤离</w:t>
      </w:r>
      <w:r>
        <w:rPr>
          <w:sz w:val="21"/>
          <w:szCs w:val="21"/>
        </w:rPr>
        <w:t>后未按要求对临时占地进行恢复或虽进行了恢复但未达到使用标准的，将由发包人委托第三方对其恢复，所发生的费用将从应付给承包人的任何款项内扣除。</w:t>
      </w:r>
    </w:p>
    <w:p w14:paraId="5901FDB5">
      <w:pPr>
        <w:pStyle w:val="41"/>
        <w:keepNext w:val="0"/>
        <w:keepLines w:val="0"/>
        <w:pageBreakBefore w:val="0"/>
        <w:widowControl w:val="0"/>
        <w:numPr>
          <w:ilvl w:val="0"/>
          <w:numId w:val="0"/>
        </w:numPr>
        <w:tabs>
          <w:tab w:val="left" w:pos="1417"/>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宋体" w:hAnsi="宋体" w:eastAsia="宋体" w:cs="宋体"/>
          <w:w w:val="100"/>
          <w:sz w:val="21"/>
          <w:szCs w:val="21"/>
          <w:lang w:val="zh-CN" w:eastAsia="zh-CN" w:bidi="zh-CN"/>
        </w:rPr>
        <w:t>（2）</w:t>
      </w:r>
      <w:r>
        <w:rPr>
          <w:spacing w:val="-1"/>
          <w:sz w:val="21"/>
          <w:szCs w:val="21"/>
        </w:rPr>
        <w:t>除项目专用合同条款另有约定外，承包人应承担并支付为获得本合同工程</w:t>
      </w:r>
      <w:r>
        <w:rPr>
          <w:sz w:val="21"/>
          <w:szCs w:val="21"/>
        </w:rPr>
        <w:t>所需的石料、砂、砾石、黏土或其他当地材料等所发生的料场使用费及其他开支或补偿费。发包人应尽可能协助承包人办理料场租用手续及解决使用过程中的有关问题。</w:t>
      </w:r>
    </w:p>
    <w:p w14:paraId="5608C491">
      <w:pPr>
        <w:pStyle w:val="41"/>
        <w:keepNext w:val="0"/>
        <w:keepLines w:val="0"/>
        <w:pageBreakBefore w:val="0"/>
        <w:widowControl w:val="0"/>
        <w:numPr>
          <w:ilvl w:val="0"/>
          <w:numId w:val="0"/>
        </w:numPr>
        <w:tabs>
          <w:tab w:val="left" w:pos="1417"/>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宋体" w:hAnsi="宋体" w:eastAsia="宋体" w:cs="宋体"/>
          <w:w w:val="100"/>
          <w:sz w:val="21"/>
          <w:szCs w:val="21"/>
          <w:lang w:val="zh-CN" w:eastAsia="zh-CN" w:bidi="zh-CN"/>
        </w:rPr>
        <w:t>（3）</w:t>
      </w:r>
      <w:r>
        <w:rPr>
          <w:spacing w:val="-1"/>
          <w:sz w:val="21"/>
          <w:szCs w:val="21"/>
        </w:rPr>
        <w:t>承包人应严格遵守国家有关解决拖欠工程款和民工工资的法律、法规，及</w:t>
      </w:r>
      <w:r>
        <w:rPr>
          <w:sz w:val="21"/>
          <w:szCs w:val="21"/>
        </w:rPr>
        <w:t>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62A84D6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工资支付表应如实记录支付单位、支付时间、支付对象、支付数额、支付对象的身份证号和签字等信息。民工花名册和工资支付表应报监理人备查。</w:t>
      </w:r>
    </w:p>
    <w:p w14:paraId="2A9D7A67">
      <w:pPr>
        <w:pStyle w:val="41"/>
        <w:keepNext w:val="0"/>
        <w:keepLines w:val="0"/>
        <w:pageBreakBefore w:val="0"/>
        <w:widowControl w:val="0"/>
        <w:numPr>
          <w:ilvl w:val="0"/>
          <w:numId w:val="0"/>
        </w:numPr>
        <w:tabs>
          <w:tab w:val="left" w:pos="1417"/>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宋体" w:hAnsi="宋体" w:eastAsia="宋体" w:cs="宋体"/>
          <w:w w:val="100"/>
          <w:sz w:val="21"/>
          <w:szCs w:val="21"/>
          <w:lang w:val="zh-CN" w:eastAsia="zh-CN" w:bidi="zh-CN"/>
        </w:rPr>
        <w:t>（4）</w:t>
      </w:r>
      <w:r>
        <w:rPr>
          <w:spacing w:val="-1"/>
          <w:sz w:val="21"/>
          <w:szCs w:val="21"/>
        </w:rPr>
        <w:t>承包人应分解工程价款中的人工费用，在工程项目所在地银行开设民工工</w:t>
      </w:r>
      <w:r>
        <w:rPr>
          <w:sz w:val="21"/>
          <w:szCs w:val="21"/>
        </w:rPr>
        <w:t>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172E0C8C">
      <w:pPr>
        <w:pStyle w:val="41"/>
        <w:keepNext w:val="0"/>
        <w:keepLines w:val="0"/>
        <w:pageBreakBefore w:val="0"/>
        <w:widowControl w:val="0"/>
        <w:numPr>
          <w:ilvl w:val="0"/>
          <w:numId w:val="0"/>
        </w:numPr>
        <w:tabs>
          <w:tab w:val="left" w:pos="1417"/>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宋体" w:hAnsi="宋体" w:eastAsia="宋体" w:cs="宋体"/>
          <w:w w:val="100"/>
          <w:sz w:val="21"/>
          <w:szCs w:val="21"/>
          <w:lang w:val="zh-CN" w:eastAsia="zh-CN" w:bidi="zh-CN"/>
        </w:rPr>
        <w:t>（5）</w:t>
      </w:r>
      <w:r>
        <w:rPr>
          <w:spacing w:val="-1"/>
          <w:sz w:val="21"/>
          <w:szCs w:val="21"/>
        </w:rPr>
        <w:t>承包人应严格执行招标文件技术规范对施工标准化提出的具体要求，结合</w:t>
      </w:r>
      <w:r>
        <w:rPr>
          <w:sz w:val="21"/>
          <w:szCs w:val="21"/>
        </w:rPr>
        <w:t>本单位施工能力和技术优势，积极采取有利于标准化施工的组织方式和工艺流程， 加强工地建设、工艺控制、人员管理和内业资料管理，强化对施工一线操作人员的</w:t>
      </w:r>
      <w:r>
        <w:rPr>
          <w:spacing w:val="-2"/>
          <w:sz w:val="21"/>
          <w:szCs w:val="21"/>
        </w:rPr>
        <w:t xml:space="preserve">培训，改善职工生产生活条件，与此相关的费用承包人应列入工程量清单第 </w:t>
      </w:r>
      <w:r>
        <w:rPr>
          <w:rFonts w:ascii="Times New Roman" w:eastAsia="Times New Roman"/>
          <w:sz w:val="21"/>
          <w:szCs w:val="21"/>
        </w:rPr>
        <w:t>100</w:t>
      </w:r>
      <w:r>
        <w:rPr>
          <w:rFonts w:ascii="Times New Roman" w:eastAsia="Times New Roman"/>
          <w:spacing w:val="16"/>
          <w:sz w:val="21"/>
          <w:szCs w:val="21"/>
        </w:rPr>
        <w:t xml:space="preserve"> </w:t>
      </w:r>
      <w:r>
        <w:rPr>
          <w:spacing w:val="-12"/>
          <w:sz w:val="21"/>
          <w:szCs w:val="21"/>
        </w:rPr>
        <w:t>章</w:t>
      </w:r>
      <w:r>
        <w:rPr>
          <w:sz w:val="21"/>
          <w:szCs w:val="21"/>
        </w:rPr>
        <w:t>中。</w:t>
      </w:r>
    </w:p>
    <w:p w14:paraId="41FAE403">
      <w:pPr>
        <w:pStyle w:val="41"/>
        <w:keepNext w:val="0"/>
        <w:keepLines w:val="0"/>
        <w:pageBreakBefore w:val="0"/>
        <w:widowControl w:val="0"/>
        <w:numPr>
          <w:ilvl w:val="0"/>
          <w:numId w:val="0"/>
        </w:numPr>
        <w:tabs>
          <w:tab w:val="left" w:pos="141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（6）</w:t>
      </w:r>
      <w:r>
        <w:rPr>
          <w:sz w:val="21"/>
          <w:szCs w:val="21"/>
        </w:rPr>
        <w:t>承包人应履行项目专用合同条款约定的其他义务。</w:t>
      </w:r>
    </w:p>
    <w:p w14:paraId="2398D436">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00" w:name="_bookmark172"/>
      <w:bookmarkEnd w:id="200"/>
      <w:bookmarkStart w:id="201" w:name="_bookmark172"/>
      <w:bookmarkEnd w:id="201"/>
      <w:r>
        <w:rPr>
          <w:rFonts w:hint="default" w:ascii="Times New Roman" w:hAnsi="Times New Roman" w:eastAsia="Times New Roman" w:cs="Times New Roman"/>
          <w:spacing w:val="-1"/>
          <w:w w:val="100"/>
          <w:sz w:val="21"/>
          <w:szCs w:val="21"/>
          <w:lang w:val="zh-CN" w:eastAsia="zh-CN" w:bidi="zh-CN"/>
        </w:rPr>
        <w:t>4.2</w:t>
      </w:r>
      <w:r>
        <w:rPr>
          <w:rFonts w:hint="eastAsia" w:ascii="黑体" w:eastAsia="黑体"/>
          <w:sz w:val="21"/>
          <w:szCs w:val="21"/>
        </w:rPr>
        <w:t>履约保证金</w:t>
      </w:r>
    </w:p>
    <w:p w14:paraId="2BA801D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本款细化为：</w:t>
      </w:r>
    </w:p>
    <w:p w14:paraId="5DBEEE6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承包人应保证其履约保证金在发包人签发交工验收证书且承包人按照合同约定</w:t>
      </w:r>
      <w:r>
        <w:rPr>
          <w:spacing w:val="-9"/>
          <w:sz w:val="21"/>
          <w:szCs w:val="21"/>
        </w:rPr>
        <w:t xml:space="preserve">缴纳质量保证金前一直有效。发包人应在收到承包人缴纳的质量保证金后 </w:t>
      </w:r>
      <w:r>
        <w:rPr>
          <w:rFonts w:ascii="Times New Roman" w:eastAsia="Times New Roman"/>
          <w:sz w:val="21"/>
          <w:szCs w:val="21"/>
        </w:rPr>
        <w:t xml:space="preserve">28 </w:t>
      </w:r>
      <w:r>
        <w:rPr>
          <w:spacing w:val="-6"/>
          <w:sz w:val="21"/>
          <w:szCs w:val="21"/>
        </w:rPr>
        <w:t>天内将</w:t>
      </w:r>
      <w:r>
        <w:rPr>
          <w:sz w:val="21"/>
          <w:szCs w:val="21"/>
        </w:rPr>
        <w:t>履约保证金退还给承包人。</w:t>
      </w:r>
    </w:p>
    <w:p w14:paraId="7CBD4FE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承包人拒绝按照本合同约定缴纳质量保证金的，发包人有权从交工付款证书中扣留相应金额作为质量保证金，或者直接将履约保证金金额用于保证承包人在缺陷责任期内履行缺陷修复义务。</w:t>
      </w:r>
    </w:p>
    <w:p w14:paraId="11FAE408">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02" w:name="_bookmark173"/>
      <w:bookmarkEnd w:id="202"/>
      <w:bookmarkStart w:id="203" w:name="_bookmark173"/>
      <w:bookmarkEnd w:id="203"/>
      <w:r>
        <w:rPr>
          <w:rFonts w:hint="default" w:ascii="Times New Roman" w:hAnsi="Times New Roman" w:eastAsia="Times New Roman" w:cs="Times New Roman"/>
          <w:spacing w:val="-1"/>
          <w:w w:val="100"/>
          <w:sz w:val="21"/>
          <w:szCs w:val="21"/>
          <w:lang w:val="zh-CN" w:eastAsia="zh-CN" w:bidi="zh-CN"/>
        </w:rPr>
        <w:t>4.3</w:t>
      </w:r>
      <w:r>
        <w:rPr>
          <w:rFonts w:hint="eastAsia" w:ascii="黑体" w:eastAsia="黑体"/>
          <w:sz w:val="21"/>
          <w:szCs w:val="21"/>
        </w:rPr>
        <w:t>分包</w:t>
      </w:r>
    </w:p>
    <w:p w14:paraId="78B79CD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4.3.2 </w:t>
      </w:r>
      <w:r>
        <w:rPr>
          <w:sz w:val="21"/>
          <w:szCs w:val="21"/>
        </w:rPr>
        <w:t xml:space="preserve">项～第 </w:t>
      </w:r>
      <w:r>
        <w:rPr>
          <w:rFonts w:ascii="Times New Roman" w:eastAsia="Times New Roman"/>
          <w:sz w:val="21"/>
          <w:szCs w:val="21"/>
        </w:rPr>
        <w:t xml:space="preserve">4.3.4 </w:t>
      </w:r>
      <w:r>
        <w:rPr>
          <w:sz w:val="21"/>
          <w:szCs w:val="21"/>
        </w:rPr>
        <w:t>项细化为：</w:t>
      </w:r>
    </w:p>
    <w:p w14:paraId="53529B78">
      <w:pPr>
        <w:pStyle w:val="41"/>
        <w:keepNext w:val="0"/>
        <w:keepLines w:val="0"/>
        <w:pageBreakBefore w:val="0"/>
        <w:widowControl w:val="0"/>
        <w:numPr>
          <w:ilvl w:val="0"/>
          <w:numId w:val="0"/>
        </w:numPr>
        <w:tabs>
          <w:tab w:val="left" w:pos="1505"/>
        </w:tabs>
        <w:kinsoku/>
        <w:wordWrap/>
        <w:overflowPunct/>
        <w:topLinePunct w:val="0"/>
        <w:autoSpaceDE w:val="0"/>
        <w:autoSpaceDN w:val="0"/>
        <w:bidi w:val="0"/>
        <w:adjustRightInd/>
        <w:snapToGrid/>
        <w:spacing w:before="0" w:after="0" w:line="360" w:lineRule="auto"/>
        <w:ind w:leftChars="0" w:right="0" w:rightChars="0" w:firstLine="396" w:firstLineChars="200"/>
        <w:jc w:val="left"/>
        <w:textAlignment w:val="auto"/>
        <w:rPr>
          <w:sz w:val="21"/>
          <w:szCs w:val="21"/>
        </w:rPr>
      </w:pPr>
      <w:r>
        <w:rPr>
          <w:rFonts w:hint="eastAsia"/>
          <w:spacing w:val="-6"/>
          <w:sz w:val="21"/>
          <w:szCs w:val="21"/>
          <w:lang w:val="en-US" w:eastAsia="zh-CN"/>
        </w:rPr>
        <w:t>4.3.2</w:t>
      </w:r>
      <w:r>
        <w:rPr>
          <w:spacing w:val="-6"/>
          <w:sz w:val="21"/>
          <w:szCs w:val="21"/>
        </w:rPr>
        <w:t>承包人不得将工程关键性工作分包给第三人。承包人可将</w:t>
      </w:r>
      <w:r>
        <w:rPr>
          <w:sz w:val="21"/>
          <w:szCs w:val="21"/>
        </w:rPr>
        <w:t>工程的其他部分或工作分包给第三人。分包包括专业分包和劳务分包。</w:t>
      </w:r>
    </w:p>
    <w:p w14:paraId="752B4A65">
      <w:pPr>
        <w:pStyle w:val="41"/>
        <w:keepNext w:val="0"/>
        <w:keepLines w:val="0"/>
        <w:pageBreakBefore w:val="0"/>
        <w:widowControl w:val="0"/>
        <w:numPr>
          <w:ilvl w:val="0"/>
          <w:numId w:val="0"/>
        </w:numPr>
        <w:tabs>
          <w:tab w:val="left" w:pos="1505"/>
        </w:tabs>
        <w:kinsoku/>
        <w:wordWrap/>
        <w:overflowPunct/>
        <w:topLinePunct w:val="0"/>
        <w:autoSpaceDE w:val="0"/>
        <w:autoSpaceDN w:val="0"/>
        <w:bidi w:val="0"/>
        <w:adjustRightInd/>
        <w:snapToGrid/>
        <w:spacing w:before="0" w:after="0" w:line="360" w:lineRule="auto"/>
        <w:ind w:leftChars="200" w:right="0" w:rightChars="0"/>
        <w:jc w:val="left"/>
        <w:textAlignment w:val="auto"/>
        <w:rPr>
          <w:sz w:val="21"/>
          <w:szCs w:val="21"/>
        </w:rPr>
      </w:pPr>
      <w:r>
        <w:rPr>
          <w:rFonts w:hint="eastAsia"/>
          <w:sz w:val="21"/>
          <w:szCs w:val="21"/>
          <w:lang w:val="en-US" w:eastAsia="zh-CN"/>
        </w:rPr>
        <w:t>4.3.3</w:t>
      </w:r>
      <w:r>
        <w:rPr>
          <w:sz w:val="21"/>
          <w:szCs w:val="21"/>
        </w:rPr>
        <w:t>专业分包</w:t>
      </w:r>
    </w:p>
    <w:p w14:paraId="0BDDB0F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在工程施工过程中，承包人进行专业分包必须遵守以下规定：</w:t>
      </w:r>
    </w:p>
    <w:p w14:paraId="383E2E2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rFonts w:hint="eastAsia"/>
          <w:sz w:val="21"/>
          <w:szCs w:val="21"/>
          <w:lang w:eastAsia="zh-CN"/>
        </w:rPr>
        <w:t>（</w:t>
      </w:r>
      <w:r>
        <w:rPr>
          <w:rFonts w:hint="eastAsia"/>
          <w:sz w:val="21"/>
          <w:szCs w:val="21"/>
          <w:lang w:val="en-US" w:eastAsia="zh-CN"/>
        </w:rPr>
        <w:t>1</w:t>
      </w:r>
      <w:r>
        <w:rPr>
          <w:rFonts w:hint="eastAsia"/>
          <w:sz w:val="21"/>
          <w:szCs w:val="21"/>
          <w:lang w:eastAsia="zh-CN"/>
        </w:rPr>
        <w:t>）</w:t>
      </w:r>
      <w:r>
        <w:rPr>
          <w:sz w:val="21"/>
          <w:szCs w:val="21"/>
        </w:rPr>
        <w:t>允许专业分包的工程范围仅限于非关键性工程或者适合专业化队伍施工</w:t>
      </w:r>
      <w:r>
        <w:rPr>
          <w:spacing w:val="-5"/>
          <w:sz w:val="21"/>
          <w:szCs w:val="21"/>
        </w:rPr>
        <w:t>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61514968">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Chars="0" w:right="0" w:rightChars="0" w:firstLine="408" w:firstLineChars="200"/>
        <w:jc w:val="left"/>
        <w:textAlignment w:val="auto"/>
        <w:rPr>
          <w:sz w:val="21"/>
          <w:szCs w:val="21"/>
        </w:rPr>
      </w:pPr>
      <w:r>
        <w:rPr>
          <w:rFonts w:hint="eastAsia"/>
          <w:spacing w:val="-3"/>
          <w:sz w:val="21"/>
          <w:szCs w:val="21"/>
          <w:lang w:eastAsia="zh-CN"/>
        </w:rPr>
        <w:t>（</w:t>
      </w:r>
      <w:r>
        <w:rPr>
          <w:rFonts w:hint="eastAsia"/>
          <w:spacing w:val="-3"/>
          <w:sz w:val="21"/>
          <w:szCs w:val="21"/>
          <w:lang w:val="en-US" w:eastAsia="zh-CN"/>
        </w:rPr>
        <w:t>2</w:t>
      </w:r>
      <w:r>
        <w:rPr>
          <w:rFonts w:hint="eastAsia"/>
          <w:spacing w:val="-3"/>
          <w:sz w:val="21"/>
          <w:szCs w:val="21"/>
          <w:lang w:eastAsia="zh-CN"/>
        </w:rPr>
        <w:t>）</w:t>
      </w:r>
      <w:r>
        <w:rPr>
          <w:spacing w:val="-3"/>
          <w:sz w:val="21"/>
          <w:szCs w:val="21"/>
        </w:rPr>
        <w:t>专业分包人的资格能力</w:t>
      </w:r>
      <w:r>
        <w:rPr>
          <w:sz w:val="21"/>
          <w:szCs w:val="21"/>
        </w:rPr>
        <w:t>（含安全生产能力</w:t>
      </w:r>
      <w:r>
        <w:rPr>
          <w:spacing w:val="-29"/>
          <w:sz w:val="21"/>
          <w:szCs w:val="21"/>
        </w:rPr>
        <w:t>）</w:t>
      </w:r>
      <w:r>
        <w:rPr>
          <w:sz w:val="21"/>
          <w:szCs w:val="21"/>
        </w:rPr>
        <w:t>应与其分包工程的标准和规</w:t>
      </w:r>
      <w:r>
        <w:rPr>
          <w:spacing w:val="-4"/>
          <w:sz w:val="21"/>
          <w:szCs w:val="21"/>
        </w:rPr>
        <w:t>模相适应，且应当具备如下条件：</w:t>
      </w:r>
    </w:p>
    <w:p w14:paraId="74F61C1A">
      <w:pPr>
        <w:pStyle w:val="41"/>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sz w:val="21"/>
          <w:szCs w:val="21"/>
        </w:rPr>
      </w:pPr>
      <w:r>
        <w:rPr>
          <w:rFonts w:hint="default" w:ascii="Times New Roman" w:hAnsi="Times New Roman" w:eastAsia="Times New Roman" w:cs="Times New Roman"/>
          <w:spacing w:val="-1"/>
          <w:w w:val="100"/>
          <w:sz w:val="21"/>
          <w:szCs w:val="21"/>
          <w:lang w:val="zh-CN" w:eastAsia="zh-CN" w:bidi="zh-CN"/>
        </w:rPr>
        <w:t>a.</w:t>
      </w:r>
      <w:r>
        <w:rPr>
          <w:sz w:val="21"/>
          <w:szCs w:val="21"/>
        </w:rPr>
        <w:t>具有经工商登记的法人资格；</w:t>
      </w:r>
    </w:p>
    <w:p w14:paraId="4E174740">
      <w:pPr>
        <w:pStyle w:val="41"/>
        <w:keepNext w:val="0"/>
        <w:keepLines w:val="0"/>
        <w:pageBreakBefore w:val="0"/>
        <w:widowControl w:val="0"/>
        <w:numPr>
          <w:ilvl w:val="0"/>
          <w:numId w:val="0"/>
        </w:numPr>
        <w:tabs>
          <w:tab w:val="left" w:pos="120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sz w:val="21"/>
          <w:szCs w:val="21"/>
        </w:rPr>
      </w:pPr>
      <w:r>
        <w:rPr>
          <w:rFonts w:hint="default" w:ascii="Times New Roman" w:hAnsi="Times New Roman" w:eastAsia="Times New Roman" w:cs="Times New Roman"/>
          <w:spacing w:val="-1"/>
          <w:w w:val="100"/>
          <w:sz w:val="21"/>
          <w:szCs w:val="21"/>
          <w:lang w:val="zh-CN" w:eastAsia="zh-CN" w:bidi="zh-CN"/>
        </w:rPr>
        <w:t>b.</w:t>
      </w:r>
      <w:r>
        <w:rPr>
          <w:sz w:val="21"/>
          <w:szCs w:val="21"/>
        </w:rPr>
        <w:t>具有从事类似工程经验的管理与技术人员</w:t>
      </w:r>
      <w:r>
        <w:rPr>
          <w:rFonts w:hint="eastAsia"/>
          <w:sz w:val="21"/>
          <w:szCs w:val="21"/>
          <w:lang w:val="en-US" w:eastAsia="zh-CN"/>
        </w:rPr>
        <w:t>，具有相应的资质资格</w:t>
      </w:r>
      <w:r>
        <w:rPr>
          <w:sz w:val="21"/>
          <w:szCs w:val="21"/>
        </w:rPr>
        <w:t>；</w:t>
      </w:r>
    </w:p>
    <w:p w14:paraId="466003D4">
      <w:pPr>
        <w:pStyle w:val="41"/>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sz w:val="21"/>
          <w:szCs w:val="21"/>
        </w:rPr>
      </w:pPr>
      <w:r>
        <w:rPr>
          <w:rFonts w:hint="default" w:ascii="Times New Roman" w:hAnsi="Times New Roman" w:eastAsia="Times New Roman" w:cs="Times New Roman"/>
          <w:spacing w:val="-1"/>
          <w:w w:val="100"/>
          <w:sz w:val="21"/>
          <w:szCs w:val="21"/>
          <w:lang w:val="zh-CN" w:eastAsia="zh-CN" w:bidi="zh-CN"/>
        </w:rPr>
        <w:t>c.</w:t>
      </w:r>
      <w:r>
        <w:rPr>
          <w:sz w:val="21"/>
          <w:szCs w:val="21"/>
        </w:rPr>
        <w:t>具有（自有或租赁）分包工程所需的施工设备。</w:t>
      </w:r>
    </w:p>
    <w:p w14:paraId="0D23B29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承包人应向监理人提交专业分包人的资格能力证明材料，经监理人审查并报发包人批准后，可以将相应专业工程分包给该专业分包人。</w:t>
      </w:r>
    </w:p>
    <w:p w14:paraId="1873D309">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424" w:leftChars="0" w:right="0" w:rightChars="0" w:firstLine="143" w:firstLineChars="0"/>
        <w:jc w:val="left"/>
        <w:textAlignment w:val="auto"/>
        <w:rPr>
          <w:spacing w:val="0"/>
          <w:sz w:val="21"/>
          <w:szCs w:val="21"/>
        </w:rPr>
      </w:pPr>
      <w:r>
        <w:rPr>
          <w:rFonts w:hint="eastAsia" w:ascii="宋体" w:hAnsi="宋体" w:eastAsia="宋体" w:cs="宋体"/>
          <w:spacing w:val="0"/>
          <w:w w:val="100"/>
          <w:sz w:val="21"/>
          <w:szCs w:val="21"/>
          <w:lang w:val="zh-CN" w:eastAsia="zh-CN" w:bidi="zh-CN"/>
        </w:rPr>
        <w:t>①</w:t>
      </w:r>
      <w:r>
        <w:rPr>
          <w:spacing w:val="0"/>
          <w:sz w:val="21"/>
          <w:szCs w:val="21"/>
        </w:rPr>
        <w:t>专业分包工程不得再次分包。</w:t>
      </w:r>
    </w:p>
    <w:p w14:paraId="135D42D9">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424" w:leftChars="0" w:right="0" w:rightChars="0" w:firstLine="143" w:firstLineChars="0"/>
        <w:jc w:val="both"/>
        <w:textAlignment w:val="auto"/>
        <w:rPr>
          <w:spacing w:val="0"/>
          <w:sz w:val="21"/>
          <w:szCs w:val="21"/>
        </w:rPr>
      </w:pPr>
      <w:r>
        <w:rPr>
          <w:rFonts w:hint="eastAsia" w:ascii="宋体" w:hAnsi="宋体" w:eastAsia="宋体" w:cs="宋体"/>
          <w:spacing w:val="0"/>
          <w:w w:val="100"/>
          <w:sz w:val="21"/>
          <w:szCs w:val="21"/>
          <w:lang w:val="zh-CN" w:eastAsia="zh-CN" w:bidi="zh-CN"/>
        </w:rPr>
        <w:t>②</w:t>
      </w:r>
      <w:r>
        <w:rPr>
          <w:spacing w:val="0"/>
          <w:sz w:val="21"/>
          <w:szCs w:val="21"/>
        </w:rPr>
        <w:t>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6066AF4A">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424" w:leftChars="0" w:right="0" w:rightChars="0" w:firstLine="143" w:firstLineChars="0"/>
        <w:jc w:val="left"/>
        <w:textAlignment w:val="auto"/>
        <w:rPr>
          <w:spacing w:val="0"/>
          <w:sz w:val="21"/>
          <w:szCs w:val="21"/>
        </w:rPr>
      </w:pPr>
      <w:r>
        <w:rPr>
          <w:rFonts w:hint="eastAsia" w:ascii="宋体" w:hAnsi="宋体" w:eastAsia="宋体" w:cs="宋体"/>
          <w:spacing w:val="0"/>
          <w:w w:val="100"/>
          <w:sz w:val="21"/>
          <w:szCs w:val="21"/>
          <w:lang w:val="zh-CN" w:eastAsia="zh-CN" w:bidi="zh-CN"/>
        </w:rPr>
        <w:t>③</w:t>
      </w:r>
      <w:r>
        <w:rPr>
          <w:spacing w:val="0"/>
          <w:sz w:val="21"/>
          <w:szCs w:val="21"/>
        </w:rPr>
        <w:t>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2E420FFE">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424" w:leftChars="0" w:right="0" w:rightChars="0" w:firstLine="143" w:firstLineChars="0"/>
        <w:jc w:val="left"/>
        <w:textAlignment w:val="auto"/>
        <w:rPr>
          <w:spacing w:val="0"/>
          <w:sz w:val="21"/>
          <w:szCs w:val="21"/>
        </w:rPr>
      </w:pPr>
      <w:r>
        <w:rPr>
          <w:rFonts w:hint="eastAsia" w:ascii="宋体" w:hAnsi="宋体" w:eastAsia="宋体" w:cs="宋体"/>
          <w:spacing w:val="0"/>
          <w:w w:val="100"/>
          <w:sz w:val="21"/>
          <w:szCs w:val="21"/>
          <w:lang w:val="zh-CN" w:eastAsia="zh-CN" w:bidi="zh-CN"/>
        </w:rPr>
        <w:t>④</w:t>
      </w:r>
      <w:r>
        <w:rPr>
          <w:spacing w:val="0"/>
          <w:sz w:val="21"/>
          <w:szCs w:val="21"/>
        </w:rPr>
        <w:t>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3432535F">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424" w:leftChars="0" w:right="0" w:rightChars="0" w:firstLine="143" w:firstLineChars="0"/>
        <w:jc w:val="both"/>
        <w:textAlignment w:val="auto"/>
        <w:rPr>
          <w:spacing w:val="0"/>
          <w:sz w:val="21"/>
          <w:szCs w:val="21"/>
        </w:rPr>
      </w:pPr>
      <w:r>
        <w:rPr>
          <w:rFonts w:hint="eastAsia" w:ascii="宋体" w:hAnsi="宋体" w:eastAsia="宋体" w:cs="宋体"/>
          <w:spacing w:val="0"/>
          <w:w w:val="100"/>
          <w:sz w:val="21"/>
          <w:szCs w:val="21"/>
          <w:lang w:val="zh-CN" w:eastAsia="zh-CN" w:bidi="zh-CN"/>
        </w:rPr>
        <w:t>⑤</w:t>
      </w:r>
      <w:r>
        <w:rPr>
          <w:spacing w:val="0"/>
          <w:sz w:val="21"/>
          <w:szCs w:val="21"/>
        </w:rPr>
        <w:t>专业分包人应当依据专业分包合同的约定，组织分包工程的施工，并对分包工程的质量、安全和进度等实施有效控制。专业分包人对其分包的工程向承包人负责，并就所分包的工程向发包人承担连带责任。</w:t>
      </w:r>
    </w:p>
    <w:p w14:paraId="0336AD61">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424" w:leftChars="0" w:right="0" w:rightChars="0" w:firstLine="143" w:firstLineChars="0"/>
        <w:jc w:val="left"/>
        <w:textAlignment w:val="auto"/>
        <w:rPr>
          <w:spacing w:val="0"/>
          <w:sz w:val="21"/>
          <w:szCs w:val="21"/>
        </w:rPr>
      </w:pPr>
      <w:r>
        <w:rPr>
          <w:rFonts w:hint="eastAsia" w:ascii="宋体" w:hAnsi="宋体" w:eastAsia="宋体" w:cs="宋体"/>
          <w:spacing w:val="0"/>
          <w:w w:val="100"/>
          <w:sz w:val="21"/>
          <w:szCs w:val="21"/>
          <w:lang w:val="zh-CN" w:eastAsia="zh-CN" w:bidi="zh-CN"/>
        </w:rPr>
        <w:t>⑥</w:t>
      </w:r>
      <w:r>
        <w:rPr>
          <w:spacing w:val="0"/>
          <w:sz w:val="21"/>
          <w:szCs w:val="21"/>
        </w:rPr>
        <w:t>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7F6B21D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pacing w:val="0"/>
          <w:sz w:val="21"/>
          <w:szCs w:val="21"/>
        </w:rPr>
        <w:t>违反上述规定之一者属违规分包。</w:t>
      </w:r>
    </w:p>
    <w:p w14:paraId="5ABDA8B8">
      <w:pPr>
        <w:pStyle w:val="41"/>
        <w:keepNext w:val="0"/>
        <w:keepLines w:val="0"/>
        <w:pageBreakBefore w:val="0"/>
        <w:widowControl w:val="0"/>
        <w:numPr>
          <w:ilvl w:val="0"/>
          <w:numId w:val="0"/>
        </w:numPr>
        <w:tabs>
          <w:tab w:val="left" w:pos="1505"/>
        </w:tabs>
        <w:kinsoku/>
        <w:wordWrap/>
        <w:overflowPunct/>
        <w:topLinePunct w:val="0"/>
        <w:autoSpaceDE w:val="0"/>
        <w:autoSpaceDN w:val="0"/>
        <w:bidi w:val="0"/>
        <w:adjustRightInd/>
        <w:snapToGrid/>
        <w:spacing w:before="0" w:after="0" w:line="360" w:lineRule="auto"/>
        <w:ind w:leftChars="200" w:right="0" w:rightChars="0"/>
        <w:jc w:val="left"/>
        <w:textAlignment w:val="auto"/>
        <w:rPr>
          <w:rFonts w:hint="eastAsia"/>
          <w:sz w:val="21"/>
          <w:szCs w:val="21"/>
          <w:lang w:val="en-US" w:eastAsia="zh-CN"/>
        </w:rPr>
      </w:pPr>
      <w:r>
        <w:rPr>
          <w:rFonts w:hint="eastAsia"/>
          <w:sz w:val="21"/>
          <w:szCs w:val="21"/>
          <w:lang w:val="en-US" w:eastAsia="zh-CN"/>
        </w:rPr>
        <w:t>4.3.4 劳务分包</w:t>
      </w:r>
    </w:p>
    <w:p w14:paraId="6FD5448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在工程施工过程中，承包人进行劳务分包必须遵守以下规定：</w:t>
      </w:r>
    </w:p>
    <w:p w14:paraId="0ADC587E">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（1）</w:t>
      </w:r>
      <w:r>
        <w:rPr>
          <w:sz w:val="21"/>
          <w:szCs w:val="21"/>
        </w:rPr>
        <w:t>劳务分包人应具有施工劳务资质。</w:t>
      </w:r>
    </w:p>
    <w:p w14:paraId="5898904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8" w:firstLineChars="200"/>
        <w:textAlignment w:val="auto"/>
        <w:rPr>
          <w:sz w:val="21"/>
          <w:szCs w:val="21"/>
        </w:rPr>
      </w:pPr>
      <w:r>
        <w:rPr>
          <w:spacing w:val="-3"/>
          <w:sz w:val="21"/>
          <w:szCs w:val="21"/>
        </w:rPr>
        <w:t>劳务分包应当依法签订劳务分包合同，劳务分包合同必须由承包人的法</w:t>
      </w:r>
      <w:r>
        <w:rPr>
          <w:spacing w:val="-4"/>
          <w:sz w:val="21"/>
          <w:szCs w:val="21"/>
        </w:rPr>
        <w:t>定代表人或其委托代理人与劳务分包人直接签订，不得由他人代签。承包人的项目</w:t>
      </w:r>
      <w:r>
        <w:rPr>
          <w:spacing w:val="-12"/>
          <w:sz w:val="21"/>
          <w:szCs w:val="21"/>
        </w:rPr>
        <w:t>经</w:t>
      </w:r>
      <w:r>
        <w:rPr>
          <w:sz w:val="21"/>
          <w:szCs w:val="21"/>
        </w:rPr>
        <w:t>理部、项目经理、施工班组等不具备用工主体资格，不能与劳务分包人签订劳务分包合同。承包人应向发包人和监理人提交劳务分包合同副本并报项目所在地劳动保障部门备案。</w:t>
      </w:r>
    </w:p>
    <w:p w14:paraId="612A2E59">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宋体" w:hAnsi="宋体" w:eastAsia="宋体" w:cs="宋体"/>
          <w:w w:val="100"/>
          <w:sz w:val="21"/>
          <w:szCs w:val="21"/>
          <w:lang w:val="zh-CN" w:eastAsia="zh-CN" w:bidi="zh-CN"/>
        </w:rPr>
        <w:t>（2）</w:t>
      </w:r>
      <w:r>
        <w:rPr>
          <w:spacing w:val="-2"/>
          <w:sz w:val="21"/>
          <w:szCs w:val="21"/>
        </w:rPr>
        <w:t>承包人雇用的劳务作业应加入到承包人的施工班组统一管理。有关施工</w:t>
      </w:r>
      <w:r>
        <w:rPr>
          <w:spacing w:val="-4"/>
          <w:sz w:val="21"/>
          <w:szCs w:val="21"/>
        </w:rPr>
        <w:t>质量、施工安全、施工进度、环境保护、技术方案、试验检测、材料保管与供应、机械设备等都必须由承包人管理与调配，不得以包代管。</w:t>
      </w:r>
    </w:p>
    <w:p w14:paraId="0EAEEF4C">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（3）</w:t>
      </w:r>
      <w:r>
        <w:rPr>
          <w:spacing w:val="-2"/>
          <w:sz w:val="21"/>
          <w:szCs w:val="21"/>
        </w:rPr>
        <w:t>承包人应当对劳务分包人员进行安全培训和管理，劳务分包人不得将其</w:t>
      </w:r>
      <w:r>
        <w:rPr>
          <w:spacing w:val="-4"/>
          <w:sz w:val="21"/>
          <w:szCs w:val="21"/>
        </w:rPr>
        <w:t>分包的劳务作业再次分包。</w:t>
      </w:r>
    </w:p>
    <w:p w14:paraId="3F8C87D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2" w:firstLineChars="200"/>
        <w:textAlignment w:val="auto"/>
        <w:rPr>
          <w:sz w:val="21"/>
          <w:szCs w:val="21"/>
        </w:rPr>
      </w:pPr>
      <w:r>
        <w:rPr>
          <w:spacing w:val="-2"/>
          <w:sz w:val="21"/>
          <w:szCs w:val="21"/>
        </w:rPr>
        <w:t>违反上述规定之一者属违规分包。</w:t>
      </w:r>
      <w:r>
        <w:rPr>
          <w:spacing w:val="-10"/>
          <w:sz w:val="21"/>
          <w:szCs w:val="21"/>
        </w:rPr>
        <w:t xml:space="preserve">本款补充第 </w:t>
      </w:r>
      <w:r>
        <w:rPr>
          <w:rFonts w:ascii="Times New Roman" w:eastAsia="Times New Roman"/>
          <w:sz w:val="21"/>
          <w:szCs w:val="21"/>
        </w:rPr>
        <w:t xml:space="preserve">4.3.6 </w:t>
      </w:r>
      <w:r>
        <w:rPr>
          <w:spacing w:val="-15"/>
          <w:sz w:val="21"/>
          <w:szCs w:val="21"/>
        </w:rPr>
        <w:t xml:space="preserve">项、第 </w:t>
      </w:r>
      <w:r>
        <w:rPr>
          <w:rFonts w:ascii="Times New Roman" w:eastAsia="Times New Roman"/>
          <w:sz w:val="21"/>
          <w:szCs w:val="21"/>
        </w:rPr>
        <w:t xml:space="preserve">4.3.7 </w:t>
      </w:r>
      <w:r>
        <w:rPr>
          <w:spacing w:val="-9"/>
          <w:sz w:val="21"/>
          <w:szCs w:val="21"/>
        </w:rPr>
        <w:t>项：</w:t>
      </w:r>
    </w:p>
    <w:p w14:paraId="48D46801">
      <w:pPr>
        <w:pStyle w:val="41"/>
        <w:keepNext w:val="0"/>
        <w:keepLines w:val="0"/>
        <w:pageBreakBefore w:val="0"/>
        <w:widowControl w:val="0"/>
        <w:numPr>
          <w:ilvl w:val="2"/>
          <w:numId w:val="0"/>
        </w:numPr>
        <w:tabs>
          <w:tab w:val="left" w:pos="15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4.3.6</w:t>
      </w:r>
      <w:r>
        <w:rPr>
          <w:sz w:val="21"/>
          <w:szCs w:val="21"/>
        </w:rPr>
        <w:t>发包人对承包人与分包人之间的法律与经济纠纷不承担任何责任和义务。</w:t>
      </w:r>
    </w:p>
    <w:p w14:paraId="1492EF36">
      <w:pPr>
        <w:pStyle w:val="41"/>
        <w:keepNext w:val="0"/>
        <w:keepLines w:val="0"/>
        <w:pageBreakBefore w:val="0"/>
        <w:widowControl w:val="0"/>
        <w:numPr>
          <w:ilvl w:val="2"/>
          <w:numId w:val="0"/>
        </w:numPr>
        <w:tabs>
          <w:tab w:val="left" w:pos="15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4.3.7</w:t>
      </w:r>
      <w:r>
        <w:rPr>
          <w:spacing w:val="-7"/>
          <w:sz w:val="21"/>
          <w:szCs w:val="21"/>
        </w:rPr>
        <w:t>本项目的各项分包工作均应遵守《公路工程施工分包管理办法》的有关规</w:t>
      </w:r>
      <w:r>
        <w:rPr>
          <w:sz w:val="21"/>
          <w:szCs w:val="21"/>
        </w:rPr>
        <w:t>定。</w:t>
      </w:r>
    </w:p>
    <w:p w14:paraId="69619874">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04" w:name="_bookmark174"/>
      <w:bookmarkEnd w:id="204"/>
      <w:bookmarkStart w:id="205" w:name="_bookmark174"/>
      <w:bookmarkEnd w:id="205"/>
      <w:r>
        <w:rPr>
          <w:rFonts w:hint="default" w:ascii="Times New Roman" w:hAnsi="Times New Roman" w:eastAsia="Times New Roman" w:cs="Times New Roman"/>
          <w:spacing w:val="-1"/>
          <w:w w:val="100"/>
          <w:sz w:val="21"/>
          <w:szCs w:val="21"/>
          <w:lang w:val="zh-CN" w:eastAsia="zh-CN" w:bidi="zh-CN"/>
        </w:rPr>
        <w:t>4.4</w:t>
      </w:r>
      <w:r>
        <w:rPr>
          <w:rFonts w:hint="eastAsia" w:ascii="黑体" w:eastAsia="黑体"/>
          <w:sz w:val="21"/>
          <w:szCs w:val="21"/>
        </w:rPr>
        <w:t>联合体</w:t>
      </w:r>
    </w:p>
    <w:p w14:paraId="7CE910B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 xml:space="preserve">本款补充第 </w:t>
      </w:r>
      <w:r>
        <w:rPr>
          <w:rFonts w:ascii="Times New Roman" w:eastAsia="Times New Roman"/>
          <w:sz w:val="21"/>
          <w:szCs w:val="21"/>
        </w:rPr>
        <w:t xml:space="preserve">4.4.4 </w:t>
      </w:r>
      <w:r>
        <w:rPr>
          <w:sz w:val="21"/>
          <w:szCs w:val="21"/>
        </w:rPr>
        <w:t>项：</w:t>
      </w:r>
    </w:p>
    <w:p w14:paraId="2ADA4D8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rFonts w:ascii="Times New Roman" w:eastAsia="Times New Roman"/>
          <w:sz w:val="21"/>
          <w:szCs w:val="21"/>
        </w:rPr>
        <w:t xml:space="preserve">4.4.4 </w:t>
      </w:r>
      <w:r>
        <w:rPr>
          <w:sz w:val="21"/>
          <w:szCs w:val="21"/>
        </w:rPr>
        <w:t>未经发包人事先同意，联合体的组成与结构不得变动。</w:t>
      </w:r>
    </w:p>
    <w:p w14:paraId="5A3F5E29">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06" w:name="_bookmark175"/>
      <w:bookmarkEnd w:id="206"/>
      <w:bookmarkStart w:id="207" w:name="_bookmark175"/>
      <w:bookmarkEnd w:id="207"/>
      <w:r>
        <w:rPr>
          <w:rFonts w:hint="default" w:ascii="Times New Roman" w:hAnsi="Times New Roman" w:eastAsia="Times New Roman" w:cs="Times New Roman"/>
          <w:spacing w:val="-1"/>
          <w:w w:val="100"/>
          <w:sz w:val="21"/>
          <w:szCs w:val="21"/>
          <w:lang w:val="zh-CN" w:eastAsia="zh-CN" w:bidi="zh-CN"/>
        </w:rPr>
        <w:t>4.6</w:t>
      </w:r>
      <w:r>
        <w:rPr>
          <w:rFonts w:hint="eastAsia" w:ascii="黑体" w:eastAsia="黑体"/>
          <w:sz w:val="21"/>
          <w:szCs w:val="21"/>
        </w:rPr>
        <w:t>承包人人员的管理</w:t>
      </w:r>
    </w:p>
    <w:p w14:paraId="395989A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 xml:space="preserve">第 </w:t>
      </w:r>
      <w:r>
        <w:rPr>
          <w:rFonts w:ascii="Times New Roman" w:eastAsia="Times New Roman"/>
          <w:sz w:val="21"/>
          <w:szCs w:val="21"/>
        </w:rPr>
        <w:t xml:space="preserve">4.6.3 </w:t>
      </w:r>
      <w:r>
        <w:rPr>
          <w:sz w:val="21"/>
          <w:szCs w:val="21"/>
        </w:rPr>
        <w:t>项细化为：</w:t>
      </w:r>
    </w:p>
    <w:p w14:paraId="3CACCA9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6D7930A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 xml:space="preserve">本款补充第 </w:t>
      </w:r>
      <w:r>
        <w:rPr>
          <w:rFonts w:ascii="Times New Roman" w:eastAsia="Times New Roman"/>
          <w:sz w:val="21"/>
          <w:szCs w:val="21"/>
        </w:rPr>
        <w:t xml:space="preserve">4.6.5 </w:t>
      </w:r>
      <w:r>
        <w:rPr>
          <w:sz w:val="21"/>
          <w:szCs w:val="21"/>
        </w:rPr>
        <w:t>项：</w:t>
      </w:r>
    </w:p>
    <w:p w14:paraId="096EAB8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rFonts w:ascii="Times New Roman" w:eastAsia="Times New Roman"/>
          <w:sz w:val="21"/>
          <w:szCs w:val="21"/>
        </w:rPr>
        <w:t xml:space="preserve">4.6.5 </w:t>
      </w:r>
      <w:r>
        <w:rPr>
          <w:spacing w:val="-6"/>
          <w:sz w:val="21"/>
          <w:szCs w:val="21"/>
        </w:rPr>
        <w:t>尽管承包人已按承诺派遣了上述各类人员，但若这些人员仍不能满足合同</w:t>
      </w:r>
      <w:r>
        <w:rPr>
          <w:sz w:val="21"/>
          <w:szCs w:val="21"/>
        </w:rPr>
        <w:t>进度计划和（或）质量要求时，监理人有权要求承包人继续增派或雇用这类人员， 并书面通知承包人和抄送发包人。承包人在接到上述通知后应立即执行监理人的上述指示，不得无故拖延，由此增加的费用和（或）工期延误由承包人承担。</w:t>
      </w:r>
    </w:p>
    <w:p w14:paraId="54C43FCF">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08" w:name="_bookmark176"/>
      <w:bookmarkEnd w:id="208"/>
      <w:bookmarkStart w:id="209" w:name="_bookmark176"/>
      <w:bookmarkEnd w:id="209"/>
      <w:r>
        <w:rPr>
          <w:rFonts w:hint="default" w:ascii="Times New Roman" w:hAnsi="Times New Roman" w:eastAsia="Times New Roman" w:cs="Times New Roman"/>
          <w:spacing w:val="-1"/>
          <w:w w:val="100"/>
          <w:sz w:val="21"/>
          <w:szCs w:val="21"/>
          <w:lang w:val="zh-CN" w:eastAsia="zh-CN" w:bidi="zh-CN"/>
        </w:rPr>
        <w:t>4.7</w:t>
      </w:r>
      <w:r>
        <w:rPr>
          <w:rFonts w:hint="eastAsia" w:ascii="黑体" w:eastAsia="黑体"/>
          <w:sz w:val="21"/>
          <w:szCs w:val="21"/>
        </w:rPr>
        <w:t>撤换承包人项目经理和其他人员</w:t>
      </w:r>
    </w:p>
    <w:p w14:paraId="3C2F286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本款细化为：</w:t>
      </w:r>
    </w:p>
    <w:p w14:paraId="34B6EBE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b/>
          <w:bCs/>
          <w:sz w:val="21"/>
          <w:szCs w:val="21"/>
        </w:rPr>
      </w:pPr>
      <w:r>
        <w:rPr>
          <w:sz w:val="21"/>
          <w:szCs w:val="21"/>
        </w:rPr>
        <w:t>承包人应对其项目经理和其他人员进行有效管理。监理人要求撤换不能胜任本</w:t>
      </w:r>
      <w:r>
        <w:rPr>
          <w:spacing w:val="-10"/>
          <w:sz w:val="21"/>
          <w:szCs w:val="21"/>
        </w:rPr>
        <w:t>职工作、行为不端或玩忽职守的承包人项目经理和其他人员的，承包人应予以撤换，</w:t>
      </w:r>
      <w:r>
        <w:rPr>
          <w:sz w:val="21"/>
          <w:szCs w:val="21"/>
        </w:rPr>
        <w:t>同时委派经发包人与监理人同意的新的项目经理和其他人员。</w:t>
      </w:r>
      <w:r>
        <w:rPr>
          <w:rFonts w:hint="eastAsia"/>
          <w:b/>
          <w:bCs/>
          <w:sz w:val="21"/>
          <w:szCs w:val="21"/>
        </w:rPr>
        <w:t>承包人如需调换项目经理，发包人收取承包人调换人员审查费</w:t>
      </w:r>
      <w:r>
        <w:rPr>
          <w:rFonts w:hint="eastAsia"/>
          <w:b/>
          <w:bCs/>
          <w:color w:val="auto"/>
          <w:sz w:val="21"/>
          <w:szCs w:val="21"/>
          <w:lang w:val="en-US" w:eastAsia="zh-CN"/>
        </w:rPr>
        <w:t>8</w:t>
      </w:r>
      <w:r>
        <w:rPr>
          <w:rFonts w:hint="eastAsia"/>
          <w:b/>
          <w:bCs/>
          <w:color w:val="auto"/>
          <w:sz w:val="21"/>
          <w:szCs w:val="21"/>
        </w:rPr>
        <w:t>万元/人次</w:t>
      </w:r>
      <w:r>
        <w:rPr>
          <w:rFonts w:hint="eastAsia"/>
          <w:b/>
          <w:bCs/>
          <w:color w:val="auto"/>
          <w:sz w:val="21"/>
          <w:szCs w:val="21"/>
          <w:lang w:eastAsia="zh-CN"/>
        </w:rPr>
        <w:t>，</w:t>
      </w:r>
      <w:r>
        <w:rPr>
          <w:rFonts w:hint="eastAsia"/>
          <w:b/>
          <w:bCs/>
          <w:color w:val="auto"/>
          <w:sz w:val="21"/>
          <w:szCs w:val="21"/>
        </w:rPr>
        <w:t>承包人如需调换项目总工、其他骨干人员，发包人收取承包人调换人员审查费5万元/人次</w:t>
      </w:r>
      <w:r>
        <w:rPr>
          <w:rFonts w:hint="eastAsia"/>
          <w:b/>
          <w:bCs/>
          <w:sz w:val="21"/>
          <w:szCs w:val="21"/>
        </w:rPr>
        <w:t>。项目总工替换1次，上报省级交通主管部门，作为不良记录纳入公路建设市场信息管理系统。</w:t>
      </w:r>
    </w:p>
    <w:p w14:paraId="16EC5C9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200"/>
        <w:textAlignment w:val="auto"/>
        <w:rPr>
          <w:rFonts w:hint="eastAsia"/>
          <w:b/>
          <w:bCs/>
          <w:sz w:val="21"/>
          <w:szCs w:val="21"/>
        </w:rPr>
      </w:pPr>
      <w:r>
        <w:rPr>
          <w:rFonts w:hint="eastAsia"/>
          <w:b/>
          <w:bCs/>
          <w:sz w:val="21"/>
          <w:szCs w:val="21"/>
        </w:rPr>
        <w:t>项目经理每月在岗位不得少于22日历天。</w:t>
      </w:r>
    </w:p>
    <w:p w14:paraId="31B11FD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200"/>
        <w:textAlignment w:val="auto"/>
        <w:rPr>
          <w:rFonts w:hint="eastAsia"/>
          <w:b/>
          <w:bCs/>
          <w:sz w:val="21"/>
          <w:szCs w:val="21"/>
        </w:rPr>
      </w:pPr>
      <w:r>
        <w:rPr>
          <w:rFonts w:hint="eastAsia"/>
          <w:b/>
          <w:bCs/>
          <w:sz w:val="21"/>
          <w:szCs w:val="21"/>
        </w:rPr>
        <w:t>未经发包人批准，技术负责人、其他骨干擅自离开工地现场，处以承包人</w:t>
      </w:r>
      <w:r>
        <w:rPr>
          <w:rFonts w:hint="eastAsia"/>
          <w:b/>
          <w:bCs/>
          <w:sz w:val="21"/>
          <w:szCs w:val="21"/>
          <w:lang w:val="en-US" w:eastAsia="zh-CN"/>
        </w:rPr>
        <w:t>1000</w:t>
      </w:r>
      <w:r>
        <w:rPr>
          <w:rFonts w:hint="eastAsia"/>
          <w:b/>
          <w:bCs/>
          <w:sz w:val="21"/>
          <w:szCs w:val="21"/>
        </w:rPr>
        <w:t>元/人·天的违约金、</w:t>
      </w:r>
      <w:r>
        <w:rPr>
          <w:rFonts w:hint="eastAsia"/>
          <w:b/>
          <w:bCs/>
          <w:sz w:val="21"/>
          <w:szCs w:val="21"/>
          <w:lang w:val="en-US" w:eastAsia="zh-CN"/>
        </w:rPr>
        <w:t>500</w:t>
      </w:r>
      <w:r>
        <w:rPr>
          <w:rFonts w:hint="eastAsia"/>
          <w:b/>
          <w:bCs/>
          <w:sz w:val="21"/>
          <w:szCs w:val="21"/>
        </w:rPr>
        <w:t xml:space="preserve">元/人·天。 </w:t>
      </w:r>
    </w:p>
    <w:p w14:paraId="2D354956">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10" w:name="_bookmark177"/>
      <w:bookmarkEnd w:id="210"/>
      <w:bookmarkStart w:id="211" w:name="_bookmark177"/>
      <w:bookmarkEnd w:id="211"/>
      <w:r>
        <w:rPr>
          <w:rFonts w:hint="default" w:ascii="Times New Roman" w:hAnsi="Times New Roman" w:eastAsia="Times New Roman" w:cs="Times New Roman"/>
          <w:spacing w:val="-1"/>
          <w:w w:val="100"/>
          <w:sz w:val="21"/>
          <w:szCs w:val="21"/>
          <w:lang w:val="zh-CN" w:eastAsia="zh-CN" w:bidi="zh-CN"/>
        </w:rPr>
        <w:t>4.9</w:t>
      </w:r>
      <w:r>
        <w:rPr>
          <w:rFonts w:hint="eastAsia" w:ascii="黑体" w:eastAsia="黑体"/>
          <w:sz w:val="21"/>
          <w:szCs w:val="21"/>
        </w:rPr>
        <w:t>工程价款应专款专用</w:t>
      </w:r>
    </w:p>
    <w:p w14:paraId="3908416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本款细化为：</w:t>
      </w:r>
    </w:p>
    <w:p w14:paraId="4984F51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发包人按合同约定支付给承包人的各项价款应专用于合同工程。承包人在</w:t>
      </w:r>
      <w:r>
        <w:rPr>
          <w:spacing w:val="-11"/>
          <w:sz w:val="21"/>
          <w:szCs w:val="21"/>
        </w:rPr>
        <w:t>银行开户，并与发包人、银行共同签订《工程资金监管协议》，接受发</w:t>
      </w:r>
      <w:r>
        <w:rPr>
          <w:sz w:val="21"/>
          <w:szCs w:val="21"/>
        </w:rPr>
        <w:t>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4DB5C14">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12" w:name="_bookmark178"/>
      <w:bookmarkEnd w:id="212"/>
      <w:bookmarkStart w:id="213" w:name="_bookmark178"/>
      <w:bookmarkEnd w:id="213"/>
      <w:r>
        <w:rPr>
          <w:rFonts w:hint="default" w:ascii="Times New Roman" w:hAnsi="Times New Roman" w:eastAsia="Times New Roman" w:cs="Times New Roman"/>
          <w:spacing w:val="-1"/>
          <w:w w:val="100"/>
          <w:sz w:val="21"/>
          <w:szCs w:val="21"/>
          <w:lang w:val="zh-CN" w:eastAsia="zh-CN" w:bidi="zh-CN"/>
        </w:rPr>
        <w:t>4.10</w:t>
      </w:r>
      <w:r>
        <w:rPr>
          <w:rFonts w:hint="eastAsia" w:ascii="黑体" w:eastAsia="黑体"/>
          <w:sz w:val="21"/>
          <w:szCs w:val="21"/>
        </w:rPr>
        <w:t>承包人现场查勘</w:t>
      </w:r>
    </w:p>
    <w:p w14:paraId="75E3596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 xml:space="preserve">第 </w:t>
      </w:r>
      <w:r>
        <w:rPr>
          <w:rFonts w:ascii="Times New Roman" w:hAnsi="Times New Roman" w:eastAsia="Times New Roman"/>
          <w:sz w:val="21"/>
          <w:szCs w:val="21"/>
        </w:rPr>
        <w:t xml:space="preserve">4.10.1 </w:t>
      </w:r>
      <w:r>
        <w:rPr>
          <w:sz w:val="21"/>
          <w:szCs w:val="21"/>
        </w:rPr>
        <w:t>项细化为：</w:t>
      </w:r>
    </w:p>
    <w:p w14:paraId="29FC1A2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0A5E3EAB">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14" w:name="_bookmark179"/>
      <w:bookmarkEnd w:id="214"/>
      <w:bookmarkStart w:id="215" w:name="_bookmark179"/>
      <w:bookmarkEnd w:id="215"/>
      <w:r>
        <w:rPr>
          <w:rFonts w:hint="default" w:ascii="Times New Roman" w:hAnsi="Times New Roman" w:eastAsia="Times New Roman" w:cs="Times New Roman"/>
          <w:spacing w:val="-1"/>
          <w:w w:val="100"/>
          <w:sz w:val="21"/>
          <w:szCs w:val="21"/>
          <w:lang w:val="zh-CN" w:eastAsia="zh-CN" w:bidi="zh-CN"/>
        </w:rPr>
        <w:t>4.11</w:t>
      </w:r>
      <w:r>
        <w:rPr>
          <w:rFonts w:hint="eastAsia" w:ascii="黑体" w:eastAsia="黑体"/>
          <w:sz w:val="21"/>
          <w:szCs w:val="21"/>
        </w:rPr>
        <w:t>不利物质条件</w:t>
      </w:r>
    </w:p>
    <w:p w14:paraId="007BAEE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 xml:space="preserve">第 </w:t>
      </w:r>
      <w:r>
        <w:rPr>
          <w:rFonts w:ascii="Times New Roman" w:eastAsia="Times New Roman"/>
          <w:sz w:val="21"/>
          <w:szCs w:val="21"/>
        </w:rPr>
        <w:t xml:space="preserve">4.11.2 </w:t>
      </w:r>
      <w:r>
        <w:rPr>
          <w:sz w:val="21"/>
          <w:szCs w:val="21"/>
        </w:rPr>
        <w:t>项细化为：</w:t>
      </w:r>
    </w:p>
    <w:p w14:paraId="06C66A1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rFonts w:hint="eastAsia"/>
          <w:sz w:val="21"/>
          <w:szCs w:val="21"/>
          <w:lang w:val="en-US" w:eastAsia="zh-CN"/>
        </w:rPr>
        <w:t>4.11.2</w:t>
      </w:r>
      <w:r>
        <w:rPr>
          <w:sz w:val="21"/>
          <w:szCs w:val="21"/>
        </w:rPr>
        <w:t>承包人遇到不可预见的不利物质条件时，应采取适应不利物质条件的合理措施继续施工，并及时通知监理人。监理人应当及时发出指示，指示构成变更的， 按第15条约定办理。监理人没有发出指示的，承包人因采取合理措施而增加的费用和（或）工期延误，由发包人承担。</w:t>
      </w:r>
    </w:p>
    <w:p w14:paraId="65EBE17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本款补充第 </w:t>
      </w:r>
      <w:r>
        <w:rPr>
          <w:rFonts w:ascii="Times New Roman" w:eastAsia="Times New Roman"/>
          <w:sz w:val="21"/>
          <w:szCs w:val="21"/>
        </w:rPr>
        <w:t xml:space="preserve">4.11.3 </w:t>
      </w:r>
      <w:r>
        <w:rPr>
          <w:sz w:val="21"/>
          <w:szCs w:val="21"/>
        </w:rPr>
        <w:t>项：</w:t>
      </w:r>
    </w:p>
    <w:p w14:paraId="2ED421A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rFonts w:hint="eastAsia"/>
          <w:sz w:val="21"/>
          <w:szCs w:val="21"/>
          <w:lang w:val="en-US" w:eastAsia="zh-CN"/>
        </w:rPr>
      </w:pPr>
      <w:r>
        <w:rPr>
          <w:rFonts w:hint="eastAsia"/>
          <w:sz w:val="21"/>
          <w:szCs w:val="21"/>
          <w:lang w:val="en-US" w:eastAsia="zh-CN"/>
        </w:rPr>
        <w:t>4.11.3可预见的不利物质条件</w:t>
      </w:r>
    </w:p>
    <w:p w14:paraId="229AD931">
      <w:pPr>
        <w:pStyle w:val="41"/>
        <w:keepNext w:val="0"/>
        <w:keepLines w:val="0"/>
        <w:pageBreakBefore w:val="0"/>
        <w:widowControl w:val="0"/>
        <w:numPr>
          <w:ilvl w:val="0"/>
          <w:numId w:val="0"/>
        </w:numPr>
        <w:tabs>
          <w:tab w:val="left" w:pos="1446"/>
        </w:tabs>
        <w:kinsoku/>
        <w:wordWrap/>
        <w:overflowPunct/>
        <w:topLinePunct w:val="0"/>
        <w:autoSpaceDE w:val="0"/>
        <w:autoSpaceDN w:val="0"/>
        <w:bidi w:val="0"/>
        <w:adjustRightInd/>
        <w:snapToGrid/>
        <w:spacing w:before="0" w:after="0" w:line="360" w:lineRule="auto"/>
        <w:ind w:left="0" w:leftChars="0" w:right="0" w:rightChars="0" w:firstLine="324" w:firstLineChars="200"/>
        <w:jc w:val="both"/>
        <w:textAlignment w:val="auto"/>
        <w:rPr>
          <w:sz w:val="21"/>
          <w:szCs w:val="21"/>
        </w:rPr>
      </w:pPr>
      <w:r>
        <w:rPr>
          <w:rFonts w:hint="default" w:ascii="宋体" w:hAnsi="宋体" w:eastAsia="宋体" w:cs="宋体"/>
          <w:spacing w:val="-24"/>
          <w:w w:val="100"/>
          <w:sz w:val="21"/>
          <w:szCs w:val="21"/>
          <w:lang w:val="zh-CN" w:eastAsia="zh-CN" w:bidi="zh-CN"/>
        </w:rPr>
        <w:t>（1）</w:t>
      </w:r>
      <w:r>
        <w:rPr>
          <w:sz w:val="21"/>
          <w:szCs w:val="21"/>
        </w:rPr>
        <w:t>对于项目专用合同条款中已经明确指出的不利物质条件无论承包人是否</w:t>
      </w:r>
      <w:r>
        <w:rPr>
          <w:spacing w:val="-4"/>
          <w:sz w:val="21"/>
          <w:szCs w:val="21"/>
        </w:rPr>
        <w:t>有其经历和经验均视为承包人在接受合同时已预见其影响，并已在签约合同价中计</w:t>
      </w:r>
      <w:r>
        <w:rPr>
          <w:spacing w:val="-3"/>
          <w:sz w:val="21"/>
          <w:szCs w:val="21"/>
        </w:rPr>
        <w:t>入因其影响而可能发生的一切费用。</w:t>
      </w:r>
    </w:p>
    <w:p w14:paraId="7BC95064">
      <w:pPr>
        <w:pStyle w:val="41"/>
        <w:keepNext w:val="0"/>
        <w:keepLines w:val="0"/>
        <w:pageBreakBefore w:val="0"/>
        <w:widowControl w:val="0"/>
        <w:numPr>
          <w:ilvl w:val="0"/>
          <w:numId w:val="0"/>
        </w:numPr>
        <w:tabs>
          <w:tab w:val="left" w:pos="1446"/>
        </w:tabs>
        <w:kinsoku/>
        <w:wordWrap/>
        <w:overflowPunct/>
        <w:topLinePunct w:val="0"/>
        <w:autoSpaceDE w:val="0"/>
        <w:autoSpaceDN w:val="0"/>
        <w:bidi w:val="0"/>
        <w:adjustRightInd/>
        <w:snapToGrid/>
        <w:spacing w:before="0" w:after="0" w:line="360" w:lineRule="auto"/>
        <w:ind w:left="0" w:leftChars="0" w:right="0" w:rightChars="0" w:firstLine="324" w:firstLineChars="200"/>
        <w:jc w:val="both"/>
        <w:textAlignment w:val="auto"/>
        <w:rPr>
          <w:sz w:val="21"/>
          <w:szCs w:val="21"/>
        </w:rPr>
      </w:pPr>
      <w:r>
        <w:rPr>
          <w:rFonts w:hint="default" w:ascii="宋体" w:hAnsi="宋体" w:eastAsia="宋体" w:cs="宋体"/>
          <w:spacing w:val="-24"/>
          <w:w w:val="100"/>
          <w:sz w:val="21"/>
          <w:szCs w:val="21"/>
          <w:lang w:val="zh-CN" w:eastAsia="zh-CN" w:bidi="zh-CN"/>
        </w:rPr>
        <w:t>（2）</w:t>
      </w:r>
      <w:r>
        <w:rPr>
          <w:spacing w:val="-3"/>
          <w:sz w:val="21"/>
          <w:szCs w:val="21"/>
        </w:rPr>
        <w:t>对于项目专用合同条款未明确指出，但是在不利物质条件发生之前，监理</w:t>
      </w:r>
      <w:r>
        <w:rPr>
          <w:sz w:val="21"/>
          <w:szCs w:val="21"/>
        </w:rPr>
        <w:t>人已经指示承包人有可能发生，但承包人未能及时采取有效措施，而导致的损失和后果均由承包人承担。</w:t>
      </w:r>
    </w:p>
    <w:p w14:paraId="2D8A48D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补充第 </w:t>
      </w:r>
      <w:r>
        <w:rPr>
          <w:rFonts w:ascii="Times New Roman" w:eastAsia="Times New Roman"/>
          <w:sz w:val="21"/>
          <w:szCs w:val="21"/>
        </w:rPr>
        <w:t xml:space="preserve">4.12 </w:t>
      </w:r>
      <w:r>
        <w:rPr>
          <w:sz w:val="21"/>
          <w:szCs w:val="21"/>
        </w:rPr>
        <w:t xml:space="preserve">款、第 </w:t>
      </w:r>
      <w:r>
        <w:rPr>
          <w:rFonts w:ascii="Times New Roman" w:eastAsia="Times New Roman"/>
          <w:sz w:val="21"/>
          <w:szCs w:val="21"/>
        </w:rPr>
        <w:t xml:space="preserve">4.13 </w:t>
      </w:r>
      <w:r>
        <w:rPr>
          <w:sz w:val="21"/>
          <w:szCs w:val="21"/>
        </w:rPr>
        <w:t>款：</w:t>
      </w:r>
    </w:p>
    <w:p w14:paraId="5926A032">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16" w:name="_bookmark180"/>
      <w:bookmarkEnd w:id="216"/>
      <w:bookmarkStart w:id="217" w:name="_bookmark180"/>
      <w:bookmarkEnd w:id="217"/>
      <w:r>
        <w:rPr>
          <w:rFonts w:hint="default" w:ascii="Times New Roman" w:hAnsi="Times New Roman" w:eastAsia="Times New Roman" w:cs="Times New Roman"/>
          <w:spacing w:val="-1"/>
          <w:w w:val="100"/>
          <w:sz w:val="21"/>
          <w:szCs w:val="21"/>
          <w:lang w:val="zh-CN" w:eastAsia="zh-CN" w:bidi="zh-CN"/>
        </w:rPr>
        <w:t>4.12</w:t>
      </w:r>
      <w:r>
        <w:rPr>
          <w:rFonts w:hint="eastAsia" w:ascii="黑体" w:eastAsia="黑体"/>
          <w:sz w:val="21"/>
          <w:szCs w:val="21"/>
        </w:rPr>
        <w:t>投标文件的完备性</w:t>
      </w:r>
    </w:p>
    <w:p w14:paraId="3244C06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4DC3815E">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18" w:name="_bookmark181"/>
      <w:bookmarkEnd w:id="218"/>
      <w:bookmarkStart w:id="219" w:name="_bookmark181"/>
      <w:bookmarkEnd w:id="219"/>
      <w:r>
        <w:rPr>
          <w:rFonts w:hint="default" w:ascii="Times New Roman" w:hAnsi="Times New Roman" w:eastAsia="Times New Roman" w:cs="Times New Roman"/>
          <w:spacing w:val="-1"/>
          <w:w w:val="100"/>
          <w:sz w:val="21"/>
          <w:szCs w:val="21"/>
          <w:lang w:val="zh-CN" w:eastAsia="zh-CN" w:bidi="zh-CN"/>
        </w:rPr>
        <w:t>4.13</w:t>
      </w:r>
      <w:r>
        <w:rPr>
          <w:rFonts w:hint="eastAsia" w:ascii="黑体" w:eastAsia="黑体"/>
          <w:sz w:val="21"/>
          <w:szCs w:val="21"/>
        </w:rPr>
        <w:t>开展党建工作要求</w:t>
      </w:r>
    </w:p>
    <w:p w14:paraId="3D387C2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470E71B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AEC7A84">
      <w:pPr>
        <w:keepNext w:val="0"/>
        <w:keepLines w:val="0"/>
        <w:pageBreakBefore w:val="0"/>
        <w:widowControl w:val="0"/>
        <w:numPr>
          <w:ilvl w:val="0"/>
          <w:numId w:val="0"/>
        </w:numPr>
        <w:tabs>
          <w:tab w:val="left" w:pos="775"/>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220" w:name="_bookmark182"/>
      <w:bookmarkEnd w:id="220"/>
      <w:bookmarkStart w:id="221" w:name="_bookmark182"/>
      <w:bookmarkEnd w:id="221"/>
      <w:r>
        <w:rPr>
          <w:rFonts w:hint="default" w:ascii="Times New Roman" w:hAnsi="Times New Roman" w:eastAsia="Times New Roman" w:cs="Times New Roman"/>
          <w:w w:val="100"/>
          <w:sz w:val="21"/>
          <w:szCs w:val="21"/>
          <w:lang w:val="zh-CN" w:eastAsia="zh-CN" w:bidi="zh-CN"/>
        </w:rPr>
        <w:t>5.</w:t>
      </w:r>
      <w:r>
        <w:rPr>
          <w:rFonts w:hint="eastAsia" w:ascii="黑体" w:eastAsia="黑体"/>
          <w:spacing w:val="-1"/>
          <w:sz w:val="21"/>
          <w:szCs w:val="21"/>
        </w:rPr>
        <w:t>材料和工程设备</w:t>
      </w:r>
    </w:p>
    <w:p w14:paraId="14E0B88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bookmarkStart w:id="222" w:name="_bookmark183"/>
      <w:bookmarkEnd w:id="222"/>
      <w:r>
        <w:rPr>
          <w:rFonts w:ascii="Times New Roman" w:eastAsia="Times New Roman"/>
          <w:sz w:val="21"/>
          <w:szCs w:val="21"/>
        </w:rPr>
        <w:t>5.2</w:t>
      </w:r>
      <w:r>
        <w:rPr>
          <w:rFonts w:ascii="Times New Roman" w:eastAsia="Times New Roman"/>
          <w:spacing w:val="59"/>
          <w:sz w:val="21"/>
          <w:szCs w:val="21"/>
        </w:rPr>
        <w:t xml:space="preserve"> </w:t>
      </w:r>
      <w:r>
        <w:rPr>
          <w:rFonts w:hint="eastAsia" w:ascii="黑体" w:eastAsia="黑体"/>
          <w:sz w:val="21"/>
          <w:szCs w:val="21"/>
        </w:rPr>
        <w:t>发包人提供的材料和工程设备</w:t>
      </w:r>
    </w:p>
    <w:p w14:paraId="46F6171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5.2.3 </w:t>
      </w:r>
      <w:r>
        <w:rPr>
          <w:sz w:val="21"/>
          <w:szCs w:val="21"/>
        </w:rPr>
        <w:t>项补充：</w:t>
      </w:r>
    </w:p>
    <w:p w14:paraId="5259C4CB">
      <w:pPr>
        <w:keepNext w:val="0"/>
        <w:keepLines w:val="0"/>
        <w:pageBreakBefore w:val="0"/>
        <w:widowControl w:val="0"/>
        <w:numPr>
          <w:ilvl w:val="0"/>
          <w:numId w:val="0"/>
        </w:numPr>
        <w:tabs>
          <w:tab w:val="left" w:pos="775"/>
        </w:tabs>
        <w:kinsoku/>
        <w:wordWrap/>
        <w:overflowPunct/>
        <w:topLinePunct w:val="0"/>
        <w:autoSpaceDE w:val="0"/>
        <w:autoSpaceDN w:val="0"/>
        <w:bidi w:val="0"/>
        <w:adjustRightInd/>
        <w:snapToGrid/>
        <w:spacing w:before="0" w:line="360" w:lineRule="auto"/>
        <w:ind w:leftChars="0" w:right="0" w:rightChars="0" w:firstLine="420" w:firstLineChars="200"/>
        <w:jc w:val="left"/>
        <w:textAlignment w:val="auto"/>
        <w:rPr>
          <w:rFonts w:hint="eastAsia" w:ascii="宋体" w:hAnsi="宋体" w:eastAsia="宋体" w:cs="宋体"/>
          <w:sz w:val="21"/>
          <w:szCs w:val="21"/>
          <w:lang w:val="zh-CN" w:eastAsia="zh-CN" w:bidi="zh-CN"/>
        </w:rPr>
      </w:pPr>
      <w:r>
        <w:rPr>
          <w:rFonts w:ascii="宋体" w:hAnsi="宋体" w:eastAsia="宋体" w:cs="宋体"/>
          <w:sz w:val="21"/>
          <w:szCs w:val="21"/>
          <w:lang w:val="zh-CN" w:eastAsia="zh-CN" w:bidi="zh-CN"/>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bookmarkStart w:id="223" w:name="_bookmark184"/>
      <w:bookmarkEnd w:id="223"/>
      <w:bookmarkStart w:id="224" w:name="_bookmark184"/>
      <w:bookmarkEnd w:id="224"/>
    </w:p>
    <w:p w14:paraId="36C28831">
      <w:pPr>
        <w:keepNext w:val="0"/>
        <w:keepLines w:val="0"/>
        <w:pageBreakBefore w:val="0"/>
        <w:widowControl w:val="0"/>
        <w:numPr>
          <w:ilvl w:val="0"/>
          <w:numId w:val="0"/>
        </w:numPr>
        <w:tabs>
          <w:tab w:val="left" w:pos="775"/>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6.</w:t>
      </w:r>
      <w:r>
        <w:rPr>
          <w:rFonts w:hint="eastAsia" w:ascii="黑体" w:eastAsia="黑体"/>
          <w:spacing w:val="-2"/>
          <w:sz w:val="21"/>
          <w:szCs w:val="21"/>
        </w:rPr>
        <w:t>施工设备和临时设施</w:t>
      </w:r>
    </w:p>
    <w:p w14:paraId="4F1ECB89">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25" w:name="_bookmark185"/>
      <w:bookmarkEnd w:id="225"/>
      <w:bookmarkStart w:id="226" w:name="_bookmark185"/>
      <w:bookmarkEnd w:id="226"/>
      <w:r>
        <w:rPr>
          <w:rFonts w:hint="default" w:ascii="Times New Roman" w:hAnsi="Times New Roman" w:eastAsia="Times New Roman" w:cs="Times New Roman"/>
          <w:spacing w:val="-1"/>
          <w:w w:val="100"/>
          <w:sz w:val="21"/>
          <w:szCs w:val="21"/>
          <w:lang w:val="zh-CN" w:eastAsia="zh-CN" w:bidi="zh-CN"/>
        </w:rPr>
        <w:t>6.1</w:t>
      </w:r>
      <w:r>
        <w:rPr>
          <w:rFonts w:hint="eastAsia" w:ascii="黑体" w:eastAsia="黑体"/>
          <w:sz w:val="21"/>
          <w:szCs w:val="21"/>
        </w:rPr>
        <w:t>承包人提供的施工设备和临时设施</w:t>
      </w:r>
    </w:p>
    <w:p w14:paraId="445A160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6.1.2 </w:t>
      </w:r>
      <w:r>
        <w:rPr>
          <w:sz w:val="21"/>
          <w:szCs w:val="21"/>
        </w:rPr>
        <w:t>项约定为：</w:t>
      </w:r>
    </w:p>
    <w:p w14:paraId="54B8D94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承包人应自行承担修建临时设施的费用，需要临时占地的，应由承包人按第</w:t>
      </w:r>
      <w:r>
        <w:rPr>
          <w:rFonts w:ascii="Times New Roman" w:eastAsia="Times New Roman"/>
          <w:sz w:val="21"/>
          <w:szCs w:val="21"/>
        </w:rPr>
        <w:t xml:space="preserve">4.1.10 </w:t>
      </w:r>
      <w:r>
        <w:rPr>
          <w:sz w:val="21"/>
          <w:szCs w:val="21"/>
        </w:rPr>
        <w:t>项（</w:t>
      </w:r>
      <w:r>
        <w:rPr>
          <w:rFonts w:ascii="Times New Roman" w:eastAsia="Times New Roman"/>
          <w:sz w:val="21"/>
          <w:szCs w:val="21"/>
        </w:rPr>
        <w:t>1</w:t>
      </w:r>
      <w:r>
        <w:rPr>
          <w:sz w:val="21"/>
          <w:szCs w:val="21"/>
        </w:rPr>
        <w:t>）目的规定办理。</w:t>
      </w:r>
    </w:p>
    <w:p w14:paraId="3E947DB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bookmarkStart w:id="227" w:name="_bookmark186"/>
      <w:bookmarkEnd w:id="227"/>
      <w:r>
        <w:rPr>
          <w:rFonts w:ascii="Times New Roman" w:eastAsia="Times New Roman"/>
          <w:sz w:val="21"/>
          <w:szCs w:val="21"/>
        </w:rPr>
        <w:t>6.3</w:t>
      </w:r>
      <w:r>
        <w:rPr>
          <w:rFonts w:ascii="Times New Roman" w:eastAsia="Times New Roman"/>
          <w:spacing w:val="59"/>
          <w:sz w:val="21"/>
          <w:szCs w:val="21"/>
        </w:rPr>
        <w:t xml:space="preserve"> </w:t>
      </w:r>
      <w:r>
        <w:rPr>
          <w:rFonts w:hint="eastAsia" w:ascii="黑体" w:eastAsia="黑体"/>
          <w:sz w:val="21"/>
          <w:szCs w:val="21"/>
        </w:rPr>
        <w:t>要求承包人增加或更换施工设备</w:t>
      </w:r>
    </w:p>
    <w:p w14:paraId="194D4DB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本款细化为：</w:t>
      </w:r>
    </w:p>
    <w:p w14:paraId="3D3B33F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30124592">
      <w:pPr>
        <w:keepNext w:val="0"/>
        <w:keepLines w:val="0"/>
        <w:pageBreakBefore w:val="0"/>
        <w:widowControl w:val="0"/>
        <w:numPr>
          <w:ilvl w:val="0"/>
          <w:numId w:val="0"/>
        </w:numPr>
        <w:tabs>
          <w:tab w:val="left" w:pos="775"/>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228" w:name="_bookmark187"/>
      <w:bookmarkEnd w:id="228"/>
      <w:bookmarkStart w:id="229" w:name="_bookmark187"/>
      <w:bookmarkEnd w:id="229"/>
      <w:r>
        <w:rPr>
          <w:rFonts w:hint="default" w:ascii="Times New Roman" w:hAnsi="Times New Roman" w:eastAsia="Times New Roman" w:cs="Times New Roman"/>
          <w:w w:val="100"/>
          <w:sz w:val="21"/>
          <w:szCs w:val="21"/>
          <w:lang w:val="zh-CN" w:eastAsia="zh-CN" w:bidi="zh-CN"/>
        </w:rPr>
        <w:t>7.</w:t>
      </w:r>
      <w:r>
        <w:rPr>
          <w:rFonts w:hint="eastAsia" w:ascii="黑体" w:eastAsia="黑体"/>
          <w:sz w:val="21"/>
          <w:szCs w:val="21"/>
        </w:rPr>
        <w:t>交通运输</w:t>
      </w:r>
    </w:p>
    <w:p w14:paraId="48D4E289">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30" w:name="_bookmark188"/>
      <w:bookmarkEnd w:id="230"/>
      <w:bookmarkStart w:id="231" w:name="_bookmark188"/>
      <w:bookmarkEnd w:id="231"/>
      <w:r>
        <w:rPr>
          <w:rFonts w:hint="default" w:ascii="Times New Roman" w:hAnsi="Times New Roman" w:eastAsia="Times New Roman" w:cs="Times New Roman"/>
          <w:spacing w:val="-1"/>
          <w:w w:val="100"/>
          <w:sz w:val="21"/>
          <w:szCs w:val="21"/>
          <w:lang w:val="zh-CN" w:eastAsia="zh-CN" w:bidi="zh-CN"/>
        </w:rPr>
        <w:t>7.1</w:t>
      </w:r>
      <w:r>
        <w:rPr>
          <w:rFonts w:hint="eastAsia" w:ascii="黑体" w:eastAsia="黑体"/>
          <w:sz w:val="21"/>
          <w:szCs w:val="21"/>
        </w:rPr>
        <w:t>道路通行权和场外设施</w:t>
      </w:r>
    </w:p>
    <w:p w14:paraId="2EE00B8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本款约定为：</w:t>
      </w:r>
    </w:p>
    <w:p w14:paraId="4A522C3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34D97AD7">
      <w:pPr>
        <w:keepNext w:val="0"/>
        <w:keepLines w:val="0"/>
        <w:pageBreakBefore w:val="0"/>
        <w:widowControl w:val="0"/>
        <w:numPr>
          <w:ilvl w:val="0"/>
          <w:numId w:val="0"/>
        </w:numPr>
        <w:tabs>
          <w:tab w:val="left" w:pos="775"/>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232" w:name="_bookmark189"/>
      <w:bookmarkEnd w:id="232"/>
      <w:bookmarkStart w:id="233" w:name="_bookmark189"/>
      <w:bookmarkEnd w:id="233"/>
      <w:r>
        <w:rPr>
          <w:rFonts w:hint="default" w:ascii="Times New Roman" w:hAnsi="Times New Roman" w:eastAsia="Times New Roman" w:cs="Times New Roman"/>
          <w:w w:val="100"/>
          <w:sz w:val="21"/>
          <w:szCs w:val="21"/>
          <w:lang w:val="zh-CN" w:eastAsia="zh-CN" w:bidi="zh-CN"/>
        </w:rPr>
        <w:t>8.</w:t>
      </w:r>
      <w:r>
        <w:rPr>
          <w:rFonts w:hint="eastAsia" w:ascii="黑体" w:eastAsia="黑体"/>
          <w:sz w:val="21"/>
          <w:szCs w:val="21"/>
        </w:rPr>
        <w:t>测量放线</w:t>
      </w:r>
    </w:p>
    <w:p w14:paraId="1A130C6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bookmarkStart w:id="234" w:name="_bookmark190"/>
      <w:bookmarkEnd w:id="234"/>
      <w:r>
        <w:rPr>
          <w:rFonts w:ascii="Times New Roman" w:eastAsia="Times New Roman"/>
          <w:sz w:val="21"/>
          <w:szCs w:val="21"/>
        </w:rPr>
        <w:t>8.4</w:t>
      </w:r>
      <w:r>
        <w:rPr>
          <w:rFonts w:ascii="Times New Roman" w:eastAsia="Times New Roman"/>
          <w:spacing w:val="59"/>
          <w:sz w:val="21"/>
          <w:szCs w:val="21"/>
        </w:rPr>
        <w:t xml:space="preserve"> </w:t>
      </w:r>
      <w:r>
        <w:rPr>
          <w:rFonts w:hint="eastAsia" w:ascii="黑体" w:eastAsia="黑体"/>
          <w:sz w:val="21"/>
          <w:szCs w:val="21"/>
        </w:rPr>
        <w:t>监理人使用施工控制网</w:t>
      </w:r>
    </w:p>
    <w:p w14:paraId="59F2566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本款补充：</w:t>
      </w:r>
    </w:p>
    <w:p w14:paraId="3136A24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经监理人批准，其他相关承包人也可免费使用施工控制网。</w:t>
      </w:r>
    </w:p>
    <w:p w14:paraId="6F851286">
      <w:pPr>
        <w:keepNext w:val="0"/>
        <w:keepLines w:val="0"/>
        <w:pageBreakBefore w:val="0"/>
        <w:widowControl w:val="0"/>
        <w:numPr>
          <w:ilvl w:val="0"/>
          <w:numId w:val="0"/>
        </w:numPr>
        <w:tabs>
          <w:tab w:val="left" w:pos="775"/>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235" w:name="_bookmark191"/>
      <w:bookmarkEnd w:id="235"/>
      <w:bookmarkStart w:id="236" w:name="_bookmark191"/>
      <w:bookmarkEnd w:id="236"/>
      <w:r>
        <w:rPr>
          <w:rFonts w:hint="default" w:ascii="Times New Roman" w:hAnsi="Times New Roman" w:eastAsia="Times New Roman" w:cs="Times New Roman"/>
          <w:w w:val="100"/>
          <w:sz w:val="21"/>
          <w:szCs w:val="21"/>
          <w:lang w:val="zh-CN" w:eastAsia="zh-CN" w:bidi="zh-CN"/>
        </w:rPr>
        <w:t>9.</w:t>
      </w:r>
      <w:r>
        <w:rPr>
          <w:rFonts w:hint="eastAsia" w:ascii="黑体" w:eastAsia="黑体"/>
          <w:spacing w:val="-3"/>
          <w:sz w:val="21"/>
          <w:szCs w:val="21"/>
        </w:rPr>
        <w:t>施工安全、治安保卫和环境保护</w:t>
      </w:r>
    </w:p>
    <w:p w14:paraId="039A35EE">
      <w:pPr>
        <w:pStyle w:val="41"/>
        <w:keepNext w:val="0"/>
        <w:keepLines w:val="0"/>
        <w:pageBreakBefore w:val="0"/>
        <w:widowControl w:val="0"/>
        <w:numPr>
          <w:ilvl w:val="1"/>
          <w:numId w:val="0"/>
        </w:numPr>
        <w:tabs>
          <w:tab w:val="left" w:pos="84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37" w:name="_bookmark192"/>
      <w:bookmarkEnd w:id="237"/>
      <w:bookmarkStart w:id="238" w:name="_bookmark192"/>
      <w:bookmarkEnd w:id="238"/>
      <w:r>
        <w:rPr>
          <w:rFonts w:hint="default" w:ascii="Times New Roman" w:hAnsi="Times New Roman" w:eastAsia="Times New Roman" w:cs="Times New Roman"/>
          <w:spacing w:val="-1"/>
          <w:w w:val="100"/>
          <w:sz w:val="21"/>
          <w:szCs w:val="21"/>
          <w:lang w:val="zh-CN" w:eastAsia="zh-CN" w:bidi="zh-CN"/>
        </w:rPr>
        <w:t>9.2</w:t>
      </w:r>
      <w:r>
        <w:rPr>
          <w:rFonts w:hint="eastAsia" w:ascii="黑体" w:eastAsia="黑体"/>
          <w:sz w:val="21"/>
          <w:szCs w:val="21"/>
        </w:rPr>
        <w:t>承包人的施工安全责任</w:t>
      </w:r>
    </w:p>
    <w:p w14:paraId="477CF9E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9.2.1 </w:t>
      </w:r>
      <w:r>
        <w:rPr>
          <w:sz w:val="21"/>
          <w:szCs w:val="21"/>
        </w:rPr>
        <w:t>项细化为：</w:t>
      </w:r>
    </w:p>
    <w:p w14:paraId="5EB231E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08465DC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承包人应根据本工程的实际安全施工要求，编制施工安全技术措施，并在签订</w:t>
      </w:r>
      <w:r>
        <w:rPr>
          <w:spacing w:val="-9"/>
          <w:sz w:val="21"/>
          <w:szCs w:val="21"/>
        </w:rPr>
        <w:t xml:space="preserve">合同协议书后 </w:t>
      </w:r>
      <w:r>
        <w:rPr>
          <w:rFonts w:ascii="Times New Roman" w:eastAsia="Times New Roman"/>
          <w:sz w:val="21"/>
          <w:szCs w:val="21"/>
        </w:rPr>
        <w:t xml:space="preserve">28 </w:t>
      </w:r>
      <w:r>
        <w:rPr>
          <w:spacing w:val="-9"/>
          <w:sz w:val="21"/>
          <w:szCs w:val="21"/>
        </w:rPr>
        <w:t>天内，报监理人和发包人批准。该施工安全技术措施包括</w:t>
      </w:r>
      <w:r>
        <w:rPr>
          <w:sz w:val="21"/>
          <w:szCs w:val="21"/>
        </w:rPr>
        <w:t>（</w:t>
      </w:r>
      <w:r>
        <w:rPr>
          <w:spacing w:val="-5"/>
          <w:sz w:val="21"/>
          <w:szCs w:val="21"/>
        </w:rPr>
        <w:t>但不限</w:t>
      </w:r>
      <w:r>
        <w:rPr>
          <w:sz w:val="21"/>
          <w:szCs w:val="21"/>
        </w:rPr>
        <w:t>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w:t>
      </w:r>
      <w:r>
        <w:rPr>
          <w:spacing w:val="-1"/>
          <w:sz w:val="21"/>
          <w:szCs w:val="21"/>
        </w:rPr>
        <w:t>的工程应编制专项施工方案，并附安全验算结果，经承包人项目总工签字并报监理</w:t>
      </w:r>
      <w:r>
        <w:rPr>
          <w:sz w:val="21"/>
          <w:szCs w:val="21"/>
        </w:rPr>
        <w:t>人和发包人批准后实施，由专职安全生产管理人员进行现场监督。</w:t>
      </w:r>
    </w:p>
    <w:p w14:paraId="05649EE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本项目需要编制专项施工方案的工程包括但不限于以下内容：</w:t>
      </w:r>
    </w:p>
    <w:p w14:paraId="5F823E4F">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（1）</w:t>
      </w:r>
      <w:r>
        <w:rPr>
          <w:sz w:val="21"/>
          <w:szCs w:val="21"/>
        </w:rPr>
        <w:t>不良地质条件下有潜在危险性的土方、石方开挖；</w:t>
      </w:r>
    </w:p>
    <w:p w14:paraId="7A270E32">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（2）</w:t>
      </w:r>
      <w:r>
        <w:rPr>
          <w:sz w:val="21"/>
          <w:szCs w:val="21"/>
        </w:rPr>
        <w:t>滑坡和高边坡处理；</w:t>
      </w:r>
    </w:p>
    <w:p w14:paraId="0FF08EE9">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（3）</w:t>
      </w:r>
      <w:r>
        <w:rPr>
          <w:sz w:val="21"/>
          <w:szCs w:val="21"/>
        </w:rPr>
        <w:t>桩基础、挡墙基础、深水基础及围堰工程；</w:t>
      </w:r>
    </w:p>
    <w:p w14:paraId="7C5FE886">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（4）</w:t>
      </w:r>
      <w:r>
        <w:rPr>
          <w:sz w:val="21"/>
          <w:szCs w:val="21"/>
        </w:rPr>
        <w:t>桥梁工程中的梁、拱、柱等构件施工等；</w:t>
      </w:r>
    </w:p>
    <w:p w14:paraId="03C2D5F8">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（5）</w:t>
      </w:r>
      <w:r>
        <w:rPr>
          <w:sz w:val="21"/>
          <w:szCs w:val="21"/>
        </w:rPr>
        <w:t>隧道工程中的不良地质隧道、高瓦斯隧道等；</w:t>
      </w:r>
    </w:p>
    <w:p w14:paraId="7C101A46">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（6）</w:t>
      </w:r>
      <w:r>
        <w:rPr>
          <w:spacing w:val="-5"/>
          <w:sz w:val="21"/>
          <w:szCs w:val="21"/>
        </w:rPr>
        <w:t>水上工程中的打桩船作业、施工船作业、外海孤岛作业、边通航边施工作业等；</w:t>
      </w:r>
    </w:p>
    <w:p w14:paraId="26894CEC">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（7）</w:t>
      </w:r>
      <w:r>
        <w:rPr>
          <w:sz w:val="21"/>
          <w:szCs w:val="21"/>
        </w:rPr>
        <w:t>水下工程中的水下焊接、混凝土浇筑、爆破工程等；</w:t>
      </w:r>
    </w:p>
    <w:p w14:paraId="00FA7884">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（8）</w:t>
      </w:r>
      <w:r>
        <w:rPr>
          <w:sz w:val="21"/>
          <w:szCs w:val="21"/>
        </w:rPr>
        <w:t>爆破工程；</w:t>
      </w:r>
    </w:p>
    <w:p w14:paraId="760E4BF6">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（9）</w:t>
      </w:r>
      <w:r>
        <w:rPr>
          <w:spacing w:val="-6"/>
          <w:sz w:val="21"/>
          <w:szCs w:val="21"/>
        </w:rPr>
        <w:t>大型临时工程中的大型支架、模板、便桥的架设与拆除；桥梁、码头的加</w:t>
      </w:r>
      <w:r>
        <w:rPr>
          <w:sz w:val="21"/>
          <w:szCs w:val="21"/>
        </w:rPr>
        <w:t>固与拆除；</w:t>
      </w:r>
    </w:p>
    <w:p w14:paraId="566CAE4A">
      <w:pPr>
        <w:pStyle w:val="41"/>
        <w:keepNext w:val="0"/>
        <w:keepLines w:val="0"/>
        <w:pageBreakBefore w:val="0"/>
        <w:widowControl w:val="0"/>
        <w:numPr>
          <w:ilvl w:val="2"/>
          <w:numId w:val="0"/>
        </w:numPr>
        <w:tabs>
          <w:tab w:val="left" w:pos="162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（10）</w:t>
      </w:r>
      <w:r>
        <w:rPr>
          <w:sz w:val="21"/>
          <w:szCs w:val="21"/>
        </w:rPr>
        <w:t>其他危险性较大的工程。</w:t>
      </w:r>
    </w:p>
    <w:p w14:paraId="669D150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40" w:firstLineChars="200"/>
        <w:textAlignment w:val="auto"/>
        <w:rPr>
          <w:sz w:val="21"/>
          <w:szCs w:val="21"/>
        </w:rPr>
      </w:pPr>
      <w:r>
        <w:rPr>
          <w:spacing w:val="5"/>
          <w:sz w:val="21"/>
          <w:szCs w:val="21"/>
        </w:rPr>
        <w:t>监理人和发包人在检查中发现有安全问题或有违反安全管理规章制度的情况</w:t>
      </w:r>
      <w:r>
        <w:rPr>
          <w:sz w:val="21"/>
          <w:szCs w:val="21"/>
        </w:rPr>
        <w:t xml:space="preserve">时，可视为承包人违约，应按第 </w:t>
      </w:r>
      <w:r>
        <w:rPr>
          <w:rFonts w:ascii="Times New Roman" w:eastAsia="Times New Roman"/>
          <w:sz w:val="21"/>
          <w:szCs w:val="21"/>
        </w:rPr>
        <w:t xml:space="preserve">22.1 </w:t>
      </w:r>
      <w:r>
        <w:rPr>
          <w:sz w:val="21"/>
          <w:szCs w:val="21"/>
        </w:rPr>
        <w:t>款的规定办理。</w:t>
      </w:r>
    </w:p>
    <w:p w14:paraId="36BF4CE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 xml:space="preserve">第 </w:t>
      </w:r>
      <w:r>
        <w:rPr>
          <w:rFonts w:ascii="Times New Roman" w:eastAsia="Times New Roman"/>
          <w:sz w:val="21"/>
          <w:szCs w:val="21"/>
        </w:rPr>
        <w:t xml:space="preserve">9.2.5 </w:t>
      </w:r>
      <w:r>
        <w:rPr>
          <w:sz w:val="21"/>
          <w:szCs w:val="21"/>
        </w:rPr>
        <w:t>项细化为：</w:t>
      </w:r>
    </w:p>
    <w:p w14:paraId="74FBFF6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除项目专用合同条款另有约定外，</w:t>
      </w:r>
      <w:r>
        <w:rPr>
          <w:rFonts w:hint="eastAsia"/>
          <w:b/>
          <w:bCs/>
          <w:sz w:val="21"/>
          <w:szCs w:val="21"/>
        </w:rPr>
        <w:t>安全生产费用应为</w:t>
      </w:r>
      <w:r>
        <w:rPr>
          <w:rFonts w:hint="eastAsia"/>
          <w:b/>
          <w:bCs/>
          <w:sz w:val="21"/>
          <w:szCs w:val="21"/>
          <w:lang w:eastAsia="zh-CN"/>
        </w:rPr>
        <w:t>投标价</w:t>
      </w:r>
      <w:r>
        <w:rPr>
          <w:rFonts w:hint="eastAsia"/>
          <w:b/>
          <w:bCs/>
          <w:sz w:val="21"/>
          <w:szCs w:val="21"/>
        </w:rPr>
        <w:t>（不含建筑工程一切险及第三者责任险的保险费</w:t>
      </w:r>
      <w:r>
        <w:rPr>
          <w:rFonts w:hint="eastAsia"/>
          <w:b/>
          <w:bCs/>
          <w:sz w:val="21"/>
          <w:szCs w:val="21"/>
          <w:lang w:eastAsia="zh-CN"/>
        </w:rPr>
        <w:t>、安全生产费</w:t>
      </w:r>
      <w:r>
        <w:rPr>
          <w:rFonts w:hint="eastAsia"/>
          <w:b/>
          <w:bCs/>
          <w:sz w:val="21"/>
          <w:szCs w:val="21"/>
        </w:rPr>
        <w:t>）的</w:t>
      </w:r>
      <w:r>
        <w:rPr>
          <w:rFonts w:hint="eastAsia"/>
          <w:b/>
          <w:bCs/>
          <w:sz w:val="21"/>
          <w:szCs w:val="21"/>
          <w:lang w:val="en-US" w:eastAsia="zh-CN"/>
        </w:rPr>
        <w:t>1.5</w:t>
      </w:r>
      <w:r>
        <w:rPr>
          <w:rFonts w:hint="eastAsia"/>
          <w:b/>
          <w:bCs/>
          <w:sz w:val="21"/>
          <w:szCs w:val="21"/>
        </w:rPr>
        <w:t>%</w:t>
      </w:r>
      <w:r>
        <w:rPr>
          <w:spacing w:val="-1"/>
          <w:sz w:val="21"/>
          <w:szCs w:val="21"/>
        </w:rPr>
        <w:t>。安全生产费用应用于施工安全防护用具及设施</w:t>
      </w:r>
      <w:r>
        <w:rPr>
          <w:sz w:val="21"/>
          <w:szCs w:val="21"/>
        </w:rPr>
        <w:t>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w:t>
      </w:r>
      <w:r>
        <w:rPr>
          <w:spacing w:val="-3"/>
          <w:sz w:val="21"/>
          <w:szCs w:val="21"/>
        </w:rPr>
        <w:t xml:space="preserve">同未约定的特殊防护措施增加的费用，由监理人按第 </w:t>
      </w:r>
      <w:r>
        <w:rPr>
          <w:rFonts w:ascii="Times New Roman" w:eastAsia="Times New Roman"/>
          <w:sz w:val="21"/>
          <w:szCs w:val="21"/>
        </w:rPr>
        <w:t xml:space="preserve">3.5 </w:t>
      </w:r>
      <w:r>
        <w:rPr>
          <w:sz w:val="21"/>
          <w:szCs w:val="21"/>
        </w:rPr>
        <w:t>款商定或确定。</w:t>
      </w:r>
    </w:p>
    <w:p w14:paraId="010BE0E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本款补充第 </w:t>
      </w:r>
      <w:r>
        <w:rPr>
          <w:rFonts w:ascii="Times New Roman" w:eastAsia="Times New Roman"/>
          <w:sz w:val="21"/>
          <w:szCs w:val="21"/>
        </w:rPr>
        <w:t xml:space="preserve">9.2.8 </w:t>
      </w:r>
      <w:r>
        <w:rPr>
          <w:sz w:val="21"/>
          <w:szCs w:val="21"/>
        </w:rPr>
        <w:t>项</w:t>
      </w:r>
      <w:r>
        <w:rPr>
          <w:rFonts w:ascii="Times New Roman" w:eastAsia="Times New Roman"/>
          <w:sz w:val="21"/>
          <w:szCs w:val="21"/>
        </w:rPr>
        <w:t>~</w:t>
      </w:r>
      <w:r>
        <w:rPr>
          <w:sz w:val="21"/>
          <w:szCs w:val="21"/>
        </w:rPr>
        <w:t xml:space="preserve">第 </w:t>
      </w:r>
      <w:r>
        <w:rPr>
          <w:rFonts w:ascii="Times New Roman" w:eastAsia="Times New Roman"/>
          <w:sz w:val="21"/>
          <w:szCs w:val="21"/>
        </w:rPr>
        <w:t xml:space="preserve">9.2.11 </w:t>
      </w:r>
      <w:r>
        <w:rPr>
          <w:sz w:val="21"/>
          <w:szCs w:val="21"/>
        </w:rPr>
        <w:t>项：</w:t>
      </w:r>
    </w:p>
    <w:p w14:paraId="662FBC6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rFonts w:hint="eastAsia"/>
          <w:sz w:val="21"/>
          <w:szCs w:val="21"/>
          <w:lang w:val="en-US" w:eastAsia="zh-CN"/>
        </w:rPr>
        <w:t>9.2.8</w:t>
      </w:r>
      <w:r>
        <w:rPr>
          <w:sz w:val="21"/>
          <w:szCs w:val="21"/>
        </w:rPr>
        <w:t>承包人应充分关注和保障所有在现场工作的人员的安全，采取以下有效措施，使现场和本合同工程的实施保持有条不紊，以免使上述人员的安全受到威胁。</w:t>
      </w:r>
    </w:p>
    <w:p w14:paraId="6B7F0249">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（1）</w:t>
      </w:r>
      <w:r>
        <w:rPr>
          <w:spacing w:val="0"/>
          <w:sz w:val="21"/>
          <w:szCs w:val="21"/>
        </w:rPr>
        <w:t>按《公路水运工程安全生产监督管理办法》规定的最低数量和资质条件配备专职安全生产管理人员；</w:t>
      </w:r>
    </w:p>
    <w:p w14:paraId="6B965C02">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宋体" w:hAnsi="宋体" w:eastAsia="宋体" w:cs="宋体"/>
          <w:spacing w:val="0"/>
          <w:w w:val="100"/>
          <w:sz w:val="21"/>
          <w:szCs w:val="21"/>
          <w:lang w:val="zh-CN" w:eastAsia="zh-CN" w:bidi="zh-CN"/>
        </w:rPr>
        <w:t>（2）</w:t>
      </w:r>
      <w:r>
        <w:rPr>
          <w:spacing w:val="0"/>
          <w:sz w:val="21"/>
          <w:szCs w:val="21"/>
        </w:rPr>
        <w:t>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7F0DC7AF">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（3）</w:t>
      </w:r>
      <w:r>
        <w:rPr>
          <w:spacing w:val="0"/>
          <w:sz w:val="21"/>
          <w:szCs w:val="21"/>
        </w:rPr>
        <w:t>所有施工机具设备和高空作业设备均应定期检查，并有安全员的签字记录；</w:t>
      </w:r>
    </w:p>
    <w:p w14:paraId="05141550">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（4）</w:t>
      </w:r>
      <w:r>
        <w:rPr>
          <w:spacing w:val="0"/>
          <w:sz w:val="21"/>
          <w:szCs w:val="21"/>
        </w:rPr>
        <w:t>根据本合同各单位工程的施工特点，严格执行《公路水运工程安全生产监督管理办法》《公路工程施工安全技术规范》等有关规定。</w:t>
      </w:r>
    </w:p>
    <w:p w14:paraId="71F391C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sz w:val="21"/>
          <w:szCs w:val="21"/>
          <w:lang w:val="en-US" w:eastAsia="zh-CN"/>
        </w:rPr>
      </w:pPr>
      <w:r>
        <w:rPr>
          <w:rFonts w:hint="eastAsia"/>
          <w:sz w:val="21"/>
          <w:szCs w:val="21"/>
          <w:lang w:val="en-US" w:eastAsia="zh-CN"/>
        </w:rPr>
        <w:t>9.2.9为了保护本合同工程免遭损坏，或为了现场附近和过往群众的安全与方便，在确有必要的时候和地方，或当监理人或有关主管部门要求时，承包人应自费提供照明、警卫、护栅、警告标志等安全防护设施。</w:t>
      </w:r>
    </w:p>
    <w:p w14:paraId="132B9FF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sz w:val="21"/>
          <w:szCs w:val="21"/>
          <w:lang w:val="en-US" w:eastAsia="zh-CN"/>
        </w:rPr>
      </w:pPr>
      <w:r>
        <w:rPr>
          <w:rFonts w:hint="eastAsia"/>
          <w:sz w:val="21"/>
          <w:szCs w:val="21"/>
          <w:lang w:val="en-US" w:eastAsia="zh-CN"/>
        </w:rPr>
        <w:t>9.2.10在通航水域施工时，承包人应与当地主管部门取得联系，设置必要的导航标志，及时发布航行通告，确保施工水域安全。</w:t>
      </w:r>
    </w:p>
    <w:p w14:paraId="740178C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sz w:val="21"/>
          <w:szCs w:val="21"/>
          <w:lang w:val="en-US" w:eastAsia="zh-CN"/>
        </w:rPr>
      </w:pPr>
      <w:r>
        <w:rPr>
          <w:rFonts w:hint="eastAsia"/>
          <w:sz w:val="21"/>
          <w:szCs w:val="21"/>
          <w:lang w:val="en-US" w:eastAsia="zh-CN"/>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6078B4B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bookmarkStart w:id="239" w:name="_bookmark193"/>
      <w:bookmarkEnd w:id="239"/>
      <w:r>
        <w:rPr>
          <w:rFonts w:ascii="Times New Roman" w:eastAsia="Times New Roman"/>
          <w:sz w:val="21"/>
          <w:szCs w:val="21"/>
        </w:rPr>
        <w:t>9.4</w:t>
      </w:r>
      <w:r>
        <w:rPr>
          <w:rFonts w:ascii="Times New Roman" w:eastAsia="Times New Roman"/>
          <w:spacing w:val="59"/>
          <w:sz w:val="21"/>
          <w:szCs w:val="21"/>
        </w:rPr>
        <w:t xml:space="preserve"> </w:t>
      </w:r>
      <w:r>
        <w:rPr>
          <w:rFonts w:hint="eastAsia" w:ascii="黑体" w:eastAsia="黑体"/>
          <w:sz w:val="21"/>
          <w:szCs w:val="21"/>
        </w:rPr>
        <w:t>环境保护</w:t>
      </w:r>
    </w:p>
    <w:p w14:paraId="2886A7D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本款补充第 </w:t>
      </w:r>
      <w:r>
        <w:rPr>
          <w:rFonts w:ascii="Times New Roman" w:eastAsia="Times New Roman"/>
          <w:sz w:val="21"/>
          <w:szCs w:val="21"/>
        </w:rPr>
        <w:t xml:space="preserve">9.4.7 </w:t>
      </w:r>
      <w:r>
        <w:rPr>
          <w:sz w:val="21"/>
          <w:szCs w:val="21"/>
        </w:rPr>
        <w:t>项</w:t>
      </w:r>
      <w:r>
        <w:rPr>
          <w:rFonts w:ascii="Times New Roman" w:eastAsia="Times New Roman"/>
          <w:sz w:val="21"/>
          <w:szCs w:val="21"/>
        </w:rPr>
        <w:t>~</w:t>
      </w:r>
      <w:r>
        <w:rPr>
          <w:sz w:val="21"/>
          <w:szCs w:val="21"/>
        </w:rPr>
        <w:t xml:space="preserve">第 </w:t>
      </w:r>
      <w:r>
        <w:rPr>
          <w:rFonts w:ascii="Times New Roman" w:eastAsia="Times New Roman"/>
          <w:sz w:val="21"/>
          <w:szCs w:val="21"/>
        </w:rPr>
        <w:t xml:space="preserve">9.4.11 </w:t>
      </w:r>
      <w:r>
        <w:rPr>
          <w:sz w:val="21"/>
          <w:szCs w:val="21"/>
        </w:rPr>
        <w:t>项：</w:t>
      </w:r>
    </w:p>
    <w:p w14:paraId="4AF58678">
      <w:pPr>
        <w:pStyle w:val="41"/>
        <w:keepNext w:val="0"/>
        <w:keepLines w:val="0"/>
        <w:pageBreakBefore w:val="0"/>
        <w:widowControl w:val="0"/>
        <w:numPr>
          <w:ilvl w:val="2"/>
          <w:numId w:val="0"/>
        </w:numPr>
        <w:tabs>
          <w:tab w:val="left" w:pos="150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9.4.7</w:t>
      </w:r>
      <w:r>
        <w:rPr>
          <w:sz w:val="21"/>
          <w:szCs w:val="21"/>
        </w:rPr>
        <w:t>承包人应切实执行技术规范中有关环境保护方面的条款和规定。</w:t>
      </w:r>
    </w:p>
    <w:p w14:paraId="674E0858">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304" w:firstLineChars="200"/>
        <w:jc w:val="both"/>
        <w:textAlignment w:val="auto"/>
        <w:rPr>
          <w:sz w:val="21"/>
          <w:szCs w:val="21"/>
        </w:rPr>
      </w:pPr>
      <w:r>
        <w:rPr>
          <w:rFonts w:hint="default" w:ascii="宋体" w:hAnsi="宋体" w:eastAsia="宋体" w:cs="宋体"/>
          <w:spacing w:val="-29"/>
          <w:w w:val="100"/>
          <w:sz w:val="21"/>
          <w:szCs w:val="21"/>
          <w:lang w:val="zh-CN" w:eastAsia="zh-CN" w:bidi="zh-CN"/>
        </w:rPr>
        <w:t>（1）</w:t>
      </w:r>
      <w:r>
        <w:rPr>
          <w:spacing w:val="-3"/>
          <w:sz w:val="21"/>
          <w:szCs w:val="21"/>
        </w:rPr>
        <w:t>对于来自施工机械和运输车辆的施工噪声，为保护施工人员的健康，应</w:t>
      </w:r>
      <w:r>
        <w:rPr>
          <w:spacing w:val="-4"/>
          <w:sz w:val="21"/>
          <w:szCs w:val="21"/>
        </w:rPr>
        <w:t>遵守《中华人民共和国环境噪声污染防治法》</w:t>
      </w:r>
      <w:r>
        <w:rPr>
          <w:rFonts w:hint="eastAsia"/>
          <w:spacing w:val="-4"/>
          <w:sz w:val="21"/>
          <w:szCs w:val="21"/>
          <w:lang w:eastAsia="zh-CN"/>
        </w:rPr>
        <w:t>、《安徽省交通运输厅关于进一步加强我省公路水运工程施工大气污染防治工作的指导意见》</w:t>
      </w:r>
      <w:bookmarkStart w:id="240" w:name="文号"/>
      <w:r>
        <w:rPr>
          <w:rFonts w:hint="eastAsia"/>
          <w:spacing w:val="-4"/>
          <w:sz w:val="21"/>
          <w:szCs w:val="21"/>
          <w:lang w:eastAsia="zh-CN"/>
        </w:rPr>
        <w:t>皖交建管〔2018〕57号</w:t>
      </w:r>
      <w:bookmarkEnd w:id="240"/>
      <w:r>
        <w:rPr>
          <w:rFonts w:hint="eastAsia"/>
          <w:spacing w:val="-4"/>
          <w:sz w:val="21"/>
          <w:szCs w:val="21"/>
          <w:lang w:eastAsia="zh-CN"/>
        </w:rPr>
        <w:t>、《淮北市大气污染防治办法》</w:t>
      </w:r>
      <w:r>
        <w:rPr>
          <w:spacing w:val="-4"/>
          <w:sz w:val="21"/>
          <w:szCs w:val="21"/>
        </w:rPr>
        <w:t>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w:t>
      </w:r>
      <w:r>
        <w:rPr>
          <w:spacing w:val="-5"/>
          <w:sz w:val="21"/>
          <w:szCs w:val="21"/>
        </w:rPr>
        <w:t xml:space="preserve">低水平。为保护施工现场附近居民的夜间休息，对居民区 </w:t>
      </w:r>
      <w:r>
        <w:rPr>
          <w:rFonts w:ascii="Times New Roman" w:eastAsia="Times New Roman"/>
          <w:sz w:val="21"/>
          <w:szCs w:val="21"/>
        </w:rPr>
        <w:t>150m</w:t>
      </w:r>
      <w:r>
        <w:rPr>
          <w:rFonts w:ascii="Times New Roman" w:eastAsia="Times New Roman"/>
          <w:spacing w:val="44"/>
          <w:sz w:val="21"/>
          <w:szCs w:val="21"/>
        </w:rPr>
        <w:t xml:space="preserve"> </w:t>
      </w:r>
      <w:r>
        <w:rPr>
          <w:sz w:val="21"/>
          <w:szCs w:val="21"/>
        </w:rPr>
        <w:t xml:space="preserve">以内的施工现场， </w:t>
      </w:r>
      <w:r>
        <w:rPr>
          <w:spacing w:val="-4"/>
          <w:sz w:val="21"/>
          <w:szCs w:val="21"/>
        </w:rPr>
        <w:t>施工时间应加以控制。</w:t>
      </w:r>
    </w:p>
    <w:p w14:paraId="6E6E47F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对于公路施工中粉尘污染的主要污染源</w:t>
      </w:r>
      <w:r>
        <w:rPr>
          <w:rFonts w:ascii="Times New Roman" w:hAnsi="Times New Roman" w:eastAsia="Times New Roman"/>
          <w:sz w:val="21"/>
          <w:szCs w:val="21"/>
        </w:rPr>
        <w:t>――</w:t>
      </w:r>
      <w:r>
        <w:rPr>
          <w:spacing w:val="-7"/>
          <w:sz w:val="21"/>
          <w:szCs w:val="21"/>
        </w:rPr>
        <w:t>灰土拌和、施工车辆和筑路</w:t>
      </w:r>
      <w:r>
        <w:rPr>
          <w:spacing w:val="-4"/>
          <w:sz w:val="21"/>
          <w:szCs w:val="21"/>
        </w:rPr>
        <w:t>机械运行及运输产生的扬尘，应采取有效措施减轻其对施工现场的大气污染，保护</w:t>
      </w:r>
      <w:r>
        <w:rPr>
          <w:spacing w:val="-3"/>
          <w:sz w:val="21"/>
          <w:szCs w:val="21"/>
        </w:rPr>
        <w:t>人民健康，如：</w:t>
      </w:r>
    </w:p>
    <w:p w14:paraId="34551757">
      <w:pPr>
        <w:pStyle w:val="41"/>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sz w:val="21"/>
          <w:szCs w:val="21"/>
        </w:rPr>
      </w:pPr>
      <w:r>
        <w:rPr>
          <w:rFonts w:hint="default" w:ascii="Times New Roman" w:hAnsi="Times New Roman" w:eastAsia="Times New Roman" w:cs="Times New Roman"/>
          <w:spacing w:val="-1"/>
          <w:w w:val="100"/>
          <w:sz w:val="21"/>
          <w:szCs w:val="21"/>
          <w:lang w:val="zh-CN" w:eastAsia="zh-CN" w:bidi="zh-CN"/>
        </w:rPr>
        <w:t>a.</w:t>
      </w:r>
      <w:r>
        <w:rPr>
          <w:sz w:val="21"/>
          <w:szCs w:val="21"/>
        </w:rPr>
        <w:t>拌和设备应有较好的密封，或有防尘设备。</w:t>
      </w:r>
    </w:p>
    <w:p w14:paraId="67700BCB">
      <w:pPr>
        <w:pStyle w:val="41"/>
        <w:keepNext w:val="0"/>
        <w:keepLines w:val="0"/>
        <w:pageBreakBefore w:val="0"/>
        <w:widowControl w:val="0"/>
        <w:numPr>
          <w:ilvl w:val="0"/>
          <w:numId w:val="0"/>
        </w:numPr>
        <w:tabs>
          <w:tab w:val="left" w:pos="120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sz w:val="21"/>
          <w:szCs w:val="21"/>
        </w:rPr>
      </w:pPr>
      <w:r>
        <w:rPr>
          <w:rFonts w:hint="default" w:ascii="Times New Roman" w:hAnsi="Times New Roman" w:eastAsia="Times New Roman" w:cs="Times New Roman"/>
          <w:spacing w:val="-1"/>
          <w:w w:val="100"/>
          <w:sz w:val="21"/>
          <w:szCs w:val="21"/>
          <w:lang w:val="zh-CN" w:eastAsia="zh-CN" w:bidi="zh-CN"/>
        </w:rPr>
        <w:t>b.</w:t>
      </w:r>
      <w:r>
        <w:rPr>
          <w:sz w:val="21"/>
          <w:szCs w:val="21"/>
        </w:rPr>
        <w:t>施工通道、沥青混凝土拌和站及灰土拌和站应经常进行洒水降尘。</w:t>
      </w:r>
    </w:p>
    <w:p w14:paraId="71FDC59F">
      <w:pPr>
        <w:pStyle w:val="41"/>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sz w:val="21"/>
          <w:szCs w:val="21"/>
        </w:rPr>
      </w:pPr>
      <w:r>
        <w:rPr>
          <w:rFonts w:hint="default" w:ascii="Times New Roman" w:hAnsi="Times New Roman" w:eastAsia="Times New Roman" w:cs="Times New Roman"/>
          <w:spacing w:val="-1"/>
          <w:w w:val="100"/>
          <w:sz w:val="21"/>
          <w:szCs w:val="21"/>
          <w:lang w:val="zh-CN" w:eastAsia="zh-CN" w:bidi="zh-CN"/>
        </w:rPr>
        <w:t>c.</w:t>
      </w:r>
      <w:r>
        <w:rPr>
          <w:sz w:val="21"/>
          <w:szCs w:val="21"/>
        </w:rPr>
        <w:t>路面施工应注意保持水分，以免扬尘。</w:t>
      </w:r>
    </w:p>
    <w:p w14:paraId="0FA17307">
      <w:pPr>
        <w:pStyle w:val="41"/>
        <w:keepNext w:val="0"/>
        <w:keepLines w:val="0"/>
        <w:pageBreakBefore w:val="0"/>
        <w:widowControl w:val="0"/>
        <w:numPr>
          <w:ilvl w:val="0"/>
          <w:numId w:val="0"/>
        </w:numPr>
        <w:tabs>
          <w:tab w:val="left" w:pos="120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sz w:val="21"/>
          <w:szCs w:val="21"/>
        </w:rPr>
      </w:pPr>
      <w:r>
        <w:rPr>
          <w:rFonts w:hint="default" w:ascii="Times New Roman" w:hAnsi="Times New Roman" w:eastAsia="Times New Roman" w:cs="Times New Roman"/>
          <w:spacing w:val="-1"/>
          <w:w w:val="100"/>
          <w:sz w:val="21"/>
          <w:szCs w:val="21"/>
          <w:lang w:val="zh-CN" w:eastAsia="zh-CN" w:bidi="zh-CN"/>
        </w:rPr>
        <w:t>d.</w:t>
      </w:r>
      <w:r>
        <w:rPr>
          <w:spacing w:val="-2"/>
          <w:sz w:val="21"/>
          <w:szCs w:val="21"/>
        </w:rPr>
        <w:t>隧道出渣和桥梁钻孔灌注桩施工时排出的泥浆要进行妥善处理，严禁向河流</w:t>
      </w:r>
      <w:r>
        <w:rPr>
          <w:sz w:val="21"/>
          <w:szCs w:val="21"/>
        </w:rPr>
        <w:t>或农田排放。</w:t>
      </w:r>
    </w:p>
    <w:p w14:paraId="698560CE">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304" w:firstLineChars="200"/>
        <w:jc w:val="left"/>
        <w:textAlignment w:val="auto"/>
        <w:rPr>
          <w:sz w:val="21"/>
          <w:szCs w:val="21"/>
        </w:rPr>
      </w:pPr>
      <w:r>
        <w:rPr>
          <w:rFonts w:hint="default" w:ascii="宋体" w:hAnsi="宋体" w:eastAsia="宋体" w:cs="宋体"/>
          <w:spacing w:val="-29"/>
          <w:w w:val="100"/>
          <w:sz w:val="21"/>
          <w:szCs w:val="21"/>
          <w:lang w:val="zh-CN" w:eastAsia="zh-CN" w:bidi="zh-CN"/>
        </w:rPr>
        <w:t>（2）</w:t>
      </w:r>
      <w:r>
        <w:rPr>
          <w:spacing w:val="-3"/>
          <w:sz w:val="21"/>
          <w:szCs w:val="21"/>
        </w:rPr>
        <w:t>采取可靠措施保证原有交通的正常通行，维持沿线村镇的居民饮水、农</w:t>
      </w:r>
      <w:r>
        <w:rPr>
          <w:spacing w:val="-4"/>
          <w:sz w:val="21"/>
          <w:szCs w:val="21"/>
        </w:rPr>
        <w:t>田灌溉、生产生活用电及通信等管线的正常使用。</w:t>
      </w:r>
    </w:p>
    <w:p w14:paraId="66B96566">
      <w:pPr>
        <w:pStyle w:val="41"/>
        <w:keepNext w:val="0"/>
        <w:keepLines w:val="0"/>
        <w:pageBreakBefore w:val="0"/>
        <w:widowControl w:val="0"/>
        <w:numPr>
          <w:ilvl w:val="2"/>
          <w:numId w:val="0"/>
        </w:numPr>
        <w:tabs>
          <w:tab w:val="left" w:pos="150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9.4.8</w:t>
      </w:r>
      <w:r>
        <w:rPr>
          <w:spacing w:val="-5"/>
          <w:sz w:val="21"/>
          <w:szCs w:val="21"/>
        </w:rPr>
        <w:t>在整个施工过程中对承包人采取的环境保护措施，发包人和监理人有权监</w:t>
      </w:r>
      <w:r>
        <w:rPr>
          <w:sz w:val="21"/>
          <w:szCs w:val="21"/>
        </w:rPr>
        <w:t>督，并向承包人提出整改要求。如果由于承包人未能对其负责的上述事项采取各种必要的措施而导致或发生与此有关的人身伤亡、罚款、索赔、损失补偿、诉讼费用及其他一切责任应由承包人负责。</w:t>
      </w:r>
    </w:p>
    <w:p w14:paraId="43018D80">
      <w:pPr>
        <w:pStyle w:val="41"/>
        <w:keepNext w:val="0"/>
        <w:keepLines w:val="0"/>
        <w:pageBreakBefore w:val="0"/>
        <w:widowControl w:val="0"/>
        <w:numPr>
          <w:ilvl w:val="2"/>
          <w:numId w:val="0"/>
        </w:numPr>
        <w:tabs>
          <w:tab w:val="left" w:pos="144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9.4.9</w:t>
      </w:r>
      <w:r>
        <w:rPr>
          <w:spacing w:val="-5"/>
          <w:sz w:val="21"/>
          <w:szCs w:val="21"/>
        </w:rPr>
        <w:t>在施工期间，承包人应随时保持现场整洁，施工设备和材料、工程设备应</w:t>
      </w:r>
      <w:r>
        <w:rPr>
          <w:sz w:val="21"/>
          <w:szCs w:val="21"/>
        </w:rPr>
        <w:t>整齐妥善存放和储存，废料与垃圾及不再需要的临时设施应及时从现场清除、拆除并运走。</w:t>
      </w:r>
    </w:p>
    <w:p w14:paraId="36E47B58">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9.4.10</w:t>
      </w:r>
      <w:r>
        <w:rPr>
          <w:spacing w:val="-1"/>
          <w:sz w:val="21"/>
          <w:szCs w:val="21"/>
        </w:rPr>
        <w:t>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w:t>
      </w:r>
      <w:r>
        <w:rPr>
          <w:sz w:val="21"/>
          <w:szCs w:val="21"/>
        </w:rPr>
        <w:t>的状况。</w:t>
      </w:r>
    </w:p>
    <w:p w14:paraId="1F8DC642">
      <w:pPr>
        <w:pStyle w:val="41"/>
        <w:keepNext w:val="0"/>
        <w:keepLines w:val="0"/>
        <w:pageBreakBefore w:val="0"/>
        <w:widowControl w:val="0"/>
        <w:numPr>
          <w:ilvl w:val="2"/>
          <w:numId w:val="0"/>
        </w:numPr>
        <w:tabs>
          <w:tab w:val="left" w:pos="1618"/>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9.4.11</w:t>
      </w:r>
      <w:r>
        <w:rPr>
          <w:sz w:val="21"/>
          <w:szCs w:val="21"/>
        </w:rPr>
        <w:t xml:space="preserve">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w:t>
      </w:r>
      <w:r>
        <w:rPr>
          <w:spacing w:val="-4"/>
          <w:sz w:val="21"/>
          <w:szCs w:val="21"/>
        </w:rPr>
        <w:t>要完善施工中的临时排水系统，加强施工便道的管理。取</w:t>
      </w:r>
      <w:r>
        <w:rPr>
          <w:sz w:val="21"/>
          <w:szCs w:val="21"/>
        </w:rPr>
        <w:t>（弃</w:t>
      </w:r>
      <w:r>
        <w:rPr>
          <w:spacing w:val="-22"/>
          <w:sz w:val="21"/>
          <w:szCs w:val="21"/>
        </w:rPr>
        <w:t>）</w:t>
      </w:r>
      <w:r>
        <w:rPr>
          <w:spacing w:val="-2"/>
          <w:sz w:val="21"/>
          <w:szCs w:val="21"/>
        </w:rPr>
        <w:t xml:space="preserve">土场必须先挡后弃， </w:t>
      </w:r>
      <w:r>
        <w:rPr>
          <w:sz w:val="21"/>
          <w:szCs w:val="21"/>
        </w:rPr>
        <w:t>严禁在指定的取（弃）土场以外的地方乱挖乱弃。</w:t>
      </w:r>
    </w:p>
    <w:p w14:paraId="3E3688B7">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241" w:name="_bookmark194"/>
      <w:bookmarkEnd w:id="241"/>
      <w:bookmarkStart w:id="242" w:name="_bookmark194"/>
      <w:bookmarkEnd w:id="242"/>
      <w:r>
        <w:rPr>
          <w:rFonts w:hint="default" w:ascii="Times New Roman" w:hAnsi="Times New Roman" w:eastAsia="Times New Roman" w:cs="Times New Roman"/>
          <w:w w:val="100"/>
          <w:sz w:val="21"/>
          <w:szCs w:val="21"/>
          <w:lang w:val="zh-CN" w:eastAsia="zh-CN" w:bidi="zh-CN"/>
        </w:rPr>
        <w:t>10.</w:t>
      </w:r>
      <w:r>
        <w:rPr>
          <w:rFonts w:hint="eastAsia" w:ascii="黑体" w:eastAsia="黑体"/>
          <w:sz w:val="21"/>
          <w:szCs w:val="21"/>
        </w:rPr>
        <w:t>进度计划</w:t>
      </w:r>
    </w:p>
    <w:p w14:paraId="607CC1D7">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43" w:name="_bookmark195"/>
      <w:bookmarkEnd w:id="243"/>
      <w:bookmarkStart w:id="244" w:name="_bookmark195"/>
      <w:bookmarkEnd w:id="244"/>
      <w:r>
        <w:rPr>
          <w:rFonts w:hint="default" w:ascii="Times New Roman" w:hAnsi="Times New Roman" w:eastAsia="Times New Roman" w:cs="Times New Roman"/>
          <w:spacing w:val="-1"/>
          <w:w w:val="100"/>
          <w:sz w:val="21"/>
          <w:szCs w:val="21"/>
          <w:lang w:val="zh-CN" w:eastAsia="zh-CN" w:bidi="zh-CN"/>
        </w:rPr>
        <w:t>10.1</w:t>
      </w:r>
      <w:r>
        <w:rPr>
          <w:rFonts w:hint="eastAsia" w:ascii="黑体" w:eastAsia="黑体"/>
          <w:sz w:val="21"/>
          <w:szCs w:val="21"/>
        </w:rPr>
        <w:t>合同进度计划</w:t>
      </w:r>
    </w:p>
    <w:p w14:paraId="147C270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本款补充：</w:t>
      </w:r>
    </w:p>
    <w:p w14:paraId="441A5B8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承包人编制施工方案说明的内容见项目专用合同条款。</w:t>
      </w:r>
    </w:p>
    <w:p w14:paraId="7E2B5B1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承包人向监理人报送施工进度计划和施工方案说明的期限：签订合同协议书后</w:t>
      </w:r>
      <w:r>
        <w:rPr>
          <w:rFonts w:ascii="Times New Roman" w:eastAsia="Times New Roman"/>
          <w:sz w:val="21"/>
          <w:szCs w:val="21"/>
        </w:rPr>
        <w:t xml:space="preserve">28 </w:t>
      </w:r>
      <w:r>
        <w:rPr>
          <w:sz w:val="21"/>
          <w:szCs w:val="21"/>
        </w:rPr>
        <w:t>天之内。</w:t>
      </w:r>
    </w:p>
    <w:p w14:paraId="7DD5794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监理人应在 </w:t>
      </w:r>
      <w:r>
        <w:rPr>
          <w:rFonts w:ascii="Times New Roman" w:eastAsia="Times New Roman"/>
          <w:sz w:val="21"/>
          <w:szCs w:val="21"/>
        </w:rPr>
        <w:t xml:space="preserve">14 </w:t>
      </w:r>
      <w:r>
        <w:rPr>
          <w:sz w:val="21"/>
          <w:szCs w:val="21"/>
        </w:rPr>
        <w:t>天内对承包人施工进度计划和施工方案说明予以批复或提出修改意见。</w:t>
      </w:r>
    </w:p>
    <w:p w14:paraId="4C764C6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合同进度计划应按照关键线路网络图和主要工作横道图两种形式分别编绘，并应包括每月预计完成的工作量和形象进度。</w:t>
      </w:r>
    </w:p>
    <w:p w14:paraId="3EB443D5">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45" w:name="_bookmark196"/>
      <w:bookmarkEnd w:id="245"/>
      <w:bookmarkStart w:id="246" w:name="_bookmark196"/>
      <w:bookmarkEnd w:id="246"/>
      <w:r>
        <w:rPr>
          <w:rFonts w:hint="default" w:ascii="Times New Roman" w:hAnsi="Times New Roman" w:eastAsia="Times New Roman" w:cs="Times New Roman"/>
          <w:spacing w:val="-1"/>
          <w:w w:val="100"/>
          <w:sz w:val="21"/>
          <w:szCs w:val="21"/>
          <w:lang w:val="zh-CN" w:eastAsia="zh-CN" w:bidi="zh-CN"/>
        </w:rPr>
        <w:t>10.2</w:t>
      </w:r>
      <w:r>
        <w:rPr>
          <w:rFonts w:hint="eastAsia" w:ascii="黑体" w:eastAsia="黑体"/>
          <w:sz w:val="21"/>
          <w:szCs w:val="21"/>
        </w:rPr>
        <w:t>合同进度计划的修订</w:t>
      </w:r>
    </w:p>
    <w:p w14:paraId="40BC07C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本款补充：</w:t>
      </w:r>
    </w:p>
    <w:p w14:paraId="794B1AA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2" w:firstLineChars="200"/>
        <w:textAlignment w:val="auto"/>
        <w:rPr>
          <w:sz w:val="21"/>
          <w:szCs w:val="21"/>
        </w:rPr>
      </w:pPr>
      <w:r>
        <w:rPr>
          <w:spacing w:val="-7"/>
          <w:sz w:val="21"/>
          <w:szCs w:val="21"/>
        </w:rPr>
        <w:t>承包人提交合同进度计划修订申请报告，并附有关措施和相关资料的期限：实际</w:t>
      </w:r>
      <w:r>
        <w:rPr>
          <w:spacing w:val="-6"/>
          <w:sz w:val="21"/>
          <w:szCs w:val="21"/>
        </w:rPr>
        <w:t xml:space="preserve">进度发生滞后的当月 </w:t>
      </w:r>
      <w:r>
        <w:rPr>
          <w:rFonts w:ascii="Times New Roman" w:eastAsia="Times New Roman"/>
          <w:sz w:val="21"/>
          <w:szCs w:val="21"/>
        </w:rPr>
        <w:t xml:space="preserve">25 </w:t>
      </w:r>
      <w:r>
        <w:rPr>
          <w:sz w:val="21"/>
          <w:szCs w:val="21"/>
        </w:rPr>
        <w:t>日前。</w:t>
      </w:r>
    </w:p>
    <w:p w14:paraId="3B7FE30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监理人批复修订合同进度计划的期限：收到修订合同进度计划后</w:t>
      </w:r>
      <w:r>
        <w:rPr>
          <w:rFonts w:ascii="Times New Roman" w:eastAsia="Times New Roman"/>
          <w:sz w:val="21"/>
          <w:szCs w:val="21"/>
        </w:rPr>
        <w:t xml:space="preserve">14 </w:t>
      </w:r>
      <w:r>
        <w:rPr>
          <w:sz w:val="21"/>
          <w:szCs w:val="21"/>
        </w:rPr>
        <w:t>天内。</w:t>
      </w:r>
    </w:p>
    <w:p w14:paraId="2396687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本条补充第</w:t>
      </w:r>
      <w:r>
        <w:rPr>
          <w:rFonts w:ascii="Times New Roman" w:eastAsia="Times New Roman"/>
          <w:sz w:val="21"/>
          <w:szCs w:val="21"/>
        </w:rPr>
        <w:t xml:space="preserve">10.3 </w:t>
      </w:r>
      <w:r>
        <w:rPr>
          <w:sz w:val="21"/>
          <w:szCs w:val="21"/>
        </w:rPr>
        <w:t>款、第</w:t>
      </w:r>
      <w:r>
        <w:rPr>
          <w:rFonts w:ascii="Times New Roman" w:eastAsia="Times New Roman"/>
          <w:sz w:val="21"/>
          <w:szCs w:val="21"/>
        </w:rPr>
        <w:t xml:space="preserve">10.4 </w:t>
      </w:r>
      <w:r>
        <w:rPr>
          <w:sz w:val="21"/>
          <w:szCs w:val="21"/>
        </w:rPr>
        <w:t>款：</w:t>
      </w:r>
    </w:p>
    <w:p w14:paraId="7005252B">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47" w:name="_bookmark197"/>
      <w:bookmarkEnd w:id="247"/>
      <w:bookmarkStart w:id="248" w:name="_bookmark197"/>
      <w:bookmarkEnd w:id="248"/>
      <w:r>
        <w:rPr>
          <w:rFonts w:hint="default" w:ascii="Times New Roman" w:hAnsi="Times New Roman" w:eastAsia="Times New Roman" w:cs="Times New Roman"/>
          <w:spacing w:val="-1"/>
          <w:w w:val="100"/>
          <w:sz w:val="21"/>
          <w:szCs w:val="21"/>
          <w:lang w:val="zh-CN" w:eastAsia="zh-CN" w:bidi="zh-CN"/>
        </w:rPr>
        <w:t>10.3</w:t>
      </w:r>
      <w:r>
        <w:rPr>
          <w:rFonts w:hint="eastAsia" w:ascii="黑体" w:eastAsia="黑体"/>
          <w:sz w:val="21"/>
          <w:szCs w:val="21"/>
        </w:rPr>
        <w:t>年度施工计划</w:t>
      </w:r>
    </w:p>
    <w:p w14:paraId="397AA10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承包人应在每年</w:t>
      </w:r>
      <w:r>
        <w:rPr>
          <w:rFonts w:ascii="Times New Roman" w:eastAsia="Times New Roman"/>
          <w:sz w:val="21"/>
          <w:szCs w:val="21"/>
        </w:rPr>
        <w:t>11</w:t>
      </w:r>
      <w:r>
        <w:rPr>
          <w:sz w:val="21"/>
          <w:szCs w:val="21"/>
        </w:rPr>
        <w:t>月底前，根据已同意的合同进度计划或其修订的计划，向监</w:t>
      </w:r>
      <w:r>
        <w:rPr>
          <w:spacing w:val="-9"/>
          <w:sz w:val="21"/>
          <w:szCs w:val="21"/>
        </w:rPr>
        <w:t xml:space="preserve">理人提交 </w:t>
      </w:r>
      <w:r>
        <w:rPr>
          <w:rFonts w:ascii="Times New Roman" w:eastAsia="Times New Roman"/>
          <w:sz w:val="21"/>
          <w:szCs w:val="21"/>
        </w:rPr>
        <w:t xml:space="preserve">2 </w:t>
      </w:r>
      <w:r>
        <w:rPr>
          <w:spacing w:val="-1"/>
          <w:sz w:val="21"/>
          <w:szCs w:val="21"/>
        </w:rPr>
        <w:t>份格式和内容符合监理人合理规定的下一年度的施工计划，以供审查。</w:t>
      </w:r>
      <w:r>
        <w:rPr>
          <w:sz w:val="21"/>
          <w:szCs w:val="21"/>
        </w:rPr>
        <w:t>该计划应包括本年度估计完成的和下一年度预计完成的分项工程数量和工作量，以及为实施此计划将采取的措施。</w:t>
      </w:r>
    </w:p>
    <w:p w14:paraId="47AFBFE2">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49" w:name="_bookmark198"/>
      <w:bookmarkEnd w:id="249"/>
      <w:bookmarkStart w:id="250" w:name="_bookmark198"/>
      <w:bookmarkEnd w:id="250"/>
      <w:r>
        <w:rPr>
          <w:rFonts w:hint="default" w:ascii="Times New Roman" w:hAnsi="Times New Roman" w:eastAsia="Times New Roman" w:cs="Times New Roman"/>
          <w:spacing w:val="-1"/>
          <w:w w:val="100"/>
          <w:sz w:val="21"/>
          <w:szCs w:val="21"/>
          <w:lang w:val="zh-CN" w:eastAsia="zh-CN" w:bidi="zh-CN"/>
        </w:rPr>
        <w:t>10.4</w:t>
      </w:r>
      <w:r>
        <w:rPr>
          <w:rFonts w:hint="eastAsia" w:ascii="黑体" w:eastAsia="黑体"/>
          <w:sz w:val="21"/>
          <w:szCs w:val="21"/>
        </w:rPr>
        <w:t>合同用款计划</w:t>
      </w:r>
    </w:p>
    <w:p w14:paraId="47DCD38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承包人应在签订本合同协议书后</w:t>
      </w:r>
      <w:r>
        <w:rPr>
          <w:rFonts w:ascii="Times New Roman" w:eastAsia="Times New Roman"/>
          <w:sz w:val="21"/>
          <w:szCs w:val="21"/>
        </w:rPr>
        <w:t xml:space="preserve">28 </w:t>
      </w:r>
      <w:r>
        <w:rPr>
          <w:sz w:val="21"/>
          <w:szCs w:val="21"/>
        </w:rPr>
        <w:t>天之内，按招标文件中规定的格式，向监理</w:t>
      </w:r>
      <w:r>
        <w:rPr>
          <w:spacing w:val="-11"/>
          <w:sz w:val="21"/>
          <w:szCs w:val="21"/>
        </w:rPr>
        <w:t>人提交</w:t>
      </w:r>
      <w:r>
        <w:rPr>
          <w:rFonts w:ascii="Times New Roman" w:eastAsia="Times New Roman"/>
          <w:sz w:val="21"/>
          <w:szCs w:val="21"/>
        </w:rPr>
        <w:t>2</w:t>
      </w:r>
      <w:r>
        <w:rPr>
          <w:spacing w:val="-1"/>
          <w:sz w:val="21"/>
          <w:szCs w:val="21"/>
        </w:rPr>
        <w:t>份按合同规定承包人有权得到支付的详细的季度合同用款计划，以备监理</w:t>
      </w:r>
      <w:r>
        <w:rPr>
          <w:sz w:val="21"/>
          <w:szCs w:val="21"/>
        </w:rPr>
        <w:t>人查阅。如果监理人提出要求，承包人还应按季度提交修订的合同用款计划。</w:t>
      </w:r>
    </w:p>
    <w:p w14:paraId="409559F0">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251" w:name="_bookmark199"/>
      <w:bookmarkEnd w:id="251"/>
      <w:bookmarkStart w:id="252" w:name="_bookmark199"/>
      <w:bookmarkEnd w:id="252"/>
      <w:r>
        <w:rPr>
          <w:rFonts w:hint="default" w:ascii="Times New Roman" w:hAnsi="Times New Roman" w:eastAsia="Times New Roman" w:cs="Times New Roman"/>
          <w:w w:val="100"/>
          <w:sz w:val="21"/>
          <w:szCs w:val="21"/>
          <w:lang w:val="zh-CN" w:eastAsia="zh-CN" w:bidi="zh-CN"/>
        </w:rPr>
        <w:t>11.</w:t>
      </w:r>
      <w:r>
        <w:rPr>
          <w:rFonts w:hint="eastAsia" w:ascii="黑体" w:eastAsia="黑体"/>
          <w:sz w:val="21"/>
          <w:szCs w:val="21"/>
        </w:rPr>
        <w:t>开工和交工</w:t>
      </w:r>
    </w:p>
    <w:p w14:paraId="1EE59067">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53" w:name="_bookmark200"/>
      <w:bookmarkEnd w:id="253"/>
      <w:bookmarkStart w:id="254" w:name="_bookmark200"/>
      <w:bookmarkEnd w:id="254"/>
      <w:r>
        <w:rPr>
          <w:rFonts w:hint="default" w:ascii="Times New Roman" w:hAnsi="Times New Roman" w:eastAsia="Times New Roman" w:cs="Times New Roman"/>
          <w:spacing w:val="-1"/>
          <w:w w:val="100"/>
          <w:sz w:val="21"/>
          <w:szCs w:val="21"/>
          <w:lang w:val="zh-CN" w:eastAsia="zh-CN" w:bidi="zh-CN"/>
        </w:rPr>
        <w:t>11.1</w:t>
      </w:r>
      <w:r>
        <w:rPr>
          <w:rFonts w:hint="eastAsia" w:ascii="黑体" w:eastAsia="黑体"/>
          <w:sz w:val="21"/>
          <w:szCs w:val="21"/>
        </w:rPr>
        <w:t>开工</w:t>
      </w:r>
    </w:p>
    <w:p w14:paraId="3999B49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 xml:space="preserve">第 </w:t>
      </w:r>
      <w:r>
        <w:rPr>
          <w:rFonts w:ascii="Times New Roman" w:eastAsia="Times New Roman"/>
          <w:sz w:val="21"/>
          <w:szCs w:val="21"/>
        </w:rPr>
        <w:t xml:space="preserve">11.1.2 </w:t>
      </w:r>
      <w:r>
        <w:rPr>
          <w:sz w:val="21"/>
          <w:szCs w:val="21"/>
        </w:rPr>
        <w:t>项补充：</w:t>
      </w:r>
    </w:p>
    <w:p w14:paraId="7347B74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textAlignment w:val="auto"/>
        <w:rPr>
          <w:sz w:val="21"/>
          <w:szCs w:val="21"/>
        </w:rPr>
      </w:pPr>
      <w:r>
        <w:rPr>
          <w:spacing w:val="-5"/>
          <w:sz w:val="21"/>
          <w:szCs w:val="21"/>
        </w:rPr>
        <w:t>承包人应在分部工程开工前</w:t>
      </w:r>
      <w:r>
        <w:rPr>
          <w:rFonts w:ascii="Times New Roman" w:eastAsia="Times New Roman"/>
          <w:sz w:val="21"/>
          <w:szCs w:val="21"/>
        </w:rPr>
        <w:t xml:space="preserve">14 </w:t>
      </w:r>
      <w:r>
        <w:rPr>
          <w:spacing w:val="-6"/>
          <w:sz w:val="21"/>
          <w:szCs w:val="21"/>
        </w:rPr>
        <w:t>天向监理人提交分部工程开工报审表，若承包人</w:t>
      </w:r>
      <w:r>
        <w:rPr>
          <w:sz w:val="21"/>
          <w:szCs w:val="21"/>
        </w:rPr>
        <w:t>的开工准备、工作计划和质量控制方法是可接受的且已获得批准，则经监理人书面同意，分部工程才能开工。</w:t>
      </w:r>
    </w:p>
    <w:p w14:paraId="3B3E4DF8">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55" w:name="_bookmark201"/>
      <w:bookmarkEnd w:id="255"/>
      <w:bookmarkStart w:id="256" w:name="_bookmark201"/>
      <w:bookmarkEnd w:id="256"/>
      <w:r>
        <w:rPr>
          <w:rFonts w:hint="default" w:ascii="Times New Roman" w:hAnsi="Times New Roman" w:eastAsia="Times New Roman" w:cs="Times New Roman"/>
          <w:spacing w:val="-1"/>
          <w:w w:val="100"/>
          <w:sz w:val="21"/>
          <w:szCs w:val="21"/>
          <w:lang w:val="zh-CN" w:eastAsia="zh-CN" w:bidi="zh-CN"/>
        </w:rPr>
        <w:t>11.3</w:t>
      </w:r>
      <w:r>
        <w:rPr>
          <w:rFonts w:hint="eastAsia" w:ascii="黑体" w:eastAsia="黑体"/>
          <w:sz w:val="21"/>
          <w:szCs w:val="21"/>
        </w:rPr>
        <w:t>发包人的工期延误</w:t>
      </w:r>
    </w:p>
    <w:p w14:paraId="3CDBFBE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本款补充：</w:t>
      </w:r>
    </w:p>
    <w:p w14:paraId="11A2ACB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即使由于上述原因造成工期延误，如果受影响的工程并非处在工程施工进度网络计划的关键线路上，则承包人无权要求延长总工期。</w:t>
      </w:r>
    </w:p>
    <w:p w14:paraId="3FF0D877">
      <w:pPr>
        <w:pStyle w:val="41"/>
        <w:keepNext w:val="0"/>
        <w:keepLines w:val="0"/>
        <w:pageBreakBefore w:val="0"/>
        <w:widowControl w:val="0"/>
        <w:numPr>
          <w:ilvl w:val="1"/>
          <w:numId w:val="0"/>
        </w:numPr>
        <w:tabs>
          <w:tab w:val="left" w:pos="90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57" w:name="_bookmark202"/>
      <w:bookmarkEnd w:id="257"/>
      <w:bookmarkStart w:id="258" w:name="_bookmark202"/>
      <w:bookmarkEnd w:id="258"/>
      <w:r>
        <w:rPr>
          <w:rFonts w:hint="default" w:ascii="Times New Roman" w:hAnsi="Times New Roman" w:eastAsia="Times New Roman" w:cs="Times New Roman"/>
          <w:spacing w:val="-1"/>
          <w:w w:val="100"/>
          <w:sz w:val="21"/>
          <w:szCs w:val="21"/>
          <w:lang w:val="zh-CN" w:eastAsia="zh-CN" w:bidi="zh-CN"/>
        </w:rPr>
        <w:t>11.4</w:t>
      </w:r>
      <w:r>
        <w:rPr>
          <w:rFonts w:hint="eastAsia" w:ascii="黑体" w:eastAsia="黑体"/>
          <w:sz w:val="21"/>
          <w:szCs w:val="21"/>
        </w:rPr>
        <w:t>异常恶劣的气候条件</w:t>
      </w:r>
    </w:p>
    <w:p w14:paraId="6B43C8A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本款补充：</w:t>
      </w:r>
    </w:p>
    <w:p w14:paraId="08BE7D6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0" w:firstLineChars="200"/>
        <w:textAlignment w:val="auto"/>
        <w:rPr>
          <w:sz w:val="21"/>
          <w:szCs w:val="21"/>
        </w:rPr>
      </w:pPr>
      <w:r>
        <w:rPr>
          <w:spacing w:val="-5"/>
          <w:sz w:val="21"/>
          <w:szCs w:val="21"/>
        </w:rPr>
        <w:t xml:space="preserve">异常气候是指项目所在地 </w:t>
      </w:r>
      <w:r>
        <w:rPr>
          <w:rFonts w:ascii="Times New Roman" w:eastAsia="Times New Roman"/>
          <w:sz w:val="21"/>
          <w:szCs w:val="21"/>
        </w:rPr>
        <w:t xml:space="preserve">30 </w:t>
      </w:r>
      <w:r>
        <w:rPr>
          <w:spacing w:val="-3"/>
          <w:sz w:val="21"/>
          <w:szCs w:val="21"/>
        </w:rPr>
        <w:t>年以上一遇的罕见气候现象</w:t>
      </w:r>
      <w:r>
        <w:rPr>
          <w:color w:val="auto"/>
          <w:sz w:val="21"/>
          <w:szCs w:val="21"/>
          <w:u w:val="none"/>
        </w:rPr>
        <w:t>（包括温度</w:t>
      </w:r>
      <w:r>
        <w:rPr>
          <w:spacing w:val="-15"/>
          <w:sz w:val="21"/>
          <w:szCs w:val="21"/>
        </w:rPr>
        <w:t>、降水、降</w:t>
      </w:r>
      <w:r>
        <w:rPr>
          <w:sz w:val="21"/>
          <w:szCs w:val="21"/>
        </w:rPr>
        <w:t>雪、风等</w:t>
      </w:r>
      <w:r>
        <w:rPr>
          <w:spacing w:val="-120"/>
          <w:sz w:val="21"/>
          <w:szCs w:val="21"/>
        </w:rPr>
        <w:t>）</w:t>
      </w:r>
      <w:r>
        <w:rPr>
          <w:sz w:val="21"/>
          <w:szCs w:val="21"/>
        </w:rPr>
        <w:t>。异常恶劣的气候条件在项目专用合同条款中作具体约定。</w:t>
      </w:r>
    </w:p>
    <w:p w14:paraId="2787A950">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59" w:name="_bookmark203"/>
      <w:bookmarkEnd w:id="259"/>
      <w:bookmarkStart w:id="260" w:name="_bookmark203"/>
      <w:bookmarkEnd w:id="260"/>
      <w:r>
        <w:rPr>
          <w:rFonts w:hint="default" w:ascii="Times New Roman" w:hAnsi="Times New Roman" w:eastAsia="Times New Roman" w:cs="Times New Roman"/>
          <w:spacing w:val="-1"/>
          <w:w w:val="100"/>
          <w:sz w:val="21"/>
          <w:szCs w:val="21"/>
          <w:lang w:val="zh-CN" w:eastAsia="zh-CN" w:bidi="zh-CN"/>
        </w:rPr>
        <w:t>11.5</w:t>
      </w:r>
      <w:r>
        <w:rPr>
          <w:rFonts w:hint="eastAsia" w:ascii="黑体" w:eastAsia="黑体"/>
          <w:sz w:val="21"/>
          <w:szCs w:val="21"/>
        </w:rPr>
        <w:t>承包人的工期延误</w:t>
      </w:r>
    </w:p>
    <w:p w14:paraId="6D8F469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本款细化为：</w:t>
      </w:r>
    </w:p>
    <w:p w14:paraId="720AFD68">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宋体" w:hAnsi="宋体" w:eastAsia="宋体" w:cs="宋体"/>
          <w:spacing w:val="0"/>
          <w:w w:val="100"/>
          <w:sz w:val="21"/>
          <w:szCs w:val="21"/>
          <w:lang w:val="zh-CN" w:eastAsia="zh-CN" w:bidi="zh-CN"/>
        </w:rPr>
        <w:t>（1）</w:t>
      </w:r>
      <w:r>
        <w:rPr>
          <w:spacing w:val="0"/>
          <w:sz w:val="21"/>
          <w:szCs w:val="21"/>
        </w:rPr>
        <w:t xml:space="preserve">承包人应严格执行监理人批准的合同进度计划，对工作量计划和形象进度计划分别控制。除第 </w:t>
      </w:r>
      <w:r>
        <w:rPr>
          <w:rFonts w:ascii="Times New Roman" w:eastAsia="Times New Roman"/>
          <w:spacing w:val="0"/>
          <w:sz w:val="21"/>
          <w:szCs w:val="21"/>
        </w:rPr>
        <w:t xml:space="preserve">11.3 </w:t>
      </w:r>
      <w:r>
        <w:rPr>
          <w:spacing w:val="0"/>
          <w:sz w:val="21"/>
          <w:szCs w:val="21"/>
        </w:rPr>
        <w:t>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584DC768">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宋体" w:hAnsi="宋体" w:eastAsia="宋体" w:cs="宋体"/>
          <w:spacing w:val="0"/>
          <w:w w:val="100"/>
          <w:sz w:val="21"/>
          <w:szCs w:val="21"/>
          <w:lang w:val="zh-CN" w:eastAsia="zh-CN" w:bidi="zh-CN"/>
        </w:rPr>
        <w:t>（2）</w:t>
      </w:r>
      <w:r>
        <w:rPr>
          <w:spacing w:val="0"/>
          <w:sz w:val="21"/>
          <w:szCs w:val="21"/>
        </w:rPr>
        <w:t>如果承包人在接到监理人通知后的</w:t>
      </w:r>
      <w:r>
        <w:rPr>
          <w:rFonts w:ascii="Times New Roman" w:eastAsia="Times New Roman"/>
          <w:spacing w:val="0"/>
          <w:sz w:val="21"/>
          <w:szCs w:val="21"/>
        </w:rPr>
        <w:t xml:space="preserve">14 </w:t>
      </w:r>
      <w:r>
        <w:rPr>
          <w:spacing w:val="0"/>
          <w:sz w:val="21"/>
          <w:szCs w:val="21"/>
        </w:rPr>
        <w:t>天内，未能采取加快工程进度的措施，致使实际工程进度进一步滞后，或承包人虽采取了一些措施，仍无法按预计工期交工时，监理人应立即通知发包人。发包人在向承包人发出书面警告通知</w:t>
      </w:r>
      <w:r>
        <w:rPr>
          <w:rFonts w:ascii="Times New Roman" w:eastAsia="Times New Roman"/>
          <w:spacing w:val="0"/>
          <w:sz w:val="21"/>
          <w:szCs w:val="21"/>
        </w:rPr>
        <w:t xml:space="preserve">14 </w:t>
      </w:r>
      <w:r>
        <w:rPr>
          <w:spacing w:val="0"/>
          <w:sz w:val="21"/>
          <w:szCs w:val="21"/>
        </w:rPr>
        <w:t>天后，</w:t>
      </w:r>
    </w:p>
    <w:p w14:paraId="2B26FE6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pacing w:val="0"/>
          <w:sz w:val="21"/>
          <w:szCs w:val="21"/>
        </w:rPr>
      </w:pPr>
      <w:r>
        <w:rPr>
          <w:spacing w:val="0"/>
          <w:sz w:val="21"/>
          <w:szCs w:val="21"/>
        </w:rPr>
        <w:t xml:space="preserve">发包人可按第 </w:t>
      </w:r>
      <w:r>
        <w:rPr>
          <w:rFonts w:ascii="Times New Roman" w:eastAsia="Times New Roman"/>
          <w:spacing w:val="0"/>
          <w:sz w:val="21"/>
          <w:szCs w:val="21"/>
        </w:rPr>
        <w:t xml:space="preserve">22.1 </w:t>
      </w:r>
      <w:r>
        <w:rPr>
          <w:spacing w:val="0"/>
          <w:sz w:val="21"/>
          <w:szCs w:val="21"/>
        </w:rPr>
        <w:t>款终止对承包人的雇用，也可将本合同工程中的一部分工作交由其他承包人或其他分包人完成。在不解除本合同规定的承包人责任和义务的同时， 承包人应承担因此所增加的一切费用。</w:t>
      </w:r>
    </w:p>
    <w:p w14:paraId="10436391">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宋体" w:hAnsi="宋体" w:eastAsia="宋体" w:cs="宋体"/>
          <w:spacing w:val="0"/>
          <w:w w:val="100"/>
          <w:sz w:val="21"/>
          <w:szCs w:val="21"/>
          <w:lang w:val="zh-CN" w:eastAsia="zh-CN" w:bidi="zh-CN"/>
        </w:rPr>
        <w:t>（3）</w:t>
      </w:r>
      <w:r>
        <w:rPr>
          <w:spacing w:val="0"/>
          <w:sz w:val="21"/>
          <w:szCs w:val="21"/>
        </w:rPr>
        <w:t>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3ADCD416">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（4）</w:t>
      </w:r>
      <w:r>
        <w:rPr>
          <w:spacing w:val="0"/>
          <w:sz w:val="21"/>
          <w:szCs w:val="21"/>
        </w:rPr>
        <w:t>承包人支付逾期交工违约金，不免除承包人完成工程及修补缺陷的义务。</w:t>
      </w:r>
    </w:p>
    <w:p w14:paraId="62632C0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pacing w:val="0"/>
          <w:sz w:val="21"/>
          <w:szCs w:val="21"/>
        </w:rPr>
      </w:pPr>
      <w:r>
        <w:rPr>
          <w:spacing w:val="0"/>
          <w:sz w:val="21"/>
          <w:szCs w:val="21"/>
        </w:rPr>
        <w:t>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7D562FA9">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61" w:name="_bookmark204"/>
      <w:bookmarkEnd w:id="261"/>
      <w:bookmarkStart w:id="262" w:name="_bookmark204"/>
      <w:bookmarkEnd w:id="262"/>
      <w:r>
        <w:rPr>
          <w:rFonts w:hint="default" w:ascii="Times New Roman" w:hAnsi="Times New Roman" w:eastAsia="Times New Roman" w:cs="Times New Roman"/>
          <w:spacing w:val="-1"/>
          <w:w w:val="100"/>
          <w:sz w:val="21"/>
          <w:szCs w:val="21"/>
          <w:lang w:val="zh-CN" w:eastAsia="zh-CN" w:bidi="zh-CN"/>
        </w:rPr>
        <w:t>11.6</w:t>
      </w:r>
      <w:r>
        <w:rPr>
          <w:rFonts w:hint="eastAsia" w:ascii="黑体" w:eastAsia="黑体"/>
          <w:sz w:val="21"/>
          <w:szCs w:val="21"/>
        </w:rPr>
        <w:t>工期提前</w:t>
      </w:r>
    </w:p>
    <w:p w14:paraId="33D9AC1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本款补充：</w:t>
      </w:r>
    </w:p>
    <w:p w14:paraId="360C1CA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发包人不得随意要求承包人提前交工，承包人也不得随意提出提前交工的建议。如遇特殊情况，确需将工期提前的，发包人和承包人必须采取有效措施，确保工程质量。</w:t>
      </w:r>
    </w:p>
    <w:p w14:paraId="69D3637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4F4DA67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本条补充第 </w:t>
      </w:r>
      <w:r>
        <w:rPr>
          <w:rFonts w:ascii="Times New Roman" w:eastAsia="Times New Roman"/>
          <w:sz w:val="21"/>
          <w:szCs w:val="21"/>
        </w:rPr>
        <w:t xml:space="preserve">11.7 </w:t>
      </w:r>
      <w:r>
        <w:rPr>
          <w:sz w:val="21"/>
          <w:szCs w:val="21"/>
        </w:rPr>
        <w:t>款：</w:t>
      </w:r>
    </w:p>
    <w:p w14:paraId="582CB155">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63" w:name="_bookmark205"/>
      <w:bookmarkEnd w:id="263"/>
      <w:bookmarkStart w:id="264" w:name="_bookmark205"/>
      <w:bookmarkEnd w:id="264"/>
      <w:r>
        <w:rPr>
          <w:rFonts w:hint="default" w:ascii="Times New Roman" w:hAnsi="Times New Roman" w:eastAsia="Times New Roman" w:cs="Times New Roman"/>
          <w:spacing w:val="-1"/>
          <w:w w:val="100"/>
          <w:sz w:val="21"/>
          <w:szCs w:val="21"/>
          <w:lang w:val="zh-CN" w:eastAsia="zh-CN" w:bidi="zh-CN"/>
        </w:rPr>
        <w:t>11.7</w:t>
      </w:r>
      <w:r>
        <w:rPr>
          <w:rFonts w:hint="eastAsia" w:ascii="黑体" w:eastAsia="黑体"/>
          <w:sz w:val="21"/>
          <w:szCs w:val="21"/>
        </w:rPr>
        <w:t>工作时间的限制</w:t>
      </w:r>
    </w:p>
    <w:p w14:paraId="25CAFEA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承包人在夜间或国家规定的节假日进行永久工程的施工，应向监理人报告，以便监理人履行监理职责和义务。</w:t>
      </w:r>
    </w:p>
    <w:p w14:paraId="28E5309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但是，为了抢救生命或保护财产，或为了工程的安全、质量而不可避免地短暂作业，则不必事先向监理人报告。但承包人应在事后立即向监理人报告。</w:t>
      </w:r>
    </w:p>
    <w:p w14:paraId="51A7A5E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本款规定不适用于习惯上或施工本身要求实行连续生产的作业。</w:t>
      </w:r>
    </w:p>
    <w:p w14:paraId="6108CAAA">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265" w:name="_bookmark206"/>
      <w:bookmarkEnd w:id="265"/>
      <w:bookmarkStart w:id="266" w:name="_bookmark206"/>
      <w:bookmarkEnd w:id="266"/>
      <w:r>
        <w:rPr>
          <w:rFonts w:hint="default" w:ascii="Times New Roman" w:hAnsi="Times New Roman" w:eastAsia="Times New Roman" w:cs="Times New Roman"/>
          <w:w w:val="100"/>
          <w:sz w:val="21"/>
          <w:szCs w:val="21"/>
          <w:lang w:val="zh-CN" w:eastAsia="zh-CN" w:bidi="zh-CN"/>
        </w:rPr>
        <w:t>12.</w:t>
      </w:r>
      <w:r>
        <w:rPr>
          <w:rFonts w:hint="eastAsia" w:ascii="黑体" w:eastAsia="黑体"/>
          <w:sz w:val="21"/>
          <w:szCs w:val="21"/>
        </w:rPr>
        <w:t>暂停施工</w:t>
      </w:r>
    </w:p>
    <w:p w14:paraId="382048D3">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67" w:name="_bookmark207"/>
      <w:bookmarkEnd w:id="267"/>
      <w:bookmarkStart w:id="268" w:name="_bookmark207"/>
      <w:bookmarkEnd w:id="268"/>
      <w:r>
        <w:rPr>
          <w:rFonts w:hint="default" w:ascii="Times New Roman" w:hAnsi="Times New Roman" w:eastAsia="Times New Roman" w:cs="Times New Roman"/>
          <w:spacing w:val="-1"/>
          <w:w w:val="100"/>
          <w:sz w:val="21"/>
          <w:szCs w:val="21"/>
          <w:lang w:val="zh-CN" w:eastAsia="zh-CN" w:bidi="zh-CN"/>
        </w:rPr>
        <w:t>12.1</w:t>
      </w:r>
      <w:r>
        <w:rPr>
          <w:rFonts w:hint="eastAsia" w:ascii="黑体" w:eastAsia="黑体"/>
          <w:sz w:val="21"/>
          <w:szCs w:val="21"/>
        </w:rPr>
        <w:t>承包人暂停施工的责任</w:t>
      </w:r>
    </w:p>
    <w:p w14:paraId="2278D3F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本款第（</w:t>
      </w:r>
      <w:r>
        <w:rPr>
          <w:rFonts w:ascii="Times New Roman" w:eastAsia="Times New Roman"/>
          <w:sz w:val="21"/>
          <w:szCs w:val="21"/>
        </w:rPr>
        <w:t>5</w:t>
      </w:r>
      <w:r>
        <w:rPr>
          <w:sz w:val="21"/>
          <w:szCs w:val="21"/>
        </w:rPr>
        <w:t>）项细化为：</w:t>
      </w:r>
    </w:p>
    <w:p w14:paraId="408348D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w:t>
      </w:r>
      <w:r>
        <w:rPr>
          <w:rFonts w:ascii="Times New Roman" w:eastAsia="Times New Roman"/>
          <w:sz w:val="21"/>
          <w:szCs w:val="21"/>
        </w:rPr>
        <w:t>5</w:t>
      </w:r>
      <w:r>
        <w:rPr>
          <w:sz w:val="21"/>
          <w:szCs w:val="21"/>
        </w:rPr>
        <w:t>）现场气候条件导致的必要停工（第11.4款约定的异常恶劣的气候条件除外）；</w:t>
      </w:r>
    </w:p>
    <w:p w14:paraId="3CB01FA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w:t>
      </w:r>
      <w:r>
        <w:rPr>
          <w:rFonts w:hint="eastAsia" w:ascii="Times New Roman" w:eastAsia="宋体"/>
          <w:sz w:val="21"/>
          <w:szCs w:val="21"/>
          <w:lang w:val="en-US" w:eastAsia="zh-CN"/>
        </w:rPr>
        <w:t>6</w:t>
      </w:r>
      <w:r>
        <w:rPr>
          <w:sz w:val="21"/>
          <w:szCs w:val="21"/>
        </w:rPr>
        <w:t>）项目专用合同条款可能约定的由承包人承担的其他暂停施工。</w:t>
      </w:r>
    </w:p>
    <w:p w14:paraId="5FA0143B">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269" w:name="_bookmark208"/>
      <w:bookmarkEnd w:id="269"/>
      <w:bookmarkStart w:id="270" w:name="_bookmark208"/>
      <w:bookmarkEnd w:id="270"/>
      <w:r>
        <w:rPr>
          <w:rFonts w:hint="default" w:ascii="Times New Roman" w:hAnsi="Times New Roman" w:eastAsia="Times New Roman" w:cs="Times New Roman"/>
          <w:w w:val="100"/>
          <w:sz w:val="21"/>
          <w:szCs w:val="21"/>
          <w:lang w:val="zh-CN" w:eastAsia="zh-CN" w:bidi="zh-CN"/>
        </w:rPr>
        <w:t>13.</w:t>
      </w:r>
      <w:r>
        <w:rPr>
          <w:rFonts w:hint="eastAsia" w:ascii="黑体" w:eastAsia="黑体"/>
          <w:sz w:val="21"/>
          <w:szCs w:val="21"/>
        </w:rPr>
        <w:t>工程质量</w:t>
      </w:r>
    </w:p>
    <w:p w14:paraId="57A5D34E">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pacing w:val="0"/>
          <w:sz w:val="21"/>
          <w:szCs w:val="21"/>
        </w:rPr>
      </w:pPr>
      <w:bookmarkStart w:id="271" w:name="_bookmark209"/>
      <w:bookmarkEnd w:id="271"/>
      <w:bookmarkStart w:id="272" w:name="_bookmark209"/>
      <w:bookmarkEnd w:id="272"/>
      <w:r>
        <w:rPr>
          <w:rFonts w:hint="default" w:ascii="Times New Roman" w:hAnsi="Times New Roman" w:eastAsia="Times New Roman" w:cs="Times New Roman"/>
          <w:spacing w:val="0"/>
          <w:w w:val="100"/>
          <w:sz w:val="21"/>
          <w:szCs w:val="21"/>
          <w:lang w:val="zh-CN" w:eastAsia="zh-CN" w:bidi="zh-CN"/>
        </w:rPr>
        <w:t>13.1</w:t>
      </w:r>
      <w:r>
        <w:rPr>
          <w:rFonts w:hint="eastAsia" w:ascii="黑体" w:eastAsia="黑体"/>
          <w:spacing w:val="0"/>
          <w:sz w:val="21"/>
          <w:szCs w:val="21"/>
        </w:rPr>
        <w:t>工程质量要求</w:t>
      </w:r>
    </w:p>
    <w:p w14:paraId="6DA51EE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pacing w:val="0"/>
          <w:sz w:val="21"/>
          <w:szCs w:val="21"/>
        </w:rPr>
      </w:pPr>
      <w:r>
        <w:rPr>
          <w:spacing w:val="0"/>
          <w:sz w:val="21"/>
          <w:szCs w:val="21"/>
        </w:rPr>
        <w:t xml:space="preserve">第 </w:t>
      </w:r>
      <w:r>
        <w:rPr>
          <w:rFonts w:ascii="Times New Roman" w:eastAsia="Times New Roman"/>
          <w:spacing w:val="0"/>
          <w:sz w:val="21"/>
          <w:szCs w:val="21"/>
        </w:rPr>
        <w:t xml:space="preserve">13.1.1 </w:t>
      </w:r>
      <w:r>
        <w:rPr>
          <w:spacing w:val="0"/>
          <w:sz w:val="21"/>
          <w:szCs w:val="21"/>
        </w:rPr>
        <w:t>项约定为：</w:t>
      </w:r>
    </w:p>
    <w:p w14:paraId="668F34C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pacing w:val="0"/>
          <w:sz w:val="21"/>
          <w:szCs w:val="21"/>
        </w:rPr>
      </w:pPr>
      <w:r>
        <w:rPr>
          <w:spacing w:val="0"/>
          <w:sz w:val="21"/>
          <w:szCs w:val="21"/>
        </w:rPr>
        <w:t>工程质量验收按技术规范及《公路工程质量检验评定标准》执行。</w:t>
      </w:r>
    </w:p>
    <w:p w14:paraId="208E3C8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pacing w:val="0"/>
          <w:sz w:val="21"/>
          <w:szCs w:val="21"/>
        </w:rPr>
      </w:pPr>
      <w:r>
        <w:rPr>
          <w:spacing w:val="0"/>
          <w:sz w:val="21"/>
          <w:szCs w:val="21"/>
        </w:rPr>
        <w:t xml:space="preserve">本款补充第 </w:t>
      </w:r>
      <w:r>
        <w:rPr>
          <w:rFonts w:ascii="Times New Roman" w:eastAsia="Times New Roman"/>
          <w:spacing w:val="0"/>
          <w:sz w:val="21"/>
          <w:szCs w:val="21"/>
        </w:rPr>
        <w:t xml:space="preserve">13.1.4 </w:t>
      </w:r>
      <w:r>
        <w:rPr>
          <w:spacing w:val="0"/>
          <w:sz w:val="21"/>
          <w:szCs w:val="21"/>
        </w:rPr>
        <w:t xml:space="preserve">项、第 </w:t>
      </w:r>
      <w:r>
        <w:rPr>
          <w:rFonts w:ascii="Times New Roman" w:eastAsia="Times New Roman"/>
          <w:spacing w:val="0"/>
          <w:sz w:val="21"/>
          <w:szCs w:val="21"/>
        </w:rPr>
        <w:t xml:space="preserve">13.1.5 </w:t>
      </w:r>
      <w:r>
        <w:rPr>
          <w:spacing w:val="0"/>
          <w:sz w:val="21"/>
          <w:szCs w:val="21"/>
        </w:rPr>
        <w:t>项：</w:t>
      </w:r>
    </w:p>
    <w:p w14:paraId="5FA465F4">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13.1.4</w:t>
      </w:r>
      <w:r>
        <w:rPr>
          <w:spacing w:val="0"/>
          <w:sz w:val="21"/>
          <w:szCs w:val="21"/>
        </w:rPr>
        <w:t>发包人和承包人应严格遵守《关于严格落实公路工程质量责任制的若干意见》的相关规定，认真执行工程质量责任登记制度并按要求填写工程质量责任登记表。</w:t>
      </w:r>
    </w:p>
    <w:p w14:paraId="4D818521">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13.1.5</w:t>
      </w:r>
      <w:r>
        <w:rPr>
          <w:spacing w:val="0"/>
          <w:sz w:val="21"/>
          <w:szCs w:val="21"/>
        </w:rPr>
        <w:t>本项目严格执行质量责任追究制度。质量事故处理实行</w:t>
      </w:r>
      <w:r>
        <w:rPr>
          <w:rFonts w:ascii="Times New Roman" w:hAnsi="Times New Roman" w:eastAsia="Times New Roman"/>
          <w:spacing w:val="0"/>
          <w:sz w:val="21"/>
          <w:szCs w:val="21"/>
        </w:rPr>
        <w:t>“</w:t>
      </w:r>
      <w:r>
        <w:rPr>
          <w:spacing w:val="0"/>
          <w:sz w:val="21"/>
          <w:szCs w:val="21"/>
        </w:rPr>
        <w:t>四不放过</w:t>
      </w:r>
      <w:r>
        <w:rPr>
          <w:rFonts w:ascii="Times New Roman" w:hAnsi="Times New Roman" w:eastAsia="Times New Roman"/>
          <w:spacing w:val="0"/>
          <w:sz w:val="21"/>
          <w:szCs w:val="21"/>
        </w:rPr>
        <w:t>”</w:t>
      </w:r>
      <w:r>
        <w:rPr>
          <w:spacing w:val="0"/>
          <w:sz w:val="21"/>
          <w:szCs w:val="21"/>
        </w:rPr>
        <w:t>原则： 事故原因调查不清不放过；事故责任者没有受到教育不放过；没有防范措施不放过；相关责任人没受到处理不放过。</w:t>
      </w:r>
    </w:p>
    <w:p w14:paraId="32980D0A">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pacing w:val="0"/>
          <w:sz w:val="21"/>
          <w:szCs w:val="21"/>
        </w:rPr>
      </w:pPr>
      <w:bookmarkStart w:id="273" w:name="_bookmark210"/>
      <w:bookmarkEnd w:id="273"/>
      <w:bookmarkStart w:id="274" w:name="_bookmark210"/>
      <w:bookmarkEnd w:id="274"/>
      <w:r>
        <w:rPr>
          <w:rFonts w:hint="default" w:ascii="Times New Roman" w:hAnsi="Times New Roman" w:eastAsia="Times New Roman" w:cs="Times New Roman"/>
          <w:spacing w:val="0"/>
          <w:w w:val="100"/>
          <w:sz w:val="21"/>
          <w:szCs w:val="21"/>
          <w:lang w:val="zh-CN" w:eastAsia="zh-CN" w:bidi="zh-CN"/>
        </w:rPr>
        <w:t>13.2</w:t>
      </w:r>
      <w:r>
        <w:rPr>
          <w:rFonts w:hint="eastAsia" w:ascii="黑体" w:eastAsia="黑体"/>
          <w:spacing w:val="0"/>
          <w:sz w:val="21"/>
          <w:szCs w:val="21"/>
        </w:rPr>
        <w:t>承包人的质量管理</w:t>
      </w:r>
    </w:p>
    <w:p w14:paraId="5ACB006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pacing w:val="0"/>
          <w:sz w:val="21"/>
          <w:szCs w:val="21"/>
        </w:rPr>
      </w:pPr>
      <w:r>
        <w:rPr>
          <w:spacing w:val="0"/>
          <w:sz w:val="21"/>
          <w:szCs w:val="21"/>
        </w:rPr>
        <w:t xml:space="preserve">第 </w:t>
      </w:r>
      <w:r>
        <w:rPr>
          <w:rFonts w:ascii="Times New Roman" w:eastAsia="Times New Roman"/>
          <w:spacing w:val="0"/>
          <w:sz w:val="21"/>
          <w:szCs w:val="21"/>
        </w:rPr>
        <w:t xml:space="preserve">13.2.1 </w:t>
      </w:r>
      <w:r>
        <w:rPr>
          <w:spacing w:val="0"/>
          <w:sz w:val="21"/>
          <w:szCs w:val="21"/>
        </w:rPr>
        <w:t>项补充：</w:t>
      </w:r>
    </w:p>
    <w:p w14:paraId="5063510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pacing w:val="0"/>
          <w:sz w:val="21"/>
          <w:szCs w:val="21"/>
        </w:rPr>
      </w:pPr>
      <w:r>
        <w:rPr>
          <w:spacing w:val="0"/>
          <w:sz w:val="21"/>
          <w:szCs w:val="21"/>
        </w:rPr>
        <w:t>承包人提交工程质量保证措施文件的期限：签订合同协议书后</w:t>
      </w:r>
      <w:r>
        <w:rPr>
          <w:rFonts w:ascii="Times New Roman" w:eastAsia="Times New Roman"/>
          <w:spacing w:val="0"/>
          <w:sz w:val="21"/>
          <w:szCs w:val="21"/>
        </w:rPr>
        <w:t xml:space="preserve">28 </w:t>
      </w:r>
      <w:r>
        <w:rPr>
          <w:spacing w:val="0"/>
          <w:sz w:val="21"/>
          <w:szCs w:val="21"/>
        </w:rPr>
        <w:t>天之内。</w:t>
      </w:r>
    </w:p>
    <w:p w14:paraId="70774C8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pacing w:val="0"/>
          <w:sz w:val="21"/>
          <w:szCs w:val="21"/>
        </w:rPr>
      </w:pPr>
      <w:r>
        <w:rPr>
          <w:spacing w:val="0"/>
          <w:sz w:val="21"/>
          <w:szCs w:val="21"/>
        </w:rPr>
        <w:t xml:space="preserve">本款补充第 </w:t>
      </w:r>
      <w:r>
        <w:rPr>
          <w:rFonts w:ascii="Times New Roman" w:eastAsia="Times New Roman"/>
          <w:spacing w:val="0"/>
          <w:sz w:val="21"/>
          <w:szCs w:val="21"/>
        </w:rPr>
        <w:t xml:space="preserve">13.2.3 </w:t>
      </w:r>
      <w:r>
        <w:rPr>
          <w:spacing w:val="0"/>
          <w:sz w:val="21"/>
          <w:szCs w:val="21"/>
        </w:rPr>
        <w:t>项</w:t>
      </w:r>
      <w:r>
        <w:rPr>
          <w:rFonts w:ascii="Times New Roman" w:eastAsia="Times New Roman"/>
          <w:spacing w:val="0"/>
          <w:sz w:val="21"/>
          <w:szCs w:val="21"/>
        </w:rPr>
        <w:t>~</w:t>
      </w:r>
      <w:r>
        <w:rPr>
          <w:spacing w:val="0"/>
          <w:sz w:val="21"/>
          <w:szCs w:val="21"/>
        </w:rPr>
        <w:t xml:space="preserve">第 </w:t>
      </w:r>
      <w:r>
        <w:rPr>
          <w:rFonts w:ascii="Times New Roman" w:eastAsia="Times New Roman"/>
          <w:spacing w:val="0"/>
          <w:sz w:val="21"/>
          <w:szCs w:val="21"/>
        </w:rPr>
        <w:t xml:space="preserve">13.2.10 </w:t>
      </w:r>
      <w:r>
        <w:rPr>
          <w:spacing w:val="0"/>
          <w:sz w:val="21"/>
          <w:szCs w:val="21"/>
        </w:rPr>
        <w:t>项：</w:t>
      </w:r>
    </w:p>
    <w:p w14:paraId="4A0F73D0">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13.2.3</w:t>
      </w:r>
      <w:r>
        <w:rPr>
          <w:spacing w:val="0"/>
          <w:sz w:val="21"/>
          <w:szCs w:val="21"/>
        </w:rPr>
        <w:t>公路工程施行质量责任终身制。承包人应当书面明确相应的项目负责人和质量负责人。承包人的相关人员按照国家法律法规和有关规定在工程合理使用年限内承担相应的质量责任。</w:t>
      </w:r>
    </w:p>
    <w:p w14:paraId="67052EE8">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13.2.4</w:t>
      </w:r>
      <w:r>
        <w:rPr>
          <w:spacing w:val="0"/>
          <w:sz w:val="21"/>
          <w:szCs w:val="21"/>
        </w:rPr>
        <w:t>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0F0975B4">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13.2.5</w:t>
      </w:r>
      <w:r>
        <w:rPr>
          <w:spacing w:val="0"/>
          <w:sz w:val="21"/>
          <w:szCs w:val="21"/>
        </w:rPr>
        <w:t>承包人对工程施工质量负责，应当按合同约定设立现场质量管理机构、配备工程技术人员和质量管理人员，落实工程施工质量责任制。</w:t>
      </w:r>
    </w:p>
    <w:p w14:paraId="1512C99A">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13.2.6</w:t>
      </w:r>
      <w:r>
        <w:rPr>
          <w:spacing w:val="0"/>
          <w:sz w:val="21"/>
          <w:szCs w:val="21"/>
        </w:rPr>
        <w:t>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2D6972F8">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13.2.7</w:t>
      </w:r>
      <w:r>
        <w:rPr>
          <w:spacing w:val="0"/>
          <w:sz w:val="21"/>
          <w:szCs w:val="21"/>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700A8E97">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13.2.8</w:t>
      </w:r>
      <w:r>
        <w:rPr>
          <w:spacing w:val="0"/>
          <w:sz w:val="21"/>
          <w:szCs w:val="21"/>
        </w:rPr>
        <w:t>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3CA5F97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pacing w:val="0"/>
          <w:sz w:val="21"/>
          <w:szCs w:val="21"/>
        </w:rPr>
      </w:pPr>
      <w:r>
        <w:rPr>
          <w:spacing w:val="0"/>
          <w:sz w:val="21"/>
          <w:szCs w:val="21"/>
        </w:rPr>
        <w:t>承包人应当依法规范分包行为，并对承担的工程质量负总责，分包单位对分包合同范围内的工程质量负责。</w:t>
      </w:r>
    </w:p>
    <w:p w14:paraId="26E6B2E5">
      <w:pPr>
        <w:pStyle w:val="41"/>
        <w:keepNext w:val="0"/>
        <w:keepLines w:val="0"/>
        <w:pageBreakBefore w:val="0"/>
        <w:widowControl w:val="0"/>
        <w:numPr>
          <w:ilvl w:val="2"/>
          <w:numId w:val="0"/>
        </w:numPr>
        <w:tabs>
          <w:tab w:val="left" w:pos="174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13.2.9</w:t>
      </w:r>
      <w:r>
        <w:rPr>
          <w:spacing w:val="0"/>
          <w:sz w:val="21"/>
          <w:szCs w:val="21"/>
        </w:rPr>
        <w:t>承包人驻工程现场机构应在现场驻地和重要的分部、分项工程施工现场设置明显的工程质量责任登记表公示牌。</w:t>
      </w:r>
    </w:p>
    <w:p w14:paraId="2B5379AD">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75" w:name="_bookmark211"/>
      <w:bookmarkEnd w:id="275"/>
      <w:bookmarkStart w:id="276" w:name="_bookmark211"/>
      <w:bookmarkEnd w:id="276"/>
      <w:r>
        <w:rPr>
          <w:rFonts w:hint="default" w:ascii="Times New Roman" w:hAnsi="Times New Roman" w:eastAsia="Times New Roman" w:cs="Times New Roman"/>
          <w:spacing w:val="-1"/>
          <w:w w:val="100"/>
          <w:sz w:val="21"/>
          <w:szCs w:val="21"/>
          <w:lang w:val="zh-CN" w:eastAsia="zh-CN" w:bidi="zh-CN"/>
        </w:rPr>
        <w:t>13.4</w:t>
      </w:r>
      <w:r>
        <w:rPr>
          <w:rFonts w:hint="eastAsia" w:ascii="黑体" w:eastAsia="黑体"/>
          <w:sz w:val="21"/>
          <w:szCs w:val="21"/>
        </w:rPr>
        <w:t>监理人的质量检查</w:t>
      </w:r>
    </w:p>
    <w:p w14:paraId="052B960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本款补充：</w:t>
      </w:r>
    </w:p>
    <w:p w14:paraId="468C5E5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92" w:firstLineChars="200"/>
        <w:textAlignment w:val="auto"/>
        <w:rPr>
          <w:sz w:val="21"/>
          <w:szCs w:val="21"/>
        </w:rPr>
      </w:pPr>
      <w:r>
        <w:rPr>
          <w:spacing w:val="-7"/>
          <w:sz w:val="21"/>
          <w:szCs w:val="21"/>
        </w:rPr>
        <w:t>监理人及其委派的检验人员，应能进入工程现场，以及材料或工程设备的制造、</w:t>
      </w:r>
      <w:r>
        <w:rPr>
          <w:sz w:val="21"/>
          <w:szCs w:val="21"/>
        </w:rPr>
        <w:t>加工或制配的车间和场所，包括不属于承包人的车间或场所进行检查，承包人应为此提供便利和协助。</w:t>
      </w:r>
    </w:p>
    <w:p w14:paraId="0BAF7A5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 xml:space="preserve">监理人可以将材料或工程设备的检查和检验委托给一家独立的有质量检验认证资格的检验单位。该独立检验单位的检验结果应视为监理人完成的。监理人应将这种委托的通知书不少于 </w:t>
      </w:r>
      <w:r>
        <w:rPr>
          <w:rFonts w:ascii="Times New Roman" w:eastAsia="Times New Roman"/>
          <w:sz w:val="21"/>
          <w:szCs w:val="21"/>
        </w:rPr>
        <w:t xml:space="preserve">7 </w:t>
      </w:r>
      <w:r>
        <w:rPr>
          <w:sz w:val="21"/>
          <w:szCs w:val="21"/>
        </w:rPr>
        <w:t>天前交给承包人。</w:t>
      </w:r>
    </w:p>
    <w:p w14:paraId="5B72C041">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77" w:name="_bookmark212"/>
      <w:bookmarkEnd w:id="277"/>
      <w:bookmarkStart w:id="278" w:name="_bookmark212"/>
      <w:bookmarkEnd w:id="278"/>
      <w:r>
        <w:rPr>
          <w:rFonts w:hint="default" w:ascii="Times New Roman" w:hAnsi="Times New Roman" w:eastAsia="Times New Roman" w:cs="Times New Roman"/>
          <w:spacing w:val="-1"/>
          <w:w w:val="100"/>
          <w:sz w:val="21"/>
          <w:szCs w:val="21"/>
          <w:lang w:val="zh-CN" w:eastAsia="zh-CN" w:bidi="zh-CN"/>
        </w:rPr>
        <w:t>13.5</w:t>
      </w:r>
      <w:r>
        <w:rPr>
          <w:rFonts w:hint="eastAsia" w:ascii="黑体" w:eastAsia="黑体"/>
          <w:sz w:val="21"/>
          <w:szCs w:val="21"/>
        </w:rPr>
        <w:t>工程隐蔽部位覆盖前的检查</w:t>
      </w:r>
    </w:p>
    <w:p w14:paraId="664D8AF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13.5.1 </w:t>
      </w:r>
      <w:r>
        <w:rPr>
          <w:sz w:val="21"/>
          <w:szCs w:val="21"/>
        </w:rPr>
        <w:t>项补充：</w:t>
      </w:r>
    </w:p>
    <w:p w14:paraId="66532D9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4B52599B">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79" w:name="_bookmark213"/>
      <w:bookmarkEnd w:id="279"/>
      <w:bookmarkStart w:id="280" w:name="_bookmark213"/>
      <w:bookmarkEnd w:id="280"/>
      <w:r>
        <w:rPr>
          <w:rFonts w:hint="default" w:ascii="Times New Roman" w:hAnsi="Times New Roman" w:eastAsia="Times New Roman" w:cs="Times New Roman"/>
          <w:spacing w:val="-1"/>
          <w:w w:val="100"/>
          <w:sz w:val="21"/>
          <w:szCs w:val="21"/>
          <w:lang w:val="zh-CN" w:eastAsia="zh-CN" w:bidi="zh-CN"/>
        </w:rPr>
        <w:t>13.6</w:t>
      </w:r>
      <w:r>
        <w:rPr>
          <w:rFonts w:hint="eastAsia" w:ascii="黑体" w:eastAsia="黑体"/>
          <w:sz w:val="21"/>
          <w:szCs w:val="21"/>
        </w:rPr>
        <w:t>清除不合格工程</w:t>
      </w:r>
    </w:p>
    <w:p w14:paraId="37C3CEC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13.6.1 </w:t>
      </w:r>
      <w:r>
        <w:rPr>
          <w:sz w:val="21"/>
          <w:szCs w:val="21"/>
        </w:rPr>
        <w:t>项细化为：</w:t>
      </w:r>
    </w:p>
    <w:p w14:paraId="53458925">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332" w:firstLineChars="200"/>
        <w:jc w:val="both"/>
        <w:textAlignment w:val="auto"/>
        <w:rPr>
          <w:sz w:val="21"/>
          <w:szCs w:val="21"/>
        </w:rPr>
      </w:pPr>
      <w:r>
        <w:rPr>
          <w:rFonts w:hint="default" w:ascii="宋体" w:hAnsi="宋体" w:eastAsia="宋体" w:cs="宋体"/>
          <w:spacing w:val="-22"/>
          <w:w w:val="100"/>
          <w:sz w:val="21"/>
          <w:szCs w:val="21"/>
          <w:lang w:val="zh-CN" w:eastAsia="zh-CN" w:bidi="zh-CN"/>
        </w:rPr>
        <w:t>（1）</w:t>
      </w:r>
      <w:r>
        <w:rPr>
          <w:spacing w:val="-5"/>
          <w:sz w:val="21"/>
          <w:szCs w:val="21"/>
        </w:rPr>
        <w:t xml:space="preserve">承包人使用不合格材料、工程设备，或采用不适当的施工工艺，或施工 </w:t>
      </w:r>
      <w:r>
        <w:rPr>
          <w:spacing w:val="-4"/>
          <w:sz w:val="21"/>
          <w:szCs w:val="21"/>
        </w:rPr>
        <w:t>不当，造成工程不合格的，监理人可以随时发出指示，要求承包人立即采取措施进行替换、补救或拆除重建，直至达到合同要求的质量标准，由此增加的费用和</w:t>
      </w:r>
      <w:r>
        <w:rPr>
          <w:sz w:val="21"/>
          <w:szCs w:val="21"/>
        </w:rPr>
        <w:t>（或</w:t>
      </w:r>
      <w:r>
        <w:rPr>
          <w:spacing w:val="-14"/>
          <w:sz w:val="21"/>
          <w:szCs w:val="21"/>
        </w:rPr>
        <w:t>）</w:t>
      </w:r>
      <w:r>
        <w:rPr>
          <w:sz w:val="21"/>
          <w:szCs w:val="21"/>
        </w:rPr>
        <w:t>工期延误由承包人承担。</w:t>
      </w:r>
    </w:p>
    <w:p w14:paraId="09126581">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332" w:firstLineChars="200"/>
        <w:jc w:val="left"/>
        <w:textAlignment w:val="auto"/>
        <w:rPr>
          <w:sz w:val="21"/>
          <w:szCs w:val="21"/>
        </w:rPr>
      </w:pPr>
      <w:r>
        <w:rPr>
          <w:rFonts w:hint="default" w:ascii="宋体" w:hAnsi="宋体" w:eastAsia="宋体" w:cs="宋体"/>
          <w:spacing w:val="-22"/>
          <w:w w:val="100"/>
          <w:sz w:val="21"/>
          <w:szCs w:val="21"/>
          <w:lang w:val="zh-CN" w:eastAsia="zh-CN" w:bidi="zh-CN"/>
        </w:rPr>
        <w:t>（2）</w:t>
      </w:r>
      <w:r>
        <w:rPr>
          <w:spacing w:val="-5"/>
          <w:sz w:val="21"/>
          <w:szCs w:val="21"/>
        </w:rPr>
        <w:t>如果承包人未在规定时间内执行监理人的指示，发包人有权雇用他人执行</w:t>
      </w:r>
      <w:r>
        <w:rPr>
          <w:spacing w:val="-4"/>
          <w:sz w:val="21"/>
          <w:szCs w:val="21"/>
        </w:rPr>
        <w:t>，由此增加的费用和</w:t>
      </w:r>
      <w:r>
        <w:rPr>
          <w:sz w:val="21"/>
          <w:szCs w:val="21"/>
        </w:rPr>
        <w:t>（或）工期延误由承包人承担。</w:t>
      </w:r>
    </w:p>
    <w:p w14:paraId="0A08CBCA">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281" w:name="_bookmark214"/>
      <w:bookmarkEnd w:id="281"/>
      <w:bookmarkStart w:id="282" w:name="_bookmark214"/>
      <w:bookmarkEnd w:id="282"/>
      <w:r>
        <w:rPr>
          <w:rFonts w:hint="default" w:ascii="Times New Roman" w:hAnsi="Times New Roman" w:eastAsia="Times New Roman" w:cs="Times New Roman"/>
          <w:w w:val="100"/>
          <w:sz w:val="21"/>
          <w:szCs w:val="21"/>
          <w:lang w:val="zh-CN" w:eastAsia="zh-CN" w:bidi="zh-CN"/>
        </w:rPr>
        <w:t>14.</w:t>
      </w:r>
      <w:r>
        <w:rPr>
          <w:rFonts w:hint="eastAsia" w:ascii="黑体" w:eastAsia="黑体"/>
          <w:sz w:val="21"/>
          <w:szCs w:val="21"/>
        </w:rPr>
        <w:t>试验和检验</w:t>
      </w:r>
    </w:p>
    <w:p w14:paraId="32D8783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本条补充第 </w:t>
      </w:r>
      <w:r>
        <w:rPr>
          <w:rFonts w:ascii="Times New Roman" w:eastAsia="Times New Roman"/>
          <w:sz w:val="21"/>
          <w:szCs w:val="21"/>
        </w:rPr>
        <w:t xml:space="preserve">14.4 </w:t>
      </w:r>
      <w:r>
        <w:rPr>
          <w:sz w:val="21"/>
          <w:szCs w:val="21"/>
        </w:rPr>
        <w:t>款：</w:t>
      </w:r>
    </w:p>
    <w:p w14:paraId="78B79108">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83" w:name="_bookmark215"/>
      <w:bookmarkEnd w:id="283"/>
      <w:bookmarkStart w:id="284" w:name="_bookmark215"/>
      <w:bookmarkEnd w:id="284"/>
      <w:r>
        <w:rPr>
          <w:rFonts w:hint="default" w:ascii="Times New Roman" w:hAnsi="Times New Roman" w:eastAsia="Times New Roman" w:cs="Times New Roman"/>
          <w:spacing w:val="-1"/>
          <w:w w:val="100"/>
          <w:sz w:val="21"/>
          <w:szCs w:val="21"/>
          <w:lang w:val="zh-CN" w:eastAsia="zh-CN" w:bidi="zh-CN"/>
        </w:rPr>
        <w:t>14.4</w:t>
      </w:r>
      <w:r>
        <w:rPr>
          <w:rFonts w:hint="eastAsia" w:ascii="黑体" w:eastAsia="黑体"/>
          <w:sz w:val="21"/>
          <w:szCs w:val="21"/>
        </w:rPr>
        <w:t>试验和检验费用</w:t>
      </w:r>
    </w:p>
    <w:p w14:paraId="5122518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2" w:firstLineChars="200"/>
        <w:textAlignment w:val="auto"/>
        <w:rPr>
          <w:sz w:val="21"/>
          <w:szCs w:val="21"/>
        </w:rPr>
      </w:pPr>
      <w:r>
        <w:rPr>
          <w:spacing w:val="-2"/>
          <w:sz w:val="21"/>
          <w:szCs w:val="21"/>
        </w:rPr>
        <w:t>承包人应负责提供合同和技术规范规定的试验和检验所需的全部样品，并</w:t>
      </w:r>
      <w:r>
        <w:rPr>
          <w:sz w:val="21"/>
          <w:szCs w:val="21"/>
        </w:rPr>
        <w:t>承担其费用。</w:t>
      </w:r>
    </w:p>
    <w:p w14:paraId="3BD118B4">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（1）</w:t>
      </w:r>
      <w:r>
        <w:rPr>
          <w:spacing w:val="0"/>
          <w:sz w:val="21"/>
          <w:szCs w:val="21"/>
        </w:rPr>
        <w:t>在合同中明确规定的试验和检验，包括无须在工程量清单中单独列项和已在工程量清单中单独列项的试验和检验，其试验和检验的费用由承包人承担。</w:t>
      </w:r>
    </w:p>
    <w:p w14:paraId="3657C58B">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宋体" w:hAnsi="宋体" w:eastAsia="宋体" w:cs="宋体"/>
          <w:spacing w:val="0"/>
          <w:w w:val="100"/>
          <w:sz w:val="21"/>
          <w:szCs w:val="21"/>
          <w:lang w:val="zh-CN" w:eastAsia="zh-CN" w:bidi="zh-CN"/>
        </w:rPr>
        <w:t>（2）</w:t>
      </w:r>
      <w:r>
        <w:rPr>
          <w:spacing w:val="0"/>
          <w:sz w:val="21"/>
          <w:szCs w:val="21"/>
        </w:rPr>
        <w:t>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2D6BFE8A">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285" w:name="_bookmark216"/>
      <w:bookmarkEnd w:id="285"/>
      <w:bookmarkStart w:id="286" w:name="_bookmark216"/>
      <w:bookmarkEnd w:id="286"/>
      <w:r>
        <w:rPr>
          <w:rFonts w:hint="default" w:ascii="Times New Roman" w:hAnsi="Times New Roman" w:eastAsia="Times New Roman" w:cs="Times New Roman"/>
          <w:w w:val="100"/>
          <w:sz w:val="21"/>
          <w:szCs w:val="21"/>
          <w:lang w:val="zh-CN" w:eastAsia="zh-CN" w:bidi="zh-CN"/>
        </w:rPr>
        <w:t>15.</w:t>
      </w:r>
      <w:r>
        <w:rPr>
          <w:rFonts w:hint="eastAsia" w:ascii="黑体" w:eastAsia="黑体"/>
          <w:sz w:val="21"/>
          <w:szCs w:val="21"/>
        </w:rPr>
        <w:t>变更</w:t>
      </w:r>
    </w:p>
    <w:p w14:paraId="39B61CA1">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87" w:name="_bookmark217"/>
      <w:bookmarkEnd w:id="287"/>
      <w:bookmarkStart w:id="288" w:name="_bookmark217"/>
      <w:bookmarkEnd w:id="288"/>
      <w:r>
        <w:rPr>
          <w:rFonts w:hint="default" w:ascii="Times New Roman" w:hAnsi="Times New Roman" w:eastAsia="Times New Roman" w:cs="Times New Roman"/>
          <w:spacing w:val="-1"/>
          <w:w w:val="100"/>
          <w:sz w:val="21"/>
          <w:szCs w:val="21"/>
          <w:lang w:val="zh-CN" w:eastAsia="zh-CN" w:bidi="zh-CN"/>
        </w:rPr>
        <w:t>15.1</w:t>
      </w:r>
      <w:r>
        <w:rPr>
          <w:rFonts w:hint="eastAsia" w:ascii="黑体" w:eastAsia="黑体"/>
          <w:sz w:val="21"/>
          <w:szCs w:val="21"/>
        </w:rPr>
        <w:t>变更的范围和内容</w:t>
      </w:r>
    </w:p>
    <w:p w14:paraId="2FBAC2F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本款第（</w:t>
      </w:r>
      <w:r>
        <w:rPr>
          <w:rFonts w:ascii="Times New Roman" w:eastAsia="Times New Roman"/>
          <w:sz w:val="21"/>
          <w:szCs w:val="21"/>
        </w:rPr>
        <w:t>1</w:t>
      </w:r>
      <w:r>
        <w:rPr>
          <w:sz w:val="21"/>
          <w:szCs w:val="21"/>
        </w:rPr>
        <w:t>）项细化为：</w:t>
      </w:r>
    </w:p>
    <w:p w14:paraId="4954E79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w:t>
      </w:r>
      <w:r>
        <w:rPr>
          <w:rFonts w:ascii="Times New Roman" w:eastAsia="Times New Roman"/>
          <w:sz w:val="21"/>
          <w:szCs w:val="21"/>
        </w:rPr>
        <w:t>1</w:t>
      </w:r>
      <w:r>
        <w:rPr>
          <w:spacing w:val="-104"/>
          <w:sz w:val="21"/>
          <w:szCs w:val="21"/>
        </w:rPr>
        <w:t>）</w:t>
      </w:r>
      <w:r>
        <w:rPr>
          <w:spacing w:val="-10"/>
          <w:sz w:val="21"/>
          <w:szCs w:val="21"/>
        </w:rPr>
        <w:t>取消合同中任何一项工作，但被取消的工作不能转由发包人或其他人实施，</w:t>
      </w:r>
      <w:r>
        <w:rPr>
          <w:sz w:val="21"/>
          <w:szCs w:val="21"/>
        </w:rPr>
        <w:t>由于承包人违约造成的情况除外；</w:t>
      </w:r>
    </w:p>
    <w:p w14:paraId="13EB4939">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89" w:name="_bookmark218"/>
      <w:bookmarkEnd w:id="289"/>
      <w:bookmarkStart w:id="290" w:name="_bookmark218"/>
      <w:bookmarkEnd w:id="290"/>
      <w:r>
        <w:rPr>
          <w:rFonts w:hint="default" w:ascii="Times New Roman" w:hAnsi="Times New Roman" w:eastAsia="Times New Roman" w:cs="Times New Roman"/>
          <w:spacing w:val="-1"/>
          <w:w w:val="100"/>
          <w:sz w:val="21"/>
          <w:szCs w:val="21"/>
          <w:lang w:val="zh-CN" w:eastAsia="zh-CN" w:bidi="zh-CN"/>
        </w:rPr>
        <w:t>15.3</w:t>
      </w:r>
      <w:r>
        <w:rPr>
          <w:rFonts w:hint="eastAsia" w:ascii="黑体" w:eastAsia="黑体"/>
          <w:sz w:val="21"/>
          <w:szCs w:val="21"/>
        </w:rPr>
        <w:t>变更程序</w:t>
      </w:r>
    </w:p>
    <w:p w14:paraId="5A0873D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本款补充第 </w:t>
      </w:r>
      <w:r>
        <w:rPr>
          <w:rFonts w:ascii="Times New Roman" w:eastAsia="Times New Roman"/>
          <w:sz w:val="21"/>
          <w:szCs w:val="21"/>
        </w:rPr>
        <w:t xml:space="preserve">15.3.4 </w:t>
      </w:r>
      <w:r>
        <w:rPr>
          <w:sz w:val="21"/>
          <w:szCs w:val="21"/>
        </w:rPr>
        <w:t>项：</w:t>
      </w:r>
    </w:p>
    <w:p w14:paraId="1093A60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rFonts w:ascii="Times New Roman" w:eastAsia="Times New Roman"/>
          <w:sz w:val="21"/>
          <w:szCs w:val="21"/>
        </w:rPr>
        <w:t xml:space="preserve">15.3.4 </w:t>
      </w:r>
      <w:r>
        <w:rPr>
          <w:sz w:val="21"/>
          <w:szCs w:val="21"/>
        </w:rPr>
        <w:t>设计变更程序应执行《公路工程设计变更管理办法》的相关规定。</w:t>
      </w:r>
    </w:p>
    <w:p w14:paraId="6B160994">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91" w:name="_bookmark219"/>
      <w:bookmarkEnd w:id="291"/>
      <w:bookmarkStart w:id="292" w:name="_bookmark219"/>
      <w:bookmarkEnd w:id="292"/>
      <w:r>
        <w:rPr>
          <w:rFonts w:hint="default" w:ascii="Times New Roman" w:hAnsi="Times New Roman" w:eastAsia="Times New Roman" w:cs="Times New Roman"/>
          <w:spacing w:val="-1"/>
          <w:w w:val="100"/>
          <w:sz w:val="21"/>
          <w:szCs w:val="21"/>
          <w:lang w:val="zh-CN" w:eastAsia="zh-CN" w:bidi="zh-CN"/>
        </w:rPr>
        <w:t>15.4</w:t>
      </w:r>
      <w:r>
        <w:rPr>
          <w:rFonts w:hint="eastAsia" w:ascii="黑体" w:eastAsia="黑体"/>
          <w:sz w:val="21"/>
          <w:szCs w:val="21"/>
        </w:rPr>
        <w:t>变更的估价原则</w:t>
      </w:r>
    </w:p>
    <w:p w14:paraId="79DC761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本款细化为：</w:t>
      </w:r>
    </w:p>
    <w:p w14:paraId="24989CA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除项目专用合同条款另有约定外，因变更引起的价格调整按照本款约定处理。</w:t>
      </w:r>
    </w:p>
    <w:p w14:paraId="3B967D84">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15.4.1</w:t>
      </w:r>
      <w:r>
        <w:rPr>
          <w:sz w:val="21"/>
          <w:szCs w:val="21"/>
        </w:rPr>
        <w:t>如果取消某项工作，则该项工作的总额价不予支付。</w:t>
      </w:r>
    </w:p>
    <w:p w14:paraId="6306DCCF">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15.4.2</w:t>
      </w:r>
      <w:r>
        <w:rPr>
          <w:sz w:val="21"/>
          <w:szCs w:val="21"/>
        </w:rPr>
        <w:t>已标价工程量清单中有适用于变更工作的子目的，采用该子目的单价。</w:t>
      </w:r>
    </w:p>
    <w:p w14:paraId="3F8AF482">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15.4.3</w:t>
      </w:r>
      <w:r>
        <w:rPr>
          <w:sz w:val="21"/>
          <w:szCs w:val="21"/>
        </w:rPr>
        <w:t>已标价工程量清单中无适用于变更工作的子目，但有类似子目的，可在</w:t>
      </w:r>
      <w:r>
        <w:rPr>
          <w:spacing w:val="-5"/>
          <w:sz w:val="21"/>
          <w:szCs w:val="21"/>
        </w:rPr>
        <w:t xml:space="preserve">合理范围内参照类似子目的单价，由监理人按第 </w:t>
      </w:r>
      <w:r>
        <w:rPr>
          <w:rFonts w:ascii="Times New Roman" w:eastAsia="Times New Roman"/>
          <w:sz w:val="21"/>
          <w:szCs w:val="21"/>
        </w:rPr>
        <w:t xml:space="preserve">3.5 </w:t>
      </w:r>
      <w:r>
        <w:rPr>
          <w:spacing w:val="-2"/>
          <w:sz w:val="21"/>
          <w:szCs w:val="21"/>
        </w:rPr>
        <w:t>款商定或确定变更工作的单价。</w:t>
      </w:r>
    </w:p>
    <w:p w14:paraId="083543A6">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15.4.4</w:t>
      </w:r>
      <w:r>
        <w:rPr>
          <w:spacing w:val="-1"/>
          <w:sz w:val="21"/>
          <w:szCs w:val="21"/>
        </w:rPr>
        <w:t xml:space="preserve">已标价工程量清单中无适用或类似子目的单价，可在综合考虑承包人在投标时所提供的单价分析表的基础上，由监理人按第 </w:t>
      </w:r>
      <w:r>
        <w:rPr>
          <w:rFonts w:ascii="Times New Roman" w:eastAsia="Times New Roman"/>
          <w:sz w:val="21"/>
          <w:szCs w:val="21"/>
        </w:rPr>
        <w:t>3.5</w:t>
      </w:r>
      <w:r>
        <w:rPr>
          <w:rFonts w:ascii="Times New Roman" w:eastAsia="Times New Roman"/>
          <w:spacing w:val="48"/>
          <w:sz w:val="21"/>
          <w:szCs w:val="21"/>
        </w:rPr>
        <w:t xml:space="preserve"> </w:t>
      </w:r>
      <w:r>
        <w:rPr>
          <w:spacing w:val="-2"/>
          <w:sz w:val="21"/>
          <w:szCs w:val="21"/>
        </w:rPr>
        <w:t>款商定或确定变更工作的</w:t>
      </w:r>
      <w:r>
        <w:rPr>
          <w:sz w:val="21"/>
          <w:szCs w:val="21"/>
        </w:rPr>
        <w:t>单价。</w:t>
      </w:r>
    </w:p>
    <w:p w14:paraId="1BE0FC4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6" w:firstLineChars="200"/>
        <w:textAlignment w:val="auto"/>
        <w:rPr>
          <w:sz w:val="21"/>
          <w:szCs w:val="21"/>
        </w:rPr>
      </w:pPr>
      <w:r>
        <w:rPr>
          <w:rFonts w:hint="eastAsia"/>
          <w:spacing w:val="-1"/>
          <w:sz w:val="21"/>
          <w:szCs w:val="21"/>
          <w:lang w:val="en-US" w:eastAsia="zh-CN"/>
        </w:rPr>
        <w:t>15.4.5</w:t>
      </w:r>
      <w:r>
        <w:rPr>
          <w:spacing w:val="-1"/>
          <w:sz w:val="21"/>
          <w:szCs w:val="21"/>
        </w:rPr>
        <w:t>如果本工程的变更指示是因承包人过错、承包人违反合同或承包人责任</w:t>
      </w:r>
      <w:r>
        <w:rPr>
          <w:sz w:val="21"/>
          <w:szCs w:val="21"/>
        </w:rPr>
        <w:t>造成的，则这种违约引起的任何额外费用应由承包人承担。</w:t>
      </w:r>
    </w:p>
    <w:p w14:paraId="6F8F5BB1">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93" w:name="_bookmark220"/>
      <w:bookmarkEnd w:id="293"/>
      <w:bookmarkStart w:id="294" w:name="_bookmark220"/>
      <w:bookmarkEnd w:id="294"/>
      <w:r>
        <w:rPr>
          <w:rFonts w:hint="default" w:ascii="Times New Roman" w:hAnsi="Times New Roman" w:eastAsia="Times New Roman" w:cs="Times New Roman"/>
          <w:spacing w:val="-1"/>
          <w:w w:val="100"/>
          <w:sz w:val="21"/>
          <w:szCs w:val="21"/>
          <w:lang w:val="zh-CN" w:eastAsia="zh-CN" w:bidi="zh-CN"/>
        </w:rPr>
        <w:t>15.5</w:t>
      </w:r>
      <w:r>
        <w:rPr>
          <w:rFonts w:hint="eastAsia" w:ascii="黑体" w:eastAsia="黑体"/>
          <w:sz w:val="21"/>
          <w:szCs w:val="21"/>
        </w:rPr>
        <w:t>承包人的合理化建议</w:t>
      </w:r>
    </w:p>
    <w:p w14:paraId="23D684A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15.5.2 </w:t>
      </w:r>
      <w:r>
        <w:rPr>
          <w:sz w:val="21"/>
          <w:szCs w:val="21"/>
        </w:rPr>
        <w:t>项约定为：</w:t>
      </w:r>
    </w:p>
    <w:p w14:paraId="52DA1F7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承包人提出的合理化建议缩短了工期，发包人按第 </w:t>
      </w:r>
      <w:r>
        <w:rPr>
          <w:rFonts w:ascii="Times New Roman" w:eastAsia="Times New Roman"/>
          <w:sz w:val="21"/>
          <w:szCs w:val="21"/>
        </w:rPr>
        <w:t xml:space="preserve">11.6 </w:t>
      </w:r>
      <w:r>
        <w:rPr>
          <w:sz w:val="21"/>
          <w:szCs w:val="21"/>
        </w:rPr>
        <w:t>款的规定给予奖励。承包人提出的合理化建议降低了合同价格或者提高了工程经济效益的，发包人按</w:t>
      </w:r>
    </w:p>
    <w:p w14:paraId="49F8760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项目专用合同条款数据表中规定的金额给予奖励。</w:t>
      </w:r>
    </w:p>
    <w:p w14:paraId="0D2F5CA3">
      <w:pPr>
        <w:pStyle w:val="41"/>
        <w:keepNext w:val="0"/>
        <w:keepLines w:val="0"/>
        <w:pageBreakBefore w:val="0"/>
        <w:widowControl w:val="0"/>
        <w:numPr>
          <w:ilvl w:val="1"/>
          <w:numId w:val="0"/>
        </w:numPr>
        <w:tabs>
          <w:tab w:val="left" w:pos="90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95" w:name="_bookmark221"/>
      <w:bookmarkEnd w:id="295"/>
      <w:bookmarkStart w:id="296" w:name="_bookmark221"/>
      <w:bookmarkEnd w:id="296"/>
      <w:r>
        <w:rPr>
          <w:rFonts w:hint="default" w:ascii="Times New Roman" w:hAnsi="Times New Roman" w:eastAsia="Times New Roman" w:cs="Times New Roman"/>
          <w:spacing w:val="-1"/>
          <w:w w:val="100"/>
          <w:sz w:val="21"/>
          <w:szCs w:val="21"/>
          <w:lang w:val="zh-CN" w:eastAsia="zh-CN" w:bidi="zh-CN"/>
        </w:rPr>
        <w:t>15.6</w:t>
      </w:r>
      <w:r>
        <w:rPr>
          <w:rFonts w:hint="eastAsia" w:ascii="黑体" w:eastAsia="黑体"/>
          <w:sz w:val="21"/>
          <w:szCs w:val="21"/>
        </w:rPr>
        <w:t>暂列金额</w:t>
      </w:r>
    </w:p>
    <w:p w14:paraId="6C12F86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本款细化为：</w:t>
      </w:r>
    </w:p>
    <w:p w14:paraId="1FF39D46">
      <w:pPr>
        <w:pStyle w:val="41"/>
        <w:keepNext w:val="0"/>
        <w:keepLines w:val="0"/>
        <w:pageBreakBefore w:val="0"/>
        <w:widowControl w:val="0"/>
        <w:numPr>
          <w:ilvl w:val="2"/>
          <w:numId w:val="0"/>
        </w:numPr>
        <w:tabs>
          <w:tab w:val="left" w:pos="153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15.6.1</w:t>
      </w:r>
      <w:r>
        <w:rPr>
          <w:spacing w:val="-6"/>
          <w:sz w:val="21"/>
          <w:szCs w:val="21"/>
        </w:rPr>
        <w:t>暂列金额应由监理人报发包人批准后指令全部或部分地使用，或者根本不</w:t>
      </w:r>
      <w:r>
        <w:rPr>
          <w:sz w:val="21"/>
          <w:szCs w:val="21"/>
        </w:rPr>
        <w:t>予动用。</w:t>
      </w:r>
    </w:p>
    <w:p w14:paraId="24121C43">
      <w:pPr>
        <w:pStyle w:val="41"/>
        <w:keepNext w:val="0"/>
        <w:keepLines w:val="0"/>
        <w:pageBreakBefore w:val="0"/>
        <w:widowControl w:val="0"/>
        <w:numPr>
          <w:ilvl w:val="2"/>
          <w:numId w:val="0"/>
        </w:numPr>
        <w:tabs>
          <w:tab w:val="left" w:pos="153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15.6.2</w:t>
      </w:r>
      <w:r>
        <w:rPr>
          <w:spacing w:val="-8"/>
          <w:sz w:val="21"/>
          <w:szCs w:val="21"/>
        </w:rPr>
        <w:t>对于经发包人批准的每一笔暂列金额，监理人有权向承包人发出实施工程</w:t>
      </w:r>
      <w:r>
        <w:rPr>
          <w:spacing w:val="-1"/>
          <w:sz w:val="21"/>
          <w:szCs w:val="21"/>
        </w:rPr>
        <w:t>或提供材料、工程设备或服务的指令。这些指令应由承包人完成，监理人应根据第</w:t>
      </w:r>
    </w:p>
    <w:p w14:paraId="3B34FDE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rFonts w:ascii="Times New Roman" w:eastAsia="Times New Roman"/>
          <w:sz w:val="21"/>
          <w:szCs w:val="21"/>
        </w:rPr>
        <w:t xml:space="preserve">15.4 </w:t>
      </w:r>
      <w:r>
        <w:rPr>
          <w:sz w:val="21"/>
          <w:szCs w:val="21"/>
        </w:rPr>
        <w:t xml:space="preserve">款约定的变更估价原则和第 </w:t>
      </w:r>
      <w:r>
        <w:rPr>
          <w:rFonts w:ascii="Times New Roman" w:eastAsia="Times New Roman"/>
          <w:sz w:val="21"/>
          <w:szCs w:val="21"/>
        </w:rPr>
        <w:t xml:space="preserve">15.7 </w:t>
      </w:r>
      <w:r>
        <w:rPr>
          <w:sz w:val="21"/>
          <w:szCs w:val="21"/>
        </w:rPr>
        <w:t>款的规定，对合同价格进行相应调整。</w:t>
      </w:r>
    </w:p>
    <w:p w14:paraId="0ADF26F6">
      <w:pPr>
        <w:pStyle w:val="41"/>
        <w:keepNext w:val="0"/>
        <w:keepLines w:val="0"/>
        <w:pageBreakBefore w:val="0"/>
        <w:widowControl w:val="0"/>
        <w:numPr>
          <w:ilvl w:val="2"/>
          <w:numId w:val="0"/>
        </w:numPr>
        <w:tabs>
          <w:tab w:val="left" w:pos="153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15.6.3</w:t>
      </w:r>
      <w:r>
        <w:rPr>
          <w:spacing w:val="-9"/>
          <w:sz w:val="21"/>
          <w:szCs w:val="21"/>
        </w:rPr>
        <w:t>当监理人提出要求时，承包人应提供有关暂列金额支出的所有报价单、发</w:t>
      </w:r>
      <w:r>
        <w:rPr>
          <w:sz w:val="21"/>
          <w:szCs w:val="21"/>
        </w:rPr>
        <w:t>票、凭证和账单或收据，除非该工作是根据已标价工程量清单列明的单价或总额价进行的估价。</w:t>
      </w:r>
    </w:p>
    <w:p w14:paraId="3A04E34F">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297" w:name="_bookmark222"/>
      <w:bookmarkEnd w:id="297"/>
      <w:bookmarkStart w:id="298" w:name="_bookmark222"/>
      <w:bookmarkEnd w:id="298"/>
      <w:r>
        <w:rPr>
          <w:rFonts w:hint="default" w:ascii="Times New Roman" w:hAnsi="Times New Roman" w:eastAsia="Times New Roman" w:cs="Times New Roman"/>
          <w:w w:val="100"/>
          <w:sz w:val="21"/>
          <w:szCs w:val="21"/>
          <w:lang w:val="zh-CN" w:eastAsia="zh-CN" w:bidi="zh-CN"/>
        </w:rPr>
        <w:t>16.</w:t>
      </w:r>
      <w:r>
        <w:rPr>
          <w:rFonts w:hint="eastAsia" w:ascii="黑体" w:eastAsia="黑体"/>
          <w:sz w:val="21"/>
          <w:szCs w:val="21"/>
        </w:rPr>
        <w:t>价格调整</w:t>
      </w:r>
    </w:p>
    <w:p w14:paraId="5BF413AD">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299" w:name="_bookmark223"/>
      <w:bookmarkEnd w:id="299"/>
      <w:bookmarkStart w:id="300" w:name="_bookmark223"/>
      <w:bookmarkEnd w:id="300"/>
      <w:r>
        <w:rPr>
          <w:rFonts w:hint="default" w:ascii="Times New Roman" w:hAnsi="Times New Roman" w:eastAsia="Times New Roman" w:cs="Times New Roman"/>
          <w:spacing w:val="-1"/>
          <w:w w:val="100"/>
          <w:sz w:val="21"/>
          <w:szCs w:val="21"/>
          <w:lang w:val="zh-CN" w:eastAsia="zh-CN" w:bidi="zh-CN"/>
        </w:rPr>
        <w:t>16.1</w:t>
      </w:r>
      <w:r>
        <w:rPr>
          <w:rFonts w:hint="eastAsia" w:ascii="黑体" w:eastAsia="黑体"/>
          <w:sz w:val="21"/>
          <w:szCs w:val="21"/>
        </w:rPr>
        <w:t>物价波动引起的价格调整</w:t>
      </w:r>
    </w:p>
    <w:p w14:paraId="1347253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本款约定为：</w:t>
      </w:r>
    </w:p>
    <w:p w14:paraId="11AAF1BE">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244" w:firstLineChars="200"/>
        <w:jc w:val="left"/>
        <w:textAlignment w:val="auto"/>
        <w:rPr>
          <w:sz w:val="21"/>
          <w:szCs w:val="21"/>
        </w:rPr>
      </w:pPr>
      <w:r>
        <w:rPr>
          <w:rFonts w:hint="default" w:ascii="宋体" w:hAnsi="宋体" w:eastAsia="宋体" w:cs="宋体"/>
          <w:spacing w:val="-44"/>
          <w:w w:val="100"/>
          <w:sz w:val="21"/>
          <w:szCs w:val="21"/>
          <w:lang w:val="zh-CN" w:eastAsia="zh-CN" w:bidi="zh-CN"/>
        </w:rPr>
        <w:t>（1）</w:t>
      </w:r>
      <w:r>
        <w:rPr>
          <w:spacing w:val="-3"/>
          <w:sz w:val="21"/>
          <w:szCs w:val="21"/>
        </w:rPr>
        <w:t>除项目专用合同条款另有约定外，因物价波动引起的价格调整应按项目</w:t>
      </w:r>
      <w:r>
        <w:rPr>
          <w:spacing w:val="-8"/>
          <w:sz w:val="21"/>
          <w:szCs w:val="21"/>
        </w:rPr>
        <w:t xml:space="preserve">专用合同条款数据表的规定，按照第 </w:t>
      </w:r>
      <w:r>
        <w:rPr>
          <w:rFonts w:ascii="Times New Roman" w:eastAsia="Times New Roman"/>
          <w:sz w:val="21"/>
          <w:szCs w:val="21"/>
        </w:rPr>
        <w:t xml:space="preserve">16.1.1 </w:t>
      </w:r>
      <w:r>
        <w:rPr>
          <w:spacing w:val="-15"/>
          <w:sz w:val="21"/>
          <w:szCs w:val="21"/>
        </w:rPr>
        <w:t xml:space="preserve">项或第 </w:t>
      </w:r>
      <w:r>
        <w:rPr>
          <w:rFonts w:ascii="Times New Roman" w:eastAsia="Times New Roman"/>
          <w:sz w:val="21"/>
          <w:szCs w:val="21"/>
        </w:rPr>
        <w:t xml:space="preserve">16.1.2 </w:t>
      </w:r>
      <w:r>
        <w:rPr>
          <w:sz w:val="21"/>
          <w:szCs w:val="21"/>
        </w:rPr>
        <w:t>项约定的原则处理；或者</w:t>
      </w:r>
    </w:p>
    <w:p w14:paraId="29AB3FC9">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244" w:firstLineChars="200"/>
        <w:jc w:val="left"/>
        <w:textAlignment w:val="auto"/>
        <w:rPr>
          <w:sz w:val="21"/>
          <w:szCs w:val="21"/>
        </w:rPr>
      </w:pPr>
      <w:r>
        <w:rPr>
          <w:rFonts w:hint="default" w:ascii="宋体" w:hAnsi="宋体" w:eastAsia="宋体" w:cs="宋体"/>
          <w:spacing w:val="-44"/>
          <w:w w:val="100"/>
          <w:sz w:val="21"/>
          <w:szCs w:val="21"/>
          <w:lang w:val="zh-CN" w:eastAsia="zh-CN" w:bidi="zh-CN"/>
        </w:rPr>
        <w:t>（2）</w:t>
      </w:r>
      <w:r>
        <w:rPr>
          <w:spacing w:val="-3"/>
          <w:sz w:val="21"/>
          <w:szCs w:val="21"/>
        </w:rPr>
        <w:t>在合同执行期间</w:t>
      </w:r>
      <w:r>
        <w:rPr>
          <w:sz w:val="21"/>
          <w:szCs w:val="21"/>
        </w:rPr>
        <w:t>（包括工期拖延期间</w:t>
      </w:r>
      <w:r>
        <w:rPr>
          <w:spacing w:val="-22"/>
          <w:sz w:val="21"/>
          <w:szCs w:val="21"/>
        </w:rPr>
        <w:t>）</w:t>
      </w:r>
      <w:r>
        <w:rPr>
          <w:spacing w:val="-6"/>
          <w:sz w:val="21"/>
          <w:szCs w:val="21"/>
        </w:rPr>
        <w:t>由于人工、材料和设备价格的上涨</w:t>
      </w:r>
      <w:r>
        <w:rPr>
          <w:sz w:val="21"/>
          <w:szCs w:val="21"/>
        </w:rPr>
        <w:t>而引起工程施工成本增加的风险由承包人自行承担，合同价格不会因此而调整。</w:t>
      </w:r>
    </w:p>
    <w:p w14:paraId="35F376CE">
      <w:pPr>
        <w:pStyle w:val="41"/>
        <w:keepNext w:val="0"/>
        <w:keepLines w:val="0"/>
        <w:pageBreakBefore w:val="0"/>
        <w:widowControl w:val="0"/>
        <w:numPr>
          <w:ilvl w:val="2"/>
          <w:numId w:val="0"/>
        </w:numPr>
        <w:tabs>
          <w:tab w:val="left" w:pos="161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16.1.1</w:t>
      </w:r>
      <w:r>
        <w:rPr>
          <w:rFonts w:hint="eastAsia" w:ascii="黑体" w:eastAsia="黑体"/>
          <w:sz w:val="21"/>
          <w:szCs w:val="21"/>
        </w:rPr>
        <w:t>采用价格指数调整价格差额</w:t>
      </w:r>
    </w:p>
    <w:p w14:paraId="36841ACE">
      <w:pPr>
        <w:pStyle w:val="41"/>
        <w:keepNext w:val="0"/>
        <w:keepLines w:val="0"/>
        <w:pageBreakBefore w:val="0"/>
        <w:widowControl w:val="0"/>
        <w:numPr>
          <w:ilvl w:val="3"/>
          <w:numId w:val="0"/>
        </w:numPr>
        <w:tabs>
          <w:tab w:val="left" w:pos="18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Times New Roman" w:hAnsi="Times New Roman" w:eastAsia="Times New Roman" w:cs="Times New Roman"/>
          <w:w w:val="100"/>
          <w:sz w:val="21"/>
          <w:szCs w:val="21"/>
          <w:lang w:val="zh-CN" w:eastAsia="zh-CN" w:bidi="zh-CN"/>
        </w:rPr>
        <w:t>16.1.1.1</w:t>
      </w:r>
      <w:r>
        <w:rPr>
          <w:sz w:val="21"/>
          <w:szCs w:val="21"/>
        </w:rPr>
        <w:t>价格调整公式</w:t>
      </w:r>
    </w:p>
    <w:p w14:paraId="6B36903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价格调整公式后增加备注如下：</w:t>
      </w:r>
    </w:p>
    <w:p w14:paraId="248EA509">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left"/>
        <w:textAlignment w:val="auto"/>
        <w:rPr>
          <w:sz w:val="21"/>
          <w:szCs w:val="21"/>
        </w:rPr>
      </w:pPr>
      <w:r>
        <w:rPr>
          <w:sz w:val="21"/>
          <w:szCs w:val="21"/>
        </w:rPr>
        <w:t>式中，</w:t>
      </w:r>
      <w:r>
        <w:rPr>
          <w:rFonts w:ascii="Times New Roman" w:hAnsi="Times New Roman" w:eastAsia="Times New Roman"/>
          <w:b/>
          <w:sz w:val="21"/>
          <w:szCs w:val="21"/>
        </w:rPr>
        <w:t>A=</w:t>
      </w:r>
      <w:r>
        <w:rPr>
          <w:rFonts w:ascii="Times New Roman" w:hAnsi="Times New Roman" w:eastAsia="Times New Roman"/>
          <w:b/>
          <w:spacing w:val="-1"/>
          <w:sz w:val="21"/>
          <w:szCs w:val="21"/>
        </w:rPr>
        <w:t>1</w:t>
      </w:r>
      <w:r>
        <w:rPr>
          <w:b/>
          <w:spacing w:val="2"/>
          <w:w w:val="99"/>
          <w:sz w:val="21"/>
          <w:szCs w:val="21"/>
        </w:rPr>
        <w:t>－</w:t>
      </w:r>
      <w:r>
        <w:rPr>
          <w:b/>
          <w:spacing w:val="3"/>
          <w:w w:val="99"/>
          <w:sz w:val="21"/>
          <w:szCs w:val="21"/>
        </w:rPr>
        <w:t>（</w:t>
      </w:r>
      <w:r>
        <w:rPr>
          <w:rFonts w:ascii="Times New Roman" w:hAnsi="Times New Roman" w:eastAsia="Times New Roman"/>
          <w:b/>
          <w:spacing w:val="-2"/>
          <w:sz w:val="21"/>
          <w:szCs w:val="21"/>
        </w:rPr>
        <w:t>B</w:t>
      </w:r>
      <w:r>
        <w:rPr>
          <w:rFonts w:ascii="Times New Roman" w:hAnsi="Times New Roman" w:eastAsia="Times New Roman"/>
          <w:b/>
          <w:spacing w:val="-2"/>
          <w:w w:val="97"/>
          <w:sz w:val="21"/>
          <w:szCs w:val="21"/>
          <w:vertAlign w:val="subscript"/>
        </w:rPr>
        <w:t>1</w:t>
      </w:r>
      <w:r>
        <w:rPr>
          <w:b/>
          <w:spacing w:val="2"/>
          <w:w w:val="99"/>
          <w:sz w:val="21"/>
          <w:szCs w:val="21"/>
          <w:vertAlign w:val="baseline"/>
        </w:rPr>
        <w:t>＋</w:t>
      </w:r>
      <w:r>
        <w:rPr>
          <w:rFonts w:ascii="Times New Roman" w:hAnsi="Times New Roman" w:eastAsia="Times New Roman"/>
          <w:b/>
          <w:sz w:val="21"/>
          <w:szCs w:val="21"/>
          <w:vertAlign w:val="baseline"/>
        </w:rPr>
        <w:t>B</w:t>
      </w:r>
      <w:r>
        <w:rPr>
          <w:rFonts w:ascii="Times New Roman" w:hAnsi="Times New Roman" w:eastAsia="Times New Roman"/>
          <w:b/>
          <w:spacing w:val="-2"/>
          <w:w w:val="97"/>
          <w:sz w:val="21"/>
          <w:szCs w:val="21"/>
          <w:vertAlign w:val="subscript"/>
        </w:rPr>
        <w:t>2</w:t>
      </w:r>
      <w:r>
        <w:rPr>
          <w:b/>
          <w:spacing w:val="2"/>
          <w:w w:val="99"/>
          <w:sz w:val="21"/>
          <w:szCs w:val="21"/>
          <w:vertAlign w:val="baseline"/>
        </w:rPr>
        <w:t>＋</w:t>
      </w:r>
      <w:r>
        <w:rPr>
          <w:rFonts w:ascii="Times New Roman" w:hAnsi="Times New Roman" w:eastAsia="Times New Roman"/>
          <w:b/>
          <w:spacing w:val="-2"/>
          <w:sz w:val="21"/>
          <w:szCs w:val="21"/>
          <w:vertAlign w:val="baseline"/>
        </w:rPr>
        <w:t>B</w:t>
      </w:r>
      <w:r>
        <w:rPr>
          <w:rFonts w:ascii="Times New Roman" w:hAnsi="Times New Roman" w:eastAsia="Times New Roman"/>
          <w:b/>
          <w:spacing w:val="1"/>
          <w:w w:val="97"/>
          <w:sz w:val="21"/>
          <w:szCs w:val="21"/>
          <w:vertAlign w:val="subscript"/>
        </w:rPr>
        <w:t>3</w:t>
      </w:r>
      <w:r>
        <w:rPr>
          <w:b/>
          <w:spacing w:val="2"/>
          <w:w w:val="99"/>
          <w:sz w:val="21"/>
          <w:szCs w:val="21"/>
          <w:vertAlign w:val="baseline"/>
        </w:rPr>
        <w:t>＋</w:t>
      </w:r>
      <w:r>
        <w:rPr>
          <w:rFonts w:ascii="Times New Roman" w:hAnsi="Times New Roman" w:eastAsia="Times New Roman"/>
          <w:b/>
          <w:spacing w:val="-2"/>
          <w:w w:val="97"/>
          <w:sz w:val="21"/>
          <w:szCs w:val="21"/>
          <w:vertAlign w:val="subscript"/>
        </w:rPr>
        <w:t>……</w:t>
      </w:r>
      <w:r>
        <w:rPr>
          <w:b/>
          <w:w w:val="99"/>
          <w:sz w:val="21"/>
          <w:szCs w:val="21"/>
          <w:vertAlign w:val="baseline"/>
        </w:rPr>
        <w:t>＋</w:t>
      </w:r>
      <w:r>
        <w:rPr>
          <w:rFonts w:ascii="Times New Roman" w:hAnsi="Times New Roman" w:eastAsia="Times New Roman"/>
          <w:b/>
          <w:sz w:val="21"/>
          <w:szCs w:val="21"/>
          <w:vertAlign w:val="baseline"/>
        </w:rPr>
        <w:t>B</w:t>
      </w:r>
      <w:r>
        <w:rPr>
          <w:rFonts w:ascii="Times New Roman" w:hAnsi="Times New Roman" w:eastAsia="Times New Roman"/>
          <w:b/>
          <w:spacing w:val="-1"/>
          <w:w w:val="97"/>
          <w:sz w:val="21"/>
          <w:szCs w:val="21"/>
          <w:vertAlign w:val="subscript"/>
        </w:rPr>
        <w:t>n</w:t>
      </w:r>
      <w:r>
        <w:rPr>
          <w:b/>
          <w:spacing w:val="-118"/>
          <w:w w:val="99"/>
          <w:sz w:val="21"/>
          <w:szCs w:val="21"/>
          <w:vertAlign w:val="baseline"/>
        </w:rPr>
        <w:t>）</w:t>
      </w:r>
      <w:r>
        <w:rPr>
          <w:sz w:val="21"/>
          <w:szCs w:val="21"/>
          <w:vertAlign w:val="baseline"/>
        </w:rPr>
        <w:t>。本目最后一段文字细化为：</w:t>
      </w:r>
    </w:p>
    <w:p w14:paraId="5612D55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在采用价格调整公式进行调价时，还应遵守以下规定：</w:t>
      </w:r>
    </w:p>
    <w:p w14:paraId="45451DD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4" w:firstLineChars="200"/>
        <w:textAlignment w:val="auto"/>
        <w:rPr>
          <w:sz w:val="21"/>
          <w:szCs w:val="21"/>
        </w:rPr>
      </w:pPr>
      <w:r>
        <w:rPr>
          <w:rFonts w:hint="eastAsia"/>
          <w:spacing w:val="-4"/>
          <w:sz w:val="21"/>
          <w:szCs w:val="21"/>
          <w:lang w:eastAsia="zh-CN"/>
        </w:rPr>
        <w:t>（</w:t>
      </w:r>
      <w:r>
        <w:rPr>
          <w:rFonts w:hint="eastAsia"/>
          <w:spacing w:val="-4"/>
          <w:sz w:val="21"/>
          <w:szCs w:val="21"/>
          <w:lang w:val="en-US" w:eastAsia="zh-CN"/>
        </w:rPr>
        <w:t>1</w:t>
      </w:r>
      <w:r>
        <w:rPr>
          <w:rFonts w:hint="eastAsia"/>
          <w:spacing w:val="-4"/>
          <w:sz w:val="21"/>
          <w:szCs w:val="21"/>
          <w:lang w:eastAsia="zh-CN"/>
        </w:rPr>
        <w:t>）</w:t>
      </w:r>
      <w:r>
        <w:rPr>
          <w:spacing w:val="-4"/>
          <w:sz w:val="21"/>
          <w:szCs w:val="21"/>
        </w:rPr>
        <w:t>以上价格调整公式中的各可调因子、定值权重，以及基本价格指数及其来</w:t>
      </w:r>
      <w:r>
        <w:rPr>
          <w:spacing w:val="-9"/>
          <w:sz w:val="21"/>
          <w:szCs w:val="21"/>
        </w:rPr>
        <w:t>源由发包人在投标函附录价格指数和权重表中约定。价格指数应首先采用国家或省、</w:t>
      </w:r>
      <w:r>
        <w:rPr>
          <w:sz w:val="21"/>
          <w:szCs w:val="21"/>
        </w:rPr>
        <w:t>自治区、直辖市价格部门或统计部门提供的价格指数，缺乏上述价格指数时，可采用上述部门提供的价格代替。</w:t>
      </w:r>
    </w:p>
    <w:p w14:paraId="13039301">
      <w:pPr>
        <w:pStyle w:val="41"/>
        <w:keepNext w:val="0"/>
        <w:keepLines w:val="0"/>
        <w:pageBreakBefore w:val="0"/>
        <w:widowControl w:val="0"/>
        <w:numPr>
          <w:ilvl w:val="0"/>
          <w:numId w:val="0"/>
        </w:numPr>
        <w:tabs>
          <w:tab w:val="left" w:pos="1503"/>
        </w:tabs>
        <w:kinsoku/>
        <w:wordWrap/>
        <w:overflowPunct/>
        <w:topLinePunct w:val="0"/>
        <w:autoSpaceDE w:val="0"/>
        <w:autoSpaceDN w:val="0"/>
        <w:bidi w:val="0"/>
        <w:adjustRightInd/>
        <w:snapToGrid/>
        <w:spacing w:before="0" w:after="0" w:line="360" w:lineRule="auto"/>
        <w:ind w:left="0" w:leftChars="0" w:right="0" w:rightChars="0" w:firstLine="304" w:firstLineChars="200"/>
        <w:jc w:val="left"/>
        <w:textAlignment w:val="auto"/>
        <w:rPr>
          <w:sz w:val="21"/>
          <w:szCs w:val="21"/>
        </w:rPr>
      </w:pPr>
      <w:r>
        <w:rPr>
          <w:rFonts w:hint="eastAsia" w:cs="宋体"/>
          <w:spacing w:val="-29"/>
          <w:w w:val="100"/>
          <w:sz w:val="21"/>
          <w:szCs w:val="21"/>
          <w:lang w:val="zh-CN" w:eastAsia="zh-CN" w:bidi="zh-CN"/>
        </w:rPr>
        <w:t>（</w:t>
      </w:r>
      <w:r>
        <w:rPr>
          <w:rFonts w:hint="eastAsia" w:cs="宋体"/>
          <w:spacing w:val="-29"/>
          <w:w w:val="100"/>
          <w:sz w:val="21"/>
          <w:szCs w:val="21"/>
          <w:lang w:val="en-US" w:eastAsia="zh-CN" w:bidi="zh-CN"/>
        </w:rPr>
        <w:t>2）</w:t>
      </w:r>
      <w:r>
        <w:rPr>
          <w:spacing w:val="-1"/>
          <w:sz w:val="21"/>
          <w:szCs w:val="21"/>
        </w:rPr>
        <w:t>价格调整公式中的变值权重，由发包人根据项目实际情况测算确定范围，</w:t>
      </w:r>
      <w:r>
        <w:rPr>
          <w:sz w:val="21"/>
          <w:szCs w:val="21"/>
        </w:rPr>
        <w:t>并在投标函附录价格指数和权重表中约定范围；承包人在投标时在此范围内填写各可调因子的权重，合同实施期间将按此权重进行调价。</w:t>
      </w:r>
    </w:p>
    <w:p w14:paraId="719798E0">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301" w:name="_bookmark224"/>
      <w:bookmarkEnd w:id="301"/>
      <w:bookmarkStart w:id="302" w:name="_bookmark224"/>
      <w:bookmarkEnd w:id="302"/>
      <w:r>
        <w:rPr>
          <w:rFonts w:hint="default" w:ascii="Times New Roman" w:hAnsi="Times New Roman" w:eastAsia="Times New Roman" w:cs="Times New Roman"/>
          <w:w w:val="100"/>
          <w:sz w:val="21"/>
          <w:szCs w:val="21"/>
          <w:lang w:val="zh-CN" w:eastAsia="zh-CN" w:bidi="zh-CN"/>
        </w:rPr>
        <w:t>17.</w:t>
      </w:r>
      <w:r>
        <w:rPr>
          <w:rFonts w:hint="eastAsia" w:ascii="黑体" w:eastAsia="黑体"/>
          <w:sz w:val="21"/>
          <w:szCs w:val="21"/>
        </w:rPr>
        <w:t>计量与支付</w:t>
      </w:r>
    </w:p>
    <w:p w14:paraId="375289CC">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03" w:name="_bookmark225"/>
      <w:bookmarkEnd w:id="303"/>
      <w:bookmarkStart w:id="304" w:name="_bookmark225"/>
      <w:bookmarkEnd w:id="304"/>
      <w:r>
        <w:rPr>
          <w:rFonts w:hint="default" w:ascii="Times New Roman" w:hAnsi="Times New Roman" w:eastAsia="Times New Roman" w:cs="Times New Roman"/>
          <w:spacing w:val="-1"/>
          <w:w w:val="100"/>
          <w:sz w:val="21"/>
          <w:szCs w:val="21"/>
          <w:lang w:val="zh-CN" w:eastAsia="zh-CN" w:bidi="zh-CN"/>
        </w:rPr>
        <w:t>17.1</w:t>
      </w:r>
      <w:r>
        <w:rPr>
          <w:rFonts w:hint="eastAsia" w:ascii="黑体" w:eastAsia="黑体"/>
          <w:sz w:val="21"/>
          <w:szCs w:val="21"/>
        </w:rPr>
        <w:t>计量</w:t>
      </w:r>
    </w:p>
    <w:p w14:paraId="13F65ED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r>
        <w:rPr>
          <w:rFonts w:ascii="Times New Roman" w:eastAsia="Times New Roman"/>
          <w:sz w:val="21"/>
          <w:szCs w:val="21"/>
        </w:rPr>
        <w:t xml:space="preserve">17.1.2 </w:t>
      </w:r>
      <w:r>
        <w:rPr>
          <w:rFonts w:hint="eastAsia" w:ascii="黑体" w:eastAsia="黑体"/>
          <w:sz w:val="21"/>
          <w:szCs w:val="21"/>
        </w:rPr>
        <w:t>计量方法</w:t>
      </w:r>
    </w:p>
    <w:p w14:paraId="65411F0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本项约定为：</w:t>
      </w:r>
    </w:p>
    <w:p w14:paraId="4ED08FE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工程的计量应以净值为准，除非项目专用合同条款另有约定。工程量清单中各个子目的具体计量方法按本合同文件工程量清单计量规则中的规定执行。</w:t>
      </w:r>
    </w:p>
    <w:p w14:paraId="6E64A278">
      <w:pPr>
        <w:pStyle w:val="41"/>
        <w:keepNext w:val="0"/>
        <w:keepLines w:val="0"/>
        <w:pageBreakBefore w:val="0"/>
        <w:widowControl w:val="0"/>
        <w:numPr>
          <w:ilvl w:val="2"/>
          <w:numId w:val="0"/>
        </w:numPr>
        <w:tabs>
          <w:tab w:val="left" w:pos="161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17.1.4</w:t>
      </w:r>
      <w:r>
        <w:rPr>
          <w:rFonts w:hint="eastAsia" w:ascii="黑体" w:eastAsia="黑体"/>
          <w:sz w:val="21"/>
          <w:szCs w:val="21"/>
        </w:rPr>
        <w:t>单价子目的计量</w:t>
      </w:r>
    </w:p>
    <w:p w14:paraId="60A187F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本项补充：</w:t>
      </w:r>
    </w:p>
    <w:p w14:paraId="6659B24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w:t>
      </w:r>
      <w:r>
        <w:rPr>
          <w:rFonts w:ascii="Times New Roman" w:eastAsia="Times New Roman"/>
          <w:sz w:val="21"/>
          <w:szCs w:val="21"/>
        </w:rPr>
        <w:t>7</w:t>
      </w:r>
      <w:r>
        <w:rPr>
          <w:sz w:val="21"/>
          <w:szCs w:val="21"/>
        </w:rPr>
        <w:t>）承包人未在已标价工程量清单中填入单价或总额价的工程子目，将被认为其已包含在本合同的其他子目的单价和总额价中，发包人将不另行支付。</w:t>
      </w:r>
    </w:p>
    <w:p w14:paraId="62BFBA4C">
      <w:pPr>
        <w:pStyle w:val="41"/>
        <w:keepNext w:val="0"/>
        <w:keepLines w:val="0"/>
        <w:pageBreakBefore w:val="0"/>
        <w:widowControl w:val="0"/>
        <w:numPr>
          <w:ilvl w:val="2"/>
          <w:numId w:val="0"/>
        </w:numPr>
        <w:tabs>
          <w:tab w:val="left" w:pos="161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17.1.5</w:t>
      </w:r>
      <w:r>
        <w:rPr>
          <w:rFonts w:hint="eastAsia" w:ascii="黑体" w:eastAsia="黑体"/>
          <w:sz w:val="21"/>
          <w:szCs w:val="21"/>
        </w:rPr>
        <w:t>总价子目的计量</w:t>
      </w:r>
    </w:p>
    <w:p w14:paraId="3177856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本项补充：</w:t>
      </w:r>
    </w:p>
    <w:p w14:paraId="38B0011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本项目工程量清单中要求承包人以“总额”方式报价的子目，各子目的支付原则和支付进度按项目专用合同条款的规定执行。</w:t>
      </w:r>
    </w:p>
    <w:p w14:paraId="459D1D6C">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05" w:name="_bookmark226"/>
      <w:bookmarkEnd w:id="305"/>
      <w:bookmarkStart w:id="306" w:name="_bookmark226"/>
      <w:bookmarkEnd w:id="306"/>
      <w:r>
        <w:rPr>
          <w:rFonts w:hint="default" w:ascii="Times New Roman" w:hAnsi="Times New Roman" w:eastAsia="Times New Roman" w:cs="Times New Roman"/>
          <w:spacing w:val="-1"/>
          <w:w w:val="100"/>
          <w:sz w:val="21"/>
          <w:szCs w:val="21"/>
          <w:lang w:val="zh-CN" w:eastAsia="zh-CN" w:bidi="zh-CN"/>
        </w:rPr>
        <w:t>17.2</w:t>
      </w:r>
      <w:r>
        <w:rPr>
          <w:rFonts w:hint="eastAsia" w:ascii="黑体" w:eastAsia="黑体"/>
          <w:sz w:val="21"/>
          <w:szCs w:val="21"/>
        </w:rPr>
        <w:t>预付款</w:t>
      </w:r>
    </w:p>
    <w:p w14:paraId="787462F3">
      <w:pPr>
        <w:pStyle w:val="41"/>
        <w:keepNext w:val="0"/>
        <w:keepLines w:val="0"/>
        <w:pageBreakBefore w:val="0"/>
        <w:widowControl w:val="0"/>
        <w:numPr>
          <w:ilvl w:val="2"/>
          <w:numId w:val="0"/>
        </w:numPr>
        <w:tabs>
          <w:tab w:val="left" w:pos="155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17.2.1</w:t>
      </w:r>
      <w:r>
        <w:rPr>
          <w:rFonts w:hint="eastAsia" w:ascii="黑体" w:eastAsia="黑体"/>
          <w:sz w:val="21"/>
          <w:szCs w:val="21"/>
        </w:rPr>
        <w:t>预付款</w:t>
      </w:r>
    </w:p>
    <w:p w14:paraId="3A9D328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default" w:eastAsia="宋体"/>
          <w:sz w:val="21"/>
          <w:szCs w:val="21"/>
          <w:lang w:val="en-US" w:eastAsia="zh-CN"/>
        </w:rPr>
      </w:pPr>
      <w:r>
        <w:rPr>
          <w:sz w:val="21"/>
          <w:szCs w:val="21"/>
        </w:rPr>
        <w:t>本项约定为：</w:t>
      </w:r>
    </w:p>
    <w:p w14:paraId="1148341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预付款包括开工预付款和材料、设备预付款。具体额度和预付办法如下：</w:t>
      </w:r>
    </w:p>
    <w:p w14:paraId="34A4AF08">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b w:val="0"/>
          <w:bCs w:val="0"/>
          <w:spacing w:val="0"/>
          <w:sz w:val="21"/>
          <w:szCs w:val="21"/>
        </w:rPr>
      </w:pPr>
      <w:r>
        <w:rPr>
          <w:rFonts w:hint="default" w:ascii="宋体" w:hAnsi="宋体" w:eastAsia="宋体" w:cs="宋体"/>
          <w:b w:val="0"/>
          <w:bCs w:val="0"/>
          <w:spacing w:val="0"/>
          <w:w w:val="100"/>
          <w:sz w:val="21"/>
          <w:szCs w:val="21"/>
          <w:lang w:val="zh-CN" w:eastAsia="zh-CN" w:bidi="zh-CN"/>
        </w:rPr>
        <w:t>（1）</w:t>
      </w:r>
      <w:r>
        <w:rPr>
          <w:b w:val="0"/>
          <w:bCs w:val="0"/>
          <w:spacing w:val="0"/>
          <w:sz w:val="21"/>
          <w:szCs w:val="21"/>
        </w:rPr>
        <w:t>开工预付款的金额在项目专用合同条款数据表中约定。在承包人签订了合同协议书且承包人承诺的主要设备进场后，监理人应在当期进度付款证书中向承包人支付开工预付款。</w:t>
      </w:r>
    </w:p>
    <w:p w14:paraId="6DC8A1C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pacing w:val="0"/>
          <w:sz w:val="21"/>
          <w:szCs w:val="21"/>
        </w:rPr>
      </w:pPr>
      <w:r>
        <w:rPr>
          <w:spacing w:val="0"/>
          <w:sz w:val="21"/>
          <w:szCs w:val="21"/>
        </w:rPr>
        <w:t>承包人不得将该预付款用于与本工程无关的支出，监理人有权监督承包人对该项费用的使用，如经查实承包人滥用开工预付款，发包人有权立即向银行索赔履约保证金，并解除合同。</w:t>
      </w:r>
    </w:p>
    <w:p w14:paraId="6F52EC4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pacing w:val="0"/>
          <w:sz w:val="21"/>
          <w:szCs w:val="21"/>
        </w:rPr>
      </w:pPr>
      <w:r>
        <w:rPr>
          <w:rFonts w:hint="eastAsia"/>
          <w:spacing w:val="0"/>
          <w:sz w:val="21"/>
          <w:szCs w:val="21"/>
          <w:lang w:eastAsia="zh-CN"/>
        </w:rPr>
        <w:t>（</w:t>
      </w:r>
      <w:r>
        <w:rPr>
          <w:rFonts w:hint="eastAsia"/>
          <w:spacing w:val="0"/>
          <w:sz w:val="21"/>
          <w:szCs w:val="21"/>
          <w:lang w:val="en-US" w:eastAsia="zh-CN"/>
        </w:rPr>
        <w:t>2</w:t>
      </w:r>
      <w:r>
        <w:rPr>
          <w:rFonts w:hint="eastAsia"/>
          <w:spacing w:val="0"/>
          <w:sz w:val="21"/>
          <w:szCs w:val="21"/>
          <w:lang w:eastAsia="zh-CN"/>
        </w:rPr>
        <w:t>）</w:t>
      </w:r>
      <w:r>
        <w:rPr>
          <w:spacing w:val="0"/>
          <w:sz w:val="21"/>
          <w:szCs w:val="21"/>
        </w:rPr>
        <w:t>材料、设备预付款按项目专用合同条款数据表中所列主要材料、设备单据费用（进口的材料、设备为到岸价，国内采购的为出厂价或销售价，地方材料为堆场价）的百分比支付。其预付条件为：</w:t>
      </w:r>
    </w:p>
    <w:p w14:paraId="3D6C515C">
      <w:pPr>
        <w:pStyle w:val="41"/>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a.</w:t>
      </w:r>
      <w:r>
        <w:rPr>
          <w:spacing w:val="0"/>
          <w:sz w:val="21"/>
          <w:szCs w:val="21"/>
        </w:rPr>
        <w:t>材料、设备符合规范要求并经监理人认可；</w:t>
      </w:r>
    </w:p>
    <w:p w14:paraId="3A318088">
      <w:pPr>
        <w:pStyle w:val="41"/>
        <w:keepNext w:val="0"/>
        <w:keepLines w:val="0"/>
        <w:pageBreakBefore w:val="0"/>
        <w:widowControl w:val="0"/>
        <w:numPr>
          <w:ilvl w:val="0"/>
          <w:numId w:val="0"/>
        </w:numPr>
        <w:tabs>
          <w:tab w:val="left" w:pos="120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b.</w:t>
      </w:r>
      <w:r>
        <w:rPr>
          <w:spacing w:val="0"/>
          <w:sz w:val="21"/>
          <w:szCs w:val="21"/>
        </w:rPr>
        <w:t>承包人已出具材料、设备费用凭证或支付单据；</w:t>
      </w:r>
    </w:p>
    <w:p w14:paraId="57E38DEA">
      <w:pPr>
        <w:pStyle w:val="41"/>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c.</w:t>
      </w:r>
      <w:r>
        <w:rPr>
          <w:spacing w:val="0"/>
          <w:sz w:val="21"/>
          <w:szCs w:val="21"/>
        </w:rPr>
        <w:t>材料、设备已在现场交货，且存储良好，监理人认为材料、设备的存储方法符合要求。</w:t>
      </w:r>
    </w:p>
    <w:p w14:paraId="25396AF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0"/>
          <w:sz w:val="21"/>
          <w:szCs w:val="21"/>
        </w:rPr>
      </w:pPr>
      <w:r>
        <w:rPr>
          <w:spacing w:val="0"/>
          <w:sz w:val="21"/>
          <w:szCs w:val="21"/>
        </w:rPr>
        <w:t>则监理人应将此项金额作为材料、设备预付款计入下一次的进度付款证书中。在预计</w:t>
      </w:r>
      <w:r>
        <w:rPr>
          <w:rFonts w:hint="eastAsia" w:ascii="宋体" w:hAnsi="宋体" w:eastAsia="宋体" w:cs="宋体"/>
          <w:spacing w:val="0"/>
          <w:sz w:val="21"/>
          <w:szCs w:val="21"/>
        </w:rPr>
        <w:t>交工前3个月，将不再支付材料、设备预付款。</w:t>
      </w:r>
    </w:p>
    <w:p w14:paraId="1A541789">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17.2.2</w:t>
      </w:r>
      <w:r>
        <w:rPr>
          <w:rFonts w:hint="eastAsia" w:ascii="黑体" w:eastAsia="黑体"/>
          <w:sz w:val="21"/>
          <w:szCs w:val="21"/>
        </w:rPr>
        <w:t>预付款保函</w:t>
      </w:r>
    </w:p>
    <w:p w14:paraId="05933E0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本项细化为：</w:t>
      </w:r>
    </w:p>
    <w:p w14:paraId="3A28A05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rFonts w:hint="eastAsia" w:eastAsia="宋体"/>
          <w:sz w:val="21"/>
          <w:szCs w:val="21"/>
          <w:lang w:eastAsia="zh-CN"/>
        </w:rPr>
      </w:pPr>
      <w:r>
        <w:rPr>
          <w:sz w:val="21"/>
          <w:szCs w:val="21"/>
        </w:rPr>
        <w:t>承包人</w:t>
      </w:r>
      <w:r>
        <w:rPr>
          <w:rFonts w:hint="eastAsia"/>
          <w:sz w:val="21"/>
          <w:szCs w:val="21"/>
          <w:lang w:val="en-US" w:eastAsia="zh-CN"/>
        </w:rPr>
        <w:t>无</w:t>
      </w:r>
      <w:r>
        <w:rPr>
          <w:sz w:val="21"/>
          <w:szCs w:val="21"/>
        </w:rPr>
        <w:t>须向发包人提交预付款保函。发包人向承包人支付的预付款，应按照</w:t>
      </w:r>
      <w:r>
        <w:rPr>
          <w:spacing w:val="-9"/>
          <w:sz w:val="21"/>
          <w:szCs w:val="21"/>
        </w:rPr>
        <w:t xml:space="preserve">本合同第 </w:t>
      </w:r>
      <w:r>
        <w:rPr>
          <w:rFonts w:ascii="Times New Roman" w:eastAsia="Times New Roman"/>
          <w:sz w:val="21"/>
          <w:szCs w:val="21"/>
        </w:rPr>
        <w:t xml:space="preserve">17.2.1 </w:t>
      </w:r>
      <w:r>
        <w:rPr>
          <w:spacing w:val="-1"/>
          <w:sz w:val="21"/>
          <w:szCs w:val="21"/>
        </w:rPr>
        <w:t>项规定使用，承包人提交的履约保证金对预付款的正常使用承担保</w:t>
      </w:r>
      <w:r>
        <w:rPr>
          <w:sz w:val="21"/>
          <w:szCs w:val="21"/>
        </w:rPr>
        <w:t>证责任</w:t>
      </w:r>
      <w:r>
        <w:rPr>
          <w:rFonts w:hint="eastAsia"/>
          <w:sz w:val="21"/>
          <w:szCs w:val="21"/>
          <w:lang w:eastAsia="zh-CN"/>
        </w:rPr>
        <w:t>。</w:t>
      </w:r>
    </w:p>
    <w:p w14:paraId="0263AC9C">
      <w:pPr>
        <w:pStyle w:val="41"/>
        <w:keepNext w:val="0"/>
        <w:keepLines w:val="0"/>
        <w:pageBreakBefore w:val="0"/>
        <w:widowControl w:val="0"/>
        <w:numPr>
          <w:ilvl w:val="2"/>
          <w:numId w:val="0"/>
        </w:numPr>
        <w:tabs>
          <w:tab w:val="left" w:pos="156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default" w:ascii="黑体" w:eastAsia="黑体"/>
          <w:sz w:val="21"/>
          <w:szCs w:val="21"/>
          <w:highlight w:val="none"/>
          <w:lang w:val="en-US" w:eastAsia="zh-CN"/>
        </w:rPr>
      </w:pPr>
      <w:r>
        <w:rPr>
          <w:rFonts w:hint="default" w:ascii="Times New Roman" w:hAnsi="Times New Roman" w:eastAsia="Times New Roman" w:cs="Times New Roman"/>
          <w:w w:val="100"/>
          <w:sz w:val="21"/>
          <w:szCs w:val="21"/>
          <w:lang w:val="zh-CN" w:eastAsia="zh-CN" w:bidi="zh-CN"/>
        </w:rPr>
        <w:t>17.2.3</w:t>
      </w:r>
      <w:r>
        <w:rPr>
          <w:rFonts w:hint="eastAsia" w:ascii="黑体" w:eastAsia="黑体"/>
          <w:sz w:val="21"/>
          <w:szCs w:val="21"/>
          <w:highlight w:val="none"/>
        </w:rPr>
        <w:t>预付款的扣回与还清</w:t>
      </w:r>
      <w:r>
        <w:rPr>
          <w:rFonts w:hint="eastAsia" w:ascii="黑体" w:eastAsia="黑体"/>
          <w:sz w:val="21"/>
          <w:szCs w:val="21"/>
          <w:highlight w:val="none"/>
          <w:lang w:eastAsia="zh-CN"/>
        </w:rPr>
        <w:t>（</w:t>
      </w:r>
      <w:r>
        <w:rPr>
          <w:rFonts w:hint="eastAsia" w:ascii="黑体" w:eastAsia="黑体"/>
          <w:sz w:val="21"/>
          <w:szCs w:val="21"/>
          <w:highlight w:val="none"/>
          <w:lang w:val="en-US" w:eastAsia="zh-CN"/>
        </w:rPr>
        <w:t>本项目无预付款）</w:t>
      </w:r>
    </w:p>
    <w:p w14:paraId="3E48B5D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本项约定为：</w:t>
      </w:r>
    </w:p>
    <w:p w14:paraId="3354562F">
      <w:pPr>
        <w:pStyle w:val="41"/>
        <w:keepNext w:val="0"/>
        <w:keepLines w:val="0"/>
        <w:pageBreakBefore w:val="0"/>
        <w:widowControl w:val="0"/>
        <w:numPr>
          <w:ilvl w:val="0"/>
          <w:numId w:val="0"/>
        </w:numPr>
        <w:tabs>
          <w:tab w:val="left" w:pos="144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宋体" w:hAnsi="宋体" w:eastAsia="宋体" w:cs="宋体"/>
          <w:spacing w:val="0"/>
          <w:w w:val="100"/>
          <w:sz w:val="21"/>
          <w:szCs w:val="21"/>
          <w:lang w:val="zh-CN" w:eastAsia="zh-CN" w:bidi="zh-CN"/>
        </w:rPr>
        <w:t>（1）</w:t>
      </w:r>
      <w:r>
        <w:rPr>
          <w:spacing w:val="0"/>
          <w:sz w:val="21"/>
          <w:szCs w:val="21"/>
        </w:rPr>
        <w:t>开工预付款在进度付款证书的累计金额未达到签约合同价的</w:t>
      </w:r>
      <w:r>
        <w:rPr>
          <w:rFonts w:ascii="Times New Roman" w:eastAsia="Times New Roman"/>
          <w:spacing w:val="0"/>
          <w:sz w:val="21"/>
          <w:szCs w:val="21"/>
        </w:rPr>
        <w:t>30%</w:t>
      </w:r>
      <w:r>
        <w:rPr>
          <w:spacing w:val="0"/>
          <w:sz w:val="21"/>
          <w:szCs w:val="21"/>
        </w:rPr>
        <w:t>之前不予扣回，在达到签约合同价</w:t>
      </w:r>
      <w:r>
        <w:rPr>
          <w:rFonts w:ascii="Times New Roman" w:eastAsia="Times New Roman"/>
          <w:spacing w:val="0"/>
          <w:sz w:val="21"/>
          <w:szCs w:val="21"/>
        </w:rPr>
        <w:t>30%</w:t>
      </w:r>
      <w:r>
        <w:rPr>
          <w:spacing w:val="0"/>
          <w:sz w:val="21"/>
          <w:szCs w:val="21"/>
        </w:rPr>
        <w:t>之后，开始按工程进度以固定比例（即每完成签约合同价的</w:t>
      </w:r>
      <w:r>
        <w:rPr>
          <w:rFonts w:ascii="Times New Roman" w:eastAsia="Times New Roman"/>
          <w:spacing w:val="0"/>
          <w:sz w:val="21"/>
          <w:szCs w:val="21"/>
        </w:rPr>
        <w:t>1%</w:t>
      </w:r>
      <w:r>
        <w:rPr>
          <w:spacing w:val="0"/>
          <w:sz w:val="21"/>
          <w:szCs w:val="21"/>
        </w:rPr>
        <w:t>，扣回开工预付款的</w:t>
      </w:r>
      <w:r>
        <w:rPr>
          <w:rFonts w:ascii="Times New Roman" w:eastAsia="Times New Roman"/>
          <w:spacing w:val="0"/>
          <w:sz w:val="21"/>
          <w:szCs w:val="21"/>
        </w:rPr>
        <w:t>2%</w:t>
      </w:r>
      <w:r>
        <w:rPr>
          <w:spacing w:val="0"/>
          <w:sz w:val="21"/>
          <w:szCs w:val="21"/>
        </w:rPr>
        <w:t>）分期从各月的进度付款证书中扣回，全部金额在进度付款证书的累计金额达到签约合同价的</w:t>
      </w:r>
      <w:r>
        <w:rPr>
          <w:rFonts w:ascii="Times New Roman" w:eastAsia="Times New Roman"/>
          <w:spacing w:val="0"/>
          <w:sz w:val="21"/>
          <w:szCs w:val="21"/>
        </w:rPr>
        <w:t>80%</w:t>
      </w:r>
      <w:r>
        <w:rPr>
          <w:spacing w:val="0"/>
          <w:sz w:val="21"/>
          <w:szCs w:val="21"/>
        </w:rPr>
        <w:t>时扣完。</w:t>
      </w:r>
    </w:p>
    <w:p w14:paraId="4650EABD">
      <w:pPr>
        <w:pStyle w:val="41"/>
        <w:keepNext w:val="0"/>
        <w:keepLines w:val="0"/>
        <w:pageBreakBefore w:val="0"/>
        <w:widowControl w:val="0"/>
        <w:numPr>
          <w:ilvl w:val="0"/>
          <w:numId w:val="0"/>
        </w:numPr>
        <w:tabs>
          <w:tab w:val="left" w:pos="144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宋体" w:hAnsi="宋体" w:eastAsia="宋体" w:cs="宋体"/>
          <w:spacing w:val="0"/>
          <w:w w:val="100"/>
          <w:sz w:val="21"/>
          <w:szCs w:val="21"/>
          <w:lang w:val="zh-CN" w:eastAsia="zh-CN" w:bidi="zh-CN"/>
        </w:rPr>
        <w:t>（2）</w:t>
      </w:r>
      <w:r>
        <w:rPr>
          <w:spacing w:val="0"/>
          <w:sz w:val="21"/>
          <w:szCs w:val="21"/>
        </w:rPr>
        <w:t>当材料、设备已用于或安装在永久工程之中时，材料、设备预付款应从进度付款证书中扣回，扣回期不超过</w:t>
      </w:r>
      <w:r>
        <w:rPr>
          <w:rFonts w:ascii="Times New Roman" w:eastAsia="Times New Roman"/>
          <w:spacing w:val="0"/>
          <w:sz w:val="21"/>
          <w:szCs w:val="21"/>
        </w:rPr>
        <w:t>3</w:t>
      </w:r>
      <w:r>
        <w:rPr>
          <w:spacing w:val="0"/>
          <w:sz w:val="21"/>
          <w:szCs w:val="21"/>
        </w:rPr>
        <w:t>个月。已经支付材料、设备预付款的材料、设备的所有权应属于发包人。</w:t>
      </w:r>
    </w:p>
    <w:p w14:paraId="195E8A21">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07" w:name="_bookmark227"/>
      <w:bookmarkEnd w:id="307"/>
      <w:bookmarkStart w:id="308" w:name="_bookmark227"/>
      <w:bookmarkEnd w:id="308"/>
      <w:r>
        <w:rPr>
          <w:rFonts w:hint="default" w:ascii="Times New Roman" w:hAnsi="Times New Roman" w:eastAsia="Times New Roman" w:cs="Times New Roman"/>
          <w:spacing w:val="-1"/>
          <w:w w:val="100"/>
          <w:sz w:val="21"/>
          <w:szCs w:val="21"/>
          <w:lang w:val="zh-CN" w:eastAsia="zh-CN" w:bidi="zh-CN"/>
        </w:rPr>
        <w:t>17.3</w:t>
      </w:r>
      <w:r>
        <w:rPr>
          <w:rFonts w:hint="eastAsia" w:ascii="黑体" w:eastAsia="黑体"/>
          <w:sz w:val="21"/>
          <w:szCs w:val="21"/>
        </w:rPr>
        <w:t>工程进度付款</w:t>
      </w:r>
    </w:p>
    <w:p w14:paraId="1D42145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r>
        <w:rPr>
          <w:rFonts w:ascii="Times New Roman" w:eastAsia="Times New Roman"/>
          <w:sz w:val="21"/>
          <w:szCs w:val="21"/>
        </w:rPr>
        <w:t xml:space="preserve">17.3.3 </w:t>
      </w:r>
      <w:r>
        <w:rPr>
          <w:rFonts w:hint="eastAsia" w:ascii="黑体" w:eastAsia="黑体"/>
          <w:sz w:val="21"/>
          <w:szCs w:val="21"/>
        </w:rPr>
        <w:t>进度付款证书和支付时间</w:t>
      </w:r>
    </w:p>
    <w:p w14:paraId="519CADC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w:t>
      </w:r>
      <w:r>
        <w:rPr>
          <w:rFonts w:ascii="Times New Roman" w:eastAsia="Times New Roman"/>
          <w:sz w:val="21"/>
          <w:szCs w:val="21"/>
        </w:rPr>
        <w:t>1</w:t>
      </w:r>
      <w:r>
        <w:rPr>
          <w:sz w:val="21"/>
          <w:szCs w:val="21"/>
        </w:rPr>
        <w:t>）目补充：</w:t>
      </w:r>
    </w:p>
    <w:p w14:paraId="2D36C48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16E6078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w:t>
      </w:r>
      <w:r>
        <w:rPr>
          <w:rFonts w:ascii="Times New Roman" w:eastAsia="Times New Roman"/>
          <w:sz w:val="21"/>
          <w:szCs w:val="21"/>
        </w:rPr>
        <w:t>2</w:t>
      </w:r>
      <w:r>
        <w:rPr>
          <w:sz w:val="21"/>
          <w:szCs w:val="21"/>
        </w:rPr>
        <w:t>）目细化为：</w:t>
      </w:r>
    </w:p>
    <w:p w14:paraId="694730A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发包人应在监理人收到进度付款申请单且承包人提交了合格的增值税专用发票后的 </w:t>
      </w:r>
      <w:r>
        <w:rPr>
          <w:rFonts w:ascii="Times New Roman" w:eastAsia="Times New Roman"/>
          <w:sz w:val="21"/>
          <w:szCs w:val="21"/>
        </w:rPr>
        <w:t xml:space="preserve">28 </w:t>
      </w:r>
      <w:r>
        <w:rPr>
          <w:sz w:val="21"/>
          <w:szCs w:val="21"/>
        </w:rPr>
        <w:t>天内，将进度应付款支付给承包人。</w:t>
      </w:r>
    </w:p>
    <w:p w14:paraId="5A11383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发包人不按期支付的，按项目专用合同条款数据表中约定的利率向承包人支付</w:t>
      </w:r>
      <w:r>
        <w:rPr>
          <w:spacing w:val="-1"/>
          <w:sz w:val="21"/>
          <w:szCs w:val="21"/>
        </w:rPr>
        <w:t>逾期付款违约金。违约金计算基数为发包人的全部未付款额，时间从应付而未付该</w:t>
      </w:r>
      <w:r>
        <w:rPr>
          <w:sz w:val="21"/>
          <w:szCs w:val="21"/>
        </w:rPr>
        <w:t>款额之日算起（不计复利</w:t>
      </w:r>
      <w:r>
        <w:rPr>
          <w:spacing w:val="-120"/>
          <w:sz w:val="21"/>
          <w:szCs w:val="21"/>
        </w:rPr>
        <w:t>）</w:t>
      </w:r>
      <w:r>
        <w:rPr>
          <w:sz w:val="21"/>
          <w:szCs w:val="21"/>
        </w:rPr>
        <w:t>。</w:t>
      </w:r>
    </w:p>
    <w:p w14:paraId="24CFC6A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本款补充第 </w:t>
      </w:r>
      <w:r>
        <w:rPr>
          <w:rFonts w:ascii="Times New Roman" w:eastAsia="Times New Roman"/>
          <w:sz w:val="21"/>
          <w:szCs w:val="21"/>
        </w:rPr>
        <w:t xml:space="preserve">17.3.5 </w:t>
      </w:r>
      <w:r>
        <w:rPr>
          <w:sz w:val="21"/>
          <w:szCs w:val="21"/>
        </w:rPr>
        <w:t>项：</w:t>
      </w:r>
    </w:p>
    <w:p w14:paraId="76B6B0F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r>
        <w:rPr>
          <w:rFonts w:ascii="Times New Roman" w:eastAsia="Times New Roman"/>
          <w:sz w:val="21"/>
          <w:szCs w:val="21"/>
        </w:rPr>
        <w:t xml:space="preserve">17.3.5 </w:t>
      </w:r>
      <w:r>
        <w:rPr>
          <w:rFonts w:hint="eastAsia" w:ascii="黑体" w:eastAsia="黑体"/>
          <w:sz w:val="21"/>
          <w:szCs w:val="21"/>
        </w:rPr>
        <w:t>农民工工资保证金</w:t>
      </w:r>
    </w:p>
    <w:p w14:paraId="6DD5D81E">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（1）</w:t>
      </w:r>
      <w:r>
        <w:rPr>
          <w:spacing w:val="0"/>
          <w:sz w:val="21"/>
          <w:szCs w:val="21"/>
        </w:rPr>
        <w:t>为确保施工过程中农民工工资实时、足额发放到位，承包人应按照项目专用合同条款约定的时间和金额缴存农民工工资保证金。</w:t>
      </w:r>
    </w:p>
    <w:p w14:paraId="136A0BC6">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（2）</w:t>
      </w:r>
      <w:r>
        <w:rPr>
          <w:spacing w:val="0"/>
          <w:sz w:val="21"/>
          <w:szCs w:val="21"/>
        </w:rPr>
        <w:t>农民工工资保证金可采用银行保函或现金、支票形式。采用银行保函时，出具保函的银行须具有相应担保能力，且按照发包人批准的格式出具，所需费用由承包人承担。</w:t>
      </w:r>
    </w:p>
    <w:p w14:paraId="2E01B33F">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（3）</w:t>
      </w:r>
      <w:r>
        <w:rPr>
          <w:spacing w:val="0"/>
          <w:sz w:val="21"/>
          <w:szCs w:val="21"/>
        </w:rPr>
        <w:t>农民工工资保证金的扣留条件、返还时间按照项目专用合同条款的约定执行。</w:t>
      </w:r>
    </w:p>
    <w:p w14:paraId="424F1029">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09" w:name="_bookmark228"/>
      <w:bookmarkEnd w:id="309"/>
      <w:bookmarkStart w:id="310" w:name="_bookmark228"/>
      <w:bookmarkEnd w:id="310"/>
      <w:r>
        <w:rPr>
          <w:rFonts w:hint="default" w:ascii="Times New Roman" w:hAnsi="Times New Roman" w:eastAsia="Times New Roman" w:cs="Times New Roman"/>
          <w:spacing w:val="-1"/>
          <w:w w:val="100"/>
          <w:sz w:val="21"/>
          <w:szCs w:val="21"/>
          <w:lang w:val="zh-CN" w:eastAsia="zh-CN" w:bidi="zh-CN"/>
        </w:rPr>
        <w:t>17.4</w:t>
      </w:r>
      <w:r>
        <w:rPr>
          <w:rFonts w:hint="eastAsia" w:ascii="黑体" w:eastAsia="黑体"/>
          <w:sz w:val="21"/>
          <w:szCs w:val="21"/>
        </w:rPr>
        <w:t>质量保证金</w:t>
      </w:r>
    </w:p>
    <w:p w14:paraId="2D0FDC2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17.4.1 </w:t>
      </w:r>
      <w:r>
        <w:rPr>
          <w:sz w:val="21"/>
          <w:szCs w:val="21"/>
        </w:rPr>
        <w:t xml:space="preserve">项、第 </w:t>
      </w:r>
      <w:r>
        <w:rPr>
          <w:rFonts w:ascii="Times New Roman" w:eastAsia="Times New Roman"/>
          <w:sz w:val="21"/>
          <w:szCs w:val="21"/>
        </w:rPr>
        <w:t xml:space="preserve">17.4.2 </w:t>
      </w:r>
      <w:r>
        <w:rPr>
          <w:sz w:val="21"/>
          <w:szCs w:val="21"/>
        </w:rPr>
        <w:t>项细化为：</w:t>
      </w:r>
    </w:p>
    <w:p w14:paraId="594CFB2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rFonts w:hint="eastAsia"/>
          <w:sz w:val="21"/>
          <w:szCs w:val="21"/>
          <w:lang w:val="en-US" w:eastAsia="zh-CN"/>
        </w:rPr>
        <w:t>17.4.1</w:t>
      </w:r>
      <w:r>
        <w:rPr>
          <w:sz w:val="21"/>
          <w:szCs w:val="21"/>
        </w:rPr>
        <w:t>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4F7CEC1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6" w:firstLineChars="200"/>
        <w:textAlignment w:val="auto"/>
        <w:rPr>
          <w:sz w:val="21"/>
          <w:szCs w:val="21"/>
        </w:rPr>
      </w:pPr>
      <w:r>
        <w:rPr>
          <w:spacing w:val="-1"/>
          <w:sz w:val="21"/>
          <w:szCs w:val="21"/>
        </w:rPr>
        <w:t>质量保证金采用现金、支票形式提交的，发包人应在项目专用合同条款数据表</w:t>
      </w:r>
      <w:r>
        <w:rPr>
          <w:sz w:val="21"/>
          <w:szCs w:val="21"/>
        </w:rPr>
        <w:t xml:space="preserve">中明确是否计付利息以及利息的计算方式。 </w:t>
      </w:r>
    </w:p>
    <w:p w14:paraId="2CBEE57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sz w:val="21"/>
          <w:szCs w:val="21"/>
          <w:lang w:val="en-US" w:eastAsia="zh-CN"/>
        </w:rPr>
      </w:pPr>
      <w:r>
        <w:rPr>
          <w:rFonts w:hint="eastAsia"/>
          <w:sz w:val="21"/>
          <w:szCs w:val="21"/>
          <w:lang w:val="en-US" w:eastAsia="zh-CN"/>
        </w:rPr>
        <w:t>17.4.2在第 1.1.4.5 目约定的缺陷责任期满，且质量监督机构已按规定对工程质量检测鉴定合格，承包人向发包人申请到期应返还承包人剩余的质量保证金金额，发包人应在 14 天内会同承包人按照合同约定的内容核实承包人是否完成缺陷责任。如无异议，发包人应当在核实后将剩余保证金返还承包人。</w:t>
      </w:r>
    </w:p>
    <w:p w14:paraId="31F83031">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11" w:name="_bookmark229"/>
      <w:bookmarkEnd w:id="311"/>
      <w:bookmarkStart w:id="312" w:name="_bookmark229"/>
      <w:bookmarkEnd w:id="312"/>
      <w:r>
        <w:rPr>
          <w:rFonts w:hint="default" w:ascii="Times New Roman" w:hAnsi="Times New Roman" w:eastAsia="Times New Roman" w:cs="Times New Roman"/>
          <w:spacing w:val="-1"/>
          <w:w w:val="100"/>
          <w:sz w:val="21"/>
          <w:szCs w:val="21"/>
          <w:lang w:val="zh-CN" w:eastAsia="zh-CN" w:bidi="zh-CN"/>
        </w:rPr>
        <w:t>17.5</w:t>
      </w:r>
      <w:r>
        <w:rPr>
          <w:rFonts w:hint="eastAsia" w:ascii="黑体" w:eastAsia="黑体"/>
          <w:sz w:val="21"/>
          <w:szCs w:val="21"/>
        </w:rPr>
        <w:t>交工结算</w:t>
      </w:r>
    </w:p>
    <w:p w14:paraId="1044CF77">
      <w:pPr>
        <w:pStyle w:val="41"/>
        <w:keepNext w:val="0"/>
        <w:keepLines w:val="0"/>
        <w:pageBreakBefore w:val="0"/>
        <w:widowControl w:val="0"/>
        <w:numPr>
          <w:ilvl w:val="2"/>
          <w:numId w:val="0"/>
        </w:numPr>
        <w:tabs>
          <w:tab w:val="left" w:pos="161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17.5.1</w:t>
      </w:r>
      <w:r>
        <w:rPr>
          <w:rFonts w:hint="eastAsia" w:ascii="黑体" w:eastAsia="黑体"/>
          <w:sz w:val="21"/>
          <w:szCs w:val="21"/>
        </w:rPr>
        <w:t>交工付款申请单</w:t>
      </w:r>
    </w:p>
    <w:p w14:paraId="46A8E17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w:t>
      </w:r>
      <w:r>
        <w:rPr>
          <w:rFonts w:ascii="Times New Roman" w:eastAsia="Times New Roman"/>
          <w:sz w:val="21"/>
          <w:szCs w:val="21"/>
        </w:rPr>
        <w:t>1</w:t>
      </w:r>
      <w:r>
        <w:rPr>
          <w:sz w:val="21"/>
          <w:szCs w:val="21"/>
        </w:rPr>
        <w:t>）目约定为：</w:t>
      </w:r>
    </w:p>
    <w:p w14:paraId="6B1E1B5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承包人向监理人提交交工付款申请单（包括相关证明材料）的份数在项目专用合同条款数据表中约定；期限：交工验收证书签发后 </w:t>
      </w:r>
      <w:r>
        <w:rPr>
          <w:rFonts w:ascii="Times New Roman" w:eastAsia="Times New Roman"/>
          <w:sz w:val="21"/>
          <w:szCs w:val="21"/>
        </w:rPr>
        <w:t xml:space="preserve">42 </w:t>
      </w:r>
      <w:r>
        <w:rPr>
          <w:sz w:val="21"/>
          <w:szCs w:val="21"/>
        </w:rPr>
        <w:t>天内。</w:t>
      </w:r>
    </w:p>
    <w:p w14:paraId="1EE5F91D">
      <w:pPr>
        <w:pStyle w:val="41"/>
        <w:keepNext w:val="0"/>
        <w:keepLines w:val="0"/>
        <w:pageBreakBefore w:val="0"/>
        <w:widowControl w:val="0"/>
        <w:numPr>
          <w:ilvl w:val="2"/>
          <w:numId w:val="0"/>
        </w:numPr>
        <w:tabs>
          <w:tab w:val="left" w:pos="161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17.5.2</w:t>
      </w:r>
      <w:r>
        <w:rPr>
          <w:rFonts w:hint="eastAsia" w:ascii="黑体" w:eastAsia="黑体"/>
          <w:sz w:val="21"/>
          <w:szCs w:val="21"/>
        </w:rPr>
        <w:t>交工付款证书及支付时间</w:t>
      </w:r>
    </w:p>
    <w:p w14:paraId="1F35B4F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w:t>
      </w:r>
      <w:r>
        <w:rPr>
          <w:rFonts w:ascii="Times New Roman" w:eastAsia="Times New Roman"/>
          <w:sz w:val="21"/>
          <w:szCs w:val="21"/>
        </w:rPr>
        <w:t>2</w:t>
      </w:r>
      <w:r>
        <w:rPr>
          <w:sz w:val="21"/>
          <w:szCs w:val="21"/>
        </w:rPr>
        <w:t>）目细化为：</w:t>
      </w:r>
    </w:p>
    <w:p w14:paraId="3A1D935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发包人应在监理人出具交工付款证书且承包人提交了合格的增值税专用发票后的</w:t>
      </w:r>
      <w:r>
        <w:rPr>
          <w:rFonts w:ascii="Times New Roman" w:eastAsia="Times New Roman"/>
          <w:sz w:val="21"/>
          <w:szCs w:val="21"/>
        </w:rPr>
        <w:t xml:space="preserve">14 </w:t>
      </w:r>
      <w:r>
        <w:rPr>
          <w:sz w:val="21"/>
          <w:szCs w:val="21"/>
        </w:rPr>
        <w:t xml:space="preserve">天内，将应支付款支付给承包人。发包人不按期支付的，按第 </w:t>
      </w:r>
      <w:r>
        <w:rPr>
          <w:rFonts w:ascii="Times New Roman" w:eastAsia="Times New Roman"/>
          <w:sz w:val="21"/>
          <w:szCs w:val="21"/>
        </w:rPr>
        <w:t>17.3.3</w:t>
      </w:r>
      <w:r>
        <w:rPr>
          <w:sz w:val="21"/>
          <w:szCs w:val="21"/>
        </w:rPr>
        <w:t>（</w:t>
      </w:r>
      <w:r>
        <w:rPr>
          <w:rFonts w:ascii="Times New Roman" w:eastAsia="Times New Roman"/>
          <w:sz w:val="21"/>
          <w:szCs w:val="21"/>
        </w:rPr>
        <w:t>2</w:t>
      </w:r>
      <w:r>
        <w:rPr>
          <w:sz w:val="21"/>
          <w:szCs w:val="21"/>
        </w:rPr>
        <w:t>）目的约定，将逾期付款违约金支付给承包人。</w:t>
      </w:r>
    </w:p>
    <w:p w14:paraId="260D4CD2">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13" w:name="_bookmark230"/>
      <w:bookmarkEnd w:id="313"/>
      <w:bookmarkStart w:id="314" w:name="_bookmark230"/>
      <w:bookmarkEnd w:id="314"/>
      <w:r>
        <w:rPr>
          <w:rFonts w:hint="default" w:ascii="Times New Roman" w:hAnsi="Times New Roman" w:eastAsia="Times New Roman" w:cs="Times New Roman"/>
          <w:spacing w:val="-1"/>
          <w:w w:val="100"/>
          <w:sz w:val="21"/>
          <w:szCs w:val="21"/>
          <w:lang w:val="zh-CN" w:eastAsia="zh-CN" w:bidi="zh-CN"/>
        </w:rPr>
        <w:t>17.6</w:t>
      </w:r>
      <w:r>
        <w:rPr>
          <w:rFonts w:hint="eastAsia" w:ascii="黑体" w:eastAsia="黑体"/>
          <w:sz w:val="21"/>
          <w:szCs w:val="21"/>
        </w:rPr>
        <w:t>最终结清</w:t>
      </w:r>
    </w:p>
    <w:p w14:paraId="67E9E4C6">
      <w:pPr>
        <w:pStyle w:val="41"/>
        <w:keepNext w:val="0"/>
        <w:keepLines w:val="0"/>
        <w:pageBreakBefore w:val="0"/>
        <w:widowControl w:val="0"/>
        <w:numPr>
          <w:ilvl w:val="2"/>
          <w:numId w:val="0"/>
        </w:numPr>
        <w:tabs>
          <w:tab w:val="left" w:pos="161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17.6.1</w:t>
      </w:r>
      <w:r>
        <w:rPr>
          <w:rFonts w:hint="eastAsia" w:ascii="黑体" w:eastAsia="黑体"/>
          <w:sz w:val="21"/>
          <w:szCs w:val="21"/>
        </w:rPr>
        <w:t>最终结清申请单</w:t>
      </w:r>
    </w:p>
    <w:p w14:paraId="4E21072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w:t>
      </w:r>
      <w:r>
        <w:rPr>
          <w:rFonts w:ascii="Times New Roman" w:eastAsia="Times New Roman"/>
          <w:sz w:val="21"/>
          <w:szCs w:val="21"/>
        </w:rPr>
        <w:t>1</w:t>
      </w:r>
      <w:r>
        <w:rPr>
          <w:sz w:val="21"/>
          <w:szCs w:val="21"/>
        </w:rPr>
        <w:t>）目约定为：</w:t>
      </w:r>
    </w:p>
    <w:p w14:paraId="298E2FA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承包人向监理人提交最终结清申请单（包括相关证明材料）的份数在项目专用合同条款数据表中约定；期限：缺陷责任期终止证书签发后 </w:t>
      </w:r>
      <w:r>
        <w:rPr>
          <w:rFonts w:ascii="Times New Roman" w:eastAsia="Times New Roman"/>
          <w:sz w:val="21"/>
          <w:szCs w:val="21"/>
        </w:rPr>
        <w:t xml:space="preserve">28 </w:t>
      </w:r>
      <w:r>
        <w:rPr>
          <w:sz w:val="21"/>
          <w:szCs w:val="21"/>
        </w:rPr>
        <w:t>天内。</w:t>
      </w:r>
    </w:p>
    <w:p w14:paraId="3F6E3BF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最终结清申请单中的总金额应认为是代表了根据合同规定应付给承包人的全部款项的最后结算。</w:t>
      </w:r>
    </w:p>
    <w:p w14:paraId="696932B9">
      <w:pPr>
        <w:pStyle w:val="41"/>
        <w:keepNext w:val="0"/>
        <w:keepLines w:val="0"/>
        <w:pageBreakBefore w:val="0"/>
        <w:widowControl w:val="0"/>
        <w:numPr>
          <w:ilvl w:val="2"/>
          <w:numId w:val="0"/>
        </w:numPr>
        <w:tabs>
          <w:tab w:val="left" w:pos="161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17.6.2</w:t>
      </w:r>
      <w:r>
        <w:rPr>
          <w:rFonts w:hint="eastAsia" w:ascii="黑体" w:eastAsia="黑体"/>
          <w:sz w:val="21"/>
          <w:szCs w:val="21"/>
        </w:rPr>
        <w:t>最终结清证书和支付时间</w:t>
      </w:r>
    </w:p>
    <w:p w14:paraId="2534168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w:t>
      </w:r>
      <w:r>
        <w:rPr>
          <w:rFonts w:ascii="Times New Roman" w:eastAsia="Times New Roman"/>
          <w:sz w:val="21"/>
          <w:szCs w:val="21"/>
        </w:rPr>
        <w:t>2</w:t>
      </w:r>
      <w:r>
        <w:rPr>
          <w:sz w:val="21"/>
          <w:szCs w:val="21"/>
        </w:rPr>
        <w:t>）目细化为：</w:t>
      </w:r>
    </w:p>
    <w:p w14:paraId="01827D3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08" w:firstLineChars="200"/>
        <w:textAlignment w:val="auto"/>
        <w:rPr>
          <w:sz w:val="21"/>
          <w:szCs w:val="21"/>
        </w:rPr>
      </w:pPr>
      <w:r>
        <w:rPr>
          <w:spacing w:val="-28"/>
          <w:sz w:val="21"/>
          <w:szCs w:val="21"/>
        </w:rPr>
        <w:t>（</w:t>
      </w:r>
      <w:r>
        <w:rPr>
          <w:rFonts w:ascii="Times New Roman" w:eastAsia="Times New Roman"/>
          <w:spacing w:val="-28"/>
          <w:sz w:val="21"/>
          <w:szCs w:val="21"/>
        </w:rPr>
        <w:t>2</w:t>
      </w:r>
      <w:r>
        <w:rPr>
          <w:spacing w:val="-28"/>
          <w:sz w:val="21"/>
          <w:szCs w:val="21"/>
        </w:rPr>
        <w:t>）</w:t>
      </w:r>
      <w:r>
        <w:rPr>
          <w:sz w:val="21"/>
          <w:szCs w:val="21"/>
        </w:rPr>
        <w:t>发包人应在监理人出具最终结清证书且承包人提交了合格的增值税专用发</w:t>
      </w:r>
      <w:r>
        <w:rPr>
          <w:spacing w:val="-15"/>
          <w:sz w:val="21"/>
          <w:szCs w:val="21"/>
        </w:rPr>
        <w:t xml:space="preserve">票后的 </w:t>
      </w:r>
      <w:r>
        <w:rPr>
          <w:rFonts w:ascii="Times New Roman" w:eastAsia="Times New Roman"/>
          <w:sz w:val="21"/>
          <w:szCs w:val="21"/>
        </w:rPr>
        <w:t xml:space="preserve">14 </w:t>
      </w:r>
      <w:r>
        <w:rPr>
          <w:spacing w:val="-7"/>
          <w:sz w:val="21"/>
          <w:szCs w:val="21"/>
        </w:rPr>
        <w:t xml:space="preserve">天内，将应支付款支付给承包人。发包人不按期支付的，按第 </w:t>
      </w:r>
      <w:r>
        <w:rPr>
          <w:rFonts w:ascii="Times New Roman" w:eastAsia="Times New Roman"/>
          <w:spacing w:val="-3"/>
          <w:sz w:val="21"/>
          <w:szCs w:val="21"/>
        </w:rPr>
        <w:t>17.3.3</w:t>
      </w:r>
      <w:r>
        <w:rPr>
          <w:spacing w:val="-3"/>
          <w:sz w:val="21"/>
          <w:szCs w:val="21"/>
        </w:rPr>
        <w:t>（</w:t>
      </w:r>
      <w:r>
        <w:rPr>
          <w:rFonts w:ascii="Times New Roman" w:eastAsia="Times New Roman"/>
          <w:spacing w:val="-3"/>
          <w:sz w:val="21"/>
          <w:szCs w:val="21"/>
        </w:rPr>
        <w:t>2</w:t>
      </w:r>
      <w:r>
        <w:rPr>
          <w:spacing w:val="-3"/>
          <w:sz w:val="21"/>
          <w:szCs w:val="21"/>
        </w:rPr>
        <w:t>）</w:t>
      </w:r>
      <w:r>
        <w:rPr>
          <w:sz w:val="21"/>
          <w:szCs w:val="21"/>
        </w:rPr>
        <w:t>目的约定，将逾期付款违约金支付给承包人。</w:t>
      </w:r>
    </w:p>
    <w:p w14:paraId="100FA6CC">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315" w:name="_bookmark231"/>
      <w:bookmarkEnd w:id="315"/>
      <w:bookmarkStart w:id="316" w:name="_bookmark231"/>
      <w:bookmarkEnd w:id="316"/>
      <w:r>
        <w:rPr>
          <w:rFonts w:hint="default" w:ascii="Times New Roman" w:hAnsi="Times New Roman" w:eastAsia="Times New Roman" w:cs="Times New Roman"/>
          <w:w w:val="100"/>
          <w:sz w:val="21"/>
          <w:szCs w:val="21"/>
          <w:lang w:val="zh-CN" w:eastAsia="zh-CN" w:bidi="zh-CN"/>
        </w:rPr>
        <w:t>18.</w:t>
      </w:r>
      <w:r>
        <w:rPr>
          <w:rFonts w:hint="eastAsia" w:ascii="黑体" w:eastAsia="黑体"/>
          <w:sz w:val="21"/>
          <w:szCs w:val="21"/>
        </w:rPr>
        <w:t>交工验收</w:t>
      </w:r>
    </w:p>
    <w:p w14:paraId="03510D33">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17" w:name="_bookmark232"/>
      <w:bookmarkEnd w:id="317"/>
      <w:bookmarkStart w:id="318" w:name="_bookmark232"/>
      <w:bookmarkEnd w:id="318"/>
      <w:r>
        <w:rPr>
          <w:rFonts w:hint="default" w:ascii="Times New Roman" w:hAnsi="Times New Roman" w:eastAsia="Times New Roman" w:cs="Times New Roman"/>
          <w:spacing w:val="-1"/>
          <w:w w:val="100"/>
          <w:sz w:val="21"/>
          <w:szCs w:val="21"/>
          <w:lang w:val="zh-CN" w:eastAsia="zh-CN" w:bidi="zh-CN"/>
        </w:rPr>
        <w:t>18.2</w:t>
      </w:r>
      <w:r>
        <w:rPr>
          <w:rFonts w:hint="eastAsia" w:ascii="黑体" w:eastAsia="黑体"/>
          <w:sz w:val="21"/>
          <w:szCs w:val="21"/>
        </w:rPr>
        <w:t>交工验收申请报告</w:t>
      </w:r>
    </w:p>
    <w:p w14:paraId="1064DFB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本款第（</w:t>
      </w:r>
      <w:r>
        <w:rPr>
          <w:rFonts w:ascii="Times New Roman" w:eastAsia="Times New Roman"/>
          <w:sz w:val="21"/>
          <w:szCs w:val="21"/>
        </w:rPr>
        <w:t>2</w:t>
      </w:r>
      <w:r>
        <w:rPr>
          <w:sz w:val="21"/>
          <w:szCs w:val="21"/>
        </w:rPr>
        <w:t>）项约定为：</w:t>
      </w:r>
    </w:p>
    <w:p w14:paraId="29C1F08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竣工资料的内容：承包人应按照《公路工程竣（交）工验收办法》和相关规定编制竣工资料。</w:t>
      </w:r>
    </w:p>
    <w:p w14:paraId="60D2469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竣工资料的份数在项目专用合同条款数据表中约定。</w:t>
      </w:r>
    </w:p>
    <w:p w14:paraId="65E1B52B">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19" w:name="_bookmark233"/>
      <w:bookmarkEnd w:id="319"/>
      <w:bookmarkStart w:id="320" w:name="_bookmark233"/>
      <w:bookmarkEnd w:id="320"/>
      <w:r>
        <w:rPr>
          <w:rFonts w:hint="default" w:ascii="Times New Roman" w:hAnsi="Times New Roman" w:eastAsia="Times New Roman" w:cs="Times New Roman"/>
          <w:spacing w:val="-1"/>
          <w:w w:val="100"/>
          <w:sz w:val="21"/>
          <w:szCs w:val="21"/>
          <w:lang w:val="zh-CN" w:eastAsia="zh-CN" w:bidi="zh-CN"/>
        </w:rPr>
        <w:t>18.3</w:t>
      </w:r>
      <w:r>
        <w:rPr>
          <w:rFonts w:hint="eastAsia" w:ascii="黑体" w:eastAsia="黑体"/>
          <w:sz w:val="21"/>
          <w:szCs w:val="21"/>
        </w:rPr>
        <w:t>验收</w:t>
      </w:r>
    </w:p>
    <w:p w14:paraId="14ED207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00" w:firstLineChars="200"/>
        <w:textAlignment w:val="auto"/>
        <w:rPr>
          <w:sz w:val="21"/>
          <w:szCs w:val="21"/>
        </w:rPr>
      </w:pPr>
      <w:r>
        <w:rPr>
          <w:spacing w:val="-30"/>
          <w:sz w:val="21"/>
          <w:szCs w:val="21"/>
        </w:rPr>
        <w:t xml:space="preserve">第 </w:t>
      </w:r>
      <w:r>
        <w:rPr>
          <w:rFonts w:ascii="Times New Roman" w:eastAsia="Times New Roman"/>
          <w:sz w:val="21"/>
          <w:szCs w:val="21"/>
        </w:rPr>
        <w:t xml:space="preserve">18.3.2 </w:t>
      </w:r>
      <w:r>
        <w:rPr>
          <w:sz w:val="21"/>
          <w:szCs w:val="21"/>
        </w:rPr>
        <w:t>项补充：</w:t>
      </w:r>
    </w:p>
    <w:p w14:paraId="10C6F50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6" w:firstLineChars="200"/>
        <w:jc w:val="both"/>
        <w:textAlignment w:val="auto"/>
        <w:rPr>
          <w:sz w:val="21"/>
          <w:szCs w:val="21"/>
        </w:rPr>
      </w:pPr>
      <w:r>
        <w:rPr>
          <w:spacing w:val="-1"/>
          <w:sz w:val="21"/>
          <w:szCs w:val="21"/>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w:t>
      </w:r>
      <w:r>
        <w:rPr>
          <w:sz w:val="21"/>
          <w:szCs w:val="21"/>
        </w:rPr>
        <w:t>成交工验收准备工作。</w:t>
      </w:r>
    </w:p>
    <w:p w14:paraId="1403C48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18.3.5 </w:t>
      </w:r>
      <w:r>
        <w:rPr>
          <w:sz w:val="21"/>
          <w:szCs w:val="21"/>
        </w:rPr>
        <w:t>项约定为：</w:t>
      </w:r>
    </w:p>
    <w:p w14:paraId="7C84B93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经验收合格工程的实际交工日期，以最终提交交工验收申请报告的日期为准，并在交工验收证书中写明。</w:t>
      </w:r>
    </w:p>
    <w:p w14:paraId="3140C23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本款补充第 </w:t>
      </w:r>
      <w:r>
        <w:rPr>
          <w:rFonts w:ascii="Times New Roman" w:eastAsia="Times New Roman"/>
          <w:sz w:val="21"/>
          <w:szCs w:val="21"/>
        </w:rPr>
        <w:t xml:space="preserve">18.3.7 </w:t>
      </w:r>
      <w:r>
        <w:rPr>
          <w:sz w:val="21"/>
          <w:szCs w:val="21"/>
        </w:rPr>
        <w:t>项：</w:t>
      </w:r>
    </w:p>
    <w:p w14:paraId="15CE4A7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组织办理交工验收和签发交工验收证书的费用由发包人承担。但按照第 </w:t>
      </w:r>
      <w:r>
        <w:rPr>
          <w:rFonts w:ascii="Times New Roman" w:eastAsia="Times New Roman"/>
          <w:sz w:val="21"/>
          <w:szCs w:val="21"/>
        </w:rPr>
        <w:t>18.3.4</w:t>
      </w:r>
      <w:r>
        <w:rPr>
          <w:sz w:val="21"/>
          <w:szCs w:val="21"/>
        </w:rPr>
        <w:t>项规定达不到合格标准的交工验收费用由承包人承担。</w:t>
      </w:r>
    </w:p>
    <w:p w14:paraId="50F9A76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r>
        <w:rPr>
          <w:rFonts w:hint="eastAsia" w:ascii="黑体" w:eastAsia="黑体"/>
          <w:sz w:val="21"/>
          <w:szCs w:val="21"/>
        </w:rPr>
        <w:t xml:space="preserve">本条补充第 </w:t>
      </w:r>
      <w:r>
        <w:rPr>
          <w:rFonts w:ascii="Times New Roman" w:eastAsia="Times New Roman"/>
          <w:sz w:val="21"/>
          <w:szCs w:val="21"/>
        </w:rPr>
        <w:t xml:space="preserve">18.9 </w:t>
      </w:r>
      <w:r>
        <w:rPr>
          <w:rFonts w:hint="eastAsia" w:ascii="黑体" w:eastAsia="黑体"/>
          <w:sz w:val="21"/>
          <w:szCs w:val="21"/>
        </w:rPr>
        <w:t>款：</w:t>
      </w:r>
    </w:p>
    <w:p w14:paraId="2E62E71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bookmarkStart w:id="321" w:name="_bookmark234"/>
      <w:bookmarkEnd w:id="321"/>
      <w:r>
        <w:rPr>
          <w:rFonts w:ascii="Times New Roman" w:eastAsia="Times New Roman"/>
          <w:sz w:val="21"/>
          <w:szCs w:val="21"/>
        </w:rPr>
        <w:t>18.9</w:t>
      </w:r>
      <w:r>
        <w:rPr>
          <w:rFonts w:ascii="Times New Roman" w:eastAsia="Times New Roman"/>
          <w:spacing w:val="59"/>
          <w:sz w:val="21"/>
          <w:szCs w:val="21"/>
        </w:rPr>
        <w:t xml:space="preserve"> </w:t>
      </w:r>
      <w:r>
        <w:rPr>
          <w:rFonts w:hint="eastAsia" w:ascii="黑体" w:eastAsia="黑体"/>
          <w:sz w:val="21"/>
          <w:szCs w:val="21"/>
        </w:rPr>
        <w:t>竣工文件</w:t>
      </w:r>
    </w:p>
    <w:p w14:paraId="0EE3005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承包人应按照《公路工程竣（交）工验收办法》的相关规定，在缺陷责任期内为竣工验收补充竣工资料，并在签发缺陷责任期终止证书之前提交。</w:t>
      </w:r>
    </w:p>
    <w:p w14:paraId="08F56624">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322" w:name="_bookmark235"/>
      <w:bookmarkEnd w:id="322"/>
      <w:bookmarkStart w:id="323" w:name="_bookmark235"/>
      <w:bookmarkEnd w:id="323"/>
      <w:r>
        <w:rPr>
          <w:rFonts w:hint="default" w:ascii="Times New Roman" w:hAnsi="Times New Roman" w:eastAsia="Times New Roman" w:cs="Times New Roman"/>
          <w:w w:val="100"/>
          <w:sz w:val="21"/>
          <w:szCs w:val="21"/>
          <w:lang w:val="zh-CN" w:eastAsia="zh-CN" w:bidi="zh-CN"/>
        </w:rPr>
        <w:t>19.</w:t>
      </w:r>
      <w:r>
        <w:rPr>
          <w:rFonts w:hint="eastAsia" w:ascii="黑体" w:eastAsia="黑体"/>
          <w:spacing w:val="-2"/>
          <w:sz w:val="21"/>
          <w:szCs w:val="21"/>
        </w:rPr>
        <w:t>缺陷责任与保修责任</w:t>
      </w:r>
    </w:p>
    <w:p w14:paraId="1F34DC3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bookmarkStart w:id="324" w:name="_bookmark236"/>
      <w:bookmarkEnd w:id="324"/>
      <w:r>
        <w:rPr>
          <w:rFonts w:ascii="Times New Roman" w:eastAsia="Times New Roman"/>
          <w:sz w:val="21"/>
          <w:szCs w:val="21"/>
        </w:rPr>
        <w:t>19.2</w:t>
      </w:r>
      <w:r>
        <w:rPr>
          <w:rFonts w:ascii="Times New Roman" w:eastAsia="Times New Roman"/>
          <w:spacing w:val="59"/>
          <w:sz w:val="21"/>
          <w:szCs w:val="21"/>
        </w:rPr>
        <w:t xml:space="preserve"> </w:t>
      </w:r>
      <w:r>
        <w:rPr>
          <w:rFonts w:hint="eastAsia" w:ascii="黑体" w:eastAsia="黑体"/>
          <w:sz w:val="21"/>
          <w:szCs w:val="21"/>
        </w:rPr>
        <w:t>缺陷责任</w:t>
      </w:r>
    </w:p>
    <w:p w14:paraId="6C238AA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19.2.2 </w:t>
      </w:r>
      <w:r>
        <w:rPr>
          <w:sz w:val="21"/>
          <w:szCs w:val="21"/>
        </w:rPr>
        <w:t>项补充：</w:t>
      </w:r>
    </w:p>
    <w:p w14:paraId="6F7471E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在缺陷责任期内，承包人应尽快完成在交工验收证书中写明的未完成工作，并完成对本工程缺陷的修复或监理人指令的修补工作。</w:t>
      </w:r>
    </w:p>
    <w:p w14:paraId="0842EED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bookmarkStart w:id="325" w:name="_bookmark237"/>
      <w:bookmarkEnd w:id="325"/>
      <w:r>
        <w:rPr>
          <w:rFonts w:ascii="Times New Roman" w:eastAsia="Times New Roman"/>
          <w:sz w:val="21"/>
          <w:szCs w:val="21"/>
        </w:rPr>
        <w:t>19.5</w:t>
      </w:r>
      <w:r>
        <w:rPr>
          <w:rFonts w:ascii="Times New Roman" w:eastAsia="Times New Roman"/>
          <w:spacing w:val="59"/>
          <w:sz w:val="21"/>
          <w:szCs w:val="21"/>
        </w:rPr>
        <w:t xml:space="preserve"> </w:t>
      </w:r>
      <w:r>
        <w:rPr>
          <w:rFonts w:hint="eastAsia" w:ascii="黑体" w:eastAsia="黑体"/>
          <w:sz w:val="21"/>
          <w:szCs w:val="21"/>
        </w:rPr>
        <w:t>承包人的进入权</w:t>
      </w:r>
    </w:p>
    <w:p w14:paraId="2E376D0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本款补充：</w:t>
      </w:r>
    </w:p>
    <w:p w14:paraId="2926950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承包人在缺陷修复施工过程中，应服从管养单位的有关安全管理规定，由于承包人自身原因造成的人员伤亡、设备和材料的损毁及罚款等责任由承包人自负。</w:t>
      </w:r>
    </w:p>
    <w:p w14:paraId="01264936">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26" w:name="_bookmark238"/>
      <w:bookmarkEnd w:id="326"/>
      <w:bookmarkStart w:id="327" w:name="_bookmark238"/>
      <w:bookmarkEnd w:id="327"/>
      <w:r>
        <w:rPr>
          <w:rFonts w:hint="default" w:ascii="Times New Roman" w:hAnsi="Times New Roman" w:eastAsia="Times New Roman" w:cs="Times New Roman"/>
          <w:spacing w:val="-1"/>
          <w:w w:val="100"/>
          <w:sz w:val="21"/>
          <w:szCs w:val="21"/>
          <w:lang w:val="zh-CN" w:eastAsia="zh-CN" w:bidi="zh-CN"/>
        </w:rPr>
        <w:t>19.7</w:t>
      </w:r>
      <w:r>
        <w:rPr>
          <w:rFonts w:hint="eastAsia" w:ascii="黑体" w:eastAsia="黑体"/>
          <w:sz w:val="21"/>
          <w:szCs w:val="21"/>
        </w:rPr>
        <w:t>保修责任</w:t>
      </w:r>
    </w:p>
    <w:p w14:paraId="7D3F9AA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本款细化为：</w:t>
      </w:r>
    </w:p>
    <w:p w14:paraId="1F94D1EE">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宋体" w:hAnsi="宋体" w:eastAsia="宋体" w:cs="宋体"/>
          <w:spacing w:val="0"/>
          <w:w w:val="100"/>
          <w:sz w:val="21"/>
          <w:szCs w:val="21"/>
          <w:lang w:val="zh-CN" w:eastAsia="zh-CN" w:bidi="zh-CN"/>
        </w:rPr>
        <w:t>（1）</w:t>
      </w:r>
      <w:r>
        <w:rPr>
          <w:spacing w:val="0"/>
          <w:sz w:val="21"/>
          <w:szCs w:val="21"/>
        </w:rPr>
        <w:t>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529CBD1B">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（2）</w:t>
      </w:r>
      <w:r>
        <w:rPr>
          <w:spacing w:val="0"/>
          <w:sz w:val="21"/>
          <w:szCs w:val="21"/>
        </w:rPr>
        <w:t>在全部工程交工验收前，已经发包人提前验收的单位工程，其保修期的起算日期相应提前。</w:t>
      </w:r>
    </w:p>
    <w:p w14:paraId="5BBC4709">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（3）</w:t>
      </w:r>
      <w:r>
        <w:rPr>
          <w:spacing w:val="0"/>
          <w:sz w:val="21"/>
          <w:szCs w:val="21"/>
        </w:rPr>
        <w:t>工程保修期终止后</w:t>
      </w:r>
      <w:r>
        <w:rPr>
          <w:rFonts w:ascii="Times New Roman" w:eastAsia="Times New Roman"/>
          <w:spacing w:val="0"/>
          <w:sz w:val="21"/>
          <w:szCs w:val="21"/>
        </w:rPr>
        <w:t xml:space="preserve">28 </w:t>
      </w:r>
      <w:r>
        <w:rPr>
          <w:spacing w:val="0"/>
          <w:sz w:val="21"/>
          <w:szCs w:val="21"/>
        </w:rPr>
        <w:t>天内，监理人签发保修期终止证书。</w:t>
      </w:r>
    </w:p>
    <w:p w14:paraId="00EAF8C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pacing w:val="0"/>
          <w:sz w:val="21"/>
          <w:szCs w:val="21"/>
        </w:rPr>
      </w:pPr>
      <w:r>
        <w:rPr>
          <w:spacing w:val="0"/>
          <w:sz w:val="21"/>
          <w:szCs w:val="21"/>
        </w:rPr>
        <w:t>若承包人不履行保修义务和责任，则承包人应承担由于违约造成的法律后果，并由发包人将其违约行为上报省级交通运输主管部门，作为不良记录纳入公路建设市场信用信息管理系统。</w:t>
      </w:r>
    </w:p>
    <w:p w14:paraId="661B6C91">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328" w:name="_bookmark239"/>
      <w:bookmarkEnd w:id="328"/>
      <w:bookmarkStart w:id="329" w:name="_bookmark239"/>
      <w:bookmarkEnd w:id="329"/>
      <w:r>
        <w:rPr>
          <w:rFonts w:hint="default" w:ascii="Times New Roman" w:hAnsi="Times New Roman" w:eastAsia="Times New Roman" w:cs="Times New Roman"/>
          <w:w w:val="100"/>
          <w:sz w:val="21"/>
          <w:szCs w:val="21"/>
          <w:lang w:val="zh-CN" w:eastAsia="zh-CN" w:bidi="zh-CN"/>
        </w:rPr>
        <w:t>20.</w:t>
      </w:r>
      <w:r>
        <w:rPr>
          <w:rFonts w:hint="eastAsia" w:ascii="黑体" w:eastAsia="黑体"/>
          <w:sz w:val="21"/>
          <w:szCs w:val="21"/>
        </w:rPr>
        <w:t>保险</w:t>
      </w:r>
    </w:p>
    <w:p w14:paraId="0B13C2EE">
      <w:pPr>
        <w:pStyle w:val="41"/>
        <w:keepNext w:val="0"/>
        <w:keepLines w:val="0"/>
        <w:pageBreakBefore w:val="0"/>
        <w:widowControl w:val="0"/>
        <w:numPr>
          <w:ilvl w:val="1"/>
          <w:numId w:val="0"/>
        </w:numPr>
        <w:tabs>
          <w:tab w:val="left" w:pos="90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30" w:name="_bookmark240"/>
      <w:bookmarkEnd w:id="330"/>
      <w:bookmarkStart w:id="331" w:name="_bookmark240"/>
      <w:bookmarkEnd w:id="331"/>
      <w:r>
        <w:rPr>
          <w:rFonts w:hint="default" w:ascii="Times New Roman" w:hAnsi="Times New Roman" w:eastAsia="Times New Roman" w:cs="Times New Roman"/>
          <w:spacing w:val="-1"/>
          <w:w w:val="100"/>
          <w:sz w:val="21"/>
          <w:szCs w:val="21"/>
          <w:lang w:val="zh-CN" w:eastAsia="zh-CN" w:bidi="zh-CN"/>
        </w:rPr>
        <w:t>20.1</w:t>
      </w:r>
      <w:r>
        <w:rPr>
          <w:rFonts w:hint="eastAsia" w:ascii="黑体" w:eastAsia="黑体"/>
          <w:sz w:val="21"/>
          <w:szCs w:val="21"/>
        </w:rPr>
        <w:t>工程保险</w:t>
      </w:r>
    </w:p>
    <w:p w14:paraId="4A072C3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本款约定为：</w:t>
      </w:r>
    </w:p>
    <w:p w14:paraId="484E090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2" w:firstLineChars="200"/>
        <w:textAlignment w:val="auto"/>
        <w:rPr>
          <w:sz w:val="21"/>
          <w:szCs w:val="21"/>
        </w:rPr>
      </w:pPr>
      <w:r>
        <w:rPr>
          <w:b/>
          <w:bCs/>
          <w:sz w:val="21"/>
          <w:szCs w:val="21"/>
        </w:rPr>
        <w:t>建筑工程一切险</w:t>
      </w:r>
      <w:r>
        <w:rPr>
          <w:sz w:val="21"/>
          <w:szCs w:val="21"/>
        </w:rPr>
        <w:t>的投保内容：为本合同工程的永久工程、临时工程和设备及已运至施工工地用于永久工程的材料和设备所投的保险。</w:t>
      </w:r>
    </w:p>
    <w:p w14:paraId="4552B28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保险金额：</w:t>
      </w:r>
      <w:r>
        <w:rPr>
          <w:b/>
          <w:bCs/>
          <w:sz w:val="21"/>
          <w:szCs w:val="21"/>
        </w:rPr>
        <w:t xml:space="preserve">工程量清单第 </w:t>
      </w:r>
      <w:r>
        <w:rPr>
          <w:rFonts w:ascii="Times New Roman" w:eastAsia="Times New Roman"/>
          <w:b/>
          <w:bCs/>
          <w:sz w:val="21"/>
          <w:szCs w:val="21"/>
        </w:rPr>
        <w:t xml:space="preserve">100 </w:t>
      </w:r>
      <w:r>
        <w:rPr>
          <w:b/>
          <w:bCs/>
          <w:sz w:val="21"/>
          <w:szCs w:val="21"/>
        </w:rPr>
        <w:t xml:space="preserve">章（不含建筑工程一切险及第三者责任险的保险费）至第 </w:t>
      </w:r>
      <w:r>
        <w:rPr>
          <w:rFonts w:ascii="Times New Roman" w:eastAsia="Times New Roman"/>
          <w:b/>
          <w:bCs/>
          <w:sz w:val="21"/>
          <w:szCs w:val="21"/>
        </w:rPr>
        <w:t xml:space="preserve">700 </w:t>
      </w:r>
      <w:r>
        <w:rPr>
          <w:b/>
          <w:bCs/>
          <w:sz w:val="21"/>
          <w:szCs w:val="21"/>
        </w:rPr>
        <w:t>章的合计金额。</w:t>
      </w:r>
    </w:p>
    <w:p w14:paraId="777CE1F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保险费率：在项目专用合同条款数据表中约定。</w:t>
      </w:r>
    </w:p>
    <w:p w14:paraId="2BB897C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保险期限：开工日起直至本合同工程签发缺陷责任期终止证书止（即合同工期＋缺陷责任期</w:t>
      </w:r>
      <w:r>
        <w:rPr>
          <w:spacing w:val="-120"/>
          <w:sz w:val="21"/>
          <w:szCs w:val="21"/>
        </w:rPr>
        <w:t>）</w:t>
      </w:r>
      <w:r>
        <w:rPr>
          <w:sz w:val="21"/>
          <w:szCs w:val="21"/>
        </w:rPr>
        <w:t>。</w:t>
      </w:r>
    </w:p>
    <w:p w14:paraId="1D747B0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6" w:firstLineChars="200"/>
        <w:jc w:val="both"/>
        <w:textAlignment w:val="auto"/>
        <w:rPr>
          <w:sz w:val="21"/>
          <w:szCs w:val="21"/>
        </w:rPr>
      </w:pPr>
      <w:r>
        <w:rPr>
          <w:spacing w:val="-1"/>
          <w:sz w:val="21"/>
          <w:szCs w:val="21"/>
        </w:rPr>
        <w:t>承包人应以发包人和承包人的共同名义投保建筑工程一切险。建筑工程一切险</w:t>
      </w:r>
      <w:r>
        <w:rPr>
          <w:spacing w:val="-3"/>
          <w:sz w:val="21"/>
          <w:szCs w:val="21"/>
        </w:rPr>
        <w:t xml:space="preserve">的保险费由承包人报价时列入工程量清单第 </w:t>
      </w:r>
      <w:r>
        <w:rPr>
          <w:rFonts w:ascii="Times New Roman" w:eastAsia="Times New Roman"/>
          <w:sz w:val="21"/>
          <w:szCs w:val="21"/>
        </w:rPr>
        <w:t xml:space="preserve">100 </w:t>
      </w:r>
      <w:r>
        <w:rPr>
          <w:spacing w:val="-2"/>
          <w:sz w:val="21"/>
          <w:szCs w:val="21"/>
        </w:rPr>
        <w:t>章内。发包人在接到保险单后，将</w:t>
      </w:r>
      <w:r>
        <w:rPr>
          <w:sz w:val="21"/>
          <w:szCs w:val="21"/>
        </w:rPr>
        <w:t>按照保险单的费用直接向承包人支付。</w:t>
      </w:r>
    </w:p>
    <w:p w14:paraId="48345746">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32" w:name="_bookmark241"/>
      <w:bookmarkEnd w:id="332"/>
      <w:bookmarkStart w:id="333" w:name="_bookmark241"/>
      <w:bookmarkEnd w:id="333"/>
      <w:r>
        <w:rPr>
          <w:rFonts w:hint="default" w:ascii="Times New Roman" w:hAnsi="Times New Roman" w:eastAsia="Times New Roman" w:cs="Times New Roman"/>
          <w:spacing w:val="-1"/>
          <w:w w:val="100"/>
          <w:sz w:val="21"/>
          <w:szCs w:val="21"/>
          <w:lang w:val="zh-CN" w:eastAsia="zh-CN" w:bidi="zh-CN"/>
        </w:rPr>
        <w:t>20.4</w:t>
      </w:r>
      <w:r>
        <w:rPr>
          <w:rFonts w:hint="eastAsia" w:ascii="黑体" w:eastAsia="黑体"/>
          <w:sz w:val="21"/>
          <w:szCs w:val="21"/>
        </w:rPr>
        <w:t>第三者责任险</w:t>
      </w:r>
    </w:p>
    <w:p w14:paraId="513BFB0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第</w:t>
      </w:r>
      <w:r>
        <w:rPr>
          <w:rFonts w:ascii="Times New Roman" w:eastAsia="Times New Roman"/>
          <w:sz w:val="21"/>
          <w:szCs w:val="21"/>
        </w:rPr>
        <w:t>20.4.2</w:t>
      </w:r>
      <w:r>
        <w:rPr>
          <w:sz w:val="21"/>
          <w:szCs w:val="21"/>
        </w:rPr>
        <w:t>项补充：</w:t>
      </w:r>
    </w:p>
    <w:p w14:paraId="0E8E4DB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12" w:firstLineChars="200"/>
        <w:jc w:val="both"/>
        <w:textAlignment w:val="auto"/>
        <w:rPr>
          <w:sz w:val="21"/>
          <w:szCs w:val="21"/>
        </w:rPr>
      </w:pPr>
      <w:r>
        <w:rPr>
          <w:spacing w:val="-2"/>
          <w:sz w:val="21"/>
          <w:szCs w:val="21"/>
        </w:rPr>
        <w:t xml:space="preserve">第三者责任险的保险费由承包人报价时列入工程量清单第 </w:t>
      </w:r>
      <w:r>
        <w:rPr>
          <w:rFonts w:ascii="Times New Roman" w:eastAsia="Times New Roman"/>
          <w:sz w:val="21"/>
          <w:szCs w:val="21"/>
        </w:rPr>
        <w:t xml:space="preserve">100 </w:t>
      </w:r>
      <w:r>
        <w:rPr>
          <w:spacing w:val="-3"/>
          <w:sz w:val="21"/>
          <w:szCs w:val="21"/>
        </w:rPr>
        <w:t>章内。发包人在</w:t>
      </w:r>
      <w:r>
        <w:rPr>
          <w:sz w:val="21"/>
          <w:szCs w:val="21"/>
        </w:rPr>
        <w:t>接到保险单后，将按照保险单的费用直接向承包人支付。</w:t>
      </w:r>
    </w:p>
    <w:p w14:paraId="5987FB8E">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34" w:name="_bookmark242"/>
      <w:bookmarkEnd w:id="334"/>
      <w:bookmarkStart w:id="335" w:name="_bookmark242"/>
      <w:bookmarkEnd w:id="335"/>
      <w:r>
        <w:rPr>
          <w:rFonts w:hint="default" w:ascii="Times New Roman" w:hAnsi="Times New Roman" w:eastAsia="Times New Roman" w:cs="Times New Roman"/>
          <w:spacing w:val="-1"/>
          <w:w w:val="100"/>
          <w:sz w:val="21"/>
          <w:szCs w:val="21"/>
          <w:lang w:val="zh-CN" w:eastAsia="zh-CN" w:bidi="zh-CN"/>
        </w:rPr>
        <w:t>20.5</w:t>
      </w:r>
      <w:r>
        <w:rPr>
          <w:rFonts w:hint="eastAsia" w:ascii="黑体" w:eastAsia="黑体"/>
          <w:sz w:val="21"/>
          <w:szCs w:val="21"/>
        </w:rPr>
        <w:t>其他保险</w:t>
      </w:r>
    </w:p>
    <w:p w14:paraId="432F806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本款约定为：</w:t>
      </w:r>
    </w:p>
    <w:p w14:paraId="7E3BE6A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承包人应为其施工设备等办理保险，其投保金额应足以现场重置。办理本款保险的一切费用均由承包人承担，并包括在工程量清单的单价及总额价中，发包人不单独支付。</w:t>
      </w:r>
    </w:p>
    <w:p w14:paraId="7C9B4A98">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36" w:name="_bookmark243"/>
      <w:bookmarkEnd w:id="336"/>
      <w:bookmarkStart w:id="337" w:name="_bookmark243"/>
      <w:bookmarkEnd w:id="337"/>
      <w:r>
        <w:rPr>
          <w:rFonts w:hint="default" w:ascii="Times New Roman" w:hAnsi="Times New Roman" w:eastAsia="Times New Roman" w:cs="Times New Roman"/>
          <w:spacing w:val="-1"/>
          <w:w w:val="100"/>
          <w:sz w:val="21"/>
          <w:szCs w:val="21"/>
          <w:lang w:val="zh-CN" w:eastAsia="zh-CN" w:bidi="zh-CN"/>
        </w:rPr>
        <w:t>20.6</w:t>
      </w:r>
      <w:r>
        <w:rPr>
          <w:rFonts w:hint="eastAsia" w:ascii="黑体" w:eastAsia="黑体"/>
          <w:sz w:val="21"/>
          <w:szCs w:val="21"/>
        </w:rPr>
        <w:t>对各项保险的一般要求</w:t>
      </w:r>
    </w:p>
    <w:p w14:paraId="25904FC5">
      <w:pPr>
        <w:pStyle w:val="41"/>
        <w:keepNext w:val="0"/>
        <w:keepLines w:val="0"/>
        <w:pageBreakBefore w:val="0"/>
        <w:widowControl w:val="0"/>
        <w:numPr>
          <w:ilvl w:val="2"/>
          <w:numId w:val="0"/>
        </w:numPr>
        <w:tabs>
          <w:tab w:val="left" w:pos="153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20.6.1</w:t>
      </w:r>
      <w:r>
        <w:rPr>
          <w:rFonts w:hint="eastAsia" w:ascii="黑体" w:eastAsia="黑体"/>
          <w:sz w:val="21"/>
          <w:szCs w:val="21"/>
        </w:rPr>
        <w:t>保险凭证</w:t>
      </w:r>
    </w:p>
    <w:p w14:paraId="2344245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本项约定为：</w:t>
      </w:r>
    </w:p>
    <w:p w14:paraId="739E6A7C">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承包人向发包人提交各项保险生效的证据和保险单副本的期限：开工后</w:t>
      </w:r>
      <w:r>
        <w:rPr>
          <w:rFonts w:ascii="Times New Roman" w:eastAsia="Times New Roman"/>
          <w:sz w:val="21"/>
          <w:szCs w:val="21"/>
        </w:rPr>
        <w:t xml:space="preserve">56 </w:t>
      </w:r>
      <w:r>
        <w:rPr>
          <w:sz w:val="21"/>
          <w:szCs w:val="21"/>
        </w:rPr>
        <w:t>天内。</w:t>
      </w:r>
    </w:p>
    <w:p w14:paraId="6F1EAEAD">
      <w:pPr>
        <w:pStyle w:val="41"/>
        <w:keepNext w:val="0"/>
        <w:keepLines w:val="0"/>
        <w:pageBreakBefore w:val="0"/>
        <w:widowControl w:val="0"/>
        <w:numPr>
          <w:ilvl w:val="2"/>
          <w:numId w:val="0"/>
        </w:numPr>
        <w:tabs>
          <w:tab w:val="left" w:pos="153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20.6.3</w:t>
      </w:r>
      <w:r>
        <w:rPr>
          <w:rFonts w:hint="eastAsia" w:ascii="黑体" w:eastAsia="黑体"/>
          <w:sz w:val="21"/>
          <w:szCs w:val="21"/>
        </w:rPr>
        <w:t>持续保险</w:t>
      </w:r>
    </w:p>
    <w:p w14:paraId="6CD58A4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本项补充：</w:t>
      </w:r>
    </w:p>
    <w:p w14:paraId="63D775E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在整个合同期内，承包人应按合同条款规定保证足够的保险额。</w:t>
      </w:r>
    </w:p>
    <w:p w14:paraId="0B482FE4">
      <w:pPr>
        <w:pStyle w:val="41"/>
        <w:keepNext w:val="0"/>
        <w:keepLines w:val="0"/>
        <w:pageBreakBefore w:val="0"/>
        <w:widowControl w:val="0"/>
        <w:numPr>
          <w:ilvl w:val="2"/>
          <w:numId w:val="0"/>
        </w:numPr>
        <w:tabs>
          <w:tab w:val="left" w:pos="153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20.6.4</w:t>
      </w:r>
      <w:r>
        <w:rPr>
          <w:rFonts w:hint="eastAsia" w:ascii="黑体" w:eastAsia="黑体"/>
          <w:sz w:val="21"/>
          <w:szCs w:val="21"/>
        </w:rPr>
        <w:t>保险金不足的补偿</w:t>
      </w:r>
    </w:p>
    <w:p w14:paraId="15EA747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本项细化为：</w:t>
      </w:r>
    </w:p>
    <w:p w14:paraId="1A46DAB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04" w:firstLineChars="200"/>
        <w:textAlignment w:val="auto"/>
        <w:rPr>
          <w:sz w:val="21"/>
          <w:szCs w:val="21"/>
        </w:rPr>
      </w:pPr>
      <w:r>
        <w:rPr>
          <w:spacing w:val="-4"/>
          <w:sz w:val="21"/>
          <w:szCs w:val="21"/>
        </w:rPr>
        <w:t>保险金不足以补偿损失的</w:t>
      </w:r>
      <w:r>
        <w:rPr>
          <w:sz w:val="21"/>
          <w:szCs w:val="21"/>
        </w:rPr>
        <w:t>（包括免赔额和超过赔偿限额的部分</w:t>
      </w:r>
      <w:r>
        <w:rPr>
          <w:spacing w:val="-82"/>
          <w:sz w:val="21"/>
          <w:szCs w:val="21"/>
        </w:rPr>
        <w:t>）</w:t>
      </w:r>
      <w:r>
        <w:rPr>
          <w:spacing w:val="-13"/>
          <w:sz w:val="21"/>
          <w:szCs w:val="21"/>
        </w:rPr>
        <w:t>，应由承包人和</w:t>
      </w:r>
      <w:r>
        <w:rPr>
          <w:sz w:val="21"/>
          <w:szCs w:val="21"/>
        </w:rPr>
        <w:t>（或）发包人按合同约定负责补偿。</w:t>
      </w:r>
    </w:p>
    <w:p w14:paraId="6D87B2C2">
      <w:pPr>
        <w:pStyle w:val="41"/>
        <w:keepNext w:val="0"/>
        <w:keepLines w:val="0"/>
        <w:pageBreakBefore w:val="0"/>
        <w:widowControl w:val="0"/>
        <w:numPr>
          <w:ilvl w:val="2"/>
          <w:numId w:val="0"/>
        </w:numPr>
        <w:tabs>
          <w:tab w:val="left" w:pos="153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20.6.5</w:t>
      </w:r>
      <w:r>
        <w:rPr>
          <w:rFonts w:hint="eastAsia" w:ascii="黑体" w:eastAsia="黑体"/>
          <w:sz w:val="21"/>
          <w:szCs w:val="21"/>
        </w:rPr>
        <w:t>未按约定投保的补救</w:t>
      </w:r>
    </w:p>
    <w:p w14:paraId="5D89B35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w:t>
      </w:r>
      <w:r>
        <w:rPr>
          <w:rFonts w:ascii="Times New Roman" w:eastAsia="Times New Roman"/>
          <w:sz w:val="21"/>
          <w:szCs w:val="21"/>
        </w:rPr>
        <w:t>2</w:t>
      </w:r>
      <w:r>
        <w:rPr>
          <w:sz w:val="21"/>
          <w:szCs w:val="21"/>
        </w:rPr>
        <w:t>）目细化为：</w:t>
      </w:r>
    </w:p>
    <w:p w14:paraId="0D9ABFE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w:t>
      </w:r>
      <w:r>
        <w:rPr>
          <w:rFonts w:ascii="Times New Roman" w:eastAsia="Times New Roman"/>
          <w:sz w:val="21"/>
          <w:szCs w:val="21"/>
        </w:rPr>
        <w:t>2</w:t>
      </w:r>
      <w:r>
        <w:rPr>
          <w:sz w:val="21"/>
          <w:szCs w:val="21"/>
        </w:rPr>
        <w:t>）由于负有投保义务的一方当事人未按合同约定办理某项保险，或未按保险单规定的条件和期限及时向保险人报告事故情况，或未按要求的保险期限进行投保， 或未按要求投保足够的保险金额，导致受益人未能或未能全部得到保险人的赔偿，原应从该项保险得到的保险金应由负有投保义务的一方当事人支付。</w:t>
      </w:r>
    </w:p>
    <w:p w14:paraId="4AF672A7">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338" w:name="_bookmark244"/>
      <w:bookmarkEnd w:id="338"/>
      <w:bookmarkStart w:id="339" w:name="_bookmark244"/>
      <w:bookmarkEnd w:id="339"/>
      <w:r>
        <w:rPr>
          <w:rFonts w:hint="default" w:ascii="Times New Roman" w:hAnsi="Times New Roman" w:eastAsia="Times New Roman" w:cs="Times New Roman"/>
          <w:w w:val="100"/>
          <w:sz w:val="21"/>
          <w:szCs w:val="21"/>
          <w:lang w:val="zh-CN" w:eastAsia="zh-CN" w:bidi="zh-CN"/>
        </w:rPr>
        <w:t>21.</w:t>
      </w:r>
      <w:r>
        <w:rPr>
          <w:rFonts w:hint="eastAsia" w:ascii="黑体" w:eastAsia="黑体"/>
          <w:sz w:val="21"/>
          <w:szCs w:val="21"/>
        </w:rPr>
        <w:t>不可抗力</w:t>
      </w:r>
    </w:p>
    <w:p w14:paraId="13CC8251">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40" w:name="_bookmark245"/>
      <w:bookmarkEnd w:id="340"/>
      <w:bookmarkStart w:id="341" w:name="_bookmark245"/>
      <w:bookmarkEnd w:id="341"/>
      <w:r>
        <w:rPr>
          <w:rFonts w:hint="default" w:ascii="Times New Roman" w:hAnsi="Times New Roman" w:eastAsia="Times New Roman" w:cs="Times New Roman"/>
          <w:spacing w:val="-1"/>
          <w:w w:val="100"/>
          <w:sz w:val="21"/>
          <w:szCs w:val="21"/>
          <w:lang w:val="zh-CN" w:eastAsia="zh-CN" w:bidi="zh-CN"/>
        </w:rPr>
        <w:t>21.1</w:t>
      </w:r>
      <w:r>
        <w:rPr>
          <w:rFonts w:hint="eastAsia" w:ascii="黑体" w:eastAsia="黑体"/>
          <w:sz w:val="21"/>
          <w:szCs w:val="21"/>
        </w:rPr>
        <w:t>不可抗力的确认</w:t>
      </w:r>
    </w:p>
    <w:p w14:paraId="0B2592B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第 </w:t>
      </w:r>
      <w:r>
        <w:rPr>
          <w:rFonts w:ascii="Times New Roman" w:eastAsia="Times New Roman"/>
          <w:sz w:val="21"/>
          <w:szCs w:val="21"/>
        </w:rPr>
        <w:t xml:space="preserve">21.1.1 </w:t>
      </w:r>
      <w:r>
        <w:rPr>
          <w:sz w:val="21"/>
          <w:szCs w:val="21"/>
        </w:rPr>
        <w:t>项细化为：</w:t>
      </w:r>
    </w:p>
    <w:p w14:paraId="39F58C1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不可抗力是指承包人和发包人在订立合同时不可预见，在工程施工过程中不可避免发生并不能克服的自然灾害和社会性突发事件。包括但不限于：</w:t>
      </w:r>
    </w:p>
    <w:p w14:paraId="6A3D8CE5">
      <w:pPr>
        <w:pStyle w:val="41"/>
        <w:keepNext w:val="0"/>
        <w:keepLines w:val="0"/>
        <w:pageBreakBefore w:val="0"/>
        <w:widowControl w:val="0"/>
        <w:numPr>
          <w:ilvl w:val="0"/>
          <w:numId w:val="0"/>
        </w:numPr>
        <w:tabs>
          <w:tab w:val="left" w:pos="150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（1）</w:t>
      </w:r>
      <w:r>
        <w:rPr>
          <w:sz w:val="21"/>
          <w:szCs w:val="21"/>
        </w:rPr>
        <w:t>地震、海啸、火山爆发、泥石流、暴雨（雪</w:t>
      </w:r>
      <w:r>
        <w:rPr>
          <w:spacing w:val="-118"/>
          <w:sz w:val="21"/>
          <w:szCs w:val="21"/>
        </w:rPr>
        <w:t>）</w:t>
      </w:r>
      <w:r>
        <w:rPr>
          <w:spacing w:val="-2"/>
          <w:sz w:val="21"/>
          <w:szCs w:val="21"/>
        </w:rPr>
        <w:t>、台风、龙卷风、水灾等自</w:t>
      </w:r>
      <w:r>
        <w:rPr>
          <w:sz w:val="21"/>
          <w:szCs w:val="21"/>
        </w:rPr>
        <w:t>然灾害；</w:t>
      </w:r>
    </w:p>
    <w:p w14:paraId="1EEF9D82">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（2）</w:t>
      </w:r>
      <w:r>
        <w:rPr>
          <w:spacing w:val="-9"/>
          <w:sz w:val="21"/>
          <w:szCs w:val="21"/>
        </w:rPr>
        <w:t xml:space="preserve">战争、骚乱、暴动，但纯属承包人或其分包人派遣与雇用的人员由于本 </w:t>
      </w:r>
      <w:r>
        <w:rPr>
          <w:spacing w:val="-4"/>
          <w:sz w:val="21"/>
          <w:szCs w:val="21"/>
        </w:rPr>
        <w:t>合同工程施工原因引起者除外；</w:t>
      </w:r>
    </w:p>
    <w:p w14:paraId="3D7F14A5">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（3）</w:t>
      </w:r>
      <w:r>
        <w:rPr>
          <w:sz w:val="21"/>
          <w:szCs w:val="21"/>
        </w:rPr>
        <w:t>核反应、辐射或放射性污染；</w:t>
      </w:r>
    </w:p>
    <w:p w14:paraId="6DB2B887">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（4）</w:t>
      </w:r>
      <w:r>
        <w:rPr>
          <w:sz w:val="21"/>
          <w:szCs w:val="21"/>
        </w:rPr>
        <w:t>空中飞行物体坠落或非发包人或承包人责任造成的爆炸、火灾；</w:t>
      </w:r>
    </w:p>
    <w:p w14:paraId="7F43A886">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（5）</w:t>
      </w:r>
      <w:r>
        <w:rPr>
          <w:sz w:val="21"/>
          <w:szCs w:val="21"/>
        </w:rPr>
        <w:t>瘟疫；</w:t>
      </w:r>
    </w:p>
    <w:p w14:paraId="24E54840">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（6）</w:t>
      </w:r>
      <w:r>
        <w:rPr>
          <w:sz w:val="21"/>
          <w:szCs w:val="21"/>
        </w:rPr>
        <w:t>项目专用合同条款约定的其他情形。</w:t>
      </w:r>
    </w:p>
    <w:p w14:paraId="2FAB42D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bookmarkStart w:id="342" w:name="_bookmark246"/>
      <w:bookmarkEnd w:id="342"/>
      <w:r>
        <w:rPr>
          <w:rFonts w:ascii="Times New Roman" w:eastAsia="Times New Roman"/>
          <w:sz w:val="21"/>
          <w:szCs w:val="21"/>
        </w:rPr>
        <w:t>21.3</w:t>
      </w:r>
      <w:r>
        <w:rPr>
          <w:rFonts w:ascii="Times New Roman" w:eastAsia="Times New Roman"/>
          <w:spacing w:val="59"/>
          <w:sz w:val="21"/>
          <w:szCs w:val="21"/>
        </w:rPr>
        <w:t xml:space="preserve"> </w:t>
      </w:r>
      <w:r>
        <w:rPr>
          <w:rFonts w:hint="eastAsia" w:ascii="黑体" w:eastAsia="黑体"/>
          <w:sz w:val="21"/>
          <w:szCs w:val="21"/>
        </w:rPr>
        <w:t>不可抗力后果及其处理</w:t>
      </w:r>
    </w:p>
    <w:p w14:paraId="60C4D0D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r>
        <w:rPr>
          <w:rFonts w:ascii="Times New Roman" w:eastAsia="Times New Roman"/>
          <w:sz w:val="21"/>
          <w:szCs w:val="21"/>
        </w:rPr>
        <w:t xml:space="preserve">21.3.4 </w:t>
      </w:r>
      <w:r>
        <w:rPr>
          <w:rFonts w:hint="eastAsia" w:ascii="黑体" w:eastAsia="黑体"/>
          <w:sz w:val="21"/>
          <w:szCs w:val="21"/>
        </w:rPr>
        <w:t>因不可抗力解除合同</w:t>
      </w:r>
    </w:p>
    <w:p w14:paraId="00FE877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本项细化为：</w:t>
      </w:r>
    </w:p>
    <w:p w14:paraId="464320A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 xml:space="preserve">合同一方当事人因不可抗力不能履行合同的，应当及时通知对方解除合同。合同解除后，承包人应按照第 </w:t>
      </w:r>
      <w:r>
        <w:rPr>
          <w:rFonts w:ascii="Times New Roman" w:eastAsia="Times New Roman"/>
          <w:sz w:val="21"/>
          <w:szCs w:val="21"/>
        </w:rPr>
        <w:t xml:space="preserve">22.2.5 </w:t>
      </w:r>
      <w:r>
        <w:rPr>
          <w:sz w:val="21"/>
          <w:szCs w:val="21"/>
        </w:rPr>
        <w:t>项约定撤离施工场地。已经订货的材料、设备由订货方负责退货或解除订货合同，不能退还的货款和因退货、解除订货合同发生的</w:t>
      </w:r>
      <w:r>
        <w:rPr>
          <w:spacing w:val="-11"/>
          <w:sz w:val="21"/>
          <w:szCs w:val="21"/>
        </w:rPr>
        <w:t xml:space="preserve">费用，由发包人承担，因未及时退货造成的损失由责任方承担。合同解除后的付款， </w:t>
      </w:r>
      <w:r>
        <w:rPr>
          <w:spacing w:val="-10"/>
          <w:sz w:val="21"/>
          <w:szCs w:val="21"/>
        </w:rPr>
        <w:t xml:space="preserve">参照第 </w:t>
      </w:r>
      <w:r>
        <w:rPr>
          <w:rFonts w:ascii="Times New Roman" w:eastAsia="Times New Roman"/>
          <w:sz w:val="21"/>
          <w:szCs w:val="21"/>
        </w:rPr>
        <w:t>22.2.4</w:t>
      </w:r>
      <w:r>
        <w:rPr>
          <w:rFonts w:ascii="Times New Roman" w:eastAsia="Times New Roman"/>
          <w:spacing w:val="24"/>
          <w:sz w:val="21"/>
          <w:szCs w:val="21"/>
        </w:rPr>
        <w:t xml:space="preserve"> </w:t>
      </w:r>
      <w:r>
        <w:rPr>
          <w:spacing w:val="-4"/>
          <w:sz w:val="21"/>
          <w:szCs w:val="21"/>
        </w:rPr>
        <w:t xml:space="preserve">项约定，由监理人按第 </w:t>
      </w:r>
      <w:r>
        <w:rPr>
          <w:rFonts w:ascii="Times New Roman" w:eastAsia="Times New Roman"/>
          <w:sz w:val="21"/>
          <w:szCs w:val="21"/>
        </w:rPr>
        <w:t>3.5</w:t>
      </w:r>
      <w:r>
        <w:rPr>
          <w:rFonts w:ascii="Times New Roman" w:eastAsia="Times New Roman"/>
          <w:spacing w:val="24"/>
          <w:sz w:val="21"/>
          <w:szCs w:val="21"/>
        </w:rPr>
        <w:t xml:space="preserve"> </w:t>
      </w:r>
      <w:r>
        <w:rPr>
          <w:sz w:val="21"/>
          <w:szCs w:val="21"/>
        </w:rPr>
        <w:t>款商定或确定，但由于解除合同应赔偿的承包人损失不予考虑。</w:t>
      </w:r>
    </w:p>
    <w:p w14:paraId="53C41843">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343" w:name="_bookmark247"/>
      <w:bookmarkEnd w:id="343"/>
      <w:bookmarkStart w:id="344" w:name="_bookmark247"/>
      <w:bookmarkEnd w:id="344"/>
      <w:r>
        <w:rPr>
          <w:rFonts w:hint="default" w:ascii="Times New Roman" w:hAnsi="Times New Roman" w:eastAsia="Times New Roman" w:cs="Times New Roman"/>
          <w:w w:val="100"/>
          <w:sz w:val="21"/>
          <w:szCs w:val="21"/>
          <w:lang w:val="zh-CN" w:eastAsia="zh-CN" w:bidi="zh-CN"/>
        </w:rPr>
        <w:t>22.</w:t>
      </w:r>
      <w:r>
        <w:rPr>
          <w:rFonts w:hint="eastAsia" w:ascii="黑体" w:eastAsia="黑体"/>
          <w:sz w:val="21"/>
          <w:szCs w:val="21"/>
        </w:rPr>
        <w:t>违约</w:t>
      </w:r>
    </w:p>
    <w:p w14:paraId="226CAEEE">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45" w:name="_bookmark248"/>
      <w:bookmarkEnd w:id="345"/>
      <w:bookmarkStart w:id="346" w:name="_bookmark248"/>
      <w:bookmarkEnd w:id="346"/>
      <w:r>
        <w:rPr>
          <w:rFonts w:hint="default" w:ascii="Times New Roman" w:hAnsi="Times New Roman" w:eastAsia="Times New Roman" w:cs="Times New Roman"/>
          <w:spacing w:val="-1"/>
          <w:w w:val="100"/>
          <w:sz w:val="21"/>
          <w:szCs w:val="21"/>
          <w:lang w:val="zh-CN" w:eastAsia="zh-CN" w:bidi="zh-CN"/>
        </w:rPr>
        <w:t>22.1</w:t>
      </w:r>
      <w:r>
        <w:rPr>
          <w:rFonts w:hint="eastAsia" w:ascii="黑体" w:eastAsia="黑体"/>
          <w:sz w:val="21"/>
          <w:szCs w:val="21"/>
        </w:rPr>
        <w:t>承包人违约</w:t>
      </w:r>
    </w:p>
    <w:p w14:paraId="67FF878C">
      <w:pPr>
        <w:pStyle w:val="41"/>
        <w:keepNext w:val="0"/>
        <w:keepLines w:val="0"/>
        <w:pageBreakBefore w:val="0"/>
        <w:widowControl w:val="0"/>
        <w:numPr>
          <w:ilvl w:val="2"/>
          <w:numId w:val="0"/>
        </w:numPr>
        <w:tabs>
          <w:tab w:val="left" w:pos="162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22.1.1</w:t>
      </w:r>
      <w:r>
        <w:rPr>
          <w:rFonts w:hint="eastAsia" w:ascii="黑体" w:eastAsia="黑体"/>
          <w:sz w:val="21"/>
          <w:szCs w:val="21"/>
        </w:rPr>
        <w:t>承包人违约的情形</w:t>
      </w:r>
    </w:p>
    <w:p w14:paraId="0F27CF5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w:t>
      </w:r>
      <w:r>
        <w:rPr>
          <w:rFonts w:ascii="Times New Roman" w:eastAsia="Times New Roman"/>
          <w:sz w:val="21"/>
          <w:szCs w:val="21"/>
        </w:rPr>
        <w:t>2</w:t>
      </w:r>
      <w:r>
        <w:rPr>
          <w:sz w:val="21"/>
          <w:szCs w:val="21"/>
        </w:rPr>
        <w:t>）目细化为：</w:t>
      </w:r>
    </w:p>
    <w:p w14:paraId="287B9208">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w:t>
      </w:r>
      <w:r>
        <w:rPr>
          <w:rFonts w:ascii="Times New Roman" w:eastAsia="Times New Roman"/>
          <w:sz w:val="21"/>
          <w:szCs w:val="21"/>
        </w:rPr>
        <w:t>2</w:t>
      </w:r>
      <w:r>
        <w:rPr>
          <w:sz w:val="21"/>
          <w:szCs w:val="21"/>
        </w:rPr>
        <w:t xml:space="preserve">）承包人违反第 </w:t>
      </w:r>
      <w:r>
        <w:rPr>
          <w:rFonts w:ascii="Times New Roman" w:eastAsia="Times New Roman"/>
          <w:sz w:val="21"/>
          <w:szCs w:val="21"/>
        </w:rPr>
        <w:t xml:space="preserve">5.3 </w:t>
      </w:r>
      <w:r>
        <w:rPr>
          <w:sz w:val="21"/>
          <w:szCs w:val="21"/>
        </w:rPr>
        <w:t xml:space="preserve">款或第 </w:t>
      </w:r>
      <w:r>
        <w:rPr>
          <w:rFonts w:ascii="Times New Roman" w:eastAsia="Times New Roman"/>
          <w:sz w:val="21"/>
          <w:szCs w:val="21"/>
        </w:rPr>
        <w:t xml:space="preserve">6.4 </w:t>
      </w:r>
      <w:r>
        <w:rPr>
          <w:sz w:val="21"/>
          <w:szCs w:val="21"/>
        </w:rPr>
        <w:t>款的约定，未经监理人批准，私自将已按合同约定进入施工场地的施工设备、临时设施、材料或工程设备撤离施工场地；</w:t>
      </w:r>
    </w:p>
    <w:p w14:paraId="077237C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w:t>
      </w:r>
      <w:r>
        <w:rPr>
          <w:rFonts w:ascii="Times New Roman" w:eastAsia="Times New Roman"/>
          <w:sz w:val="21"/>
          <w:szCs w:val="21"/>
        </w:rPr>
        <w:t>7</w:t>
      </w:r>
      <w:r>
        <w:rPr>
          <w:sz w:val="21"/>
          <w:szCs w:val="21"/>
        </w:rPr>
        <w:t>）目细化为：</w:t>
      </w:r>
    </w:p>
    <w:p w14:paraId="294D36AE">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（7）</w:t>
      </w:r>
      <w:r>
        <w:rPr>
          <w:sz w:val="21"/>
          <w:szCs w:val="21"/>
        </w:rPr>
        <w:t>承包人未能按期开工；</w:t>
      </w:r>
    </w:p>
    <w:p w14:paraId="09D2AEC9">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（8）</w:t>
      </w:r>
      <w:r>
        <w:rPr>
          <w:spacing w:val="-8"/>
          <w:sz w:val="21"/>
          <w:szCs w:val="21"/>
        </w:rPr>
        <w:t xml:space="preserve">承包人违反第 </w:t>
      </w:r>
      <w:r>
        <w:rPr>
          <w:rFonts w:ascii="Times New Roman" w:eastAsia="Times New Roman"/>
          <w:sz w:val="21"/>
          <w:szCs w:val="21"/>
        </w:rPr>
        <w:t>4.6</w:t>
      </w:r>
      <w:r>
        <w:rPr>
          <w:rFonts w:ascii="Times New Roman" w:eastAsia="Times New Roman"/>
          <w:spacing w:val="9"/>
          <w:sz w:val="21"/>
          <w:szCs w:val="21"/>
        </w:rPr>
        <w:t xml:space="preserve"> </w:t>
      </w:r>
      <w:r>
        <w:rPr>
          <w:spacing w:val="-13"/>
          <w:sz w:val="21"/>
          <w:szCs w:val="21"/>
        </w:rPr>
        <w:t xml:space="preserve">款或第 </w:t>
      </w:r>
      <w:r>
        <w:rPr>
          <w:rFonts w:ascii="Times New Roman" w:eastAsia="Times New Roman"/>
          <w:sz w:val="21"/>
          <w:szCs w:val="21"/>
        </w:rPr>
        <w:t>6.3</w:t>
      </w:r>
      <w:r>
        <w:rPr>
          <w:rFonts w:ascii="Times New Roman" w:eastAsia="Times New Roman"/>
          <w:spacing w:val="9"/>
          <w:sz w:val="21"/>
          <w:szCs w:val="21"/>
        </w:rPr>
        <w:t xml:space="preserve"> </w:t>
      </w:r>
      <w:r>
        <w:rPr>
          <w:spacing w:val="-2"/>
          <w:sz w:val="21"/>
          <w:szCs w:val="21"/>
        </w:rPr>
        <w:t>款的规定，未按承诺或未按监理人的要求及</w:t>
      </w:r>
      <w:r>
        <w:rPr>
          <w:sz w:val="21"/>
          <w:szCs w:val="21"/>
        </w:rPr>
        <w:t>时配备称职的主要管理人员、技术骨干或关键施工设备；</w:t>
      </w:r>
    </w:p>
    <w:p w14:paraId="0C4B20ED">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（9）</w:t>
      </w:r>
      <w:r>
        <w:rPr>
          <w:spacing w:val="-4"/>
          <w:sz w:val="21"/>
          <w:szCs w:val="21"/>
        </w:rPr>
        <w:t>经监理人和发包人检查，发现承包人有安全问题或有违反安全管理规章制度的情况；</w:t>
      </w:r>
    </w:p>
    <w:p w14:paraId="6E2827CC">
      <w:pPr>
        <w:pStyle w:val="41"/>
        <w:keepNext w:val="0"/>
        <w:keepLines w:val="0"/>
        <w:pageBreakBefore w:val="0"/>
        <w:widowControl w:val="0"/>
        <w:numPr>
          <w:ilvl w:val="0"/>
          <w:numId w:val="0"/>
        </w:numPr>
        <w:tabs>
          <w:tab w:val="left" w:pos="162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（10）</w:t>
      </w:r>
      <w:r>
        <w:rPr>
          <w:sz w:val="21"/>
          <w:szCs w:val="21"/>
        </w:rPr>
        <w:t>承包人不按合同约定履行义务的其他情况。</w:t>
      </w:r>
    </w:p>
    <w:p w14:paraId="4BDBD85A">
      <w:pPr>
        <w:pStyle w:val="41"/>
        <w:keepNext w:val="0"/>
        <w:keepLines w:val="0"/>
        <w:pageBreakBefore w:val="0"/>
        <w:widowControl w:val="0"/>
        <w:numPr>
          <w:ilvl w:val="2"/>
          <w:numId w:val="0"/>
        </w:numPr>
        <w:tabs>
          <w:tab w:val="left" w:pos="161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22.1.2</w:t>
      </w:r>
      <w:r>
        <w:rPr>
          <w:rFonts w:hint="eastAsia" w:ascii="黑体" w:eastAsia="黑体"/>
          <w:sz w:val="21"/>
          <w:szCs w:val="21"/>
        </w:rPr>
        <w:t>对承包人违约的处理</w:t>
      </w:r>
    </w:p>
    <w:p w14:paraId="439FE92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本项补充：</w:t>
      </w:r>
    </w:p>
    <w:p w14:paraId="220A1344">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宋体" w:hAnsi="宋体" w:eastAsia="宋体" w:cs="宋体"/>
          <w:spacing w:val="0"/>
          <w:w w:val="100"/>
          <w:sz w:val="21"/>
          <w:szCs w:val="21"/>
          <w:lang w:val="zh-CN" w:eastAsia="zh-CN" w:bidi="zh-CN"/>
        </w:rPr>
        <w:t>（4）</w:t>
      </w:r>
      <w:r>
        <w:rPr>
          <w:spacing w:val="0"/>
          <w:sz w:val="21"/>
          <w:szCs w:val="21"/>
        </w:rPr>
        <w:t xml:space="preserve">承包人发生第 </w:t>
      </w:r>
      <w:r>
        <w:rPr>
          <w:rFonts w:ascii="Times New Roman" w:eastAsia="Times New Roman"/>
          <w:spacing w:val="0"/>
          <w:sz w:val="21"/>
          <w:szCs w:val="21"/>
        </w:rPr>
        <w:t xml:space="preserve">22.1.1 </w:t>
      </w:r>
      <w:r>
        <w:rPr>
          <w:spacing w:val="0"/>
          <w:sz w:val="21"/>
          <w:szCs w:val="21"/>
        </w:rPr>
        <w:t>项约定的违约情况时，无论发包人是否解除合同， 发包人均有权向承包人课以项目专用合同条款中规定的违约金，并由发包人将其违约行为上报省级交通运输主管部门，作为不良记录纳入公路建设市场信用信息管理系统。</w:t>
      </w:r>
    </w:p>
    <w:p w14:paraId="08DF0A44">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pacing w:val="0"/>
          <w:sz w:val="21"/>
          <w:szCs w:val="21"/>
        </w:rPr>
      </w:pPr>
      <w:bookmarkStart w:id="347" w:name="_bookmark249"/>
      <w:bookmarkEnd w:id="347"/>
      <w:bookmarkStart w:id="348" w:name="_bookmark249"/>
      <w:bookmarkEnd w:id="348"/>
      <w:r>
        <w:rPr>
          <w:rFonts w:hint="default" w:ascii="Times New Roman" w:hAnsi="Times New Roman" w:eastAsia="Times New Roman" w:cs="Times New Roman"/>
          <w:spacing w:val="0"/>
          <w:w w:val="100"/>
          <w:sz w:val="21"/>
          <w:szCs w:val="21"/>
          <w:lang w:val="zh-CN" w:eastAsia="zh-CN" w:bidi="zh-CN"/>
        </w:rPr>
        <w:t>22.2</w:t>
      </w:r>
      <w:r>
        <w:rPr>
          <w:rFonts w:hint="eastAsia" w:ascii="黑体" w:eastAsia="黑体"/>
          <w:spacing w:val="0"/>
          <w:sz w:val="21"/>
          <w:szCs w:val="21"/>
        </w:rPr>
        <w:t>发包人违约</w:t>
      </w:r>
    </w:p>
    <w:p w14:paraId="24B63641">
      <w:pPr>
        <w:pStyle w:val="41"/>
        <w:keepNext w:val="0"/>
        <w:keepLines w:val="0"/>
        <w:pageBreakBefore w:val="0"/>
        <w:widowControl w:val="0"/>
        <w:numPr>
          <w:ilvl w:val="2"/>
          <w:numId w:val="0"/>
        </w:numPr>
        <w:tabs>
          <w:tab w:val="left" w:pos="156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pacing w:val="0"/>
          <w:sz w:val="21"/>
          <w:szCs w:val="21"/>
        </w:rPr>
      </w:pPr>
      <w:r>
        <w:rPr>
          <w:rFonts w:hint="default" w:ascii="Times New Roman" w:hAnsi="Times New Roman" w:eastAsia="Times New Roman" w:cs="Times New Roman"/>
          <w:spacing w:val="0"/>
          <w:w w:val="100"/>
          <w:sz w:val="21"/>
          <w:szCs w:val="21"/>
          <w:lang w:val="zh-CN" w:eastAsia="zh-CN" w:bidi="zh-CN"/>
        </w:rPr>
        <w:t>22.2.1</w:t>
      </w:r>
      <w:r>
        <w:rPr>
          <w:rFonts w:hint="eastAsia" w:ascii="黑体" w:eastAsia="黑体"/>
          <w:spacing w:val="0"/>
          <w:sz w:val="21"/>
          <w:szCs w:val="21"/>
        </w:rPr>
        <w:t>发包人违约的情形</w:t>
      </w:r>
    </w:p>
    <w:p w14:paraId="20E719C5">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pacing w:val="0"/>
          <w:sz w:val="21"/>
          <w:szCs w:val="21"/>
        </w:rPr>
      </w:pPr>
      <w:r>
        <w:rPr>
          <w:spacing w:val="0"/>
          <w:sz w:val="21"/>
          <w:szCs w:val="21"/>
        </w:rPr>
        <w:t>本项（</w:t>
      </w:r>
      <w:r>
        <w:rPr>
          <w:rFonts w:ascii="Times New Roman" w:eastAsia="Times New Roman"/>
          <w:spacing w:val="0"/>
          <w:sz w:val="21"/>
          <w:szCs w:val="21"/>
        </w:rPr>
        <w:t>5</w:t>
      </w:r>
      <w:r>
        <w:rPr>
          <w:spacing w:val="0"/>
          <w:sz w:val="21"/>
          <w:szCs w:val="21"/>
        </w:rPr>
        <w:t>）目细化为：</w:t>
      </w:r>
    </w:p>
    <w:p w14:paraId="3FF50BDD">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（5）</w:t>
      </w:r>
      <w:r>
        <w:rPr>
          <w:spacing w:val="0"/>
          <w:sz w:val="21"/>
          <w:szCs w:val="21"/>
        </w:rPr>
        <w:t>发包人无正当理由不按时返还履约保证金、质量保证金或农民工工资保证金的；</w:t>
      </w:r>
    </w:p>
    <w:p w14:paraId="4986E47F">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（6）</w:t>
      </w:r>
      <w:r>
        <w:rPr>
          <w:spacing w:val="0"/>
          <w:sz w:val="21"/>
          <w:szCs w:val="21"/>
        </w:rPr>
        <w:t>发包人不履行合同约定其他义务的。</w:t>
      </w:r>
    </w:p>
    <w:p w14:paraId="4CAE57E9">
      <w:pPr>
        <w:pStyle w:val="41"/>
        <w:keepNext w:val="0"/>
        <w:keepLines w:val="0"/>
        <w:pageBreakBefore w:val="0"/>
        <w:widowControl w:val="0"/>
        <w:numPr>
          <w:ilvl w:val="2"/>
          <w:numId w:val="0"/>
        </w:numPr>
        <w:tabs>
          <w:tab w:val="left" w:pos="161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22.2.2</w:t>
      </w:r>
      <w:r>
        <w:rPr>
          <w:rFonts w:hint="eastAsia" w:ascii="黑体" w:eastAsia="黑体"/>
          <w:sz w:val="21"/>
          <w:szCs w:val="21"/>
        </w:rPr>
        <w:t>承包人有权暂停施工</w:t>
      </w:r>
    </w:p>
    <w:p w14:paraId="398AE48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本项细化为：</w:t>
      </w:r>
    </w:p>
    <w:p w14:paraId="75CFCDC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 xml:space="preserve">发包人发生除第 </w:t>
      </w:r>
      <w:r>
        <w:rPr>
          <w:rFonts w:ascii="Times New Roman" w:eastAsia="Times New Roman"/>
          <w:sz w:val="21"/>
          <w:szCs w:val="21"/>
        </w:rPr>
        <w:t>22.2.1</w:t>
      </w:r>
      <w:r>
        <w:rPr>
          <w:spacing w:val="2"/>
          <w:sz w:val="21"/>
          <w:szCs w:val="21"/>
        </w:rPr>
        <w:t>（</w:t>
      </w:r>
      <w:r>
        <w:rPr>
          <w:rFonts w:ascii="Times New Roman" w:eastAsia="Times New Roman"/>
          <w:spacing w:val="2"/>
          <w:sz w:val="21"/>
          <w:szCs w:val="21"/>
        </w:rPr>
        <w:t>4</w:t>
      </w:r>
      <w:r>
        <w:rPr>
          <w:spacing w:val="-120"/>
          <w:sz w:val="21"/>
          <w:szCs w:val="21"/>
        </w:rPr>
        <w:t>）</w:t>
      </w:r>
      <w:r>
        <w:rPr>
          <w:spacing w:val="-118"/>
          <w:sz w:val="21"/>
          <w:szCs w:val="21"/>
        </w:rPr>
        <w:t>、</w:t>
      </w:r>
      <w:r>
        <w:rPr>
          <w:sz w:val="21"/>
          <w:szCs w:val="21"/>
        </w:rPr>
        <w:t>（</w:t>
      </w:r>
      <w:r>
        <w:rPr>
          <w:rFonts w:ascii="Times New Roman" w:eastAsia="Times New Roman"/>
          <w:spacing w:val="2"/>
          <w:sz w:val="21"/>
          <w:szCs w:val="21"/>
        </w:rPr>
        <w:t>5</w:t>
      </w:r>
      <w:r>
        <w:rPr>
          <w:spacing w:val="2"/>
          <w:sz w:val="21"/>
          <w:szCs w:val="21"/>
        </w:rPr>
        <w:t>）</w:t>
      </w:r>
      <w:r>
        <w:rPr>
          <w:spacing w:val="-1"/>
          <w:sz w:val="21"/>
          <w:szCs w:val="21"/>
        </w:rPr>
        <w:t>目以外的违约情况时，承包人可向发包人发</w:t>
      </w:r>
      <w:r>
        <w:rPr>
          <w:spacing w:val="-11"/>
          <w:sz w:val="21"/>
          <w:szCs w:val="21"/>
        </w:rPr>
        <w:t xml:space="preserve">出通知，要求发包人采取有效措施纠正违约行为。发包人收到承包人通知后的 </w:t>
      </w:r>
      <w:r>
        <w:rPr>
          <w:rFonts w:ascii="Times New Roman" w:eastAsia="Times New Roman"/>
          <w:sz w:val="21"/>
          <w:szCs w:val="21"/>
        </w:rPr>
        <w:t xml:space="preserve">28 </w:t>
      </w:r>
      <w:r>
        <w:rPr>
          <w:spacing w:val="-12"/>
          <w:sz w:val="21"/>
          <w:szCs w:val="21"/>
        </w:rPr>
        <w:t>天</w:t>
      </w:r>
      <w:r>
        <w:rPr>
          <w:sz w:val="21"/>
          <w:szCs w:val="21"/>
        </w:rPr>
        <w:t>内仍不履行合同义务，承包人有权暂停施工，并通知监理人，发包人应承担由此增加的费用和（或）工期延误，并支付承包人合理利润。</w:t>
      </w:r>
    </w:p>
    <w:p w14:paraId="71AA891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80" w:firstLineChars="200"/>
        <w:jc w:val="both"/>
        <w:textAlignment w:val="auto"/>
        <w:rPr>
          <w:sz w:val="21"/>
          <w:szCs w:val="21"/>
        </w:rPr>
      </w:pPr>
      <w:r>
        <w:rPr>
          <w:spacing w:val="-10"/>
          <w:sz w:val="21"/>
          <w:szCs w:val="21"/>
        </w:rPr>
        <w:t xml:space="preserve">发包人发生第 </w:t>
      </w:r>
      <w:r>
        <w:rPr>
          <w:rFonts w:ascii="Times New Roman" w:eastAsia="Times New Roman"/>
          <w:sz w:val="21"/>
          <w:szCs w:val="21"/>
        </w:rPr>
        <w:t>22.2.1</w:t>
      </w:r>
      <w:r>
        <w:rPr>
          <w:sz w:val="21"/>
          <w:szCs w:val="21"/>
        </w:rPr>
        <w:t>（</w:t>
      </w:r>
      <w:r>
        <w:rPr>
          <w:rFonts w:ascii="Times New Roman" w:eastAsia="Times New Roman"/>
          <w:sz w:val="21"/>
          <w:szCs w:val="21"/>
        </w:rPr>
        <w:t>5</w:t>
      </w:r>
      <w:r>
        <w:rPr>
          <w:sz w:val="21"/>
          <w:szCs w:val="21"/>
        </w:rPr>
        <w:t>）</w:t>
      </w:r>
      <w:r>
        <w:rPr>
          <w:spacing w:val="-3"/>
          <w:sz w:val="21"/>
          <w:szCs w:val="21"/>
        </w:rPr>
        <w:t>目的违约情况时，承包人可向发包人发出通知，要求</w:t>
      </w:r>
      <w:r>
        <w:rPr>
          <w:spacing w:val="-8"/>
          <w:sz w:val="21"/>
          <w:szCs w:val="21"/>
        </w:rPr>
        <w:t xml:space="preserve">发包人采取有效措施纠正违约行为。发包人收到承包人通知后的 </w:t>
      </w:r>
      <w:r>
        <w:rPr>
          <w:rFonts w:ascii="Times New Roman" w:eastAsia="Times New Roman"/>
          <w:sz w:val="21"/>
          <w:szCs w:val="21"/>
        </w:rPr>
        <w:t xml:space="preserve">28 </w:t>
      </w:r>
      <w:r>
        <w:rPr>
          <w:spacing w:val="-3"/>
          <w:sz w:val="21"/>
          <w:szCs w:val="21"/>
        </w:rPr>
        <w:t>天内仍不返还履</w:t>
      </w:r>
      <w:r>
        <w:rPr>
          <w:sz w:val="21"/>
          <w:szCs w:val="21"/>
        </w:rPr>
        <w:t>约保证金、质量保证金或农民工工资保证金的，发包人应按项目专用合同条款的约定向承包人支付逾期返还保证金的违约金。</w:t>
      </w:r>
    </w:p>
    <w:p w14:paraId="302C71C4">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黑体" w:eastAsia="黑体"/>
          <w:sz w:val="21"/>
          <w:szCs w:val="21"/>
        </w:rPr>
      </w:pPr>
      <w:r>
        <w:rPr>
          <w:rFonts w:ascii="Times New Roman" w:eastAsia="Times New Roman"/>
          <w:sz w:val="21"/>
          <w:szCs w:val="21"/>
        </w:rPr>
        <w:t xml:space="preserve">22.2.4 </w:t>
      </w:r>
      <w:r>
        <w:rPr>
          <w:rFonts w:hint="eastAsia" w:ascii="黑体" w:eastAsia="黑体"/>
          <w:sz w:val="21"/>
          <w:szCs w:val="21"/>
        </w:rPr>
        <w:t>解除合同后的付款</w:t>
      </w:r>
    </w:p>
    <w:p w14:paraId="4B1C431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本项（</w:t>
      </w:r>
      <w:r>
        <w:rPr>
          <w:rFonts w:ascii="Times New Roman" w:eastAsia="Times New Roman"/>
          <w:sz w:val="21"/>
          <w:szCs w:val="21"/>
        </w:rPr>
        <w:t>2</w:t>
      </w:r>
      <w:r>
        <w:rPr>
          <w:sz w:val="21"/>
          <w:szCs w:val="21"/>
        </w:rPr>
        <w:t>）目细化为：</w:t>
      </w:r>
    </w:p>
    <w:p w14:paraId="340B602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w:t>
      </w:r>
      <w:r>
        <w:rPr>
          <w:rFonts w:ascii="Times New Roman" w:eastAsia="Times New Roman"/>
          <w:sz w:val="21"/>
          <w:szCs w:val="21"/>
        </w:rPr>
        <w:t>2</w:t>
      </w:r>
      <w:r>
        <w:rPr>
          <w:sz w:val="21"/>
          <w:szCs w:val="21"/>
        </w:rPr>
        <w:t>）承包人为该工程施工订购并已付款的材料、工程设备和其他物品的金额。发包人付款后，该材料、工程设备和其他物品归发包人所有；</w:t>
      </w:r>
    </w:p>
    <w:p w14:paraId="61048138">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349" w:name="_bookmark250"/>
      <w:bookmarkEnd w:id="349"/>
      <w:bookmarkStart w:id="350" w:name="_bookmark250"/>
      <w:bookmarkEnd w:id="350"/>
      <w:r>
        <w:rPr>
          <w:rFonts w:hint="default" w:ascii="Times New Roman" w:hAnsi="Times New Roman" w:eastAsia="Times New Roman" w:cs="Times New Roman"/>
          <w:w w:val="100"/>
          <w:sz w:val="21"/>
          <w:szCs w:val="21"/>
          <w:lang w:val="zh-CN" w:eastAsia="zh-CN" w:bidi="zh-CN"/>
        </w:rPr>
        <w:t>23.</w:t>
      </w:r>
      <w:r>
        <w:rPr>
          <w:rFonts w:hint="eastAsia" w:ascii="黑体" w:eastAsia="黑体"/>
          <w:sz w:val="21"/>
          <w:szCs w:val="21"/>
        </w:rPr>
        <w:t>索赔</w:t>
      </w:r>
    </w:p>
    <w:p w14:paraId="24E07C18">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51" w:name="_bookmark251"/>
      <w:bookmarkEnd w:id="351"/>
      <w:bookmarkStart w:id="352" w:name="_bookmark251"/>
      <w:bookmarkEnd w:id="352"/>
      <w:r>
        <w:rPr>
          <w:rFonts w:hint="default" w:ascii="Times New Roman" w:hAnsi="Times New Roman" w:eastAsia="Times New Roman" w:cs="Times New Roman"/>
          <w:spacing w:val="-1"/>
          <w:w w:val="100"/>
          <w:sz w:val="21"/>
          <w:szCs w:val="21"/>
          <w:lang w:val="zh-CN" w:eastAsia="zh-CN" w:bidi="zh-CN"/>
        </w:rPr>
        <w:t>23.1</w:t>
      </w:r>
      <w:r>
        <w:rPr>
          <w:rFonts w:hint="eastAsia" w:ascii="黑体" w:eastAsia="黑体"/>
          <w:sz w:val="21"/>
          <w:szCs w:val="21"/>
        </w:rPr>
        <w:t>承包人索赔的提出</w:t>
      </w:r>
    </w:p>
    <w:p w14:paraId="65DDD53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本款第（</w:t>
      </w:r>
      <w:r>
        <w:rPr>
          <w:rFonts w:ascii="Times New Roman" w:eastAsia="Times New Roman"/>
          <w:sz w:val="21"/>
          <w:szCs w:val="21"/>
        </w:rPr>
        <w:t>4</w:t>
      </w:r>
      <w:r>
        <w:rPr>
          <w:sz w:val="21"/>
          <w:szCs w:val="21"/>
        </w:rPr>
        <w:t>）项细化为：</w:t>
      </w:r>
    </w:p>
    <w:p w14:paraId="163C480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sz w:val="21"/>
          <w:szCs w:val="21"/>
        </w:rPr>
      </w:pPr>
      <w:r>
        <w:rPr>
          <w:sz w:val="21"/>
          <w:szCs w:val="21"/>
        </w:rPr>
        <w:t>（</w:t>
      </w:r>
      <w:r>
        <w:rPr>
          <w:rFonts w:ascii="Times New Roman" w:eastAsia="Times New Roman"/>
          <w:sz w:val="21"/>
          <w:szCs w:val="21"/>
        </w:rPr>
        <w:t>4</w:t>
      </w:r>
      <w:r>
        <w:rPr>
          <w:sz w:val="21"/>
          <w:szCs w:val="21"/>
        </w:rPr>
        <w:t>）</w:t>
      </w:r>
      <w:r>
        <w:rPr>
          <w:spacing w:val="-4"/>
          <w:sz w:val="21"/>
          <w:szCs w:val="21"/>
        </w:rPr>
        <w:t xml:space="preserve">在索赔事件影响结束后的 </w:t>
      </w:r>
      <w:r>
        <w:rPr>
          <w:rFonts w:ascii="Times New Roman" w:eastAsia="Times New Roman"/>
          <w:sz w:val="21"/>
          <w:szCs w:val="21"/>
        </w:rPr>
        <w:t xml:space="preserve">28 </w:t>
      </w:r>
      <w:r>
        <w:rPr>
          <w:spacing w:val="-1"/>
          <w:sz w:val="21"/>
          <w:szCs w:val="21"/>
        </w:rPr>
        <w:t>天内，承包人应向监理人递交最终索赔通知</w:t>
      </w:r>
      <w:r>
        <w:rPr>
          <w:sz w:val="21"/>
          <w:szCs w:val="21"/>
        </w:rPr>
        <w:t>书，说明最终要求索赔的追加付款金额和（或）延长的工期，并附必要的记录和证明材料。</w:t>
      </w:r>
    </w:p>
    <w:p w14:paraId="58994584">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53" w:name="_bookmark252"/>
      <w:bookmarkEnd w:id="353"/>
      <w:bookmarkStart w:id="354" w:name="_bookmark252"/>
      <w:bookmarkEnd w:id="354"/>
      <w:r>
        <w:rPr>
          <w:rFonts w:hint="default" w:ascii="Times New Roman" w:hAnsi="Times New Roman" w:eastAsia="Times New Roman" w:cs="Times New Roman"/>
          <w:spacing w:val="-1"/>
          <w:w w:val="100"/>
          <w:sz w:val="21"/>
          <w:szCs w:val="21"/>
          <w:lang w:val="zh-CN" w:eastAsia="zh-CN" w:bidi="zh-CN"/>
        </w:rPr>
        <w:t>23.2</w:t>
      </w:r>
      <w:r>
        <w:rPr>
          <w:rFonts w:hint="eastAsia" w:ascii="黑体" w:eastAsia="黑体"/>
          <w:sz w:val="21"/>
          <w:szCs w:val="21"/>
        </w:rPr>
        <w:t>承包人索赔处理程序</w:t>
      </w:r>
    </w:p>
    <w:p w14:paraId="2472D00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本款第（</w:t>
      </w:r>
      <w:r>
        <w:rPr>
          <w:rFonts w:ascii="Times New Roman" w:eastAsia="Times New Roman"/>
          <w:sz w:val="21"/>
          <w:szCs w:val="21"/>
        </w:rPr>
        <w:t>2</w:t>
      </w:r>
      <w:r>
        <w:rPr>
          <w:sz w:val="21"/>
          <w:szCs w:val="21"/>
        </w:rPr>
        <w:t>）项细化为：</w:t>
      </w:r>
    </w:p>
    <w:p w14:paraId="78C3991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pacing w:val="-4"/>
          <w:sz w:val="21"/>
          <w:szCs w:val="21"/>
          <w:lang w:val="zh-CN" w:eastAsia="zh-CN" w:bidi="zh-CN"/>
        </w:rPr>
      </w:pPr>
      <w:r>
        <w:rPr>
          <w:sz w:val="21"/>
          <w:szCs w:val="21"/>
        </w:rPr>
        <w:t>（</w:t>
      </w:r>
      <w:r>
        <w:rPr>
          <w:rFonts w:ascii="Times New Roman" w:eastAsia="Times New Roman"/>
          <w:sz w:val="21"/>
          <w:szCs w:val="21"/>
        </w:rPr>
        <w:t>2</w:t>
      </w:r>
      <w:r>
        <w:rPr>
          <w:sz w:val="21"/>
          <w:szCs w:val="21"/>
        </w:rPr>
        <w:t>）</w:t>
      </w:r>
      <w:r>
        <w:rPr>
          <w:rFonts w:ascii="宋体" w:hAnsi="宋体" w:eastAsia="宋体" w:cs="宋体"/>
          <w:spacing w:val="-4"/>
          <w:sz w:val="21"/>
          <w:szCs w:val="21"/>
          <w:lang w:val="zh-CN" w:eastAsia="zh-CN" w:bidi="zh-CN"/>
        </w:rPr>
        <w:t>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 工期延长天数。</w:t>
      </w:r>
      <w:bookmarkStart w:id="355" w:name="_bookmark253"/>
      <w:bookmarkEnd w:id="355"/>
      <w:bookmarkStart w:id="356" w:name="_bookmark253"/>
      <w:bookmarkEnd w:id="356"/>
    </w:p>
    <w:p w14:paraId="147A5B74">
      <w:pPr>
        <w:keepNext w:val="0"/>
        <w:keepLines w:val="0"/>
        <w:pageBreakBefore w:val="0"/>
        <w:widowControl w:val="0"/>
        <w:numPr>
          <w:ilvl w:val="0"/>
          <w:numId w:val="0"/>
        </w:numPr>
        <w:tabs>
          <w:tab w:val="left" w:pos="914"/>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24.</w:t>
      </w:r>
      <w:r>
        <w:rPr>
          <w:rFonts w:hint="eastAsia" w:ascii="黑体" w:eastAsia="黑体"/>
          <w:sz w:val="21"/>
          <w:szCs w:val="21"/>
        </w:rPr>
        <w:t>争议的解决</w:t>
      </w:r>
    </w:p>
    <w:p w14:paraId="7CCE7F84">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57" w:name="_bookmark254"/>
      <w:bookmarkEnd w:id="357"/>
      <w:bookmarkStart w:id="358" w:name="_bookmark254"/>
      <w:bookmarkEnd w:id="358"/>
      <w:r>
        <w:rPr>
          <w:rFonts w:hint="default" w:ascii="Times New Roman" w:hAnsi="Times New Roman" w:eastAsia="Times New Roman" w:cs="Times New Roman"/>
          <w:spacing w:val="-1"/>
          <w:w w:val="100"/>
          <w:sz w:val="21"/>
          <w:szCs w:val="21"/>
          <w:lang w:val="zh-CN" w:eastAsia="zh-CN" w:bidi="zh-CN"/>
        </w:rPr>
        <w:t>24.3</w:t>
      </w:r>
      <w:r>
        <w:rPr>
          <w:rFonts w:hint="eastAsia" w:ascii="黑体" w:eastAsia="黑体"/>
          <w:sz w:val="21"/>
          <w:szCs w:val="21"/>
        </w:rPr>
        <w:t>争议评审</w:t>
      </w:r>
    </w:p>
    <w:p w14:paraId="66CDADA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00" w:firstLineChars="200"/>
        <w:textAlignment w:val="auto"/>
        <w:rPr>
          <w:sz w:val="21"/>
          <w:szCs w:val="21"/>
        </w:rPr>
      </w:pPr>
      <w:r>
        <w:rPr>
          <w:spacing w:val="-30"/>
          <w:sz w:val="21"/>
          <w:szCs w:val="21"/>
        </w:rPr>
        <w:t xml:space="preserve">第 </w:t>
      </w:r>
      <w:r>
        <w:rPr>
          <w:rFonts w:ascii="Times New Roman" w:eastAsia="Times New Roman"/>
          <w:sz w:val="21"/>
          <w:szCs w:val="21"/>
        </w:rPr>
        <w:t xml:space="preserve">24.3.1 </w:t>
      </w:r>
      <w:r>
        <w:rPr>
          <w:sz w:val="21"/>
          <w:szCs w:val="21"/>
        </w:rPr>
        <w:t>项补充：</w:t>
      </w:r>
    </w:p>
    <w:p w14:paraId="6B93519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88" w:firstLineChars="200"/>
        <w:jc w:val="both"/>
        <w:textAlignment w:val="auto"/>
        <w:rPr>
          <w:sz w:val="21"/>
          <w:szCs w:val="21"/>
        </w:rPr>
      </w:pPr>
      <w:r>
        <w:rPr>
          <w:spacing w:val="-8"/>
          <w:sz w:val="21"/>
          <w:szCs w:val="21"/>
        </w:rPr>
        <w:t xml:space="preserve">争议评审组由 </w:t>
      </w:r>
      <w:r>
        <w:rPr>
          <w:rFonts w:ascii="Times New Roman" w:eastAsia="Times New Roman"/>
          <w:sz w:val="21"/>
          <w:szCs w:val="21"/>
        </w:rPr>
        <w:t xml:space="preserve">3 </w:t>
      </w:r>
      <w:r>
        <w:rPr>
          <w:spacing w:val="-17"/>
          <w:sz w:val="21"/>
          <w:szCs w:val="21"/>
        </w:rPr>
        <w:t xml:space="preserve">人或 </w:t>
      </w:r>
      <w:r>
        <w:rPr>
          <w:rFonts w:ascii="Times New Roman" w:eastAsia="Times New Roman"/>
          <w:sz w:val="21"/>
          <w:szCs w:val="21"/>
        </w:rPr>
        <w:t xml:space="preserve">5 </w:t>
      </w:r>
      <w:r>
        <w:rPr>
          <w:spacing w:val="-1"/>
          <w:sz w:val="21"/>
          <w:szCs w:val="21"/>
        </w:rPr>
        <w:t>人组成，专家的聘请方法可由发包人和承包人共同协商确定，亦可请政府主管部门推荐或通过合同争议调解机构聘请，并经双方认同。争</w:t>
      </w:r>
      <w:r>
        <w:rPr>
          <w:sz w:val="21"/>
          <w:szCs w:val="21"/>
        </w:rPr>
        <w:t>议评审组成员应与合同双方均无利害关系。争议评审组的各项费用由发包人和承包人平均分担。</w:t>
      </w:r>
    </w:p>
    <w:p w14:paraId="4AC59B5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76" w:firstLineChars="200"/>
        <w:textAlignment w:val="auto"/>
        <w:rPr>
          <w:rFonts w:hint="eastAsia" w:ascii="黑体" w:eastAsia="黑体"/>
          <w:sz w:val="21"/>
          <w:szCs w:val="21"/>
        </w:rPr>
      </w:pPr>
      <w:r>
        <w:rPr>
          <w:rFonts w:hint="eastAsia" w:ascii="黑体" w:eastAsia="黑体"/>
          <w:spacing w:val="-11"/>
          <w:sz w:val="21"/>
          <w:szCs w:val="21"/>
        </w:rPr>
        <w:t xml:space="preserve">本条补充第 </w:t>
      </w:r>
      <w:r>
        <w:rPr>
          <w:rFonts w:ascii="Times New Roman" w:eastAsia="Times New Roman"/>
          <w:sz w:val="21"/>
          <w:szCs w:val="21"/>
        </w:rPr>
        <w:t xml:space="preserve">24.4 </w:t>
      </w:r>
      <w:r>
        <w:rPr>
          <w:rFonts w:hint="eastAsia" w:ascii="黑体" w:eastAsia="黑体"/>
          <w:spacing w:val="-15"/>
          <w:sz w:val="21"/>
          <w:szCs w:val="21"/>
        </w:rPr>
        <w:t xml:space="preserve">款、第 </w:t>
      </w:r>
      <w:r>
        <w:rPr>
          <w:rFonts w:ascii="Times New Roman" w:eastAsia="Times New Roman"/>
          <w:sz w:val="21"/>
          <w:szCs w:val="21"/>
        </w:rPr>
        <w:t xml:space="preserve">24.5 </w:t>
      </w:r>
      <w:r>
        <w:rPr>
          <w:rFonts w:hint="eastAsia" w:ascii="黑体" w:eastAsia="黑体"/>
          <w:sz w:val="21"/>
          <w:szCs w:val="21"/>
        </w:rPr>
        <w:t>款（适用于采用仲裁方式最终解决争议的项目</w:t>
      </w:r>
      <w:r>
        <w:rPr>
          <w:rFonts w:hint="eastAsia" w:ascii="黑体" w:eastAsia="黑体"/>
          <w:spacing w:val="-120"/>
          <w:sz w:val="21"/>
          <w:szCs w:val="21"/>
        </w:rPr>
        <w:t>）</w:t>
      </w:r>
      <w:r>
        <w:rPr>
          <w:rFonts w:hint="eastAsia" w:ascii="黑体" w:eastAsia="黑体"/>
          <w:sz w:val="21"/>
          <w:szCs w:val="21"/>
        </w:rPr>
        <w:t>：</w:t>
      </w:r>
    </w:p>
    <w:p w14:paraId="60F5D440">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59" w:name="_bookmark255"/>
      <w:bookmarkEnd w:id="359"/>
      <w:bookmarkStart w:id="360" w:name="_bookmark255"/>
      <w:bookmarkEnd w:id="360"/>
      <w:r>
        <w:rPr>
          <w:rFonts w:hint="default" w:ascii="Times New Roman" w:hAnsi="Times New Roman" w:eastAsia="Times New Roman" w:cs="Times New Roman"/>
          <w:spacing w:val="-1"/>
          <w:w w:val="100"/>
          <w:sz w:val="21"/>
          <w:szCs w:val="21"/>
          <w:lang w:val="zh-CN" w:eastAsia="zh-CN" w:bidi="zh-CN"/>
        </w:rPr>
        <w:t>24.4</w:t>
      </w:r>
      <w:r>
        <w:rPr>
          <w:rFonts w:hint="eastAsia" w:ascii="黑体" w:eastAsia="黑体"/>
          <w:sz w:val="21"/>
          <w:szCs w:val="21"/>
        </w:rPr>
        <w:t>仲裁</w:t>
      </w:r>
    </w:p>
    <w:p w14:paraId="23186D4A">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宋体" w:hAnsi="宋体" w:eastAsia="宋体" w:cs="宋体"/>
          <w:spacing w:val="0"/>
          <w:w w:val="100"/>
          <w:sz w:val="21"/>
          <w:szCs w:val="21"/>
          <w:lang w:val="zh-CN" w:eastAsia="zh-CN" w:bidi="zh-CN"/>
        </w:rPr>
        <w:t>（1）</w:t>
      </w:r>
      <w:r>
        <w:rPr>
          <w:spacing w:val="0"/>
          <w:sz w:val="21"/>
          <w:szCs w:val="21"/>
        </w:rPr>
        <w:t xml:space="preserve">对于未能友好解决或未能通过争议评审解决的争议，发包人或承包人任一方均有权提交给第 </w:t>
      </w:r>
      <w:r>
        <w:rPr>
          <w:rFonts w:ascii="Times New Roman" w:eastAsia="Times New Roman"/>
          <w:spacing w:val="0"/>
          <w:sz w:val="21"/>
          <w:szCs w:val="21"/>
        </w:rPr>
        <w:t xml:space="preserve">24.1 </w:t>
      </w:r>
      <w:r>
        <w:rPr>
          <w:spacing w:val="0"/>
          <w:sz w:val="21"/>
          <w:szCs w:val="21"/>
        </w:rPr>
        <w:t>款约定的仲裁委员会仲裁。</w:t>
      </w:r>
    </w:p>
    <w:p w14:paraId="27EC136D">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pacing w:val="0"/>
          <w:sz w:val="21"/>
          <w:szCs w:val="21"/>
        </w:rPr>
      </w:pPr>
      <w:r>
        <w:rPr>
          <w:rFonts w:hint="default" w:ascii="宋体" w:hAnsi="宋体" w:eastAsia="宋体" w:cs="宋体"/>
          <w:spacing w:val="0"/>
          <w:w w:val="100"/>
          <w:sz w:val="21"/>
          <w:szCs w:val="21"/>
          <w:lang w:val="zh-CN" w:eastAsia="zh-CN" w:bidi="zh-CN"/>
        </w:rPr>
        <w:t>（2）</w:t>
      </w:r>
      <w:r>
        <w:rPr>
          <w:spacing w:val="0"/>
          <w:sz w:val="21"/>
          <w:szCs w:val="21"/>
        </w:rPr>
        <w:t>仲裁可在交工之前或之后进行，但发包人、监理人和承包人各自的义务不得因在工程实施期间进行仲裁而有所改变。如果仲裁是在终止合同的情况下进行，则对合同工程应采取保护措施，措施费由败诉方承担。</w:t>
      </w:r>
    </w:p>
    <w:p w14:paraId="2B006F0B">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（3）</w:t>
      </w:r>
      <w:r>
        <w:rPr>
          <w:spacing w:val="0"/>
          <w:sz w:val="21"/>
          <w:szCs w:val="21"/>
        </w:rPr>
        <w:t>仲裁裁决是终局性的并对发包人和承包人双方具有约束力。</w:t>
      </w:r>
    </w:p>
    <w:p w14:paraId="4B1979F0">
      <w:pPr>
        <w:pStyle w:val="41"/>
        <w:keepNext w:val="0"/>
        <w:keepLines w:val="0"/>
        <w:pageBreakBefore w:val="0"/>
        <w:widowControl w:val="0"/>
        <w:numPr>
          <w:ilvl w:val="2"/>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（4）</w:t>
      </w:r>
      <w:r>
        <w:rPr>
          <w:spacing w:val="0"/>
          <w:sz w:val="21"/>
          <w:szCs w:val="21"/>
        </w:rPr>
        <w:t>全部仲裁费用应由败诉方承担；或按仲裁委员会裁决的比例分担。</w:t>
      </w:r>
    </w:p>
    <w:p w14:paraId="4F746C79">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61" w:name="_bookmark256"/>
      <w:bookmarkEnd w:id="361"/>
      <w:bookmarkStart w:id="362" w:name="_bookmark256"/>
      <w:bookmarkEnd w:id="362"/>
      <w:r>
        <w:rPr>
          <w:rFonts w:hint="default" w:ascii="Times New Roman" w:hAnsi="Times New Roman" w:eastAsia="Times New Roman" w:cs="Times New Roman"/>
          <w:spacing w:val="-1"/>
          <w:w w:val="100"/>
          <w:sz w:val="21"/>
          <w:szCs w:val="21"/>
          <w:lang w:val="zh-CN" w:eastAsia="zh-CN" w:bidi="zh-CN"/>
        </w:rPr>
        <w:t>24.5</w:t>
      </w:r>
      <w:r>
        <w:rPr>
          <w:rFonts w:hint="eastAsia" w:ascii="黑体" w:eastAsia="黑体"/>
          <w:sz w:val="21"/>
          <w:szCs w:val="21"/>
        </w:rPr>
        <w:t>仲裁的执行</w:t>
      </w:r>
    </w:p>
    <w:p w14:paraId="7B827339">
      <w:pPr>
        <w:pStyle w:val="41"/>
        <w:keepNext w:val="0"/>
        <w:keepLines w:val="0"/>
        <w:pageBreakBefore w:val="0"/>
        <w:widowControl w:val="0"/>
        <w:numPr>
          <w:ilvl w:val="0"/>
          <w:numId w:val="0"/>
        </w:numPr>
        <w:tabs>
          <w:tab w:val="left" w:pos="150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spacing w:val="0"/>
          <w:w w:val="100"/>
          <w:sz w:val="21"/>
          <w:szCs w:val="21"/>
          <w:lang w:val="zh-CN" w:eastAsia="zh-CN" w:bidi="zh-CN"/>
        </w:rPr>
        <w:t>（1）</w:t>
      </w:r>
      <w:r>
        <w:rPr>
          <w:spacing w:val="0"/>
          <w:sz w:val="21"/>
          <w:szCs w:val="21"/>
        </w:rPr>
        <w:t>任何一方不履行仲裁机构的裁决的，对方可以向有管辖权的人民法院申请执行。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05BD3EA6">
      <w:pPr>
        <w:rPr>
          <w:rFonts w:hint="eastAsia" w:ascii="黑体" w:eastAsia="黑体"/>
          <w:sz w:val="32"/>
        </w:rPr>
      </w:pPr>
      <w:bookmarkStart w:id="363" w:name="_bookmark257"/>
      <w:bookmarkEnd w:id="363"/>
      <w:bookmarkStart w:id="364" w:name="_bookmark257"/>
      <w:bookmarkEnd w:id="364"/>
      <w:r>
        <w:rPr>
          <w:rFonts w:hint="eastAsia" w:ascii="黑体" w:eastAsia="黑体"/>
          <w:sz w:val="32"/>
        </w:rPr>
        <w:br w:type="page"/>
      </w:r>
    </w:p>
    <w:p w14:paraId="0DE4F435">
      <w:pPr>
        <w:pStyle w:val="41"/>
        <w:numPr>
          <w:ilvl w:val="3"/>
          <w:numId w:val="0"/>
        </w:numPr>
        <w:tabs>
          <w:tab w:val="left" w:pos="3706"/>
        </w:tabs>
        <w:spacing w:before="64" w:after="0" w:line="240" w:lineRule="auto"/>
        <w:ind w:left="3705" w:leftChars="0" w:right="0" w:rightChars="0" w:hanging="452" w:firstLineChars="0"/>
        <w:jc w:val="left"/>
        <w:rPr>
          <w:rFonts w:hint="eastAsia" w:ascii="黑体" w:eastAsia="黑体"/>
          <w:sz w:val="32"/>
        </w:rPr>
      </w:pPr>
      <w:r>
        <w:rPr>
          <w:rFonts w:hint="default" w:ascii="Times New Roman" w:hAnsi="Times New Roman" w:eastAsia="Times New Roman" w:cs="Times New Roman"/>
          <w:w w:val="99"/>
          <w:sz w:val="32"/>
          <w:szCs w:val="32"/>
          <w:lang w:val="zh-CN" w:eastAsia="zh-CN" w:bidi="zh-CN"/>
        </w:rPr>
        <w:t>B.</w:t>
      </w:r>
      <w:r>
        <w:rPr>
          <w:rFonts w:hint="eastAsia" w:ascii="黑体" w:eastAsia="黑体"/>
          <w:sz w:val="32"/>
        </w:rPr>
        <w:t>项目专用合同条款</w:t>
      </w:r>
    </w:p>
    <w:p w14:paraId="5C6DD8AD">
      <w:pPr>
        <w:pStyle w:val="12"/>
        <w:spacing w:before="5"/>
        <w:rPr>
          <w:rFonts w:ascii="黑体"/>
          <w:sz w:val="26"/>
        </w:rPr>
      </w:pPr>
    </w:p>
    <w:p w14:paraId="33041288">
      <w:pPr>
        <w:pStyle w:val="12"/>
        <w:tabs>
          <w:tab w:val="left" w:pos="904"/>
        </w:tabs>
        <w:spacing w:before="1" w:line="360" w:lineRule="auto"/>
        <w:ind w:left="424"/>
        <w:rPr>
          <w:rFonts w:hint="eastAsia" w:ascii="黑体" w:eastAsia="黑体"/>
          <w:sz w:val="21"/>
          <w:szCs w:val="21"/>
        </w:rPr>
      </w:pPr>
      <w:r>
        <w:rPr>
          <w:rFonts w:hint="eastAsia" w:ascii="黑体" w:eastAsia="黑体"/>
          <w:sz w:val="21"/>
          <w:szCs w:val="21"/>
        </w:rPr>
        <w:t>说</w:t>
      </w:r>
      <w:r>
        <w:rPr>
          <w:rFonts w:hint="eastAsia" w:ascii="黑体" w:eastAsia="黑体"/>
          <w:sz w:val="21"/>
          <w:szCs w:val="21"/>
        </w:rPr>
        <w:tab/>
      </w:r>
      <w:r>
        <w:rPr>
          <w:rFonts w:hint="eastAsia" w:ascii="黑体" w:eastAsia="黑体"/>
          <w:sz w:val="21"/>
          <w:szCs w:val="21"/>
        </w:rPr>
        <w:t>明：</w:t>
      </w:r>
    </w:p>
    <w:p w14:paraId="241FF5FB">
      <w:pPr>
        <w:pStyle w:val="41"/>
        <w:keepNext w:val="0"/>
        <w:keepLines w:val="0"/>
        <w:pageBreakBefore w:val="0"/>
        <w:widowControl w:val="0"/>
        <w:numPr>
          <w:ilvl w:val="0"/>
          <w:numId w:val="0"/>
        </w:numPr>
        <w:tabs>
          <w:tab w:val="left" w:pos="1347"/>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Arial Unicode MS" w:hAnsi="Arial Unicode MS" w:eastAsia="Arial Unicode MS"/>
          <w:spacing w:val="0"/>
          <w:sz w:val="21"/>
          <w:szCs w:val="21"/>
        </w:rPr>
      </w:pPr>
      <w:r>
        <w:rPr>
          <w:rFonts w:hint="default" w:ascii="Arial Unicode MS" w:hAnsi="Arial Unicode MS" w:eastAsia="Arial Unicode MS" w:cs="Arial Unicode MS"/>
          <w:spacing w:val="0"/>
          <w:w w:val="100"/>
          <w:sz w:val="21"/>
          <w:szCs w:val="21"/>
          <w:lang w:val="zh-CN" w:eastAsia="zh-CN" w:bidi="zh-CN"/>
        </w:rPr>
        <w:t>1.</w:t>
      </w:r>
      <w:r>
        <w:rPr>
          <w:rFonts w:hint="eastAsia" w:ascii="Arial Unicode MS" w:hAnsi="Arial Unicode MS" w:eastAsia="Arial Unicode MS"/>
          <w:spacing w:val="0"/>
          <w:sz w:val="21"/>
          <w:szCs w:val="21"/>
        </w:rPr>
        <w:t>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3DE0571B">
      <w:pPr>
        <w:pStyle w:val="41"/>
        <w:keepNext w:val="0"/>
        <w:keepLines w:val="0"/>
        <w:pageBreakBefore w:val="0"/>
        <w:widowControl w:val="0"/>
        <w:numPr>
          <w:ilvl w:val="0"/>
          <w:numId w:val="0"/>
        </w:numPr>
        <w:tabs>
          <w:tab w:val="left" w:pos="135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Arial Unicode MS" w:eastAsia="Arial Unicode MS"/>
          <w:spacing w:val="0"/>
          <w:sz w:val="21"/>
          <w:szCs w:val="21"/>
        </w:rPr>
      </w:pPr>
      <w:r>
        <w:rPr>
          <w:rFonts w:hint="default" w:ascii="Arial Unicode MS" w:hAnsi="Arial Unicode MS" w:eastAsia="Arial Unicode MS" w:cs="Arial Unicode MS"/>
          <w:spacing w:val="0"/>
          <w:w w:val="100"/>
          <w:sz w:val="21"/>
          <w:szCs w:val="21"/>
          <w:lang w:val="zh-CN" w:eastAsia="zh-CN" w:bidi="zh-CN"/>
        </w:rPr>
        <w:t>2.</w:t>
      </w:r>
      <w:r>
        <w:rPr>
          <w:rFonts w:hint="eastAsia" w:ascii="Arial Unicode MS" w:eastAsia="Arial Unicode MS"/>
          <w:spacing w:val="0"/>
          <w:sz w:val="21"/>
          <w:szCs w:val="21"/>
        </w:rPr>
        <w:t>项目专用合同条款的编号应与通用合同条款和公路工程专用合同条款一致。</w:t>
      </w:r>
    </w:p>
    <w:p w14:paraId="40C13EA5">
      <w:pPr>
        <w:pStyle w:val="41"/>
        <w:keepNext w:val="0"/>
        <w:keepLines w:val="0"/>
        <w:pageBreakBefore w:val="0"/>
        <w:widowControl w:val="0"/>
        <w:numPr>
          <w:ilvl w:val="0"/>
          <w:numId w:val="0"/>
        </w:numPr>
        <w:tabs>
          <w:tab w:val="left" w:pos="13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Arial Unicode MS" w:eastAsia="Arial Unicode MS"/>
          <w:spacing w:val="0"/>
          <w:sz w:val="21"/>
          <w:szCs w:val="21"/>
        </w:rPr>
      </w:pPr>
      <w:r>
        <w:rPr>
          <w:rFonts w:hint="default" w:ascii="Arial Unicode MS" w:hAnsi="Arial Unicode MS" w:eastAsia="Arial Unicode MS" w:cs="Arial Unicode MS"/>
          <w:spacing w:val="0"/>
          <w:w w:val="100"/>
          <w:sz w:val="21"/>
          <w:szCs w:val="21"/>
          <w:lang w:val="zh-CN" w:eastAsia="zh-CN" w:bidi="zh-CN"/>
        </w:rPr>
        <w:t>3.</w:t>
      </w:r>
      <w:r>
        <w:rPr>
          <w:rFonts w:hint="eastAsia" w:ascii="Arial Unicode MS" w:eastAsia="Arial Unicode MS"/>
          <w:spacing w:val="0"/>
          <w:sz w:val="21"/>
          <w:szCs w:val="21"/>
        </w:rPr>
        <w:t>项目专用合同条款可对下列内容进行补充和细化：</w:t>
      </w:r>
    </w:p>
    <w:p w14:paraId="0AF37E14">
      <w:pPr>
        <w:pStyle w:val="41"/>
        <w:keepNext w:val="0"/>
        <w:keepLines w:val="0"/>
        <w:pageBreakBefore w:val="0"/>
        <w:widowControl w:val="0"/>
        <w:numPr>
          <w:ilvl w:val="0"/>
          <w:numId w:val="0"/>
        </w:numPr>
        <w:tabs>
          <w:tab w:val="left" w:pos="176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Arial Unicode MS" w:hAnsi="Arial Unicode MS" w:eastAsia="Arial Unicode MS"/>
          <w:spacing w:val="0"/>
          <w:sz w:val="21"/>
          <w:szCs w:val="21"/>
        </w:rPr>
      </w:pPr>
      <w:r>
        <w:rPr>
          <w:rFonts w:hint="default" w:ascii="Arial Unicode MS" w:hAnsi="Arial Unicode MS" w:eastAsia="Arial Unicode MS" w:cs="宋体"/>
          <w:spacing w:val="0"/>
          <w:w w:val="100"/>
          <w:sz w:val="21"/>
          <w:szCs w:val="21"/>
          <w:lang w:val="zh-CN" w:eastAsia="zh-CN" w:bidi="zh-CN"/>
        </w:rPr>
        <w:t>（1）</w:t>
      </w:r>
      <w:r>
        <w:rPr>
          <w:rFonts w:hint="eastAsia" w:ascii="Arial Unicode MS" w:hAnsi="Arial Unicode MS" w:eastAsia="Arial Unicode MS"/>
          <w:spacing w:val="0"/>
          <w:sz w:val="21"/>
          <w:szCs w:val="21"/>
        </w:rPr>
        <w:t>“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0354D7E9">
      <w:pPr>
        <w:pStyle w:val="41"/>
        <w:keepNext w:val="0"/>
        <w:keepLines w:val="0"/>
        <w:pageBreakBefore w:val="0"/>
        <w:widowControl w:val="0"/>
        <w:numPr>
          <w:ilvl w:val="0"/>
          <w:numId w:val="0"/>
        </w:numPr>
        <w:tabs>
          <w:tab w:val="left" w:pos="176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hint="eastAsia" w:ascii="Arial Unicode MS" w:hAnsi="Arial Unicode MS" w:eastAsia="Arial Unicode MS"/>
          <w:spacing w:val="0"/>
          <w:sz w:val="21"/>
          <w:szCs w:val="21"/>
        </w:rPr>
      </w:pPr>
      <w:r>
        <w:rPr>
          <w:rFonts w:hint="default" w:ascii="Arial Unicode MS" w:hAnsi="Arial Unicode MS" w:eastAsia="Arial Unicode MS" w:cs="宋体"/>
          <w:spacing w:val="0"/>
          <w:w w:val="100"/>
          <w:sz w:val="21"/>
          <w:szCs w:val="21"/>
          <w:lang w:val="zh-CN" w:eastAsia="zh-CN" w:bidi="zh-CN"/>
        </w:rPr>
        <w:t>（2）</w:t>
      </w:r>
      <w:r>
        <w:rPr>
          <w:rFonts w:hint="eastAsia" w:ascii="Arial Unicode MS" w:hAnsi="Arial Unicode MS" w:eastAsia="Arial Unicode MS"/>
          <w:spacing w:val="0"/>
          <w:sz w:val="21"/>
          <w:szCs w:val="21"/>
        </w:rPr>
        <w:t>“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66EF459C">
      <w:pPr>
        <w:pStyle w:val="41"/>
        <w:keepNext w:val="0"/>
        <w:keepLines w:val="0"/>
        <w:pageBreakBefore w:val="0"/>
        <w:widowControl w:val="0"/>
        <w:numPr>
          <w:ilvl w:val="0"/>
          <w:numId w:val="0"/>
        </w:numPr>
        <w:tabs>
          <w:tab w:val="left" w:pos="176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Arial Unicode MS" w:eastAsia="Arial Unicode MS"/>
          <w:spacing w:val="0"/>
          <w:sz w:val="22"/>
        </w:rPr>
      </w:pPr>
      <w:r>
        <w:rPr>
          <w:rFonts w:hint="default" w:ascii="Arial Unicode MS" w:hAnsi="宋体" w:eastAsia="Arial Unicode MS" w:cs="宋体"/>
          <w:spacing w:val="0"/>
          <w:w w:val="100"/>
          <w:sz w:val="21"/>
          <w:szCs w:val="21"/>
          <w:lang w:val="zh-CN" w:eastAsia="zh-CN" w:bidi="zh-CN"/>
        </w:rPr>
        <w:t>（3）</w:t>
      </w:r>
      <w:r>
        <w:rPr>
          <w:rFonts w:hint="eastAsia" w:ascii="Arial Unicode MS" w:eastAsia="Arial Unicode MS"/>
          <w:spacing w:val="0"/>
          <w:sz w:val="21"/>
          <w:szCs w:val="21"/>
        </w:rPr>
        <w:t>其他需要补充、细化的内容。</w:t>
      </w:r>
    </w:p>
    <w:p w14:paraId="6E09C338">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40" w:firstLineChars="200"/>
        <w:jc w:val="left"/>
        <w:textAlignment w:val="auto"/>
        <w:rPr>
          <w:rFonts w:hint="eastAsia" w:ascii="Arial Unicode MS" w:eastAsia="Arial Unicode MS"/>
          <w:spacing w:val="0"/>
          <w:sz w:val="22"/>
        </w:rPr>
        <w:sectPr>
          <w:footerReference r:id="rId40" w:type="default"/>
          <w:footerReference r:id="rId41" w:type="even"/>
          <w:pgSz w:w="11910" w:h="16850"/>
          <w:pgMar w:top="1480" w:right="1200" w:bottom="1080" w:left="1220" w:header="883" w:footer="884" w:gutter="0"/>
          <w:pgNumType w:fmt="decimal"/>
          <w:cols w:space="720" w:num="1"/>
        </w:sectPr>
      </w:pPr>
    </w:p>
    <w:p w14:paraId="27E81C66">
      <w:pPr>
        <w:pStyle w:val="12"/>
        <w:spacing w:before="16"/>
        <w:rPr>
          <w:rFonts w:ascii="Arial Unicode MS"/>
          <w:sz w:val="9"/>
          <w:em w:val="dot"/>
        </w:rPr>
      </w:pPr>
      <w:r>
        <w:rPr>
          <w:em w:val="dot"/>
        </w:rPr>
        <mc:AlternateContent>
          <mc:Choice Requires="wps">
            <w:drawing>
              <wp:anchor distT="0" distB="0" distL="114300" distR="114300" simplePos="0" relativeHeight="251675648" behindDoc="1" locked="0" layoutInCell="1" allowOverlap="1">
                <wp:simplePos x="0" y="0"/>
                <wp:positionH relativeFrom="page">
                  <wp:posOffset>2950845</wp:posOffset>
                </wp:positionH>
                <wp:positionV relativeFrom="page">
                  <wp:posOffset>4657725</wp:posOffset>
                </wp:positionV>
                <wp:extent cx="332105" cy="0"/>
                <wp:effectExtent l="0" t="0" r="0" b="0"/>
                <wp:wrapNone/>
                <wp:docPr id="29" name="直线 82"/>
                <wp:cNvGraphicFramePr/>
                <a:graphic xmlns:a="http://schemas.openxmlformats.org/drawingml/2006/main">
                  <a:graphicData uri="http://schemas.microsoft.com/office/word/2010/wordprocessingShape">
                    <wps:wsp>
                      <wps:cNvCnPr/>
                      <wps:spPr>
                        <a:xfrm>
                          <a:off x="0" y="0"/>
                          <a:ext cx="3321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82" o:spid="_x0000_s1026" o:spt="20" style="position:absolute;left:0pt;margin-left:232.35pt;margin-top:366.75pt;height:0pt;width:26.15pt;mso-position-horizontal-relative:page;mso-position-vertical-relative:page;z-index:-251640832;mso-width-relative:page;mso-height-relative:page;" filled="f" stroked="t" coordsize="21600,21600" o:gfxdata="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Eemz9oAAAALAQAADwAAAAAAAAABACAAAAAiAAAAZHJzL2Rvd25yZXYueG1sUEsBAhQAFAAAAAgA&#10;h07iQA/6xffqAQAA3AMAAA4AAAAAAAAAAQAgAAAAKQEAAGRycy9lMm9Eb2MueG1sUEsFBgAAAAAG&#10;AAYAWQEAAIUFAAAAAA==&#10;">
                <v:fill on="f" focussize="0,0"/>
                <v:stroke weight="0.48pt" color="#000000" joinstyle="round"/>
                <v:imagedata o:title=""/>
                <o:lock v:ext="edit" aspectratio="f"/>
              </v:line>
            </w:pict>
          </mc:Fallback>
        </mc:AlternateContent>
      </w:r>
      <w:r>
        <w:rPr>
          <w:em w:val="dot"/>
        </w:rPr>
        <mc:AlternateContent>
          <mc:Choice Requires="wps">
            <w:drawing>
              <wp:anchor distT="0" distB="0" distL="114300" distR="114300" simplePos="0" relativeHeight="251676672" behindDoc="1" locked="0" layoutInCell="1" allowOverlap="1">
                <wp:simplePos x="0" y="0"/>
                <wp:positionH relativeFrom="page">
                  <wp:posOffset>3279775</wp:posOffset>
                </wp:positionH>
                <wp:positionV relativeFrom="page">
                  <wp:posOffset>5349875</wp:posOffset>
                </wp:positionV>
                <wp:extent cx="116840" cy="0"/>
                <wp:effectExtent l="0" t="0" r="0" b="0"/>
                <wp:wrapNone/>
                <wp:docPr id="30" name="直线 83"/>
                <wp:cNvGraphicFramePr/>
                <a:graphic xmlns:a="http://schemas.openxmlformats.org/drawingml/2006/main">
                  <a:graphicData uri="http://schemas.microsoft.com/office/word/2010/wordprocessingShape">
                    <wps:wsp>
                      <wps:cNvCnPr/>
                      <wps:spPr>
                        <a:xfrm>
                          <a:off x="0" y="0"/>
                          <a:ext cx="11684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83" o:spid="_x0000_s1026" o:spt="20" style="position:absolute;left:0pt;margin-left:258.25pt;margin-top:421.25pt;height:0pt;width:9.2pt;mso-position-horizontal-relative:page;mso-position-vertical-relative:page;z-index:-251639808;mso-width-relative:page;mso-height-relative:page;" filled="f" stroked="t" coordsize="21600,21600" o:gfxdata="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GlL&#10;49kAAAALAQAADwAAAAAAAAABACAAAAAiAAAAZHJzL2Rvd25yZXYueG1sUEsBAhQAFAAAAAgAh07i&#10;QBrvwSnoAQAA3AMAAA4AAAAAAAAAAQAgAAAAKAEAAGRycy9lMm9Eb2MueG1sUEsFBgAAAAAGAAYA&#10;WQEAAIIFAAAAAA==&#10;">
                <v:fill on="f" focussize="0,0"/>
                <v:stroke weight="0.48pt" color="#000000" joinstyle="round"/>
                <v:imagedata o:title=""/>
                <o:lock v:ext="edit" aspectratio="f"/>
              </v:line>
            </w:pict>
          </mc:Fallback>
        </mc:AlternateContent>
      </w:r>
      <w:r>
        <w:rPr>
          <w:em w:val="dot"/>
        </w:rPr>
        <mc:AlternateContent>
          <mc:Choice Requires="wps">
            <w:drawing>
              <wp:anchor distT="0" distB="0" distL="114300" distR="114300" simplePos="0" relativeHeight="251677696" behindDoc="1" locked="0" layoutInCell="1" allowOverlap="1">
                <wp:simplePos x="0" y="0"/>
                <wp:positionH relativeFrom="page">
                  <wp:posOffset>3369945</wp:posOffset>
                </wp:positionH>
                <wp:positionV relativeFrom="page">
                  <wp:posOffset>6976110</wp:posOffset>
                </wp:positionV>
                <wp:extent cx="266700" cy="0"/>
                <wp:effectExtent l="0" t="0" r="0" b="0"/>
                <wp:wrapNone/>
                <wp:docPr id="31" name="直线 84"/>
                <wp:cNvGraphicFramePr/>
                <a:graphic xmlns:a="http://schemas.openxmlformats.org/drawingml/2006/main">
                  <a:graphicData uri="http://schemas.microsoft.com/office/word/2010/wordprocessingShape">
                    <wps:wsp>
                      <wps:cNvCnPr/>
                      <wps:spPr>
                        <a:xfrm>
                          <a:off x="0" y="0"/>
                          <a:ext cx="2667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84" o:spid="_x0000_s1026" o:spt="20" style="position:absolute;left:0pt;margin-left:265.35pt;margin-top:549.3pt;height:0pt;width:21pt;mso-position-horizontal-relative:page;mso-position-vertical-relative:page;z-index:-251638784;mso-width-relative:page;mso-height-relative:page;" filled="f" stroked="t" coordsize="21600,21600" o:gfxdata="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RJ7&#10;F9kAAAANAQAADwAAAAAAAAABACAAAAAiAAAAZHJzL2Rvd25yZXYueG1sUEsBAhQAFAAAAAgAh07i&#10;QMsx/yjoAQAA3AMAAA4AAAAAAAAAAQAgAAAAKAEAAGRycy9lMm9Eb2MueG1sUEsFBgAAAAAGAAYA&#10;WQEAAIIFAAAAAA==&#10;">
                <v:fill on="f" focussize="0,0"/>
                <v:stroke weight="0.48pt" color="#000000" joinstyle="round"/>
                <v:imagedata o:title=""/>
                <o:lock v:ext="edit" aspectratio="f"/>
              </v:line>
            </w:pict>
          </mc:Fallback>
        </mc:AlternateContent>
      </w:r>
      <w:r>
        <w:rPr>
          <w:em w:val="dot"/>
        </w:rPr>
        <mc:AlternateContent>
          <mc:Choice Requires="wps">
            <w:drawing>
              <wp:anchor distT="0" distB="0" distL="114300" distR="114300" simplePos="0" relativeHeight="251678720" behindDoc="1" locked="0" layoutInCell="1" allowOverlap="1">
                <wp:simplePos x="0" y="0"/>
                <wp:positionH relativeFrom="page">
                  <wp:posOffset>3636645</wp:posOffset>
                </wp:positionH>
                <wp:positionV relativeFrom="page">
                  <wp:posOffset>7211060</wp:posOffset>
                </wp:positionV>
                <wp:extent cx="264795" cy="0"/>
                <wp:effectExtent l="0" t="0" r="0" b="0"/>
                <wp:wrapNone/>
                <wp:docPr id="32" name="直线 85"/>
                <wp:cNvGraphicFramePr/>
                <a:graphic xmlns:a="http://schemas.openxmlformats.org/drawingml/2006/main">
                  <a:graphicData uri="http://schemas.microsoft.com/office/word/2010/wordprocessingShape">
                    <wps:wsp>
                      <wps:cNvCnPr/>
                      <wps:spPr>
                        <a:xfrm>
                          <a:off x="0" y="0"/>
                          <a:ext cx="264795" cy="0"/>
                        </a:xfrm>
                        <a:prstGeom prst="line">
                          <a:avLst/>
                        </a:prstGeom>
                        <a:ln w="6097" cap="flat" cmpd="sng">
                          <a:solidFill>
                            <a:srgbClr val="000000"/>
                          </a:solidFill>
                          <a:prstDash val="solid"/>
                          <a:headEnd type="none" w="med" len="med"/>
                          <a:tailEnd type="none" w="med" len="med"/>
                        </a:ln>
                      </wps:spPr>
                      <wps:bodyPr upright="1"/>
                    </wps:wsp>
                  </a:graphicData>
                </a:graphic>
              </wp:anchor>
            </w:drawing>
          </mc:Choice>
          <mc:Fallback>
            <w:pict>
              <v:line id="直线 85" o:spid="_x0000_s1026" o:spt="20" style="position:absolute;left:0pt;margin-left:286.35pt;margin-top:567.8pt;height:0pt;width:20.85pt;mso-position-horizontal-relative:page;mso-position-vertical-relative:page;z-index:-251637760;mso-width-relative:page;mso-height-relative:page;" filled="f" stroked="t" coordsize="21600,21600" o:gfxdata="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uz&#10;ji3YAAAADQEAAA8AAAAAAAAAAQAgAAAAIgAAAGRycy9kb3ducmV2LnhtbFBLAQIUABQAAAAIAIdO&#10;4kDAweFI6gEAANwDAAAOAAAAAAAAAAEAIAAAACcBAABkcnMvZTJvRG9jLnhtbFBLBQYAAAAABgAG&#10;AFkBAACDBQAAAAA=&#10;">
                <v:fill on="f" focussize="0,0"/>
                <v:stroke weight="0.48007874015748pt" color="#000000" joinstyle="round"/>
                <v:imagedata o:title=""/>
                <o:lock v:ext="edit" aspectratio="f"/>
              </v:line>
            </w:pict>
          </mc:Fallback>
        </mc:AlternateContent>
      </w:r>
      <w:r>
        <w:rPr>
          <w:em w:val="dot"/>
        </w:rPr>
        <mc:AlternateContent>
          <mc:Choice Requires="wps">
            <w:drawing>
              <wp:anchor distT="0" distB="0" distL="114300" distR="114300" simplePos="0" relativeHeight="251679744" behindDoc="1" locked="0" layoutInCell="1" allowOverlap="1">
                <wp:simplePos x="0" y="0"/>
                <wp:positionH relativeFrom="page">
                  <wp:posOffset>3369945</wp:posOffset>
                </wp:positionH>
                <wp:positionV relativeFrom="page">
                  <wp:posOffset>7445375</wp:posOffset>
                </wp:positionV>
                <wp:extent cx="266700" cy="0"/>
                <wp:effectExtent l="0" t="0" r="0" b="0"/>
                <wp:wrapNone/>
                <wp:docPr id="33" name="直线 86"/>
                <wp:cNvGraphicFramePr/>
                <a:graphic xmlns:a="http://schemas.openxmlformats.org/drawingml/2006/main">
                  <a:graphicData uri="http://schemas.microsoft.com/office/word/2010/wordprocessingShape">
                    <wps:wsp>
                      <wps:cNvCnPr/>
                      <wps:spPr>
                        <a:xfrm>
                          <a:off x="0" y="0"/>
                          <a:ext cx="26670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86" o:spid="_x0000_s1026" o:spt="20" style="position:absolute;left:0pt;margin-left:265.35pt;margin-top:586.25pt;height:0pt;width:21pt;mso-position-horizontal-relative:page;mso-position-vertical-relative:page;z-index:-251636736;mso-width-relative:page;mso-height-relative:page;" filled="f" stroked="t" coordsize="21600,21600" o:gfxdata="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mzj&#10;KdgAAAANAQAADwAAAAAAAAABACAAAAAiAAAAZHJzL2Rvd25yZXYueG1sUEsBAhQAFAAAAAgAh07i&#10;QEQzsxvpAQAA3AMAAA4AAAAAAAAAAQAgAAAAJwEAAGRycy9lMm9Eb2MueG1sUEsFBgAAAAAGAAYA&#10;WQEAAIIFAAAAAA==&#10;">
                <v:fill on="f" focussize="0,0"/>
                <v:stroke weight="0.48pt" color="#000000" joinstyle="round"/>
                <v:imagedata o:title=""/>
                <o:lock v:ext="edit" aspectratio="f"/>
              </v:line>
            </w:pict>
          </mc:Fallback>
        </mc:AlternateContent>
      </w:r>
      <w:r>
        <w:rPr>
          <w:em w:val="dot"/>
        </w:rPr>
        <mc:AlternateContent>
          <mc:Choice Requires="wps">
            <w:drawing>
              <wp:anchor distT="0" distB="0" distL="114300" distR="114300" simplePos="0" relativeHeight="251680768" behindDoc="1" locked="0" layoutInCell="1" allowOverlap="1">
                <wp:simplePos x="0" y="0"/>
                <wp:positionH relativeFrom="page">
                  <wp:posOffset>3636645</wp:posOffset>
                </wp:positionH>
                <wp:positionV relativeFrom="page">
                  <wp:posOffset>7680325</wp:posOffset>
                </wp:positionV>
                <wp:extent cx="264795" cy="0"/>
                <wp:effectExtent l="0" t="0" r="0" b="0"/>
                <wp:wrapNone/>
                <wp:docPr id="34" name="直线 87"/>
                <wp:cNvGraphicFramePr/>
                <a:graphic xmlns:a="http://schemas.openxmlformats.org/drawingml/2006/main">
                  <a:graphicData uri="http://schemas.microsoft.com/office/word/2010/wordprocessingShape">
                    <wps:wsp>
                      <wps:cNvCnPr/>
                      <wps:spPr>
                        <a:xfrm>
                          <a:off x="0" y="0"/>
                          <a:ext cx="26479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87" o:spid="_x0000_s1026" o:spt="20" style="position:absolute;left:0pt;margin-left:286.35pt;margin-top:604.75pt;height:0pt;width:20.85pt;mso-position-horizontal-relative:page;mso-position-vertical-relative:page;z-index:-251635712;mso-width-relative:page;mso-height-relative:page;" filled="f" stroked="t" coordsize="21600,21600" o:gfxdata="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r2p49oAAAANAQAADwAAAAAAAAABACAAAAAiAAAAZHJzL2Rvd25yZXYueG1sUEsBAhQAFAAAAAgA&#10;h07iQJSbkrTqAQAA3AMAAA4AAAAAAAAAAQAgAAAAKQEAAGRycy9lMm9Eb2MueG1sUEsFBgAAAAAG&#10;AAYAWQEAAIUFAAAAAA==&#10;">
                <v:fill on="f" focussize="0,0"/>
                <v:stroke weight="0.48pt" color="#000000" joinstyle="round"/>
                <v:imagedata o:title=""/>
                <o:lock v:ext="edit" aspectratio="f"/>
              </v:line>
            </w:pict>
          </mc:Fallback>
        </mc:AlternateContent>
      </w:r>
    </w:p>
    <w:p w14:paraId="17869F0A">
      <w:pPr>
        <w:pStyle w:val="5"/>
        <w:bidi w:val="0"/>
      </w:pPr>
      <w:bookmarkStart w:id="365" w:name="_bookmark258"/>
      <w:bookmarkEnd w:id="365"/>
      <w:r>
        <w:t>项目专用合同条款数据表</w:t>
      </w:r>
    </w:p>
    <w:p w14:paraId="58ADB83E">
      <w:pPr>
        <w:pStyle w:val="12"/>
        <w:keepNext w:val="0"/>
        <w:keepLines w:val="0"/>
        <w:pageBreakBefore w:val="0"/>
        <w:widowControl w:val="0"/>
        <w:kinsoku/>
        <w:wordWrap/>
        <w:overflowPunct/>
        <w:topLinePunct w:val="0"/>
        <w:autoSpaceDE w:val="0"/>
        <w:autoSpaceDN w:val="0"/>
        <w:bidi w:val="0"/>
        <w:adjustRightInd w:val="0"/>
        <w:snapToGrid/>
        <w:spacing w:before="0" w:line="360" w:lineRule="auto"/>
        <w:ind w:left="0" w:right="0" w:firstLine="420" w:firstLineChars="200"/>
        <w:jc w:val="both"/>
        <w:textAlignment w:val="auto"/>
        <w:rPr>
          <w:rFonts w:ascii="Arial Unicode MS"/>
          <w:sz w:val="21"/>
          <w:szCs w:val="21"/>
        </w:rPr>
      </w:pPr>
      <w:r>
        <w:rPr>
          <w:rFonts w:hint="eastAsia" w:ascii="黑体" w:hAnsi="黑体" w:eastAsia="黑体"/>
          <w:sz w:val="21"/>
          <w:szCs w:val="21"/>
        </w:rPr>
        <w:t>说明：</w:t>
      </w:r>
      <w:r>
        <w:rPr>
          <w:rFonts w:hint="eastAsia" w:ascii="Arial Unicode MS" w:hAnsi="Arial Unicode MS" w:eastAsia="Arial Unicode MS"/>
          <w:sz w:val="21"/>
          <w:szCs w:val="21"/>
        </w:rPr>
        <w:t>本数据表是项目专用合同条款中适用于本项目的信息和数据的归纳与提示，</w:t>
      </w:r>
      <w:r>
        <w:rPr>
          <w:rFonts w:hint="eastAsia" w:ascii="Arial Unicode MS" w:hAnsi="Arial Unicode MS" w:eastAsia="Arial Unicode MS"/>
          <w:spacing w:val="-6"/>
          <w:sz w:val="21"/>
          <w:szCs w:val="21"/>
        </w:rPr>
        <w:t>是项目专用合同条款的组成部分。第九章“投标文件格式”的投标函附录中的数</w:t>
      </w:r>
      <w:r>
        <w:rPr>
          <w:rFonts w:hint="eastAsia" w:ascii="Arial Unicode MS" w:hAnsi="Arial Unicode MS" w:eastAsia="Arial Unicode MS"/>
          <w:sz w:val="21"/>
          <w:szCs w:val="21"/>
        </w:rPr>
        <w:t>据（供投标人确认）与本表所列有重复。编写招标文件的单位应仔细校核，不使数据出现差错或不一致。</w:t>
      </w:r>
    </w:p>
    <w:tbl>
      <w:tblPr>
        <w:tblStyle w:val="25"/>
        <w:tblW w:w="0" w:type="auto"/>
        <w:tblInd w:w="3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6824C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494FAEF2">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1111" w:type="dxa"/>
            <w:vAlign w:val="center"/>
          </w:tcPr>
          <w:p w14:paraId="4FAB8624">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条目号</w:t>
            </w:r>
          </w:p>
        </w:tc>
        <w:tc>
          <w:tcPr>
            <w:tcW w:w="7305" w:type="dxa"/>
            <w:vAlign w:val="center"/>
          </w:tcPr>
          <w:p w14:paraId="3A551EB0">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信息或数据</w:t>
            </w:r>
          </w:p>
        </w:tc>
      </w:tr>
      <w:tr w14:paraId="733AC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4A9D1313">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w w:val="100"/>
                <w:sz w:val="21"/>
                <w:szCs w:val="21"/>
              </w:rPr>
              <w:t>1</w:t>
            </w:r>
          </w:p>
        </w:tc>
        <w:tc>
          <w:tcPr>
            <w:tcW w:w="1111" w:type="dxa"/>
            <w:vAlign w:val="center"/>
          </w:tcPr>
          <w:p w14:paraId="602D2543">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1.1.2.2</w:t>
            </w:r>
          </w:p>
        </w:tc>
        <w:tc>
          <w:tcPr>
            <w:tcW w:w="7305" w:type="dxa"/>
            <w:vAlign w:val="center"/>
          </w:tcPr>
          <w:p w14:paraId="52F31BBD">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发 包 人：</w:t>
            </w:r>
            <w:r>
              <w:rPr>
                <w:rFonts w:hint="eastAsia" w:ascii="宋体" w:hAnsi="宋体" w:eastAsia="宋体" w:cs="宋体"/>
                <w:sz w:val="21"/>
                <w:szCs w:val="21"/>
                <w:lang w:eastAsia="zh-CN"/>
              </w:rPr>
              <w:t>淮北市杜集区住房和城乡建设局</w:t>
            </w:r>
          </w:p>
          <w:p w14:paraId="02974CE8">
            <w:pPr>
              <w:pStyle w:val="42"/>
              <w:keepNext w:val="0"/>
              <w:keepLines w:val="0"/>
              <w:pageBreakBefore w:val="0"/>
              <w:widowControl w:val="0"/>
              <w:tabs>
                <w:tab w:val="left" w:pos="979"/>
                <w:tab w:val="left" w:pos="3394"/>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址：淮北市</w:t>
            </w:r>
            <w:r>
              <w:rPr>
                <w:rFonts w:hint="eastAsia" w:ascii="宋体" w:hAnsi="宋体" w:eastAsia="宋体" w:cs="宋体"/>
                <w:sz w:val="21"/>
                <w:szCs w:val="21"/>
                <w:lang w:eastAsia="zh-CN"/>
              </w:rPr>
              <w:t>杜集区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邮</w:t>
            </w:r>
            <w:r>
              <w:rPr>
                <w:rFonts w:hint="eastAsia" w:ascii="宋体" w:hAnsi="宋体" w:eastAsia="宋体" w:cs="宋体"/>
                <w:spacing w:val="-3"/>
                <w:sz w:val="21"/>
                <w:szCs w:val="21"/>
              </w:rPr>
              <w:t>政</w:t>
            </w:r>
            <w:r>
              <w:rPr>
                <w:rFonts w:hint="eastAsia" w:ascii="宋体" w:hAnsi="宋体" w:eastAsia="宋体" w:cs="宋体"/>
                <w:sz w:val="21"/>
                <w:szCs w:val="21"/>
              </w:rPr>
              <w:t>编</w:t>
            </w:r>
            <w:r>
              <w:rPr>
                <w:rFonts w:hint="eastAsia" w:ascii="宋体" w:hAnsi="宋体" w:eastAsia="宋体" w:cs="宋体"/>
                <w:spacing w:val="-3"/>
                <w:sz w:val="21"/>
                <w:szCs w:val="21"/>
              </w:rPr>
              <w:t>码</w:t>
            </w:r>
            <w:r>
              <w:rPr>
                <w:rFonts w:hint="eastAsia" w:ascii="宋体" w:hAnsi="宋体" w:eastAsia="宋体" w:cs="宋体"/>
                <w:sz w:val="21"/>
                <w:szCs w:val="21"/>
              </w:rPr>
              <w:t>：</w:t>
            </w:r>
            <w:r>
              <w:rPr>
                <w:rFonts w:hint="eastAsia" w:ascii="宋体" w:hAnsi="宋体" w:eastAsia="宋体" w:cs="宋体"/>
                <w:sz w:val="21"/>
                <w:szCs w:val="21"/>
                <w:lang w:val="en-US" w:eastAsia="zh-CN"/>
              </w:rPr>
              <w:t>235000</w:t>
            </w:r>
          </w:p>
        </w:tc>
      </w:tr>
      <w:tr w14:paraId="4D4C9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00ADAA1F">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w w:val="100"/>
                <w:sz w:val="21"/>
                <w:szCs w:val="21"/>
              </w:rPr>
              <w:t>2</w:t>
            </w:r>
          </w:p>
        </w:tc>
        <w:tc>
          <w:tcPr>
            <w:tcW w:w="1111" w:type="dxa"/>
            <w:vAlign w:val="center"/>
          </w:tcPr>
          <w:p w14:paraId="0E5F6322">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1.1.2.6</w:t>
            </w:r>
          </w:p>
        </w:tc>
        <w:tc>
          <w:tcPr>
            <w:tcW w:w="7305" w:type="dxa"/>
            <w:vAlign w:val="center"/>
          </w:tcPr>
          <w:p w14:paraId="51EF20D6">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监 理 人：</w:t>
            </w:r>
            <w:r>
              <w:rPr>
                <w:rFonts w:hint="eastAsia" w:ascii="宋体" w:hAnsi="宋体" w:eastAsia="宋体" w:cs="宋体"/>
                <w:sz w:val="21"/>
                <w:szCs w:val="21"/>
                <w:lang w:val="en-US" w:eastAsia="zh-CN"/>
              </w:rPr>
              <w:t xml:space="preserve"> </w:t>
            </w:r>
          </w:p>
          <w:p w14:paraId="62BC1372">
            <w:pPr>
              <w:pStyle w:val="42"/>
              <w:keepNext w:val="0"/>
              <w:keepLines w:val="0"/>
              <w:pageBreakBefore w:val="0"/>
              <w:widowControl w:val="0"/>
              <w:tabs>
                <w:tab w:val="left" w:pos="979"/>
                <w:tab w:val="left" w:pos="3394"/>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邮</w:t>
            </w:r>
            <w:r>
              <w:rPr>
                <w:rFonts w:hint="eastAsia" w:ascii="宋体" w:hAnsi="宋体" w:eastAsia="宋体" w:cs="宋体"/>
                <w:spacing w:val="-3"/>
                <w:sz w:val="21"/>
                <w:szCs w:val="21"/>
              </w:rPr>
              <w:t>政</w:t>
            </w:r>
            <w:r>
              <w:rPr>
                <w:rFonts w:hint="eastAsia" w:ascii="宋体" w:hAnsi="宋体" w:eastAsia="宋体" w:cs="宋体"/>
                <w:sz w:val="21"/>
                <w:szCs w:val="21"/>
              </w:rPr>
              <w:t>编</w:t>
            </w:r>
            <w:r>
              <w:rPr>
                <w:rFonts w:hint="eastAsia" w:ascii="宋体" w:hAnsi="宋体" w:eastAsia="宋体" w:cs="宋体"/>
                <w:spacing w:val="-3"/>
                <w:sz w:val="21"/>
                <w:szCs w:val="21"/>
              </w:rPr>
              <w:t>码</w:t>
            </w:r>
            <w:r>
              <w:rPr>
                <w:rFonts w:hint="eastAsia" w:ascii="宋体" w:hAnsi="宋体" w:eastAsia="宋体" w:cs="宋体"/>
                <w:sz w:val="21"/>
                <w:szCs w:val="21"/>
              </w:rPr>
              <w:t>：</w:t>
            </w:r>
          </w:p>
        </w:tc>
      </w:tr>
      <w:tr w14:paraId="54392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28B8B78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w w:val="100"/>
                <w:sz w:val="21"/>
                <w:szCs w:val="21"/>
              </w:rPr>
              <w:t>3</w:t>
            </w:r>
          </w:p>
        </w:tc>
        <w:tc>
          <w:tcPr>
            <w:tcW w:w="1111" w:type="dxa"/>
            <w:vAlign w:val="center"/>
          </w:tcPr>
          <w:p w14:paraId="7528A1DF">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1.1.4.5</w:t>
            </w:r>
          </w:p>
        </w:tc>
        <w:tc>
          <w:tcPr>
            <w:tcW w:w="7305" w:type="dxa"/>
            <w:vAlign w:val="center"/>
          </w:tcPr>
          <w:p w14:paraId="4CFFF890">
            <w:pPr>
              <w:pStyle w:val="42"/>
              <w:keepNext w:val="0"/>
              <w:keepLines w:val="0"/>
              <w:pageBreakBefore w:val="0"/>
              <w:widowControl w:val="0"/>
              <w:tabs>
                <w:tab w:val="left" w:pos="4025"/>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缺陷</w:t>
            </w:r>
            <w:r>
              <w:rPr>
                <w:rFonts w:hint="eastAsia" w:ascii="宋体" w:hAnsi="宋体" w:eastAsia="宋体" w:cs="宋体"/>
                <w:spacing w:val="-3"/>
                <w:sz w:val="21"/>
                <w:szCs w:val="21"/>
              </w:rPr>
              <w:t>责</w:t>
            </w:r>
            <w:r>
              <w:rPr>
                <w:rFonts w:hint="eastAsia" w:ascii="宋体" w:hAnsi="宋体" w:eastAsia="宋体" w:cs="宋体"/>
                <w:sz w:val="21"/>
                <w:szCs w:val="21"/>
              </w:rPr>
              <w:t>任</w:t>
            </w:r>
            <w:r>
              <w:rPr>
                <w:rFonts w:hint="eastAsia" w:ascii="宋体" w:hAnsi="宋体" w:eastAsia="宋体" w:cs="宋体"/>
                <w:spacing w:val="-3"/>
                <w:sz w:val="21"/>
                <w:szCs w:val="21"/>
              </w:rPr>
              <w:t>期</w:t>
            </w:r>
            <w:r>
              <w:rPr>
                <w:rFonts w:hint="eastAsia" w:ascii="宋体" w:hAnsi="宋体" w:eastAsia="宋体" w:cs="宋体"/>
                <w:sz w:val="21"/>
                <w:szCs w:val="21"/>
              </w:rPr>
              <w:t>：</w:t>
            </w:r>
            <w:r>
              <w:rPr>
                <w:rFonts w:hint="eastAsia" w:ascii="宋体" w:hAnsi="宋体" w:eastAsia="宋体" w:cs="宋体"/>
                <w:spacing w:val="-3"/>
                <w:sz w:val="21"/>
                <w:szCs w:val="21"/>
              </w:rPr>
              <w:t>自</w:t>
            </w:r>
            <w:r>
              <w:rPr>
                <w:rFonts w:hint="eastAsia" w:ascii="宋体" w:hAnsi="宋体" w:eastAsia="宋体" w:cs="宋体"/>
                <w:sz w:val="21"/>
                <w:szCs w:val="21"/>
              </w:rPr>
              <w:t>实</w:t>
            </w:r>
            <w:r>
              <w:rPr>
                <w:rFonts w:hint="eastAsia" w:ascii="宋体" w:hAnsi="宋体" w:eastAsia="宋体" w:cs="宋体"/>
                <w:spacing w:val="-3"/>
                <w:sz w:val="21"/>
                <w:szCs w:val="21"/>
              </w:rPr>
              <w:t>际</w:t>
            </w:r>
            <w:r>
              <w:rPr>
                <w:rFonts w:hint="eastAsia" w:ascii="宋体" w:hAnsi="宋体" w:eastAsia="宋体" w:cs="宋体"/>
                <w:sz w:val="21"/>
                <w:szCs w:val="21"/>
              </w:rPr>
              <w:t>交</w:t>
            </w:r>
            <w:r>
              <w:rPr>
                <w:rFonts w:hint="eastAsia" w:ascii="宋体" w:hAnsi="宋体" w:eastAsia="宋体" w:cs="宋体"/>
                <w:spacing w:val="-3"/>
                <w:sz w:val="21"/>
                <w:szCs w:val="21"/>
              </w:rPr>
              <w:t>工</w:t>
            </w:r>
            <w:r>
              <w:rPr>
                <w:rFonts w:hint="eastAsia" w:ascii="宋体" w:hAnsi="宋体" w:eastAsia="宋体" w:cs="宋体"/>
                <w:sz w:val="21"/>
                <w:szCs w:val="21"/>
              </w:rPr>
              <w:t>日期</w:t>
            </w:r>
            <w:r>
              <w:rPr>
                <w:rFonts w:hint="eastAsia" w:ascii="宋体" w:hAnsi="宋体" w:eastAsia="宋体" w:cs="宋体"/>
                <w:spacing w:val="-3"/>
                <w:sz w:val="21"/>
                <w:szCs w:val="21"/>
              </w:rPr>
              <w:t>起</w:t>
            </w:r>
            <w:r>
              <w:rPr>
                <w:rFonts w:hint="eastAsia" w:ascii="宋体" w:hAnsi="宋体" w:eastAsia="宋体" w:cs="宋体"/>
                <w:sz w:val="21"/>
                <w:szCs w:val="21"/>
              </w:rPr>
              <w:t>计</w:t>
            </w:r>
            <w:r>
              <w:rPr>
                <w:rFonts w:hint="eastAsia" w:ascii="宋体" w:hAnsi="宋体" w:eastAsia="宋体" w:cs="宋体"/>
                <w:spacing w:val="-3"/>
                <w:sz w:val="21"/>
                <w:szCs w:val="21"/>
              </w:rPr>
              <w:t>算</w:t>
            </w:r>
            <w:r>
              <w:rPr>
                <w:rFonts w:hint="eastAsia" w:ascii="宋体" w:hAnsi="宋体" w:eastAsia="宋体" w:cs="宋体"/>
                <w:color w:val="FF0000"/>
                <w:spacing w:val="-3"/>
                <w:sz w:val="21"/>
                <w:szCs w:val="21"/>
                <w:u w:val="single"/>
              </w:rPr>
              <w:t xml:space="preserve"> </w:t>
            </w:r>
            <w:r>
              <w:rPr>
                <w:rFonts w:hint="eastAsia" w:ascii="宋体" w:hAnsi="宋体" w:eastAsia="宋体" w:cs="宋体"/>
                <w:color w:val="FF0000"/>
                <w:spacing w:val="-3"/>
                <w:sz w:val="21"/>
                <w:szCs w:val="21"/>
                <w:u w:val="single"/>
                <w:lang w:val="en-US" w:eastAsia="zh-CN"/>
              </w:rPr>
              <w:t xml:space="preserve">2 </w:t>
            </w:r>
            <w:r>
              <w:rPr>
                <w:rFonts w:hint="eastAsia" w:ascii="宋体" w:hAnsi="宋体" w:eastAsia="宋体" w:cs="宋体"/>
                <w:spacing w:val="-3"/>
                <w:sz w:val="21"/>
                <w:szCs w:val="21"/>
              </w:rPr>
              <w:t>年</w:t>
            </w:r>
          </w:p>
        </w:tc>
      </w:tr>
      <w:tr w14:paraId="7C672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29C252BA">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w w:val="100"/>
                <w:sz w:val="21"/>
                <w:szCs w:val="21"/>
              </w:rPr>
              <w:t>4</w:t>
            </w:r>
          </w:p>
        </w:tc>
        <w:tc>
          <w:tcPr>
            <w:tcW w:w="1111" w:type="dxa"/>
            <w:vAlign w:val="center"/>
          </w:tcPr>
          <w:p w14:paraId="5AFBDA87">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1.6.3</w:t>
            </w:r>
          </w:p>
        </w:tc>
        <w:tc>
          <w:tcPr>
            <w:tcW w:w="7305" w:type="dxa"/>
            <w:vAlign w:val="center"/>
          </w:tcPr>
          <w:p w14:paraId="659F798D">
            <w:pPr>
              <w:pStyle w:val="42"/>
              <w:keepNext w:val="0"/>
              <w:keepLines w:val="0"/>
              <w:pageBreakBefore w:val="0"/>
              <w:widowControl w:val="0"/>
              <w:tabs>
                <w:tab w:val="left" w:pos="1893"/>
              </w:tabs>
              <w:kinsoku/>
              <w:wordWrap/>
              <w:overflowPunct/>
              <w:topLinePunct w:val="0"/>
              <w:autoSpaceDE w:val="0"/>
              <w:autoSpaceDN w:val="0"/>
              <w:bidi w:val="0"/>
              <w:adjustRightInd/>
              <w:snapToGrid/>
              <w:spacing w:before="0" w:line="360" w:lineRule="auto"/>
              <w:ind w:right="0"/>
              <w:jc w:val="both"/>
              <w:textAlignment w:val="auto"/>
              <w:rPr>
                <w:rFonts w:hint="eastAsia" w:ascii="宋体" w:hAnsi="宋体" w:eastAsia="宋体" w:cs="宋体"/>
                <w:sz w:val="21"/>
                <w:szCs w:val="21"/>
              </w:rPr>
            </w:pPr>
            <w:r>
              <w:rPr>
                <w:rFonts w:hint="eastAsia" w:ascii="宋体" w:hAnsi="宋体" w:eastAsia="宋体" w:cs="宋体"/>
                <w:sz w:val="21"/>
                <w:szCs w:val="21"/>
              </w:rPr>
              <w:t>图纸</w:t>
            </w:r>
            <w:r>
              <w:rPr>
                <w:rFonts w:hint="eastAsia" w:ascii="宋体" w:hAnsi="宋体" w:eastAsia="宋体" w:cs="宋体"/>
                <w:spacing w:val="-3"/>
                <w:sz w:val="21"/>
                <w:szCs w:val="21"/>
              </w:rPr>
              <w:t>需</w:t>
            </w:r>
            <w:r>
              <w:rPr>
                <w:rFonts w:hint="eastAsia" w:ascii="宋体" w:hAnsi="宋体" w:eastAsia="宋体" w:cs="宋体"/>
                <w:sz w:val="21"/>
                <w:szCs w:val="21"/>
              </w:rPr>
              <w:t>要</w:t>
            </w:r>
            <w:r>
              <w:rPr>
                <w:rFonts w:hint="eastAsia" w:ascii="宋体" w:hAnsi="宋体" w:eastAsia="宋体" w:cs="宋体"/>
                <w:spacing w:val="-3"/>
                <w:sz w:val="21"/>
                <w:szCs w:val="21"/>
              </w:rPr>
              <w:t>修</w:t>
            </w:r>
            <w:r>
              <w:rPr>
                <w:rFonts w:hint="eastAsia" w:ascii="宋体" w:hAnsi="宋体" w:eastAsia="宋体" w:cs="宋体"/>
                <w:sz w:val="21"/>
                <w:szCs w:val="21"/>
              </w:rPr>
              <w:t>改</w:t>
            </w:r>
            <w:r>
              <w:rPr>
                <w:rFonts w:hint="eastAsia" w:ascii="宋体" w:hAnsi="宋体" w:eastAsia="宋体" w:cs="宋体"/>
                <w:strike w:val="0"/>
                <w:dstrike w:val="0"/>
                <w:spacing w:val="-3"/>
                <w:sz w:val="21"/>
                <w:szCs w:val="21"/>
                <w:u w:val="none"/>
              </w:rPr>
              <w:t>和</w:t>
            </w:r>
            <w:r>
              <w:rPr>
                <w:rFonts w:hint="eastAsia" w:ascii="宋体" w:hAnsi="宋体" w:eastAsia="宋体" w:cs="宋体"/>
                <w:strike w:val="0"/>
                <w:dstrike w:val="0"/>
                <w:sz w:val="21"/>
                <w:szCs w:val="21"/>
                <w:u w:val="none"/>
              </w:rPr>
              <w:t>补</w:t>
            </w:r>
            <w:r>
              <w:rPr>
                <w:rFonts w:hint="eastAsia" w:ascii="宋体" w:hAnsi="宋体" w:eastAsia="宋体" w:cs="宋体"/>
                <w:strike w:val="0"/>
                <w:dstrike w:val="0"/>
                <w:spacing w:val="-3"/>
                <w:sz w:val="21"/>
                <w:szCs w:val="21"/>
                <w:u w:val="none"/>
              </w:rPr>
              <w:t>充</w:t>
            </w:r>
            <w:r>
              <w:rPr>
                <w:rFonts w:hint="eastAsia" w:ascii="宋体" w:hAnsi="宋体" w:eastAsia="宋体" w:cs="宋体"/>
                <w:strike w:val="0"/>
                <w:dstrike w:val="0"/>
                <w:sz w:val="21"/>
                <w:szCs w:val="21"/>
                <w:u w:val="none"/>
              </w:rPr>
              <w:t>的</w:t>
            </w:r>
            <w:r>
              <w:rPr>
                <w:rFonts w:hint="eastAsia" w:ascii="宋体" w:hAnsi="宋体" w:eastAsia="宋体" w:cs="宋体"/>
                <w:spacing w:val="-44"/>
                <w:sz w:val="21"/>
                <w:szCs w:val="21"/>
              </w:rPr>
              <w:t>，</w:t>
            </w:r>
            <w:r>
              <w:rPr>
                <w:rFonts w:hint="eastAsia" w:ascii="宋体" w:hAnsi="宋体" w:eastAsia="宋体" w:cs="宋体"/>
                <w:sz w:val="21"/>
                <w:szCs w:val="21"/>
              </w:rPr>
              <w:t>应由</w:t>
            </w:r>
            <w:r>
              <w:rPr>
                <w:rFonts w:hint="eastAsia" w:ascii="宋体" w:hAnsi="宋体" w:eastAsia="宋体" w:cs="宋体"/>
                <w:spacing w:val="-3"/>
                <w:sz w:val="21"/>
                <w:szCs w:val="21"/>
              </w:rPr>
              <w:t>监</w:t>
            </w:r>
            <w:r>
              <w:rPr>
                <w:rFonts w:hint="eastAsia" w:ascii="宋体" w:hAnsi="宋体" w:eastAsia="宋体" w:cs="宋体"/>
                <w:sz w:val="21"/>
                <w:szCs w:val="21"/>
              </w:rPr>
              <w:t>理</w:t>
            </w:r>
            <w:r>
              <w:rPr>
                <w:rFonts w:hint="eastAsia" w:ascii="宋体" w:hAnsi="宋体" w:eastAsia="宋体" w:cs="宋体"/>
                <w:spacing w:val="-3"/>
                <w:sz w:val="21"/>
                <w:szCs w:val="21"/>
              </w:rPr>
              <w:t>人</w:t>
            </w:r>
            <w:r>
              <w:rPr>
                <w:rFonts w:hint="eastAsia" w:ascii="宋体" w:hAnsi="宋体" w:eastAsia="宋体" w:cs="宋体"/>
                <w:sz w:val="21"/>
                <w:szCs w:val="21"/>
              </w:rPr>
              <w:t>取</w:t>
            </w:r>
            <w:r>
              <w:rPr>
                <w:rFonts w:hint="eastAsia" w:ascii="宋体" w:hAnsi="宋体" w:eastAsia="宋体" w:cs="宋体"/>
                <w:spacing w:val="-3"/>
                <w:sz w:val="21"/>
                <w:szCs w:val="21"/>
              </w:rPr>
              <w:t>得</w:t>
            </w:r>
            <w:r>
              <w:rPr>
                <w:rFonts w:hint="eastAsia" w:ascii="宋体" w:hAnsi="宋体" w:eastAsia="宋体" w:cs="宋体"/>
                <w:sz w:val="21"/>
                <w:szCs w:val="21"/>
              </w:rPr>
              <w:t>发</w:t>
            </w:r>
            <w:r>
              <w:rPr>
                <w:rFonts w:hint="eastAsia" w:ascii="宋体" w:hAnsi="宋体" w:eastAsia="宋体" w:cs="宋体"/>
                <w:spacing w:val="-3"/>
                <w:sz w:val="21"/>
                <w:szCs w:val="21"/>
              </w:rPr>
              <w:t>包</w:t>
            </w:r>
            <w:r>
              <w:rPr>
                <w:rFonts w:hint="eastAsia" w:ascii="宋体" w:hAnsi="宋体" w:eastAsia="宋体" w:cs="宋体"/>
                <w:sz w:val="21"/>
                <w:szCs w:val="21"/>
              </w:rPr>
              <w:t>人</w:t>
            </w:r>
            <w:r>
              <w:rPr>
                <w:rFonts w:hint="eastAsia" w:ascii="宋体" w:hAnsi="宋体" w:eastAsia="宋体" w:cs="宋体"/>
                <w:spacing w:val="-3"/>
                <w:sz w:val="21"/>
                <w:szCs w:val="21"/>
              </w:rPr>
              <w:t>同</w:t>
            </w:r>
            <w:r>
              <w:rPr>
                <w:rFonts w:hint="eastAsia" w:ascii="宋体" w:hAnsi="宋体" w:eastAsia="宋体" w:cs="宋体"/>
                <w:sz w:val="21"/>
                <w:szCs w:val="21"/>
              </w:rPr>
              <w:t>意后</w:t>
            </w:r>
            <w:r>
              <w:rPr>
                <w:rFonts w:hint="eastAsia" w:ascii="宋体" w:hAnsi="宋体" w:eastAsia="宋体" w:cs="宋体"/>
                <w:spacing w:val="-44"/>
                <w:sz w:val="21"/>
                <w:szCs w:val="21"/>
              </w:rPr>
              <w:t>，</w:t>
            </w:r>
            <w:r>
              <w:rPr>
                <w:rFonts w:hint="eastAsia" w:ascii="宋体" w:hAnsi="宋体" w:eastAsia="宋体" w:cs="宋体"/>
                <w:sz w:val="21"/>
                <w:szCs w:val="21"/>
              </w:rPr>
              <w:t>在</w:t>
            </w:r>
            <w:r>
              <w:rPr>
                <w:rFonts w:hint="eastAsia" w:ascii="宋体" w:hAnsi="宋体" w:eastAsia="宋体" w:cs="宋体"/>
                <w:spacing w:val="-3"/>
                <w:sz w:val="21"/>
                <w:szCs w:val="21"/>
              </w:rPr>
              <w:t>该</w:t>
            </w:r>
            <w:r>
              <w:rPr>
                <w:rFonts w:hint="eastAsia" w:ascii="宋体" w:hAnsi="宋体" w:eastAsia="宋体" w:cs="宋体"/>
                <w:sz w:val="21"/>
                <w:szCs w:val="21"/>
              </w:rPr>
              <w:t>工</w:t>
            </w:r>
            <w:r>
              <w:rPr>
                <w:rFonts w:hint="eastAsia" w:ascii="宋体" w:hAnsi="宋体" w:eastAsia="宋体" w:cs="宋体"/>
                <w:spacing w:val="-3"/>
                <w:sz w:val="21"/>
                <w:szCs w:val="21"/>
              </w:rPr>
              <w:t>程</w:t>
            </w:r>
            <w:r>
              <w:rPr>
                <w:rFonts w:hint="eastAsia" w:ascii="宋体" w:hAnsi="宋体" w:eastAsia="宋体" w:cs="宋体"/>
                <w:sz w:val="21"/>
                <w:szCs w:val="21"/>
              </w:rPr>
              <w:t>或</w:t>
            </w:r>
            <w:r>
              <w:rPr>
                <w:rFonts w:hint="eastAsia" w:ascii="宋体" w:hAnsi="宋体" w:eastAsia="宋体" w:cs="宋体"/>
                <w:spacing w:val="-3"/>
                <w:sz w:val="21"/>
                <w:szCs w:val="21"/>
              </w:rPr>
              <w:t>工程</w:t>
            </w:r>
            <w:r>
              <w:rPr>
                <w:rFonts w:hint="eastAsia" w:ascii="宋体" w:hAnsi="宋体" w:eastAsia="宋体" w:cs="宋体"/>
                <w:sz w:val="21"/>
                <w:szCs w:val="21"/>
              </w:rPr>
              <w:t>相应部</w:t>
            </w:r>
            <w:r>
              <w:rPr>
                <w:rFonts w:hint="eastAsia" w:ascii="宋体" w:hAnsi="宋体" w:eastAsia="宋体" w:cs="宋体"/>
                <w:spacing w:val="-3"/>
                <w:sz w:val="21"/>
                <w:szCs w:val="21"/>
              </w:rPr>
              <w:t>位</w:t>
            </w:r>
            <w:r>
              <w:rPr>
                <w:rFonts w:hint="eastAsia" w:ascii="宋体" w:hAnsi="宋体" w:eastAsia="宋体" w:cs="宋体"/>
                <w:sz w:val="21"/>
                <w:szCs w:val="21"/>
              </w:rPr>
              <w:t>施</w:t>
            </w:r>
            <w:r>
              <w:rPr>
                <w:rFonts w:hint="eastAsia" w:ascii="宋体" w:hAnsi="宋体" w:eastAsia="宋体" w:cs="宋体"/>
                <w:spacing w:val="-3"/>
                <w:sz w:val="21"/>
                <w:szCs w:val="21"/>
              </w:rPr>
              <w:t>工</w:t>
            </w:r>
            <w:r>
              <w:rPr>
                <w:rFonts w:hint="eastAsia" w:ascii="宋体" w:hAnsi="宋体" w:eastAsia="宋体" w:cs="宋体"/>
                <w:sz w:val="21"/>
                <w:szCs w:val="21"/>
              </w:rPr>
              <w:t>前</w:t>
            </w:r>
            <w:r>
              <w:rPr>
                <w:rFonts w:hint="eastAsia" w:ascii="宋体" w:hAnsi="宋体" w:eastAsia="宋体" w:cs="宋体"/>
                <w:sz w:val="21"/>
                <w:szCs w:val="21"/>
                <w:u w:val="none"/>
                <w:lang w:val="en-US" w:eastAsia="zh-CN"/>
              </w:rPr>
              <w:t>7</w:t>
            </w:r>
            <w:r>
              <w:rPr>
                <w:rFonts w:hint="eastAsia" w:ascii="宋体" w:hAnsi="宋体" w:eastAsia="宋体" w:cs="宋体"/>
                <w:sz w:val="21"/>
                <w:szCs w:val="21"/>
                <w:u w:val="none"/>
              </w:rPr>
              <w:t>天</w:t>
            </w:r>
            <w:r>
              <w:rPr>
                <w:rFonts w:hint="eastAsia" w:ascii="宋体" w:hAnsi="宋体" w:eastAsia="宋体" w:cs="宋体"/>
                <w:spacing w:val="-3"/>
                <w:sz w:val="21"/>
                <w:szCs w:val="21"/>
                <w:u w:val="none"/>
              </w:rPr>
              <w:t>签</w:t>
            </w:r>
            <w:r>
              <w:rPr>
                <w:rFonts w:hint="eastAsia" w:ascii="宋体" w:hAnsi="宋体" w:eastAsia="宋体" w:cs="宋体"/>
                <w:spacing w:val="-3"/>
                <w:sz w:val="21"/>
                <w:szCs w:val="21"/>
              </w:rPr>
              <w:t>发</w:t>
            </w:r>
            <w:r>
              <w:rPr>
                <w:rFonts w:hint="eastAsia" w:ascii="宋体" w:hAnsi="宋体" w:eastAsia="宋体" w:cs="宋体"/>
                <w:sz w:val="21"/>
                <w:szCs w:val="21"/>
              </w:rPr>
              <w:t>图纸</w:t>
            </w:r>
            <w:r>
              <w:rPr>
                <w:rFonts w:hint="eastAsia" w:ascii="宋体" w:hAnsi="宋体" w:eastAsia="宋体" w:cs="宋体"/>
                <w:spacing w:val="-3"/>
                <w:sz w:val="21"/>
                <w:szCs w:val="21"/>
              </w:rPr>
              <w:t>修</w:t>
            </w:r>
            <w:r>
              <w:rPr>
                <w:rFonts w:hint="eastAsia" w:ascii="宋体" w:hAnsi="宋体" w:eastAsia="宋体" w:cs="宋体"/>
                <w:sz w:val="21"/>
                <w:szCs w:val="21"/>
              </w:rPr>
              <w:t>改</w:t>
            </w:r>
            <w:r>
              <w:rPr>
                <w:rFonts w:hint="eastAsia" w:ascii="宋体" w:hAnsi="宋体" w:eastAsia="宋体" w:cs="宋体"/>
                <w:spacing w:val="-3"/>
                <w:sz w:val="21"/>
                <w:szCs w:val="21"/>
              </w:rPr>
              <w:t>图</w:t>
            </w:r>
            <w:r>
              <w:rPr>
                <w:rFonts w:hint="eastAsia" w:ascii="宋体" w:hAnsi="宋体" w:eastAsia="宋体" w:cs="宋体"/>
                <w:sz w:val="21"/>
                <w:szCs w:val="21"/>
              </w:rPr>
              <w:t>给</w:t>
            </w:r>
            <w:r>
              <w:rPr>
                <w:rFonts w:hint="eastAsia" w:ascii="宋体" w:hAnsi="宋体" w:eastAsia="宋体" w:cs="宋体"/>
                <w:spacing w:val="-3"/>
                <w:sz w:val="21"/>
                <w:szCs w:val="21"/>
              </w:rPr>
              <w:t>承</w:t>
            </w:r>
            <w:r>
              <w:rPr>
                <w:rFonts w:hint="eastAsia" w:ascii="宋体" w:hAnsi="宋体" w:eastAsia="宋体" w:cs="宋体"/>
                <w:sz w:val="21"/>
                <w:szCs w:val="21"/>
              </w:rPr>
              <w:t>包人</w:t>
            </w:r>
          </w:p>
        </w:tc>
      </w:tr>
      <w:tr w14:paraId="00498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4B7BEB8E">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w w:val="100"/>
                <w:sz w:val="21"/>
                <w:szCs w:val="21"/>
              </w:rPr>
              <w:t>5</w:t>
            </w:r>
          </w:p>
        </w:tc>
        <w:tc>
          <w:tcPr>
            <w:tcW w:w="1111" w:type="dxa"/>
            <w:vAlign w:val="center"/>
          </w:tcPr>
          <w:p w14:paraId="6C2A2143">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3.1.1</w:t>
            </w:r>
          </w:p>
        </w:tc>
        <w:tc>
          <w:tcPr>
            <w:tcW w:w="7305" w:type="dxa"/>
            <w:vAlign w:val="center"/>
          </w:tcPr>
          <w:p w14:paraId="00910D4E">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监理人在行使下列权力前需要经发包人事先批准：</w:t>
            </w:r>
          </w:p>
          <w:p w14:paraId="1145F4FE">
            <w:pPr>
              <w:pStyle w:val="42"/>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ascii="宋体" w:hAnsi="宋体" w:eastAsia="宋体" w:cs="宋体"/>
                <w:sz w:val="21"/>
                <w:szCs w:val="21"/>
              </w:rPr>
            </w:pPr>
            <w:r>
              <w:rPr>
                <w:rFonts w:hint="eastAsia" w:ascii="宋体" w:hAnsi="宋体" w:eastAsia="宋体" w:cs="宋体"/>
                <w:spacing w:val="-14"/>
                <w:sz w:val="21"/>
                <w:szCs w:val="21"/>
              </w:rPr>
              <w:t>工程发生所有的变更</w:t>
            </w:r>
          </w:p>
        </w:tc>
      </w:tr>
      <w:tr w14:paraId="6FC52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746A918B">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w w:val="100"/>
                <w:sz w:val="21"/>
                <w:szCs w:val="21"/>
              </w:rPr>
              <w:t>6</w:t>
            </w:r>
          </w:p>
        </w:tc>
        <w:tc>
          <w:tcPr>
            <w:tcW w:w="1111" w:type="dxa"/>
            <w:vAlign w:val="center"/>
          </w:tcPr>
          <w:p w14:paraId="4BA9B2AD">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5.2.1</w:t>
            </w:r>
          </w:p>
        </w:tc>
        <w:tc>
          <w:tcPr>
            <w:tcW w:w="7305" w:type="dxa"/>
            <w:vAlign w:val="center"/>
          </w:tcPr>
          <w:p w14:paraId="3309363B">
            <w:pPr>
              <w:pStyle w:val="42"/>
              <w:keepNext w:val="0"/>
              <w:keepLines w:val="0"/>
              <w:pageBreakBefore w:val="0"/>
              <w:widowControl w:val="0"/>
              <w:tabs>
                <w:tab w:val="left" w:pos="4445"/>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发包</w:t>
            </w:r>
            <w:r>
              <w:rPr>
                <w:rFonts w:hint="eastAsia" w:ascii="宋体" w:hAnsi="宋体" w:eastAsia="宋体" w:cs="宋体"/>
                <w:spacing w:val="-3"/>
                <w:sz w:val="21"/>
                <w:szCs w:val="21"/>
              </w:rPr>
              <w:t>人</w:t>
            </w:r>
            <w:r>
              <w:rPr>
                <w:rFonts w:hint="eastAsia" w:ascii="宋体" w:hAnsi="宋体" w:eastAsia="宋体" w:cs="宋体"/>
                <w:sz w:val="21"/>
                <w:szCs w:val="21"/>
              </w:rPr>
              <w:t>是</w:t>
            </w:r>
            <w:r>
              <w:rPr>
                <w:rFonts w:hint="eastAsia" w:ascii="宋体" w:hAnsi="宋体" w:eastAsia="宋体" w:cs="宋体"/>
                <w:spacing w:val="-3"/>
                <w:sz w:val="21"/>
                <w:szCs w:val="21"/>
              </w:rPr>
              <w:t>否</w:t>
            </w:r>
            <w:r>
              <w:rPr>
                <w:rFonts w:hint="eastAsia" w:ascii="宋体" w:hAnsi="宋体" w:eastAsia="宋体" w:cs="宋体"/>
                <w:sz w:val="21"/>
                <w:szCs w:val="21"/>
              </w:rPr>
              <w:t>提</w:t>
            </w:r>
            <w:r>
              <w:rPr>
                <w:rFonts w:hint="eastAsia" w:ascii="宋体" w:hAnsi="宋体" w:eastAsia="宋体" w:cs="宋体"/>
                <w:spacing w:val="-3"/>
                <w:sz w:val="21"/>
                <w:szCs w:val="21"/>
              </w:rPr>
              <w:t>供</w:t>
            </w:r>
            <w:r>
              <w:rPr>
                <w:rFonts w:hint="eastAsia" w:ascii="宋体" w:hAnsi="宋体" w:eastAsia="宋体" w:cs="宋体"/>
                <w:sz w:val="21"/>
                <w:szCs w:val="21"/>
              </w:rPr>
              <w:t>材</w:t>
            </w:r>
            <w:r>
              <w:rPr>
                <w:rFonts w:hint="eastAsia" w:ascii="宋体" w:hAnsi="宋体" w:eastAsia="宋体" w:cs="宋体"/>
                <w:spacing w:val="-3"/>
                <w:sz w:val="21"/>
                <w:szCs w:val="21"/>
              </w:rPr>
              <w:t>料</w:t>
            </w:r>
            <w:r>
              <w:rPr>
                <w:rFonts w:hint="eastAsia" w:ascii="宋体" w:hAnsi="宋体" w:eastAsia="宋体" w:cs="宋体"/>
                <w:sz w:val="21"/>
                <w:szCs w:val="21"/>
              </w:rPr>
              <w:t>或</w:t>
            </w:r>
            <w:r>
              <w:rPr>
                <w:rFonts w:hint="eastAsia" w:ascii="宋体" w:hAnsi="宋体" w:eastAsia="宋体" w:cs="宋体"/>
                <w:spacing w:val="-3"/>
                <w:sz w:val="21"/>
                <w:szCs w:val="21"/>
              </w:rPr>
              <w:t>工</w:t>
            </w:r>
            <w:r>
              <w:rPr>
                <w:rFonts w:hint="eastAsia" w:ascii="宋体" w:hAnsi="宋体" w:eastAsia="宋体" w:cs="宋体"/>
                <w:sz w:val="21"/>
                <w:szCs w:val="21"/>
              </w:rPr>
              <w:t>程设</w:t>
            </w:r>
            <w:r>
              <w:rPr>
                <w:rFonts w:hint="eastAsia" w:ascii="宋体" w:hAnsi="宋体" w:eastAsia="宋体" w:cs="宋体"/>
                <w:spacing w:val="-3"/>
                <w:sz w:val="21"/>
                <w:szCs w:val="21"/>
              </w:rPr>
              <w:t>备</w:t>
            </w:r>
            <w:r>
              <w:rPr>
                <w:rFonts w:hint="eastAsia" w:ascii="宋体" w:hAnsi="宋体" w:eastAsia="宋体" w:cs="宋体"/>
                <w:sz w:val="21"/>
                <w:szCs w:val="21"/>
              </w:rPr>
              <w:t>：</w:t>
            </w:r>
            <w:r>
              <w:rPr>
                <w:rFonts w:hint="eastAsia" w:ascii="宋体" w:hAnsi="宋体" w:eastAsia="宋体" w:cs="宋体"/>
                <w:spacing w:val="18"/>
                <w:sz w:val="21"/>
                <w:szCs w:val="21"/>
                <w:u w:val="single"/>
              </w:rPr>
              <w:t xml:space="preserve"> </w:t>
            </w:r>
            <w:r>
              <w:rPr>
                <w:rFonts w:hint="eastAsia" w:ascii="宋体" w:hAnsi="宋体" w:eastAsia="宋体" w:cs="宋体"/>
                <w:sz w:val="21"/>
                <w:szCs w:val="21"/>
                <w:u w:val="single"/>
              </w:rPr>
              <w:t>否</w:t>
            </w:r>
          </w:p>
          <w:p w14:paraId="48E63ADF">
            <w:pPr>
              <w:pStyle w:val="42"/>
              <w:keepNext w:val="0"/>
              <w:keepLines w:val="0"/>
              <w:pageBreakBefore w:val="0"/>
              <w:widowControl w:val="0"/>
              <w:tabs>
                <w:tab w:val="left" w:pos="7244"/>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如发</w:t>
            </w:r>
            <w:r>
              <w:rPr>
                <w:rFonts w:hint="eastAsia" w:ascii="宋体" w:hAnsi="宋体" w:eastAsia="宋体" w:cs="宋体"/>
                <w:spacing w:val="-3"/>
                <w:sz w:val="21"/>
                <w:szCs w:val="21"/>
              </w:rPr>
              <w:t>包</w:t>
            </w:r>
            <w:r>
              <w:rPr>
                <w:rFonts w:hint="eastAsia" w:ascii="宋体" w:hAnsi="宋体" w:eastAsia="宋体" w:cs="宋体"/>
                <w:sz w:val="21"/>
                <w:szCs w:val="21"/>
              </w:rPr>
              <w:t>人</w:t>
            </w:r>
            <w:r>
              <w:rPr>
                <w:rFonts w:hint="eastAsia" w:ascii="宋体" w:hAnsi="宋体" w:eastAsia="宋体" w:cs="宋体"/>
                <w:spacing w:val="-3"/>
                <w:sz w:val="21"/>
                <w:szCs w:val="21"/>
              </w:rPr>
              <w:t>负</w:t>
            </w:r>
            <w:r>
              <w:rPr>
                <w:rFonts w:hint="eastAsia" w:ascii="宋体" w:hAnsi="宋体" w:eastAsia="宋体" w:cs="宋体"/>
                <w:sz w:val="21"/>
                <w:szCs w:val="21"/>
              </w:rPr>
              <w:t>责</w:t>
            </w:r>
            <w:r>
              <w:rPr>
                <w:rFonts w:hint="eastAsia" w:ascii="宋体" w:hAnsi="宋体" w:eastAsia="宋体" w:cs="宋体"/>
                <w:spacing w:val="-3"/>
                <w:sz w:val="21"/>
                <w:szCs w:val="21"/>
              </w:rPr>
              <w:t>提</w:t>
            </w:r>
            <w:r>
              <w:rPr>
                <w:rFonts w:hint="eastAsia" w:ascii="宋体" w:hAnsi="宋体" w:eastAsia="宋体" w:cs="宋体"/>
                <w:sz w:val="21"/>
                <w:szCs w:val="21"/>
              </w:rPr>
              <w:t>供</w:t>
            </w:r>
            <w:r>
              <w:rPr>
                <w:rFonts w:hint="eastAsia" w:ascii="宋体" w:hAnsi="宋体" w:eastAsia="宋体" w:cs="宋体"/>
                <w:spacing w:val="-3"/>
                <w:sz w:val="21"/>
                <w:szCs w:val="21"/>
              </w:rPr>
              <w:t>部</w:t>
            </w:r>
            <w:r>
              <w:rPr>
                <w:rFonts w:hint="eastAsia" w:ascii="宋体" w:hAnsi="宋体" w:eastAsia="宋体" w:cs="宋体"/>
                <w:sz w:val="21"/>
                <w:szCs w:val="21"/>
              </w:rPr>
              <w:t>分</w:t>
            </w:r>
            <w:r>
              <w:rPr>
                <w:rFonts w:hint="eastAsia" w:ascii="宋体" w:hAnsi="宋体" w:eastAsia="宋体" w:cs="宋体"/>
                <w:spacing w:val="-3"/>
                <w:sz w:val="21"/>
                <w:szCs w:val="21"/>
              </w:rPr>
              <w:t>材</w:t>
            </w:r>
            <w:r>
              <w:rPr>
                <w:rFonts w:hint="eastAsia" w:ascii="宋体" w:hAnsi="宋体" w:eastAsia="宋体" w:cs="宋体"/>
                <w:sz w:val="21"/>
                <w:szCs w:val="21"/>
              </w:rPr>
              <w:t>料或</w:t>
            </w:r>
            <w:r>
              <w:rPr>
                <w:rFonts w:hint="eastAsia" w:ascii="宋体" w:hAnsi="宋体" w:eastAsia="宋体" w:cs="宋体"/>
                <w:spacing w:val="-3"/>
                <w:sz w:val="21"/>
                <w:szCs w:val="21"/>
              </w:rPr>
              <w:t>工</w:t>
            </w:r>
            <w:r>
              <w:rPr>
                <w:rFonts w:hint="eastAsia" w:ascii="宋体" w:hAnsi="宋体" w:eastAsia="宋体" w:cs="宋体"/>
                <w:sz w:val="21"/>
                <w:szCs w:val="21"/>
              </w:rPr>
              <w:t>程</w:t>
            </w:r>
            <w:r>
              <w:rPr>
                <w:rFonts w:hint="eastAsia" w:ascii="宋体" w:hAnsi="宋体" w:eastAsia="宋体" w:cs="宋体"/>
                <w:spacing w:val="-3"/>
                <w:sz w:val="21"/>
                <w:szCs w:val="21"/>
              </w:rPr>
              <w:t>设</w:t>
            </w:r>
            <w:r>
              <w:rPr>
                <w:rFonts w:hint="eastAsia" w:ascii="宋体" w:hAnsi="宋体" w:eastAsia="宋体" w:cs="宋体"/>
                <w:sz w:val="21"/>
                <w:szCs w:val="21"/>
              </w:rPr>
              <w:t>备</w:t>
            </w:r>
            <w:r>
              <w:rPr>
                <w:rFonts w:hint="eastAsia" w:ascii="宋体" w:hAnsi="宋体" w:eastAsia="宋体" w:cs="宋体"/>
                <w:spacing w:val="-3"/>
                <w:sz w:val="21"/>
                <w:szCs w:val="21"/>
              </w:rPr>
              <w:t>，</w:t>
            </w:r>
            <w:r>
              <w:rPr>
                <w:rFonts w:hint="eastAsia" w:ascii="宋体" w:hAnsi="宋体" w:eastAsia="宋体" w:cs="宋体"/>
                <w:sz w:val="21"/>
                <w:szCs w:val="21"/>
              </w:rPr>
              <w:t>相</w:t>
            </w:r>
            <w:r>
              <w:rPr>
                <w:rFonts w:hint="eastAsia" w:ascii="宋体" w:hAnsi="宋体" w:eastAsia="宋体" w:cs="宋体"/>
                <w:spacing w:val="-3"/>
                <w:sz w:val="21"/>
                <w:szCs w:val="21"/>
              </w:rPr>
              <w:t>关</w:t>
            </w:r>
            <w:r>
              <w:rPr>
                <w:rFonts w:hint="eastAsia" w:ascii="宋体" w:hAnsi="宋体" w:eastAsia="宋体" w:cs="宋体"/>
                <w:sz w:val="21"/>
                <w:szCs w:val="21"/>
              </w:rPr>
              <w:t>规</w:t>
            </w:r>
            <w:r>
              <w:rPr>
                <w:rFonts w:hint="eastAsia" w:ascii="宋体" w:hAnsi="宋体" w:eastAsia="宋体" w:cs="宋体"/>
                <w:spacing w:val="-3"/>
                <w:sz w:val="21"/>
                <w:szCs w:val="21"/>
              </w:rPr>
              <w:t>定</w:t>
            </w:r>
            <w:r>
              <w:rPr>
                <w:rFonts w:hint="eastAsia" w:ascii="宋体" w:hAnsi="宋体" w:eastAsia="宋体" w:cs="宋体"/>
                <w:sz w:val="21"/>
                <w:szCs w:val="21"/>
              </w:rPr>
              <w:t>如下：</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w:t>
            </w:r>
          </w:p>
        </w:tc>
      </w:tr>
      <w:tr w14:paraId="5734A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56CC4135">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w w:val="100"/>
                <w:sz w:val="21"/>
                <w:szCs w:val="21"/>
              </w:rPr>
              <w:t>7</w:t>
            </w:r>
          </w:p>
        </w:tc>
        <w:tc>
          <w:tcPr>
            <w:tcW w:w="1111" w:type="dxa"/>
            <w:vAlign w:val="center"/>
          </w:tcPr>
          <w:p w14:paraId="5751478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6.2</w:t>
            </w:r>
          </w:p>
        </w:tc>
        <w:tc>
          <w:tcPr>
            <w:tcW w:w="7305" w:type="dxa"/>
            <w:vAlign w:val="center"/>
          </w:tcPr>
          <w:p w14:paraId="701C3C48">
            <w:pPr>
              <w:pStyle w:val="42"/>
              <w:keepNext w:val="0"/>
              <w:keepLines w:val="0"/>
              <w:pageBreakBefore w:val="0"/>
              <w:widowControl w:val="0"/>
              <w:tabs>
                <w:tab w:val="left" w:pos="4865"/>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发包</w:t>
            </w:r>
            <w:r>
              <w:rPr>
                <w:rFonts w:hint="eastAsia" w:ascii="宋体" w:hAnsi="宋体" w:eastAsia="宋体" w:cs="宋体"/>
                <w:spacing w:val="-3"/>
                <w:sz w:val="21"/>
                <w:szCs w:val="21"/>
              </w:rPr>
              <w:t>人</w:t>
            </w:r>
            <w:r>
              <w:rPr>
                <w:rFonts w:hint="eastAsia" w:ascii="宋体" w:hAnsi="宋体" w:eastAsia="宋体" w:cs="宋体"/>
                <w:sz w:val="21"/>
                <w:szCs w:val="21"/>
              </w:rPr>
              <w:t>是</w:t>
            </w:r>
            <w:r>
              <w:rPr>
                <w:rFonts w:hint="eastAsia" w:ascii="宋体" w:hAnsi="宋体" w:eastAsia="宋体" w:cs="宋体"/>
                <w:spacing w:val="-3"/>
                <w:sz w:val="21"/>
                <w:szCs w:val="21"/>
              </w:rPr>
              <w:t>否</w:t>
            </w:r>
            <w:r>
              <w:rPr>
                <w:rFonts w:hint="eastAsia" w:ascii="宋体" w:hAnsi="宋体" w:eastAsia="宋体" w:cs="宋体"/>
                <w:sz w:val="21"/>
                <w:szCs w:val="21"/>
              </w:rPr>
              <w:t>提</w:t>
            </w:r>
            <w:r>
              <w:rPr>
                <w:rFonts w:hint="eastAsia" w:ascii="宋体" w:hAnsi="宋体" w:eastAsia="宋体" w:cs="宋体"/>
                <w:spacing w:val="-3"/>
                <w:sz w:val="21"/>
                <w:szCs w:val="21"/>
              </w:rPr>
              <w:t>供</w:t>
            </w:r>
            <w:r>
              <w:rPr>
                <w:rFonts w:hint="eastAsia" w:ascii="宋体" w:hAnsi="宋体" w:eastAsia="宋体" w:cs="宋体"/>
                <w:sz w:val="21"/>
                <w:szCs w:val="21"/>
              </w:rPr>
              <w:t>施</w:t>
            </w:r>
            <w:r>
              <w:rPr>
                <w:rFonts w:hint="eastAsia" w:ascii="宋体" w:hAnsi="宋体" w:eastAsia="宋体" w:cs="宋体"/>
                <w:spacing w:val="-3"/>
                <w:sz w:val="21"/>
                <w:szCs w:val="21"/>
              </w:rPr>
              <w:t>工</w:t>
            </w:r>
            <w:r>
              <w:rPr>
                <w:rFonts w:hint="eastAsia" w:ascii="宋体" w:hAnsi="宋体" w:eastAsia="宋体" w:cs="宋体"/>
                <w:sz w:val="21"/>
                <w:szCs w:val="21"/>
              </w:rPr>
              <w:t>设</w:t>
            </w:r>
            <w:r>
              <w:rPr>
                <w:rFonts w:hint="eastAsia" w:ascii="宋体" w:hAnsi="宋体" w:eastAsia="宋体" w:cs="宋体"/>
                <w:spacing w:val="-3"/>
                <w:sz w:val="21"/>
                <w:szCs w:val="21"/>
              </w:rPr>
              <w:t>备</w:t>
            </w:r>
            <w:r>
              <w:rPr>
                <w:rFonts w:hint="eastAsia" w:ascii="宋体" w:hAnsi="宋体" w:eastAsia="宋体" w:cs="宋体"/>
                <w:sz w:val="21"/>
                <w:szCs w:val="21"/>
              </w:rPr>
              <w:t>和临</w:t>
            </w:r>
            <w:r>
              <w:rPr>
                <w:rFonts w:hint="eastAsia" w:ascii="宋体" w:hAnsi="宋体" w:eastAsia="宋体" w:cs="宋体"/>
                <w:spacing w:val="-3"/>
                <w:sz w:val="21"/>
                <w:szCs w:val="21"/>
              </w:rPr>
              <w:t>时</w:t>
            </w:r>
            <w:r>
              <w:rPr>
                <w:rFonts w:hint="eastAsia" w:ascii="宋体" w:hAnsi="宋体" w:eastAsia="宋体" w:cs="宋体"/>
                <w:sz w:val="21"/>
                <w:szCs w:val="21"/>
              </w:rPr>
              <w:t>设</w:t>
            </w:r>
            <w:r>
              <w:rPr>
                <w:rFonts w:hint="eastAsia" w:ascii="宋体" w:hAnsi="宋体" w:eastAsia="宋体" w:cs="宋体"/>
                <w:spacing w:val="-3"/>
                <w:sz w:val="21"/>
                <w:szCs w:val="21"/>
              </w:rPr>
              <w:t>施</w:t>
            </w:r>
            <w:r>
              <w:rPr>
                <w:rFonts w:hint="eastAsia" w:ascii="宋体" w:hAnsi="宋体" w:eastAsia="宋体" w:cs="宋体"/>
                <w:sz w:val="21"/>
                <w:szCs w:val="21"/>
              </w:rPr>
              <w:t>：</w:t>
            </w:r>
            <w:r>
              <w:rPr>
                <w:rFonts w:hint="eastAsia" w:ascii="宋体" w:hAnsi="宋体" w:eastAsia="宋体" w:cs="宋体"/>
                <w:spacing w:val="21"/>
                <w:sz w:val="21"/>
                <w:szCs w:val="21"/>
                <w:u w:val="single"/>
              </w:rPr>
              <w:t xml:space="preserve"> </w:t>
            </w:r>
            <w:r>
              <w:rPr>
                <w:rFonts w:hint="eastAsia" w:ascii="宋体" w:hAnsi="宋体" w:eastAsia="宋体" w:cs="宋体"/>
                <w:sz w:val="21"/>
                <w:szCs w:val="21"/>
                <w:u w:val="single"/>
              </w:rPr>
              <w:t>否</w:t>
            </w:r>
            <w:r>
              <w:rPr>
                <w:rFonts w:hint="eastAsia" w:ascii="宋体" w:hAnsi="宋体" w:eastAsia="宋体" w:cs="宋体"/>
                <w:sz w:val="21"/>
                <w:szCs w:val="21"/>
                <w:u w:val="single"/>
              </w:rPr>
              <w:tab/>
            </w:r>
          </w:p>
          <w:p w14:paraId="45D245BA">
            <w:pPr>
              <w:pStyle w:val="42"/>
              <w:keepNext w:val="0"/>
              <w:keepLines w:val="0"/>
              <w:pageBreakBefore w:val="0"/>
              <w:widowControl w:val="0"/>
              <w:tabs>
                <w:tab w:val="left" w:pos="7244"/>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pacing w:val="-1"/>
                <w:sz w:val="21"/>
                <w:szCs w:val="21"/>
              </w:rPr>
              <w:t>如发</w:t>
            </w:r>
            <w:r>
              <w:rPr>
                <w:rFonts w:hint="eastAsia" w:ascii="宋体" w:hAnsi="宋体" w:eastAsia="宋体" w:cs="宋体"/>
                <w:spacing w:val="-3"/>
                <w:sz w:val="21"/>
                <w:szCs w:val="21"/>
              </w:rPr>
              <w:t>包</w:t>
            </w:r>
            <w:r>
              <w:rPr>
                <w:rFonts w:hint="eastAsia" w:ascii="宋体" w:hAnsi="宋体" w:eastAsia="宋体" w:cs="宋体"/>
                <w:sz w:val="21"/>
                <w:szCs w:val="21"/>
              </w:rPr>
              <w:t>人</w:t>
            </w:r>
            <w:r>
              <w:rPr>
                <w:rFonts w:hint="eastAsia" w:ascii="宋体" w:hAnsi="宋体" w:eastAsia="宋体" w:cs="宋体"/>
                <w:spacing w:val="-3"/>
                <w:sz w:val="21"/>
                <w:szCs w:val="21"/>
              </w:rPr>
              <w:t>负</w:t>
            </w:r>
            <w:r>
              <w:rPr>
                <w:rFonts w:hint="eastAsia" w:ascii="宋体" w:hAnsi="宋体" w:eastAsia="宋体" w:cs="宋体"/>
                <w:sz w:val="21"/>
                <w:szCs w:val="21"/>
              </w:rPr>
              <w:t>责</w:t>
            </w:r>
            <w:r>
              <w:rPr>
                <w:rFonts w:hint="eastAsia" w:ascii="宋体" w:hAnsi="宋体" w:eastAsia="宋体" w:cs="宋体"/>
                <w:spacing w:val="-3"/>
                <w:sz w:val="21"/>
                <w:szCs w:val="21"/>
              </w:rPr>
              <w:t>提</w:t>
            </w:r>
            <w:r>
              <w:rPr>
                <w:rFonts w:hint="eastAsia" w:ascii="宋体" w:hAnsi="宋体" w:eastAsia="宋体" w:cs="宋体"/>
                <w:sz w:val="21"/>
                <w:szCs w:val="21"/>
              </w:rPr>
              <w:t>供</w:t>
            </w:r>
            <w:r>
              <w:rPr>
                <w:rFonts w:hint="eastAsia" w:ascii="宋体" w:hAnsi="宋体" w:eastAsia="宋体" w:cs="宋体"/>
                <w:spacing w:val="-3"/>
                <w:sz w:val="21"/>
                <w:szCs w:val="21"/>
              </w:rPr>
              <w:t>部</w:t>
            </w:r>
            <w:r>
              <w:rPr>
                <w:rFonts w:hint="eastAsia" w:ascii="宋体" w:hAnsi="宋体" w:eastAsia="宋体" w:cs="宋体"/>
                <w:sz w:val="21"/>
                <w:szCs w:val="21"/>
              </w:rPr>
              <w:t>分</w:t>
            </w:r>
            <w:r>
              <w:rPr>
                <w:rFonts w:hint="eastAsia" w:ascii="宋体" w:hAnsi="宋体" w:eastAsia="宋体" w:cs="宋体"/>
                <w:spacing w:val="-3"/>
                <w:sz w:val="21"/>
                <w:szCs w:val="21"/>
              </w:rPr>
              <w:t>施</w:t>
            </w:r>
            <w:r>
              <w:rPr>
                <w:rFonts w:hint="eastAsia" w:ascii="宋体" w:hAnsi="宋体" w:eastAsia="宋体" w:cs="宋体"/>
                <w:sz w:val="21"/>
                <w:szCs w:val="21"/>
              </w:rPr>
              <w:t>工设</w:t>
            </w:r>
            <w:r>
              <w:rPr>
                <w:rFonts w:hint="eastAsia" w:ascii="宋体" w:hAnsi="宋体" w:eastAsia="宋体" w:cs="宋体"/>
                <w:spacing w:val="-3"/>
                <w:sz w:val="21"/>
                <w:szCs w:val="21"/>
              </w:rPr>
              <w:t>备</w:t>
            </w:r>
            <w:r>
              <w:rPr>
                <w:rFonts w:hint="eastAsia" w:ascii="宋体" w:hAnsi="宋体" w:eastAsia="宋体" w:cs="宋体"/>
                <w:sz w:val="21"/>
                <w:szCs w:val="21"/>
              </w:rPr>
              <w:t>和</w:t>
            </w:r>
            <w:r>
              <w:rPr>
                <w:rFonts w:hint="eastAsia" w:ascii="宋体" w:hAnsi="宋体" w:eastAsia="宋体" w:cs="宋体"/>
                <w:spacing w:val="-3"/>
                <w:sz w:val="21"/>
                <w:szCs w:val="21"/>
              </w:rPr>
              <w:t>临</w:t>
            </w:r>
            <w:r>
              <w:rPr>
                <w:rFonts w:hint="eastAsia" w:ascii="宋体" w:hAnsi="宋体" w:eastAsia="宋体" w:cs="宋体"/>
                <w:sz w:val="21"/>
                <w:szCs w:val="21"/>
              </w:rPr>
              <w:t>时</w:t>
            </w:r>
            <w:r>
              <w:rPr>
                <w:rFonts w:hint="eastAsia" w:ascii="宋体" w:hAnsi="宋体" w:eastAsia="宋体" w:cs="宋体"/>
                <w:spacing w:val="-3"/>
                <w:sz w:val="21"/>
                <w:szCs w:val="21"/>
              </w:rPr>
              <w:t>设</w:t>
            </w:r>
            <w:r>
              <w:rPr>
                <w:rFonts w:hint="eastAsia" w:ascii="宋体" w:hAnsi="宋体" w:eastAsia="宋体" w:cs="宋体"/>
                <w:sz w:val="21"/>
                <w:szCs w:val="21"/>
              </w:rPr>
              <w:t>施</w:t>
            </w:r>
            <w:r>
              <w:rPr>
                <w:rFonts w:hint="eastAsia" w:ascii="宋体" w:hAnsi="宋体" w:eastAsia="宋体" w:cs="宋体"/>
                <w:spacing w:val="-3"/>
                <w:sz w:val="21"/>
                <w:szCs w:val="21"/>
              </w:rPr>
              <w:t>，</w:t>
            </w:r>
            <w:r>
              <w:rPr>
                <w:rFonts w:hint="eastAsia" w:ascii="宋体" w:hAnsi="宋体" w:eastAsia="宋体" w:cs="宋体"/>
                <w:sz w:val="21"/>
                <w:szCs w:val="21"/>
              </w:rPr>
              <w:t>相</w:t>
            </w:r>
            <w:r>
              <w:rPr>
                <w:rFonts w:hint="eastAsia" w:ascii="宋体" w:hAnsi="宋体" w:eastAsia="宋体" w:cs="宋体"/>
                <w:spacing w:val="-3"/>
                <w:sz w:val="21"/>
                <w:szCs w:val="21"/>
              </w:rPr>
              <w:t>关</w:t>
            </w:r>
            <w:r>
              <w:rPr>
                <w:rFonts w:hint="eastAsia" w:ascii="宋体" w:hAnsi="宋体" w:eastAsia="宋体" w:cs="宋体"/>
                <w:sz w:val="21"/>
                <w:szCs w:val="21"/>
              </w:rPr>
              <w:t>规定</w:t>
            </w:r>
            <w:r>
              <w:rPr>
                <w:rFonts w:hint="eastAsia" w:ascii="宋体" w:hAnsi="宋体" w:eastAsia="宋体" w:cs="宋体"/>
                <w:spacing w:val="-3"/>
                <w:sz w:val="21"/>
                <w:szCs w:val="21"/>
              </w:rPr>
              <w:t>如</w:t>
            </w:r>
            <w:r>
              <w:rPr>
                <w:rFonts w:hint="eastAsia" w:ascii="宋体" w:hAnsi="宋体" w:eastAsia="宋体" w:cs="宋体"/>
                <w:sz w:val="21"/>
                <w:szCs w:val="21"/>
              </w:rPr>
              <w:t>下：</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w:t>
            </w:r>
          </w:p>
        </w:tc>
      </w:tr>
      <w:tr w14:paraId="7025A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2CF9EDC6">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w w:val="100"/>
                <w:sz w:val="21"/>
                <w:szCs w:val="21"/>
              </w:rPr>
              <w:t>8</w:t>
            </w:r>
          </w:p>
        </w:tc>
        <w:tc>
          <w:tcPr>
            <w:tcW w:w="1111" w:type="dxa"/>
            <w:vAlign w:val="center"/>
          </w:tcPr>
          <w:p w14:paraId="5CDFDB27">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7305" w:type="dxa"/>
            <w:vAlign w:val="center"/>
          </w:tcPr>
          <w:p w14:paraId="13D6C506">
            <w:pPr>
              <w:pStyle w:val="42"/>
              <w:keepNext w:val="0"/>
              <w:keepLines w:val="0"/>
              <w:pageBreakBefore w:val="0"/>
              <w:widowControl w:val="0"/>
              <w:tabs>
                <w:tab w:val="left" w:pos="6908"/>
                <w:tab w:val="left" w:pos="7244"/>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发包</w:t>
            </w:r>
            <w:r>
              <w:rPr>
                <w:rFonts w:hint="eastAsia" w:ascii="宋体" w:hAnsi="宋体" w:eastAsia="宋体" w:cs="宋体"/>
                <w:spacing w:val="-3"/>
                <w:sz w:val="21"/>
                <w:szCs w:val="21"/>
              </w:rPr>
              <w:t>人</w:t>
            </w:r>
            <w:r>
              <w:rPr>
                <w:rFonts w:hint="eastAsia" w:ascii="宋体" w:hAnsi="宋体" w:eastAsia="宋体" w:cs="宋体"/>
                <w:sz w:val="21"/>
                <w:szCs w:val="21"/>
              </w:rPr>
              <w:t>提</w:t>
            </w:r>
            <w:r>
              <w:rPr>
                <w:rFonts w:hint="eastAsia" w:ascii="宋体" w:hAnsi="宋体" w:eastAsia="宋体" w:cs="宋体"/>
                <w:spacing w:val="-3"/>
                <w:sz w:val="21"/>
                <w:szCs w:val="21"/>
              </w:rPr>
              <w:t>供</w:t>
            </w:r>
            <w:r>
              <w:rPr>
                <w:rFonts w:hint="eastAsia" w:ascii="宋体" w:hAnsi="宋体" w:eastAsia="宋体" w:cs="宋体"/>
                <w:sz w:val="21"/>
                <w:szCs w:val="21"/>
              </w:rPr>
              <w:t>测</w:t>
            </w:r>
            <w:r>
              <w:rPr>
                <w:rFonts w:hint="eastAsia" w:ascii="宋体" w:hAnsi="宋体" w:eastAsia="宋体" w:cs="宋体"/>
                <w:spacing w:val="-3"/>
                <w:sz w:val="21"/>
                <w:szCs w:val="21"/>
              </w:rPr>
              <w:t>量</w:t>
            </w:r>
            <w:r>
              <w:rPr>
                <w:rFonts w:hint="eastAsia" w:ascii="宋体" w:hAnsi="宋体" w:eastAsia="宋体" w:cs="宋体"/>
                <w:sz w:val="21"/>
                <w:szCs w:val="21"/>
              </w:rPr>
              <w:t>基</w:t>
            </w:r>
            <w:r>
              <w:rPr>
                <w:rFonts w:hint="eastAsia" w:ascii="宋体" w:hAnsi="宋体" w:eastAsia="宋体" w:cs="宋体"/>
                <w:spacing w:val="-3"/>
                <w:sz w:val="21"/>
                <w:szCs w:val="21"/>
              </w:rPr>
              <w:t>准</w:t>
            </w:r>
            <w:r>
              <w:rPr>
                <w:rFonts w:hint="eastAsia" w:ascii="宋体" w:hAnsi="宋体" w:eastAsia="宋体" w:cs="宋体"/>
                <w:sz w:val="21"/>
                <w:szCs w:val="21"/>
              </w:rPr>
              <w:t>点</w:t>
            </w:r>
            <w:r>
              <w:rPr>
                <w:rFonts w:hint="eastAsia" w:ascii="宋体" w:hAnsi="宋体" w:eastAsia="宋体" w:cs="宋体"/>
                <w:spacing w:val="-3"/>
                <w:sz w:val="21"/>
                <w:szCs w:val="21"/>
              </w:rPr>
              <w:t>、</w:t>
            </w:r>
            <w:r>
              <w:rPr>
                <w:rFonts w:hint="eastAsia" w:ascii="宋体" w:hAnsi="宋体" w:eastAsia="宋体" w:cs="宋体"/>
                <w:sz w:val="21"/>
                <w:szCs w:val="21"/>
              </w:rPr>
              <w:t>基准</w:t>
            </w:r>
            <w:r>
              <w:rPr>
                <w:rFonts w:hint="eastAsia" w:ascii="宋体" w:hAnsi="宋体" w:eastAsia="宋体" w:cs="宋体"/>
                <w:spacing w:val="-3"/>
                <w:sz w:val="21"/>
                <w:szCs w:val="21"/>
              </w:rPr>
              <w:t>线</w:t>
            </w:r>
            <w:r>
              <w:rPr>
                <w:rFonts w:hint="eastAsia" w:ascii="宋体" w:hAnsi="宋体" w:eastAsia="宋体" w:cs="宋体"/>
                <w:sz w:val="21"/>
                <w:szCs w:val="21"/>
              </w:rPr>
              <w:t>和</w:t>
            </w:r>
            <w:r>
              <w:rPr>
                <w:rFonts w:hint="eastAsia" w:ascii="宋体" w:hAnsi="宋体" w:eastAsia="宋体" w:cs="宋体"/>
                <w:spacing w:val="-3"/>
                <w:sz w:val="21"/>
                <w:szCs w:val="21"/>
              </w:rPr>
              <w:t>水</w:t>
            </w:r>
            <w:r>
              <w:rPr>
                <w:rFonts w:hint="eastAsia" w:ascii="宋体" w:hAnsi="宋体" w:eastAsia="宋体" w:cs="宋体"/>
                <w:sz w:val="21"/>
                <w:szCs w:val="21"/>
              </w:rPr>
              <w:t>准</w:t>
            </w:r>
            <w:r>
              <w:rPr>
                <w:rFonts w:hint="eastAsia" w:ascii="宋体" w:hAnsi="宋体" w:eastAsia="宋体" w:cs="宋体"/>
                <w:spacing w:val="-3"/>
                <w:sz w:val="21"/>
                <w:szCs w:val="21"/>
              </w:rPr>
              <w:t>点</w:t>
            </w:r>
            <w:r>
              <w:rPr>
                <w:rFonts w:hint="eastAsia" w:ascii="宋体" w:hAnsi="宋体" w:eastAsia="宋体" w:cs="宋体"/>
                <w:sz w:val="21"/>
                <w:szCs w:val="21"/>
              </w:rPr>
              <w:t>及</w:t>
            </w:r>
            <w:r>
              <w:rPr>
                <w:rFonts w:hint="eastAsia" w:ascii="宋体" w:hAnsi="宋体" w:eastAsia="宋体" w:cs="宋体"/>
                <w:spacing w:val="-3"/>
                <w:sz w:val="21"/>
                <w:szCs w:val="21"/>
              </w:rPr>
              <w:t>其</w:t>
            </w:r>
            <w:r>
              <w:rPr>
                <w:rFonts w:hint="eastAsia" w:ascii="宋体" w:hAnsi="宋体" w:eastAsia="宋体" w:cs="宋体"/>
                <w:sz w:val="21"/>
                <w:szCs w:val="21"/>
              </w:rPr>
              <w:t>书</w:t>
            </w:r>
            <w:r>
              <w:rPr>
                <w:rFonts w:hint="eastAsia" w:ascii="宋体" w:hAnsi="宋体" w:eastAsia="宋体" w:cs="宋体"/>
                <w:spacing w:val="-3"/>
                <w:sz w:val="21"/>
                <w:szCs w:val="21"/>
              </w:rPr>
              <w:t>面</w:t>
            </w:r>
            <w:r>
              <w:rPr>
                <w:rFonts w:hint="eastAsia" w:ascii="宋体" w:hAnsi="宋体" w:eastAsia="宋体" w:cs="宋体"/>
                <w:sz w:val="21"/>
                <w:szCs w:val="21"/>
              </w:rPr>
              <w:t>资料</w:t>
            </w:r>
            <w:r>
              <w:rPr>
                <w:rFonts w:hint="eastAsia" w:ascii="宋体" w:hAnsi="宋体" w:eastAsia="宋体" w:cs="宋体"/>
                <w:spacing w:val="-3"/>
                <w:sz w:val="21"/>
                <w:szCs w:val="21"/>
              </w:rPr>
              <w:t>的</w:t>
            </w:r>
            <w:r>
              <w:rPr>
                <w:rFonts w:hint="eastAsia" w:ascii="宋体" w:hAnsi="宋体" w:eastAsia="宋体" w:cs="宋体"/>
                <w:sz w:val="21"/>
                <w:szCs w:val="21"/>
              </w:rPr>
              <w:t>期</w:t>
            </w:r>
            <w:r>
              <w:rPr>
                <w:rFonts w:hint="eastAsia" w:ascii="宋体" w:hAnsi="宋体" w:eastAsia="宋体" w:cs="宋体"/>
                <w:spacing w:val="-3"/>
                <w:sz w:val="21"/>
                <w:szCs w:val="21"/>
              </w:rPr>
              <w:t>限</w:t>
            </w:r>
            <w:r>
              <w:rPr>
                <w:rFonts w:hint="eastAsia" w:ascii="宋体" w:hAnsi="宋体" w:eastAsia="宋体" w:cs="宋体"/>
                <w:sz w:val="21"/>
                <w:szCs w:val="21"/>
              </w:rPr>
              <w:t>：</w:t>
            </w:r>
            <w:r>
              <w:rPr>
                <w:rFonts w:hint="eastAsia" w:ascii="宋体" w:hAnsi="宋体" w:eastAsia="宋体" w:cs="宋体"/>
                <w:sz w:val="21"/>
                <w:szCs w:val="21"/>
                <w:u w:val="single"/>
              </w:rPr>
              <w:t>14</w:t>
            </w:r>
            <w:r>
              <w:rPr>
                <w:rFonts w:hint="eastAsia" w:ascii="宋体" w:hAnsi="宋体" w:eastAsia="宋体" w:cs="宋体"/>
                <w:spacing w:val="-3"/>
                <w:sz w:val="21"/>
                <w:szCs w:val="21"/>
                <w:u w:val="single"/>
              </w:rPr>
              <w:t>天</w:t>
            </w:r>
            <w:r>
              <w:rPr>
                <w:rFonts w:hint="eastAsia" w:ascii="宋体" w:hAnsi="宋体" w:eastAsia="宋体" w:cs="宋体"/>
                <w:sz w:val="21"/>
                <w:szCs w:val="21"/>
                <w:u w:val="single"/>
              </w:rPr>
              <w:t xml:space="preserve"> </w:t>
            </w:r>
            <w:r>
              <w:rPr>
                <w:rFonts w:hint="eastAsia" w:ascii="宋体" w:hAnsi="宋体" w:eastAsia="宋体" w:cs="宋体"/>
                <w:sz w:val="21"/>
                <w:szCs w:val="21"/>
              </w:rPr>
              <w:t>承包</w:t>
            </w:r>
            <w:r>
              <w:rPr>
                <w:rFonts w:hint="eastAsia" w:ascii="宋体" w:hAnsi="宋体" w:eastAsia="宋体" w:cs="宋体"/>
                <w:spacing w:val="-3"/>
                <w:sz w:val="21"/>
                <w:szCs w:val="21"/>
              </w:rPr>
              <w:t>人</w:t>
            </w:r>
            <w:r>
              <w:rPr>
                <w:rFonts w:hint="eastAsia" w:ascii="宋体" w:hAnsi="宋体" w:eastAsia="宋体" w:cs="宋体"/>
                <w:sz w:val="21"/>
                <w:szCs w:val="21"/>
              </w:rPr>
              <w:t>将</w:t>
            </w:r>
            <w:r>
              <w:rPr>
                <w:rFonts w:hint="eastAsia" w:ascii="宋体" w:hAnsi="宋体" w:eastAsia="宋体" w:cs="宋体"/>
                <w:spacing w:val="-3"/>
                <w:sz w:val="21"/>
                <w:szCs w:val="21"/>
              </w:rPr>
              <w:t>施</w:t>
            </w:r>
            <w:r>
              <w:rPr>
                <w:rFonts w:hint="eastAsia" w:ascii="宋体" w:hAnsi="宋体" w:eastAsia="宋体" w:cs="宋体"/>
                <w:sz w:val="21"/>
                <w:szCs w:val="21"/>
              </w:rPr>
              <w:t>工</w:t>
            </w:r>
            <w:r>
              <w:rPr>
                <w:rFonts w:hint="eastAsia" w:ascii="宋体" w:hAnsi="宋体" w:eastAsia="宋体" w:cs="宋体"/>
                <w:spacing w:val="-3"/>
                <w:sz w:val="21"/>
                <w:szCs w:val="21"/>
              </w:rPr>
              <w:t>控</w:t>
            </w:r>
            <w:r>
              <w:rPr>
                <w:rFonts w:hint="eastAsia" w:ascii="宋体" w:hAnsi="宋体" w:eastAsia="宋体" w:cs="宋体"/>
                <w:sz w:val="21"/>
                <w:szCs w:val="21"/>
              </w:rPr>
              <w:t>制</w:t>
            </w:r>
            <w:r>
              <w:rPr>
                <w:rFonts w:hint="eastAsia" w:ascii="宋体" w:hAnsi="宋体" w:eastAsia="宋体" w:cs="宋体"/>
                <w:spacing w:val="-3"/>
                <w:sz w:val="21"/>
                <w:szCs w:val="21"/>
              </w:rPr>
              <w:t>网</w:t>
            </w:r>
            <w:r>
              <w:rPr>
                <w:rFonts w:hint="eastAsia" w:ascii="宋体" w:hAnsi="宋体" w:eastAsia="宋体" w:cs="宋体"/>
                <w:sz w:val="21"/>
                <w:szCs w:val="21"/>
              </w:rPr>
              <w:t>资</w:t>
            </w:r>
            <w:r>
              <w:rPr>
                <w:rFonts w:hint="eastAsia" w:ascii="宋体" w:hAnsi="宋体" w:eastAsia="宋体" w:cs="宋体"/>
                <w:spacing w:val="-3"/>
                <w:sz w:val="21"/>
                <w:szCs w:val="21"/>
              </w:rPr>
              <w:t>料</w:t>
            </w:r>
            <w:r>
              <w:rPr>
                <w:rFonts w:hint="eastAsia" w:ascii="宋体" w:hAnsi="宋体" w:eastAsia="宋体" w:cs="宋体"/>
                <w:sz w:val="21"/>
                <w:szCs w:val="21"/>
              </w:rPr>
              <w:t>报送</w:t>
            </w:r>
            <w:r>
              <w:rPr>
                <w:rFonts w:hint="eastAsia" w:ascii="宋体" w:hAnsi="宋体" w:eastAsia="宋体" w:cs="宋体"/>
                <w:spacing w:val="-3"/>
                <w:sz w:val="21"/>
                <w:szCs w:val="21"/>
              </w:rPr>
              <w:t>监</w:t>
            </w:r>
            <w:r>
              <w:rPr>
                <w:rFonts w:hint="eastAsia" w:ascii="宋体" w:hAnsi="宋体" w:eastAsia="宋体" w:cs="宋体"/>
                <w:sz w:val="21"/>
                <w:szCs w:val="21"/>
              </w:rPr>
              <w:t>理</w:t>
            </w:r>
            <w:r>
              <w:rPr>
                <w:rFonts w:hint="eastAsia" w:ascii="宋体" w:hAnsi="宋体" w:eastAsia="宋体" w:cs="宋体"/>
                <w:spacing w:val="-3"/>
                <w:sz w:val="21"/>
                <w:szCs w:val="21"/>
              </w:rPr>
              <w:t>人</w:t>
            </w:r>
            <w:r>
              <w:rPr>
                <w:rFonts w:hint="eastAsia" w:ascii="宋体" w:hAnsi="宋体" w:eastAsia="宋体" w:cs="宋体"/>
                <w:sz w:val="21"/>
                <w:szCs w:val="21"/>
              </w:rPr>
              <w:t>审</w:t>
            </w:r>
            <w:r>
              <w:rPr>
                <w:rFonts w:hint="eastAsia" w:ascii="宋体" w:hAnsi="宋体" w:eastAsia="宋体" w:cs="宋体"/>
                <w:spacing w:val="-3"/>
                <w:sz w:val="21"/>
                <w:szCs w:val="21"/>
              </w:rPr>
              <w:t>批</w:t>
            </w:r>
            <w:r>
              <w:rPr>
                <w:rFonts w:hint="eastAsia" w:ascii="宋体" w:hAnsi="宋体" w:eastAsia="宋体" w:cs="宋体"/>
                <w:sz w:val="21"/>
                <w:szCs w:val="21"/>
              </w:rPr>
              <w:t>的</w:t>
            </w:r>
            <w:r>
              <w:rPr>
                <w:rFonts w:hint="eastAsia" w:ascii="宋体" w:hAnsi="宋体" w:eastAsia="宋体" w:cs="宋体"/>
                <w:spacing w:val="-3"/>
                <w:sz w:val="21"/>
                <w:szCs w:val="21"/>
              </w:rPr>
              <w:t>期</w:t>
            </w:r>
            <w:r>
              <w:rPr>
                <w:rFonts w:hint="eastAsia" w:ascii="宋体" w:hAnsi="宋体" w:eastAsia="宋体" w:cs="宋体"/>
                <w:sz w:val="21"/>
                <w:szCs w:val="21"/>
              </w:rPr>
              <w:t>限</w:t>
            </w:r>
            <w:r>
              <w:rPr>
                <w:rFonts w:hint="eastAsia" w:ascii="宋体" w:hAnsi="宋体" w:eastAsia="宋体" w:cs="宋体"/>
                <w:spacing w:val="-3"/>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7天</w:t>
            </w:r>
          </w:p>
        </w:tc>
      </w:tr>
      <w:tr w14:paraId="63E0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6EA5F5D6">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w w:val="100"/>
                <w:sz w:val="21"/>
                <w:szCs w:val="21"/>
              </w:rPr>
              <w:t>9</w:t>
            </w:r>
          </w:p>
        </w:tc>
        <w:tc>
          <w:tcPr>
            <w:tcW w:w="1111" w:type="dxa"/>
            <w:vAlign w:val="center"/>
          </w:tcPr>
          <w:p w14:paraId="78D75C8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11.5（3）</w:t>
            </w:r>
          </w:p>
        </w:tc>
        <w:tc>
          <w:tcPr>
            <w:tcW w:w="7305" w:type="dxa"/>
            <w:vAlign w:val="center"/>
          </w:tcPr>
          <w:p w14:paraId="2C790B41">
            <w:pPr>
              <w:pStyle w:val="42"/>
              <w:keepNext w:val="0"/>
              <w:keepLines w:val="0"/>
              <w:pageBreakBefore w:val="0"/>
              <w:widowControl w:val="0"/>
              <w:tabs>
                <w:tab w:val="left" w:pos="2450"/>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逾期</w:t>
            </w:r>
            <w:r>
              <w:rPr>
                <w:rFonts w:hint="eastAsia" w:ascii="宋体" w:hAnsi="宋体" w:eastAsia="宋体" w:cs="宋体"/>
                <w:spacing w:val="-3"/>
                <w:sz w:val="21"/>
                <w:szCs w:val="21"/>
              </w:rPr>
              <w:t>交</w:t>
            </w:r>
            <w:r>
              <w:rPr>
                <w:rFonts w:hint="eastAsia" w:ascii="宋体" w:hAnsi="宋体" w:eastAsia="宋体" w:cs="宋体"/>
                <w:sz w:val="21"/>
                <w:szCs w:val="21"/>
              </w:rPr>
              <w:t>工</w:t>
            </w:r>
            <w:r>
              <w:rPr>
                <w:rFonts w:hint="eastAsia" w:ascii="宋体" w:hAnsi="宋体" w:eastAsia="宋体" w:cs="宋体"/>
                <w:spacing w:val="-3"/>
                <w:sz w:val="21"/>
                <w:szCs w:val="21"/>
              </w:rPr>
              <w:t>违</w:t>
            </w:r>
            <w:r>
              <w:rPr>
                <w:rFonts w:hint="eastAsia" w:ascii="宋体" w:hAnsi="宋体" w:eastAsia="宋体" w:cs="宋体"/>
                <w:sz w:val="21"/>
                <w:szCs w:val="21"/>
              </w:rPr>
              <w:t>约</w:t>
            </w:r>
            <w:r>
              <w:rPr>
                <w:rFonts w:hint="eastAsia" w:ascii="宋体" w:hAnsi="宋体" w:eastAsia="宋体" w:cs="宋体"/>
                <w:spacing w:val="-3"/>
                <w:sz w:val="21"/>
                <w:szCs w:val="21"/>
              </w:rPr>
              <w:t>金</w:t>
            </w:r>
            <w:r>
              <w:rPr>
                <w:rFonts w:hint="eastAsia" w:ascii="宋体" w:hAnsi="宋体" w:eastAsia="宋体" w:cs="宋体"/>
                <w:sz w:val="21"/>
                <w:szCs w:val="21"/>
              </w:rPr>
              <w:t>：</w:t>
            </w:r>
            <w:r>
              <w:rPr>
                <w:rFonts w:hint="eastAsia" w:ascii="宋体" w:hAnsi="宋体" w:eastAsia="宋体" w:cs="宋体"/>
                <w:sz w:val="21"/>
                <w:szCs w:val="21"/>
                <w:lang w:val="en-US" w:eastAsia="zh-CN"/>
              </w:rPr>
              <w:t>1000</w:t>
            </w:r>
            <w:r>
              <w:rPr>
                <w:rFonts w:hint="eastAsia" w:ascii="宋体" w:hAnsi="宋体" w:eastAsia="宋体" w:cs="宋体"/>
                <w:sz w:val="21"/>
                <w:szCs w:val="21"/>
              </w:rPr>
              <w:t>元</w:t>
            </w:r>
            <w:r>
              <w:rPr>
                <w:rFonts w:hint="eastAsia" w:ascii="宋体" w:hAnsi="宋体" w:eastAsia="宋体" w:cs="宋体"/>
                <w:spacing w:val="-4"/>
                <w:sz w:val="21"/>
                <w:szCs w:val="21"/>
              </w:rPr>
              <w:t>/</w:t>
            </w:r>
            <w:r>
              <w:rPr>
                <w:rFonts w:hint="eastAsia" w:ascii="宋体" w:hAnsi="宋体" w:eastAsia="宋体" w:cs="宋体"/>
                <w:sz w:val="21"/>
                <w:szCs w:val="21"/>
              </w:rPr>
              <w:t>天</w:t>
            </w:r>
          </w:p>
        </w:tc>
      </w:tr>
      <w:tr w14:paraId="2047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240C95F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111" w:type="dxa"/>
            <w:vAlign w:val="center"/>
          </w:tcPr>
          <w:p w14:paraId="7238DF1B">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11.5（3）</w:t>
            </w:r>
          </w:p>
        </w:tc>
        <w:tc>
          <w:tcPr>
            <w:tcW w:w="7305" w:type="dxa"/>
            <w:vAlign w:val="center"/>
          </w:tcPr>
          <w:p w14:paraId="2FFDACDA">
            <w:pPr>
              <w:pStyle w:val="42"/>
              <w:keepNext w:val="0"/>
              <w:keepLines w:val="0"/>
              <w:pageBreakBefore w:val="0"/>
              <w:widowControl w:val="0"/>
              <w:tabs>
                <w:tab w:val="left" w:pos="2868"/>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逾期</w:t>
            </w:r>
            <w:r>
              <w:rPr>
                <w:rFonts w:hint="eastAsia" w:ascii="宋体" w:hAnsi="宋体" w:eastAsia="宋体" w:cs="宋体"/>
                <w:spacing w:val="-3"/>
                <w:sz w:val="21"/>
                <w:szCs w:val="21"/>
              </w:rPr>
              <w:t>交</w:t>
            </w:r>
            <w:r>
              <w:rPr>
                <w:rFonts w:hint="eastAsia" w:ascii="宋体" w:hAnsi="宋体" w:eastAsia="宋体" w:cs="宋体"/>
                <w:sz w:val="21"/>
                <w:szCs w:val="21"/>
              </w:rPr>
              <w:t>工</w:t>
            </w:r>
            <w:r>
              <w:rPr>
                <w:rFonts w:hint="eastAsia" w:ascii="宋体" w:hAnsi="宋体" w:eastAsia="宋体" w:cs="宋体"/>
                <w:spacing w:val="-3"/>
                <w:sz w:val="21"/>
                <w:szCs w:val="21"/>
              </w:rPr>
              <w:t>违</w:t>
            </w:r>
            <w:r>
              <w:rPr>
                <w:rFonts w:hint="eastAsia" w:ascii="宋体" w:hAnsi="宋体" w:eastAsia="宋体" w:cs="宋体"/>
                <w:sz w:val="21"/>
                <w:szCs w:val="21"/>
              </w:rPr>
              <w:t>约</w:t>
            </w:r>
            <w:r>
              <w:rPr>
                <w:rFonts w:hint="eastAsia" w:ascii="宋体" w:hAnsi="宋体" w:eastAsia="宋体" w:cs="宋体"/>
                <w:spacing w:val="-3"/>
                <w:sz w:val="21"/>
                <w:szCs w:val="21"/>
              </w:rPr>
              <w:t>金</w:t>
            </w:r>
            <w:r>
              <w:rPr>
                <w:rFonts w:hint="eastAsia" w:ascii="宋体" w:hAnsi="宋体" w:eastAsia="宋体" w:cs="宋体"/>
                <w:sz w:val="21"/>
                <w:szCs w:val="21"/>
              </w:rPr>
              <w:t>限额：</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w:t>
            </w:r>
            <w:r>
              <w:rPr>
                <w:rFonts w:hint="eastAsia" w:ascii="宋体" w:hAnsi="宋体" w:eastAsia="宋体" w:cs="宋体"/>
                <w:sz w:val="21"/>
                <w:szCs w:val="21"/>
              </w:rPr>
              <w:t>签</w:t>
            </w:r>
            <w:r>
              <w:rPr>
                <w:rFonts w:hint="eastAsia" w:ascii="宋体" w:hAnsi="宋体" w:eastAsia="宋体" w:cs="宋体"/>
                <w:spacing w:val="-3"/>
                <w:sz w:val="21"/>
                <w:szCs w:val="21"/>
              </w:rPr>
              <w:t>约</w:t>
            </w:r>
            <w:r>
              <w:rPr>
                <w:rFonts w:hint="eastAsia" w:ascii="宋体" w:hAnsi="宋体" w:eastAsia="宋体" w:cs="宋体"/>
                <w:sz w:val="21"/>
                <w:szCs w:val="21"/>
              </w:rPr>
              <w:t>合</w:t>
            </w:r>
            <w:r>
              <w:rPr>
                <w:rFonts w:hint="eastAsia" w:ascii="宋体" w:hAnsi="宋体" w:eastAsia="宋体" w:cs="宋体"/>
                <w:spacing w:val="-3"/>
                <w:sz w:val="21"/>
                <w:szCs w:val="21"/>
              </w:rPr>
              <w:t>同价</w:t>
            </w:r>
          </w:p>
        </w:tc>
      </w:tr>
      <w:tr w14:paraId="4B42E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4B8C2717">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1111" w:type="dxa"/>
            <w:vAlign w:val="center"/>
          </w:tcPr>
          <w:p w14:paraId="38A9887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11.6</w:t>
            </w:r>
          </w:p>
        </w:tc>
        <w:tc>
          <w:tcPr>
            <w:tcW w:w="7305" w:type="dxa"/>
            <w:vAlign w:val="center"/>
          </w:tcPr>
          <w:p w14:paraId="45FE6F9E">
            <w:pPr>
              <w:pStyle w:val="42"/>
              <w:keepNext w:val="0"/>
              <w:keepLines w:val="0"/>
              <w:pageBreakBefore w:val="0"/>
              <w:widowControl w:val="0"/>
              <w:tabs>
                <w:tab w:val="left" w:pos="2450"/>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提前</w:t>
            </w:r>
            <w:r>
              <w:rPr>
                <w:rFonts w:hint="eastAsia" w:ascii="宋体" w:hAnsi="宋体" w:eastAsia="宋体" w:cs="宋体"/>
                <w:spacing w:val="-3"/>
                <w:sz w:val="21"/>
                <w:szCs w:val="21"/>
              </w:rPr>
              <w:t>交</w:t>
            </w:r>
            <w:r>
              <w:rPr>
                <w:rFonts w:hint="eastAsia" w:ascii="宋体" w:hAnsi="宋体" w:eastAsia="宋体" w:cs="宋体"/>
                <w:sz w:val="21"/>
                <w:szCs w:val="21"/>
              </w:rPr>
              <w:t>工</w:t>
            </w:r>
            <w:r>
              <w:rPr>
                <w:rFonts w:hint="eastAsia" w:ascii="宋体" w:hAnsi="宋体" w:eastAsia="宋体" w:cs="宋体"/>
                <w:spacing w:val="-3"/>
                <w:sz w:val="21"/>
                <w:szCs w:val="21"/>
              </w:rPr>
              <w:t>的</w:t>
            </w:r>
            <w:r>
              <w:rPr>
                <w:rFonts w:hint="eastAsia" w:ascii="宋体" w:hAnsi="宋体" w:eastAsia="宋体" w:cs="宋体"/>
                <w:sz w:val="21"/>
                <w:szCs w:val="21"/>
              </w:rPr>
              <w:t>奖</w:t>
            </w:r>
            <w:r>
              <w:rPr>
                <w:rFonts w:hint="eastAsia" w:ascii="宋体" w:hAnsi="宋体" w:eastAsia="宋体" w:cs="宋体"/>
                <w:spacing w:val="-3"/>
                <w:sz w:val="21"/>
                <w:szCs w:val="21"/>
              </w:rPr>
              <w:t>金</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元</w:t>
            </w:r>
            <w:r>
              <w:rPr>
                <w:rFonts w:hint="eastAsia" w:ascii="宋体" w:hAnsi="宋体" w:eastAsia="宋体" w:cs="宋体"/>
                <w:spacing w:val="-4"/>
                <w:sz w:val="21"/>
                <w:szCs w:val="21"/>
              </w:rPr>
              <w:t>/</w:t>
            </w:r>
            <w:r>
              <w:rPr>
                <w:rFonts w:hint="eastAsia" w:ascii="宋体" w:hAnsi="宋体" w:eastAsia="宋体" w:cs="宋体"/>
                <w:sz w:val="21"/>
                <w:szCs w:val="21"/>
              </w:rPr>
              <w:t>天</w:t>
            </w:r>
          </w:p>
        </w:tc>
      </w:tr>
      <w:tr w14:paraId="2FF44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067192FC">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1111" w:type="dxa"/>
            <w:vAlign w:val="center"/>
          </w:tcPr>
          <w:p w14:paraId="22D104DC">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11.6</w:t>
            </w:r>
          </w:p>
        </w:tc>
        <w:tc>
          <w:tcPr>
            <w:tcW w:w="7305" w:type="dxa"/>
            <w:vAlign w:val="center"/>
          </w:tcPr>
          <w:p w14:paraId="01600770">
            <w:pPr>
              <w:pStyle w:val="42"/>
              <w:keepNext w:val="0"/>
              <w:keepLines w:val="0"/>
              <w:pageBreakBefore w:val="0"/>
              <w:widowControl w:val="0"/>
              <w:tabs>
                <w:tab w:val="left" w:pos="2868"/>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提前</w:t>
            </w:r>
            <w:r>
              <w:rPr>
                <w:rFonts w:hint="eastAsia" w:ascii="宋体" w:hAnsi="宋体" w:eastAsia="宋体" w:cs="宋体"/>
                <w:spacing w:val="-3"/>
                <w:sz w:val="21"/>
                <w:szCs w:val="21"/>
              </w:rPr>
              <w:t>交</w:t>
            </w:r>
            <w:r>
              <w:rPr>
                <w:rFonts w:hint="eastAsia" w:ascii="宋体" w:hAnsi="宋体" w:eastAsia="宋体" w:cs="宋体"/>
                <w:sz w:val="21"/>
                <w:szCs w:val="21"/>
              </w:rPr>
              <w:t>工</w:t>
            </w:r>
            <w:r>
              <w:rPr>
                <w:rFonts w:hint="eastAsia" w:ascii="宋体" w:hAnsi="宋体" w:eastAsia="宋体" w:cs="宋体"/>
                <w:spacing w:val="-3"/>
                <w:sz w:val="21"/>
                <w:szCs w:val="21"/>
              </w:rPr>
              <w:t>的</w:t>
            </w:r>
            <w:r>
              <w:rPr>
                <w:rFonts w:hint="eastAsia" w:ascii="宋体" w:hAnsi="宋体" w:eastAsia="宋体" w:cs="宋体"/>
                <w:sz w:val="21"/>
                <w:szCs w:val="21"/>
              </w:rPr>
              <w:t>奖</w:t>
            </w:r>
            <w:r>
              <w:rPr>
                <w:rFonts w:hint="eastAsia" w:ascii="宋体" w:hAnsi="宋体" w:eastAsia="宋体" w:cs="宋体"/>
                <w:spacing w:val="-3"/>
                <w:sz w:val="21"/>
                <w:szCs w:val="21"/>
              </w:rPr>
              <w:t>金</w:t>
            </w:r>
            <w:r>
              <w:rPr>
                <w:rFonts w:hint="eastAsia" w:ascii="宋体" w:hAnsi="宋体" w:eastAsia="宋体" w:cs="宋体"/>
                <w:sz w:val="21"/>
                <w:szCs w:val="21"/>
              </w:rPr>
              <w:t>限</w:t>
            </w:r>
            <w:r>
              <w:rPr>
                <w:rFonts w:hint="eastAsia" w:ascii="宋体" w:hAnsi="宋体" w:eastAsia="宋体" w:cs="宋体"/>
                <w:spacing w:val="-3"/>
                <w:sz w:val="21"/>
                <w:szCs w:val="21"/>
              </w:rPr>
              <w:t>额</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%签</w:t>
            </w:r>
            <w:r>
              <w:rPr>
                <w:rFonts w:hint="eastAsia" w:ascii="宋体" w:hAnsi="宋体" w:eastAsia="宋体" w:cs="宋体"/>
                <w:spacing w:val="-3"/>
                <w:sz w:val="21"/>
                <w:szCs w:val="21"/>
              </w:rPr>
              <w:t>约</w:t>
            </w:r>
            <w:r>
              <w:rPr>
                <w:rFonts w:hint="eastAsia" w:ascii="宋体" w:hAnsi="宋体" w:eastAsia="宋体" w:cs="宋体"/>
                <w:sz w:val="21"/>
                <w:szCs w:val="21"/>
              </w:rPr>
              <w:t>合</w:t>
            </w:r>
            <w:r>
              <w:rPr>
                <w:rFonts w:hint="eastAsia" w:ascii="宋体" w:hAnsi="宋体" w:eastAsia="宋体" w:cs="宋体"/>
                <w:spacing w:val="-3"/>
                <w:sz w:val="21"/>
                <w:szCs w:val="21"/>
              </w:rPr>
              <w:t>同</w:t>
            </w:r>
            <w:r>
              <w:rPr>
                <w:rFonts w:hint="eastAsia" w:ascii="宋体" w:hAnsi="宋体" w:eastAsia="宋体" w:cs="宋体"/>
                <w:sz w:val="21"/>
                <w:szCs w:val="21"/>
              </w:rPr>
              <w:t>价</w:t>
            </w:r>
          </w:p>
        </w:tc>
      </w:tr>
      <w:tr w14:paraId="5E43D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1792A08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1111" w:type="dxa"/>
            <w:vAlign w:val="center"/>
          </w:tcPr>
          <w:p w14:paraId="2EF133F9">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15.5.2</w:t>
            </w:r>
          </w:p>
        </w:tc>
        <w:tc>
          <w:tcPr>
            <w:tcW w:w="7305" w:type="dxa"/>
            <w:vAlign w:val="center"/>
          </w:tcPr>
          <w:p w14:paraId="0E1F5E69">
            <w:pPr>
              <w:pStyle w:val="42"/>
              <w:keepNext w:val="0"/>
              <w:keepLines w:val="0"/>
              <w:pageBreakBefore w:val="0"/>
              <w:widowControl w:val="0"/>
              <w:tabs>
                <w:tab w:val="left" w:pos="2210"/>
                <w:tab w:val="left" w:pos="4066"/>
              </w:tabs>
              <w:kinsoku/>
              <w:wordWrap/>
              <w:overflowPunct/>
              <w:topLinePunct w:val="0"/>
              <w:autoSpaceDE w:val="0"/>
              <w:autoSpaceDN w:val="0"/>
              <w:bidi w:val="0"/>
              <w:adjustRightInd/>
              <w:snapToGrid/>
              <w:spacing w:before="0" w:line="360" w:lineRule="auto"/>
              <w:ind w:right="0"/>
              <w:jc w:val="both"/>
              <w:textAlignment w:val="auto"/>
              <w:rPr>
                <w:rFonts w:hint="eastAsia" w:ascii="宋体" w:hAnsi="宋体" w:eastAsia="宋体" w:cs="宋体"/>
                <w:sz w:val="21"/>
                <w:szCs w:val="21"/>
              </w:rPr>
            </w:pPr>
            <w:r>
              <w:rPr>
                <w:rFonts w:hint="eastAsia" w:ascii="宋体" w:hAnsi="宋体" w:eastAsia="宋体" w:cs="宋体"/>
                <w:sz w:val="21"/>
                <w:szCs w:val="21"/>
              </w:rPr>
              <w:t>承包</w:t>
            </w:r>
            <w:r>
              <w:rPr>
                <w:rFonts w:hint="eastAsia" w:ascii="宋体" w:hAnsi="宋体" w:eastAsia="宋体" w:cs="宋体"/>
                <w:spacing w:val="-3"/>
                <w:sz w:val="21"/>
                <w:szCs w:val="21"/>
              </w:rPr>
              <w:t>人</w:t>
            </w:r>
            <w:r>
              <w:rPr>
                <w:rFonts w:hint="eastAsia" w:ascii="宋体" w:hAnsi="宋体" w:eastAsia="宋体" w:cs="宋体"/>
                <w:sz w:val="21"/>
                <w:szCs w:val="21"/>
              </w:rPr>
              <w:t>提出的</w:t>
            </w:r>
            <w:r>
              <w:rPr>
                <w:rFonts w:hint="eastAsia" w:ascii="宋体" w:hAnsi="宋体" w:eastAsia="宋体" w:cs="宋体"/>
                <w:spacing w:val="-3"/>
                <w:sz w:val="21"/>
                <w:szCs w:val="21"/>
              </w:rPr>
              <w:t>合</w:t>
            </w:r>
            <w:r>
              <w:rPr>
                <w:rFonts w:hint="eastAsia" w:ascii="宋体" w:hAnsi="宋体" w:eastAsia="宋体" w:cs="宋体"/>
                <w:sz w:val="21"/>
                <w:szCs w:val="21"/>
              </w:rPr>
              <w:t>理</w:t>
            </w:r>
            <w:r>
              <w:rPr>
                <w:rFonts w:hint="eastAsia" w:ascii="宋体" w:hAnsi="宋体" w:eastAsia="宋体" w:cs="宋体"/>
                <w:spacing w:val="-3"/>
                <w:sz w:val="21"/>
                <w:szCs w:val="21"/>
              </w:rPr>
              <w:t>化</w:t>
            </w:r>
            <w:r>
              <w:rPr>
                <w:rFonts w:hint="eastAsia" w:ascii="宋体" w:hAnsi="宋体" w:eastAsia="宋体" w:cs="宋体"/>
                <w:sz w:val="21"/>
                <w:szCs w:val="21"/>
              </w:rPr>
              <w:t>建</w:t>
            </w:r>
            <w:r>
              <w:rPr>
                <w:rFonts w:hint="eastAsia" w:ascii="宋体" w:hAnsi="宋体" w:eastAsia="宋体" w:cs="宋体"/>
                <w:spacing w:val="-3"/>
                <w:sz w:val="21"/>
                <w:szCs w:val="21"/>
              </w:rPr>
              <w:t>议</w:t>
            </w:r>
            <w:r>
              <w:rPr>
                <w:rFonts w:hint="eastAsia" w:ascii="宋体" w:hAnsi="宋体" w:eastAsia="宋体" w:cs="宋体"/>
                <w:sz w:val="21"/>
                <w:szCs w:val="21"/>
              </w:rPr>
              <w:t>降低</w:t>
            </w:r>
            <w:r>
              <w:rPr>
                <w:rFonts w:hint="eastAsia" w:ascii="宋体" w:hAnsi="宋体" w:eastAsia="宋体" w:cs="宋体"/>
                <w:spacing w:val="-3"/>
                <w:sz w:val="21"/>
                <w:szCs w:val="21"/>
              </w:rPr>
              <w:t>了</w:t>
            </w:r>
            <w:r>
              <w:rPr>
                <w:rFonts w:hint="eastAsia" w:ascii="宋体" w:hAnsi="宋体" w:eastAsia="宋体" w:cs="宋体"/>
                <w:sz w:val="21"/>
                <w:szCs w:val="21"/>
              </w:rPr>
              <w:t>合</w:t>
            </w:r>
            <w:r>
              <w:rPr>
                <w:rFonts w:hint="eastAsia" w:ascii="宋体" w:hAnsi="宋体" w:eastAsia="宋体" w:cs="宋体"/>
                <w:spacing w:val="-3"/>
                <w:sz w:val="21"/>
                <w:szCs w:val="21"/>
              </w:rPr>
              <w:t>同</w:t>
            </w:r>
            <w:r>
              <w:rPr>
                <w:rFonts w:hint="eastAsia" w:ascii="宋体" w:hAnsi="宋体" w:eastAsia="宋体" w:cs="宋体"/>
                <w:sz w:val="21"/>
                <w:szCs w:val="21"/>
              </w:rPr>
              <w:t>价</w:t>
            </w:r>
            <w:r>
              <w:rPr>
                <w:rFonts w:hint="eastAsia" w:ascii="宋体" w:hAnsi="宋体" w:eastAsia="宋体" w:cs="宋体"/>
                <w:spacing w:val="-3"/>
                <w:sz w:val="21"/>
                <w:szCs w:val="21"/>
              </w:rPr>
              <w:t>格</w:t>
            </w:r>
            <w:r>
              <w:rPr>
                <w:rFonts w:hint="eastAsia" w:ascii="宋体" w:hAnsi="宋体" w:eastAsia="宋体" w:cs="宋体"/>
                <w:sz w:val="21"/>
                <w:szCs w:val="21"/>
              </w:rPr>
              <w:t>或</w:t>
            </w:r>
            <w:r>
              <w:rPr>
                <w:rFonts w:hint="eastAsia" w:ascii="宋体" w:hAnsi="宋体" w:eastAsia="宋体" w:cs="宋体"/>
                <w:spacing w:val="-3"/>
                <w:sz w:val="21"/>
                <w:szCs w:val="21"/>
              </w:rPr>
              <w:t>者</w:t>
            </w:r>
            <w:r>
              <w:rPr>
                <w:rFonts w:hint="eastAsia" w:ascii="宋体" w:hAnsi="宋体" w:eastAsia="宋体" w:cs="宋体"/>
                <w:sz w:val="21"/>
                <w:szCs w:val="21"/>
              </w:rPr>
              <w:t>提</w:t>
            </w:r>
            <w:r>
              <w:rPr>
                <w:rFonts w:hint="eastAsia" w:ascii="宋体" w:hAnsi="宋体" w:eastAsia="宋体" w:cs="宋体"/>
                <w:spacing w:val="-3"/>
                <w:sz w:val="21"/>
                <w:szCs w:val="21"/>
              </w:rPr>
              <w:t>高</w:t>
            </w:r>
            <w:r>
              <w:rPr>
                <w:rFonts w:hint="eastAsia" w:ascii="宋体" w:hAnsi="宋体" w:eastAsia="宋体" w:cs="宋体"/>
                <w:sz w:val="21"/>
                <w:szCs w:val="21"/>
              </w:rPr>
              <w:t>了工</w:t>
            </w:r>
            <w:r>
              <w:rPr>
                <w:rFonts w:hint="eastAsia" w:ascii="宋体" w:hAnsi="宋体" w:eastAsia="宋体" w:cs="宋体"/>
                <w:spacing w:val="-3"/>
                <w:sz w:val="21"/>
                <w:szCs w:val="21"/>
              </w:rPr>
              <w:t>程</w:t>
            </w:r>
            <w:r>
              <w:rPr>
                <w:rFonts w:hint="eastAsia" w:ascii="宋体" w:hAnsi="宋体" w:eastAsia="宋体" w:cs="宋体"/>
                <w:sz w:val="21"/>
                <w:szCs w:val="21"/>
              </w:rPr>
              <w:t>经</w:t>
            </w:r>
            <w:r>
              <w:rPr>
                <w:rFonts w:hint="eastAsia" w:ascii="宋体" w:hAnsi="宋体" w:eastAsia="宋体" w:cs="宋体"/>
                <w:spacing w:val="-3"/>
                <w:sz w:val="21"/>
                <w:szCs w:val="21"/>
              </w:rPr>
              <w:t>济</w:t>
            </w:r>
            <w:r>
              <w:rPr>
                <w:rFonts w:hint="eastAsia" w:ascii="宋体" w:hAnsi="宋体" w:eastAsia="宋体" w:cs="宋体"/>
                <w:sz w:val="21"/>
                <w:szCs w:val="21"/>
              </w:rPr>
              <w:t>效</w:t>
            </w:r>
            <w:r>
              <w:rPr>
                <w:rFonts w:hint="eastAsia" w:ascii="宋体" w:hAnsi="宋体" w:eastAsia="宋体" w:cs="宋体"/>
                <w:spacing w:val="-3"/>
                <w:sz w:val="21"/>
                <w:szCs w:val="21"/>
              </w:rPr>
              <w:t>益</w:t>
            </w:r>
            <w:r>
              <w:rPr>
                <w:rFonts w:hint="eastAsia" w:ascii="宋体" w:hAnsi="宋体" w:eastAsia="宋体" w:cs="宋体"/>
                <w:sz w:val="21"/>
                <w:szCs w:val="21"/>
              </w:rPr>
              <w:t>的</w:t>
            </w:r>
            <w:r>
              <w:rPr>
                <w:rFonts w:hint="eastAsia" w:ascii="宋体" w:hAnsi="宋体" w:eastAsia="宋体" w:cs="宋体"/>
                <w:spacing w:val="-85"/>
                <w:sz w:val="21"/>
                <w:szCs w:val="21"/>
              </w:rPr>
              <w:t>，</w:t>
            </w:r>
            <w:r>
              <w:rPr>
                <w:rFonts w:hint="eastAsia" w:ascii="宋体" w:hAnsi="宋体" w:eastAsia="宋体" w:cs="宋体"/>
                <w:spacing w:val="-3"/>
                <w:sz w:val="21"/>
                <w:szCs w:val="21"/>
              </w:rPr>
              <w:t>发</w:t>
            </w:r>
            <w:r>
              <w:rPr>
                <w:rFonts w:hint="eastAsia" w:ascii="宋体" w:hAnsi="宋体" w:eastAsia="宋体" w:cs="宋体"/>
                <w:sz w:val="21"/>
                <w:szCs w:val="21"/>
              </w:rPr>
              <w:t>包人按</w:t>
            </w:r>
            <w:r>
              <w:rPr>
                <w:rFonts w:hint="eastAsia" w:ascii="宋体" w:hAnsi="宋体" w:eastAsia="宋体" w:cs="宋体"/>
                <w:spacing w:val="-3"/>
                <w:sz w:val="21"/>
                <w:szCs w:val="21"/>
              </w:rPr>
              <w:t>所</w:t>
            </w:r>
            <w:r>
              <w:rPr>
                <w:rFonts w:hint="eastAsia" w:ascii="宋体" w:hAnsi="宋体" w:eastAsia="宋体" w:cs="宋体"/>
                <w:sz w:val="21"/>
                <w:szCs w:val="21"/>
              </w:rPr>
              <w:t>节</w:t>
            </w:r>
            <w:r>
              <w:rPr>
                <w:rFonts w:hint="eastAsia" w:ascii="宋体" w:hAnsi="宋体" w:eastAsia="宋体" w:cs="宋体"/>
                <w:spacing w:val="-3"/>
                <w:sz w:val="21"/>
                <w:szCs w:val="21"/>
              </w:rPr>
              <w:t>约</w:t>
            </w:r>
            <w:r>
              <w:rPr>
                <w:rFonts w:hint="eastAsia" w:ascii="宋体" w:hAnsi="宋体" w:eastAsia="宋体" w:cs="宋体"/>
                <w:sz w:val="21"/>
                <w:szCs w:val="21"/>
              </w:rPr>
              <w:t>成本的</w:t>
            </w:r>
            <w:r>
              <w:rPr>
                <w:rFonts w:hint="eastAsia" w:ascii="宋体" w:hAnsi="宋体" w:eastAsia="宋体" w:cs="宋体"/>
                <w:sz w:val="21"/>
                <w:szCs w:val="21"/>
                <w:u w:val="single"/>
                <w:lang w:val="en-US" w:eastAsia="zh-CN"/>
              </w:rPr>
              <w:t>0</w:t>
            </w:r>
            <w:r>
              <w:rPr>
                <w:rFonts w:hint="eastAsia" w:ascii="宋体" w:hAnsi="宋体" w:eastAsia="宋体" w:cs="宋体"/>
                <w:spacing w:val="-4"/>
                <w:sz w:val="21"/>
                <w:szCs w:val="21"/>
              </w:rPr>
              <w:t>%</w:t>
            </w:r>
            <w:r>
              <w:rPr>
                <w:rFonts w:hint="eastAsia" w:ascii="宋体" w:hAnsi="宋体" w:eastAsia="宋体" w:cs="宋体"/>
                <w:sz w:val="21"/>
                <w:szCs w:val="21"/>
              </w:rPr>
              <w:t>或增</w:t>
            </w:r>
            <w:r>
              <w:rPr>
                <w:rFonts w:hint="eastAsia" w:ascii="宋体" w:hAnsi="宋体" w:eastAsia="宋体" w:cs="宋体"/>
                <w:spacing w:val="-3"/>
                <w:sz w:val="21"/>
                <w:szCs w:val="21"/>
              </w:rPr>
              <w:t>加</w:t>
            </w:r>
            <w:r>
              <w:rPr>
                <w:rFonts w:hint="eastAsia" w:ascii="宋体" w:hAnsi="宋体" w:eastAsia="宋体" w:cs="宋体"/>
                <w:sz w:val="21"/>
                <w:szCs w:val="21"/>
              </w:rPr>
              <w:t>收</w:t>
            </w:r>
            <w:r>
              <w:rPr>
                <w:rFonts w:hint="eastAsia" w:ascii="宋体" w:hAnsi="宋体" w:eastAsia="宋体" w:cs="宋体"/>
                <w:spacing w:val="-3"/>
                <w:sz w:val="21"/>
                <w:szCs w:val="21"/>
              </w:rPr>
              <w:t>益</w:t>
            </w:r>
            <w:r>
              <w:rPr>
                <w:rFonts w:hint="eastAsia" w:ascii="宋体" w:hAnsi="宋体" w:eastAsia="宋体" w:cs="宋体"/>
                <w:sz w:val="21"/>
                <w:szCs w:val="21"/>
              </w:rPr>
              <w:t>的</w:t>
            </w:r>
            <w:r>
              <w:rPr>
                <w:rFonts w:hint="eastAsia" w:ascii="宋体" w:hAnsi="宋体" w:eastAsia="宋体" w:cs="宋体"/>
                <w:sz w:val="21"/>
                <w:szCs w:val="21"/>
                <w:u w:val="single"/>
                <w:lang w:val="en-US" w:eastAsia="zh-CN"/>
              </w:rPr>
              <w:t>0</w:t>
            </w:r>
            <w:r>
              <w:rPr>
                <w:rFonts w:hint="eastAsia" w:ascii="宋体" w:hAnsi="宋体" w:eastAsia="宋体" w:cs="宋体"/>
                <w:spacing w:val="-4"/>
                <w:sz w:val="21"/>
                <w:szCs w:val="21"/>
              </w:rPr>
              <w:t>%</w:t>
            </w:r>
            <w:r>
              <w:rPr>
                <w:rFonts w:hint="eastAsia" w:ascii="宋体" w:hAnsi="宋体" w:eastAsia="宋体" w:cs="宋体"/>
                <w:sz w:val="21"/>
                <w:szCs w:val="21"/>
              </w:rPr>
              <w:t>给</w:t>
            </w:r>
            <w:r>
              <w:rPr>
                <w:rFonts w:hint="eastAsia" w:ascii="宋体" w:hAnsi="宋体" w:eastAsia="宋体" w:cs="宋体"/>
                <w:spacing w:val="-3"/>
                <w:sz w:val="21"/>
                <w:szCs w:val="21"/>
              </w:rPr>
              <w:t>予</w:t>
            </w:r>
            <w:r>
              <w:rPr>
                <w:rFonts w:hint="eastAsia" w:ascii="宋体" w:hAnsi="宋体" w:eastAsia="宋体" w:cs="宋体"/>
                <w:sz w:val="21"/>
                <w:szCs w:val="21"/>
              </w:rPr>
              <w:t>奖励</w:t>
            </w:r>
          </w:p>
        </w:tc>
      </w:tr>
      <w:tr w14:paraId="6750C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629" w:type="dxa"/>
            <w:vAlign w:val="center"/>
          </w:tcPr>
          <w:p w14:paraId="7F0F906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1111" w:type="dxa"/>
            <w:vAlign w:val="center"/>
          </w:tcPr>
          <w:p w14:paraId="7B81A780">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16.1</w:t>
            </w:r>
          </w:p>
        </w:tc>
        <w:tc>
          <w:tcPr>
            <w:tcW w:w="7305" w:type="dxa"/>
            <w:vAlign w:val="center"/>
          </w:tcPr>
          <w:p w14:paraId="5879DE37">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因物价波动引起的价格调整按照</w:t>
            </w:r>
            <w:r>
              <w:rPr>
                <w:rFonts w:hint="eastAsia" w:ascii="宋体" w:hAnsi="宋体" w:eastAsia="宋体" w:cs="宋体"/>
                <w:sz w:val="21"/>
                <w:szCs w:val="21"/>
                <w:u w:val="single"/>
              </w:rPr>
              <w:t xml:space="preserve"> 第 16.1.1 项或第 16.1.2 项</w:t>
            </w:r>
            <w:r>
              <w:rPr>
                <w:rFonts w:hint="eastAsia" w:ascii="宋体" w:hAnsi="宋体" w:eastAsia="宋体" w:cs="宋体"/>
                <w:sz w:val="21"/>
                <w:szCs w:val="21"/>
              </w:rPr>
              <w:t xml:space="preserve"> 约定的原则</w:t>
            </w:r>
          </w:p>
          <w:p w14:paraId="609DBB28">
            <w:pPr>
              <w:pStyle w:val="42"/>
              <w:keepNext w:val="0"/>
              <w:keepLines w:val="0"/>
              <w:pageBreakBefore w:val="0"/>
              <w:widowControl w:val="0"/>
              <w:kinsoku/>
              <w:wordWrap/>
              <w:overflowPunct/>
              <w:topLinePunct w:val="0"/>
              <w:autoSpaceDE w:val="0"/>
              <w:autoSpaceDN w:val="0"/>
              <w:bidi w:val="0"/>
              <w:adjustRightInd/>
              <w:snapToGrid/>
              <w:spacing w:before="0" w:line="360" w:lineRule="auto"/>
              <w:ind w:right="0"/>
              <w:jc w:val="both"/>
              <w:textAlignment w:val="auto"/>
              <w:rPr>
                <w:rFonts w:hint="eastAsia" w:ascii="宋体" w:hAnsi="宋体" w:eastAsia="宋体" w:cs="宋体"/>
                <w:sz w:val="21"/>
                <w:szCs w:val="21"/>
              </w:rPr>
            </w:pPr>
            <w:r>
              <w:rPr>
                <w:rFonts w:hint="eastAsia" w:ascii="宋体" w:hAnsi="宋体" w:eastAsia="宋体" w:cs="宋体"/>
                <w:sz w:val="21"/>
                <w:szCs w:val="21"/>
              </w:rPr>
              <w:t>处理</w:t>
            </w:r>
          </w:p>
        </w:tc>
      </w:tr>
    </w:tbl>
    <w:p w14:paraId="6485BAFE">
      <w:pPr>
        <w:spacing w:line="360" w:lineRule="auto"/>
        <w:rPr>
          <w:rFonts w:hint="eastAsia" w:ascii="宋体" w:hAnsi="宋体" w:eastAsia="宋体" w:cs="宋体"/>
          <w:sz w:val="21"/>
          <w:szCs w:val="21"/>
        </w:rPr>
      </w:pPr>
      <w:r>
        <w:rPr>
          <w:rFonts w:hint="eastAsia" w:ascii="宋体" w:hAnsi="宋体" w:eastAsia="宋体" w:cs="宋体"/>
          <w:sz w:val="21"/>
          <w:szCs w:val="21"/>
        </w:rPr>
        <w:br w:type="page"/>
      </w:r>
    </w:p>
    <w:tbl>
      <w:tblPr>
        <w:tblStyle w:val="25"/>
        <w:tblW w:w="0" w:type="auto"/>
        <w:tblInd w:w="3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3CDA1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629" w:type="dxa"/>
            <w:vAlign w:val="top"/>
          </w:tcPr>
          <w:p w14:paraId="03A19B13">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1111" w:type="dxa"/>
            <w:vAlign w:val="top"/>
          </w:tcPr>
          <w:p w14:paraId="250A987C">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rFonts w:hint="eastAsia" w:ascii="宋体" w:hAnsi="宋体" w:eastAsia="宋体" w:cs="宋体"/>
                <w:b/>
                <w:sz w:val="21"/>
                <w:szCs w:val="21"/>
              </w:rPr>
            </w:pPr>
            <w:r>
              <w:rPr>
                <w:rFonts w:hint="eastAsia" w:ascii="宋体" w:hAnsi="宋体" w:eastAsia="宋体" w:cs="宋体"/>
                <w:b/>
                <w:sz w:val="21"/>
                <w:szCs w:val="21"/>
              </w:rPr>
              <w:t>条目号</w:t>
            </w:r>
          </w:p>
        </w:tc>
        <w:tc>
          <w:tcPr>
            <w:tcW w:w="7305" w:type="dxa"/>
            <w:vAlign w:val="top"/>
          </w:tcPr>
          <w:p w14:paraId="6098009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b/>
                <w:sz w:val="21"/>
                <w:szCs w:val="21"/>
              </w:rPr>
            </w:pPr>
            <w:r>
              <w:rPr>
                <w:rFonts w:hint="eastAsia" w:ascii="宋体" w:hAnsi="宋体" w:eastAsia="宋体" w:cs="宋体"/>
                <w:b/>
                <w:sz w:val="21"/>
                <w:szCs w:val="21"/>
              </w:rPr>
              <w:t>信息或数据</w:t>
            </w:r>
          </w:p>
        </w:tc>
      </w:tr>
      <w:tr w14:paraId="1D297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4EB10114">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p>
        </w:tc>
        <w:tc>
          <w:tcPr>
            <w:tcW w:w="1111" w:type="dxa"/>
            <w:vAlign w:val="center"/>
          </w:tcPr>
          <w:p w14:paraId="56B7F887">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p>
        </w:tc>
        <w:tc>
          <w:tcPr>
            <w:tcW w:w="7305" w:type="dxa"/>
            <w:vAlign w:val="center"/>
          </w:tcPr>
          <w:p w14:paraId="44F6667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合同期内不调价</w:t>
            </w:r>
            <w:r>
              <w:rPr>
                <w:rFonts w:hint="eastAsia" w:ascii="宋体" w:hAnsi="宋体" w:eastAsia="宋体" w:cs="宋体"/>
                <w:sz w:val="21"/>
                <w:szCs w:val="21"/>
                <w:lang w:eastAsia="zh-CN"/>
              </w:rPr>
              <w:t>，</w:t>
            </w:r>
            <w:r>
              <w:rPr>
                <w:rFonts w:hint="eastAsia" w:ascii="宋体" w:hAnsi="宋体" w:eastAsia="宋体" w:cs="宋体"/>
                <w:spacing w:val="-9"/>
                <w:sz w:val="21"/>
                <w:szCs w:val="21"/>
              </w:rPr>
              <w:t>实际实施的工程数量与招标工程量清单数量相比，工程量增加或者减少，投标单价均不予调整。</w:t>
            </w:r>
          </w:p>
        </w:tc>
      </w:tr>
      <w:tr w14:paraId="4BF4E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6E43DD5B">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1111" w:type="dxa"/>
            <w:vAlign w:val="center"/>
          </w:tcPr>
          <w:p w14:paraId="7D404967">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17.2.1（1）</w:t>
            </w:r>
          </w:p>
        </w:tc>
        <w:tc>
          <w:tcPr>
            <w:tcW w:w="7305" w:type="dxa"/>
            <w:vAlign w:val="center"/>
          </w:tcPr>
          <w:p w14:paraId="55D403CC">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spacing w:val="-3"/>
                <w:sz w:val="21"/>
                <w:szCs w:val="21"/>
                <w:highlight w:val="none"/>
              </w:rPr>
              <w:t>开工预付款金额：</w:t>
            </w:r>
            <w:r>
              <w:rPr>
                <w:rFonts w:hint="eastAsia" w:ascii="宋体" w:hAnsi="宋体" w:eastAsia="宋体" w:cs="宋体"/>
                <w:color w:val="auto"/>
                <w:spacing w:val="-3"/>
                <w:sz w:val="21"/>
                <w:szCs w:val="21"/>
                <w:highlight w:val="none"/>
                <w:u w:val="single"/>
                <w:lang w:val="en-US" w:eastAsia="zh-CN"/>
              </w:rPr>
              <w:t xml:space="preserve"> 0</w:t>
            </w:r>
            <w:r>
              <w:rPr>
                <w:rFonts w:hint="eastAsia" w:ascii="宋体" w:hAnsi="宋体" w:eastAsia="宋体" w:cs="宋体"/>
                <w:color w:val="auto"/>
                <w:spacing w:val="-3"/>
                <w:sz w:val="21"/>
                <w:szCs w:val="21"/>
                <w:highlight w:val="none"/>
                <w:u w:val="single"/>
              </w:rPr>
              <w:t>%</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rPr>
              <w:t>签约合同价</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lang w:val="en-US" w:eastAsia="zh-CN"/>
              </w:rPr>
              <w:t>中标人须向发包人提交等额的银行预付款保函。</w:t>
            </w:r>
          </w:p>
        </w:tc>
      </w:tr>
      <w:tr w14:paraId="165D4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0D90F1EF">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16</w:t>
            </w:r>
          </w:p>
        </w:tc>
        <w:tc>
          <w:tcPr>
            <w:tcW w:w="1111" w:type="dxa"/>
            <w:vAlign w:val="center"/>
          </w:tcPr>
          <w:p w14:paraId="4CCA49C6">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17.2.1（2）</w:t>
            </w:r>
          </w:p>
        </w:tc>
        <w:tc>
          <w:tcPr>
            <w:tcW w:w="7305" w:type="dxa"/>
            <w:vAlign w:val="center"/>
          </w:tcPr>
          <w:p w14:paraId="7155B446">
            <w:pPr>
              <w:pStyle w:val="42"/>
              <w:keepNext w:val="0"/>
              <w:keepLines w:val="0"/>
              <w:pageBreakBefore w:val="0"/>
              <w:widowControl w:val="0"/>
              <w:tabs>
                <w:tab w:val="left" w:pos="2973"/>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材料</w:t>
            </w:r>
            <w:r>
              <w:rPr>
                <w:rFonts w:hint="eastAsia" w:ascii="宋体" w:hAnsi="宋体" w:eastAsia="宋体" w:cs="宋体"/>
                <w:spacing w:val="-3"/>
                <w:sz w:val="21"/>
                <w:szCs w:val="21"/>
              </w:rPr>
              <w:t>、</w:t>
            </w:r>
            <w:r>
              <w:rPr>
                <w:rFonts w:hint="eastAsia" w:ascii="宋体" w:hAnsi="宋体" w:eastAsia="宋体" w:cs="宋体"/>
                <w:sz w:val="21"/>
                <w:szCs w:val="21"/>
              </w:rPr>
              <w:t>设</w:t>
            </w:r>
            <w:r>
              <w:rPr>
                <w:rFonts w:hint="eastAsia" w:ascii="宋体" w:hAnsi="宋体" w:eastAsia="宋体" w:cs="宋体"/>
                <w:spacing w:val="-3"/>
                <w:sz w:val="21"/>
                <w:szCs w:val="21"/>
              </w:rPr>
              <w:t>备</w:t>
            </w:r>
            <w:r>
              <w:rPr>
                <w:rFonts w:hint="eastAsia" w:ascii="宋体" w:hAnsi="宋体" w:eastAsia="宋体" w:cs="宋体"/>
                <w:sz w:val="21"/>
                <w:szCs w:val="21"/>
              </w:rPr>
              <w:t>预</w:t>
            </w:r>
            <w:r>
              <w:rPr>
                <w:rFonts w:hint="eastAsia" w:ascii="宋体" w:hAnsi="宋体" w:eastAsia="宋体" w:cs="宋体"/>
                <w:spacing w:val="-3"/>
                <w:sz w:val="21"/>
                <w:szCs w:val="21"/>
              </w:rPr>
              <w:t>付</w:t>
            </w:r>
            <w:r>
              <w:rPr>
                <w:rFonts w:hint="eastAsia" w:ascii="宋体" w:hAnsi="宋体" w:eastAsia="宋体" w:cs="宋体"/>
                <w:sz w:val="21"/>
                <w:szCs w:val="21"/>
              </w:rPr>
              <w:t>款</w:t>
            </w:r>
            <w:r>
              <w:rPr>
                <w:rFonts w:hint="eastAsia" w:ascii="宋体" w:hAnsi="宋体" w:eastAsia="宋体" w:cs="宋体"/>
                <w:spacing w:val="-3"/>
                <w:sz w:val="21"/>
                <w:szCs w:val="21"/>
              </w:rPr>
              <w:t>比</w:t>
            </w:r>
            <w:r>
              <w:rPr>
                <w:rFonts w:hint="eastAsia" w:ascii="宋体" w:hAnsi="宋体" w:eastAsia="宋体" w:cs="宋体"/>
                <w:sz w:val="21"/>
                <w:szCs w:val="21"/>
              </w:rPr>
              <w:t>例</w:t>
            </w:r>
            <w:r>
              <w:rPr>
                <w:rFonts w:hint="eastAsia" w:ascii="宋体" w:hAnsi="宋体" w:eastAsia="宋体" w:cs="宋体"/>
                <w:spacing w:val="-3"/>
                <w:sz w:val="21"/>
                <w:szCs w:val="21"/>
              </w:rPr>
              <w:t>：</w:t>
            </w:r>
            <w:r>
              <w:rPr>
                <w:rFonts w:hint="eastAsia" w:ascii="宋体" w:hAnsi="宋体" w:eastAsia="宋体" w:cs="宋体"/>
                <w:spacing w:val="-3"/>
                <w:sz w:val="21"/>
                <w:szCs w:val="21"/>
                <w:u w:val="single"/>
              </w:rPr>
              <w:t xml:space="preserve"> 商品水泥混凝土、沥青混凝土、碎石、水泥</w:t>
            </w:r>
            <w:r>
              <w:rPr>
                <w:rFonts w:hint="eastAsia" w:ascii="宋体" w:hAnsi="宋体" w:eastAsia="宋体" w:cs="宋体"/>
                <w:sz w:val="21"/>
                <w:szCs w:val="21"/>
              </w:rPr>
              <w:t>等</w:t>
            </w:r>
            <w:r>
              <w:rPr>
                <w:rFonts w:hint="eastAsia" w:ascii="宋体" w:hAnsi="宋体" w:eastAsia="宋体" w:cs="宋体"/>
                <w:spacing w:val="-3"/>
                <w:sz w:val="21"/>
                <w:szCs w:val="21"/>
              </w:rPr>
              <w:t>主</w:t>
            </w:r>
            <w:r>
              <w:rPr>
                <w:rFonts w:hint="eastAsia" w:ascii="宋体" w:hAnsi="宋体" w:eastAsia="宋体" w:cs="宋体"/>
                <w:sz w:val="21"/>
                <w:szCs w:val="21"/>
              </w:rPr>
              <w:t>要</w:t>
            </w:r>
            <w:r>
              <w:rPr>
                <w:rFonts w:hint="eastAsia" w:ascii="宋体" w:hAnsi="宋体" w:eastAsia="宋体" w:cs="宋体"/>
                <w:spacing w:val="-3"/>
                <w:sz w:val="21"/>
                <w:szCs w:val="21"/>
              </w:rPr>
              <w:t>材</w:t>
            </w:r>
            <w:r>
              <w:rPr>
                <w:rFonts w:hint="eastAsia" w:ascii="宋体" w:hAnsi="宋体" w:eastAsia="宋体" w:cs="宋体"/>
                <w:sz w:val="21"/>
                <w:szCs w:val="21"/>
              </w:rPr>
              <w:t>料</w:t>
            </w:r>
            <w:r>
              <w:rPr>
                <w:rFonts w:hint="eastAsia" w:ascii="宋体" w:hAnsi="宋体" w:eastAsia="宋体" w:cs="宋体"/>
                <w:spacing w:val="-3"/>
                <w:sz w:val="21"/>
                <w:szCs w:val="21"/>
              </w:rPr>
              <w:t>、</w:t>
            </w:r>
            <w:r>
              <w:rPr>
                <w:rFonts w:hint="eastAsia" w:ascii="宋体" w:hAnsi="宋体" w:eastAsia="宋体" w:cs="宋体"/>
                <w:sz w:val="21"/>
                <w:szCs w:val="21"/>
              </w:rPr>
              <w:t>设</w:t>
            </w:r>
            <w:r>
              <w:rPr>
                <w:rFonts w:hint="eastAsia" w:ascii="宋体" w:hAnsi="宋体" w:eastAsia="宋体" w:cs="宋体"/>
                <w:spacing w:val="-3"/>
                <w:sz w:val="21"/>
                <w:szCs w:val="21"/>
              </w:rPr>
              <w:t>备</w:t>
            </w:r>
            <w:r>
              <w:rPr>
                <w:rFonts w:hint="eastAsia" w:ascii="宋体" w:hAnsi="宋体" w:eastAsia="宋体" w:cs="宋体"/>
                <w:sz w:val="21"/>
                <w:szCs w:val="21"/>
              </w:rPr>
              <w:t>单</w:t>
            </w:r>
            <w:r>
              <w:rPr>
                <w:rFonts w:hint="eastAsia" w:ascii="宋体" w:hAnsi="宋体" w:eastAsia="宋体" w:cs="宋体"/>
                <w:spacing w:val="-3"/>
                <w:sz w:val="21"/>
                <w:szCs w:val="21"/>
              </w:rPr>
              <w:t>据</w:t>
            </w:r>
            <w:r>
              <w:rPr>
                <w:rFonts w:hint="eastAsia" w:ascii="宋体" w:hAnsi="宋体" w:eastAsia="宋体" w:cs="宋体"/>
                <w:sz w:val="21"/>
                <w:szCs w:val="21"/>
              </w:rPr>
              <w:t>所列</w:t>
            </w:r>
            <w:r>
              <w:rPr>
                <w:rFonts w:hint="eastAsia" w:ascii="宋体" w:hAnsi="宋体" w:eastAsia="宋体" w:cs="宋体"/>
                <w:spacing w:val="-3"/>
                <w:sz w:val="21"/>
                <w:szCs w:val="21"/>
              </w:rPr>
              <w:t>费</w:t>
            </w:r>
            <w:r>
              <w:rPr>
                <w:rFonts w:hint="eastAsia" w:ascii="宋体" w:hAnsi="宋体" w:eastAsia="宋体" w:cs="宋体"/>
                <w:sz w:val="21"/>
                <w:szCs w:val="21"/>
              </w:rPr>
              <w:t>用的</w:t>
            </w:r>
            <w:r>
              <w:rPr>
                <w:rFonts w:hint="eastAsia" w:ascii="宋体" w:hAnsi="宋体" w:eastAsia="宋体" w:cs="宋体"/>
                <w:sz w:val="21"/>
                <w:szCs w:val="21"/>
                <w:u w:val="single"/>
                <w:lang w:val="en-US" w:eastAsia="zh-CN"/>
              </w:rPr>
              <w:t>0</w:t>
            </w:r>
            <w:r>
              <w:rPr>
                <w:rFonts w:hint="eastAsia" w:ascii="宋体" w:hAnsi="宋体" w:eastAsia="宋体" w:cs="宋体"/>
                <w:spacing w:val="4"/>
                <w:sz w:val="21"/>
                <w:szCs w:val="21"/>
                <w:u w:val="single"/>
              </w:rPr>
              <w:t xml:space="preserve"> </w:t>
            </w:r>
            <w:r>
              <w:rPr>
                <w:rFonts w:hint="eastAsia" w:ascii="宋体" w:hAnsi="宋体" w:eastAsia="宋体" w:cs="宋体"/>
                <w:sz w:val="21"/>
                <w:szCs w:val="21"/>
              </w:rPr>
              <w:t>%</w:t>
            </w:r>
            <w:r>
              <w:rPr>
                <w:rFonts w:hint="eastAsia" w:ascii="宋体" w:hAnsi="宋体" w:eastAsia="宋体" w:cs="宋体"/>
                <w:spacing w:val="14"/>
                <w:sz w:val="21"/>
                <w:szCs w:val="21"/>
              </w:rPr>
              <w:t xml:space="preserve"> </w:t>
            </w:r>
          </w:p>
        </w:tc>
      </w:tr>
      <w:tr w14:paraId="71A6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3F3339E5">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17</w:t>
            </w:r>
          </w:p>
        </w:tc>
        <w:tc>
          <w:tcPr>
            <w:tcW w:w="1111" w:type="dxa"/>
            <w:vAlign w:val="center"/>
          </w:tcPr>
          <w:p w14:paraId="58A19B99">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17.3.2</w:t>
            </w:r>
          </w:p>
        </w:tc>
        <w:tc>
          <w:tcPr>
            <w:tcW w:w="7305" w:type="dxa"/>
            <w:vAlign w:val="center"/>
          </w:tcPr>
          <w:p w14:paraId="7B250D45">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承包人在每个付款周期末向监理人提交进度付款申请单的份数：</w:t>
            </w:r>
            <w:r>
              <w:rPr>
                <w:rFonts w:hint="eastAsia" w:ascii="宋体" w:hAnsi="宋体" w:eastAsia="宋体" w:cs="宋体"/>
                <w:sz w:val="21"/>
                <w:szCs w:val="21"/>
                <w:u w:val="single"/>
                <w:lang w:val="en-US" w:eastAsia="zh-CN"/>
              </w:rPr>
              <w:t>4</w:t>
            </w:r>
            <w:r>
              <w:rPr>
                <w:rFonts w:hint="eastAsia" w:ascii="宋体" w:hAnsi="宋体" w:eastAsia="宋体" w:cs="宋体"/>
                <w:sz w:val="21"/>
                <w:szCs w:val="21"/>
              </w:rPr>
              <w:t>份</w:t>
            </w:r>
          </w:p>
        </w:tc>
      </w:tr>
      <w:tr w14:paraId="7977D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7FB1AC84">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18</w:t>
            </w:r>
          </w:p>
        </w:tc>
        <w:tc>
          <w:tcPr>
            <w:tcW w:w="1111" w:type="dxa"/>
            <w:vAlign w:val="center"/>
          </w:tcPr>
          <w:p w14:paraId="71976145">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17.3.3（1）</w:t>
            </w:r>
          </w:p>
        </w:tc>
        <w:tc>
          <w:tcPr>
            <w:tcW w:w="7305" w:type="dxa"/>
            <w:vAlign w:val="center"/>
          </w:tcPr>
          <w:p w14:paraId="55BC9818">
            <w:pPr>
              <w:pStyle w:val="42"/>
              <w:keepNext w:val="0"/>
              <w:keepLines w:val="0"/>
              <w:pageBreakBefore w:val="0"/>
              <w:widowControl w:val="0"/>
              <w:tabs>
                <w:tab w:val="left" w:pos="3079"/>
                <w:tab w:val="left" w:pos="4935"/>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color w:val="auto"/>
                <w:spacing w:val="-3"/>
                <w:sz w:val="21"/>
                <w:szCs w:val="21"/>
                <w:highlight w:val="yellow"/>
              </w:rPr>
            </w:pPr>
            <w:r>
              <w:rPr>
                <w:rFonts w:hint="eastAsia" w:ascii="宋体" w:hAnsi="宋体" w:eastAsia="宋体" w:cs="宋体"/>
                <w:color w:val="auto"/>
                <w:spacing w:val="-3"/>
                <w:sz w:val="21"/>
                <w:szCs w:val="21"/>
                <w:highlight w:val="yellow"/>
              </w:rPr>
              <w:t>施工期间按月完成合格工作量的</w:t>
            </w:r>
            <w:r>
              <w:rPr>
                <w:rFonts w:hint="eastAsia" w:ascii="宋体" w:hAnsi="宋体" w:eastAsia="宋体" w:cs="宋体"/>
                <w:color w:val="auto"/>
                <w:spacing w:val="-3"/>
                <w:sz w:val="21"/>
                <w:szCs w:val="21"/>
                <w:highlight w:val="yellow"/>
                <w:lang w:val="en-US" w:eastAsia="zh-CN"/>
              </w:rPr>
              <w:t>8</w:t>
            </w:r>
            <w:r>
              <w:rPr>
                <w:rFonts w:hint="eastAsia" w:ascii="宋体" w:hAnsi="宋体" w:eastAsia="宋体" w:cs="宋体"/>
                <w:color w:val="auto"/>
                <w:spacing w:val="-3"/>
                <w:sz w:val="21"/>
                <w:szCs w:val="21"/>
                <w:highlight w:val="yellow"/>
              </w:rPr>
              <w:t>0%支付；工程</w:t>
            </w:r>
            <w:r>
              <w:rPr>
                <w:rFonts w:hint="eastAsia" w:ascii="宋体" w:hAnsi="宋体" w:eastAsia="宋体" w:cs="宋体"/>
                <w:color w:val="auto"/>
                <w:spacing w:val="-3"/>
                <w:sz w:val="21"/>
                <w:szCs w:val="21"/>
                <w:highlight w:val="yellow"/>
                <w:lang w:val="en-US" w:eastAsia="zh-CN"/>
              </w:rPr>
              <w:t>交工</w:t>
            </w:r>
            <w:r>
              <w:rPr>
                <w:rFonts w:hint="eastAsia" w:ascii="宋体" w:hAnsi="宋体" w:eastAsia="宋体" w:cs="宋体"/>
                <w:color w:val="auto"/>
                <w:spacing w:val="-3"/>
                <w:sz w:val="21"/>
                <w:szCs w:val="21"/>
                <w:highlight w:val="yellow"/>
              </w:rPr>
              <w:t>验收合格后付计量款的90%。待工程竣工</w:t>
            </w:r>
            <w:r>
              <w:rPr>
                <w:rFonts w:hint="eastAsia" w:ascii="宋体" w:hAnsi="宋体" w:eastAsia="宋体" w:cs="宋体"/>
                <w:color w:val="auto"/>
                <w:spacing w:val="-3"/>
                <w:sz w:val="21"/>
                <w:szCs w:val="21"/>
                <w:highlight w:val="yellow"/>
                <w:lang w:val="en-US" w:eastAsia="zh-CN"/>
              </w:rPr>
              <w:t>验收合格，报送竣工</w:t>
            </w:r>
            <w:r>
              <w:rPr>
                <w:rFonts w:hint="eastAsia" w:ascii="宋体" w:hAnsi="宋体" w:eastAsia="宋体" w:cs="宋体"/>
                <w:color w:val="auto"/>
                <w:spacing w:val="-3"/>
                <w:sz w:val="21"/>
                <w:szCs w:val="21"/>
                <w:highlight w:val="yellow"/>
              </w:rPr>
              <w:t>结算经审计机构审核确认后，按审计机构出具的竣工审计报告支付至结算价的100%；承包人需向发包人单独提供合同金额3%的质量保证金保函（电子保函或纸质保函）；待质保期在缺陷责任期满并无质量问题发生后，发包人退还质量保证金。</w:t>
            </w:r>
          </w:p>
          <w:p w14:paraId="104F313E">
            <w:pPr>
              <w:pStyle w:val="42"/>
              <w:keepNext w:val="0"/>
              <w:keepLines w:val="0"/>
              <w:pageBreakBefore w:val="0"/>
              <w:widowControl w:val="0"/>
              <w:tabs>
                <w:tab w:val="left" w:pos="3079"/>
                <w:tab w:val="left" w:pos="4935"/>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color w:val="auto"/>
                <w:spacing w:val="-3"/>
                <w:sz w:val="21"/>
                <w:szCs w:val="21"/>
                <w:highlight w:val="yellow"/>
              </w:rPr>
              <w:t>注：1、承包人应在国家规定的质保期内自费承担保修义务和责任，直到工程满足质量要求。因承包人未能及时修复，发包人有权另行选择施工单位实施保修工作，发生的费用将从工程款中扣除。</w:t>
            </w:r>
            <w:r>
              <w:rPr>
                <w:rFonts w:hint="eastAsia" w:ascii="宋体" w:hAnsi="宋体" w:eastAsia="宋体" w:cs="宋体"/>
                <w:color w:val="FF0000"/>
                <w:spacing w:val="-3"/>
                <w:sz w:val="21"/>
                <w:szCs w:val="21"/>
                <w:highlight w:val="yellow"/>
              </w:rPr>
              <w:t xml:space="preserve"> </w:t>
            </w:r>
          </w:p>
        </w:tc>
      </w:tr>
      <w:tr w14:paraId="28F06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2D5C6C69">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19</w:t>
            </w:r>
          </w:p>
        </w:tc>
        <w:tc>
          <w:tcPr>
            <w:tcW w:w="1111" w:type="dxa"/>
            <w:vAlign w:val="center"/>
          </w:tcPr>
          <w:p w14:paraId="141A3D5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17.3.3（2）</w:t>
            </w:r>
          </w:p>
        </w:tc>
        <w:tc>
          <w:tcPr>
            <w:tcW w:w="7305" w:type="dxa"/>
            <w:vAlign w:val="center"/>
          </w:tcPr>
          <w:p w14:paraId="57685BE4">
            <w:pPr>
              <w:pStyle w:val="42"/>
              <w:keepNext w:val="0"/>
              <w:keepLines w:val="0"/>
              <w:pageBreakBefore w:val="0"/>
              <w:widowControl w:val="0"/>
              <w:tabs>
                <w:tab w:val="left" w:pos="3185"/>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逾期</w:t>
            </w:r>
            <w:r>
              <w:rPr>
                <w:rFonts w:hint="eastAsia" w:ascii="宋体" w:hAnsi="宋体" w:eastAsia="宋体" w:cs="宋体"/>
                <w:spacing w:val="-3"/>
                <w:sz w:val="21"/>
                <w:szCs w:val="21"/>
              </w:rPr>
              <w:t>付</w:t>
            </w:r>
            <w:r>
              <w:rPr>
                <w:rFonts w:hint="eastAsia" w:ascii="宋体" w:hAnsi="宋体" w:eastAsia="宋体" w:cs="宋体"/>
                <w:sz w:val="21"/>
                <w:szCs w:val="21"/>
              </w:rPr>
              <w:t>款</w:t>
            </w:r>
            <w:r>
              <w:rPr>
                <w:rFonts w:hint="eastAsia" w:ascii="宋体" w:hAnsi="宋体" w:eastAsia="宋体" w:cs="宋体"/>
                <w:spacing w:val="-3"/>
                <w:sz w:val="21"/>
                <w:szCs w:val="21"/>
              </w:rPr>
              <w:t>违</w:t>
            </w:r>
            <w:r>
              <w:rPr>
                <w:rFonts w:hint="eastAsia" w:ascii="宋体" w:hAnsi="宋体" w:eastAsia="宋体" w:cs="宋体"/>
                <w:sz w:val="21"/>
                <w:szCs w:val="21"/>
              </w:rPr>
              <w:t>约</w:t>
            </w:r>
            <w:r>
              <w:rPr>
                <w:rFonts w:hint="eastAsia" w:ascii="宋体" w:hAnsi="宋体" w:eastAsia="宋体" w:cs="宋体"/>
                <w:spacing w:val="-3"/>
                <w:sz w:val="21"/>
                <w:szCs w:val="21"/>
              </w:rPr>
              <w:t>金</w:t>
            </w:r>
            <w:r>
              <w:rPr>
                <w:rFonts w:hint="eastAsia" w:ascii="宋体" w:hAnsi="宋体" w:eastAsia="宋体" w:cs="宋体"/>
                <w:sz w:val="21"/>
                <w:szCs w:val="21"/>
              </w:rPr>
              <w:t>的</w:t>
            </w:r>
            <w:r>
              <w:rPr>
                <w:rFonts w:hint="eastAsia" w:ascii="宋体" w:hAnsi="宋体" w:eastAsia="宋体" w:cs="宋体"/>
                <w:spacing w:val="-3"/>
                <w:sz w:val="21"/>
                <w:szCs w:val="21"/>
              </w:rPr>
              <w:t>利</w:t>
            </w:r>
            <w:r>
              <w:rPr>
                <w:rFonts w:hint="eastAsia" w:ascii="宋体" w:hAnsi="宋体" w:eastAsia="宋体" w:cs="宋体"/>
                <w:sz w:val="21"/>
                <w:szCs w:val="21"/>
              </w:rPr>
              <w:t>率</w:t>
            </w:r>
            <w:r>
              <w:rPr>
                <w:rFonts w:hint="eastAsia" w:ascii="宋体" w:hAnsi="宋体" w:eastAsia="宋体" w:cs="宋体"/>
                <w:spacing w:val="-3"/>
                <w:sz w:val="21"/>
                <w:szCs w:val="21"/>
              </w:rPr>
              <w:t>：</w:t>
            </w:r>
            <w:r>
              <w:rPr>
                <w:rFonts w:hint="eastAsia" w:ascii="宋体" w:hAnsi="宋体" w:eastAsia="宋体" w:cs="宋体"/>
                <w:spacing w:val="-3"/>
                <w:sz w:val="21"/>
                <w:szCs w:val="21"/>
                <w:u w:val="single"/>
              </w:rPr>
              <w:t xml:space="preserve"> </w:t>
            </w:r>
            <w:r>
              <w:rPr>
                <w:rFonts w:hint="eastAsia" w:ascii="宋体" w:hAnsi="宋体" w:eastAsia="宋体" w:cs="宋体"/>
                <w:spacing w:val="-3"/>
                <w:sz w:val="21"/>
                <w:szCs w:val="21"/>
                <w:u w:val="single"/>
                <w:lang w:val="en-US" w:eastAsia="zh-CN"/>
              </w:rPr>
              <w:t>/</w:t>
            </w:r>
            <w:r>
              <w:rPr>
                <w:rFonts w:hint="eastAsia" w:ascii="宋体" w:hAnsi="宋体" w:eastAsia="宋体" w:cs="宋体"/>
                <w:sz w:val="21"/>
                <w:szCs w:val="21"/>
              </w:rPr>
              <w:t>‰/</w:t>
            </w:r>
            <w:r>
              <w:rPr>
                <w:rFonts w:hint="eastAsia" w:ascii="宋体" w:hAnsi="宋体" w:eastAsia="宋体" w:cs="宋体"/>
                <w:spacing w:val="-3"/>
                <w:sz w:val="21"/>
                <w:szCs w:val="21"/>
              </w:rPr>
              <w:t>天</w:t>
            </w:r>
          </w:p>
        </w:tc>
      </w:tr>
      <w:tr w14:paraId="6E5F8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1519CE89">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20</w:t>
            </w:r>
          </w:p>
        </w:tc>
        <w:tc>
          <w:tcPr>
            <w:tcW w:w="1111" w:type="dxa"/>
            <w:vAlign w:val="center"/>
          </w:tcPr>
          <w:p w14:paraId="4973E3B5">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17.4.1</w:t>
            </w:r>
          </w:p>
        </w:tc>
        <w:tc>
          <w:tcPr>
            <w:tcW w:w="7305" w:type="dxa"/>
            <w:vAlign w:val="center"/>
          </w:tcPr>
          <w:p w14:paraId="56D5C64D">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质量保证金金额：3%合同价格，若交工验收时承包人具备被招标项目所在地省级交通运输主管部门评定的最高信用等级，发包人给予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合同价格质量保证金的优惠。</w:t>
            </w:r>
          </w:p>
          <w:p w14:paraId="24F164CB">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1、在工程项目竣工前，已经缴纳履约保证金的，不同时预留工程质量保证金。</w:t>
            </w:r>
          </w:p>
          <w:p w14:paraId="0B47897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2、质量保证金采用以下缴纳方式均可：（1）形式：☑银行转账 ☑银行电汇 ☑网银 ☑ 银行保函 ☑担保机构担保 ☑保证保险 （2）比例/金额：中标合同金额的3％。</w:t>
            </w:r>
          </w:p>
        </w:tc>
      </w:tr>
      <w:tr w14:paraId="47F42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6AD7B710">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21</w:t>
            </w:r>
          </w:p>
        </w:tc>
        <w:tc>
          <w:tcPr>
            <w:tcW w:w="1111" w:type="dxa"/>
            <w:vAlign w:val="center"/>
          </w:tcPr>
          <w:p w14:paraId="3A6A81BF">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17.5.1（1）</w:t>
            </w:r>
          </w:p>
        </w:tc>
        <w:tc>
          <w:tcPr>
            <w:tcW w:w="7305" w:type="dxa"/>
            <w:vAlign w:val="center"/>
          </w:tcPr>
          <w:p w14:paraId="1F26B287">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承包人向监理人提交交工付款申请单（包括相关证明材料）的份数：</w:t>
            </w: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lang w:val="en-US" w:eastAsia="zh-CN"/>
              </w:rPr>
              <w:t>4</w:t>
            </w:r>
            <w:r>
              <w:rPr>
                <w:rFonts w:hint="eastAsia" w:ascii="宋体" w:hAnsi="宋体" w:eastAsia="宋体" w:cs="宋体"/>
                <w:sz w:val="21"/>
                <w:szCs w:val="21"/>
              </w:rPr>
              <w:t>份</w:t>
            </w:r>
          </w:p>
        </w:tc>
      </w:tr>
      <w:tr w14:paraId="12881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35BAF1B0">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1111" w:type="dxa"/>
            <w:vAlign w:val="center"/>
          </w:tcPr>
          <w:p w14:paraId="0A4BCF64">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17.6.1（1）</w:t>
            </w:r>
          </w:p>
        </w:tc>
        <w:tc>
          <w:tcPr>
            <w:tcW w:w="7305" w:type="dxa"/>
            <w:vAlign w:val="center"/>
          </w:tcPr>
          <w:p w14:paraId="3D13FC80">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承包人向监理人提交最终结清申请单（包括相关证明材料）的份数：</w:t>
            </w: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lang w:val="en-US" w:eastAsia="zh-CN"/>
              </w:rPr>
              <w:t>4</w:t>
            </w:r>
            <w:r>
              <w:rPr>
                <w:rFonts w:hint="eastAsia" w:ascii="宋体" w:hAnsi="宋体" w:eastAsia="宋体" w:cs="宋体"/>
                <w:sz w:val="21"/>
                <w:szCs w:val="21"/>
              </w:rPr>
              <w:t>份</w:t>
            </w:r>
          </w:p>
        </w:tc>
      </w:tr>
      <w:tr w14:paraId="611FE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69CD135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23</w:t>
            </w:r>
          </w:p>
        </w:tc>
        <w:tc>
          <w:tcPr>
            <w:tcW w:w="1111" w:type="dxa"/>
            <w:vAlign w:val="center"/>
          </w:tcPr>
          <w:p w14:paraId="2D9B6AAF">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18.2（2）</w:t>
            </w:r>
          </w:p>
        </w:tc>
        <w:tc>
          <w:tcPr>
            <w:tcW w:w="7305" w:type="dxa"/>
            <w:vAlign w:val="center"/>
          </w:tcPr>
          <w:p w14:paraId="6E594004">
            <w:pPr>
              <w:pStyle w:val="42"/>
              <w:keepNext w:val="0"/>
              <w:keepLines w:val="0"/>
              <w:pageBreakBefore w:val="0"/>
              <w:widowControl w:val="0"/>
              <w:tabs>
                <w:tab w:val="left" w:pos="2659"/>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竣工</w:t>
            </w:r>
            <w:r>
              <w:rPr>
                <w:rFonts w:hint="eastAsia" w:ascii="宋体" w:hAnsi="宋体" w:eastAsia="宋体" w:cs="宋体"/>
                <w:spacing w:val="-3"/>
                <w:sz w:val="21"/>
                <w:szCs w:val="21"/>
              </w:rPr>
              <w:t>资</w:t>
            </w:r>
            <w:r>
              <w:rPr>
                <w:rFonts w:hint="eastAsia" w:ascii="宋体" w:hAnsi="宋体" w:eastAsia="宋体" w:cs="宋体"/>
                <w:sz w:val="21"/>
                <w:szCs w:val="21"/>
              </w:rPr>
              <w:t>料</w:t>
            </w:r>
            <w:r>
              <w:rPr>
                <w:rFonts w:hint="eastAsia" w:ascii="宋体" w:hAnsi="宋体" w:eastAsia="宋体" w:cs="宋体"/>
                <w:spacing w:val="-3"/>
                <w:sz w:val="21"/>
                <w:szCs w:val="21"/>
              </w:rPr>
              <w:t>的</w:t>
            </w:r>
            <w:r>
              <w:rPr>
                <w:rFonts w:hint="eastAsia" w:ascii="宋体" w:hAnsi="宋体" w:eastAsia="宋体" w:cs="宋体"/>
                <w:sz w:val="21"/>
                <w:szCs w:val="21"/>
              </w:rPr>
              <w:t>份</w:t>
            </w:r>
            <w:r>
              <w:rPr>
                <w:rFonts w:hint="eastAsia" w:ascii="宋体" w:hAnsi="宋体" w:eastAsia="宋体" w:cs="宋体"/>
                <w:spacing w:val="-3"/>
                <w:sz w:val="21"/>
                <w:szCs w:val="21"/>
              </w:rPr>
              <w:t>数</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份</w:t>
            </w:r>
          </w:p>
        </w:tc>
      </w:tr>
      <w:tr w14:paraId="08016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096AF33D">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24</w:t>
            </w:r>
          </w:p>
        </w:tc>
        <w:tc>
          <w:tcPr>
            <w:tcW w:w="1111" w:type="dxa"/>
            <w:vAlign w:val="center"/>
          </w:tcPr>
          <w:p w14:paraId="5047813E">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18.5.1</w:t>
            </w:r>
          </w:p>
        </w:tc>
        <w:tc>
          <w:tcPr>
            <w:tcW w:w="7305" w:type="dxa"/>
            <w:vAlign w:val="center"/>
          </w:tcPr>
          <w:p w14:paraId="753730CD">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单位工程或工程设备是否需投入施工期运行：</w:t>
            </w:r>
            <w:r>
              <w:rPr>
                <w:rFonts w:hint="eastAsia" w:ascii="宋体" w:hAnsi="宋体" w:eastAsia="宋体" w:cs="宋体"/>
                <w:sz w:val="21"/>
                <w:szCs w:val="21"/>
                <w:u w:val="single"/>
              </w:rPr>
              <w:t xml:space="preserve"> 否 </w:t>
            </w:r>
          </w:p>
          <w:p w14:paraId="4B88AA51">
            <w:pPr>
              <w:pStyle w:val="42"/>
              <w:keepNext w:val="0"/>
              <w:keepLines w:val="0"/>
              <w:pageBreakBefore w:val="0"/>
              <w:widowControl w:val="0"/>
              <w:tabs>
                <w:tab w:val="left" w:pos="4462"/>
              </w:tabs>
              <w:kinsoku/>
              <w:wordWrap/>
              <w:overflowPunct/>
              <w:topLinePunct w:val="0"/>
              <w:autoSpaceDE w:val="0"/>
              <w:autoSpaceDN w:val="0"/>
              <w:bidi w:val="0"/>
              <w:adjustRightInd/>
              <w:snapToGrid/>
              <w:spacing w:before="0" w:line="360" w:lineRule="auto"/>
              <w:ind w:right="0"/>
              <w:jc w:val="both"/>
              <w:textAlignment w:val="auto"/>
              <w:rPr>
                <w:rFonts w:hint="eastAsia" w:ascii="宋体" w:hAnsi="宋体" w:eastAsia="宋体" w:cs="宋体"/>
                <w:sz w:val="21"/>
                <w:szCs w:val="21"/>
              </w:rPr>
            </w:pPr>
            <w:r>
              <w:rPr>
                <w:rFonts w:hint="eastAsia" w:ascii="宋体" w:hAnsi="宋体" w:eastAsia="宋体" w:cs="宋体"/>
                <w:sz w:val="21"/>
                <w:szCs w:val="21"/>
              </w:rPr>
              <w:t>如单</w:t>
            </w:r>
            <w:r>
              <w:rPr>
                <w:rFonts w:hint="eastAsia" w:ascii="宋体" w:hAnsi="宋体" w:eastAsia="宋体" w:cs="宋体"/>
                <w:spacing w:val="-3"/>
                <w:sz w:val="21"/>
                <w:szCs w:val="21"/>
              </w:rPr>
              <w:t>位</w:t>
            </w:r>
            <w:r>
              <w:rPr>
                <w:rFonts w:hint="eastAsia" w:ascii="宋体" w:hAnsi="宋体" w:eastAsia="宋体" w:cs="宋体"/>
                <w:sz w:val="21"/>
                <w:szCs w:val="21"/>
              </w:rPr>
              <w:t>工</w:t>
            </w:r>
            <w:r>
              <w:rPr>
                <w:rFonts w:hint="eastAsia" w:ascii="宋体" w:hAnsi="宋体" w:eastAsia="宋体" w:cs="宋体"/>
                <w:spacing w:val="-3"/>
                <w:sz w:val="21"/>
                <w:szCs w:val="21"/>
              </w:rPr>
              <w:t>程</w:t>
            </w:r>
            <w:r>
              <w:rPr>
                <w:rFonts w:hint="eastAsia" w:ascii="宋体" w:hAnsi="宋体" w:eastAsia="宋体" w:cs="宋体"/>
                <w:sz w:val="21"/>
                <w:szCs w:val="21"/>
              </w:rPr>
              <w:t>或</w:t>
            </w:r>
            <w:r>
              <w:rPr>
                <w:rFonts w:hint="eastAsia" w:ascii="宋体" w:hAnsi="宋体" w:eastAsia="宋体" w:cs="宋体"/>
                <w:spacing w:val="-3"/>
                <w:sz w:val="21"/>
                <w:szCs w:val="21"/>
              </w:rPr>
              <w:t>工</w:t>
            </w:r>
            <w:r>
              <w:rPr>
                <w:rFonts w:hint="eastAsia" w:ascii="宋体" w:hAnsi="宋体" w:eastAsia="宋体" w:cs="宋体"/>
                <w:sz w:val="21"/>
                <w:szCs w:val="21"/>
              </w:rPr>
              <w:t>程</w:t>
            </w:r>
            <w:r>
              <w:rPr>
                <w:rFonts w:hint="eastAsia" w:ascii="宋体" w:hAnsi="宋体" w:eastAsia="宋体" w:cs="宋体"/>
                <w:spacing w:val="-3"/>
                <w:sz w:val="21"/>
                <w:szCs w:val="21"/>
              </w:rPr>
              <w:t>设</w:t>
            </w:r>
            <w:r>
              <w:rPr>
                <w:rFonts w:hint="eastAsia" w:ascii="宋体" w:hAnsi="宋体" w:eastAsia="宋体" w:cs="宋体"/>
                <w:sz w:val="21"/>
                <w:szCs w:val="21"/>
              </w:rPr>
              <w:t>备</w:t>
            </w:r>
            <w:r>
              <w:rPr>
                <w:rFonts w:hint="eastAsia" w:ascii="宋体" w:hAnsi="宋体" w:eastAsia="宋体" w:cs="宋体"/>
                <w:spacing w:val="-3"/>
                <w:sz w:val="21"/>
                <w:szCs w:val="21"/>
              </w:rPr>
              <w:t>需</w:t>
            </w:r>
            <w:r>
              <w:rPr>
                <w:rFonts w:hint="eastAsia" w:ascii="宋体" w:hAnsi="宋体" w:eastAsia="宋体" w:cs="宋体"/>
                <w:sz w:val="21"/>
                <w:szCs w:val="21"/>
              </w:rPr>
              <w:t>要进</w:t>
            </w:r>
            <w:r>
              <w:rPr>
                <w:rFonts w:hint="eastAsia" w:ascii="宋体" w:hAnsi="宋体" w:eastAsia="宋体" w:cs="宋体"/>
                <w:spacing w:val="-3"/>
                <w:sz w:val="21"/>
                <w:szCs w:val="21"/>
              </w:rPr>
              <w:t>行</w:t>
            </w:r>
            <w:r>
              <w:rPr>
                <w:rFonts w:hint="eastAsia" w:ascii="宋体" w:hAnsi="宋体" w:eastAsia="宋体" w:cs="宋体"/>
                <w:sz w:val="21"/>
                <w:szCs w:val="21"/>
              </w:rPr>
              <w:t>施</w:t>
            </w:r>
            <w:r>
              <w:rPr>
                <w:rFonts w:hint="eastAsia" w:ascii="宋体" w:hAnsi="宋体" w:eastAsia="宋体" w:cs="宋体"/>
                <w:spacing w:val="-3"/>
                <w:sz w:val="21"/>
                <w:szCs w:val="21"/>
              </w:rPr>
              <w:t>工</w:t>
            </w:r>
            <w:r>
              <w:rPr>
                <w:rFonts w:hint="eastAsia" w:ascii="宋体" w:hAnsi="宋体" w:eastAsia="宋体" w:cs="宋体"/>
                <w:sz w:val="21"/>
                <w:szCs w:val="21"/>
              </w:rPr>
              <w:t>期</w:t>
            </w:r>
            <w:r>
              <w:rPr>
                <w:rFonts w:hint="eastAsia" w:ascii="宋体" w:hAnsi="宋体" w:eastAsia="宋体" w:cs="宋体"/>
                <w:spacing w:val="-3"/>
                <w:sz w:val="21"/>
                <w:szCs w:val="21"/>
              </w:rPr>
              <w:t>运</w:t>
            </w:r>
            <w:r>
              <w:rPr>
                <w:rFonts w:hint="eastAsia" w:ascii="宋体" w:hAnsi="宋体" w:eastAsia="宋体" w:cs="宋体"/>
                <w:sz w:val="21"/>
                <w:szCs w:val="21"/>
              </w:rPr>
              <w:t>行</w:t>
            </w:r>
            <w:r>
              <w:rPr>
                <w:rFonts w:hint="eastAsia" w:ascii="宋体" w:hAnsi="宋体" w:eastAsia="宋体" w:cs="宋体"/>
                <w:spacing w:val="-85"/>
                <w:sz w:val="21"/>
                <w:szCs w:val="21"/>
              </w:rPr>
              <w:t>，</w:t>
            </w:r>
            <w:r>
              <w:rPr>
                <w:rFonts w:hint="eastAsia" w:ascii="宋体" w:hAnsi="宋体" w:eastAsia="宋体" w:cs="宋体"/>
                <w:sz w:val="21"/>
                <w:szCs w:val="21"/>
              </w:rPr>
              <w:t>需</w:t>
            </w:r>
            <w:r>
              <w:rPr>
                <w:rFonts w:hint="eastAsia" w:ascii="宋体" w:hAnsi="宋体" w:eastAsia="宋体" w:cs="宋体"/>
                <w:spacing w:val="-3"/>
                <w:sz w:val="21"/>
                <w:szCs w:val="21"/>
              </w:rPr>
              <w:t>要施</w:t>
            </w:r>
            <w:r>
              <w:rPr>
                <w:rFonts w:hint="eastAsia" w:ascii="宋体" w:hAnsi="宋体" w:eastAsia="宋体" w:cs="宋体"/>
                <w:sz w:val="21"/>
                <w:szCs w:val="21"/>
              </w:rPr>
              <w:t>工期</w:t>
            </w:r>
            <w:r>
              <w:rPr>
                <w:rFonts w:hint="eastAsia" w:ascii="宋体" w:hAnsi="宋体" w:eastAsia="宋体" w:cs="宋体"/>
                <w:spacing w:val="-3"/>
                <w:sz w:val="21"/>
                <w:szCs w:val="21"/>
              </w:rPr>
              <w:t>运</w:t>
            </w:r>
            <w:r>
              <w:rPr>
                <w:rFonts w:hint="eastAsia" w:ascii="宋体" w:hAnsi="宋体" w:eastAsia="宋体" w:cs="宋体"/>
                <w:sz w:val="21"/>
                <w:szCs w:val="21"/>
              </w:rPr>
              <w:t>行</w:t>
            </w:r>
            <w:r>
              <w:rPr>
                <w:rFonts w:hint="eastAsia" w:ascii="宋体" w:hAnsi="宋体" w:eastAsia="宋体" w:cs="宋体"/>
                <w:spacing w:val="-3"/>
                <w:sz w:val="21"/>
                <w:szCs w:val="21"/>
              </w:rPr>
              <w:t>的</w:t>
            </w:r>
            <w:r>
              <w:rPr>
                <w:rFonts w:hint="eastAsia" w:ascii="宋体" w:hAnsi="宋体" w:eastAsia="宋体" w:cs="宋体"/>
                <w:sz w:val="21"/>
                <w:szCs w:val="21"/>
              </w:rPr>
              <w:t>单</w:t>
            </w:r>
            <w:r>
              <w:rPr>
                <w:rFonts w:hint="eastAsia" w:ascii="宋体" w:hAnsi="宋体" w:eastAsia="宋体" w:cs="宋体"/>
                <w:spacing w:val="-3"/>
                <w:sz w:val="21"/>
                <w:szCs w:val="21"/>
              </w:rPr>
              <w:t>位</w:t>
            </w:r>
            <w:r>
              <w:rPr>
                <w:rFonts w:hint="eastAsia" w:ascii="宋体" w:hAnsi="宋体" w:eastAsia="宋体" w:cs="宋体"/>
                <w:sz w:val="21"/>
                <w:szCs w:val="21"/>
              </w:rPr>
              <w:t>工</w:t>
            </w:r>
            <w:r>
              <w:rPr>
                <w:rFonts w:hint="eastAsia" w:ascii="宋体" w:hAnsi="宋体" w:eastAsia="宋体" w:cs="宋体"/>
                <w:spacing w:val="-3"/>
                <w:sz w:val="21"/>
                <w:szCs w:val="21"/>
              </w:rPr>
              <w:t>程</w:t>
            </w:r>
            <w:r>
              <w:rPr>
                <w:rFonts w:hint="eastAsia" w:ascii="宋体" w:hAnsi="宋体" w:eastAsia="宋体" w:cs="宋体"/>
                <w:sz w:val="21"/>
                <w:szCs w:val="21"/>
              </w:rPr>
              <w:t>或工程</w:t>
            </w:r>
            <w:r>
              <w:rPr>
                <w:rFonts w:hint="eastAsia" w:ascii="宋体" w:hAnsi="宋体" w:eastAsia="宋体" w:cs="宋体"/>
                <w:spacing w:val="-3"/>
                <w:sz w:val="21"/>
                <w:szCs w:val="21"/>
              </w:rPr>
              <w:t>设</w:t>
            </w:r>
            <w:r>
              <w:rPr>
                <w:rFonts w:hint="eastAsia" w:ascii="宋体" w:hAnsi="宋体" w:eastAsia="宋体" w:cs="宋体"/>
                <w:sz w:val="21"/>
                <w:szCs w:val="21"/>
              </w:rPr>
              <w:t>备</w:t>
            </w:r>
            <w:r>
              <w:rPr>
                <w:rFonts w:hint="eastAsia" w:ascii="宋体" w:hAnsi="宋体" w:eastAsia="宋体" w:cs="宋体"/>
                <w:spacing w:val="-3"/>
                <w:sz w:val="21"/>
                <w:szCs w:val="21"/>
              </w:rPr>
              <w:t>规</w:t>
            </w:r>
            <w:r>
              <w:rPr>
                <w:rFonts w:hint="eastAsia" w:ascii="宋体" w:hAnsi="宋体" w:eastAsia="宋体" w:cs="宋体"/>
                <w:sz w:val="21"/>
                <w:szCs w:val="21"/>
              </w:rPr>
              <w:t>定</w:t>
            </w:r>
            <w:r>
              <w:rPr>
                <w:rFonts w:hint="eastAsia" w:ascii="宋体" w:hAnsi="宋体" w:eastAsia="宋体" w:cs="宋体"/>
                <w:spacing w:val="-3"/>
                <w:sz w:val="21"/>
                <w:szCs w:val="21"/>
              </w:rPr>
              <w:t>如</w:t>
            </w:r>
            <w:r>
              <w:rPr>
                <w:rFonts w:hint="eastAsia" w:ascii="宋体" w:hAnsi="宋体" w:eastAsia="宋体" w:cs="宋体"/>
                <w:sz w:val="21"/>
                <w:szCs w:val="21"/>
              </w:rPr>
              <w:t>下</w:t>
            </w:r>
            <w:r>
              <w:rPr>
                <w:rFonts w:hint="eastAsia" w:ascii="宋体" w:hAnsi="宋体" w:eastAsia="宋体" w:cs="宋体"/>
                <w:spacing w:val="-3"/>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w:t>
            </w:r>
          </w:p>
        </w:tc>
      </w:tr>
      <w:tr w14:paraId="4EB2A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208F653C">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p>
          <w:p w14:paraId="6A6FE9FA">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25</w:t>
            </w:r>
          </w:p>
        </w:tc>
        <w:tc>
          <w:tcPr>
            <w:tcW w:w="1111" w:type="dxa"/>
            <w:vAlign w:val="center"/>
          </w:tcPr>
          <w:p w14:paraId="7C8DFA10">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p>
          <w:p w14:paraId="234F9515">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18.6.1</w:t>
            </w:r>
          </w:p>
        </w:tc>
        <w:tc>
          <w:tcPr>
            <w:tcW w:w="7305" w:type="dxa"/>
            <w:vAlign w:val="center"/>
          </w:tcPr>
          <w:p w14:paraId="52842D1C">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本工程及工程设备是否进行试运行：</w:t>
            </w:r>
            <w:r>
              <w:rPr>
                <w:rFonts w:hint="eastAsia" w:ascii="宋体" w:hAnsi="宋体" w:eastAsia="宋体" w:cs="宋体"/>
                <w:sz w:val="21"/>
                <w:szCs w:val="21"/>
                <w:u w:val="single"/>
              </w:rPr>
              <w:t xml:space="preserve"> 否</w:t>
            </w:r>
          </w:p>
          <w:p w14:paraId="344800C4">
            <w:pPr>
              <w:pStyle w:val="42"/>
              <w:keepNext w:val="0"/>
              <w:keepLines w:val="0"/>
              <w:pageBreakBefore w:val="0"/>
              <w:widowControl w:val="0"/>
              <w:tabs>
                <w:tab w:val="left" w:pos="7244"/>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如本</w:t>
            </w:r>
            <w:r>
              <w:rPr>
                <w:rFonts w:hint="eastAsia" w:ascii="宋体" w:hAnsi="宋体" w:eastAsia="宋体" w:cs="宋体"/>
                <w:spacing w:val="-3"/>
                <w:sz w:val="21"/>
                <w:szCs w:val="21"/>
              </w:rPr>
              <w:t>工</w:t>
            </w:r>
            <w:r>
              <w:rPr>
                <w:rFonts w:hint="eastAsia" w:ascii="宋体" w:hAnsi="宋体" w:eastAsia="宋体" w:cs="宋体"/>
                <w:sz w:val="21"/>
                <w:szCs w:val="21"/>
              </w:rPr>
              <w:t>程</w:t>
            </w:r>
            <w:r>
              <w:rPr>
                <w:rFonts w:hint="eastAsia" w:ascii="宋体" w:hAnsi="宋体" w:eastAsia="宋体" w:cs="宋体"/>
                <w:spacing w:val="-3"/>
                <w:sz w:val="21"/>
                <w:szCs w:val="21"/>
              </w:rPr>
              <w:t>及</w:t>
            </w:r>
            <w:r>
              <w:rPr>
                <w:rFonts w:hint="eastAsia" w:ascii="宋体" w:hAnsi="宋体" w:eastAsia="宋体" w:cs="宋体"/>
                <w:sz w:val="21"/>
                <w:szCs w:val="21"/>
              </w:rPr>
              <w:t>工</w:t>
            </w:r>
            <w:r>
              <w:rPr>
                <w:rFonts w:hint="eastAsia" w:ascii="宋体" w:hAnsi="宋体" w:eastAsia="宋体" w:cs="宋体"/>
                <w:spacing w:val="-3"/>
                <w:sz w:val="21"/>
                <w:szCs w:val="21"/>
              </w:rPr>
              <w:t>程</w:t>
            </w:r>
            <w:r>
              <w:rPr>
                <w:rFonts w:hint="eastAsia" w:ascii="宋体" w:hAnsi="宋体" w:eastAsia="宋体" w:cs="宋体"/>
                <w:sz w:val="21"/>
                <w:szCs w:val="21"/>
              </w:rPr>
              <w:t>设</w:t>
            </w:r>
            <w:r>
              <w:rPr>
                <w:rFonts w:hint="eastAsia" w:ascii="宋体" w:hAnsi="宋体" w:eastAsia="宋体" w:cs="宋体"/>
                <w:spacing w:val="-3"/>
                <w:sz w:val="21"/>
                <w:szCs w:val="21"/>
              </w:rPr>
              <w:t>备</w:t>
            </w:r>
            <w:r>
              <w:rPr>
                <w:rFonts w:hint="eastAsia" w:ascii="宋体" w:hAnsi="宋体" w:eastAsia="宋体" w:cs="宋体"/>
                <w:sz w:val="21"/>
                <w:szCs w:val="21"/>
              </w:rPr>
              <w:t>需</w:t>
            </w:r>
            <w:r>
              <w:rPr>
                <w:rFonts w:hint="eastAsia" w:ascii="宋体" w:hAnsi="宋体" w:eastAsia="宋体" w:cs="宋体"/>
                <w:spacing w:val="-3"/>
                <w:sz w:val="21"/>
                <w:szCs w:val="21"/>
              </w:rPr>
              <w:t>要</w:t>
            </w:r>
            <w:r>
              <w:rPr>
                <w:rFonts w:hint="eastAsia" w:ascii="宋体" w:hAnsi="宋体" w:eastAsia="宋体" w:cs="宋体"/>
                <w:sz w:val="21"/>
                <w:szCs w:val="21"/>
              </w:rPr>
              <w:t>进行</w:t>
            </w:r>
            <w:r>
              <w:rPr>
                <w:rFonts w:hint="eastAsia" w:ascii="宋体" w:hAnsi="宋体" w:eastAsia="宋体" w:cs="宋体"/>
                <w:spacing w:val="-3"/>
                <w:sz w:val="21"/>
                <w:szCs w:val="21"/>
              </w:rPr>
              <w:t>试</w:t>
            </w:r>
            <w:r>
              <w:rPr>
                <w:rFonts w:hint="eastAsia" w:ascii="宋体" w:hAnsi="宋体" w:eastAsia="宋体" w:cs="宋体"/>
                <w:sz w:val="21"/>
                <w:szCs w:val="21"/>
              </w:rPr>
              <w:t>运</w:t>
            </w:r>
            <w:r>
              <w:rPr>
                <w:rFonts w:hint="eastAsia" w:ascii="宋体" w:hAnsi="宋体" w:eastAsia="宋体" w:cs="宋体"/>
                <w:spacing w:val="-3"/>
                <w:sz w:val="21"/>
                <w:szCs w:val="21"/>
              </w:rPr>
              <w:t>行</w:t>
            </w:r>
            <w:r>
              <w:rPr>
                <w:rFonts w:hint="eastAsia" w:ascii="宋体" w:hAnsi="宋体" w:eastAsia="宋体" w:cs="宋体"/>
                <w:sz w:val="21"/>
                <w:szCs w:val="21"/>
              </w:rPr>
              <w:t>，</w:t>
            </w:r>
            <w:r>
              <w:rPr>
                <w:rFonts w:hint="eastAsia" w:ascii="宋体" w:hAnsi="宋体" w:eastAsia="宋体" w:cs="宋体"/>
                <w:spacing w:val="-3"/>
                <w:sz w:val="21"/>
                <w:szCs w:val="21"/>
              </w:rPr>
              <w:t>试</w:t>
            </w:r>
            <w:r>
              <w:rPr>
                <w:rFonts w:hint="eastAsia" w:ascii="宋体" w:hAnsi="宋体" w:eastAsia="宋体" w:cs="宋体"/>
                <w:sz w:val="21"/>
                <w:szCs w:val="21"/>
              </w:rPr>
              <w:t>运</w:t>
            </w:r>
            <w:r>
              <w:rPr>
                <w:rFonts w:hint="eastAsia" w:ascii="宋体" w:hAnsi="宋体" w:eastAsia="宋体" w:cs="宋体"/>
                <w:spacing w:val="-3"/>
                <w:sz w:val="21"/>
                <w:szCs w:val="21"/>
              </w:rPr>
              <w:t>行</w:t>
            </w:r>
            <w:r>
              <w:rPr>
                <w:rFonts w:hint="eastAsia" w:ascii="宋体" w:hAnsi="宋体" w:eastAsia="宋体" w:cs="宋体"/>
                <w:sz w:val="21"/>
                <w:szCs w:val="21"/>
              </w:rPr>
              <w:t>的</w:t>
            </w:r>
            <w:r>
              <w:rPr>
                <w:rFonts w:hint="eastAsia" w:ascii="宋体" w:hAnsi="宋体" w:eastAsia="宋体" w:cs="宋体"/>
                <w:spacing w:val="-3"/>
                <w:sz w:val="21"/>
                <w:szCs w:val="21"/>
              </w:rPr>
              <w:t>具</w:t>
            </w:r>
            <w:r>
              <w:rPr>
                <w:rFonts w:hint="eastAsia" w:ascii="宋体" w:hAnsi="宋体" w:eastAsia="宋体" w:cs="宋体"/>
                <w:sz w:val="21"/>
                <w:szCs w:val="21"/>
              </w:rPr>
              <w:t>体规</w:t>
            </w:r>
            <w:r>
              <w:rPr>
                <w:rFonts w:hint="eastAsia" w:ascii="宋体" w:hAnsi="宋体" w:eastAsia="宋体" w:cs="宋体"/>
                <w:spacing w:val="-3"/>
                <w:sz w:val="21"/>
                <w:szCs w:val="21"/>
              </w:rPr>
              <w:t>定</w:t>
            </w:r>
            <w:r>
              <w:rPr>
                <w:rFonts w:hint="eastAsia" w:ascii="宋体" w:hAnsi="宋体" w:eastAsia="宋体" w:cs="宋体"/>
                <w:sz w:val="21"/>
                <w:szCs w:val="21"/>
              </w:rPr>
              <w:t>如</w:t>
            </w:r>
            <w:r>
              <w:rPr>
                <w:rFonts w:hint="eastAsia" w:ascii="宋体" w:hAnsi="宋体" w:eastAsia="宋体" w:cs="宋体"/>
                <w:spacing w:val="-3"/>
                <w:sz w:val="21"/>
                <w:szCs w:val="21"/>
              </w:rPr>
              <w:t>下</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w:t>
            </w:r>
          </w:p>
        </w:tc>
      </w:tr>
      <w:tr w14:paraId="77DFB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1489378C">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26</w:t>
            </w:r>
          </w:p>
        </w:tc>
        <w:tc>
          <w:tcPr>
            <w:tcW w:w="1111" w:type="dxa"/>
            <w:vAlign w:val="center"/>
          </w:tcPr>
          <w:p w14:paraId="74D679C9">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19.7（1）</w:t>
            </w:r>
          </w:p>
        </w:tc>
        <w:tc>
          <w:tcPr>
            <w:tcW w:w="7305" w:type="dxa"/>
            <w:vAlign w:val="center"/>
          </w:tcPr>
          <w:p w14:paraId="7AD565B9">
            <w:pPr>
              <w:pStyle w:val="42"/>
              <w:keepNext w:val="0"/>
              <w:keepLines w:val="0"/>
              <w:pageBreakBefore w:val="0"/>
              <w:widowControl w:val="0"/>
              <w:tabs>
                <w:tab w:val="left" w:pos="3816"/>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保修</w:t>
            </w:r>
            <w:r>
              <w:rPr>
                <w:rFonts w:hint="eastAsia" w:ascii="宋体" w:hAnsi="宋体" w:eastAsia="宋体" w:cs="宋体"/>
                <w:spacing w:val="-3"/>
                <w:sz w:val="21"/>
                <w:szCs w:val="21"/>
              </w:rPr>
              <w:t>期</w:t>
            </w:r>
            <w:r>
              <w:rPr>
                <w:rFonts w:hint="eastAsia" w:ascii="宋体" w:hAnsi="宋体" w:eastAsia="宋体" w:cs="宋体"/>
                <w:sz w:val="21"/>
                <w:szCs w:val="21"/>
              </w:rPr>
              <w:t>：</w:t>
            </w:r>
            <w:r>
              <w:rPr>
                <w:rFonts w:hint="eastAsia" w:ascii="宋体" w:hAnsi="宋体" w:eastAsia="宋体" w:cs="宋体"/>
                <w:spacing w:val="-3"/>
                <w:sz w:val="21"/>
                <w:szCs w:val="21"/>
              </w:rPr>
              <w:t>自</w:t>
            </w:r>
            <w:r>
              <w:rPr>
                <w:rFonts w:hint="eastAsia" w:ascii="宋体" w:hAnsi="宋体" w:eastAsia="宋体" w:cs="宋体"/>
                <w:sz w:val="21"/>
                <w:szCs w:val="21"/>
              </w:rPr>
              <w:t>实</w:t>
            </w:r>
            <w:r>
              <w:rPr>
                <w:rFonts w:hint="eastAsia" w:ascii="宋体" w:hAnsi="宋体" w:eastAsia="宋体" w:cs="宋体"/>
                <w:spacing w:val="-3"/>
                <w:sz w:val="21"/>
                <w:szCs w:val="21"/>
              </w:rPr>
              <w:t>际</w:t>
            </w:r>
            <w:r>
              <w:rPr>
                <w:rFonts w:hint="eastAsia" w:ascii="宋体" w:hAnsi="宋体" w:eastAsia="宋体" w:cs="宋体"/>
                <w:sz w:val="21"/>
                <w:szCs w:val="21"/>
              </w:rPr>
              <w:t>交</w:t>
            </w:r>
            <w:r>
              <w:rPr>
                <w:rFonts w:hint="eastAsia" w:ascii="宋体" w:hAnsi="宋体" w:eastAsia="宋体" w:cs="宋体"/>
                <w:spacing w:val="-3"/>
                <w:sz w:val="21"/>
                <w:szCs w:val="21"/>
              </w:rPr>
              <w:t>工</w:t>
            </w:r>
            <w:r>
              <w:rPr>
                <w:rFonts w:hint="eastAsia" w:ascii="宋体" w:hAnsi="宋体" w:eastAsia="宋体" w:cs="宋体"/>
                <w:sz w:val="21"/>
                <w:szCs w:val="21"/>
              </w:rPr>
              <w:t>日</w:t>
            </w:r>
            <w:r>
              <w:rPr>
                <w:rFonts w:hint="eastAsia" w:ascii="宋体" w:hAnsi="宋体" w:eastAsia="宋体" w:cs="宋体"/>
                <w:spacing w:val="-3"/>
                <w:sz w:val="21"/>
                <w:szCs w:val="21"/>
              </w:rPr>
              <w:t>期</w:t>
            </w:r>
            <w:r>
              <w:rPr>
                <w:rFonts w:hint="eastAsia" w:ascii="宋体" w:hAnsi="宋体" w:eastAsia="宋体" w:cs="宋体"/>
                <w:sz w:val="21"/>
                <w:szCs w:val="21"/>
              </w:rPr>
              <w:t>起计算</w:t>
            </w:r>
            <w:r>
              <w:rPr>
                <w:rFonts w:hint="eastAsia" w:ascii="宋体" w:hAnsi="宋体" w:eastAsia="宋体" w:cs="宋体"/>
                <w:sz w:val="21"/>
                <w:szCs w:val="21"/>
                <w:u w:val="single"/>
                <w:lang w:val="en-US" w:eastAsia="zh-CN"/>
              </w:rPr>
              <w:t xml:space="preserve"> 5 </w:t>
            </w:r>
            <w:r>
              <w:rPr>
                <w:rFonts w:hint="eastAsia" w:ascii="宋体" w:hAnsi="宋体" w:eastAsia="宋体" w:cs="宋体"/>
                <w:spacing w:val="-3"/>
                <w:sz w:val="21"/>
                <w:szCs w:val="21"/>
              </w:rPr>
              <w:t>年</w:t>
            </w:r>
          </w:p>
        </w:tc>
      </w:tr>
      <w:tr w14:paraId="1A932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29" w:type="dxa"/>
            <w:vAlign w:val="center"/>
          </w:tcPr>
          <w:p w14:paraId="5329DFE2">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27</w:t>
            </w:r>
          </w:p>
        </w:tc>
        <w:tc>
          <w:tcPr>
            <w:tcW w:w="1111" w:type="dxa"/>
            <w:vAlign w:val="center"/>
          </w:tcPr>
          <w:p w14:paraId="7DB93943">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20.1</w:t>
            </w:r>
          </w:p>
        </w:tc>
        <w:tc>
          <w:tcPr>
            <w:tcW w:w="7305" w:type="dxa"/>
            <w:vAlign w:val="center"/>
          </w:tcPr>
          <w:p w14:paraId="01D763D3">
            <w:pPr>
              <w:pStyle w:val="42"/>
              <w:keepNext w:val="0"/>
              <w:keepLines w:val="0"/>
              <w:pageBreakBefore w:val="0"/>
              <w:widowControl w:val="0"/>
              <w:tabs>
                <w:tab w:val="left" w:pos="3502"/>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color w:val="auto"/>
                <w:sz w:val="21"/>
                <w:szCs w:val="21"/>
                <w:highlight w:val="yellow"/>
                <w:lang w:eastAsia="zh-CN"/>
              </w:rPr>
            </w:pPr>
            <w:r>
              <w:rPr>
                <w:rFonts w:hint="eastAsia" w:ascii="宋体" w:hAnsi="宋体" w:eastAsia="宋体" w:cs="宋体"/>
                <w:b/>
                <w:bCs/>
                <w:color w:val="auto"/>
                <w:sz w:val="21"/>
                <w:szCs w:val="21"/>
                <w:highlight w:val="yellow"/>
              </w:rPr>
              <w:t>建筑</w:t>
            </w:r>
            <w:r>
              <w:rPr>
                <w:rFonts w:hint="eastAsia" w:ascii="宋体" w:hAnsi="宋体" w:eastAsia="宋体" w:cs="宋体"/>
                <w:b/>
                <w:bCs/>
                <w:color w:val="auto"/>
                <w:spacing w:val="-3"/>
                <w:sz w:val="21"/>
                <w:szCs w:val="21"/>
                <w:highlight w:val="yellow"/>
              </w:rPr>
              <w:t>工</w:t>
            </w:r>
            <w:r>
              <w:rPr>
                <w:rFonts w:hint="eastAsia" w:ascii="宋体" w:hAnsi="宋体" w:eastAsia="宋体" w:cs="宋体"/>
                <w:b/>
                <w:bCs/>
                <w:color w:val="auto"/>
                <w:sz w:val="21"/>
                <w:szCs w:val="21"/>
                <w:highlight w:val="yellow"/>
              </w:rPr>
              <w:t>程</w:t>
            </w:r>
            <w:r>
              <w:rPr>
                <w:rFonts w:hint="eastAsia" w:ascii="宋体" w:hAnsi="宋体" w:eastAsia="宋体" w:cs="宋体"/>
                <w:b/>
                <w:bCs/>
                <w:color w:val="auto"/>
                <w:spacing w:val="-3"/>
                <w:sz w:val="21"/>
                <w:szCs w:val="21"/>
                <w:highlight w:val="yellow"/>
              </w:rPr>
              <w:t>一</w:t>
            </w:r>
            <w:r>
              <w:rPr>
                <w:rFonts w:hint="eastAsia" w:ascii="宋体" w:hAnsi="宋体" w:eastAsia="宋体" w:cs="宋体"/>
                <w:b/>
                <w:bCs/>
                <w:color w:val="auto"/>
                <w:sz w:val="21"/>
                <w:szCs w:val="21"/>
                <w:highlight w:val="yellow"/>
              </w:rPr>
              <w:t>切</w:t>
            </w:r>
            <w:r>
              <w:rPr>
                <w:rFonts w:hint="eastAsia" w:ascii="宋体" w:hAnsi="宋体" w:eastAsia="宋体" w:cs="宋体"/>
                <w:b/>
                <w:bCs/>
                <w:color w:val="auto"/>
                <w:spacing w:val="-3"/>
                <w:sz w:val="21"/>
                <w:szCs w:val="21"/>
                <w:highlight w:val="yellow"/>
              </w:rPr>
              <w:t>险</w:t>
            </w:r>
            <w:r>
              <w:rPr>
                <w:rFonts w:hint="eastAsia" w:ascii="宋体" w:hAnsi="宋体" w:eastAsia="宋体" w:cs="宋体"/>
                <w:b/>
                <w:bCs/>
                <w:color w:val="auto"/>
                <w:sz w:val="21"/>
                <w:szCs w:val="21"/>
                <w:highlight w:val="yellow"/>
              </w:rPr>
              <w:t>的</w:t>
            </w:r>
            <w:r>
              <w:rPr>
                <w:rFonts w:hint="eastAsia" w:ascii="宋体" w:hAnsi="宋体" w:eastAsia="宋体" w:cs="宋体"/>
                <w:b/>
                <w:bCs/>
                <w:color w:val="auto"/>
                <w:spacing w:val="-3"/>
                <w:sz w:val="21"/>
                <w:szCs w:val="21"/>
                <w:highlight w:val="yellow"/>
              </w:rPr>
              <w:t>保</w:t>
            </w:r>
            <w:r>
              <w:rPr>
                <w:rFonts w:hint="eastAsia" w:ascii="宋体" w:hAnsi="宋体" w:eastAsia="宋体" w:cs="宋体"/>
                <w:b/>
                <w:bCs/>
                <w:color w:val="auto"/>
                <w:sz w:val="21"/>
                <w:szCs w:val="21"/>
                <w:highlight w:val="yellow"/>
              </w:rPr>
              <w:t>险</w:t>
            </w:r>
            <w:r>
              <w:rPr>
                <w:rFonts w:hint="eastAsia" w:ascii="宋体" w:hAnsi="宋体" w:eastAsia="宋体" w:cs="宋体"/>
                <w:b/>
                <w:bCs/>
                <w:color w:val="auto"/>
                <w:spacing w:val="-3"/>
                <w:sz w:val="21"/>
                <w:szCs w:val="21"/>
                <w:highlight w:val="yellow"/>
              </w:rPr>
              <w:t>费</w:t>
            </w:r>
            <w:r>
              <w:rPr>
                <w:rFonts w:hint="eastAsia" w:ascii="宋体" w:hAnsi="宋体" w:eastAsia="宋体" w:cs="宋体"/>
                <w:b/>
                <w:bCs/>
                <w:color w:val="auto"/>
                <w:sz w:val="21"/>
                <w:szCs w:val="21"/>
                <w:highlight w:val="yellow"/>
              </w:rPr>
              <w:t>率：</w:t>
            </w:r>
            <w:r>
              <w:rPr>
                <w:rFonts w:hint="eastAsia" w:ascii="宋体" w:hAnsi="宋体" w:eastAsia="宋体" w:cs="宋体"/>
                <w:b/>
                <w:bCs/>
                <w:color w:val="auto"/>
                <w:sz w:val="21"/>
                <w:szCs w:val="21"/>
                <w:highlight w:val="yellow"/>
                <w:lang w:eastAsia="zh-CN"/>
              </w:rPr>
              <w:t>投标人自行调查，费率不低于</w:t>
            </w:r>
            <w:r>
              <w:rPr>
                <w:rFonts w:hint="eastAsia" w:ascii="宋体" w:hAnsi="宋体" w:eastAsia="宋体" w:cs="宋体"/>
                <w:b/>
                <w:bCs/>
                <w:color w:val="auto"/>
                <w:sz w:val="21"/>
                <w:szCs w:val="21"/>
                <w:highlight w:val="yellow"/>
                <w:lang w:val="en-US" w:eastAsia="zh-CN"/>
              </w:rPr>
              <w:t>3</w:t>
            </w:r>
            <w:r>
              <w:rPr>
                <w:rFonts w:hint="eastAsia" w:ascii="宋体" w:hAnsi="宋体" w:eastAsia="宋体" w:cs="宋体"/>
                <w:b/>
                <w:bCs/>
                <w:color w:val="auto"/>
                <w:sz w:val="21"/>
                <w:szCs w:val="21"/>
                <w:highlight w:val="yellow"/>
                <w:lang w:eastAsia="zh-CN"/>
              </w:rPr>
              <w:t>‰。</w:t>
            </w:r>
          </w:p>
        </w:tc>
      </w:tr>
      <w:tr w14:paraId="064C4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29" w:type="dxa"/>
            <w:vAlign w:val="center"/>
          </w:tcPr>
          <w:p w14:paraId="1C1FF30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p>
          <w:p w14:paraId="5B99EAFE">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28</w:t>
            </w:r>
          </w:p>
        </w:tc>
        <w:tc>
          <w:tcPr>
            <w:tcW w:w="1111" w:type="dxa"/>
            <w:vAlign w:val="center"/>
          </w:tcPr>
          <w:p w14:paraId="51F92D6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p>
          <w:p w14:paraId="5DD09A1B">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20.4.2</w:t>
            </w:r>
          </w:p>
        </w:tc>
        <w:tc>
          <w:tcPr>
            <w:tcW w:w="7305" w:type="dxa"/>
            <w:vAlign w:val="center"/>
          </w:tcPr>
          <w:p w14:paraId="27FF90A8">
            <w:pPr>
              <w:pStyle w:val="42"/>
              <w:keepNext w:val="0"/>
              <w:keepLines w:val="0"/>
              <w:pageBreakBefore w:val="0"/>
              <w:widowControl w:val="0"/>
              <w:tabs>
                <w:tab w:val="left" w:pos="1817"/>
                <w:tab w:val="left" w:pos="3814"/>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color w:val="auto"/>
                <w:spacing w:val="-13"/>
                <w:sz w:val="21"/>
                <w:szCs w:val="21"/>
                <w:highlight w:val="yellow"/>
              </w:rPr>
            </w:pPr>
            <w:r>
              <w:rPr>
                <w:rFonts w:hint="eastAsia" w:ascii="宋体" w:hAnsi="宋体" w:eastAsia="宋体" w:cs="宋体"/>
                <w:color w:val="auto"/>
                <w:sz w:val="21"/>
                <w:szCs w:val="21"/>
                <w:highlight w:val="yellow"/>
              </w:rPr>
              <w:t>第三</w:t>
            </w:r>
            <w:r>
              <w:rPr>
                <w:rFonts w:hint="eastAsia" w:ascii="宋体" w:hAnsi="宋体" w:eastAsia="宋体" w:cs="宋体"/>
                <w:color w:val="auto"/>
                <w:spacing w:val="-3"/>
                <w:sz w:val="21"/>
                <w:szCs w:val="21"/>
                <w:highlight w:val="yellow"/>
              </w:rPr>
              <w:t>者</w:t>
            </w:r>
            <w:r>
              <w:rPr>
                <w:rFonts w:hint="eastAsia" w:ascii="宋体" w:hAnsi="宋体" w:eastAsia="宋体" w:cs="宋体"/>
                <w:color w:val="auto"/>
                <w:sz w:val="21"/>
                <w:szCs w:val="21"/>
                <w:highlight w:val="yellow"/>
              </w:rPr>
              <w:t>责</w:t>
            </w:r>
            <w:r>
              <w:rPr>
                <w:rFonts w:hint="eastAsia" w:ascii="宋体" w:hAnsi="宋体" w:eastAsia="宋体" w:cs="宋体"/>
                <w:color w:val="auto"/>
                <w:spacing w:val="-3"/>
                <w:sz w:val="21"/>
                <w:szCs w:val="21"/>
                <w:highlight w:val="yellow"/>
              </w:rPr>
              <w:t>任</w:t>
            </w:r>
            <w:r>
              <w:rPr>
                <w:rFonts w:hint="eastAsia" w:ascii="宋体" w:hAnsi="宋体" w:eastAsia="宋体" w:cs="宋体"/>
                <w:color w:val="auto"/>
                <w:sz w:val="21"/>
                <w:szCs w:val="21"/>
                <w:highlight w:val="yellow"/>
              </w:rPr>
              <w:t>险</w:t>
            </w:r>
            <w:r>
              <w:rPr>
                <w:rFonts w:hint="eastAsia" w:ascii="宋体" w:hAnsi="宋体" w:eastAsia="宋体" w:cs="宋体"/>
                <w:color w:val="auto"/>
                <w:spacing w:val="-3"/>
                <w:sz w:val="21"/>
                <w:szCs w:val="21"/>
                <w:highlight w:val="yellow"/>
              </w:rPr>
              <w:t>的</w:t>
            </w:r>
            <w:r>
              <w:rPr>
                <w:rFonts w:hint="eastAsia" w:ascii="宋体" w:hAnsi="宋体" w:eastAsia="宋体" w:cs="宋体"/>
                <w:color w:val="auto"/>
                <w:sz w:val="21"/>
                <w:szCs w:val="21"/>
                <w:highlight w:val="yellow"/>
              </w:rPr>
              <w:t>最</w:t>
            </w:r>
            <w:r>
              <w:rPr>
                <w:rFonts w:hint="eastAsia" w:ascii="宋体" w:hAnsi="宋体" w:eastAsia="宋体" w:cs="宋体"/>
                <w:color w:val="auto"/>
                <w:spacing w:val="-3"/>
                <w:sz w:val="21"/>
                <w:szCs w:val="21"/>
                <w:highlight w:val="yellow"/>
              </w:rPr>
              <w:t>低</w:t>
            </w:r>
            <w:r>
              <w:rPr>
                <w:rFonts w:hint="eastAsia" w:ascii="宋体" w:hAnsi="宋体" w:eastAsia="宋体" w:cs="宋体"/>
                <w:color w:val="auto"/>
                <w:sz w:val="21"/>
                <w:szCs w:val="21"/>
                <w:highlight w:val="yellow"/>
              </w:rPr>
              <w:t>投</w:t>
            </w:r>
            <w:r>
              <w:rPr>
                <w:rFonts w:hint="eastAsia" w:ascii="宋体" w:hAnsi="宋体" w:eastAsia="宋体" w:cs="宋体"/>
                <w:color w:val="auto"/>
                <w:spacing w:val="-3"/>
                <w:sz w:val="21"/>
                <w:szCs w:val="21"/>
                <w:highlight w:val="yellow"/>
              </w:rPr>
              <w:t>保</w:t>
            </w:r>
            <w:r>
              <w:rPr>
                <w:rFonts w:hint="eastAsia" w:ascii="宋体" w:hAnsi="宋体" w:eastAsia="宋体" w:cs="宋体"/>
                <w:color w:val="auto"/>
                <w:sz w:val="21"/>
                <w:szCs w:val="21"/>
                <w:highlight w:val="yellow"/>
              </w:rPr>
              <w:t>金额：</w:t>
            </w:r>
            <w:r>
              <w:rPr>
                <w:rFonts w:hint="eastAsia" w:ascii="宋体" w:hAnsi="宋体" w:eastAsia="宋体" w:cs="宋体"/>
                <w:color w:val="auto"/>
                <w:sz w:val="21"/>
                <w:szCs w:val="21"/>
                <w:highlight w:val="yellow"/>
                <w:u w:val="single"/>
              </w:rPr>
              <w:t xml:space="preserve"> </w:t>
            </w:r>
            <w:r>
              <w:rPr>
                <w:rFonts w:hint="eastAsia" w:ascii="宋体" w:hAnsi="宋体" w:eastAsia="宋体" w:cs="宋体"/>
                <w:color w:val="auto"/>
                <w:sz w:val="21"/>
                <w:szCs w:val="21"/>
                <w:highlight w:val="yellow"/>
                <w:u w:val="single"/>
                <w:lang w:val="en-US" w:eastAsia="zh-CN"/>
              </w:rPr>
              <w:t>100</w:t>
            </w:r>
            <w:r>
              <w:rPr>
                <w:rFonts w:hint="eastAsia" w:ascii="宋体" w:hAnsi="宋体" w:eastAsia="宋体" w:cs="宋体"/>
                <w:color w:val="auto"/>
                <w:spacing w:val="-3"/>
                <w:sz w:val="21"/>
                <w:szCs w:val="21"/>
                <w:highlight w:val="yellow"/>
              </w:rPr>
              <w:t>万</w:t>
            </w:r>
            <w:r>
              <w:rPr>
                <w:rFonts w:hint="eastAsia" w:ascii="宋体" w:hAnsi="宋体" w:eastAsia="宋体" w:cs="宋体"/>
                <w:color w:val="auto"/>
                <w:sz w:val="21"/>
                <w:szCs w:val="21"/>
                <w:highlight w:val="yellow"/>
              </w:rPr>
              <w:t>元</w:t>
            </w:r>
            <w:r>
              <w:rPr>
                <w:rFonts w:hint="eastAsia" w:ascii="宋体" w:hAnsi="宋体" w:eastAsia="宋体" w:cs="宋体"/>
                <w:color w:val="auto"/>
                <w:spacing w:val="-3"/>
                <w:sz w:val="21"/>
                <w:szCs w:val="21"/>
                <w:highlight w:val="yellow"/>
              </w:rPr>
              <w:t>，</w:t>
            </w:r>
            <w:r>
              <w:rPr>
                <w:rFonts w:hint="eastAsia" w:ascii="宋体" w:hAnsi="宋体" w:eastAsia="宋体" w:cs="宋体"/>
                <w:color w:val="auto"/>
                <w:sz w:val="21"/>
                <w:szCs w:val="21"/>
                <w:highlight w:val="yellow"/>
              </w:rPr>
              <w:t>事</w:t>
            </w:r>
            <w:r>
              <w:rPr>
                <w:rFonts w:hint="eastAsia" w:ascii="宋体" w:hAnsi="宋体" w:eastAsia="宋体" w:cs="宋体"/>
                <w:color w:val="auto"/>
                <w:spacing w:val="-3"/>
                <w:sz w:val="21"/>
                <w:szCs w:val="21"/>
                <w:highlight w:val="yellow"/>
              </w:rPr>
              <w:t>故次</w:t>
            </w:r>
            <w:r>
              <w:rPr>
                <w:rFonts w:hint="eastAsia" w:ascii="宋体" w:hAnsi="宋体" w:eastAsia="宋体" w:cs="宋体"/>
                <w:color w:val="auto"/>
                <w:sz w:val="21"/>
                <w:szCs w:val="21"/>
                <w:highlight w:val="yellow"/>
              </w:rPr>
              <w:t>数不</w:t>
            </w:r>
            <w:r>
              <w:rPr>
                <w:rFonts w:hint="eastAsia" w:ascii="宋体" w:hAnsi="宋体" w:eastAsia="宋体" w:cs="宋体"/>
                <w:color w:val="auto"/>
                <w:spacing w:val="-3"/>
                <w:sz w:val="21"/>
                <w:szCs w:val="21"/>
                <w:highlight w:val="yellow"/>
              </w:rPr>
              <w:t>限</w:t>
            </w:r>
            <w:r>
              <w:rPr>
                <w:rFonts w:hint="eastAsia" w:ascii="宋体" w:hAnsi="宋体" w:eastAsia="宋体" w:cs="宋体"/>
                <w:color w:val="auto"/>
                <w:sz w:val="21"/>
                <w:szCs w:val="21"/>
                <w:highlight w:val="yellow"/>
              </w:rPr>
              <w:t>（</w:t>
            </w:r>
            <w:r>
              <w:rPr>
                <w:rFonts w:hint="eastAsia" w:ascii="宋体" w:hAnsi="宋体" w:eastAsia="宋体" w:cs="宋体"/>
                <w:color w:val="auto"/>
                <w:spacing w:val="-3"/>
                <w:sz w:val="21"/>
                <w:szCs w:val="21"/>
                <w:highlight w:val="yellow"/>
              </w:rPr>
              <w:t>不</w:t>
            </w:r>
            <w:r>
              <w:rPr>
                <w:rFonts w:hint="eastAsia" w:ascii="宋体" w:hAnsi="宋体" w:eastAsia="宋体" w:cs="宋体"/>
                <w:color w:val="auto"/>
                <w:sz w:val="21"/>
                <w:szCs w:val="21"/>
                <w:highlight w:val="yellow"/>
              </w:rPr>
              <w:t>计</w:t>
            </w:r>
            <w:r>
              <w:rPr>
                <w:rFonts w:hint="eastAsia" w:ascii="宋体" w:hAnsi="宋体" w:eastAsia="宋体" w:cs="宋体"/>
                <w:color w:val="auto"/>
                <w:spacing w:val="-3"/>
                <w:sz w:val="21"/>
                <w:szCs w:val="21"/>
                <w:highlight w:val="yellow"/>
              </w:rPr>
              <w:t>免</w:t>
            </w:r>
            <w:r>
              <w:rPr>
                <w:rFonts w:hint="eastAsia" w:ascii="宋体" w:hAnsi="宋体" w:eastAsia="宋体" w:cs="宋体"/>
                <w:color w:val="auto"/>
                <w:sz w:val="21"/>
                <w:szCs w:val="21"/>
                <w:highlight w:val="yellow"/>
              </w:rPr>
              <w:t>赔</w:t>
            </w:r>
            <w:r>
              <w:rPr>
                <w:rFonts w:hint="eastAsia" w:ascii="宋体" w:hAnsi="宋体" w:eastAsia="宋体" w:cs="宋体"/>
                <w:color w:val="auto"/>
                <w:spacing w:val="-3"/>
                <w:sz w:val="21"/>
                <w:szCs w:val="21"/>
                <w:highlight w:val="yellow"/>
              </w:rPr>
              <w:t>额</w:t>
            </w:r>
            <w:r>
              <w:rPr>
                <w:rFonts w:hint="eastAsia" w:ascii="宋体" w:hAnsi="宋体" w:eastAsia="宋体" w:cs="宋体"/>
                <w:color w:val="auto"/>
                <w:spacing w:val="-13"/>
                <w:sz w:val="21"/>
                <w:szCs w:val="21"/>
                <w:highlight w:val="yellow"/>
              </w:rPr>
              <w:t>）</w:t>
            </w:r>
          </w:p>
          <w:p w14:paraId="0C782757">
            <w:pPr>
              <w:pStyle w:val="42"/>
              <w:keepNext w:val="0"/>
              <w:keepLines w:val="0"/>
              <w:pageBreakBefore w:val="0"/>
              <w:widowControl w:val="0"/>
              <w:tabs>
                <w:tab w:val="left" w:pos="1817"/>
                <w:tab w:val="left" w:pos="3814"/>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color w:val="auto"/>
                <w:spacing w:val="-13"/>
                <w:sz w:val="21"/>
                <w:szCs w:val="21"/>
                <w:highlight w:val="yellow"/>
              </w:rPr>
            </w:pPr>
            <w:r>
              <w:rPr>
                <w:rFonts w:hint="eastAsia"/>
                <w:color w:val="auto"/>
                <w:sz w:val="21"/>
                <w:highlight w:val="none"/>
                <w:lang w:val="en-US"/>
              </w:rPr>
              <w:t>保险费率</w:t>
            </w:r>
            <w:r>
              <w:rPr>
                <w:rFonts w:hint="eastAsia"/>
                <w:b/>
                <w:bCs/>
                <w:color w:val="auto"/>
                <w:sz w:val="21"/>
                <w:highlight w:val="none"/>
                <w:u w:val="single"/>
                <w:lang w:val="en-US"/>
              </w:rPr>
              <w:t>0.5</w:t>
            </w:r>
            <w:r>
              <w:rPr>
                <w:rFonts w:hint="eastAsia"/>
                <w:color w:val="auto"/>
                <w:sz w:val="21"/>
                <w:highlight w:val="none"/>
              </w:rPr>
              <w:t>‰</w:t>
            </w:r>
            <w:r>
              <w:rPr>
                <w:rFonts w:hint="eastAsia"/>
                <w:color w:val="auto"/>
                <w:sz w:val="21"/>
                <w:highlight w:val="none"/>
                <w:lang w:val="en-US"/>
              </w:rPr>
              <w:t>。</w:t>
            </w:r>
          </w:p>
          <w:p w14:paraId="0684BE42">
            <w:pPr>
              <w:pStyle w:val="42"/>
              <w:keepNext w:val="0"/>
              <w:keepLines w:val="0"/>
              <w:pageBreakBefore w:val="0"/>
              <w:widowControl w:val="0"/>
              <w:tabs>
                <w:tab w:val="left" w:pos="1817"/>
                <w:tab w:val="left" w:pos="3814"/>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color w:val="auto"/>
                <w:sz w:val="21"/>
                <w:szCs w:val="21"/>
                <w:highlight w:val="yellow"/>
                <w:lang w:eastAsia="zh-CN"/>
              </w:rPr>
            </w:pPr>
          </w:p>
        </w:tc>
      </w:tr>
      <w:tr w14:paraId="48AAA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629" w:type="dxa"/>
            <w:vAlign w:val="center"/>
          </w:tcPr>
          <w:p w14:paraId="3EB4E3B1">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p>
          <w:p w14:paraId="78643F26">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29</w:t>
            </w:r>
          </w:p>
        </w:tc>
        <w:tc>
          <w:tcPr>
            <w:tcW w:w="1111" w:type="dxa"/>
            <w:vAlign w:val="center"/>
          </w:tcPr>
          <w:p w14:paraId="6D39EF88">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p>
          <w:p w14:paraId="46305C8E">
            <w:pPr>
              <w:pStyle w:val="42"/>
              <w:keepNext w:val="0"/>
              <w:keepLines w:val="0"/>
              <w:pageBreakBefore w:val="0"/>
              <w:widowControl w:val="0"/>
              <w:kinsoku/>
              <w:wordWrap/>
              <w:overflowPunct/>
              <w:topLinePunct w:val="0"/>
              <w:autoSpaceDE w:val="0"/>
              <w:autoSpaceDN w:val="0"/>
              <w:bidi w:val="0"/>
              <w:adjustRightInd/>
              <w:snapToGrid/>
              <w:spacing w:before="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24.1</w:t>
            </w:r>
          </w:p>
        </w:tc>
        <w:tc>
          <w:tcPr>
            <w:tcW w:w="7305" w:type="dxa"/>
            <w:vAlign w:val="center"/>
          </w:tcPr>
          <w:p w14:paraId="7834492E">
            <w:pPr>
              <w:pStyle w:val="42"/>
              <w:keepNext w:val="0"/>
              <w:keepLines w:val="0"/>
              <w:pageBreakBefore w:val="0"/>
              <w:widowControl w:val="0"/>
              <w:tabs>
                <w:tab w:val="left" w:pos="3900"/>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rPr>
            </w:pPr>
            <w:r>
              <w:rPr>
                <w:rFonts w:hint="eastAsia" w:ascii="宋体" w:hAnsi="宋体" w:eastAsia="宋体" w:cs="宋体"/>
                <w:sz w:val="21"/>
                <w:szCs w:val="21"/>
              </w:rPr>
              <w:t>争议</w:t>
            </w:r>
            <w:r>
              <w:rPr>
                <w:rFonts w:hint="eastAsia" w:ascii="宋体" w:hAnsi="宋体" w:eastAsia="宋体" w:cs="宋体"/>
                <w:spacing w:val="-3"/>
                <w:sz w:val="21"/>
                <w:szCs w:val="21"/>
              </w:rPr>
              <w:t>的</w:t>
            </w:r>
            <w:r>
              <w:rPr>
                <w:rFonts w:hint="eastAsia" w:ascii="宋体" w:hAnsi="宋体" w:eastAsia="宋体" w:cs="宋体"/>
                <w:sz w:val="21"/>
                <w:szCs w:val="21"/>
              </w:rPr>
              <w:t>最</w:t>
            </w:r>
            <w:r>
              <w:rPr>
                <w:rFonts w:hint="eastAsia" w:ascii="宋体" w:hAnsi="宋体" w:eastAsia="宋体" w:cs="宋体"/>
                <w:spacing w:val="-3"/>
                <w:sz w:val="21"/>
                <w:szCs w:val="21"/>
              </w:rPr>
              <w:t>终</w:t>
            </w:r>
            <w:r>
              <w:rPr>
                <w:rFonts w:hint="eastAsia" w:ascii="宋体" w:hAnsi="宋体" w:eastAsia="宋体" w:cs="宋体"/>
                <w:sz w:val="21"/>
                <w:szCs w:val="21"/>
              </w:rPr>
              <w:t>解</w:t>
            </w:r>
            <w:r>
              <w:rPr>
                <w:rFonts w:hint="eastAsia" w:ascii="宋体" w:hAnsi="宋体" w:eastAsia="宋体" w:cs="宋体"/>
                <w:spacing w:val="-3"/>
                <w:sz w:val="21"/>
                <w:szCs w:val="21"/>
              </w:rPr>
              <w:t>决</w:t>
            </w:r>
            <w:r>
              <w:rPr>
                <w:rFonts w:hint="eastAsia" w:ascii="宋体" w:hAnsi="宋体" w:eastAsia="宋体" w:cs="宋体"/>
                <w:sz w:val="21"/>
                <w:szCs w:val="21"/>
              </w:rPr>
              <w:t>方</w:t>
            </w:r>
            <w:r>
              <w:rPr>
                <w:rFonts w:hint="eastAsia" w:ascii="宋体" w:hAnsi="宋体" w:eastAsia="宋体" w:cs="宋体"/>
                <w:spacing w:val="-3"/>
                <w:sz w:val="21"/>
                <w:szCs w:val="21"/>
              </w:rPr>
              <w:t>式</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pacing w:val="16"/>
                <w:sz w:val="21"/>
                <w:szCs w:val="21"/>
                <w:u w:val="single"/>
              </w:rPr>
              <w:t xml:space="preserve"> </w:t>
            </w:r>
            <w:r>
              <w:rPr>
                <w:rFonts w:hint="eastAsia" w:ascii="宋体" w:hAnsi="宋体" w:eastAsia="宋体" w:cs="宋体"/>
                <w:sz w:val="21"/>
                <w:szCs w:val="21"/>
                <w:u w:val="single"/>
              </w:rPr>
              <w:t>诉讼</w:t>
            </w:r>
            <w:r>
              <w:rPr>
                <w:rFonts w:hint="eastAsia" w:ascii="宋体" w:hAnsi="宋体" w:eastAsia="宋体" w:cs="宋体"/>
                <w:sz w:val="21"/>
                <w:szCs w:val="21"/>
                <w:u w:val="single"/>
              </w:rPr>
              <w:tab/>
            </w:r>
          </w:p>
          <w:p w14:paraId="6F95CDF7">
            <w:pPr>
              <w:pStyle w:val="42"/>
              <w:keepNext w:val="0"/>
              <w:keepLines w:val="0"/>
              <w:pageBreakBefore w:val="0"/>
              <w:widowControl w:val="0"/>
              <w:tabs>
                <w:tab w:val="left" w:pos="6171"/>
              </w:tabs>
              <w:kinsoku/>
              <w:wordWrap/>
              <w:overflowPunct/>
              <w:topLinePunct w:val="0"/>
              <w:autoSpaceDE w:val="0"/>
              <w:autoSpaceDN w:val="0"/>
              <w:bidi w:val="0"/>
              <w:adjustRightInd/>
              <w:snapToGrid/>
              <w:spacing w:before="0" w:line="360" w:lineRule="auto"/>
              <w:ind w:left="0" w:right="0"/>
              <w:jc w:val="both"/>
              <w:textAlignment w:val="auto"/>
              <w:rPr>
                <w:rFonts w:hint="eastAsia" w:ascii="宋体" w:hAnsi="宋体" w:eastAsia="宋体" w:cs="宋体"/>
                <w:sz w:val="21"/>
                <w:szCs w:val="21"/>
                <w:lang w:val="en-US"/>
              </w:rPr>
            </w:pPr>
            <w:r>
              <w:rPr>
                <w:rFonts w:hint="eastAsia" w:ascii="宋体" w:hAnsi="宋体" w:eastAsia="宋体" w:cs="宋体"/>
                <w:spacing w:val="-1"/>
                <w:sz w:val="21"/>
                <w:szCs w:val="21"/>
              </w:rPr>
              <w:t>如采</w:t>
            </w:r>
            <w:r>
              <w:rPr>
                <w:rFonts w:hint="eastAsia" w:ascii="宋体" w:hAnsi="宋体" w:eastAsia="宋体" w:cs="宋体"/>
                <w:spacing w:val="-3"/>
                <w:sz w:val="21"/>
                <w:szCs w:val="21"/>
              </w:rPr>
              <w:t>用</w:t>
            </w:r>
            <w:r>
              <w:rPr>
                <w:rFonts w:hint="eastAsia" w:ascii="宋体" w:hAnsi="宋体" w:eastAsia="宋体" w:cs="宋体"/>
                <w:sz w:val="21"/>
                <w:szCs w:val="21"/>
              </w:rPr>
              <w:t>仲</w:t>
            </w:r>
            <w:r>
              <w:rPr>
                <w:rFonts w:hint="eastAsia" w:ascii="宋体" w:hAnsi="宋体" w:eastAsia="宋体" w:cs="宋体"/>
                <w:spacing w:val="-3"/>
                <w:sz w:val="21"/>
                <w:szCs w:val="21"/>
              </w:rPr>
              <w:t>裁</w:t>
            </w:r>
            <w:r>
              <w:rPr>
                <w:rFonts w:hint="eastAsia" w:ascii="宋体" w:hAnsi="宋体" w:eastAsia="宋体" w:cs="宋体"/>
                <w:sz w:val="21"/>
                <w:szCs w:val="21"/>
              </w:rPr>
              <w:t>，</w:t>
            </w:r>
            <w:r>
              <w:rPr>
                <w:rFonts w:hint="eastAsia" w:ascii="宋体" w:hAnsi="宋体" w:eastAsia="宋体" w:cs="宋体"/>
                <w:spacing w:val="-3"/>
                <w:sz w:val="21"/>
                <w:szCs w:val="21"/>
              </w:rPr>
              <w:t>仲</w:t>
            </w:r>
            <w:r>
              <w:rPr>
                <w:rFonts w:hint="eastAsia" w:ascii="宋体" w:hAnsi="宋体" w:eastAsia="宋体" w:cs="宋体"/>
                <w:sz w:val="21"/>
                <w:szCs w:val="21"/>
              </w:rPr>
              <w:t>裁</w:t>
            </w:r>
            <w:r>
              <w:rPr>
                <w:rFonts w:hint="eastAsia" w:ascii="宋体" w:hAnsi="宋体" w:eastAsia="宋体" w:cs="宋体"/>
                <w:spacing w:val="-3"/>
                <w:sz w:val="21"/>
                <w:szCs w:val="21"/>
              </w:rPr>
              <w:t>委</w:t>
            </w:r>
            <w:r>
              <w:rPr>
                <w:rFonts w:hint="eastAsia" w:ascii="宋体" w:hAnsi="宋体" w:eastAsia="宋体" w:cs="宋体"/>
                <w:sz w:val="21"/>
                <w:szCs w:val="21"/>
              </w:rPr>
              <w:t>员</w:t>
            </w:r>
            <w:r>
              <w:rPr>
                <w:rFonts w:hint="eastAsia" w:ascii="宋体" w:hAnsi="宋体" w:eastAsia="宋体" w:cs="宋体"/>
                <w:spacing w:val="-3"/>
                <w:sz w:val="21"/>
                <w:szCs w:val="21"/>
              </w:rPr>
              <w:t>会</w:t>
            </w:r>
            <w:r>
              <w:rPr>
                <w:rFonts w:hint="eastAsia" w:ascii="宋体" w:hAnsi="宋体" w:eastAsia="宋体" w:cs="宋体"/>
                <w:sz w:val="21"/>
                <w:szCs w:val="21"/>
              </w:rPr>
              <w:t>名称：</w:t>
            </w:r>
            <w:r>
              <w:rPr>
                <w:rFonts w:hint="eastAsia" w:ascii="宋体" w:hAnsi="宋体" w:eastAsia="宋体" w:cs="宋体"/>
                <w:sz w:val="21"/>
                <w:szCs w:val="21"/>
                <w:lang w:val="en-US" w:eastAsia="zh-CN"/>
              </w:rPr>
              <w:t>依法向项目所在地人民法院提起诉讼。</w:t>
            </w:r>
          </w:p>
        </w:tc>
      </w:tr>
    </w:tbl>
    <w:p w14:paraId="1615011C">
      <w:pPr>
        <w:pStyle w:val="12"/>
        <w:rPr>
          <w:sz w:val="20"/>
        </w:rPr>
      </w:pPr>
    </w:p>
    <w:p w14:paraId="6A4506F4">
      <w:bookmarkStart w:id="366" w:name="_bookmark259"/>
      <w:bookmarkEnd w:id="366"/>
      <w:r>
        <w:br w:type="page"/>
      </w:r>
    </w:p>
    <w:p w14:paraId="608F6D46">
      <w:pPr>
        <w:pStyle w:val="5"/>
        <w:bidi w:val="0"/>
      </w:pPr>
      <w:r>
        <w:t>项目专用合同条款</w:t>
      </w:r>
    </w:p>
    <w:p w14:paraId="5A0401D4">
      <w:pPr>
        <w:pStyle w:val="12"/>
        <w:spacing w:before="6"/>
        <w:rPr>
          <w:rFonts w:ascii="黑体"/>
          <w:sz w:val="39"/>
        </w:rPr>
      </w:pPr>
    </w:p>
    <w:p w14:paraId="1EB27C86">
      <w:pPr>
        <w:pStyle w:val="12"/>
        <w:spacing w:line="240" w:lineRule="auto"/>
        <w:ind w:left="0" w:right="0" w:firstLine="420" w:firstLineChars="200"/>
        <w:jc w:val="both"/>
        <w:rPr>
          <w:rFonts w:ascii="Arial Unicode MS"/>
          <w:sz w:val="21"/>
          <w:szCs w:val="21"/>
        </w:rPr>
      </w:pPr>
      <w:r>
        <w:rPr>
          <w:rFonts w:hint="eastAsia" w:ascii="黑体" w:hAnsi="黑体" w:eastAsia="黑体"/>
          <w:sz w:val="21"/>
          <w:szCs w:val="21"/>
        </w:rPr>
        <w:t>说明：</w:t>
      </w:r>
      <w:r>
        <w:rPr>
          <w:rFonts w:hint="eastAsia" w:ascii="Arial Unicode MS" w:hAnsi="Arial Unicode MS" w:eastAsia="Arial Unicode MS"/>
          <w:sz w:val="21"/>
          <w:szCs w:val="21"/>
        </w:rPr>
        <w:t>本部分所列的项目专用合同条款是对“公路工程专用合同条款”中规定必须在项目专用合同条款中明确的内容的集中，招标人编制的“项目专用合同条款”不限于本部分所列内容。</w:t>
      </w:r>
    </w:p>
    <w:p w14:paraId="0B52F64C">
      <w:pPr>
        <w:pStyle w:val="12"/>
        <w:spacing w:line="360" w:lineRule="auto"/>
        <w:ind w:left="424"/>
        <w:rPr>
          <w:rFonts w:hint="eastAsia" w:ascii="黑体" w:eastAsia="黑体"/>
          <w:sz w:val="21"/>
          <w:szCs w:val="21"/>
        </w:rPr>
      </w:pPr>
      <w:bookmarkStart w:id="367" w:name="_bookmark260"/>
      <w:bookmarkEnd w:id="367"/>
      <w:r>
        <w:rPr>
          <w:rFonts w:ascii="Times New Roman" w:eastAsia="Times New Roman"/>
          <w:sz w:val="21"/>
          <w:szCs w:val="21"/>
        </w:rPr>
        <w:t>4.1</w:t>
      </w:r>
      <w:r>
        <w:rPr>
          <w:rFonts w:ascii="Times New Roman" w:eastAsia="Times New Roman"/>
          <w:spacing w:val="59"/>
          <w:sz w:val="21"/>
          <w:szCs w:val="21"/>
        </w:rPr>
        <w:t xml:space="preserve"> </w:t>
      </w:r>
      <w:r>
        <w:rPr>
          <w:rFonts w:hint="eastAsia" w:ascii="黑体" w:eastAsia="黑体"/>
          <w:sz w:val="21"/>
          <w:szCs w:val="21"/>
        </w:rPr>
        <w:t>承包人的一般义务</w:t>
      </w:r>
    </w:p>
    <w:p w14:paraId="3DDABFC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textAlignment w:val="auto"/>
        <w:rPr>
          <w:rFonts w:hint="eastAsia" w:ascii="黑体" w:eastAsia="黑体"/>
          <w:sz w:val="21"/>
          <w:szCs w:val="21"/>
        </w:rPr>
      </w:pPr>
      <w:r>
        <w:rPr>
          <w:rFonts w:ascii="Times New Roman" w:eastAsia="Times New Roman"/>
          <w:sz w:val="21"/>
          <w:szCs w:val="21"/>
        </w:rPr>
        <w:t xml:space="preserve">4.1.10 </w:t>
      </w:r>
      <w:r>
        <w:rPr>
          <w:rFonts w:hint="eastAsia" w:ascii="黑体" w:eastAsia="黑体"/>
          <w:sz w:val="21"/>
          <w:szCs w:val="21"/>
        </w:rPr>
        <w:t>其他义务</w:t>
      </w:r>
    </w:p>
    <w:p w14:paraId="6B69E0B8">
      <w:pPr>
        <w:pStyle w:val="41"/>
        <w:keepNext w:val="0"/>
        <w:keepLines w:val="0"/>
        <w:pageBreakBefore w:val="0"/>
        <w:widowControl w:val="0"/>
        <w:numPr>
          <w:ilvl w:val="0"/>
          <w:numId w:val="0"/>
        </w:numPr>
        <w:tabs>
          <w:tab w:val="left" w:pos="1417"/>
          <w:tab w:val="left" w:pos="711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eastAsia"/>
          <w:sz w:val="21"/>
          <w:szCs w:val="21"/>
          <w:lang w:eastAsia="zh-CN"/>
        </w:rPr>
        <w:t>（</w:t>
      </w:r>
      <w:r>
        <w:rPr>
          <w:rFonts w:hint="eastAsia"/>
          <w:sz w:val="21"/>
          <w:szCs w:val="21"/>
          <w:lang w:val="en-US" w:eastAsia="zh-CN"/>
        </w:rPr>
        <w:t>4）</w:t>
      </w:r>
      <w:r>
        <w:rPr>
          <w:sz w:val="21"/>
          <w:szCs w:val="21"/>
        </w:rPr>
        <w:t>承包人应履行的其他义务：</w:t>
      </w:r>
    </w:p>
    <w:p w14:paraId="07C1F9C1">
      <w:pPr>
        <w:pStyle w:val="41"/>
        <w:keepNext w:val="0"/>
        <w:keepLines w:val="0"/>
        <w:pageBreakBefore w:val="0"/>
        <w:widowControl w:val="0"/>
        <w:numPr>
          <w:ilvl w:val="0"/>
          <w:numId w:val="0"/>
        </w:numPr>
        <w:tabs>
          <w:tab w:val="left" w:pos="1417"/>
          <w:tab w:val="left" w:pos="711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imes New Roman" w:eastAsia="Times New Roman"/>
          <w:sz w:val="21"/>
          <w:szCs w:val="21"/>
          <w:u w:val="single"/>
        </w:rPr>
      </w:pPr>
      <w:r>
        <w:rPr>
          <w:rFonts w:hint="eastAsia" w:ascii="Times New Roman" w:eastAsia="Times New Roman"/>
          <w:sz w:val="21"/>
          <w:szCs w:val="21"/>
          <w:u w:val="none"/>
        </w:rPr>
        <w:t>（4.1）</w:t>
      </w:r>
      <w:r>
        <w:rPr>
          <w:rFonts w:hint="eastAsia" w:ascii="Times New Roman" w:eastAsia="Times New Roman"/>
          <w:sz w:val="21"/>
          <w:szCs w:val="21"/>
          <w:u w:val="single"/>
        </w:rPr>
        <w:t>承包人应由专职人员负责处理地方关系,当承包人遇到地方问题或与地方群众发生矛盾、纠纷时，应主动与工程所在地政府取得联系，以求问题解决。</w:t>
      </w:r>
    </w:p>
    <w:p w14:paraId="74FC9F2C">
      <w:pPr>
        <w:pStyle w:val="41"/>
        <w:keepNext w:val="0"/>
        <w:keepLines w:val="0"/>
        <w:pageBreakBefore w:val="0"/>
        <w:widowControl w:val="0"/>
        <w:numPr>
          <w:ilvl w:val="0"/>
          <w:numId w:val="0"/>
        </w:numPr>
        <w:tabs>
          <w:tab w:val="left" w:pos="1417"/>
          <w:tab w:val="left" w:pos="711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imes New Roman" w:eastAsia="Times New Roman"/>
          <w:sz w:val="21"/>
          <w:szCs w:val="21"/>
          <w:u w:val="single"/>
        </w:rPr>
      </w:pPr>
      <w:r>
        <w:rPr>
          <w:rFonts w:hint="eastAsia" w:ascii="Times New Roman" w:eastAsia="Times New Roman"/>
          <w:sz w:val="21"/>
          <w:szCs w:val="21"/>
          <w:u w:val="none"/>
        </w:rPr>
        <w:t>（4.2）</w:t>
      </w:r>
      <w:r>
        <w:rPr>
          <w:rFonts w:hint="eastAsia" w:ascii="Times New Roman" w:eastAsia="Times New Roman"/>
          <w:sz w:val="21"/>
          <w:szCs w:val="21"/>
          <w:u w:val="single"/>
        </w:rPr>
        <w:t>承包人应按发包人的要求，为配合发包人的工程管理和本项目其他工程施工提供方便和必要的协助，以保证工程的顺利施工。所提供的方便与必要的协助包含并不限于以下工作：配合发包人对本项目可能进行的科研和试验课题研究提供必要的试验场地、设备、人员及辅助工作，承担召开专项施工方案评审会相关费用等；配合发包人和相关检测单位做好检测工作；承包人应为发包人在本项目管理中提供交通的便利。</w:t>
      </w:r>
    </w:p>
    <w:p w14:paraId="5515C8B5">
      <w:pPr>
        <w:pStyle w:val="41"/>
        <w:keepNext w:val="0"/>
        <w:keepLines w:val="0"/>
        <w:pageBreakBefore w:val="0"/>
        <w:widowControl w:val="0"/>
        <w:numPr>
          <w:ilvl w:val="0"/>
          <w:numId w:val="0"/>
        </w:numPr>
        <w:tabs>
          <w:tab w:val="left" w:pos="1417"/>
          <w:tab w:val="left" w:pos="711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imes New Roman" w:eastAsia="Times New Roman"/>
          <w:sz w:val="21"/>
          <w:szCs w:val="21"/>
          <w:u w:val="single"/>
        </w:rPr>
      </w:pPr>
      <w:r>
        <w:rPr>
          <w:rFonts w:hint="eastAsia" w:ascii="Times New Roman" w:eastAsia="Times New Roman"/>
          <w:sz w:val="21"/>
          <w:szCs w:val="21"/>
          <w:u w:val="single"/>
        </w:rPr>
        <w:t>承包人为完成上述工作所需的一切费用均应包括在投标总价内，发包人不另行计量与支付。</w:t>
      </w:r>
    </w:p>
    <w:p w14:paraId="0D5D224D">
      <w:pPr>
        <w:pStyle w:val="41"/>
        <w:keepNext w:val="0"/>
        <w:keepLines w:val="0"/>
        <w:pageBreakBefore w:val="0"/>
        <w:widowControl w:val="0"/>
        <w:numPr>
          <w:ilvl w:val="0"/>
          <w:numId w:val="0"/>
        </w:numPr>
        <w:tabs>
          <w:tab w:val="left" w:pos="1417"/>
          <w:tab w:val="left" w:pos="711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imes New Roman" w:eastAsia="Times New Roman"/>
          <w:sz w:val="21"/>
          <w:szCs w:val="21"/>
          <w:u w:val="single"/>
        </w:rPr>
      </w:pPr>
      <w:r>
        <w:rPr>
          <w:rFonts w:hint="eastAsia" w:ascii="Times New Roman" w:eastAsia="Times New Roman"/>
          <w:sz w:val="21"/>
          <w:szCs w:val="21"/>
          <w:u w:val="none"/>
        </w:rPr>
        <w:t>（4.3）</w:t>
      </w:r>
      <w:r>
        <w:rPr>
          <w:rFonts w:hint="eastAsia" w:ascii="Times New Roman" w:eastAsia="Times New Roman"/>
          <w:sz w:val="21"/>
          <w:szCs w:val="21"/>
          <w:u w:val="single"/>
        </w:rPr>
        <w:t>承包人除按合同规定承担本合同工程实施、完成及修复缺陷外，还应对施工有交叉、有衔接的施工项目主动积极做好配合，承包人应按发包人要求做好交验配合工作，若出现矛盾或纠纷，承包人应服从监理人或发包人安排。承包人应充分考虑在施工过程中可采取的交通保障措施，交通安全保障及文明施工措施。</w:t>
      </w:r>
    </w:p>
    <w:p w14:paraId="7033F0A5">
      <w:pPr>
        <w:pStyle w:val="41"/>
        <w:keepNext w:val="0"/>
        <w:keepLines w:val="0"/>
        <w:pageBreakBefore w:val="0"/>
        <w:widowControl w:val="0"/>
        <w:numPr>
          <w:ilvl w:val="0"/>
          <w:numId w:val="0"/>
        </w:numPr>
        <w:tabs>
          <w:tab w:val="left" w:pos="1417"/>
          <w:tab w:val="left" w:pos="711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imes New Roman" w:eastAsia="Times New Roman"/>
          <w:sz w:val="21"/>
          <w:szCs w:val="21"/>
          <w:u w:val="single"/>
        </w:rPr>
      </w:pPr>
      <w:r>
        <w:rPr>
          <w:rFonts w:hint="eastAsia" w:ascii="Times New Roman" w:eastAsia="Times New Roman"/>
          <w:sz w:val="21"/>
          <w:szCs w:val="21"/>
          <w:u w:val="none"/>
        </w:rPr>
        <w:t>（4.4）</w:t>
      </w:r>
      <w:r>
        <w:rPr>
          <w:rFonts w:hint="eastAsia" w:ascii="Times New Roman" w:eastAsia="Times New Roman"/>
          <w:sz w:val="21"/>
          <w:szCs w:val="21"/>
          <w:u w:val="single"/>
        </w:rPr>
        <w:t>承包人在施工过程中，应积极主动取得当地政府及人民群众的支持，协调好本合同段各方的关系，避免施工干扰，同时避免给其他承包人造成施工干扰。不可避免时，应主动与被干扰方协调以减少干扰。</w:t>
      </w:r>
    </w:p>
    <w:p w14:paraId="321B2390">
      <w:pPr>
        <w:pStyle w:val="41"/>
        <w:keepNext w:val="0"/>
        <w:keepLines w:val="0"/>
        <w:pageBreakBefore w:val="0"/>
        <w:widowControl w:val="0"/>
        <w:numPr>
          <w:ilvl w:val="0"/>
          <w:numId w:val="0"/>
        </w:numPr>
        <w:tabs>
          <w:tab w:val="left" w:pos="1417"/>
          <w:tab w:val="left" w:pos="711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imes New Roman" w:eastAsia="Times New Roman"/>
          <w:sz w:val="21"/>
          <w:szCs w:val="21"/>
          <w:u w:val="single"/>
        </w:rPr>
      </w:pPr>
      <w:r>
        <w:rPr>
          <w:rFonts w:hint="eastAsia" w:ascii="Times New Roman" w:eastAsia="Times New Roman"/>
          <w:sz w:val="21"/>
          <w:szCs w:val="21"/>
          <w:u w:val="none"/>
        </w:rPr>
        <w:t>（4.5）</w:t>
      </w:r>
      <w:r>
        <w:rPr>
          <w:rFonts w:hint="eastAsia" w:ascii="Times New Roman" w:eastAsia="Times New Roman"/>
          <w:sz w:val="21"/>
          <w:szCs w:val="21"/>
          <w:u w:val="single"/>
        </w:rPr>
        <w:t>凡合同段内与已建公路、管道等有交叉干扰的地段，承包人应在不干扰公路、管道正常运行的前提下，合理安排施工组织计划，采取有效措施保证施工和运营安全，并在必要时疏导现有交通流。承包人应将采取的措施而可能发生的全部费用计入投标报价中，发包人将不另行支付。如因承包人采取措施不力，影响公路、航道、管道正常安全运营而给其他部门或个人造成的一切损失或由于上述原因造成工期的拖延或施工费用的增加，均由承包人自行承担。</w:t>
      </w:r>
    </w:p>
    <w:p w14:paraId="0B47AC24">
      <w:pPr>
        <w:pStyle w:val="41"/>
        <w:keepNext w:val="0"/>
        <w:keepLines w:val="0"/>
        <w:pageBreakBefore w:val="0"/>
        <w:widowControl w:val="0"/>
        <w:numPr>
          <w:ilvl w:val="0"/>
          <w:numId w:val="0"/>
        </w:numPr>
        <w:tabs>
          <w:tab w:val="left" w:pos="1417"/>
          <w:tab w:val="left" w:pos="711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Times New Roman" w:eastAsia="Times New Roman"/>
          <w:sz w:val="21"/>
          <w:szCs w:val="21"/>
          <w:u w:val="single"/>
        </w:rPr>
      </w:pPr>
      <w:r>
        <w:rPr>
          <w:rFonts w:hint="eastAsia" w:ascii="Times New Roman" w:eastAsia="Times New Roman"/>
          <w:sz w:val="21"/>
          <w:szCs w:val="21"/>
          <w:u w:val="none"/>
        </w:rPr>
        <w:t>（4.6）</w:t>
      </w:r>
      <w:r>
        <w:rPr>
          <w:rFonts w:hint="eastAsia" w:ascii="Times New Roman" w:eastAsia="Times New Roman"/>
          <w:sz w:val="21"/>
          <w:szCs w:val="21"/>
          <w:u w:val="single"/>
        </w:rPr>
        <w:t>承包人在工程实施过程中的用工行为，必须严格执行国家及地方政府的有关规定， 依法签订劳动合同，并按规定及时足额支付工资。承包人必须按淮北市相关规定足额缴纳农民工工资保障金。</w:t>
      </w:r>
    </w:p>
    <w:p w14:paraId="44BBF989">
      <w:pPr>
        <w:pStyle w:val="41"/>
        <w:keepNext w:val="0"/>
        <w:keepLines w:val="0"/>
        <w:pageBreakBefore w:val="0"/>
        <w:widowControl w:val="0"/>
        <w:numPr>
          <w:ilvl w:val="0"/>
          <w:numId w:val="0"/>
        </w:numPr>
        <w:tabs>
          <w:tab w:val="left" w:pos="1417"/>
          <w:tab w:val="left" w:pos="7111"/>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default" w:ascii="Times New Roman" w:eastAsia="宋体"/>
          <w:sz w:val="21"/>
          <w:szCs w:val="21"/>
          <w:u w:val="single"/>
          <w:lang w:val="en-US" w:eastAsia="zh-CN"/>
        </w:rPr>
      </w:pPr>
      <w:r>
        <w:rPr>
          <w:rFonts w:hint="eastAsia" w:ascii="Times New Roman" w:eastAsia="宋体"/>
          <w:sz w:val="21"/>
          <w:szCs w:val="21"/>
          <w:u w:val="single"/>
          <w:lang w:eastAsia="zh-CN"/>
        </w:rPr>
        <w:t>（</w:t>
      </w:r>
      <w:r>
        <w:rPr>
          <w:rFonts w:hint="eastAsia" w:ascii="Times New Roman" w:eastAsia="宋体"/>
          <w:sz w:val="21"/>
          <w:szCs w:val="21"/>
          <w:u w:val="single"/>
          <w:lang w:val="en-US" w:eastAsia="zh-CN"/>
        </w:rPr>
        <w:t>4.7）本项目因工程施工石方属于招标人所有，承包人须按照招标人要求，无条件的将开采后的石方进行归类打堆，供发包人依法选定的购买人自行装车，承包人不得再要求增加任何费用或其他条件。</w:t>
      </w:r>
    </w:p>
    <w:p w14:paraId="1DD4C544">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ascii="黑体"/>
          <w:sz w:val="21"/>
          <w:szCs w:val="21"/>
        </w:rPr>
      </w:pPr>
      <w:bookmarkStart w:id="368" w:name="_bookmark261"/>
      <w:bookmarkEnd w:id="368"/>
      <w:bookmarkStart w:id="369" w:name="_bookmark261"/>
      <w:bookmarkEnd w:id="369"/>
      <w:r>
        <w:rPr>
          <w:rFonts w:hint="default" w:ascii="Times New Roman" w:hAnsi="Times New Roman" w:eastAsia="Times New Roman" w:cs="Times New Roman"/>
          <w:spacing w:val="-1"/>
          <w:w w:val="100"/>
          <w:sz w:val="21"/>
          <w:szCs w:val="21"/>
          <w:lang w:val="zh-CN" w:eastAsia="zh-CN" w:bidi="zh-CN"/>
        </w:rPr>
        <w:t>4.11</w:t>
      </w:r>
      <w:r>
        <w:rPr>
          <w:rFonts w:hint="eastAsia" w:ascii="黑体" w:eastAsia="黑体"/>
          <w:sz w:val="21"/>
          <w:szCs w:val="21"/>
        </w:rPr>
        <w:t>不利物质条件</w:t>
      </w:r>
    </w:p>
    <w:p w14:paraId="3422463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ascii="Times New Roman" w:eastAsia="Times New Roman"/>
          <w:sz w:val="21"/>
          <w:szCs w:val="21"/>
        </w:rPr>
      </w:pPr>
      <w:r>
        <w:rPr>
          <w:rFonts w:ascii="Times New Roman" w:eastAsia="Times New Roman"/>
          <w:sz w:val="21"/>
          <w:szCs w:val="21"/>
        </w:rPr>
        <w:t>4.1.10 不利物质条件的范围：</w:t>
      </w:r>
    </w:p>
    <w:p w14:paraId="4695F9C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imes New Roman" w:eastAsia="Times New Roman"/>
          <w:sz w:val="21"/>
          <w:szCs w:val="21"/>
        </w:rPr>
      </w:pPr>
      <w:r>
        <w:rPr>
          <w:rFonts w:hint="eastAsia" w:ascii="Times New Roman" w:eastAsia="Times New Roman"/>
          <w:sz w:val="21"/>
          <w:szCs w:val="21"/>
        </w:rPr>
        <w:t>a.未预测到的不利于施工的外界自然条件</w:t>
      </w:r>
      <w:r>
        <w:rPr>
          <w:rFonts w:hint="eastAsia" w:ascii="Times New Roman" w:eastAsia="宋体"/>
          <w:sz w:val="21"/>
          <w:szCs w:val="21"/>
          <w:lang w:eastAsia="zh-CN"/>
        </w:rPr>
        <w:t>；</w:t>
      </w:r>
      <w:r>
        <w:rPr>
          <w:rFonts w:hint="eastAsia" w:ascii="Times New Roman" w:eastAsia="Times New Roman"/>
          <w:sz w:val="21"/>
          <w:szCs w:val="21"/>
        </w:rPr>
        <w:t xml:space="preserve">  </w:t>
      </w:r>
    </w:p>
    <w:p w14:paraId="57D07F7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imes New Roman" w:eastAsia="宋体"/>
          <w:sz w:val="21"/>
          <w:szCs w:val="21"/>
          <w:lang w:eastAsia="zh-CN"/>
        </w:rPr>
      </w:pPr>
      <w:r>
        <w:rPr>
          <w:rFonts w:hint="eastAsia" w:ascii="Times New Roman" w:eastAsia="Times New Roman"/>
          <w:sz w:val="21"/>
          <w:szCs w:val="21"/>
        </w:rPr>
        <w:t>b.招标文件和图纸均未说明的外界障碍物</w:t>
      </w:r>
      <w:r>
        <w:rPr>
          <w:rFonts w:hint="eastAsia" w:ascii="Times New Roman" w:eastAsia="宋体"/>
          <w:sz w:val="21"/>
          <w:szCs w:val="21"/>
          <w:lang w:eastAsia="zh-CN"/>
        </w:rPr>
        <w:t>；</w:t>
      </w:r>
    </w:p>
    <w:p w14:paraId="5501305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imes New Roman" w:eastAsia="宋体"/>
          <w:sz w:val="21"/>
          <w:szCs w:val="21"/>
          <w:lang w:eastAsia="zh-CN"/>
        </w:rPr>
      </w:pPr>
      <w:r>
        <w:rPr>
          <w:rFonts w:hint="eastAsia" w:ascii="Times New Roman" w:eastAsia="Times New Roman"/>
          <w:sz w:val="21"/>
          <w:szCs w:val="21"/>
        </w:rPr>
        <w:t>c.招标文件未提供或与提供资料不一致的地表以下的地质和水文条件</w:t>
      </w:r>
      <w:r>
        <w:rPr>
          <w:rFonts w:hint="eastAsia" w:ascii="Times New Roman" w:eastAsia="宋体"/>
          <w:sz w:val="21"/>
          <w:szCs w:val="21"/>
          <w:lang w:eastAsia="zh-CN"/>
        </w:rPr>
        <w:t>；</w:t>
      </w:r>
    </w:p>
    <w:p w14:paraId="6141B90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ascii="Times New Roman" w:eastAsia="Times New Roman"/>
          <w:sz w:val="21"/>
          <w:szCs w:val="21"/>
        </w:rPr>
      </w:pPr>
      <w:r>
        <w:rPr>
          <w:rFonts w:hint="eastAsia" w:ascii="Times New Roman" w:eastAsia="Times New Roman"/>
          <w:sz w:val="21"/>
          <w:szCs w:val="21"/>
        </w:rPr>
        <w:t>d.与同时在现场施工的其他承包商发生施工交叉干扰。</w:t>
      </w:r>
    </w:p>
    <w:p w14:paraId="58F00C53">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黑体" w:eastAsia="黑体"/>
          <w:sz w:val="21"/>
          <w:szCs w:val="21"/>
        </w:rPr>
      </w:pPr>
      <w:bookmarkStart w:id="370" w:name="_bookmark262"/>
      <w:bookmarkEnd w:id="370"/>
      <w:r>
        <w:rPr>
          <w:rFonts w:ascii="Times New Roman" w:eastAsia="Times New Roman"/>
          <w:sz w:val="21"/>
          <w:szCs w:val="21"/>
        </w:rPr>
        <w:t>10.1</w:t>
      </w:r>
      <w:r>
        <w:rPr>
          <w:rFonts w:ascii="Times New Roman" w:eastAsia="Times New Roman"/>
          <w:spacing w:val="59"/>
          <w:sz w:val="21"/>
          <w:szCs w:val="21"/>
        </w:rPr>
        <w:t xml:space="preserve"> </w:t>
      </w:r>
      <w:r>
        <w:rPr>
          <w:rFonts w:hint="eastAsia" w:ascii="黑体" w:eastAsia="黑体"/>
          <w:sz w:val="21"/>
          <w:szCs w:val="21"/>
        </w:rPr>
        <w:t>合同进度计划</w:t>
      </w:r>
    </w:p>
    <w:p w14:paraId="01947E4E">
      <w:pPr>
        <w:pStyle w:val="12"/>
        <w:keepNext w:val="0"/>
        <w:keepLines w:val="0"/>
        <w:pageBreakBefore w:val="0"/>
        <w:widowControl w:val="0"/>
        <w:tabs>
          <w:tab w:val="left" w:pos="5760"/>
        </w:tabs>
        <w:kinsoku/>
        <w:wordWrap/>
        <w:overflowPunct/>
        <w:topLinePunct w:val="0"/>
        <w:autoSpaceDE w:val="0"/>
        <w:autoSpaceDN w:val="0"/>
        <w:bidi w:val="0"/>
        <w:adjustRightInd/>
        <w:snapToGrid/>
        <w:spacing w:before="0" w:line="360" w:lineRule="auto"/>
        <w:ind w:left="0" w:leftChars="0" w:right="0" w:firstLine="420" w:firstLineChars="200"/>
        <w:textAlignment w:val="auto"/>
        <w:rPr>
          <w:sz w:val="21"/>
          <w:szCs w:val="21"/>
        </w:rPr>
      </w:pPr>
      <w:r>
        <w:rPr>
          <w:sz w:val="21"/>
          <w:szCs w:val="21"/>
        </w:rPr>
        <w:t>承包人编制施工方案的内容：</w:t>
      </w:r>
    </w:p>
    <w:p w14:paraId="50124923">
      <w:pPr>
        <w:pStyle w:val="12"/>
        <w:keepNext w:val="0"/>
        <w:keepLines w:val="0"/>
        <w:pageBreakBefore w:val="0"/>
        <w:widowControl w:val="0"/>
        <w:tabs>
          <w:tab w:val="left" w:pos="5760"/>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sz w:val="21"/>
          <w:szCs w:val="21"/>
          <w:u w:val="single"/>
          <w:lang w:val="en-US"/>
        </w:rPr>
      </w:pPr>
      <w:r>
        <w:rPr>
          <w:rFonts w:ascii="Times New Roman" w:eastAsia="Times New Roman"/>
          <w:sz w:val="21"/>
          <w:szCs w:val="21"/>
          <w:u w:val="single"/>
        </w:rPr>
        <w:t xml:space="preserve"> </w:t>
      </w:r>
      <w:r>
        <w:rPr>
          <w:rFonts w:hint="eastAsia"/>
          <w:sz w:val="21"/>
          <w:szCs w:val="21"/>
          <w:u w:val="single"/>
          <w:lang w:val="en-US"/>
        </w:rPr>
        <w:t>1、组织机构设置和人员配备，拟投入施工机械和试验检测设备。</w:t>
      </w:r>
    </w:p>
    <w:p w14:paraId="6431540A">
      <w:pPr>
        <w:pStyle w:val="12"/>
        <w:keepNext w:val="0"/>
        <w:keepLines w:val="0"/>
        <w:pageBreakBefore w:val="0"/>
        <w:widowControl w:val="0"/>
        <w:tabs>
          <w:tab w:val="left" w:pos="5760"/>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ascii="Times New Roman" w:eastAsia="Times New Roman"/>
          <w:sz w:val="21"/>
          <w:szCs w:val="21"/>
        </w:rPr>
      </w:pPr>
      <w:r>
        <w:rPr>
          <w:rFonts w:hint="eastAsia"/>
          <w:sz w:val="21"/>
          <w:szCs w:val="21"/>
          <w:u w:val="single"/>
          <w:lang w:val="en-US"/>
        </w:rPr>
        <w:t>2、主要工程项目的施工方案方法和技术措施，施工进度计划，劳动力计划安排表，进度网络图，施工现场平面布置图及进度保证措施，主要工作横道图，安全生产管理、环保、水保、文明施工保证体系和措施。</w:t>
      </w:r>
    </w:p>
    <w:p w14:paraId="1138BA5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黑体" w:eastAsia="黑体"/>
          <w:sz w:val="21"/>
          <w:szCs w:val="21"/>
        </w:rPr>
      </w:pPr>
      <w:bookmarkStart w:id="371" w:name="_bookmark263"/>
      <w:bookmarkEnd w:id="371"/>
      <w:r>
        <w:rPr>
          <w:rFonts w:ascii="Times New Roman" w:eastAsia="Times New Roman"/>
          <w:sz w:val="21"/>
          <w:szCs w:val="21"/>
        </w:rPr>
        <w:t xml:space="preserve">11.4 </w:t>
      </w:r>
      <w:r>
        <w:rPr>
          <w:rFonts w:hint="eastAsia" w:ascii="黑体" w:eastAsia="黑体"/>
          <w:sz w:val="21"/>
          <w:szCs w:val="21"/>
        </w:rPr>
        <w:t>异常恶劣的气候条件</w:t>
      </w:r>
    </w:p>
    <w:p w14:paraId="77A0B75D">
      <w:pPr>
        <w:pStyle w:val="12"/>
        <w:keepNext w:val="0"/>
        <w:keepLines w:val="0"/>
        <w:pageBreakBefore w:val="0"/>
        <w:widowControl w:val="0"/>
        <w:tabs>
          <w:tab w:val="left" w:pos="5760"/>
        </w:tabs>
        <w:kinsoku/>
        <w:wordWrap/>
        <w:overflowPunct/>
        <w:topLinePunct w:val="0"/>
        <w:autoSpaceDE w:val="0"/>
        <w:autoSpaceDN w:val="0"/>
        <w:bidi w:val="0"/>
        <w:adjustRightInd/>
        <w:snapToGrid/>
        <w:spacing w:before="0" w:line="360" w:lineRule="auto"/>
        <w:ind w:left="0" w:leftChars="0" w:right="0" w:firstLine="420" w:firstLineChars="200"/>
        <w:textAlignment w:val="auto"/>
        <w:rPr>
          <w:sz w:val="21"/>
          <w:szCs w:val="21"/>
        </w:rPr>
      </w:pPr>
      <w:r>
        <w:rPr>
          <w:sz w:val="21"/>
          <w:szCs w:val="21"/>
        </w:rPr>
        <w:t>异常恶劣的气候条件的范围：</w:t>
      </w:r>
    </w:p>
    <w:p w14:paraId="5DA29F80">
      <w:pPr>
        <w:pStyle w:val="12"/>
        <w:keepNext w:val="0"/>
        <w:keepLines w:val="0"/>
        <w:pageBreakBefore w:val="0"/>
        <w:widowControl w:val="0"/>
        <w:tabs>
          <w:tab w:val="left" w:pos="5760"/>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imes New Roman" w:eastAsia="Times New Roman"/>
          <w:sz w:val="21"/>
          <w:szCs w:val="21"/>
          <w:u w:val="single"/>
        </w:rPr>
      </w:pPr>
      <w:r>
        <w:rPr>
          <w:rFonts w:hint="eastAsia" w:ascii="Times New Roman" w:eastAsia="Times New Roman"/>
          <w:sz w:val="21"/>
          <w:szCs w:val="21"/>
          <w:u w:val="single"/>
        </w:rPr>
        <w:t>(</w:t>
      </w:r>
      <w:r>
        <w:rPr>
          <w:rFonts w:hint="eastAsia" w:ascii="Times New Roman" w:eastAsia="宋体"/>
          <w:sz w:val="21"/>
          <w:szCs w:val="21"/>
          <w:u w:val="single"/>
          <w:lang w:val="en-US" w:eastAsia="zh-CN"/>
        </w:rPr>
        <w:t>1</w:t>
      </w:r>
      <w:r>
        <w:rPr>
          <w:rFonts w:hint="eastAsia" w:ascii="Times New Roman" w:eastAsia="Times New Roman"/>
          <w:sz w:val="21"/>
          <w:szCs w:val="21"/>
          <w:u w:val="single"/>
        </w:rPr>
        <w:t>）日降雨量大于50mm的雨日超过1天；</w:t>
      </w:r>
    </w:p>
    <w:p w14:paraId="29A1B2BF">
      <w:pPr>
        <w:pStyle w:val="12"/>
        <w:keepNext w:val="0"/>
        <w:keepLines w:val="0"/>
        <w:pageBreakBefore w:val="0"/>
        <w:widowControl w:val="0"/>
        <w:tabs>
          <w:tab w:val="left" w:pos="5760"/>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imes New Roman" w:eastAsia="Times New Roman"/>
          <w:sz w:val="21"/>
          <w:szCs w:val="21"/>
          <w:u w:val="single"/>
        </w:rPr>
      </w:pPr>
      <w:r>
        <w:rPr>
          <w:rFonts w:hint="eastAsia" w:ascii="Times New Roman" w:eastAsia="Times New Roman"/>
          <w:sz w:val="21"/>
          <w:szCs w:val="21"/>
          <w:u w:val="single"/>
        </w:rPr>
        <w:t>(2）达到台风黄色预警级别的台风灾害，承包人暂停施工的无责任；</w:t>
      </w:r>
    </w:p>
    <w:p w14:paraId="28897BD5">
      <w:pPr>
        <w:pStyle w:val="12"/>
        <w:keepNext w:val="0"/>
        <w:keepLines w:val="0"/>
        <w:pageBreakBefore w:val="0"/>
        <w:widowControl w:val="0"/>
        <w:tabs>
          <w:tab w:val="left" w:pos="5760"/>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imes New Roman" w:eastAsia="Times New Roman"/>
          <w:sz w:val="21"/>
          <w:szCs w:val="21"/>
          <w:u w:val="single"/>
        </w:rPr>
      </w:pPr>
      <w:r>
        <w:rPr>
          <w:rFonts w:hint="eastAsia" w:ascii="Times New Roman" w:eastAsia="Times New Roman"/>
          <w:sz w:val="21"/>
          <w:szCs w:val="21"/>
          <w:u w:val="single"/>
        </w:rPr>
        <w:t xml:space="preserve">(3）日气温超过38℃的高温大于3天； </w:t>
      </w:r>
    </w:p>
    <w:p w14:paraId="6143E461">
      <w:pPr>
        <w:pStyle w:val="12"/>
        <w:keepNext w:val="0"/>
        <w:keepLines w:val="0"/>
        <w:pageBreakBefore w:val="0"/>
        <w:widowControl w:val="0"/>
        <w:tabs>
          <w:tab w:val="left" w:pos="5760"/>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imes New Roman" w:eastAsia="Times New Roman"/>
          <w:sz w:val="21"/>
          <w:szCs w:val="21"/>
          <w:u w:val="single"/>
        </w:rPr>
      </w:pPr>
      <w:r>
        <w:rPr>
          <w:rFonts w:hint="eastAsia" w:ascii="Times New Roman" w:eastAsia="Times New Roman"/>
          <w:sz w:val="21"/>
          <w:szCs w:val="21"/>
          <w:u w:val="single"/>
        </w:rPr>
        <w:t>(4）日气温低于-20℃的严寒大于3天；</w:t>
      </w:r>
    </w:p>
    <w:p w14:paraId="1863F9CC">
      <w:pPr>
        <w:pStyle w:val="12"/>
        <w:keepNext w:val="0"/>
        <w:keepLines w:val="0"/>
        <w:pageBreakBefore w:val="0"/>
        <w:widowControl w:val="0"/>
        <w:tabs>
          <w:tab w:val="left" w:pos="5760"/>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imes New Roman" w:eastAsia="Times New Roman"/>
          <w:sz w:val="21"/>
          <w:szCs w:val="21"/>
          <w:u w:val="single"/>
        </w:rPr>
      </w:pPr>
      <w:r>
        <w:rPr>
          <w:rFonts w:hint="eastAsia" w:ascii="Times New Roman" w:eastAsia="Times New Roman"/>
          <w:sz w:val="21"/>
          <w:szCs w:val="21"/>
          <w:u w:val="single"/>
        </w:rPr>
        <w:t>(5）造成工程损坏的冰雹和大雪灾害：日降雪量10mm及以上；</w:t>
      </w:r>
    </w:p>
    <w:p w14:paraId="21325DFD">
      <w:pPr>
        <w:pStyle w:val="12"/>
        <w:keepNext w:val="0"/>
        <w:keepLines w:val="0"/>
        <w:pageBreakBefore w:val="0"/>
        <w:widowControl w:val="0"/>
        <w:tabs>
          <w:tab w:val="left" w:pos="5760"/>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ascii="Times New Roman" w:eastAsia="Times New Roman"/>
          <w:sz w:val="21"/>
          <w:szCs w:val="21"/>
        </w:rPr>
      </w:pPr>
      <w:r>
        <w:rPr>
          <w:rFonts w:hint="eastAsia" w:ascii="Times New Roman" w:eastAsia="Times New Roman"/>
          <w:sz w:val="21"/>
          <w:szCs w:val="21"/>
          <w:u w:val="single"/>
        </w:rPr>
        <w:t xml:space="preserve">(6）其它异常恶劣气候灾害。 </w:t>
      </w:r>
    </w:p>
    <w:p w14:paraId="79EDE31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黑体" w:eastAsia="黑体"/>
          <w:sz w:val="21"/>
          <w:szCs w:val="21"/>
        </w:rPr>
      </w:pPr>
      <w:bookmarkStart w:id="372" w:name="_bookmark264"/>
      <w:bookmarkEnd w:id="372"/>
      <w:r>
        <w:rPr>
          <w:rFonts w:ascii="Times New Roman" w:eastAsia="Times New Roman"/>
          <w:sz w:val="21"/>
          <w:szCs w:val="21"/>
        </w:rPr>
        <w:t>12.1</w:t>
      </w:r>
      <w:r>
        <w:rPr>
          <w:rFonts w:ascii="Times New Roman" w:eastAsia="Times New Roman"/>
          <w:spacing w:val="59"/>
          <w:sz w:val="21"/>
          <w:szCs w:val="21"/>
        </w:rPr>
        <w:t xml:space="preserve"> </w:t>
      </w:r>
      <w:r>
        <w:rPr>
          <w:rFonts w:hint="eastAsia" w:ascii="黑体" w:eastAsia="黑体"/>
          <w:sz w:val="21"/>
          <w:szCs w:val="21"/>
        </w:rPr>
        <w:t>承包人暂停施工的责任</w:t>
      </w:r>
    </w:p>
    <w:p w14:paraId="3AEFBA80">
      <w:pPr>
        <w:pStyle w:val="12"/>
        <w:keepNext w:val="0"/>
        <w:keepLines w:val="0"/>
        <w:pageBreakBefore w:val="0"/>
        <w:widowControl w:val="0"/>
        <w:tabs>
          <w:tab w:val="left" w:pos="8220"/>
        </w:tabs>
        <w:kinsoku/>
        <w:wordWrap/>
        <w:overflowPunct/>
        <w:topLinePunct w:val="0"/>
        <w:autoSpaceDE w:val="0"/>
        <w:autoSpaceDN w:val="0"/>
        <w:bidi w:val="0"/>
        <w:adjustRightInd/>
        <w:snapToGrid/>
        <w:spacing w:before="0" w:line="360" w:lineRule="auto"/>
        <w:ind w:left="0" w:leftChars="0" w:right="0" w:firstLine="420" w:firstLineChars="200"/>
        <w:textAlignment w:val="auto"/>
        <w:rPr>
          <w:sz w:val="21"/>
          <w:szCs w:val="21"/>
        </w:rPr>
      </w:pPr>
      <w:r>
        <w:rPr>
          <w:rFonts w:ascii="Times New Roman" w:eastAsia="Times New Roman"/>
          <w:sz w:val="21"/>
          <w:szCs w:val="21"/>
        </w:rPr>
        <w:t xml:space="preserve">12.1 </w:t>
      </w:r>
      <w:r>
        <w:rPr>
          <w:sz w:val="21"/>
          <w:szCs w:val="21"/>
        </w:rPr>
        <w:t>（</w:t>
      </w:r>
      <w:r>
        <w:rPr>
          <w:rFonts w:ascii="Times New Roman" w:eastAsia="Times New Roman"/>
          <w:sz w:val="21"/>
          <w:szCs w:val="21"/>
        </w:rPr>
        <w:t>6</w:t>
      </w:r>
      <w:r>
        <w:rPr>
          <w:sz w:val="21"/>
          <w:szCs w:val="21"/>
        </w:rPr>
        <w:t>）由承包人承担的其他暂停施工：</w:t>
      </w:r>
    </w:p>
    <w:p w14:paraId="7332F108">
      <w:pPr>
        <w:pStyle w:val="12"/>
        <w:keepNext w:val="0"/>
        <w:keepLines w:val="0"/>
        <w:pageBreakBefore w:val="0"/>
        <w:widowControl w:val="0"/>
        <w:tabs>
          <w:tab w:val="left" w:pos="8220"/>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imes New Roman" w:eastAsia="Times New Roman"/>
          <w:sz w:val="21"/>
          <w:szCs w:val="21"/>
          <w:u w:val="single"/>
        </w:rPr>
      </w:pPr>
      <w:r>
        <w:rPr>
          <w:rFonts w:hint="eastAsia" w:ascii="Times New Roman" w:eastAsia="Times New Roman"/>
          <w:sz w:val="21"/>
          <w:szCs w:val="21"/>
          <w:u w:val="single"/>
        </w:rPr>
        <w:t xml:space="preserve">1、承包人组织施工管理不利； </w:t>
      </w:r>
    </w:p>
    <w:p w14:paraId="722B98DD">
      <w:pPr>
        <w:pStyle w:val="12"/>
        <w:keepNext w:val="0"/>
        <w:keepLines w:val="0"/>
        <w:pageBreakBefore w:val="0"/>
        <w:widowControl w:val="0"/>
        <w:tabs>
          <w:tab w:val="left" w:pos="8220"/>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imes New Roman" w:eastAsia="Times New Roman"/>
          <w:sz w:val="21"/>
          <w:szCs w:val="21"/>
          <w:u w:val="single"/>
        </w:rPr>
      </w:pPr>
      <w:r>
        <w:rPr>
          <w:rFonts w:hint="eastAsia" w:ascii="Times New Roman" w:eastAsia="Times New Roman"/>
          <w:sz w:val="21"/>
          <w:szCs w:val="21"/>
          <w:u w:val="single"/>
        </w:rPr>
        <w:t>2、违法施工，致使工程被责令停止，如未遵守文明施工规定、破坏公共道路管线、破坏历史文物等；</w:t>
      </w:r>
    </w:p>
    <w:p w14:paraId="4AE2BE68">
      <w:pPr>
        <w:pStyle w:val="12"/>
        <w:keepNext w:val="0"/>
        <w:keepLines w:val="0"/>
        <w:pageBreakBefore w:val="0"/>
        <w:widowControl w:val="0"/>
        <w:tabs>
          <w:tab w:val="left" w:pos="8220"/>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imes New Roman" w:eastAsia="Times New Roman"/>
          <w:sz w:val="21"/>
          <w:szCs w:val="21"/>
          <w:u w:val="single"/>
        </w:rPr>
      </w:pPr>
      <w:r>
        <w:rPr>
          <w:rFonts w:hint="eastAsia" w:ascii="Times New Roman" w:eastAsia="Times New Roman"/>
          <w:sz w:val="21"/>
          <w:szCs w:val="21"/>
          <w:u w:val="single"/>
        </w:rPr>
        <w:t>3、施工质量不符合法律规定或合同约定，甲方或监理公司要求暂定施工进行整改；4、其他因承包人自身原因导致的暂停施工。</w:t>
      </w:r>
    </w:p>
    <w:p w14:paraId="47EB076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黑体" w:eastAsia="黑体"/>
          <w:sz w:val="21"/>
          <w:szCs w:val="21"/>
        </w:rPr>
      </w:pPr>
      <w:r>
        <w:rPr>
          <w:rFonts w:ascii="Times New Roman" w:eastAsia="Times New Roman"/>
          <w:sz w:val="21"/>
          <w:szCs w:val="21"/>
        </w:rPr>
        <w:t>17.1</w:t>
      </w:r>
      <w:r>
        <w:rPr>
          <w:rFonts w:ascii="Times New Roman" w:eastAsia="Times New Roman"/>
          <w:spacing w:val="59"/>
          <w:sz w:val="21"/>
          <w:szCs w:val="21"/>
        </w:rPr>
        <w:t xml:space="preserve"> </w:t>
      </w:r>
      <w:r>
        <w:rPr>
          <w:rFonts w:hint="eastAsia" w:ascii="黑体" w:eastAsia="黑体"/>
          <w:sz w:val="21"/>
          <w:szCs w:val="21"/>
        </w:rPr>
        <w:t>计量</w:t>
      </w:r>
    </w:p>
    <w:p w14:paraId="12153505">
      <w:pPr>
        <w:pStyle w:val="12"/>
        <w:keepNext w:val="0"/>
        <w:keepLines w:val="0"/>
        <w:pageBreakBefore w:val="0"/>
        <w:widowControl w:val="0"/>
        <w:tabs>
          <w:tab w:val="left" w:pos="9120"/>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imes New Roman" w:eastAsia="Times New Roman"/>
          <w:color w:val="auto"/>
          <w:sz w:val="21"/>
          <w:szCs w:val="21"/>
          <w:highlight w:val="yellow"/>
          <w:u w:val="single"/>
        </w:rPr>
      </w:pPr>
      <w:r>
        <w:rPr>
          <w:rFonts w:ascii="Times New Roman" w:eastAsia="Times New Roman"/>
          <w:sz w:val="21"/>
          <w:szCs w:val="21"/>
        </w:rPr>
        <w:t xml:space="preserve">17.1.5 </w:t>
      </w:r>
      <w:r>
        <w:rPr>
          <w:sz w:val="21"/>
          <w:szCs w:val="21"/>
        </w:rPr>
        <w:t>本项目工程量清单中总额价子目的支付原则和支付进度：</w:t>
      </w:r>
      <w:r>
        <w:rPr>
          <w:rFonts w:hint="eastAsia"/>
          <w:color w:val="auto"/>
          <w:sz w:val="21"/>
          <w:szCs w:val="21"/>
          <w:highlight w:val="yellow"/>
          <w:u w:val="single"/>
        </w:rPr>
        <w:t>工期间按月完成合格工作量的</w:t>
      </w:r>
      <w:r>
        <w:rPr>
          <w:rFonts w:hint="eastAsia"/>
          <w:color w:val="auto"/>
          <w:sz w:val="21"/>
          <w:szCs w:val="21"/>
          <w:highlight w:val="yellow"/>
          <w:u w:val="single"/>
          <w:lang w:val="en-US" w:eastAsia="zh-CN"/>
        </w:rPr>
        <w:t>8</w:t>
      </w:r>
      <w:r>
        <w:rPr>
          <w:rFonts w:hint="eastAsia"/>
          <w:color w:val="auto"/>
          <w:sz w:val="21"/>
          <w:szCs w:val="21"/>
          <w:highlight w:val="yellow"/>
          <w:u w:val="single"/>
        </w:rPr>
        <w:t>0%支付；工程</w:t>
      </w:r>
      <w:r>
        <w:rPr>
          <w:rFonts w:hint="eastAsia"/>
          <w:color w:val="auto"/>
          <w:sz w:val="21"/>
          <w:szCs w:val="21"/>
          <w:highlight w:val="yellow"/>
          <w:u w:val="single"/>
          <w:lang w:val="en-US" w:eastAsia="zh-CN"/>
        </w:rPr>
        <w:t>交工</w:t>
      </w:r>
      <w:r>
        <w:rPr>
          <w:rFonts w:hint="eastAsia"/>
          <w:color w:val="auto"/>
          <w:sz w:val="21"/>
          <w:szCs w:val="21"/>
          <w:highlight w:val="yellow"/>
          <w:u w:val="single"/>
        </w:rPr>
        <w:t>验收合格后付计量款的90%。待工程竣工</w:t>
      </w:r>
      <w:r>
        <w:rPr>
          <w:rFonts w:hint="eastAsia"/>
          <w:color w:val="auto"/>
          <w:sz w:val="21"/>
          <w:szCs w:val="21"/>
          <w:highlight w:val="yellow"/>
          <w:u w:val="single"/>
          <w:lang w:val="en-US" w:eastAsia="zh-CN"/>
        </w:rPr>
        <w:t>验收合格，报送竣工</w:t>
      </w:r>
      <w:r>
        <w:rPr>
          <w:rFonts w:hint="eastAsia"/>
          <w:color w:val="auto"/>
          <w:sz w:val="21"/>
          <w:szCs w:val="21"/>
          <w:highlight w:val="yellow"/>
          <w:u w:val="single"/>
        </w:rPr>
        <w:t>结算经审计机构审核确认后，按审计机构出具的竣工审计报告支付至结算价的100%；承包人需向发包人单独提供合同金额3%的质量保证金保函（电子保函或纸质保函）；待质保期在缺陷责任期满并无质量问题发生后，发包人退还质量保证金。</w:t>
      </w:r>
    </w:p>
    <w:p w14:paraId="25B021AC">
      <w:pPr>
        <w:pStyle w:val="12"/>
        <w:keepNext w:val="0"/>
        <w:keepLines w:val="0"/>
        <w:pageBreakBefore w:val="0"/>
        <w:widowControl w:val="0"/>
        <w:tabs>
          <w:tab w:val="left" w:pos="9120"/>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ascii="Times New Roman" w:eastAsia="Times New Roman"/>
          <w:sz w:val="21"/>
          <w:szCs w:val="21"/>
          <w:highlight w:val="yellow"/>
        </w:rPr>
      </w:pPr>
      <w:r>
        <w:rPr>
          <w:rFonts w:hint="eastAsia" w:ascii="Times New Roman" w:eastAsia="Times New Roman"/>
          <w:sz w:val="21"/>
          <w:szCs w:val="21"/>
          <w:highlight w:val="yellow"/>
          <w:u w:val="single"/>
        </w:rPr>
        <w:t>注：1、承包人应在国家规定的质保期内自费承担保修义务和责任，直到工程满足质量要求。因承包人未能及时修复，发包人有权另行选择施工单位实施保修工作，发生的费用将从工程款中扣除。</w:t>
      </w:r>
    </w:p>
    <w:p w14:paraId="42C549B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textAlignment w:val="auto"/>
        <w:rPr>
          <w:rFonts w:ascii="黑体"/>
          <w:sz w:val="21"/>
          <w:szCs w:val="21"/>
        </w:rPr>
      </w:pPr>
      <w:bookmarkStart w:id="373" w:name="_bookmark265"/>
      <w:bookmarkEnd w:id="373"/>
      <w:r>
        <w:rPr>
          <w:rFonts w:ascii="Times New Roman" w:eastAsia="Times New Roman"/>
          <w:sz w:val="21"/>
          <w:szCs w:val="21"/>
        </w:rPr>
        <w:t>17.3</w:t>
      </w:r>
      <w:r>
        <w:rPr>
          <w:rFonts w:ascii="Times New Roman" w:eastAsia="Times New Roman"/>
          <w:spacing w:val="59"/>
          <w:sz w:val="21"/>
          <w:szCs w:val="21"/>
        </w:rPr>
        <w:t xml:space="preserve"> </w:t>
      </w:r>
      <w:r>
        <w:rPr>
          <w:rFonts w:hint="eastAsia" w:ascii="黑体" w:eastAsia="黑体"/>
          <w:sz w:val="21"/>
          <w:szCs w:val="21"/>
        </w:rPr>
        <w:t>工程进度付款</w:t>
      </w:r>
    </w:p>
    <w:p w14:paraId="6B75EBA1">
      <w:pPr>
        <w:pStyle w:val="12"/>
        <w:keepNext w:val="0"/>
        <w:keepLines w:val="0"/>
        <w:pageBreakBefore w:val="0"/>
        <w:widowControl w:val="0"/>
        <w:tabs>
          <w:tab w:val="left" w:pos="7070"/>
          <w:tab w:val="left" w:pos="7791"/>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eastAsia" w:ascii="Times New Roman" w:eastAsia="宋体"/>
          <w:sz w:val="21"/>
          <w:szCs w:val="21"/>
          <w:u w:val="single"/>
          <w:lang w:val="en-US" w:eastAsia="zh-CN"/>
        </w:rPr>
      </w:pPr>
      <w:r>
        <w:rPr>
          <w:rFonts w:ascii="Times New Roman" w:eastAsia="Times New Roman"/>
          <w:sz w:val="21"/>
          <w:szCs w:val="21"/>
        </w:rPr>
        <w:t xml:space="preserve">17.3.5  </w:t>
      </w:r>
      <w:r>
        <w:rPr>
          <w:sz w:val="21"/>
          <w:szCs w:val="21"/>
        </w:rPr>
        <w:t>农民工工资保证金的缴存时间：</w:t>
      </w:r>
      <w:r>
        <w:rPr>
          <w:rFonts w:ascii="Times New Roman" w:eastAsia="Times New Roman"/>
          <w:sz w:val="21"/>
          <w:szCs w:val="21"/>
          <w:u w:val="single"/>
        </w:rPr>
        <w:t xml:space="preserve"> </w:t>
      </w:r>
      <w:r>
        <w:rPr>
          <w:rFonts w:hint="eastAsia" w:ascii="Times New Roman" w:eastAsia="宋体"/>
          <w:sz w:val="21"/>
          <w:szCs w:val="21"/>
          <w:u w:val="single"/>
          <w:lang w:val="en-US" w:eastAsia="zh-CN"/>
        </w:rPr>
        <w:t>工程开工前</w:t>
      </w:r>
    </w:p>
    <w:p w14:paraId="6D74EEB5">
      <w:pPr>
        <w:pStyle w:val="12"/>
        <w:keepNext w:val="0"/>
        <w:keepLines w:val="0"/>
        <w:pageBreakBefore w:val="0"/>
        <w:widowControl w:val="0"/>
        <w:tabs>
          <w:tab w:val="left" w:pos="7070"/>
          <w:tab w:val="left" w:pos="7791"/>
        </w:tabs>
        <w:kinsoku/>
        <w:wordWrap/>
        <w:overflowPunct/>
        <w:topLinePunct w:val="0"/>
        <w:autoSpaceDE w:val="0"/>
        <w:autoSpaceDN w:val="0"/>
        <w:bidi w:val="0"/>
        <w:adjustRightInd/>
        <w:snapToGrid/>
        <w:spacing w:before="0" w:line="360" w:lineRule="auto"/>
        <w:ind w:left="0" w:leftChars="0" w:right="0" w:firstLine="420" w:firstLineChars="200"/>
        <w:textAlignment w:val="auto"/>
        <w:rPr>
          <w:rFonts w:hint="default" w:ascii="Times New Roman" w:eastAsia="宋体"/>
          <w:sz w:val="21"/>
          <w:szCs w:val="21"/>
          <w:lang w:val="en-US" w:eastAsia="zh-CN"/>
        </w:rPr>
      </w:pPr>
      <w:r>
        <w:rPr>
          <w:sz w:val="21"/>
          <w:szCs w:val="21"/>
        </w:rPr>
        <w:t>农民工工资保证金的缴存金额：</w:t>
      </w:r>
      <w:r>
        <w:rPr>
          <w:rFonts w:hint="eastAsia" w:ascii="Times New Roman" w:eastAsia="宋体"/>
          <w:sz w:val="21"/>
          <w:szCs w:val="21"/>
          <w:u w:val="single"/>
          <w:lang w:val="en-US" w:eastAsia="zh-CN"/>
        </w:rPr>
        <w:t>按招标人或主管部门要求</w:t>
      </w:r>
    </w:p>
    <w:p w14:paraId="53C57FF4">
      <w:pPr>
        <w:pStyle w:val="12"/>
        <w:keepNext w:val="0"/>
        <w:keepLines w:val="0"/>
        <w:pageBreakBefore w:val="0"/>
        <w:widowControl w:val="0"/>
        <w:tabs>
          <w:tab w:val="left" w:pos="7070"/>
          <w:tab w:val="left" w:pos="7791"/>
        </w:tabs>
        <w:kinsoku/>
        <w:wordWrap/>
        <w:overflowPunct/>
        <w:topLinePunct w:val="0"/>
        <w:autoSpaceDE w:val="0"/>
        <w:autoSpaceDN w:val="0"/>
        <w:bidi w:val="0"/>
        <w:adjustRightInd/>
        <w:snapToGrid/>
        <w:spacing w:before="0" w:line="360" w:lineRule="auto"/>
        <w:ind w:left="0" w:leftChars="0" w:right="0" w:firstLine="420" w:firstLineChars="200"/>
        <w:textAlignment w:val="auto"/>
        <w:rPr>
          <w:sz w:val="21"/>
          <w:szCs w:val="21"/>
          <w:u w:val="single"/>
        </w:rPr>
      </w:pPr>
      <w:r>
        <w:rPr>
          <w:sz w:val="21"/>
          <w:szCs w:val="21"/>
        </w:rPr>
        <w:t>农民工工资保证金的扣留条件：</w:t>
      </w:r>
      <w:r>
        <w:rPr>
          <w:rFonts w:hint="eastAsia" w:ascii="Times New Roman" w:eastAsia="宋体"/>
          <w:sz w:val="21"/>
          <w:szCs w:val="21"/>
          <w:u w:val="single"/>
          <w:lang w:val="en-US" w:eastAsia="zh-CN"/>
        </w:rPr>
        <w:t>按招标人或主管部门要求</w:t>
      </w:r>
      <w:r>
        <w:rPr>
          <w:sz w:val="21"/>
          <w:szCs w:val="21"/>
          <w:u w:val="single"/>
        </w:rPr>
        <w:t xml:space="preserve"> </w:t>
      </w:r>
    </w:p>
    <w:p w14:paraId="33AB5104">
      <w:pPr>
        <w:pStyle w:val="12"/>
        <w:keepNext w:val="0"/>
        <w:keepLines w:val="0"/>
        <w:pageBreakBefore w:val="0"/>
        <w:widowControl w:val="0"/>
        <w:tabs>
          <w:tab w:val="left" w:pos="7070"/>
          <w:tab w:val="left" w:pos="7791"/>
        </w:tabs>
        <w:kinsoku/>
        <w:wordWrap/>
        <w:overflowPunct/>
        <w:topLinePunct w:val="0"/>
        <w:autoSpaceDE w:val="0"/>
        <w:autoSpaceDN w:val="0"/>
        <w:bidi w:val="0"/>
        <w:adjustRightInd/>
        <w:snapToGrid/>
        <w:spacing w:before="0" w:line="360" w:lineRule="auto"/>
        <w:ind w:left="0" w:leftChars="0" w:right="0" w:firstLine="420" w:firstLineChars="200"/>
        <w:textAlignment w:val="auto"/>
        <w:rPr>
          <w:sz w:val="21"/>
          <w:szCs w:val="21"/>
          <w:u w:val="single"/>
        </w:rPr>
      </w:pPr>
      <w:r>
        <w:rPr>
          <w:sz w:val="21"/>
          <w:szCs w:val="21"/>
        </w:rPr>
        <w:t>农民工工资保证金的返还时间：</w:t>
      </w:r>
      <w:r>
        <w:rPr>
          <w:rFonts w:hint="eastAsia" w:ascii="Times New Roman" w:eastAsia="宋体"/>
          <w:sz w:val="21"/>
          <w:szCs w:val="21"/>
          <w:u w:val="single"/>
          <w:lang w:val="en-US" w:eastAsia="zh-CN"/>
        </w:rPr>
        <w:t>按招标人或主管部门要求</w:t>
      </w:r>
    </w:p>
    <w:p w14:paraId="3574A0A9">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74" w:name="_bookmark266"/>
      <w:bookmarkEnd w:id="374"/>
      <w:bookmarkStart w:id="375" w:name="_bookmark266"/>
      <w:bookmarkEnd w:id="375"/>
      <w:r>
        <w:rPr>
          <w:rFonts w:hint="default" w:ascii="Times New Roman" w:hAnsi="Times New Roman" w:eastAsia="Times New Roman" w:cs="Times New Roman"/>
          <w:spacing w:val="-1"/>
          <w:w w:val="100"/>
          <w:sz w:val="21"/>
          <w:szCs w:val="21"/>
          <w:lang w:val="zh-CN" w:eastAsia="zh-CN" w:bidi="zh-CN"/>
        </w:rPr>
        <w:t>21.1</w:t>
      </w:r>
      <w:r>
        <w:rPr>
          <w:rFonts w:hint="eastAsia" w:ascii="黑体" w:eastAsia="黑体"/>
          <w:sz w:val="21"/>
          <w:szCs w:val="21"/>
        </w:rPr>
        <w:t>不可抗力的确认</w:t>
      </w:r>
    </w:p>
    <w:p w14:paraId="5570F84F">
      <w:pPr>
        <w:pStyle w:val="41"/>
        <w:keepNext w:val="0"/>
        <w:keepLines w:val="0"/>
        <w:pageBreakBefore w:val="0"/>
        <w:widowControl w:val="0"/>
        <w:numPr>
          <w:ilvl w:val="2"/>
          <w:numId w:val="0"/>
        </w:numPr>
        <w:tabs>
          <w:tab w:val="left" w:pos="1625"/>
          <w:tab w:val="left" w:pos="8040"/>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Times New Roman" w:eastAsia="Times New Roman"/>
          <w:sz w:val="21"/>
          <w:szCs w:val="21"/>
        </w:rPr>
      </w:pPr>
      <w:r>
        <w:rPr>
          <w:rFonts w:hint="default" w:ascii="Times New Roman" w:hAnsi="Times New Roman" w:eastAsia="Times New Roman" w:cs="Times New Roman"/>
          <w:w w:val="100"/>
          <w:sz w:val="21"/>
          <w:szCs w:val="21"/>
          <w:lang w:val="zh-CN" w:eastAsia="zh-CN" w:bidi="zh-CN"/>
        </w:rPr>
        <w:t>21.1.1</w:t>
      </w:r>
      <w:r>
        <w:rPr>
          <w:sz w:val="21"/>
          <w:szCs w:val="21"/>
        </w:rPr>
        <w:t>（</w:t>
      </w:r>
      <w:r>
        <w:rPr>
          <w:rFonts w:ascii="Times New Roman" w:eastAsia="Times New Roman"/>
          <w:sz w:val="21"/>
          <w:szCs w:val="21"/>
        </w:rPr>
        <w:t>6</w:t>
      </w:r>
      <w:r>
        <w:rPr>
          <w:sz w:val="21"/>
          <w:szCs w:val="21"/>
        </w:rPr>
        <w:t>）不可抗力的其他情形：</w:t>
      </w:r>
      <w:r>
        <w:rPr>
          <w:rFonts w:ascii="Times New Roman" w:eastAsia="Times New Roman"/>
          <w:sz w:val="21"/>
          <w:szCs w:val="21"/>
          <w:u w:val="single"/>
        </w:rPr>
        <w:t xml:space="preserve"> </w:t>
      </w:r>
      <w:r>
        <w:rPr>
          <w:rFonts w:hint="eastAsia" w:ascii="Times New Roman" w:eastAsia="Times New Roman"/>
          <w:sz w:val="21"/>
          <w:szCs w:val="21"/>
          <w:u w:val="single"/>
        </w:rPr>
        <w:t>政府行为，如征收、征用；社会异常事件，罢工</w:t>
      </w:r>
      <w:r>
        <w:rPr>
          <w:rFonts w:hint="eastAsia" w:ascii="Times New Roman" w:eastAsia="宋体"/>
          <w:sz w:val="21"/>
          <w:szCs w:val="21"/>
          <w:u w:val="single"/>
          <w:lang w:eastAsia="zh-CN"/>
        </w:rPr>
        <w:t>。</w:t>
      </w:r>
    </w:p>
    <w:p w14:paraId="20E698C6">
      <w:pPr>
        <w:pStyle w:val="41"/>
        <w:keepNext w:val="0"/>
        <w:keepLines w:val="0"/>
        <w:pageBreakBefore w:val="0"/>
        <w:widowControl w:val="0"/>
        <w:numPr>
          <w:ilvl w:val="1"/>
          <w:numId w:val="0"/>
        </w:numPr>
        <w:tabs>
          <w:tab w:val="left" w:pos="965"/>
        </w:tabs>
        <w:kinsoku/>
        <w:wordWrap/>
        <w:overflowPunct/>
        <w:topLinePunct w:val="0"/>
        <w:autoSpaceDE w:val="0"/>
        <w:autoSpaceDN w:val="0"/>
        <w:bidi w:val="0"/>
        <w:adjustRightInd/>
        <w:snapToGrid/>
        <w:spacing w:before="0" w:after="0" w:line="360" w:lineRule="auto"/>
        <w:ind w:left="0" w:leftChars="0" w:right="0" w:rightChars="0" w:firstLine="416" w:firstLineChars="200"/>
        <w:jc w:val="left"/>
        <w:textAlignment w:val="auto"/>
        <w:rPr>
          <w:rFonts w:hint="eastAsia" w:ascii="黑体" w:eastAsia="黑体"/>
          <w:sz w:val="21"/>
          <w:szCs w:val="21"/>
        </w:rPr>
      </w:pPr>
      <w:bookmarkStart w:id="376" w:name="_bookmark267"/>
      <w:bookmarkEnd w:id="376"/>
      <w:bookmarkStart w:id="377" w:name="_bookmark267"/>
      <w:bookmarkEnd w:id="377"/>
      <w:r>
        <w:rPr>
          <w:rFonts w:hint="default" w:ascii="Times New Roman" w:hAnsi="Times New Roman" w:eastAsia="Times New Roman" w:cs="Times New Roman"/>
          <w:spacing w:val="-1"/>
          <w:w w:val="100"/>
          <w:sz w:val="21"/>
          <w:szCs w:val="21"/>
          <w:lang w:val="zh-CN" w:eastAsia="zh-CN" w:bidi="zh-CN"/>
        </w:rPr>
        <w:t>22.1</w:t>
      </w:r>
      <w:r>
        <w:rPr>
          <w:rFonts w:hint="eastAsia" w:ascii="黑体" w:eastAsia="黑体"/>
          <w:sz w:val="21"/>
          <w:szCs w:val="21"/>
        </w:rPr>
        <w:t>承包人违约</w:t>
      </w:r>
    </w:p>
    <w:p w14:paraId="6924291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sz w:val="21"/>
          <w:szCs w:val="21"/>
          <w:lang w:val="en-US"/>
        </w:rPr>
      </w:pPr>
      <w:bookmarkStart w:id="378" w:name="_bookmark268"/>
      <w:bookmarkEnd w:id="378"/>
      <w:bookmarkStart w:id="379" w:name="_bookmark268"/>
      <w:bookmarkEnd w:id="379"/>
      <w:r>
        <w:rPr>
          <w:rFonts w:hint="eastAsia"/>
          <w:sz w:val="21"/>
          <w:szCs w:val="21"/>
          <w:lang w:val="en-US"/>
        </w:rPr>
        <w:t>22.1.1承包人违约的情形</w:t>
      </w:r>
    </w:p>
    <w:p w14:paraId="393EA0D9">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sz w:val="21"/>
          <w:szCs w:val="21"/>
          <w:lang w:val="en-US"/>
        </w:rPr>
      </w:pPr>
      <w:r>
        <w:rPr>
          <w:rFonts w:hint="eastAsia"/>
          <w:sz w:val="21"/>
          <w:szCs w:val="21"/>
          <w:lang w:val="en-US"/>
        </w:rPr>
        <w:t>在履行合同过程中发生的下列情况属承包人违约：</w:t>
      </w:r>
    </w:p>
    <w:p w14:paraId="1AA13F9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sz w:val="21"/>
          <w:szCs w:val="21"/>
          <w:lang w:val="en-US"/>
        </w:rPr>
      </w:pPr>
      <w:r>
        <w:rPr>
          <w:rFonts w:hint="eastAsia"/>
          <w:sz w:val="21"/>
          <w:szCs w:val="21"/>
          <w:lang w:val="en-US"/>
        </w:rPr>
        <w:t xml:space="preserve">本项（10）细化为： </w:t>
      </w:r>
    </w:p>
    <w:p w14:paraId="5D85AD8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sz w:val="21"/>
          <w:szCs w:val="21"/>
          <w:lang w:val="en-US"/>
        </w:rPr>
      </w:pPr>
      <w:r>
        <w:rPr>
          <w:rFonts w:hint="eastAsia"/>
          <w:sz w:val="21"/>
          <w:szCs w:val="21"/>
          <w:lang w:val="en-US"/>
        </w:rPr>
        <w:t>(10)在工程施工过程及保修期内，发现承包人有安全、环保问题或有违反安全、环保管理规章制度的情况；</w:t>
      </w:r>
    </w:p>
    <w:p w14:paraId="776BDED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sz w:val="21"/>
          <w:szCs w:val="21"/>
          <w:lang w:val="en-US"/>
        </w:rPr>
      </w:pPr>
      <w:r>
        <w:rPr>
          <w:rFonts w:hint="eastAsia"/>
          <w:sz w:val="21"/>
          <w:szCs w:val="21"/>
          <w:lang w:val="en-US"/>
        </w:rPr>
        <w:t>(11)未经发包人批准，项目经理、技术负责人擅自离开工地现场；</w:t>
      </w:r>
    </w:p>
    <w:p w14:paraId="32F6A0BB">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sz w:val="21"/>
          <w:szCs w:val="21"/>
          <w:lang w:val="en-US"/>
        </w:rPr>
      </w:pPr>
      <w:r>
        <w:rPr>
          <w:rFonts w:hint="eastAsia"/>
          <w:sz w:val="21"/>
          <w:szCs w:val="21"/>
          <w:lang w:val="en-US"/>
        </w:rPr>
        <w:t xml:space="preserve">(12)在各种报表、检查记录及检测、试验数据中作假； </w:t>
      </w:r>
    </w:p>
    <w:p w14:paraId="4C6CC468">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sz w:val="21"/>
          <w:szCs w:val="21"/>
          <w:lang w:val="en-US"/>
        </w:rPr>
      </w:pPr>
      <w:r>
        <w:rPr>
          <w:rFonts w:hint="eastAsia"/>
          <w:sz w:val="21"/>
          <w:szCs w:val="21"/>
          <w:lang w:val="en-US"/>
        </w:rPr>
        <w:t xml:space="preserve">(13)对其他工程造成损坏或污染； </w:t>
      </w:r>
    </w:p>
    <w:p w14:paraId="79F9BDF4">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eastAsia="宋体"/>
          <w:sz w:val="21"/>
          <w:szCs w:val="21"/>
          <w:lang w:val="en-US" w:eastAsia="zh-CN"/>
        </w:rPr>
      </w:pPr>
      <w:r>
        <w:rPr>
          <w:rFonts w:hint="eastAsia"/>
          <w:sz w:val="21"/>
          <w:szCs w:val="21"/>
          <w:lang w:val="en-US"/>
        </w:rPr>
        <w:t xml:space="preserve">(14)一贯或公然忽视履行其合同规定的义务，无视发包人、监理人事先的书面警告； </w:t>
      </w:r>
      <w:r>
        <w:rPr>
          <w:rFonts w:hint="eastAsia" w:eastAsia="宋体"/>
          <w:sz w:val="21"/>
          <w:szCs w:val="21"/>
          <w:lang w:val="en-US"/>
        </w:rPr>
        <w:t>(15)在工程施工过程及保修期内，由于承包人责任出现质量问题、安全事故或其它问题，受到政府部门通报批评</w:t>
      </w:r>
      <w:r>
        <w:rPr>
          <w:rFonts w:hint="eastAsia" w:eastAsia="宋体"/>
          <w:sz w:val="21"/>
          <w:szCs w:val="21"/>
          <w:lang w:val="en-US" w:eastAsia="zh-CN"/>
        </w:rPr>
        <w:t>；</w:t>
      </w:r>
    </w:p>
    <w:p w14:paraId="30452F87">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firstLine="420" w:firstLineChars="200"/>
        <w:jc w:val="both"/>
        <w:textAlignment w:val="auto"/>
        <w:rPr>
          <w:rFonts w:hint="eastAsia"/>
          <w:sz w:val="21"/>
          <w:szCs w:val="21"/>
          <w:lang w:val="en-US"/>
        </w:rPr>
      </w:pPr>
      <w:r>
        <w:rPr>
          <w:rFonts w:hint="eastAsia"/>
          <w:sz w:val="21"/>
          <w:szCs w:val="21"/>
          <w:lang w:val="en-US"/>
        </w:rPr>
        <w:t>(16)承包人未能按时支付农民工工资，造成社会恶劣影响的。</w:t>
      </w:r>
    </w:p>
    <w:p w14:paraId="7D005397">
      <w:pPr>
        <w:spacing w:line="360" w:lineRule="auto"/>
        <w:ind w:firstLine="422" w:firstLineChars="200"/>
        <w:jc w:val="both"/>
        <w:rPr>
          <w:rFonts w:hint="eastAsia"/>
          <w:b/>
          <w:bCs/>
          <w:sz w:val="21"/>
          <w:szCs w:val="21"/>
          <w:lang w:val="en-US"/>
        </w:rPr>
      </w:pPr>
      <w:r>
        <w:rPr>
          <w:rFonts w:hint="eastAsia"/>
          <w:b/>
          <w:bCs/>
          <w:sz w:val="21"/>
          <w:szCs w:val="21"/>
          <w:lang w:val="en-US"/>
        </w:rPr>
        <w:t xml:space="preserve">22.1.2对承包人违约的处理 </w:t>
      </w:r>
    </w:p>
    <w:p w14:paraId="57F71CF6">
      <w:pPr>
        <w:spacing w:line="360" w:lineRule="auto"/>
        <w:ind w:firstLine="420" w:firstLineChars="200"/>
        <w:jc w:val="both"/>
        <w:rPr>
          <w:rFonts w:hint="eastAsia"/>
          <w:sz w:val="21"/>
          <w:szCs w:val="21"/>
          <w:lang w:val="en-US"/>
        </w:rPr>
      </w:pPr>
      <w:r>
        <w:rPr>
          <w:rFonts w:hint="eastAsia"/>
          <w:sz w:val="21"/>
          <w:szCs w:val="21"/>
          <w:lang w:val="en-US"/>
        </w:rPr>
        <w:t xml:space="preserve">删除原文，修改为： </w:t>
      </w:r>
    </w:p>
    <w:p w14:paraId="663D94C2">
      <w:pPr>
        <w:spacing w:line="360" w:lineRule="auto"/>
        <w:ind w:firstLine="420" w:firstLineChars="200"/>
        <w:jc w:val="both"/>
        <w:rPr>
          <w:rFonts w:hint="eastAsia"/>
          <w:sz w:val="21"/>
          <w:szCs w:val="21"/>
          <w:lang w:val="en-US"/>
        </w:rPr>
      </w:pPr>
      <w:r>
        <w:rPr>
          <w:rFonts w:hint="eastAsia"/>
          <w:sz w:val="21"/>
          <w:szCs w:val="21"/>
          <w:lang w:val="en-US"/>
        </w:rPr>
        <w:t xml:space="preserve">22.1.2 当承包人发生第22.1.1项约定的违约情况时，发包人有权向承包人课以违约金， 具体约定如下： </w:t>
      </w:r>
    </w:p>
    <w:p w14:paraId="4858D323">
      <w:pPr>
        <w:spacing w:line="360" w:lineRule="auto"/>
        <w:ind w:firstLine="420" w:firstLineChars="200"/>
        <w:jc w:val="both"/>
        <w:rPr>
          <w:rFonts w:hint="eastAsia"/>
          <w:sz w:val="21"/>
          <w:szCs w:val="21"/>
          <w:lang w:val="en-US"/>
        </w:rPr>
      </w:pPr>
      <w:r>
        <w:rPr>
          <w:rFonts w:hint="eastAsia"/>
          <w:sz w:val="21"/>
          <w:szCs w:val="21"/>
          <w:lang w:val="en-US"/>
        </w:rPr>
        <w:t xml:space="preserve">（1）承包人发生22.1.1(1)约定的违约情况时，私自转让合同的全部权利或义务，发包人将终止合同，没收承包人的履约担保，并按有关法律处理；私自转让合同的部分权利或义务，监理人可向承包人发出整改通知，要求其在指定的期限内改正，并按有关法律、法规处理。 </w:t>
      </w:r>
    </w:p>
    <w:p w14:paraId="2F87BDD9">
      <w:pPr>
        <w:spacing w:line="360" w:lineRule="auto"/>
        <w:ind w:firstLine="420" w:firstLineChars="200"/>
        <w:jc w:val="both"/>
        <w:rPr>
          <w:rFonts w:hint="eastAsia"/>
          <w:sz w:val="21"/>
          <w:szCs w:val="21"/>
          <w:lang w:val="en-US"/>
        </w:rPr>
      </w:pPr>
      <w:r>
        <w:rPr>
          <w:rFonts w:hint="eastAsia"/>
          <w:sz w:val="21"/>
          <w:szCs w:val="21"/>
          <w:lang w:val="en-US"/>
        </w:rPr>
        <w:t xml:space="preserve">（2）承包人发生22.1.1（2）约定的违约情况时，发包人将课以承包人0.3万元/次的 违约金，若承包人未在限期内改正，发包人将课以承包人0.1万元/次·天的违约金。 </w:t>
      </w:r>
    </w:p>
    <w:p w14:paraId="46ECCE10">
      <w:pPr>
        <w:spacing w:line="360" w:lineRule="auto"/>
        <w:ind w:firstLine="420" w:firstLineChars="200"/>
        <w:jc w:val="both"/>
        <w:rPr>
          <w:rFonts w:hint="eastAsia"/>
          <w:sz w:val="21"/>
          <w:szCs w:val="21"/>
          <w:lang w:val="en-US"/>
        </w:rPr>
      </w:pPr>
      <w:r>
        <w:rPr>
          <w:rFonts w:hint="eastAsia"/>
          <w:sz w:val="21"/>
          <w:szCs w:val="21"/>
          <w:lang w:val="en-US"/>
        </w:rPr>
        <w:t xml:space="preserve">（3）承包人发生22.1.1（3）约定的违约情况时，发包人将课以承包人不合格材料、设备、工程价格2%的违约金，发包人可请他人将不合格材料、设备、工程移出现场，其费用由承包人负担。 </w:t>
      </w:r>
    </w:p>
    <w:p w14:paraId="6CD5C6B2">
      <w:pPr>
        <w:spacing w:line="360" w:lineRule="auto"/>
        <w:ind w:firstLine="420" w:firstLineChars="200"/>
        <w:jc w:val="both"/>
        <w:rPr>
          <w:rFonts w:hint="eastAsia"/>
          <w:sz w:val="21"/>
          <w:szCs w:val="21"/>
          <w:lang w:val="en-US"/>
        </w:rPr>
      </w:pPr>
      <w:r>
        <w:rPr>
          <w:rFonts w:hint="eastAsia"/>
          <w:sz w:val="21"/>
          <w:szCs w:val="21"/>
          <w:lang w:val="en-US"/>
        </w:rPr>
        <w:t xml:space="preserve">（4）承包人发生22.1.1（4）约定的违约情况时，发包人将按计划工期实际延迟天数 课以承包人0.2万元/天的违约金；承包人拒不按要求整改的，发包人可将剩余工程量的部分或全部按有关规定确定其他人实施，由此增加费用由承包人承担。 </w:t>
      </w:r>
    </w:p>
    <w:p w14:paraId="479DD2B0">
      <w:pPr>
        <w:spacing w:line="360" w:lineRule="auto"/>
        <w:ind w:firstLine="420" w:firstLineChars="200"/>
        <w:jc w:val="both"/>
        <w:rPr>
          <w:rFonts w:hint="eastAsia"/>
          <w:sz w:val="21"/>
          <w:szCs w:val="21"/>
          <w:lang w:val="en-US"/>
        </w:rPr>
      </w:pPr>
      <w:r>
        <w:rPr>
          <w:rFonts w:hint="eastAsia"/>
          <w:sz w:val="21"/>
          <w:szCs w:val="21"/>
          <w:lang w:val="en-US"/>
        </w:rPr>
        <w:t xml:space="preserve">承包发生22.1.（5）约定的违约情况时，发包人将课以承包人0.3万元/次的违约金，发包人可请他人修复缺陷工程，其费用由承包人负担。 </w:t>
      </w:r>
    </w:p>
    <w:p w14:paraId="6297365E">
      <w:pPr>
        <w:spacing w:line="360" w:lineRule="auto"/>
        <w:ind w:firstLine="420" w:firstLineChars="200"/>
        <w:jc w:val="both"/>
        <w:rPr>
          <w:rFonts w:hint="eastAsia"/>
          <w:sz w:val="21"/>
          <w:szCs w:val="21"/>
          <w:lang w:val="en-US"/>
        </w:rPr>
      </w:pPr>
      <w:r>
        <w:rPr>
          <w:rFonts w:hint="eastAsia"/>
          <w:sz w:val="21"/>
          <w:szCs w:val="21"/>
          <w:lang w:val="en-US"/>
        </w:rPr>
        <w:t xml:space="preserve">（6）承包人发生第22.1.1（6）目约定的违约情况时，发包人可通知承包人立即解除 合同，并按有关法律处理。 </w:t>
      </w:r>
    </w:p>
    <w:p w14:paraId="254B0B1D">
      <w:pPr>
        <w:spacing w:line="360" w:lineRule="auto"/>
        <w:ind w:firstLine="420" w:firstLineChars="200"/>
        <w:jc w:val="both"/>
        <w:rPr>
          <w:rFonts w:hint="eastAsia"/>
          <w:sz w:val="21"/>
          <w:szCs w:val="21"/>
          <w:lang w:val="en-US"/>
        </w:rPr>
      </w:pPr>
      <w:r>
        <w:rPr>
          <w:rFonts w:hint="eastAsia"/>
          <w:sz w:val="21"/>
          <w:szCs w:val="21"/>
          <w:lang w:val="en-US"/>
        </w:rPr>
        <w:t xml:space="preserve">（7）承包人发生22.1.1（7）约定的违约情况时，发包人将课以承包人签约合同价2‟ 的违约金。 </w:t>
      </w:r>
    </w:p>
    <w:p w14:paraId="1103B1B9">
      <w:pPr>
        <w:spacing w:line="360" w:lineRule="auto"/>
        <w:ind w:firstLine="420" w:firstLineChars="200"/>
        <w:jc w:val="both"/>
        <w:rPr>
          <w:rFonts w:hint="eastAsia"/>
          <w:sz w:val="21"/>
          <w:szCs w:val="21"/>
          <w:lang w:val="en-US"/>
        </w:rPr>
      </w:pPr>
      <w:r>
        <w:rPr>
          <w:rFonts w:hint="eastAsia"/>
          <w:sz w:val="21"/>
          <w:szCs w:val="21"/>
          <w:lang w:val="en-US"/>
        </w:rPr>
        <w:t xml:space="preserve">（8）承包人发生22.1.1（8）约定的违约情况时，未经发包人同意擅自更换项目经理 或技术负责人，且未在限期内改正，发包人有权终止合同，并没收承包人的履约担保；项目经理、技术负责人未按发包人要求及时进场，课以承包人0.2万元/人.天的违约金；关键施工设备未按发包人要求及时进场，课以承包人2倍设备台班费/台•天的违约金。 </w:t>
      </w:r>
    </w:p>
    <w:p w14:paraId="0AB4ACB2">
      <w:pPr>
        <w:spacing w:line="360" w:lineRule="auto"/>
        <w:ind w:firstLine="420" w:firstLineChars="200"/>
        <w:jc w:val="both"/>
        <w:rPr>
          <w:rFonts w:hint="eastAsia"/>
          <w:sz w:val="21"/>
          <w:szCs w:val="21"/>
          <w:lang w:val="en-US"/>
        </w:rPr>
      </w:pPr>
      <w:r>
        <w:rPr>
          <w:rFonts w:hint="eastAsia"/>
          <w:sz w:val="21"/>
          <w:szCs w:val="21"/>
          <w:lang w:val="en-US"/>
        </w:rPr>
        <w:t xml:space="preserve">（9）承包人发生22.1.1（9）约定的违约情况时，发包人将视违约程度，进行警告或课以承包人1000～3000元/次的违约金。 </w:t>
      </w:r>
    </w:p>
    <w:p w14:paraId="7ADB59E6">
      <w:pPr>
        <w:spacing w:line="360" w:lineRule="auto"/>
        <w:ind w:firstLine="420" w:firstLineChars="200"/>
        <w:jc w:val="both"/>
        <w:rPr>
          <w:rFonts w:hint="eastAsia"/>
          <w:sz w:val="21"/>
          <w:szCs w:val="21"/>
          <w:lang w:val="en-US"/>
        </w:rPr>
      </w:pPr>
      <w:r>
        <w:rPr>
          <w:rFonts w:hint="eastAsia"/>
          <w:sz w:val="21"/>
          <w:szCs w:val="21"/>
          <w:lang w:val="en-US"/>
        </w:rPr>
        <w:t xml:space="preserve">（10）承包人发生22.1.1（10）约定的违约情况时，发包人将视违约程度，进行警告或课以承包人1000～3000元/次的违约金。 </w:t>
      </w:r>
    </w:p>
    <w:p w14:paraId="4C8ADF3E">
      <w:pPr>
        <w:spacing w:line="360" w:lineRule="auto"/>
        <w:ind w:firstLine="420" w:firstLineChars="200"/>
        <w:jc w:val="both"/>
        <w:rPr>
          <w:rFonts w:hint="eastAsia"/>
          <w:sz w:val="21"/>
          <w:szCs w:val="21"/>
          <w:lang w:val="en-US"/>
        </w:rPr>
      </w:pPr>
      <w:r>
        <w:rPr>
          <w:rFonts w:hint="eastAsia"/>
          <w:sz w:val="21"/>
          <w:szCs w:val="21"/>
          <w:lang w:val="en-US"/>
        </w:rPr>
        <w:t xml:space="preserve">（11）承包人发生22.1.1（11）约定的违约情况时，发包人将课以承包人2000元/人· 天的违约金。 </w:t>
      </w:r>
    </w:p>
    <w:p w14:paraId="2B9864B0">
      <w:pPr>
        <w:spacing w:line="360" w:lineRule="auto"/>
        <w:ind w:firstLine="420" w:firstLineChars="200"/>
        <w:jc w:val="both"/>
        <w:rPr>
          <w:rFonts w:hint="eastAsia"/>
          <w:sz w:val="21"/>
          <w:szCs w:val="21"/>
          <w:lang w:val="en-US"/>
        </w:rPr>
      </w:pPr>
      <w:r>
        <w:rPr>
          <w:rFonts w:hint="eastAsia"/>
          <w:sz w:val="21"/>
          <w:szCs w:val="21"/>
          <w:lang w:val="en-US"/>
        </w:rPr>
        <w:t xml:space="preserve">（12）承包人发生22.1.1（12）约定的违约情况时，发包人将课以承包人2000元/次的违约金，并追究当事人责任直至清除出场。 </w:t>
      </w:r>
    </w:p>
    <w:p w14:paraId="1444B783">
      <w:pPr>
        <w:spacing w:line="360" w:lineRule="auto"/>
        <w:ind w:firstLine="420" w:firstLineChars="200"/>
        <w:jc w:val="both"/>
        <w:rPr>
          <w:rFonts w:hint="eastAsia"/>
          <w:sz w:val="21"/>
          <w:szCs w:val="21"/>
          <w:lang w:val="en-US"/>
        </w:rPr>
      </w:pPr>
      <w:r>
        <w:rPr>
          <w:rFonts w:hint="eastAsia"/>
          <w:sz w:val="21"/>
          <w:szCs w:val="21"/>
          <w:lang w:val="en-US"/>
        </w:rPr>
        <w:t xml:space="preserve">（13）承包人发生22.1.1（13）约定的违约情况时，承包人必须赔偿发包人或其他承包人损失，并视违约程度，进行警告或课以承包人1000-2000元/次的违约金。 </w:t>
      </w:r>
    </w:p>
    <w:p w14:paraId="6560D351">
      <w:pPr>
        <w:spacing w:line="360" w:lineRule="auto"/>
        <w:ind w:firstLine="420" w:firstLineChars="200"/>
        <w:jc w:val="both"/>
        <w:rPr>
          <w:rFonts w:hint="eastAsia"/>
          <w:sz w:val="21"/>
          <w:szCs w:val="21"/>
          <w:lang w:val="en-US"/>
        </w:rPr>
      </w:pPr>
      <w:r>
        <w:rPr>
          <w:rFonts w:hint="eastAsia"/>
          <w:sz w:val="21"/>
          <w:szCs w:val="21"/>
          <w:lang w:val="en-US"/>
        </w:rPr>
        <w:t xml:space="preserve">（14）承包人发生22.1.1（14）约定的违约情况时，发包人将视情节轻重，进行警告或课以承包人3000～5000元违约金。 </w:t>
      </w:r>
    </w:p>
    <w:p w14:paraId="53809A3D">
      <w:pPr>
        <w:spacing w:line="360" w:lineRule="auto"/>
        <w:ind w:firstLine="420" w:firstLineChars="200"/>
        <w:jc w:val="both"/>
        <w:rPr>
          <w:rFonts w:hint="eastAsia"/>
          <w:sz w:val="21"/>
          <w:szCs w:val="21"/>
          <w:lang w:val="en-US"/>
        </w:rPr>
      </w:pPr>
      <w:r>
        <w:rPr>
          <w:rFonts w:hint="eastAsia"/>
          <w:sz w:val="21"/>
          <w:szCs w:val="21"/>
          <w:lang w:val="en-US"/>
        </w:rPr>
        <w:t xml:space="preserve">（15）承包人发生22.1.1（15）约定的违约情况时，发包人将视其情节轻重，每次课以承包人人民币5000～10000元的违约金。 </w:t>
      </w:r>
    </w:p>
    <w:p w14:paraId="1E8E311D">
      <w:pPr>
        <w:spacing w:line="360" w:lineRule="auto"/>
        <w:ind w:firstLine="420" w:firstLineChars="200"/>
        <w:jc w:val="both"/>
        <w:rPr>
          <w:rFonts w:hint="eastAsia"/>
          <w:sz w:val="21"/>
          <w:szCs w:val="21"/>
          <w:lang w:val="en-US"/>
        </w:rPr>
      </w:pPr>
      <w:r>
        <w:rPr>
          <w:rFonts w:hint="eastAsia"/>
          <w:sz w:val="21"/>
          <w:szCs w:val="21"/>
          <w:lang w:val="en-US"/>
        </w:rPr>
        <w:t>（16）承包人发生22.1.1（16）约定的违约情况时，发包人将从承包人的任何应付款项中支付给农民工，并向有关部门建议其缴纳的农民工工资支付保证金不予退还。</w:t>
      </w:r>
    </w:p>
    <w:p w14:paraId="62774507">
      <w:pPr>
        <w:spacing w:line="360" w:lineRule="auto"/>
        <w:ind w:firstLine="422" w:firstLineChars="200"/>
        <w:jc w:val="both"/>
        <w:rPr>
          <w:rFonts w:hint="eastAsia"/>
          <w:b/>
          <w:bCs/>
          <w:sz w:val="21"/>
          <w:szCs w:val="21"/>
          <w:lang w:val="en-US"/>
        </w:rPr>
      </w:pPr>
      <w:r>
        <w:rPr>
          <w:rFonts w:hint="eastAsia"/>
          <w:b/>
          <w:bCs/>
          <w:sz w:val="21"/>
          <w:szCs w:val="21"/>
          <w:lang w:val="en-US" w:eastAsia="zh-CN"/>
        </w:rPr>
        <w:t>承包人不得对本项目开采的石方进行超挖或盗采或偷采或偷运进行销售，发包人或监理人发现一次给与承包人5万元每次的罚款，直至取消合同。</w:t>
      </w:r>
      <w:r>
        <w:rPr>
          <w:rFonts w:hint="eastAsia"/>
          <w:b/>
          <w:bCs/>
          <w:sz w:val="21"/>
          <w:szCs w:val="21"/>
          <w:lang w:val="en-US"/>
        </w:rPr>
        <w:t xml:space="preserve"> </w:t>
      </w:r>
    </w:p>
    <w:p w14:paraId="0109B27A">
      <w:pPr>
        <w:spacing w:line="360" w:lineRule="auto"/>
        <w:ind w:firstLine="420" w:firstLineChars="200"/>
        <w:jc w:val="both"/>
        <w:rPr>
          <w:rFonts w:hint="eastAsia"/>
          <w:sz w:val="21"/>
          <w:szCs w:val="21"/>
          <w:lang w:val="en-US"/>
        </w:rPr>
      </w:pPr>
      <w:r>
        <w:rPr>
          <w:rFonts w:hint="eastAsia"/>
          <w:sz w:val="21"/>
          <w:szCs w:val="21"/>
          <w:lang w:val="en-US"/>
        </w:rPr>
        <w:t>承包人发生第22.1.1项约定的违约情况时，发包人除按上述规定向承包人</w:t>
      </w:r>
      <w:r>
        <w:rPr>
          <w:rFonts w:hint="eastAsia"/>
          <w:sz w:val="21"/>
          <w:szCs w:val="21"/>
          <w:lang w:val="en-US" w:eastAsia="zh-CN"/>
        </w:rPr>
        <w:t>可</w:t>
      </w:r>
      <w:r>
        <w:rPr>
          <w:rFonts w:hint="eastAsia"/>
          <w:sz w:val="21"/>
          <w:szCs w:val="21"/>
          <w:lang w:val="en-US"/>
        </w:rPr>
        <w:t>以违约金外，</w:t>
      </w:r>
      <w:r>
        <w:rPr>
          <w:rFonts w:hint="eastAsia"/>
          <w:b/>
          <w:bCs/>
          <w:sz w:val="21"/>
          <w:szCs w:val="21"/>
          <w:lang w:val="en-US"/>
        </w:rPr>
        <w:t>业主委托监理方根据合同工程及进度下达违约处罚通知书，优先从履约保证金及应付工程款中扣除，交工验收合格后乙方如无违约责任，退还履约保证金，</w:t>
      </w:r>
      <w:r>
        <w:rPr>
          <w:rFonts w:hint="eastAsia"/>
          <w:sz w:val="21"/>
          <w:szCs w:val="21"/>
          <w:lang w:val="en-US"/>
        </w:rPr>
        <w:t xml:space="preserve">并将其违约行为上报省级交通主管部门，作为不良记录纳入公路建设市场信用信息管理系统，同时上报淮北市公共资源交易监督管理局。 </w:t>
      </w:r>
    </w:p>
    <w:p w14:paraId="652A63BA">
      <w:pPr>
        <w:pStyle w:val="41"/>
        <w:numPr>
          <w:ilvl w:val="1"/>
          <w:numId w:val="0"/>
        </w:numPr>
        <w:tabs>
          <w:tab w:val="left" w:pos="965"/>
        </w:tabs>
        <w:spacing w:before="75" w:after="0" w:line="360" w:lineRule="auto"/>
        <w:ind w:left="964" w:leftChars="0" w:right="0" w:rightChars="0" w:hanging="541" w:firstLineChars="0"/>
        <w:jc w:val="left"/>
        <w:rPr>
          <w:rFonts w:hint="eastAsia" w:ascii="黑体" w:eastAsia="黑体"/>
          <w:sz w:val="21"/>
          <w:szCs w:val="21"/>
        </w:rPr>
      </w:pPr>
      <w:r>
        <w:rPr>
          <w:rFonts w:hint="default" w:ascii="Times New Roman" w:hAnsi="Times New Roman" w:eastAsia="Times New Roman" w:cs="Times New Roman"/>
          <w:spacing w:val="-1"/>
          <w:w w:val="100"/>
          <w:sz w:val="21"/>
          <w:szCs w:val="21"/>
          <w:lang w:val="zh-CN" w:eastAsia="zh-CN" w:bidi="zh-CN"/>
        </w:rPr>
        <w:t>22.2</w:t>
      </w:r>
      <w:r>
        <w:rPr>
          <w:rFonts w:hint="eastAsia" w:ascii="黑体" w:eastAsia="黑体"/>
          <w:sz w:val="21"/>
          <w:szCs w:val="21"/>
        </w:rPr>
        <w:t>发包人违约</w:t>
      </w:r>
    </w:p>
    <w:p w14:paraId="400723F4">
      <w:pPr>
        <w:pStyle w:val="41"/>
        <w:keepNext w:val="0"/>
        <w:keepLines w:val="0"/>
        <w:pageBreakBefore w:val="0"/>
        <w:widowControl w:val="0"/>
        <w:numPr>
          <w:ilvl w:val="2"/>
          <w:numId w:val="0"/>
        </w:numPr>
        <w:tabs>
          <w:tab w:val="left" w:pos="1625"/>
          <w:tab w:val="left" w:pos="915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Times New Roman" w:eastAsia="Times New Roman"/>
          <w:sz w:val="21"/>
          <w:szCs w:val="21"/>
        </w:rPr>
      </w:pPr>
      <w:r>
        <w:rPr>
          <w:rFonts w:hint="default" w:ascii="Times New Roman" w:hAnsi="Times New Roman" w:eastAsia="Times New Roman" w:cs="Times New Roman"/>
          <w:w w:val="100"/>
          <w:sz w:val="21"/>
          <w:szCs w:val="21"/>
          <w:lang w:val="zh-CN" w:eastAsia="zh-CN" w:bidi="zh-CN"/>
        </w:rPr>
        <w:t>22.2.2</w:t>
      </w:r>
      <w:r>
        <w:rPr>
          <w:sz w:val="21"/>
          <w:szCs w:val="21"/>
        </w:rPr>
        <w:t>发包人无正当理由不按时返还履约保证金、质量保证金或农民工工资保证金的，发包人应向承包人支付的违约金如下：</w:t>
      </w:r>
      <w:r>
        <w:rPr>
          <w:rFonts w:ascii="Times New Roman" w:eastAsia="Times New Roman"/>
          <w:sz w:val="21"/>
          <w:szCs w:val="21"/>
          <w:u w:val="single"/>
        </w:rPr>
        <w:t xml:space="preserve"> </w:t>
      </w:r>
      <w:r>
        <w:rPr>
          <w:rFonts w:hint="eastAsia" w:ascii="Times New Roman" w:eastAsia="宋体"/>
          <w:sz w:val="21"/>
          <w:szCs w:val="21"/>
          <w:u w:val="single"/>
          <w:lang w:val="en-US" w:eastAsia="zh-CN"/>
        </w:rPr>
        <w:t>/</w:t>
      </w:r>
    </w:p>
    <w:p w14:paraId="74E7175E">
      <w:pPr>
        <w:pStyle w:val="12"/>
        <w:rPr>
          <w:rFonts w:ascii="Times New Roman"/>
          <w:sz w:val="20"/>
        </w:rPr>
      </w:pPr>
    </w:p>
    <w:p w14:paraId="51B038C7">
      <w:pPr>
        <w:pStyle w:val="12"/>
        <w:rPr>
          <w:rFonts w:ascii="Times New Roman"/>
          <w:sz w:val="20"/>
        </w:rPr>
      </w:pPr>
    </w:p>
    <w:p w14:paraId="580479B3">
      <w:pPr>
        <w:pStyle w:val="12"/>
        <w:spacing w:before="8"/>
        <w:rPr>
          <w:rFonts w:ascii="Times New Roman"/>
          <w:sz w:val="19"/>
        </w:rPr>
      </w:pPr>
    </w:p>
    <w:p w14:paraId="267B1C34">
      <w:bookmarkStart w:id="380" w:name="_bookmark269"/>
      <w:bookmarkEnd w:id="380"/>
      <w:r>
        <w:br w:type="page"/>
      </w:r>
    </w:p>
    <w:p w14:paraId="3488F59D">
      <w:pPr>
        <w:pStyle w:val="4"/>
        <w:bidi w:val="0"/>
      </w:pPr>
      <w:r>
        <w:t>第三节</w:t>
      </w:r>
      <w:r>
        <w:tab/>
      </w:r>
      <w:r>
        <w:t>合同附件格式</w:t>
      </w:r>
    </w:p>
    <w:p w14:paraId="57F770AF">
      <w:pPr>
        <w:pStyle w:val="4"/>
        <w:bidi w:val="0"/>
        <w:outlineLvl w:val="9"/>
        <w:sectPr>
          <w:footerReference r:id="rId42" w:type="default"/>
          <w:footerReference r:id="rId43" w:type="even"/>
          <w:pgSz w:w="11910" w:h="16850"/>
          <w:pgMar w:top="1480" w:right="1200" w:bottom="1040" w:left="1220" w:header="876" w:footer="853" w:gutter="0"/>
          <w:pgNumType w:fmt="decimal"/>
          <w:cols w:space="720" w:num="1"/>
        </w:sectPr>
      </w:pPr>
    </w:p>
    <w:p w14:paraId="168CAD84">
      <w:pPr>
        <w:pStyle w:val="12"/>
        <w:spacing w:before="66"/>
        <w:ind w:left="424"/>
        <w:rPr>
          <w:rFonts w:ascii="黑体"/>
          <w:sz w:val="35"/>
        </w:rPr>
      </w:pPr>
      <w:bookmarkStart w:id="381" w:name="_bookmark270"/>
      <w:bookmarkEnd w:id="381"/>
      <w:r>
        <w:rPr>
          <w:rFonts w:hint="eastAsia" w:ascii="黑体" w:eastAsia="黑体"/>
        </w:rPr>
        <w:t>附件一 合同协议书</w:t>
      </w:r>
    </w:p>
    <w:p w14:paraId="4FA78081">
      <w:pPr>
        <w:spacing w:before="0" w:line="240" w:lineRule="auto"/>
        <w:ind w:left="0" w:right="0" w:firstLine="0"/>
        <w:jc w:val="center"/>
        <w:rPr>
          <w:rFonts w:ascii="黑体"/>
          <w:sz w:val="21"/>
          <w:szCs w:val="21"/>
        </w:rPr>
      </w:pPr>
      <w:r>
        <w:rPr>
          <w:rFonts w:hint="eastAsia" w:ascii="黑体" w:eastAsia="黑体"/>
          <w:sz w:val="21"/>
          <w:szCs w:val="21"/>
        </w:rPr>
        <w:t>合 同 协 议</w:t>
      </w:r>
    </w:p>
    <w:p w14:paraId="123F4020">
      <w:pPr>
        <w:pStyle w:val="12"/>
        <w:tabs>
          <w:tab w:val="left" w:pos="2104"/>
          <w:tab w:val="left" w:pos="3156"/>
          <w:tab w:val="left" w:pos="8619"/>
          <w:tab w:val="left" w:pos="8861"/>
        </w:tabs>
        <w:spacing w:before="74" w:line="360" w:lineRule="auto"/>
        <w:ind w:left="424" w:right="382" w:firstLine="479"/>
        <w:jc w:val="both"/>
        <w:rPr>
          <w:sz w:val="21"/>
          <w:szCs w:val="21"/>
        </w:rPr>
      </w:pP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sz w:val="21"/>
          <w:szCs w:val="21"/>
        </w:rPr>
        <w:t>（发包人名称</w:t>
      </w:r>
      <w:r>
        <w:rPr>
          <w:spacing w:val="-60"/>
          <w:sz w:val="21"/>
          <w:szCs w:val="21"/>
        </w:rPr>
        <w:t>，</w:t>
      </w:r>
      <w:r>
        <w:rPr>
          <w:sz w:val="21"/>
          <w:szCs w:val="21"/>
        </w:rPr>
        <w:t>以下简称</w:t>
      </w:r>
      <w:r>
        <w:rPr>
          <w:rFonts w:ascii="Times New Roman" w:hAnsi="Times New Roman" w:eastAsia="Times New Roman"/>
          <w:sz w:val="21"/>
          <w:szCs w:val="21"/>
        </w:rPr>
        <w:t>“</w:t>
      </w:r>
      <w:r>
        <w:rPr>
          <w:sz w:val="21"/>
          <w:szCs w:val="21"/>
        </w:rPr>
        <w:t>发包人</w:t>
      </w:r>
      <w:r>
        <w:rPr>
          <w:rFonts w:ascii="Times New Roman" w:hAnsi="Times New Roman" w:eastAsia="Times New Roman"/>
          <w:spacing w:val="-30"/>
          <w:sz w:val="21"/>
          <w:szCs w:val="21"/>
        </w:rPr>
        <w:t>”</w:t>
      </w:r>
      <w:r>
        <w:rPr>
          <w:spacing w:val="-30"/>
          <w:sz w:val="21"/>
          <w:szCs w:val="21"/>
        </w:rPr>
        <w:t>）</w:t>
      </w:r>
      <w:r>
        <w:rPr>
          <w:sz w:val="21"/>
          <w:szCs w:val="21"/>
        </w:rPr>
        <w:t>为实施</w:t>
      </w:r>
      <w:r>
        <w:rPr>
          <w:sz w:val="21"/>
          <w:szCs w:val="21"/>
          <w:u w:val="single"/>
        </w:rPr>
        <w:t xml:space="preserve"> </w:t>
      </w:r>
      <w:r>
        <w:rPr>
          <w:rFonts w:hint="eastAsia"/>
          <w:sz w:val="21"/>
          <w:szCs w:val="21"/>
          <w:u w:val="single"/>
          <w:lang w:val="en-US" w:eastAsia="zh-CN"/>
        </w:rPr>
        <w:t xml:space="preserve">   </w:t>
      </w:r>
      <w:r>
        <w:rPr>
          <w:sz w:val="21"/>
          <w:szCs w:val="21"/>
          <w:u w:val="single"/>
        </w:rPr>
        <w:t>（</w:t>
      </w:r>
      <w:r>
        <w:rPr>
          <w:spacing w:val="-15"/>
          <w:sz w:val="21"/>
          <w:szCs w:val="21"/>
        </w:rPr>
        <w:t>项</w:t>
      </w:r>
      <w:r>
        <w:rPr>
          <w:sz w:val="21"/>
          <w:szCs w:val="21"/>
        </w:rPr>
        <w:t>目名</w:t>
      </w:r>
      <w:r>
        <w:rPr>
          <w:spacing w:val="-1"/>
          <w:sz w:val="21"/>
          <w:szCs w:val="21"/>
        </w:rPr>
        <w:t>称</w:t>
      </w:r>
      <w:r>
        <w:rPr>
          <w:spacing w:val="-120"/>
          <w:sz w:val="21"/>
          <w:szCs w:val="21"/>
        </w:rPr>
        <w:t>）</w:t>
      </w:r>
      <w:r>
        <w:rPr>
          <w:spacing w:val="-15"/>
          <w:sz w:val="21"/>
          <w:szCs w:val="21"/>
        </w:rPr>
        <w:t>，</w:t>
      </w:r>
      <w:r>
        <w:rPr>
          <w:sz w:val="21"/>
          <w:szCs w:val="21"/>
        </w:rPr>
        <w:t>已接受</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sz w:val="21"/>
          <w:szCs w:val="21"/>
        </w:rPr>
        <w:t>（承包人名称</w:t>
      </w:r>
      <w:r>
        <w:rPr>
          <w:spacing w:val="-15"/>
          <w:sz w:val="21"/>
          <w:szCs w:val="21"/>
        </w:rPr>
        <w:t>，</w:t>
      </w:r>
      <w:r>
        <w:rPr>
          <w:sz w:val="21"/>
          <w:szCs w:val="21"/>
        </w:rPr>
        <w:t>以下简称</w:t>
      </w:r>
      <w:r>
        <w:rPr>
          <w:rFonts w:ascii="Times New Roman" w:hAnsi="Times New Roman" w:eastAsia="Times New Roman"/>
          <w:spacing w:val="-1"/>
          <w:sz w:val="21"/>
          <w:szCs w:val="21"/>
        </w:rPr>
        <w:t>“</w:t>
      </w:r>
      <w:r>
        <w:rPr>
          <w:sz w:val="21"/>
          <w:szCs w:val="21"/>
        </w:rPr>
        <w:t>承包人</w:t>
      </w:r>
      <w:r>
        <w:rPr>
          <w:rFonts w:ascii="Times New Roman" w:hAnsi="Times New Roman" w:eastAsia="Times New Roman"/>
          <w:spacing w:val="-1"/>
          <w:sz w:val="21"/>
          <w:szCs w:val="21"/>
        </w:rPr>
        <w:t>”</w:t>
      </w:r>
      <w:r>
        <w:rPr>
          <w:spacing w:val="-15"/>
          <w:sz w:val="21"/>
          <w:szCs w:val="21"/>
        </w:rPr>
        <w:t>）</w:t>
      </w:r>
      <w:r>
        <w:rPr>
          <w:sz w:val="21"/>
          <w:szCs w:val="21"/>
        </w:rPr>
        <w:t>对</w:t>
      </w:r>
      <w:r>
        <w:rPr>
          <w:spacing w:val="2"/>
          <w:sz w:val="21"/>
          <w:szCs w:val="21"/>
        </w:rPr>
        <w:t>该</w:t>
      </w:r>
      <w:r>
        <w:rPr>
          <w:sz w:val="21"/>
          <w:szCs w:val="21"/>
        </w:rPr>
        <w:t>项目</w:t>
      </w:r>
      <w:r>
        <w:rPr>
          <w:rFonts w:ascii="Times New Roman" w:hAnsi="Times New Roman" w:eastAsia="Times New Roman"/>
          <w:sz w:val="21"/>
          <w:szCs w:val="21"/>
          <w:u w:val="single"/>
        </w:rPr>
        <w:t xml:space="preserve"> </w:t>
      </w:r>
      <w:r>
        <w:rPr>
          <w:rFonts w:hint="eastAsia" w:ascii="Times New Roman" w:hAnsi="Times New Roman" w:eastAsia="宋体"/>
          <w:sz w:val="21"/>
          <w:szCs w:val="21"/>
          <w:u w:val="single"/>
          <w:lang w:val="en-US" w:eastAsia="zh-CN"/>
        </w:rPr>
        <w:t xml:space="preserve">           </w:t>
      </w:r>
      <w:r>
        <w:rPr>
          <w:spacing w:val="-17"/>
          <w:sz w:val="21"/>
          <w:szCs w:val="21"/>
        </w:rPr>
        <w:t>标</w:t>
      </w:r>
      <w:r>
        <w:rPr>
          <w:sz w:val="21"/>
          <w:szCs w:val="21"/>
        </w:rPr>
        <w:t>段施工的投标。发包人和承包人共同达成如下协议。</w:t>
      </w:r>
    </w:p>
    <w:p w14:paraId="06C1E6A3">
      <w:pPr>
        <w:pStyle w:val="41"/>
        <w:numPr>
          <w:ilvl w:val="3"/>
          <w:numId w:val="0"/>
        </w:numPr>
        <w:tabs>
          <w:tab w:val="left" w:pos="1342"/>
          <w:tab w:val="left" w:pos="2224"/>
        </w:tabs>
        <w:spacing w:before="1" w:after="0" w:line="360" w:lineRule="auto"/>
        <w:ind w:left="424" w:leftChars="0" w:right="384" w:rightChars="0" w:firstLine="616" w:firstLineChars="0"/>
        <w:jc w:val="both"/>
        <w:rPr>
          <w:spacing w:val="0"/>
          <w:sz w:val="21"/>
          <w:szCs w:val="21"/>
        </w:rPr>
      </w:pPr>
      <w:r>
        <w:rPr>
          <w:rFonts w:hint="default" w:ascii="Times New Roman" w:hAnsi="Times New Roman" w:eastAsia="Times New Roman" w:cs="Times New Roman"/>
          <w:spacing w:val="0"/>
          <w:w w:val="99"/>
          <w:sz w:val="21"/>
          <w:szCs w:val="21"/>
          <w:lang w:val="zh-CN" w:eastAsia="zh-CN" w:bidi="zh-CN"/>
        </w:rPr>
        <w:t>1.</w:t>
      </w:r>
      <w:r>
        <w:rPr>
          <w:spacing w:val="0"/>
          <w:sz w:val="21"/>
          <w:szCs w:val="21"/>
        </w:rPr>
        <w:t>第</w:t>
      </w:r>
      <w:r>
        <w:rPr>
          <w:spacing w:val="0"/>
          <w:sz w:val="21"/>
          <w:szCs w:val="21"/>
          <w:u w:val="single"/>
        </w:rPr>
        <w:t xml:space="preserve"> </w:t>
      </w:r>
      <w:r>
        <w:rPr>
          <w:spacing w:val="0"/>
          <w:sz w:val="21"/>
          <w:szCs w:val="21"/>
        </w:rPr>
        <w:t xml:space="preserve"> 标段由 </w:t>
      </w:r>
      <w:r>
        <w:rPr>
          <w:rFonts w:ascii="Times New Roman" w:eastAsia="Times New Roman"/>
          <w:spacing w:val="0"/>
          <w:sz w:val="21"/>
          <w:szCs w:val="21"/>
        </w:rPr>
        <w:t>K</w:t>
      </w:r>
      <w:r>
        <w:rPr>
          <w:rFonts w:ascii="Times New Roman" w:eastAsia="Times New Roman"/>
          <w:spacing w:val="0"/>
          <w:sz w:val="21"/>
          <w:szCs w:val="21"/>
          <w:u w:val="single"/>
        </w:rPr>
        <w:t xml:space="preserve">   </w:t>
      </w:r>
      <w:r>
        <w:rPr>
          <w:rFonts w:ascii="Times New Roman" w:eastAsia="Times New Roman"/>
          <w:spacing w:val="0"/>
          <w:sz w:val="21"/>
          <w:szCs w:val="21"/>
        </w:rPr>
        <w:t xml:space="preserve"> </w:t>
      </w:r>
      <w:r>
        <w:rPr>
          <w:spacing w:val="0"/>
          <w:sz w:val="21"/>
          <w:szCs w:val="21"/>
        </w:rPr>
        <w:t>＋</w:t>
      </w:r>
      <w:r>
        <w:rPr>
          <w:spacing w:val="0"/>
          <w:sz w:val="21"/>
          <w:szCs w:val="21"/>
          <w:u w:val="single"/>
        </w:rPr>
        <w:t xml:space="preserve">  </w:t>
      </w:r>
      <w:r>
        <w:rPr>
          <w:spacing w:val="0"/>
          <w:sz w:val="21"/>
          <w:szCs w:val="21"/>
        </w:rPr>
        <w:t xml:space="preserve"> 至 </w:t>
      </w:r>
      <w:r>
        <w:rPr>
          <w:rFonts w:ascii="Times New Roman" w:eastAsia="Times New Roman"/>
          <w:spacing w:val="0"/>
          <w:sz w:val="21"/>
          <w:szCs w:val="21"/>
        </w:rPr>
        <w:t>K</w:t>
      </w:r>
      <w:r>
        <w:rPr>
          <w:rFonts w:ascii="Times New Roman" w:eastAsia="Times New Roman"/>
          <w:spacing w:val="0"/>
          <w:sz w:val="21"/>
          <w:szCs w:val="21"/>
          <w:u w:val="single"/>
        </w:rPr>
        <w:t xml:space="preserve">   </w:t>
      </w:r>
      <w:r>
        <w:rPr>
          <w:rFonts w:ascii="Times New Roman" w:eastAsia="Times New Roman"/>
          <w:spacing w:val="0"/>
          <w:sz w:val="21"/>
          <w:szCs w:val="21"/>
        </w:rPr>
        <w:t xml:space="preserve"> </w:t>
      </w:r>
      <w:r>
        <w:rPr>
          <w:spacing w:val="0"/>
          <w:sz w:val="21"/>
          <w:szCs w:val="21"/>
        </w:rPr>
        <w:t>＋</w:t>
      </w:r>
      <w:r>
        <w:rPr>
          <w:spacing w:val="0"/>
          <w:sz w:val="21"/>
          <w:szCs w:val="21"/>
          <w:u w:val="single"/>
        </w:rPr>
        <w:t xml:space="preserve">  </w:t>
      </w:r>
      <w:r>
        <w:rPr>
          <w:spacing w:val="0"/>
          <w:sz w:val="21"/>
          <w:szCs w:val="21"/>
        </w:rPr>
        <w:t xml:space="preserve"> ，长约</w:t>
      </w:r>
      <w:r>
        <w:rPr>
          <w:spacing w:val="0"/>
          <w:sz w:val="21"/>
          <w:szCs w:val="21"/>
          <w:u w:val="single"/>
        </w:rPr>
        <w:t xml:space="preserve">  </w:t>
      </w:r>
      <w:r>
        <w:rPr>
          <w:spacing w:val="0"/>
          <w:sz w:val="21"/>
          <w:szCs w:val="21"/>
        </w:rPr>
        <w:t xml:space="preserve"> </w:t>
      </w:r>
      <w:r>
        <w:rPr>
          <w:rFonts w:ascii="Times New Roman" w:eastAsia="Times New Roman"/>
          <w:spacing w:val="0"/>
          <w:sz w:val="21"/>
          <w:szCs w:val="21"/>
        </w:rPr>
        <w:t>km</w:t>
      </w:r>
      <w:r>
        <w:rPr>
          <w:spacing w:val="0"/>
          <w:sz w:val="21"/>
          <w:szCs w:val="21"/>
        </w:rPr>
        <w:t>，公路等级为</w:t>
      </w:r>
      <w:r>
        <w:rPr>
          <w:spacing w:val="0"/>
          <w:sz w:val="21"/>
          <w:szCs w:val="21"/>
          <w:u w:val="single"/>
        </w:rPr>
        <w:t xml:space="preserve">   </w:t>
      </w:r>
      <w:r>
        <w:rPr>
          <w:spacing w:val="0"/>
          <w:sz w:val="21"/>
          <w:szCs w:val="21"/>
        </w:rPr>
        <w:t xml:space="preserve"> ，设计速度为</w:t>
      </w:r>
      <w:r>
        <w:rPr>
          <w:spacing w:val="0"/>
          <w:sz w:val="21"/>
          <w:szCs w:val="21"/>
          <w:u w:val="single"/>
        </w:rPr>
        <w:t xml:space="preserve"> </w:t>
      </w:r>
      <w:r>
        <w:rPr>
          <w:spacing w:val="0"/>
          <w:sz w:val="21"/>
          <w:szCs w:val="21"/>
          <w:u w:val="single"/>
        </w:rPr>
        <w:tab/>
      </w:r>
      <w:r>
        <w:rPr>
          <w:spacing w:val="0"/>
          <w:sz w:val="21"/>
          <w:szCs w:val="21"/>
        </w:rPr>
        <w:t>，</w:t>
      </w:r>
      <w:r>
        <w:rPr>
          <w:spacing w:val="0"/>
          <w:sz w:val="21"/>
          <w:szCs w:val="21"/>
          <w:u w:val="single"/>
        </w:rPr>
        <w:t xml:space="preserve">   </w:t>
      </w:r>
      <w:r>
        <w:rPr>
          <w:spacing w:val="0"/>
          <w:sz w:val="21"/>
          <w:szCs w:val="21"/>
        </w:rPr>
        <w:t xml:space="preserve"> 路面，有</w:t>
      </w:r>
      <w:r>
        <w:rPr>
          <w:spacing w:val="0"/>
          <w:sz w:val="21"/>
          <w:szCs w:val="21"/>
          <w:u w:val="single"/>
        </w:rPr>
        <w:t xml:space="preserve">  </w:t>
      </w:r>
      <w:r>
        <w:rPr>
          <w:spacing w:val="0"/>
          <w:sz w:val="21"/>
          <w:szCs w:val="21"/>
        </w:rPr>
        <w:t xml:space="preserve"> 立交</w:t>
      </w:r>
      <w:r>
        <w:rPr>
          <w:spacing w:val="0"/>
          <w:sz w:val="21"/>
          <w:szCs w:val="21"/>
          <w:u w:val="single"/>
        </w:rPr>
        <w:t xml:space="preserve">  </w:t>
      </w:r>
      <w:r>
        <w:rPr>
          <w:spacing w:val="0"/>
          <w:sz w:val="21"/>
          <w:szCs w:val="21"/>
        </w:rPr>
        <w:t xml:space="preserve"> 处；特大桥</w:t>
      </w:r>
      <w:r>
        <w:rPr>
          <w:spacing w:val="0"/>
          <w:sz w:val="21"/>
          <w:szCs w:val="21"/>
          <w:u w:val="single"/>
        </w:rPr>
        <w:t xml:space="preserve">   </w:t>
      </w:r>
      <w:r>
        <w:rPr>
          <w:spacing w:val="0"/>
          <w:sz w:val="21"/>
          <w:szCs w:val="21"/>
        </w:rPr>
        <w:t xml:space="preserve"> 座，计长</w:t>
      </w:r>
      <w:r>
        <w:rPr>
          <w:spacing w:val="0"/>
          <w:sz w:val="21"/>
          <w:szCs w:val="21"/>
          <w:u w:val="single"/>
        </w:rPr>
        <w:t xml:space="preserve">  </w:t>
      </w:r>
      <w:r>
        <w:rPr>
          <w:spacing w:val="0"/>
          <w:sz w:val="21"/>
          <w:szCs w:val="21"/>
        </w:rPr>
        <w:t xml:space="preserve"> </w:t>
      </w:r>
      <w:r>
        <w:rPr>
          <w:rFonts w:ascii="Times New Roman" w:eastAsia="Times New Roman"/>
          <w:spacing w:val="0"/>
          <w:sz w:val="21"/>
          <w:szCs w:val="21"/>
        </w:rPr>
        <w:t>m</w:t>
      </w:r>
      <w:r>
        <w:rPr>
          <w:spacing w:val="0"/>
          <w:sz w:val="21"/>
          <w:szCs w:val="21"/>
        </w:rPr>
        <w:t xml:space="preserve">；大中桥 座，计长 </w:t>
      </w:r>
      <w:r>
        <w:rPr>
          <w:rFonts w:ascii="Times New Roman" w:eastAsia="Times New Roman"/>
          <w:spacing w:val="0"/>
          <w:sz w:val="21"/>
          <w:szCs w:val="21"/>
        </w:rPr>
        <w:t>m</w:t>
      </w:r>
      <w:r>
        <w:rPr>
          <w:spacing w:val="0"/>
          <w:sz w:val="21"/>
          <w:szCs w:val="21"/>
        </w:rPr>
        <w:t xml:space="preserve">；隧道 座，计长 </w:t>
      </w:r>
      <w:r>
        <w:rPr>
          <w:rFonts w:ascii="Times New Roman" w:eastAsia="Times New Roman"/>
          <w:spacing w:val="0"/>
          <w:sz w:val="21"/>
          <w:szCs w:val="21"/>
        </w:rPr>
        <w:t xml:space="preserve">m </w:t>
      </w:r>
      <w:r>
        <w:rPr>
          <w:spacing w:val="0"/>
          <w:sz w:val="21"/>
          <w:szCs w:val="21"/>
        </w:rPr>
        <w:t>以及其他构造物工程等。</w:t>
      </w:r>
    </w:p>
    <w:p w14:paraId="3C654302">
      <w:pPr>
        <w:pStyle w:val="41"/>
        <w:numPr>
          <w:ilvl w:val="3"/>
          <w:numId w:val="0"/>
        </w:numPr>
        <w:tabs>
          <w:tab w:val="left" w:pos="1342"/>
        </w:tabs>
        <w:spacing w:before="1" w:after="0" w:line="360" w:lineRule="auto"/>
        <w:ind w:left="1341" w:leftChars="0" w:right="0" w:rightChars="0" w:hanging="301" w:firstLineChars="0"/>
        <w:jc w:val="both"/>
        <w:rPr>
          <w:spacing w:val="0"/>
          <w:sz w:val="21"/>
          <w:szCs w:val="21"/>
        </w:rPr>
      </w:pPr>
      <w:r>
        <w:rPr>
          <w:rFonts w:hint="default" w:ascii="Times New Roman" w:hAnsi="Times New Roman" w:eastAsia="Times New Roman" w:cs="Times New Roman"/>
          <w:spacing w:val="0"/>
          <w:w w:val="99"/>
          <w:sz w:val="21"/>
          <w:szCs w:val="21"/>
          <w:lang w:val="zh-CN" w:eastAsia="zh-CN" w:bidi="zh-CN"/>
        </w:rPr>
        <w:t>2.</w:t>
      </w:r>
      <w:r>
        <w:rPr>
          <w:spacing w:val="0"/>
          <w:sz w:val="21"/>
          <w:szCs w:val="21"/>
        </w:rPr>
        <w:t>下列文件应视为构成合同文件的组成部分：</w:t>
      </w:r>
    </w:p>
    <w:p w14:paraId="710D4B7F">
      <w:pPr>
        <w:pStyle w:val="41"/>
        <w:numPr>
          <w:ilvl w:val="0"/>
          <w:numId w:val="0"/>
        </w:numPr>
        <w:tabs>
          <w:tab w:val="left" w:pos="1643"/>
        </w:tabs>
        <w:spacing w:before="132" w:after="0" w:line="360" w:lineRule="auto"/>
        <w:ind w:left="424" w:leftChars="0" w:right="418" w:rightChars="0" w:firstLine="616" w:firstLineChars="0"/>
        <w:jc w:val="left"/>
        <w:rPr>
          <w:spacing w:val="0"/>
          <w:sz w:val="21"/>
          <w:szCs w:val="21"/>
        </w:rPr>
      </w:pPr>
      <w:r>
        <w:rPr>
          <w:rFonts w:hint="default" w:ascii="宋体" w:hAnsi="宋体" w:eastAsia="宋体" w:cs="宋体"/>
          <w:spacing w:val="0"/>
          <w:w w:val="100"/>
          <w:sz w:val="21"/>
          <w:szCs w:val="21"/>
          <w:lang w:val="zh-CN" w:eastAsia="zh-CN" w:bidi="zh-CN"/>
        </w:rPr>
        <w:t>（1）</w:t>
      </w:r>
      <w:r>
        <w:rPr>
          <w:spacing w:val="0"/>
          <w:sz w:val="21"/>
          <w:szCs w:val="21"/>
        </w:rPr>
        <w:t>本协议书及各种合同附件（含评标期间和合同谈判过程中的澄清文件和补充资料）；</w:t>
      </w:r>
    </w:p>
    <w:p w14:paraId="0B6180EB">
      <w:pPr>
        <w:pStyle w:val="41"/>
        <w:numPr>
          <w:ilvl w:val="0"/>
          <w:numId w:val="0"/>
        </w:numPr>
        <w:tabs>
          <w:tab w:val="left" w:pos="1643"/>
        </w:tabs>
        <w:spacing w:before="2" w:after="0" w:line="360" w:lineRule="auto"/>
        <w:ind w:left="1642" w:leftChars="0" w:right="0" w:rightChars="0" w:hanging="602" w:firstLineChars="0"/>
        <w:jc w:val="left"/>
        <w:rPr>
          <w:spacing w:val="0"/>
          <w:sz w:val="21"/>
          <w:szCs w:val="21"/>
        </w:rPr>
      </w:pPr>
      <w:r>
        <w:rPr>
          <w:rFonts w:hint="default" w:ascii="宋体" w:hAnsi="宋体" w:eastAsia="宋体" w:cs="宋体"/>
          <w:spacing w:val="0"/>
          <w:w w:val="100"/>
          <w:sz w:val="21"/>
          <w:szCs w:val="21"/>
          <w:lang w:val="zh-CN" w:eastAsia="zh-CN" w:bidi="zh-CN"/>
        </w:rPr>
        <w:t>（2）</w:t>
      </w:r>
      <w:r>
        <w:rPr>
          <w:spacing w:val="0"/>
          <w:sz w:val="21"/>
          <w:szCs w:val="21"/>
        </w:rPr>
        <w:t>中标通知书；</w:t>
      </w:r>
    </w:p>
    <w:p w14:paraId="2584BB03">
      <w:pPr>
        <w:pStyle w:val="41"/>
        <w:numPr>
          <w:ilvl w:val="0"/>
          <w:numId w:val="0"/>
        </w:numPr>
        <w:tabs>
          <w:tab w:val="left" w:pos="1643"/>
        </w:tabs>
        <w:spacing w:before="131" w:after="0" w:line="360" w:lineRule="auto"/>
        <w:ind w:left="1642" w:leftChars="0" w:right="0" w:rightChars="0" w:hanging="602" w:firstLineChars="0"/>
        <w:jc w:val="left"/>
        <w:rPr>
          <w:spacing w:val="0"/>
          <w:sz w:val="21"/>
          <w:szCs w:val="21"/>
        </w:rPr>
      </w:pPr>
      <w:r>
        <w:rPr>
          <w:rFonts w:hint="default" w:ascii="宋体" w:hAnsi="宋体" w:eastAsia="宋体" w:cs="宋体"/>
          <w:spacing w:val="0"/>
          <w:w w:val="100"/>
          <w:sz w:val="21"/>
          <w:szCs w:val="21"/>
          <w:lang w:val="zh-CN" w:eastAsia="zh-CN" w:bidi="zh-CN"/>
        </w:rPr>
        <w:t>（3）</w:t>
      </w:r>
      <w:r>
        <w:rPr>
          <w:spacing w:val="0"/>
          <w:sz w:val="21"/>
          <w:szCs w:val="21"/>
        </w:rPr>
        <w:t>投标函及投标函附录；</w:t>
      </w:r>
    </w:p>
    <w:p w14:paraId="10C4A57C">
      <w:pPr>
        <w:pStyle w:val="41"/>
        <w:numPr>
          <w:ilvl w:val="0"/>
          <w:numId w:val="0"/>
        </w:numPr>
        <w:tabs>
          <w:tab w:val="left" w:pos="1643"/>
        </w:tabs>
        <w:spacing w:before="132" w:after="0" w:line="360" w:lineRule="auto"/>
        <w:ind w:left="1642" w:leftChars="0" w:right="0" w:rightChars="0" w:hanging="602" w:firstLineChars="0"/>
        <w:jc w:val="left"/>
        <w:rPr>
          <w:spacing w:val="0"/>
          <w:sz w:val="21"/>
          <w:szCs w:val="21"/>
        </w:rPr>
      </w:pPr>
      <w:r>
        <w:rPr>
          <w:rFonts w:hint="default" w:ascii="宋体" w:hAnsi="宋体" w:eastAsia="宋体" w:cs="宋体"/>
          <w:spacing w:val="0"/>
          <w:w w:val="100"/>
          <w:sz w:val="21"/>
          <w:szCs w:val="21"/>
          <w:lang w:val="zh-CN" w:eastAsia="zh-CN" w:bidi="zh-CN"/>
        </w:rPr>
        <w:t>（4）</w:t>
      </w:r>
      <w:r>
        <w:rPr>
          <w:spacing w:val="0"/>
          <w:sz w:val="21"/>
          <w:szCs w:val="21"/>
        </w:rPr>
        <w:t>项目专用合同条款；</w:t>
      </w:r>
    </w:p>
    <w:p w14:paraId="28EC14E0">
      <w:pPr>
        <w:pStyle w:val="41"/>
        <w:numPr>
          <w:ilvl w:val="0"/>
          <w:numId w:val="0"/>
        </w:numPr>
        <w:tabs>
          <w:tab w:val="left" w:pos="1643"/>
        </w:tabs>
        <w:spacing w:before="134" w:after="0" w:line="360" w:lineRule="auto"/>
        <w:ind w:left="1642" w:leftChars="0" w:right="0" w:rightChars="0" w:hanging="602" w:firstLineChars="0"/>
        <w:jc w:val="left"/>
        <w:rPr>
          <w:spacing w:val="0"/>
          <w:sz w:val="21"/>
          <w:szCs w:val="21"/>
        </w:rPr>
      </w:pPr>
      <w:r>
        <w:rPr>
          <w:rFonts w:hint="default" w:ascii="宋体" w:hAnsi="宋体" w:eastAsia="宋体" w:cs="宋体"/>
          <w:spacing w:val="0"/>
          <w:w w:val="100"/>
          <w:sz w:val="21"/>
          <w:szCs w:val="21"/>
          <w:lang w:val="zh-CN" w:eastAsia="zh-CN" w:bidi="zh-CN"/>
        </w:rPr>
        <w:t>（5）</w:t>
      </w:r>
      <w:r>
        <w:rPr>
          <w:spacing w:val="0"/>
          <w:sz w:val="21"/>
          <w:szCs w:val="21"/>
        </w:rPr>
        <w:t>公路工程专用合同条款；</w:t>
      </w:r>
    </w:p>
    <w:p w14:paraId="728F0FF2">
      <w:pPr>
        <w:pStyle w:val="41"/>
        <w:numPr>
          <w:ilvl w:val="0"/>
          <w:numId w:val="0"/>
        </w:numPr>
        <w:tabs>
          <w:tab w:val="left" w:pos="1643"/>
        </w:tabs>
        <w:spacing w:before="132" w:after="0" w:line="360" w:lineRule="auto"/>
        <w:ind w:left="1642" w:leftChars="0" w:right="0" w:rightChars="0" w:hanging="602" w:firstLineChars="0"/>
        <w:jc w:val="left"/>
        <w:rPr>
          <w:spacing w:val="0"/>
          <w:sz w:val="21"/>
          <w:szCs w:val="21"/>
        </w:rPr>
      </w:pPr>
      <w:r>
        <w:rPr>
          <w:rFonts w:hint="default" w:ascii="宋体" w:hAnsi="宋体" w:eastAsia="宋体" w:cs="宋体"/>
          <w:spacing w:val="0"/>
          <w:w w:val="100"/>
          <w:sz w:val="21"/>
          <w:szCs w:val="21"/>
          <w:lang w:val="zh-CN" w:eastAsia="zh-CN" w:bidi="zh-CN"/>
        </w:rPr>
        <w:t>（6）</w:t>
      </w:r>
      <w:r>
        <w:rPr>
          <w:spacing w:val="0"/>
          <w:sz w:val="21"/>
          <w:szCs w:val="21"/>
        </w:rPr>
        <w:t>通用合同条款；</w:t>
      </w:r>
    </w:p>
    <w:p w14:paraId="6FC2E1FA">
      <w:pPr>
        <w:pStyle w:val="41"/>
        <w:numPr>
          <w:ilvl w:val="0"/>
          <w:numId w:val="0"/>
        </w:numPr>
        <w:tabs>
          <w:tab w:val="left" w:pos="1643"/>
        </w:tabs>
        <w:spacing w:before="132" w:after="0" w:line="360" w:lineRule="auto"/>
        <w:ind w:left="1642" w:leftChars="0" w:right="0" w:rightChars="0" w:hanging="602" w:firstLineChars="0"/>
        <w:jc w:val="left"/>
        <w:rPr>
          <w:spacing w:val="0"/>
          <w:sz w:val="21"/>
          <w:szCs w:val="21"/>
        </w:rPr>
      </w:pPr>
      <w:r>
        <w:rPr>
          <w:rFonts w:hint="default" w:ascii="宋体" w:hAnsi="宋体" w:eastAsia="宋体" w:cs="宋体"/>
          <w:spacing w:val="0"/>
          <w:w w:val="100"/>
          <w:sz w:val="21"/>
          <w:szCs w:val="21"/>
          <w:lang w:val="zh-CN" w:eastAsia="zh-CN" w:bidi="zh-CN"/>
        </w:rPr>
        <w:t>（7）</w:t>
      </w:r>
      <w:r>
        <w:rPr>
          <w:spacing w:val="0"/>
          <w:sz w:val="21"/>
          <w:szCs w:val="21"/>
        </w:rPr>
        <w:t>工程量清单计量规则；</w:t>
      </w:r>
    </w:p>
    <w:p w14:paraId="540AF655">
      <w:pPr>
        <w:pStyle w:val="41"/>
        <w:numPr>
          <w:ilvl w:val="0"/>
          <w:numId w:val="0"/>
        </w:numPr>
        <w:tabs>
          <w:tab w:val="left" w:pos="1643"/>
        </w:tabs>
        <w:spacing w:before="134" w:after="0" w:line="360" w:lineRule="auto"/>
        <w:ind w:left="1642" w:leftChars="0" w:right="0" w:rightChars="0" w:hanging="602" w:firstLineChars="0"/>
        <w:jc w:val="left"/>
        <w:rPr>
          <w:spacing w:val="0"/>
          <w:sz w:val="21"/>
          <w:szCs w:val="21"/>
        </w:rPr>
      </w:pPr>
      <w:r>
        <w:rPr>
          <w:rFonts w:hint="default" w:ascii="宋体" w:hAnsi="宋体" w:eastAsia="宋体" w:cs="宋体"/>
          <w:spacing w:val="0"/>
          <w:w w:val="100"/>
          <w:sz w:val="21"/>
          <w:szCs w:val="21"/>
          <w:lang w:val="zh-CN" w:eastAsia="zh-CN" w:bidi="zh-CN"/>
        </w:rPr>
        <w:t>（8）</w:t>
      </w:r>
      <w:r>
        <w:rPr>
          <w:spacing w:val="0"/>
          <w:sz w:val="21"/>
          <w:szCs w:val="21"/>
        </w:rPr>
        <w:t>技术规范；</w:t>
      </w:r>
    </w:p>
    <w:p w14:paraId="364E4BFF">
      <w:pPr>
        <w:pStyle w:val="41"/>
        <w:numPr>
          <w:ilvl w:val="0"/>
          <w:numId w:val="0"/>
        </w:numPr>
        <w:tabs>
          <w:tab w:val="left" w:pos="1643"/>
        </w:tabs>
        <w:spacing w:before="132" w:after="0" w:line="360" w:lineRule="auto"/>
        <w:ind w:left="1642" w:leftChars="0" w:right="0" w:rightChars="0" w:hanging="602" w:firstLineChars="0"/>
        <w:jc w:val="left"/>
        <w:rPr>
          <w:spacing w:val="0"/>
          <w:sz w:val="21"/>
          <w:szCs w:val="21"/>
        </w:rPr>
      </w:pPr>
      <w:r>
        <w:rPr>
          <w:rFonts w:hint="default" w:ascii="宋体" w:hAnsi="宋体" w:eastAsia="宋体" w:cs="宋体"/>
          <w:spacing w:val="0"/>
          <w:w w:val="100"/>
          <w:sz w:val="21"/>
          <w:szCs w:val="21"/>
          <w:lang w:val="zh-CN" w:eastAsia="zh-CN" w:bidi="zh-CN"/>
        </w:rPr>
        <w:t>（9）</w:t>
      </w:r>
      <w:r>
        <w:rPr>
          <w:spacing w:val="0"/>
          <w:sz w:val="21"/>
          <w:szCs w:val="21"/>
        </w:rPr>
        <w:t>图纸；</w:t>
      </w:r>
    </w:p>
    <w:p w14:paraId="621FF024">
      <w:pPr>
        <w:pStyle w:val="41"/>
        <w:numPr>
          <w:ilvl w:val="0"/>
          <w:numId w:val="0"/>
        </w:numPr>
        <w:tabs>
          <w:tab w:val="left" w:pos="1763"/>
        </w:tabs>
        <w:spacing w:before="131" w:after="0" w:line="360" w:lineRule="auto"/>
        <w:ind w:left="1762" w:leftChars="0" w:right="0" w:rightChars="0" w:hanging="722" w:firstLineChars="0"/>
        <w:jc w:val="left"/>
        <w:rPr>
          <w:spacing w:val="0"/>
          <w:sz w:val="21"/>
          <w:szCs w:val="21"/>
        </w:rPr>
      </w:pPr>
      <w:r>
        <w:rPr>
          <w:rFonts w:hint="default" w:ascii="宋体" w:hAnsi="宋体" w:eastAsia="宋体" w:cs="宋体"/>
          <w:spacing w:val="0"/>
          <w:w w:val="100"/>
          <w:sz w:val="21"/>
          <w:szCs w:val="21"/>
          <w:lang w:val="zh-CN" w:eastAsia="zh-CN" w:bidi="zh-CN"/>
        </w:rPr>
        <w:t>（10）</w:t>
      </w:r>
      <w:r>
        <w:rPr>
          <w:spacing w:val="0"/>
          <w:sz w:val="21"/>
          <w:szCs w:val="21"/>
        </w:rPr>
        <w:t>已标价工程量清单；</w:t>
      </w:r>
    </w:p>
    <w:p w14:paraId="370FEF66">
      <w:pPr>
        <w:pStyle w:val="41"/>
        <w:numPr>
          <w:ilvl w:val="0"/>
          <w:numId w:val="0"/>
        </w:numPr>
        <w:tabs>
          <w:tab w:val="left" w:pos="1753"/>
        </w:tabs>
        <w:spacing w:before="135" w:after="0" w:line="360" w:lineRule="auto"/>
        <w:ind w:left="1752" w:leftChars="0" w:right="0" w:rightChars="0" w:hanging="712" w:firstLineChars="0"/>
        <w:jc w:val="left"/>
        <w:rPr>
          <w:spacing w:val="0"/>
          <w:sz w:val="21"/>
          <w:szCs w:val="21"/>
        </w:rPr>
      </w:pPr>
      <w:r>
        <w:rPr>
          <w:rFonts w:hint="default" w:ascii="宋体" w:hAnsi="宋体" w:eastAsia="宋体" w:cs="宋体"/>
          <w:spacing w:val="0"/>
          <w:w w:val="100"/>
          <w:sz w:val="21"/>
          <w:szCs w:val="21"/>
          <w:lang w:val="zh-CN" w:eastAsia="zh-CN" w:bidi="zh-CN"/>
        </w:rPr>
        <w:t>（11）</w:t>
      </w:r>
      <w:r>
        <w:rPr>
          <w:spacing w:val="0"/>
          <w:sz w:val="21"/>
          <w:szCs w:val="21"/>
        </w:rPr>
        <w:t>承包人有关人员、设备投入的承诺及投标文件中的施工组织设计；</w:t>
      </w:r>
    </w:p>
    <w:p w14:paraId="710ECA72">
      <w:pPr>
        <w:pStyle w:val="41"/>
        <w:numPr>
          <w:ilvl w:val="0"/>
          <w:numId w:val="0"/>
        </w:numPr>
        <w:tabs>
          <w:tab w:val="left" w:pos="1763"/>
        </w:tabs>
        <w:spacing w:before="132" w:after="0" w:line="360" w:lineRule="auto"/>
        <w:ind w:left="1762" w:leftChars="0" w:right="0" w:rightChars="0" w:hanging="722" w:firstLineChars="0"/>
        <w:jc w:val="left"/>
        <w:rPr>
          <w:spacing w:val="0"/>
          <w:sz w:val="21"/>
          <w:szCs w:val="21"/>
        </w:rPr>
      </w:pPr>
      <w:r>
        <w:rPr>
          <w:rFonts w:hint="default" w:ascii="宋体" w:hAnsi="宋体" w:eastAsia="宋体" w:cs="宋体"/>
          <w:spacing w:val="0"/>
          <w:w w:val="100"/>
          <w:sz w:val="21"/>
          <w:szCs w:val="21"/>
          <w:lang w:val="zh-CN" w:eastAsia="zh-CN" w:bidi="zh-CN"/>
        </w:rPr>
        <w:t>（12）</w:t>
      </w:r>
      <w:r>
        <w:rPr>
          <w:spacing w:val="0"/>
          <w:sz w:val="21"/>
          <w:szCs w:val="21"/>
        </w:rPr>
        <w:t>其他合同文件。</w:t>
      </w:r>
    </w:p>
    <w:p w14:paraId="3A91E5C6">
      <w:pPr>
        <w:pStyle w:val="12"/>
        <w:spacing w:before="131" w:line="360" w:lineRule="auto"/>
        <w:ind w:left="424" w:right="427" w:firstLine="616"/>
        <w:rPr>
          <w:spacing w:val="0"/>
          <w:sz w:val="21"/>
          <w:szCs w:val="21"/>
        </w:rPr>
      </w:pPr>
      <w:r>
        <w:rPr>
          <w:spacing w:val="0"/>
          <w:sz w:val="21"/>
          <w:szCs w:val="21"/>
        </w:rPr>
        <w:t>上述合同文件互相补充和解释。如果合同文件之间存在矛盾或不一致之处， 以上述文件的排列顺序在先者为准。</w:t>
      </w:r>
    </w:p>
    <w:p w14:paraId="0099D07A">
      <w:pPr>
        <w:pStyle w:val="41"/>
        <w:numPr>
          <w:ilvl w:val="3"/>
          <w:numId w:val="0"/>
        </w:numPr>
        <w:tabs>
          <w:tab w:val="left" w:pos="1344"/>
          <w:tab w:val="left" w:pos="2584"/>
          <w:tab w:val="left" w:pos="4144"/>
        </w:tabs>
        <w:spacing w:before="0" w:after="0" w:line="360" w:lineRule="auto"/>
        <w:ind w:left="424" w:leftChars="0" w:right="415" w:rightChars="0" w:firstLine="616" w:firstLineChars="0"/>
        <w:jc w:val="left"/>
        <w:rPr>
          <w:spacing w:val="0"/>
          <w:sz w:val="21"/>
          <w:szCs w:val="21"/>
        </w:rPr>
      </w:pPr>
      <w:r>
        <w:rPr>
          <w:rFonts w:hint="default" w:ascii="Times New Roman" w:hAnsi="Times New Roman" w:eastAsia="Times New Roman" w:cs="Times New Roman"/>
          <w:spacing w:val="0"/>
          <w:w w:val="99"/>
          <w:sz w:val="21"/>
          <w:szCs w:val="21"/>
          <w:lang w:val="zh-CN" w:eastAsia="zh-CN" w:bidi="zh-CN"/>
        </w:rPr>
        <w:t>3.</w:t>
      </w:r>
      <w:r>
        <w:rPr>
          <w:spacing w:val="0"/>
          <w:sz w:val="21"/>
          <w:szCs w:val="21"/>
        </w:rPr>
        <w:t>根据工程量清单所列的预计数量和单价或总额价计算的签约合同价：人民币（大写）</w:t>
      </w:r>
      <w:r>
        <w:rPr>
          <w:spacing w:val="0"/>
          <w:sz w:val="21"/>
          <w:szCs w:val="21"/>
          <w:u w:val="single"/>
        </w:rPr>
        <w:t xml:space="preserve"> </w:t>
      </w:r>
      <w:r>
        <w:rPr>
          <w:spacing w:val="0"/>
          <w:sz w:val="21"/>
          <w:szCs w:val="21"/>
          <w:u w:val="single"/>
        </w:rPr>
        <w:tab/>
      </w:r>
      <w:r>
        <w:rPr>
          <w:spacing w:val="0"/>
          <w:sz w:val="21"/>
          <w:szCs w:val="21"/>
        </w:rPr>
        <w:t>元（</w:t>
      </w:r>
      <w:r>
        <w:rPr>
          <w:rFonts w:ascii="Times New Roman" w:hAnsi="Times New Roman" w:eastAsia="Times New Roman"/>
          <w:spacing w:val="0"/>
          <w:sz w:val="21"/>
          <w:szCs w:val="21"/>
        </w:rPr>
        <w:t>¥</w:t>
      </w:r>
      <w:r>
        <w:rPr>
          <w:rFonts w:ascii="Times New Roman" w:hAnsi="Times New Roman" w:eastAsia="Times New Roman"/>
          <w:spacing w:val="0"/>
          <w:sz w:val="21"/>
          <w:szCs w:val="21"/>
          <w:u w:val="single"/>
        </w:rPr>
        <w:t xml:space="preserve"> </w:t>
      </w:r>
      <w:r>
        <w:rPr>
          <w:rFonts w:ascii="Times New Roman" w:hAnsi="Times New Roman" w:eastAsia="Times New Roman"/>
          <w:spacing w:val="0"/>
          <w:sz w:val="21"/>
          <w:szCs w:val="21"/>
          <w:u w:val="single"/>
        </w:rPr>
        <w:tab/>
      </w:r>
      <w:r>
        <w:rPr>
          <w:spacing w:val="0"/>
          <w:sz w:val="21"/>
          <w:szCs w:val="21"/>
        </w:rPr>
        <w:t>）。</w:t>
      </w:r>
    </w:p>
    <w:p w14:paraId="3A0C1638">
      <w:pPr>
        <w:pStyle w:val="41"/>
        <w:numPr>
          <w:ilvl w:val="3"/>
          <w:numId w:val="0"/>
        </w:numPr>
        <w:tabs>
          <w:tab w:val="left" w:pos="1342"/>
          <w:tab w:val="left" w:pos="4701"/>
          <w:tab w:val="left" w:pos="8782"/>
        </w:tabs>
        <w:spacing w:before="0" w:after="0" w:line="360" w:lineRule="auto"/>
        <w:ind w:left="1341" w:leftChars="0" w:right="0" w:rightChars="0" w:hanging="301" w:firstLineChars="0"/>
        <w:jc w:val="left"/>
        <w:rPr>
          <w:spacing w:val="0"/>
          <w:sz w:val="21"/>
          <w:szCs w:val="21"/>
        </w:rPr>
      </w:pPr>
      <w:r>
        <w:rPr>
          <w:rFonts w:hint="default" w:ascii="Times New Roman" w:hAnsi="Times New Roman" w:eastAsia="Times New Roman" w:cs="Times New Roman"/>
          <w:spacing w:val="0"/>
          <w:w w:val="99"/>
          <w:sz w:val="21"/>
          <w:szCs w:val="21"/>
          <w:lang w:val="zh-CN" w:eastAsia="zh-CN" w:bidi="zh-CN"/>
        </w:rPr>
        <w:t>4.</w:t>
      </w:r>
      <w:r>
        <w:rPr>
          <w:spacing w:val="0"/>
          <w:sz w:val="21"/>
          <w:szCs w:val="21"/>
        </w:rPr>
        <w:t>承包人项目经理：</w:t>
      </w:r>
      <w:r>
        <w:rPr>
          <w:spacing w:val="0"/>
          <w:sz w:val="21"/>
          <w:szCs w:val="21"/>
          <w:u w:val="single"/>
        </w:rPr>
        <w:t xml:space="preserve"> </w:t>
      </w:r>
      <w:r>
        <w:rPr>
          <w:spacing w:val="0"/>
          <w:sz w:val="21"/>
          <w:szCs w:val="21"/>
          <w:u w:val="single"/>
        </w:rPr>
        <w:tab/>
      </w:r>
      <w:r>
        <w:rPr>
          <w:spacing w:val="0"/>
          <w:sz w:val="21"/>
          <w:szCs w:val="21"/>
        </w:rPr>
        <w:t>。承包人项目总工：</w:t>
      </w:r>
      <w:r>
        <w:rPr>
          <w:spacing w:val="0"/>
          <w:sz w:val="21"/>
          <w:szCs w:val="21"/>
          <w:u w:val="single"/>
        </w:rPr>
        <w:t xml:space="preserve"> </w:t>
      </w:r>
      <w:r>
        <w:rPr>
          <w:spacing w:val="0"/>
          <w:sz w:val="21"/>
          <w:szCs w:val="21"/>
          <w:u w:val="single"/>
        </w:rPr>
        <w:tab/>
      </w:r>
      <w:r>
        <w:rPr>
          <w:spacing w:val="0"/>
          <w:sz w:val="21"/>
          <w:szCs w:val="21"/>
        </w:rPr>
        <w:t>。</w:t>
      </w:r>
    </w:p>
    <w:p w14:paraId="794392DA">
      <w:pPr>
        <w:pStyle w:val="41"/>
        <w:numPr>
          <w:ilvl w:val="3"/>
          <w:numId w:val="0"/>
        </w:numPr>
        <w:tabs>
          <w:tab w:val="left" w:pos="1342"/>
          <w:tab w:val="left" w:pos="4341"/>
          <w:tab w:val="left" w:pos="8662"/>
        </w:tabs>
        <w:spacing w:before="129" w:after="0" w:line="360" w:lineRule="auto"/>
        <w:ind w:left="1341" w:leftChars="0" w:right="0" w:rightChars="0" w:hanging="301" w:firstLineChars="0"/>
        <w:jc w:val="left"/>
        <w:rPr>
          <w:spacing w:val="0"/>
          <w:sz w:val="21"/>
          <w:szCs w:val="21"/>
        </w:rPr>
      </w:pPr>
      <w:r>
        <w:rPr>
          <w:rFonts w:hint="default" w:ascii="Times New Roman" w:hAnsi="Times New Roman" w:eastAsia="Times New Roman" w:cs="Times New Roman"/>
          <w:spacing w:val="0"/>
          <w:w w:val="99"/>
          <w:sz w:val="21"/>
          <w:szCs w:val="21"/>
          <w:lang w:val="zh-CN" w:eastAsia="zh-CN" w:bidi="zh-CN"/>
        </w:rPr>
        <w:t>5.</w:t>
      </w:r>
      <w:r>
        <w:rPr>
          <w:spacing w:val="0"/>
          <w:sz w:val="21"/>
          <w:szCs w:val="21"/>
        </w:rPr>
        <w:t>工程质量符合</w:t>
      </w:r>
      <w:r>
        <w:rPr>
          <w:spacing w:val="0"/>
          <w:sz w:val="21"/>
          <w:szCs w:val="21"/>
          <w:u w:val="single"/>
        </w:rPr>
        <w:t xml:space="preserve"> </w:t>
      </w:r>
      <w:r>
        <w:rPr>
          <w:spacing w:val="0"/>
          <w:sz w:val="21"/>
          <w:szCs w:val="21"/>
          <w:u w:val="single"/>
        </w:rPr>
        <w:tab/>
      </w:r>
      <w:r>
        <w:rPr>
          <w:spacing w:val="0"/>
          <w:sz w:val="21"/>
          <w:szCs w:val="21"/>
        </w:rPr>
        <w:t>标准。工程安全目标：</w:t>
      </w:r>
      <w:r>
        <w:rPr>
          <w:spacing w:val="0"/>
          <w:sz w:val="21"/>
          <w:szCs w:val="21"/>
          <w:u w:val="single"/>
        </w:rPr>
        <w:t xml:space="preserve"> </w:t>
      </w:r>
      <w:r>
        <w:rPr>
          <w:spacing w:val="0"/>
          <w:sz w:val="21"/>
          <w:szCs w:val="21"/>
          <w:u w:val="single"/>
        </w:rPr>
        <w:tab/>
      </w:r>
      <w:r>
        <w:rPr>
          <w:spacing w:val="0"/>
          <w:sz w:val="21"/>
          <w:szCs w:val="21"/>
        </w:rPr>
        <w:t>。</w:t>
      </w:r>
    </w:p>
    <w:p w14:paraId="3150409C">
      <w:pPr>
        <w:pStyle w:val="41"/>
        <w:numPr>
          <w:ilvl w:val="3"/>
          <w:numId w:val="0"/>
        </w:numPr>
        <w:tabs>
          <w:tab w:val="left" w:pos="1342"/>
        </w:tabs>
        <w:spacing w:before="132" w:after="0" w:line="360" w:lineRule="auto"/>
        <w:ind w:left="1341" w:leftChars="0" w:right="0" w:rightChars="0" w:hanging="301" w:firstLineChars="0"/>
        <w:jc w:val="left"/>
        <w:rPr>
          <w:spacing w:val="0"/>
          <w:sz w:val="21"/>
          <w:szCs w:val="21"/>
        </w:rPr>
      </w:pPr>
      <w:r>
        <w:rPr>
          <w:rFonts w:hint="default" w:ascii="Times New Roman" w:hAnsi="Times New Roman" w:eastAsia="Times New Roman" w:cs="Times New Roman"/>
          <w:spacing w:val="0"/>
          <w:w w:val="99"/>
          <w:sz w:val="21"/>
          <w:szCs w:val="21"/>
          <w:lang w:val="zh-CN" w:eastAsia="zh-CN" w:bidi="zh-CN"/>
        </w:rPr>
        <w:t>6.</w:t>
      </w:r>
      <w:r>
        <w:rPr>
          <w:spacing w:val="0"/>
          <w:sz w:val="21"/>
          <w:szCs w:val="21"/>
        </w:rPr>
        <w:t>承包人承诺按合同约定承担工程的实施、完成及缺陷修复。</w:t>
      </w:r>
    </w:p>
    <w:p w14:paraId="7B05613B">
      <w:pPr>
        <w:pStyle w:val="12"/>
        <w:spacing w:before="6" w:line="360" w:lineRule="auto"/>
        <w:ind w:firstLine="1035" w:firstLineChars="500"/>
        <w:rPr>
          <w:spacing w:val="0"/>
          <w:sz w:val="21"/>
          <w:szCs w:val="21"/>
        </w:rPr>
      </w:pPr>
      <w:r>
        <w:rPr>
          <w:rFonts w:hint="default" w:ascii="Times New Roman" w:hAnsi="Times New Roman" w:eastAsia="Times New Roman" w:cs="Times New Roman"/>
          <w:spacing w:val="0"/>
          <w:w w:val="99"/>
          <w:sz w:val="21"/>
          <w:szCs w:val="21"/>
          <w:lang w:val="zh-CN" w:eastAsia="zh-CN" w:bidi="zh-CN"/>
        </w:rPr>
        <w:t>7.</w:t>
      </w:r>
      <w:r>
        <w:rPr>
          <w:spacing w:val="0"/>
          <w:sz w:val="21"/>
          <w:szCs w:val="21"/>
        </w:rPr>
        <w:t>发包人承诺按合同约定的条件、时间和方式向承包人支付合同价款。</w:t>
      </w:r>
    </w:p>
    <w:p w14:paraId="12511D33">
      <w:pPr>
        <w:pStyle w:val="41"/>
        <w:numPr>
          <w:ilvl w:val="3"/>
          <w:numId w:val="0"/>
        </w:numPr>
        <w:tabs>
          <w:tab w:val="left" w:pos="1342"/>
        </w:tabs>
        <w:spacing w:before="74" w:after="0" w:line="360" w:lineRule="auto"/>
        <w:ind w:left="1341" w:leftChars="0" w:right="0" w:rightChars="0" w:hanging="301" w:firstLineChars="0"/>
        <w:jc w:val="both"/>
        <w:rPr>
          <w:spacing w:val="0"/>
          <w:sz w:val="21"/>
          <w:szCs w:val="21"/>
        </w:rPr>
      </w:pPr>
      <w:r>
        <w:rPr>
          <w:rFonts w:hint="default" w:ascii="Times New Roman" w:hAnsi="Times New Roman" w:eastAsia="Times New Roman" w:cs="Times New Roman"/>
          <w:spacing w:val="0"/>
          <w:w w:val="99"/>
          <w:sz w:val="21"/>
          <w:szCs w:val="21"/>
          <w:lang w:val="zh-CN" w:eastAsia="zh-CN" w:bidi="zh-CN"/>
        </w:rPr>
        <w:t>8.</w:t>
      </w:r>
      <w:r>
        <w:rPr>
          <w:spacing w:val="0"/>
          <w:sz w:val="21"/>
          <w:szCs w:val="21"/>
        </w:rPr>
        <w:t>承包人应按照监理人指示开工，工期为 日历天。</w:t>
      </w:r>
    </w:p>
    <w:p w14:paraId="4CB8EB15">
      <w:pPr>
        <w:pStyle w:val="41"/>
        <w:numPr>
          <w:ilvl w:val="3"/>
          <w:numId w:val="0"/>
        </w:numPr>
        <w:tabs>
          <w:tab w:val="left" w:pos="1344"/>
        </w:tabs>
        <w:spacing w:before="132" w:after="0" w:line="360" w:lineRule="auto"/>
        <w:ind w:left="424" w:leftChars="0" w:right="382" w:rightChars="0" w:firstLine="616" w:firstLineChars="0"/>
        <w:jc w:val="both"/>
        <w:rPr>
          <w:spacing w:val="0"/>
          <w:sz w:val="21"/>
          <w:szCs w:val="21"/>
        </w:rPr>
      </w:pPr>
      <w:r>
        <w:rPr>
          <w:rFonts w:hint="default" w:ascii="Times New Roman" w:hAnsi="Times New Roman" w:eastAsia="Times New Roman" w:cs="Times New Roman"/>
          <w:spacing w:val="0"/>
          <w:w w:val="99"/>
          <w:sz w:val="21"/>
          <w:szCs w:val="21"/>
          <w:lang w:val="zh-CN" w:eastAsia="zh-CN" w:bidi="zh-CN"/>
        </w:rPr>
        <w:t>9.</w:t>
      </w:r>
      <w:r>
        <w:rPr>
          <w:spacing w:val="0"/>
          <w:sz w:val="21"/>
          <w:szCs w:val="21"/>
        </w:rPr>
        <w:t>本协议书在承包人提供履约保证金后，由双方法定代表人或其委托代理人签署并加盖单位章后生效。全部工程完工后经交工验收合格、缺陷责任期满签发缺陷责任终止证书后失效。</w:t>
      </w:r>
    </w:p>
    <w:p w14:paraId="4390C1D7">
      <w:pPr>
        <w:pStyle w:val="41"/>
        <w:numPr>
          <w:ilvl w:val="3"/>
          <w:numId w:val="0"/>
        </w:numPr>
        <w:tabs>
          <w:tab w:val="left" w:pos="1462"/>
        </w:tabs>
        <w:spacing w:before="0" w:after="0" w:line="360" w:lineRule="auto"/>
        <w:ind w:left="424" w:leftChars="0" w:right="341" w:rightChars="0" w:firstLine="616" w:firstLineChars="0"/>
        <w:jc w:val="both"/>
        <w:rPr>
          <w:spacing w:val="0"/>
          <w:sz w:val="21"/>
          <w:szCs w:val="21"/>
        </w:rPr>
      </w:pPr>
      <w:r>
        <w:rPr>
          <w:rFonts w:hint="default" w:ascii="Times New Roman" w:hAnsi="Times New Roman" w:eastAsia="Times New Roman" w:cs="Times New Roman"/>
          <w:spacing w:val="0"/>
          <w:w w:val="99"/>
          <w:sz w:val="21"/>
          <w:szCs w:val="21"/>
          <w:lang w:val="zh-CN" w:eastAsia="zh-CN" w:bidi="zh-CN"/>
        </w:rPr>
        <w:t>10.</w:t>
      </w:r>
      <w:r>
        <w:rPr>
          <w:spacing w:val="0"/>
          <w:sz w:val="21"/>
          <w:szCs w:val="21"/>
        </w:rPr>
        <w:t>本协议书正本二份、副本</w:t>
      </w:r>
      <w:r>
        <w:rPr>
          <w:spacing w:val="0"/>
          <w:sz w:val="21"/>
          <w:szCs w:val="21"/>
          <w:u w:val="single"/>
        </w:rPr>
        <w:t xml:space="preserve">  </w:t>
      </w:r>
      <w:r>
        <w:rPr>
          <w:spacing w:val="0"/>
          <w:sz w:val="21"/>
          <w:szCs w:val="21"/>
        </w:rPr>
        <w:t xml:space="preserve"> 份，合同双方各执正本一份，副本</w:t>
      </w:r>
      <w:r>
        <w:rPr>
          <w:spacing w:val="0"/>
          <w:sz w:val="21"/>
          <w:szCs w:val="21"/>
          <w:u w:val="single"/>
        </w:rPr>
        <w:t xml:space="preserve">  </w:t>
      </w:r>
      <w:r>
        <w:rPr>
          <w:spacing w:val="0"/>
          <w:sz w:val="21"/>
          <w:szCs w:val="21"/>
        </w:rPr>
        <w:t xml:space="preserve"> 份， 当正本与副本的内容不一致时，以正本为准。</w:t>
      </w:r>
    </w:p>
    <w:p w14:paraId="6EA18E33">
      <w:pPr>
        <w:pStyle w:val="41"/>
        <w:numPr>
          <w:ilvl w:val="3"/>
          <w:numId w:val="0"/>
        </w:numPr>
        <w:tabs>
          <w:tab w:val="left" w:pos="1452"/>
        </w:tabs>
        <w:spacing w:before="2" w:after="0" w:line="360" w:lineRule="auto"/>
        <w:ind w:left="1451" w:leftChars="0" w:right="0" w:rightChars="0" w:hanging="411" w:firstLineChars="0"/>
        <w:jc w:val="both"/>
        <w:rPr>
          <w:sz w:val="21"/>
          <w:szCs w:val="21"/>
        </w:rPr>
      </w:pPr>
      <w:r>
        <w:rPr>
          <w:rFonts w:hint="default" w:ascii="Times New Roman" w:hAnsi="Times New Roman" w:eastAsia="Times New Roman" w:cs="Times New Roman"/>
          <w:spacing w:val="0"/>
          <w:w w:val="99"/>
          <w:sz w:val="21"/>
          <w:szCs w:val="21"/>
          <w:lang w:val="zh-CN" w:eastAsia="zh-CN" w:bidi="zh-CN"/>
        </w:rPr>
        <w:t>11.</w:t>
      </w:r>
      <w:r>
        <w:rPr>
          <w:spacing w:val="0"/>
          <w:sz w:val="21"/>
          <w:szCs w:val="21"/>
        </w:rPr>
        <w:t>合同未尽事宜，双方另行签订补充协议。补充协议是合同的组成部分。</w:t>
      </w:r>
    </w:p>
    <w:p w14:paraId="16B3E922">
      <w:pPr>
        <w:pStyle w:val="12"/>
        <w:spacing w:line="360" w:lineRule="auto"/>
        <w:rPr>
          <w:sz w:val="21"/>
          <w:szCs w:val="21"/>
        </w:rPr>
      </w:pPr>
    </w:p>
    <w:p w14:paraId="35271D42">
      <w:pPr>
        <w:pStyle w:val="12"/>
        <w:spacing w:before="7" w:line="360" w:lineRule="auto"/>
        <w:rPr>
          <w:sz w:val="21"/>
          <w:szCs w:val="21"/>
        </w:rPr>
      </w:pPr>
    </w:p>
    <w:p w14:paraId="07C197A8">
      <w:pPr>
        <w:pStyle w:val="12"/>
        <w:tabs>
          <w:tab w:val="left" w:pos="3151"/>
          <w:tab w:val="left" w:pos="4934"/>
          <w:tab w:val="left" w:pos="5174"/>
          <w:tab w:val="left" w:pos="7781"/>
        </w:tabs>
        <w:spacing w:line="360" w:lineRule="auto"/>
        <w:ind w:left="424" w:right="262"/>
        <w:rPr>
          <w:sz w:val="21"/>
          <w:szCs w:val="21"/>
        </w:rPr>
      </w:pPr>
      <w:r>
        <w:rPr>
          <w:sz w:val="21"/>
          <w:szCs w:val="21"/>
        </w:rPr>
        <w:t>发包人</w:t>
      </w:r>
      <w:r>
        <w:rPr>
          <w:spacing w:val="-17"/>
          <w:sz w:val="21"/>
          <w:szCs w:val="21"/>
        </w:rPr>
        <w:t>：</w:t>
      </w:r>
      <w:r>
        <w:rPr>
          <w:spacing w:val="-17"/>
          <w:sz w:val="21"/>
          <w:szCs w:val="21"/>
          <w:u w:val="single"/>
        </w:rPr>
        <w:t xml:space="preserve"> </w:t>
      </w:r>
      <w:r>
        <w:rPr>
          <w:spacing w:val="-17"/>
          <w:sz w:val="21"/>
          <w:szCs w:val="21"/>
          <w:u w:val="single"/>
        </w:rPr>
        <w:tab/>
      </w:r>
      <w:r>
        <w:rPr>
          <w:sz w:val="21"/>
          <w:szCs w:val="21"/>
        </w:rPr>
        <w:t>（盖单位章）</w:t>
      </w:r>
      <w:r>
        <w:rPr>
          <w:sz w:val="21"/>
          <w:szCs w:val="21"/>
        </w:rPr>
        <w:tab/>
      </w:r>
      <w:r>
        <w:rPr>
          <w:sz w:val="21"/>
          <w:szCs w:val="21"/>
        </w:rPr>
        <w:tab/>
      </w:r>
      <w:r>
        <w:rPr>
          <w:sz w:val="21"/>
          <w:szCs w:val="21"/>
        </w:rPr>
        <w:t>承包人</w:t>
      </w:r>
      <w:r>
        <w:rPr>
          <w:spacing w:val="-17"/>
          <w:sz w:val="21"/>
          <w:szCs w:val="21"/>
        </w:rPr>
        <w:t>：</w:t>
      </w:r>
      <w:r>
        <w:rPr>
          <w:spacing w:val="-17"/>
          <w:sz w:val="21"/>
          <w:szCs w:val="21"/>
          <w:u w:val="single"/>
        </w:rPr>
        <w:t xml:space="preserve"> </w:t>
      </w:r>
      <w:r>
        <w:rPr>
          <w:spacing w:val="-17"/>
          <w:sz w:val="21"/>
          <w:szCs w:val="21"/>
          <w:u w:val="single"/>
        </w:rPr>
        <w:tab/>
      </w:r>
      <w:r>
        <w:rPr>
          <w:sz w:val="21"/>
          <w:szCs w:val="21"/>
        </w:rPr>
        <w:t>（盖单位章</w:t>
      </w:r>
      <w:r>
        <w:rPr>
          <w:spacing w:val="-17"/>
          <w:sz w:val="21"/>
          <w:szCs w:val="21"/>
        </w:rPr>
        <w:t xml:space="preserve">） </w:t>
      </w:r>
      <w:r>
        <w:rPr>
          <w:sz w:val="21"/>
          <w:szCs w:val="21"/>
        </w:rPr>
        <w:t>法定代表人或其委托代理人</w:t>
      </w:r>
      <w:r>
        <w:rPr>
          <w:spacing w:val="-17"/>
          <w:sz w:val="21"/>
          <w:szCs w:val="21"/>
        </w:rPr>
        <w:t>：</w:t>
      </w:r>
      <w:r>
        <w:rPr>
          <w:spacing w:val="-17"/>
          <w:sz w:val="21"/>
          <w:szCs w:val="21"/>
          <w:u w:val="single"/>
        </w:rPr>
        <w:t xml:space="preserve"> </w:t>
      </w:r>
      <w:r>
        <w:rPr>
          <w:sz w:val="21"/>
          <w:szCs w:val="21"/>
          <w:u w:val="single"/>
        </w:rPr>
        <w:t xml:space="preserve"> </w:t>
      </w:r>
      <w:r>
        <w:rPr>
          <w:sz w:val="21"/>
          <w:szCs w:val="21"/>
        </w:rPr>
        <w:t>（签字）</w:t>
      </w:r>
      <w:r>
        <w:rPr>
          <w:sz w:val="21"/>
          <w:szCs w:val="21"/>
        </w:rPr>
        <w:tab/>
      </w:r>
      <w:r>
        <w:rPr>
          <w:sz w:val="21"/>
          <w:szCs w:val="21"/>
        </w:rPr>
        <w:t>法定代表人或其委托代理人</w:t>
      </w:r>
      <w:r>
        <w:rPr>
          <w:spacing w:val="-16"/>
          <w:sz w:val="21"/>
          <w:szCs w:val="21"/>
        </w:rPr>
        <w:t>：</w:t>
      </w:r>
      <w:r>
        <w:rPr>
          <w:spacing w:val="-1"/>
          <w:sz w:val="21"/>
          <w:szCs w:val="21"/>
          <w:u w:val="single"/>
        </w:rPr>
        <w:t xml:space="preserve"> </w:t>
      </w:r>
      <w:r>
        <w:rPr>
          <w:sz w:val="21"/>
          <w:szCs w:val="21"/>
        </w:rPr>
        <w:t>（签字</w:t>
      </w:r>
      <w:r>
        <w:rPr>
          <w:spacing w:val="-17"/>
          <w:sz w:val="21"/>
          <w:szCs w:val="21"/>
        </w:rPr>
        <w:t>）</w:t>
      </w:r>
    </w:p>
    <w:p w14:paraId="0E35A3E4">
      <w:pPr>
        <w:pStyle w:val="12"/>
        <w:tabs>
          <w:tab w:val="left" w:pos="2344"/>
          <w:tab w:val="left" w:pos="3184"/>
          <w:tab w:val="left" w:pos="4024"/>
          <w:tab w:val="left" w:pos="5945"/>
          <w:tab w:val="left" w:pos="7025"/>
          <w:tab w:val="left" w:pos="7865"/>
          <w:tab w:val="left" w:pos="8705"/>
        </w:tabs>
        <w:spacing w:line="360" w:lineRule="auto"/>
        <w:ind w:left="1264"/>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rPr>
        <w:tab/>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208A90F5">
      <w:pPr>
        <w:spacing w:after="0" w:line="360" w:lineRule="auto"/>
        <w:rPr>
          <w:sz w:val="21"/>
          <w:szCs w:val="21"/>
        </w:rPr>
        <w:sectPr>
          <w:pgSz w:w="11910" w:h="16850"/>
          <w:pgMar w:top="1480" w:right="1200" w:bottom="1040" w:left="1220" w:header="876" w:footer="853" w:gutter="0"/>
          <w:pgNumType w:fmt="decimal"/>
          <w:cols w:space="720" w:num="1"/>
        </w:sectPr>
      </w:pPr>
    </w:p>
    <w:p w14:paraId="55AAB7CD">
      <w:pPr>
        <w:pStyle w:val="12"/>
        <w:spacing w:before="66"/>
        <w:ind w:left="424"/>
        <w:rPr>
          <w:rFonts w:hint="eastAsia" w:ascii="黑体" w:eastAsia="黑体"/>
        </w:rPr>
      </w:pPr>
      <w:bookmarkStart w:id="382" w:name="_bookmark271"/>
      <w:bookmarkEnd w:id="382"/>
      <w:r>
        <w:rPr>
          <w:rFonts w:hint="eastAsia" w:ascii="黑体" w:eastAsia="黑体"/>
        </w:rPr>
        <w:t>附件二 廉政合同</w:t>
      </w:r>
    </w:p>
    <w:p w14:paraId="5A9D889F">
      <w:pPr>
        <w:pStyle w:val="12"/>
        <w:keepNext w:val="0"/>
        <w:keepLines w:val="0"/>
        <w:pageBreakBefore w:val="0"/>
        <w:widowControl w:val="0"/>
        <w:tabs>
          <w:tab w:val="left" w:pos="2485"/>
          <w:tab w:val="left" w:pos="2824"/>
          <w:tab w:val="left" w:pos="7176"/>
          <w:tab w:val="left" w:pos="8139"/>
        </w:tabs>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sz w:val="21"/>
          <w:szCs w:val="21"/>
        </w:rPr>
        <w:t>根</w:t>
      </w:r>
      <w:r>
        <w:rPr>
          <w:spacing w:val="-51"/>
          <w:sz w:val="21"/>
          <w:szCs w:val="21"/>
        </w:rPr>
        <w:t>据</w:t>
      </w:r>
      <w:r>
        <w:rPr>
          <w:sz w:val="21"/>
          <w:szCs w:val="21"/>
        </w:rPr>
        <w:t>《关于在交通基础设施建设中加强廉政建设的若干意见</w:t>
      </w:r>
      <w:r>
        <w:rPr>
          <w:spacing w:val="-51"/>
          <w:sz w:val="21"/>
          <w:szCs w:val="21"/>
        </w:rPr>
        <w:t>》</w:t>
      </w:r>
      <w:r>
        <w:rPr>
          <w:sz w:val="21"/>
          <w:szCs w:val="21"/>
        </w:rPr>
        <w:t>以及有关工程建设</w:t>
      </w:r>
      <w:r>
        <w:rPr>
          <w:spacing w:val="-29"/>
          <w:sz w:val="21"/>
          <w:szCs w:val="21"/>
        </w:rPr>
        <w:t>、</w:t>
      </w:r>
      <w:r>
        <w:rPr>
          <w:sz w:val="21"/>
          <w:szCs w:val="21"/>
        </w:rPr>
        <w:t>廉政建设的规定</w:t>
      </w:r>
      <w:r>
        <w:rPr>
          <w:spacing w:val="-29"/>
          <w:sz w:val="21"/>
          <w:szCs w:val="21"/>
        </w:rPr>
        <w:t>，</w:t>
      </w:r>
      <w:r>
        <w:rPr>
          <w:sz w:val="21"/>
          <w:szCs w:val="21"/>
        </w:rPr>
        <w:t>为做好工程建设中的党风廉政建设</w:t>
      </w:r>
      <w:r>
        <w:rPr>
          <w:spacing w:val="-29"/>
          <w:sz w:val="21"/>
          <w:szCs w:val="21"/>
        </w:rPr>
        <w:t>，</w:t>
      </w:r>
      <w:r>
        <w:rPr>
          <w:sz w:val="21"/>
          <w:szCs w:val="21"/>
        </w:rPr>
        <w:t>保证工程建设高效优质</w:t>
      </w:r>
      <w:r>
        <w:rPr>
          <w:spacing w:val="-16"/>
          <w:sz w:val="21"/>
          <w:szCs w:val="21"/>
        </w:rPr>
        <w:t xml:space="preserve">， </w:t>
      </w:r>
      <w:r>
        <w:rPr>
          <w:sz w:val="21"/>
          <w:szCs w:val="21"/>
        </w:rPr>
        <w:t>保证建设资金的安全和有效使用以及投资效益，</w:t>
      </w:r>
      <w:r>
        <w:rPr>
          <w:sz w:val="21"/>
          <w:szCs w:val="21"/>
          <w:u w:val="single"/>
        </w:rPr>
        <w:t xml:space="preserve"> </w:t>
      </w:r>
      <w:r>
        <w:rPr>
          <w:sz w:val="21"/>
          <w:szCs w:val="21"/>
          <w:u w:val="single"/>
        </w:rPr>
        <w:tab/>
      </w:r>
      <w:r>
        <w:rPr>
          <w:sz w:val="21"/>
          <w:szCs w:val="21"/>
        </w:rPr>
        <w:t>（项目名称</w:t>
      </w:r>
      <w:r>
        <w:rPr>
          <w:spacing w:val="3"/>
          <w:sz w:val="21"/>
          <w:szCs w:val="21"/>
        </w:rPr>
        <w:t>）</w:t>
      </w:r>
      <w:r>
        <w:rPr>
          <w:sz w:val="21"/>
          <w:szCs w:val="21"/>
        </w:rPr>
        <w:t>的项目法人</w:t>
      </w:r>
      <w:r>
        <w:rPr>
          <w:sz w:val="21"/>
          <w:szCs w:val="21"/>
          <w:u w:val="single"/>
        </w:rPr>
        <w:t xml:space="preserve"> </w:t>
      </w:r>
      <w:r>
        <w:rPr>
          <w:sz w:val="21"/>
          <w:szCs w:val="21"/>
          <w:u w:val="single"/>
        </w:rPr>
        <w:tab/>
      </w:r>
      <w:r>
        <w:rPr>
          <w:sz w:val="21"/>
          <w:szCs w:val="21"/>
        </w:rPr>
        <w:t>（项目法人名称</w:t>
      </w:r>
      <w:r>
        <w:rPr>
          <w:spacing w:val="3"/>
          <w:sz w:val="21"/>
          <w:szCs w:val="21"/>
        </w:rPr>
        <w:t>，</w:t>
      </w:r>
      <w:r>
        <w:rPr>
          <w:sz w:val="21"/>
          <w:szCs w:val="21"/>
        </w:rPr>
        <w:t>以下简</w:t>
      </w:r>
      <w:r>
        <w:rPr>
          <w:spacing w:val="3"/>
          <w:sz w:val="21"/>
          <w:szCs w:val="21"/>
        </w:rPr>
        <w:t>称</w:t>
      </w:r>
      <w:r>
        <w:rPr>
          <w:rFonts w:ascii="Times New Roman" w:hAnsi="Times New Roman" w:eastAsia="Times New Roman"/>
          <w:sz w:val="21"/>
          <w:szCs w:val="21"/>
        </w:rPr>
        <w:t>“</w:t>
      </w:r>
      <w:r>
        <w:rPr>
          <w:sz w:val="21"/>
          <w:szCs w:val="21"/>
        </w:rPr>
        <w:t>发包人</w:t>
      </w:r>
      <w:r>
        <w:rPr>
          <w:rFonts w:ascii="Times New Roman" w:hAnsi="Times New Roman" w:eastAsia="Times New Roman"/>
          <w:sz w:val="21"/>
          <w:szCs w:val="21"/>
        </w:rPr>
        <w:t>”</w:t>
      </w:r>
      <w:r>
        <w:rPr>
          <w:sz w:val="21"/>
          <w:szCs w:val="21"/>
        </w:rPr>
        <w:t>）与该项目</w:t>
      </w:r>
      <w:r>
        <w:rPr>
          <w:sz w:val="21"/>
          <w:szCs w:val="21"/>
          <w:u w:val="single"/>
        </w:rPr>
        <w:t xml:space="preserve"> </w:t>
      </w:r>
      <w:r>
        <w:rPr>
          <w:sz w:val="21"/>
          <w:szCs w:val="21"/>
          <w:u w:val="single"/>
        </w:rPr>
        <w:tab/>
      </w:r>
      <w:r>
        <w:rPr>
          <w:sz w:val="21"/>
          <w:szCs w:val="21"/>
        </w:rPr>
        <w:t>标段的施工单</w:t>
      </w:r>
      <w:r>
        <w:rPr>
          <w:spacing w:val="-1"/>
          <w:sz w:val="21"/>
          <w:szCs w:val="21"/>
        </w:rPr>
        <w:t>位</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sz w:val="21"/>
          <w:szCs w:val="21"/>
        </w:rPr>
        <w:t>（施工单位名称，以下简称</w:t>
      </w:r>
      <w:r>
        <w:rPr>
          <w:rFonts w:ascii="Times New Roman" w:hAnsi="Times New Roman" w:eastAsia="Times New Roman"/>
          <w:spacing w:val="-1"/>
          <w:sz w:val="21"/>
          <w:szCs w:val="21"/>
        </w:rPr>
        <w:t>“</w:t>
      </w:r>
      <w:r>
        <w:rPr>
          <w:sz w:val="21"/>
          <w:szCs w:val="21"/>
        </w:rPr>
        <w:t>承包人</w:t>
      </w:r>
      <w:r>
        <w:rPr>
          <w:rFonts w:ascii="Times New Roman" w:hAnsi="Times New Roman" w:eastAsia="Times New Roman"/>
          <w:spacing w:val="-1"/>
          <w:sz w:val="21"/>
          <w:szCs w:val="21"/>
        </w:rPr>
        <w:t>”</w:t>
      </w:r>
      <w:r>
        <w:rPr>
          <w:spacing w:val="-120"/>
          <w:sz w:val="21"/>
          <w:szCs w:val="21"/>
        </w:rPr>
        <w:t>）</w:t>
      </w:r>
      <w:r>
        <w:rPr>
          <w:sz w:val="21"/>
          <w:szCs w:val="21"/>
        </w:rPr>
        <w:t>，特</w:t>
      </w:r>
      <w:r>
        <w:rPr>
          <w:spacing w:val="2"/>
          <w:sz w:val="21"/>
          <w:szCs w:val="21"/>
        </w:rPr>
        <w:t>订</w:t>
      </w:r>
      <w:r>
        <w:rPr>
          <w:sz w:val="21"/>
          <w:szCs w:val="21"/>
        </w:rPr>
        <w:t>立如下合同。</w:t>
      </w:r>
    </w:p>
    <w:p w14:paraId="2F268E6B">
      <w:pPr>
        <w:pStyle w:val="41"/>
        <w:keepNext w:val="0"/>
        <w:keepLines w:val="0"/>
        <w:pageBreakBefore w:val="0"/>
        <w:widowControl w:val="0"/>
        <w:numPr>
          <w:ilvl w:val="0"/>
          <w:numId w:val="0"/>
        </w:numPr>
        <w:tabs>
          <w:tab w:val="left" w:pos="13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1.</w:t>
      </w:r>
      <w:r>
        <w:rPr>
          <w:rFonts w:hint="eastAsia" w:ascii="黑体" w:eastAsia="黑体"/>
          <w:sz w:val="21"/>
          <w:szCs w:val="21"/>
        </w:rPr>
        <w:t>发包人和承包人双方的权利和义务</w:t>
      </w:r>
    </w:p>
    <w:p w14:paraId="5442CCDE">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（1）</w:t>
      </w:r>
      <w:r>
        <w:rPr>
          <w:sz w:val="21"/>
          <w:szCs w:val="21"/>
        </w:rPr>
        <w:t>严格遵守党的政策规定和国家有关法律法规及交通运输部的有关规定。</w:t>
      </w:r>
    </w:p>
    <w:p w14:paraId="2EB78141">
      <w:pPr>
        <w:pStyle w:val="41"/>
        <w:keepNext w:val="0"/>
        <w:keepLines w:val="0"/>
        <w:pageBreakBefore w:val="0"/>
        <w:widowControl w:val="0"/>
        <w:numPr>
          <w:ilvl w:val="0"/>
          <w:numId w:val="0"/>
        </w:numPr>
        <w:tabs>
          <w:tab w:val="left" w:pos="1643"/>
          <w:tab w:val="left" w:pos="3688"/>
          <w:tab w:val="left" w:pos="573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（2）</w:t>
      </w:r>
      <w:r>
        <w:rPr>
          <w:sz w:val="21"/>
          <w:szCs w:val="21"/>
        </w:rPr>
        <w:t>严格执</w:t>
      </w:r>
      <w:r>
        <w:rPr>
          <w:spacing w:val="3"/>
          <w:sz w:val="21"/>
          <w:szCs w:val="21"/>
        </w:rPr>
        <w:t>行</w:t>
      </w:r>
      <w:r>
        <w:rPr>
          <w:spacing w:val="3"/>
          <w:sz w:val="21"/>
          <w:szCs w:val="21"/>
          <w:u w:val="single"/>
        </w:rPr>
        <w:t xml:space="preserve"> </w:t>
      </w:r>
      <w:r>
        <w:rPr>
          <w:spacing w:val="3"/>
          <w:sz w:val="21"/>
          <w:szCs w:val="21"/>
          <w:u w:val="single"/>
        </w:rPr>
        <w:tab/>
      </w:r>
      <w:r>
        <w:rPr>
          <w:sz w:val="21"/>
          <w:szCs w:val="21"/>
        </w:rPr>
        <w:t>（项目名称）</w:t>
      </w:r>
      <w:r>
        <w:rPr>
          <w:sz w:val="21"/>
          <w:szCs w:val="21"/>
          <w:u w:val="single"/>
        </w:rPr>
        <w:t xml:space="preserve"> </w:t>
      </w:r>
      <w:r>
        <w:rPr>
          <w:sz w:val="21"/>
          <w:szCs w:val="21"/>
          <w:u w:val="single"/>
        </w:rPr>
        <w:tab/>
      </w:r>
      <w:r>
        <w:rPr>
          <w:sz w:val="21"/>
          <w:szCs w:val="21"/>
        </w:rPr>
        <w:t>标段施工合同文件，自觉按合</w:t>
      </w:r>
      <w:r>
        <w:rPr>
          <w:spacing w:val="-17"/>
          <w:sz w:val="21"/>
          <w:szCs w:val="21"/>
        </w:rPr>
        <w:t>同</w:t>
      </w:r>
      <w:r>
        <w:rPr>
          <w:sz w:val="21"/>
          <w:szCs w:val="21"/>
        </w:rPr>
        <w:t>办事。</w:t>
      </w:r>
    </w:p>
    <w:p w14:paraId="1887405C">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宋体" w:hAnsi="宋体" w:eastAsia="宋体" w:cs="宋体"/>
          <w:w w:val="100"/>
          <w:sz w:val="21"/>
          <w:szCs w:val="21"/>
          <w:lang w:val="zh-CN" w:eastAsia="zh-CN" w:bidi="zh-CN"/>
        </w:rPr>
        <w:t>（3）</w:t>
      </w:r>
      <w:r>
        <w:rPr>
          <w:sz w:val="21"/>
          <w:szCs w:val="21"/>
        </w:rPr>
        <w:t>双方的业务活动坚持公开、公正、诚信、透明的原则（</w:t>
      </w:r>
      <w:r>
        <w:rPr>
          <w:spacing w:val="-2"/>
          <w:sz w:val="21"/>
          <w:szCs w:val="21"/>
        </w:rPr>
        <w:t>法律认定的商业</w:t>
      </w:r>
      <w:r>
        <w:rPr>
          <w:sz w:val="21"/>
          <w:szCs w:val="21"/>
        </w:rPr>
        <w:t>秘密和合同文件另有规定除外</w:t>
      </w:r>
      <w:r>
        <w:rPr>
          <w:spacing w:val="-82"/>
          <w:sz w:val="21"/>
          <w:szCs w:val="21"/>
        </w:rPr>
        <w:t>）</w:t>
      </w:r>
      <w:r>
        <w:rPr>
          <w:spacing w:val="-14"/>
          <w:sz w:val="21"/>
          <w:szCs w:val="21"/>
        </w:rPr>
        <w:t>，不得损害国家和集体利益，不得违反工程建设管理</w:t>
      </w:r>
      <w:r>
        <w:rPr>
          <w:sz w:val="21"/>
          <w:szCs w:val="21"/>
        </w:rPr>
        <w:t>规章制度。</w:t>
      </w:r>
    </w:p>
    <w:p w14:paraId="38C8E17D">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（4）</w:t>
      </w:r>
      <w:r>
        <w:rPr>
          <w:spacing w:val="-1"/>
          <w:sz w:val="21"/>
          <w:szCs w:val="21"/>
        </w:rPr>
        <w:t xml:space="preserve">建立健全廉政制度，开展廉政教育，设立廉政告示牌，公布举报电话， </w:t>
      </w:r>
      <w:r>
        <w:rPr>
          <w:sz w:val="21"/>
          <w:szCs w:val="21"/>
        </w:rPr>
        <w:t>监督并认真查处违法违纪行为。</w:t>
      </w:r>
    </w:p>
    <w:p w14:paraId="1FF994A1">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（5）</w:t>
      </w:r>
      <w:r>
        <w:rPr>
          <w:spacing w:val="-1"/>
          <w:sz w:val="21"/>
          <w:szCs w:val="21"/>
        </w:rPr>
        <w:t>发现对方在业务活动中有违反廉政规定的行为，有及时提醒对方纠正的</w:t>
      </w:r>
      <w:r>
        <w:rPr>
          <w:sz w:val="21"/>
          <w:szCs w:val="21"/>
        </w:rPr>
        <w:t>权利和义务。</w:t>
      </w:r>
    </w:p>
    <w:p w14:paraId="739C28C7">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z w:val="21"/>
          <w:szCs w:val="21"/>
        </w:rPr>
      </w:pPr>
      <w:r>
        <w:rPr>
          <w:rFonts w:hint="default" w:ascii="宋体" w:hAnsi="宋体" w:eastAsia="宋体" w:cs="宋体"/>
          <w:w w:val="100"/>
          <w:sz w:val="21"/>
          <w:szCs w:val="21"/>
          <w:lang w:val="zh-CN" w:eastAsia="zh-CN" w:bidi="zh-CN"/>
        </w:rPr>
        <w:t>（6）</w:t>
      </w:r>
      <w:r>
        <w:rPr>
          <w:spacing w:val="-1"/>
          <w:sz w:val="21"/>
          <w:szCs w:val="21"/>
        </w:rPr>
        <w:t>发现对方严重违反本合同义务条款的行为，有向其上级有关部门举报、</w:t>
      </w:r>
      <w:r>
        <w:rPr>
          <w:sz w:val="21"/>
          <w:szCs w:val="21"/>
        </w:rPr>
        <w:t>建议给予处理并要求告知处理结果的权利。</w:t>
      </w:r>
    </w:p>
    <w:p w14:paraId="6A94FB56">
      <w:pPr>
        <w:pStyle w:val="41"/>
        <w:keepNext w:val="0"/>
        <w:keepLines w:val="0"/>
        <w:pageBreakBefore w:val="0"/>
        <w:widowControl w:val="0"/>
        <w:numPr>
          <w:ilvl w:val="0"/>
          <w:numId w:val="0"/>
        </w:numPr>
        <w:tabs>
          <w:tab w:val="left" w:pos="13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2.</w:t>
      </w:r>
      <w:r>
        <w:rPr>
          <w:rFonts w:hint="eastAsia" w:ascii="黑体" w:eastAsia="黑体"/>
          <w:sz w:val="21"/>
          <w:szCs w:val="21"/>
        </w:rPr>
        <w:t>发包人的义务</w:t>
      </w:r>
    </w:p>
    <w:p w14:paraId="3F62BF30">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360" w:firstLineChars="200"/>
        <w:jc w:val="left"/>
        <w:textAlignment w:val="auto"/>
        <w:rPr>
          <w:sz w:val="21"/>
          <w:szCs w:val="21"/>
        </w:rPr>
      </w:pPr>
      <w:r>
        <w:rPr>
          <w:rFonts w:hint="default" w:ascii="宋体" w:hAnsi="宋体" w:eastAsia="宋体" w:cs="宋体"/>
          <w:spacing w:val="-15"/>
          <w:w w:val="100"/>
          <w:sz w:val="21"/>
          <w:szCs w:val="21"/>
          <w:lang w:val="zh-CN" w:eastAsia="zh-CN" w:bidi="zh-CN"/>
        </w:rPr>
        <w:t>（1）</w:t>
      </w:r>
      <w:r>
        <w:rPr>
          <w:spacing w:val="-1"/>
          <w:sz w:val="21"/>
          <w:szCs w:val="21"/>
        </w:rPr>
        <w:t>发包人及其工作人员不得索要或接受承包人的礼金、有价证券和贵重物</w:t>
      </w:r>
      <w:r>
        <w:rPr>
          <w:sz w:val="21"/>
          <w:szCs w:val="21"/>
        </w:rPr>
        <w:t>品，不得让承包人报销任何应由发包人或发包人工作人员个人支付的费用等。</w:t>
      </w:r>
    </w:p>
    <w:p w14:paraId="287741D9">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360" w:firstLineChars="200"/>
        <w:jc w:val="left"/>
        <w:textAlignment w:val="auto"/>
        <w:rPr>
          <w:sz w:val="21"/>
          <w:szCs w:val="21"/>
        </w:rPr>
      </w:pPr>
      <w:r>
        <w:rPr>
          <w:rFonts w:hint="default" w:ascii="宋体" w:hAnsi="宋体" w:eastAsia="宋体" w:cs="宋体"/>
          <w:spacing w:val="-15"/>
          <w:w w:val="100"/>
          <w:sz w:val="21"/>
          <w:szCs w:val="21"/>
          <w:lang w:val="zh-CN" w:eastAsia="zh-CN" w:bidi="zh-CN"/>
        </w:rPr>
        <w:t>（2）</w:t>
      </w:r>
      <w:r>
        <w:rPr>
          <w:spacing w:val="-1"/>
          <w:sz w:val="21"/>
          <w:szCs w:val="21"/>
        </w:rPr>
        <w:t>发包人工作人员不得参加承包人安排的超标准宴请和娱乐活动；不得接</w:t>
      </w:r>
      <w:r>
        <w:rPr>
          <w:sz w:val="21"/>
          <w:szCs w:val="21"/>
        </w:rPr>
        <w:t>受承包人提供的通信工具、交通工具和高档办公用品等。</w:t>
      </w:r>
    </w:p>
    <w:p w14:paraId="1CDD5384">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360" w:firstLineChars="200"/>
        <w:jc w:val="left"/>
        <w:textAlignment w:val="auto"/>
        <w:rPr>
          <w:sz w:val="21"/>
          <w:szCs w:val="21"/>
        </w:rPr>
      </w:pPr>
      <w:r>
        <w:rPr>
          <w:rFonts w:hint="default" w:ascii="宋体" w:hAnsi="宋体" w:eastAsia="宋体" w:cs="宋体"/>
          <w:spacing w:val="-15"/>
          <w:w w:val="100"/>
          <w:sz w:val="21"/>
          <w:szCs w:val="21"/>
          <w:lang w:val="zh-CN" w:eastAsia="zh-CN" w:bidi="zh-CN"/>
        </w:rPr>
        <w:t>（3）</w:t>
      </w:r>
      <w:r>
        <w:rPr>
          <w:spacing w:val="-1"/>
          <w:sz w:val="21"/>
          <w:szCs w:val="21"/>
        </w:rPr>
        <w:t>发包人及其工作人员不得要求或者接受承包人为其住房装修、婚丧嫁娶</w:t>
      </w:r>
      <w:r>
        <w:rPr>
          <w:sz w:val="21"/>
          <w:szCs w:val="21"/>
        </w:rPr>
        <w:t>活动、配偶子女的工作安排以及出国出境、旅游等提供方便等。</w:t>
      </w:r>
    </w:p>
    <w:p w14:paraId="4F0324D7">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360" w:firstLineChars="200"/>
        <w:jc w:val="left"/>
        <w:textAlignment w:val="auto"/>
        <w:rPr>
          <w:sz w:val="21"/>
          <w:szCs w:val="21"/>
        </w:rPr>
      </w:pPr>
      <w:r>
        <w:rPr>
          <w:rFonts w:hint="default" w:ascii="宋体" w:hAnsi="宋体" w:eastAsia="宋体" w:cs="宋体"/>
          <w:spacing w:val="-15"/>
          <w:w w:val="100"/>
          <w:sz w:val="21"/>
          <w:szCs w:val="21"/>
          <w:lang w:val="zh-CN" w:eastAsia="zh-CN" w:bidi="zh-CN"/>
        </w:rPr>
        <w:t>（4）</w:t>
      </w:r>
      <w:r>
        <w:rPr>
          <w:spacing w:val="-1"/>
          <w:sz w:val="21"/>
          <w:szCs w:val="21"/>
        </w:rPr>
        <w:t>发包人工作人员及其配偶、子女不得从事与发包人工程有关的材料设备</w:t>
      </w:r>
      <w:r>
        <w:rPr>
          <w:sz w:val="21"/>
          <w:szCs w:val="21"/>
        </w:rPr>
        <w:t>供应、工程分包、劳务等经济活动等。</w:t>
      </w:r>
    </w:p>
    <w:p w14:paraId="7666608F">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360" w:firstLineChars="200"/>
        <w:jc w:val="left"/>
        <w:textAlignment w:val="auto"/>
        <w:rPr>
          <w:sz w:val="21"/>
          <w:szCs w:val="21"/>
        </w:rPr>
      </w:pPr>
      <w:r>
        <w:rPr>
          <w:rFonts w:hint="default" w:ascii="宋体" w:hAnsi="宋体" w:eastAsia="宋体" w:cs="宋体"/>
          <w:spacing w:val="-15"/>
          <w:w w:val="100"/>
          <w:sz w:val="21"/>
          <w:szCs w:val="21"/>
          <w:lang w:val="zh-CN" w:eastAsia="zh-CN" w:bidi="zh-CN"/>
        </w:rPr>
        <w:t>（5）</w:t>
      </w:r>
      <w:r>
        <w:rPr>
          <w:sz w:val="21"/>
          <w:szCs w:val="21"/>
        </w:rPr>
        <w:t>发包人及其工作人员不得以任何理由向承包人推荐分包单位或推销材料</w:t>
      </w:r>
      <w:r>
        <w:rPr>
          <w:spacing w:val="-4"/>
          <w:sz w:val="21"/>
          <w:szCs w:val="21"/>
        </w:rPr>
        <w:t>，不得要求承包人购买合同规定外的材料和设备。</w:t>
      </w:r>
    </w:p>
    <w:p w14:paraId="5A606697">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textAlignment w:val="auto"/>
        <w:rPr>
          <w:sz w:val="21"/>
          <w:szCs w:val="21"/>
        </w:rPr>
      </w:pPr>
      <w:r>
        <w:rPr>
          <w:rFonts w:hint="default" w:ascii="宋体" w:hAnsi="宋体" w:eastAsia="宋体" w:cs="宋体"/>
          <w:spacing w:val="-15"/>
          <w:w w:val="100"/>
          <w:sz w:val="21"/>
          <w:szCs w:val="21"/>
          <w:lang w:val="zh-CN" w:eastAsia="zh-CN" w:bidi="zh-CN"/>
        </w:rPr>
        <w:t>（6）</w:t>
      </w:r>
      <w:r>
        <w:rPr>
          <w:spacing w:val="-1"/>
          <w:sz w:val="21"/>
          <w:szCs w:val="21"/>
        </w:rPr>
        <w:t>发包人工作人员要秉公办事，不准营私舞弊，不准利用职权从事各种个</w:t>
      </w:r>
      <w:r>
        <w:rPr>
          <w:sz w:val="21"/>
          <w:szCs w:val="21"/>
        </w:rPr>
        <w:t>人有偿中介活动和安排个人施工队伍。</w:t>
      </w:r>
    </w:p>
    <w:p w14:paraId="09EC62FE">
      <w:pPr>
        <w:pStyle w:val="41"/>
        <w:keepNext w:val="0"/>
        <w:keepLines w:val="0"/>
        <w:pageBreakBefore w:val="0"/>
        <w:widowControl w:val="0"/>
        <w:numPr>
          <w:ilvl w:val="0"/>
          <w:numId w:val="0"/>
        </w:numPr>
        <w:tabs>
          <w:tab w:val="left" w:pos="13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3.</w:t>
      </w:r>
      <w:r>
        <w:rPr>
          <w:rFonts w:hint="eastAsia" w:ascii="黑体" w:eastAsia="黑体"/>
          <w:sz w:val="21"/>
          <w:szCs w:val="21"/>
        </w:rPr>
        <w:t>承包人的义务</w:t>
      </w:r>
    </w:p>
    <w:p w14:paraId="7A15799B">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364" w:firstLineChars="200"/>
        <w:jc w:val="left"/>
        <w:textAlignment w:val="auto"/>
        <w:rPr>
          <w:sz w:val="21"/>
          <w:szCs w:val="21"/>
        </w:rPr>
      </w:pPr>
      <w:r>
        <w:rPr>
          <w:rFonts w:hint="default" w:ascii="宋体" w:hAnsi="宋体" w:eastAsia="宋体" w:cs="宋体"/>
          <w:spacing w:val="-14"/>
          <w:w w:val="100"/>
          <w:sz w:val="21"/>
          <w:szCs w:val="21"/>
          <w:lang w:val="zh-CN" w:eastAsia="zh-CN" w:bidi="zh-CN"/>
        </w:rPr>
        <w:t>（1）</w:t>
      </w:r>
      <w:r>
        <w:rPr>
          <w:spacing w:val="-1"/>
          <w:sz w:val="21"/>
          <w:szCs w:val="21"/>
        </w:rPr>
        <w:t>承包人不得以任何理由向发包人及其工作人员行贿或馈赠礼金、有价证</w:t>
      </w:r>
      <w:r>
        <w:rPr>
          <w:sz w:val="21"/>
          <w:szCs w:val="21"/>
        </w:rPr>
        <w:t>券、贵重礼品。</w:t>
      </w:r>
    </w:p>
    <w:p w14:paraId="5BBD839A">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364" w:firstLineChars="200"/>
        <w:jc w:val="left"/>
        <w:textAlignment w:val="auto"/>
        <w:rPr>
          <w:sz w:val="21"/>
          <w:szCs w:val="21"/>
        </w:rPr>
      </w:pPr>
      <w:r>
        <w:rPr>
          <w:rFonts w:hint="default" w:ascii="宋体" w:hAnsi="宋体" w:eastAsia="宋体" w:cs="宋体"/>
          <w:spacing w:val="-14"/>
          <w:w w:val="100"/>
          <w:sz w:val="21"/>
          <w:szCs w:val="21"/>
          <w:lang w:val="zh-CN" w:eastAsia="zh-CN" w:bidi="zh-CN"/>
        </w:rPr>
        <w:t>（2）</w:t>
      </w:r>
      <w:r>
        <w:rPr>
          <w:spacing w:val="-1"/>
          <w:sz w:val="21"/>
          <w:szCs w:val="21"/>
        </w:rPr>
        <w:t>承包人不得以任何名义为发包人及其工作人员报销应由发包人单位或个</w:t>
      </w:r>
      <w:r>
        <w:rPr>
          <w:sz w:val="21"/>
          <w:szCs w:val="21"/>
        </w:rPr>
        <w:t>人支付的任何费用。</w:t>
      </w:r>
    </w:p>
    <w:p w14:paraId="06820771">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364" w:firstLineChars="200"/>
        <w:jc w:val="left"/>
        <w:textAlignment w:val="auto"/>
        <w:rPr>
          <w:sz w:val="21"/>
          <w:szCs w:val="21"/>
        </w:rPr>
      </w:pPr>
      <w:r>
        <w:rPr>
          <w:rFonts w:hint="default" w:ascii="宋体" w:hAnsi="宋体" w:eastAsia="宋体" w:cs="宋体"/>
          <w:spacing w:val="-14"/>
          <w:w w:val="100"/>
          <w:sz w:val="21"/>
          <w:szCs w:val="21"/>
          <w:lang w:val="zh-CN" w:eastAsia="zh-CN" w:bidi="zh-CN"/>
        </w:rPr>
        <w:t>（3）</w:t>
      </w:r>
      <w:r>
        <w:rPr>
          <w:sz w:val="21"/>
          <w:szCs w:val="21"/>
        </w:rPr>
        <w:t>承包人不得以任何理由安排发包人工作人员参加超标准宴请及娱乐活动。</w:t>
      </w:r>
    </w:p>
    <w:p w14:paraId="14F63CCA">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364" w:firstLineChars="200"/>
        <w:jc w:val="left"/>
        <w:textAlignment w:val="auto"/>
        <w:rPr>
          <w:sz w:val="21"/>
          <w:szCs w:val="21"/>
        </w:rPr>
      </w:pPr>
      <w:r>
        <w:rPr>
          <w:rFonts w:hint="default" w:ascii="宋体" w:hAnsi="宋体" w:eastAsia="宋体" w:cs="宋体"/>
          <w:spacing w:val="-14"/>
          <w:w w:val="100"/>
          <w:sz w:val="21"/>
          <w:szCs w:val="21"/>
          <w:lang w:val="zh-CN" w:eastAsia="zh-CN" w:bidi="zh-CN"/>
        </w:rPr>
        <w:t>（4）</w:t>
      </w:r>
      <w:r>
        <w:rPr>
          <w:spacing w:val="-1"/>
          <w:sz w:val="21"/>
          <w:szCs w:val="21"/>
        </w:rPr>
        <w:t>承包人不得为发包人单位和个人购置或提供通信工具、交通工具和高档</w:t>
      </w:r>
      <w:r>
        <w:rPr>
          <w:sz w:val="21"/>
          <w:szCs w:val="21"/>
        </w:rPr>
        <w:t>办公用品等。</w:t>
      </w:r>
    </w:p>
    <w:p w14:paraId="16D7A97E">
      <w:pPr>
        <w:pStyle w:val="41"/>
        <w:keepNext w:val="0"/>
        <w:keepLines w:val="0"/>
        <w:pageBreakBefore w:val="0"/>
        <w:widowControl w:val="0"/>
        <w:numPr>
          <w:ilvl w:val="0"/>
          <w:numId w:val="0"/>
        </w:numPr>
        <w:tabs>
          <w:tab w:val="left" w:pos="1342"/>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z w:val="21"/>
          <w:szCs w:val="21"/>
        </w:rPr>
      </w:pPr>
      <w:r>
        <w:rPr>
          <w:rFonts w:hint="default" w:ascii="Times New Roman" w:hAnsi="Times New Roman" w:eastAsia="Times New Roman" w:cs="Times New Roman"/>
          <w:w w:val="100"/>
          <w:sz w:val="21"/>
          <w:szCs w:val="21"/>
          <w:lang w:val="zh-CN" w:eastAsia="zh-CN" w:bidi="zh-CN"/>
        </w:rPr>
        <w:t>4.</w:t>
      </w:r>
      <w:r>
        <w:rPr>
          <w:rFonts w:hint="eastAsia" w:ascii="黑体" w:eastAsia="黑体"/>
          <w:sz w:val="21"/>
          <w:szCs w:val="21"/>
        </w:rPr>
        <w:t>违约责任</w:t>
      </w:r>
    </w:p>
    <w:p w14:paraId="61A3879C">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312" w:firstLineChars="200"/>
        <w:jc w:val="both"/>
        <w:textAlignment w:val="auto"/>
        <w:rPr>
          <w:sz w:val="21"/>
          <w:szCs w:val="21"/>
        </w:rPr>
      </w:pPr>
      <w:r>
        <w:rPr>
          <w:rFonts w:hint="default" w:ascii="宋体" w:hAnsi="宋体" w:eastAsia="宋体" w:cs="宋体"/>
          <w:spacing w:val="-27"/>
          <w:w w:val="100"/>
          <w:sz w:val="21"/>
          <w:szCs w:val="21"/>
          <w:lang w:val="zh-CN" w:eastAsia="zh-CN" w:bidi="zh-CN"/>
        </w:rPr>
        <w:t>（1）</w:t>
      </w:r>
      <w:r>
        <w:rPr>
          <w:spacing w:val="-4"/>
          <w:sz w:val="21"/>
          <w:szCs w:val="21"/>
        </w:rPr>
        <w:t xml:space="preserve">发包人及其工作人员违反本合同第 </w:t>
      </w:r>
      <w:r>
        <w:rPr>
          <w:rFonts w:ascii="Times New Roman" w:eastAsia="Times New Roman"/>
          <w:sz w:val="21"/>
          <w:szCs w:val="21"/>
        </w:rPr>
        <w:t>1</w:t>
      </w:r>
      <w:r>
        <w:rPr>
          <w:spacing w:val="-27"/>
          <w:sz w:val="21"/>
          <w:szCs w:val="21"/>
        </w:rPr>
        <w:t>、</w:t>
      </w:r>
      <w:r>
        <w:rPr>
          <w:rFonts w:ascii="Times New Roman" w:eastAsia="Times New Roman"/>
          <w:sz w:val="21"/>
          <w:szCs w:val="21"/>
        </w:rPr>
        <w:t xml:space="preserve">2 </w:t>
      </w:r>
      <w:r>
        <w:rPr>
          <w:spacing w:val="-8"/>
          <w:sz w:val="21"/>
          <w:szCs w:val="21"/>
        </w:rPr>
        <w:t>条，按管理权限，依据有关规</w:t>
      </w:r>
      <w:r>
        <w:rPr>
          <w:spacing w:val="-4"/>
          <w:sz w:val="21"/>
          <w:szCs w:val="21"/>
        </w:rPr>
        <w:t>定给予党纪、政纪或组织处理；涉嫌犯罪的，移交司法机关追究刑事责任；给承包人单位造成经济损失的，应予以赔偿。</w:t>
      </w:r>
    </w:p>
    <w:p w14:paraId="18C0F7F1">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312" w:firstLineChars="200"/>
        <w:jc w:val="both"/>
        <w:textAlignment w:val="auto"/>
        <w:rPr>
          <w:sz w:val="21"/>
          <w:szCs w:val="21"/>
        </w:rPr>
      </w:pPr>
      <w:r>
        <w:rPr>
          <w:rFonts w:hint="default" w:ascii="宋体" w:hAnsi="宋体" w:eastAsia="宋体" w:cs="宋体"/>
          <w:spacing w:val="-27"/>
          <w:w w:val="100"/>
          <w:sz w:val="21"/>
          <w:szCs w:val="21"/>
          <w:lang w:val="zh-CN" w:eastAsia="zh-CN" w:bidi="zh-CN"/>
        </w:rPr>
        <w:t>（2）</w:t>
      </w:r>
      <w:r>
        <w:rPr>
          <w:spacing w:val="-4"/>
          <w:sz w:val="21"/>
          <w:szCs w:val="21"/>
        </w:rPr>
        <w:t xml:space="preserve">承包人及其工作人员违反本合同第 </w:t>
      </w:r>
      <w:r>
        <w:rPr>
          <w:rFonts w:ascii="Times New Roman" w:eastAsia="Times New Roman"/>
          <w:sz w:val="21"/>
          <w:szCs w:val="21"/>
        </w:rPr>
        <w:t>1</w:t>
      </w:r>
      <w:r>
        <w:rPr>
          <w:spacing w:val="-27"/>
          <w:sz w:val="21"/>
          <w:szCs w:val="21"/>
        </w:rPr>
        <w:t>、</w:t>
      </w:r>
      <w:r>
        <w:rPr>
          <w:rFonts w:ascii="Times New Roman" w:eastAsia="Times New Roman"/>
          <w:sz w:val="21"/>
          <w:szCs w:val="21"/>
        </w:rPr>
        <w:t xml:space="preserve">3 </w:t>
      </w:r>
      <w:r>
        <w:rPr>
          <w:spacing w:val="-8"/>
          <w:sz w:val="21"/>
          <w:szCs w:val="21"/>
        </w:rPr>
        <w:t>条，按管理权限，依据有关规</w:t>
      </w:r>
      <w:r>
        <w:rPr>
          <w:spacing w:val="-4"/>
          <w:sz w:val="21"/>
          <w:szCs w:val="21"/>
        </w:rPr>
        <w:t>定给予党纪、政纪或组织处理；给发包人单位造成经济损失的，应予以赔偿；情节严重的，发包人建议交通运输主管部门给予承包人一至三年内不得进入其主管的公</w:t>
      </w:r>
      <w:r>
        <w:rPr>
          <w:spacing w:val="-3"/>
          <w:sz w:val="21"/>
          <w:szCs w:val="21"/>
        </w:rPr>
        <w:t>路建设市场的处罚。</w:t>
      </w:r>
    </w:p>
    <w:p w14:paraId="7DD7A5D4">
      <w:pPr>
        <w:pStyle w:val="41"/>
        <w:keepNext w:val="0"/>
        <w:keepLines w:val="0"/>
        <w:pageBreakBefore w:val="0"/>
        <w:widowControl w:val="0"/>
        <w:numPr>
          <w:ilvl w:val="0"/>
          <w:numId w:val="0"/>
        </w:numPr>
        <w:tabs>
          <w:tab w:val="left" w:pos="1344"/>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5.</w:t>
      </w:r>
      <w:r>
        <w:rPr>
          <w:sz w:val="21"/>
          <w:szCs w:val="21"/>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56DB038">
      <w:pPr>
        <w:pStyle w:val="41"/>
        <w:keepNext w:val="0"/>
        <w:keepLines w:val="0"/>
        <w:pageBreakBefore w:val="0"/>
        <w:widowControl w:val="0"/>
        <w:numPr>
          <w:ilvl w:val="0"/>
          <w:numId w:val="0"/>
        </w:numPr>
        <w:tabs>
          <w:tab w:val="left" w:pos="134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6.</w:t>
      </w:r>
      <w:r>
        <w:rPr>
          <w:sz w:val="21"/>
          <w:szCs w:val="21"/>
        </w:rPr>
        <w:t>本合同有效期为发包人和承包人签署之日起至该工程项目竣工验收后止。</w:t>
      </w:r>
    </w:p>
    <w:p w14:paraId="0F37DF05">
      <w:pPr>
        <w:pStyle w:val="41"/>
        <w:keepNext w:val="0"/>
        <w:keepLines w:val="0"/>
        <w:pageBreakBefore w:val="0"/>
        <w:widowControl w:val="0"/>
        <w:numPr>
          <w:ilvl w:val="0"/>
          <w:numId w:val="0"/>
        </w:numPr>
        <w:tabs>
          <w:tab w:val="left" w:pos="1344"/>
          <w:tab w:val="left" w:pos="3652"/>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7.</w:t>
      </w:r>
      <w:r>
        <w:rPr>
          <w:sz w:val="21"/>
          <w:szCs w:val="21"/>
        </w:rPr>
        <w:t>本合同作为</w:t>
      </w:r>
      <w:r>
        <w:rPr>
          <w:sz w:val="21"/>
          <w:szCs w:val="21"/>
          <w:u w:val="single"/>
        </w:rPr>
        <w:t xml:space="preserve"> </w:t>
      </w:r>
      <w:r>
        <w:rPr>
          <w:sz w:val="21"/>
          <w:szCs w:val="21"/>
          <w:u w:val="single"/>
        </w:rPr>
        <w:tab/>
      </w:r>
      <w:r>
        <w:rPr>
          <w:sz w:val="21"/>
          <w:szCs w:val="21"/>
        </w:rPr>
        <w:t>（项目名称）</w:t>
      </w:r>
      <w:r>
        <w:rPr>
          <w:sz w:val="21"/>
          <w:szCs w:val="21"/>
          <w:u w:val="single"/>
        </w:rPr>
        <w:t xml:space="preserve">   </w:t>
      </w:r>
      <w:r>
        <w:rPr>
          <w:spacing w:val="40"/>
          <w:sz w:val="21"/>
          <w:szCs w:val="21"/>
        </w:rPr>
        <w:t xml:space="preserve"> </w:t>
      </w:r>
      <w:r>
        <w:rPr>
          <w:sz w:val="21"/>
          <w:szCs w:val="21"/>
        </w:rPr>
        <w:t>标段施工合同的附件，与工程</w:t>
      </w:r>
      <w:r>
        <w:rPr>
          <w:spacing w:val="-11"/>
          <w:sz w:val="21"/>
          <w:szCs w:val="21"/>
        </w:rPr>
        <w:t>施</w:t>
      </w:r>
      <w:r>
        <w:rPr>
          <w:sz w:val="21"/>
          <w:szCs w:val="21"/>
        </w:rPr>
        <w:t>工合同具有同等的法律效力，经合同双方签署后立即生效。</w:t>
      </w:r>
    </w:p>
    <w:p w14:paraId="501F7A21">
      <w:pPr>
        <w:pStyle w:val="41"/>
        <w:keepNext w:val="0"/>
        <w:keepLines w:val="0"/>
        <w:pageBreakBefore w:val="0"/>
        <w:widowControl w:val="0"/>
        <w:numPr>
          <w:ilvl w:val="0"/>
          <w:numId w:val="0"/>
        </w:numPr>
        <w:tabs>
          <w:tab w:val="left" w:pos="1344"/>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sz w:val="21"/>
          <w:szCs w:val="21"/>
        </w:rPr>
      </w:pPr>
      <w:r>
        <w:rPr>
          <w:rFonts w:hint="default" w:ascii="Times New Roman" w:hAnsi="Times New Roman" w:eastAsia="Times New Roman" w:cs="Times New Roman"/>
          <w:w w:val="100"/>
          <w:sz w:val="21"/>
          <w:szCs w:val="21"/>
          <w:lang w:val="zh-CN" w:eastAsia="zh-CN" w:bidi="zh-CN"/>
        </w:rPr>
        <w:t>8.</w:t>
      </w:r>
      <w:r>
        <w:rPr>
          <w:sz w:val="21"/>
          <w:szCs w:val="21"/>
        </w:rPr>
        <w:t>本合同一式四份，由发包人和承包人各执一份，送交发包人和承包人的监督单位各一份。</w:t>
      </w:r>
    </w:p>
    <w:p w14:paraId="4F685300">
      <w:pPr>
        <w:pStyle w:val="12"/>
        <w:spacing w:before="8" w:line="360" w:lineRule="auto"/>
        <w:rPr>
          <w:sz w:val="21"/>
          <w:szCs w:val="21"/>
        </w:rPr>
      </w:pPr>
    </w:p>
    <w:p w14:paraId="5F44CA6D">
      <w:pPr>
        <w:pStyle w:val="12"/>
        <w:tabs>
          <w:tab w:val="left" w:pos="3151"/>
          <w:tab w:val="left" w:pos="5174"/>
          <w:tab w:val="left" w:pos="7781"/>
          <w:tab w:val="left" w:pos="8261"/>
        </w:tabs>
        <w:spacing w:before="1" w:line="360" w:lineRule="auto"/>
        <w:ind w:left="424" w:right="262"/>
        <w:rPr>
          <w:sz w:val="21"/>
          <w:szCs w:val="21"/>
        </w:rPr>
      </w:pPr>
      <w:r>
        <w:rPr>
          <w:sz w:val="21"/>
          <w:szCs w:val="21"/>
        </w:rPr>
        <w:t>发包人</w:t>
      </w:r>
      <w:r>
        <w:rPr>
          <w:spacing w:val="-17"/>
          <w:sz w:val="21"/>
          <w:szCs w:val="21"/>
        </w:rPr>
        <w:t>：</w:t>
      </w:r>
      <w:r>
        <w:rPr>
          <w:spacing w:val="-17"/>
          <w:sz w:val="21"/>
          <w:szCs w:val="21"/>
          <w:u w:val="single"/>
        </w:rPr>
        <w:t xml:space="preserve"> </w:t>
      </w:r>
      <w:r>
        <w:rPr>
          <w:spacing w:val="-17"/>
          <w:sz w:val="21"/>
          <w:szCs w:val="21"/>
          <w:u w:val="single"/>
        </w:rPr>
        <w:tab/>
      </w:r>
      <w:r>
        <w:rPr>
          <w:sz w:val="21"/>
          <w:szCs w:val="21"/>
        </w:rPr>
        <w:t>（盖单位章）</w:t>
      </w:r>
      <w:r>
        <w:rPr>
          <w:sz w:val="21"/>
          <w:szCs w:val="21"/>
        </w:rPr>
        <w:tab/>
      </w:r>
      <w:r>
        <w:rPr>
          <w:sz w:val="21"/>
          <w:szCs w:val="21"/>
        </w:rPr>
        <w:t>承包人</w:t>
      </w:r>
      <w:r>
        <w:rPr>
          <w:spacing w:val="-17"/>
          <w:sz w:val="21"/>
          <w:szCs w:val="21"/>
        </w:rPr>
        <w:t>：</w:t>
      </w:r>
      <w:r>
        <w:rPr>
          <w:spacing w:val="-17"/>
          <w:sz w:val="21"/>
          <w:szCs w:val="21"/>
          <w:u w:val="single"/>
        </w:rPr>
        <w:t xml:space="preserve"> </w:t>
      </w:r>
      <w:r>
        <w:rPr>
          <w:spacing w:val="-17"/>
          <w:sz w:val="21"/>
          <w:szCs w:val="21"/>
          <w:u w:val="single"/>
        </w:rPr>
        <w:tab/>
      </w:r>
      <w:r>
        <w:rPr>
          <w:sz w:val="21"/>
          <w:szCs w:val="21"/>
        </w:rPr>
        <w:t>（盖单位章</w:t>
      </w:r>
      <w:r>
        <w:rPr>
          <w:spacing w:val="-17"/>
          <w:sz w:val="21"/>
          <w:szCs w:val="21"/>
        </w:rPr>
        <w:t xml:space="preserve">） </w:t>
      </w:r>
      <w:r>
        <w:rPr>
          <w:sz w:val="21"/>
          <w:szCs w:val="21"/>
        </w:rPr>
        <w:t>法定代表人或其委托代理人</w:t>
      </w:r>
      <w:r>
        <w:rPr>
          <w:sz w:val="21"/>
          <w:szCs w:val="21"/>
          <w:u w:val="single"/>
        </w:rPr>
        <w:t>：</w:t>
      </w:r>
      <w:r>
        <w:rPr>
          <w:spacing w:val="38"/>
          <w:sz w:val="21"/>
          <w:szCs w:val="21"/>
          <w:u w:val="single"/>
        </w:rPr>
        <w:t xml:space="preserve"> </w:t>
      </w:r>
      <w:r>
        <w:rPr>
          <w:sz w:val="21"/>
          <w:szCs w:val="21"/>
          <w:u w:val="single"/>
        </w:rPr>
        <w:t>（</w:t>
      </w:r>
      <w:r>
        <w:rPr>
          <w:sz w:val="21"/>
          <w:szCs w:val="21"/>
        </w:rPr>
        <w:t>签字）</w:t>
      </w:r>
      <w:r>
        <w:rPr>
          <w:spacing w:val="79"/>
          <w:sz w:val="21"/>
          <w:szCs w:val="21"/>
        </w:rPr>
        <w:t xml:space="preserve"> </w:t>
      </w:r>
      <w:r>
        <w:rPr>
          <w:sz w:val="21"/>
          <w:szCs w:val="21"/>
        </w:rPr>
        <w:t>法定代表人或其委托代理人</w:t>
      </w:r>
      <w:r>
        <w:rPr>
          <w:spacing w:val="-40"/>
          <w:sz w:val="21"/>
          <w:szCs w:val="21"/>
        </w:rPr>
        <w:t>：</w:t>
      </w:r>
      <w:r>
        <w:rPr>
          <w:spacing w:val="-40"/>
          <w:sz w:val="21"/>
          <w:szCs w:val="21"/>
          <w:u w:val="single"/>
        </w:rPr>
        <w:t xml:space="preserve"> </w:t>
      </w:r>
      <w:r>
        <w:rPr>
          <w:spacing w:val="-40"/>
          <w:sz w:val="21"/>
          <w:szCs w:val="21"/>
          <w:u w:val="single"/>
        </w:rPr>
        <w:tab/>
      </w:r>
      <w:r>
        <w:rPr>
          <w:sz w:val="21"/>
          <w:szCs w:val="21"/>
          <w:u w:val="single"/>
        </w:rPr>
        <w:t>（</w:t>
      </w:r>
      <w:r>
        <w:rPr>
          <w:sz w:val="21"/>
          <w:szCs w:val="21"/>
        </w:rPr>
        <w:t>签字</w:t>
      </w:r>
      <w:r>
        <w:rPr>
          <w:spacing w:val="-17"/>
          <w:sz w:val="21"/>
          <w:szCs w:val="21"/>
        </w:rPr>
        <w:t>）</w:t>
      </w:r>
    </w:p>
    <w:p w14:paraId="6493848E">
      <w:pPr>
        <w:pStyle w:val="12"/>
        <w:tabs>
          <w:tab w:val="left" w:pos="2344"/>
          <w:tab w:val="left" w:pos="3184"/>
          <w:tab w:val="left" w:pos="4024"/>
          <w:tab w:val="left" w:pos="5104"/>
          <w:tab w:val="left" w:pos="5945"/>
          <w:tab w:val="left" w:pos="7025"/>
          <w:tab w:val="left" w:pos="7865"/>
          <w:tab w:val="left" w:pos="8705"/>
        </w:tabs>
        <w:spacing w:line="360" w:lineRule="auto"/>
        <w:ind w:left="424" w:right="298" w:firstLine="839"/>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rPr>
        <w:tab/>
      </w:r>
      <w:r>
        <w:rPr>
          <w:sz w:val="21"/>
          <w:szCs w:val="21"/>
        </w:rPr>
        <w:tab/>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日发包</w:t>
      </w:r>
      <w:r>
        <w:rPr>
          <w:spacing w:val="-1"/>
          <w:sz w:val="21"/>
          <w:szCs w:val="21"/>
        </w:rPr>
        <w:t>人</w:t>
      </w:r>
      <w:r>
        <w:rPr>
          <w:sz w:val="21"/>
          <w:szCs w:val="21"/>
        </w:rPr>
        <w:t>监督单位</w:t>
      </w:r>
      <w:r>
        <w:rPr>
          <w:spacing w:val="-120"/>
          <w:sz w:val="21"/>
          <w:szCs w:val="21"/>
        </w:rPr>
        <w:t>：</w:t>
      </w:r>
      <w:r>
        <w:rPr>
          <w:sz w:val="21"/>
          <w:szCs w:val="21"/>
          <w:u w:val="single"/>
        </w:rPr>
        <w:t>（全称</w:t>
      </w:r>
      <w:r>
        <w:rPr>
          <w:spacing w:val="-120"/>
          <w:sz w:val="21"/>
          <w:szCs w:val="21"/>
          <w:u w:val="single"/>
        </w:rPr>
        <w:t>）</w:t>
      </w:r>
      <w:r>
        <w:rPr>
          <w:sz w:val="21"/>
          <w:szCs w:val="21"/>
          <w:u w:val="single"/>
        </w:rPr>
        <w:t>（盖单位章）</w:t>
      </w:r>
      <w:r>
        <w:rPr>
          <w:sz w:val="21"/>
          <w:szCs w:val="21"/>
        </w:rPr>
        <w:tab/>
      </w:r>
      <w:r>
        <w:rPr>
          <w:sz w:val="21"/>
          <w:szCs w:val="21"/>
        </w:rPr>
        <w:t>承包人监督单位</w:t>
      </w:r>
      <w:r>
        <w:rPr>
          <w:spacing w:val="-120"/>
          <w:sz w:val="21"/>
          <w:szCs w:val="21"/>
        </w:rPr>
        <w:t>：</w:t>
      </w:r>
      <w:r>
        <w:rPr>
          <w:sz w:val="21"/>
          <w:szCs w:val="21"/>
          <w:u w:val="single"/>
        </w:rPr>
        <w:t>（全称</w:t>
      </w:r>
      <w:r>
        <w:rPr>
          <w:spacing w:val="-120"/>
          <w:sz w:val="21"/>
          <w:szCs w:val="21"/>
          <w:u w:val="single"/>
        </w:rPr>
        <w:t>）</w:t>
      </w:r>
      <w:r>
        <w:rPr>
          <w:sz w:val="21"/>
          <w:szCs w:val="21"/>
          <w:u w:val="single"/>
        </w:rPr>
        <w:t>（盖单位章</w:t>
      </w:r>
      <w:r>
        <w:rPr>
          <w:spacing w:val="-16"/>
          <w:sz w:val="21"/>
          <w:szCs w:val="21"/>
          <w:u w:val="single"/>
        </w:rPr>
        <w:t>）</w:t>
      </w:r>
    </w:p>
    <w:p w14:paraId="57CAF793">
      <w:pPr>
        <w:spacing w:after="0" w:line="669" w:lineRule="auto"/>
        <w:sectPr>
          <w:pgSz w:w="11910" w:h="16850"/>
          <w:pgMar w:top="1480" w:right="1200" w:bottom="1040" w:left="1220" w:header="876" w:footer="853" w:gutter="0"/>
          <w:pgNumType w:fmt="decimal"/>
          <w:cols w:space="720" w:num="1"/>
        </w:sectPr>
      </w:pPr>
    </w:p>
    <w:p w14:paraId="6AB7D6EB">
      <w:pPr>
        <w:pStyle w:val="12"/>
        <w:spacing w:before="66"/>
        <w:ind w:left="424"/>
        <w:rPr>
          <w:rFonts w:hint="eastAsia" w:ascii="黑体" w:eastAsia="黑体"/>
        </w:rPr>
      </w:pPr>
      <w:bookmarkStart w:id="383" w:name="_bookmark272"/>
      <w:bookmarkEnd w:id="383"/>
      <w:r>
        <w:rPr>
          <w:rFonts w:hint="eastAsia" w:ascii="黑体" w:eastAsia="黑体"/>
        </w:rPr>
        <w:t>附件三 安全生产合同</w:t>
      </w:r>
    </w:p>
    <w:p w14:paraId="65EF6ACA">
      <w:pPr>
        <w:pStyle w:val="12"/>
        <w:spacing w:before="6" w:line="360" w:lineRule="auto"/>
        <w:jc w:val="center"/>
        <w:rPr>
          <w:rFonts w:hint="eastAsia" w:ascii="黑体" w:eastAsia="黑体"/>
          <w:sz w:val="21"/>
          <w:szCs w:val="21"/>
        </w:rPr>
      </w:pPr>
      <w:r>
        <w:rPr>
          <w:rFonts w:hint="eastAsia" w:ascii="黑体" w:eastAsia="黑体"/>
          <w:sz w:val="21"/>
          <w:szCs w:val="21"/>
        </w:rPr>
        <w:t>安全生产合同</w:t>
      </w:r>
    </w:p>
    <w:p w14:paraId="2F9CB9F4">
      <w:pPr>
        <w:pStyle w:val="12"/>
        <w:keepNext w:val="0"/>
        <w:keepLines w:val="0"/>
        <w:pageBreakBefore w:val="0"/>
        <w:widowControl w:val="0"/>
        <w:tabs>
          <w:tab w:val="left" w:pos="3081"/>
          <w:tab w:val="left" w:pos="5122"/>
          <w:tab w:val="left" w:pos="6125"/>
          <w:tab w:val="left" w:pos="8619"/>
        </w:tabs>
        <w:kinsoku/>
        <w:wordWrap/>
        <w:overflowPunct/>
        <w:topLinePunct w:val="0"/>
        <w:autoSpaceDE w:val="0"/>
        <w:autoSpaceDN w:val="0"/>
        <w:bidi w:val="0"/>
        <w:adjustRightInd/>
        <w:snapToGrid/>
        <w:spacing w:before="0" w:line="360" w:lineRule="auto"/>
        <w:ind w:left="0" w:right="0" w:firstLine="420" w:firstLineChars="200"/>
        <w:textAlignment w:val="auto"/>
        <w:rPr>
          <w:spacing w:val="0"/>
          <w:sz w:val="21"/>
          <w:szCs w:val="21"/>
        </w:rPr>
      </w:pPr>
      <w:r>
        <w:rPr>
          <w:spacing w:val="0"/>
          <w:sz w:val="21"/>
          <w:szCs w:val="21"/>
        </w:rPr>
        <w:t>为在</w:t>
      </w:r>
      <w:r>
        <w:rPr>
          <w:spacing w:val="0"/>
          <w:sz w:val="21"/>
          <w:szCs w:val="21"/>
          <w:u w:val="single"/>
        </w:rPr>
        <w:t xml:space="preserve"> </w:t>
      </w:r>
      <w:r>
        <w:rPr>
          <w:spacing w:val="0"/>
          <w:sz w:val="21"/>
          <w:szCs w:val="21"/>
          <w:u w:val="single"/>
        </w:rPr>
        <w:tab/>
      </w:r>
      <w:r>
        <w:rPr>
          <w:spacing w:val="0"/>
          <w:sz w:val="21"/>
          <w:szCs w:val="21"/>
        </w:rPr>
        <w:t>（项目名称）</w:t>
      </w:r>
      <w:r>
        <w:rPr>
          <w:spacing w:val="0"/>
          <w:sz w:val="21"/>
          <w:szCs w:val="21"/>
          <w:u w:val="single"/>
        </w:rPr>
        <w:t xml:space="preserve"> </w:t>
      </w:r>
      <w:r>
        <w:rPr>
          <w:spacing w:val="0"/>
          <w:sz w:val="21"/>
          <w:szCs w:val="21"/>
          <w:u w:val="single"/>
        </w:rPr>
        <w:tab/>
      </w:r>
      <w:r>
        <w:rPr>
          <w:spacing w:val="0"/>
          <w:sz w:val="21"/>
          <w:szCs w:val="21"/>
        </w:rPr>
        <w:t>标段施工合同的实施过程中创造安全、高效的施工环境，切实搞好本项目的安全管理工作，本项目发包人</w:t>
      </w:r>
      <w:r>
        <w:rPr>
          <w:spacing w:val="0"/>
          <w:sz w:val="21"/>
          <w:szCs w:val="21"/>
          <w:u w:val="single"/>
        </w:rPr>
        <w:t xml:space="preserve"> </w:t>
      </w:r>
      <w:r>
        <w:rPr>
          <w:spacing w:val="0"/>
          <w:sz w:val="21"/>
          <w:szCs w:val="21"/>
          <w:u w:val="single"/>
        </w:rPr>
        <w:tab/>
      </w:r>
      <w:r>
        <w:rPr>
          <w:spacing w:val="0"/>
          <w:sz w:val="21"/>
          <w:szCs w:val="21"/>
        </w:rPr>
        <w:t>（发包人名称，以下简称</w:t>
      </w:r>
      <w:r>
        <w:rPr>
          <w:rFonts w:ascii="Times New Roman" w:hAnsi="Times New Roman" w:eastAsia="Times New Roman"/>
          <w:spacing w:val="0"/>
          <w:sz w:val="21"/>
          <w:szCs w:val="21"/>
        </w:rPr>
        <w:t>“</w:t>
      </w:r>
      <w:r>
        <w:rPr>
          <w:spacing w:val="0"/>
          <w:sz w:val="21"/>
          <w:szCs w:val="21"/>
        </w:rPr>
        <w:t>发包人</w:t>
      </w:r>
      <w:r>
        <w:rPr>
          <w:rFonts w:ascii="Times New Roman" w:hAnsi="Times New Roman" w:eastAsia="Times New Roman"/>
          <w:spacing w:val="0"/>
          <w:sz w:val="21"/>
          <w:szCs w:val="21"/>
        </w:rPr>
        <w:t>”</w:t>
      </w:r>
      <w:r>
        <w:rPr>
          <w:spacing w:val="0"/>
          <w:sz w:val="21"/>
          <w:szCs w:val="21"/>
        </w:rPr>
        <w:t>）与承包人</w:t>
      </w:r>
      <w:r>
        <w:rPr>
          <w:spacing w:val="0"/>
          <w:sz w:val="21"/>
          <w:szCs w:val="21"/>
          <w:u w:val="single"/>
        </w:rPr>
        <w:t xml:space="preserve"> </w:t>
      </w:r>
      <w:r>
        <w:rPr>
          <w:spacing w:val="0"/>
          <w:sz w:val="21"/>
          <w:szCs w:val="21"/>
          <w:u w:val="single"/>
        </w:rPr>
        <w:tab/>
      </w:r>
      <w:r>
        <w:rPr>
          <w:spacing w:val="0"/>
          <w:sz w:val="21"/>
          <w:szCs w:val="21"/>
          <w:u w:val="single"/>
        </w:rPr>
        <w:tab/>
      </w:r>
      <w:r>
        <w:rPr>
          <w:spacing w:val="0"/>
          <w:sz w:val="21"/>
          <w:szCs w:val="21"/>
        </w:rPr>
        <w:t>（承包人名称，以下简称</w:t>
      </w:r>
      <w:r>
        <w:rPr>
          <w:rFonts w:ascii="Times New Roman" w:hAnsi="Times New Roman" w:eastAsia="Times New Roman"/>
          <w:spacing w:val="0"/>
          <w:sz w:val="21"/>
          <w:szCs w:val="21"/>
        </w:rPr>
        <w:t>“</w:t>
      </w:r>
      <w:r>
        <w:rPr>
          <w:spacing w:val="0"/>
          <w:sz w:val="21"/>
          <w:szCs w:val="21"/>
        </w:rPr>
        <w:t>承包人</w:t>
      </w:r>
      <w:r>
        <w:rPr>
          <w:rFonts w:ascii="Times New Roman" w:hAnsi="Times New Roman" w:eastAsia="Times New Roman"/>
          <w:spacing w:val="0"/>
          <w:sz w:val="21"/>
          <w:szCs w:val="21"/>
        </w:rPr>
        <w:t>”</w:t>
      </w:r>
      <w:r>
        <w:rPr>
          <w:spacing w:val="0"/>
          <w:sz w:val="21"/>
          <w:szCs w:val="21"/>
        </w:rPr>
        <w:t>）特此签订安全生产合同。</w:t>
      </w:r>
    </w:p>
    <w:p w14:paraId="33544A22">
      <w:pPr>
        <w:pStyle w:val="41"/>
        <w:keepNext w:val="0"/>
        <w:keepLines w:val="0"/>
        <w:pageBreakBefore w:val="0"/>
        <w:widowControl w:val="0"/>
        <w:numPr>
          <w:ilvl w:val="0"/>
          <w:numId w:val="0"/>
        </w:numPr>
        <w:tabs>
          <w:tab w:val="left" w:pos="122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pacing w:val="0"/>
          <w:sz w:val="21"/>
          <w:szCs w:val="21"/>
        </w:rPr>
      </w:pPr>
      <w:r>
        <w:rPr>
          <w:rFonts w:hint="default" w:ascii="Times New Roman" w:hAnsi="Times New Roman" w:eastAsia="Times New Roman" w:cs="Times New Roman"/>
          <w:spacing w:val="0"/>
          <w:w w:val="100"/>
          <w:sz w:val="21"/>
          <w:szCs w:val="21"/>
          <w:lang w:val="zh-CN" w:eastAsia="zh-CN" w:bidi="zh-CN"/>
        </w:rPr>
        <w:t>1.</w:t>
      </w:r>
      <w:r>
        <w:rPr>
          <w:rFonts w:hint="eastAsia" w:ascii="黑体" w:eastAsia="黑体"/>
          <w:spacing w:val="0"/>
          <w:sz w:val="21"/>
          <w:szCs w:val="21"/>
        </w:rPr>
        <w:t>发包人职责</w:t>
      </w:r>
    </w:p>
    <w:p w14:paraId="1562D2EA">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（1）</w:t>
      </w:r>
      <w:r>
        <w:rPr>
          <w:spacing w:val="0"/>
          <w:sz w:val="21"/>
          <w:szCs w:val="21"/>
        </w:rPr>
        <w:t>严格遵守国家有关安全生产的法律法规，认真执行工程承包合同中的有关安全要求。</w:t>
      </w:r>
    </w:p>
    <w:p w14:paraId="4E7F6C9E">
      <w:pPr>
        <w:pStyle w:val="41"/>
        <w:keepNext w:val="0"/>
        <w:keepLines w:val="0"/>
        <w:pageBreakBefore w:val="0"/>
        <w:widowControl w:val="0"/>
        <w:numPr>
          <w:ilvl w:val="0"/>
          <w:numId w:val="0"/>
        </w:numPr>
        <w:tabs>
          <w:tab w:val="left" w:pos="1649"/>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（2）</w:t>
      </w:r>
      <w:r>
        <w:rPr>
          <w:spacing w:val="0"/>
          <w:sz w:val="21"/>
          <w:szCs w:val="21"/>
        </w:rPr>
        <w:t>按照</w:t>
      </w:r>
      <w:r>
        <w:rPr>
          <w:rFonts w:ascii="Times New Roman" w:hAnsi="Times New Roman" w:eastAsia="Times New Roman"/>
          <w:spacing w:val="0"/>
          <w:sz w:val="21"/>
          <w:szCs w:val="21"/>
        </w:rPr>
        <w:t>“</w:t>
      </w:r>
      <w:r>
        <w:rPr>
          <w:spacing w:val="0"/>
          <w:sz w:val="21"/>
          <w:szCs w:val="21"/>
        </w:rPr>
        <w:t>安全第一、预防为主、综合治理</w:t>
      </w:r>
      <w:r>
        <w:rPr>
          <w:rFonts w:ascii="Times New Roman" w:hAnsi="Times New Roman" w:eastAsia="Times New Roman"/>
          <w:spacing w:val="0"/>
          <w:sz w:val="21"/>
          <w:szCs w:val="21"/>
        </w:rPr>
        <w:t>”</w:t>
      </w:r>
      <w:r>
        <w:rPr>
          <w:spacing w:val="0"/>
          <w:sz w:val="21"/>
          <w:szCs w:val="21"/>
        </w:rPr>
        <w:t>和坚持</w:t>
      </w:r>
      <w:r>
        <w:rPr>
          <w:rFonts w:ascii="Times New Roman" w:hAnsi="Times New Roman" w:eastAsia="Times New Roman"/>
          <w:spacing w:val="0"/>
          <w:sz w:val="21"/>
          <w:szCs w:val="21"/>
        </w:rPr>
        <w:t>“</w:t>
      </w:r>
      <w:r>
        <w:rPr>
          <w:spacing w:val="0"/>
          <w:sz w:val="21"/>
          <w:szCs w:val="21"/>
        </w:rPr>
        <w:t>管生产必须管安全</w:t>
      </w:r>
      <w:r>
        <w:rPr>
          <w:rFonts w:ascii="Times New Roman" w:hAnsi="Times New Roman" w:eastAsia="Times New Roman"/>
          <w:spacing w:val="0"/>
          <w:sz w:val="21"/>
          <w:szCs w:val="21"/>
        </w:rPr>
        <w:t>”</w:t>
      </w:r>
      <w:r>
        <w:rPr>
          <w:spacing w:val="0"/>
          <w:sz w:val="21"/>
          <w:szCs w:val="21"/>
        </w:rPr>
        <w:t>的原则进行安全生产管理，做到生产与安全工作同时计划、布置、检查、总结和评比。</w:t>
      </w:r>
    </w:p>
    <w:p w14:paraId="591F7534">
      <w:pPr>
        <w:pStyle w:val="41"/>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（3）</w:t>
      </w:r>
      <w:r>
        <w:rPr>
          <w:spacing w:val="0"/>
          <w:sz w:val="21"/>
          <w:szCs w:val="21"/>
        </w:rPr>
        <w:t>重要的安全设施必须坚持与主体工程</w:t>
      </w:r>
      <w:r>
        <w:rPr>
          <w:rFonts w:ascii="Times New Roman" w:hAnsi="Times New Roman" w:eastAsia="Times New Roman"/>
          <w:spacing w:val="0"/>
          <w:sz w:val="21"/>
          <w:szCs w:val="21"/>
        </w:rPr>
        <w:t>“</w:t>
      </w:r>
      <w:r>
        <w:rPr>
          <w:spacing w:val="0"/>
          <w:sz w:val="21"/>
          <w:szCs w:val="21"/>
        </w:rPr>
        <w:t>三同时</w:t>
      </w:r>
      <w:r>
        <w:rPr>
          <w:rFonts w:ascii="Times New Roman" w:hAnsi="Times New Roman" w:eastAsia="Times New Roman"/>
          <w:spacing w:val="0"/>
          <w:sz w:val="21"/>
          <w:szCs w:val="21"/>
        </w:rPr>
        <w:t>”</w:t>
      </w:r>
      <w:r>
        <w:rPr>
          <w:spacing w:val="0"/>
          <w:sz w:val="21"/>
          <w:szCs w:val="21"/>
        </w:rPr>
        <w:t>的原则，即：同时设计、审批，同时施工，同时验收，投入使用。</w:t>
      </w:r>
    </w:p>
    <w:p w14:paraId="4ED254EA">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（4）</w:t>
      </w:r>
      <w:r>
        <w:rPr>
          <w:spacing w:val="0"/>
          <w:sz w:val="21"/>
          <w:szCs w:val="21"/>
        </w:rPr>
        <w:t>定期召开安全生产调度会，及时传达中央及地方有关安全生产的精神。</w:t>
      </w:r>
    </w:p>
    <w:p w14:paraId="280891E8">
      <w:pPr>
        <w:pStyle w:val="41"/>
        <w:keepNext w:val="0"/>
        <w:keepLines w:val="0"/>
        <w:pageBreakBefore w:val="0"/>
        <w:widowControl w:val="0"/>
        <w:numPr>
          <w:ilvl w:val="0"/>
          <w:numId w:val="0"/>
        </w:numPr>
        <w:tabs>
          <w:tab w:val="left" w:pos="164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（5）</w:t>
      </w:r>
      <w:r>
        <w:rPr>
          <w:spacing w:val="0"/>
          <w:sz w:val="21"/>
          <w:szCs w:val="21"/>
        </w:rPr>
        <w:t>组织对承包人施工现场进行安全生产检查，监督承包人及时处理发现的各种安全隐患。</w:t>
      </w:r>
    </w:p>
    <w:p w14:paraId="00EB125F">
      <w:pPr>
        <w:pStyle w:val="41"/>
        <w:keepNext w:val="0"/>
        <w:keepLines w:val="0"/>
        <w:pageBreakBefore w:val="0"/>
        <w:widowControl w:val="0"/>
        <w:numPr>
          <w:ilvl w:val="0"/>
          <w:numId w:val="0"/>
        </w:numPr>
        <w:tabs>
          <w:tab w:val="left" w:pos="122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pacing w:val="0"/>
          <w:sz w:val="21"/>
          <w:szCs w:val="21"/>
        </w:rPr>
      </w:pPr>
      <w:r>
        <w:rPr>
          <w:rFonts w:hint="default" w:ascii="Times New Roman" w:hAnsi="Times New Roman" w:eastAsia="Times New Roman" w:cs="Times New Roman"/>
          <w:spacing w:val="0"/>
          <w:w w:val="100"/>
          <w:sz w:val="21"/>
          <w:szCs w:val="21"/>
          <w:lang w:val="zh-CN" w:eastAsia="zh-CN" w:bidi="zh-CN"/>
        </w:rPr>
        <w:t>2.</w:t>
      </w:r>
      <w:r>
        <w:rPr>
          <w:rFonts w:hint="eastAsia" w:ascii="黑体" w:eastAsia="黑体"/>
          <w:spacing w:val="0"/>
          <w:sz w:val="21"/>
          <w:szCs w:val="21"/>
        </w:rPr>
        <w:t>承包人职责</w:t>
      </w:r>
    </w:p>
    <w:p w14:paraId="7E1E2A26">
      <w:pPr>
        <w:pStyle w:val="41"/>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（1）</w:t>
      </w:r>
      <w:r>
        <w:rPr>
          <w:spacing w:val="0"/>
          <w:sz w:val="21"/>
          <w:szCs w:val="21"/>
        </w:rPr>
        <w:t>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311450C5">
      <w:pPr>
        <w:pStyle w:val="41"/>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（2）</w:t>
      </w:r>
      <w:r>
        <w:rPr>
          <w:spacing w:val="0"/>
          <w:sz w:val="21"/>
          <w:szCs w:val="21"/>
        </w:rPr>
        <w:t>坚持“安全第一、预防为主、综合治理”和“管生产必须管安全”的原则， 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32C67872">
      <w:pPr>
        <w:pStyle w:val="41"/>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（3）</w:t>
      </w:r>
      <w:r>
        <w:rPr>
          <w:spacing w:val="0"/>
          <w:sz w:val="21"/>
          <w:szCs w:val="21"/>
        </w:rPr>
        <w:t>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568A76E1">
      <w:pPr>
        <w:pStyle w:val="41"/>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（4）</w:t>
      </w:r>
      <w:r>
        <w:rPr>
          <w:spacing w:val="0"/>
          <w:sz w:val="21"/>
          <w:szCs w:val="21"/>
        </w:rPr>
        <w:t>承包人在任何时候都应采取各种合理的预防措施，防止其员工发生任</w:t>
      </w:r>
      <w:r>
        <w:rPr>
          <w:rFonts w:hint="eastAsia"/>
          <w:spacing w:val="0"/>
          <w:sz w:val="21"/>
          <w:szCs w:val="21"/>
          <w:lang w:val="en-US" w:eastAsia="zh-CN"/>
        </w:rPr>
        <w:t>何</w:t>
      </w:r>
      <w:r>
        <w:rPr>
          <w:spacing w:val="0"/>
          <w:sz w:val="21"/>
          <w:szCs w:val="21"/>
        </w:rPr>
        <w:t>违法、违禁、暴力或妨碍治安的行为。</w:t>
      </w:r>
    </w:p>
    <w:p w14:paraId="4A5FF5B1">
      <w:pPr>
        <w:pStyle w:val="41"/>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（5）</w:t>
      </w:r>
      <w:r>
        <w:rPr>
          <w:spacing w:val="0"/>
          <w:sz w:val="21"/>
          <w:szCs w:val="21"/>
        </w:rPr>
        <w:t>承包人必须具有劳动安全管理部门颁发的安全生产考核合格证书，参加施工的人员，必须接受安全技术教育，熟知和遵守本工种的各项安全技术操作规程， 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AD3A4A2">
      <w:pPr>
        <w:pStyle w:val="41"/>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（6）</w:t>
      </w:r>
      <w:r>
        <w:rPr>
          <w:spacing w:val="0"/>
          <w:sz w:val="21"/>
          <w:szCs w:val="21"/>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0578136">
      <w:pPr>
        <w:pStyle w:val="41"/>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（7）</w:t>
      </w:r>
      <w:r>
        <w:rPr>
          <w:spacing w:val="0"/>
          <w:sz w:val="21"/>
          <w:szCs w:val="21"/>
        </w:rPr>
        <w:t>操作人员上岗，必须按规定穿戴防护用品。施工负责人和安全检查员应随时检查劳动防护用品的穿戴情况，不按规定穿戴防护用品的人员不得上岗。</w:t>
      </w:r>
    </w:p>
    <w:p w14:paraId="56270482">
      <w:pPr>
        <w:pStyle w:val="41"/>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（8）</w:t>
      </w:r>
      <w:r>
        <w:rPr>
          <w:spacing w:val="0"/>
          <w:sz w:val="21"/>
          <w:szCs w:val="21"/>
        </w:rPr>
        <w:t>所有施工机具设备和高空作业的设备均应定期检查，并有安全员的签字记录，保证其经常处于完好状态；不合格的机具、设备和劳动保护用品严禁使用。</w:t>
      </w:r>
    </w:p>
    <w:p w14:paraId="47DB50FF">
      <w:pPr>
        <w:pStyle w:val="41"/>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（9）</w:t>
      </w:r>
      <w:r>
        <w:rPr>
          <w:spacing w:val="0"/>
          <w:sz w:val="21"/>
          <w:szCs w:val="21"/>
        </w:rPr>
        <w:t>施工中采用新技术、新工艺、新设备、新材料时，必须制定相应的安全技术措施，施工现场必须具有相关的安全标志牌。</w:t>
      </w:r>
    </w:p>
    <w:p w14:paraId="1D0F62A8">
      <w:pPr>
        <w:pStyle w:val="41"/>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（10）</w:t>
      </w:r>
      <w:r>
        <w:rPr>
          <w:spacing w:val="0"/>
          <w:sz w:val="21"/>
          <w:szCs w:val="21"/>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349651DA">
      <w:pPr>
        <w:pStyle w:val="41"/>
        <w:keepNext w:val="0"/>
        <w:keepLines w:val="0"/>
        <w:pageBreakBefore w:val="0"/>
        <w:widowControl w:val="0"/>
        <w:numPr>
          <w:ilvl w:val="0"/>
          <w:numId w:val="0"/>
        </w:numPr>
        <w:tabs>
          <w:tab w:val="left" w:pos="164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w w:val="100"/>
          <w:sz w:val="21"/>
          <w:szCs w:val="21"/>
          <w:lang w:val="zh-CN" w:eastAsia="zh-CN" w:bidi="zh-CN"/>
        </w:rPr>
        <w:t>（11）</w:t>
      </w:r>
      <w:r>
        <w:rPr>
          <w:spacing w:val="0"/>
          <w:sz w:val="21"/>
          <w:szCs w:val="21"/>
        </w:rPr>
        <w:t>安全生产费用按照《公路水运工程安全生产监督管理办法》的相关规定使用和管理。</w:t>
      </w:r>
    </w:p>
    <w:p w14:paraId="69544613">
      <w:pPr>
        <w:pStyle w:val="41"/>
        <w:keepNext w:val="0"/>
        <w:keepLines w:val="0"/>
        <w:pageBreakBefore w:val="0"/>
        <w:widowControl w:val="0"/>
        <w:numPr>
          <w:ilvl w:val="0"/>
          <w:numId w:val="0"/>
        </w:numPr>
        <w:tabs>
          <w:tab w:val="left" w:pos="1223"/>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黑体" w:eastAsia="黑体"/>
          <w:spacing w:val="0"/>
          <w:sz w:val="21"/>
          <w:szCs w:val="21"/>
        </w:rPr>
      </w:pPr>
      <w:r>
        <w:rPr>
          <w:rFonts w:hint="default" w:ascii="Times New Roman" w:hAnsi="Times New Roman" w:eastAsia="Times New Roman" w:cs="Times New Roman"/>
          <w:spacing w:val="0"/>
          <w:w w:val="100"/>
          <w:sz w:val="21"/>
          <w:szCs w:val="21"/>
          <w:lang w:val="zh-CN" w:eastAsia="zh-CN" w:bidi="zh-CN"/>
        </w:rPr>
        <w:t>3.</w:t>
      </w:r>
      <w:r>
        <w:rPr>
          <w:rFonts w:hint="eastAsia" w:ascii="黑体" w:eastAsia="黑体"/>
          <w:spacing w:val="0"/>
          <w:sz w:val="21"/>
          <w:szCs w:val="21"/>
        </w:rPr>
        <w:t>违约责任</w:t>
      </w:r>
    </w:p>
    <w:p w14:paraId="5E54364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pacing w:val="0"/>
          <w:sz w:val="21"/>
          <w:szCs w:val="21"/>
        </w:rPr>
      </w:pPr>
      <w:r>
        <w:rPr>
          <w:spacing w:val="0"/>
          <w:sz w:val="21"/>
          <w:szCs w:val="21"/>
        </w:rPr>
        <w:t>如因发包人或承包人违约造成安全事故，将依法追究责任。</w:t>
      </w:r>
    </w:p>
    <w:p w14:paraId="3CB59E09">
      <w:pPr>
        <w:pStyle w:val="41"/>
        <w:keepNext w:val="0"/>
        <w:keepLines w:val="0"/>
        <w:pageBreakBefore w:val="0"/>
        <w:widowControl w:val="0"/>
        <w:numPr>
          <w:ilvl w:val="0"/>
          <w:numId w:val="0"/>
        </w:numPr>
        <w:tabs>
          <w:tab w:val="left" w:pos="1344"/>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4.</w:t>
      </w:r>
      <w:r>
        <w:rPr>
          <w:spacing w:val="0"/>
          <w:sz w:val="21"/>
          <w:szCs w:val="21"/>
        </w:rPr>
        <w:t>本合同由双方法定代表人或其授权的代理人签署并加盖单位章后生效，全部工程竣工验收后失效。</w:t>
      </w:r>
    </w:p>
    <w:p w14:paraId="03E31756">
      <w:pPr>
        <w:pStyle w:val="41"/>
        <w:keepNext w:val="0"/>
        <w:keepLines w:val="0"/>
        <w:pageBreakBefore w:val="0"/>
        <w:widowControl w:val="0"/>
        <w:numPr>
          <w:ilvl w:val="0"/>
          <w:numId w:val="0"/>
        </w:numPr>
        <w:tabs>
          <w:tab w:val="left" w:pos="1344"/>
          <w:tab w:val="left" w:pos="4252"/>
          <w:tab w:val="left" w:pos="8377"/>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Times New Roman" w:hAnsi="Times New Roman" w:eastAsia="Times New Roman" w:cs="Times New Roman"/>
          <w:spacing w:val="0"/>
          <w:w w:val="100"/>
          <w:sz w:val="21"/>
          <w:szCs w:val="21"/>
          <w:lang w:val="zh-CN" w:eastAsia="zh-CN" w:bidi="zh-CN"/>
        </w:rPr>
        <w:t>5.</w:t>
      </w:r>
      <w:r>
        <w:rPr>
          <w:spacing w:val="0"/>
          <w:sz w:val="21"/>
          <w:szCs w:val="21"/>
        </w:rPr>
        <w:t>本合同正本二份、副本</w:t>
      </w:r>
      <w:r>
        <w:rPr>
          <w:spacing w:val="0"/>
          <w:sz w:val="21"/>
          <w:szCs w:val="21"/>
          <w:u w:val="single"/>
        </w:rPr>
        <w:t xml:space="preserve"> </w:t>
      </w:r>
      <w:r>
        <w:rPr>
          <w:spacing w:val="0"/>
          <w:sz w:val="21"/>
          <w:szCs w:val="21"/>
          <w:u w:val="single"/>
        </w:rPr>
        <w:tab/>
      </w:r>
      <w:r>
        <w:rPr>
          <w:spacing w:val="0"/>
          <w:sz w:val="21"/>
          <w:szCs w:val="21"/>
        </w:rPr>
        <w:t>份，合同双方各执正本一份，副本</w:t>
      </w:r>
      <w:r>
        <w:rPr>
          <w:spacing w:val="0"/>
          <w:sz w:val="21"/>
          <w:szCs w:val="21"/>
          <w:u w:val="single"/>
        </w:rPr>
        <w:t xml:space="preserve"> </w:t>
      </w:r>
      <w:r>
        <w:rPr>
          <w:spacing w:val="0"/>
          <w:sz w:val="21"/>
          <w:szCs w:val="21"/>
          <w:u w:val="single"/>
        </w:rPr>
        <w:tab/>
      </w:r>
      <w:r>
        <w:rPr>
          <w:spacing w:val="0"/>
          <w:sz w:val="21"/>
          <w:szCs w:val="21"/>
        </w:rPr>
        <w:t>份，当正本与副本的内容不一致时，以正本为准。</w:t>
      </w:r>
    </w:p>
    <w:p w14:paraId="2480968E">
      <w:pPr>
        <w:pStyle w:val="12"/>
        <w:spacing w:line="360" w:lineRule="auto"/>
        <w:rPr>
          <w:sz w:val="21"/>
          <w:szCs w:val="21"/>
        </w:rPr>
      </w:pPr>
    </w:p>
    <w:p w14:paraId="11F3E342">
      <w:pPr>
        <w:pStyle w:val="12"/>
        <w:spacing w:line="360" w:lineRule="auto"/>
        <w:rPr>
          <w:sz w:val="21"/>
          <w:szCs w:val="21"/>
        </w:rPr>
      </w:pPr>
    </w:p>
    <w:p w14:paraId="7C5AC0C7">
      <w:pPr>
        <w:pStyle w:val="12"/>
        <w:spacing w:before="4" w:line="360" w:lineRule="auto"/>
        <w:rPr>
          <w:sz w:val="21"/>
          <w:szCs w:val="21"/>
        </w:rPr>
      </w:pPr>
    </w:p>
    <w:p w14:paraId="059EE855">
      <w:pPr>
        <w:pStyle w:val="12"/>
        <w:tabs>
          <w:tab w:val="left" w:pos="3151"/>
          <w:tab w:val="left" w:pos="4934"/>
          <w:tab w:val="left" w:pos="5174"/>
          <w:tab w:val="left" w:pos="7781"/>
        </w:tabs>
        <w:spacing w:before="1" w:line="360" w:lineRule="auto"/>
        <w:ind w:left="424" w:right="262"/>
        <w:rPr>
          <w:sz w:val="21"/>
          <w:szCs w:val="21"/>
        </w:rPr>
      </w:pPr>
      <w:r>
        <w:rPr>
          <w:sz w:val="21"/>
          <w:szCs w:val="21"/>
        </w:rPr>
        <w:t>发包人</w:t>
      </w:r>
      <w:r>
        <w:rPr>
          <w:spacing w:val="-17"/>
          <w:sz w:val="21"/>
          <w:szCs w:val="21"/>
        </w:rPr>
        <w:t>：</w:t>
      </w:r>
      <w:r>
        <w:rPr>
          <w:spacing w:val="-17"/>
          <w:sz w:val="21"/>
          <w:szCs w:val="21"/>
          <w:u w:val="single"/>
        </w:rPr>
        <w:t xml:space="preserve"> </w:t>
      </w:r>
      <w:r>
        <w:rPr>
          <w:spacing w:val="-17"/>
          <w:sz w:val="21"/>
          <w:szCs w:val="21"/>
          <w:u w:val="single"/>
        </w:rPr>
        <w:tab/>
      </w:r>
      <w:r>
        <w:rPr>
          <w:sz w:val="21"/>
          <w:szCs w:val="21"/>
        </w:rPr>
        <w:t>（盖单位章）</w:t>
      </w:r>
      <w:r>
        <w:rPr>
          <w:sz w:val="21"/>
          <w:szCs w:val="21"/>
        </w:rPr>
        <w:tab/>
      </w:r>
      <w:r>
        <w:rPr>
          <w:sz w:val="21"/>
          <w:szCs w:val="21"/>
        </w:rPr>
        <w:tab/>
      </w:r>
      <w:r>
        <w:rPr>
          <w:sz w:val="21"/>
          <w:szCs w:val="21"/>
        </w:rPr>
        <w:t>承包人</w:t>
      </w:r>
      <w:r>
        <w:rPr>
          <w:spacing w:val="-17"/>
          <w:sz w:val="21"/>
          <w:szCs w:val="21"/>
        </w:rPr>
        <w:t>：</w:t>
      </w:r>
      <w:r>
        <w:rPr>
          <w:spacing w:val="-17"/>
          <w:sz w:val="21"/>
          <w:szCs w:val="21"/>
          <w:u w:val="single"/>
        </w:rPr>
        <w:t xml:space="preserve"> </w:t>
      </w:r>
      <w:r>
        <w:rPr>
          <w:spacing w:val="-17"/>
          <w:sz w:val="21"/>
          <w:szCs w:val="21"/>
          <w:u w:val="single"/>
        </w:rPr>
        <w:tab/>
      </w:r>
      <w:r>
        <w:rPr>
          <w:sz w:val="21"/>
          <w:szCs w:val="21"/>
        </w:rPr>
        <w:t>（盖单位章</w:t>
      </w:r>
      <w:r>
        <w:rPr>
          <w:spacing w:val="-17"/>
          <w:sz w:val="21"/>
          <w:szCs w:val="21"/>
        </w:rPr>
        <w:t xml:space="preserve">） </w:t>
      </w:r>
      <w:r>
        <w:rPr>
          <w:sz w:val="21"/>
          <w:szCs w:val="21"/>
        </w:rPr>
        <w:t>法定代表人或其委托代理人</w:t>
      </w:r>
      <w:r>
        <w:rPr>
          <w:spacing w:val="-17"/>
          <w:sz w:val="21"/>
          <w:szCs w:val="21"/>
        </w:rPr>
        <w:t>：</w:t>
      </w:r>
      <w:r>
        <w:rPr>
          <w:spacing w:val="-17"/>
          <w:sz w:val="21"/>
          <w:szCs w:val="21"/>
          <w:u w:val="single"/>
        </w:rPr>
        <w:t xml:space="preserve"> </w:t>
      </w:r>
      <w:r>
        <w:rPr>
          <w:spacing w:val="-7"/>
          <w:sz w:val="21"/>
          <w:szCs w:val="21"/>
          <w:u w:val="single"/>
        </w:rPr>
        <w:t xml:space="preserve"> </w:t>
      </w:r>
      <w:r>
        <w:rPr>
          <w:i/>
          <w:sz w:val="21"/>
          <w:szCs w:val="21"/>
        </w:rPr>
        <w:t>（</w:t>
      </w:r>
      <w:r>
        <w:rPr>
          <w:sz w:val="21"/>
          <w:szCs w:val="21"/>
        </w:rPr>
        <w:t>签字）</w:t>
      </w:r>
      <w:r>
        <w:rPr>
          <w:sz w:val="21"/>
          <w:szCs w:val="21"/>
        </w:rPr>
        <w:tab/>
      </w:r>
      <w:r>
        <w:rPr>
          <w:sz w:val="21"/>
          <w:szCs w:val="21"/>
        </w:rPr>
        <w:t>法定代表人或其委托代理人</w:t>
      </w:r>
      <w:r>
        <w:rPr>
          <w:spacing w:val="-16"/>
          <w:sz w:val="21"/>
          <w:szCs w:val="21"/>
        </w:rPr>
        <w:t>：</w:t>
      </w:r>
      <w:r>
        <w:rPr>
          <w:sz w:val="21"/>
          <w:szCs w:val="21"/>
          <w:u w:val="single"/>
        </w:rPr>
        <w:t xml:space="preserve"> </w:t>
      </w:r>
      <w:r>
        <w:rPr>
          <w:sz w:val="21"/>
          <w:szCs w:val="21"/>
        </w:rPr>
        <w:t>（签字</w:t>
      </w:r>
      <w:r>
        <w:rPr>
          <w:spacing w:val="-17"/>
          <w:sz w:val="21"/>
          <w:szCs w:val="21"/>
        </w:rPr>
        <w:t>）</w:t>
      </w:r>
    </w:p>
    <w:p w14:paraId="0C0BC39A">
      <w:pPr>
        <w:pStyle w:val="12"/>
        <w:tabs>
          <w:tab w:val="left" w:pos="2344"/>
          <w:tab w:val="left" w:pos="3184"/>
          <w:tab w:val="left" w:pos="4024"/>
          <w:tab w:val="left" w:pos="5945"/>
          <w:tab w:val="left" w:pos="7025"/>
          <w:tab w:val="left" w:pos="7865"/>
          <w:tab w:val="left" w:pos="8705"/>
        </w:tabs>
        <w:spacing w:before="2" w:line="360" w:lineRule="auto"/>
        <w:ind w:left="1264"/>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rPr>
        <w:tab/>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3611CD6E">
      <w:pPr>
        <w:spacing w:after="0" w:line="360" w:lineRule="auto"/>
        <w:rPr>
          <w:sz w:val="21"/>
          <w:szCs w:val="21"/>
        </w:rPr>
        <w:sectPr>
          <w:pgSz w:w="11910" w:h="16850"/>
          <w:pgMar w:top="1480" w:right="1200" w:bottom="1040" w:left="1220" w:header="876" w:footer="853" w:gutter="0"/>
          <w:pgNumType w:fmt="decimal"/>
          <w:cols w:space="720" w:num="1"/>
        </w:sectPr>
      </w:pPr>
    </w:p>
    <w:p w14:paraId="2EC4ACB0">
      <w:pPr>
        <w:pStyle w:val="12"/>
        <w:spacing w:before="1"/>
        <w:rPr>
          <w:sz w:val="8"/>
        </w:rPr>
      </w:pPr>
    </w:p>
    <w:p w14:paraId="689242C3">
      <w:pPr>
        <w:pStyle w:val="12"/>
        <w:spacing w:before="74"/>
        <w:ind w:left="424"/>
        <w:rPr>
          <w:b/>
          <w:sz w:val="12"/>
        </w:rPr>
      </w:pPr>
      <w:bookmarkStart w:id="384" w:name="_bookmark273"/>
      <w:bookmarkEnd w:id="384"/>
      <w:r>
        <w:rPr>
          <w:rFonts w:hint="eastAsia" w:ascii="黑体" w:hAnsi="黑体" w:eastAsia="黑体"/>
        </w:rPr>
        <w:t xml:space="preserve">附件四 其他管理和技术人员最低要求 </w:t>
      </w:r>
    </w:p>
    <w:p w14:paraId="241B4E86">
      <w:pPr>
        <w:pStyle w:val="12"/>
        <w:rPr>
          <w:b/>
          <w:sz w:val="20"/>
        </w:rPr>
      </w:pPr>
    </w:p>
    <w:p w14:paraId="62C548C0">
      <w:pPr>
        <w:pStyle w:val="12"/>
        <w:spacing w:before="6"/>
        <w:rPr>
          <w:b/>
          <w:sz w:val="11"/>
        </w:rPr>
      </w:pPr>
    </w:p>
    <w:tbl>
      <w:tblPr>
        <w:tblStyle w:val="25"/>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9"/>
        <w:gridCol w:w="2160"/>
        <w:gridCol w:w="4285"/>
      </w:tblGrid>
      <w:tr w14:paraId="4D7EB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449" w:type="dxa"/>
          </w:tcPr>
          <w:p w14:paraId="28AF76F7">
            <w:pPr>
              <w:pStyle w:val="42"/>
              <w:spacing w:before="6"/>
              <w:rPr>
                <w:b/>
                <w:sz w:val="21"/>
                <w:szCs w:val="21"/>
              </w:rPr>
            </w:pPr>
          </w:p>
          <w:p w14:paraId="07C2FBE5">
            <w:pPr>
              <w:pStyle w:val="42"/>
              <w:tabs>
                <w:tab w:val="left" w:pos="488"/>
              </w:tabs>
              <w:ind w:left="8"/>
              <w:jc w:val="center"/>
              <w:rPr>
                <w:sz w:val="21"/>
                <w:szCs w:val="21"/>
              </w:rPr>
            </w:pPr>
            <w:r>
              <w:rPr>
                <w:sz w:val="21"/>
                <w:szCs w:val="21"/>
              </w:rPr>
              <w:t>人</w:t>
            </w:r>
            <w:r>
              <w:rPr>
                <w:sz w:val="21"/>
                <w:szCs w:val="21"/>
              </w:rPr>
              <w:tab/>
            </w:r>
            <w:r>
              <w:rPr>
                <w:sz w:val="21"/>
                <w:szCs w:val="21"/>
              </w:rPr>
              <w:t>员</w:t>
            </w:r>
          </w:p>
        </w:tc>
        <w:tc>
          <w:tcPr>
            <w:tcW w:w="2160" w:type="dxa"/>
          </w:tcPr>
          <w:p w14:paraId="6BAA285B">
            <w:pPr>
              <w:pStyle w:val="42"/>
              <w:spacing w:before="6"/>
              <w:rPr>
                <w:b/>
                <w:sz w:val="21"/>
                <w:szCs w:val="21"/>
              </w:rPr>
            </w:pPr>
          </w:p>
          <w:p w14:paraId="18E4B3C5">
            <w:pPr>
              <w:pStyle w:val="42"/>
              <w:tabs>
                <w:tab w:val="left" w:pos="1199"/>
              </w:tabs>
              <w:ind w:left="719"/>
              <w:rPr>
                <w:sz w:val="21"/>
                <w:szCs w:val="21"/>
              </w:rPr>
            </w:pPr>
            <w:r>
              <w:rPr>
                <w:sz w:val="21"/>
                <w:szCs w:val="21"/>
              </w:rPr>
              <w:t>数</w:t>
            </w:r>
            <w:r>
              <w:rPr>
                <w:sz w:val="21"/>
                <w:szCs w:val="21"/>
              </w:rPr>
              <w:tab/>
            </w:r>
            <w:r>
              <w:rPr>
                <w:sz w:val="21"/>
                <w:szCs w:val="21"/>
              </w:rPr>
              <w:t>量</w:t>
            </w:r>
          </w:p>
        </w:tc>
        <w:tc>
          <w:tcPr>
            <w:tcW w:w="4285" w:type="dxa"/>
          </w:tcPr>
          <w:p w14:paraId="52E02DEC">
            <w:pPr>
              <w:pStyle w:val="42"/>
              <w:spacing w:before="6"/>
              <w:rPr>
                <w:b/>
                <w:sz w:val="21"/>
                <w:szCs w:val="21"/>
              </w:rPr>
            </w:pPr>
          </w:p>
          <w:p w14:paraId="4C528532">
            <w:pPr>
              <w:pStyle w:val="42"/>
              <w:ind w:left="1460" w:right="1454"/>
              <w:jc w:val="center"/>
              <w:rPr>
                <w:sz w:val="21"/>
                <w:szCs w:val="21"/>
              </w:rPr>
            </w:pPr>
            <w:r>
              <w:rPr>
                <w:sz w:val="21"/>
                <w:szCs w:val="21"/>
              </w:rPr>
              <w:t>资 格 要 求</w:t>
            </w:r>
          </w:p>
        </w:tc>
      </w:tr>
      <w:tr w14:paraId="1D572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49" w:type="dxa"/>
          </w:tcPr>
          <w:p w14:paraId="6502C248">
            <w:pPr>
              <w:pStyle w:val="42"/>
              <w:rPr>
                <w:rFonts w:ascii="Times New Roman"/>
                <w:sz w:val="18"/>
              </w:rPr>
            </w:pPr>
          </w:p>
        </w:tc>
        <w:tc>
          <w:tcPr>
            <w:tcW w:w="2160" w:type="dxa"/>
          </w:tcPr>
          <w:p w14:paraId="0C50A964">
            <w:pPr>
              <w:pStyle w:val="42"/>
              <w:rPr>
                <w:rFonts w:ascii="Times New Roman"/>
                <w:sz w:val="18"/>
              </w:rPr>
            </w:pPr>
          </w:p>
        </w:tc>
        <w:tc>
          <w:tcPr>
            <w:tcW w:w="4285" w:type="dxa"/>
          </w:tcPr>
          <w:p w14:paraId="57619916">
            <w:pPr>
              <w:pStyle w:val="42"/>
              <w:rPr>
                <w:rFonts w:ascii="Times New Roman"/>
                <w:sz w:val="18"/>
              </w:rPr>
            </w:pPr>
          </w:p>
        </w:tc>
      </w:tr>
      <w:tr w14:paraId="041C5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B56BF35">
            <w:pPr>
              <w:pStyle w:val="42"/>
              <w:rPr>
                <w:rFonts w:ascii="Times New Roman"/>
                <w:sz w:val="18"/>
              </w:rPr>
            </w:pPr>
          </w:p>
        </w:tc>
        <w:tc>
          <w:tcPr>
            <w:tcW w:w="2160" w:type="dxa"/>
          </w:tcPr>
          <w:p w14:paraId="08FF68A7">
            <w:pPr>
              <w:pStyle w:val="42"/>
              <w:rPr>
                <w:rFonts w:ascii="Times New Roman"/>
                <w:sz w:val="18"/>
              </w:rPr>
            </w:pPr>
          </w:p>
        </w:tc>
        <w:tc>
          <w:tcPr>
            <w:tcW w:w="4285" w:type="dxa"/>
          </w:tcPr>
          <w:p w14:paraId="79B3B8B9">
            <w:pPr>
              <w:pStyle w:val="42"/>
              <w:rPr>
                <w:rFonts w:ascii="Times New Roman"/>
                <w:sz w:val="18"/>
              </w:rPr>
            </w:pPr>
          </w:p>
        </w:tc>
      </w:tr>
      <w:tr w14:paraId="55E0B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6FD04094">
            <w:pPr>
              <w:pStyle w:val="42"/>
              <w:rPr>
                <w:rFonts w:ascii="Times New Roman"/>
                <w:sz w:val="18"/>
              </w:rPr>
            </w:pPr>
          </w:p>
        </w:tc>
        <w:tc>
          <w:tcPr>
            <w:tcW w:w="2160" w:type="dxa"/>
          </w:tcPr>
          <w:p w14:paraId="2D231124">
            <w:pPr>
              <w:pStyle w:val="42"/>
              <w:rPr>
                <w:rFonts w:ascii="Times New Roman"/>
                <w:sz w:val="18"/>
              </w:rPr>
            </w:pPr>
          </w:p>
        </w:tc>
        <w:tc>
          <w:tcPr>
            <w:tcW w:w="4285" w:type="dxa"/>
          </w:tcPr>
          <w:p w14:paraId="5B519275">
            <w:pPr>
              <w:pStyle w:val="42"/>
              <w:rPr>
                <w:rFonts w:ascii="Times New Roman"/>
                <w:sz w:val="18"/>
              </w:rPr>
            </w:pPr>
          </w:p>
        </w:tc>
      </w:tr>
      <w:tr w14:paraId="48EBC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0DE77E60">
            <w:pPr>
              <w:pStyle w:val="42"/>
              <w:rPr>
                <w:rFonts w:ascii="Times New Roman"/>
                <w:sz w:val="18"/>
              </w:rPr>
            </w:pPr>
          </w:p>
        </w:tc>
        <w:tc>
          <w:tcPr>
            <w:tcW w:w="2160" w:type="dxa"/>
          </w:tcPr>
          <w:p w14:paraId="19DDA4B5">
            <w:pPr>
              <w:pStyle w:val="42"/>
              <w:rPr>
                <w:rFonts w:ascii="Times New Roman"/>
                <w:sz w:val="18"/>
              </w:rPr>
            </w:pPr>
          </w:p>
        </w:tc>
        <w:tc>
          <w:tcPr>
            <w:tcW w:w="4285" w:type="dxa"/>
          </w:tcPr>
          <w:p w14:paraId="3B286B26">
            <w:pPr>
              <w:pStyle w:val="42"/>
              <w:rPr>
                <w:rFonts w:ascii="Times New Roman"/>
                <w:sz w:val="18"/>
              </w:rPr>
            </w:pPr>
          </w:p>
        </w:tc>
      </w:tr>
      <w:tr w14:paraId="2C238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7F30B57B">
            <w:pPr>
              <w:pStyle w:val="42"/>
              <w:rPr>
                <w:rFonts w:ascii="Times New Roman"/>
                <w:sz w:val="18"/>
              </w:rPr>
            </w:pPr>
          </w:p>
        </w:tc>
        <w:tc>
          <w:tcPr>
            <w:tcW w:w="2160" w:type="dxa"/>
          </w:tcPr>
          <w:p w14:paraId="7E49C0CB">
            <w:pPr>
              <w:pStyle w:val="42"/>
              <w:rPr>
                <w:rFonts w:ascii="Times New Roman"/>
                <w:sz w:val="18"/>
              </w:rPr>
            </w:pPr>
          </w:p>
        </w:tc>
        <w:tc>
          <w:tcPr>
            <w:tcW w:w="4285" w:type="dxa"/>
          </w:tcPr>
          <w:p w14:paraId="0A47E1B5">
            <w:pPr>
              <w:pStyle w:val="42"/>
              <w:rPr>
                <w:rFonts w:ascii="Times New Roman"/>
                <w:sz w:val="18"/>
              </w:rPr>
            </w:pPr>
          </w:p>
        </w:tc>
      </w:tr>
      <w:tr w14:paraId="52E5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0B914D38">
            <w:pPr>
              <w:pStyle w:val="42"/>
              <w:rPr>
                <w:rFonts w:ascii="Times New Roman"/>
                <w:sz w:val="18"/>
              </w:rPr>
            </w:pPr>
          </w:p>
        </w:tc>
        <w:tc>
          <w:tcPr>
            <w:tcW w:w="2160" w:type="dxa"/>
          </w:tcPr>
          <w:p w14:paraId="3486C00C">
            <w:pPr>
              <w:pStyle w:val="42"/>
              <w:rPr>
                <w:rFonts w:ascii="Times New Roman"/>
                <w:sz w:val="18"/>
              </w:rPr>
            </w:pPr>
          </w:p>
        </w:tc>
        <w:tc>
          <w:tcPr>
            <w:tcW w:w="4285" w:type="dxa"/>
          </w:tcPr>
          <w:p w14:paraId="328003A7">
            <w:pPr>
              <w:pStyle w:val="42"/>
              <w:rPr>
                <w:rFonts w:ascii="Times New Roman"/>
                <w:sz w:val="18"/>
              </w:rPr>
            </w:pPr>
          </w:p>
        </w:tc>
      </w:tr>
      <w:tr w14:paraId="097A8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7FA082C6">
            <w:pPr>
              <w:pStyle w:val="42"/>
              <w:rPr>
                <w:rFonts w:ascii="Times New Roman"/>
                <w:sz w:val="18"/>
              </w:rPr>
            </w:pPr>
          </w:p>
        </w:tc>
        <w:tc>
          <w:tcPr>
            <w:tcW w:w="2160" w:type="dxa"/>
          </w:tcPr>
          <w:p w14:paraId="3DC7BB7D">
            <w:pPr>
              <w:pStyle w:val="42"/>
              <w:rPr>
                <w:rFonts w:ascii="Times New Roman"/>
                <w:sz w:val="18"/>
              </w:rPr>
            </w:pPr>
          </w:p>
        </w:tc>
        <w:tc>
          <w:tcPr>
            <w:tcW w:w="4285" w:type="dxa"/>
          </w:tcPr>
          <w:p w14:paraId="71C3331D">
            <w:pPr>
              <w:pStyle w:val="42"/>
              <w:rPr>
                <w:rFonts w:ascii="Times New Roman"/>
                <w:sz w:val="18"/>
              </w:rPr>
            </w:pPr>
          </w:p>
        </w:tc>
      </w:tr>
      <w:tr w14:paraId="397AA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1718C84B">
            <w:pPr>
              <w:pStyle w:val="42"/>
              <w:rPr>
                <w:rFonts w:ascii="Times New Roman"/>
                <w:sz w:val="18"/>
              </w:rPr>
            </w:pPr>
          </w:p>
        </w:tc>
        <w:tc>
          <w:tcPr>
            <w:tcW w:w="2160" w:type="dxa"/>
          </w:tcPr>
          <w:p w14:paraId="4ACF8656">
            <w:pPr>
              <w:pStyle w:val="42"/>
              <w:rPr>
                <w:rFonts w:ascii="Times New Roman"/>
                <w:sz w:val="18"/>
              </w:rPr>
            </w:pPr>
          </w:p>
        </w:tc>
        <w:tc>
          <w:tcPr>
            <w:tcW w:w="4285" w:type="dxa"/>
          </w:tcPr>
          <w:p w14:paraId="1786783B">
            <w:pPr>
              <w:pStyle w:val="42"/>
              <w:rPr>
                <w:rFonts w:ascii="Times New Roman"/>
                <w:sz w:val="18"/>
              </w:rPr>
            </w:pPr>
          </w:p>
        </w:tc>
      </w:tr>
      <w:tr w14:paraId="38644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1EBE4526">
            <w:pPr>
              <w:pStyle w:val="42"/>
              <w:rPr>
                <w:rFonts w:ascii="Times New Roman"/>
                <w:sz w:val="18"/>
              </w:rPr>
            </w:pPr>
          </w:p>
        </w:tc>
        <w:tc>
          <w:tcPr>
            <w:tcW w:w="2160" w:type="dxa"/>
          </w:tcPr>
          <w:p w14:paraId="60EEFDC8">
            <w:pPr>
              <w:pStyle w:val="42"/>
              <w:rPr>
                <w:rFonts w:ascii="Times New Roman"/>
                <w:sz w:val="18"/>
              </w:rPr>
            </w:pPr>
          </w:p>
        </w:tc>
        <w:tc>
          <w:tcPr>
            <w:tcW w:w="4285" w:type="dxa"/>
          </w:tcPr>
          <w:p w14:paraId="0765557B">
            <w:pPr>
              <w:pStyle w:val="42"/>
              <w:rPr>
                <w:rFonts w:ascii="Times New Roman"/>
                <w:sz w:val="18"/>
              </w:rPr>
            </w:pPr>
          </w:p>
        </w:tc>
      </w:tr>
      <w:tr w14:paraId="30E35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6DEC3A0A">
            <w:pPr>
              <w:pStyle w:val="42"/>
              <w:rPr>
                <w:rFonts w:ascii="Times New Roman"/>
                <w:sz w:val="18"/>
              </w:rPr>
            </w:pPr>
          </w:p>
        </w:tc>
        <w:tc>
          <w:tcPr>
            <w:tcW w:w="2160" w:type="dxa"/>
          </w:tcPr>
          <w:p w14:paraId="7ED3D0AE">
            <w:pPr>
              <w:pStyle w:val="42"/>
              <w:rPr>
                <w:rFonts w:ascii="Times New Roman"/>
                <w:sz w:val="18"/>
              </w:rPr>
            </w:pPr>
          </w:p>
        </w:tc>
        <w:tc>
          <w:tcPr>
            <w:tcW w:w="4285" w:type="dxa"/>
          </w:tcPr>
          <w:p w14:paraId="6D42AF43">
            <w:pPr>
              <w:pStyle w:val="42"/>
              <w:rPr>
                <w:rFonts w:ascii="Times New Roman"/>
                <w:sz w:val="18"/>
              </w:rPr>
            </w:pPr>
          </w:p>
        </w:tc>
      </w:tr>
      <w:tr w14:paraId="00B6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234B0C53">
            <w:pPr>
              <w:pStyle w:val="42"/>
              <w:rPr>
                <w:rFonts w:ascii="Times New Roman"/>
                <w:sz w:val="18"/>
              </w:rPr>
            </w:pPr>
          </w:p>
        </w:tc>
        <w:tc>
          <w:tcPr>
            <w:tcW w:w="2160" w:type="dxa"/>
          </w:tcPr>
          <w:p w14:paraId="1F6EF9E9">
            <w:pPr>
              <w:pStyle w:val="42"/>
              <w:rPr>
                <w:rFonts w:ascii="Times New Roman"/>
                <w:sz w:val="18"/>
              </w:rPr>
            </w:pPr>
          </w:p>
        </w:tc>
        <w:tc>
          <w:tcPr>
            <w:tcW w:w="4285" w:type="dxa"/>
          </w:tcPr>
          <w:p w14:paraId="5F49349C">
            <w:pPr>
              <w:pStyle w:val="42"/>
              <w:rPr>
                <w:rFonts w:ascii="Times New Roman"/>
                <w:sz w:val="18"/>
              </w:rPr>
            </w:pPr>
          </w:p>
        </w:tc>
      </w:tr>
      <w:tr w14:paraId="32A49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9" w:type="dxa"/>
          </w:tcPr>
          <w:p w14:paraId="3F9F8AD6">
            <w:pPr>
              <w:pStyle w:val="42"/>
              <w:rPr>
                <w:rFonts w:ascii="Times New Roman"/>
                <w:sz w:val="18"/>
              </w:rPr>
            </w:pPr>
          </w:p>
        </w:tc>
        <w:tc>
          <w:tcPr>
            <w:tcW w:w="2160" w:type="dxa"/>
          </w:tcPr>
          <w:p w14:paraId="28CF602B">
            <w:pPr>
              <w:pStyle w:val="42"/>
              <w:rPr>
                <w:rFonts w:ascii="Times New Roman"/>
                <w:sz w:val="18"/>
              </w:rPr>
            </w:pPr>
          </w:p>
        </w:tc>
        <w:tc>
          <w:tcPr>
            <w:tcW w:w="4285" w:type="dxa"/>
          </w:tcPr>
          <w:p w14:paraId="275AC945">
            <w:pPr>
              <w:pStyle w:val="42"/>
              <w:rPr>
                <w:rFonts w:ascii="Times New Roman"/>
                <w:sz w:val="18"/>
              </w:rPr>
            </w:pPr>
          </w:p>
        </w:tc>
      </w:tr>
      <w:tr w14:paraId="57042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49" w:type="dxa"/>
          </w:tcPr>
          <w:p w14:paraId="05EB64C2">
            <w:pPr>
              <w:pStyle w:val="42"/>
              <w:rPr>
                <w:rFonts w:ascii="Times New Roman"/>
                <w:sz w:val="18"/>
              </w:rPr>
            </w:pPr>
          </w:p>
        </w:tc>
        <w:tc>
          <w:tcPr>
            <w:tcW w:w="2160" w:type="dxa"/>
          </w:tcPr>
          <w:p w14:paraId="4FA4FD7E">
            <w:pPr>
              <w:pStyle w:val="42"/>
              <w:rPr>
                <w:rFonts w:ascii="Times New Roman"/>
                <w:sz w:val="18"/>
              </w:rPr>
            </w:pPr>
          </w:p>
        </w:tc>
        <w:tc>
          <w:tcPr>
            <w:tcW w:w="4285" w:type="dxa"/>
          </w:tcPr>
          <w:p w14:paraId="0E9C39FD">
            <w:pPr>
              <w:pStyle w:val="42"/>
              <w:rPr>
                <w:rFonts w:ascii="Times New Roman"/>
                <w:sz w:val="18"/>
              </w:rPr>
            </w:pPr>
          </w:p>
        </w:tc>
      </w:tr>
      <w:tr w14:paraId="1F7B2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4EEBC48A">
            <w:pPr>
              <w:pStyle w:val="42"/>
              <w:rPr>
                <w:rFonts w:ascii="Times New Roman"/>
                <w:sz w:val="18"/>
              </w:rPr>
            </w:pPr>
          </w:p>
        </w:tc>
        <w:tc>
          <w:tcPr>
            <w:tcW w:w="2160" w:type="dxa"/>
          </w:tcPr>
          <w:p w14:paraId="7D388A33">
            <w:pPr>
              <w:pStyle w:val="42"/>
              <w:rPr>
                <w:rFonts w:ascii="Times New Roman"/>
                <w:sz w:val="18"/>
              </w:rPr>
            </w:pPr>
          </w:p>
        </w:tc>
        <w:tc>
          <w:tcPr>
            <w:tcW w:w="4285" w:type="dxa"/>
          </w:tcPr>
          <w:p w14:paraId="195B67CD">
            <w:pPr>
              <w:pStyle w:val="42"/>
              <w:rPr>
                <w:rFonts w:ascii="Times New Roman"/>
                <w:sz w:val="18"/>
              </w:rPr>
            </w:pPr>
          </w:p>
        </w:tc>
      </w:tr>
      <w:tr w14:paraId="1CB90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9" w:type="dxa"/>
          </w:tcPr>
          <w:p w14:paraId="5943B7E1">
            <w:pPr>
              <w:pStyle w:val="42"/>
              <w:rPr>
                <w:rFonts w:ascii="Times New Roman"/>
                <w:sz w:val="18"/>
              </w:rPr>
            </w:pPr>
          </w:p>
        </w:tc>
        <w:tc>
          <w:tcPr>
            <w:tcW w:w="2160" w:type="dxa"/>
          </w:tcPr>
          <w:p w14:paraId="05CCDFCA">
            <w:pPr>
              <w:pStyle w:val="42"/>
              <w:rPr>
                <w:rFonts w:ascii="Times New Roman"/>
                <w:sz w:val="18"/>
              </w:rPr>
            </w:pPr>
          </w:p>
        </w:tc>
        <w:tc>
          <w:tcPr>
            <w:tcW w:w="4285" w:type="dxa"/>
          </w:tcPr>
          <w:p w14:paraId="2823CC5E">
            <w:pPr>
              <w:pStyle w:val="42"/>
              <w:rPr>
                <w:rFonts w:ascii="Times New Roman"/>
                <w:sz w:val="18"/>
              </w:rPr>
            </w:pPr>
          </w:p>
        </w:tc>
      </w:tr>
    </w:tbl>
    <w:p w14:paraId="70D8133C">
      <w:pPr>
        <w:pStyle w:val="12"/>
        <w:rPr>
          <w:b/>
          <w:sz w:val="20"/>
        </w:rPr>
      </w:pPr>
    </w:p>
    <w:p w14:paraId="12F2C25D">
      <w:pPr>
        <w:pStyle w:val="12"/>
        <w:rPr>
          <w:b/>
          <w:sz w:val="20"/>
        </w:rPr>
      </w:pPr>
    </w:p>
    <w:p w14:paraId="619E87B6">
      <w:pPr>
        <w:pStyle w:val="12"/>
        <w:spacing w:before="1"/>
        <w:rPr>
          <w:sz w:val="8"/>
        </w:rPr>
      </w:pPr>
    </w:p>
    <w:p w14:paraId="7E8F94DA">
      <w:pPr>
        <w:rPr>
          <w:rFonts w:hint="eastAsia" w:ascii="黑体" w:hAnsi="黑体" w:eastAsia="黑体"/>
        </w:rPr>
      </w:pPr>
      <w:bookmarkStart w:id="385" w:name="_bookmark274"/>
      <w:bookmarkEnd w:id="385"/>
      <w:r>
        <w:rPr>
          <w:rFonts w:hint="eastAsia" w:ascii="黑体" w:hAnsi="黑体" w:eastAsia="黑体"/>
        </w:rPr>
        <w:br w:type="page"/>
      </w:r>
    </w:p>
    <w:p w14:paraId="2710201D">
      <w:pPr>
        <w:pStyle w:val="12"/>
        <w:spacing w:before="74"/>
        <w:ind w:left="424"/>
        <w:rPr>
          <w:rFonts w:hint="eastAsia" w:ascii="黑体" w:hAnsi="黑体" w:eastAsia="黑体"/>
        </w:rPr>
      </w:pPr>
      <w:r>
        <w:rPr>
          <w:rFonts w:hint="eastAsia" w:ascii="黑体" w:hAnsi="黑体" w:eastAsia="黑体"/>
        </w:rPr>
        <w:t>附件五 主要机械设备和试验检测设备最低要求</w:t>
      </w:r>
    </w:p>
    <w:p w14:paraId="340B00FB">
      <w:pPr>
        <w:pStyle w:val="12"/>
        <w:rPr>
          <w:b/>
          <w:sz w:val="20"/>
        </w:rPr>
      </w:pPr>
    </w:p>
    <w:p w14:paraId="28B5EA5A">
      <w:pPr>
        <w:pStyle w:val="12"/>
        <w:spacing w:before="6"/>
        <w:rPr>
          <w:b/>
          <w:sz w:val="11"/>
        </w:rPr>
      </w:pPr>
    </w:p>
    <w:tbl>
      <w:tblPr>
        <w:tblStyle w:val="25"/>
        <w:tblW w:w="0" w:type="auto"/>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3"/>
        <w:gridCol w:w="2744"/>
        <w:gridCol w:w="1388"/>
        <w:gridCol w:w="2195"/>
      </w:tblGrid>
      <w:tr w14:paraId="08887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730F934F">
            <w:pPr>
              <w:pStyle w:val="42"/>
              <w:spacing w:before="199"/>
              <w:ind w:left="635"/>
              <w:rPr>
                <w:sz w:val="21"/>
                <w:szCs w:val="21"/>
              </w:rPr>
            </w:pPr>
            <w:r>
              <w:rPr>
                <w:sz w:val="21"/>
                <w:szCs w:val="21"/>
              </w:rPr>
              <w:t>设备名称</w:t>
            </w:r>
          </w:p>
        </w:tc>
        <w:tc>
          <w:tcPr>
            <w:tcW w:w="2744" w:type="dxa"/>
          </w:tcPr>
          <w:p w14:paraId="625C7D72">
            <w:pPr>
              <w:pStyle w:val="42"/>
              <w:spacing w:before="199"/>
              <w:ind w:left="412"/>
              <w:rPr>
                <w:sz w:val="21"/>
                <w:szCs w:val="21"/>
              </w:rPr>
            </w:pPr>
            <w:r>
              <w:rPr>
                <w:sz w:val="21"/>
                <w:szCs w:val="21"/>
              </w:rPr>
              <w:t>规格、功率及容量</w:t>
            </w:r>
          </w:p>
        </w:tc>
        <w:tc>
          <w:tcPr>
            <w:tcW w:w="1388" w:type="dxa"/>
          </w:tcPr>
          <w:p w14:paraId="14EF2C38">
            <w:pPr>
              <w:pStyle w:val="42"/>
              <w:spacing w:before="199"/>
              <w:ind w:left="452"/>
              <w:rPr>
                <w:sz w:val="21"/>
                <w:szCs w:val="21"/>
              </w:rPr>
            </w:pPr>
            <w:r>
              <w:rPr>
                <w:sz w:val="21"/>
                <w:szCs w:val="21"/>
              </w:rPr>
              <w:t>单位</w:t>
            </w:r>
          </w:p>
        </w:tc>
        <w:tc>
          <w:tcPr>
            <w:tcW w:w="2195" w:type="dxa"/>
          </w:tcPr>
          <w:p w14:paraId="5C12644D">
            <w:pPr>
              <w:pStyle w:val="42"/>
              <w:spacing w:before="199"/>
              <w:ind w:left="374"/>
              <w:rPr>
                <w:sz w:val="21"/>
                <w:szCs w:val="21"/>
              </w:rPr>
            </w:pPr>
            <w:r>
              <w:rPr>
                <w:sz w:val="21"/>
                <w:szCs w:val="21"/>
              </w:rPr>
              <w:t>最低数量要求</w:t>
            </w:r>
          </w:p>
        </w:tc>
      </w:tr>
      <w:tr w14:paraId="48BF7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32748ADF">
            <w:pPr>
              <w:pStyle w:val="42"/>
              <w:rPr>
                <w:rFonts w:ascii="Times New Roman"/>
                <w:sz w:val="18"/>
              </w:rPr>
            </w:pPr>
          </w:p>
        </w:tc>
        <w:tc>
          <w:tcPr>
            <w:tcW w:w="2744" w:type="dxa"/>
          </w:tcPr>
          <w:p w14:paraId="5002B545">
            <w:pPr>
              <w:pStyle w:val="42"/>
              <w:rPr>
                <w:rFonts w:ascii="Times New Roman"/>
                <w:sz w:val="18"/>
              </w:rPr>
            </w:pPr>
          </w:p>
        </w:tc>
        <w:tc>
          <w:tcPr>
            <w:tcW w:w="1388" w:type="dxa"/>
          </w:tcPr>
          <w:p w14:paraId="1379E330">
            <w:pPr>
              <w:pStyle w:val="42"/>
              <w:rPr>
                <w:rFonts w:ascii="Times New Roman"/>
                <w:sz w:val="18"/>
              </w:rPr>
            </w:pPr>
          </w:p>
        </w:tc>
        <w:tc>
          <w:tcPr>
            <w:tcW w:w="2195" w:type="dxa"/>
          </w:tcPr>
          <w:p w14:paraId="305376DC">
            <w:pPr>
              <w:pStyle w:val="42"/>
              <w:rPr>
                <w:rFonts w:ascii="Times New Roman"/>
                <w:sz w:val="18"/>
              </w:rPr>
            </w:pPr>
          </w:p>
        </w:tc>
      </w:tr>
      <w:tr w14:paraId="7B765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46C159AD">
            <w:pPr>
              <w:pStyle w:val="42"/>
              <w:rPr>
                <w:rFonts w:ascii="Times New Roman"/>
                <w:sz w:val="18"/>
              </w:rPr>
            </w:pPr>
          </w:p>
        </w:tc>
        <w:tc>
          <w:tcPr>
            <w:tcW w:w="2744" w:type="dxa"/>
          </w:tcPr>
          <w:p w14:paraId="06F1A495">
            <w:pPr>
              <w:pStyle w:val="42"/>
              <w:rPr>
                <w:rFonts w:ascii="Times New Roman"/>
                <w:sz w:val="18"/>
              </w:rPr>
            </w:pPr>
          </w:p>
        </w:tc>
        <w:tc>
          <w:tcPr>
            <w:tcW w:w="1388" w:type="dxa"/>
          </w:tcPr>
          <w:p w14:paraId="560BA087">
            <w:pPr>
              <w:pStyle w:val="42"/>
              <w:rPr>
                <w:rFonts w:ascii="Times New Roman"/>
                <w:sz w:val="18"/>
              </w:rPr>
            </w:pPr>
          </w:p>
        </w:tc>
        <w:tc>
          <w:tcPr>
            <w:tcW w:w="2195" w:type="dxa"/>
          </w:tcPr>
          <w:p w14:paraId="012239DE">
            <w:pPr>
              <w:pStyle w:val="42"/>
              <w:rPr>
                <w:rFonts w:ascii="Times New Roman"/>
                <w:sz w:val="18"/>
              </w:rPr>
            </w:pPr>
          </w:p>
        </w:tc>
      </w:tr>
      <w:tr w14:paraId="1F6D4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0B22210B">
            <w:pPr>
              <w:pStyle w:val="42"/>
              <w:rPr>
                <w:rFonts w:ascii="Times New Roman"/>
                <w:sz w:val="18"/>
              </w:rPr>
            </w:pPr>
          </w:p>
        </w:tc>
        <w:tc>
          <w:tcPr>
            <w:tcW w:w="2744" w:type="dxa"/>
          </w:tcPr>
          <w:p w14:paraId="1B4BEBC7">
            <w:pPr>
              <w:pStyle w:val="42"/>
              <w:rPr>
                <w:rFonts w:ascii="Times New Roman"/>
                <w:sz w:val="18"/>
              </w:rPr>
            </w:pPr>
          </w:p>
        </w:tc>
        <w:tc>
          <w:tcPr>
            <w:tcW w:w="1388" w:type="dxa"/>
          </w:tcPr>
          <w:p w14:paraId="4980CCB8">
            <w:pPr>
              <w:pStyle w:val="42"/>
              <w:rPr>
                <w:rFonts w:ascii="Times New Roman"/>
                <w:sz w:val="18"/>
              </w:rPr>
            </w:pPr>
          </w:p>
        </w:tc>
        <w:tc>
          <w:tcPr>
            <w:tcW w:w="2195" w:type="dxa"/>
          </w:tcPr>
          <w:p w14:paraId="71A89127">
            <w:pPr>
              <w:pStyle w:val="42"/>
              <w:rPr>
                <w:rFonts w:ascii="Times New Roman"/>
                <w:sz w:val="18"/>
              </w:rPr>
            </w:pPr>
          </w:p>
        </w:tc>
      </w:tr>
      <w:tr w14:paraId="126C8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2F89BFB6">
            <w:pPr>
              <w:pStyle w:val="42"/>
              <w:rPr>
                <w:rFonts w:ascii="Times New Roman"/>
                <w:sz w:val="18"/>
              </w:rPr>
            </w:pPr>
          </w:p>
        </w:tc>
        <w:tc>
          <w:tcPr>
            <w:tcW w:w="2744" w:type="dxa"/>
          </w:tcPr>
          <w:p w14:paraId="459424D4">
            <w:pPr>
              <w:pStyle w:val="42"/>
              <w:rPr>
                <w:rFonts w:ascii="Times New Roman"/>
                <w:sz w:val="18"/>
              </w:rPr>
            </w:pPr>
          </w:p>
        </w:tc>
        <w:tc>
          <w:tcPr>
            <w:tcW w:w="1388" w:type="dxa"/>
          </w:tcPr>
          <w:p w14:paraId="172E6CDC">
            <w:pPr>
              <w:pStyle w:val="42"/>
              <w:rPr>
                <w:rFonts w:ascii="Times New Roman"/>
                <w:sz w:val="18"/>
              </w:rPr>
            </w:pPr>
          </w:p>
        </w:tc>
        <w:tc>
          <w:tcPr>
            <w:tcW w:w="2195" w:type="dxa"/>
          </w:tcPr>
          <w:p w14:paraId="121D953F">
            <w:pPr>
              <w:pStyle w:val="42"/>
              <w:rPr>
                <w:rFonts w:ascii="Times New Roman"/>
                <w:sz w:val="18"/>
              </w:rPr>
            </w:pPr>
          </w:p>
        </w:tc>
      </w:tr>
      <w:tr w14:paraId="189C0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233" w:type="dxa"/>
          </w:tcPr>
          <w:p w14:paraId="5A4D43BE">
            <w:pPr>
              <w:pStyle w:val="42"/>
              <w:rPr>
                <w:rFonts w:ascii="Times New Roman"/>
                <w:sz w:val="18"/>
              </w:rPr>
            </w:pPr>
          </w:p>
        </w:tc>
        <w:tc>
          <w:tcPr>
            <w:tcW w:w="2744" w:type="dxa"/>
          </w:tcPr>
          <w:p w14:paraId="1CE25D67">
            <w:pPr>
              <w:pStyle w:val="42"/>
              <w:rPr>
                <w:rFonts w:ascii="Times New Roman"/>
                <w:sz w:val="18"/>
              </w:rPr>
            </w:pPr>
          </w:p>
        </w:tc>
        <w:tc>
          <w:tcPr>
            <w:tcW w:w="1388" w:type="dxa"/>
          </w:tcPr>
          <w:p w14:paraId="047483A2">
            <w:pPr>
              <w:pStyle w:val="42"/>
              <w:rPr>
                <w:rFonts w:ascii="Times New Roman"/>
                <w:sz w:val="18"/>
              </w:rPr>
            </w:pPr>
          </w:p>
        </w:tc>
        <w:tc>
          <w:tcPr>
            <w:tcW w:w="2195" w:type="dxa"/>
          </w:tcPr>
          <w:p w14:paraId="74A31BD0">
            <w:pPr>
              <w:pStyle w:val="42"/>
              <w:rPr>
                <w:rFonts w:ascii="Times New Roman"/>
                <w:sz w:val="18"/>
              </w:rPr>
            </w:pPr>
          </w:p>
        </w:tc>
      </w:tr>
      <w:tr w14:paraId="53B7E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39DAAF04">
            <w:pPr>
              <w:pStyle w:val="42"/>
              <w:rPr>
                <w:rFonts w:ascii="Times New Roman"/>
                <w:sz w:val="18"/>
              </w:rPr>
            </w:pPr>
          </w:p>
        </w:tc>
        <w:tc>
          <w:tcPr>
            <w:tcW w:w="2744" w:type="dxa"/>
          </w:tcPr>
          <w:p w14:paraId="63A59FD2">
            <w:pPr>
              <w:pStyle w:val="42"/>
              <w:rPr>
                <w:rFonts w:ascii="Times New Roman"/>
                <w:sz w:val="18"/>
              </w:rPr>
            </w:pPr>
          </w:p>
        </w:tc>
        <w:tc>
          <w:tcPr>
            <w:tcW w:w="1388" w:type="dxa"/>
          </w:tcPr>
          <w:p w14:paraId="011A17EB">
            <w:pPr>
              <w:pStyle w:val="42"/>
              <w:rPr>
                <w:rFonts w:ascii="Times New Roman"/>
                <w:sz w:val="18"/>
              </w:rPr>
            </w:pPr>
          </w:p>
        </w:tc>
        <w:tc>
          <w:tcPr>
            <w:tcW w:w="2195" w:type="dxa"/>
          </w:tcPr>
          <w:p w14:paraId="5516DA7E">
            <w:pPr>
              <w:pStyle w:val="42"/>
              <w:rPr>
                <w:rFonts w:ascii="Times New Roman"/>
                <w:sz w:val="18"/>
              </w:rPr>
            </w:pPr>
          </w:p>
        </w:tc>
      </w:tr>
      <w:tr w14:paraId="2470D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277521C1">
            <w:pPr>
              <w:pStyle w:val="42"/>
              <w:rPr>
                <w:rFonts w:ascii="Times New Roman"/>
                <w:sz w:val="18"/>
              </w:rPr>
            </w:pPr>
          </w:p>
        </w:tc>
        <w:tc>
          <w:tcPr>
            <w:tcW w:w="2744" w:type="dxa"/>
          </w:tcPr>
          <w:p w14:paraId="70CE316D">
            <w:pPr>
              <w:pStyle w:val="42"/>
              <w:rPr>
                <w:rFonts w:ascii="Times New Roman"/>
                <w:sz w:val="18"/>
              </w:rPr>
            </w:pPr>
          </w:p>
        </w:tc>
        <w:tc>
          <w:tcPr>
            <w:tcW w:w="1388" w:type="dxa"/>
          </w:tcPr>
          <w:p w14:paraId="0355445F">
            <w:pPr>
              <w:pStyle w:val="42"/>
              <w:rPr>
                <w:rFonts w:ascii="Times New Roman"/>
                <w:sz w:val="18"/>
              </w:rPr>
            </w:pPr>
          </w:p>
        </w:tc>
        <w:tc>
          <w:tcPr>
            <w:tcW w:w="2195" w:type="dxa"/>
          </w:tcPr>
          <w:p w14:paraId="45807089">
            <w:pPr>
              <w:pStyle w:val="42"/>
              <w:rPr>
                <w:rFonts w:ascii="Times New Roman"/>
                <w:sz w:val="18"/>
              </w:rPr>
            </w:pPr>
          </w:p>
        </w:tc>
      </w:tr>
      <w:tr w14:paraId="672F3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2B6ABF36">
            <w:pPr>
              <w:pStyle w:val="42"/>
              <w:rPr>
                <w:rFonts w:ascii="Times New Roman"/>
                <w:sz w:val="18"/>
              </w:rPr>
            </w:pPr>
          </w:p>
        </w:tc>
        <w:tc>
          <w:tcPr>
            <w:tcW w:w="2744" w:type="dxa"/>
          </w:tcPr>
          <w:p w14:paraId="49F634F5">
            <w:pPr>
              <w:pStyle w:val="42"/>
              <w:rPr>
                <w:rFonts w:ascii="Times New Roman"/>
                <w:sz w:val="18"/>
              </w:rPr>
            </w:pPr>
          </w:p>
        </w:tc>
        <w:tc>
          <w:tcPr>
            <w:tcW w:w="1388" w:type="dxa"/>
          </w:tcPr>
          <w:p w14:paraId="6B740F02">
            <w:pPr>
              <w:pStyle w:val="42"/>
              <w:rPr>
                <w:rFonts w:ascii="Times New Roman"/>
                <w:sz w:val="18"/>
              </w:rPr>
            </w:pPr>
          </w:p>
        </w:tc>
        <w:tc>
          <w:tcPr>
            <w:tcW w:w="2195" w:type="dxa"/>
          </w:tcPr>
          <w:p w14:paraId="406F2647">
            <w:pPr>
              <w:pStyle w:val="42"/>
              <w:rPr>
                <w:rFonts w:ascii="Times New Roman"/>
                <w:sz w:val="18"/>
              </w:rPr>
            </w:pPr>
          </w:p>
        </w:tc>
      </w:tr>
      <w:tr w14:paraId="395DC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624647AE">
            <w:pPr>
              <w:pStyle w:val="42"/>
              <w:rPr>
                <w:rFonts w:ascii="Times New Roman"/>
                <w:sz w:val="18"/>
              </w:rPr>
            </w:pPr>
          </w:p>
        </w:tc>
        <w:tc>
          <w:tcPr>
            <w:tcW w:w="2744" w:type="dxa"/>
          </w:tcPr>
          <w:p w14:paraId="6D03A4D4">
            <w:pPr>
              <w:pStyle w:val="42"/>
              <w:rPr>
                <w:rFonts w:ascii="Times New Roman"/>
                <w:sz w:val="18"/>
              </w:rPr>
            </w:pPr>
          </w:p>
        </w:tc>
        <w:tc>
          <w:tcPr>
            <w:tcW w:w="1388" w:type="dxa"/>
          </w:tcPr>
          <w:p w14:paraId="76CD67CD">
            <w:pPr>
              <w:pStyle w:val="42"/>
              <w:rPr>
                <w:rFonts w:ascii="Times New Roman"/>
                <w:sz w:val="18"/>
              </w:rPr>
            </w:pPr>
          </w:p>
        </w:tc>
        <w:tc>
          <w:tcPr>
            <w:tcW w:w="2195" w:type="dxa"/>
          </w:tcPr>
          <w:p w14:paraId="08E3FFD7">
            <w:pPr>
              <w:pStyle w:val="42"/>
              <w:rPr>
                <w:rFonts w:ascii="Times New Roman"/>
                <w:sz w:val="18"/>
              </w:rPr>
            </w:pPr>
          </w:p>
        </w:tc>
      </w:tr>
      <w:tr w14:paraId="1C7C7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45EE8C26">
            <w:pPr>
              <w:pStyle w:val="42"/>
              <w:rPr>
                <w:rFonts w:ascii="Times New Roman"/>
                <w:sz w:val="18"/>
              </w:rPr>
            </w:pPr>
          </w:p>
        </w:tc>
        <w:tc>
          <w:tcPr>
            <w:tcW w:w="2744" w:type="dxa"/>
          </w:tcPr>
          <w:p w14:paraId="743915C1">
            <w:pPr>
              <w:pStyle w:val="42"/>
              <w:rPr>
                <w:rFonts w:ascii="Times New Roman"/>
                <w:sz w:val="18"/>
              </w:rPr>
            </w:pPr>
          </w:p>
        </w:tc>
        <w:tc>
          <w:tcPr>
            <w:tcW w:w="1388" w:type="dxa"/>
          </w:tcPr>
          <w:p w14:paraId="786FE8C0">
            <w:pPr>
              <w:pStyle w:val="42"/>
              <w:rPr>
                <w:rFonts w:ascii="Times New Roman"/>
                <w:sz w:val="18"/>
              </w:rPr>
            </w:pPr>
          </w:p>
        </w:tc>
        <w:tc>
          <w:tcPr>
            <w:tcW w:w="2195" w:type="dxa"/>
          </w:tcPr>
          <w:p w14:paraId="6DBA311F">
            <w:pPr>
              <w:pStyle w:val="42"/>
              <w:rPr>
                <w:rFonts w:ascii="Times New Roman"/>
                <w:sz w:val="18"/>
              </w:rPr>
            </w:pPr>
          </w:p>
        </w:tc>
      </w:tr>
      <w:tr w14:paraId="5E15A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233" w:type="dxa"/>
          </w:tcPr>
          <w:p w14:paraId="47554CE1">
            <w:pPr>
              <w:pStyle w:val="42"/>
              <w:rPr>
                <w:rFonts w:ascii="Times New Roman"/>
                <w:sz w:val="18"/>
              </w:rPr>
            </w:pPr>
          </w:p>
        </w:tc>
        <w:tc>
          <w:tcPr>
            <w:tcW w:w="2744" w:type="dxa"/>
          </w:tcPr>
          <w:p w14:paraId="23227D6C">
            <w:pPr>
              <w:pStyle w:val="42"/>
              <w:rPr>
                <w:rFonts w:ascii="Times New Roman"/>
                <w:sz w:val="18"/>
              </w:rPr>
            </w:pPr>
          </w:p>
        </w:tc>
        <w:tc>
          <w:tcPr>
            <w:tcW w:w="1388" w:type="dxa"/>
          </w:tcPr>
          <w:p w14:paraId="78B0FE4A">
            <w:pPr>
              <w:pStyle w:val="42"/>
              <w:rPr>
                <w:rFonts w:ascii="Times New Roman"/>
                <w:sz w:val="18"/>
              </w:rPr>
            </w:pPr>
          </w:p>
        </w:tc>
        <w:tc>
          <w:tcPr>
            <w:tcW w:w="2195" w:type="dxa"/>
          </w:tcPr>
          <w:p w14:paraId="6C8D3575">
            <w:pPr>
              <w:pStyle w:val="42"/>
              <w:rPr>
                <w:rFonts w:ascii="Times New Roman"/>
                <w:sz w:val="18"/>
              </w:rPr>
            </w:pPr>
          </w:p>
        </w:tc>
      </w:tr>
      <w:tr w14:paraId="427DC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00EEA1F4">
            <w:pPr>
              <w:pStyle w:val="42"/>
              <w:rPr>
                <w:rFonts w:ascii="Times New Roman"/>
                <w:sz w:val="18"/>
              </w:rPr>
            </w:pPr>
          </w:p>
        </w:tc>
        <w:tc>
          <w:tcPr>
            <w:tcW w:w="2744" w:type="dxa"/>
          </w:tcPr>
          <w:p w14:paraId="29DE0824">
            <w:pPr>
              <w:pStyle w:val="42"/>
              <w:rPr>
                <w:rFonts w:ascii="Times New Roman"/>
                <w:sz w:val="18"/>
              </w:rPr>
            </w:pPr>
          </w:p>
        </w:tc>
        <w:tc>
          <w:tcPr>
            <w:tcW w:w="1388" w:type="dxa"/>
          </w:tcPr>
          <w:p w14:paraId="7BA2425E">
            <w:pPr>
              <w:pStyle w:val="42"/>
              <w:rPr>
                <w:rFonts w:ascii="Times New Roman"/>
                <w:sz w:val="18"/>
              </w:rPr>
            </w:pPr>
          </w:p>
        </w:tc>
        <w:tc>
          <w:tcPr>
            <w:tcW w:w="2195" w:type="dxa"/>
          </w:tcPr>
          <w:p w14:paraId="7E99CB47">
            <w:pPr>
              <w:pStyle w:val="42"/>
              <w:rPr>
                <w:rFonts w:ascii="Times New Roman"/>
                <w:sz w:val="18"/>
              </w:rPr>
            </w:pPr>
          </w:p>
        </w:tc>
      </w:tr>
      <w:tr w14:paraId="22091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3" w:type="dxa"/>
          </w:tcPr>
          <w:p w14:paraId="04B27E2A">
            <w:pPr>
              <w:pStyle w:val="42"/>
              <w:rPr>
                <w:rFonts w:ascii="Times New Roman"/>
                <w:sz w:val="18"/>
              </w:rPr>
            </w:pPr>
          </w:p>
        </w:tc>
        <w:tc>
          <w:tcPr>
            <w:tcW w:w="2744" w:type="dxa"/>
          </w:tcPr>
          <w:p w14:paraId="7EAB42D4">
            <w:pPr>
              <w:pStyle w:val="42"/>
              <w:rPr>
                <w:rFonts w:ascii="Times New Roman"/>
                <w:sz w:val="18"/>
              </w:rPr>
            </w:pPr>
          </w:p>
        </w:tc>
        <w:tc>
          <w:tcPr>
            <w:tcW w:w="1388" w:type="dxa"/>
          </w:tcPr>
          <w:p w14:paraId="0FC46596">
            <w:pPr>
              <w:pStyle w:val="42"/>
              <w:rPr>
                <w:rFonts w:ascii="Times New Roman"/>
                <w:sz w:val="18"/>
              </w:rPr>
            </w:pPr>
          </w:p>
        </w:tc>
        <w:tc>
          <w:tcPr>
            <w:tcW w:w="2195" w:type="dxa"/>
          </w:tcPr>
          <w:p w14:paraId="682DC60A">
            <w:pPr>
              <w:pStyle w:val="42"/>
              <w:rPr>
                <w:rFonts w:ascii="Times New Roman"/>
                <w:sz w:val="18"/>
              </w:rPr>
            </w:pPr>
          </w:p>
        </w:tc>
      </w:tr>
      <w:tr w14:paraId="73395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13B276CF">
            <w:pPr>
              <w:pStyle w:val="42"/>
              <w:rPr>
                <w:rFonts w:ascii="Times New Roman"/>
                <w:sz w:val="18"/>
              </w:rPr>
            </w:pPr>
          </w:p>
        </w:tc>
        <w:tc>
          <w:tcPr>
            <w:tcW w:w="2744" w:type="dxa"/>
          </w:tcPr>
          <w:p w14:paraId="6F2B6D0C">
            <w:pPr>
              <w:pStyle w:val="42"/>
              <w:rPr>
                <w:rFonts w:ascii="Times New Roman"/>
                <w:sz w:val="18"/>
              </w:rPr>
            </w:pPr>
          </w:p>
        </w:tc>
        <w:tc>
          <w:tcPr>
            <w:tcW w:w="1388" w:type="dxa"/>
          </w:tcPr>
          <w:p w14:paraId="09500BE7">
            <w:pPr>
              <w:pStyle w:val="42"/>
              <w:rPr>
                <w:rFonts w:ascii="Times New Roman"/>
                <w:sz w:val="18"/>
              </w:rPr>
            </w:pPr>
          </w:p>
        </w:tc>
        <w:tc>
          <w:tcPr>
            <w:tcW w:w="2195" w:type="dxa"/>
          </w:tcPr>
          <w:p w14:paraId="63FF30C6">
            <w:pPr>
              <w:pStyle w:val="42"/>
              <w:rPr>
                <w:rFonts w:ascii="Times New Roman"/>
                <w:sz w:val="18"/>
              </w:rPr>
            </w:pPr>
          </w:p>
        </w:tc>
      </w:tr>
      <w:tr w14:paraId="414FA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3" w:type="dxa"/>
          </w:tcPr>
          <w:p w14:paraId="31EB6F1F">
            <w:pPr>
              <w:pStyle w:val="42"/>
              <w:rPr>
                <w:rFonts w:ascii="Times New Roman"/>
                <w:sz w:val="18"/>
              </w:rPr>
            </w:pPr>
          </w:p>
        </w:tc>
        <w:tc>
          <w:tcPr>
            <w:tcW w:w="2744" w:type="dxa"/>
          </w:tcPr>
          <w:p w14:paraId="5507B0FD">
            <w:pPr>
              <w:pStyle w:val="42"/>
              <w:rPr>
                <w:rFonts w:ascii="Times New Roman"/>
                <w:sz w:val="18"/>
              </w:rPr>
            </w:pPr>
          </w:p>
        </w:tc>
        <w:tc>
          <w:tcPr>
            <w:tcW w:w="1388" w:type="dxa"/>
          </w:tcPr>
          <w:p w14:paraId="65C96491">
            <w:pPr>
              <w:pStyle w:val="42"/>
              <w:rPr>
                <w:rFonts w:ascii="Times New Roman"/>
                <w:sz w:val="18"/>
              </w:rPr>
            </w:pPr>
          </w:p>
        </w:tc>
        <w:tc>
          <w:tcPr>
            <w:tcW w:w="2195" w:type="dxa"/>
          </w:tcPr>
          <w:p w14:paraId="52D4CD2B">
            <w:pPr>
              <w:pStyle w:val="42"/>
              <w:rPr>
                <w:rFonts w:ascii="Times New Roman"/>
                <w:sz w:val="18"/>
              </w:rPr>
            </w:pPr>
          </w:p>
        </w:tc>
      </w:tr>
    </w:tbl>
    <w:p w14:paraId="11AF362E">
      <w:pPr>
        <w:pStyle w:val="12"/>
        <w:rPr>
          <w:b/>
          <w:sz w:val="20"/>
        </w:rPr>
      </w:pPr>
    </w:p>
    <w:p w14:paraId="4B3AF69B">
      <w:pPr>
        <w:rPr>
          <w:sz w:val="20"/>
        </w:rPr>
      </w:pPr>
      <w:r>
        <w:rPr>
          <w:sz w:val="20"/>
        </w:rPr>
        <w:br w:type="page"/>
      </w:r>
    </w:p>
    <w:p w14:paraId="4734CE36">
      <w:pPr>
        <w:pStyle w:val="12"/>
        <w:spacing w:before="10"/>
        <w:rPr>
          <w:sz w:val="19"/>
        </w:rPr>
      </w:pPr>
    </w:p>
    <w:p w14:paraId="3D8CE288">
      <w:pPr>
        <w:spacing w:after="0"/>
        <w:rPr>
          <w:sz w:val="19"/>
        </w:rPr>
        <w:sectPr>
          <w:footerReference r:id="rId44" w:type="default"/>
          <w:footerReference r:id="rId45" w:type="even"/>
          <w:pgSz w:w="11910" w:h="16850"/>
          <w:pgMar w:top="1480" w:right="1200" w:bottom="1080" w:left="1220" w:header="883" w:footer="884" w:gutter="0"/>
          <w:pgNumType w:fmt="decimal"/>
          <w:cols w:space="720" w:num="1"/>
        </w:sectPr>
      </w:pPr>
    </w:p>
    <w:p w14:paraId="3220B7A3">
      <w:pPr>
        <w:pStyle w:val="12"/>
        <w:spacing w:before="66"/>
        <w:ind w:left="424"/>
        <w:rPr>
          <w:rFonts w:hint="eastAsia" w:ascii="黑体" w:eastAsia="黑体"/>
        </w:rPr>
      </w:pPr>
      <w:bookmarkStart w:id="386" w:name="_bookmark275"/>
      <w:bookmarkEnd w:id="386"/>
      <w:r>
        <w:rPr>
          <w:rFonts w:hint="eastAsia" w:ascii="黑体" w:eastAsia="黑体"/>
        </w:rPr>
        <w:t>附件六 项目经理委任书</w:t>
      </w:r>
    </w:p>
    <w:p w14:paraId="722DC0B0">
      <w:pPr>
        <w:pStyle w:val="12"/>
        <w:spacing w:before="5"/>
        <w:rPr>
          <w:rFonts w:ascii="黑体"/>
          <w:sz w:val="32"/>
        </w:rPr>
      </w:pPr>
      <w:r>
        <w:br w:type="column"/>
      </w:r>
    </w:p>
    <w:p w14:paraId="31D90B59">
      <w:pPr>
        <w:spacing w:before="0" w:line="360" w:lineRule="auto"/>
        <w:ind w:left="424" w:right="0" w:firstLine="0"/>
        <w:jc w:val="left"/>
        <w:rPr>
          <w:rFonts w:hint="eastAsia" w:ascii="黑体" w:eastAsia="黑体"/>
          <w:sz w:val="21"/>
          <w:szCs w:val="21"/>
        </w:rPr>
      </w:pPr>
      <w:r>
        <w:rPr>
          <w:rFonts w:hint="eastAsia" w:ascii="黑体" w:eastAsia="黑体"/>
          <w:sz w:val="21"/>
          <w:szCs w:val="21"/>
          <w:u w:val="single"/>
        </w:rPr>
        <w:t>（承包人全称）</w:t>
      </w:r>
    </w:p>
    <w:p w14:paraId="4C6D41D9">
      <w:pPr>
        <w:spacing w:after="0" w:line="360" w:lineRule="auto"/>
        <w:jc w:val="left"/>
        <w:rPr>
          <w:rFonts w:hint="eastAsia" w:ascii="黑体" w:eastAsia="黑体"/>
          <w:sz w:val="21"/>
          <w:szCs w:val="21"/>
        </w:rPr>
        <w:sectPr>
          <w:type w:val="continuous"/>
          <w:pgSz w:w="11910" w:h="16850"/>
          <w:pgMar w:top="1600" w:right="1200" w:bottom="280" w:left="1220" w:header="720" w:footer="720" w:gutter="0"/>
          <w:pgNumType w:fmt="decimal"/>
          <w:cols w:equalWidth="0" w:num="2">
            <w:col w:w="2985" w:space="373"/>
            <w:col w:w="6132"/>
          </w:cols>
        </w:sectPr>
      </w:pPr>
    </w:p>
    <w:p w14:paraId="56D74C3B">
      <w:pPr>
        <w:spacing w:before="40" w:line="360" w:lineRule="auto"/>
        <w:ind w:left="1098" w:right="1057" w:firstLine="0"/>
        <w:jc w:val="center"/>
        <w:rPr>
          <w:rFonts w:hint="eastAsia" w:ascii="黑体" w:eastAsia="黑体"/>
          <w:sz w:val="21"/>
          <w:szCs w:val="21"/>
        </w:rPr>
      </w:pPr>
      <w:r>
        <w:rPr>
          <w:rFonts w:hint="eastAsia" w:ascii="黑体" w:eastAsia="黑体"/>
          <w:sz w:val="21"/>
          <w:szCs w:val="21"/>
          <w:u w:val="single"/>
        </w:rPr>
        <w:t xml:space="preserve">（合同工程名称） </w:t>
      </w:r>
      <w:r>
        <w:rPr>
          <w:rFonts w:hint="eastAsia" w:ascii="黑体" w:eastAsia="黑体"/>
          <w:sz w:val="21"/>
          <w:szCs w:val="21"/>
        </w:rPr>
        <w:t>项目经理委任书</w:t>
      </w:r>
    </w:p>
    <w:p w14:paraId="609A133F">
      <w:pPr>
        <w:pStyle w:val="12"/>
        <w:spacing w:line="360" w:lineRule="auto"/>
        <w:rPr>
          <w:rFonts w:ascii="黑体"/>
          <w:sz w:val="21"/>
          <w:szCs w:val="21"/>
        </w:rPr>
      </w:pPr>
    </w:p>
    <w:p w14:paraId="0F9AC7DC">
      <w:pPr>
        <w:pStyle w:val="12"/>
        <w:spacing w:before="9" w:line="360" w:lineRule="auto"/>
        <w:rPr>
          <w:rFonts w:ascii="黑体"/>
          <w:sz w:val="21"/>
          <w:szCs w:val="21"/>
        </w:rPr>
      </w:pPr>
    </w:p>
    <w:p w14:paraId="20C7DD37">
      <w:pPr>
        <w:pStyle w:val="12"/>
        <w:spacing w:line="360" w:lineRule="auto"/>
        <w:ind w:left="424"/>
        <w:rPr>
          <w:sz w:val="21"/>
          <w:szCs w:val="21"/>
        </w:rPr>
      </w:pPr>
      <w:r>
        <w:rPr>
          <w:spacing w:val="-61"/>
          <w:sz w:val="21"/>
          <w:szCs w:val="21"/>
        </w:rPr>
        <w:t>致：</w:t>
      </w:r>
      <w:r>
        <w:rPr>
          <w:sz w:val="21"/>
          <w:szCs w:val="21"/>
          <w:u w:val="single"/>
        </w:rPr>
        <w:t>（发包人全称）</w:t>
      </w:r>
    </w:p>
    <w:p w14:paraId="1033D584">
      <w:pPr>
        <w:pStyle w:val="12"/>
        <w:spacing w:before="94" w:line="360" w:lineRule="auto"/>
        <w:ind w:left="424" w:right="299" w:firstLine="616"/>
        <w:jc w:val="both"/>
        <w:rPr>
          <w:sz w:val="21"/>
          <w:szCs w:val="21"/>
        </w:rPr>
      </w:pPr>
      <w:r>
        <w:rPr>
          <w:rFonts w:ascii="Times New Roman" w:eastAsia="Times New Roman"/>
          <w:sz w:val="21"/>
          <w:szCs w:val="21"/>
          <w:u w:val="single"/>
        </w:rPr>
        <w:t xml:space="preserve">    </w:t>
      </w:r>
      <w:r>
        <w:rPr>
          <w:sz w:val="21"/>
          <w:szCs w:val="21"/>
          <w:u w:val="single"/>
        </w:rPr>
        <w:t>（承包人全称）</w:t>
      </w:r>
      <w:r>
        <w:rPr>
          <w:spacing w:val="-4"/>
          <w:sz w:val="21"/>
          <w:szCs w:val="21"/>
        </w:rPr>
        <w:t xml:space="preserve"> 法定代表人</w:t>
      </w:r>
      <w:r>
        <w:rPr>
          <w:spacing w:val="-4"/>
          <w:sz w:val="21"/>
          <w:szCs w:val="21"/>
          <w:u w:val="single"/>
        </w:rPr>
        <w:t xml:space="preserve"> </w:t>
      </w:r>
      <w:r>
        <w:rPr>
          <w:sz w:val="21"/>
          <w:szCs w:val="21"/>
          <w:u w:val="single"/>
        </w:rPr>
        <w:t>（</w:t>
      </w:r>
      <w:r>
        <w:rPr>
          <w:spacing w:val="-4"/>
          <w:sz w:val="21"/>
          <w:szCs w:val="21"/>
          <w:u w:val="single"/>
        </w:rPr>
        <w:t>职务、姓名</w:t>
      </w:r>
      <w:r>
        <w:rPr>
          <w:sz w:val="21"/>
          <w:szCs w:val="21"/>
          <w:u w:val="single"/>
        </w:rPr>
        <w:t>）</w:t>
      </w:r>
      <w:r>
        <w:rPr>
          <w:spacing w:val="-4"/>
          <w:sz w:val="21"/>
          <w:szCs w:val="21"/>
        </w:rPr>
        <w:t xml:space="preserve"> 代表本单位委任</w:t>
      </w:r>
      <w:r>
        <w:rPr>
          <w:spacing w:val="-4"/>
          <w:sz w:val="21"/>
          <w:szCs w:val="21"/>
          <w:u w:val="single"/>
        </w:rPr>
        <w:t xml:space="preserve"> </w:t>
      </w:r>
      <w:r>
        <w:rPr>
          <w:sz w:val="21"/>
          <w:szCs w:val="21"/>
          <w:u w:val="single"/>
        </w:rPr>
        <w:t>（</w:t>
      </w:r>
      <w:r>
        <w:rPr>
          <w:spacing w:val="-5"/>
          <w:sz w:val="21"/>
          <w:szCs w:val="21"/>
          <w:u w:val="single"/>
        </w:rPr>
        <w:t>职务、姓</w:t>
      </w:r>
      <w:r>
        <w:rPr>
          <w:spacing w:val="-171"/>
          <w:sz w:val="21"/>
          <w:szCs w:val="21"/>
          <w:u w:val="single"/>
        </w:rPr>
        <w:t>名</w:t>
      </w:r>
      <w:r>
        <w:rPr>
          <w:spacing w:val="-220"/>
          <w:sz w:val="21"/>
          <w:szCs w:val="21"/>
          <w:u w:val="single"/>
        </w:rPr>
        <w:t>）</w:t>
      </w:r>
      <w:r>
        <w:rPr>
          <w:spacing w:val="-118"/>
          <w:sz w:val="21"/>
          <w:szCs w:val="21"/>
        </w:rPr>
        <w:t xml:space="preserve"> </w:t>
      </w:r>
      <w:r>
        <w:rPr>
          <w:spacing w:val="-15"/>
          <w:sz w:val="21"/>
          <w:szCs w:val="21"/>
        </w:rPr>
        <w:t>为</w:t>
      </w:r>
      <w:r>
        <w:rPr>
          <w:sz w:val="21"/>
          <w:szCs w:val="21"/>
          <w:u w:val="single"/>
        </w:rPr>
        <w:t>（合同工程名称</w:t>
      </w:r>
      <w:r>
        <w:rPr>
          <w:spacing w:val="-15"/>
          <w:sz w:val="21"/>
          <w:szCs w:val="21"/>
          <w:u w:val="single"/>
        </w:rPr>
        <w:t>）</w:t>
      </w:r>
      <w:r>
        <w:rPr>
          <w:spacing w:val="-5"/>
          <w:sz w:val="21"/>
          <w:szCs w:val="21"/>
        </w:rPr>
        <w:t>的项目经理。凡本合同执行中的有关技术、工程进度、现场管理、质量检验、结算与支付等方面工作，由</w:t>
      </w:r>
      <w:r>
        <w:rPr>
          <w:spacing w:val="-5"/>
          <w:sz w:val="21"/>
          <w:szCs w:val="21"/>
          <w:u w:val="single"/>
        </w:rPr>
        <w:t xml:space="preserve"> （姓名） </w:t>
      </w:r>
      <w:r>
        <w:rPr>
          <w:spacing w:val="-5"/>
          <w:sz w:val="21"/>
          <w:szCs w:val="21"/>
        </w:rPr>
        <w:t>代表本单位全面负责。</w:t>
      </w:r>
    </w:p>
    <w:p w14:paraId="2B2ED885">
      <w:pPr>
        <w:pStyle w:val="12"/>
        <w:spacing w:before="4" w:line="360" w:lineRule="auto"/>
        <w:rPr>
          <w:sz w:val="21"/>
          <w:szCs w:val="21"/>
        </w:rPr>
      </w:pPr>
    </w:p>
    <w:p w14:paraId="5BB8F1C1">
      <w:pPr>
        <w:pStyle w:val="12"/>
        <w:tabs>
          <w:tab w:val="left" w:pos="7308"/>
          <w:tab w:val="left" w:pos="7745"/>
          <w:tab w:val="left" w:pos="9101"/>
        </w:tabs>
        <w:spacing w:line="360" w:lineRule="auto"/>
        <w:ind w:left="5028" w:right="298" w:hanging="764"/>
        <w:rPr>
          <w:sz w:val="21"/>
          <w:szCs w:val="21"/>
        </w:rPr>
      </w:pPr>
      <w:r>
        <w:rPr>
          <w:sz w:val="21"/>
          <w:szCs w:val="21"/>
        </w:rPr>
        <w:t>承包人：</w:t>
      </w:r>
      <w:r>
        <w:rPr>
          <w:sz w:val="21"/>
          <w:szCs w:val="21"/>
          <w:u w:val="single"/>
        </w:rPr>
        <w:t xml:space="preserve"> </w:t>
      </w:r>
      <w:r>
        <w:rPr>
          <w:sz w:val="21"/>
          <w:szCs w:val="21"/>
          <w:u w:val="single"/>
        </w:rPr>
        <w:tab/>
      </w:r>
      <w:r>
        <w:rPr>
          <w:sz w:val="21"/>
          <w:szCs w:val="21"/>
          <w:u w:val="single"/>
        </w:rPr>
        <w:tab/>
      </w:r>
      <w:r>
        <w:rPr>
          <w:sz w:val="21"/>
          <w:szCs w:val="21"/>
        </w:rPr>
        <w:t>（盖单位章</w:t>
      </w:r>
      <w:r>
        <w:rPr>
          <w:spacing w:val="-17"/>
          <w:sz w:val="21"/>
          <w:szCs w:val="21"/>
        </w:rPr>
        <w:t xml:space="preserve">） </w:t>
      </w:r>
      <w:r>
        <w:rPr>
          <w:sz w:val="21"/>
          <w:szCs w:val="21"/>
        </w:rPr>
        <w:t>法定代表人：</w:t>
      </w:r>
      <w:r>
        <w:rPr>
          <w:sz w:val="21"/>
          <w:szCs w:val="21"/>
          <w:u w:val="single"/>
        </w:rPr>
        <w:t xml:space="preserve"> </w:t>
      </w:r>
      <w:r>
        <w:rPr>
          <w:sz w:val="21"/>
          <w:szCs w:val="21"/>
          <w:u w:val="single"/>
        </w:rPr>
        <w:tab/>
      </w:r>
      <w:r>
        <w:rPr>
          <w:sz w:val="21"/>
          <w:szCs w:val="21"/>
          <w:u w:val="single"/>
        </w:rPr>
        <w:t>（职务）</w:t>
      </w:r>
      <w:r>
        <w:rPr>
          <w:sz w:val="21"/>
          <w:szCs w:val="21"/>
          <w:u w:val="single"/>
        </w:rPr>
        <w:tab/>
      </w:r>
    </w:p>
    <w:p w14:paraId="0E60E6F8">
      <w:pPr>
        <w:pStyle w:val="12"/>
        <w:tabs>
          <w:tab w:val="left" w:pos="7385"/>
          <w:tab w:val="left" w:pos="9101"/>
        </w:tabs>
        <w:spacing w:line="360" w:lineRule="auto"/>
        <w:ind w:left="6545"/>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u w:val="single"/>
        </w:rPr>
        <w:t>（姓名）</w:t>
      </w:r>
      <w:r>
        <w:rPr>
          <w:sz w:val="21"/>
          <w:szCs w:val="21"/>
          <w:u w:val="single"/>
        </w:rPr>
        <w:tab/>
      </w:r>
    </w:p>
    <w:p w14:paraId="7ABCA2BE">
      <w:pPr>
        <w:pStyle w:val="12"/>
        <w:tabs>
          <w:tab w:val="left" w:pos="7385"/>
          <w:tab w:val="left" w:pos="9101"/>
        </w:tabs>
        <w:spacing w:before="94" w:line="360" w:lineRule="auto"/>
        <w:ind w:left="6545"/>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u w:val="single"/>
        </w:rPr>
        <w:t>（签字）</w:t>
      </w:r>
      <w:r>
        <w:rPr>
          <w:sz w:val="21"/>
          <w:szCs w:val="21"/>
          <w:u w:val="single"/>
        </w:rPr>
        <w:tab/>
      </w:r>
    </w:p>
    <w:p w14:paraId="200E10F8">
      <w:pPr>
        <w:pStyle w:val="12"/>
        <w:tabs>
          <w:tab w:val="left" w:pos="6905"/>
          <w:tab w:val="left" w:pos="7745"/>
          <w:tab w:val="left" w:pos="8585"/>
        </w:tabs>
        <w:spacing w:before="91" w:line="360" w:lineRule="auto"/>
        <w:ind w:left="6065"/>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737E6B06">
      <w:pPr>
        <w:pStyle w:val="12"/>
        <w:spacing w:line="360" w:lineRule="auto"/>
        <w:rPr>
          <w:sz w:val="21"/>
          <w:szCs w:val="21"/>
        </w:rPr>
      </w:pPr>
    </w:p>
    <w:p w14:paraId="491EF892">
      <w:pPr>
        <w:pStyle w:val="12"/>
        <w:spacing w:line="360" w:lineRule="auto"/>
        <w:rPr>
          <w:sz w:val="21"/>
          <w:szCs w:val="21"/>
        </w:rPr>
      </w:pPr>
    </w:p>
    <w:p w14:paraId="6F8D2E51">
      <w:pPr>
        <w:pStyle w:val="12"/>
        <w:spacing w:line="360" w:lineRule="auto"/>
        <w:rPr>
          <w:sz w:val="21"/>
          <w:szCs w:val="21"/>
        </w:rPr>
      </w:pPr>
    </w:p>
    <w:p w14:paraId="1ED96677">
      <w:pPr>
        <w:pStyle w:val="12"/>
        <w:spacing w:before="12" w:line="360" w:lineRule="auto"/>
        <w:rPr>
          <w:sz w:val="21"/>
          <w:szCs w:val="21"/>
        </w:rPr>
      </w:pPr>
    </w:p>
    <w:p w14:paraId="5E8C067C">
      <w:pPr>
        <w:pStyle w:val="12"/>
        <w:tabs>
          <w:tab w:val="left" w:pos="2824"/>
        </w:tabs>
        <w:spacing w:line="360" w:lineRule="auto"/>
        <w:ind w:left="424"/>
        <w:rPr>
          <w:sz w:val="21"/>
          <w:szCs w:val="21"/>
        </w:rPr>
      </w:pPr>
      <w:r>
        <w:rPr>
          <w:sz w:val="21"/>
          <w:szCs w:val="21"/>
        </w:rPr>
        <w:t>抄送：</w:t>
      </w:r>
      <w:r>
        <w:rPr>
          <w:spacing w:val="119"/>
          <w:sz w:val="21"/>
          <w:szCs w:val="21"/>
          <w:u w:val="single"/>
        </w:rPr>
        <w:t xml:space="preserve"> </w:t>
      </w:r>
      <w:r>
        <w:rPr>
          <w:sz w:val="21"/>
          <w:szCs w:val="21"/>
          <w:u w:val="single"/>
        </w:rPr>
        <w:t>（监理人）</w:t>
      </w:r>
      <w:r>
        <w:rPr>
          <w:sz w:val="21"/>
          <w:szCs w:val="21"/>
          <w:u w:val="single"/>
        </w:rPr>
        <w:tab/>
      </w:r>
    </w:p>
    <w:p w14:paraId="1E2C8AA9">
      <w:pPr>
        <w:spacing w:after="0" w:line="360" w:lineRule="auto"/>
        <w:rPr>
          <w:sz w:val="21"/>
          <w:szCs w:val="21"/>
        </w:rPr>
        <w:sectPr>
          <w:type w:val="continuous"/>
          <w:pgSz w:w="11910" w:h="16850"/>
          <w:pgMar w:top="1600" w:right="1200" w:bottom="280" w:left="1220" w:header="720" w:footer="720" w:gutter="0"/>
          <w:pgNumType w:fmt="decimal"/>
          <w:cols w:space="720" w:num="1"/>
        </w:sectPr>
      </w:pPr>
    </w:p>
    <w:p w14:paraId="2229A453">
      <w:pPr>
        <w:pStyle w:val="12"/>
        <w:spacing w:before="2"/>
        <w:rPr>
          <w:sz w:val="10"/>
        </w:rPr>
      </w:pPr>
    </w:p>
    <w:p w14:paraId="0808E48D">
      <w:pPr>
        <w:pStyle w:val="12"/>
        <w:spacing w:before="67"/>
        <w:ind w:left="424"/>
        <w:rPr>
          <w:rFonts w:hint="eastAsia" w:ascii="黑体" w:eastAsia="黑体"/>
        </w:rPr>
      </w:pPr>
      <w:r>
        <w:rPr>
          <w:rFonts w:hint="eastAsia" w:ascii="黑体" w:eastAsia="黑体"/>
        </w:rPr>
        <w:t>附件七 履约保证金格式</w:t>
      </w:r>
    </w:p>
    <w:p w14:paraId="24595DC8">
      <w:pPr>
        <w:pStyle w:val="12"/>
        <w:spacing w:before="91"/>
        <w:ind w:left="424"/>
      </w:pPr>
      <w:r>
        <w:t>如采用银行保函，格式如下。</w:t>
      </w:r>
    </w:p>
    <w:p w14:paraId="1FCAC754">
      <w:pPr>
        <w:pStyle w:val="12"/>
        <w:spacing w:before="9"/>
        <w:rPr>
          <w:sz w:val="29"/>
        </w:rPr>
      </w:pPr>
    </w:p>
    <w:p w14:paraId="5DED887A">
      <w:pPr>
        <w:spacing w:before="61"/>
        <w:ind w:left="1098" w:right="1057" w:firstLine="0"/>
        <w:jc w:val="center"/>
        <w:rPr>
          <w:rFonts w:hint="eastAsia" w:ascii="黑体" w:eastAsia="黑体"/>
          <w:sz w:val="28"/>
        </w:rPr>
      </w:pPr>
      <w:r>
        <w:rPr>
          <w:rFonts w:hint="eastAsia" w:ascii="黑体" w:eastAsia="黑体"/>
          <w:sz w:val="28"/>
        </w:rPr>
        <w:t>履约保证金</w:t>
      </w:r>
    </w:p>
    <w:p w14:paraId="3D27FD13">
      <w:pPr>
        <w:pStyle w:val="12"/>
        <w:rPr>
          <w:rFonts w:ascii="黑体"/>
          <w:sz w:val="20"/>
        </w:rPr>
      </w:pPr>
    </w:p>
    <w:p w14:paraId="521AFB9D">
      <w:pPr>
        <w:pStyle w:val="12"/>
        <w:spacing w:before="5"/>
        <w:rPr>
          <w:rFonts w:ascii="黑体"/>
          <w:sz w:val="18"/>
        </w:rPr>
      </w:pPr>
    </w:p>
    <w:p w14:paraId="28248161">
      <w:pPr>
        <w:pStyle w:val="12"/>
        <w:tabs>
          <w:tab w:val="left" w:pos="2764"/>
        </w:tabs>
        <w:spacing w:before="1" w:line="360" w:lineRule="auto"/>
        <w:ind w:left="544"/>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（发包人名称</w:t>
      </w:r>
      <w:r>
        <w:rPr>
          <w:spacing w:val="-120"/>
          <w:sz w:val="21"/>
          <w:szCs w:val="21"/>
        </w:rPr>
        <w:t>）</w:t>
      </w:r>
      <w:r>
        <w:rPr>
          <w:sz w:val="21"/>
          <w:szCs w:val="21"/>
        </w:rPr>
        <w:t>：</w:t>
      </w:r>
    </w:p>
    <w:p w14:paraId="40A6A450">
      <w:pPr>
        <w:pStyle w:val="12"/>
        <w:spacing w:before="5" w:line="360" w:lineRule="auto"/>
        <w:rPr>
          <w:sz w:val="21"/>
          <w:szCs w:val="21"/>
        </w:rPr>
      </w:pPr>
    </w:p>
    <w:p w14:paraId="47A73406">
      <w:pPr>
        <w:pStyle w:val="12"/>
        <w:tabs>
          <w:tab w:val="left" w:pos="2113"/>
          <w:tab w:val="left" w:pos="3410"/>
          <w:tab w:val="left" w:pos="8139"/>
          <w:tab w:val="left" w:pos="8621"/>
        </w:tabs>
        <w:spacing w:line="360" w:lineRule="auto"/>
        <w:ind w:left="424" w:right="380" w:firstLine="599"/>
        <w:jc w:val="both"/>
        <w:rPr>
          <w:sz w:val="21"/>
          <w:szCs w:val="21"/>
        </w:rPr>
      </w:pPr>
      <w:r>
        <w:rPr>
          <w:sz w:val="21"/>
          <w:szCs w:val="21"/>
        </w:rPr>
        <w:t>鉴于</w:t>
      </w:r>
      <w:r>
        <w:rPr>
          <w:sz w:val="21"/>
          <w:szCs w:val="21"/>
          <w:u w:val="single"/>
        </w:rPr>
        <w:t xml:space="preserve"> </w:t>
      </w:r>
      <w:r>
        <w:rPr>
          <w:sz w:val="21"/>
          <w:szCs w:val="21"/>
          <w:u w:val="single"/>
        </w:rPr>
        <w:tab/>
      </w:r>
      <w:r>
        <w:rPr>
          <w:sz w:val="21"/>
          <w:szCs w:val="21"/>
          <w:u w:val="single"/>
        </w:rPr>
        <w:tab/>
      </w:r>
      <w:r>
        <w:rPr>
          <w:sz w:val="21"/>
          <w:szCs w:val="21"/>
        </w:rPr>
        <w:t>（发包人名称</w:t>
      </w:r>
      <w:r>
        <w:rPr>
          <w:spacing w:val="-15"/>
          <w:sz w:val="21"/>
          <w:szCs w:val="21"/>
        </w:rPr>
        <w:t>，</w:t>
      </w:r>
      <w:r>
        <w:rPr>
          <w:sz w:val="21"/>
          <w:szCs w:val="21"/>
        </w:rPr>
        <w:t>以下简称</w:t>
      </w:r>
      <w:r>
        <w:rPr>
          <w:rFonts w:ascii="Times New Roman" w:hAnsi="Times New Roman" w:eastAsia="Times New Roman"/>
          <w:sz w:val="21"/>
          <w:szCs w:val="21"/>
        </w:rPr>
        <w:t>“</w:t>
      </w:r>
      <w:r>
        <w:rPr>
          <w:sz w:val="21"/>
          <w:szCs w:val="21"/>
        </w:rPr>
        <w:t>发包人</w:t>
      </w:r>
      <w:r>
        <w:rPr>
          <w:rFonts w:ascii="Times New Roman" w:hAnsi="Times New Roman" w:eastAsia="Times New Roman"/>
          <w:spacing w:val="-8"/>
          <w:sz w:val="21"/>
          <w:szCs w:val="21"/>
        </w:rPr>
        <w:t>”</w:t>
      </w:r>
      <w:r>
        <w:rPr>
          <w:spacing w:val="-8"/>
          <w:sz w:val="21"/>
          <w:szCs w:val="21"/>
        </w:rPr>
        <w:t>）</w:t>
      </w:r>
      <w:r>
        <w:rPr>
          <w:sz w:val="21"/>
          <w:szCs w:val="21"/>
        </w:rPr>
        <w:t>接受</w:t>
      </w:r>
      <w:r>
        <w:rPr>
          <w:sz w:val="21"/>
          <w:szCs w:val="21"/>
          <w:u w:val="single"/>
        </w:rPr>
        <w:t xml:space="preserve"> </w:t>
      </w:r>
      <w:r>
        <w:rPr>
          <w:sz w:val="21"/>
          <w:szCs w:val="21"/>
          <w:u w:val="single"/>
        </w:rPr>
        <w:tab/>
      </w:r>
      <w:r>
        <w:rPr>
          <w:sz w:val="21"/>
          <w:szCs w:val="21"/>
          <w:u w:val="single"/>
        </w:rPr>
        <w:tab/>
      </w:r>
      <w:r>
        <w:rPr>
          <w:sz w:val="21"/>
          <w:szCs w:val="21"/>
        </w:rPr>
        <w:t>（</w:t>
      </w:r>
      <w:r>
        <w:rPr>
          <w:spacing w:val="-15"/>
          <w:sz w:val="21"/>
          <w:szCs w:val="21"/>
        </w:rPr>
        <w:t>承</w:t>
      </w:r>
      <w:r>
        <w:rPr>
          <w:sz w:val="21"/>
          <w:szCs w:val="21"/>
        </w:rPr>
        <w:t>包人名称，以下简</w:t>
      </w:r>
      <w:r>
        <w:rPr>
          <w:spacing w:val="3"/>
          <w:sz w:val="21"/>
          <w:szCs w:val="21"/>
        </w:rPr>
        <w:t>称</w:t>
      </w:r>
      <w:r>
        <w:rPr>
          <w:rFonts w:ascii="Times New Roman" w:hAnsi="Times New Roman" w:eastAsia="Times New Roman"/>
          <w:sz w:val="21"/>
          <w:szCs w:val="21"/>
        </w:rPr>
        <w:t>“</w:t>
      </w:r>
      <w:r>
        <w:rPr>
          <w:sz w:val="21"/>
          <w:szCs w:val="21"/>
        </w:rPr>
        <w:t>承包人</w:t>
      </w:r>
      <w:r>
        <w:rPr>
          <w:rFonts w:ascii="Times New Roman" w:hAnsi="Times New Roman" w:eastAsia="Times New Roman"/>
          <w:sz w:val="21"/>
          <w:szCs w:val="21"/>
        </w:rPr>
        <w:t>”</w:t>
      </w:r>
      <w:r>
        <w:rPr>
          <w:sz w:val="21"/>
          <w:szCs w:val="21"/>
        </w:rPr>
        <w:t>）于</w:t>
      </w:r>
      <w:r>
        <w:rPr>
          <w:sz w:val="21"/>
          <w:szCs w:val="21"/>
          <w:u w:val="single"/>
        </w:rPr>
        <w:t xml:space="preserve">    </w:t>
      </w:r>
      <w:r>
        <w:rPr>
          <w:spacing w:val="14"/>
          <w:sz w:val="21"/>
          <w:szCs w:val="21"/>
          <w:u w:val="single"/>
        </w:rPr>
        <w:t xml:space="preserve"> </w:t>
      </w:r>
      <w:r>
        <w:rPr>
          <w:sz w:val="21"/>
          <w:szCs w:val="21"/>
        </w:rPr>
        <w:t>年</w:t>
      </w:r>
      <w:r>
        <w:rPr>
          <w:sz w:val="21"/>
          <w:szCs w:val="21"/>
          <w:u w:val="single"/>
        </w:rPr>
        <w:t xml:space="preserve">   </w:t>
      </w:r>
      <w:r>
        <w:rPr>
          <w:spacing w:val="13"/>
          <w:sz w:val="21"/>
          <w:szCs w:val="21"/>
          <w:u w:val="single"/>
        </w:rPr>
        <w:t xml:space="preserve"> </w:t>
      </w:r>
      <w:r>
        <w:rPr>
          <w:sz w:val="21"/>
          <w:szCs w:val="21"/>
        </w:rPr>
        <w:t>月</w:t>
      </w:r>
      <w:r>
        <w:rPr>
          <w:sz w:val="21"/>
          <w:szCs w:val="21"/>
          <w:u w:val="single"/>
        </w:rPr>
        <w:t xml:space="preserve">   </w:t>
      </w:r>
      <w:r>
        <w:rPr>
          <w:spacing w:val="10"/>
          <w:sz w:val="21"/>
          <w:szCs w:val="21"/>
          <w:u w:val="single"/>
        </w:rPr>
        <w:t xml:space="preserve"> </w:t>
      </w:r>
      <w:r>
        <w:rPr>
          <w:sz w:val="21"/>
          <w:szCs w:val="21"/>
        </w:rPr>
        <w:t>日参加</w:t>
      </w:r>
      <w:r>
        <w:rPr>
          <w:sz w:val="21"/>
          <w:szCs w:val="21"/>
          <w:u w:val="single"/>
        </w:rPr>
        <w:t xml:space="preserve"> </w:t>
      </w:r>
      <w:r>
        <w:rPr>
          <w:sz w:val="21"/>
          <w:szCs w:val="21"/>
          <w:u w:val="single"/>
        </w:rPr>
        <w:tab/>
      </w:r>
      <w:r>
        <w:rPr>
          <w:sz w:val="21"/>
          <w:szCs w:val="21"/>
        </w:rPr>
        <w:t>（项目</w:t>
      </w:r>
      <w:r>
        <w:rPr>
          <w:spacing w:val="-17"/>
          <w:sz w:val="21"/>
          <w:szCs w:val="21"/>
        </w:rPr>
        <w:t>名</w:t>
      </w:r>
      <w:r>
        <w:rPr>
          <w:sz w:val="21"/>
          <w:szCs w:val="21"/>
        </w:rPr>
        <w:t>称）</w:t>
      </w:r>
      <w:r>
        <w:rPr>
          <w:sz w:val="21"/>
          <w:szCs w:val="21"/>
          <w:u w:val="single"/>
        </w:rPr>
        <w:t xml:space="preserve"> </w:t>
      </w:r>
      <w:r>
        <w:rPr>
          <w:sz w:val="21"/>
          <w:szCs w:val="21"/>
          <w:u w:val="single"/>
        </w:rPr>
        <w:tab/>
      </w:r>
      <w:r>
        <w:rPr>
          <w:sz w:val="21"/>
          <w:szCs w:val="21"/>
        </w:rPr>
        <w:t>标</w:t>
      </w:r>
      <w:r>
        <w:rPr>
          <w:spacing w:val="3"/>
          <w:sz w:val="21"/>
          <w:szCs w:val="21"/>
        </w:rPr>
        <w:t>段</w:t>
      </w:r>
      <w:r>
        <w:rPr>
          <w:sz w:val="21"/>
          <w:szCs w:val="21"/>
        </w:rPr>
        <w:t>施工的投标。我方愿意无条件地、不可撤销地就承包人履行与你方订立的合同，向你方提供担保。</w:t>
      </w:r>
    </w:p>
    <w:p w14:paraId="219435A9">
      <w:pPr>
        <w:pStyle w:val="41"/>
        <w:numPr>
          <w:ilvl w:val="0"/>
          <w:numId w:val="9"/>
        </w:numPr>
        <w:tabs>
          <w:tab w:val="left" w:pos="1205"/>
          <w:tab w:val="left" w:pos="5820"/>
          <w:tab w:val="left" w:pos="8045"/>
        </w:tabs>
        <w:spacing w:before="2" w:after="0" w:line="360" w:lineRule="auto"/>
        <w:ind w:left="1204" w:right="0" w:hanging="301"/>
        <w:jc w:val="both"/>
        <w:rPr>
          <w:sz w:val="21"/>
          <w:szCs w:val="21"/>
        </w:rPr>
      </w:pPr>
      <w:r>
        <w:rPr>
          <w:sz w:val="21"/>
          <w:szCs w:val="21"/>
        </w:rPr>
        <w:t>担保金额人民币（大写）</w:t>
      </w:r>
      <w:r>
        <w:rPr>
          <w:sz w:val="21"/>
          <w:szCs w:val="21"/>
          <w:u w:val="single"/>
        </w:rPr>
        <w:t xml:space="preserve"> </w:t>
      </w:r>
      <w:r>
        <w:rPr>
          <w:sz w:val="21"/>
          <w:szCs w:val="21"/>
          <w:u w:val="single"/>
        </w:rPr>
        <w:tab/>
      </w:r>
      <w:r>
        <w:rPr>
          <w:sz w:val="21"/>
          <w:szCs w:val="21"/>
        </w:rPr>
        <w:t>元（</w:t>
      </w:r>
      <w:r>
        <w:rPr>
          <w:rFonts w:ascii="Times New Roman" w:hAnsi="Times New Roman" w:eastAsia="Times New Roman"/>
          <w:sz w:val="21"/>
          <w:szCs w:val="21"/>
        </w:rPr>
        <w:t>¥</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spacing w:val="-120"/>
          <w:sz w:val="21"/>
          <w:szCs w:val="21"/>
        </w:rPr>
        <w:t>）</w:t>
      </w:r>
      <w:r>
        <w:rPr>
          <w:sz w:val="21"/>
          <w:szCs w:val="21"/>
        </w:rPr>
        <w:t>。</w:t>
      </w:r>
    </w:p>
    <w:p w14:paraId="53F55C0C">
      <w:pPr>
        <w:pStyle w:val="41"/>
        <w:numPr>
          <w:ilvl w:val="0"/>
          <w:numId w:val="9"/>
        </w:numPr>
        <w:tabs>
          <w:tab w:val="left" w:pos="1212"/>
        </w:tabs>
        <w:spacing w:before="93" w:after="0" w:line="360" w:lineRule="auto"/>
        <w:ind w:left="424" w:right="375" w:firstLine="479"/>
        <w:jc w:val="both"/>
        <w:rPr>
          <w:rFonts w:hint="eastAsia" w:ascii="黑体" w:hAnsi="黑体" w:eastAsia="黑体"/>
          <w:sz w:val="21"/>
          <w:szCs w:val="21"/>
        </w:rPr>
      </w:pPr>
      <w:r>
        <w:rPr>
          <w:spacing w:val="4"/>
          <w:sz w:val="21"/>
          <w:szCs w:val="21"/>
        </w:rPr>
        <w:t>担保有效期自发包人与承包人签订的合同生效之日起至发包人签发交工验</w:t>
      </w:r>
      <w:r>
        <w:rPr>
          <w:sz w:val="21"/>
          <w:szCs w:val="21"/>
        </w:rPr>
        <w:t>收证书且承包人按照合同约定缴纳质量保证金之日止。</w:t>
      </w:r>
    </w:p>
    <w:p w14:paraId="0CD74FD2">
      <w:pPr>
        <w:pStyle w:val="41"/>
        <w:numPr>
          <w:ilvl w:val="0"/>
          <w:numId w:val="9"/>
        </w:numPr>
        <w:tabs>
          <w:tab w:val="left" w:pos="1205"/>
        </w:tabs>
        <w:spacing w:before="31" w:after="0" w:line="360" w:lineRule="auto"/>
        <w:ind w:left="424" w:right="361" w:firstLine="479"/>
        <w:jc w:val="both"/>
        <w:rPr>
          <w:sz w:val="21"/>
          <w:szCs w:val="21"/>
        </w:rPr>
      </w:pPr>
      <w:r>
        <w:rPr>
          <w:spacing w:val="-1"/>
          <w:sz w:val="21"/>
          <w:szCs w:val="21"/>
        </w:rPr>
        <w:t xml:space="preserve">在本担保有效期内，因承包人违反合同约定的义务给你方造成经济损失时， </w:t>
      </w:r>
      <w:r>
        <w:rPr>
          <w:spacing w:val="-2"/>
          <w:sz w:val="21"/>
          <w:szCs w:val="21"/>
        </w:rPr>
        <w:t xml:space="preserve">我方在收到你方以书面形式提出的在担保金额内的赔偿要求后，在 </w:t>
      </w:r>
      <w:r>
        <w:rPr>
          <w:rFonts w:ascii="Times New Roman" w:eastAsia="Times New Roman"/>
          <w:sz w:val="21"/>
          <w:szCs w:val="21"/>
        </w:rPr>
        <w:t>7</w:t>
      </w:r>
      <w:r>
        <w:rPr>
          <w:rFonts w:ascii="Times New Roman" w:eastAsia="Times New Roman"/>
          <w:spacing w:val="19"/>
          <w:sz w:val="21"/>
          <w:szCs w:val="21"/>
        </w:rPr>
        <w:t xml:space="preserve"> </w:t>
      </w:r>
      <w:r>
        <w:rPr>
          <w:sz w:val="21"/>
          <w:szCs w:val="21"/>
        </w:rPr>
        <w:t>日内无条件支付，无须你方出具证明或陈述理由。</w:t>
      </w:r>
    </w:p>
    <w:p w14:paraId="7FE45E20">
      <w:pPr>
        <w:pStyle w:val="41"/>
        <w:numPr>
          <w:ilvl w:val="0"/>
          <w:numId w:val="9"/>
        </w:numPr>
        <w:tabs>
          <w:tab w:val="left" w:pos="1205"/>
        </w:tabs>
        <w:spacing w:before="2" w:after="0" w:line="360" w:lineRule="auto"/>
        <w:ind w:left="424" w:right="263" w:firstLine="479"/>
        <w:jc w:val="both"/>
        <w:rPr>
          <w:sz w:val="21"/>
          <w:szCs w:val="21"/>
        </w:rPr>
      </w:pPr>
      <w:r>
        <w:rPr>
          <w:spacing w:val="-5"/>
          <w:sz w:val="21"/>
          <w:szCs w:val="21"/>
        </w:rPr>
        <w:t xml:space="preserve">发包人和承包人按合同条款第 </w:t>
      </w:r>
      <w:r>
        <w:rPr>
          <w:rFonts w:ascii="Times New Roman" w:eastAsia="Times New Roman"/>
          <w:sz w:val="21"/>
          <w:szCs w:val="21"/>
        </w:rPr>
        <w:t xml:space="preserve">15 </w:t>
      </w:r>
      <w:r>
        <w:rPr>
          <w:spacing w:val="-5"/>
          <w:sz w:val="21"/>
          <w:szCs w:val="21"/>
        </w:rPr>
        <w:t xml:space="preserve">条变更合同时，无论我方是否收到该变更， </w:t>
      </w:r>
      <w:r>
        <w:rPr>
          <w:sz w:val="21"/>
          <w:szCs w:val="21"/>
        </w:rPr>
        <w:t>我方承担本担保规定的义务不变。</w:t>
      </w:r>
    </w:p>
    <w:p w14:paraId="6BE17018">
      <w:pPr>
        <w:pStyle w:val="12"/>
        <w:spacing w:line="360" w:lineRule="auto"/>
        <w:rPr>
          <w:sz w:val="21"/>
          <w:szCs w:val="21"/>
        </w:rPr>
      </w:pPr>
    </w:p>
    <w:p w14:paraId="2FDD4608">
      <w:pPr>
        <w:pStyle w:val="12"/>
        <w:spacing w:line="360" w:lineRule="auto"/>
        <w:rPr>
          <w:sz w:val="21"/>
          <w:szCs w:val="21"/>
        </w:rPr>
      </w:pPr>
    </w:p>
    <w:p w14:paraId="5ABD54D8">
      <w:pPr>
        <w:pStyle w:val="12"/>
        <w:tabs>
          <w:tab w:val="left" w:pos="7781"/>
          <w:tab w:val="left" w:pos="8880"/>
        </w:tabs>
        <w:spacing w:before="186" w:line="360" w:lineRule="auto"/>
        <w:ind w:left="3921" w:right="262"/>
        <w:jc w:val="both"/>
        <w:rPr>
          <w:rFonts w:ascii="Times New Roman" w:eastAsia="Times New Roman"/>
          <w:sz w:val="21"/>
          <w:szCs w:val="21"/>
        </w:rPr>
      </w:pPr>
      <w:r>
        <w:rPr>
          <w:sz w:val="21"/>
          <w:szCs w:val="21"/>
        </w:rPr>
        <w:t>担保人名称：</w:t>
      </w:r>
      <w:r>
        <w:rPr>
          <w:sz w:val="21"/>
          <w:szCs w:val="21"/>
          <w:u w:val="single"/>
        </w:rPr>
        <w:tab/>
      </w:r>
      <w:r>
        <w:rPr>
          <w:sz w:val="21"/>
          <w:szCs w:val="21"/>
          <w:u w:val="single"/>
        </w:rPr>
        <w:t>（</w:t>
      </w:r>
      <w:r>
        <w:rPr>
          <w:sz w:val="21"/>
          <w:szCs w:val="21"/>
        </w:rPr>
        <w:t>盖单位章</w:t>
      </w:r>
      <w:r>
        <w:rPr>
          <w:spacing w:val="-17"/>
          <w:sz w:val="21"/>
          <w:szCs w:val="21"/>
        </w:rPr>
        <w:t xml:space="preserve">） </w:t>
      </w:r>
      <w:r>
        <w:rPr>
          <w:sz w:val="21"/>
          <w:szCs w:val="21"/>
        </w:rPr>
        <w:t>法定代表人或其委托代理人</w:t>
      </w:r>
      <w:r>
        <w:rPr>
          <w:sz w:val="21"/>
          <w:szCs w:val="21"/>
          <w:u w:val="single"/>
        </w:rPr>
        <w:t xml:space="preserve">：       </w:t>
      </w:r>
      <w:r>
        <w:rPr>
          <w:spacing w:val="19"/>
          <w:sz w:val="21"/>
          <w:szCs w:val="21"/>
          <w:u w:val="single"/>
        </w:rPr>
        <w:t xml:space="preserve"> </w:t>
      </w:r>
      <w:r>
        <w:rPr>
          <w:sz w:val="21"/>
          <w:szCs w:val="21"/>
          <w:u w:val="single"/>
        </w:rPr>
        <w:t>（</w:t>
      </w:r>
      <w:r>
        <w:rPr>
          <w:sz w:val="21"/>
          <w:szCs w:val="21"/>
        </w:rPr>
        <w:t>签字</w:t>
      </w:r>
      <w:r>
        <w:rPr>
          <w:spacing w:val="-16"/>
          <w:sz w:val="21"/>
          <w:szCs w:val="21"/>
        </w:rPr>
        <w:t xml:space="preserve">） </w:t>
      </w:r>
      <w:r>
        <w:rPr>
          <w:sz w:val="21"/>
          <w:szCs w:val="21"/>
        </w:rPr>
        <w:t>地   址 ：</w:t>
      </w:r>
      <w:r>
        <w:rPr>
          <w:rFonts w:ascii="Times New Roman" w:eastAsia="Times New Roman"/>
          <w:sz w:val="21"/>
          <w:szCs w:val="21"/>
          <w:u w:val="single"/>
        </w:rPr>
        <w:t xml:space="preserve"> </w:t>
      </w:r>
      <w:r>
        <w:rPr>
          <w:rFonts w:ascii="Times New Roman" w:eastAsia="Times New Roman"/>
          <w:sz w:val="21"/>
          <w:szCs w:val="21"/>
          <w:u w:val="single"/>
        </w:rPr>
        <w:tab/>
      </w:r>
      <w:r>
        <w:rPr>
          <w:rFonts w:ascii="Times New Roman" w:eastAsia="Times New Roman"/>
          <w:sz w:val="21"/>
          <w:szCs w:val="21"/>
          <w:u w:val="single"/>
        </w:rPr>
        <w:tab/>
      </w:r>
    </w:p>
    <w:p w14:paraId="6B989FAE">
      <w:pPr>
        <w:pStyle w:val="12"/>
        <w:tabs>
          <w:tab w:val="left" w:pos="4641"/>
          <w:tab w:val="left" w:pos="8880"/>
          <w:tab w:val="left" w:pos="9017"/>
        </w:tabs>
        <w:spacing w:before="1" w:line="360" w:lineRule="auto"/>
        <w:ind w:left="3921" w:right="466"/>
        <w:rPr>
          <w:rFonts w:ascii="Times New Roman" w:eastAsia="Times New Roman"/>
          <w:sz w:val="21"/>
          <w:szCs w:val="21"/>
        </w:rPr>
      </w:pPr>
      <w:r>
        <w:rPr>
          <w:sz w:val="21"/>
          <w:szCs w:val="21"/>
        </w:rPr>
        <w:t>邮政编码：</w:t>
      </w:r>
      <w:r>
        <w:rPr>
          <w:rFonts w:ascii="Times New Roman" w:eastAsia="Times New Roman"/>
          <w:sz w:val="21"/>
          <w:szCs w:val="21"/>
          <w:u w:val="single"/>
        </w:rPr>
        <w:t xml:space="preserve"> </w:t>
      </w:r>
      <w:r>
        <w:rPr>
          <w:rFonts w:ascii="Times New Roman" w:eastAsia="Times New Roman"/>
          <w:sz w:val="21"/>
          <w:szCs w:val="21"/>
          <w:u w:val="single"/>
        </w:rPr>
        <w:tab/>
      </w:r>
      <w:r>
        <w:rPr>
          <w:rFonts w:ascii="Times New Roman" w:eastAsia="Times New Roman"/>
          <w:sz w:val="21"/>
          <w:szCs w:val="21"/>
          <w:u w:val="single"/>
        </w:rPr>
        <w:t xml:space="preserve"> </w:t>
      </w:r>
      <w:r>
        <w:rPr>
          <w:sz w:val="21"/>
          <w:szCs w:val="21"/>
        </w:rPr>
        <w:t>电</w:t>
      </w:r>
      <w:r>
        <w:rPr>
          <w:sz w:val="21"/>
          <w:szCs w:val="21"/>
        </w:rPr>
        <w:tab/>
      </w:r>
      <w:r>
        <w:rPr>
          <w:sz w:val="21"/>
          <w:szCs w:val="21"/>
        </w:rPr>
        <w:t>话：</w:t>
      </w:r>
      <w:r>
        <w:rPr>
          <w:rFonts w:ascii="Times New Roman" w:eastAsia="Times New Roman"/>
          <w:sz w:val="21"/>
          <w:szCs w:val="21"/>
          <w:u w:val="single"/>
        </w:rPr>
        <w:t xml:space="preserve"> </w:t>
      </w:r>
      <w:r>
        <w:rPr>
          <w:rFonts w:ascii="Times New Roman" w:eastAsia="Times New Roman"/>
          <w:sz w:val="21"/>
          <w:szCs w:val="21"/>
          <w:u w:val="single"/>
        </w:rPr>
        <w:tab/>
      </w:r>
      <w:r>
        <w:rPr>
          <w:rFonts w:ascii="Times New Roman" w:eastAsia="Times New Roman"/>
          <w:sz w:val="21"/>
          <w:szCs w:val="21"/>
          <w:u w:val="single"/>
        </w:rPr>
        <w:tab/>
      </w:r>
      <w:r>
        <w:rPr>
          <w:rFonts w:ascii="Times New Roman" w:eastAsia="Times New Roman"/>
          <w:sz w:val="21"/>
          <w:szCs w:val="21"/>
          <w:u w:val="single"/>
        </w:rPr>
        <w:t xml:space="preserve"> </w:t>
      </w:r>
      <w:r>
        <w:rPr>
          <w:sz w:val="21"/>
          <w:szCs w:val="21"/>
        </w:rPr>
        <w:t>传</w:t>
      </w:r>
      <w:r>
        <w:rPr>
          <w:sz w:val="21"/>
          <w:szCs w:val="21"/>
        </w:rPr>
        <w:tab/>
      </w:r>
      <w:r>
        <w:rPr>
          <w:sz w:val="21"/>
          <w:szCs w:val="21"/>
        </w:rPr>
        <w:t>真：</w:t>
      </w:r>
      <w:r>
        <w:rPr>
          <w:rFonts w:ascii="Times New Roman" w:eastAsia="Times New Roman"/>
          <w:sz w:val="21"/>
          <w:szCs w:val="21"/>
          <w:u w:val="single"/>
        </w:rPr>
        <w:t xml:space="preserve"> </w:t>
      </w:r>
      <w:r>
        <w:rPr>
          <w:rFonts w:ascii="Times New Roman" w:eastAsia="Times New Roman"/>
          <w:sz w:val="21"/>
          <w:szCs w:val="21"/>
          <w:u w:val="single"/>
        </w:rPr>
        <w:tab/>
      </w:r>
      <w:r>
        <w:rPr>
          <w:rFonts w:ascii="Times New Roman" w:eastAsia="Times New Roman"/>
          <w:sz w:val="21"/>
          <w:szCs w:val="21"/>
          <w:u w:val="single"/>
        </w:rPr>
        <w:tab/>
      </w:r>
    </w:p>
    <w:p w14:paraId="27C7112C">
      <w:pPr>
        <w:pStyle w:val="12"/>
        <w:tabs>
          <w:tab w:val="left" w:pos="6876"/>
          <w:tab w:val="left" w:pos="7901"/>
          <w:tab w:val="left" w:pos="8861"/>
        </w:tabs>
        <w:spacing w:before="1" w:line="360" w:lineRule="auto"/>
        <w:ind w:left="5981"/>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rFonts w:ascii="Times New Roman" w:eastAsia="Times New Roman"/>
          <w:spacing w:val="5"/>
          <w:sz w:val="21"/>
          <w:szCs w:val="21"/>
        </w:rPr>
        <w:t xml:space="preserve"> </w:t>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1DA98F0C">
      <w:pPr>
        <w:pStyle w:val="12"/>
        <w:spacing w:line="360" w:lineRule="auto"/>
        <w:rPr>
          <w:sz w:val="21"/>
          <w:szCs w:val="21"/>
        </w:rPr>
      </w:pPr>
    </w:p>
    <w:p w14:paraId="43DFD40C">
      <w:pPr>
        <w:pStyle w:val="12"/>
        <w:spacing w:line="360" w:lineRule="auto"/>
        <w:rPr>
          <w:sz w:val="21"/>
          <w:szCs w:val="21"/>
        </w:rPr>
      </w:pPr>
    </w:p>
    <w:p w14:paraId="213657A5">
      <w:pPr>
        <w:pStyle w:val="12"/>
        <w:spacing w:line="360" w:lineRule="auto"/>
        <w:rPr>
          <w:sz w:val="21"/>
          <w:szCs w:val="21"/>
        </w:rPr>
      </w:pPr>
    </w:p>
    <w:p w14:paraId="2E8B9C27">
      <w:pPr>
        <w:pStyle w:val="12"/>
        <w:spacing w:before="9"/>
        <w:rPr>
          <w:sz w:val="8"/>
        </w:rPr>
      </w:pPr>
    </w:p>
    <w:p w14:paraId="452D4425">
      <w:pPr>
        <w:rPr>
          <w:rFonts w:hint="eastAsia" w:ascii="黑体" w:eastAsia="黑体"/>
        </w:rPr>
      </w:pPr>
      <w:bookmarkStart w:id="387" w:name="_bookmark276"/>
      <w:bookmarkEnd w:id="387"/>
      <w:r>
        <w:rPr>
          <w:rFonts w:hint="eastAsia" w:ascii="黑体" w:eastAsia="黑体"/>
        </w:rPr>
        <w:br w:type="page"/>
      </w:r>
    </w:p>
    <w:p w14:paraId="74CE99C1">
      <w:pPr>
        <w:pStyle w:val="12"/>
        <w:spacing w:before="66"/>
        <w:ind w:left="424"/>
        <w:jc w:val="both"/>
        <w:rPr>
          <w:rFonts w:hint="eastAsia" w:ascii="黑体" w:eastAsia="黑体"/>
        </w:rPr>
      </w:pPr>
      <w:r>
        <w:rPr>
          <w:rFonts w:hint="eastAsia" w:ascii="黑体" w:eastAsia="黑体"/>
        </w:rPr>
        <w:t>附件八 工程资金监管协议格式</w:t>
      </w:r>
    </w:p>
    <w:p w14:paraId="51ADE84E">
      <w:pPr>
        <w:pStyle w:val="12"/>
        <w:spacing w:before="72" w:line="360" w:lineRule="auto"/>
        <w:ind w:left="424" w:right="262" w:firstLine="479"/>
        <w:rPr>
          <w:sz w:val="21"/>
          <w:szCs w:val="21"/>
        </w:rPr>
      </w:pPr>
      <w:r>
        <w:rPr>
          <w:sz w:val="21"/>
          <w:szCs w:val="21"/>
        </w:rPr>
        <w:t>（发包人与承包人签订合同协议书时应与发包人指定的银行签署工程资金监管</w:t>
      </w:r>
      <w:r>
        <w:rPr>
          <w:spacing w:val="-10"/>
          <w:sz w:val="21"/>
          <w:szCs w:val="21"/>
        </w:rPr>
        <w:t>协议，工程资金监管协议内容在保证本项目资金有效监管的前提下由三方共同商定</w:t>
      </w:r>
      <w:r>
        <w:rPr>
          <w:spacing w:val="-16"/>
          <w:sz w:val="21"/>
          <w:szCs w:val="21"/>
        </w:rPr>
        <w:t>）</w:t>
      </w:r>
    </w:p>
    <w:p w14:paraId="63B63C7E">
      <w:pPr>
        <w:spacing w:before="0" w:line="360" w:lineRule="auto"/>
        <w:ind w:left="1098" w:right="1059" w:firstLine="0"/>
        <w:jc w:val="center"/>
        <w:rPr>
          <w:rFonts w:ascii="黑体"/>
          <w:sz w:val="21"/>
          <w:szCs w:val="21"/>
        </w:rPr>
      </w:pPr>
      <w:r>
        <w:rPr>
          <w:rFonts w:hint="eastAsia" w:ascii="黑体" w:eastAsia="黑体"/>
          <w:sz w:val="21"/>
          <w:szCs w:val="21"/>
        </w:rPr>
        <w:t>工程资金监管协议</w:t>
      </w:r>
    </w:p>
    <w:p w14:paraId="4162D5F2">
      <w:pPr>
        <w:pStyle w:val="12"/>
        <w:tabs>
          <w:tab w:val="left" w:pos="3304"/>
          <w:tab w:val="left" w:pos="3424"/>
        </w:tabs>
        <w:spacing w:before="1" w:line="360" w:lineRule="auto"/>
        <w:ind w:left="424" w:right="3927"/>
        <w:jc w:val="both"/>
        <w:rPr>
          <w:sz w:val="21"/>
          <w:szCs w:val="21"/>
        </w:rPr>
      </w:pPr>
      <w:r>
        <w:rPr>
          <w:sz w:val="21"/>
          <w:szCs w:val="21"/>
        </w:rPr>
        <w:t>发包人：</w:t>
      </w:r>
      <w:r>
        <w:rPr>
          <w:sz w:val="21"/>
          <w:szCs w:val="21"/>
          <w:u w:val="single"/>
        </w:rPr>
        <w:t xml:space="preserve"> </w:t>
      </w:r>
      <w:r>
        <w:rPr>
          <w:sz w:val="21"/>
          <w:szCs w:val="21"/>
          <w:u w:val="single"/>
        </w:rPr>
        <w:tab/>
      </w:r>
      <w:r>
        <w:rPr>
          <w:sz w:val="21"/>
          <w:szCs w:val="21"/>
        </w:rPr>
        <w:t>（以下简称</w:t>
      </w:r>
      <w:r>
        <w:rPr>
          <w:rFonts w:ascii="Times New Roman" w:hAnsi="Times New Roman" w:eastAsia="Times New Roman"/>
          <w:sz w:val="21"/>
          <w:szCs w:val="21"/>
        </w:rPr>
        <w:t>“</w:t>
      </w:r>
      <w:r>
        <w:rPr>
          <w:sz w:val="21"/>
          <w:szCs w:val="21"/>
        </w:rPr>
        <w:t>甲方</w:t>
      </w:r>
      <w:r>
        <w:rPr>
          <w:rFonts w:ascii="Times New Roman" w:hAnsi="Times New Roman" w:eastAsia="Times New Roman"/>
          <w:sz w:val="21"/>
          <w:szCs w:val="21"/>
        </w:rPr>
        <w:t>”</w:t>
      </w:r>
      <w:r>
        <w:rPr>
          <w:sz w:val="21"/>
          <w:szCs w:val="21"/>
        </w:rPr>
        <w:t>） 承包人：</w:t>
      </w:r>
      <w:r>
        <w:rPr>
          <w:sz w:val="21"/>
          <w:szCs w:val="21"/>
          <w:u w:val="single"/>
        </w:rPr>
        <w:t xml:space="preserve"> </w:t>
      </w:r>
      <w:r>
        <w:rPr>
          <w:sz w:val="21"/>
          <w:szCs w:val="21"/>
          <w:u w:val="single"/>
        </w:rPr>
        <w:tab/>
      </w:r>
      <w:r>
        <w:rPr>
          <w:sz w:val="21"/>
          <w:szCs w:val="21"/>
        </w:rPr>
        <w:t>（以下简称</w:t>
      </w:r>
      <w:r>
        <w:rPr>
          <w:rFonts w:ascii="Times New Roman" w:hAnsi="Times New Roman" w:eastAsia="Times New Roman"/>
          <w:sz w:val="21"/>
          <w:szCs w:val="21"/>
        </w:rPr>
        <w:t>“</w:t>
      </w:r>
      <w:r>
        <w:rPr>
          <w:sz w:val="21"/>
          <w:szCs w:val="21"/>
        </w:rPr>
        <w:t>乙方</w:t>
      </w:r>
      <w:r>
        <w:rPr>
          <w:rFonts w:ascii="Times New Roman" w:hAnsi="Times New Roman" w:eastAsia="Times New Roman"/>
          <w:sz w:val="21"/>
          <w:szCs w:val="21"/>
        </w:rPr>
        <w:t>”</w:t>
      </w:r>
      <w:r>
        <w:rPr>
          <w:sz w:val="21"/>
          <w:szCs w:val="21"/>
        </w:rPr>
        <w:t>） 经办银行：</w:t>
      </w:r>
      <w:r>
        <w:rPr>
          <w:sz w:val="21"/>
          <w:szCs w:val="21"/>
          <w:u w:val="single"/>
        </w:rPr>
        <w:t xml:space="preserve"> </w:t>
      </w:r>
      <w:r>
        <w:rPr>
          <w:sz w:val="21"/>
          <w:szCs w:val="21"/>
          <w:u w:val="single"/>
        </w:rPr>
        <w:tab/>
      </w:r>
      <w:r>
        <w:rPr>
          <w:sz w:val="21"/>
          <w:szCs w:val="21"/>
          <w:u w:val="single"/>
        </w:rPr>
        <w:tab/>
      </w:r>
      <w:r>
        <w:rPr>
          <w:sz w:val="21"/>
          <w:szCs w:val="21"/>
        </w:rPr>
        <w:t>（以下简称</w:t>
      </w:r>
      <w:r>
        <w:rPr>
          <w:rFonts w:ascii="Times New Roman" w:hAnsi="Times New Roman" w:eastAsia="Times New Roman"/>
          <w:sz w:val="21"/>
          <w:szCs w:val="21"/>
        </w:rPr>
        <w:t>“</w:t>
      </w:r>
      <w:r>
        <w:rPr>
          <w:sz w:val="21"/>
          <w:szCs w:val="21"/>
        </w:rPr>
        <w:t>丙方</w:t>
      </w:r>
      <w:r>
        <w:rPr>
          <w:rFonts w:ascii="Times New Roman" w:hAnsi="Times New Roman" w:eastAsia="Times New Roman"/>
          <w:spacing w:val="-9"/>
          <w:sz w:val="21"/>
          <w:szCs w:val="21"/>
        </w:rPr>
        <w:t>”</w:t>
      </w:r>
      <w:r>
        <w:rPr>
          <w:spacing w:val="-9"/>
          <w:sz w:val="21"/>
          <w:szCs w:val="21"/>
        </w:rPr>
        <w:t>）</w:t>
      </w:r>
    </w:p>
    <w:p w14:paraId="0D759131">
      <w:pPr>
        <w:pStyle w:val="12"/>
        <w:tabs>
          <w:tab w:val="left" w:pos="2834"/>
          <w:tab w:val="left" w:pos="7784"/>
        </w:tabs>
        <w:spacing w:line="360" w:lineRule="auto"/>
        <w:ind w:left="424" w:right="260" w:firstLine="479"/>
        <w:rPr>
          <w:sz w:val="21"/>
          <w:szCs w:val="21"/>
        </w:rPr>
      </w:pPr>
      <w:r>
        <w:rPr>
          <w:sz w:val="21"/>
          <w:szCs w:val="21"/>
        </w:rPr>
        <w:t>为了促进</w:t>
      </w:r>
      <w:r>
        <w:rPr>
          <w:sz w:val="21"/>
          <w:szCs w:val="21"/>
          <w:u w:val="single"/>
        </w:rPr>
        <w:t xml:space="preserve"> </w:t>
      </w:r>
      <w:r>
        <w:rPr>
          <w:sz w:val="21"/>
          <w:szCs w:val="21"/>
          <w:u w:val="single"/>
        </w:rPr>
        <w:tab/>
      </w:r>
      <w:r>
        <w:rPr>
          <w:sz w:val="21"/>
          <w:szCs w:val="21"/>
        </w:rPr>
        <w:t>（项目名称）的顺利实施，管好用好建设资金，确保工程资金专款专用</w:t>
      </w:r>
      <w:r>
        <w:rPr>
          <w:spacing w:val="-68"/>
          <w:sz w:val="21"/>
          <w:szCs w:val="21"/>
        </w:rPr>
        <w:t>，</w:t>
      </w:r>
      <w:r>
        <w:rPr>
          <w:sz w:val="21"/>
          <w:szCs w:val="21"/>
        </w:rPr>
        <w:t>同时为承包人提供便捷有效的银行业务服务</w:t>
      </w:r>
      <w:r>
        <w:rPr>
          <w:spacing w:val="-68"/>
          <w:sz w:val="21"/>
          <w:szCs w:val="21"/>
        </w:rPr>
        <w:t>，</w:t>
      </w:r>
      <w:r>
        <w:rPr>
          <w:sz w:val="21"/>
          <w:szCs w:val="21"/>
        </w:rPr>
        <w:t>根据</w:t>
      </w:r>
      <w:r>
        <w:rPr>
          <w:sz w:val="21"/>
          <w:szCs w:val="21"/>
          <w:u w:val="single"/>
        </w:rPr>
        <w:t xml:space="preserve"> </w:t>
      </w:r>
      <w:r>
        <w:rPr>
          <w:sz w:val="21"/>
          <w:szCs w:val="21"/>
          <w:u w:val="single"/>
        </w:rPr>
        <w:tab/>
      </w:r>
      <w:r>
        <w:rPr>
          <w:sz w:val="21"/>
          <w:szCs w:val="21"/>
          <w:u w:val="single"/>
        </w:rPr>
        <w:t>（</w:t>
      </w:r>
      <w:r>
        <w:rPr>
          <w:sz w:val="21"/>
          <w:szCs w:val="21"/>
        </w:rPr>
        <w:t>项目名称</w:t>
      </w:r>
      <w:r>
        <w:rPr>
          <w:spacing w:val="-18"/>
          <w:sz w:val="21"/>
          <w:szCs w:val="21"/>
        </w:rPr>
        <w:t xml:space="preserve">） </w:t>
      </w:r>
      <w:r>
        <w:rPr>
          <w:sz w:val="21"/>
          <w:szCs w:val="21"/>
        </w:rPr>
        <w:t>合同条款有关规定，经甲、乙、丙三方协商，达成协议如下：</w:t>
      </w:r>
    </w:p>
    <w:p w14:paraId="3C8921AB">
      <w:pPr>
        <w:pStyle w:val="41"/>
        <w:numPr>
          <w:ilvl w:val="0"/>
          <w:numId w:val="0"/>
        </w:numPr>
        <w:tabs>
          <w:tab w:val="left" w:pos="1205"/>
        </w:tabs>
        <w:spacing w:before="0" w:after="0" w:line="360" w:lineRule="auto"/>
        <w:ind w:left="1204" w:leftChars="0" w:right="0" w:rightChars="0" w:hanging="301" w:firstLineChars="0"/>
        <w:jc w:val="left"/>
        <w:rPr>
          <w:sz w:val="21"/>
          <w:szCs w:val="21"/>
        </w:rPr>
      </w:pPr>
      <w:r>
        <w:rPr>
          <w:rFonts w:hint="default" w:ascii="Times New Roman" w:hAnsi="Times New Roman" w:eastAsia="Times New Roman" w:cs="Times New Roman"/>
          <w:w w:val="100"/>
          <w:sz w:val="21"/>
          <w:szCs w:val="21"/>
          <w:lang w:val="zh-CN" w:eastAsia="zh-CN" w:bidi="zh-CN"/>
        </w:rPr>
        <w:t>1.</w:t>
      </w:r>
      <w:r>
        <w:rPr>
          <w:sz w:val="21"/>
          <w:szCs w:val="21"/>
        </w:rPr>
        <w:t>资金管理的内容</w:t>
      </w:r>
    </w:p>
    <w:p w14:paraId="1A548B03">
      <w:pPr>
        <w:pStyle w:val="41"/>
        <w:numPr>
          <w:ilvl w:val="0"/>
          <w:numId w:val="0"/>
        </w:numPr>
        <w:tabs>
          <w:tab w:val="left" w:pos="1506"/>
          <w:tab w:val="left" w:pos="3607"/>
        </w:tabs>
        <w:spacing w:before="72" w:after="0" w:line="360" w:lineRule="auto"/>
        <w:ind w:left="424" w:leftChars="0" w:right="385" w:rightChars="0" w:firstLine="479" w:firstLineChars="0"/>
        <w:jc w:val="left"/>
        <w:rPr>
          <w:sz w:val="21"/>
          <w:szCs w:val="21"/>
        </w:rPr>
      </w:pPr>
      <w:r>
        <w:rPr>
          <w:rFonts w:hint="default" w:ascii="宋体" w:hAnsi="宋体" w:eastAsia="宋体" w:cs="宋体"/>
          <w:spacing w:val="-29"/>
          <w:w w:val="100"/>
          <w:sz w:val="21"/>
          <w:szCs w:val="21"/>
          <w:lang w:val="zh-CN" w:eastAsia="zh-CN" w:bidi="zh-CN"/>
        </w:rPr>
        <w:t>（1）</w:t>
      </w:r>
      <w:r>
        <w:rPr>
          <w:sz w:val="21"/>
          <w:szCs w:val="21"/>
        </w:rPr>
        <w:t>乙方为完成</w:t>
      </w:r>
      <w:r>
        <w:rPr>
          <w:sz w:val="21"/>
          <w:szCs w:val="21"/>
          <w:u w:val="single"/>
        </w:rPr>
        <w:t xml:space="preserve"> </w:t>
      </w:r>
      <w:r>
        <w:rPr>
          <w:sz w:val="21"/>
          <w:szCs w:val="21"/>
          <w:u w:val="single"/>
        </w:rPr>
        <w:tab/>
      </w:r>
      <w:r>
        <w:rPr>
          <w:sz w:val="21"/>
          <w:szCs w:val="21"/>
        </w:rPr>
        <w:t>（项目名称</w:t>
      </w:r>
      <w:r>
        <w:rPr>
          <w:spacing w:val="-29"/>
          <w:sz w:val="21"/>
          <w:szCs w:val="21"/>
        </w:rPr>
        <w:t>）</w:t>
      </w:r>
      <w:r>
        <w:rPr>
          <w:sz w:val="21"/>
          <w:szCs w:val="21"/>
        </w:rPr>
        <w:t>工程成立的项目经理部在丙方开设基</w:t>
      </w:r>
      <w:r>
        <w:rPr>
          <w:spacing w:val="-17"/>
          <w:sz w:val="21"/>
          <w:szCs w:val="21"/>
        </w:rPr>
        <w:t>本</w:t>
      </w:r>
      <w:r>
        <w:rPr>
          <w:sz w:val="21"/>
          <w:szCs w:val="21"/>
        </w:rPr>
        <w:t>结算户；</w:t>
      </w:r>
    </w:p>
    <w:p w14:paraId="230D616C">
      <w:pPr>
        <w:pStyle w:val="41"/>
        <w:numPr>
          <w:ilvl w:val="0"/>
          <w:numId w:val="0"/>
        </w:numPr>
        <w:tabs>
          <w:tab w:val="left" w:pos="1506"/>
        </w:tabs>
        <w:spacing w:before="0" w:after="0" w:line="360" w:lineRule="auto"/>
        <w:ind w:left="1505" w:leftChars="0" w:right="0" w:rightChars="0" w:hanging="602" w:firstLineChars="0"/>
        <w:jc w:val="left"/>
        <w:rPr>
          <w:sz w:val="21"/>
          <w:szCs w:val="21"/>
        </w:rPr>
      </w:pPr>
      <w:r>
        <w:rPr>
          <w:rFonts w:hint="default" w:ascii="宋体" w:hAnsi="宋体" w:eastAsia="宋体" w:cs="宋体"/>
          <w:spacing w:val="-29"/>
          <w:w w:val="100"/>
          <w:sz w:val="21"/>
          <w:szCs w:val="21"/>
          <w:lang w:val="zh-CN" w:eastAsia="zh-CN" w:bidi="zh-CN"/>
        </w:rPr>
        <w:t>（2）</w:t>
      </w:r>
      <w:r>
        <w:rPr>
          <w:sz w:val="21"/>
          <w:szCs w:val="21"/>
        </w:rPr>
        <w:t>甲方应按合同规定将工程款汇入乙方在丙方开设的账户；</w:t>
      </w:r>
    </w:p>
    <w:p w14:paraId="21832C66">
      <w:pPr>
        <w:pStyle w:val="41"/>
        <w:numPr>
          <w:ilvl w:val="0"/>
          <w:numId w:val="0"/>
        </w:numPr>
        <w:tabs>
          <w:tab w:val="left" w:pos="1506"/>
          <w:tab w:val="left" w:pos="7265"/>
        </w:tabs>
        <w:spacing w:before="72" w:after="0" w:line="360" w:lineRule="auto"/>
        <w:ind w:left="1505" w:leftChars="0" w:right="0" w:rightChars="0" w:hanging="602" w:firstLineChars="0"/>
        <w:jc w:val="left"/>
        <w:rPr>
          <w:sz w:val="21"/>
          <w:szCs w:val="21"/>
        </w:rPr>
      </w:pPr>
      <w:r>
        <w:rPr>
          <w:rFonts w:hint="default" w:ascii="宋体" w:hAnsi="宋体" w:eastAsia="宋体" w:cs="宋体"/>
          <w:spacing w:val="-29"/>
          <w:w w:val="100"/>
          <w:sz w:val="21"/>
          <w:szCs w:val="21"/>
          <w:lang w:val="zh-CN" w:eastAsia="zh-CN" w:bidi="zh-CN"/>
        </w:rPr>
        <w:t>（3）</w:t>
      </w:r>
      <w:r>
        <w:rPr>
          <w:sz w:val="21"/>
          <w:szCs w:val="21"/>
        </w:rPr>
        <w:t>乙方应将流动资金及甲方所拨付资金专项用</w:t>
      </w:r>
      <w:r>
        <w:rPr>
          <w:spacing w:val="1"/>
          <w:sz w:val="21"/>
          <w:szCs w:val="21"/>
        </w:rPr>
        <w:t>于</w:t>
      </w: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（项目名称</w:t>
      </w:r>
      <w:r>
        <w:rPr>
          <w:spacing w:val="-120"/>
          <w:sz w:val="21"/>
          <w:szCs w:val="21"/>
        </w:rPr>
        <w:t>）</w:t>
      </w:r>
      <w:r>
        <w:rPr>
          <w:sz w:val="21"/>
          <w:szCs w:val="21"/>
        </w:rPr>
        <w:t>；</w:t>
      </w:r>
    </w:p>
    <w:p w14:paraId="4D2DAFDC">
      <w:pPr>
        <w:pStyle w:val="41"/>
        <w:numPr>
          <w:ilvl w:val="0"/>
          <w:numId w:val="0"/>
        </w:numPr>
        <w:tabs>
          <w:tab w:val="left" w:pos="1506"/>
        </w:tabs>
        <w:spacing w:before="74" w:after="0" w:line="360" w:lineRule="auto"/>
        <w:ind w:left="424" w:leftChars="0" w:right="386" w:rightChars="0" w:firstLine="479" w:firstLineChars="0"/>
        <w:jc w:val="left"/>
        <w:rPr>
          <w:sz w:val="21"/>
          <w:szCs w:val="21"/>
        </w:rPr>
      </w:pPr>
      <w:r>
        <w:rPr>
          <w:rFonts w:hint="default" w:ascii="宋体" w:hAnsi="宋体" w:eastAsia="宋体" w:cs="宋体"/>
          <w:spacing w:val="-29"/>
          <w:w w:val="100"/>
          <w:sz w:val="21"/>
          <w:szCs w:val="21"/>
          <w:lang w:val="zh-CN" w:eastAsia="zh-CN" w:bidi="zh-CN"/>
        </w:rPr>
        <w:t>（4）</w:t>
      </w:r>
      <w:r>
        <w:rPr>
          <w:spacing w:val="-3"/>
          <w:sz w:val="21"/>
          <w:szCs w:val="21"/>
        </w:rPr>
        <w:t>丙方应为乙方提供便捷有效的银行业务服务，并接受甲方委托对乙方在</w:t>
      </w:r>
      <w:r>
        <w:rPr>
          <w:spacing w:val="-4"/>
          <w:sz w:val="21"/>
          <w:szCs w:val="21"/>
        </w:rPr>
        <w:t>丙方开设的基本结</w:t>
      </w:r>
      <w:r>
        <w:rPr>
          <w:rFonts w:hint="eastAsia"/>
          <w:spacing w:val="-4"/>
          <w:sz w:val="21"/>
          <w:szCs w:val="21"/>
          <w:lang w:eastAsia="zh-CN"/>
        </w:rPr>
        <w:t>算</w:t>
      </w:r>
      <w:r>
        <w:rPr>
          <w:spacing w:val="-4"/>
          <w:sz w:val="21"/>
          <w:szCs w:val="21"/>
        </w:rPr>
        <w:t>户资金使用情况进行监督。</w:t>
      </w:r>
    </w:p>
    <w:p w14:paraId="2757DB48">
      <w:pPr>
        <w:pStyle w:val="41"/>
        <w:numPr>
          <w:ilvl w:val="0"/>
          <w:numId w:val="0"/>
        </w:numPr>
        <w:tabs>
          <w:tab w:val="left" w:pos="1205"/>
        </w:tabs>
        <w:spacing w:before="2" w:after="0" w:line="360" w:lineRule="auto"/>
        <w:ind w:left="1204" w:leftChars="0" w:right="0" w:rightChars="0" w:hanging="301" w:firstLineChars="0"/>
        <w:jc w:val="left"/>
        <w:rPr>
          <w:sz w:val="21"/>
          <w:szCs w:val="21"/>
        </w:rPr>
      </w:pPr>
      <w:r>
        <w:rPr>
          <w:rFonts w:hint="default" w:ascii="Times New Roman" w:hAnsi="Times New Roman" w:eastAsia="Times New Roman" w:cs="Times New Roman"/>
          <w:w w:val="100"/>
          <w:sz w:val="21"/>
          <w:szCs w:val="21"/>
          <w:lang w:val="zh-CN" w:eastAsia="zh-CN" w:bidi="zh-CN"/>
        </w:rPr>
        <w:t>2.</w:t>
      </w:r>
      <w:r>
        <w:rPr>
          <w:sz w:val="21"/>
          <w:szCs w:val="21"/>
        </w:rPr>
        <w:t>甲方的权责</w:t>
      </w:r>
    </w:p>
    <w:p w14:paraId="308EBB38">
      <w:pPr>
        <w:pStyle w:val="41"/>
        <w:numPr>
          <w:ilvl w:val="0"/>
          <w:numId w:val="0"/>
        </w:numPr>
        <w:tabs>
          <w:tab w:val="left" w:pos="1506"/>
          <w:tab w:val="left" w:pos="2901"/>
        </w:tabs>
        <w:spacing w:before="74" w:after="0" w:line="360" w:lineRule="auto"/>
        <w:ind w:left="424" w:leftChars="0" w:right="385" w:rightChars="0" w:firstLine="479" w:firstLineChars="0"/>
        <w:jc w:val="left"/>
        <w:rPr>
          <w:sz w:val="21"/>
          <w:szCs w:val="21"/>
        </w:rPr>
      </w:pPr>
      <w:r>
        <w:rPr>
          <w:rFonts w:hint="default" w:ascii="宋体" w:hAnsi="宋体" w:eastAsia="宋体" w:cs="宋体"/>
          <w:spacing w:val="-22"/>
          <w:w w:val="100"/>
          <w:sz w:val="21"/>
          <w:szCs w:val="21"/>
          <w:lang w:val="zh-CN" w:eastAsia="zh-CN" w:bidi="zh-CN"/>
        </w:rPr>
        <w:t>（1）</w:t>
      </w:r>
      <w:r>
        <w:rPr>
          <w:sz w:val="21"/>
          <w:szCs w:val="21"/>
        </w:rPr>
        <w:t>按照</w:t>
      </w:r>
      <w:r>
        <w:rPr>
          <w:sz w:val="21"/>
          <w:szCs w:val="21"/>
          <w:u w:val="single"/>
        </w:rPr>
        <w:t xml:space="preserve"> </w:t>
      </w:r>
      <w:r>
        <w:rPr>
          <w:sz w:val="21"/>
          <w:szCs w:val="21"/>
          <w:u w:val="single"/>
        </w:rPr>
        <w:tab/>
      </w:r>
      <w:r>
        <w:rPr>
          <w:sz w:val="21"/>
          <w:szCs w:val="21"/>
        </w:rPr>
        <w:t>（项目名称</w:t>
      </w:r>
      <w:r>
        <w:rPr>
          <w:spacing w:val="-22"/>
          <w:sz w:val="21"/>
          <w:szCs w:val="21"/>
        </w:rPr>
        <w:t>）</w:t>
      </w:r>
      <w:r>
        <w:rPr>
          <w:sz w:val="21"/>
          <w:szCs w:val="21"/>
        </w:rPr>
        <w:t>合同有关条款规定的时间和方式</w:t>
      </w:r>
      <w:r>
        <w:rPr>
          <w:spacing w:val="-22"/>
          <w:sz w:val="21"/>
          <w:szCs w:val="21"/>
        </w:rPr>
        <w:t>，</w:t>
      </w:r>
      <w:r>
        <w:rPr>
          <w:sz w:val="21"/>
          <w:szCs w:val="21"/>
        </w:rPr>
        <w:t>向乙方支</w:t>
      </w:r>
      <w:r>
        <w:rPr>
          <w:spacing w:val="-16"/>
          <w:sz w:val="21"/>
          <w:szCs w:val="21"/>
        </w:rPr>
        <w:t>付</w:t>
      </w:r>
      <w:r>
        <w:rPr>
          <w:sz w:val="21"/>
          <w:szCs w:val="21"/>
        </w:rPr>
        <w:t>工程款；</w:t>
      </w:r>
    </w:p>
    <w:p w14:paraId="3E864873">
      <w:pPr>
        <w:pStyle w:val="41"/>
        <w:numPr>
          <w:ilvl w:val="0"/>
          <w:numId w:val="0"/>
        </w:numPr>
        <w:tabs>
          <w:tab w:val="left" w:pos="1506"/>
        </w:tabs>
        <w:spacing w:before="2" w:after="0" w:line="360" w:lineRule="auto"/>
        <w:ind w:left="424" w:leftChars="0" w:right="386" w:rightChars="0" w:firstLine="479" w:firstLineChars="0"/>
        <w:jc w:val="left"/>
        <w:rPr>
          <w:sz w:val="21"/>
          <w:szCs w:val="21"/>
        </w:rPr>
      </w:pPr>
      <w:r>
        <w:rPr>
          <w:rFonts w:hint="default" w:ascii="宋体" w:hAnsi="宋体" w:eastAsia="宋体" w:cs="宋体"/>
          <w:spacing w:val="-22"/>
          <w:w w:val="100"/>
          <w:sz w:val="21"/>
          <w:szCs w:val="21"/>
          <w:lang w:val="zh-CN" w:eastAsia="zh-CN" w:bidi="zh-CN"/>
        </w:rPr>
        <w:t>（2）</w:t>
      </w:r>
      <w:r>
        <w:rPr>
          <w:spacing w:val="-5"/>
          <w:sz w:val="21"/>
          <w:szCs w:val="21"/>
        </w:rPr>
        <w:t xml:space="preserve">在发现乙方将本项目资金挪用、转移时，甲方有权中止工程支付，直至 </w:t>
      </w:r>
      <w:r>
        <w:rPr>
          <w:spacing w:val="-4"/>
          <w:sz w:val="21"/>
          <w:szCs w:val="21"/>
        </w:rPr>
        <w:t>乙方改正为止；</w:t>
      </w:r>
    </w:p>
    <w:p w14:paraId="7EFDFBB9">
      <w:pPr>
        <w:pStyle w:val="41"/>
        <w:numPr>
          <w:ilvl w:val="0"/>
          <w:numId w:val="0"/>
        </w:numPr>
        <w:tabs>
          <w:tab w:val="left" w:pos="1506"/>
        </w:tabs>
        <w:spacing w:before="0" w:after="0" w:line="360" w:lineRule="auto"/>
        <w:ind w:left="424" w:leftChars="0" w:right="385" w:rightChars="0" w:firstLine="479" w:firstLineChars="0"/>
        <w:jc w:val="left"/>
        <w:rPr>
          <w:sz w:val="21"/>
          <w:szCs w:val="21"/>
        </w:rPr>
      </w:pPr>
      <w:r>
        <w:rPr>
          <w:rFonts w:hint="default" w:ascii="宋体" w:hAnsi="宋体" w:eastAsia="宋体" w:cs="宋体"/>
          <w:spacing w:val="-22"/>
          <w:w w:val="100"/>
          <w:sz w:val="21"/>
          <w:szCs w:val="21"/>
          <w:lang w:val="zh-CN" w:eastAsia="zh-CN" w:bidi="zh-CN"/>
        </w:rPr>
        <w:t>（3）</w:t>
      </w:r>
      <w:r>
        <w:rPr>
          <w:spacing w:val="-3"/>
          <w:sz w:val="21"/>
          <w:szCs w:val="21"/>
        </w:rPr>
        <w:t xml:space="preserve">不定期审查丙方对乙方的资金使用监督情况，如丙方不能履行其责任， </w:t>
      </w:r>
      <w:r>
        <w:rPr>
          <w:spacing w:val="-4"/>
          <w:sz w:val="21"/>
          <w:szCs w:val="21"/>
        </w:rPr>
        <w:t>甲方有权随时终止本协议；</w:t>
      </w:r>
    </w:p>
    <w:p w14:paraId="67CB8D5F">
      <w:pPr>
        <w:pStyle w:val="41"/>
        <w:numPr>
          <w:ilvl w:val="0"/>
          <w:numId w:val="0"/>
        </w:numPr>
        <w:tabs>
          <w:tab w:val="left" w:pos="1506"/>
        </w:tabs>
        <w:spacing w:before="3" w:after="0" w:line="360" w:lineRule="auto"/>
        <w:ind w:left="1505" w:leftChars="0" w:right="0" w:rightChars="0" w:hanging="602" w:firstLineChars="0"/>
        <w:jc w:val="left"/>
        <w:rPr>
          <w:sz w:val="21"/>
          <w:szCs w:val="21"/>
        </w:rPr>
      </w:pPr>
      <w:r>
        <w:rPr>
          <w:rFonts w:hint="default" w:ascii="宋体" w:hAnsi="宋体" w:eastAsia="宋体" w:cs="宋体"/>
          <w:spacing w:val="-22"/>
          <w:w w:val="100"/>
          <w:sz w:val="21"/>
          <w:szCs w:val="21"/>
          <w:lang w:val="zh-CN" w:eastAsia="zh-CN" w:bidi="zh-CN"/>
        </w:rPr>
        <w:t>（4）</w:t>
      </w:r>
      <w:r>
        <w:rPr>
          <w:sz w:val="21"/>
          <w:szCs w:val="21"/>
        </w:rPr>
        <w:t>在乙、丙双方发生争议时，甲方应负责协调、解决。</w:t>
      </w:r>
    </w:p>
    <w:p w14:paraId="26885E94">
      <w:pPr>
        <w:pStyle w:val="41"/>
        <w:numPr>
          <w:ilvl w:val="0"/>
          <w:numId w:val="0"/>
        </w:numPr>
        <w:tabs>
          <w:tab w:val="left" w:pos="1205"/>
        </w:tabs>
        <w:spacing w:before="72" w:after="0" w:line="360" w:lineRule="auto"/>
        <w:ind w:left="1204" w:leftChars="0" w:right="0" w:rightChars="0" w:hanging="301" w:firstLineChars="0"/>
        <w:jc w:val="left"/>
        <w:rPr>
          <w:sz w:val="21"/>
          <w:szCs w:val="21"/>
        </w:rPr>
      </w:pPr>
      <w:r>
        <w:rPr>
          <w:rFonts w:hint="default" w:ascii="Times New Roman" w:hAnsi="Times New Roman" w:eastAsia="Times New Roman" w:cs="Times New Roman"/>
          <w:w w:val="100"/>
          <w:sz w:val="21"/>
          <w:szCs w:val="21"/>
          <w:lang w:val="zh-CN" w:eastAsia="zh-CN" w:bidi="zh-CN"/>
        </w:rPr>
        <w:t>3.</w:t>
      </w:r>
      <w:r>
        <w:rPr>
          <w:sz w:val="21"/>
          <w:szCs w:val="21"/>
        </w:rPr>
        <w:t>乙方的权责</w:t>
      </w:r>
    </w:p>
    <w:p w14:paraId="1F12A3ED">
      <w:pPr>
        <w:pStyle w:val="41"/>
        <w:numPr>
          <w:ilvl w:val="0"/>
          <w:numId w:val="0"/>
        </w:numPr>
        <w:tabs>
          <w:tab w:val="left" w:pos="1506"/>
        </w:tabs>
        <w:spacing w:before="71" w:after="0" w:line="360" w:lineRule="auto"/>
        <w:ind w:left="1505" w:leftChars="0" w:right="0" w:rightChars="0" w:hanging="602" w:firstLineChars="0"/>
        <w:jc w:val="left"/>
        <w:rPr>
          <w:sz w:val="21"/>
          <w:szCs w:val="21"/>
        </w:rPr>
      </w:pPr>
      <w:r>
        <w:rPr>
          <w:rFonts w:hint="default" w:ascii="宋体" w:hAnsi="宋体" w:eastAsia="宋体" w:cs="宋体"/>
          <w:w w:val="100"/>
          <w:sz w:val="21"/>
          <w:szCs w:val="21"/>
          <w:lang w:val="zh-CN" w:eastAsia="zh-CN" w:bidi="zh-CN"/>
        </w:rPr>
        <w:t>（1）</w:t>
      </w:r>
      <w:r>
        <w:rPr>
          <w:sz w:val="21"/>
          <w:szCs w:val="21"/>
        </w:rPr>
        <w:t>项目经理部成立以后，乙方应尽快在丙方开设基本结算户；</w:t>
      </w:r>
    </w:p>
    <w:p w14:paraId="01C2005D">
      <w:pPr>
        <w:pStyle w:val="41"/>
        <w:numPr>
          <w:ilvl w:val="0"/>
          <w:numId w:val="0"/>
        </w:numPr>
        <w:tabs>
          <w:tab w:val="left" w:pos="1506"/>
        </w:tabs>
        <w:spacing w:before="75" w:after="0" w:line="360" w:lineRule="auto"/>
        <w:ind w:left="424" w:leftChars="0" w:right="386" w:rightChars="0" w:firstLine="479" w:firstLineChars="0"/>
        <w:jc w:val="left"/>
        <w:rPr>
          <w:sz w:val="21"/>
          <w:szCs w:val="21"/>
        </w:rPr>
      </w:pPr>
      <w:r>
        <w:rPr>
          <w:rFonts w:hint="default" w:ascii="宋体" w:hAnsi="宋体" w:eastAsia="宋体" w:cs="宋体"/>
          <w:w w:val="100"/>
          <w:sz w:val="21"/>
          <w:szCs w:val="21"/>
          <w:lang w:val="zh-CN" w:eastAsia="zh-CN" w:bidi="zh-CN"/>
        </w:rPr>
        <w:t>（2）</w:t>
      </w:r>
      <w:r>
        <w:rPr>
          <w:spacing w:val="-5"/>
          <w:sz w:val="21"/>
          <w:szCs w:val="21"/>
        </w:rPr>
        <w:t xml:space="preserve">确保本项目资金专款专用，不发生挪用、转移资金的现象；保证不通过 </w:t>
      </w:r>
      <w:r>
        <w:rPr>
          <w:spacing w:val="-4"/>
          <w:sz w:val="21"/>
          <w:szCs w:val="21"/>
        </w:rPr>
        <w:t>权益转让、抵押、担保承担债务等任何其他方式使用基本结算户的资金；</w:t>
      </w:r>
    </w:p>
    <w:p w14:paraId="6C4FE0A8">
      <w:pPr>
        <w:pStyle w:val="41"/>
        <w:numPr>
          <w:ilvl w:val="0"/>
          <w:numId w:val="0"/>
        </w:numPr>
        <w:tabs>
          <w:tab w:val="left" w:pos="1506"/>
        </w:tabs>
        <w:spacing w:before="2" w:after="0" w:line="360" w:lineRule="auto"/>
        <w:ind w:left="424" w:leftChars="0" w:right="265" w:rightChars="0" w:firstLine="479" w:firstLineChars="0"/>
        <w:jc w:val="both"/>
        <w:rPr>
          <w:sz w:val="21"/>
          <w:szCs w:val="21"/>
        </w:rPr>
      </w:pPr>
      <w:r>
        <w:rPr>
          <w:rFonts w:hint="default" w:ascii="宋体" w:hAnsi="宋体" w:eastAsia="宋体" w:cs="宋体"/>
          <w:w w:val="100"/>
          <w:sz w:val="21"/>
          <w:szCs w:val="21"/>
          <w:lang w:val="zh-CN" w:eastAsia="zh-CN" w:bidi="zh-CN"/>
        </w:rPr>
        <w:t>（3）</w:t>
      </w:r>
      <w:r>
        <w:rPr>
          <w:spacing w:val="-5"/>
          <w:sz w:val="21"/>
          <w:szCs w:val="21"/>
        </w:rPr>
        <w:t>办理材料、设备等采购业务金额在</w:t>
      </w:r>
      <w:r>
        <w:rPr>
          <w:spacing w:val="1"/>
          <w:sz w:val="21"/>
          <w:szCs w:val="21"/>
        </w:rPr>
        <w:t xml:space="preserve"> 万元以上的，应出示购货合同、协议和发票；在办理总额超过</w:t>
      </w:r>
      <w:r>
        <w:rPr>
          <w:spacing w:val="1"/>
          <w:sz w:val="21"/>
          <w:szCs w:val="21"/>
          <w:u w:val="single"/>
        </w:rPr>
        <w:t xml:space="preserve"> </w:t>
      </w:r>
      <w:r>
        <w:rPr>
          <w:sz w:val="21"/>
          <w:szCs w:val="21"/>
        </w:rPr>
        <w:t xml:space="preserve"> 万元以上的采购业务时，应将合同、协议和发票复印件</w:t>
      </w:r>
      <w:r>
        <w:rPr>
          <w:spacing w:val="-9"/>
          <w:sz w:val="21"/>
          <w:szCs w:val="21"/>
        </w:rPr>
        <w:t>送丙方备案；购买应急材料、设备时可先办理支付手续，但事后必须补备有关资料；</w:t>
      </w:r>
    </w:p>
    <w:p w14:paraId="00E54D99">
      <w:pPr>
        <w:pStyle w:val="41"/>
        <w:numPr>
          <w:ilvl w:val="0"/>
          <w:numId w:val="0"/>
        </w:numPr>
        <w:tabs>
          <w:tab w:val="left" w:pos="1506"/>
        </w:tabs>
        <w:spacing w:before="0" w:after="0" w:line="360" w:lineRule="auto"/>
        <w:ind w:left="1505" w:leftChars="0" w:right="0" w:rightChars="0" w:hanging="602" w:firstLineChars="0"/>
        <w:jc w:val="left"/>
        <w:rPr>
          <w:sz w:val="21"/>
          <w:szCs w:val="21"/>
        </w:rPr>
      </w:pPr>
      <w:r>
        <w:rPr>
          <w:rFonts w:hint="default" w:ascii="宋体" w:hAnsi="宋体" w:eastAsia="宋体" w:cs="宋体"/>
          <w:w w:val="100"/>
          <w:sz w:val="21"/>
          <w:szCs w:val="21"/>
          <w:lang w:val="zh-CN" w:eastAsia="zh-CN" w:bidi="zh-CN"/>
        </w:rPr>
        <w:t>（4）</w:t>
      </w:r>
      <w:r>
        <w:rPr>
          <w:spacing w:val="-3"/>
          <w:sz w:val="21"/>
          <w:szCs w:val="21"/>
        </w:rPr>
        <w:t>用银行转账支票办理支付款项时，必须将转账支票送交丙方，由丙方负责</w:t>
      </w:r>
    </w:p>
    <w:p w14:paraId="15071BEE">
      <w:pPr>
        <w:spacing w:after="0" w:line="360" w:lineRule="auto"/>
        <w:jc w:val="left"/>
        <w:rPr>
          <w:sz w:val="21"/>
          <w:szCs w:val="21"/>
        </w:rPr>
        <w:sectPr>
          <w:footerReference r:id="rId46" w:type="default"/>
          <w:footerReference r:id="rId47" w:type="even"/>
          <w:pgSz w:w="11910" w:h="16850"/>
          <w:pgMar w:top="1480" w:right="1200" w:bottom="1080" w:left="1220" w:header="883" w:footer="884" w:gutter="0"/>
          <w:pgNumType w:fmt="decimal"/>
          <w:cols w:space="720" w:num="1"/>
        </w:sectPr>
      </w:pPr>
    </w:p>
    <w:p w14:paraId="76BE9D50">
      <w:pPr>
        <w:pStyle w:val="12"/>
        <w:spacing w:before="9" w:line="360" w:lineRule="auto"/>
        <w:rPr>
          <w:sz w:val="21"/>
          <w:szCs w:val="21"/>
        </w:rPr>
      </w:pPr>
    </w:p>
    <w:p w14:paraId="13886530">
      <w:pPr>
        <w:pStyle w:val="12"/>
        <w:spacing w:before="66" w:line="360" w:lineRule="auto"/>
        <w:ind w:left="424"/>
        <w:rPr>
          <w:sz w:val="21"/>
          <w:szCs w:val="21"/>
        </w:rPr>
      </w:pPr>
      <w:r>
        <w:rPr>
          <w:sz w:val="21"/>
          <w:szCs w:val="21"/>
        </w:rPr>
        <w:t>办理支票转付手续；</w:t>
      </w:r>
    </w:p>
    <w:p w14:paraId="604C705A">
      <w:pPr>
        <w:pStyle w:val="41"/>
        <w:numPr>
          <w:ilvl w:val="0"/>
          <w:numId w:val="0"/>
        </w:numPr>
        <w:tabs>
          <w:tab w:val="left" w:pos="1506"/>
        </w:tabs>
        <w:spacing w:before="72" w:after="0" w:line="360" w:lineRule="auto"/>
        <w:ind w:left="1505" w:leftChars="0" w:right="0" w:rightChars="0" w:hanging="602" w:firstLineChars="0"/>
        <w:jc w:val="left"/>
        <w:rPr>
          <w:sz w:val="21"/>
          <w:szCs w:val="21"/>
        </w:rPr>
      </w:pPr>
      <w:r>
        <w:rPr>
          <w:rFonts w:hint="default" w:ascii="宋体" w:hAnsi="宋体" w:eastAsia="宋体" w:cs="宋体"/>
          <w:w w:val="100"/>
          <w:sz w:val="21"/>
          <w:szCs w:val="21"/>
          <w:lang w:val="zh-CN" w:eastAsia="zh-CN" w:bidi="zh-CN"/>
        </w:rPr>
        <w:t>（5）</w:t>
      </w:r>
      <w:r>
        <w:rPr>
          <w:sz w:val="21"/>
          <w:szCs w:val="21"/>
        </w:rPr>
        <w:t>向分包单位支付工程进度款时，应附甲方批准分包的文件；</w:t>
      </w:r>
    </w:p>
    <w:p w14:paraId="51F5E55F">
      <w:pPr>
        <w:pStyle w:val="41"/>
        <w:numPr>
          <w:ilvl w:val="0"/>
          <w:numId w:val="0"/>
        </w:numPr>
        <w:tabs>
          <w:tab w:val="left" w:pos="1506"/>
        </w:tabs>
        <w:spacing w:before="72" w:after="0" w:line="360" w:lineRule="auto"/>
        <w:ind w:left="424" w:leftChars="0" w:right="386" w:rightChars="0" w:firstLine="479" w:firstLineChars="0"/>
        <w:jc w:val="left"/>
        <w:rPr>
          <w:sz w:val="21"/>
          <w:szCs w:val="21"/>
        </w:rPr>
      </w:pPr>
      <w:r>
        <w:rPr>
          <w:rFonts w:hint="default" w:ascii="宋体" w:hAnsi="宋体" w:eastAsia="宋体" w:cs="宋体"/>
          <w:w w:val="100"/>
          <w:sz w:val="21"/>
          <w:szCs w:val="21"/>
          <w:lang w:val="zh-CN" w:eastAsia="zh-CN" w:bidi="zh-CN"/>
        </w:rPr>
        <w:t>（6）</w:t>
      </w:r>
      <w:r>
        <w:rPr>
          <w:spacing w:val="-4"/>
          <w:sz w:val="21"/>
          <w:szCs w:val="21"/>
        </w:rPr>
        <w:t>向上级单位缴纳管理费、机械设备及周转材料租赁摊销费等款项时，应附上级单位出具的转账通知等有关资料，以确保资金专款专用。</w:t>
      </w:r>
    </w:p>
    <w:p w14:paraId="2A674617">
      <w:pPr>
        <w:pStyle w:val="41"/>
        <w:numPr>
          <w:ilvl w:val="0"/>
          <w:numId w:val="0"/>
        </w:numPr>
        <w:tabs>
          <w:tab w:val="left" w:pos="1205"/>
        </w:tabs>
        <w:spacing w:before="0" w:after="0" w:line="360" w:lineRule="auto"/>
        <w:ind w:left="1204" w:leftChars="0" w:right="0" w:rightChars="0" w:hanging="301" w:firstLineChars="0"/>
        <w:jc w:val="left"/>
        <w:rPr>
          <w:sz w:val="21"/>
          <w:szCs w:val="21"/>
        </w:rPr>
      </w:pPr>
      <w:r>
        <w:rPr>
          <w:rFonts w:hint="default" w:ascii="Times New Roman" w:hAnsi="Times New Roman" w:eastAsia="Times New Roman" w:cs="Times New Roman"/>
          <w:w w:val="100"/>
          <w:sz w:val="21"/>
          <w:szCs w:val="21"/>
          <w:lang w:val="zh-CN" w:eastAsia="zh-CN" w:bidi="zh-CN"/>
        </w:rPr>
        <w:t>4.</w:t>
      </w:r>
      <w:r>
        <w:rPr>
          <w:sz w:val="21"/>
          <w:szCs w:val="21"/>
        </w:rPr>
        <w:t>丙方的权责</w:t>
      </w:r>
    </w:p>
    <w:p w14:paraId="6F8B5D12">
      <w:pPr>
        <w:pStyle w:val="41"/>
        <w:numPr>
          <w:ilvl w:val="0"/>
          <w:numId w:val="0"/>
        </w:numPr>
        <w:tabs>
          <w:tab w:val="left" w:pos="1506"/>
          <w:tab w:val="left" w:pos="2911"/>
        </w:tabs>
        <w:spacing w:before="71" w:after="0" w:line="360" w:lineRule="auto"/>
        <w:ind w:left="424" w:leftChars="0" w:right="384" w:rightChars="0" w:firstLine="479" w:firstLineChars="0"/>
        <w:jc w:val="left"/>
        <w:rPr>
          <w:sz w:val="21"/>
          <w:szCs w:val="21"/>
        </w:rPr>
      </w:pPr>
      <w:r>
        <w:rPr>
          <w:rFonts w:hint="default" w:ascii="宋体" w:hAnsi="宋体" w:eastAsia="宋体" w:cs="宋体"/>
          <w:spacing w:val="-17"/>
          <w:w w:val="100"/>
          <w:sz w:val="21"/>
          <w:szCs w:val="21"/>
          <w:lang w:val="zh-CN" w:eastAsia="zh-CN" w:bidi="zh-CN"/>
        </w:rPr>
        <w:t>（1）</w:t>
      </w:r>
      <w:r>
        <w:rPr>
          <w:sz w:val="21"/>
          <w:szCs w:val="21"/>
        </w:rPr>
        <w:t>成立</w:t>
      </w:r>
      <w:r>
        <w:rPr>
          <w:sz w:val="21"/>
          <w:szCs w:val="21"/>
          <w:u w:val="single"/>
        </w:rPr>
        <w:t xml:space="preserve"> </w:t>
      </w:r>
      <w:r>
        <w:rPr>
          <w:sz w:val="21"/>
          <w:szCs w:val="21"/>
          <w:u w:val="single"/>
        </w:rPr>
        <w:tab/>
      </w:r>
      <w:r>
        <w:rPr>
          <w:sz w:val="21"/>
          <w:szCs w:val="21"/>
        </w:rPr>
        <w:t>（项目名称</w:t>
      </w:r>
      <w:r>
        <w:rPr>
          <w:spacing w:val="-17"/>
          <w:sz w:val="21"/>
          <w:szCs w:val="21"/>
        </w:rPr>
        <w:t>）</w:t>
      </w:r>
      <w:r>
        <w:rPr>
          <w:sz w:val="21"/>
          <w:szCs w:val="21"/>
        </w:rPr>
        <w:t>工程资金管理服务小组</w:t>
      </w:r>
      <w:r>
        <w:rPr>
          <w:spacing w:val="-17"/>
          <w:sz w:val="21"/>
          <w:szCs w:val="21"/>
        </w:rPr>
        <w:t>，</w:t>
      </w:r>
      <w:r>
        <w:rPr>
          <w:sz w:val="21"/>
          <w:szCs w:val="21"/>
        </w:rPr>
        <w:t>明确业务流程</w:t>
      </w:r>
      <w:r>
        <w:rPr>
          <w:spacing w:val="-17"/>
          <w:sz w:val="21"/>
          <w:szCs w:val="21"/>
        </w:rPr>
        <w:t>，</w:t>
      </w:r>
      <w:r>
        <w:rPr>
          <w:sz w:val="21"/>
          <w:szCs w:val="21"/>
        </w:rPr>
        <w:t>提</w:t>
      </w:r>
      <w:r>
        <w:rPr>
          <w:spacing w:val="-18"/>
          <w:sz w:val="21"/>
          <w:szCs w:val="21"/>
        </w:rPr>
        <w:t>高</w:t>
      </w:r>
      <w:r>
        <w:rPr>
          <w:sz w:val="21"/>
          <w:szCs w:val="21"/>
        </w:rPr>
        <w:t>工作效率，杜绝</w:t>
      </w:r>
      <w:r>
        <w:rPr>
          <w:rFonts w:ascii="Times New Roman" w:hAnsi="Times New Roman" w:eastAsia="Times New Roman"/>
          <w:sz w:val="21"/>
          <w:szCs w:val="21"/>
        </w:rPr>
        <w:t>“</w:t>
      </w:r>
      <w:r>
        <w:rPr>
          <w:sz w:val="21"/>
          <w:szCs w:val="21"/>
        </w:rPr>
        <w:t>压票</w:t>
      </w:r>
      <w:r>
        <w:rPr>
          <w:rFonts w:ascii="Times New Roman" w:hAnsi="Times New Roman" w:eastAsia="Times New Roman"/>
          <w:sz w:val="21"/>
          <w:szCs w:val="21"/>
        </w:rPr>
        <w:t>”</w:t>
      </w:r>
      <w:r>
        <w:rPr>
          <w:sz w:val="21"/>
          <w:szCs w:val="21"/>
        </w:rPr>
        <w:t>现象；</w:t>
      </w:r>
    </w:p>
    <w:p w14:paraId="49A77BF1">
      <w:pPr>
        <w:pStyle w:val="41"/>
        <w:numPr>
          <w:ilvl w:val="0"/>
          <w:numId w:val="0"/>
        </w:numPr>
        <w:tabs>
          <w:tab w:val="left" w:pos="1506"/>
        </w:tabs>
        <w:spacing w:before="0" w:after="0" w:line="360" w:lineRule="auto"/>
        <w:ind w:left="424" w:leftChars="0" w:right="387" w:rightChars="0" w:firstLine="479" w:firstLineChars="0"/>
        <w:jc w:val="left"/>
        <w:rPr>
          <w:sz w:val="21"/>
          <w:szCs w:val="21"/>
        </w:rPr>
      </w:pPr>
      <w:r>
        <w:rPr>
          <w:rFonts w:hint="default" w:ascii="宋体" w:hAnsi="宋体" w:eastAsia="宋体" w:cs="宋体"/>
          <w:spacing w:val="-17"/>
          <w:w w:val="100"/>
          <w:sz w:val="21"/>
          <w:szCs w:val="21"/>
          <w:lang w:val="zh-CN" w:eastAsia="zh-CN" w:bidi="zh-CN"/>
        </w:rPr>
        <w:t>（2）</w:t>
      </w:r>
      <w:r>
        <w:rPr>
          <w:spacing w:val="-30"/>
          <w:sz w:val="21"/>
          <w:szCs w:val="21"/>
        </w:rPr>
        <w:t>根据乙方提供的购货合同、协议和发票，检查其所购材料、设备是否用于</w:t>
      </w:r>
      <w:r>
        <w:rPr>
          <w:spacing w:val="-7"/>
          <w:sz w:val="21"/>
          <w:szCs w:val="21"/>
          <w:u w:val="single"/>
        </w:rPr>
        <w:t xml:space="preserve"> </w:t>
      </w:r>
      <w:r>
        <w:rPr>
          <w:sz w:val="21"/>
          <w:szCs w:val="21"/>
          <w:u w:val="single"/>
        </w:rPr>
        <w:t xml:space="preserve">（ </w:t>
      </w:r>
      <w:r>
        <w:rPr>
          <w:spacing w:val="-4"/>
          <w:sz w:val="21"/>
          <w:szCs w:val="21"/>
        </w:rPr>
        <w:t>项目名称</w:t>
      </w:r>
      <w:r>
        <w:rPr>
          <w:sz w:val="21"/>
          <w:szCs w:val="21"/>
        </w:rPr>
        <w:t>）工程建设，对本标段以外的购货款项，有权拒绝办理，并及时报告甲方；</w:t>
      </w:r>
    </w:p>
    <w:p w14:paraId="4DC47673">
      <w:pPr>
        <w:pStyle w:val="41"/>
        <w:numPr>
          <w:ilvl w:val="0"/>
          <w:numId w:val="0"/>
        </w:numPr>
        <w:tabs>
          <w:tab w:val="left" w:pos="1506"/>
        </w:tabs>
        <w:spacing w:before="0" w:after="0" w:line="360" w:lineRule="auto"/>
        <w:ind w:left="424" w:leftChars="0" w:right="386" w:rightChars="0" w:firstLine="479" w:firstLineChars="0"/>
        <w:jc w:val="left"/>
        <w:rPr>
          <w:sz w:val="21"/>
          <w:szCs w:val="21"/>
        </w:rPr>
      </w:pPr>
      <w:r>
        <w:rPr>
          <w:rFonts w:hint="default" w:ascii="宋体" w:hAnsi="宋体" w:eastAsia="宋体" w:cs="宋体"/>
          <w:spacing w:val="-17"/>
          <w:w w:val="100"/>
          <w:sz w:val="21"/>
          <w:szCs w:val="21"/>
          <w:lang w:val="zh-CN" w:eastAsia="zh-CN" w:bidi="zh-CN"/>
        </w:rPr>
        <w:t>（3）</w:t>
      </w:r>
      <w:r>
        <w:rPr>
          <w:spacing w:val="-3"/>
          <w:sz w:val="21"/>
          <w:szCs w:val="21"/>
        </w:rPr>
        <w:t>根据乙方与分包单位签订的合同及支付文件，检查其支付款项是否符合</w:t>
      </w:r>
      <w:r>
        <w:rPr>
          <w:spacing w:val="-4"/>
          <w:sz w:val="21"/>
          <w:szCs w:val="21"/>
        </w:rPr>
        <w:t>有关条件，向分包单位以外单位的支付有权拒绝办理，并及时报告甲方；</w:t>
      </w:r>
    </w:p>
    <w:p w14:paraId="6D2F0BF6">
      <w:pPr>
        <w:pStyle w:val="41"/>
        <w:numPr>
          <w:ilvl w:val="0"/>
          <w:numId w:val="0"/>
        </w:numPr>
        <w:tabs>
          <w:tab w:val="left" w:pos="1506"/>
        </w:tabs>
        <w:spacing w:before="0" w:after="0" w:line="360" w:lineRule="auto"/>
        <w:ind w:left="424" w:leftChars="0" w:right="264" w:rightChars="0" w:firstLine="479" w:firstLineChars="0"/>
        <w:jc w:val="left"/>
        <w:rPr>
          <w:sz w:val="21"/>
          <w:szCs w:val="21"/>
        </w:rPr>
      </w:pPr>
      <w:r>
        <w:rPr>
          <w:rFonts w:hint="default" w:ascii="宋体" w:hAnsi="宋体" w:eastAsia="宋体" w:cs="宋体"/>
          <w:spacing w:val="-17"/>
          <w:w w:val="100"/>
          <w:sz w:val="21"/>
          <w:szCs w:val="21"/>
          <w:lang w:val="zh-CN" w:eastAsia="zh-CN" w:bidi="zh-CN"/>
        </w:rPr>
        <w:t>（4）</w:t>
      </w:r>
      <w:r>
        <w:rPr>
          <w:spacing w:val="-3"/>
          <w:sz w:val="21"/>
          <w:szCs w:val="21"/>
        </w:rPr>
        <w:t>根据乙方提供的上级单位出具的转账通知等有关资料，办理管理费、机械</w:t>
      </w:r>
      <w:r>
        <w:rPr>
          <w:spacing w:val="-9"/>
          <w:sz w:val="21"/>
          <w:szCs w:val="21"/>
        </w:rPr>
        <w:t xml:space="preserve">设备及周转材料租赁摊销费等款项的支付；对超出转账通知等有关资料以外的支付， </w:t>
      </w:r>
      <w:r>
        <w:rPr>
          <w:sz w:val="21"/>
          <w:szCs w:val="21"/>
        </w:rPr>
        <w:t>有权拒绝办理，并及时报告甲方；</w:t>
      </w:r>
    </w:p>
    <w:p w14:paraId="71C4FD2E">
      <w:pPr>
        <w:pStyle w:val="41"/>
        <w:numPr>
          <w:ilvl w:val="0"/>
          <w:numId w:val="0"/>
        </w:numPr>
        <w:tabs>
          <w:tab w:val="left" w:pos="1506"/>
        </w:tabs>
        <w:spacing w:before="0" w:after="0" w:line="360" w:lineRule="auto"/>
        <w:ind w:left="424" w:leftChars="0" w:right="386" w:rightChars="0" w:firstLine="479" w:firstLineChars="0"/>
        <w:jc w:val="left"/>
        <w:rPr>
          <w:sz w:val="21"/>
          <w:szCs w:val="21"/>
        </w:rPr>
      </w:pPr>
      <w:r>
        <w:rPr>
          <w:rFonts w:hint="default" w:ascii="宋体" w:hAnsi="宋体" w:eastAsia="宋体" w:cs="宋体"/>
          <w:spacing w:val="-17"/>
          <w:w w:val="100"/>
          <w:sz w:val="21"/>
          <w:szCs w:val="21"/>
          <w:lang w:val="zh-CN" w:eastAsia="zh-CN" w:bidi="zh-CN"/>
        </w:rPr>
        <w:t>（5）</w:t>
      </w:r>
      <w:r>
        <w:rPr>
          <w:spacing w:val="-4"/>
          <w:sz w:val="21"/>
          <w:szCs w:val="21"/>
        </w:rPr>
        <w:t>定期将乙方前一个周期的支付情况，整理后书面报送甲方；乙方复印备案的材料一并送甲方。</w:t>
      </w:r>
    </w:p>
    <w:p w14:paraId="3FBE60A3">
      <w:pPr>
        <w:pStyle w:val="41"/>
        <w:numPr>
          <w:ilvl w:val="0"/>
          <w:numId w:val="0"/>
        </w:numPr>
        <w:tabs>
          <w:tab w:val="left" w:pos="1205"/>
        </w:tabs>
        <w:spacing w:before="0" w:after="0" w:line="360" w:lineRule="auto"/>
        <w:ind w:left="424" w:leftChars="0" w:right="383" w:rightChars="0" w:firstLine="479" w:firstLineChars="0"/>
        <w:jc w:val="left"/>
        <w:rPr>
          <w:sz w:val="21"/>
          <w:szCs w:val="21"/>
        </w:rPr>
      </w:pPr>
      <w:r>
        <w:rPr>
          <w:rFonts w:hint="default" w:ascii="Times New Roman" w:hAnsi="Times New Roman" w:eastAsia="Times New Roman" w:cs="Times New Roman"/>
          <w:w w:val="100"/>
          <w:sz w:val="21"/>
          <w:szCs w:val="21"/>
          <w:lang w:val="zh-CN" w:eastAsia="zh-CN" w:bidi="zh-CN"/>
        </w:rPr>
        <w:t>5.</w:t>
      </w:r>
      <w:r>
        <w:rPr>
          <w:spacing w:val="-6"/>
          <w:sz w:val="21"/>
          <w:szCs w:val="21"/>
        </w:rPr>
        <w:t>甲、乙、丙三方都应履行保密责任，不得将其他两方的业务情况透露给三方</w:t>
      </w:r>
      <w:r>
        <w:rPr>
          <w:sz w:val="21"/>
          <w:szCs w:val="21"/>
        </w:rPr>
        <w:t>以外的其他单位或个人。</w:t>
      </w:r>
    </w:p>
    <w:p w14:paraId="0C9A428E">
      <w:pPr>
        <w:pStyle w:val="41"/>
        <w:numPr>
          <w:ilvl w:val="0"/>
          <w:numId w:val="0"/>
        </w:numPr>
        <w:tabs>
          <w:tab w:val="left" w:pos="1205"/>
        </w:tabs>
        <w:spacing w:before="0" w:after="0" w:line="360" w:lineRule="auto"/>
        <w:ind w:left="424" w:leftChars="0" w:right="385" w:rightChars="0" w:firstLine="479" w:firstLineChars="0"/>
        <w:jc w:val="left"/>
        <w:rPr>
          <w:sz w:val="21"/>
          <w:szCs w:val="21"/>
        </w:rPr>
      </w:pPr>
      <w:r>
        <w:rPr>
          <w:rFonts w:hint="default" w:ascii="Times New Roman" w:hAnsi="Times New Roman" w:eastAsia="Times New Roman" w:cs="Times New Roman"/>
          <w:w w:val="100"/>
          <w:sz w:val="21"/>
          <w:szCs w:val="21"/>
          <w:lang w:val="zh-CN" w:eastAsia="zh-CN" w:bidi="zh-CN"/>
        </w:rPr>
        <w:t>6.</w:t>
      </w:r>
      <w:r>
        <w:rPr>
          <w:spacing w:val="-3"/>
          <w:sz w:val="21"/>
          <w:szCs w:val="21"/>
        </w:rPr>
        <w:t>本协议有效期自乙方在丙方开户起，至工程交工验收甲方向乙方颁发交工验</w:t>
      </w:r>
      <w:r>
        <w:rPr>
          <w:sz w:val="21"/>
          <w:szCs w:val="21"/>
        </w:rPr>
        <w:t>收证书后结束。</w:t>
      </w:r>
    </w:p>
    <w:p w14:paraId="494E9427">
      <w:pPr>
        <w:pStyle w:val="41"/>
        <w:numPr>
          <w:ilvl w:val="0"/>
          <w:numId w:val="0"/>
        </w:numPr>
        <w:tabs>
          <w:tab w:val="left" w:pos="1205"/>
        </w:tabs>
        <w:spacing w:before="0" w:after="0" w:line="360" w:lineRule="auto"/>
        <w:ind w:left="1204" w:leftChars="0" w:right="0" w:rightChars="0" w:hanging="301" w:firstLineChars="0"/>
        <w:jc w:val="left"/>
        <w:rPr>
          <w:sz w:val="21"/>
          <w:szCs w:val="21"/>
        </w:rPr>
      </w:pPr>
      <w:r>
        <w:rPr>
          <w:rFonts w:hint="default" w:ascii="Times New Roman" w:hAnsi="Times New Roman" w:eastAsia="Times New Roman" w:cs="Times New Roman"/>
          <w:w w:val="100"/>
          <w:sz w:val="21"/>
          <w:szCs w:val="21"/>
          <w:lang w:val="zh-CN" w:eastAsia="zh-CN" w:bidi="zh-CN"/>
        </w:rPr>
        <w:t>7.</w:t>
      </w:r>
      <w:r>
        <w:rPr>
          <w:sz w:val="21"/>
          <w:szCs w:val="21"/>
        </w:rPr>
        <w:t>本协议未尽事宜，由甲方牵头，三方协商解决。</w:t>
      </w:r>
    </w:p>
    <w:p w14:paraId="5F077474">
      <w:pPr>
        <w:pStyle w:val="41"/>
        <w:numPr>
          <w:ilvl w:val="0"/>
          <w:numId w:val="0"/>
        </w:numPr>
        <w:tabs>
          <w:tab w:val="left" w:pos="1205"/>
        </w:tabs>
        <w:spacing w:before="74" w:after="0" w:line="360" w:lineRule="auto"/>
        <w:ind w:left="424" w:leftChars="0" w:right="384" w:rightChars="0" w:firstLine="479" w:firstLineChars="0"/>
        <w:jc w:val="left"/>
        <w:rPr>
          <w:sz w:val="21"/>
          <w:szCs w:val="21"/>
        </w:rPr>
      </w:pPr>
      <w:r>
        <w:rPr>
          <w:rFonts w:hint="default" w:ascii="Times New Roman" w:hAnsi="Times New Roman" w:eastAsia="Times New Roman" w:cs="Times New Roman"/>
          <w:w w:val="100"/>
          <w:sz w:val="21"/>
          <w:szCs w:val="21"/>
          <w:lang w:val="zh-CN" w:eastAsia="zh-CN" w:bidi="zh-CN"/>
        </w:rPr>
        <w:t>8.</w:t>
      </w:r>
      <w:r>
        <w:rPr>
          <w:spacing w:val="-1"/>
          <w:sz w:val="21"/>
          <w:szCs w:val="21"/>
        </w:rPr>
        <w:t>本协议正本三份、副本</w:t>
      </w:r>
      <w:r>
        <w:rPr>
          <w:spacing w:val="-4"/>
          <w:sz w:val="21"/>
          <w:szCs w:val="21"/>
        </w:rPr>
        <w:t xml:space="preserve"> 份。合同三方各执正本一份、副本</w:t>
      </w:r>
      <w:r>
        <w:rPr>
          <w:sz w:val="21"/>
          <w:szCs w:val="21"/>
          <w:u w:val="single"/>
        </w:rPr>
        <w:t xml:space="preserve"> </w:t>
      </w:r>
      <w:r>
        <w:rPr>
          <w:spacing w:val="-4"/>
          <w:sz w:val="21"/>
          <w:szCs w:val="21"/>
        </w:rPr>
        <w:t xml:space="preserve"> 份，当正本与</w:t>
      </w:r>
      <w:r>
        <w:rPr>
          <w:sz w:val="21"/>
          <w:szCs w:val="21"/>
        </w:rPr>
        <w:t>副本内容不一致时，以正本为准。</w:t>
      </w:r>
    </w:p>
    <w:p w14:paraId="5C51CC1E">
      <w:pPr>
        <w:pStyle w:val="12"/>
        <w:spacing w:before="8" w:line="360" w:lineRule="auto"/>
        <w:rPr>
          <w:sz w:val="21"/>
          <w:szCs w:val="21"/>
        </w:rPr>
      </w:pPr>
    </w:p>
    <w:p w14:paraId="02FDB3CF">
      <w:pPr>
        <w:pStyle w:val="12"/>
        <w:tabs>
          <w:tab w:val="left" w:pos="4504"/>
          <w:tab w:val="left" w:pos="4984"/>
        </w:tabs>
        <w:spacing w:line="360" w:lineRule="auto"/>
        <w:ind w:left="424" w:right="3539"/>
        <w:rPr>
          <w:sz w:val="21"/>
          <w:szCs w:val="21"/>
        </w:rPr>
      </w:pPr>
      <w:r>
        <w:rPr>
          <w:sz w:val="21"/>
          <w:szCs w:val="21"/>
        </w:rPr>
        <w:t>发包人：</w:t>
      </w:r>
      <w:r>
        <w:rPr>
          <w:sz w:val="21"/>
          <w:szCs w:val="21"/>
          <w:u w:val="single"/>
        </w:rPr>
        <w:t xml:space="preserve"> </w:t>
      </w:r>
      <w:r>
        <w:rPr>
          <w:sz w:val="21"/>
          <w:szCs w:val="21"/>
          <w:u w:val="single"/>
        </w:rPr>
        <w:tab/>
      </w:r>
      <w:r>
        <w:rPr>
          <w:sz w:val="21"/>
          <w:szCs w:val="21"/>
        </w:rPr>
        <w:t>（盖单位章</w:t>
      </w:r>
      <w:r>
        <w:rPr>
          <w:spacing w:val="-17"/>
          <w:sz w:val="21"/>
          <w:szCs w:val="21"/>
        </w:rPr>
        <w:t xml:space="preserve">） </w:t>
      </w:r>
      <w:r>
        <w:rPr>
          <w:sz w:val="21"/>
          <w:szCs w:val="21"/>
        </w:rPr>
        <w:t>法定代表人或其委托代理人：</w:t>
      </w:r>
      <w:r>
        <w:rPr>
          <w:sz w:val="21"/>
          <w:szCs w:val="21"/>
          <w:u w:val="single"/>
        </w:rPr>
        <w:t xml:space="preserve"> </w:t>
      </w:r>
      <w:r>
        <w:rPr>
          <w:sz w:val="21"/>
          <w:szCs w:val="21"/>
          <w:u w:val="single"/>
        </w:rPr>
        <w:tab/>
      </w:r>
      <w:r>
        <w:rPr>
          <w:sz w:val="21"/>
          <w:szCs w:val="21"/>
          <w:u w:val="single"/>
        </w:rPr>
        <w:tab/>
      </w:r>
      <w:r>
        <w:rPr>
          <w:sz w:val="21"/>
          <w:szCs w:val="21"/>
        </w:rPr>
        <w:t>（签字</w:t>
      </w:r>
      <w:r>
        <w:rPr>
          <w:spacing w:val="-17"/>
          <w:sz w:val="21"/>
          <w:szCs w:val="21"/>
        </w:rPr>
        <w:t>）</w:t>
      </w:r>
    </w:p>
    <w:p w14:paraId="5C2B47D9">
      <w:pPr>
        <w:pStyle w:val="12"/>
        <w:tabs>
          <w:tab w:val="left" w:pos="3424"/>
          <w:tab w:val="left" w:pos="4504"/>
          <w:tab w:val="left" w:pos="5400"/>
        </w:tabs>
        <w:spacing w:line="360" w:lineRule="auto"/>
        <w:ind w:left="2344"/>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19D41599">
      <w:pPr>
        <w:pStyle w:val="12"/>
        <w:tabs>
          <w:tab w:val="left" w:pos="4504"/>
          <w:tab w:val="left" w:pos="4984"/>
        </w:tabs>
        <w:spacing w:before="1" w:line="360" w:lineRule="auto"/>
        <w:ind w:left="424" w:right="3539"/>
        <w:rPr>
          <w:sz w:val="21"/>
          <w:szCs w:val="21"/>
        </w:rPr>
      </w:pPr>
      <w:r>
        <w:rPr>
          <w:sz w:val="21"/>
          <w:szCs w:val="21"/>
        </w:rPr>
        <w:t>承包人：</w:t>
      </w:r>
      <w:r>
        <w:rPr>
          <w:sz w:val="21"/>
          <w:szCs w:val="21"/>
          <w:u w:val="single"/>
        </w:rPr>
        <w:t xml:space="preserve"> </w:t>
      </w:r>
      <w:r>
        <w:rPr>
          <w:sz w:val="21"/>
          <w:szCs w:val="21"/>
          <w:u w:val="single"/>
        </w:rPr>
        <w:tab/>
      </w:r>
      <w:r>
        <w:rPr>
          <w:sz w:val="21"/>
          <w:szCs w:val="21"/>
        </w:rPr>
        <w:t>（盖单位章</w:t>
      </w:r>
      <w:r>
        <w:rPr>
          <w:spacing w:val="-17"/>
          <w:sz w:val="21"/>
          <w:szCs w:val="21"/>
        </w:rPr>
        <w:t xml:space="preserve">） </w:t>
      </w:r>
      <w:r>
        <w:rPr>
          <w:sz w:val="21"/>
          <w:szCs w:val="21"/>
        </w:rPr>
        <w:t>法定代表人或其委托代理人：</w:t>
      </w:r>
      <w:r>
        <w:rPr>
          <w:sz w:val="21"/>
          <w:szCs w:val="21"/>
          <w:u w:val="single"/>
        </w:rPr>
        <w:t xml:space="preserve"> </w:t>
      </w:r>
      <w:r>
        <w:rPr>
          <w:sz w:val="21"/>
          <w:szCs w:val="21"/>
          <w:u w:val="single"/>
        </w:rPr>
        <w:tab/>
      </w:r>
      <w:r>
        <w:rPr>
          <w:sz w:val="21"/>
          <w:szCs w:val="21"/>
          <w:u w:val="single"/>
        </w:rPr>
        <w:tab/>
      </w:r>
      <w:r>
        <w:rPr>
          <w:sz w:val="21"/>
          <w:szCs w:val="21"/>
        </w:rPr>
        <w:t>（签字</w:t>
      </w:r>
      <w:r>
        <w:rPr>
          <w:spacing w:val="-17"/>
          <w:sz w:val="21"/>
          <w:szCs w:val="21"/>
        </w:rPr>
        <w:t>）</w:t>
      </w:r>
    </w:p>
    <w:p w14:paraId="7371C175">
      <w:pPr>
        <w:pStyle w:val="12"/>
        <w:tabs>
          <w:tab w:val="left" w:pos="3424"/>
          <w:tab w:val="left" w:pos="4504"/>
          <w:tab w:val="left" w:pos="5400"/>
        </w:tabs>
        <w:spacing w:before="2" w:line="360" w:lineRule="auto"/>
        <w:ind w:left="2344"/>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39B5E450">
      <w:pPr>
        <w:pStyle w:val="12"/>
        <w:tabs>
          <w:tab w:val="left" w:pos="4504"/>
          <w:tab w:val="left" w:pos="4984"/>
        </w:tabs>
        <w:spacing w:line="360" w:lineRule="auto"/>
        <w:ind w:left="424" w:right="3539"/>
        <w:rPr>
          <w:sz w:val="21"/>
          <w:szCs w:val="21"/>
        </w:rPr>
      </w:pPr>
      <w:r>
        <w:rPr>
          <w:sz w:val="21"/>
          <w:szCs w:val="21"/>
        </w:rPr>
        <w:t>经办银行：</w:t>
      </w:r>
      <w:r>
        <w:rPr>
          <w:sz w:val="21"/>
          <w:szCs w:val="21"/>
          <w:u w:val="single"/>
        </w:rPr>
        <w:t xml:space="preserve"> </w:t>
      </w:r>
      <w:r>
        <w:rPr>
          <w:sz w:val="21"/>
          <w:szCs w:val="21"/>
          <w:u w:val="single"/>
        </w:rPr>
        <w:tab/>
      </w:r>
      <w:r>
        <w:rPr>
          <w:sz w:val="21"/>
          <w:szCs w:val="21"/>
        </w:rPr>
        <w:t>（盖单位章</w:t>
      </w:r>
      <w:r>
        <w:rPr>
          <w:spacing w:val="-17"/>
          <w:sz w:val="21"/>
          <w:szCs w:val="21"/>
        </w:rPr>
        <w:t xml:space="preserve">） </w:t>
      </w:r>
      <w:r>
        <w:rPr>
          <w:sz w:val="21"/>
          <w:szCs w:val="21"/>
        </w:rPr>
        <w:t>法定代表人或其委托代理人：</w:t>
      </w:r>
      <w:r>
        <w:rPr>
          <w:sz w:val="21"/>
          <w:szCs w:val="21"/>
          <w:u w:val="single"/>
        </w:rPr>
        <w:t xml:space="preserve"> </w:t>
      </w:r>
      <w:r>
        <w:rPr>
          <w:sz w:val="21"/>
          <w:szCs w:val="21"/>
          <w:u w:val="single"/>
        </w:rPr>
        <w:tab/>
      </w:r>
      <w:r>
        <w:rPr>
          <w:sz w:val="21"/>
          <w:szCs w:val="21"/>
          <w:u w:val="single"/>
        </w:rPr>
        <w:tab/>
      </w:r>
      <w:r>
        <w:rPr>
          <w:sz w:val="21"/>
          <w:szCs w:val="21"/>
        </w:rPr>
        <w:t>（签字</w:t>
      </w:r>
      <w:r>
        <w:rPr>
          <w:spacing w:val="-17"/>
          <w:sz w:val="21"/>
          <w:szCs w:val="21"/>
        </w:rPr>
        <w:t>）</w:t>
      </w:r>
    </w:p>
    <w:p w14:paraId="0AEAB725">
      <w:pPr>
        <w:pStyle w:val="12"/>
        <w:tabs>
          <w:tab w:val="left" w:pos="3424"/>
          <w:tab w:val="left" w:pos="4504"/>
          <w:tab w:val="left" w:pos="5400"/>
        </w:tabs>
        <w:spacing w:line="360" w:lineRule="auto"/>
        <w:ind w:left="2344"/>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0EBF209F">
      <w:pPr>
        <w:spacing w:after="0" w:line="360" w:lineRule="auto"/>
        <w:rPr>
          <w:sz w:val="21"/>
          <w:szCs w:val="21"/>
        </w:rPr>
        <w:sectPr>
          <w:pgSz w:w="11910" w:h="16850"/>
          <w:pgMar w:top="1480" w:right="1200" w:bottom="1040" w:left="1220" w:header="876" w:footer="853" w:gutter="0"/>
          <w:pgNumType w:fmt="decimal"/>
          <w:cols w:space="720" w:num="1"/>
        </w:sectPr>
      </w:pPr>
    </w:p>
    <w:p w14:paraId="5BD37512">
      <w:pPr>
        <w:pStyle w:val="12"/>
        <w:rPr>
          <w:sz w:val="20"/>
        </w:rPr>
      </w:pPr>
    </w:p>
    <w:p w14:paraId="11E12F61">
      <w:pPr>
        <w:pStyle w:val="12"/>
        <w:rPr>
          <w:sz w:val="20"/>
        </w:rPr>
      </w:pPr>
    </w:p>
    <w:p w14:paraId="3EBF7250">
      <w:pPr>
        <w:pStyle w:val="12"/>
        <w:rPr>
          <w:sz w:val="20"/>
        </w:rPr>
      </w:pPr>
    </w:p>
    <w:p w14:paraId="1F26DA5F">
      <w:pPr>
        <w:pStyle w:val="12"/>
        <w:rPr>
          <w:sz w:val="20"/>
        </w:rPr>
      </w:pPr>
    </w:p>
    <w:p w14:paraId="1DEA3F01">
      <w:pPr>
        <w:pStyle w:val="12"/>
        <w:rPr>
          <w:sz w:val="20"/>
        </w:rPr>
      </w:pPr>
    </w:p>
    <w:p w14:paraId="661C4236">
      <w:pPr>
        <w:pStyle w:val="12"/>
        <w:rPr>
          <w:sz w:val="20"/>
        </w:rPr>
      </w:pPr>
    </w:p>
    <w:p w14:paraId="560A4C32">
      <w:pPr>
        <w:pStyle w:val="12"/>
        <w:rPr>
          <w:sz w:val="20"/>
        </w:rPr>
      </w:pPr>
    </w:p>
    <w:p w14:paraId="55C15B1B">
      <w:pPr>
        <w:pStyle w:val="12"/>
        <w:rPr>
          <w:sz w:val="20"/>
        </w:rPr>
      </w:pPr>
    </w:p>
    <w:p w14:paraId="3F6C2C9D">
      <w:pPr>
        <w:pStyle w:val="12"/>
        <w:rPr>
          <w:sz w:val="20"/>
        </w:rPr>
      </w:pPr>
    </w:p>
    <w:p w14:paraId="4687E46C">
      <w:pPr>
        <w:pStyle w:val="12"/>
        <w:rPr>
          <w:sz w:val="20"/>
        </w:rPr>
      </w:pPr>
    </w:p>
    <w:p w14:paraId="72A66D9C">
      <w:pPr>
        <w:pStyle w:val="12"/>
        <w:rPr>
          <w:sz w:val="20"/>
        </w:rPr>
      </w:pPr>
    </w:p>
    <w:p w14:paraId="1E894481">
      <w:pPr>
        <w:pStyle w:val="12"/>
        <w:rPr>
          <w:sz w:val="20"/>
        </w:rPr>
      </w:pPr>
    </w:p>
    <w:p w14:paraId="5DA4414C">
      <w:pPr>
        <w:pStyle w:val="12"/>
        <w:rPr>
          <w:sz w:val="20"/>
        </w:rPr>
      </w:pPr>
    </w:p>
    <w:p w14:paraId="14AA37DC">
      <w:pPr>
        <w:pStyle w:val="12"/>
        <w:rPr>
          <w:sz w:val="20"/>
        </w:rPr>
      </w:pPr>
    </w:p>
    <w:p w14:paraId="6C2DDA3C">
      <w:pPr>
        <w:pStyle w:val="12"/>
        <w:rPr>
          <w:sz w:val="20"/>
        </w:rPr>
      </w:pPr>
    </w:p>
    <w:p w14:paraId="58A9F1F0">
      <w:pPr>
        <w:pStyle w:val="12"/>
        <w:rPr>
          <w:sz w:val="20"/>
        </w:rPr>
      </w:pPr>
    </w:p>
    <w:p w14:paraId="1CDFB4A9">
      <w:pPr>
        <w:pStyle w:val="12"/>
        <w:rPr>
          <w:sz w:val="20"/>
        </w:rPr>
      </w:pPr>
    </w:p>
    <w:p w14:paraId="30C94464">
      <w:pPr>
        <w:pStyle w:val="12"/>
        <w:rPr>
          <w:sz w:val="20"/>
        </w:rPr>
      </w:pPr>
    </w:p>
    <w:p w14:paraId="30C9129D">
      <w:pPr>
        <w:pStyle w:val="12"/>
        <w:rPr>
          <w:sz w:val="20"/>
        </w:rPr>
      </w:pPr>
    </w:p>
    <w:p w14:paraId="7EDBCD68">
      <w:pPr>
        <w:pStyle w:val="3"/>
        <w:bidi w:val="0"/>
      </w:pPr>
      <w:bookmarkStart w:id="388" w:name="_Toc18005"/>
      <w:r>
        <w:t>第五章</w:t>
      </w:r>
      <w:r>
        <w:tab/>
      </w:r>
      <w:r>
        <w:t>工程量清单</w:t>
      </w:r>
      <w:bookmarkEnd w:id="388"/>
    </w:p>
    <w:p w14:paraId="4D5AD13C">
      <w:pPr>
        <w:pStyle w:val="3"/>
        <w:bidi w:val="0"/>
        <w:outlineLvl w:val="9"/>
        <w:sectPr>
          <w:headerReference r:id="rId48" w:type="default"/>
          <w:footerReference r:id="rId49" w:type="default"/>
          <w:pgSz w:w="11910" w:h="16850"/>
          <w:pgMar w:top="1600" w:right="1200" w:bottom="280" w:left="1220" w:header="0" w:footer="0" w:gutter="0"/>
          <w:pgNumType w:fmt="decimal"/>
          <w:cols w:space="720" w:num="1"/>
        </w:sectPr>
      </w:pPr>
    </w:p>
    <w:p w14:paraId="6CF467DA">
      <w:pPr>
        <w:pStyle w:val="4"/>
        <w:bidi w:val="0"/>
      </w:pPr>
      <w:bookmarkStart w:id="389" w:name="_bookmark277"/>
      <w:bookmarkEnd w:id="389"/>
      <w:r>
        <w:t>第五章</w:t>
      </w:r>
      <w:r>
        <w:tab/>
      </w:r>
      <w:r>
        <w:t>工程量清单</w:t>
      </w:r>
    </w:p>
    <w:p w14:paraId="2B33CCF4">
      <w:pPr>
        <w:pStyle w:val="12"/>
        <w:rPr>
          <w:rFonts w:ascii="黑体"/>
          <w:sz w:val="20"/>
        </w:rPr>
      </w:pPr>
    </w:p>
    <w:p w14:paraId="3576E7B5">
      <w:pPr>
        <w:numPr>
          <w:ilvl w:val="0"/>
          <w:numId w:val="0"/>
        </w:numPr>
        <w:tabs>
          <w:tab w:val="left" w:pos="775"/>
        </w:tabs>
        <w:spacing w:before="248" w:line="360" w:lineRule="auto"/>
        <w:ind w:left="774" w:leftChars="0" w:right="0" w:rightChars="0" w:hanging="351" w:firstLineChars="0"/>
        <w:jc w:val="left"/>
        <w:rPr>
          <w:rFonts w:hint="eastAsia" w:ascii="黑体" w:eastAsia="黑体"/>
          <w:sz w:val="21"/>
          <w:szCs w:val="21"/>
        </w:rPr>
      </w:pPr>
      <w:bookmarkStart w:id="390" w:name="_bookmark278"/>
      <w:bookmarkEnd w:id="390"/>
      <w:bookmarkStart w:id="391" w:name="_bookmark278"/>
      <w:bookmarkEnd w:id="391"/>
      <w:r>
        <w:rPr>
          <w:rFonts w:hint="default" w:ascii="Times New Roman" w:hAnsi="Times New Roman" w:eastAsia="Times New Roman" w:cs="Times New Roman"/>
          <w:w w:val="100"/>
          <w:sz w:val="21"/>
          <w:szCs w:val="21"/>
          <w:lang w:val="zh-CN" w:eastAsia="zh-CN" w:bidi="zh-CN"/>
        </w:rPr>
        <w:t>1.</w:t>
      </w:r>
      <w:r>
        <w:rPr>
          <w:rFonts w:hint="eastAsia" w:ascii="黑体" w:eastAsia="黑体"/>
          <w:spacing w:val="-1"/>
          <w:sz w:val="21"/>
          <w:szCs w:val="21"/>
        </w:rPr>
        <w:t>工程量清单说明</w:t>
      </w:r>
    </w:p>
    <w:p w14:paraId="2AF33F21">
      <w:pPr>
        <w:pStyle w:val="12"/>
        <w:spacing w:before="11" w:line="360" w:lineRule="auto"/>
        <w:rPr>
          <w:rFonts w:ascii="黑体"/>
          <w:sz w:val="21"/>
          <w:szCs w:val="21"/>
        </w:rPr>
      </w:pPr>
    </w:p>
    <w:p w14:paraId="2C2AC07E">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1.1</w:t>
      </w:r>
      <w:r>
        <w:rPr>
          <w:spacing w:val="-1"/>
          <w:sz w:val="21"/>
          <w:szCs w:val="21"/>
        </w:rPr>
        <w:t>本工程量清单是根据招标文件中包括的有合同约束力的工程量清单计量规则、图纸以及有关工程量清单的国家标准、行业标准、合同条款中约定的其他规则</w:t>
      </w:r>
      <w:r>
        <w:rPr>
          <w:sz w:val="21"/>
          <w:szCs w:val="21"/>
        </w:rPr>
        <w:t>编制。约定计量规则中没有的子目，其工程量按照有合同约束力的图纸所标示尺寸的理论净量计算。计量采用中华人民共和国法定计量单位。</w:t>
      </w:r>
    </w:p>
    <w:p w14:paraId="4DC6B5CD">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1.2</w:t>
      </w:r>
      <w:r>
        <w:rPr>
          <w:spacing w:val="-1"/>
          <w:sz w:val="21"/>
          <w:szCs w:val="21"/>
        </w:rPr>
        <w:t>本工程量清单应与招标文件中的投标人须知、通用合同条款、专用合同条</w:t>
      </w:r>
      <w:r>
        <w:rPr>
          <w:sz w:val="21"/>
          <w:szCs w:val="21"/>
        </w:rPr>
        <w:t>款、工程量清单计量规则、技术规范及图纸等一起阅读和理解。</w:t>
      </w:r>
    </w:p>
    <w:p w14:paraId="6900780B">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1.3</w:t>
      </w:r>
      <w:r>
        <w:rPr>
          <w:sz w:val="21"/>
          <w:szCs w:val="21"/>
        </w:rPr>
        <w:t>本工程量清单中所列工程数量是估算的或设计的预计数量，仅作为投标报</w:t>
      </w:r>
      <w:r>
        <w:rPr>
          <w:spacing w:val="-10"/>
          <w:sz w:val="21"/>
          <w:szCs w:val="21"/>
        </w:rPr>
        <w:t>价的共同基础，不能作为最终结算与支付的依据。实际支付应按实际完成的工程量，</w:t>
      </w:r>
      <w:r>
        <w:rPr>
          <w:spacing w:val="-5"/>
          <w:sz w:val="21"/>
          <w:szCs w:val="21"/>
        </w:rPr>
        <w:t>由承包人按工程量清单计量规则规定的计量方法，以监理人认可的尺寸、断面计量，</w:t>
      </w:r>
      <w:r>
        <w:rPr>
          <w:spacing w:val="-11"/>
          <w:sz w:val="21"/>
          <w:szCs w:val="21"/>
        </w:rPr>
        <w:t xml:space="preserve">按本工程量清单的单价和总额价计算支付金额；或根据具体情况，按合同条款第 </w:t>
      </w:r>
      <w:r>
        <w:rPr>
          <w:rFonts w:ascii="Times New Roman" w:eastAsia="Times New Roman"/>
          <w:sz w:val="21"/>
          <w:szCs w:val="21"/>
        </w:rPr>
        <w:t xml:space="preserve">15.4 </w:t>
      </w:r>
      <w:r>
        <w:rPr>
          <w:sz w:val="21"/>
          <w:szCs w:val="21"/>
        </w:rPr>
        <w:t>款的规定，按监理人确定的单价或总额价计算支付额。</w:t>
      </w:r>
    </w:p>
    <w:p w14:paraId="781D0601">
      <w:pPr>
        <w:pStyle w:val="41"/>
        <w:keepNext w:val="0"/>
        <w:keepLines w:val="0"/>
        <w:pageBreakBefore w:val="0"/>
        <w:widowControl w:val="0"/>
        <w:numPr>
          <w:ilvl w:val="1"/>
          <w:numId w:val="0"/>
        </w:numPr>
        <w:tabs>
          <w:tab w:val="left" w:pos="1387"/>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ascii="Times New Roman" w:hAnsi="Times New Roman" w:eastAsia="Times New Roman"/>
          <w:sz w:val="21"/>
          <w:szCs w:val="21"/>
        </w:rPr>
      </w:pPr>
      <w:r>
        <w:rPr>
          <w:rFonts w:hint="default" w:ascii="Times New Roman" w:hAnsi="Times New Roman" w:eastAsia="Times New Roman" w:cs="宋体"/>
          <w:w w:val="100"/>
          <w:sz w:val="21"/>
          <w:szCs w:val="21"/>
          <w:lang w:val="zh-CN" w:eastAsia="zh-CN" w:bidi="zh-CN"/>
        </w:rPr>
        <w:t>1.4</w:t>
      </w:r>
      <w:r>
        <w:rPr>
          <w:sz w:val="21"/>
          <w:szCs w:val="21"/>
        </w:rPr>
        <w:t>工程量清单各章是按第八章</w:t>
      </w:r>
      <w:r>
        <w:rPr>
          <w:rFonts w:ascii="Times New Roman" w:hAnsi="Times New Roman" w:eastAsia="Times New Roman"/>
          <w:sz w:val="21"/>
          <w:szCs w:val="21"/>
        </w:rPr>
        <w:t>“</w:t>
      </w:r>
      <w:r>
        <w:rPr>
          <w:sz w:val="21"/>
          <w:szCs w:val="21"/>
        </w:rPr>
        <w:t>工程量清单计量规则</w:t>
      </w:r>
      <w:r>
        <w:rPr>
          <w:rFonts w:ascii="Times New Roman" w:hAnsi="Times New Roman" w:eastAsia="Times New Roman"/>
          <w:sz w:val="21"/>
          <w:szCs w:val="21"/>
        </w:rPr>
        <w:t>”</w:t>
      </w:r>
      <w:r>
        <w:rPr>
          <w:spacing w:val="1"/>
          <w:sz w:val="21"/>
          <w:szCs w:val="21"/>
        </w:rPr>
        <w:t>、第七章</w:t>
      </w:r>
      <w:r>
        <w:rPr>
          <w:rFonts w:ascii="Times New Roman" w:hAnsi="Times New Roman" w:eastAsia="Times New Roman"/>
          <w:sz w:val="21"/>
          <w:szCs w:val="21"/>
        </w:rPr>
        <w:t>“</w:t>
      </w:r>
      <w:r>
        <w:rPr>
          <w:sz w:val="21"/>
          <w:szCs w:val="21"/>
        </w:rPr>
        <w:t>技术规范</w:t>
      </w:r>
      <w:r>
        <w:rPr>
          <w:rFonts w:ascii="Times New Roman" w:hAnsi="Times New Roman" w:eastAsia="Times New Roman"/>
          <w:sz w:val="21"/>
          <w:szCs w:val="21"/>
        </w:rPr>
        <w:t>”</w:t>
      </w:r>
      <w:r>
        <w:rPr>
          <w:sz w:val="21"/>
          <w:szCs w:val="21"/>
        </w:rPr>
        <w:t>的</w:t>
      </w:r>
      <w:r>
        <w:rPr>
          <w:spacing w:val="-8"/>
          <w:sz w:val="21"/>
          <w:szCs w:val="21"/>
        </w:rPr>
        <w:t>相应章次编号的，因此，工程量清单中各章的工程子目的范围与计量等应与</w:t>
      </w:r>
      <w:r>
        <w:rPr>
          <w:rFonts w:ascii="Times New Roman" w:hAnsi="Times New Roman" w:eastAsia="Times New Roman"/>
          <w:sz w:val="21"/>
          <w:szCs w:val="21"/>
        </w:rPr>
        <w:t>“</w:t>
      </w:r>
      <w:r>
        <w:rPr>
          <w:sz w:val="21"/>
          <w:szCs w:val="21"/>
        </w:rPr>
        <w:t>工程量清单计量规则</w:t>
      </w:r>
      <w:r>
        <w:rPr>
          <w:rFonts w:ascii="Times New Roman" w:hAnsi="Times New Roman" w:eastAsia="Times New Roman"/>
          <w:spacing w:val="-1"/>
          <w:sz w:val="21"/>
          <w:szCs w:val="21"/>
        </w:rPr>
        <w:t>” “</w:t>
      </w:r>
      <w:r>
        <w:rPr>
          <w:sz w:val="21"/>
          <w:szCs w:val="21"/>
        </w:rPr>
        <w:t>技术规范</w:t>
      </w:r>
      <w:r>
        <w:rPr>
          <w:rFonts w:ascii="Times New Roman" w:hAnsi="Times New Roman" w:eastAsia="Times New Roman"/>
          <w:sz w:val="21"/>
          <w:szCs w:val="21"/>
        </w:rPr>
        <w:t>”</w:t>
      </w:r>
      <w:r>
        <w:rPr>
          <w:spacing w:val="-1"/>
          <w:sz w:val="21"/>
          <w:szCs w:val="21"/>
        </w:rPr>
        <w:t>相应章节的范围、计量与支付条款结合起来理解或解释。</w:t>
      </w:r>
    </w:p>
    <w:p w14:paraId="05735AD4">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ascii="Times New Roman" w:hAnsi="Times New Roman" w:eastAsia="Times New Roman"/>
          <w:sz w:val="21"/>
          <w:szCs w:val="21"/>
        </w:rPr>
      </w:pPr>
      <w:r>
        <w:rPr>
          <w:rFonts w:hint="default" w:ascii="Times New Roman" w:hAnsi="Times New Roman" w:eastAsia="Times New Roman" w:cs="宋体"/>
          <w:w w:val="100"/>
          <w:sz w:val="21"/>
          <w:szCs w:val="21"/>
          <w:lang w:val="zh-CN" w:eastAsia="zh-CN" w:bidi="zh-CN"/>
        </w:rPr>
        <w:t>1.5</w:t>
      </w:r>
      <w:r>
        <w:rPr>
          <w:spacing w:val="-1"/>
          <w:sz w:val="21"/>
          <w:szCs w:val="21"/>
        </w:rPr>
        <w:t>对作业和材料的一般说明或规定，未重复写入工程量清单内，在给工程量</w:t>
      </w:r>
      <w:r>
        <w:rPr>
          <w:sz w:val="21"/>
          <w:szCs w:val="21"/>
        </w:rPr>
        <w:t>清单各子目标价前，应参阅第七章</w:t>
      </w:r>
      <w:r>
        <w:rPr>
          <w:rFonts w:ascii="Times New Roman" w:hAnsi="Times New Roman" w:eastAsia="Times New Roman"/>
          <w:sz w:val="21"/>
          <w:szCs w:val="21"/>
        </w:rPr>
        <w:t>“</w:t>
      </w:r>
      <w:r>
        <w:rPr>
          <w:sz w:val="21"/>
          <w:szCs w:val="21"/>
        </w:rPr>
        <w:t>技术规范</w:t>
      </w:r>
      <w:r>
        <w:rPr>
          <w:rFonts w:ascii="Times New Roman" w:hAnsi="Times New Roman" w:eastAsia="Times New Roman"/>
          <w:sz w:val="21"/>
          <w:szCs w:val="21"/>
        </w:rPr>
        <w:t>”</w:t>
      </w:r>
      <w:r>
        <w:rPr>
          <w:sz w:val="21"/>
          <w:szCs w:val="21"/>
        </w:rPr>
        <w:t>的有关内容。</w:t>
      </w:r>
    </w:p>
    <w:p w14:paraId="0A53E360">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1.6</w:t>
      </w:r>
      <w:r>
        <w:rPr>
          <w:spacing w:val="-1"/>
          <w:sz w:val="21"/>
          <w:szCs w:val="21"/>
        </w:rPr>
        <w:t>工程量清单中所列工程量的变动，丝毫不会降低或影响合同条款的效力，</w:t>
      </w:r>
      <w:r>
        <w:rPr>
          <w:sz w:val="21"/>
          <w:szCs w:val="21"/>
        </w:rPr>
        <w:t>也不免除承包人按规定的标准进行施工和修复缺陷的责任。</w:t>
      </w:r>
    </w:p>
    <w:p w14:paraId="70E580EA">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1.7</w:t>
      </w:r>
      <w:r>
        <w:rPr>
          <w:spacing w:val="-1"/>
          <w:sz w:val="21"/>
          <w:szCs w:val="21"/>
        </w:rPr>
        <w:t>图纸中所列的工程数量表及数量汇总表仅是提供资料，不是工程量清单的外延。当图纸与工程量清单所列数量不一致时，以工程量清单所列数量作为报价的</w:t>
      </w:r>
      <w:r>
        <w:rPr>
          <w:sz w:val="21"/>
          <w:szCs w:val="21"/>
        </w:rPr>
        <w:t>依据。</w:t>
      </w:r>
    </w:p>
    <w:p w14:paraId="0BB9590C">
      <w:pPr>
        <w:keepNext w:val="0"/>
        <w:keepLines w:val="0"/>
        <w:pageBreakBefore w:val="0"/>
        <w:widowControl w:val="0"/>
        <w:numPr>
          <w:ilvl w:val="0"/>
          <w:numId w:val="0"/>
        </w:numPr>
        <w:tabs>
          <w:tab w:val="left" w:pos="775"/>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hint="eastAsia" w:ascii="黑体" w:eastAsia="黑体"/>
          <w:sz w:val="21"/>
          <w:szCs w:val="21"/>
        </w:rPr>
      </w:pPr>
      <w:bookmarkStart w:id="392" w:name="_bookmark279"/>
      <w:bookmarkEnd w:id="392"/>
      <w:bookmarkStart w:id="393" w:name="_bookmark279"/>
      <w:bookmarkEnd w:id="393"/>
      <w:r>
        <w:rPr>
          <w:rFonts w:hint="default" w:ascii="Times New Roman" w:hAnsi="Times New Roman" w:eastAsia="Times New Roman" w:cs="Times New Roman"/>
          <w:w w:val="100"/>
          <w:sz w:val="21"/>
          <w:szCs w:val="21"/>
          <w:lang w:val="zh-CN" w:eastAsia="zh-CN" w:bidi="zh-CN"/>
        </w:rPr>
        <w:t>2.</w:t>
      </w:r>
      <w:r>
        <w:rPr>
          <w:rFonts w:hint="eastAsia" w:ascii="黑体" w:eastAsia="黑体"/>
          <w:spacing w:val="-1"/>
          <w:sz w:val="21"/>
          <w:szCs w:val="21"/>
        </w:rPr>
        <w:t>投标报价说明</w:t>
      </w:r>
    </w:p>
    <w:p w14:paraId="47E1C4F2">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2.1</w:t>
      </w:r>
      <w:r>
        <w:rPr>
          <w:sz w:val="21"/>
          <w:szCs w:val="21"/>
        </w:rPr>
        <w:t>工程量清单中的每一子目须填入单价或价格，且只允许有一个报价。</w:t>
      </w:r>
    </w:p>
    <w:p w14:paraId="1C6FF452">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2.2</w:t>
      </w:r>
      <w:r>
        <w:rPr>
          <w:sz w:val="21"/>
          <w:szCs w:val="21"/>
        </w:rPr>
        <w:t>除非合同另有规定，工程量清单中有标价的单价和总额价均已包括了为实</w:t>
      </w:r>
      <w:r>
        <w:rPr>
          <w:spacing w:val="-8"/>
          <w:sz w:val="21"/>
          <w:szCs w:val="21"/>
        </w:rPr>
        <w:t>施和完成合同工程所需的劳务、材料、机械、质检</w:t>
      </w:r>
      <w:r>
        <w:rPr>
          <w:sz w:val="21"/>
          <w:szCs w:val="21"/>
        </w:rPr>
        <w:t>（自检</w:t>
      </w:r>
      <w:r>
        <w:rPr>
          <w:spacing w:val="-120"/>
          <w:sz w:val="21"/>
          <w:szCs w:val="21"/>
        </w:rPr>
        <w:t>）</w:t>
      </w:r>
      <w:r>
        <w:rPr>
          <w:spacing w:val="-11"/>
          <w:sz w:val="21"/>
          <w:szCs w:val="21"/>
        </w:rPr>
        <w:t>、安装、缺陷修复、管理、</w:t>
      </w:r>
      <w:r>
        <w:rPr>
          <w:sz w:val="21"/>
          <w:szCs w:val="21"/>
        </w:rPr>
        <w:t>保险、税费、利润等费用，以及合同明示或暗示的所有责任、义务和一般风险。</w:t>
      </w:r>
    </w:p>
    <w:p w14:paraId="4472D03D">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sz w:val="21"/>
          <w:szCs w:val="21"/>
        </w:rPr>
      </w:pPr>
      <w:r>
        <w:rPr>
          <w:rFonts w:hint="default" w:ascii="Times New Roman" w:hAnsi="宋体" w:eastAsia="Times New Roman" w:cs="宋体"/>
          <w:w w:val="100"/>
          <w:sz w:val="21"/>
          <w:szCs w:val="21"/>
          <w:lang w:val="zh-CN" w:eastAsia="zh-CN" w:bidi="zh-CN"/>
        </w:rPr>
        <w:t>2.3</w:t>
      </w:r>
      <w:r>
        <w:rPr>
          <w:spacing w:val="-1"/>
          <w:sz w:val="21"/>
          <w:szCs w:val="21"/>
        </w:rPr>
        <w:t>工程量清单中投标人没有填入单价或价格的子目，其费用视为已分摊在工程量清单中其他相关子目的单价或价格之中。承包人必须按监理人指令完成工程量</w:t>
      </w:r>
      <w:r>
        <w:rPr>
          <w:sz w:val="21"/>
          <w:szCs w:val="21"/>
        </w:rPr>
        <w:t>清单中未填入单价或价格的子目，但不能得到结算与支付。</w:t>
      </w:r>
    </w:p>
    <w:p w14:paraId="24737AC9">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2.4</w:t>
      </w:r>
      <w:r>
        <w:rPr>
          <w:spacing w:val="-1"/>
          <w:sz w:val="21"/>
          <w:szCs w:val="21"/>
        </w:rPr>
        <w:t>符合合同条款规定的全部费用应认为已被计入有标价的工程量清单所列各子目之中，未列子目不予计量的工作，其费用应视为已分摊在本合同工程的有关子</w:t>
      </w:r>
      <w:r>
        <w:rPr>
          <w:sz w:val="21"/>
          <w:szCs w:val="21"/>
        </w:rPr>
        <w:t>目的单价或总额价之中。</w:t>
      </w:r>
    </w:p>
    <w:p w14:paraId="4554A5CD">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2.5</w:t>
      </w:r>
      <w:r>
        <w:rPr>
          <w:spacing w:val="-1"/>
          <w:sz w:val="21"/>
          <w:szCs w:val="21"/>
        </w:rPr>
        <w:t>承包人用于本合同工程的各类装备的提供、运输、维护、拆卸、拼装等支</w:t>
      </w:r>
      <w:r>
        <w:rPr>
          <w:sz w:val="21"/>
          <w:szCs w:val="21"/>
        </w:rPr>
        <w:t>付的费用，已包括在工程量清单的单价与总额价之中。</w:t>
      </w:r>
    </w:p>
    <w:p w14:paraId="4E78FF00">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2.6</w:t>
      </w:r>
      <w:r>
        <w:rPr>
          <w:sz w:val="21"/>
          <w:szCs w:val="21"/>
        </w:rPr>
        <w:t>工程量清单中各项金额均以人民币（元）结算。</w:t>
      </w:r>
    </w:p>
    <w:p w14:paraId="41BBA89A">
      <w:pPr>
        <w:pStyle w:val="41"/>
        <w:keepNext w:val="0"/>
        <w:keepLines w:val="0"/>
        <w:pageBreakBefore w:val="0"/>
        <w:widowControl w:val="0"/>
        <w:numPr>
          <w:ilvl w:val="1"/>
          <w:numId w:val="0"/>
        </w:numPr>
        <w:tabs>
          <w:tab w:val="left" w:pos="1385"/>
          <w:tab w:val="left" w:pos="8984"/>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2.7</w:t>
      </w:r>
      <w:r>
        <w:rPr>
          <w:sz w:val="21"/>
          <w:szCs w:val="21"/>
        </w:rPr>
        <w:t>暂列金</w:t>
      </w:r>
      <w:r>
        <w:rPr>
          <w:spacing w:val="-68"/>
          <w:sz w:val="21"/>
          <w:szCs w:val="21"/>
        </w:rPr>
        <w:t>额</w:t>
      </w:r>
      <w:r>
        <w:rPr>
          <w:sz w:val="21"/>
          <w:szCs w:val="21"/>
        </w:rPr>
        <w:t>（不含计日工总额</w:t>
      </w:r>
      <w:r>
        <w:rPr>
          <w:spacing w:val="-68"/>
          <w:sz w:val="21"/>
          <w:szCs w:val="21"/>
        </w:rPr>
        <w:t>）</w:t>
      </w:r>
      <w:r>
        <w:rPr>
          <w:sz w:val="21"/>
          <w:szCs w:val="21"/>
        </w:rPr>
        <w:t>的数量及拟用子目的说明</w:t>
      </w:r>
      <w:r>
        <w:rPr>
          <w:sz w:val="21"/>
          <w:szCs w:val="21"/>
          <w:u w:val="single"/>
        </w:rPr>
        <w:t>：</w:t>
      </w:r>
      <w:r>
        <w:rPr>
          <w:sz w:val="21"/>
          <w:szCs w:val="21"/>
          <w:u w:val="single"/>
        </w:rPr>
        <w:tab/>
      </w:r>
      <w:r>
        <w:rPr>
          <w:sz w:val="21"/>
          <w:szCs w:val="21"/>
        </w:rPr>
        <w:t>。</w:t>
      </w:r>
    </w:p>
    <w:p w14:paraId="29E4DB84">
      <w:pPr>
        <w:pStyle w:val="41"/>
        <w:keepNext w:val="0"/>
        <w:keepLines w:val="0"/>
        <w:pageBreakBefore w:val="0"/>
        <w:widowControl w:val="0"/>
        <w:numPr>
          <w:ilvl w:val="1"/>
          <w:numId w:val="0"/>
        </w:numPr>
        <w:tabs>
          <w:tab w:val="left" w:pos="1385"/>
          <w:tab w:val="left" w:pos="73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2.8</w:t>
      </w:r>
      <w:r>
        <w:rPr>
          <w:sz w:val="21"/>
          <w:szCs w:val="21"/>
        </w:rPr>
        <w:t>暂估价的数量及拟用子目的说明：</w:t>
      </w:r>
      <w:r>
        <w:rPr>
          <w:sz w:val="21"/>
          <w:szCs w:val="21"/>
          <w:u w:val="single"/>
        </w:rPr>
        <w:t xml:space="preserve"> </w:t>
      </w:r>
      <w:r>
        <w:rPr>
          <w:sz w:val="21"/>
          <w:szCs w:val="21"/>
          <w:u w:val="single"/>
        </w:rPr>
        <w:tab/>
      </w:r>
      <w:r>
        <w:rPr>
          <w:sz w:val="21"/>
          <w:szCs w:val="21"/>
        </w:rPr>
        <w:t>。</w:t>
      </w:r>
    </w:p>
    <w:p w14:paraId="4D56EC5E">
      <w:pPr>
        <w:keepNext w:val="0"/>
        <w:keepLines w:val="0"/>
        <w:pageBreakBefore w:val="0"/>
        <w:widowControl w:val="0"/>
        <w:numPr>
          <w:ilvl w:val="0"/>
          <w:numId w:val="0"/>
        </w:numPr>
        <w:tabs>
          <w:tab w:val="left" w:pos="775"/>
        </w:tabs>
        <w:kinsoku/>
        <w:wordWrap/>
        <w:overflowPunct/>
        <w:topLinePunct w:val="0"/>
        <w:autoSpaceDE w:val="0"/>
        <w:autoSpaceDN w:val="0"/>
        <w:bidi w:val="0"/>
        <w:adjustRightInd/>
        <w:snapToGrid/>
        <w:spacing w:before="0" w:line="360" w:lineRule="auto"/>
        <w:ind w:left="0" w:leftChars="0" w:right="0" w:rightChars="0" w:firstLine="420" w:firstLineChars="200"/>
        <w:jc w:val="left"/>
        <w:textAlignment w:val="auto"/>
        <w:rPr>
          <w:rFonts w:ascii="黑体"/>
          <w:sz w:val="21"/>
          <w:szCs w:val="21"/>
        </w:rPr>
      </w:pPr>
      <w:bookmarkStart w:id="394" w:name="_bookmark280"/>
      <w:bookmarkEnd w:id="394"/>
      <w:bookmarkStart w:id="395" w:name="_bookmark280"/>
      <w:bookmarkEnd w:id="395"/>
      <w:r>
        <w:rPr>
          <w:rFonts w:hint="default" w:ascii="Times New Roman" w:hAnsi="Times New Roman" w:eastAsia="Times New Roman" w:cs="Times New Roman"/>
          <w:w w:val="100"/>
          <w:sz w:val="21"/>
          <w:szCs w:val="21"/>
          <w:lang w:val="zh-CN" w:eastAsia="zh-CN" w:bidi="zh-CN"/>
        </w:rPr>
        <w:t>3.</w:t>
      </w:r>
      <w:r>
        <w:rPr>
          <w:rFonts w:hint="eastAsia" w:ascii="黑体" w:eastAsia="黑体"/>
          <w:spacing w:val="-1"/>
          <w:sz w:val="21"/>
          <w:szCs w:val="21"/>
        </w:rPr>
        <w:t>计日工说明</w:t>
      </w:r>
    </w:p>
    <w:p w14:paraId="23673460">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both"/>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3.1</w:t>
      </w:r>
      <w:r>
        <w:rPr>
          <w:sz w:val="21"/>
          <w:szCs w:val="21"/>
        </w:rPr>
        <w:t>总则</w:t>
      </w:r>
    </w:p>
    <w:p w14:paraId="41B0A72E">
      <w:pPr>
        <w:pStyle w:val="41"/>
        <w:keepNext w:val="0"/>
        <w:keepLines w:val="0"/>
        <w:pageBreakBefore w:val="0"/>
        <w:widowControl w:val="0"/>
        <w:numPr>
          <w:ilvl w:val="0"/>
          <w:numId w:val="0"/>
        </w:numPr>
        <w:tabs>
          <w:tab w:val="left" w:pos="1566"/>
        </w:tabs>
        <w:kinsoku/>
        <w:wordWrap/>
        <w:overflowPunct/>
        <w:topLinePunct w:val="0"/>
        <w:autoSpaceDE w:val="0"/>
        <w:autoSpaceDN w:val="0"/>
        <w:bidi w:val="0"/>
        <w:adjustRightInd/>
        <w:snapToGrid/>
        <w:spacing w:before="0" w:after="0" w:line="360" w:lineRule="auto"/>
        <w:ind w:left="0" w:leftChars="0" w:right="0" w:rightChars="0" w:firstLine="180" w:firstLineChars="200"/>
        <w:jc w:val="left"/>
        <w:textAlignment w:val="auto"/>
        <w:rPr>
          <w:sz w:val="21"/>
          <w:szCs w:val="21"/>
        </w:rPr>
      </w:pPr>
      <w:r>
        <w:rPr>
          <w:rFonts w:hint="default" w:ascii="宋体" w:hAnsi="宋体" w:eastAsia="宋体" w:cs="宋体"/>
          <w:spacing w:val="-60"/>
          <w:w w:val="100"/>
          <w:sz w:val="21"/>
          <w:szCs w:val="21"/>
          <w:lang w:val="zh-CN" w:eastAsia="zh-CN" w:bidi="zh-CN"/>
        </w:rPr>
        <w:t>（1）</w:t>
      </w:r>
      <w:r>
        <w:rPr>
          <w:spacing w:val="-5"/>
          <w:sz w:val="21"/>
          <w:szCs w:val="21"/>
        </w:rPr>
        <w:t xml:space="preserve">本说明应参照通用合同条款第 </w:t>
      </w:r>
      <w:r>
        <w:rPr>
          <w:rFonts w:ascii="Times New Roman" w:eastAsia="Times New Roman"/>
          <w:sz w:val="21"/>
          <w:szCs w:val="21"/>
        </w:rPr>
        <w:t xml:space="preserve">15.7 </w:t>
      </w:r>
      <w:r>
        <w:rPr>
          <w:sz w:val="21"/>
          <w:szCs w:val="21"/>
        </w:rPr>
        <w:t>款一并理解。</w:t>
      </w:r>
    </w:p>
    <w:p w14:paraId="15AFDE8C">
      <w:pPr>
        <w:pStyle w:val="41"/>
        <w:keepNext w:val="0"/>
        <w:keepLines w:val="0"/>
        <w:pageBreakBefore w:val="0"/>
        <w:widowControl w:val="0"/>
        <w:numPr>
          <w:ilvl w:val="0"/>
          <w:numId w:val="0"/>
        </w:numPr>
        <w:tabs>
          <w:tab w:val="left" w:pos="1572"/>
        </w:tabs>
        <w:kinsoku/>
        <w:wordWrap/>
        <w:overflowPunct/>
        <w:topLinePunct w:val="0"/>
        <w:autoSpaceDE w:val="0"/>
        <w:autoSpaceDN w:val="0"/>
        <w:bidi w:val="0"/>
        <w:adjustRightInd/>
        <w:snapToGrid/>
        <w:spacing w:before="0" w:after="0" w:line="360" w:lineRule="auto"/>
        <w:ind w:left="0" w:leftChars="0" w:right="0" w:rightChars="0" w:firstLine="180" w:firstLineChars="200"/>
        <w:jc w:val="left"/>
        <w:textAlignment w:val="auto"/>
        <w:rPr>
          <w:sz w:val="21"/>
          <w:szCs w:val="21"/>
        </w:rPr>
      </w:pPr>
      <w:r>
        <w:rPr>
          <w:rFonts w:hint="default" w:ascii="宋体" w:hAnsi="宋体" w:eastAsia="宋体" w:cs="宋体"/>
          <w:spacing w:val="-60"/>
          <w:w w:val="100"/>
          <w:sz w:val="21"/>
          <w:szCs w:val="21"/>
          <w:lang w:val="zh-CN" w:eastAsia="zh-CN" w:bidi="zh-CN"/>
        </w:rPr>
        <w:t>（2）</w:t>
      </w:r>
      <w:r>
        <w:rPr>
          <w:sz w:val="21"/>
          <w:szCs w:val="21"/>
        </w:rPr>
        <w:t>未经监理人书面指令，任何工程不得按计日工施工；接到监理人按计日工施工的书面指令，承包人也不得拒绝。</w:t>
      </w:r>
    </w:p>
    <w:p w14:paraId="2D211162">
      <w:pPr>
        <w:pStyle w:val="41"/>
        <w:keepNext w:val="0"/>
        <w:keepLines w:val="0"/>
        <w:pageBreakBefore w:val="0"/>
        <w:widowControl w:val="0"/>
        <w:numPr>
          <w:ilvl w:val="0"/>
          <w:numId w:val="0"/>
        </w:numPr>
        <w:tabs>
          <w:tab w:val="left" w:pos="1572"/>
        </w:tabs>
        <w:kinsoku/>
        <w:wordWrap/>
        <w:overflowPunct/>
        <w:topLinePunct w:val="0"/>
        <w:autoSpaceDE w:val="0"/>
        <w:autoSpaceDN w:val="0"/>
        <w:bidi w:val="0"/>
        <w:adjustRightInd/>
        <w:snapToGrid/>
        <w:spacing w:before="0" w:after="0" w:line="360" w:lineRule="auto"/>
        <w:ind w:left="0" w:leftChars="0" w:right="0" w:rightChars="0" w:firstLine="180" w:firstLineChars="200"/>
        <w:jc w:val="both"/>
        <w:textAlignment w:val="auto"/>
        <w:rPr>
          <w:sz w:val="21"/>
          <w:szCs w:val="21"/>
        </w:rPr>
      </w:pPr>
      <w:r>
        <w:rPr>
          <w:rFonts w:hint="default" w:ascii="宋体" w:hAnsi="宋体" w:eastAsia="宋体" w:cs="宋体"/>
          <w:spacing w:val="-60"/>
          <w:w w:val="100"/>
          <w:sz w:val="21"/>
          <w:szCs w:val="21"/>
          <w:lang w:val="zh-CN" w:eastAsia="zh-CN" w:bidi="zh-CN"/>
        </w:rPr>
        <w:t>（3）</w:t>
      </w:r>
      <w:r>
        <w:rPr>
          <w:sz w:val="21"/>
          <w:szCs w:val="21"/>
        </w:rPr>
        <w:t>投标人应在计日工单价表中填列计日工子目的基本单价或租价，该基本</w:t>
      </w:r>
      <w:r>
        <w:rPr>
          <w:spacing w:val="-1"/>
          <w:sz w:val="21"/>
          <w:szCs w:val="21"/>
        </w:rPr>
        <w:t>单价或租价适用于监理人指令的任何数量的计日工的结算与支付。计日工的劳务、</w:t>
      </w:r>
      <w:r>
        <w:rPr>
          <w:sz w:val="21"/>
          <w:szCs w:val="21"/>
        </w:rPr>
        <w:t>材料和施工机械由招标人（或发包人）</w:t>
      </w:r>
      <w:r>
        <w:rPr>
          <w:spacing w:val="-1"/>
          <w:sz w:val="21"/>
          <w:szCs w:val="21"/>
        </w:rPr>
        <w:t>列出正常的估计数量，投标人报出单价，计</w:t>
      </w:r>
      <w:r>
        <w:rPr>
          <w:sz w:val="21"/>
          <w:szCs w:val="21"/>
        </w:rPr>
        <w:t>算出计日工总额后列入工程量清单汇总表中并进入评标价。</w:t>
      </w:r>
    </w:p>
    <w:p w14:paraId="0C1600F6">
      <w:pPr>
        <w:pStyle w:val="41"/>
        <w:keepNext w:val="0"/>
        <w:keepLines w:val="0"/>
        <w:pageBreakBefore w:val="0"/>
        <w:widowControl w:val="0"/>
        <w:numPr>
          <w:ilvl w:val="0"/>
          <w:numId w:val="0"/>
        </w:numPr>
        <w:tabs>
          <w:tab w:val="left" w:pos="1566"/>
        </w:tabs>
        <w:kinsoku/>
        <w:wordWrap/>
        <w:overflowPunct/>
        <w:topLinePunct w:val="0"/>
        <w:autoSpaceDE w:val="0"/>
        <w:autoSpaceDN w:val="0"/>
        <w:bidi w:val="0"/>
        <w:adjustRightInd/>
        <w:snapToGrid/>
        <w:spacing w:before="0" w:after="0" w:line="360" w:lineRule="auto"/>
        <w:ind w:left="0" w:leftChars="0" w:right="0" w:rightChars="0" w:firstLine="180" w:firstLineChars="200"/>
        <w:jc w:val="left"/>
        <w:textAlignment w:val="auto"/>
        <w:rPr>
          <w:sz w:val="21"/>
          <w:szCs w:val="21"/>
        </w:rPr>
      </w:pPr>
      <w:r>
        <w:rPr>
          <w:rFonts w:hint="default" w:ascii="宋体" w:hAnsi="宋体" w:eastAsia="宋体" w:cs="宋体"/>
          <w:spacing w:val="-60"/>
          <w:w w:val="100"/>
          <w:sz w:val="21"/>
          <w:szCs w:val="21"/>
          <w:lang w:val="zh-CN" w:eastAsia="zh-CN" w:bidi="zh-CN"/>
        </w:rPr>
        <w:t>（4）</w:t>
      </w:r>
      <w:r>
        <w:rPr>
          <w:sz w:val="21"/>
          <w:szCs w:val="21"/>
        </w:rPr>
        <w:t>计日工不调价。</w:t>
      </w:r>
    </w:p>
    <w:p w14:paraId="1A0075AC">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ascii="Times New Roman" w:eastAsia="Times New Roman"/>
          <w:sz w:val="21"/>
          <w:szCs w:val="21"/>
        </w:rPr>
      </w:pPr>
      <w:r>
        <w:rPr>
          <w:rFonts w:hint="default" w:ascii="Times New Roman" w:hAnsi="宋体" w:eastAsia="Times New Roman" w:cs="宋体"/>
          <w:w w:val="100"/>
          <w:sz w:val="21"/>
          <w:szCs w:val="21"/>
          <w:lang w:val="zh-CN" w:eastAsia="zh-CN" w:bidi="zh-CN"/>
        </w:rPr>
        <w:t>3.2</w:t>
      </w:r>
      <w:r>
        <w:rPr>
          <w:sz w:val="21"/>
          <w:szCs w:val="21"/>
        </w:rPr>
        <w:t>计日工劳务</w:t>
      </w:r>
    </w:p>
    <w:p w14:paraId="6E696C12">
      <w:pPr>
        <w:pStyle w:val="41"/>
        <w:keepNext w:val="0"/>
        <w:keepLines w:val="0"/>
        <w:pageBreakBefore w:val="0"/>
        <w:widowControl w:val="0"/>
        <w:numPr>
          <w:ilvl w:val="0"/>
          <w:numId w:val="0"/>
        </w:numPr>
        <w:tabs>
          <w:tab w:val="left" w:pos="1572"/>
        </w:tabs>
        <w:kinsoku/>
        <w:wordWrap/>
        <w:overflowPunct/>
        <w:topLinePunct w:val="0"/>
        <w:autoSpaceDE w:val="0"/>
        <w:autoSpaceDN w:val="0"/>
        <w:bidi w:val="0"/>
        <w:adjustRightInd/>
        <w:snapToGrid/>
        <w:spacing w:before="0" w:after="0" w:line="360" w:lineRule="auto"/>
        <w:ind w:left="0" w:leftChars="0" w:right="0" w:rightChars="0" w:firstLine="428" w:firstLineChars="200"/>
        <w:jc w:val="both"/>
        <w:textAlignment w:val="auto"/>
        <w:rPr>
          <w:sz w:val="21"/>
          <w:szCs w:val="21"/>
        </w:rPr>
      </w:pPr>
      <w:r>
        <w:rPr>
          <w:rFonts w:hint="default" w:ascii="宋体" w:hAnsi="宋体" w:eastAsia="宋体" w:cs="宋体"/>
          <w:spacing w:val="2"/>
          <w:w w:val="100"/>
          <w:sz w:val="21"/>
          <w:szCs w:val="21"/>
          <w:lang w:val="zh-CN" w:eastAsia="zh-CN" w:bidi="zh-CN"/>
        </w:rPr>
        <w:t>（1）</w:t>
      </w:r>
      <w:r>
        <w:rPr>
          <w:sz w:val="21"/>
          <w:szCs w:val="21"/>
        </w:rPr>
        <w:t>在计算应付给承包人的计日工工资时，工时应从工人到达施工现场，并</w:t>
      </w:r>
      <w:r>
        <w:rPr>
          <w:spacing w:val="-1"/>
          <w:sz w:val="21"/>
          <w:szCs w:val="21"/>
        </w:rPr>
        <w:t>开始从事指定的工作算起，到返回原出发地点为止，扣去用餐和休息的时间。只有直接从事指定的工作，且能胜任该工作的工人才能计工，随同工人一起做工的班长</w:t>
      </w:r>
      <w:r>
        <w:rPr>
          <w:sz w:val="21"/>
          <w:szCs w:val="21"/>
        </w:rPr>
        <w:t>应计算在内，但不包括领工（工长）和其他质检管理人员。</w:t>
      </w:r>
    </w:p>
    <w:p w14:paraId="1CE8D7C4">
      <w:pPr>
        <w:pStyle w:val="41"/>
        <w:keepNext w:val="0"/>
        <w:keepLines w:val="0"/>
        <w:pageBreakBefore w:val="0"/>
        <w:widowControl w:val="0"/>
        <w:numPr>
          <w:ilvl w:val="0"/>
          <w:numId w:val="0"/>
        </w:numPr>
        <w:tabs>
          <w:tab w:val="left" w:pos="1572"/>
        </w:tabs>
        <w:kinsoku/>
        <w:wordWrap/>
        <w:overflowPunct/>
        <w:topLinePunct w:val="0"/>
        <w:autoSpaceDE w:val="0"/>
        <w:autoSpaceDN w:val="0"/>
        <w:bidi w:val="0"/>
        <w:adjustRightInd/>
        <w:snapToGrid/>
        <w:spacing w:before="0" w:after="0" w:line="360" w:lineRule="auto"/>
        <w:ind w:left="0" w:leftChars="0" w:right="0" w:rightChars="0" w:firstLine="428" w:firstLineChars="200"/>
        <w:jc w:val="left"/>
        <w:textAlignment w:val="auto"/>
        <w:rPr>
          <w:sz w:val="21"/>
          <w:szCs w:val="21"/>
        </w:rPr>
      </w:pPr>
      <w:r>
        <w:rPr>
          <w:rFonts w:hint="default" w:ascii="宋体" w:hAnsi="宋体" w:eastAsia="宋体" w:cs="宋体"/>
          <w:spacing w:val="2"/>
          <w:w w:val="100"/>
          <w:sz w:val="21"/>
          <w:szCs w:val="21"/>
          <w:lang w:val="zh-CN" w:eastAsia="zh-CN" w:bidi="zh-CN"/>
        </w:rPr>
        <w:t>（2）</w:t>
      </w:r>
      <w:r>
        <w:rPr>
          <w:sz w:val="21"/>
          <w:szCs w:val="21"/>
        </w:rPr>
        <w:t>承包人可以得到用于计日工劳务的全部工时的支付，此支付按承包人填报的</w:t>
      </w:r>
      <w:r>
        <w:rPr>
          <w:rFonts w:ascii="Times New Roman" w:hAnsi="Times New Roman" w:eastAsia="Times New Roman"/>
          <w:sz w:val="21"/>
          <w:szCs w:val="21"/>
        </w:rPr>
        <w:t>“</w:t>
      </w:r>
      <w:r>
        <w:rPr>
          <w:sz w:val="21"/>
          <w:szCs w:val="21"/>
        </w:rPr>
        <w:t>计日工劳务单价表</w:t>
      </w:r>
      <w:r>
        <w:rPr>
          <w:rFonts w:ascii="Times New Roman" w:hAnsi="Times New Roman" w:eastAsia="Times New Roman"/>
          <w:sz w:val="21"/>
          <w:szCs w:val="21"/>
        </w:rPr>
        <w:t>”</w:t>
      </w:r>
      <w:r>
        <w:rPr>
          <w:spacing w:val="-9"/>
          <w:sz w:val="21"/>
          <w:szCs w:val="21"/>
        </w:rPr>
        <w:t>所列单价计算，该单价应包括基本单价及承包人的管理费、</w:t>
      </w:r>
      <w:r>
        <w:rPr>
          <w:sz w:val="21"/>
          <w:szCs w:val="21"/>
        </w:rPr>
        <w:t>税费、利润等所有附加费，说明如下：</w:t>
      </w:r>
    </w:p>
    <w:p w14:paraId="5288AFA7">
      <w:pPr>
        <w:pStyle w:val="41"/>
        <w:keepNext w:val="0"/>
        <w:keepLines w:val="0"/>
        <w:pageBreakBefore w:val="0"/>
        <w:widowControl w:val="0"/>
        <w:numPr>
          <w:ilvl w:val="0"/>
          <w:numId w:val="0"/>
        </w:numPr>
        <w:tabs>
          <w:tab w:val="left" w:pos="1250"/>
        </w:tabs>
        <w:kinsoku/>
        <w:wordWrap/>
        <w:overflowPunct/>
        <w:topLinePunct w:val="0"/>
        <w:autoSpaceDE w:val="0"/>
        <w:autoSpaceDN w:val="0"/>
        <w:bidi w:val="0"/>
        <w:adjustRightInd/>
        <w:snapToGrid/>
        <w:spacing w:before="0" w:after="0" w:line="360" w:lineRule="auto"/>
        <w:ind w:left="0" w:leftChars="0" w:right="0" w:rightChars="0" w:firstLine="264" w:firstLineChars="200"/>
        <w:jc w:val="left"/>
        <w:textAlignment w:val="auto"/>
        <w:rPr>
          <w:sz w:val="21"/>
          <w:szCs w:val="21"/>
        </w:rPr>
      </w:pPr>
      <w:r>
        <w:rPr>
          <w:rFonts w:hint="default" w:ascii="Times New Roman" w:hAnsi="Times New Roman" w:eastAsia="Times New Roman" w:cs="Times New Roman"/>
          <w:spacing w:val="-39"/>
          <w:w w:val="100"/>
          <w:sz w:val="21"/>
          <w:szCs w:val="21"/>
          <w:lang w:val="zh-CN" w:eastAsia="zh-CN" w:bidi="zh-CN"/>
        </w:rPr>
        <w:t>a.</w:t>
      </w:r>
      <w:r>
        <w:rPr>
          <w:spacing w:val="-12"/>
          <w:sz w:val="21"/>
          <w:szCs w:val="21"/>
        </w:rPr>
        <w:t>劳务基本单价包括：承包人劳务的全部直接费用，如：工资、加班费、津贴、</w:t>
      </w:r>
      <w:r>
        <w:rPr>
          <w:sz w:val="21"/>
          <w:szCs w:val="21"/>
        </w:rPr>
        <w:t>福利费及劳动保护费等。</w:t>
      </w:r>
    </w:p>
    <w:p w14:paraId="2A860ACE">
      <w:pPr>
        <w:pStyle w:val="41"/>
        <w:keepNext w:val="0"/>
        <w:keepLines w:val="0"/>
        <w:pageBreakBefore w:val="0"/>
        <w:widowControl w:val="0"/>
        <w:numPr>
          <w:ilvl w:val="0"/>
          <w:numId w:val="0"/>
        </w:numPr>
        <w:tabs>
          <w:tab w:val="left" w:pos="1265"/>
        </w:tabs>
        <w:kinsoku/>
        <w:wordWrap/>
        <w:overflowPunct/>
        <w:topLinePunct w:val="0"/>
        <w:autoSpaceDE w:val="0"/>
        <w:autoSpaceDN w:val="0"/>
        <w:bidi w:val="0"/>
        <w:adjustRightInd/>
        <w:snapToGrid/>
        <w:spacing w:before="0" w:after="0" w:line="360" w:lineRule="auto"/>
        <w:ind w:left="0" w:leftChars="0" w:right="0" w:rightChars="0" w:firstLine="264" w:firstLineChars="200"/>
        <w:jc w:val="left"/>
        <w:textAlignment w:val="auto"/>
        <w:rPr>
          <w:rFonts w:hint="eastAsia" w:ascii="宋体" w:hAnsi="宋体" w:eastAsia="宋体" w:cs="宋体"/>
          <w:sz w:val="21"/>
          <w:szCs w:val="21"/>
        </w:rPr>
      </w:pPr>
      <w:r>
        <w:rPr>
          <w:rFonts w:hint="default" w:ascii="Times New Roman" w:hAnsi="Times New Roman" w:eastAsia="Times New Roman" w:cs="Times New Roman"/>
          <w:spacing w:val="-39"/>
          <w:w w:val="100"/>
          <w:sz w:val="21"/>
          <w:szCs w:val="21"/>
          <w:lang w:val="zh-CN" w:eastAsia="zh-CN" w:bidi="zh-CN"/>
        </w:rPr>
        <w:t>b.</w:t>
      </w:r>
      <w:r>
        <w:rPr>
          <w:spacing w:val="-1"/>
          <w:sz w:val="21"/>
          <w:szCs w:val="21"/>
        </w:rPr>
        <w:t xml:space="preserve">承包人的利润、管理、质检、保险、税费；易耗品的使用，水电及照明费， </w:t>
      </w:r>
      <w:r>
        <w:rPr>
          <w:sz w:val="21"/>
          <w:szCs w:val="21"/>
        </w:rPr>
        <w:t>工作台、脚手</w:t>
      </w:r>
      <w:r>
        <w:rPr>
          <w:rFonts w:hint="eastAsia" w:ascii="宋体" w:hAnsi="宋体" w:eastAsia="宋体" w:cs="宋体"/>
          <w:sz w:val="21"/>
          <w:szCs w:val="21"/>
        </w:rPr>
        <w:t>架、临时设施费，手动机具与工具的使用及维修，以及上述各项伴随而来的费用。</w:t>
      </w:r>
    </w:p>
    <w:p w14:paraId="1D63FF91">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w w:val="100"/>
          <w:sz w:val="21"/>
          <w:szCs w:val="21"/>
          <w:lang w:val="zh-CN" w:eastAsia="zh-CN" w:bidi="zh-CN"/>
        </w:rPr>
        <w:t>3.3</w:t>
      </w:r>
      <w:r>
        <w:rPr>
          <w:rFonts w:hint="eastAsia" w:ascii="宋体" w:hAnsi="宋体" w:eastAsia="宋体" w:cs="宋体"/>
          <w:sz w:val="21"/>
          <w:szCs w:val="21"/>
        </w:rPr>
        <w:t>计日工材料</w:t>
      </w:r>
    </w:p>
    <w:p w14:paraId="30CCAA8B">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承包人可以得到计日工使用的材料费用（</w:t>
      </w:r>
      <w:r>
        <w:rPr>
          <w:rFonts w:hint="eastAsia" w:ascii="宋体" w:hAnsi="宋体" w:eastAsia="宋体" w:cs="宋体"/>
          <w:spacing w:val="-15"/>
          <w:sz w:val="21"/>
          <w:szCs w:val="21"/>
        </w:rPr>
        <w:t xml:space="preserve">上述 </w:t>
      </w:r>
      <w:r>
        <w:rPr>
          <w:rFonts w:hint="eastAsia" w:ascii="宋体" w:hAnsi="宋体" w:eastAsia="宋体" w:cs="宋体"/>
          <w:sz w:val="21"/>
          <w:szCs w:val="21"/>
        </w:rPr>
        <w:t xml:space="preserve">3.2 </w:t>
      </w:r>
      <w:r>
        <w:rPr>
          <w:rFonts w:hint="eastAsia" w:ascii="宋体" w:hAnsi="宋体" w:eastAsia="宋体" w:cs="宋体"/>
          <w:spacing w:val="-2"/>
          <w:sz w:val="21"/>
          <w:szCs w:val="21"/>
        </w:rPr>
        <w:t>款已计入劳务费内的材料费</w:t>
      </w:r>
      <w:r>
        <w:rPr>
          <w:rFonts w:hint="eastAsia" w:ascii="宋体" w:hAnsi="宋体" w:eastAsia="宋体" w:cs="宋体"/>
          <w:sz w:val="21"/>
          <w:szCs w:val="21"/>
        </w:rPr>
        <w:t>用除外）的支付，此费用按承包人“计日工材料单价表”</w:t>
      </w:r>
      <w:r>
        <w:rPr>
          <w:rFonts w:hint="eastAsia" w:ascii="宋体" w:hAnsi="宋体" w:eastAsia="宋体" w:cs="宋体"/>
          <w:spacing w:val="-1"/>
          <w:sz w:val="21"/>
          <w:szCs w:val="21"/>
        </w:rPr>
        <w:t>中所填报的单价计算，该单</w:t>
      </w:r>
      <w:r>
        <w:rPr>
          <w:rFonts w:hint="eastAsia" w:ascii="宋体" w:hAnsi="宋体" w:eastAsia="宋体" w:cs="宋体"/>
          <w:sz w:val="21"/>
          <w:szCs w:val="21"/>
        </w:rPr>
        <w:t>价应包括基本单价及承包人的管理费、税费、利润等所有附加费，说明如下：</w:t>
      </w:r>
    </w:p>
    <w:p w14:paraId="46A78981">
      <w:pPr>
        <w:pStyle w:val="41"/>
        <w:keepNext w:val="0"/>
        <w:keepLines w:val="0"/>
        <w:pageBreakBefore w:val="0"/>
        <w:widowControl w:val="0"/>
        <w:numPr>
          <w:ilvl w:val="0"/>
          <w:numId w:val="0"/>
        </w:numPr>
        <w:tabs>
          <w:tab w:val="left" w:pos="1566"/>
        </w:tabs>
        <w:kinsoku/>
        <w:wordWrap/>
        <w:overflowPunct/>
        <w:topLinePunct w:val="0"/>
        <w:autoSpaceDE w:val="0"/>
        <w:autoSpaceDN w:val="0"/>
        <w:bidi w:val="0"/>
        <w:adjustRightInd/>
        <w:snapToGrid/>
        <w:spacing w:before="0" w:after="0" w:line="360" w:lineRule="auto"/>
        <w:ind w:left="0" w:leftChars="0" w:right="0" w:rightChars="0" w:firstLine="388" w:firstLineChars="200"/>
        <w:jc w:val="left"/>
        <w:textAlignment w:val="auto"/>
        <w:rPr>
          <w:rFonts w:hint="eastAsia" w:ascii="宋体" w:hAnsi="宋体" w:eastAsia="宋体" w:cs="宋体"/>
          <w:sz w:val="21"/>
          <w:szCs w:val="21"/>
        </w:rPr>
      </w:pPr>
      <w:r>
        <w:rPr>
          <w:rFonts w:hint="eastAsia" w:ascii="宋体" w:hAnsi="宋体" w:eastAsia="宋体" w:cs="宋体"/>
          <w:spacing w:val="-8"/>
          <w:w w:val="100"/>
          <w:sz w:val="21"/>
          <w:szCs w:val="21"/>
          <w:lang w:val="zh-CN" w:eastAsia="zh-CN" w:bidi="zh-CN"/>
        </w:rPr>
        <w:t>（1）</w:t>
      </w:r>
      <w:r>
        <w:rPr>
          <w:rFonts w:hint="eastAsia" w:ascii="宋体" w:hAnsi="宋体" w:eastAsia="宋体" w:cs="宋体"/>
          <w:spacing w:val="-1"/>
          <w:sz w:val="21"/>
          <w:szCs w:val="21"/>
        </w:rPr>
        <w:t>材料基本单价按供货价加运杂费</w:t>
      </w:r>
      <w:r>
        <w:rPr>
          <w:rFonts w:hint="eastAsia" w:ascii="宋体" w:hAnsi="宋体" w:eastAsia="宋体" w:cs="宋体"/>
          <w:sz w:val="21"/>
          <w:szCs w:val="21"/>
        </w:rPr>
        <w:t>（到达承包人现场仓库</w:t>
      </w:r>
      <w:r>
        <w:rPr>
          <w:rFonts w:hint="eastAsia" w:ascii="宋体" w:hAnsi="宋体" w:eastAsia="宋体" w:cs="宋体"/>
          <w:spacing w:val="-120"/>
          <w:sz w:val="21"/>
          <w:szCs w:val="21"/>
        </w:rPr>
        <w:t>）</w:t>
      </w:r>
      <w:r>
        <w:rPr>
          <w:rFonts w:hint="eastAsia" w:ascii="宋体" w:hAnsi="宋体" w:eastAsia="宋体" w:cs="宋体"/>
          <w:spacing w:val="-6"/>
          <w:sz w:val="21"/>
          <w:szCs w:val="21"/>
        </w:rPr>
        <w:t>、保险费、仓库</w:t>
      </w:r>
      <w:r>
        <w:rPr>
          <w:rFonts w:hint="eastAsia" w:ascii="宋体" w:hAnsi="宋体" w:eastAsia="宋体" w:cs="宋体"/>
          <w:sz w:val="21"/>
          <w:szCs w:val="21"/>
        </w:rPr>
        <w:t>管理费以及运输损耗等计算；</w:t>
      </w:r>
    </w:p>
    <w:p w14:paraId="483EC380">
      <w:pPr>
        <w:pStyle w:val="41"/>
        <w:keepNext w:val="0"/>
        <w:keepLines w:val="0"/>
        <w:pageBreakBefore w:val="0"/>
        <w:widowControl w:val="0"/>
        <w:numPr>
          <w:ilvl w:val="0"/>
          <w:numId w:val="0"/>
        </w:numPr>
        <w:tabs>
          <w:tab w:val="left" w:pos="1566"/>
        </w:tabs>
        <w:kinsoku/>
        <w:wordWrap/>
        <w:overflowPunct/>
        <w:topLinePunct w:val="0"/>
        <w:autoSpaceDE w:val="0"/>
        <w:autoSpaceDN w:val="0"/>
        <w:bidi w:val="0"/>
        <w:adjustRightInd/>
        <w:snapToGrid/>
        <w:spacing w:before="0" w:after="0" w:line="360" w:lineRule="auto"/>
        <w:ind w:left="0" w:leftChars="0" w:right="0" w:rightChars="0" w:firstLine="388" w:firstLineChars="200"/>
        <w:jc w:val="left"/>
        <w:textAlignment w:val="auto"/>
        <w:rPr>
          <w:rFonts w:hint="eastAsia" w:ascii="宋体" w:hAnsi="宋体" w:eastAsia="宋体" w:cs="宋体"/>
          <w:sz w:val="21"/>
          <w:szCs w:val="21"/>
        </w:rPr>
      </w:pPr>
      <w:r>
        <w:rPr>
          <w:rFonts w:hint="eastAsia" w:ascii="宋体" w:hAnsi="宋体" w:eastAsia="宋体" w:cs="宋体"/>
          <w:spacing w:val="-8"/>
          <w:w w:val="100"/>
          <w:sz w:val="21"/>
          <w:szCs w:val="21"/>
          <w:lang w:val="zh-CN" w:eastAsia="zh-CN" w:bidi="zh-CN"/>
        </w:rPr>
        <w:t>（2）</w:t>
      </w:r>
      <w:r>
        <w:rPr>
          <w:rFonts w:hint="eastAsia" w:ascii="宋体" w:hAnsi="宋体" w:eastAsia="宋体" w:cs="宋体"/>
          <w:sz w:val="21"/>
          <w:szCs w:val="21"/>
        </w:rPr>
        <w:t>承包人的利润、管理、质检、保险、税费及其他附加费；</w:t>
      </w:r>
    </w:p>
    <w:p w14:paraId="13C0DD46">
      <w:pPr>
        <w:pStyle w:val="41"/>
        <w:keepNext w:val="0"/>
        <w:keepLines w:val="0"/>
        <w:pageBreakBefore w:val="0"/>
        <w:widowControl w:val="0"/>
        <w:numPr>
          <w:ilvl w:val="0"/>
          <w:numId w:val="0"/>
        </w:numPr>
        <w:tabs>
          <w:tab w:val="left" w:pos="1572"/>
        </w:tabs>
        <w:kinsoku/>
        <w:wordWrap/>
        <w:overflowPunct/>
        <w:topLinePunct w:val="0"/>
        <w:autoSpaceDE w:val="0"/>
        <w:autoSpaceDN w:val="0"/>
        <w:bidi w:val="0"/>
        <w:adjustRightInd/>
        <w:snapToGrid/>
        <w:spacing w:before="0" w:after="0" w:line="360" w:lineRule="auto"/>
        <w:ind w:left="0" w:leftChars="0" w:right="0" w:rightChars="0" w:firstLine="388" w:firstLineChars="200"/>
        <w:jc w:val="left"/>
        <w:textAlignment w:val="auto"/>
        <w:rPr>
          <w:rFonts w:hint="eastAsia" w:ascii="宋体" w:hAnsi="宋体" w:eastAsia="宋体" w:cs="宋体"/>
          <w:sz w:val="21"/>
          <w:szCs w:val="21"/>
        </w:rPr>
      </w:pPr>
      <w:r>
        <w:rPr>
          <w:rFonts w:hint="eastAsia" w:ascii="宋体" w:hAnsi="宋体" w:eastAsia="宋体" w:cs="宋体"/>
          <w:spacing w:val="-8"/>
          <w:w w:val="100"/>
          <w:sz w:val="21"/>
          <w:szCs w:val="21"/>
          <w:lang w:val="zh-CN" w:eastAsia="zh-CN" w:bidi="zh-CN"/>
        </w:rPr>
        <w:t>（3）</w:t>
      </w:r>
      <w:r>
        <w:rPr>
          <w:rFonts w:hint="eastAsia" w:ascii="宋体" w:hAnsi="宋体" w:eastAsia="宋体" w:cs="宋体"/>
          <w:sz w:val="21"/>
          <w:szCs w:val="21"/>
        </w:rPr>
        <w:t>从现场运至使用地点的人工费和施工机械使用费不包括在上述基本单价内。</w:t>
      </w:r>
    </w:p>
    <w:p w14:paraId="13A8F0FF">
      <w:pPr>
        <w:pStyle w:val="41"/>
        <w:keepNext w:val="0"/>
        <w:keepLines w:val="0"/>
        <w:pageBreakBefore w:val="0"/>
        <w:widowControl w:val="0"/>
        <w:numPr>
          <w:ilvl w:val="1"/>
          <w:numId w:val="0"/>
        </w:numPr>
        <w:tabs>
          <w:tab w:val="left" w:pos="1385"/>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w w:val="100"/>
          <w:sz w:val="21"/>
          <w:szCs w:val="21"/>
          <w:lang w:val="zh-CN" w:eastAsia="zh-CN" w:bidi="zh-CN"/>
        </w:rPr>
        <w:t>3.4</w:t>
      </w:r>
      <w:r>
        <w:rPr>
          <w:rFonts w:hint="eastAsia" w:ascii="宋体" w:hAnsi="宋体" w:eastAsia="宋体" w:cs="宋体"/>
          <w:sz w:val="21"/>
          <w:szCs w:val="21"/>
        </w:rPr>
        <w:t>计日工施工机械</w:t>
      </w:r>
    </w:p>
    <w:p w14:paraId="3A9B0F71">
      <w:pPr>
        <w:pStyle w:val="41"/>
        <w:keepNext w:val="0"/>
        <w:keepLines w:val="0"/>
        <w:pageBreakBefore w:val="0"/>
        <w:widowControl w:val="0"/>
        <w:numPr>
          <w:ilvl w:val="0"/>
          <w:numId w:val="0"/>
        </w:numPr>
        <w:tabs>
          <w:tab w:val="left" w:pos="1572"/>
        </w:tabs>
        <w:kinsoku/>
        <w:wordWrap/>
        <w:overflowPunct/>
        <w:topLinePunct w:val="0"/>
        <w:autoSpaceDE w:val="0"/>
        <w:autoSpaceDN w:val="0"/>
        <w:bidi w:val="0"/>
        <w:adjustRightInd/>
        <w:snapToGrid/>
        <w:spacing w:before="0" w:after="0" w:line="360" w:lineRule="auto"/>
        <w:ind w:left="0" w:leftChars="0" w:right="0" w:rightChars="0" w:firstLine="428" w:firstLineChars="200"/>
        <w:jc w:val="left"/>
        <w:textAlignment w:val="auto"/>
        <w:rPr>
          <w:rFonts w:hint="eastAsia" w:ascii="宋体" w:hAnsi="宋体" w:eastAsia="宋体" w:cs="宋体"/>
          <w:sz w:val="21"/>
          <w:szCs w:val="21"/>
        </w:rPr>
      </w:pPr>
      <w:r>
        <w:rPr>
          <w:rFonts w:hint="eastAsia" w:ascii="宋体" w:hAnsi="宋体" w:eastAsia="宋体" w:cs="宋体"/>
          <w:spacing w:val="2"/>
          <w:w w:val="100"/>
          <w:sz w:val="21"/>
          <w:szCs w:val="21"/>
          <w:lang w:val="zh-CN" w:eastAsia="zh-CN" w:bidi="zh-CN"/>
        </w:rPr>
        <w:t>（1）</w:t>
      </w:r>
      <w:r>
        <w:rPr>
          <w:rFonts w:hint="eastAsia" w:ascii="宋体" w:hAnsi="宋体" w:eastAsia="宋体" w:cs="宋体"/>
          <w:sz w:val="21"/>
          <w:szCs w:val="21"/>
        </w:rPr>
        <w:t>承包人可以得到用于计日工作业的施工机械费用的支付，该费用按承包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36BE4D9C">
      <w:pPr>
        <w:pStyle w:val="41"/>
        <w:keepNext w:val="0"/>
        <w:keepLines w:val="0"/>
        <w:pageBreakBefore w:val="0"/>
        <w:widowControl w:val="0"/>
        <w:numPr>
          <w:ilvl w:val="0"/>
          <w:numId w:val="0"/>
        </w:numPr>
        <w:tabs>
          <w:tab w:val="left" w:pos="1572"/>
        </w:tabs>
        <w:kinsoku/>
        <w:wordWrap/>
        <w:overflowPunct/>
        <w:topLinePunct w:val="0"/>
        <w:autoSpaceDE w:val="0"/>
        <w:autoSpaceDN w:val="0"/>
        <w:bidi w:val="0"/>
        <w:adjustRightInd/>
        <w:snapToGrid/>
        <w:spacing w:before="0" w:after="0" w:line="360" w:lineRule="auto"/>
        <w:ind w:left="0" w:leftChars="0" w:right="0" w:rightChars="0" w:firstLine="428" w:firstLineChars="200"/>
        <w:jc w:val="both"/>
        <w:textAlignment w:val="auto"/>
        <w:rPr>
          <w:sz w:val="21"/>
          <w:szCs w:val="21"/>
        </w:rPr>
      </w:pPr>
      <w:r>
        <w:rPr>
          <w:rFonts w:hint="eastAsia" w:ascii="宋体" w:hAnsi="宋体" w:eastAsia="宋体" w:cs="宋体"/>
          <w:spacing w:val="2"/>
          <w:w w:val="100"/>
          <w:sz w:val="21"/>
          <w:szCs w:val="21"/>
          <w:lang w:val="zh-CN" w:eastAsia="zh-CN" w:bidi="zh-CN"/>
        </w:rPr>
        <w:t>（2）</w:t>
      </w:r>
      <w:r>
        <w:rPr>
          <w:rFonts w:hint="eastAsia" w:ascii="宋体" w:hAnsi="宋体" w:eastAsia="宋体" w:cs="宋体"/>
          <w:sz w:val="21"/>
          <w:szCs w:val="21"/>
        </w:rPr>
        <w:t>在计日工作业中，承包</w:t>
      </w:r>
      <w:r>
        <w:rPr>
          <w:sz w:val="21"/>
          <w:szCs w:val="21"/>
        </w:rPr>
        <w:t>人计算所用的施工机械费用时，应按实际工作小</w:t>
      </w:r>
      <w:r>
        <w:rPr>
          <w:spacing w:val="-1"/>
          <w:sz w:val="21"/>
          <w:szCs w:val="21"/>
        </w:rPr>
        <w:t>时支付。除非经监理人的同意，计算的工作小时才能将施工机械从现场某处运到监</w:t>
      </w:r>
      <w:r>
        <w:rPr>
          <w:sz w:val="21"/>
          <w:szCs w:val="21"/>
        </w:rPr>
        <w:t>理人指令的计日工作业的另一现场往返运送时间包括在内。</w:t>
      </w:r>
    </w:p>
    <w:p w14:paraId="4E910AA6">
      <w:pPr>
        <w:pStyle w:val="12"/>
        <w:spacing w:before="8" w:line="360" w:lineRule="auto"/>
        <w:rPr>
          <w:sz w:val="21"/>
          <w:szCs w:val="21"/>
        </w:rPr>
      </w:pPr>
    </w:p>
    <w:p w14:paraId="4F736254">
      <w:pPr>
        <w:numPr>
          <w:ilvl w:val="0"/>
          <w:numId w:val="0"/>
        </w:numPr>
        <w:tabs>
          <w:tab w:val="left" w:pos="775"/>
        </w:tabs>
        <w:spacing w:before="0" w:line="360" w:lineRule="auto"/>
        <w:ind w:left="774" w:leftChars="0" w:right="0" w:rightChars="0" w:hanging="351" w:firstLineChars="0"/>
        <w:jc w:val="left"/>
        <w:rPr>
          <w:rFonts w:hint="eastAsia" w:ascii="黑体" w:eastAsia="黑体"/>
          <w:sz w:val="21"/>
          <w:szCs w:val="21"/>
        </w:rPr>
      </w:pPr>
      <w:bookmarkStart w:id="396" w:name="_bookmark281"/>
      <w:bookmarkEnd w:id="396"/>
      <w:bookmarkStart w:id="397" w:name="_bookmark281"/>
      <w:bookmarkEnd w:id="397"/>
      <w:r>
        <w:rPr>
          <w:rFonts w:hint="default" w:ascii="Times New Roman" w:hAnsi="Times New Roman" w:eastAsia="Times New Roman" w:cs="Times New Roman"/>
          <w:w w:val="100"/>
          <w:sz w:val="21"/>
          <w:szCs w:val="21"/>
          <w:lang w:val="zh-CN" w:eastAsia="zh-CN" w:bidi="zh-CN"/>
        </w:rPr>
        <w:t>4.</w:t>
      </w:r>
      <w:r>
        <w:rPr>
          <w:rFonts w:hint="eastAsia" w:ascii="黑体" w:eastAsia="黑体"/>
          <w:sz w:val="21"/>
          <w:szCs w:val="21"/>
        </w:rPr>
        <w:t>其他说明</w:t>
      </w:r>
    </w:p>
    <w:p w14:paraId="33C5579E">
      <w:pPr>
        <w:pStyle w:val="12"/>
        <w:spacing w:before="9" w:line="360" w:lineRule="auto"/>
        <w:rPr>
          <w:rFonts w:ascii="黑体"/>
          <w:sz w:val="21"/>
          <w:szCs w:val="21"/>
        </w:rPr>
      </w:pPr>
    </w:p>
    <w:p w14:paraId="42C95004">
      <w:pPr>
        <w:pStyle w:val="41"/>
        <w:numPr>
          <w:ilvl w:val="0"/>
          <w:numId w:val="0"/>
        </w:numPr>
        <w:tabs>
          <w:tab w:val="left" w:pos="775"/>
        </w:tabs>
        <w:spacing w:before="70" w:after="0" w:line="360" w:lineRule="auto"/>
        <w:ind w:left="774" w:leftChars="0" w:right="0" w:rightChars="0" w:hanging="351" w:firstLineChars="0"/>
        <w:jc w:val="left"/>
        <w:rPr>
          <w:rFonts w:hint="eastAsia" w:ascii="黑体" w:eastAsia="黑体"/>
          <w:sz w:val="21"/>
          <w:szCs w:val="21"/>
        </w:rPr>
      </w:pPr>
      <w:bookmarkStart w:id="398" w:name="_bookmark282"/>
      <w:bookmarkEnd w:id="398"/>
      <w:bookmarkStart w:id="399" w:name="_bookmark282"/>
      <w:bookmarkEnd w:id="399"/>
      <w:r>
        <w:rPr>
          <w:rFonts w:hint="default" w:ascii="Times New Roman" w:hAnsi="Times New Roman" w:eastAsia="Times New Roman" w:cs="Times New Roman"/>
          <w:w w:val="100"/>
          <w:sz w:val="21"/>
          <w:szCs w:val="21"/>
          <w:lang w:val="zh-CN" w:eastAsia="zh-CN" w:bidi="zh-CN"/>
        </w:rPr>
        <w:t>5.</w:t>
      </w:r>
      <w:r>
        <w:rPr>
          <w:rFonts w:hint="eastAsia" w:ascii="黑体" w:eastAsia="黑体"/>
          <w:spacing w:val="-1"/>
          <w:sz w:val="21"/>
          <w:szCs w:val="21"/>
        </w:rPr>
        <w:t>工程量清单</w:t>
      </w:r>
      <w:r>
        <w:rPr>
          <w:rFonts w:hint="eastAsia" w:ascii="黑体" w:eastAsia="黑体"/>
          <w:spacing w:val="-1"/>
          <w:sz w:val="21"/>
          <w:szCs w:val="21"/>
          <w:lang w:eastAsia="zh-CN"/>
        </w:rPr>
        <w:t>（</w:t>
      </w:r>
      <w:r>
        <w:rPr>
          <w:rFonts w:hint="eastAsia" w:ascii="黑体" w:eastAsia="黑体"/>
          <w:spacing w:val="-1"/>
          <w:sz w:val="21"/>
          <w:szCs w:val="21"/>
          <w:lang w:val="en-US" w:eastAsia="zh-CN"/>
        </w:rPr>
        <w:t>另附</w:t>
      </w:r>
      <w:r>
        <w:rPr>
          <w:rFonts w:hint="eastAsia" w:ascii="黑体" w:eastAsia="黑体"/>
          <w:spacing w:val="-1"/>
          <w:sz w:val="21"/>
          <w:szCs w:val="21"/>
          <w:lang w:eastAsia="zh-CN"/>
        </w:rPr>
        <w:t>）</w:t>
      </w:r>
    </w:p>
    <w:p w14:paraId="4D01D5AA">
      <w:pPr>
        <w:pStyle w:val="12"/>
        <w:spacing w:before="11" w:line="360" w:lineRule="auto"/>
        <w:rPr>
          <w:rFonts w:ascii="黑体"/>
          <w:sz w:val="21"/>
          <w:szCs w:val="21"/>
        </w:rPr>
      </w:pPr>
    </w:p>
    <w:p w14:paraId="32A1B86F">
      <w:pPr>
        <w:pStyle w:val="12"/>
        <w:spacing w:before="4" w:line="360" w:lineRule="auto"/>
        <w:rPr>
          <w:rFonts w:ascii="黑体"/>
          <w:sz w:val="21"/>
          <w:szCs w:val="21"/>
        </w:rPr>
      </w:pPr>
    </w:p>
    <w:p w14:paraId="61CA3FCE">
      <w:pPr>
        <w:pStyle w:val="12"/>
        <w:spacing w:before="5"/>
        <w:rPr>
          <w:sz w:val="11"/>
        </w:rPr>
      </w:pPr>
    </w:p>
    <w:p w14:paraId="3BC0641F">
      <w:pPr>
        <w:spacing w:after="0"/>
        <w:rPr>
          <w:rFonts w:ascii="Times New Roman"/>
          <w:sz w:val="20"/>
        </w:rPr>
        <w:sectPr>
          <w:headerReference r:id="rId50" w:type="default"/>
          <w:footerReference r:id="rId52" w:type="default"/>
          <w:headerReference r:id="rId51" w:type="even"/>
          <w:footerReference r:id="rId53" w:type="even"/>
          <w:pgSz w:w="11910" w:h="16850"/>
          <w:pgMar w:top="1560" w:right="1040" w:bottom="1260" w:left="780" w:header="0" w:footer="851" w:gutter="0"/>
          <w:pgNumType w:fmt="decimal"/>
          <w:cols w:space="720" w:num="1"/>
        </w:sectPr>
      </w:pPr>
    </w:p>
    <w:p w14:paraId="0AB6F653">
      <w:pPr>
        <w:pStyle w:val="12"/>
        <w:rPr>
          <w:sz w:val="20"/>
        </w:rPr>
      </w:pPr>
    </w:p>
    <w:p w14:paraId="4FDBF782">
      <w:pPr>
        <w:pStyle w:val="12"/>
        <w:rPr>
          <w:sz w:val="20"/>
        </w:rPr>
      </w:pPr>
    </w:p>
    <w:p w14:paraId="536E8DD8">
      <w:pPr>
        <w:pStyle w:val="12"/>
        <w:rPr>
          <w:sz w:val="20"/>
        </w:rPr>
      </w:pPr>
    </w:p>
    <w:p w14:paraId="259DF548">
      <w:pPr>
        <w:pStyle w:val="12"/>
        <w:rPr>
          <w:sz w:val="20"/>
        </w:rPr>
      </w:pPr>
    </w:p>
    <w:p w14:paraId="089E8536">
      <w:pPr>
        <w:pStyle w:val="12"/>
        <w:rPr>
          <w:sz w:val="20"/>
        </w:rPr>
      </w:pPr>
    </w:p>
    <w:p w14:paraId="57FC7D20">
      <w:pPr>
        <w:pStyle w:val="12"/>
        <w:rPr>
          <w:sz w:val="20"/>
        </w:rPr>
      </w:pPr>
    </w:p>
    <w:p w14:paraId="15670B2A">
      <w:pPr>
        <w:pStyle w:val="12"/>
        <w:rPr>
          <w:sz w:val="20"/>
        </w:rPr>
      </w:pPr>
    </w:p>
    <w:p w14:paraId="576705D0">
      <w:pPr>
        <w:pStyle w:val="12"/>
        <w:rPr>
          <w:sz w:val="20"/>
        </w:rPr>
      </w:pPr>
    </w:p>
    <w:p w14:paraId="5611693B">
      <w:pPr>
        <w:pStyle w:val="12"/>
        <w:rPr>
          <w:sz w:val="20"/>
        </w:rPr>
      </w:pPr>
    </w:p>
    <w:p w14:paraId="1657BEBD">
      <w:pPr>
        <w:pStyle w:val="12"/>
        <w:rPr>
          <w:sz w:val="20"/>
        </w:rPr>
      </w:pPr>
    </w:p>
    <w:p w14:paraId="5B1F5391">
      <w:pPr>
        <w:pStyle w:val="12"/>
        <w:rPr>
          <w:sz w:val="20"/>
        </w:rPr>
      </w:pPr>
    </w:p>
    <w:p w14:paraId="34DF6D8E">
      <w:pPr>
        <w:pStyle w:val="12"/>
        <w:rPr>
          <w:sz w:val="20"/>
        </w:rPr>
      </w:pPr>
    </w:p>
    <w:p w14:paraId="2773AF51">
      <w:pPr>
        <w:pStyle w:val="12"/>
        <w:rPr>
          <w:sz w:val="20"/>
        </w:rPr>
      </w:pPr>
    </w:p>
    <w:p w14:paraId="1E7D9679">
      <w:pPr>
        <w:pStyle w:val="12"/>
        <w:rPr>
          <w:sz w:val="20"/>
        </w:rPr>
      </w:pPr>
    </w:p>
    <w:p w14:paraId="2CC6708F">
      <w:pPr>
        <w:pStyle w:val="12"/>
        <w:rPr>
          <w:sz w:val="20"/>
        </w:rPr>
      </w:pPr>
    </w:p>
    <w:p w14:paraId="5C3119E6">
      <w:pPr>
        <w:pStyle w:val="12"/>
        <w:rPr>
          <w:sz w:val="20"/>
        </w:rPr>
      </w:pPr>
    </w:p>
    <w:p w14:paraId="391AEFBA">
      <w:pPr>
        <w:pStyle w:val="12"/>
        <w:rPr>
          <w:sz w:val="20"/>
        </w:rPr>
      </w:pPr>
    </w:p>
    <w:p w14:paraId="1127E343">
      <w:pPr>
        <w:pStyle w:val="12"/>
        <w:rPr>
          <w:sz w:val="20"/>
        </w:rPr>
      </w:pPr>
    </w:p>
    <w:p w14:paraId="5AA492CB">
      <w:pPr>
        <w:pStyle w:val="12"/>
        <w:rPr>
          <w:sz w:val="20"/>
        </w:rPr>
      </w:pPr>
    </w:p>
    <w:p w14:paraId="3B990D74">
      <w:pPr>
        <w:pStyle w:val="12"/>
        <w:rPr>
          <w:sz w:val="20"/>
        </w:rPr>
      </w:pPr>
    </w:p>
    <w:p w14:paraId="6F8B6635">
      <w:pPr>
        <w:pStyle w:val="12"/>
        <w:rPr>
          <w:sz w:val="20"/>
        </w:rPr>
      </w:pPr>
    </w:p>
    <w:p w14:paraId="1205E933">
      <w:pPr>
        <w:pStyle w:val="12"/>
        <w:spacing w:before="1"/>
        <w:rPr>
          <w:sz w:val="26"/>
        </w:rPr>
      </w:pPr>
    </w:p>
    <w:p w14:paraId="09754E5C">
      <w:pPr>
        <w:pStyle w:val="2"/>
        <w:keepNext w:val="0"/>
        <w:keepLines w:val="0"/>
        <w:pageBreakBefore w:val="0"/>
        <w:widowControl w:val="0"/>
        <w:kinsoku/>
        <w:wordWrap/>
        <w:overflowPunct/>
        <w:topLinePunct w:val="0"/>
        <w:autoSpaceDE w:val="0"/>
        <w:autoSpaceDN w:val="0"/>
        <w:bidi w:val="0"/>
        <w:adjustRightInd/>
        <w:snapToGrid/>
        <w:ind w:right="57"/>
        <w:textAlignment w:val="auto"/>
        <w:outlineLvl w:val="0"/>
      </w:pPr>
      <w:bookmarkStart w:id="400" w:name="_TOC_250002"/>
      <w:bookmarkEnd w:id="400"/>
      <w:bookmarkStart w:id="401" w:name="_Toc19256"/>
      <w:bookmarkStart w:id="402" w:name="_Toc21943"/>
      <w:r>
        <w:t>第</w:t>
      </w:r>
      <w:r>
        <w:tab/>
      </w:r>
      <w:r>
        <w:t>二</w:t>
      </w:r>
      <w:r>
        <w:tab/>
      </w:r>
      <w:r>
        <w:t>卷</w:t>
      </w:r>
      <w:bookmarkEnd w:id="401"/>
      <w:bookmarkEnd w:id="402"/>
    </w:p>
    <w:p w14:paraId="53955ECD">
      <w:pPr>
        <w:pStyle w:val="2"/>
        <w:bidi w:val="0"/>
        <w:outlineLvl w:val="9"/>
        <w:sectPr>
          <w:headerReference r:id="rId54" w:type="default"/>
          <w:footerReference r:id="rId55" w:type="default"/>
          <w:footerReference r:id="rId56" w:type="even"/>
          <w:pgSz w:w="11910" w:h="16850"/>
          <w:pgMar w:top="1134" w:right="850" w:bottom="1134" w:left="1417" w:header="0" w:footer="907" w:gutter="0"/>
          <w:pgNumType w:fmt="decimal"/>
          <w:cols w:space="0" w:num="1"/>
          <w:rtlGutter w:val="0"/>
          <w:docGrid w:linePitch="0" w:charSpace="0"/>
        </w:sectPr>
      </w:pPr>
    </w:p>
    <w:p w14:paraId="06E49676">
      <w:pPr>
        <w:pStyle w:val="12"/>
        <w:rPr>
          <w:rFonts w:ascii="黑体"/>
          <w:sz w:val="20"/>
        </w:rPr>
      </w:pPr>
    </w:p>
    <w:p w14:paraId="7F2E0009">
      <w:pPr>
        <w:pStyle w:val="12"/>
        <w:rPr>
          <w:rFonts w:ascii="黑体"/>
          <w:sz w:val="20"/>
        </w:rPr>
      </w:pPr>
    </w:p>
    <w:p w14:paraId="5F8413F3">
      <w:pPr>
        <w:pStyle w:val="12"/>
        <w:rPr>
          <w:rFonts w:ascii="黑体"/>
          <w:sz w:val="20"/>
        </w:rPr>
      </w:pPr>
    </w:p>
    <w:p w14:paraId="6CB70108">
      <w:pPr>
        <w:pStyle w:val="12"/>
        <w:rPr>
          <w:rFonts w:ascii="黑体"/>
          <w:sz w:val="20"/>
        </w:rPr>
      </w:pPr>
    </w:p>
    <w:p w14:paraId="03F8EC5C">
      <w:pPr>
        <w:pStyle w:val="12"/>
        <w:rPr>
          <w:rFonts w:ascii="黑体"/>
          <w:sz w:val="20"/>
        </w:rPr>
      </w:pPr>
    </w:p>
    <w:p w14:paraId="07A151FB">
      <w:pPr>
        <w:pStyle w:val="12"/>
        <w:rPr>
          <w:rFonts w:ascii="黑体"/>
          <w:sz w:val="20"/>
        </w:rPr>
      </w:pPr>
    </w:p>
    <w:p w14:paraId="07F0746A">
      <w:pPr>
        <w:pStyle w:val="12"/>
        <w:rPr>
          <w:rFonts w:ascii="黑体"/>
          <w:sz w:val="20"/>
        </w:rPr>
      </w:pPr>
    </w:p>
    <w:p w14:paraId="7D928A9B">
      <w:pPr>
        <w:pStyle w:val="12"/>
        <w:rPr>
          <w:rFonts w:ascii="黑体"/>
          <w:sz w:val="20"/>
        </w:rPr>
      </w:pPr>
    </w:p>
    <w:p w14:paraId="1E7B1509">
      <w:pPr>
        <w:pStyle w:val="12"/>
        <w:rPr>
          <w:rFonts w:ascii="黑体"/>
          <w:sz w:val="20"/>
        </w:rPr>
      </w:pPr>
    </w:p>
    <w:p w14:paraId="73E7963A">
      <w:pPr>
        <w:pStyle w:val="12"/>
        <w:rPr>
          <w:rFonts w:ascii="黑体"/>
          <w:sz w:val="20"/>
        </w:rPr>
      </w:pPr>
    </w:p>
    <w:p w14:paraId="5340BB3F">
      <w:pPr>
        <w:pStyle w:val="12"/>
        <w:rPr>
          <w:rFonts w:ascii="黑体"/>
          <w:sz w:val="20"/>
        </w:rPr>
      </w:pPr>
    </w:p>
    <w:p w14:paraId="70DC458B">
      <w:pPr>
        <w:pStyle w:val="12"/>
        <w:rPr>
          <w:rFonts w:ascii="黑体"/>
          <w:sz w:val="20"/>
        </w:rPr>
      </w:pPr>
    </w:p>
    <w:p w14:paraId="7385B9C9">
      <w:pPr>
        <w:pStyle w:val="12"/>
        <w:rPr>
          <w:rFonts w:ascii="黑体"/>
          <w:sz w:val="20"/>
        </w:rPr>
      </w:pPr>
    </w:p>
    <w:p w14:paraId="7C756C5B">
      <w:pPr>
        <w:pStyle w:val="12"/>
        <w:rPr>
          <w:rFonts w:ascii="黑体"/>
          <w:sz w:val="20"/>
        </w:rPr>
      </w:pPr>
    </w:p>
    <w:p w14:paraId="7731E67D">
      <w:pPr>
        <w:pStyle w:val="12"/>
        <w:rPr>
          <w:rFonts w:ascii="黑体"/>
          <w:sz w:val="20"/>
        </w:rPr>
      </w:pPr>
    </w:p>
    <w:p w14:paraId="2D4867E8">
      <w:pPr>
        <w:pStyle w:val="12"/>
        <w:rPr>
          <w:rFonts w:ascii="黑体"/>
          <w:sz w:val="20"/>
        </w:rPr>
      </w:pPr>
    </w:p>
    <w:p w14:paraId="7B7DEEA4">
      <w:pPr>
        <w:pStyle w:val="12"/>
        <w:rPr>
          <w:rFonts w:ascii="黑体"/>
          <w:sz w:val="20"/>
        </w:rPr>
      </w:pPr>
    </w:p>
    <w:p w14:paraId="432075C6">
      <w:pPr>
        <w:pStyle w:val="12"/>
        <w:rPr>
          <w:rFonts w:ascii="黑体"/>
          <w:sz w:val="20"/>
        </w:rPr>
      </w:pPr>
    </w:p>
    <w:p w14:paraId="1004AF35">
      <w:pPr>
        <w:pStyle w:val="12"/>
        <w:rPr>
          <w:rFonts w:ascii="黑体"/>
          <w:sz w:val="20"/>
        </w:rPr>
      </w:pPr>
    </w:p>
    <w:p w14:paraId="18BDCD24">
      <w:pPr>
        <w:pStyle w:val="12"/>
        <w:rPr>
          <w:rFonts w:ascii="黑体"/>
          <w:sz w:val="20"/>
        </w:rPr>
      </w:pPr>
    </w:p>
    <w:p w14:paraId="6B00E3DC">
      <w:pPr>
        <w:pStyle w:val="3"/>
        <w:bidi w:val="0"/>
      </w:pPr>
      <w:bookmarkStart w:id="403" w:name="_bookmark283"/>
      <w:bookmarkEnd w:id="403"/>
      <w:bookmarkStart w:id="404" w:name="_Toc1553"/>
      <w:r>
        <w:t>第六章</w:t>
      </w:r>
      <w:r>
        <w:tab/>
      </w:r>
      <w:r>
        <w:t>图纸（另册）</w:t>
      </w:r>
      <w:bookmarkEnd w:id="404"/>
    </w:p>
    <w:p w14:paraId="26ABE436">
      <w:pPr>
        <w:pStyle w:val="3"/>
        <w:bidi w:val="0"/>
        <w:outlineLvl w:val="9"/>
        <w:sectPr>
          <w:footerReference r:id="rId58" w:type="default"/>
          <w:headerReference r:id="rId57" w:type="even"/>
          <w:footerReference r:id="rId59" w:type="even"/>
          <w:pgSz w:w="11910" w:h="16850"/>
          <w:pgMar w:top="1134" w:right="850" w:bottom="1134" w:left="1417" w:header="0" w:footer="850" w:gutter="0"/>
          <w:pgNumType w:fmt="decimal"/>
          <w:cols w:space="720" w:num="1"/>
        </w:sectPr>
      </w:pPr>
    </w:p>
    <w:p w14:paraId="09EF342C">
      <w:pPr>
        <w:pStyle w:val="12"/>
        <w:rPr>
          <w:rFonts w:ascii="黑体"/>
          <w:sz w:val="20"/>
        </w:rPr>
      </w:pPr>
    </w:p>
    <w:p w14:paraId="180C012D">
      <w:pPr>
        <w:pStyle w:val="12"/>
        <w:rPr>
          <w:rFonts w:ascii="黑体"/>
          <w:sz w:val="20"/>
        </w:rPr>
      </w:pPr>
    </w:p>
    <w:p w14:paraId="1F408878">
      <w:pPr>
        <w:pStyle w:val="12"/>
        <w:rPr>
          <w:rFonts w:ascii="黑体"/>
          <w:sz w:val="20"/>
        </w:rPr>
      </w:pPr>
    </w:p>
    <w:p w14:paraId="3584E152">
      <w:pPr>
        <w:pStyle w:val="12"/>
        <w:rPr>
          <w:rFonts w:ascii="黑体"/>
          <w:sz w:val="20"/>
        </w:rPr>
      </w:pPr>
    </w:p>
    <w:p w14:paraId="00C88215">
      <w:pPr>
        <w:pStyle w:val="12"/>
        <w:rPr>
          <w:rFonts w:ascii="黑体"/>
          <w:sz w:val="20"/>
        </w:rPr>
      </w:pPr>
    </w:p>
    <w:p w14:paraId="3BC9EC3A">
      <w:pPr>
        <w:pStyle w:val="12"/>
        <w:rPr>
          <w:rFonts w:ascii="黑体"/>
          <w:sz w:val="20"/>
        </w:rPr>
      </w:pPr>
    </w:p>
    <w:p w14:paraId="252E59AD">
      <w:pPr>
        <w:pStyle w:val="12"/>
        <w:rPr>
          <w:rFonts w:ascii="黑体"/>
          <w:sz w:val="20"/>
        </w:rPr>
      </w:pPr>
    </w:p>
    <w:p w14:paraId="25D8BF43">
      <w:pPr>
        <w:pStyle w:val="12"/>
        <w:rPr>
          <w:rFonts w:ascii="黑体"/>
          <w:sz w:val="20"/>
        </w:rPr>
      </w:pPr>
    </w:p>
    <w:p w14:paraId="7FF1E9FE">
      <w:pPr>
        <w:pStyle w:val="12"/>
        <w:rPr>
          <w:rFonts w:ascii="黑体"/>
          <w:sz w:val="20"/>
        </w:rPr>
      </w:pPr>
    </w:p>
    <w:p w14:paraId="0409D642">
      <w:pPr>
        <w:pStyle w:val="12"/>
        <w:rPr>
          <w:rFonts w:ascii="黑体"/>
          <w:sz w:val="20"/>
        </w:rPr>
      </w:pPr>
    </w:p>
    <w:p w14:paraId="0931258D">
      <w:pPr>
        <w:pStyle w:val="12"/>
        <w:rPr>
          <w:rFonts w:ascii="黑体"/>
          <w:sz w:val="20"/>
        </w:rPr>
      </w:pPr>
    </w:p>
    <w:p w14:paraId="66C5B6AF">
      <w:pPr>
        <w:pStyle w:val="12"/>
        <w:rPr>
          <w:rFonts w:ascii="黑体"/>
          <w:sz w:val="20"/>
        </w:rPr>
      </w:pPr>
    </w:p>
    <w:p w14:paraId="632D5E8E">
      <w:pPr>
        <w:pStyle w:val="12"/>
        <w:rPr>
          <w:rFonts w:ascii="黑体"/>
          <w:sz w:val="20"/>
        </w:rPr>
      </w:pPr>
    </w:p>
    <w:p w14:paraId="5BC8BF6D">
      <w:pPr>
        <w:pStyle w:val="12"/>
        <w:rPr>
          <w:rFonts w:ascii="黑体"/>
          <w:sz w:val="20"/>
        </w:rPr>
      </w:pPr>
    </w:p>
    <w:p w14:paraId="56D183B4">
      <w:pPr>
        <w:pStyle w:val="12"/>
        <w:rPr>
          <w:rFonts w:ascii="黑体"/>
          <w:sz w:val="20"/>
        </w:rPr>
      </w:pPr>
    </w:p>
    <w:p w14:paraId="61D19F19">
      <w:pPr>
        <w:pStyle w:val="12"/>
        <w:rPr>
          <w:rFonts w:ascii="黑体"/>
          <w:sz w:val="20"/>
        </w:rPr>
      </w:pPr>
    </w:p>
    <w:p w14:paraId="56453DD3">
      <w:pPr>
        <w:pStyle w:val="12"/>
        <w:rPr>
          <w:rFonts w:ascii="黑体"/>
          <w:sz w:val="20"/>
        </w:rPr>
      </w:pPr>
    </w:p>
    <w:p w14:paraId="1A8872B2">
      <w:pPr>
        <w:pStyle w:val="12"/>
        <w:spacing w:before="5"/>
        <w:rPr>
          <w:rFonts w:ascii="黑体"/>
          <w:sz w:val="26"/>
        </w:rPr>
      </w:pPr>
    </w:p>
    <w:p w14:paraId="2FA374D8">
      <w:pPr>
        <w:pStyle w:val="2"/>
        <w:bidi w:val="0"/>
        <w:outlineLvl w:val="0"/>
      </w:pPr>
      <w:bookmarkStart w:id="405" w:name="_TOC_250001"/>
      <w:bookmarkEnd w:id="405"/>
      <w:bookmarkStart w:id="406" w:name="_Toc5614"/>
      <w:bookmarkStart w:id="407" w:name="_Toc18323"/>
      <w:r>
        <w:t>第</w:t>
      </w:r>
      <w:r>
        <w:tab/>
      </w:r>
      <w:r>
        <w:t>三</w:t>
      </w:r>
      <w:r>
        <w:tab/>
      </w:r>
      <w:r>
        <w:t>卷</w:t>
      </w:r>
      <w:bookmarkEnd w:id="406"/>
      <w:bookmarkEnd w:id="407"/>
    </w:p>
    <w:p w14:paraId="313BE37E">
      <w:pPr>
        <w:spacing w:after="0"/>
        <w:outlineLvl w:val="9"/>
        <w:sectPr>
          <w:headerReference r:id="rId60" w:type="default"/>
          <w:footerReference r:id="rId61" w:type="default"/>
          <w:pgSz w:w="11910" w:h="16850"/>
          <w:pgMar w:top="1134" w:right="850" w:bottom="1134" w:left="1417" w:header="0" w:footer="794" w:gutter="0"/>
          <w:pgNumType w:fmt="decimal"/>
          <w:cols w:space="720" w:num="1"/>
        </w:sectPr>
      </w:pPr>
    </w:p>
    <w:p w14:paraId="3AB32B40">
      <w:pPr>
        <w:pStyle w:val="12"/>
        <w:rPr>
          <w:rFonts w:ascii="黑体"/>
          <w:sz w:val="20"/>
        </w:rPr>
      </w:pPr>
    </w:p>
    <w:p w14:paraId="1F42D003">
      <w:pPr>
        <w:pStyle w:val="12"/>
        <w:rPr>
          <w:rFonts w:ascii="黑体"/>
          <w:sz w:val="20"/>
        </w:rPr>
      </w:pPr>
    </w:p>
    <w:p w14:paraId="69912769">
      <w:pPr>
        <w:pStyle w:val="12"/>
        <w:rPr>
          <w:rFonts w:ascii="黑体"/>
          <w:sz w:val="20"/>
        </w:rPr>
      </w:pPr>
    </w:p>
    <w:p w14:paraId="6006F7C8">
      <w:pPr>
        <w:pStyle w:val="12"/>
        <w:rPr>
          <w:rFonts w:ascii="黑体"/>
          <w:sz w:val="20"/>
        </w:rPr>
      </w:pPr>
    </w:p>
    <w:p w14:paraId="604CEAFF">
      <w:pPr>
        <w:pStyle w:val="12"/>
        <w:rPr>
          <w:rFonts w:ascii="黑体"/>
          <w:sz w:val="20"/>
        </w:rPr>
      </w:pPr>
    </w:p>
    <w:p w14:paraId="7475C51C">
      <w:pPr>
        <w:pStyle w:val="12"/>
        <w:rPr>
          <w:rFonts w:ascii="黑体"/>
          <w:sz w:val="20"/>
        </w:rPr>
      </w:pPr>
    </w:p>
    <w:p w14:paraId="48A26084">
      <w:pPr>
        <w:pStyle w:val="12"/>
        <w:rPr>
          <w:rFonts w:ascii="黑体"/>
          <w:sz w:val="20"/>
        </w:rPr>
      </w:pPr>
    </w:p>
    <w:p w14:paraId="3CE64F5D">
      <w:pPr>
        <w:pStyle w:val="12"/>
        <w:rPr>
          <w:rFonts w:ascii="黑体"/>
          <w:sz w:val="20"/>
        </w:rPr>
      </w:pPr>
    </w:p>
    <w:p w14:paraId="755D5AF3">
      <w:pPr>
        <w:pStyle w:val="12"/>
        <w:rPr>
          <w:rFonts w:ascii="黑体"/>
          <w:sz w:val="20"/>
        </w:rPr>
      </w:pPr>
    </w:p>
    <w:p w14:paraId="6737996B">
      <w:pPr>
        <w:pStyle w:val="12"/>
        <w:rPr>
          <w:rFonts w:ascii="黑体"/>
          <w:sz w:val="20"/>
        </w:rPr>
      </w:pPr>
    </w:p>
    <w:p w14:paraId="57BDFFF5">
      <w:pPr>
        <w:pStyle w:val="12"/>
        <w:rPr>
          <w:rFonts w:ascii="黑体"/>
          <w:sz w:val="20"/>
        </w:rPr>
      </w:pPr>
    </w:p>
    <w:p w14:paraId="0729D420">
      <w:pPr>
        <w:pStyle w:val="12"/>
        <w:rPr>
          <w:rFonts w:ascii="黑体"/>
          <w:sz w:val="20"/>
        </w:rPr>
      </w:pPr>
    </w:p>
    <w:p w14:paraId="314BBEBD">
      <w:pPr>
        <w:pStyle w:val="12"/>
        <w:rPr>
          <w:rFonts w:ascii="黑体"/>
          <w:sz w:val="20"/>
        </w:rPr>
      </w:pPr>
    </w:p>
    <w:p w14:paraId="10B188E4">
      <w:pPr>
        <w:pStyle w:val="12"/>
        <w:rPr>
          <w:rFonts w:ascii="黑体"/>
          <w:sz w:val="20"/>
        </w:rPr>
      </w:pPr>
    </w:p>
    <w:p w14:paraId="50B80232">
      <w:pPr>
        <w:pStyle w:val="12"/>
        <w:rPr>
          <w:rFonts w:ascii="黑体"/>
          <w:sz w:val="20"/>
        </w:rPr>
      </w:pPr>
    </w:p>
    <w:p w14:paraId="505D63F4">
      <w:pPr>
        <w:pStyle w:val="12"/>
        <w:rPr>
          <w:rFonts w:ascii="黑体"/>
          <w:sz w:val="20"/>
        </w:rPr>
      </w:pPr>
    </w:p>
    <w:p w14:paraId="0563E970">
      <w:pPr>
        <w:pStyle w:val="12"/>
        <w:rPr>
          <w:rFonts w:ascii="黑体"/>
          <w:sz w:val="20"/>
        </w:rPr>
      </w:pPr>
    </w:p>
    <w:p w14:paraId="6F2A5F5C">
      <w:pPr>
        <w:pStyle w:val="12"/>
        <w:rPr>
          <w:rFonts w:ascii="黑体"/>
          <w:sz w:val="20"/>
        </w:rPr>
      </w:pPr>
    </w:p>
    <w:p w14:paraId="11C07062">
      <w:pPr>
        <w:pStyle w:val="12"/>
        <w:rPr>
          <w:rFonts w:ascii="黑体"/>
          <w:sz w:val="20"/>
        </w:rPr>
      </w:pPr>
    </w:p>
    <w:p w14:paraId="144309B9">
      <w:pPr>
        <w:pStyle w:val="12"/>
        <w:rPr>
          <w:rFonts w:ascii="黑体"/>
          <w:sz w:val="20"/>
        </w:rPr>
      </w:pPr>
    </w:p>
    <w:p w14:paraId="7A82DB73">
      <w:pPr>
        <w:pStyle w:val="3"/>
        <w:bidi w:val="0"/>
      </w:pPr>
      <w:bookmarkStart w:id="408" w:name="_bookmark284"/>
      <w:bookmarkEnd w:id="408"/>
      <w:bookmarkStart w:id="409" w:name="_Toc3660"/>
      <w:r>
        <w:t>第七章</w:t>
      </w:r>
      <w:r>
        <w:tab/>
      </w:r>
      <w:r>
        <w:t>技术规范（另册）</w:t>
      </w:r>
      <w:bookmarkEnd w:id="409"/>
    </w:p>
    <w:p w14:paraId="7EA71E10">
      <w:pPr>
        <w:spacing w:after="0"/>
        <w:outlineLvl w:val="9"/>
        <w:sectPr>
          <w:headerReference r:id="rId62" w:type="even"/>
          <w:footerReference r:id="rId63" w:type="even"/>
          <w:pgSz w:w="11910" w:h="16850"/>
          <w:pgMar w:top="1134" w:right="850" w:bottom="1134" w:left="1417" w:header="0" w:footer="850" w:gutter="0"/>
          <w:pgNumType w:fmt="decimal"/>
          <w:cols w:space="720" w:num="1"/>
        </w:sectPr>
      </w:pPr>
    </w:p>
    <w:p w14:paraId="3167F4C9">
      <w:pPr>
        <w:pStyle w:val="12"/>
        <w:rPr>
          <w:rFonts w:ascii="黑体"/>
          <w:sz w:val="20"/>
        </w:rPr>
      </w:pPr>
    </w:p>
    <w:p w14:paraId="4F34DFB2">
      <w:pPr>
        <w:pStyle w:val="12"/>
        <w:rPr>
          <w:rFonts w:ascii="黑体"/>
          <w:sz w:val="20"/>
        </w:rPr>
      </w:pPr>
    </w:p>
    <w:p w14:paraId="6AE01D64">
      <w:pPr>
        <w:pStyle w:val="12"/>
        <w:rPr>
          <w:rFonts w:ascii="黑体"/>
          <w:sz w:val="20"/>
        </w:rPr>
      </w:pPr>
    </w:p>
    <w:p w14:paraId="7DC063B0">
      <w:pPr>
        <w:pStyle w:val="12"/>
        <w:rPr>
          <w:rFonts w:ascii="黑体"/>
          <w:sz w:val="20"/>
        </w:rPr>
      </w:pPr>
    </w:p>
    <w:p w14:paraId="6698A5CC">
      <w:pPr>
        <w:pStyle w:val="12"/>
        <w:rPr>
          <w:rFonts w:ascii="黑体"/>
          <w:sz w:val="20"/>
        </w:rPr>
      </w:pPr>
    </w:p>
    <w:p w14:paraId="02E97892">
      <w:pPr>
        <w:pStyle w:val="12"/>
        <w:rPr>
          <w:rFonts w:ascii="黑体"/>
          <w:sz w:val="20"/>
        </w:rPr>
      </w:pPr>
    </w:p>
    <w:p w14:paraId="77DC8E8F">
      <w:pPr>
        <w:pStyle w:val="12"/>
        <w:rPr>
          <w:rFonts w:ascii="黑体"/>
          <w:sz w:val="20"/>
        </w:rPr>
      </w:pPr>
    </w:p>
    <w:p w14:paraId="773C6D36">
      <w:pPr>
        <w:pStyle w:val="12"/>
        <w:rPr>
          <w:rFonts w:ascii="黑体"/>
          <w:sz w:val="20"/>
        </w:rPr>
      </w:pPr>
    </w:p>
    <w:p w14:paraId="6B89BB19">
      <w:pPr>
        <w:pStyle w:val="12"/>
        <w:rPr>
          <w:rFonts w:ascii="黑体"/>
          <w:sz w:val="20"/>
        </w:rPr>
      </w:pPr>
    </w:p>
    <w:p w14:paraId="12207413">
      <w:pPr>
        <w:pStyle w:val="12"/>
        <w:rPr>
          <w:rFonts w:ascii="黑体"/>
          <w:sz w:val="20"/>
        </w:rPr>
      </w:pPr>
    </w:p>
    <w:p w14:paraId="0CA475CC">
      <w:pPr>
        <w:pStyle w:val="12"/>
        <w:rPr>
          <w:rFonts w:ascii="黑体"/>
          <w:sz w:val="20"/>
        </w:rPr>
      </w:pPr>
    </w:p>
    <w:p w14:paraId="0544D348">
      <w:pPr>
        <w:pStyle w:val="12"/>
        <w:rPr>
          <w:rFonts w:ascii="黑体"/>
          <w:sz w:val="20"/>
        </w:rPr>
      </w:pPr>
    </w:p>
    <w:p w14:paraId="03435101">
      <w:pPr>
        <w:pStyle w:val="12"/>
        <w:rPr>
          <w:rFonts w:ascii="黑体"/>
          <w:sz w:val="20"/>
        </w:rPr>
      </w:pPr>
    </w:p>
    <w:p w14:paraId="048A4F1F">
      <w:pPr>
        <w:pStyle w:val="12"/>
        <w:rPr>
          <w:rFonts w:ascii="黑体"/>
          <w:sz w:val="20"/>
        </w:rPr>
      </w:pPr>
    </w:p>
    <w:p w14:paraId="66BCE982">
      <w:pPr>
        <w:pStyle w:val="12"/>
        <w:rPr>
          <w:rFonts w:ascii="黑体"/>
          <w:sz w:val="20"/>
        </w:rPr>
      </w:pPr>
    </w:p>
    <w:p w14:paraId="64DF99FF">
      <w:pPr>
        <w:pStyle w:val="12"/>
        <w:rPr>
          <w:rFonts w:ascii="黑体"/>
          <w:sz w:val="20"/>
        </w:rPr>
      </w:pPr>
    </w:p>
    <w:p w14:paraId="5BC50718">
      <w:pPr>
        <w:pStyle w:val="12"/>
        <w:rPr>
          <w:rFonts w:ascii="黑体"/>
          <w:sz w:val="20"/>
        </w:rPr>
      </w:pPr>
    </w:p>
    <w:p w14:paraId="12358BFA">
      <w:pPr>
        <w:pStyle w:val="12"/>
        <w:rPr>
          <w:rFonts w:ascii="黑体"/>
          <w:sz w:val="20"/>
        </w:rPr>
      </w:pPr>
    </w:p>
    <w:p w14:paraId="2BE2758E">
      <w:pPr>
        <w:pStyle w:val="12"/>
        <w:rPr>
          <w:rFonts w:ascii="黑体"/>
          <w:sz w:val="20"/>
        </w:rPr>
      </w:pPr>
    </w:p>
    <w:p w14:paraId="55036F27">
      <w:pPr>
        <w:pStyle w:val="12"/>
        <w:rPr>
          <w:rFonts w:ascii="黑体"/>
          <w:sz w:val="20"/>
        </w:rPr>
      </w:pPr>
    </w:p>
    <w:p w14:paraId="1C826344">
      <w:pPr>
        <w:pStyle w:val="3"/>
        <w:bidi w:val="0"/>
        <w:rPr>
          <w:rFonts w:hint="eastAsia" w:ascii="黑体" w:eastAsia="黑体"/>
          <w:b w:val="0"/>
          <w:bCs w:val="0"/>
          <w:sz w:val="56"/>
        </w:rPr>
      </w:pPr>
      <w:bookmarkStart w:id="410" w:name="_bookmark285"/>
      <w:bookmarkEnd w:id="410"/>
      <w:bookmarkStart w:id="411" w:name="_Toc12735"/>
      <w:r>
        <w:rPr>
          <w:rFonts w:hint="eastAsia" w:ascii="黑体" w:eastAsia="黑体"/>
          <w:b w:val="0"/>
          <w:bCs w:val="0"/>
          <w:sz w:val="56"/>
        </w:rPr>
        <w:t>第八章</w:t>
      </w:r>
      <w:r>
        <w:rPr>
          <w:rFonts w:hint="eastAsia" w:ascii="黑体" w:eastAsia="黑体"/>
          <w:b w:val="0"/>
          <w:bCs w:val="0"/>
          <w:sz w:val="56"/>
        </w:rPr>
        <w:tab/>
      </w:r>
      <w:r>
        <w:rPr>
          <w:rFonts w:hint="eastAsia" w:ascii="黑体" w:eastAsia="黑体"/>
          <w:b w:val="0"/>
          <w:bCs w:val="0"/>
          <w:sz w:val="56"/>
        </w:rPr>
        <w:t>工程量清</w:t>
      </w:r>
      <w:r>
        <w:rPr>
          <w:rFonts w:hint="eastAsia" w:ascii="黑体" w:eastAsia="黑体"/>
          <w:b w:val="0"/>
          <w:bCs w:val="0"/>
          <w:spacing w:val="3"/>
          <w:sz w:val="56"/>
        </w:rPr>
        <w:t>单</w:t>
      </w:r>
      <w:r>
        <w:rPr>
          <w:rFonts w:hint="eastAsia" w:ascii="黑体" w:eastAsia="黑体"/>
          <w:b w:val="0"/>
          <w:bCs w:val="0"/>
          <w:sz w:val="56"/>
        </w:rPr>
        <w:t>计量规则</w:t>
      </w:r>
      <w:bookmarkEnd w:id="411"/>
    </w:p>
    <w:p w14:paraId="4ADE0755">
      <w:pPr>
        <w:bidi w:val="0"/>
        <w:jc w:val="center"/>
        <w:rPr>
          <w:rFonts w:hint="eastAsia"/>
          <w:sz w:val="30"/>
          <w:szCs w:val="30"/>
        </w:rPr>
      </w:pPr>
      <w:r>
        <w:rPr>
          <w:rFonts w:hint="eastAsia"/>
          <w:sz w:val="30"/>
          <w:szCs w:val="30"/>
        </w:rPr>
        <w:t>（另</w:t>
      </w:r>
      <w:r>
        <w:rPr>
          <w:rFonts w:hint="eastAsia"/>
          <w:sz w:val="30"/>
          <w:szCs w:val="30"/>
        </w:rPr>
        <w:tab/>
      </w:r>
      <w:r>
        <w:rPr>
          <w:rFonts w:hint="eastAsia"/>
          <w:sz w:val="30"/>
          <w:szCs w:val="30"/>
        </w:rPr>
        <w:t>册）</w:t>
      </w:r>
    </w:p>
    <w:p w14:paraId="090671C2">
      <w:pPr>
        <w:bidi w:val="0"/>
        <w:jc w:val="center"/>
        <w:rPr>
          <w:rFonts w:hint="eastAsia"/>
          <w:sz w:val="30"/>
          <w:szCs w:val="30"/>
        </w:rPr>
        <w:sectPr>
          <w:headerReference r:id="rId64" w:type="default"/>
          <w:footerReference r:id="rId65" w:type="default"/>
          <w:pgSz w:w="11910" w:h="16850"/>
          <w:pgMar w:top="1134" w:right="850" w:bottom="1134" w:left="1417" w:header="0" w:footer="907" w:gutter="0"/>
          <w:pgNumType w:fmt="decimal"/>
          <w:cols w:space="720" w:num="1"/>
        </w:sectPr>
      </w:pPr>
    </w:p>
    <w:p w14:paraId="7E8B7007">
      <w:pPr>
        <w:pStyle w:val="12"/>
        <w:rPr>
          <w:rFonts w:ascii="黑体"/>
          <w:sz w:val="20"/>
        </w:rPr>
      </w:pPr>
    </w:p>
    <w:p w14:paraId="26FFE265">
      <w:pPr>
        <w:pStyle w:val="12"/>
        <w:rPr>
          <w:rFonts w:ascii="黑体"/>
          <w:sz w:val="20"/>
        </w:rPr>
      </w:pPr>
    </w:p>
    <w:p w14:paraId="28F0BF29">
      <w:pPr>
        <w:pStyle w:val="12"/>
        <w:rPr>
          <w:rFonts w:ascii="黑体"/>
          <w:sz w:val="20"/>
        </w:rPr>
      </w:pPr>
    </w:p>
    <w:p w14:paraId="589F9AC2">
      <w:pPr>
        <w:pStyle w:val="12"/>
        <w:rPr>
          <w:rFonts w:ascii="黑体"/>
          <w:sz w:val="20"/>
        </w:rPr>
      </w:pPr>
    </w:p>
    <w:p w14:paraId="5C0FA04A">
      <w:pPr>
        <w:pStyle w:val="12"/>
        <w:rPr>
          <w:rFonts w:ascii="黑体"/>
          <w:sz w:val="20"/>
        </w:rPr>
      </w:pPr>
    </w:p>
    <w:p w14:paraId="19590439">
      <w:pPr>
        <w:pStyle w:val="12"/>
        <w:rPr>
          <w:rFonts w:ascii="黑体"/>
          <w:sz w:val="20"/>
        </w:rPr>
      </w:pPr>
    </w:p>
    <w:p w14:paraId="5BF87336">
      <w:pPr>
        <w:pStyle w:val="12"/>
        <w:rPr>
          <w:rFonts w:ascii="黑体"/>
          <w:sz w:val="20"/>
        </w:rPr>
      </w:pPr>
    </w:p>
    <w:p w14:paraId="52D3F8DD">
      <w:pPr>
        <w:pStyle w:val="12"/>
        <w:rPr>
          <w:rFonts w:ascii="黑体"/>
          <w:sz w:val="20"/>
        </w:rPr>
      </w:pPr>
    </w:p>
    <w:p w14:paraId="18967B38">
      <w:pPr>
        <w:pStyle w:val="12"/>
        <w:rPr>
          <w:rFonts w:ascii="黑体"/>
          <w:sz w:val="20"/>
        </w:rPr>
      </w:pPr>
    </w:p>
    <w:p w14:paraId="42FD2E2E">
      <w:pPr>
        <w:pStyle w:val="12"/>
        <w:rPr>
          <w:rFonts w:ascii="黑体"/>
          <w:sz w:val="20"/>
        </w:rPr>
      </w:pPr>
    </w:p>
    <w:p w14:paraId="411FB273">
      <w:pPr>
        <w:pStyle w:val="12"/>
        <w:rPr>
          <w:rFonts w:ascii="黑体"/>
          <w:sz w:val="20"/>
        </w:rPr>
      </w:pPr>
    </w:p>
    <w:p w14:paraId="50065B7A">
      <w:pPr>
        <w:pStyle w:val="12"/>
        <w:rPr>
          <w:rFonts w:ascii="黑体"/>
          <w:sz w:val="20"/>
        </w:rPr>
      </w:pPr>
    </w:p>
    <w:p w14:paraId="0710C6E6">
      <w:pPr>
        <w:pStyle w:val="12"/>
        <w:rPr>
          <w:rFonts w:ascii="黑体"/>
          <w:sz w:val="20"/>
        </w:rPr>
      </w:pPr>
    </w:p>
    <w:p w14:paraId="64B184BC">
      <w:pPr>
        <w:pStyle w:val="12"/>
        <w:rPr>
          <w:rFonts w:ascii="黑体"/>
          <w:sz w:val="20"/>
        </w:rPr>
      </w:pPr>
    </w:p>
    <w:p w14:paraId="3B7E9E8C">
      <w:pPr>
        <w:pStyle w:val="12"/>
        <w:rPr>
          <w:rFonts w:ascii="黑体"/>
          <w:sz w:val="20"/>
        </w:rPr>
      </w:pPr>
    </w:p>
    <w:p w14:paraId="00B77973">
      <w:pPr>
        <w:pStyle w:val="12"/>
        <w:rPr>
          <w:rFonts w:ascii="黑体"/>
          <w:sz w:val="20"/>
        </w:rPr>
      </w:pPr>
    </w:p>
    <w:p w14:paraId="69395299">
      <w:pPr>
        <w:pStyle w:val="12"/>
        <w:rPr>
          <w:rFonts w:ascii="黑体"/>
          <w:sz w:val="20"/>
        </w:rPr>
      </w:pPr>
    </w:p>
    <w:p w14:paraId="53DC8672">
      <w:pPr>
        <w:pStyle w:val="12"/>
        <w:rPr>
          <w:rFonts w:ascii="黑体"/>
          <w:sz w:val="20"/>
        </w:rPr>
      </w:pPr>
    </w:p>
    <w:p w14:paraId="60F90C16">
      <w:pPr>
        <w:pStyle w:val="12"/>
        <w:spacing w:before="4"/>
        <w:rPr>
          <w:rFonts w:ascii="黑体"/>
          <w:sz w:val="17"/>
        </w:rPr>
      </w:pPr>
    </w:p>
    <w:p w14:paraId="460E7B3C">
      <w:pPr>
        <w:pStyle w:val="2"/>
        <w:bidi w:val="0"/>
        <w:outlineLvl w:val="0"/>
      </w:pPr>
      <w:bookmarkStart w:id="412" w:name="_TOC_250000"/>
      <w:bookmarkEnd w:id="412"/>
      <w:bookmarkStart w:id="413" w:name="_Toc17253"/>
      <w:bookmarkStart w:id="414" w:name="_Toc21616"/>
      <w:r>
        <w:t>第</w:t>
      </w:r>
      <w:r>
        <w:tab/>
      </w:r>
      <w:r>
        <w:t>四</w:t>
      </w:r>
      <w:r>
        <w:tab/>
      </w:r>
      <w:r>
        <w:t>卷</w:t>
      </w:r>
      <w:bookmarkEnd w:id="413"/>
      <w:bookmarkEnd w:id="414"/>
    </w:p>
    <w:p w14:paraId="5990827D">
      <w:pPr>
        <w:spacing w:after="0"/>
        <w:outlineLvl w:val="9"/>
        <w:sectPr>
          <w:headerReference r:id="rId66" w:type="even"/>
          <w:footerReference r:id="rId67" w:type="even"/>
          <w:pgSz w:w="11910" w:h="16850"/>
          <w:pgMar w:top="1134" w:right="850" w:bottom="1134" w:left="1417" w:header="0" w:footer="907" w:gutter="0"/>
          <w:pgNumType w:fmt="decimal"/>
          <w:cols w:space="720" w:num="1"/>
        </w:sectPr>
      </w:pPr>
    </w:p>
    <w:p w14:paraId="088F913F">
      <w:pPr>
        <w:pStyle w:val="12"/>
        <w:rPr>
          <w:rFonts w:ascii="黑体"/>
          <w:sz w:val="20"/>
        </w:rPr>
      </w:pPr>
    </w:p>
    <w:p w14:paraId="1A3A1267">
      <w:pPr>
        <w:pStyle w:val="12"/>
        <w:rPr>
          <w:rFonts w:ascii="黑体"/>
          <w:sz w:val="20"/>
        </w:rPr>
      </w:pPr>
    </w:p>
    <w:p w14:paraId="75F19F71">
      <w:pPr>
        <w:pStyle w:val="12"/>
        <w:rPr>
          <w:rFonts w:ascii="黑体"/>
          <w:sz w:val="20"/>
        </w:rPr>
      </w:pPr>
    </w:p>
    <w:p w14:paraId="0753B6CA">
      <w:pPr>
        <w:pStyle w:val="12"/>
        <w:rPr>
          <w:rFonts w:ascii="黑体"/>
          <w:sz w:val="20"/>
        </w:rPr>
      </w:pPr>
    </w:p>
    <w:p w14:paraId="06B58C71">
      <w:pPr>
        <w:pStyle w:val="12"/>
        <w:rPr>
          <w:rFonts w:ascii="黑体"/>
          <w:sz w:val="20"/>
        </w:rPr>
      </w:pPr>
    </w:p>
    <w:p w14:paraId="638A312F">
      <w:pPr>
        <w:pStyle w:val="12"/>
        <w:rPr>
          <w:rFonts w:ascii="黑体"/>
          <w:sz w:val="20"/>
        </w:rPr>
      </w:pPr>
    </w:p>
    <w:p w14:paraId="1CB90F36">
      <w:pPr>
        <w:pStyle w:val="12"/>
        <w:rPr>
          <w:rFonts w:ascii="黑体"/>
          <w:sz w:val="20"/>
        </w:rPr>
      </w:pPr>
    </w:p>
    <w:p w14:paraId="37C1B1EE">
      <w:pPr>
        <w:pStyle w:val="12"/>
        <w:rPr>
          <w:rFonts w:ascii="黑体"/>
          <w:sz w:val="20"/>
        </w:rPr>
      </w:pPr>
    </w:p>
    <w:p w14:paraId="5EC6DCC0">
      <w:pPr>
        <w:pStyle w:val="12"/>
        <w:rPr>
          <w:rFonts w:ascii="黑体"/>
          <w:sz w:val="20"/>
        </w:rPr>
      </w:pPr>
    </w:p>
    <w:p w14:paraId="561F8D07">
      <w:pPr>
        <w:pStyle w:val="12"/>
        <w:rPr>
          <w:rFonts w:ascii="黑体"/>
          <w:sz w:val="20"/>
        </w:rPr>
      </w:pPr>
    </w:p>
    <w:p w14:paraId="5BA0C2FE">
      <w:pPr>
        <w:pStyle w:val="12"/>
        <w:rPr>
          <w:rFonts w:ascii="黑体"/>
          <w:sz w:val="20"/>
        </w:rPr>
      </w:pPr>
    </w:p>
    <w:p w14:paraId="2F8B5743">
      <w:pPr>
        <w:pStyle w:val="12"/>
        <w:rPr>
          <w:rFonts w:ascii="黑体"/>
          <w:sz w:val="20"/>
        </w:rPr>
      </w:pPr>
    </w:p>
    <w:p w14:paraId="27373C73">
      <w:pPr>
        <w:pStyle w:val="12"/>
        <w:rPr>
          <w:rFonts w:ascii="黑体"/>
          <w:sz w:val="20"/>
        </w:rPr>
      </w:pPr>
    </w:p>
    <w:p w14:paraId="283179E3">
      <w:pPr>
        <w:pStyle w:val="12"/>
        <w:rPr>
          <w:rFonts w:ascii="黑体"/>
          <w:sz w:val="20"/>
        </w:rPr>
      </w:pPr>
    </w:p>
    <w:p w14:paraId="002A7C29">
      <w:pPr>
        <w:pStyle w:val="12"/>
        <w:rPr>
          <w:rFonts w:ascii="黑体"/>
          <w:sz w:val="20"/>
        </w:rPr>
      </w:pPr>
    </w:p>
    <w:p w14:paraId="14E392B5">
      <w:pPr>
        <w:pStyle w:val="12"/>
        <w:rPr>
          <w:rFonts w:ascii="黑体"/>
          <w:sz w:val="20"/>
        </w:rPr>
      </w:pPr>
    </w:p>
    <w:p w14:paraId="0DCCCC35">
      <w:pPr>
        <w:pStyle w:val="12"/>
        <w:rPr>
          <w:rFonts w:ascii="黑体"/>
          <w:sz w:val="20"/>
        </w:rPr>
      </w:pPr>
    </w:p>
    <w:p w14:paraId="53642D5D">
      <w:pPr>
        <w:pStyle w:val="12"/>
        <w:rPr>
          <w:rFonts w:ascii="黑体"/>
          <w:sz w:val="20"/>
        </w:rPr>
      </w:pPr>
    </w:p>
    <w:p w14:paraId="20D655BE">
      <w:pPr>
        <w:pStyle w:val="3"/>
        <w:bidi w:val="0"/>
      </w:pPr>
      <w:bookmarkStart w:id="415" w:name="_bookmark286"/>
      <w:bookmarkEnd w:id="415"/>
      <w:bookmarkStart w:id="416" w:name="_Toc27954"/>
      <w:r>
        <w:t>第九章</w:t>
      </w:r>
      <w:r>
        <w:tab/>
      </w:r>
      <w:r>
        <w:t>投标文件格式</w:t>
      </w:r>
      <w:bookmarkEnd w:id="416"/>
    </w:p>
    <w:p w14:paraId="3BD5B9C2">
      <w:pPr>
        <w:pStyle w:val="12"/>
        <w:rPr>
          <w:rFonts w:ascii="黑体"/>
          <w:b/>
          <w:sz w:val="20"/>
        </w:rPr>
      </w:pPr>
    </w:p>
    <w:p w14:paraId="0F6B4530">
      <w:pPr>
        <w:pStyle w:val="12"/>
        <w:rPr>
          <w:rFonts w:ascii="黑体"/>
          <w:b/>
          <w:sz w:val="20"/>
        </w:rPr>
      </w:pPr>
    </w:p>
    <w:p w14:paraId="0696F68E">
      <w:pPr>
        <w:pStyle w:val="12"/>
        <w:rPr>
          <w:rFonts w:ascii="黑体"/>
          <w:b/>
          <w:sz w:val="20"/>
        </w:rPr>
      </w:pPr>
    </w:p>
    <w:p w14:paraId="7417EDB5">
      <w:pPr>
        <w:pStyle w:val="12"/>
        <w:rPr>
          <w:rFonts w:ascii="黑体"/>
          <w:b/>
          <w:sz w:val="20"/>
        </w:rPr>
      </w:pPr>
    </w:p>
    <w:p w14:paraId="493DBCFF">
      <w:pPr>
        <w:pStyle w:val="12"/>
        <w:rPr>
          <w:rFonts w:ascii="黑体"/>
          <w:b/>
          <w:sz w:val="20"/>
        </w:rPr>
      </w:pPr>
    </w:p>
    <w:p w14:paraId="2366D77D">
      <w:pPr>
        <w:pStyle w:val="12"/>
        <w:rPr>
          <w:rFonts w:ascii="黑体"/>
          <w:b/>
          <w:sz w:val="20"/>
        </w:rPr>
      </w:pPr>
    </w:p>
    <w:p w14:paraId="0BFC1985">
      <w:pPr>
        <w:pStyle w:val="12"/>
        <w:rPr>
          <w:rFonts w:ascii="黑体"/>
          <w:b/>
          <w:sz w:val="20"/>
        </w:rPr>
      </w:pPr>
    </w:p>
    <w:p w14:paraId="078BB05F">
      <w:pPr>
        <w:pStyle w:val="12"/>
        <w:rPr>
          <w:rFonts w:ascii="黑体"/>
          <w:b/>
          <w:sz w:val="20"/>
        </w:rPr>
      </w:pPr>
    </w:p>
    <w:p w14:paraId="6C854D5D">
      <w:pPr>
        <w:pStyle w:val="12"/>
        <w:rPr>
          <w:rFonts w:ascii="黑体"/>
          <w:b/>
          <w:sz w:val="20"/>
        </w:rPr>
      </w:pPr>
    </w:p>
    <w:p w14:paraId="3281E333">
      <w:pPr>
        <w:pStyle w:val="12"/>
        <w:rPr>
          <w:rFonts w:ascii="黑体"/>
          <w:b/>
          <w:sz w:val="20"/>
        </w:rPr>
      </w:pPr>
    </w:p>
    <w:p w14:paraId="53CC857C">
      <w:pPr>
        <w:pStyle w:val="12"/>
        <w:rPr>
          <w:rFonts w:ascii="黑体"/>
          <w:b/>
          <w:sz w:val="20"/>
        </w:rPr>
      </w:pPr>
    </w:p>
    <w:p w14:paraId="211CA844">
      <w:pPr>
        <w:pStyle w:val="12"/>
        <w:rPr>
          <w:rFonts w:ascii="黑体"/>
          <w:b/>
          <w:sz w:val="20"/>
        </w:rPr>
      </w:pPr>
    </w:p>
    <w:p w14:paraId="3FDD4F61">
      <w:pPr>
        <w:pStyle w:val="12"/>
        <w:rPr>
          <w:rFonts w:ascii="黑体"/>
          <w:b/>
          <w:sz w:val="20"/>
        </w:rPr>
      </w:pPr>
    </w:p>
    <w:p w14:paraId="63D68621">
      <w:pPr>
        <w:pStyle w:val="12"/>
        <w:rPr>
          <w:rFonts w:ascii="黑体"/>
          <w:b/>
          <w:sz w:val="20"/>
        </w:rPr>
      </w:pPr>
    </w:p>
    <w:p w14:paraId="6E17D267">
      <w:pPr>
        <w:pStyle w:val="12"/>
        <w:rPr>
          <w:rFonts w:ascii="黑体"/>
          <w:b/>
          <w:sz w:val="20"/>
        </w:rPr>
      </w:pPr>
    </w:p>
    <w:p w14:paraId="35E8F829">
      <w:pPr>
        <w:pStyle w:val="12"/>
        <w:rPr>
          <w:rFonts w:ascii="黑体"/>
          <w:b/>
          <w:sz w:val="20"/>
        </w:rPr>
      </w:pPr>
    </w:p>
    <w:p w14:paraId="29C0ACB5">
      <w:pPr>
        <w:pStyle w:val="12"/>
        <w:rPr>
          <w:rFonts w:ascii="黑体"/>
          <w:b/>
          <w:sz w:val="20"/>
        </w:rPr>
      </w:pPr>
    </w:p>
    <w:p w14:paraId="5B648FFC">
      <w:pPr>
        <w:pStyle w:val="12"/>
        <w:rPr>
          <w:rFonts w:ascii="黑体"/>
          <w:b/>
          <w:sz w:val="20"/>
        </w:rPr>
      </w:pPr>
    </w:p>
    <w:p w14:paraId="4B1B206D">
      <w:pPr>
        <w:pStyle w:val="12"/>
        <w:rPr>
          <w:rFonts w:ascii="黑体"/>
          <w:b/>
          <w:sz w:val="20"/>
        </w:rPr>
      </w:pPr>
    </w:p>
    <w:p w14:paraId="673423E8">
      <w:pPr>
        <w:pStyle w:val="12"/>
        <w:rPr>
          <w:rFonts w:ascii="黑体"/>
          <w:b/>
          <w:sz w:val="20"/>
        </w:rPr>
      </w:pPr>
    </w:p>
    <w:p w14:paraId="21A5F4C3">
      <w:pPr>
        <w:pStyle w:val="12"/>
        <w:rPr>
          <w:rFonts w:ascii="黑体"/>
          <w:b/>
          <w:sz w:val="20"/>
        </w:rPr>
      </w:pPr>
    </w:p>
    <w:p w14:paraId="7A3479F7">
      <w:pPr>
        <w:pStyle w:val="12"/>
        <w:rPr>
          <w:rFonts w:ascii="黑体"/>
          <w:b/>
          <w:sz w:val="20"/>
        </w:rPr>
      </w:pPr>
    </w:p>
    <w:p w14:paraId="44DBD1EB">
      <w:pPr>
        <w:pStyle w:val="12"/>
        <w:rPr>
          <w:rFonts w:ascii="黑体"/>
          <w:b/>
          <w:sz w:val="20"/>
        </w:rPr>
      </w:pPr>
    </w:p>
    <w:p w14:paraId="0C210D9D">
      <w:pPr>
        <w:pStyle w:val="12"/>
        <w:rPr>
          <w:rFonts w:ascii="黑体"/>
          <w:b/>
          <w:sz w:val="20"/>
        </w:rPr>
      </w:pPr>
    </w:p>
    <w:p w14:paraId="49E2D2C5">
      <w:pPr>
        <w:pStyle w:val="12"/>
        <w:rPr>
          <w:rFonts w:ascii="黑体"/>
          <w:b/>
          <w:sz w:val="20"/>
        </w:rPr>
      </w:pPr>
    </w:p>
    <w:p w14:paraId="33E1C1E9">
      <w:pPr>
        <w:pStyle w:val="12"/>
        <w:rPr>
          <w:rFonts w:ascii="黑体"/>
          <w:b/>
          <w:sz w:val="20"/>
        </w:rPr>
      </w:pPr>
    </w:p>
    <w:p w14:paraId="1F5429E2">
      <w:pPr>
        <w:pStyle w:val="12"/>
        <w:rPr>
          <w:rFonts w:ascii="黑体"/>
          <w:b/>
          <w:sz w:val="20"/>
        </w:rPr>
      </w:pPr>
    </w:p>
    <w:p w14:paraId="76CE96E0">
      <w:pPr>
        <w:pStyle w:val="12"/>
        <w:rPr>
          <w:rFonts w:ascii="黑体"/>
          <w:b/>
          <w:sz w:val="20"/>
        </w:rPr>
      </w:pPr>
    </w:p>
    <w:p w14:paraId="083B3512">
      <w:pPr>
        <w:pStyle w:val="12"/>
        <w:rPr>
          <w:rFonts w:ascii="黑体"/>
          <w:b/>
          <w:sz w:val="20"/>
        </w:rPr>
      </w:pPr>
    </w:p>
    <w:p w14:paraId="289D1292">
      <w:pPr>
        <w:pStyle w:val="12"/>
        <w:rPr>
          <w:rFonts w:ascii="黑体"/>
          <w:b/>
          <w:sz w:val="20"/>
        </w:rPr>
      </w:pPr>
    </w:p>
    <w:p w14:paraId="598F31E5">
      <w:pPr>
        <w:pStyle w:val="12"/>
        <w:rPr>
          <w:sz w:val="20"/>
        </w:rPr>
      </w:pPr>
    </w:p>
    <w:p w14:paraId="0DD45D7A">
      <w:pPr>
        <w:pStyle w:val="12"/>
        <w:rPr>
          <w:sz w:val="20"/>
        </w:rPr>
      </w:pPr>
    </w:p>
    <w:p w14:paraId="01D9DFB9">
      <w:pPr>
        <w:pStyle w:val="12"/>
        <w:rPr>
          <w:sz w:val="20"/>
        </w:rPr>
      </w:pPr>
    </w:p>
    <w:p w14:paraId="199F81D2">
      <w:pPr>
        <w:pStyle w:val="12"/>
        <w:rPr>
          <w:sz w:val="20"/>
        </w:rPr>
      </w:pPr>
    </w:p>
    <w:p w14:paraId="6A799612">
      <w:pPr>
        <w:pStyle w:val="12"/>
        <w:rPr>
          <w:sz w:val="20"/>
        </w:rPr>
        <w:sectPr>
          <w:headerReference r:id="rId68" w:type="default"/>
          <w:footerReference r:id="rId70" w:type="default"/>
          <w:headerReference r:id="rId69" w:type="even"/>
          <w:footerReference r:id="rId71" w:type="even"/>
          <w:pgSz w:w="11910" w:h="16850"/>
          <w:pgMar w:top="1134" w:right="850" w:bottom="1134" w:left="1417" w:header="0" w:footer="907" w:gutter="0"/>
          <w:pgNumType w:fmt="decimal"/>
          <w:cols w:space="720" w:num="1"/>
        </w:sectPr>
      </w:pPr>
    </w:p>
    <w:p w14:paraId="21F8FBE2">
      <w:pPr>
        <w:pStyle w:val="12"/>
        <w:rPr>
          <w:sz w:val="20"/>
        </w:rPr>
      </w:pPr>
    </w:p>
    <w:p w14:paraId="4CFAEA8B">
      <w:pPr>
        <w:pStyle w:val="12"/>
        <w:spacing w:before="10"/>
        <w:rPr>
          <w:sz w:val="15"/>
        </w:rPr>
      </w:pPr>
    </w:p>
    <w:p w14:paraId="1E8A6CB0">
      <w:pPr>
        <w:pStyle w:val="12"/>
        <w:rPr>
          <w:rFonts w:ascii="黑体"/>
          <w:sz w:val="20"/>
        </w:rPr>
      </w:pPr>
    </w:p>
    <w:p w14:paraId="3A4232AC">
      <w:pPr>
        <w:pStyle w:val="12"/>
        <w:rPr>
          <w:rFonts w:ascii="黑体"/>
          <w:sz w:val="20"/>
        </w:rPr>
      </w:pPr>
    </w:p>
    <w:p w14:paraId="2DC2A369">
      <w:pPr>
        <w:pStyle w:val="12"/>
        <w:rPr>
          <w:rFonts w:ascii="黑体"/>
          <w:sz w:val="20"/>
        </w:rPr>
      </w:pPr>
    </w:p>
    <w:p w14:paraId="28D091FB">
      <w:pPr>
        <w:pStyle w:val="12"/>
        <w:spacing w:before="3"/>
        <w:rPr>
          <w:rFonts w:ascii="黑体"/>
          <w:sz w:val="19"/>
        </w:rPr>
      </w:pPr>
    </w:p>
    <w:p w14:paraId="33815141">
      <w:pPr>
        <w:bidi w:val="0"/>
        <w:jc w:val="center"/>
        <w:rPr>
          <w:rFonts w:hint="eastAsia"/>
          <w:sz w:val="28"/>
          <w:szCs w:val="28"/>
        </w:rPr>
      </w:pPr>
      <w:bookmarkStart w:id="417" w:name="_Toc1449"/>
      <w:r>
        <w:rPr>
          <w:rFonts w:hint="eastAsia"/>
          <w:sz w:val="28"/>
          <w:szCs w:val="28"/>
          <w:u w:val="single"/>
          <w:lang w:val="en-US" w:eastAsia="zh-CN"/>
        </w:rPr>
        <w:t xml:space="preserve">                               </w:t>
      </w:r>
      <w:r>
        <w:rPr>
          <w:rFonts w:hint="eastAsia"/>
          <w:sz w:val="28"/>
          <w:szCs w:val="28"/>
        </w:rPr>
        <w:t>（项目名称）施工招标</w:t>
      </w:r>
      <w:bookmarkEnd w:id="417"/>
    </w:p>
    <w:p w14:paraId="75E11D2E">
      <w:pPr>
        <w:pStyle w:val="12"/>
        <w:rPr>
          <w:rFonts w:ascii="黑体"/>
          <w:sz w:val="26"/>
        </w:rPr>
      </w:pPr>
    </w:p>
    <w:p w14:paraId="46C114EE">
      <w:pPr>
        <w:pStyle w:val="12"/>
        <w:rPr>
          <w:rFonts w:ascii="黑体"/>
          <w:sz w:val="26"/>
        </w:rPr>
      </w:pPr>
    </w:p>
    <w:p w14:paraId="042F869F">
      <w:pPr>
        <w:pStyle w:val="12"/>
        <w:rPr>
          <w:rFonts w:ascii="黑体"/>
          <w:sz w:val="26"/>
        </w:rPr>
      </w:pPr>
    </w:p>
    <w:p w14:paraId="5B2266DC">
      <w:pPr>
        <w:pStyle w:val="12"/>
        <w:rPr>
          <w:rFonts w:ascii="黑体"/>
          <w:sz w:val="26"/>
        </w:rPr>
      </w:pPr>
    </w:p>
    <w:p w14:paraId="7431CB53">
      <w:pPr>
        <w:pStyle w:val="12"/>
        <w:rPr>
          <w:rFonts w:ascii="黑体"/>
          <w:sz w:val="26"/>
        </w:rPr>
      </w:pPr>
    </w:p>
    <w:p w14:paraId="5DA3E53C">
      <w:pPr>
        <w:pStyle w:val="12"/>
        <w:rPr>
          <w:rFonts w:ascii="黑体"/>
          <w:sz w:val="26"/>
        </w:rPr>
      </w:pPr>
    </w:p>
    <w:p w14:paraId="0448E441">
      <w:pPr>
        <w:tabs>
          <w:tab w:val="left" w:pos="1440"/>
          <w:tab w:val="left" w:pos="2880"/>
          <w:tab w:val="left" w:pos="4320"/>
        </w:tabs>
        <w:spacing w:before="224"/>
        <w:ind w:left="0" w:right="61" w:firstLine="0"/>
        <w:jc w:val="center"/>
        <w:rPr>
          <w:rFonts w:hint="eastAsia" w:ascii="黑体" w:eastAsia="黑体"/>
          <w:sz w:val="72"/>
        </w:rPr>
      </w:pPr>
      <w:bookmarkStart w:id="418" w:name="_bookmark287"/>
      <w:bookmarkEnd w:id="418"/>
      <w:r>
        <w:rPr>
          <w:rFonts w:hint="eastAsia" w:ascii="黑体" w:eastAsia="黑体"/>
          <w:sz w:val="72"/>
        </w:rPr>
        <w:t>投</w:t>
      </w:r>
      <w:r>
        <w:rPr>
          <w:rFonts w:hint="eastAsia" w:ascii="黑体" w:eastAsia="黑体"/>
          <w:sz w:val="72"/>
        </w:rPr>
        <w:tab/>
      </w:r>
      <w:r>
        <w:rPr>
          <w:rFonts w:hint="eastAsia" w:ascii="黑体" w:eastAsia="黑体"/>
          <w:sz w:val="72"/>
        </w:rPr>
        <w:t>标</w:t>
      </w:r>
      <w:r>
        <w:rPr>
          <w:rFonts w:hint="eastAsia" w:ascii="黑体" w:eastAsia="黑体"/>
          <w:sz w:val="72"/>
        </w:rPr>
        <w:tab/>
      </w:r>
      <w:r>
        <w:rPr>
          <w:rFonts w:hint="eastAsia" w:ascii="黑体" w:eastAsia="黑体"/>
          <w:sz w:val="72"/>
        </w:rPr>
        <w:t>文</w:t>
      </w:r>
      <w:r>
        <w:rPr>
          <w:rFonts w:hint="eastAsia" w:ascii="黑体" w:eastAsia="黑体"/>
          <w:sz w:val="72"/>
        </w:rPr>
        <w:tab/>
      </w:r>
      <w:r>
        <w:rPr>
          <w:rFonts w:hint="eastAsia" w:ascii="黑体" w:eastAsia="黑体"/>
          <w:sz w:val="72"/>
        </w:rPr>
        <w:t>件</w:t>
      </w:r>
    </w:p>
    <w:p w14:paraId="36A726AE">
      <w:pPr>
        <w:spacing w:before="478"/>
        <w:ind w:right="61"/>
        <w:jc w:val="center"/>
        <w:outlineLvl w:val="9"/>
      </w:pPr>
      <w:r>
        <w:t>（商务及技术文件）</w:t>
      </w:r>
    </w:p>
    <w:p w14:paraId="51A37239">
      <w:pPr>
        <w:pStyle w:val="12"/>
        <w:rPr>
          <w:rFonts w:ascii="黑体"/>
          <w:sz w:val="32"/>
        </w:rPr>
      </w:pPr>
    </w:p>
    <w:p w14:paraId="12958025">
      <w:pPr>
        <w:pStyle w:val="12"/>
        <w:rPr>
          <w:rFonts w:ascii="黑体"/>
          <w:sz w:val="32"/>
        </w:rPr>
      </w:pPr>
    </w:p>
    <w:p w14:paraId="2D8E1BEB">
      <w:pPr>
        <w:pStyle w:val="12"/>
        <w:rPr>
          <w:rFonts w:ascii="黑体"/>
          <w:sz w:val="32"/>
        </w:rPr>
      </w:pPr>
    </w:p>
    <w:p w14:paraId="6F988D51">
      <w:pPr>
        <w:pStyle w:val="12"/>
        <w:rPr>
          <w:rFonts w:ascii="黑体"/>
          <w:sz w:val="32"/>
        </w:rPr>
      </w:pPr>
    </w:p>
    <w:p w14:paraId="3B7E508F">
      <w:pPr>
        <w:pStyle w:val="12"/>
        <w:rPr>
          <w:rFonts w:ascii="黑体"/>
          <w:sz w:val="32"/>
        </w:rPr>
      </w:pPr>
    </w:p>
    <w:p w14:paraId="0FAB1A5A">
      <w:pPr>
        <w:pStyle w:val="12"/>
        <w:rPr>
          <w:rFonts w:ascii="黑体"/>
          <w:sz w:val="32"/>
        </w:rPr>
      </w:pPr>
    </w:p>
    <w:p w14:paraId="2034DBBF">
      <w:pPr>
        <w:pStyle w:val="12"/>
        <w:rPr>
          <w:rFonts w:ascii="黑体"/>
          <w:sz w:val="32"/>
        </w:rPr>
      </w:pPr>
    </w:p>
    <w:p w14:paraId="048E348A">
      <w:pPr>
        <w:pStyle w:val="12"/>
        <w:rPr>
          <w:rFonts w:ascii="黑体"/>
          <w:sz w:val="32"/>
        </w:rPr>
      </w:pPr>
    </w:p>
    <w:p w14:paraId="13BCBAA0">
      <w:pPr>
        <w:pStyle w:val="12"/>
        <w:spacing w:before="12"/>
        <w:rPr>
          <w:rFonts w:ascii="黑体"/>
          <w:sz w:val="40"/>
        </w:rPr>
      </w:pPr>
    </w:p>
    <w:p w14:paraId="3AD38CA3">
      <w:pPr>
        <w:tabs>
          <w:tab w:val="left" w:pos="5880"/>
        </w:tabs>
        <w:spacing w:before="0"/>
        <w:ind w:left="0" w:right="58" w:firstLine="0"/>
        <w:jc w:val="center"/>
        <w:rPr>
          <w:rFonts w:hint="eastAsia" w:ascii="黑体" w:eastAsia="黑体"/>
          <w:sz w:val="28"/>
        </w:rPr>
      </w:pPr>
      <w:r>
        <w:rPr>
          <w:rFonts w:hint="eastAsia" w:ascii="黑体" w:eastAsia="黑体"/>
          <w:sz w:val="28"/>
        </w:rPr>
        <w:t>投标人：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（盖单</w:t>
      </w:r>
      <w:r>
        <w:rPr>
          <w:rFonts w:hint="eastAsia" w:ascii="黑体" w:eastAsia="黑体"/>
          <w:spacing w:val="-3"/>
          <w:sz w:val="28"/>
        </w:rPr>
        <w:t>位</w:t>
      </w:r>
      <w:r>
        <w:rPr>
          <w:rFonts w:hint="eastAsia" w:ascii="黑体" w:eastAsia="黑体"/>
          <w:sz w:val="28"/>
        </w:rPr>
        <w:t>章）</w:t>
      </w:r>
    </w:p>
    <w:p w14:paraId="2925477B">
      <w:pPr>
        <w:pStyle w:val="12"/>
        <w:rPr>
          <w:rFonts w:ascii="黑体"/>
          <w:sz w:val="20"/>
        </w:rPr>
      </w:pPr>
    </w:p>
    <w:p w14:paraId="7E194587">
      <w:pPr>
        <w:pStyle w:val="12"/>
        <w:spacing w:before="12"/>
        <w:rPr>
          <w:rFonts w:ascii="黑体"/>
          <w:sz w:val="15"/>
        </w:rPr>
      </w:pPr>
    </w:p>
    <w:p w14:paraId="34F9114B">
      <w:pPr>
        <w:tabs>
          <w:tab w:val="left" w:pos="1118"/>
          <w:tab w:val="left" w:pos="2519"/>
          <w:tab w:val="left" w:pos="4058"/>
        </w:tabs>
        <w:spacing w:before="62"/>
        <w:ind w:left="0" w:right="60" w:firstLine="0"/>
        <w:jc w:val="center"/>
        <w:rPr>
          <w:rFonts w:hint="eastAsia" w:ascii="黑体" w:eastAsia="黑体"/>
          <w:sz w:val="28"/>
        </w:rPr>
      </w:pPr>
      <w:r>
        <w:rPr>
          <w:rFonts w:ascii="Times New Roman" w:eastAsia="Times New Roman"/>
          <w:w w:val="100"/>
          <w:sz w:val="28"/>
          <w:u w:val="single"/>
        </w:rPr>
        <w:t xml:space="preserve"> </w:t>
      </w:r>
      <w:r>
        <w:rPr>
          <w:rFonts w:ascii="Times New Roman" w:eastAsia="Times New Roman"/>
          <w:sz w:val="28"/>
          <w:u w:val="single"/>
        </w:rPr>
        <w:tab/>
      </w:r>
      <w:r>
        <w:rPr>
          <w:rFonts w:hint="eastAsia" w:ascii="黑体" w:eastAsia="黑体"/>
          <w:sz w:val="28"/>
        </w:rPr>
        <w:t>年</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月</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日</w:t>
      </w:r>
    </w:p>
    <w:p w14:paraId="2DBA1B03">
      <w:pPr>
        <w:spacing w:after="0"/>
        <w:jc w:val="center"/>
        <w:rPr>
          <w:rFonts w:hint="eastAsia" w:ascii="黑体" w:eastAsia="黑体"/>
          <w:sz w:val="28"/>
        </w:rPr>
        <w:sectPr>
          <w:footerReference r:id="rId72" w:type="default"/>
          <w:footerReference r:id="rId73" w:type="even"/>
          <w:pgSz w:w="11910" w:h="16850"/>
          <w:pgMar w:top="1134" w:right="850" w:bottom="1134" w:left="1417" w:header="0" w:footer="907" w:gutter="0"/>
          <w:pgNumType w:fmt="decimal"/>
          <w:cols w:space="720" w:num="1"/>
        </w:sectPr>
      </w:pPr>
    </w:p>
    <w:p w14:paraId="63701DAB">
      <w:pPr>
        <w:pStyle w:val="12"/>
        <w:spacing w:before="8"/>
        <w:rPr>
          <w:rFonts w:ascii="黑体"/>
          <w:sz w:val="22"/>
        </w:rPr>
      </w:pPr>
    </w:p>
    <w:p w14:paraId="5A3EE0A5">
      <w:pPr>
        <w:tabs>
          <w:tab w:val="left" w:pos="1049"/>
        </w:tabs>
        <w:spacing w:before="58" w:line="360" w:lineRule="auto"/>
        <w:ind w:left="0" w:right="60" w:firstLine="0"/>
        <w:jc w:val="center"/>
        <w:rPr>
          <w:rFonts w:hint="eastAsia" w:ascii="黑体" w:eastAsia="黑体"/>
          <w:sz w:val="21"/>
          <w:szCs w:val="21"/>
        </w:rPr>
      </w:pPr>
      <w:bookmarkStart w:id="419" w:name="_bookmark288"/>
      <w:bookmarkEnd w:id="419"/>
      <w:r>
        <w:rPr>
          <w:rFonts w:hint="eastAsia" w:ascii="黑体" w:eastAsia="黑体"/>
          <w:sz w:val="21"/>
          <w:szCs w:val="21"/>
        </w:rPr>
        <w:t>目</w:t>
      </w:r>
      <w:r>
        <w:rPr>
          <w:rFonts w:hint="eastAsia" w:ascii="黑体" w:eastAsia="黑体"/>
          <w:sz w:val="21"/>
          <w:szCs w:val="21"/>
        </w:rPr>
        <w:tab/>
      </w:r>
      <w:r>
        <w:rPr>
          <w:rFonts w:hint="eastAsia" w:ascii="黑体" w:eastAsia="黑体"/>
          <w:sz w:val="21"/>
          <w:szCs w:val="21"/>
        </w:rPr>
        <w:t>录</w:t>
      </w:r>
    </w:p>
    <w:p w14:paraId="5F4C046F">
      <w:pPr>
        <w:pStyle w:val="12"/>
        <w:spacing w:line="360" w:lineRule="auto"/>
        <w:rPr>
          <w:rFonts w:ascii="黑体"/>
          <w:sz w:val="21"/>
          <w:szCs w:val="21"/>
        </w:rPr>
      </w:pPr>
    </w:p>
    <w:p w14:paraId="7F751666">
      <w:pPr>
        <w:pStyle w:val="12"/>
        <w:spacing w:before="2" w:line="360" w:lineRule="auto"/>
        <w:rPr>
          <w:rFonts w:ascii="黑体"/>
          <w:sz w:val="21"/>
          <w:szCs w:val="21"/>
        </w:rPr>
      </w:pPr>
    </w:p>
    <w:p w14:paraId="7D0A2779">
      <w:pPr>
        <w:pStyle w:val="12"/>
        <w:spacing w:line="360" w:lineRule="auto"/>
        <w:ind w:left="1844"/>
        <w:rPr>
          <w:sz w:val="21"/>
          <w:szCs w:val="21"/>
        </w:rPr>
      </w:pPr>
      <w:r>
        <w:rPr>
          <w:sz w:val="21"/>
          <w:szCs w:val="21"/>
        </w:rPr>
        <w:t xml:space="preserve">一、投标函及投标函附录 </w:t>
      </w:r>
    </w:p>
    <w:p w14:paraId="3E00FC8A">
      <w:pPr>
        <w:pStyle w:val="12"/>
        <w:spacing w:line="360" w:lineRule="auto"/>
        <w:ind w:left="1844"/>
        <w:rPr>
          <w:rFonts w:ascii="宋体" w:hAnsi="宋体" w:eastAsia="宋体" w:cs="宋体"/>
          <w:sz w:val="21"/>
          <w:szCs w:val="21"/>
        </w:rPr>
      </w:pPr>
      <w:r>
        <w:rPr>
          <w:rFonts w:ascii="宋体" w:hAnsi="宋体" w:eastAsia="宋体" w:cs="宋体"/>
          <w:sz w:val="21"/>
          <w:szCs w:val="21"/>
        </w:rPr>
        <w:t>二、授权委托书或法定代表人身份证明</w:t>
      </w:r>
    </w:p>
    <w:p w14:paraId="5F7A9DA6">
      <w:pPr>
        <w:pStyle w:val="12"/>
        <w:spacing w:line="360" w:lineRule="auto"/>
        <w:ind w:left="1844"/>
        <w:rPr>
          <w:rFonts w:ascii="宋体" w:hAnsi="宋体" w:eastAsia="宋体" w:cs="宋体"/>
          <w:sz w:val="21"/>
          <w:szCs w:val="21"/>
        </w:rPr>
      </w:pPr>
      <w:r>
        <w:rPr>
          <w:rFonts w:hint="eastAsia" w:ascii="宋体" w:hAnsi="宋体" w:eastAsia="宋体" w:cs="宋体"/>
          <w:sz w:val="21"/>
          <w:szCs w:val="21"/>
          <w:lang w:val="en-US" w:eastAsia="zh-CN"/>
        </w:rPr>
        <w:t>三、</w:t>
      </w:r>
      <w:r>
        <w:rPr>
          <w:rFonts w:ascii="宋体" w:hAnsi="宋体" w:eastAsia="宋体" w:cs="宋体"/>
          <w:sz w:val="21"/>
          <w:szCs w:val="21"/>
        </w:rPr>
        <w:t>联合体协议书</w:t>
      </w:r>
      <w:r>
        <w:rPr>
          <w:rFonts w:hint="eastAsia" w:ascii="宋体" w:hAnsi="宋体" w:eastAsia="宋体" w:cs="宋体"/>
          <w:sz w:val="21"/>
          <w:szCs w:val="21"/>
        </w:rPr>
        <w:t>(</w:t>
      </w:r>
      <w:r>
        <w:rPr>
          <w:rFonts w:hint="eastAsia" w:cs="宋体"/>
          <w:sz w:val="21"/>
          <w:szCs w:val="21"/>
          <w:lang w:eastAsia="zh-CN"/>
        </w:rPr>
        <w:t>如有</w:t>
      </w:r>
      <w:r>
        <w:rPr>
          <w:rFonts w:hint="eastAsia" w:ascii="宋体" w:hAnsi="宋体" w:eastAsia="宋体" w:cs="宋体"/>
          <w:sz w:val="21"/>
          <w:szCs w:val="21"/>
        </w:rPr>
        <w:t>）</w:t>
      </w:r>
      <w:r>
        <w:rPr>
          <w:rFonts w:ascii="宋体" w:hAnsi="宋体" w:eastAsia="宋体" w:cs="宋体"/>
          <w:sz w:val="21"/>
          <w:szCs w:val="21"/>
        </w:rPr>
        <w:t xml:space="preserve"> </w:t>
      </w:r>
    </w:p>
    <w:p w14:paraId="1447E3EA">
      <w:pPr>
        <w:pStyle w:val="12"/>
        <w:spacing w:line="360" w:lineRule="auto"/>
        <w:ind w:left="1844"/>
        <w:rPr>
          <w:rFonts w:ascii="宋体" w:hAnsi="宋体" w:eastAsia="宋体" w:cs="宋体"/>
          <w:sz w:val="21"/>
          <w:szCs w:val="21"/>
        </w:rPr>
      </w:pPr>
      <w:r>
        <w:rPr>
          <w:rFonts w:ascii="宋体" w:hAnsi="宋体" w:eastAsia="宋体" w:cs="宋体"/>
          <w:sz w:val="21"/>
          <w:szCs w:val="21"/>
        </w:rPr>
        <w:t xml:space="preserve">四、投标保证金  </w:t>
      </w:r>
    </w:p>
    <w:p w14:paraId="62666C35">
      <w:pPr>
        <w:pStyle w:val="12"/>
        <w:spacing w:line="360" w:lineRule="auto"/>
        <w:ind w:left="1844"/>
        <w:rPr>
          <w:rFonts w:ascii="宋体" w:hAnsi="宋体" w:eastAsia="宋体" w:cs="宋体"/>
          <w:sz w:val="21"/>
          <w:szCs w:val="21"/>
        </w:rPr>
      </w:pPr>
      <w:r>
        <w:rPr>
          <w:rFonts w:ascii="宋体" w:hAnsi="宋体" w:eastAsia="宋体" w:cs="宋体"/>
          <w:sz w:val="21"/>
          <w:szCs w:val="21"/>
        </w:rPr>
        <w:t>五、施工组织设计</w:t>
      </w:r>
    </w:p>
    <w:p w14:paraId="430E7714">
      <w:pPr>
        <w:pStyle w:val="12"/>
        <w:spacing w:line="360" w:lineRule="auto"/>
        <w:ind w:left="1844"/>
        <w:rPr>
          <w:rFonts w:ascii="宋体" w:hAnsi="宋体" w:eastAsia="宋体" w:cs="宋体"/>
          <w:sz w:val="21"/>
          <w:szCs w:val="21"/>
        </w:rPr>
      </w:pPr>
      <w:r>
        <w:rPr>
          <w:rFonts w:ascii="宋体" w:hAnsi="宋体" w:eastAsia="宋体" w:cs="宋体"/>
          <w:sz w:val="21"/>
          <w:szCs w:val="21"/>
        </w:rPr>
        <w:t xml:space="preserve">六、项目管理机构 </w:t>
      </w:r>
    </w:p>
    <w:p w14:paraId="26086E60">
      <w:pPr>
        <w:pStyle w:val="12"/>
        <w:spacing w:line="360" w:lineRule="auto"/>
        <w:ind w:left="1844"/>
        <w:rPr>
          <w:rFonts w:ascii="宋体" w:hAnsi="宋体" w:eastAsia="宋体" w:cs="宋体"/>
          <w:sz w:val="21"/>
          <w:szCs w:val="21"/>
        </w:rPr>
      </w:pPr>
      <w:r>
        <w:rPr>
          <w:rFonts w:ascii="宋体" w:hAnsi="宋体" w:eastAsia="宋体" w:cs="宋体"/>
          <w:sz w:val="21"/>
          <w:szCs w:val="21"/>
        </w:rPr>
        <w:t>七、拟分包项目情况表</w:t>
      </w:r>
    </w:p>
    <w:p w14:paraId="3E47F8E2">
      <w:pPr>
        <w:pStyle w:val="12"/>
        <w:spacing w:line="360" w:lineRule="auto"/>
        <w:ind w:left="1844"/>
        <w:rPr>
          <w:rFonts w:ascii="宋体" w:hAnsi="宋体" w:eastAsia="宋体" w:cs="宋体"/>
          <w:sz w:val="21"/>
          <w:szCs w:val="21"/>
        </w:rPr>
      </w:pPr>
      <w:r>
        <w:rPr>
          <w:rFonts w:ascii="宋体" w:hAnsi="宋体" w:eastAsia="宋体" w:cs="宋体"/>
          <w:sz w:val="21"/>
          <w:szCs w:val="21"/>
        </w:rPr>
        <w:t xml:space="preserve">八、资格审查资料 </w:t>
      </w:r>
    </w:p>
    <w:p w14:paraId="5DA44025">
      <w:pPr>
        <w:pStyle w:val="12"/>
        <w:spacing w:line="360" w:lineRule="auto"/>
        <w:ind w:left="1844"/>
        <w:rPr>
          <w:rFonts w:ascii="宋体" w:hAnsi="宋体" w:eastAsia="宋体" w:cs="宋体"/>
          <w:sz w:val="21"/>
          <w:szCs w:val="21"/>
        </w:rPr>
      </w:pPr>
      <w:r>
        <w:rPr>
          <w:rFonts w:ascii="宋体" w:hAnsi="宋体" w:eastAsia="宋体" w:cs="宋体"/>
          <w:sz w:val="21"/>
          <w:szCs w:val="21"/>
        </w:rPr>
        <w:t xml:space="preserve">九、其他资料 </w:t>
      </w:r>
    </w:p>
    <w:p w14:paraId="18A7FBD5">
      <w:pPr>
        <w:spacing w:after="0" w:line="360" w:lineRule="auto"/>
        <w:rPr>
          <w:sz w:val="21"/>
          <w:szCs w:val="21"/>
        </w:rPr>
        <w:sectPr>
          <w:headerReference r:id="rId74" w:type="default"/>
          <w:footerReference r:id="rId75" w:type="default"/>
          <w:pgSz w:w="11910" w:h="16850"/>
          <w:pgMar w:top="1134" w:right="850" w:bottom="1134" w:left="1417" w:header="0" w:footer="907" w:gutter="0"/>
          <w:pgNumType w:fmt="decimal"/>
          <w:cols w:space="720" w:num="1"/>
        </w:sectPr>
      </w:pPr>
    </w:p>
    <w:p w14:paraId="66812401">
      <w:pPr>
        <w:pStyle w:val="4"/>
        <w:bidi w:val="0"/>
        <w:rPr>
          <w:rFonts w:ascii="黑体"/>
          <w:sz w:val="28"/>
        </w:rPr>
      </w:pPr>
      <w:bookmarkStart w:id="420" w:name="_bookmark289"/>
      <w:bookmarkEnd w:id="420"/>
      <w:bookmarkStart w:id="421" w:name="_Toc11800"/>
      <w:r>
        <w:rPr>
          <w:rFonts w:hint="eastAsia"/>
          <w:sz w:val="32"/>
          <w:szCs w:val="32"/>
        </w:rPr>
        <w:t>一、投标函及投标函附录</w:t>
      </w:r>
      <w:bookmarkEnd w:id="421"/>
    </w:p>
    <w:p w14:paraId="3F1DECC8">
      <w:pPr>
        <w:pStyle w:val="5"/>
        <w:bidi w:val="0"/>
        <w:spacing w:line="360" w:lineRule="auto"/>
        <w:rPr>
          <w:rFonts w:ascii="黑体"/>
          <w:sz w:val="21"/>
          <w:szCs w:val="21"/>
        </w:rPr>
      </w:pPr>
      <w:bookmarkStart w:id="422" w:name="_bookmark290"/>
      <w:bookmarkEnd w:id="422"/>
      <w:r>
        <w:rPr>
          <w:rFonts w:hint="eastAsia"/>
          <w:sz w:val="21"/>
          <w:szCs w:val="21"/>
        </w:rPr>
        <w:t>（一） 投 标 函</w:t>
      </w:r>
    </w:p>
    <w:p w14:paraId="50A7D729">
      <w:pPr>
        <w:pStyle w:val="12"/>
        <w:tabs>
          <w:tab w:val="left" w:pos="3224"/>
        </w:tabs>
        <w:spacing w:before="74" w:line="360" w:lineRule="auto"/>
        <w:ind w:left="344"/>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（招标人名称</w:t>
      </w:r>
      <w:r>
        <w:rPr>
          <w:spacing w:val="-120"/>
          <w:sz w:val="21"/>
          <w:szCs w:val="21"/>
        </w:rPr>
        <w:t>）</w:t>
      </w:r>
      <w:r>
        <w:rPr>
          <w:sz w:val="21"/>
          <w:szCs w:val="21"/>
        </w:rPr>
        <w:t>：</w:t>
      </w:r>
    </w:p>
    <w:p w14:paraId="5CCD09A8">
      <w:pPr>
        <w:pStyle w:val="41"/>
        <w:numPr>
          <w:ilvl w:val="0"/>
          <w:numId w:val="10"/>
        </w:numPr>
        <w:tabs>
          <w:tab w:val="left" w:pos="1066"/>
          <w:tab w:val="left" w:pos="4924"/>
          <w:tab w:val="left" w:pos="7454"/>
        </w:tabs>
        <w:spacing w:before="173" w:after="0" w:line="360" w:lineRule="auto"/>
        <w:ind w:left="224" w:right="284" w:firstLine="479"/>
        <w:jc w:val="both"/>
        <w:rPr>
          <w:rFonts w:hint="eastAsia" w:ascii="宋体" w:hAnsi="宋体" w:eastAsia="宋体" w:cs="宋体"/>
          <w:sz w:val="21"/>
          <w:szCs w:val="21"/>
        </w:rPr>
      </w:pPr>
      <w:r>
        <w:rPr>
          <w:rFonts w:hint="eastAsia" w:ascii="宋体" w:hAnsi="宋体" w:eastAsia="宋体" w:cs="宋体"/>
          <w:sz w:val="21"/>
          <w:szCs w:val="21"/>
        </w:rPr>
        <w:t>我方已仔细研究</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（项目名称）施工招</w:t>
      </w:r>
      <w:r>
        <w:rPr>
          <w:rFonts w:hint="eastAsia" w:ascii="宋体" w:hAnsi="宋体" w:eastAsia="宋体" w:cs="宋体"/>
          <w:spacing w:val="-14"/>
          <w:sz w:val="21"/>
          <w:szCs w:val="21"/>
        </w:rPr>
        <w:t>标</w:t>
      </w:r>
      <w:r>
        <w:rPr>
          <w:rFonts w:hint="eastAsia" w:ascii="宋体" w:hAnsi="宋体" w:eastAsia="宋体" w:cs="宋体"/>
          <w:sz w:val="21"/>
          <w:szCs w:val="21"/>
        </w:rPr>
        <w:t>文件的全部内</w:t>
      </w:r>
      <w:r>
        <w:rPr>
          <w:rFonts w:hint="eastAsia" w:ascii="宋体" w:hAnsi="宋体" w:eastAsia="宋体" w:cs="宋体"/>
          <w:spacing w:val="-29"/>
          <w:sz w:val="21"/>
          <w:szCs w:val="21"/>
        </w:rPr>
        <w:t>容</w:t>
      </w:r>
      <w:r>
        <w:rPr>
          <w:rFonts w:hint="eastAsia" w:ascii="宋体" w:hAnsi="宋体" w:eastAsia="宋体" w:cs="宋体"/>
          <w:sz w:val="21"/>
          <w:szCs w:val="21"/>
        </w:rPr>
        <w:t>（含补遗书第</w:t>
      </w:r>
      <w:r>
        <w:rPr>
          <w:rFonts w:hint="eastAsia" w:ascii="宋体" w:hAnsi="宋体" w:eastAsia="宋体" w:cs="宋体"/>
          <w:sz w:val="21"/>
          <w:szCs w:val="21"/>
          <w:u w:val="single"/>
        </w:rPr>
        <w:t xml:space="preserve">  </w:t>
      </w:r>
      <w:r>
        <w:rPr>
          <w:rFonts w:hint="eastAsia" w:ascii="宋体" w:hAnsi="宋体" w:eastAsia="宋体" w:cs="宋体"/>
          <w:sz w:val="21"/>
          <w:szCs w:val="21"/>
        </w:rPr>
        <w:t>号至第</w:t>
      </w:r>
      <w:r>
        <w:rPr>
          <w:rFonts w:hint="eastAsia" w:ascii="宋体" w:hAnsi="宋体" w:eastAsia="宋体" w:cs="宋体"/>
          <w:sz w:val="21"/>
          <w:szCs w:val="21"/>
          <w:u w:val="single"/>
        </w:rPr>
        <w:t xml:space="preserve">  </w:t>
      </w:r>
      <w:r>
        <w:rPr>
          <w:rFonts w:hint="eastAsia" w:ascii="宋体" w:hAnsi="宋体" w:eastAsia="宋体" w:cs="宋体"/>
          <w:spacing w:val="1"/>
          <w:sz w:val="21"/>
          <w:szCs w:val="21"/>
        </w:rPr>
        <w:t xml:space="preserve"> </w:t>
      </w:r>
      <w:r>
        <w:rPr>
          <w:rFonts w:hint="eastAsia" w:ascii="宋体" w:hAnsi="宋体" w:eastAsia="宋体" w:cs="宋体"/>
          <w:sz w:val="21"/>
          <w:szCs w:val="21"/>
        </w:rPr>
        <w:t>号</w:t>
      </w:r>
      <w:r>
        <w:rPr>
          <w:rFonts w:hint="eastAsia" w:ascii="宋体" w:hAnsi="宋体" w:eastAsia="宋体" w:cs="宋体"/>
          <w:spacing w:val="-75"/>
          <w:sz w:val="21"/>
          <w:szCs w:val="21"/>
        </w:rPr>
        <w:t>），</w:t>
      </w:r>
      <w:r>
        <w:rPr>
          <w:rFonts w:hint="eastAsia" w:ascii="宋体" w:hAnsi="宋体" w:eastAsia="宋体" w:cs="宋体"/>
          <w:sz w:val="21"/>
          <w:szCs w:val="21"/>
        </w:rPr>
        <w:t>在考察工程现场后</w:t>
      </w:r>
      <w:r>
        <w:rPr>
          <w:rFonts w:hint="eastAsia" w:ascii="宋体" w:hAnsi="宋体" w:eastAsia="宋体" w:cs="宋体"/>
          <w:spacing w:val="-29"/>
          <w:sz w:val="21"/>
          <w:szCs w:val="21"/>
        </w:rPr>
        <w:t>，</w:t>
      </w:r>
      <w:r>
        <w:rPr>
          <w:rFonts w:hint="eastAsia" w:ascii="宋体" w:hAnsi="宋体" w:eastAsia="宋体" w:cs="宋体"/>
          <w:sz w:val="21"/>
          <w:szCs w:val="21"/>
        </w:rPr>
        <w:t>愿意以第二</w:t>
      </w:r>
      <w:r>
        <w:rPr>
          <w:rFonts w:hint="eastAsia" w:ascii="宋体" w:hAnsi="宋体" w:eastAsia="宋体" w:cs="宋体"/>
          <w:spacing w:val="-15"/>
          <w:sz w:val="21"/>
          <w:szCs w:val="21"/>
        </w:rPr>
        <w:t>个</w:t>
      </w:r>
      <w:r>
        <w:rPr>
          <w:rFonts w:hint="eastAsia" w:ascii="宋体" w:hAnsi="宋体" w:eastAsia="宋体" w:cs="宋体"/>
          <w:sz w:val="21"/>
          <w:szCs w:val="21"/>
        </w:rPr>
        <w:t>信封（报价文件）中的投标总报价（或根据招标文件规定修正核实后确定的另一金额</w:t>
      </w:r>
      <w:r>
        <w:rPr>
          <w:rFonts w:hint="eastAsia" w:ascii="宋体" w:hAnsi="宋体" w:eastAsia="宋体" w:cs="宋体"/>
          <w:spacing w:val="-121"/>
          <w:sz w:val="21"/>
          <w:szCs w:val="21"/>
        </w:rPr>
        <w:t>）</w:t>
      </w:r>
      <w:r>
        <w:rPr>
          <w:rFonts w:hint="eastAsia" w:ascii="宋体" w:hAnsi="宋体" w:eastAsia="宋体" w:cs="宋体"/>
          <w:sz w:val="21"/>
          <w:szCs w:val="21"/>
        </w:rPr>
        <w:t>，按合同约定实施和完成承包工程，修补工程中的任何缺陷。</w:t>
      </w:r>
    </w:p>
    <w:p w14:paraId="4ED9C13A">
      <w:pPr>
        <w:pStyle w:val="41"/>
        <w:numPr>
          <w:ilvl w:val="0"/>
          <w:numId w:val="10"/>
        </w:numPr>
        <w:tabs>
          <w:tab w:val="left" w:pos="1066"/>
        </w:tabs>
        <w:spacing w:before="1" w:after="0" w:line="360" w:lineRule="auto"/>
        <w:ind w:left="1065" w:right="0" w:hanging="362"/>
        <w:jc w:val="left"/>
        <w:rPr>
          <w:rFonts w:hint="eastAsia" w:ascii="宋体" w:hAnsi="宋体" w:eastAsia="宋体" w:cs="宋体"/>
          <w:sz w:val="21"/>
          <w:szCs w:val="21"/>
        </w:rPr>
      </w:pPr>
      <w:r>
        <w:rPr>
          <w:rFonts w:hint="eastAsia" w:ascii="宋体" w:hAnsi="宋体" w:eastAsia="宋体" w:cs="宋体"/>
          <w:sz w:val="21"/>
          <w:szCs w:val="21"/>
        </w:rPr>
        <w:t>我方承诺在招标文件规定的投标有效期内不撤销投标文件。</w:t>
      </w:r>
    </w:p>
    <w:p w14:paraId="737105BD">
      <w:pPr>
        <w:pStyle w:val="41"/>
        <w:numPr>
          <w:ilvl w:val="0"/>
          <w:numId w:val="10"/>
        </w:numPr>
        <w:tabs>
          <w:tab w:val="left" w:pos="1066"/>
          <w:tab w:val="left" w:pos="3584"/>
          <w:tab w:val="left" w:pos="6345"/>
          <w:tab w:val="left" w:pos="7785"/>
        </w:tabs>
        <w:spacing w:before="53" w:after="0" w:line="360" w:lineRule="auto"/>
        <w:ind w:left="1065" w:right="0" w:hanging="362"/>
        <w:jc w:val="left"/>
        <w:rPr>
          <w:rFonts w:hint="eastAsia" w:ascii="宋体" w:hAnsi="宋体" w:eastAsia="宋体" w:cs="宋体"/>
          <w:sz w:val="21"/>
          <w:szCs w:val="21"/>
        </w:rPr>
      </w:pPr>
      <w:r>
        <w:rPr>
          <w:rFonts w:hint="eastAsia" w:ascii="宋体" w:hAnsi="宋体" w:eastAsia="宋体" w:cs="宋体"/>
          <w:sz w:val="21"/>
          <w:szCs w:val="21"/>
        </w:rPr>
        <w:t>工程质量：</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交工质量标准、竣工质量标准）</w:t>
      </w:r>
      <w:r>
        <w:rPr>
          <w:rFonts w:hint="eastAsia" w:ascii="宋体" w:hAnsi="宋体" w:eastAsia="宋体" w:cs="宋体"/>
          <w:sz w:val="21"/>
          <w:szCs w:val="21"/>
        </w:rPr>
        <w:t>，安全目标：</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16F44D3A">
      <w:pPr>
        <w:pStyle w:val="41"/>
        <w:numPr>
          <w:ilvl w:val="0"/>
          <w:numId w:val="0"/>
        </w:numPr>
        <w:tabs>
          <w:tab w:val="left" w:pos="1066"/>
          <w:tab w:val="left" w:pos="3584"/>
          <w:tab w:val="left" w:pos="6345"/>
          <w:tab w:val="left" w:pos="7785"/>
        </w:tabs>
        <w:spacing w:before="53" w:after="0" w:line="360" w:lineRule="auto"/>
        <w:ind w:left="703" w:leftChars="0" w:right="0" w:rightChars="0"/>
        <w:jc w:val="left"/>
        <w:rPr>
          <w:rFonts w:hint="eastAsia" w:ascii="宋体" w:hAnsi="宋体" w:eastAsia="宋体" w:cs="宋体"/>
          <w:sz w:val="21"/>
          <w:szCs w:val="21"/>
        </w:rPr>
      </w:pPr>
      <w:r>
        <w:rPr>
          <w:rFonts w:hint="eastAsia" w:ascii="宋体" w:hAnsi="宋体" w:eastAsia="宋体" w:cs="宋体"/>
          <w:sz w:val="21"/>
          <w:szCs w:val="21"/>
        </w:rPr>
        <w:t>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日历天。</w:t>
      </w:r>
    </w:p>
    <w:p w14:paraId="51706FCB">
      <w:pPr>
        <w:pStyle w:val="41"/>
        <w:numPr>
          <w:ilvl w:val="0"/>
          <w:numId w:val="10"/>
        </w:numPr>
        <w:tabs>
          <w:tab w:val="left" w:pos="1066"/>
        </w:tabs>
        <w:spacing w:before="52" w:after="0" w:line="360" w:lineRule="auto"/>
        <w:ind w:left="1065" w:right="0" w:hanging="362"/>
        <w:jc w:val="left"/>
        <w:rPr>
          <w:rFonts w:hint="eastAsia" w:ascii="宋体" w:hAnsi="宋体" w:eastAsia="宋体" w:cs="宋体"/>
          <w:sz w:val="21"/>
          <w:szCs w:val="21"/>
        </w:rPr>
      </w:pPr>
      <w:r>
        <w:rPr>
          <w:rFonts w:hint="eastAsia" w:ascii="宋体" w:hAnsi="宋体" w:eastAsia="宋体" w:cs="宋体"/>
          <w:sz w:val="21"/>
          <w:szCs w:val="21"/>
        </w:rPr>
        <w:t>如我方中标，我方承诺：</w:t>
      </w:r>
    </w:p>
    <w:p w14:paraId="5AFB6E43">
      <w:pPr>
        <w:pStyle w:val="41"/>
        <w:numPr>
          <w:ilvl w:val="0"/>
          <w:numId w:val="0"/>
        </w:numPr>
        <w:tabs>
          <w:tab w:val="left" w:pos="1306"/>
        </w:tabs>
        <w:spacing w:before="53" w:after="0" w:line="360" w:lineRule="auto"/>
        <w:ind w:left="1305" w:leftChars="0" w:right="0" w:rightChars="0" w:hanging="602" w:firstLineChars="0"/>
        <w:jc w:val="left"/>
        <w:rPr>
          <w:rFonts w:hint="eastAsia" w:ascii="宋体" w:hAnsi="宋体" w:eastAsia="宋体" w:cs="宋体"/>
          <w:sz w:val="21"/>
          <w:szCs w:val="21"/>
        </w:rPr>
      </w:pPr>
      <w:r>
        <w:rPr>
          <w:rFonts w:hint="eastAsia" w:ascii="宋体" w:hAnsi="宋体" w:eastAsia="宋体" w:cs="宋体"/>
          <w:w w:val="100"/>
          <w:sz w:val="21"/>
          <w:szCs w:val="21"/>
          <w:lang w:val="zh-CN" w:eastAsia="zh-CN" w:bidi="zh-CN"/>
        </w:rPr>
        <w:t>（1）</w:t>
      </w:r>
      <w:r>
        <w:rPr>
          <w:rFonts w:hint="eastAsia" w:ascii="宋体" w:hAnsi="宋体" w:eastAsia="宋体" w:cs="宋体"/>
          <w:sz w:val="21"/>
          <w:szCs w:val="21"/>
        </w:rPr>
        <w:t>在收到中标通知书后，在中标通知书规定的期限内与你方签订合同；</w:t>
      </w:r>
    </w:p>
    <w:p w14:paraId="07EC19E1">
      <w:pPr>
        <w:pStyle w:val="41"/>
        <w:numPr>
          <w:ilvl w:val="0"/>
          <w:numId w:val="0"/>
        </w:numPr>
        <w:tabs>
          <w:tab w:val="left" w:pos="1306"/>
        </w:tabs>
        <w:spacing w:before="52" w:after="0" w:line="360" w:lineRule="auto"/>
        <w:ind w:left="1305" w:leftChars="0" w:right="0" w:rightChars="0" w:hanging="602" w:firstLineChars="0"/>
        <w:jc w:val="left"/>
        <w:rPr>
          <w:rFonts w:hint="eastAsia" w:ascii="宋体" w:hAnsi="宋体" w:eastAsia="宋体" w:cs="宋体"/>
          <w:sz w:val="21"/>
          <w:szCs w:val="21"/>
        </w:rPr>
      </w:pPr>
      <w:r>
        <w:rPr>
          <w:rFonts w:hint="eastAsia" w:ascii="宋体" w:hAnsi="宋体" w:eastAsia="宋体" w:cs="宋体"/>
          <w:w w:val="100"/>
          <w:sz w:val="21"/>
          <w:szCs w:val="21"/>
          <w:lang w:val="zh-CN" w:eastAsia="zh-CN" w:bidi="zh-CN"/>
        </w:rPr>
        <w:t>（2）</w:t>
      </w:r>
      <w:r>
        <w:rPr>
          <w:rFonts w:hint="eastAsia" w:ascii="宋体" w:hAnsi="宋体" w:eastAsia="宋体" w:cs="宋体"/>
          <w:sz w:val="21"/>
          <w:szCs w:val="21"/>
        </w:rPr>
        <w:t>在签订合同时不向你方提出附加条件；</w:t>
      </w:r>
    </w:p>
    <w:p w14:paraId="699FE8E6">
      <w:pPr>
        <w:pStyle w:val="41"/>
        <w:numPr>
          <w:ilvl w:val="0"/>
          <w:numId w:val="0"/>
        </w:numPr>
        <w:tabs>
          <w:tab w:val="left" w:pos="1306"/>
        </w:tabs>
        <w:spacing w:before="53" w:after="0" w:line="360" w:lineRule="auto"/>
        <w:ind w:left="1305" w:leftChars="0" w:right="0" w:rightChars="0" w:hanging="602" w:firstLineChars="0"/>
        <w:jc w:val="left"/>
        <w:rPr>
          <w:rFonts w:hint="eastAsia" w:ascii="宋体" w:hAnsi="宋体" w:eastAsia="宋体" w:cs="宋体"/>
          <w:sz w:val="21"/>
          <w:szCs w:val="21"/>
        </w:rPr>
      </w:pPr>
      <w:r>
        <w:rPr>
          <w:rFonts w:hint="eastAsia" w:ascii="宋体" w:hAnsi="宋体" w:eastAsia="宋体" w:cs="宋体"/>
          <w:w w:val="100"/>
          <w:sz w:val="21"/>
          <w:szCs w:val="21"/>
          <w:lang w:val="zh-CN" w:eastAsia="zh-CN" w:bidi="zh-CN"/>
        </w:rPr>
        <w:t>（3）</w:t>
      </w:r>
      <w:r>
        <w:rPr>
          <w:rFonts w:hint="eastAsia" w:ascii="宋体" w:hAnsi="宋体" w:eastAsia="宋体" w:cs="宋体"/>
          <w:sz w:val="21"/>
          <w:szCs w:val="21"/>
        </w:rPr>
        <w:t>按照招标文件要求提交履约保证金；</w:t>
      </w:r>
    </w:p>
    <w:p w14:paraId="1D4B8A6D">
      <w:pPr>
        <w:pStyle w:val="41"/>
        <w:numPr>
          <w:ilvl w:val="0"/>
          <w:numId w:val="0"/>
        </w:numPr>
        <w:tabs>
          <w:tab w:val="left" w:pos="1306"/>
        </w:tabs>
        <w:spacing w:before="52" w:after="0" w:line="360" w:lineRule="auto"/>
        <w:ind w:left="1305" w:leftChars="0" w:right="0" w:rightChars="0" w:hanging="602" w:firstLineChars="0"/>
        <w:jc w:val="left"/>
        <w:rPr>
          <w:rFonts w:hint="eastAsia" w:ascii="宋体" w:hAnsi="宋体" w:eastAsia="宋体" w:cs="宋体"/>
          <w:sz w:val="21"/>
          <w:szCs w:val="21"/>
        </w:rPr>
      </w:pPr>
      <w:r>
        <w:rPr>
          <w:rFonts w:hint="eastAsia" w:ascii="宋体" w:hAnsi="宋体" w:eastAsia="宋体" w:cs="宋体"/>
          <w:w w:val="100"/>
          <w:sz w:val="21"/>
          <w:szCs w:val="21"/>
          <w:lang w:val="zh-CN" w:eastAsia="zh-CN" w:bidi="zh-CN"/>
        </w:rPr>
        <w:t>（4）</w:t>
      </w:r>
      <w:r>
        <w:rPr>
          <w:rFonts w:hint="eastAsia" w:ascii="宋体" w:hAnsi="宋体" w:eastAsia="宋体" w:cs="宋体"/>
          <w:sz w:val="21"/>
          <w:szCs w:val="21"/>
        </w:rPr>
        <w:t>在合同约定的期限内完成合同规定的全部义务；</w:t>
      </w:r>
    </w:p>
    <w:p w14:paraId="79B66411">
      <w:pPr>
        <w:pStyle w:val="41"/>
        <w:numPr>
          <w:ilvl w:val="0"/>
          <w:numId w:val="0"/>
        </w:numPr>
        <w:tabs>
          <w:tab w:val="left" w:pos="1306"/>
        </w:tabs>
        <w:spacing w:before="53" w:after="0" w:line="360" w:lineRule="auto"/>
        <w:ind w:left="224" w:leftChars="0" w:right="285" w:rightChars="0" w:firstLine="479" w:firstLineChars="0"/>
        <w:jc w:val="both"/>
        <w:rPr>
          <w:rFonts w:hint="eastAsia" w:ascii="宋体" w:hAnsi="宋体" w:eastAsia="宋体" w:cs="宋体"/>
          <w:sz w:val="21"/>
          <w:szCs w:val="21"/>
        </w:rPr>
      </w:pPr>
      <w:r>
        <w:rPr>
          <w:rFonts w:hint="eastAsia" w:ascii="宋体" w:hAnsi="宋体" w:eastAsia="宋体" w:cs="宋体"/>
          <w:w w:val="100"/>
          <w:sz w:val="21"/>
          <w:szCs w:val="21"/>
          <w:lang w:val="zh-CN" w:eastAsia="zh-CN" w:bidi="zh-CN"/>
        </w:rPr>
        <w:t>（5）</w:t>
      </w:r>
      <w:r>
        <w:rPr>
          <w:rFonts w:hint="eastAsia" w:ascii="宋体" w:hAnsi="宋体" w:eastAsia="宋体" w:cs="宋体"/>
          <w:spacing w:val="-3"/>
          <w:sz w:val="21"/>
          <w:szCs w:val="21"/>
        </w:rPr>
        <w:t>在你方和我方进行合同谈判之前，我方将按照合同附件提出的最低要求</w:t>
      </w:r>
      <w:r>
        <w:rPr>
          <w:rFonts w:hint="eastAsia" w:ascii="宋体" w:hAnsi="宋体" w:eastAsia="宋体" w:cs="宋体"/>
          <w:spacing w:val="-4"/>
          <w:sz w:val="21"/>
          <w:szCs w:val="21"/>
        </w:rPr>
        <w:t>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p>
    <w:p w14:paraId="30C24B33">
      <w:pPr>
        <w:pStyle w:val="41"/>
        <w:numPr>
          <w:ilvl w:val="0"/>
          <w:numId w:val="10"/>
        </w:numPr>
        <w:tabs>
          <w:tab w:val="left" w:pos="1066"/>
        </w:tabs>
        <w:spacing w:before="1" w:after="0" w:line="360" w:lineRule="auto"/>
        <w:ind w:left="224" w:right="285" w:firstLine="479"/>
        <w:jc w:val="both"/>
        <w:rPr>
          <w:rFonts w:hint="eastAsia" w:ascii="宋体" w:hAnsi="宋体" w:eastAsia="宋体" w:cs="宋体"/>
          <w:sz w:val="21"/>
          <w:szCs w:val="21"/>
        </w:rPr>
      </w:pPr>
      <w:r>
        <w:rPr>
          <w:rFonts w:hint="eastAsia" w:ascii="宋体" w:hAnsi="宋体" w:eastAsia="宋体" w:cs="宋体"/>
          <w:spacing w:val="-6"/>
          <w:sz w:val="21"/>
          <w:szCs w:val="21"/>
        </w:rPr>
        <w:t>我方在此声明，所递交的投标文件及有关资料内容完整、真实和准确，且</w:t>
      </w:r>
      <w:r>
        <w:rPr>
          <w:rFonts w:hint="eastAsia" w:ascii="宋体" w:hAnsi="宋体" w:eastAsia="宋体" w:cs="宋体"/>
          <w:spacing w:val="-4"/>
          <w:sz w:val="21"/>
          <w:szCs w:val="21"/>
        </w:rPr>
        <w:t>不存在招标文件第二章</w:t>
      </w:r>
      <w:r>
        <w:rPr>
          <w:rFonts w:hint="eastAsia" w:ascii="宋体" w:hAnsi="宋体" w:eastAsia="宋体" w:cs="宋体"/>
          <w:sz w:val="21"/>
          <w:szCs w:val="21"/>
        </w:rPr>
        <w:t>“投标人须知”</w:t>
      </w:r>
      <w:r>
        <w:rPr>
          <w:rFonts w:hint="eastAsia" w:ascii="宋体" w:hAnsi="宋体" w:eastAsia="宋体" w:cs="宋体"/>
          <w:spacing w:val="-31"/>
          <w:sz w:val="21"/>
          <w:szCs w:val="21"/>
        </w:rPr>
        <w:t xml:space="preserve">第 </w:t>
      </w:r>
      <w:r>
        <w:rPr>
          <w:rFonts w:hint="eastAsia" w:ascii="宋体" w:hAnsi="宋体" w:eastAsia="宋体" w:cs="宋体"/>
          <w:sz w:val="21"/>
          <w:szCs w:val="21"/>
        </w:rPr>
        <w:t xml:space="preserve">1.4.3 </w:t>
      </w:r>
      <w:r>
        <w:rPr>
          <w:rFonts w:hint="eastAsia" w:ascii="宋体" w:hAnsi="宋体" w:eastAsia="宋体" w:cs="宋体"/>
          <w:spacing w:val="-16"/>
          <w:sz w:val="21"/>
          <w:szCs w:val="21"/>
        </w:rPr>
        <w:t xml:space="preserve">项和第 </w:t>
      </w:r>
      <w:r>
        <w:rPr>
          <w:rFonts w:hint="eastAsia" w:ascii="宋体" w:hAnsi="宋体" w:eastAsia="宋体" w:cs="宋体"/>
          <w:sz w:val="21"/>
          <w:szCs w:val="21"/>
        </w:rPr>
        <w:t>1.4.4 项规定的任何一种情形。</w:t>
      </w:r>
    </w:p>
    <w:p w14:paraId="7DF42FC0">
      <w:pPr>
        <w:pStyle w:val="41"/>
        <w:numPr>
          <w:ilvl w:val="0"/>
          <w:numId w:val="10"/>
        </w:numPr>
        <w:tabs>
          <w:tab w:val="left" w:pos="1066"/>
        </w:tabs>
        <w:spacing w:before="1" w:after="0" w:line="360" w:lineRule="auto"/>
        <w:ind w:left="224" w:right="285" w:firstLine="479"/>
        <w:jc w:val="left"/>
        <w:rPr>
          <w:rFonts w:hint="eastAsia" w:ascii="宋体" w:hAnsi="宋体" w:eastAsia="宋体" w:cs="宋体"/>
          <w:sz w:val="21"/>
          <w:szCs w:val="21"/>
        </w:rPr>
      </w:pPr>
      <w:r>
        <w:rPr>
          <w:rFonts w:hint="eastAsia" w:ascii="宋体" w:hAnsi="宋体" w:eastAsia="宋体" w:cs="宋体"/>
          <w:spacing w:val="-3"/>
          <w:sz w:val="21"/>
          <w:szCs w:val="21"/>
        </w:rPr>
        <w:t>在合同协议书正式签署生效之前，本投标函连同你方的中标通知书将构成</w:t>
      </w:r>
      <w:r>
        <w:rPr>
          <w:rFonts w:hint="eastAsia" w:ascii="宋体" w:hAnsi="宋体" w:eastAsia="宋体" w:cs="宋体"/>
          <w:spacing w:val="-4"/>
          <w:sz w:val="21"/>
          <w:szCs w:val="21"/>
        </w:rPr>
        <w:t>我们双方之间共同遵守的文件，对双方具有约束力。</w:t>
      </w:r>
    </w:p>
    <w:p w14:paraId="0E36FC58">
      <w:pPr>
        <w:pStyle w:val="41"/>
        <w:numPr>
          <w:ilvl w:val="0"/>
          <w:numId w:val="10"/>
        </w:numPr>
        <w:tabs>
          <w:tab w:val="left" w:pos="1066"/>
          <w:tab w:val="left" w:pos="5745"/>
        </w:tabs>
        <w:spacing w:before="0" w:after="0" w:line="360" w:lineRule="auto"/>
        <w:ind w:left="1065" w:right="0" w:hanging="362"/>
        <w:jc w:val="left"/>
        <w:rPr>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（其他补充说明</w:t>
      </w:r>
      <w:r>
        <w:rPr>
          <w:rFonts w:hint="eastAsia" w:ascii="宋体" w:hAnsi="宋体" w:eastAsia="宋体" w:cs="宋体"/>
          <w:spacing w:val="-120"/>
          <w:sz w:val="21"/>
          <w:szCs w:val="21"/>
        </w:rPr>
        <w:t>）</w:t>
      </w:r>
      <w:r>
        <w:rPr>
          <w:rFonts w:hint="eastAsia" w:ascii="宋体" w:hAnsi="宋体" w:eastAsia="宋体" w:cs="宋体"/>
          <w:sz w:val="21"/>
          <w:szCs w:val="21"/>
        </w:rPr>
        <w:t>。</w:t>
      </w:r>
    </w:p>
    <w:p w14:paraId="24DD1F4B">
      <w:pPr>
        <w:pStyle w:val="12"/>
        <w:tabs>
          <w:tab w:val="left" w:pos="4364"/>
          <w:tab w:val="left" w:pos="7350"/>
          <w:tab w:val="left" w:pos="8061"/>
          <w:tab w:val="left" w:pos="8956"/>
        </w:tabs>
        <w:spacing w:line="360" w:lineRule="auto"/>
        <w:ind w:left="3645" w:right="162"/>
        <w:rPr>
          <w:spacing w:val="-5"/>
          <w:sz w:val="21"/>
          <w:szCs w:val="21"/>
        </w:rPr>
      </w:pPr>
      <w:r>
        <w:rPr>
          <w:sz w:val="21"/>
          <w:szCs w:val="21"/>
        </w:rPr>
        <w:t>投 标 人</w:t>
      </w:r>
      <w:r>
        <w:rPr>
          <w:spacing w:val="-8"/>
          <w:sz w:val="21"/>
          <w:szCs w:val="21"/>
        </w:rPr>
        <w:t>：</w:t>
      </w:r>
      <w:r>
        <w:rPr>
          <w:spacing w:val="-8"/>
          <w:sz w:val="21"/>
          <w:szCs w:val="21"/>
          <w:u w:val="single"/>
        </w:rPr>
        <w:t xml:space="preserve"> </w:t>
      </w:r>
      <w:r>
        <w:rPr>
          <w:spacing w:val="-8"/>
          <w:sz w:val="21"/>
          <w:szCs w:val="21"/>
          <w:u w:val="single"/>
        </w:rPr>
        <w:tab/>
      </w:r>
      <w:r>
        <w:rPr>
          <w:sz w:val="21"/>
          <w:szCs w:val="21"/>
        </w:rPr>
        <w:t>（盖单位章</w:t>
      </w:r>
      <w:r>
        <w:rPr>
          <w:spacing w:val="-5"/>
          <w:sz w:val="21"/>
          <w:szCs w:val="21"/>
        </w:rPr>
        <w:t>）</w:t>
      </w:r>
    </w:p>
    <w:p w14:paraId="0AA93263">
      <w:pPr>
        <w:pStyle w:val="12"/>
        <w:tabs>
          <w:tab w:val="left" w:pos="4364"/>
          <w:tab w:val="left" w:pos="7350"/>
          <w:tab w:val="left" w:pos="8061"/>
          <w:tab w:val="left" w:pos="8956"/>
        </w:tabs>
        <w:spacing w:line="360" w:lineRule="auto"/>
        <w:ind w:left="3645" w:right="162"/>
        <w:rPr>
          <w:spacing w:val="-17"/>
          <w:sz w:val="21"/>
          <w:szCs w:val="21"/>
        </w:rPr>
      </w:pPr>
      <w:r>
        <w:rPr>
          <w:sz w:val="21"/>
          <w:szCs w:val="21"/>
        </w:rPr>
        <w:t>法定代表人或其委托代理人</w:t>
      </w:r>
      <w:r>
        <w:rPr>
          <w:spacing w:val="-12"/>
          <w:sz w:val="21"/>
          <w:szCs w:val="21"/>
        </w:rPr>
        <w:t>：</w:t>
      </w:r>
      <w:r>
        <w:rPr>
          <w:spacing w:val="-12"/>
          <w:sz w:val="21"/>
          <w:szCs w:val="21"/>
          <w:u w:val="single"/>
        </w:rPr>
        <w:t xml:space="preserve"> </w:t>
      </w:r>
      <w:r>
        <w:rPr>
          <w:spacing w:val="-12"/>
          <w:sz w:val="21"/>
          <w:szCs w:val="21"/>
          <w:u w:val="single"/>
        </w:rPr>
        <w:tab/>
      </w:r>
      <w:r>
        <w:rPr>
          <w:spacing w:val="-12"/>
          <w:sz w:val="21"/>
          <w:szCs w:val="21"/>
          <w:u w:val="single"/>
        </w:rPr>
        <w:tab/>
      </w:r>
      <w:r>
        <w:rPr>
          <w:sz w:val="21"/>
          <w:szCs w:val="21"/>
        </w:rPr>
        <w:t>（签字</w:t>
      </w:r>
      <w:r>
        <w:rPr>
          <w:spacing w:val="-17"/>
          <w:sz w:val="21"/>
          <w:szCs w:val="21"/>
        </w:rPr>
        <w:t xml:space="preserve">） </w:t>
      </w:r>
    </w:p>
    <w:p w14:paraId="452057BE">
      <w:pPr>
        <w:pStyle w:val="12"/>
        <w:tabs>
          <w:tab w:val="left" w:pos="4364"/>
          <w:tab w:val="left" w:pos="7350"/>
          <w:tab w:val="left" w:pos="8061"/>
          <w:tab w:val="left" w:pos="8956"/>
        </w:tabs>
        <w:spacing w:line="360" w:lineRule="auto"/>
        <w:ind w:left="3645" w:right="162"/>
        <w:rPr>
          <w:rFonts w:ascii="Times New Roman" w:hAnsi="Times New Roman" w:eastAsia="Times New Roman"/>
          <w:sz w:val="21"/>
          <w:szCs w:val="21"/>
          <w:u w:val="single"/>
        </w:rPr>
      </w:pPr>
      <w:r>
        <w:rPr>
          <w:sz w:val="21"/>
          <w:szCs w:val="21"/>
        </w:rPr>
        <w:t>地</w:t>
      </w:r>
      <w:r>
        <w:rPr>
          <w:sz w:val="21"/>
          <w:szCs w:val="21"/>
        </w:rPr>
        <w:tab/>
      </w:r>
      <w:r>
        <w:rPr>
          <w:sz w:val="21"/>
          <w:szCs w:val="21"/>
        </w:rPr>
        <w:t>址：</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 xml:space="preserve"> </w:t>
      </w:r>
    </w:p>
    <w:p w14:paraId="534BA243">
      <w:pPr>
        <w:pStyle w:val="12"/>
        <w:tabs>
          <w:tab w:val="left" w:pos="4364"/>
          <w:tab w:val="left" w:pos="7350"/>
          <w:tab w:val="left" w:pos="8061"/>
          <w:tab w:val="left" w:pos="8956"/>
        </w:tabs>
        <w:spacing w:line="360" w:lineRule="auto"/>
        <w:ind w:left="3645" w:right="162"/>
        <w:rPr>
          <w:rFonts w:ascii="Times New Roman" w:hAnsi="Times New Roman" w:eastAsia="Times New Roman"/>
          <w:sz w:val="21"/>
          <w:szCs w:val="21"/>
          <w:u w:val="single"/>
        </w:rPr>
      </w:pPr>
      <w:r>
        <w:rPr>
          <w:sz w:val="21"/>
          <w:szCs w:val="21"/>
        </w:rPr>
        <w:t>网</w:t>
      </w:r>
      <w:r>
        <w:rPr>
          <w:sz w:val="21"/>
          <w:szCs w:val="21"/>
        </w:rPr>
        <w:tab/>
      </w:r>
      <w:r>
        <w:rPr>
          <w:sz w:val="21"/>
          <w:szCs w:val="21"/>
        </w:rPr>
        <w:t>址：</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 xml:space="preserve"> </w:t>
      </w:r>
    </w:p>
    <w:p w14:paraId="5D2DFA0C">
      <w:pPr>
        <w:pStyle w:val="12"/>
        <w:tabs>
          <w:tab w:val="left" w:pos="4364"/>
          <w:tab w:val="left" w:pos="7350"/>
          <w:tab w:val="left" w:pos="8061"/>
          <w:tab w:val="left" w:pos="8956"/>
        </w:tabs>
        <w:spacing w:line="360" w:lineRule="auto"/>
        <w:ind w:left="3645" w:right="162"/>
        <w:rPr>
          <w:rFonts w:ascii="Times New Roman" w:hAnsi="Times New Roman" w:eastAsia="Times New Roman"/>
          <w:sz w:val="21"/>
          <w:szCs w:val="21"/>
          <w:u w:val="single"/>
        </w:rPr>
      </w:pPr>
      <w:r>
        <w:rPr>
          <w:sz w:val="21"/>
          <w:szCs w:val="21"/>
        </w:rPr>
        <w:t>电</w:t>
      </w:r>
      <w:r>
        <w:rPr>
          <w:sz w:val="21"/>
          <w:szCs w:val="21"/>
        </w:rPr>
        <w:tab/>
      </w:r>
      <w:r>
        <w:rPr>
          <w:sz w:val="21"/>
          <w:szCs w:val="21"/>
        </w:rPr>
        <w:t>话：</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 xml:space="preserve"> </w:t>
      </w:r>
    </w:p>
    <w:p w14:paraId="4CF4E323">
      <w:pPr>
        <w:pStyle w:val="12"/>
        <w:tabs>
          <w:tab w:val="left" w:pos="4364"/>
          <w:tab w:val="left" w:pos="7350"/>
          <w:tab w:val="left" w:pos="8061"/>
          <w:tab w:val="left" w:pos="8956"/>
        </w:tabs>
        <w:spacing w:line="360" w:lineRule="auto"/>
        <w:ind w:left="3645" w:right="162"/>
        <w:rPr>
          <w:rFonts w:ascii="Times New Roman" w:hAnsi="Times New Roman" w:eastAsia="Times New Roman"/>
          <w:sz w:val="21"/>
          <w:szCs w:val="21"/>
          <w:u w:val="single"/>
        </w:rPr>
      </w:pPr>
      <w:r>
        <w:rPr>
          <w:sz w:val="21"/>
          <w:szCs w:val="21"/>
        </w:rPr>
        <w:t>传</w:t>
      </w:r>
      <w:r>
        <w:rPr>
          <w:sz w:val="21"/>
          <w:szCs w:val="21"/>
        </w:rPr>
        <w:tab/>
      </w:r>
      <w:r>
        <w:rPr>
          <w:sz w:val="21"/>
          <w:szCs w:val="21"/>
        </w:rPr>
        <w:t>真：</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 xml:space="preserve"> </w:t>
      </w:r>
    </w:p>
    <w:p w14:paraId="2DE29EC3">
      <w:pPr>
        <w:pStyle w:val="12"/>
        <w:tabs>
          <w:tab w:val="left" w:pos="4364"/>
          <w:tab w:val="left" w:pos="7350"/>
          <w:tab w:val="left" w:pos="8061"/>
          <w:tab w:val="left" w:pos="8956"/>
        </w:tabs>
        <w:spacing w:line="360" w:lineRule="auto"/>
        <w:ind w:left="3645" w:right="162"/>
        <w:rPr>
          <w:rFonts w:ascii="Times New Roman"/>
          <w:sz w:val="21"/>
          <w:szCs w:val="21"/>
        </w:rPr>
      </w:pPr>
      <w:r>
        <w:rPr>
          <w:sz w:val="21"/>
          <w:szCs w:val="21"/>
        </w:rPr>
        <w:t>邮政编码：</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ab/>
      </w:r>
    </w:p>
    <w:p w14:paraId="221799DE">
      <w:pPr>
        <w:pStyle w:val="12"/>
        <w:tabs>
          <w:tab w:val="left" w:pos="6045"/>
          <w:tab w:val="left" w:pos="7125"/>
          <w:tab w:val="left" w:pos="8205"/>
        </w:tabs>
        <w:spacing w:before="74" w:line="360" w:lineRule="auto"/>
        <w:ind w:left="4965"/>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430E55A1">
      <w:pPr>
        <w:pStyle w:val="12"/>
        <w:spacing w:before="4" w:line="360" w:lineRule="auto"/>
        <w:rPr>
          <w:sz w:val="21"/>
          <w:szCs w:val="21"/>
        </w:rPr>
      </w:pPr>
    </w:p>
    <w:p w14:paraId="2D2BF0AB">
      <w:pPr>
        <w:pStyle w:val="5"/>
        <w:bidi w:val="0"/>
        <w:spacing w:line="360" w:lineRule="auto"/>
        <w:rPr>
          <w:rFonts w:hint="eastAsia"/>
          <w:sz w:val="21"/>
          <w:szCs w:val="21"/>
        </w:rPr>
        <w:sectPr>
          <w:headerReference r:id="rId76" w:type="default"/>
          <w:footerReference r:id="rId78" w:type="default"/>
          <w:headerReference r:id="rId77" w:type="even"/>
          <w:footerReference r:id="rId79" w:type="even"/>
          <w:pgSz w:w="11910" w:h="16850"/>
          <w:pgMar w:top="1134" w:right="850" w:bottom="1134" w:left="1417" w:header="883" w:footer="907" w:gutter="0"/>
          <w:pgNumType w:fmt="decimal"/>
          <w:cols w:space="720" w:num="1"/>
        </w:sectPr>
      </w:pPr>
      <w:bookmarkStart w:id="423" w:name="_bookmark291"/>
      <w:bookmarkEnd w:id="423"/>
    </w:p>
    <w:p w14:paraId="5D716209">
      <w:pPr>
        <w:pStyle w:val="5"/>
        <w:bidi w:val="0"/>
        <w:rPr>
          <w:rFonts w:hint="eastAsia"/>
          <w:sz w:val="30"/>
          <w:szCs w:val="30"/>
        </w:rPr>
      </w:pPr>
      <w:r>
        <w:rPr>
          <w:rFonts w:hint="eastAsia"/>
          <w:sz w:val="30"/>
          <w:szCs w:val="30"/>
        </w:rPr>
        <w:t>（二）投标函附录</w:t>
      </w:r>
    </w:p>
    <w:p w14:paraId="4F7DF3EE">
      <w:pPr>
        <w:pStyle w:val="12"/>
        <w:spacing w:after="1"/>
        <w:rPr>
          <w:rFonts w:ascii="黑体"/>
          <w:sz w:val="19"/>
        </w:rPr>
      </w:pPr>
    </w:p>
    <w:tbl>
      <w:tblPr>
        <w:tblStyle w:val="25"/>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2711"/>
        <w:gridCol w:w="1186"/>
        <w:gridCol w:w="3616"/>
        <w:gridCol w:w="749"/>
      </w:tblGrid>
      <w:tr w14:paraId="789EA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tcPr>
          <w:p w14:paraId="4D111485">
            <w:pPr>
              <w:pStyle w:val="42"/>
              <w:spacing w:before="128" w:line="360" w:lineRule="auto"/>
              <w:ind w:left="109" w:right="10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711" w:type="dxa"/>
          </w:tcPr>
          <w:p w14:paraId="3CE3D916">
            <w:pPr>
              <w:pStyle w:val="42"/>
              <w:spacing w:before="128" w:line="360" w:lineRule="auto"/>
              <w:ind w:left="285" w:right="276"/>
              <w:jc w:val="center"/>
              <w:rPr>
                <w:rFonts w:hint="eastAsia" w:ascii="宋体" w:hAnsi="宋体" w:eastAsia="宋体" w:cs="宋体"/>
                <w:b/>
                <w:sz w:val="21"/>
                <w:szCs w:val="21"/>
              </w:rPr>
            </w:pPr>
            <w:r>
              <w:rPr>
                <w:rFonts w:hint="eastAsia" w:ascii="宋体" w:hAnsi="宋体" w:eastAsia="宋体" w:cs="宋体"/>
                <w:b/>
                <w:sz w:val="21"/>
                <w:szCs w:val="21"/>
              </w:rPr>
              <w:t>条款名称</w:t>
            </w:r>
          </w:p>
        </w:tc>
        <w:tc>
          <w:tcPr>
            <w:tcW w:w="1186" w:type="dxa"/>
          </w:tcPr>
          <w:p w14:paraId="715E4F0C">
            <w:pPr>
              <w:pStyle w:val="42"/>
              <w:spacing w:before="128" w:line="360" w:lineRule="auto"/>
              <w:ind w:left="6"/>
              <w:jc w:val="center"/>
              <w:rPr>
                <w:rFonts w:hint="eastAsia" w:ascii="宋体" w:hAnsi="宋体" w:eastAsia="宋体" w:cs="宋体"/>
                <w:b/>
                <w:sz w:val="21"/>
                <w:szCs w:val="21"/>
              </w:rPr>
            </w:pPr>
            <w:r>
              <w:rPr>
                <w:rFonts w:hint="eastAsia" w:ascii="宋体" w:hAnsi="宋体" w:eastAsia="宋体" w:cs="宋体"/>
                <w:b/>
                <w:sz w:val="21"/>
                <w:szCs w:val="21"/>
              </w:rPr>
              <w:t>合同条目号</w:t>
            </w:r>
          </w:p>
        </w:tc>
        <w:tc>
          <w:tcPr>
            <w:tcW w:w="3616" w:type="dxa"/>
          </w:tcPr>
          <w:p w14:paraId="410CF122">
            <w:pPr>
              <w:pStyle w:val="42"/>
              <w:spacing w:before="128" w:line="360" w:lineRule="auto"/>
              <w:ind w:left="1363" w:right="1358"/>
              <w:jc w:val="center"/>
              <w:rPr>
                <w:rFonts w:hint="eastAsia" w:ascii="宋体" w:hAnsi="宋体" w:eastAsia="宋体" w:cs="宋体"/>
                <w:b/>
                <w:sz w:val="21"/>
                <w:szCs w:val="21"/>
              </w:rPr>
            </w:pPr>
            <w:r>
              <w:rPr>
                <w:rFonts w:hint="eastAsia" w:ascii="宋体" w:hAnsi="宋体" w:eastAsia="宋体" w:cs="宋体"/>
                <w:b/>
                <w:sz w:val="21"/>
                <w:szCs w:val="21"/>
              </w:rPr>
              <w:t>约定内容</w:t>
            </w:r>
          </w:p>
        </w:tc>
        <w:tc>
          <w:tcPr>
            <w:tcW w:w="749" w:type="dxa"/>
          </w:tcPr>
          <w:p w14:paraId="24FCBF5B">
            <w:pPr>
              <w:pStyle w:val="42"/>
              <w:spacing w:before="128" w:line="360" w:lineRule="auto"/>
              <w:ind w:left="158"/>
              <w:rPr>
                <w:rFonts w:hint="eastAsia" w:ascii="宋体" w:hAnsi="宋体" w:eastAsia="宋体" w:cs="宋体"/>
                <w:b/>
                <w:sz w:val="21"/>
                <w:szCs w:val="21"/>
              </w:rPr>
            </w:pPr>
            <w:r>
              <w:rPr>
                <w:rFonts w:hint="eastAsia" w:ascii="宋体" w:hAnsi="宋体" w:eastAsia="宋体" w:cs="宋体"/>
                <w:b/>
                <w:sz w:val="21"/>
                <w:szCs w:val="21"/>
              </w:rPr>
              <w:t>备注</w:t>
            </w:r>
          </w:p>
        </w:tc>
      </w:tr>
      <w:tr w14:paraId="33567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82" w:type="dxa"/>
          </w:tcPr>
          <w:p w14:paraId="263C5359">
            <w:pPr>
              <w:pStyle w:val="42"/>
              <w:spacing w:before="151" w:line="360" w:lineRule="auto"/>
              <w:ind w:left="9"/>
              <w:jc w:val="center"/>
              <w:rPr>
                <w:rFonts w:hint="eastAsia" w:ascii="宋体" w:hAnsi="宋体" w:eastAsia="宋体" w:cs="宋体"/>
                <w:sz w:val="21"/>
                <w:szCs w:val="21"/>
              </w:rPr>
            </w:pPr>
            <w:r>
              <w:rPr>
                <w:rFonts w:hint="eastAsia" w:ascii="宋体" w:hAnsi="宋体" w:eastAsia="宋体" w:cs="宋体"/>
                <w:w w:val="100"/>
                <w:sz w:val="21"/>
                <w:szCs w:val="21"/>
              </w:rPr>
              <w:t>1</w:t>
            </w:r>
          </w:p>
        </w:tc>
        <w:tc>
          <w:tcPr>
            <w:tcW w:w="2711" w:type="dxa"/>
          </w:tcPr>
          <w:p w14:paraId="20C3AFFD">
            <w:pPr>
              <w:pStyle w:val="42"/>
              <w:spacing w:before="128" w:line="360" w:lineRule="auto"/>
              <w:ind w:left="283" w:right="276"/>
              <w:jc w:val="center"/>
              <w:rPr>
                <w:rFonts w:hint="eastAsia" w:ascii="宋体" w:hAnsi="宋体" w:eastAsia="宋体" w:cs="宋体"/>
                <w:sz w:val="21"/>
                <w:szCs w:val="21"/>
              </w:rPr>
            </w:pPr>
            <w:r>
              <w:rPr>
                <w:rFonts w:hint="eastAsia" w:ascii="宋体" w:hAnsi="宋体" w:eastAsia="宋体" w:cs="宋体"/>
                <w:sz w:val="21"/>
                <w:szCs w:val="21"/>
              </w:rPr>
              <w:t>缺陷责任期</w:t>
            </w:r>
          </w:p>
        </w:tc>
        <w:tc>
          <w:tcPr>
            <w:tcW w:w="1186" w:type="dxa"/>
          </w:tcPr>
          <w:p w14:paraId="3EF23891">
            <w:pPr>
              <w:pStyle w:val="42"/>
              <w:spacing w:before="151" w:line="360" w:lineRule="auto"/>
              <w:ind w:left="6"/>
              <w:jc w:val="center"/>
              <w:rPr>
                <w:rFonts w:hint="eastAsia" w:ascii="宋体" w:hAnsi="宋体" w:eastAsia="宋体" w:cs="宋体"/>
                <w:sz w:val="21"/>
                <w:szCs w:val="21"/>
              </w:rPr>
            </w:pPr>
            <w:r>
              <w:rPr>
                <w:rFonts w:hint="eastAsia" w:ascii="宋体" w:hAnsi="宋体" w:eastAsia="宋体" w:cs="宋体"/>
                <w:sz w:val="21"/>
                <w:szCs w:val="21"/>
              </w:rPr>
              <w:t>1.1.4.5</w:t>
            </w:r>
          </w:p>
        </w:tc>
        <w:tc>
          <w:tcPr>
            <w:tcW w:w="3616" w:type="dxa"/>
          </w:tcPr>
          <w:p w14:paraId="2D4FF5B4">
            <w:pPr>
              <w:pStyle w:val="42"/>
              <w:tabs>
                <w:tab w:val="left" w:pos="2520"/>
              </w:tabs>
              <w:spacing w:before="128" w:line="360" w:lineRule="auto"/>
              <w:ind w:left="106"/>
              <w:rPr>
                <w:rFonts w:hint="eastAsia" w:ascii="宋体" w:hAnsi="宋体" w:eastAsia="宋体" w:cs="宋体"/>
                <w:sz w:val="21"/>
                <w:szCs w:val="21"/>
              </w:rPr>
            </w:pPr>
            <w:r>
              <w:rPr>
                <w:rFonts w:hint="eastAsia" w:ascii="宋体" w:hAnsi="宋体" w:eastAsia="宋体" w:cs="宋体"/>
                <w:sz w:val="21"/>
                <w:szCs w:val="21"/>
              </w:rPr>
              <w:t>自实</w:t>
            </w:r>
            <w:r>
              <w:rPr>
                <w:rFonts w:hint="eastAsia" w:ascii="宋体" w:hAnsi="宋体" w:eastAsia="宋体" w:cs="宋体"/>
                <w:spacing w:val="-3"/>
                <w:sz w:val="21"/>
                <w:szCs w:val="21"/>
              </w:rPr>
              <w:t>际</w:t>
            </w:r>
            <w:r>
              <w:rPr>
                <w:rFonts w:hint="eastAsia" w:ascii="宋体" w:hAnsi="宋体" w:eastAsia="宋体" w:cs="宋体"/>
                <w:sz w:val="21"/>
                <w:szCs w:val="21"/>
              </w:rPr>
              <w:t>交</w:t>
            </w:r>
            <w:r>
              <w:rPr>
                <w:rFonts w:hint="eastAsia" w:ascii="宋体" w:hAnsi="宋体" w:eastAsia="宋体" w:cs="宋体"/>
                <w:spacing w:val="-3"/>
                <w:sz w:val="21"/>
                <w:szCs w:val="21"/>
              </w:rPr>
              <w:t>工</w:t>
            </w:r>
            <w:r>
              <w:rPr>
                <w:rFonts w:hint="eastAsia" w:ascii="宋体" w:hAnsi="宋体" w:eastAsia="宋体" w:cs="宋体"/>
                <w:sz w:val="21"/>
                <w:szCs w:val="21"/>
              </w:rPr>
              <w:t>日</w:t>
            </w:r>
            <w:r>
              <w:rPr>
                <w:rFonts w:hint="eastAsia" w:ascii="宋体" w:hAnsi="宋体" w:eastAsia="宋体" w:cs="宋体"/>
                <w:spacing w:val="-3"/>
                <w:sz w:val="21"/>
                <w:szCs w:val="21"/>
              </w:rPr>
              <w:t>期</w:t>
            </w:r>
            <w:r>
              <w:rPr>
                <w:rFonts w:hint="eastAsia" w:ascii="宋体" w:hAnsi="宋体" w:eastAsia="宋体" w:cs="宋体"/>
                <w:sz w:val="21"/>
                <w:szCs w:val="21"/>
              </w:rPr>
              <w:t>起</w:t>
            </w:r>
            <w:r>
              <w:rPr>
                <w:rFonts w:hint="eastAsia" w:ascii="宋体" w:hAnsi="宋体" w:eastAsia="宋体" w:cs="宋体"/>
                <w:spacing w:val="-3"/>
                <w:sz w:val="21"/>
                <w:szCs w:val="21"/>
              </w:rPr>
              <w:t>计</w:t>
            </w:r>
            <w:r>
              <w:rPr>
                <w:rFonts w:hint="eastAsia" w:ascii="宋体" w:hAnsi="宋体" w:eastAsia="宋体" w:cs="宋体"/>
                <w:sz w:val="21"/>
                <w:szCs w:val="21"/>
              </w:rPr>
              <w:t>算</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rPr>
              <w:tab/>
            </w:r>
            <w:r>
              <w:rPr>
                <w:rFonts w:hint="eastAsia" w:ascii="宋体" w:hAnsi="宋体" w:eastAsia="宋体" w:cs="宋体"/>
                <w:sz w:val="21"/>
                <w:szCs w:val="21"/>
              </w:rPr>
              <w:t>年</w:t>
            </w:r>
          </w:p>
        </w:tc>
        <w:tc>
          <w:tcPr>
            <w:tcW w:w="749" w:type="dxa"/>
          </w:tcPr>
          <w:p w14:paraId="1446F4CB">
            <w:pPr>
              <w:pStyle w:val="42"/>
              <w:spacing w:line="360" w:lineRule="auto"/>
              <w:rPr>
                <w:rFonts w:hint="eastAsia" w:ascii="宋体" w:hAnsi="宋体" w:eastAsia="宋体" w:cs="宋体"/>
                <w:sz w:val="21"/>
                <w:szCs w:val="21"/>
              </w:rPr>
            </w:pPr>
          </w:p>
        </w:tc>
      </w:tr>
      <w:tr w14:paraId="70746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tcPr>
          <w:p w14:paraId="7DFD78E0">
            <w:pPr>
              <w:pStyle w:val="42"/>
              <w:spacing w:before="154" w:line="360" w:lineRule="auto"/>
              <w:ind w:left="9"/>
              <w:jc w:val="center"/>
              <w:rPr>
                <w:rFonts w:hint="eastAsia" w:ascii="宋体" w:hAnsi="宋体" w:eastAsia="宋体" w:cs="宋体"/>
                <w:sz w:val="21"/>
                <w:szCs w:val="21"/>
              </w:rPr>
            </w:pPr>
            <w:r>
              <w:rPr>
                <w:rFonts w:hint="eastAsia" w:ascii="宋体" w:hAnsi="宋体" w:eastAsia="宋体" w:cs="宋体"/>
                <w:w w:val="100"/>
                <w:sz w:val="21"/>
                <w:szCs w:val="21"/>
              </w:rPr>
              <w:t>2</w:t>
            </w:r>
          </w:p>
        </w:tc>
        <w:tc>
          <w:tcPr>
            <w:tcW w:w="2711" w:type="dxa"/>
          </w:tcPr>
          <w:p w14:paraId="01C7A98D">
            <w:pPr>
              <w:pStyle w:val="42"/>
              <w:spacing w:before="130" w:line="360" w:lineRule="auto"/>
              <w:ind w:left="285" w:right="276"/>
              <w:jc w:val="center"/>
              <w:rPr>
                <w:rFonts w:hint="eastAsia" w:ascii="宋体" w:hAnsi="宋体" w:eastAsia="宋体" w:cs="宋体"/>
                <w:sz w:val="21"/>
                <w:szCs w:val="21"/>
              </w:rPr>
            </w:pPr>
            <w:r>
              <w:rPr>
                <w:rFonts w:hint="eastAsia" w:ascii="宋体" w:hAnsi="宋体" w:eastAsia="宋体" w:cs="宋体"/>
                <w:sz w:val="21"/>
                <w:szCs w:val="21"/>
              </w:rPr>
              <w:t>逾期交工违约金</w:t>
            </w:r>
          </w:p>
        </w:tc>
        <w:tc>
          <w:tcPr>
            <w:tcW w:w="1186" w:type="dxa"/>
          </w:tcPr>
          <w:p w14:paraId="05114557">
            <w:pPr>
              <w:pStyle w:val="42"/>
              <w:spacing w:before="130" w:line="360" w:lineRule="auto"/>
              <w:ind w:left="6"/>
              <w:jc w:val="center"/>
              <w:rPr>
                <w:rFonts w:hint="eastAsia" w:ascii="宋体" w:hAnsi="宋体" w:eastAsia="宋体" w:cs="宋体"/>
                <w:sz w:val="21"/>
                <w:szCs w:val="21"/>
              </w:rPr>
            </w:pPr>
            <w:r>
              <w:rPr>
                <w:rFonts w:hint="eastAsia" w:ascii="宋体" w:hAnsi="宋体" w:eastAsia="宋体" w:cs="宋体"/>
                <w:sz w:val="21"/>
                <w:szCs w:val="21"/>
              </w:rPr>
              <w:t>11.5（3）</w:t>
            </w:r>
          </w:p>
        </w:tc>
        <w:tc>
          <w:tcPr>
            <w:tcW w:w="3616" w:type="dxa"/>
          </w:tcPr>
          <w:p w14:paraId="5016D000">
            <w:pPr>
              <w:pStyle w:val="42"/>
              <w:tabs>
                <w:tab w:val="left" w:pos="528"/>
              </w:tabs>
              <w:spacing w:before="130" w:line="360" w:lineRule="auto"/>
              <w:ind w:left="106"/>
              <w:rPr>
                <w:rFonts w:hint="eastAsia" w:ascii="宋体" w:hAnsi="宋体" w:eastAsia="宋体" w:cs="宋体"/>
                <w:sz w:val="21"/>
                <w:szCs w:val="21"/>
              </w:rPr>
            </w:pPr>
            <w:r>
              <w:rPr>
                <w:rFonts w:hint="eastAsia" w:ascii="宋体" w:hAnsi="宋体" w:eastAsia="宋体" w:cs="宋体"/>
                <w:w w:val="100"/>
                <w:sz w:val="21"/>
                <w:szCs w:val="21"/>
                <w:u w:val="single"/>
              </w:rPr>
              <w:t xml:space="preserve"> </w:t>
            </w:r>
            <w:r>
              <w:rPr>
                <w:rFonts w:hint="eastAsia" w:ascii="宋体" w:hAnsi="宋体" w:eastAsia="宋体" w:cs="宋体"/>
                <w:w w:val="100"/>
                <w:sz w:val="21"/>
                <w:szCs w:val="21"/>
                <w:u w:val="single"/>
                <w:lang w:val="en-US" w:eastAsia="zh-CN"/>
              </w:rPr>
              <w:t>1</w:t>
            </w:r>
            <w:r>
              <w:rPr>
                <w:rFonts w:hint="eastAsia" w:ascii="宋体" w:hAnsi="宋体" w:eastAsia="宋体" w:cs="宋体"/>
                <w:sz w:val="21"/>
                <w:szCs w:val="21"/>
                <w:u w:val="single"/>
                <w:lang w:val="en-US" w:eastAsia="zh-CN"/>
              </w:rPr>
              <w:t>000</w:t>
            </w:r>
            <w:r>
              <w:rPr>
                <w:rFonts w:hint="eastAsia" w:ascii="宋体" w:hAnsi="宋体" w:eastAsia="宋体" w:cs="宋体"/>
                <w:sz w:val="21"/>
                <w:szCs w:val="21"/>
              </w:rPr>
              <w:t>元</w:t>
            </w:r>
            <w:r>
              <w:rPr>
                <w:rFonts w:hint="eastAsia" w:ascii="宋体" w:hAnsi="宋体" w:eastAsia="宋体" w:cs="宋体"/>
                <w:spacing w:val="-4"/>
                <w:sz w:val="21"/>
                <w:szCs w:val="21"/>
              </w:rPr>
              <w:t>/</w:t>
            </w:r>
            <w:r>
              <w:rPr>
                <w:rFonts w:hint="eastAsia" w:ascii="宋体" w:hAnsi="宋体" w:eastAsia="宋体" w:cs="宋体"/>
                <w:sz w:val="21"/>
                <w:szCs w:val="21"/>
              </w:rPr>
              <w:t>天</w:t>
            </w:r>
          </w:p>
        </w:tc>
        <w:tc>
          <w:tcPr>
            <w:tcW w:w="749" w:type="dxa"/>
          </w:tcPr>
          <w:p w14:paraId="6F2B9FB5">
            <w:pPr>
              <w:pStyle w:val="42"/>
              <w:spacing w:line="360" w:lineRule="auto"/>
              <w:rPr>
                <w:rFonts w:hint="eastAsia" w:ascii="宋体" w:hAnsi="宋体" w:eastAsia="宋体" w:cs="宋体"/>
                <w:sz w:val="21"/>
                <w:szCs w:val="21"/>
              </w:rPr>
            </w:pPr>
          </w:p>
        </w:tc>
      </w:tr>
      <w:tr w14:paraId="2A662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tcPr>
          <w:p w14:paraId="4BB1828C">
            <w:pPr>
              <w:pStyle w:val="42"/>
              <w:spacing w:before="151" w:line="360" w:lineRule="auto"/>
              <w:ind w:left="9"/>
              <w:jc w:val="center"/>
              <w:rPr>
                <w:rFonts w:hint="eastAsia" w:ascii="宋体" w:hAnsi="宋体" w:eastAsia="宋体" w:cs="宋体"/>
                <w:sz w:val="21"/>
                <w:szCs w:val="21"/>
              </w:rPr>
            </w:pPr>
            <w:r>
              <w:rPr>
                <w:rFonts w:hint="eastAsia" w:ascii="宋体" w:hAnsi="宋体" w:eastAsia="宋体" w:cs="宋体"/>
                <w:w w:val="100"/>
                <w:sz w:val="21"/>
                <w:szCs w:val="21"/>
              </w:rPr>
              <w:t>3</w:t>
            </w:r>
          </w:p>
        </w:tc>
        <w:tc>
          <w:tcPr>
            <w:tcW w:w="2711" w:type="dxa"/>
          </w:tcPr>
          <w:p w14:paraId="3D8D13D8">
            <w:pPr>
              <w:pStyle w:val="42"/>
              <w:spacing w:before="128" w:line="360" w:lineRule="auto"/>
              <w:ind w:left="283" w:right="276"/>
              <w:jc w:val="center"/>
              <w:rPr>
                <w:rFonts w:hint="eastAsia" w:ascii="宋体" w:hAnsi="宋体" w:eastAsia="宋体" w:cs="宋体"/>
                <w:sz w:val="21"/>
                <w:szCs w:val="21"/>
              </w:rPr>
            </w:pPr>
            <w:r>
              <w:rPr>
                <w:rFonts w:hint="eastAsia" w:ascii="宋体" w:hAnsi="宋体" w:eastAsia="宋体" w:cs="宋体"/>
                <w:sz w:val="21"/>
                <w:szCs w:val="21"/>
              </w:rPr>
              <w:t>逾期交工违约金限额</w:t>
            </w:r>
          </w:p>
        </w:tc>
        <w:tc>
          <w:tcPr>
            <w:tcW w:w="1186" w:type="dxa"/>
          </w:tcPr>
          <w:p w14:paraId="3F1472FE">
            <w:pPr>
              <w:pStyle w:val="42"/>
              <w:spacing w:before="128" w:line="360" w:lineRule="auto"/>
              <w:ind w:left="6"/>
              <w:jc w:val="center"/>
              <w:rPr>
                <w:rFonts w:hint="eastAsia" w:ascii="宋体" w:hAnsi="宋体" w:eastAsia="宋体" w:cs="宋体"/>
                <w:sz w:val="21"/>
                <w:szCs w:val="21"/>
              </w:rPr>
            </w:pPr>
            <w:r>
              <w:rPr>
                <w:rFonts w:hint="eastAsia" w:ascii="宋体" w:hAnsi="宋体" w:eastAsia="宋体" w:cs="宋体"/>
                <w:sz w:val="21"/>
                <w:szCs w:val="21"/>
              </w:rPr>
              <w:t>11.5（3）</w:t>
            </w:r>
          </w:p>
        </w:tc>
        <w:tc>
          <w:tcPr>
            <w:tcW w:w="3616" w:type="dxa"/>
          </w:tcPr>
          <w:p w14:paraId="65276036">
            <w:pPr>
              <w:pStyle w:val="42"/>
              <w:tabs>
                <w:tab w:val="left" w:pos="423"/>
              </w:tabs>
              <w:spacing w:before="128" w:line="360" w:lineRule="auto"/>
              <w:ind w:left="106"/>
              <w:rPr>
                <w:rFonts w:hint="eastAsia" w:ascii="宋体" w:hAnsi="宋体" w:eastAsia="宋体" w:cs="宋体"/>
                <w:sz w:val="21"/>
                <w:szCs w:val="21"/>
              </w:rPr>
            </w:pPr>
            <w:r>
              <w:rPr>
                <w:rFonts w:hint="eastAsia" w:ascii="宋体" w:hAnsi="宋体" w:eastAsia="宋体" w:cs="宋体"/>
                <w:w w:val="100"/>
                <w:sz w:val="21"/>
                <w:szCs w:val="21"/>
                <w:u w:val="single"/>
              </w:rPr>
              <w:t xml:space="preserve"> </w:t>
            </w:r>
            <w:r>
              <w:rPr>
                <w:rFonts w:hint="eastAsia" w:ascii="宋体" w:hAnsi="宋体" w:eastAsia="宋体" w:cs="宋体"/>
                <w:w w:val="100"/>
                <w:sz w:val="21"/>
                <w:szCs w:val="21"/>
                <w:u w:val="single"/>
                <w:lang w:val="en-US" w:eastAsia="zh-CN"/>
              </w:rPr>
              <w:t>10</w:t>
            </w:r>
            <w:r>
              <w:rPr>
                <w:rFonts w:hint="eastAsia" w:ascii="宋体" w:hAnsi="宋体" w:eastAsia="宋体" w:cs="宋体"/>
                <w:sz w:val="21"/>
                <w:szCs w:val="21"/>
              </w:rPr>
              <w:t>%</w:t>
            </w:r>
            <w:r>
              <w:rPr>
                <w:rFonts w:hint="eastAsia" w:ascii="宋体" w:hAnsi="宋体" w:eastAsia="宋体" w:cs="宋体"/>
                <w:spacing w:val="-3"/>
                <w:sz w:val="21"/>
                <w:szCs w:val="21"/>
              </w:rPr>
              <w:t>签约合同价</w:t>
            </w:r>
          </w:p>
        </w:tc>
        <w:tc>
          <w:tcPr>
            <w:tcW w:w="749" w:type="dxa"/>
          </w:tcPr>
          <w:p w14:paraId="2BE57FD6">
            <w:pPr>
              <w:pStyle w:val="42"/>
              <w:spacing w:line="360" w:lineRule="auto"/>
              <w:rPr>
                <w:rFonts w:hint="eastAsia" w:ascii="宋体" w:hAnsi="宋体" w:eastAsia="宋体" w:cs="宋体"/>
                <w:sz w:val="21"/>
                <w:szCs w:val="21"/>
              </w:rPr>
            </w:pPr>
          </w:p>
        </w:tc>
      </w:tr>
      <w:tr w14:paraId="2594F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82" w:type="dxa"/>
            <w:tcBorders>
              <w:bottom w:val="single" w:color="000000" w:sz="6" w:space="0"/>
            </w:tcBorders>
          </w:tcPr>
          <w:p w14:paraId="75EE2EDD">
            <w:pPr>
              <w:pStyle w:val="42"/>
              <w:spacing w:before="151" w:line="360" w:lineRule="auto"/>
              <w:ind w:left="9"/>
              <w:jc w:val="center"/>
              <w:rPr>
                <w:rFonts w:hint="eastAsia" w:ascii="宋体" w:hAnsi="宋体" w:eastAsia="宋体" w:cs="宋体"/>
                <w:sz w:val="21"/>
                <w:szCs w:val="21"/>
              </w:rPr>
            </w:pPr>
            <w:r>
              <w:rPr>
                <w:rFonts w:hint="eastAsia" w:ascii="宋体" w:hAnsi="宋体" w:eastAsia="宋体" w:cs="宋体"/>
                <w:w w:val="100"/>
                <w:sz w:val="21"/>
                <w:szCs w:val="21"/>
              </w:rPr>
              <w:t>4</w:t>
            </w:r>
          </w:p>
        </w:tc>
        <w:tc>
          <w:tcPr>
            <w:tcW w:w="2711" w:type="dxa"/>
            <w:tcBorders>
              <w:bottom w:val="single" w:color="000000" w:sz="6" w:space="0"/>
            </w:tcBorders>
          </w:tcPr>
          <w:p w14:paraId="35B63D0A">
            <w:pPr>
              <w:pStyle w:val="42"/>
              <w:spacing w:before="128" w:line="360" w:lineRule="auto"/>
              <w:ind w:left="285" w:right="275"/>
              <w:jc w:val="center"/>
              <w:rPr>
                <w:rFonts w:hint="eastAsia" w:ascii="宋体" w:hAnsi="宋体" w:eastAsia="宋体" w:cs="宋体"/>
                <w:sz w:val="21"/>
                <w:szCs w:val="21"/>
              </w:rPr>
            </w:pPr>
            <w:r>
              <w:rPr>
                <w:rFonts w:hint="eastAsia" w:ascii="宋体" w:hAnsi="宋体" w:eastAsia="宋体" w:cs="宋体"/>
                <w:sz w:val="21"/>
                <w:szCs w:val="21"/>
              </w:rPr>
              <w:t>提前交工的奖金</w:t>
            </w:r>
          </w:p>
        </w:tc>
        <w:tc>
          <w:tcPr>
            <w:tcW w:w="1186" w:type="dxa"/>
            <w:tcBorders>
              <w:bottom w:val="single" w:color="000000" w:sz="6" w:space="0"/>
            </w:tcBorders>
          </w:tcPr>
          <w:p w14:paraId="0B9D68CF">
            <w:pPr>
              <w:pStyle w:val="42"/>
              <w:spacing w:before="151" w:line="360" w:lineRule="auto"/>
              <w:ind w:left="9"/>
              <w:jc w:val="center"/>
              <w:rPr>
                <w:rFonts w:hint="eastAsia" w:ascii="宋体" w:hAnsi="宋体" w:eastAsia="宋体" w:cs="宋体"/>
                <w:sz w:val="21"/>
                <w:szCs w:val="21"/>
              </w:rPr>
            </w:pPr>
            <w:r>
              <w:rPr>
                <w:rFonts w:hint="eastAsia" w:ascii="宋体" w:hAnsi="宋体" w:eastAsia="宋体" w:cs="宋体"/>
                <w:sz w:val="21"/>
                <w:szCs w:val="21"/>
              </w:rPr>
              <w:t>11.6</w:t>
            </w:r>
          </w:p>
        </w:tc>
        <w:tc>
          <w:tcPr>
            <w:tcW w:w="3616" w:type="dxa"/>
            <w:tcBorders>
              <w:bottom w:val="single" w:color="000000" w:sz="6" w:space="0"/>
            </w:tcBorders>
          </w:tcPr>
          <w:p w14:paraId="2B3B1113">
            <w:pPr>
              <w:pStyle w:val="42"/>
              <w:tabs>
                <w:tab w:val="left" w:pos="528"/>
              </w:tabs>
              <w:spacing w:before="128" w:line="360" w:lineRule="auto"/>
              <w:ind w:left="106"/>
              <w:rPr>
                <w:rFonts w:hint="eastAsia" w:ascii="宋体" w:hAnsi="宋体" w:eastAsia="宋体" w:cs="宋体"/>
                <w:sz w:val="21"/>
                <w:szCs w:val="21"/>
              </w:rPr>
            </w:pP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lang w:val="en-US" w:eastAsia="zh-CN"/>
              </w:rPr>
              <w:t>0</w:t>
            </w:r>
            <w:r>
              <w:rPr>
                <w:rFonts w:hint="eastAsia" w:ascii="宋体" w:hAnsi="宋体" w:eastAsia="宋体" w:cs="宋体"/>
                <w:sz w:val="21"/>
                <w:szCs w:val="21"/>
              </w:rPr>
              <w:t>元</w:t>
            </w:r>
            <w:r>
              <w:rPr>
                <w:rFonts w:hint="eastAsia" w:ascii="宋体" w:hAnsi="宋体" w:eastAsia="宋体" w:cs="宋体"/>
                <w:spacing w:val="-4"/>
                <w:sz w:val="21"/>
                <w:szCs w:val="21"/>
              </w:rPr>
              <w:t>/</w:t>
            </w:r>
            <w:r>
              <w:rPr>
                <w:rFonts w:hint="eastAsia" w:ascii="宋体" w:hAnsi="宋体" w:eastAsia="宋体" w:cs="宋体"/>
                <w:sz w:val="21"/>
                <w:szCs w:val="21"/>
              </w:rPr>
              <w:t>天</w:t>
            </w:r>
          </w:p>
        </w:tc>
        <w:tc>
          <w:tcPr>
            <w:tcW w:w="749" w:type="dxa"/>
            <w:tcBorders>
              <w:bottom w:val="single" w:color="000000" w:sz="6" w:space="0"/>
            </w:tcBorders>
          </w:tcPr>
          <w:p w14:paraId="59098D48">
            <w:pPr>
              <w:pStyle w:val="42"/>
              <w:spacing w:line="360" w:lineRule="auto"/>
              <w:rPr>
                <w:rFonts w:hint="eastAsia" w:ascii="宋体" w:hAnsi="宋体" w:eastAsia="宋体" w:cs="宋体"/>
                <w:sz w:val="21"/>
                <w:szCs w:val="21"/>
              </w:rPr>
            </w:pPr>
          </w:p>
        </w:tc>
      </w:tr>
      <w:tr w14:paraId="53B67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82" w:type="dxa"/>
            <w:tcBorders>
              <w:top w:val="single" w:color="000000" w:sz="6" w:space="0"/>
            </w:tcBorders>
          </w:tcPr>
          <w:p w14:paraId="21D42F11">
            <w:pPr>
              <w:pStyle w:val="42"/>
              <w:spacing w:before="149" w:line="360" w:lineRule="auto"/>
              <w:ind w:left="9"/>
              <w:jc w:val="center"/>
              <w:rPr>
                <w:rFonts w:hint="eastAsia" w:ascii="宋体" w:hAnsi="宋体" w:eastAsia="宋体" w:cs="宋体"/>
                <w:sz w:val="21"/>
                <w:szCs w:val="21"/>
              </w:rPr>
            </w:pPr>
            <w:r>
              <w:rPr>
                <w:rFonts w:hint="eastAsia" w:ascii="宋体" w:hAnsi="宋体" w:eastAsia="宋体" w:cs="宋体"/>
                <w:w w:val="100"/>
                <w:sz w:val="21"/>
                <w:szCs w:val="21"/>
              </w:rPr>
              <w:t>5</w:t>
            </w:r>
          </w:p>
        </w:tc>
        <w:tc>
          <w:tcPr>
            <w:tcW w:w="2711" w:type="dxa"/>
            <w:tcBorders>
              <w:top w:val="single" w:color="000000" w:sz="6" w:space="0"/>
            </w:tcBorders>
          </w:tcPr>
          <w:p w14:paraId="2B583EC0">
            <w:pPr>
              <w:pStyle w:val="42"/>
              <w:spacing w:before="126" w:line="360" w:lineRule="auto"/>
              <w:ind w:left="283" w:right="276"/>
              <w:jc w:val="center"/>
              <w:rPr>
                <w:rFonts w:hint="eastAsia" w:ascii="宋体" w:hAnsi="宋体" w:eastAsia="宋体" w:cs="宋体"/>
                <w:sz w:val="21"/>
                <w:szCs w:val="21"/>
              </w:rPr>
            </w:pPr>
            <w:r>
              <w:rPr>
                <w:rFonts w:hint="eastAsia" w:ascii="宋体" w:hAnsi="宋体" w:eastAsia="宋体" w:cs="宋体"/>
                <w:sz w:val="21"/>
                <w:szCs w:val="21"/>
              </w:rPr>
              <w:t>提前交工的奖金限额</w:t>
            </w:r>
          </w:p>
        </w:tc>
        <w:tc>
          <w:tcPr>
            <w:tcW w:w="1186" w:type="dxa"/>
            <w:tcBorders>
              <w:top w:val="single" w:color="000000" w:sz="6" w:space="0"/>
            </w:tcBorders>
          </w:tcPr>
          <w:p w14:paraId="1496ED4C">
            <w:pPr>
              <w:pStyle w:val="42"/>
              <w:spacing w:before="149" w:line="360" w:lineRule="auto"/>
              <w:ind w:left="9"/>
              <w:jc w:val="center"/>
              <w:rPr>
                <w:rFonts w:hint="eastAsia" w:ascii="宋体" w:hAnsi="宋体" w:eastAsia="宋体" w:cs="宋体"/>
                <w:sz w:val="21"/>
                <w:szCs w:val="21"/>
              </w:rPr>
            </w:pPr>
            <w:r>
              <w:rPr>
                <w:rFonts w:hint="eastAsia" w:ascii="宋体" w:hAnsi="宋体" w:eastAsia="宋体" w:cs="宋体"/>
                <w:sz w:val="21"/>
                <w:szCs w:val="21"/>
              </w:rPr>
              <w:t>11.6</w:t>
            </w:r>
          </w:p>
        </w:tc>
        <w:tc>
          <w:tcPr>
            <w:tcW w:w="3616" w:type="dxa"/>
            <w:tcBorders>
              <w:top w:val="single" w:color="000000" w:sz="6" w:space="0"/>
            </w:tcBorders>
          </w:tcPr>
          <w:p w14:paraId="450E7A7C">
            <w:pPr>
              <w:pStyle w:val="42"/>
              <w:tabs>
                <w:tab w:val="left" w:pos="528"/>
              </w:tabs>
              <w:spacing w:before="126" w:line="360" w:lineRule="auto"/>
              <w:ind w:left="106"/>
              <w:rPr>
                <w:rFonts w:hint="eastAsia" w:ascii="宋体" w:hAnsi="宋体" w:eastAsia="宋体" w:cs="宋体"/>
                <w:sz w:val="21"/>
                <w:szCs w:val="21"/>
              </w:rPr>
            </w:pP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lang w:val="en-US" w:eastAsia="zh-CN"/>
              </w:rPr>
              <w:t>0</w:t>
            </w:r>
            <w:r>
              <w:rPr>
                <w:rFonts w:hint="eastAsia" w:ascii="宋体" w:hAnsi="宋体" w:eastAsia="宋体" w:cs="宋体"/>
                <w:spacing w:val="-4"/>
                <w:sz w:val="21"/>
                <w:szCs w:val="21"/>
              </w:rPr>
              <w:t>%</w:t>
            </w:r>
            <w:r>
              <w:rPr>
                <w:rFonts w:hint="eastAsia" w:ascii="宋体" w:hAnsi="宋体" w:eastAsia="宋体" w:cs="宋体"/>
                <w:spacing w:val="-3"/>
                <w:sz w:val="21"/>
                <w:szCs w:val="21"/>
              </w:rPr>
              <w:t>签约合同价</w:t>
            </w:r>
          </w:p>
        </w:tc>
        <w:tc>
          <w:tcPr>
            <w:tcW w:w="749" w:type="dxa"/>
            <w:tcBorders>
              <w:top w:val="single" w:color="000000" w:sz="6" w:space="0"/>
            </w:tcBorders>
          </w:tcPr>
          <w:p w14:paraId="7C5126FF">
            <w:pPr>
              <w:pStyle w:val="42"/>
              <w:spacing w:line="360" w:lineRule="auto"/>
              <w:rPr>
                <w:rFonts w:hint="eastAsia" w:ascii="宋体" w:hAnsi="宋体" w:eastAsia="宋体" w:cs="宋体"/>
                <w:sz w:val="21"/>
                <w:szCs w:val="21"/>
              </w:rPr>
            </w:pPr>
          </w:p>
        </w:tc>
      </w:tr>
      <w:tr w14:paraId="17E03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tcPr>
          <w:p w14:paraId="5770AA2A">
            <w:pPr>
              <w:pStyle w:val="42"/>
              <w:spacing w:before="151" w:line="360" w:lineRule="auto"/>
              <w:ind w:left="9"/>
              <w:jc w:val="center"/>
              <w:rPr>
                <w:rFonts w:hint="eastAsia" w:ascii="宋体" w:hAnsi="宋体" w:eastAsia="宋体" w:cs="宋体"/>
                <w:sz w:val="21"/>
                <w:szCs w:val="21"/>
              </w:rPr>
            </w:pPr>
            <w:r>
              <w:rPr>
                <w:rFonts w:hint="eastAsia" w:ascii="宋体" w:hAnsi="宋体" w:eastAsia="宋体" w:cs="宋体"/>
                <w:w w:val="100"/>
                <w:sz w:val="21"/>
                <w:szCs w:val="21"/>
              </w:rPr>
              <w:t>6</w:t>
            </w:r>
          </w:p>
        </w:tc>
        <w:tc>
          <w:tcPr>
            <w:tcW w:w="2711" w:type="dxa"/>
          </w:tcPr>
          <w:p w14:paraId="019EE8DE">
            <w:pPr>
              <w:pStyle w:val="42"/>
              <w:spacing w:before="128" w:line="360" w:lineRule="auto"/>
              <w:ind w:left="283" w:right="276"/>
              <w:jc w:val="center"/>
              <w:rPr>
                <w:rFonts w:hint="eastAsia" w:ascii="宋体" w:hAnsi="宋体" w:eastAsia="宋体" w:cs="宋体"/>
                <w:sz w:val="21"/>
                <w:szCs w:val="21"/>
              </w:rPr>
            </w:pPr>
            <w:r>
              <w:rPr>
                <w:rFonts w:hint="eastAsia" w:ascii="宋体" w:hAnsi="宋体" w:eastAsia="宋体" w:cs="宋体"/>
                <w:sz w:val="21"/>
                <w:szCs w:val="21"/>
              </w:rPr>
              <w:t>价格调整的差额计算</w:t>
            </w:r>
          </w:p>
        </w:tc>
        <w:tc>
          <w:tcPr>
            <w:tcW w:w="1186" w:type="dxa"/>
          </w:tcPr>
          <w:p w14:paraId="7BCEBD69">
            <w:pPr>
              <w:pStyle w:val="42"/>
              <w:spacing w:before="151" w:line="360" w:lineRule="auto"/>
              <w:ind w:left="6"/>
              <w:jc w:val="center"/>
              <w:rPr>
                <w:rFonts w:hint="eastAsia" w:ascii="宋体" w:hAnsi="宋体" w:eastAsia="宋体" w:cs="宋体"/>
                <w:sz w:val="21"/>
                <w:szCs w:val="21"/>
              </w:rPr>
            </w:pPr>
            <w:r>
              <w:rPr>
                <w:rFonts w:hint="eastAsia" w:ascii="宋体" w:hAnsi="宋体" w:eastAsia="宋体" w:cs="宋体"/>
                <w:sz w:val="21"/>
                <w:szCs w:val="21"/>
              </w:rPr>
              <w:t>16.1.1</w:t>
            </w:r>
          </w:p>
        </w:tc>
        <w:tc>
          <w:tcPr>
            <w:tcW w:w="3616" w:type="dxa"/>
            <w:vAlign w:val="top"/>
          </w:tcPr>
          <w:p w14:paraId="7349CFEC">
            <w:pPr>
              <w:pStyle w:val="42"/>
              <w:spacing w:before="119" w:line="360" w:lineRule="auto"/>
              <w:ind w:left="110" w:leftChars="0" w:right="0" w:rightChars="0"/>
              <w:rPr>
                <w:rFonts w:hint="eastAsia" w:ascii="宋体" w:hAnsi="宋体" w:eastAsia="宋体" w:cs="宋体"/>
                <w:sz w:val="21"/>
                <w:szCs w:val="21"/>
              </w:rPr>
            </w:pPr>
            <w:r>
              <w:rPr>
                <w:rFonts w:hint="eastAsia" w:ascii="宋体" w:hAnsi="宋体" w:eastAsia="宋体" w:cs="宋体"/>
                <w:sz w:val="21"/>
                <w:szCs w:val="21"/>
              </w:rPr>
              <w:t xml:space="preserve">合同期内不调价 </w:t>
            </w:r>
          </w:p>
        </w:tc>
        <w:tc>
          <w:tcPr>
            <w:tcW w:w="749" w:type="dxa"/>
          </w:tcPr>
          <w:p w14:paraId="36012816">
            <w:pPr>
              <w:pStyle w:val="42"/>
              <w:spacing w:line="360" w:lineRule="auto"/>
              <w:rPr>
                <w:rFonts w:hint="eastAsia" w:ascii="宋体" w:hAnsi="宋体" w:eastAsia="宋体" w:cs="宋体"/>
                <w:sz w:val="21"/>
                <w:szCs w:val="21"/>
              </w:rPr>
            </w:pPr>
          </w:p>
        </w:tc>
      </w:tr>
      <w:tr w14:paraId="30D65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82" w:type="dxa"/>
          </w:tcPr>
          <w:p w14:paraId="6DF6C75E">
            <w:pPr>
              <w:pStyle w:val="42"/>
              <w:spacing w:before="151" w:line="360" w:lineRule="auto"/>
              <w:ind w:left="9"/>
              <w:jc w:val="center"/>
              <w:rPr>
                <w:rFonts w:hint="eastAsia" w:ascii="宋体" w:hAnsi="宋体" w:eastAsia="宋体" w:cs="宋体"/>
                <w:sz w:val="21"/>
                <w:szCs w:val="21"/>
              </w:rPr>
            </w:pPr>
            <w:r>
              <w:rPr>
                <w:rFonts w:hint="eastAsia" w:ascii="宋体" w:hAnsi="宋体" w:eastAsia="宋体" w:cs="宋体"/>
                <w:w w:val="100"/>
                <w:sz w:val="21"/>
                <w:szCs w:val="21"/>
              </w:rPr>
              <w:t>7</w:t>
            </w:r>
          </w:p>
        </w:tc>
        <w:tc>
          <w:tcPr>
            <w:tcW w:w="2711" w:type="dxa"/>
          </w:tcPr>
          <w:p w14:paraId="58B09BA1">
            <w:pPr>
              <w:pStyle w:val="42"/>
              <w:spacing w:before="128" w:line="360" w:lineRule="auto"/>
              <w:ind w:left="285" w:right="276"/>
              <w:jc w:val="center"/>
              <w:rPr>
                <w:rFonts w:hint="eastAsia" w:ascii="宋体" w:hAnsi="宋体" w:eastAsia="宋体" w:cs="宋体"/>
                <w:sz w:val="21"/>
                <w:szCs w:val="21"/>
              </w:rPr>
            </w:pPr>
            <w:r>
              <w:rPr>
                <w:rFonts w:hint="eastAsia" w:ascii="宋体" w:hAnsi="宋体" w:eastAsia="宋体" w:cs="宋体"/>
                <w:sz w:val="21"/>
                <w:szCs w:val="21"/>
              </w:rPr>
              <w:t>开工预付款金额</w:t>
            </w:r>
          </w:p>
        </w:tc>
        <w:tc>
          <w:tcPr>
            <w:tcW w:w="1186" w:type="dxa"/>
          </w:tcPr>
          <w:p w14:paraId="3387DB46">
            <w:pPr>
              <w:pStyle w:val="42"/>
              <w:spacing w:before="128" w:line="360" w:lineRule="auto"/>
              <w:ind w:left="90"/>
              <w:jc w:val="center"/>
              <w:rPr>
                <w:rFonts w:hint="eastAsia" w:ascii="宋体" w:hAnsi="宋体" w:eastAsia="宋体" w:cs="宋体"/>
                <w:sz w:val="21"/>
                <w:szCs w:val="21"/>
              </w:rPr>
            </w:pPr>
            <w:r>
              <w:rPr>
                <w:rFonts w:hint="eastAsia" w:ascii="宋体" w:hAnsi="宋体" w:eastAsia="宋体" w:cs="宋体"/>
                <w:sz w:val="21"/>
                <w:szCs w:val="21"/>
              </w:rPr>
              <w:t>17.2.1（1）</w:t>
            </w:r>
          </w:p>
        </w:tc>
        <w:tc>
          <w:tcPr>
            <w:tcW w:w="3616" w:type="dxa"/>
          </w:tcPr>
          <w:p w14:paraId="007CC5FC">
            <w:pPr>
              <w:pStyle w:val="42"/>
              <w:tabs>
                <w:tab w:val="left" w:pos="423"/>
              </w:tabs>
              <w:spacing w:before="128" w:line="360" w:lineRule="auto"/>
              <w:ind w:left="106"/>
              <w:rPr>
                <w:rFonts w:hint="eastAsia" w:ascii="宋体" w:hAnsi="宋体" w:eastAsia="宋体" w:cs="宋体"/>
                <w:sz w:val="21"/>
                <w:szCs w:val="21"/>
              </w:rPr>
            </w:pPr>
            <w:r>
              <w:rPr>
                <w:rFonts w:hint="eastAsia" w:ascii="宋体" w:hAnsi="宋体" w:eastAsia="宋体" w:cs="宋体"/>
                <w:color w:val="auto"/>
                <w:w w:val="100"/>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签约合同价</w:t>
            </w:r>
          </w:p>
        </w:tc>
        <w:tc>
          <w:tcPr>
            <w:tcW w:w="749" w:type="dxa"/>
          </w:tcPr>
          <w:p w14:paraId="2B4DB885">
            <w:pPr>
              <w:pStyle w:val="42"/>
              <w:spacing w:line="360" w:lineRule="auto"/>
              <w:rPr>
                <w:rFonts w:hint="eastAsia" w:ascii="宋体" w:hAnsi="宋体" w:eastAsia="宋体" w:cs="宋体"/>
                <w:sz w:val="21"/>
                <w:szCs w:val="21"/>
              </w:rPr>
            </w:pPr>
          </w:p>
        </w:tc>
      </w:tr>
      <w:tr w14:paraId="66BFE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682" w:type="dxa"/>
          </w:tcPr>
          <w:p w14:paraId="144EEEC9">
            <w:pPr>
              <w:pStyle w:val="42"/>
              <w:spacing w:before="7" w:line="360" w:lineRule="auto"/>
              <w:rPr>
                <w:rFonts w:hint="eastAsia" w:ascii="宋体" w:hAnsi="宋体" w:eastAsia="宋体" w:cs="宋体"/>
                <w:sz w:val="21"/>
                <w:szCs w:val="21"/>
              </w:rPr>
            </w:pPr>
          </w:p>
          <w:p w14:paraId="03E4285B">
            <w:pPr>
              <w:pStyle w:val="42"/>
              <w:spacing w:line="360" w:lineRule="auto"/>
              <w:ind w:left="9"/>
              <w:jc w:val="center"/>
              <w:rPr>
                <w:rFonts w:hint="eastAsia" w:ascii="宋体" w:hAnsi="宋体" w:eastAsia="宋体" w:cs="宋体"/>
                <w:sz w:val="21"/>
                <w:szCs w:val="21"/>
              </w:rPr>
            </w:pPr>
            <w:r>
              <w:rPr>
                <w:rFonts w:hint="eastAsia" w:ascii="宋体" w:hAnsi="宋体" w:eastAsia="宋体" w:cs="宋体"/>
                <w:w w:val="100"/>
                <w:sz w:val="21"/>
                <w:szCs w:val="21"/>
              </w:rPr>
              <w:t>8</w:t>
            </w:r>
          </w:p>
        </w:tc>
        <w:tc>
          <w:tcPr>
            <w:tcW w:w="2711" w:type="dxa"/>
          </w:tcPr>
          <w:p w14:paraId="39E45D67">
            <w:pPr>
              <w:pStyle w:val="42"/>
              <w:spacing w:before="9" w:line="360" w:lineRule="auto"/>
              <w:rPr>
                <w:rFonts w:hint="eastAsia" w:ascii="宋体" w:hAnsi="宋体" w:eastAsia="宋体" w:cs="宋体"/>
                <w:sz w:val="21"/>
                <w:szCs w:val="21"/>
              </w:rPr>
            </w:pPr>
          </w:p>
          <w:p w14:paraId="00BE31EE">
            <w:pPr>
              <w:pStyle w:val="42"/>
              <w:spacing w:line="360" w:lineRule="auto"/>
              <w:ind w:left="285" w:right="276"/>
              <w:jc w:val="center"/>
              <w:rPr>
                <w:rFonts w:hint="eastAsia" w:ascii="宋体" w:hAnsi="宋体" w:eastAsia="宋体" w:cs="宋体"/>
                <w:sz w:val="21"/>
                <w:szCs w:val="21"/>
              </w:rPr>
            </w:pPr>
            <w:r>
              <w:rPr>
                <w:rFonts w:hint="eastAsia" w:ascii="宋体" w:hAnsi="宋体" w:eastAsia="宋体" w:cs="宋体"/>
                <w:sz w:val="21"/>
                <w:szCs w:val="21"/>
              </w:rPr>
              <w:t>材料、设备预付款比例</w:t>
            </w:r>
          </w:p>
        </w:tc>
        <w:tc>
          <w:tcPr>
            <w:tcW w:w="1186" w:type="dxa"/>
          </w:tcPr>
          <w:p w14:paraId="4E839462">
            <w:pPr>
              <w:pStyle w:val="42"/>
              <w:spacing w:before="9" w:line="360" w:lineRule="auto"/>
              <w:rPr>
                <w:rFonts w:hint="eastAsia" w:ascii="宋体" w:hAnsi="宋体" w:eastAsia="宋体" w:cs="宋体"/>
                <w:sz w:val="21"/>
                <w:szCs w:val="21"/>
              </w:rPr>
            </w:pPr>
          </w:p>
          <w:p w14:paraId="3C7E9608">
            <w:pPr>
              <w:pStyle w:val="42"/>
              <w:spacing w:line="360" w:lineRule="auto"/>
              <w:ind w:left="90"/>
              <w:jc w:val="center"/>
              <w:rPr>
                <w:rFonts w:hint="eastAsia" w:ascii="宋体" w:hAnsi="宋体" w:eastAsia="宋体" w:cs="宋体"/>
                <w:sz w:val="21"/>
                <w:szCs w:val="21"/>
              </w:rPr>
            </w:pPr>
            <w:r>
              <w:rPr>
                <w:rFonts w:hint="eastAsia" w:ascii="宋体" w:hAnsi="宋体" w:eastAsia="宋体" w:cs="宋体"/>
                <w:sz w:val="21"/>
                <w:szCs w:val="21"/>
              </w:rPr>
              <w:t>17.2.1（2）</w:t>
            </w:r>
          </w:p>
        </w:tc>
        <w:tc>
          <w:tcPr>
            <w:tcW w:w="3616" w:type="dxa"/>
          </w:tcPr>
          <w:p w14:paraId="43D46F95">
            <w:pPr>
              <w:pStyle w:val="42"/>
              <w:tabs>
                <w:tab w:val="left" w:pos="528"/>
                <w:tab w:val="left" w:pos="634"/>
              </w:tabs>
              <w:spacing w:line="360" w:lineRule="auto"/>
              <w:ind w:left="106" w:right="101"/>
              <w:rPr>
                <w:rFonts w:hint="eastAsia" w:ascii="宋体" w:hAnsi="宋体" w:eastAsia="宋体" w:cs="宋体"/>
                <w:sz w:val="21"/>
                <w:szCs w:val="21"/>
              </w:rPr>
            </w:pP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rPr>
              <w:t>商品水泥混凝土、沥青混凝土、碎石、水泥</w:t>
            </w:r>
            <w:r>
              <w:rPr>
                <w:rFonts w:hint="eastAsia" w:ascii="宋体" w:hAnsi="宋体" w:eastAsia="宋体" w:cs="宋体"/>
                <w:sz w:val="21"/>
                <w:szCs w:val="21"/>
              </w:rPr>
              <w:t>等主要材料、设备单据所列费</w:t>
            </w:r>
            <w:r>
              <w:rPr>
                <w:rFonts w:hint="eastAsia" w:ascii="宋体" w:hAnsi="宋体" w:eastAsia="宋体" w:cs="宋体"/>
                <w:spacing w:val="-16"/>
                <w:sz w:val="21"/>
                <w:szCs w:val="21"/>
              </w:rPr>
              <w:t>用</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0</w:t>
            </w:r>
            <w:r>
              <w:rPr>
                <w:rFonts w:hint="eastAsia" w:ascii="宋体" w:hAnsi="宋体" w:eastAsia="宋体" w:cs="宋体"/>
                <w:sz w:val="21"/>
                <w:szCs w:val="21"/>
              </w:rPr>
              <w:t>%</w:t>
            </w:r>
          </w:p>
        </w:tc>
        <w:tc>
          <w:tcPr>
            <w:tcW w:w="749" w:type="dxa"/>
          </w:tcPr>
          <w:p w14:paraId="6441B38F">
            <w:pPr>
              <w:pStyle w:val="42"/>
              <w:spacing w:line="360" w:lineRule="auto"/>
              <w:rPr>
                <w:rFonts w:hint="eastAsia" w:ascii="宋体" w:hAnsi="宋体" w:eastAsia="宋体" w:cs="宋体"/>
                <w:sz w:val="21"/>
                <w:szCs w:val="21"/>
              </w:rPr>
            </w:pPr>
          </w:p>
        </w:tc>
      </w:tr>
      <w:tr w14:paraId="469F8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tcPr>
          <w:p w14:paraId="257EF531">
            <w:pPr>
              <w:pStyle w:val="42"/>
              <w:spacing w:before="151" w:line="360" w:lineRule="auto"/>
              <w:ind w:left="9"/>
              <w:jc w:val="center"/>
              <w:rPr>
                <w:rFonts w:hint="eastAsia" w:ascii="宋体" w:hAnsi="宋体" w:eastAsia="宋体" w:cs="宋体"/>
                <w:sz w:val="21"/>
                <w:szCs w:val="21"/>
              </w:rPr>
            </w:pPr>
            <w:r>
              <w:rPr>
                <w:rFonts w:hint="eastAsia" w:ascii="宋体" w:hAnsi="宋体" w:eastAsia="宋体" w:cs="宋体"/>
                <w:w w:val="100"/>
                <w:sz w:val="21"/>
                <w:szCs w:val="21"/>
              </w:rPr>
              <w:t>9</w:t>
            </w:r>
          </w:p>
        </w:tc>
        <w:tc>
          <w:tcPr>
            <w:tcW w:w="2711" w:type="dxa"/>
          </w:tcPr>
          <w:p w14:paraId="1420C3E9">
            <w:pPr>
              <w:pStyle w:val="42"/>
              <w:spacing w:before="128" w:line="360" w:lineRule="auto"/>
              <w:ind w:left="285" w:right="276"/>
              <w:jc w:val="center"/>
              <w:rPr>
                <w:rFonts w:hint="eastAsia" w:ascii="宋体" w:hAnsi="宋体" w:eastAsia="宋体" w:cs="宋体"/>
                <w:sz w:val="21"/>
                <w:szCs w:val="21"/>
              </w:rPr>
            </w:pPr>
            <w:r>
              <w:rPr>
                <w:rFonts w:hint="eastAsia" w:ascii="宋体" w:hAnsi="宋体" w:eastAsia="宋体" w:cs="宋体"/>
                <w:sz w:val="21"/>
                <w:szCs w:val="21"/>
              </w:rPr>
              <w:t>进度付款证书最低限额</w:t>
            </w:r>
          </w:p>
        </w:tc>
        <w:tc>
          <w:tcPr>
            <w:tcW w:w="1186" w:type="dxa"/>
          </w:tcPr>
          <w:p w14:paraId="6F6A6404">
            <w:pPr>
              <w:pStyle w:val="42"/>
              <w:spacing w:before="128" w:line="360" w:lineRule="auto"/>
              <w:ind w:left="90"/>
              <w:jc w:val="center"/>
              <w:rPr>
                <w:rFonts w:hint="eastAsia" w:ascii="宋体" w:hAnsi="宋体" w:eastAsia="宋体" w:cs="宋体"/>
                <w:sz w:val="21"/>
                <w:szCs w:val="21"/>
              </w:rPr>
            </w:pPr>
            <w:r>
              <w:rPr>
                <w:rFonts w:hint="eastAsia" w:ascii="宋体" w:hAnsi="宋体" w:eastAsia="宋体" w:cs="宋体"/>
                <w:sz w:val="21"/>
                <w:szCs w:val="21"/>
              </w:rPr>
              <w:t>17.3.3（1）</w:t>
            </w:r>
          </w:p>
        </w:tc>
        <w:tc>
          <w:tcPr>
            <w:tcW w:w="3616" w:type="dxa"/>
          </w:tcPr>
          <w:p w14:paraId="1031B9F8">
            <w:pPr>
              <w:pStyle w:val="42"/>
              <w:tabs>
                <w:tab w:val="left" w:pos="528"/>
                <w:tab w:val="left" w:pos="2487"/>
              </w:tabs>
              <w:spacing w:before="128" w:line="360" w:lineRule="auto"/>
              <w:ind w:left="106"/>
              <w:rPr>
                <w:rFonts w:hint="eastAsia" w:ascii="宋体" w:hAnsi="宋体" w:eastAsia="宋体" w:cs="宋体"/>
                <w:sz w:val="21"/>
                <w:szCs w:val="21"/>
                <w:lang w:val="en-US" w:eastAsia="zh-CN"/>
              </w:rPr>
            </w:pPr>
            <w:r>
              <w:rPr>
                <w:rFonts w:hint="eastAsia" w:ascii="宋体" w:hAnsi="宋体" w:eastAsia="宋体" w:cs="宋体"/>
                <w:w w:val="100"/>
                <w:sz w:val="21"/>
                <w:szCs w:val="21"/>
                <w:u w:val="single"/>
                <w:lang w:val="en-US" w:eastAsia="zh-CN"/>
              </w:rPr>
              <w:t>相应招标文件要求</w:t>
            </w:r>
          </w:p>
        </w:tc>
        <w:tc>
          <w:tcPr>
            <w:tcW w:w="749" w:type="dxa"/>
          </w:tcPr>
          <w:p w14:paraId="3DE0FA63">
            <w:pPr>
              <w:pStyle w:val="42"/>
              <w:spacing w:line="360" w:lineRule="auto"/>
              <w:rPr>
                <w:rFonts w:hint="eastAsia" w:ascii="宋体" w:hAnsi="宋体" w:eastAsia="宋体" w:cs="宋体"/>
                <w:sz w:val="21"/>
                <w:szCs w:val="21"/>
              </w:rPr>
            </w:pPr>
          </w:p>
        </w:tc>
      </w:tr>
      <w:tr w14:paraId="64F52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tcPr>
          <w:p w14:paraId="4A471FF0">
            <w:pPr>
              <w:pStyle w:val="42"/>
              <w:spacing w:before="151" w:line="360" w:lineRule="auto"/>
              <w:ind w:left="109" w:right="100"/>
              <w:jc w:val="center"/>
              <w:rPr>
                <w:rFonts w:hint="eastAsia" w:ascii="宋体" w:hAnsi="宋体" w:eastAsia="宋体" w:cs="宋体"/>
                <w:sz w:val="21"/>
                <w:szCs w:val="21"/>
              </w:rPr>
            </w:pPr>
            <w:r>
              <w:rPr>
                <w:rFonts w:hint="eastAsia" w:ascii="宋体" w:hAnsi="宋体" w:eastAsia="宋体" w:cs="宋体"/>
                <w:sz w:val="21"/>
                <w:szCs w:val="21"/>
              </w:rPr>
              <w:t>10</w:t>
            </w:r>
          </w:p>
        </w:tc>
        <w:tc>
          <w:tcPr>
            <w:tcW w:w="2711" w:type="dxa"/>
          </w:tcPr>
          <w:p w14:paraId="574B9DC0">
            <w:pPr>
              <w:pStyle w:val="42"/>
              <w:spacing w:before="128" w:line="360" w:lineRule="auto"/>
              <w:ind w:left="285" w:right="276"/>
              <w:jc w:val="center"/>
              <w:rPr>
                <w:rFonts w:hint="eastAsia" w:ascii="宋体" w:hAnsi="宋体" w:eastAsia="宋体" w:cs="宋体"/>
                <w:sz w:val="21"/>
                <w:szCs w:val="21"/>
              </w:rPr>
            </w:pPr>
            <w:r>
              <w:rPr>
                <w:rFonts w:hint="eastAsia" w:ascii="宋体" w:hAnsi="宋体" w:eastAsia="宋体" w:cs="宋体"/>
                <w:sz w:val="21"/>
                <w:szCs w:val="21"/>
              </w:rPr>
              <w:t>逾期付款违约金的利率</w:t>
            </w:r>
          </w:p>
        </w:tc>
        <w:tc>
          <w:tcPr>
            <w:tcW w:w="1186" w:type="dxa"/>
          </w:tcPr>
          <w:p w14:paraId="599B00FC">
            <w:pPr>
              <w:pStyle w:val="42"/>
              <w:spacing w:before="128" w:line="360" w:lineRule="auto"/>
              <w:ind w:left="90"/>
              <w:jc w:val="center"/>
              <w:rPr>
                <w:rFonts w:hint="eastAsia" w:ascii="宋体" w:hAnsi="宋体" w:eastAsia="宋体" w:cs="宋体"/>
                <w:sz w:val="21"/>
                <w:szCs w:val="21"/>
              </w:rPr>
            </w:pPr>
            <w:r>
              <w:rPr>
                <w:rFonts w:hint="eastAsia" w:ascii="宋体" w:hAnsi="宋体" w:eastAsia="宋体" w:cs="宋体"/>
                <w:sz w:val="21"/>
                <w:szCs w:val="21"/>
              </w:rPr>
              <w:t>17.3.3（2）</w:t>
            </w:r>
          </w:p>
        </w:tc>
        <w:tc>
          <w:tcPr>
            <w:tcW w:w="3616" w:type="dxa"/>
          </w:tcPr>
          <w:p w14:paraId="344A9991">
            <w:pPr>
              <w:pStyle w:val="42"/>
              <w:tabs>
                <w:tab w:val="left" w:pos="632"/>
              </w:tabs>
              <w:spacing w:before="128" w:line="360" w:lineRule="auto"/>
              <w:ind w:left="106"/>
              <w:rPr>
                <w:rFonts w:hint="eastAsia" w:ascii="宋体" w:hAnsi="宋体" w:eastAsia="宋体" w:cs="宋体"/>
                <w:sz w:val="21"/>
                <w:szCs w:val="21"/>
              </w:rPr>
            </w:pP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lang w:val="en-US" w:eastAsia="zh-CN"/>
              </w:rPr>
              <w:t>0</w:t>
            </w:r>
            <w:r>
              <w:rPr>
                <w:rFonts w:hint="eastAsia" w:ascii="宋体" w:hAnsi="宋体" w:eastAsia="宋体" w:cs="宋体"/>
                <w:sz w:val="21"/>
                <w:szCs w:val="21"/>
              </w:rPr>
              <w:t>‰/天</w:t>
            </w:r>
          </w:p>
        </w:tc>
        <w:tc>
          <w:tcPr>
            <w:tcW w:w="749" w:type="dxa"/>
          </w:tcPr>
          <w:p w14:paraId="49A5B75B">
            <w:pPr>
              <w:pStyle w:val="42"/>
              <w:spacing w:line="360" w:lineRule="auto"/>
              <w:rPr>
                <w:rFonts w:hint="eastAsia" w:ascii="宋体" w:hAnsi="宋体" w:eastAsia="宋体" w:cs="宋体"/>
                <w:sz w:val="21"/>
                <w:szCs w:val="21"/>
              </w:rPr>
            </w:pPr>
          </w:p>
        </w:tc>
      </w:tr>
      <w:tr w14:paraId="4A0FC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trPr>
        <w:tc>
          <w:tcPr>
            <w:tcW w:w="682" w:type="dxa"/>
          </w:tcPr>
          <w:p w14:paraId="179D98C9">
            <w:pPr>
              <w:pStyle w:val="42"/>
              <w:spacing w:line="360" w:lineRule="auto"/>
              <w:rPr>
                <w:rFonts w:hint="eastAsia" w:ascii="宋体" w:hAnsi="宋体" w:eastAsia="宋体" w:cs="宋体"/>
                <w:sz w:val="21"/>
                <w:szCs w:val="21"/>
              </w:rPr>
            </w:pPr>
          </w:p>
          <w:p w14:paraId="2EAD750A">
            <w:pPr>
              <w:pStyle w:val="42"/>
              <w:spacing w:line="360" w:lineRule="auto"/>
              <w:rPr>
                <w:rFonts w:hint="eastAsia" w:ascii="宋体" w:hAnsi="宋体" w:eastAsia="宋体" w:cs="宋体"/>
                <w:sz w:val="21"/>
                <w:szCs w:val="21"/>
              </w:rPr>
            </w:pPr>
          </w:p>
          <w:p w14:paraId="0D050C6E">
            <w:pPr>
              <w:pStyle w:val="42"/>
              <w:spacing w:before="3" w:line="360" w:lineRule="auto"/>
              <w:rPr>
                <w:rFonts w:hint="eastAsia" w:ascii="宋体" w:hAnsi="宋体" w:eastAsia="宋体" w:cs="宋体"/>
                <w:sz w:val="21"/>
                <w:szCs w:val="21"/>
              </w:rPr>
            </w:pPr>
          </w:p>
          <w:p w14:paraId="7EDC6F38">
            <w:pPr>
              <w:pStyle w:val="42"/>
              <w:spacing w:line="360" w:lineRule="auto"/>
              <w:ind w:left="109" w:right="98"/>
              <w:jc w:val="center"/>
              <w:rPr>
                <w:rFonts w:hint="eastAsia" w:ascii="宋体" w:hAnsi="宋体" w:eastAsia="宋体" w:cs="宋体"/>
                <w:sz w:val="21"/>
                <w:szCs w:val="21"/>
              </w:rPr>
            </w:pPr>
            <w:r>
              <w:rPr>
                <w:rFonts w:hint="eastAsia" w:ascii="宋体" w:hAnsi="宋体" w:eastAsia="宋体" w:cs="宋体"/>
                <w:sz w:val="21"/>
                <w:szCs w:val="21"/>
              </w:rPr>
              <w:t>11</w:t>
            </w:r>
          </w:p>
        </w:tc>
        <w:tc>
          <w:tcPr>
            <w:tcW w:w="2711" w:type="dxa"/>
          </w:tcPr>
          <w:p w14:paraId="3B61DF2F">
            <w:pPr>
              <w:pStyle w:val="42"/>
              <w:spacing w:line="360" w:lineRule="auto"/>
              <w:rPr>
                <w:rFonts w:hint="eastAsia" w:ascii="宋体" w:hAnsi="宋体" w:eastAsia="宋体" w:cs="宋体"/>
                <w:sz w:val="21"/>
                <w:szCs w:val="21"/>
              </w:rPr>
            </w:pPr>
          </w:p>
          <w:p w14:paraId="2EF8675B">
            <w:pPr>
              <w:pStyle w:val="42"/>
              <w:spacing w:line="360" w:lineRule="auto"/>
              <w:rPr>
                <w:rFonts w:hint="eastAsia" w:ascii="宋体" w:hAnsi="宋体" w:eastAsia="宋体" w:cs="宋体"/>
                <w:sz w:val="21"/>
                <w:szCs w:val="21"/>
              </w:rPr>
            </w:pPr>
          </w:p>
          <w:p w14:paraId="233F5A7E">
            <w:pPr>
              <w:pStyle w:val="42"/>
              <w:spacing w:line="360" w:lineRule="auto"/>
              <w:rPr>
                <w:rFonts w:hint="eastAsia" w:ascii="宋体" w:hAnsi="宋体" w:eastAsia="宋体" w:cs="宋体"/>
                <w:sz w:val="21"/>
                <w:szCs w:val="21"/>
              </w:rPr>
            </w:pPr>
          </w:p>
          <w:p w14:paraId="743342A0">
            <w:pPr>
              <w:pStyle w:val="42"/>
              <w:spacing w:before="159" w:line="360" w:lineRule="auto"/>
              <w:ind w:left="285" w:right="275"/>
              <w:jc w:val="center"/>
              <w:rPr>
                <w:rFonts w:hint="eastAsia" w:ascii="宋体" w:hAnsi="宋体" w:eastAsia="宋体" w:cs="宋体"/>
                <w:sz w:val="21"/>
                <w:szCs w:val="21"/>
              </w:rPr>
            </w:pPr>
            <w:r>
              <w:rPr>
                <w:rFonts w:hint="eastAsia" w:ascii="宋体" w:hAnsi="宋体" w:eastAsia="宋体" w:cs="宋体"/>
                <w:sz w:val="21"/>
                <w:szCs w:val="21"/>
              </w:rPr>
              <w:t>质量保证金金额</w:t>
            </w:r>
          </w:p>
        </w:tc>
        <w:tc>
          <w:tcPr>
            <w:tcW w:w="1186" w:type="dxa"/>
          </w:tcPr>
          <w:p w14:paraId="7DB1FD88">
            <w:pPr>
              <w:pStyle w:val="42"/>
              <w:spacing w:line="360" w:lineRule="auto"/>
              <w:rPr>
                <w:rFonts w:hint="eastAsia" w:ascii="宋体" w:hAnsi="宋体" w:eastAsia="宋体" w:cs="宋体"/>
                <w:sz w:val="21"/>
                <w:szCs w:val="21"/>
              </w:rPr>
            </w:pPr>
          </w:p>
          <w:p w14:paraId="639D65D1">
            <w:pPr>
              <w:pStyle w:val="42"/>
              <w:spacing w:line="360" w:lineRule="auto"/>
              <w:rPr>
                <w:rFonts w:hint="eastAsia" w:ascii="宋体" w:hAnsi="宋体" w:eastAsia="宋体" w:cs="宋体"/>
                <w:sz w:val="21"/>
                <w:szCs w:val="21"/>
              </w:rPr>
            </w:pPr>
          </w:p>
          <w:p w14:paraId="533D9419">
            <w:pPr>
              <w:pStyle w:val="42"/>
              <w:spacing w:before="3" w:line="360" w:lineRule="auto"/>
              <w:rPr>
                <w:rFonts w:hint="eastAsia" w:ascii="宋体" w:hAnsi="宋体" w:eastAsia="宋体" w:cs="宋体"/>
                <w:sz w:val="21"/>
                <w:szCs w:val="21"/>
              </w:rPr>
            </w:pPr>
          </w:p>
          <w:p w14:paraId="55D893B3">
            <w:pPr>
              <w:pStyle w:val="42"/>
              <w:spacing w:line="360" w:lineRule="auto"/>
              <w:ind w:left="6"/>
              <w:jc w:val="center"/>
              <w:rPr>
                <w:rFonts w:hint="eastAsia" w:ascii="宋体" w:hAnsi="宋体" w:eastAsia="宋体" w:cs="宋体"/>
                <w:sz w:val="21"/>
                <w:szCs w:val="21"/>
              </w:rPr>
            </w:pPr>
            <w:r>
              <w:rPr>
                <w:rFonts w:hint="eastAsia" w:ascii="宋体" w:hAnsi="宋体" w:eastAsia="宋体" w:cs="宋体"/>
                <w:sz w:val="21"/>
                <w:szCs w:val="21"/>
              </w:rPr>
              <w:t>17.4.1</w:t>
            </w:r>
          </w:p>
        </w:tc>
        <w:tc>
          <w:tcPr>
            <w:tcW w:w="3616" w:type="dxa"/>
          </w:tcPr>
          <w:p w14:paraId="26FC2343">
            <w:pPr>
              <w:pStyle w:val="42"/>
              <w:spacing w:before="128" w:line="360" w:lineRule="auto"/>
              <w:ind w:left="106" w:right="96"/>
              <w:jc w:val="both"/>
              <w:rPr>
                <w:rFonts w:hint="eastAsia" w:ascii="宋体" w:hAnsi="宋体" w:eastAsia="宋体" w:cs="宋体"/>
                <w:sz w:val="21"/>
                <w:szCs w:val="21"/>
              </w:rPr>
            </w:pPr>
            <w:r>
              <w:rPr>
                <w:rFonts w:hint="eastAsia" w:ascii="宋体" w:hAnsi="宋体" w:eastAsia="宋体" w:cs="宋体"/>
                <w:w w:val="100"/>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3 </w:t>
            </w:r>
            <w:r>
              <w:rPr>
                <w:rFonts w:hint="eastAsia" w:ascii="宋体" w:hAnsi="宋体" w:eastAsia="宋体" w:cs="宋体"/>
                <w:spacing w:val="-4"/>
                <w:sz w:val="21"/>
                <w:szCs w:val="21"/>
              </w:rPr>
              <w:t>%</w:t>
            </w:r>
            <w:r>
              <w:rPr>
                <w:rFonts w:hint="eastAsia" w:ascii="宋体" w:hAnsi="宋体" w:eastAsia="宋体" w:cs="宋体"/>
                <w:spacing w:val="-9"/>
                <w:sz w:val="21"/>
                <w:szCs w:val="21"/>
              </w:rPr>
              <w:t>合同价格，若交工验收时承包</w:t>
            </w:r>
            <w:r>
              <w:rPr>
                <w:rFonts w:hint="eastAsia" w:ascii="宋体" w:hAnsi="宋体" w:eastAsia="宋体" w:cs="宋体"/>
                <w:spacing w:val="-1"/>
                <w:sz w:val="21"/>
                <w:szCs w:val="21"/>
              </w:rPr>
              <w:t>人具备被招标项目所在地省级交通运输主管部门评定的最高信用等级，发</w:t>
            </w:r>
            <w:r>
              <w:rPr>
                <w:rFonts w:hint="eastAsia" w:ascii="宋体" w:hAnsi="宋体" w:eastAsia="宋体" w:cs="宋体"/>
                <w:spacing w:val="9"/>
                <w:sz w:val="21"/>
                <w:szCs w:val="21"/>
              </w:rPr>
              <w:t>包人给予</w:t>
            </w:r>
            <w:r>
              <w:rPr>
                <w:rFonts w:hint="eastAsia" w:ascii="宋体" w:hAnsi="宋体" w:eastAsia="宋体" w:cs="宋体"/>
                <w:spacing w:val="9"/>
                <w:sz w:val="21"/>
                <w:szCs w:val="21"/>
                <w:u w:val="single"/>
              </w:rPr>
              <w:t xml:space="preserve"> </w:t>
            </w:r>
            <w:r>
              <w:rPr>
                <w:rFonts w:hint="eastAsia" w:ascii="宋体" w:hAnsi="宋体" w:eastAsia="宋体" w:cs="宋体"/>
                <w:spacing w:val="9"/>
                <w:sz w:val="21"/>
                <w:szCs w:val="21"/>
                <w:u w:val="single"/>
                <w:lang w:val="en-US" w:eastAsia="zh-CN"/>
              </w:rPr>
              <w:t xml:space="preserve">0 </w:t>
            </w:r>
            <w:r>
              <w:rPr>
                <w:rFonts w:hint="eastAsia" w:ascii="宋体" w:hAnsi="宋体" w:eastAsia="宋体" w:cs="宋体"/>
                <w:spacing w:val="11"/>
                <w:sz w:val="21"/>
                <w:szCs w:val="21"/>
              </w:rPr>
              <w:t>%</w:t>
            </w:r>
            <w:r>
              <w:rPr>
                <w:rFonts w:hint="eastAsia" w:ascii="宋体" w:hAnsi="宋体" w:eastAsia="宋体" w:cs="宋体"/>
                <w:spacing w:val="8"/>
                <w:sz w:val="21"/>
                <w:szCs w:val="21"/>
              </w:rPr>
              <w:t>合同价格质量保证金</w:t>
            </w:r>
            <w:r>
              <w:rPr>
                <w:rFonts w:hint="eastAsia" w:ascii="宋体" w:hAnsi="宋体" w:eastAsia="宋体" w:cs="宋体"/>
                <w:sz w:val="21"/>
                <w:szCs w:val="21"/>
              </w:rPr>
              <w:t>的优惠</w:t>
            </w:r>
          </w:p>
        </w:tc>
        <w:tc>
          <w:tcPr>
            <w:tcW w:w="749" w:type="dxa"/>
          </w:tcPr>
          <w:p w14:paraId="63EC978C">
            <w:pPr>
              <w:pStyle w:val="42"/>
              <w:spacing w:line="360" w:lineRule="auto"/>
              <w:rPr>
                <w:rFonts w:hint="eastAsia" w:ascii="宋体" w:hAnsi="宋体" w:eastAsia="宋体" w:cs="宋体"/>
                <w:sz w:val="21"/>
                <w:szCs w:val="21"/>
              </w:rPr>
            </w:pPr>
          </w:p>
        </w:tc>
      </w:tr>
      <w:tr w14:paraId="32978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tcPr>
          <w:p w14:paraId="506B1F3F">
            <w:pPr>
              <w:pStyle w:val="42"/>
              <w:spacing w:before="151" w:line="360" w:lineRule="auto"/>
              <w:ind w:left="109" w:right="100"/>
              <w:jc w:val="center"/>
              <w:rPr>
                <w:rFonts w:hint="eastAsia" w:ascii="宋体" w:hAnsi="宋体" w:eastAsia="宋体" w:cs="宋体"/>
                <w:sz w:val="21"/>
                <w:szCs w:val="21"/>
              </w:rPr>
            </w:pPr>
            <w:r>
              <w:rPr>
                <w:rFonts w:hint="eastAsia" w:ascii="宋体" w:hAnsi="宋体" w:eastAsia="宋体" w:cs="宋体"/>
                <w:sz w:val="21"/>
                <w:szCs w:val="21"/>
              </w:rPr>
              <w:t>12</w:t>
            </w:r>
          </w:p>
        </w:tc>
        <w:tc>
          <w:tcPr>
            <w:tcW w:w="2711" w:type="dxa"/>
          </w:tcPr>
          <w:p w14:paraId="5DA32A88">
            <w:pPr>
              <w:pStyle w:val="42"/>
              <w:spacing w:before="128" w:line="360" w:lineRule="auto"/>
              <w:ind w:left="285" w:right="276"/>
              <w:jc w:val="center"/>
              <w:rPr>
                <w:rFonts w:hint="eastAsia" w:ascii="宋体" w:hAnsi="宋体" w:eastAsia="宋体" w:cs="宋体"/>
                <w:sz w:val="21"/>
                <w:szCs w:val="21"/>
              </w:rPr>
            </w:pPr>
            <w:r>
              <w:rPr>
                <w:rFonts w:hint="eastAsia" w:ascii="宋体" w:hAnsi="宋体" w:eastAsia="宋体" w:cs="宋体"/>
                <w:sz w:val="21"/>
                <w:szCs w:val="21"/>
              </w:rPr>
              <w:t>保修期</w:t>
            </w:r>
          </w:p>
        </w:tc>
        <w:tc>
          <w:tcPr>
            <w:tcW w:w="1186" w:type="dxa"/>
          </w:tcPr>
          <w:p w14:paraId="15CF5C10">
            <w:pPr>
              <w:pStyle w:val="42"/>
              <w:spacing w:before="128" w:line="360" w:lineRule="auto"/>
              <w:ind w:left="9"/>
              <w:jc w:val="center"/>
              <w:rPr>
                <w:rFonts w:hint="eastAsia" w:ascii="宋体" w:hAnsi="宋体" w:eastAsia="宋体" w:cs="宋体"/>
                <w:sz w:val="21"/>
                <w:szCs w:val="21"/>
              </w:rPr>
            </w:pPr>
            <w:r>
              <w:rPr>
                <w:rFonts w:hint="eastAsia" w:ascii="宋体" w:hAnsi="宋体" w:eastAsia="宋体" w:cs="宋体"/>
                <w:sz w:val="21"/>
                <w:szCs w:val="21"/>
              </w:rPr>
              <w:t>19.7（1）</w:t>
            </w:r>
          </w:p>
        </w:tc>
        <w:tc>
          <w:tcPr>
            <w:tcW w:w="3616" w:type="dxa"/>
          </w:tcPr>
          <w:p w14:paraId="4CEBA3FB">
            <w:pPr>
              <w:pStyle w:val="42"/>
              <w:tabs>
                <w:tab w:val="left" w:pos="2732"/>
              </w:tabs>
              <w:spacing w:before="128" w:line="360" w:lineRule="auto"/>
              <w:ind w:left="106"/>
              <w:rPr>
                <w:rFonts w:hint="eastAsia" w:ascii="宋体" w:hAnsi="宋体" w:eastAsia="宋体" w:cs="宋体"/>
                <w:sz w:val="21"/>
                <w:szCs w:val="21"/>
              </w:rPr>
            </w:pPr>
            <w:r>
              <w:rPr>
                <w:rFonts w:hint="eastAsia" w:ascii="宋体" w:hAnsi="宋体" w:eastAsia="宋体" w:cs="宋体"/>
                <w:sz w:val="21"/>
                <w:szCs w:val="21"/>
              </w:rPr>
              <w:t>自实</w:t>
            </w:r>
            <w:r>
              <w:rPr>
                <w:rFonts w:hint="eastAsia" w:ascii="宋体" w:hAnsi="宋体" w:eastAsia="宋体" w:cs="宋体"/>
                <w:spacing w:val="-3"/>
                <w:sz w:val="21"/>
                <w:szCs w:val="21"/>
              </w:rPr>
              <w:t>际</w:t>
            </w:r>
            <w:r>
              <w:rPr>
                <w:rFonts w:hint="eastAsia" w:ascii="宋体" w:hAnsi="宋体" w:eastAsia="宋体" w:cs="宋体"/>
                <w:sz w:val="21"/>
                <w:szCs w:val="21"/>
              </w:rPr>
              <w:t>交</w:t>
            </w:r>
            <w:r>
              <w:rPr>
                <w:rFonts w:hint="eastAsia" w:ascii="宋体" w:hAnsi="宋体" w:eastAsia="宋体" w:cs="宋体"/>
                <w:spacing w:val="-3"/>
                <w:sz w:val="21"/>
                <w:szCs w:val="21"/>
              </w:rPr>
              <w:t>工</w:t>
            </w:r>
            <w:r>
              <w:rPr>
                <w:rFonts w:hint="eastAsia" w:ascii="宋体" w:hAnsi="宋体" w:eastAsia="宋体" w:cs="宋体"/>
                <w:sz w:val="21"/>
                <w:szCs w:val="21"/>
              </w:rPr>
              <w:t>日</w:t>
            </w:r>
            <w:r>
              <w:rPr>
                <w:rFonts w:hint="eastAsia" w:ascii="宋体" w:hAnsi="宋体" w:eastAsia="宋体" w:cs="宋体"/>
                <w:spacing w:val="-3"/>
                <w:sz w:val="21"/>
                <w:szCs w:val="21"/>
              </w:rPr>
              <w:t>期</w:t>
            </w:r>
            <w:r>
              <w:rPr>
                <w:rFonts w:hint="eastAsia" w:ascii="宋体" w:hAnsi="宋体" w:eastAsia="宋体" w:cs="宋体"/>
                <w:sz w:val="21"/>
                <w:szCs w:val="21"/>
              </w:rPr>
              <w:t>起</w:t>
            </w:r>
            <w:r>
              <w:rPr>
                <w:rFonts w:hint="eastAsia" w:ascii="宋体" w:hAnsi="宋体" w:eastAsia="宋体" w:cs="宋体"/>
                <w:spacing w:val="-3"/>
                <w:sz w:val="21"/>
                <w:szCs w:val="21"/>
              </w:rPr>
              <w:t>计</w:t>
            </w:r>
            <w:r>
              <w:rPr>
                <w:rFonts w:hint="eastAsia" w:ascii="宋体" w:hAnsi="宋体" w:eastAsia="宋体" w:cs="宋体"/>
                <w:sz w:val="21"/>
                <w:szCs w:val="21"/>
              </w:rPr>
              <w:t>算</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5 </w:t>
            </w:r>
            <w:r>
              <w:rPr>
                <w:rFonts w:hint="eastAsia" w:ascii="宋体" w:hAnsi="宋体" w:eastAsia="宋体" w:cs="宋体"/>
                <w:sz w:val="21"/>
                <w:szCs w:val="21"/>
              </w:rPr>
              <w:t>年</w:t>
            </w:r>
          </w:p>
        </w:tc>
        <w:tc>
          <w:tcPr>
            <w:tcW w:w="749" w:type="dxa"/>
          </w:tcPr>
          <w:p w14:paraId="1740F98F">
            <w:pPr>
              <w:pStyle w:val="42"/>
              <w:spacing w:line="360" w:lineRule="auto"/>
              <w:rPr>
                <w:rFonts w:hint="eastAsia" w:ascii="宋体" w:hAnsi="宋体" w:eastAsia="宋体" w:cs="宋体"/>
                <w:sz w:val="21"/>
                <w:szCs w:val="21"/>
              </w:rPr>
            </w:pPr>
          </w:p>
        </w:tc>
      </w:tr>
    </w:tbl>
    <w:p w14:paraId="0FBB828B">
      <w:pPr>
        <w:spacing w:after="0" w:line="360" w:lineRule="auto"/>
        <w:rPr>
          <w:rFonts w:hint="eastAsia" w:ascii="宋体" w:hAnsi="宋体" w:eastAsia="宋体" w:cs="宋体"/>
          <w:sz w:val="21"/>
          <w:szCs w:val="21"/>
        </w:rPr>
        <w:sectPr>
          <w:footerReference r:id="rId80" w:type="default"/>
          <w:pgSz w:w="11910" w:h="16850"/>
          <w:pgMar w:top="1134" w:right="850" w:bottom="1134" w:left="1417" w:header="883" w:footer="907" w:gutter="0"/>
          <w:pgNumType w:fmt="decimal"/>
          <w:cols w:space="720" w:num="1"/>
        </w:sectPr>
      </w:pPr>
    </w:p>
    <w:p w14:paraId="69C97D21">
      <w:pPr>
        <w:pStyle w:val="4"/>
        <w:bidi w:val="0"/>
        <w:rPr>
          <w:rFonts w:hint="eastAsia"/>
          <w:sz w:val="30"/>
          <w:szCs w:val="30"/>
        </w:rPr>
      </w:pPr>
      <w:bookmarkStart w:id="424" w:name="_bookmark292"/>
      <w:bookmarkEnd w:id="424"/>
      <w:bookmarkStart w:id="425" w:name="_Toc1289"/>
      <w:r>
        <w:rPr>
          <w:rFonts w:hint="eastAsia"/>
          <w:sz w:val="30"/>
          <w:szCs w:val="30"/>
        </w:rPr>
        <w:t>二、授权委托书或法定代表人身份证明</w:t>
      </w:r>
      <w:bookmarkEnd w:id="425"/>
    </w:p>
    <w:p w14:paraId="726EC9D6">
      <w:pPr>
        <w:pStyle w:val="12"/>
        <w:spacing w:before="10"/>
        <w:rPr>
          <w:rFonts w:ascii="黑体"/>
          <w:sz w:val="29"/>
        </w:rPr>
      </w:pPr>
    </w:p>
    <w:p w14:paraId="744CDD4F">
      <w:pPr>
        <w:pStyle w:val="5"/>
        <w:bidi w:val="0"/>
        <w:spacing w:line="360" w:lineRule="auto"/>
        <w:rPr>
          <w:rFonts w:hint="eastAsia"/>
          <w:sz w:val="21"/>
          <w:szCs w:val="21"/>
        </w:rPr>
      </w:pPr>
      <w:bookmarkStart w:id="426" w:name="_bookmark293"/>
      <w:bookmarkEnd w:id="426"/>
      <w:r>
        <w:rPr>
          <w:rFonts w:hint="eastAsia"/>
          <w:sz w:val="21"/>
          <w:szCs w:val="21"/>
        </w:rPr>
        <w:t>（一）授权委托书</w:t>
      </w:r>
    </w:p>
    <w:p w14:paraId="312BF632">
      <w:pPr>
        <w:pStyle w:val="12"/>
        <w:spacing w:line="360" w:lineRule="auto"/>
        <w:rPr>
          <w:rFonts w:ascii="黑体"/>
          <w:b/>
          <w:sz w:val="21"/>
          <w:szCs w:val="21"/>
        </w:rPr>
      </w:pPr>
    </w:p>
    <w:p w14:paraId="65B52535">
      <w:pPr>
        <w:pStyle w:val="12"/>
        <w:spacing w:line="360" w:lineRule="auto"/>
        <w:rPr>
          <w:rFonts w:ascii="黑体"/>
          <w:b/>
          <w:sz w:val="21"/>
          <w:szCs w:val="21"/>
        </w:rPr>
      </w:pPr>
    </w:p>
    <w:p w14:paraId="16366AB5">
      <w:pPr>
        <w:pStyle w:val="12"/>
        <w:tabs>
          <w:tab w:val="left" w:pos="2029"/>
          <w:tab w:val="left" w:pos="3239"/>
          <w:tab w:val="left" w:pos="6011"/>
          <w:tab w:val="left" w:pos="8421"/>
        </w:tabs>
        <w:spacing w:line="360" w:lineRule="auto"/>
        <w:ind w:left="224" w:right="282" w:firstLine="479"/>
        <w:jc w:val="both"/>
        <w:rPr>
          <w:sz w:val="21"/>
          <w:szCs w:val="21"/>
        </w:rPr>
      </w:pPr>
      <w:r>
        <w:rPr>
          <w:sz w:val="21"/>
          <w:szCs w:val="21"/>
        </w:rPr>
        <w:t>本人</w:t>
      </w:r>
      <w:r>
        <w:rPr>
          <w:sz w:val="21"/>
          <w:szCs w:val="21"/>
          <w:u w:val="single"/>
        </w:rPr>
        <w:t xml:space="preserve"> </w:t>
      </w:r>
      <w:r>
        <w:rPr>
          <w:sz w:val="21"/>
          <w:szCs w:val="21"/>
          <w:u w:val="single"/>
        </w:rPr>
        <w:tab/>
      </w:r>
      <w:r>
        <w:rPr>
          <w:sz w:val="21"/>
          <w:szCs w:val="21"/>
          <w:u w:val="single"/>
        </w:rPr>
        <w:t>（</w:t>
      </w:r>
      <w:r>
        <w:rPr>
          <w:sz w:val="21"/>
          <w:szCs w:val="21"/>
        </w:rPr>
        <w:t>姓名</w:t>
      </w:r>
      <w:r>
        <w:rPr>
          <w:spacing w:val="-116"/>
          <w:sz w:val="21"/>
          <w:szCs w:val="21"/>
        </w:rPr>
        <w:t>）</w:t>
      </w:r>
      <w:r>
        <w:rPr>
          <w:sz w:val="21"/>
          <w:szCs w:val="21"/>
        </w:rPr>
        <w:t>系</w:t>
      </w:r>
      <w:r>
        <w:rPr>
          <w:sz w:val="21"/>
          <w:szCs w:val="21"/>
          <w:u w:val="single"/>
        </w:rPr>
        <w:t xml:space="preserve">    </w:t>
      </w:r>
      <w:r>
        <w:rPr>
          <w:spacing w:val="8"/>
          <w:sz w:val="21"/>
          <w:szCs w:val="21"/>
          <w:u w:val="single"/>
        </w:rPr>
        <w:t xml:space="preserve"> </w:t>
      </w:r>
      <w:r>
        <w:rPr>
          <w:sz w:val="21"/>
          <w:szCs w:val="21"/>
          <w:u w:val="single"/>
        </w:rPr>
        <w:t>（</w:t>
      </w:r>
      <w:r>
        <w:rPr>
          <w:sz w:val="21"/>
          <w:szCs w:val="21"/>
        </w:rPr>
        <w:t>投标人名称</w:t>
      </w:r>
      <w:r>
        <w:rPr>
          <w:spacing w:val="-116"/>
          <w:sz w:val="21"/>
          <w:szCs w:val="21"/>
        </w:rPr>
        <w:t>）</w:t>
      </w:r>
      <w:r>
        <w:rPr>
          <w:sz w:val="21"/>
          <w:szCs w:val="21"/>
        </w:rPr>
        <w:t>的法定代表人</w:t>
      </w:r>
      <w:r>
        <w:rPr>
          <w:spacing w:val="-116"/>
          <w:sz w:val="21"/>
          <w:szCs w:val="21"/>
        </w:rPr>
        <w:t>，</w:t>
      </w:r>
      <w:r>
        <w:rPr>
          <w:sz w:val="21"/>
          <w:szCs w:val="21"/>
        </w:rPr>
        <w:t>现委托</w:t>
      </w:r>
      <w:r>
        <w:rPr>
          <w:sz w:val="21"/>
          <w:szCs w:val="21"/>
          <w:u w:val="single"/>
        </w:rPr>
        <w:t xml:space="preserve"> </w:t>
      </w:r>
      <w:r>
        <w:rPr>
          <w:sz w:val="21"/>
          <w:szCs w:val="21"/>
          <w:u w:val="single"/>
        </w:rPr>
        <w:tab/>
      </w:r>
      <w:r>
        <w:rPr>
          <w:sz w:val="21"/>
          <w:szCs w:val="21"/>
          <w:u w:val="single"/>
        </w:rPr>
        <w:t>（</w:t>
      </w:r>
      <w:r>
        <w:rPr>
          <w:spacing w:val="-17"/>
          <w:sz w:val="21"/>
          <w:szCs w:val="21"/>
        </w:rPr>
        <w:t>姓</w:t>
      </w:r>
      <w:r>
        <w:rPr>
          <w:sz w:val="21"/>
          <w:szCs w:val="21"/>
        </w:rPr>
        <w:t>名）为我方代理人。代理人根据授权，以我方名义签署、澄清确认、递交、撤回、修改</w:t>
      </w:r>
      <w:r>
        <w:rPr>
          <w:sz w:val="21"/>
          <w:szCs w:val="21"/>
          <w:u w:val="single"/>
        </w:rPr>
        <w:t xml:space="preserve"> </w:t>
      </w:r>
      <w:r>
        <w:rPr>
          <w:sz w:val="21"/>
          <w:szCs w:val="21"/>
          <w:u w:val="single"/>
        </w:rPr>
        <w:tab/>
      </w:r>
      <w:r>
        <w:rPr>
          <w:sz w:val="21"/>
          <w:szCs w:val="21"/>
          <w:u w:val="single"/>
        </w:rPr>
        <w:tab/>
      </w:r>
      <w:r>
        <w:rPr>
          <w:sz w:val="21"/>
          <w:szCs w:val="21"/>
        </w:rPr>
        <w:t>（项目名称）</w:t>
      </w:r>
      <w:r>
        <w:rPr>
          <w:sz w:val="21"/>
          <w:szCs w:val="21"/>
          <w:u w:val="single"/>
        </w:rPr>
        <w:t xml:space="preserve"> </w:t>
      </w:r>
      <w:r>
        <w:rPr>
          <w:sz w:val="21"/>
          <w:szCs w:val="21"/>
          <w:u w:val="single"/>
        </w:rPr>
        <w:tab/>
      </w:r>
      <w:r>
        <w:rPr>
          <w:sz w:val="21"/>
          <w:szCs w:val="21"/>
        </w:rPr>
        <w:t>标段施工投标文件、签订</w:t>
      </w:r>
      <w:r>
        <w:rPr>
          <w:spacing w:val="-11"/>
          <w:sz w:val="21"/>
          <w:szCs w:val="21"/>
        </w:rPr>
        <w:t>合</w:t>
      </w:r>
      <w:r>
        <w:rPr>
          <w:sz w:val="21"/>
          <w:szCs w:val="21"/>
        </w:rPr>
        <w:t>同和处理有关事宜，其法律后果由我方承担。</w:t>
      </w:r>
    </w:p>
    <w:p w14:paraId="244CB374">
      <w:pPr>
        <w:pStyle w:val="12"/>
        <w:spacing w:before="4" w:line="360" w:lineRule="auto"/>
        <w:ind w:left="704" w:right="2719"/>
        <w:rPr>
          <w:sz w:val="21"/>
          <w:szCs w:val="21"/>
        </w:rPr>
      </w:pPr>
      <w:r>
        <w:rPr>
          <w:sz w:val="21"/>
          <w:szCs w:val="21"/>
        </w:rPr>
        <w:t>委托期限：自本委托书签署之日起至投标有效期期满。代理人无转委托权。</w:t>
      </w:r>
    </w:p>
    <w:p w14:paraId="6D8DB601">
      <w:pPr>
        <w:pStyle w:val="12"/>
        <w:spacing w:line="360" w:lineRule="auto"/>
        <w:rPr>
          <w:sz w:val="21"/>
          <w:szCs w:val="21"/>
        </w:rPr>
      </w:pPr>
    </w:p>
    <w:p w14:paraId="24D05B04">
      <w:pPr>
        <w:spacing w:before="163" w:line="360" w:lineRule="auto"/>
        <w:ind w:left="224" w:right="0" w:firstLine="0"/>
        <w:jc w:val="left"/>
        <w:rPr>
          <w:sz w:val="21"/>
          <w:szCs w:val="21"/>
        </w:rPr>
      </w:pPr>
      <w:r>
        <w:rPr>
          <w:sz w:val="21"/>
          <w:szCs w:val="21"/>
        </w:rPr>
        <w:t>附：法定代表人身份证复印件及委托代理人身份证复印件。</w:t>
      </w:r>
    </w:p>
    <w:p w14:paraId="672E5D5D">
      <w:pPr>
        <w:pStyle w:val="12"/>
        <w:spacing w:line="360" w:lineRule="auto"/>
        <w:rPr>
          <w:sz w:val="21"/>
          <w:szCs w:val="21"/>
        </w:rPr>
      </w:pPr>
    </w:p>
    <w:p w14:paraId="34CAD0AB">
      <w:pPr>
        <w:pStyle w:val="12"/>
        <w:spacing w:before="4" w:line="360" w:lineRule="auto"/>
        <w:rPr>
          <w:sz w:val="21"/>
          <w:szCs w:val="21"/>
        </w:rPr>
      </w:pPr>
    </w:p>
    <w:p w14:paraId="74593335">
      <w:pPr>
        <w:pStyle w:val="12"/>
        <w:tabs>
          <w:tab w:val="left" w:pos="7115"/>
          <w:tab w:val="left" w:pos="7716"/>
          <w:tab w:val="left" w:pos="8371"/>
        </w:tabs>
        <w:spacing w:line="360" w:lineRule="auto"/>
        <w:ind w:left="3515" w:right="508"/>
        <w:rPr>
          <w:rFonts w:ascii="Times New Roman" w:eastAsia="Times New Roman"/>
          <w:sz w:val="21"/>
          <w:szCs w:val="21"/>
        </w:rPr>
      </w:pPr>
      <w:r>
        <w:rPr>
          <w:sz w:val="21"/>
          <w:szCs w:val="21"/>
        </w:rPr>
        <w:t>投标人：</w:t>
      </w:r>
      <w:r>
        <w:rPr>
          <w:sz w:val="21"/>
          <w:szCs w:val="21"/>
          <w:u w:val="single"/>
        </w:rPr>
        <w:t xml:space="preserve"> </w:t>
      </w:r>
      <w:r>
        <w:rPr>
          <w:sz w:val="21"/>
          <w:szCs w:val="21"/>
          <w:u w:val="single"/>
        </w:rPr>
        <w:tab/>
      </w:r>
      <w:r>
        <w:rPr>
          <w:sz w:val="21"/>
          <w:szCs w:val="21"/>
        </w:rPr>
        <w:t>（盖单位章） 法定代表人：</w:t>
      </w:r>
      <w:r>
        <w:rPr>
          <w:sz w:val="21"/>
          <w:szCs w:val="21"/>
          <w:u w:val="single"/>
        </w:rPr>
        <w:t xml:space="preserve"> </w:t>
      </w:r>
      <w:r>
        <w:rPr>
          <w:sz w:val="21"/>
          <w:szCs w:val="21"/>
          <w:u w:val="single"/>
        </w:rPr>
        <w:tab/>
      </w:r>
      <w:r>
        <w:rPr>
          <w:sz w:val="21"/>
          <w:szCs w:val="21"/>
          <w:u w:val="single"/>
        </w:rPr>
        <w:tab/>
      </w:r>
      <w:r>
        <w:rPr>
          <w:sz w:val="21"/>
          <w:szCs w:val="21"/>
        </w:rPr>
        <w:t>（签字</w:t>
      </w:r>
      <w:r>
        <w:rPr>
          <w:spacing w:val="-18"/>
          <w:sz w:val="21"/>
          <w:szCs w:val="21"/>
        </w:rPr>
        <w:t xml:space="preserve">） </w:t>
      </w:r>
      <w:r>
        <w:rPr>
          <w:sz w:val="21"/>
          <w:szCs w:val="21"/>
        </w:rPr>
        <w:t>身份证号码：</w:t>
      </w:r>
      <w:r>
        <w:rPr>
          <w:rFonts w:ascii="Times New Roman" w:eastAsia="Times New Roman"/>
          <w:sz w:val="21"/>
          <w:szCs w:val="21"/>
          <w:u w:val="single"/>
        </w:rPr>
        <w:t xml:space="preserve"> </w:t>
      </w:r>
      <w:r>
        <w:rPr>
          <w:rFonts w:ascii="Times New Roman" w:eastAsia="Times New Roman"/>
          <w:sz w:val="21"/>
          <w:szCs w:val="21"/>
          <w:u w:val="single"/>
        </w:rPr>
        <w:tab/>
      </w:r>
      <w:r>
        <w:rPr>
          <w:rFonts w:ascii="Times New Roman" w:eastAsia="Times New Roman"/>
          <w:sz w:val="21"/>
          <w:szCs w:val="21"/>
          <w:u w:val="single"/>
        </w:rPr>
        <w:tab/>
      </w:r>
      <w:r>
        <w:rPr>
          <w:rFonts w:ascii="Times New Roman" w:eastAsia="Times New Roman"/>
          <w:sz w:val="21"/>
          <w:szCs w:val="21"/>
          <w:u w:val="single"/>
        </w:rPr>
        <w:tab/>
      </w:r>
    </w:p>
    <w:p w14:paraId="0526462D">
      <w:pPr>
        <w:pStyle w:val="12"/>
        <w:tabs>
          <w:tab w:val="left" w:pos="7836"/>
          <w:tab w:val="left" w:pos="8491"/>
        </w:tabs>
        <w:spacing w:before="2" w:line="360" w:lineRule="auto"/>
        <w:ind w:left="3515" w:right="388"/>
        <w:rPr>
          <w:rFonts w:ascii="Times New Roman" w:eastAsia="Times New Roman"/>
          <w:sz w:val="21"/>
          <w:szCs w:val="21"/>
        </w:rPr>
      </w:pPr>
      <w:r>
        <w:rPr>
          <w:sz w:val="21"/>
          <w:szCs w:val="21"/>
        </w:rPr>
        <w:t>委托代理人：</w:t>
      </w:r>
      <w:r>
        <w:rPr>
          <w:sz w:val="21"/>
          <w:szCs w:val="21"/>
          <w:u w:val="single"/>
        </w:rPr>
        <w:t xml:space="preserve"> </w:t>
      </w:r>
      <w:r>
        <w:rPr>
          <w:sz w:val="21"/>
          <w:szCs w:val="21"/>
          <w:u w:val="single"/>
        </w:rPr>
        <w:tab/>
      </w:r>
      <w:r>
        <w:rPr>
          <w:sz w:val="21"/>
          <w:szCs w:val="21"/>
        </w:rPr>
        <w:t>（签字</w:t>
      </w:r>
      <w:r>
        <w:rPr>
          <w:spacing w:val="-18"/>
          <w:sz w:val="21"/>
          <w:szCs w:val="21"/>
        </w:rPr>
        <w:t xml:space="preserve">） </w:t>
      </w:r>
      <w:r>
        <w:rPr>
          <w:sz w:val="21"/>
          <w:szCs w:val="21"/>
        </w:rPr>
        <w:t>身份证号码：</w:t>
      </w:r>
      <w:r>
        <w:rPr>
          <w:rFonts w:ascii="Times New Roman" w:eastAsia="Times New Roman"/>
          <w:sz w:val="21"/>
          <w:szCs w:val="21"/>
          <w:u w:val="single"/>
        </w:rPr>
        <w:t xml:space="preserve"> </w:t>
      </w:r>
      <w:r>
        <w:rPr>
          <w:rFonts w:ascii="Times New Roman" w:eastAsia="Times New Roman"/>
          <w:sz w:val="21"/>
          <w:szCs w:val="21"/>
          <w:u w:val="single"/>
        </w:rPr>
        <w:tab/>
      </w:r>
      <w:r>
        <w:rPr>
          <w:rFonts w:ascii="Times New Roman" w:eastAsia="Times New Roman"/>
          <w:sz w:val="21"/>
          <w:szCs w:val="21"/>
          <w:u w:val="single"/>
        </w:rPr>
        <w:tab/>
      </w:r>
    </w:p>
    <w:p w14:paraId="088244CB">
      <w:pPr>
        <w:pStyle w:val="12"/>
        <w:tabs>
          <w:tab w:val="left" w:pos="5682"/>
          <w:tab w:val="left" w:pos="7002"/>
          <w:tab w:val="left" w:pos="8138"/>
        </w:tabs>
        <w:spacing w:line="360" w:lineRule="auto"/>
        <w:ind w:left="4842"/>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3C5F38C0">
      <w:pPr>
        <w:pStyle w:val="12"/>
        <w:spacing w:before="9" w:line="360" w:lineRule="auto"/>
        <w:rPr>
          <w:sz w:val="21"/>
          <w:szCs w:val="21"/>
        </w:rPr>
      </w:pPr>
    </w:p>
    <w:p w14:paraId="7B3973AB">
      <w:pPr>
        <w:pStyle w:val="12"/>
        <w:rPr>
          <w:sz w:val="20"/>
        </w:rPr>
      </w:pPr>
    </w:p>
    <w:p w14:paraId="444E9ED7">
      <w:pPr>
        <w:pStyle w:val="12"/>
        <w:rPr>
          <w:sz w:val="20"/>
        </w:rPr>
      </w:pPr>
    </w:p>
    <w:p w14:paraId="253C605A">
      <w:pPr>
        <w:pStyle w:val="12"/>
        <w:rPr>
          <w:sz w:val="20"/>
        </w:rPr>
      </w:pPr>
    </w:p>
    <w:p w14:paraId="1DBACFC1">
      <w:pPr>
        <w:pStyle w:val="12"/>
        <w:rPr>
          <w:sz w:val="20"/>
        </w:rPr>
      </w:pPr>
    </w:p>
    <w:p w14:paraId="4B0DD8B0">
      <w:pPr>
        <w:pStyle w:val="12"/>
        <w:rPr>
          <w:sz w:val="20"/>
        </w:rPr>
      </w:pPr>
    </w:p>
    <w:p w14:paraId="0B4CA13A">
      <w:pPr>
        <w:pStyle w:val="12"/>
        <w:rPr>
          <w:sz w:val="20"/>
        </w:rPr>
      </w:pPr>
    </w:p>
    <w:p w14:paraId="453FEEA9">
      <w:pPr>
        <w:pStyle w:val="12"/>
        <w:rPr>
          <w:sz w:val="20"/>
        </w:rPr>
      </w:pPr>
    </w:p>
    <w:p w14:paraId="45A83052">
      <w:pPr>
        <w:pStyle w:val="12"/>
        <w:rPr>
          <w:sz w:val="20"/>
        </w:rPr>
      </w:pPr>
    </w:p>
    <w:p w14:paraId="7B45EBDE">
      <w:pPr>
        <w:pStyle w:val="12"/>
        <w:spacing w:before="5"/>
        <w:rPr>
          <w:sz w:val="18"/>
        </w:rPr>
      </w:pPr>
    </w:p>
    <w:p w14:paraId="1731F3CD">
      <w:pPr>
        <w:pStyle w:val="12"/>
        <w:spacing w:before="5"/>
        <w:rPr>
          <w:sz w:val="18"/>
        </w:rPr>
      </w:pPr>
    </w:p>
    <w:p w14:paraId="47B5EF00">
      <w:pPr>
        <w:pStyle w:val="12"/>
        <w:spacing w:before="5"/>
        <w:rPr>
          <w:sz w:val="18"/>
        </w:rPr>
      </w:pPr>
    </w:p>
    <w:p w14:paraId="413B5C02">
      <w:pPr>
        <w:pStyle w:val="12"/>
        <w:spacing w:before="5"/>
        <w:rPr>
          <w:sz w:val="18"/>
        </w:rPr>
      </w:pPr>
    </w:p>
    <w:p w14:paraId="2117F7AB">
      <w:pPr>
        <w:pStyle w:val="12"/>
        <w:spacing w:before="5"/>
        <w:rPr>
          <w:sz w:val="18"/>
        </w:rPr>
      </w:pPr>
    </w:p>
    <w:p w14:paraId="38975445">
      <w:pPr>
        <w:pStyle w:val="12"/>
        <w:spacing w:before="5"/>
        <w:rPr>
          <w:sz w:val="18"/>
        </w:rPr>
      </w:pPr>
    </w:p>
    <w:p w14:paraId="44526BA7">
      <w:pPr>
        <w:pStyle w:val="12"/>
        <w:spacing w:before="5"/>
        <w:rPr>
          <w:sz w:val="18"/>
        </w:rPr>
      </w:pPr>
    </w:p>
    <w:p w14:paraId="4A916A0F">
      <w:pPr>
        <w:pStyle w:val="12"/>
        <w:spacing w:before="5"/>
        <w:rPr>
          <w:sz w:val="28"/>
        </w:rPr>
      </w:pPr>
    </w:p>
    <w:p w14:paraId="0C62A692">
      <w:pPr>
        <w:spacing w:before="61"/>
        <w:ind w:left="0" w:right="58" w:firstLine="0"/>
        <w:jc w:val="center"/>
        <w:outlineLvl w:val="9"/>
        <w:rPr>
          <w:rFonts w:hint="eastAsia" w:ascii="黑体" w:eastAsia="黑体"/>
          <w:sz w:val="28"/>
        </w:rPr>
      </w:pPr>
      <w:bookmarkStart w:id="427" w:name="_bookmark294"/>
      <w:bookmarkEnd w:id="427"/>
    </w:p>
    <w:p w14:paraId="62D4BAD3">
      <w:pPr>
        <w:pStyle w:val="5"/>
        <w:bidi w:val="0"/>
        <w:rPr>
          <w:rFonts w:hint="eastAsia"/>
          <w:sz w:val="30"/>
          <w:szCs w:val="30"/>
        </w:rPr>
      </w:pPr>
      <w:r>
        <w:rPr>
          <w:rFonts w:hint="eastAsia"/>
          <w:sz w:val="30"/>
          <w:szCs w:val="30"/>
        </w:rPr>
        <w:t>（二）法定代表人身份证明</w:t>
      </w:r>
    </w:p>
    <w:p w14:paraId="6AC7464C">
      <w:pPr>
        <w:pStyle w:val="12"/>
        <w:rPr>
          <w:rFonts w:ascii="黑体"/>
          <w:sz w:val="28"/>
        </w:rPr>
      </w:pPr>
    </w:p>
    <w:p w14:paraId="73B55FFF">
      <w:pPr>
        <w:pStyle w:val="12"/>
        <w:spacing w:before="1"/>
        <w:rPr>
          <w:rFonts w:ascii="黑体"/>
          <w:sz w:val="34"/>
        </w:rPr>
      </w:pPr>
    </w:p>
    <w:p w14:paraId="7F0FD61E">
      <w:pPr>
        <w:pStyle w:val="12"/>
        <w:tabs>
          <w:tab w:val="left" w:pos="5080"/>
        </w:tabs>
        <w:spacing w:line="360" w:lineRule="auto"/>
        <w:ind w:left="224"/>
        <w:rPr>
          <w:rFonts w:ascii="Times New Roman" w:eastAsia="Times New Roman"/>
          <w:sz w:val="21"/>
          <w:szCs w:val="21"/>
        </w:rPr>
      </w:pPr>
      <w:r>
        <w:rPr>
          <w:spacing w:val="-1"/>
          <w:sz w:val="21"/>
          <w:szCs w:val="21"/>
        </w:rPr>
        <w:t>投</w:t>
      </w:r>
      <w:r>
        <w:rPr>
          <w:sz w:val="21"/>
          <w:szCs w:val="21"/>
        </w:rPr>
        <w:t>标人名称：</w:t>
      </w:r>
      <w:r>
        <w:rPr>
          <w:rFonts w:ascii="Times New Roman" w:eastAsia="Times New Roman"/>
          <w:sz w:val="21"/>
          <w:szCs w:val="21"/>
          <w:u w:val="single"/>
        </w:rPr>
        <w:t xml:space="preserve"> </w:t>
      </w:r>
      <w:r>
        <w:rPr>
          <w:rFonts w:ascii="Times New Roman" w:eastAsia="Times New Roman"/>
          <w:sz w:val="21"/>
          <w:szCs w:val="21"/>
          <w:u w:val="single"/>
        </w:rPr>
        <w:tab/>
      </w:r>
    </w:p>
    <w:p w14:paraId="7597750C">
      <w:pPr>
        <w:pStyle w:val="12"/>
        <w:tabs>
          <w:tab w:val="left" w:pos="3999"/>
          <w:tab w:val="left" w:pos="5440"/>
          <w:tab w:val="left" w:pos="7185"/>
          <w:tab w:val="left" w:pos="8920"/>
        </w:tabs>
        <w:spacing w:before="134" w:line="360" w:lineRule="auto"/>
        <w:ind w:left="224" w:right="263"/>
        <w:rPr>
          <w:sz w:val="21"/>
          <w:szCs w:val="21"/>
        </w:rPr>
      </w:pPr>
      <w:r>
        <w:rPr>
          <w:sz w:val="21"/>
          <w:szCs w:val="21"/>
        </w:rPr>
        <w:t>姓名：</w:t>
      </w:r>
      <w:r>
        <w:rPr>
          <w:spacing w:val="119"/>
          <w:sz w:val="21"/>
          <w:szCs w:val="21"/>
          <w:u w:val="single"/>
        </w:rPr>
        <w:t xml:space="preserve"> </w:t>
      </w:r>
      <w:r>
        <w:rPr>
          <w:rFonts w:hint="eastAsia"/>
          <w:spacing w:val="119"/>
          <w:sz w:val="21"/>
          <w:szCs w:val="21"/>
          <w:u w:val="single"/>
          <w:lang w:val="en-US" w:eastAsia="zh-CN"/>
        </w:rPr>
        <w:t xml:space="preserve">            </w:t>
      </w:r>
      <w:r>
        <w:rPr>
          <w:spacing w:val="119"/>
          <w:sz w:val="21"/>
          <w:szCs w:val="21"/>
        </w:rPr>
        <w:t xml:space="preserve"> </w:t>
      </w:r>
      <w:r>
        <w:rPr>
          <w:sz w:val="21"/>
          <w:szCs w:val="21"/>
        </w:rPr>
        <w:t>性别：</w:t>
      </w:r>
      <w:r>
        <w:rPr>
          <w:sz w:val="21"/>
          <w:szCs w:val="21"/>
          <w:u w:val="single"/>
        </w:rPr>
        <w:t xml:space="preserve"> </w:t>
      </w:r>
      <w:r>
        <w:rPr>
          <w:sz w:val="21"/>
          <w:szCs w:val="21"/>
          <w:u w:val="single"/>
        </w:rPr>
        <w:tab/>
      </w:r>
      <w:r>
        <w:rPr>
          <w:sz w:val="21"/>
          <w:szCs w:val="21"/>
        </w:rPr>
        <w:t>年龄：</w:t>
      </w:r>
      <w:r>
        <w:rPr>
          <w:sz w:val="21"/>
          <w:szCs w:val="21"/>
          <w:u w:val="single"/>
        </w:rPr>
        <w:t xml:space="preserve"> </w:t>
      </w:r>
      <w:r>
        <w:rPr>
          <w:sz w:val="21"/>
          <w:szCs w:val="21"/>
          <w:u w:val="single"/>
        </w:rPr>
        <w:tab/>
      </w:r>
      <w:r>
        <w:rPr>
          <w:sz w:val="21"/>
          <w:szCs w:val="21"/>
        </w:rPr>
        <w:t>职务：</w:t>
      </w:r>
      <w:r>
        <w:rPr>
          <w:rFonts w:ascii="Times New Roman" w:eastAsia="Times New Roman"/>
          <w:sz w:val="21"/>
          <w:szCs w:val="21"/>
          <w:u w:val="single"/>
        </w:rPr>
        <w:t xml:space="preserve"> </w:t>
      </w:r>
      <w:r>
        <w:rPr>
          <w:rFonts w:ascii="Times New Roman" w:eastAsia="Times New Roman"/>
          <w:sz w:val="21"/>
          <w:szCs w:val="21"/>
          <w:u w:val="single"/>
        </w:rPr>
        <w:tab/>
      </w:r>
      <w:r>
        <w:rPr>
          <w:rFonts w:ascii="Times New Roman" w:eastAsia="Times New Roman"/>
          <w:sz w:val="21"/>
          <w:szCs w:val="21"/>
          <w:u w:val="single"/>
        </w:rPr>
        <w:t xml:space="preserve"> </w:t>
      </w:r>
      <w:r>
        <w:rPr>
          <w:sz w:val="21"/>
          <w:szCs w:val="21"/>
        </w:rPr>
        <w:t>系</w:t>
      </w:r>
      <w:r>
        <w:rPr>
          <w:sz w:val="21"/>
          <w:szCs w:val="21"/>
          <w:u w:val="single"/>
        </w:rPr>
        <w:t xml:space="preserve"> </w:t>
      </w:r>
      <w:r>
        <w:rPr>
          <w:sz w:val="21"/>
          <w:szCs w:val="21"/>
          <w:u w:val="single"/>
        </w:rPr>
        <w:tab/>
      </w:r>
      <w:r>
        <w:rPr>
          <w:sz w:val="21"/>
          <w:szCs w:val="21"/>
        </w:rPr>
        <w:t>（投标人名称）的法定代表人。</w:t>
      </w:r>
    </w:p>
    <w:p w14:paraId="23717D76">
      <w:pPr>
        <w:pStyle w:val="12"/>
        <w:spacing w:line="360" w:lineRule="auto"/>
        <w:ind w:left="704"/>
        <w:rPr>
          <w:sz w:val="21"/>
          <w:szCs w:val="21"/>
        </w:rPr>
      </w:pPr>
      <w:r>
        <w:rPr>
          <w:sz w:val="21"/>
          <w:szCs w:val="21"/>
        </w:rPr>
        <w:t>特此证明。</w:t>
      </w:r>
    </w:p>
    <w:p w14:paraId="11769F4B">
      <w:pPr>
        <w:pStyle w:val="12"/>
        <w:spacing w:line="360" w:lineRule="auto"/>
        <w:rPr>
          <w:sz w:val="21"/>
          <w:szCs w:val="21"/>
        </w:rPr>
      </w:pPr>
    </w:p>
    <w:p w14:paraId="534ED4EE">
      <w:pPr>
        <w:pStyle w:val="12"/>
        <w:spacing w:before="1" w:line="360" w:lineRule="auto"/>
        <w:rPr>
          <w:sz w:val="21"/>
          <w:szCs w:val="21"/>
        </w:rPr>
      </w:pPr>
    </w:p>
    <w:p w14:paraId="7A390156">
      <w:pPr>
        <w:spacing w:before="0" w:line="360" w:lineRule="auto"/>
        <w:ind w:left="224" w:right="0" w:firstLine="0"/>
        <w:jc w:val="left"/>
        <w:rPr>
          <w:sz w:val="21"/>
          <w:szCs w:val="21"/>
        </w:rPr>
      </w:pPr>
      <w:r>
        <w:rPr>
          <w:sz w:val="21"/>
          <w:szCs w:val="21"/>
        </w:rPr>
        <w:t>附：法定代表人身份证复印件。</w:t>
      </w:r>
    </w:p>
    <w:p w14:paraId="4C29C493">
      <w:pPr>
        <w:pStyle w:val="12"/>
        <w:spacing w:line="360" w:lineRule="auto"/>
        <w:rPr>
          <w:sz w:val="21"/>
          <w:szCs w:val="21"/>
        </w:rPr>
      </w:pPr>
    </w:p>
    <w:p w14:paraId="2C09755F">
      <w:pPr>
        <w:pStyle w:val="12"/>
        <w:spacing w:line="360" w:lineRule="auto"/>
        <w:rPr>
          <w:sz w:val="21"/>
          <w:szCs w:val="21"/>
        </w:rPr>
      </w:pPr>
    </w:p>
    <w:p w14:paraId="647B20B0">
      <w:pPr>
        <w:pStyle w:val="12"/>
        <w:spacing w:line="360" w:lineRule="auto"/>
        <w:rPr>
          <w:sz w:val="21"/>
          <w:szCs w:val="21"/>
        </w:rPr>
      </w:pPr>
    </w:p>
    <w:p w14:paraId="2A0EB45E">
      <w:pPr>
        <w:pStyle w:val="12"/>
        <w:spacing w:before="9" w:line="360" w:lineRule="auto"/>
        <w:rPr>
          <w:sz w:val="21"/>
          <w:szCs w:val="21"/>
        </w:rPr>
      </w:pPr>
    </w:p>
    <w:p w14:paraId="7ECF50D6">
      <w:pPr>
        <w:pStyle w:val="12"/>
        <w:tabs>
          <w:tab w:val="left" w:pos="6345"/>
        </w:tabs>
        <w:spacing w:line="360" w:lineRule="auto"/>
        <w:ind w:left="3345"/>
        <w:rPr>
          <w:sz w:val="21"/>
          <w:szCs w:val="21"/>
        </w:rPr>
      </w:pPr>
      <w:r>
        <w:rPr>
          <w:sz w:val="21"/>
          <w:szCs w:val="21"/>
        </w:rPr>
        <w:t>投标人：</w:t>
      </w:r>
      <w:r>
        <w:rPr>
          <w:sz w:val="21"/>
          <w:szCs w:val="21"/>
          <w:u w:val="single"/>
        </w:rPr>
        <w:t xml:space="preserve"> </w:t>
      </w:r>
      <w:r>
        <w:rPr>
          <w:sz w:val="21"/>
          <w:szCs w:val="21"/>
          <w:u w:val="single"/>
        </w:rPr>
        <w:tab/>
      </w:r>
      <w:r>
        <w:rPr>
          <w:sz w:val="21"/>
          <w:szCs w:val="21"/>
        </w:rPr>
        <w:t>（盖单位章）</w:t>
      </w:r>
    </w:p>
    <w:p w14:paraId="6CF6E211">
      <w:pPr>
        <w:pStyle w:val="12"/>
        <w:tabs>
          <w:tab w:val="left" w:pos="5625"/>
          <w:tab w:val="left" w:pos="6585"/>
          <w:tab w:val="left" w:pos="7240"/>
        </w:tabs>
        <w:spacing w:before="131" w:line="360" w:lineRule="auto"/>
        <w:ind w:left="4545"/>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18B90522">
      <w:pPr>
        <w:pStyle w:val="12"/>
        <w:spacing w:line="360" w:lineRule="auto"/>
        <w:rPr>
          <w:sz w:val="21"/>
          <w:szCs w:val="21"/>
        </w:rPr>
      </w:pPr>
    </w:p>
    <w:p w14:paraId="20149E97">
      <w:pPr>
        <w:pStyle w:val="12"/>
        <w:rPr>
          <w:sz w:val="26"/>
        </w:rPr>
      </w:pPr>
    </w:p>
    <w:p w14:paraId="58585F3A">
      <w:pPr>
        <w:pStyle w:val="12"/>
        <w:rPr>
          <w:sz w:val="26"/>
        </w:rPr>
      </w:pPr>
    </w:p>
    <w:p w14:paraId="6058141D">
      <w:pPr>
        <w:pStyle w:val="12"/>
        <w:rPr>
          <w:sz w:val="26"/>
        </w:rPr>
      </w:pPr>
    </w:p>
    <w:p w14:paraId="0AA5797D">
      <w:pPr>
        <w:pStyle w:val="12"/>
        <w:rPr>
          <w:sz w:val="26"/>
        </w:rPr>
      </w:pPr>
    </w:p>
    <w:p w14:paraId="62562F77">
      <w:pPr>
        <w:pStyle w:val="12"/>
        <w:spacing w:before="1"/>
        <w:rPr>
          <w:sz w:val="19"/>
        </w:rPr>
      </w:pPr>
    </w:p>
    <w:p w14:paraId="18E780AB">
      <w:pPr>
        <w:pStyle w:val="12"/>
        <w:spacing w:before="10"/>
        <w:rPr>
          <w:sz w:val="27"/>
        </w:rPr>
      </w:pPr>
    </w:p>
    <w:p w14:paraId="0F0E9C01">
      <w:pPr>
        <w:rPr>
          <w:rFonts w:hint="eastAsia" w:ascii="黑体" w:hAnsi="黑体" w:eastAsia="黑体"/>
          <w:b/>
          <w:sz w:val="28"/>
        </w:rPr>
      </w:pPr>
      <w:bookmarkStart w:id="428" w:name="_bookmark295"/>
      <w:bookmarkEnd w:id="428"/>
      <w:bookmarkStart w:id="429" w:name="_Toc17321"/>
      <w:r>
        <w:rPr>
          <w:rFonts w:hint="eastAsia" w:ascii="黑体" w:hAnsi="黑体" w:eastAsia="黑体"/>
          <w:b/>
          <w:sz w:val="28"/>
        </w:rPr>
        <w:br w:type="page"/>
      </w:r>
    </w:p>
    <w:p w14:paraId="00B863D8">
      <w:pPr>
        <w:pStyle w:val="4"/>
        <w:bidi w:val="0"/>
        <w:rPr>
          <w:rFonts w:hint="default" w:ascii="黑体" w:hAnsi="黑体" w:eastAsia="黑体"/>
          <w:b/>
          <w:sz w:val="14"/>
          <w:lang w:val="en-US" w:eastAsia="zh-CN"/>
        </w:rPr>
      </w:pPr>
      <w:r>
        <w:rPr>
          <w:rFonts w:hint="eastAsia" w:ascii="黑体" w:hAnsi="黑体" w:eastAsia="黑体"/>
          <w:b/>
          <w:sz w:val="28"/>
        </w:rPr>
        <w:t>三、</w:t>
      </w:r>
      <w:r>
        <w:rPr>
          <w:rFonts w:hint="eastAsia" w:ascii="黑体" w:hAnsi="黑体" w:eastAsia="黑体"/>
          <w:sz w:val="28"/>
        </w:rPr>
        <w:t>联合体协议书</w:t>
      </w:r>
      <w:bookmarkEnd w:id="429"/>
      <w:r>
        <w:rPr>
          <w:rFonts w:hint="eastAsia" w:ascii="黑体" w:hAnsi="黑体" w:eastAsia="黑体"/>
          <w:sz w:val="28"/>
          <w:lang w:eastAsia="zh-CN"/>
        </w:rPr>
        <w:t>（</w:t>
      </w:r>
      <w:r>
        <w:rPr>
          <w:rFonts w:hint="eastAsia"/>
          <w:sz w:val="28"/>
          <w:lang w:val="en-US" w:eastAsia="zh-CN"/>
        </w:rPr>
        <w:t>如有</w:t>
      </w:r>
      <w:r>
        <w:rPr>
          <w:rFonts w:hint="eastAsia" w:ascii="黑体" w:hAnsi="黑体" w:eastAsia="黑体"/>
          <w:sz w:val="28"/>
          <w:lang w:val="en-US" w:eastAsia="zh-CN"/>
        </w:rPr>
        <w:t>）</w:t>
      </w:r>
    </w:p>
    <w:p w14:paraId="00B46737">
      <w:pPr>
        <w:pStyle w:val="12"/>
        <w:rPr>
          <w:rFonts w:ascii="黑体"/>
          <w:b/>
          <w:sz w:val="20"/>
        </w:rPr>
      </w:pPr>
    </w:p>
    <w:p w14:paraId="4BCDE4C0">
      <w:pPr>
        <w:pStyle w:val="12"/>
        <w:rPr>
          <w:rFonts w:ascii="黑体"/>
          <w:b/>
          <w:sz w:val="20"/>
        </w:rPr>
      </w:pPr>
    </w:p>
    <w:p w14:paraId="0B16CEF2">
      <w:pPr>
        <w:pStyle w:val="12"/>
        <w:spacing w:before="5"/>
        <w:rPr>
          <w:rFonts w:ascii="黑体"/>
          <w:b/>
          <w:sz w:val="14"/>
        </w:rPr>
      </w:pPr>
    </w:p>
    <w:p w14:paraId="0AE58E8A">
      <w:pPr>
        <w:pStyle w:val="12"/>
        <w:tabs>
          <w:tab w:val="left" w:pos="2504"/>
          <w:tab w:val="left" w:pos="2756"/>
          <w:tab w:val="left" w:pos="6731"/>
        </w:tabs>
        <w:spacing w:before="74" w:line="360" w:lineRule="auto"/>
        <w:ind w:left="224" w:right="277" w:firstLine="359"/>
        <w:jc w:val="both"/>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rFonts w:hint="eastAsia" w:ascii="黑体" w:eastAsia="黑体"/>
          <w:sz w:val="21"/>
          <w:szCs w:val="21"/>
        </w:rPr>
        <w:t>（</w:t>
      </w:r>
      <w:r>
        <w:rPr>
          <w:sz w:val="21"/>
          <w:szCs w:val="21"/>
        </w:rPr>
        <w:t>所有成员单位名称）自愿组成</w:t>
      </w:r>
      <w:r>
        <w:rPr>
          <w:sz w:val="21"/>
          <w:szCs w:val="21"/>
          <w:u w:val="single"/>
        </w:rPr>
        <w:t xml:space="preserve"> </w:t>
      </w:r>
      <w:r>
        <w:rPr>
          <w:sz w:val="21"/>
          <w:szCs w:val="21"/>
          <w:u w:val="single"/>
        </w:rPr>
        <w:tab/>
      </w:r>
      <w:r>
        <w:rPr>
          <w:sz w:val="21"/>
          <w:szCs w:val="21"/>
        </w:rPr>
        <w:t>（联合体名称）联</w:t>
      </w:r>
      <w:r>
        <w:rPr>
          <w:spacing w:val="-13"/>
          <w:sz w:val="21"/>
          <w:szCs w:val="21"/>
        </w:rPr>
        <w:t>合</w:t>
      </w:r>
      <w:r>
        <w:rPr>
          <w:sz w:val="21"/>
          <w:szCs w:val="21"/>
        </w:rPr>
        <w:t>体，共同参加</w:t>
      </w:r>
      <w:r>
        <w:rPr>
          <w:sz w:val="21"/>
          <w:szCs w:val="21"/>
          <w:u w:val="single"/>
        </w:rPr>
        <w:t xml:space="preserve"> </w:t>
      </w:r>
      <w:r>
        <w:rPr>
          <w:sz w:val="21"/>
          <w:szCs w:val="21"/>
          <w:u w:val="single"/>
        </w:rPr>
        <w:tab/>
      </w:r>
      <w:r>
        <w:rPr>
          <w:sz w:val="21"/>
          <w:szCs w:val="21"/>
          <w:u w:val="single"/>
        </w:rPr>
        <w:tab/>
      </w:r>
      <w:r>
        <w:rPr>
          <w:sz w:val="21"/>
          <w:szCs w:val="21"/>
        </w:rPr>
        <w:t>（项目名称）</w:t>
      </w:r>
      <w:r>
        <w:rPr>
          <w:sz w:val="21"/>
          <w:szCs w:val="21"/>
          <w:u w:val="single"/>
        </w:rPr>
        <w:t xml:space="preserve">   </w:t>
      </w:r>
      <w:r>
        <w:rPr>
          <w:spacing w:val="19"/>
          <w:sz w:val="21"/>
          <w:szCs w:val="21"/>
          <w:u w:val="single"/>
        </w:rPr>
        <w:t xml:space="preserve"> </w:t>
      </w:r>
      <w:r>
        <w:rPr>
          <w:sz w:val="21"/>
          <w:szCs w:val="21"/>
        </w:rPr>
        <w:t>标段施工投标。现就联合体投标事宜订立如下协议。</w:t>
      </w:r>
    </w:p>
    <w:p w14:paraId="20617E2C">
      <w:pPr>
        <w:pStyle w:val="41"/>
        <w:numPr>
          <w:ilvl w:val="0"/>
          <w:numId w:val="0"/>
        </w:numPr>
        <w:tabs>
          <w:tab w:val="left" w:pos="797"/>
          <w:tab w:val="left" w:pos="1995"/>
          <w:tab w:val="left" w:pos="5236"/>
        </w:tabs>
        <w:spacing w:before="1" w:after="0" w:line="360" w:lineRule="auto"/>
        <w:ind w:left="796" w:leftChars="0" w:right="0" w:rightChars="0" w:hanging="182" w:firstLineChars="0"/>
        <w:jc w:val="left"/>
        <w:rPr>
          <w:sz w:val="21"/>
          <w:szCs w:val="21"/>
        </w:rPr>
      </w:pPr>
      <w:r>
        <w:rPr>
          <w:rFonts w:hint="default" w:ascii="Times New Roman" w:hAnsi="Times New Roman" w:eastAsia="Times New Roman" w:cs="Times New Roman"/>
          <w:w w:val="100"/>
          <w:sz w:val="21"/>
          <w:szCs w:val="21"/>
          <w:lang w:val="zh-CN" w:eastAsia="zh-CN" w:bidi="zh-CN"/>
        </w:rPr>
        <w:t>1.</w:t>
      </w: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（某成员单位名称）为</w:t>
      </w:r>
      <w:r>
        <w:rPr>
          <w:sz w:val="21"/>
          <w:szCs w:val="21"/>
          <w:u w:val="single"/>
        </w:rPr>
        <w:t xml:space="preserve"> </w:t>
      </w:r>
      <w:r>
        <w:rPr>
          <w:sz w:val="21"/>
          <w:szCs w:val="21"/>
          <w:u w:val="single"/>
        </w:rPr>
        <w:tab/>
      </w:r>
      <w:r>
        <w:rPr>
          <w:sz w:val="21"/>
          <w:szCs w:val="21"/>
        </w:rPr>
        <w:t>（联合体名称）牵头人。</w:t>
      </w:r>
    </w:p>
    <w:p w14:paraId="52D04B1E">
      <w:pPr>
        <w:pStyle w:val="41"/>
        <w:numPr>
          <w:ilvl w:val="0"/>
          <w:numId w:val="0"/>
        </w:numPr>
        <w:tabs>
          <w:tab w:val="left" w:pos="797"/>
        </w:tabs>
        <w:spacing w:before="94" w:after="0" w:line="360" w:lineRule="auto"/>
        <w:ind w:left="224" w:leftChars="0" w:right="166" w:rightChars="0" w:firstLine="391" w:firstLineChars="0"/>
        <w:jc w:val="left"/>
        <w:rPr>
          <w:sz w:val="21"/>
          <w:szCs w:val="21"/>
        </w:rPr>
      </w:pPr>
      <w:r>
        <w:rPr>
          <w:rFonts w:hint="default" w:ascii="Times New Roman" w:hAnsi="Times New Roman" w:eastAsia="Times New Roman" w:cs="Times New Roman"/>
          <w:w w:val="100"/>
          <w:sz w:val="21"/>
          <w:szCs w:val="21"/>
          <w:lang w:val="zh-CN" w:eastAsia="zh-CN" w:bidi="zh-CN"/>
        </w:rPr>
        <w:t>2.</w:t>
      </w:r>
      <w:r>
        <w:rPr>
          <w:spacing w:val="-3"/>
          <w:sz w:val="21"/>
          <w:szCs w:val="21"/>
        </w:rPr>
        <w:t>联合体各成员授权牵头人代表联合体参加投标活动，签署文件，提交和接收相</w:t>
      </w:r>
      <w:r>
        <w:rPr>
          <w:spacing w:val="-11"/>
          <w:sz w:val="21"/>
          <w:szCs w:val="21"/>
        </w:rPr>
        <w:t xml:space="preserve">关的资料、信息及指示，进行合同谈判活动，负责合同实施阶段的组织和协调工作， </w:t>
      </w:r>
      <w:r>
        <w:rPr>
          <w:sz w:val="21"/>
          <w:szCs w:val="21"/>
        </w:rPr>
        <w:t>以及处理与本招标项目有关的一切事宜。</w:t>
      </w:r>
    </w:p>
    <w:p w14:paraId="249594EB">
      <w:pPr>
        <w:pStyle w:val="41"/>
        <w:numPr>
          <w:ilvl w:val="0"/>
          <w:numId w:val="0"/>
        </w:numPr>
        <w:tabs>
          <w:tab w:val="left" w:pos="797"/>
        </w:tabs>
        <w:spacing w:before="1" w:after="0" w:line="360" w:lineRule="auto"/>
        <w:ind w:left="224" w:leftChars="0" w:right="285" w:rightChars="0" w:firstLine="391" w:firstLineChars="0"/>
        <w:jc w:val="both"/>
        <w:rPr>
          <w:sz w:val="21"/>
          <w:szCs w:val="21"/>
        </w:rPr>
      </w:pPr>
      <w:r>
        <w:rPr>
          <w:rFonts w:hint="default" w:ascii="Times New Roman" w:hAnsi="Times New Roman" w:eastAsia="Times New Roman" w:cs="Times New Roman"/>
          <w:w w:val="100"/>
          <w:sz w:val="21"/>
          <w:szCs w:val="21"/>
          <w:lang w:val="zh-CN" w:eastAsia="zh-CN" w:bidi="zh-CN"/>
        </w:rPr>
        <w:t>3.</w:t>
      </w:r>
      <w:r>
        <w:rPr>
          <w:spacing w:val="-4"/>
          <w:sz w:val="21"/>
          <w:szCs w:val="21"/>
        </w:rPr>
        <w:t>联合体牵头人在本项目中签署的一切文件和处理的一切事宜，联合体各成员均</w:t>
      </w:r>
      <w:r>
        <w:rPr>
          <w:sz w:val="21"/>
          <w:szCs w:val="21"/>
        </w:rPr>
        <w:t>予以承认。联合体各成员将严格按照招标文件、投标文件和合同的要求全面履行义务，并向招标人承担连带责任。</w:t>
      </w:r>
    </w:p>
    <w:p w14:paraId="5FCF5826">
      <w:pPr>
        <w:pStyle w:val="41"/>
        <w:numPr>
          <w:ilvl w:val="0"/>
          <w:numId w:val="0"/>
        </w:numPr>
        <w:tabs>
          <w:tab w:val="left" w:pos="886"/>
          <w:tab w:val="left" w:pos="2024"/>
          <w:tab w:val="left" w:pos="4801"/>
          <w:tab w:val="left" w:pos="7821"/>
          <w:tab w:val="left" w:pos="7951"/>
        </w:tabs>
        <w:spacing w:before="0" w:after="0" w:line="360" w:lineRule="auto"/>
        <w:ind w:left="224" w:leftChars="0" w:right="162" w:rightChars="0" w:firstLine="479" w:firstLineChars="0"/>
        <w:jc w:val="left"/>
        <w:rPr>
          <w:sz w:val="21"/>
          <w:szCs w:val="21"/>
        </w:rPr>
      </w:pPr>
      <w:r>
        <w:rPr>
          <w:rFonts w:hint="default" w:ascii="Times New Roman" w:hAnsi="Times New Roman" w:eastAsia="Times New Roman" w:cs="Times New Roman"/>
          <w:w w:val="100"/>
          <w:sz w:val="21"/>
          <w:szCs w:val="21"/>
          <w:lang w:val="zh-CN" w:eastAsia="zh-CN" w:bidi="zh-CN"/>
        </w:rPr>
        <w:t>4.</w:t>
      </w:r>
      <w:r>
        <w:rPr>
          <w:sz w:val="21"/>
          <w:szCs w:val="21"/>
        </w:rPr>
        <w:t>联合体各成员单位内部的职责分工如下</w:t>
      </w:r>
      <w:r>
        <w:rPr>
          <w:spacing w:val="-131"/>
          <w:sz w:val="21"/>
          <w:szCs w:val="21"/>
        </w:rPr>
        <w:t>：</w:t>
      </w:r>
      <w:r>
        <w:rPr>
          <w:sz w:val="21"/>
          <w:szCs w:val="21"/>
          <w:u w:val="single"/>
        </w:rPr>
        <w:t>（牵头人名称</w:t>
      </w:r>
      <w:r>
        <w:rPr>
          <w:spacing w:val="-12"/>
          <w:sz w:val="21"/>
          <w:szCs w:val="21"/>
          <w:u w:val="single"/>
        </w:rPr>
        <w:t>）</w:t>
      </w:r>
      <w:r>
        <w:rPr>
          <w:sz w:val="21"/>
          <w:szCs w:val="21"/>
        </w:rPr>
        <w:t>承担</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sz w:val="21"/>
          <w:szCs w:val="21"/>
        </w:rPr>
        <w:t>专业工程</w:t>
      </w:r>
      <w:r>
        <w:rPr>
          <w:spacing w:val="-17"/>
          <w:sz w:val="21"/>
          <w:szCs w:val="21"/>
        </w:rPr>
        <w:t>，</w:t>
      </w:r>
      <w:r>
        <w:rPr>
          <w:sz w:val="21"/>
          <w:szCs w:val="21"/>
        </w:rPr>
        <w:t>占总工程量</w:t>
      </w:r>
      <w:r>
        <w:rPr>
          <w:spacing w:val="-1"/>
          <w:sz w:val="21"/>
          <w:szCs w:val="21"/>
        </w:rPr>
        <w:t>的</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rFonts w:ascii="Times New Roman" w:hAnsi="Times New Roman" w:eastAsia="Times New Roman"/>
          <w:spacing w:val="-1"/>
          <w:sz w:val="21"/>
          <w:szCs w:val="21"/>
        </w:rPr>
        <w:t>%</w:t>
      </w:r>
      <w:r>
        <w:rPr>
          <w:spacing w:val="-212"/>
          <w:sz w:val="21"/>
          <w:szCs w:val="21"/>
        </w:rPr>
        <w:t>；</w:t>
      </w:r>
      <w:r>
        <w:rPr>
          <w:sz w:val="21"/>
          <w:szCs w:val="21"/>
        </w:rPr>
        <w:t>（</w:t>
      </w:r>
      <w:r>
        <w:rPr>
          <w:sz w:val="21"/>
          <w:szCs w:val="21"/>
          <w:u w:val="single"/>
        </w:rPr>
        <w:t>成员一名称</w:t>
      </w:r>
      <w:r>
        <w:rPr>
          <w:spacing w:val="-92"/>
          <w:sz w:val="21"/>
          <w:szCs w:val="21"/>
          <w:u w:val="single"/>
        </w:rPr>
        <w:t>）</w:t>
      </w:r>
      <w:r>
        <w:rPr>
          <w:sz w:val="21"/>
          <w:szCs w:val="21"/>
        </w:rPr>
        <w:t>承担</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sz w:val="21"/>
          <w:szCs w:val="21"/>
        </w:rPr>
        <w:t>专业工程</w:t>
      </w:r>
      <w:r>
        <w:rPr>
          <w:spacing w:val="-92"/>
          <w:sz w:val="21"/>
          <w:szCs w:val="21"/>
        </w:rPr>
        <w:t>，</w:t>
      </w:r>
      <w:r>
        <w:rPr>
          <w:sz w:val="21"/>
          <w:szCs w:val="21"/>
        </w:rPr>
        <w:t>占总工程量的</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pacing w:val="-1"/>
          <w:sz w:val="21"/>
          <w:szCs w:val="21"/>
        </w:rPr>
        <w:t>%</w:t>
      </w:r>
      <w:r>
        <w:rPr>
          <w:spacing w:val="-92"/>
          <w:sz w:val="21"/>
          <w:szCs w:val="21"/>
        </w:rPr>
        <w:t>；</w:t>
      </w:r>
    </w:p>
    <w:p w14:paraId="736068BC">
      <w:pPr>
        <w:pStyle w:val="41"/>
        <w:numPr>
          <w:ilvl w:val="0"/>
          <w:numId w:val="0"/>
        </w:numPr>
        <w:tabs>
          <w:tab w:val="left" w:pos="887"/>
        </w:tabs>
        <w:spacing w:before="0" w:after="0" w:line="360" w:lineRule="auto"/>
        <w:ind w:left="224" w:leftChars="0" w:right="294" w:rightChars="0" w:firstLine="479" w:firstLineChars="0"/>
        <w:jc w:val="left"/>
        <w:rPr>
          <w:sz w:val="21"/>
          <w:szCs w:val="21"/>
        </w:rPr>
      </w:pPr>
      <w:r>
        <w:rPr>
          <w:rFonts w:hint="default" w:ascii="Times New Roman" w:hAnsi="Times New Roman" w:eastAsia="Times New Roman" w:cs="Times New Roman"/>
          <w:w w:val="100"/>
          <w:sz w:val="21"/>
          <w:szCs w:val="21"/>
          <w:lang w:val="zh-CN" w:eastAsia="zh-CN" w:bidi="zh-CN"/>
        </w:rPr>
        <w:t>5.</w:t>
      </w:r>
      <w:r>
        <w:rPr>
          <w:sz w:val="21"/>
          <w:szCs w:val="21"/>
        </w:rPr>
        <w:t>投标工作和联合体在中标后工程实施过程中的有关费用按各自承担的工作量分摊。</w:t>
      </w:r>
    </w:p>
    <w:p w14:paraId="531D17E6">
      <w:pPr>
        <w:pStyle w:val="41"/>
        <w:numPr>
          <w:ilvl w:val="0"/>
          <w:numId w:val="0"/>
        </w:numPr>
        <w:tabs>
          <w:tab w:val="left" w:pos="887"/>
        </w:tabs>
        <w:spacing w:before="3" w:after="0" w:line="360" w:lineRule="auto"/>
        <w:ind w:left="224" w:leftChars="0" w:right="288" w:rightChars="0" w:firstLine="479" w:firstLineChars="0"/>
        <w:jc w:val="left"/>
        <w:rPr>
          <w:sz w:val="21"/>
          <w:szCs w:val="21"/>
        </w:rPr>
      </w:pPr>
      <w:r>
        <w:rPr>
          <w:rFonts w:hint="default" w:ascii="Times New Roman" w:hAnsi="Times New Roman" w:eastAsia="Times New Roman" w:cs="Times New Roman"/>
          <w:w w:val="100"/>
          <w:sz w:val="21"/>
          <w:szCs w:val="21"/>
          <w:lang w:val="zh-CN" w:eastAsia="zh-CN" w:bidi="zh-CN"/>
        </w:rPr>
        <w:t>6.</w:t>
      </w:r>
      <w:r>
        <w:rPr>
          <w:sz w:val="21"/>
          <w:szCs w:val="21"/>
        </w:rPr>
        <w:t>本协议书自所有成员单位法定代表人签字并加盖单位章之日起生效，合同履行完毕后自动失效。</w:t>
      </w:r>
    </w:p>
    <w:p w14:paraId="56FC10D8">
      <w:pPr>
        <w:pStyle w:val="41"/>
        <w:numPr>
          <w:ilvl w:val="0"/>
          <w:numId w:val="0"/>
        </w:numPr>
        <w:tabs>
          <w:tab w:val="left" w:pos="886"/>
          <w:tab w:val="left" w:pos="2804"/>
        </w:tabs>
        <w:spacing w:before="0" w:after="0" w:line="360" w:lineRule="auto"/>
        <w:ind w:left="885" w:leftChars="0" w:right="0" w:rightChars="0" w:hanging="182" w:firstLineChars="0"/>
        <w:jc w:val="left"/>
        <w:rPr>
          <w:sz w:val="21"/>
          <w:szCs w:val="21"/>
        </w:rPr>
      </w:pPr>
      <w:r>
        <w:rPr>
          <w:rFonts w:hint="default" w:ascii="Times New Roman" w:hAnsi="Times New Roman" w:eastAsia="Times New Roman" w:cs="Times New Roman"/>
          <w:w w:val="100"/>
          <w:sz w:val="21"/>
          <w:szCs w:val="21"/>
          <w:lang w:val="zh-CN" w:eastAsia="zh-CN" w:bidi="zh-CN"/>
        </w:rPr>
        <w:t>7.</w:t>
      </w:r>
      <w:r>
        <w:rPr>
          <w:sz w:val="21"/>
          <w:szCs w:val="21"/>
        </w:rPr>
        <w:t>本协议书一式</w:t>
      </w:r>
      <w:r>
        <w:rPr>
          <w:sz w:val="21"/>
          <w:szCs w:val="21"/>
          <w:u w:val="single"/>
        </w:rPr>
        <w:t xml:space="preserve"> </w:t>
      </w:r>
      <w:r>
        <w:rPr>
          <w:sz w:val="21"/>
          <w:szCs w:val="21"/>
          <w:u w:val="single"/>
        </w:rPr>
        <w:tab/>
      </w:r>
      <w:r>
        <w:rPr>
          <w:sz w:val="21"/>
          <w:szCs w:val="21"/>
        </w:rPr>
        <w:t>份，联合体成员和招标人各执一份。</w:t>
      </w:r>
    </w:p>
    <w:p w14:paraId="03262D34">
      <w:pPr>
        <w:pStyle w:val="12"/>
        <w:spacing w:before="4" w:line="360" w:lineRule="auto"/>
        <w:rPr>
          <w:sz w:val="21"/>
          <w:szCs w:val="21"/>
        </w:rPr>
      </w:pPr>
    </w:p>
    <w:p w14:paraId="03978181">
      <w:pPr>
        <w:pStyle w:val="12"/>
        <w:tabs>
          <w:tab w:val="left" w:pos="5135"/>
          <w:tab w:val="left" w:pos="5375"/>
        </w:tabs>
        <w:spacing w:line="360" w:lineRule="auto"/>
        <w:ind w:left="694" w:right="2368"/>
        <w:rPr>
          <w:sz w:val="21"/>
          <w:szCs w:val="21"/>
        </w:rPr>
      </w:pPr>
      <w:r>
        <w:rPr>
          <w:sz w:val="21"/>
          <w:szCs w:val="21"/>
        </w:rPr>
        <w:t>联合体牵头人名称：</w:t>
      </w:r>
      <w:r>
        <w:rPr>
          <w:sz w:val="21"/>
          <w:szCs w:val="21"/>
          <w:u w:val="single"/>
        </w:rPr>
        <w:t xml:space="preserve"> </w:t>
      </w:r>
      <w:r>
        <w:rPr>
          <w:sz w:val="21"/>
          <w:szCs w:val="21"/>
          <w:u w:val="single"/>
        </w:rPr>
        <w:tab/>
      </w:r>
      <w:r>
        <w:rPr>
          <w:sz w:val="21"/>
          <w:szCs w:val="21"/>
          <w:u w:val="single"/>
        </w:rPr>
        <w:tab/>
      </w:r>
      <w:r>
        <w:rPr>
          <w:sz w:val="21"/>
          <w:szCs w:val="21"/>
        </w:rPr>
        <w:t>（盖单位章</w:t>
      </w:r>
      <w:r>
        <w:rPr>
          <w:spacing w:val="-17"/>
          <w:sz w:val="21"/>
          <w:szCs w:val="21"/>
        </w:rPr>
        <w:t xml:space="preserve">） </w:t>
      </w:r>
      <w:r>
        <w:rPr>
          <w:sz w:val="21"/>
          <w:szCs w:val="21"/>
        </w:rPr>
        <w:t>法定代表人：</w:t>
      </w:r>
      <w:r>
        <w:rPr>
          <w:sz w:val="21"/>
          <w:szCs w:val="21"/>
          <w:u w:val="single"/>
        </w:rPr>
        <w:t xml:space="preserve"> </w:t>
      </w:r>
      <w:r>
        <w:rPr>
          <w:sz w:val="21"/>
          <w:szCs w:val="21"/>
          <w:u w:val="single"/>
        </w:rPr>
        <w:tab/>
      </w:r>
      <w:r>
        <w:rPr>
          <w:sz w:val="21"/>
          <w:szCs w:val="21"/>
        </w:rPr>
        <w:t>（签字）</w:t>
      </w:r>
    </w:p>
    <w:p w14:paraId="7401FE16">
      <w:pPr>
        <w:pStyle w:val="12"/>
        <w:spacing w:before="11" w:line="360" w:lineRule="auto"/>
        <w:rPr>
          <w:sz w:val="21"/>
          <w:szCs w:val="21"/>
        </w:rPr>
      </w:pPr>
    </w:p>
    <w:p w14:paraId="11B8CF6D">
      <w:pPr>
        <w:pStyle w:val="12"/>
        <w:tabs>
          <w:tab w:val="left" w:pos="5135"/>
        </w:tabs>
        <w:spacing w:line="360" w:lineRule="auto"/>
        <w:ind w:left="694" w:right="2608"/>
        <w:rPr>
          <w:sz w:val="21"/>
          <w:szCs w:val="21"/>
        </w:rPr>
      </w:pPr>
      <w:r>
        <w:rPr>
          <w:sz w:val="21"/>
          <w:szCs w:val="21"/>
        </w:rPr>
        <w:t>联合体成员名称：</w:t>
      </w:r>
      <w:r>
        <w:rPr>
          <w:sz w:val="21"/>
          <w:szCs w:val="21"/>
          <w:u w:val="single"/>
        </w:rPr>
        <w:t xml:space="preserve"> </w:t>
      </w:r>
      <w:r>
        <w:rPr>
          <w:sz w:val="21"/>
          <w:szCs w:val="21"/>
          <w:u w:val="single"/>
        </w:rPr>
        <w:tab/>
      </w:r>
      <w:r>
        <w:rPr>
          <w:sz w:val="21"/>
          <w:szCs w:val="21"/>
        </w:rPr>
        <w:t>（盖单位章</w:t>
      </w:r>
      <w:r>
        <w:rPr>
          <w:spacing w:val="-17"/>
          <w:sz w:val="21"/>
          <w:szCs w:val="21"/>
        </w:rPr>
        <w:t xml:space="preserve">） </w:t>
      </w:r>
      <w:r>
        <w:rPr>
          <w:sz w:val="21"/>
          <w:szCs w:val="21"/>
        </w:rPr>
        <w:t>法定代表人：</w:t>
      </w:r>
      <w:r>
        <w:rPr>
          <w:sz w:val="21"/>
          <w:szCs w:val="21"/>
          <w:u w:val="single"/>
        </w:rPr>
        <w:t xml:space="preserve"> </w:t>
      </w:r>
      <w:r>
        <w:rPr>
          <w:sz w:val="21"/>
          <w:szCs w:val="21"/>
          <w:u w:val="single"/>
        </w:rPr>
        <w:tab/>
      </w:r>
      <w:r>
        <w:rPr>
          <w:sz w:val="21"/>
          <w:szCs w:val="21"/>
        </w:rPr>
        <w:t>（签字）</w:t>
      </w:r>
    </w:p>
    <w:p w14:paraId="78AF5319">
      <w:pPr>
        <w:pStyle w:val="12"/>
        <w:spacing w:before="3" w:line="360" w:lineRule="auto"/>
        <w:rPr>
          <w:sz w:val="21"/>
          <w:szCs w:val="21"/>
        </w:rPr>
      </w:pPr>
    </w:p>
    <w:p w14:paraId="374E8F72">
      <w:pPr>
        <w:pStyle w:val="12"/>
        <w:tabs>
          <w:tab w:val="left" w:pos="5135"/>
        </w:tabs>
        <w:spacing w:line="360" w:lineRule="auto"/>
        <w:ind w:left="704" w:right="2608" w:hanging="10"/>
        <w:rPr>
          <w:sz w:val="21"/>
          <w:szCs w:val="21"/>
        </w:rPr>
      </w:pPr>
      <w:r>
        <w:rPr>
          <w:sz w:val="21"/>
          <w:szCs w:val="21"/>
        </w:rPr>
        <w:t>联合体成员名称：</w:t>
      </w:r>
      <w:r>
        <w:rPr>
          <w:sz w:val="21"/>
          <w:szCs w:val="21"/>
          <w:u w:val="single"/>
        </w:rPr>
        <w:t xml:space="preserve"> </w:t>
      </w:r>
      <w:r>
        <w:rPr>
          <w:sz w:val="21"/>
          <w:szCs w:val="21"/>
          <w:u w:val="single"/>
        </w:rPr>
        <w:tab/>
      </w:r>
      <w:r>
        <w:rPr>
          <w:sz w:val="21"/>
          <w:szCs w:val="21"/>
        </w:rPr>
        <w:t>（盖单位章</w:t>
      </w:r>
      <w:r>
        <w:rPr>
          <w:spacing w:val="-17"/>
          <w:sz w:val="21"/>
          <w:szCs w:val="21"/>
        </w:rPr>
        <w:t xml:space="preserve">） </w:t>
      </w:r>
      <w:r>
        <w:rPr>
          <w:sz w:val="21"/>
          <w:szCs w:val="21"/>
        </w:rPr>
        <w:t>法定代表人：</w:t>
      </w:r>
      <w:r>
        <w:rPr>
          <w:sz w:val="21"/>
          <w:szCs w:val="21"/>
          <w:u w:val="single"/>
        </w:rPr>
        <w:t xml:space="preserve"> </w:t>
      </w:r>
      <w:r>
        <w:rPr>
          <w:sz w:val="21"/>
          <w:szCs w:val="21"/>
          <w:u w:val="single"/>
        </w:rPr>
        <w:tab/>
      </w:r>
      <w:r>
        <w:rPr>
          <w:sz w:val="21"/>
          <w:szCs w:val="21"/>
        </w:rPr>
        <w:t>（签字）</w:t>
      </w:r>
    </w:p>
    <w:p w14:paraId="122E0816">
      <w:pPr>
        <w:pStyle w:val="12"/>
        <w:spacing w:before="30" w:line="360" w:lineRule="auto"/>
        <w:ind w:left="704"/>
        <w:rPr>
          <w:rFonts w:ascii="Times New Roman" w:hAnsi="Times New Roman"/>
          <w:sz w:val="21"/>
          <w:szCs w:val="21"/>
        </w:rPr>
      </w:pPr>
      <w:r>
        <w:rPr>
          <w:rFonts w:ascii="Times New Roman" w:hAnsi="Times New Roman"/>
          <w:sz w:val="21"/>
          <w:szCs w:val="21"/>
        </w:rPr>
        <w:t>……</w:t>
      </w:r>
    </w:p>
    <w:p w14:paraId="3695D744">
      <w:pPr>
        <w:pStyle w:val="12"/>
        <w:tabs>
          <w:tab w:val="left" w:pos="5685"/>
          <w:tab w:val="left" w:pos="6645"/>
          <w:tab w:val="left" w:pos="7365"/>
        </w:tabs>
        <w:spacing w:before="95" w:line="360" w:lineRule="auto"/>
        <w:ind w:left="4845"/>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26037F1E">
      <w:pPr>
        <w:pStyle w:val="12"/>
        <w:spacing w:line="360" w:lineRule="auto"/>
        <w:rPr>
          <w:sz w:val="21"/>
          <w:szCs w:val="21"/>
        </w:rPr>
      </w:pPr>
    </w:p>
    <w:p w14:paraId="64F1D629">
      <w:pPr>
        <w:pStyle w:val="12"/>
        <w:spacing w:before="1" w:line="360" w:lineRule="auto"/>
        <w:rPr>
          <w:sz w:val="21"/>
          <w:szCs w:val="21"/>
        </w:rPr>
      </w:pPr>
    </w:p>
    <w:p w14:paraId="0B354045">
      <w:pPr>
        <w:spacing w:line="360" w:lineRule="auto"/>
        <w:rPr>
          <w:sz w:val="21"/>
          <w:szCs w:val="21"/>
        </w:rPr>
      </w:pPr>
      <w:r>
        <w:rPr>
          <w:sz w:val="21"/>
          <w:szCs w:val="21"/>
        </w:rPr>
        <w:br w:type="page"/>
      </w:r>
    </w:p>
    <w:p w14:paraId="3ED7EBCE">
      <w:pPr>
        <w:pStyle w:val="12"/>
        <w:spacing w:before="5"/>
        <w:rPr>
          <w:sz w:val="28"/>
        </w:rPr>
      </w:pPr>
    </w:p>
    <w:p w14:paraId="7C4E2C22">
      <w:pPr>
        <w:pStyle w:val="4"/>
        <w:bidi w:val="0"/>
        <w:rPr>
          <w:rFonts w:hint="eastAsia"/>
          <w:sz w:val="30"/>
          <w:szCs w:val="30"/>
        </w:rPr>
      </w:pPr>
      <w:bookmarkStart w:id="430" w:name="_bookmark296"/>
      <w:bookmarkEnd w:id="430"/>
      <w:bookmarkStart w:id="431" w:name="_Toc24802"/>
      <w:r>
        <w:rPr>
          <w:rFonts w:hint="eastAsia"/>
          <w:sz w:val="30"/>
          <w:szCs w:val="30"/>
        </w:rPr>
        <w:t>四、投标保证金</w:t>
      </w:r>
      <w:bookmarkEnd w:id="431"/>
    </w:p>
    <w:p w14:paraId="4F3BFA9D">
      <w:pPr>
        <w:spacing w:line="440" w:lineRule="exact"/>
        <w:rPr>
          <w:sz w:val="21"/>
          <w:szCs w:val="21"/>
        </w:rPr>
      </w:pPr>
      <w:r>
        <w:rPr>
          <w:rFonts w:hint="eastAsia"/>
          <w:sz w:val="21"/>
          <w:szCs w:val="21"/>
          <w:u w:val="single"/>
        </w:rPr>
        <w:tab/>
      </w:r>
      <w:r>
        <w:rPr>
          <w:rFonts w:hint="eastAsia"/>
          <w:sz w:val="21"/>
          <w:szCs w:val="21"/>
          <w:u w:val="single"/>
        </w:rPr>
        <w:tab/>
      </w:r>
      <w:r>
        <w:rPr>
          <w:rFonts w:hint="eastAsia"/>
          <w:sz w:val="21"/>
          <w:szCs w:val="21"/>
        </w:rPr>
        <w:t>（招标人名称）：</w:t>
      </w:r>
    </w:p>
    <w:p w14:paraId="5E6F078F">
      <w:pPr>
        <w:spacing w:line="440" w:lineRule="exact"/>
        <w:ind w:firstLine="420" w:firstLineChars="200"/>
        <w:rPr>
          <w:sz w:val="21"/>
          <w:szCs w:val="21"/>
        </w:rPr>
      </w:pPr>
      <w:r>
        <w:rPr>
          <w:rFonts w:hint="eastAsia"/>
          <w:sz w:val="21"/>
          <w:szCs w:val="21"/>
        </w:rPr>
        <w:t>我方于</w:t>
      </w:r>
      <w:r>
        <w:rPr>
          <w:rFonts w:hint="eastAsia"/>
          <w:sz w:val="21"/>
          <w:szCs w:val="21"/>
          <w:u w:val="single"/>
          <w:lang w:val="en-US"/>
        </w:rPr>
        <w:t xml:space="preserve">  </w:t>
      </w:r>
      <w:r>
        <w:rPr>
          <w:rFonts w:hint="eastAsia"/>
          <w:sz w:val="21"/>
          <w:szCs w:val="21"/>
        </w:rPr>
        <w:t>年</w:t>
      </w:r>
      <w:r>
        <w:rPr>
          <w:rFonts w:hint="eastAsia"/>
          <w:sz w:val="21"/>
          <w:szCs w:val="21"/>
          <w:u w:val="single"/>
          <w:lang w:val="en-US"/>
        </w:rPr>
        <w:t xml:space="preserve">   </w:t>
      </w:r>
      <w:r>
        <w:rPr>
          <w:rFonts w:hint="eastAsia"/>
          <w:sz w:val="21"/>
          <w:szCs w:val="21"/>
        </w:rPr>
        <w:t>月</w:t>
      </w:r>
      <w:r>
        <w:rPr>
          <w:rFonts w:hint="eastAsia"/>
          <w:sz w:val="21"/>
          <w:szCs w:val="21"/>
          <w:u w:val="single"/>
          <w:lang w:val="en-US"/>
        </w:rPr>
        <w:t xml:space="preserve">   </w:t>
      </w:r>
      <w:r>
        <w:rPr>
          <w:rFonts w:hint="eastAsia"/>
          <w:sz w:val="21"/>
          <w:szCs w:val="21"/>
        </w:rPr>
        <w:t>日参加（项目名称）的投标，现保证：我方在提交投标文件截止时间后到招标文件规定的投标有效期终止之前，撤销其投标文件，</w:t>
      </w:r>
      <w:r>
        <w:rPr>
          <w:rFonts w:hint="eastAsia"/>
          <w:sz w:val="21"/>
          <w:szCs w:val="21"/>
          <w:lang w:val="en-US" w:eastAsia="zh-CN"/>
        </w:rPr>
        <w:t>或者</w:t>
      </w:r>
      <w:r>
        <w:rPr>
          <w:rFonts w:hint="eastAsia"/>
          <w:sz w:val="21"/>
          <w:szCs w:val="21"/>
        </w:rPr>
        <w:t>在签订合同时向招标人提出附加条件或者</w:t>
      </w:r>
      <w:r>
        <w:rPr>
          <w:rFonts w:hint="eastAsia"/>
          <w:sz w:val="21"/>
          <w:szCs w:val="21"/>
          <w:lang w:val="en-US" w:eastAsia="zh-CN"/>
        </w:rPr>
        <w:t>不按照招标文件要求</w:t>
      </w:r>
      <w:r>
        <w:rPr>
          <w:rFonts w:hint="eastAsia"/>
          <w:sz w:val="21"/>
          <w:szCs w:val="21"/>
        </w:rPr>
        <w:t>提交履约保证金的，取消其中标资格，投标保证金不予退还。</w:t>
      </w:r>
    </w:p>
    <w:p w14:paraId="54017B5D">
      <w:pPr>
        <w:spacing w:line="440" w:lineRule="exact"/>
        <w:rPr>
          <w:sz w:val="21"/>
          <w:szCs w:val="21"/>
          <w:lang w:val="en-US"/>
        </w:rPr>
      </w:pPr>
      <w:r>
        <w:rPr>
          <w:rFonts w:hint="eastAsia"/>
          <w:sz w:val="21"/>
          <w:szCs w:val="21"/>
          <w:lang w:val="en-US"/>
        </w:rPr>
        <w:t xml:space="preserve"> </w:t>
      </w:r>
    </w:p>
    <w:p w14:paraId="107E5096">
      <w:pPr>
        <w:spacing w:line="440" w:lineRule="exact"/>
        <w:rPr>
          <w:sz w:val="21"/>
          <w:szCs w:val="21"/>
        </w:rPr>
      </w:pPr>
    </w:p>
    <w:p w14:paraId="644B3813">
      <w:pPr>
        <w:spacing w:line="440" w:lineRule="exact"/>
        <w:ind w:firstLine="2158" w:firstLineChars="1028"/>
        <w:rPr>
          <w:sz w:val="21"/>
          <w:szCs w:val="21"/>
          <w:u w:val="single"/>
        </w:rPr>
      </w:pPr>
      <w:r>
        <w:rPr>
          <w:rFonts w:hint="eastAsia"/>
          <w:sz w:val="21"/>
          <w:szCs w:val="21"/>
        </w:rPr>
        <w:t>投标人名称：</w:t>
      </w:r>
      <w:r>
        <w:rPr>
          <w:rFonts w:hint="eastAsia"/>
          <w:sz w:val="21"/>
          <w:szCs w:val="21"/>
          <w:u w:val="single"/>
        </w:rPr>
        <w:t>（盖单位章）</w:t>
      </w:r>
    </w:p>
    <w:p w14:paraId="310D4A48">
      <w:pPr>
        <w:spacing w:line="440" w:lineRule="exact"/>
        <w:ind w:firstLine="2158" w:firstLineChars="1028"/>
        <w:rPr>
          <w:sz w:val="21"/>
          <w:szCs w:val="21"/>
          <w:lang w:val="en-US"/>
        </w:rPr>
      </w:pPr>
      <w:r>
        <w:rPr>
          <w:rFonts w:hint="eastAsia"/>
          <w:sz w:val="21"/>
          <w:szCs w:val="21"/>
        </w:rPr>
        <w:t>法定代表人或授权人：</w:t>
      </w:r>
      <w:r>
        <w:rPr>
          <w:rFonts w:hint="eastAsia"/>
          <w:sz w:val="21"/>
          <w:szCs w:val="21"/>
          <w:u w:val="single"/>
        </w:rPr>
        <w:t>（</w:t>
      </w:r>
      <w:r>
        <w:rPr>
          <w:rFonts w:hint="eastAsia"/>
          <w:sz w:val="21"/>
          <w:szCs w:val="21"/>
          <w:lang w:val="en-US"/>
        </w:rPr>
        <w:t>签字或盖章</w:t>
      </w:r>
      <w:r>
        <w:rPr>
          <w:rFonts w:hint="eastAsia"/>
          <w:sz w:val="21"/>
          <w:szCs w:val="21"/>
          <w:u w:val="single"/>
        </w:rPr>
        <w:t>）</w:t>
      </w:r>
      <w:r>
        <w:rPr>
          <w:rFonts w:hint="eastAsia"/>
          <w:sz w:val="21"/>
          <w:szCs w:val="21"/>
          <w:u w:val="single"/>
          <w:lang w:val="en-US"/>
        </w:rPr>
        <w:t xml:space="preserve">       </w:t>
      </w:r>
    </w:p>
    <w:p w14:paraId="1D176D28">
      <w:pPr>
        <w:spacing w:line="440" w:lineRule="exact"/>
        <w:ind w:firstLine="2158" w:firstLineChars="1028"/>
        <w:rPr>
          <w:sz w:val="21"/>
          <w:szCs w:val="21"/>
        </w:rPr>
      </w:pPr>
      <w:r>
        <w:rPr>
          <w:rFonts w:hint="eastAsia"/>
          <w:sz w:val="21"/>
          <w:szCs w:val="21"/>
        </w:rPr>
        <w:t>地    址：</w:t>
      </w:r>
      <w:r>
        <w:rPr>
          <w:rFonts w:hint="eastAsia"/>
          <w:sz w:val="21"/>
          <w:szCs w:val="21"/>
          <w:u w:val="single"/>
        </w:rPr>
        <w:tab/>
      </w:r>
      <w:r>
        <w:rPr>
          <w:rFonts w:hint="eastAsia"/>
          <w:sz w:val="21"/>
          <w:szCs w:val="21"/>
          <w:u w:val="single"/>
        </w:rPr>
        <w:tab/>
      </w:r>
      <w:r>
        <w:rPr>
          <w:rFonts w:hint="eastAsia"/>
          <w:sz w:val="21"/>
          <w:szCs w:val="21"/>
          <w:u w:val="single"/>
        </w:rPr>
        <w:tab/>
      </w:r>
      <w:r>
        <w:rPr>
          <w:rFonts w:hint="eastAsia"/>
          <w:sz w:val="21"/>
          <w:szCs w:val="21"/>
          <w:u w:val="single"/>
        </w:rPr>
        <w:tab/>
      </w:r>
    </w:p>
    <w:p w14:paraId="6F1BC7D3">
      <w:pPr>
        <w:spacing w:line="440" w:lineRule="exact"/>
        <w:ind w:firstLine="2158" w:firstLineChars="1028"/>
        <w:rPr>
          <w:sz w:val="21"/>
          <w:szCs w:val="21"/>
          <w:u w:val="single"/>
        </w:rPr>
      </w:pPr>
      <w:r>
        <w:rPr>
          <w:rFonts w:hint="eastAsia"/>
          <w:sz w:val="21"/>
          <w:szCs w:val="21"/>
        </w:rPr>
        <w:t>邮政编码：</w:t>
      </w:r>
      <w:r>
        <w:rPr>
          <w:rFonts w:hint="eastAsia"/>
          <w:sz w:val="21"/>
          <w:szCs w:val="21"/>
          <w:u w:val="single"/>
        </w:rPr>
        <w:tab/>
      </w:r>
      <w:r>
        <w:rPr>
          <w:rFonts w:hint="eastAsia"/>
          <w:sz w:val="21"/>
          <w:szCs w:val="21"/>
          <w:u w:val="single"/>
        </w:rPr>
        <w:tab/>
      </w:r>
      <w:r>
        <w:rPr>
          <w:rFonts w:hint="eastAsia"/>
          <w:sz w:val="21"/>
          <w:szCs w:val="21"/>
          <w:u w:val="single"/>
        </w:rPr>
        <w:tab/>
      </w:r>
      <w:r>
        <w:rPr>
          <w:rFonts w:hint="eastAsia"/>
          <w:sz w:val="21"/>
          <w:szCs w:val="21"/>
          <w:u w:val="single"/>
        </w:rPr>
        <w:tab/>
      </w:r>
      <w:r>
        <w:rPr>
          <w:rFonts w:hint="eastAsia"/>
          <w:sz w:val="21"/>
          <w:szCs w:val="21"/>
          <w:u w:val="single"/>
        </w:rPr>
        <w:tab/>
      </w:r>
      <w:r>
        <w:rPr>
          <w:rFonts w:hint="eastAsia"/>
          <w:sz w:val="21"/>
          <w:szCs w:val="21"/>
          <w:u w:val="single"/>
        </w:rPr>
        <w:tab/>
      </w:r>
      <w:r>
        <w:rPr>
          <w:rFonts w:hint="eastAsia"/>
          <w:sz w:val="21"/>
          <w:szCs w:val="21"/>
          <w:u w:val="single"/>
        </w:rPr>
        <w:tab/>
      </w:r>
    </w:p>
    <w:p w14:paraId="5EE702CE">
      <w:pPr>
        <w:spacing w:line="440" w:lineRule="exact"/>
        <w:ind w:firstLine="2158" w:firstLineChars="1028"/>
        <w:rPr>
          <w:sz w:val="21"/>
          <w:szCs w:val="21"/>
          <w:lang w:val="en-US"/>
        </w:rPr>
      </w:pPr>
      <w:r>
        <w:rPr>
          <w:rFonts w:hint="eastAsia"/>
          <w:sz w:val="21"/>
          <w:szCs w:val="21"/>
        </w:rPr>
        <w:t>电    话：</w:t>
      </w:r>
      <w:r>
        <w:rPr>
          <w:rFonts w:hint="eastAsia"/>
          <w:sz w:val="21"/>
          <w:szCs w:val="21"/>
          <w:u w:val="single"/>
          <w:lang w:val="en-US"/>
        </w:rPr>
        <w:t xml:space="preserve">                                     </w:t>
      </w:r>
      <w:r>
        <w:rPr>
          <w:rFonts w:hint="eastAsia"/>
          <w:sz w:val="21"/>
          <w:szCs w:val="21"/>
          <w:lang w:val="en-US"/>
        </w:rPr>
        <w:t xml:space="preserve"> </w:t>
      </w:r>
    </w:p>
    <w:p w14:paraId="4DE96393">
      <w:pPr>
        <w:spacing w:line="440" w:lineRule="exact"/>
        <w:ind w:firstLine="3838" w:firstLineChars="1828"/>
        <w:rPr>
          <w:sz w:val="21"/>
          <w:szCs w:val="21"/>
        </w:rPr>
      </w:pPr>
      <w:r>
        <w:rPr>
          <w:rFonts w:hint="eastAsia"/>
          <w:sz w:val="21"/>
          <w:szCs w:val="21"/>
        </w:rPr>
        <w:t>年</w:t>
      </w:r>
      <w:r>
        <w:rPr>
          <w:rFonts w:hint="eastAsia"/>
          <w:sz w:val="21"/>
          <w:szCs w:val="21"/>
          <w:lang w:val="en-US"/>
        </w:rPr>
        <w:t xml:space="preserve">    </w:t>
      </w:r>
      <w:r>
        <w:rPr>
          <w:rFonts w:hint="eastAsia"/>
          <w:sz w:val="21"/>
          <w:szCs w:val="21"/>
        </w:rPr>
        <w:t>月</w:t>
      </w:r>
      <w:r>
        <w:rPr>
          <w:rFonts w:hint="eastAsia"/>
          <w:sz w:val="21"/>
          <w:szCs w:val="21"/>
          <w:lang w:val="en-US"/>
        </w:rPr>
        <w:t xml:space="preserve">    </w:t>
      </w:r>
      <w:r>
        <w:rPr>
          <w:rFonts w:hint="eastAsia"/>
          <w:sz w:val="21"/>
          <w:szCs w:val="21"/>
        </w:rPr>
        <w:t>日</w:t>
      </w:r>
    </w:p>
    <w:p w14:paraId="6B1B3E15">
      <w:pPr>
        <w:spacing w:line="360" w:lineRule="auto"/>
        <w:rPr>
          <w:sz w:val="21"/>
          <w:szCs w:val="21"/>
        </w:rPr>
      </w:pPr>
      <w:r>
        <w:rPr>
          <w:rFonts w:hint="eastAsia"/>
          <w:sz w:val="21"/>
          <w:szCs w:val="21"/>
        </w:rPr>
        <w:t>注：</w:t>
      </w:r>
    </w:p>
    <w:p w14:paraId="23A0EB04">
      <w:pPr>
        <w:spacing w:line="360" w:lineRule="auto"/>
        <w:rPr>
          <w:sz w:val="21"/>
          <w:szCs w:val="21"/>
        </w:rPr>
      </w:pPr>
      <w:r>
        <w:rPr>
          <w:rFonts w:hint="eastAsia"/>
          <w:sz w:val="21"/>
          <w:szCs w:val="21"/>
        </w:rPr>
        <w:t>保证金的形式：转账、电汇或企业网银。</w:t>
      </w:r>
    </w:p>
    <w:p w14:paraId="3B53CAD8">
      <w:pPr>
        <w:spacing w:line="360" w:lineRule="auto"/>
        <w:rPr>
          <w:sz w:val="21"/>
          <w:szCs w:val="21"/>
        </w:rPr>
      </w:pPr>
      <w:r>
        <w:rPr>
          <w:rFonts w:hint="eastAsia"/>
          <w:sz w:val="21"/>
          <w:szCs w:val="21"/>
        </w:rPr>
        <w:t>请附银行转账、电汇或企业网银转账单扫描件。</w:t>
      </w:r>
    </w:p>
    <w:p w14:paraId="784EF326">
      <w:pPr>
        <w:spacing w:line="360" w:lineRule="auto"/>
        <w:rPr>
          <w:sz w:val="21"/>
          <w:szCs w:val="21"/>
        </w:rPr>
      </w:pPr>
      <w:r>
        <w:rPr>
          <w:rFonts w:hint="eastAsia"/>
          <w:sz w:val="21"/>
          <w:szCs w:val="21"/>
        </w:rPr>
        <w:t>投标保证金应从投标人基本账户转出，附投标人基本账户开户许可证扫描件。</w:t>
      </w:r>
    </w:p>
    <w:p w14:paraId="6A0B8168">
      <w:pPr>
        <w:pStyle w:val="24"/>
      </w:pPr>
    </w:p>
    <w:p w14:paraId="73D9A4FC">
      <w:pPr>
        <w:jc w:val="center"/>
        <w:rPr>
          <w:b/>
          <w:sz w:val="28"/>
        </w:rPr>
      </w:pPr>
      <w:r>
        <w:rPr>
          <w:rFonts w:hint="eastAsia"/>
          <w:b/>
          <w:sz w:val="28"/>
        </w:rPr>
        <w:t>基本账户开户许可证（或基本账户开户银行的基本存款账户信息）复印件(或影印件) 承诺函</w:t>
      </w:r>
    </w:p>
    <w:p w14:paraId="2F35A133">
      <w:pPr>
        <w:pStyle w:val="24"/>
        <w:spacing w:line="360" w:lineRule="auto"/>
        <w:rPr>
          <w:rFonts w:hint="eastAsia" w:ascii="宋体" w:hAnsi="宋体" w:eastAsia="宋体" w:cs="宋体"/>
          <w:sz w:val="21"/>
          <w:szCs w:val="21"/>
        </w:rPr>
      </w:pPr>
    </w:p>
    <w:p w14:paraId="588D9EB7">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我单位承诺，以下所附我单位基本账户开户许可证（或基本账户开户银行的基本存款账户信息）复印件(或影印件)真实有效。如与我单位《投标人基本情况表》中基本账户信息不一致的，以此为准。</w:t>
      </w:r>
    </w:p>
    <w:p w14:paraId="3722BABF">
      <w:pPr>
        <w:pStyle w:val="24"/>
        <w:spacing w:line="360" w:lineRule="auto"/>
        <w:rPr>
          <w:rFonts w:hint="eastAsia" w:ascii="宋体" w:hAnsi="宋体" w:eastAsia="宋体" w:cs="宋体"/>
          <w:sz w:val="21"/>
          <w:szCs w:val="21"/>
        </w:rPr>
      </w:pPr>
    </w:p>
    <w:p w14:paraId="23A134E6">
      <w:pPr>
        <w:spacing w:line="360" w:lineRule="auto"/>
        <w:rPr>
          <w:rFonts w:hint="eastAsia" w:ascii="宋体" w:hAnsi="宋体" w:eastAsia="宋体" w:cs="宋体"/>
          <w:sz w:val="21"/>
          <w:szCs w:val="21"/>
        </w:rPr>
      </w:pPr>
    </w:p>
    <w:p w14:paraId="586564B4">
      <w:pPr>
        <w:pStyle w:val="12"/>
        <w:spacing w:before="127" w:line="360" w:lineRule="auto"/>
        <w:ind w:left="542"/>
        <w:rPr>
          <w:rFonts w:hint="eastAsia" w:ascii="宋体" w:hAnsi="宋体" w:eastAsia="宋体" w:cs="宋体"/>
          <w:sz w:val="21"/>
          <w:szCs w:val="21"/>
          <w:lang w:val="en-US"/>
        </w:rPr>
      </w:pPr>
      <w:r>
        <w:rPr>
          <w:rFonts w:hint="eastAsia" w:ascii="宋体" w:hAnsi="宋体" w:eastAsia="宋体" w:cs="宋体"/>
          <w:b/>
          <w:bCs/>
          <w:sz w:val="21"/>
          <w:szCs w:val="21"/>
        </w:rPr>
        <w:t>附：账户开户许可证（或基本账户开户银行的基本存款账户信息）</w:t>
      </w:r>
    </w:p>
    <w:p w14:paraId="6DD5A5A2">
      <w:pPr>
        <w:pStyle w:val="12"/>
        <w:spacing w:before="127" w:line="360" w:lineRule="auto"/>
        <w:ind w:left="542"/>
        <w:rPr>
          <w:rFonts w:hint="eastAsia" w:ascii="宋体" w:hAnsi="宋体" w:eastAsia="宋体" w:cs="宋体"/>
          <w:sz w:val="21"/>
          <w:szCs w:val="21"/>
        </w:rPr>
      </w:pPr>
    </w:p>
    <w:p w14:paraId="2B5C9BFF">
      <w:pPr>
        <w:pStyle w:val="12"/>
        <w:spacing w:before="127"/>
        <w:ind w:left="542"/>
      </w:pPr>
    </w:p>
    <w:p w14:paraId="5D8AC2A4">
      <w:pPr>
        <w:pStyle w:val="12"/>
        <w:spacing w:before="127"/>
        <w:ind w:left="542"/>
      </w:pPr>
    </w:p>
    <w:p w14:paraId="414ADDBD">
      <w:pPr>
        <w:pStyle w:val="12"/>
        <w:spacing w:before="127"/>
        <w:ind w:left="542"/>
      </w:pPr>
    </w:p>
    <w:p w14:paraId="384D23D4">
      <w:pPr>
        <w:pStyle w:val="12"/>
        <w:spacing w:before="127"/>
        <w:ind w:left="542"/>
      </w:pPr>
    </w:p>
    <w:p w14:paraId="0D36C93F">
      <w:pPr>
        <w:pStyle w:val="24"/>
        <w:rPr>
          <w:rFonts w:hint="eastAsia" w:asciiTheme="minorEastAsia" w:hAnsiTheme="minorEastAsia" w:eastAsiaTheme="minorEastAsia" w:cstheme="minorEastAsia"/>
          <w:sz w:val="21"/>
          <w:szCs w:val="21"/>
        </w:rPr>
      </w:pPr>
    </w:p>
    <w:p w14:paraId="3C48677B">
      <w:pPr>
        <w:rPr>
          <w:rFonts w:hint="eastAsia" w:asciiTheme="minorEastAsia" w:hAnsiTheme="minorEastAsia" w:eastAsiaTheme="minorEastAsia" w:cstheme="minorEastAsia"/>
          <w:sz w:val="21"/>
          <w:szCs w:val="21"/>
        </w:rPr>
      </w:pPr>
    </w:p>
    <w:p w14:paraId="3A5665DA">
      <w:pPr>
        <w:adjustRightInd w:val="0"/>
        <w:spacing w:line="360" w:lineRule="auto"/>
        <w:rPr>
          <w:rFonts w:hint="eastAsia" w:ascii="宋体" w:hAnsi="宋体" w:eastAsia="宋体" w:cs="宋体"/>
          <w:b/>
          <w:bCs/>
          <w:sz w:val="21"/>
          <w:szCs w:val="21"/>
        </w:rPr>
      </w:pPr>
      <w:r>
        <w:rPr>
          <w:rFonts w:hint="eastAsia" w:ascii="宋体" w:hAnsi="宋体" w:eastAsia="宋体" w:cs="宋体"/>
          <w:sz w:val="21"/>
          <w:szCs w:val="21"/>
        </w:rPr>
        <w:t>如采用前附表中第二类形式的保函，投标人应提供基本账户开户许可证扫描件，同时将银行保函扫描件提供在投标文件中，格式见投标保函示范文本。</w:t>
      </w:r>
    </w:p>
    <w:p w14:paraId="2321A08A">
      <w:pPr>
        <w:spacing w:line="460" w:lineRule="exact"/>
        <w:jc w:val="center"/>
        <w:rPr>
          <w:b/>
          <w:bCs/>
          <w:sz w:val="32"/>
          <w:szCs w:val="32"/>
        </w:rPr>
      </w:pPr>
    </w:p>
    <w:p w14:paraId="0C493B7E">
      <w:pPr>
        <w:spacing w:line="460" w:lineRule="exact"/>
        <w:jc w:val="center"/>
        <w:rPr>
          <w:b/>
          <w:bCs/>
          <w:sz w:val="32"/>
          <w:szCs w:val="32"/>
        </w:rPr>
      </w:pPr>
      <w:r>
        <w:rPr>
          <w:rFonts w:hint="eastAsia"/>
          <w:b/>
          <w:bCs/>
          <w:sz w:val="32"/>
          <w:szCs w:val="32"/>
        </w:rPr>
        <w:t>投标保函示范文本</w:t>
      </w:r>
    </w:p>
    <w:p w14:paraId="3623BE8A">
      <w:pPr>
        <w:spacing w:line="460" w:lineRule="exact"/>
        <w:jc w:val="center"/>
        <w:rPr>
          <w:b/>
          <w:bCs/>
          <w:sz w:val="32"/>
          <w:szCs w:val="32"/>
        </w:rPr>
      </w:pPr>
    </w:p>
    <w:p w14:paraId="4C15AE42">
      <w:pPr>
        <w:spacing w:line="460" w:lineRule="exact"/>
        <w:jc w:val="center"/>
        <w:rPr>
          <w:sz w:val="24"/>
          <w:szCs w:val="24"/>
        </w:rPr>
      </w:pPr>
      <w:r>
        <w:rPr>
          <w:rFonts w:hint="eastAsia"/>
          <w:b/>
          <w:bCs/>
          <w:sz w:val="32"/>
          <w:szCs w:val="32"/>
        </w:rPr>
        <w:t xml:space="preserve">              </w:t>
      </w:r>
      <w:r>
        <w:rPr>
          <w:rFonts w:hint="eastAsia"/>
        </w:rPr>
        <w:t xml:space="preserve">    保函编号：</w:t>
      </w:r>
      <w:r>
        <w:rPr>
          <w:rFonts w:hint="eastAsia"/>
          <w:u w:val="single"/>
        </w:rPr>
        <w:t xml:space="preserve">                        </w:t>
      </w:r>
      <w:r>
        <w:rPr>
          <w:rFonts w:hint="eastAsia"/>
          <w:sz w:val="24"/>
          <w:szCs w:val="24"/>
        </w:rPr>
        <w:t xml:space="preserve">      </w:t>
      </w:r>
    </w:p>
    <w:p w14:paraId="480F8EEF">
      <w:pPr>
        <w:spacing w:line="360" w:lineRule="auto"/>
        <w:rPr>
          <w:sz w:val="21"/>
          <w:szCs w:val="21"/>
        </w:rPr>
      </w:pPr>
      <w:r>
        <w:rPr>
          <w:rFonts w:hint="eastAsia"/>
          <w:sz w:val="21"/>
          <w:szCs w:val="21"/>
        </w:rPr>
        <w:t>申请人：</w:t>
      </w:r>
    </w:p>
    <w:p w14:paraId="27A5C21E">
      <w:pPr>
        <w:spacing w:line="360" w:lineRule="auto"/>
        <w:rPr>
          <w:sz w:val="21"/>
          <w:szCs w:val="21"/>
        </w:rPr>
      </w:pPr>
      <w:r>
        <w:rPr>
          <w:rFonts w:hint="eastAsia"/>
          <w:sz w:val="21"/>
          <w:szCs w:val="21"/>
        </w:rPr>
        <w:t xml:space="preserve">受益人： </w:t>
      </w:r>
    </w:p>
    <w:p w14:paraId="51679333">
      <w:pPr>
        <w:spacing w:line="360" w:lineRule="auto"/>
        <w:rPr>
          <w:sz w:val="21"/>
          <w:szCs w:val="21"/>
        </w:rPr>
      </w:pPr>
      <w:r>
        <w:rPr>
          <w:rFonts w:hint="eastAsia"/>
          <w:sz w:val="21"/>
          <w:szCs w:val="21"/>
        </w:rPr>
        <w:t>开立人：</w:t>
      </w:r>
    </w:p>
    <w:p w14:paraId="36F257EC">
      <w:pPr>
        <w:spacing w:line="360" w:lineRule="auto"/>
        <w:rPr>
          <w:sz w:val="21"/>
          <w:szCs w:val="21"/>
        </w:rPr>
      </w:pPr>
    </w:p>
    <w:p w14:paraId="7E9CFE18">
      <w:pPr>
        <w:spacing w:line="360" w:lineRule="auto"/>
        <w:rPr>
          <w:sz w:val="21"/>
          <w:szCs w:val="21"/>
        </w:rPr>
      </w:pPr>
      <w:r>
        <w:rPr>
          <w:rFonts w:hint="eastAsia"/>
          <w:sz w:val="21"/>
          <w:szCs w:val="21"/>
        </w:rPr>
        <w:t>致：</w:t>
      </w:r>
      <w:r>
        <w:rPr>
          <w:rFonts w:hint="eastAsia"/>
          <w:sz w:val="21"/>
          <w:szCs w:val="21"/>
          <w:u w:val="single"/>
        </w:rPr>
        <w:t xml:space="preserve">                         </w:t>
      </w:r>
      <w:r>
        <w:rPr>
          <w:rFonts w:hint="eastAsia"/>
          <w:sz w:val="21"/>
          <w:szCs w:val="21"/>
        </w:rPr>
        <w:t>（受益人名称）</w:t>
      </w:r>
    </w:p>
    <w:p w14:paraId="588DA674">
      <w:pPr>
        <w:spacing w:line="360" w:lineRule="auto"/>
        <w:ind w:firstLine="480"/>
        <w:rPr>
          <w:sz w:val="21"/>
          <w:szCs w:val="21"/>
        </w:rPr>
      </w:pPr>
      <w:r>
        <w:rPr>
          <w:rFonts w:hint="eastAsia"/>
          <w:sz w:val="21"/>
          <w:szCs w:val="21"/>
        </w:rPr>
        <w:t>我方（即“开立人”）已获得通知，本保函申请人（即“投标人”）已响应贵方于</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日就</w:t>
      </w:r>
      <w:r>
        <w:rPr>
          <w:rFonts w:hint="eastAsia"/>
          <w:sz w:val="21"/>
          <w:szCs w:val="21"/>
          <w:u w:val="single"/>
        </w:rPr>
        <w:t xml:space="preserve">                              </w:t>
      </w:r>
      <w:r>
        <w:rPr>
          <w:rFonts w:hint="eastAsia"/>
          <w:sz w:val="21"/>
          <w:szCs w:val="21"/>
        </w:rPr>
        <w:t>项目（以下简称“本项目”）发出的招标文件，并已向招标人（即“受益人”）提交了投标文件（即“基础交易”）。</w:t>
      </w:r>
    </w:p>
    <w:p w14:paraId="14842D9B">
      <w:pPr>
        <w:spacing w:line="360" w:lineRule="auto"/>
        <w:ind w:firstLine="420" w:firstLineChars="200"/>
        <w:rPr>
          <w:sz w:val="21"/>
          <w:szCs w:val="21"/>
        </w:rPr>
      </w:pPr>
      <w:r>
        <w:rPr>
          <w:rFonts w:hint="eastAsia"/>
          <w:sz w:val="21"/>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w:t>
      </w:r>
      <w:r>
        <w:rPr>
          <w:rFonts w:hint="eastAsia"/>
          <w:sz w:val="21"/>
          <w:szCs w:val="21"/>
          <w:u w:val="single"/>
        </w:rPr>
        <w:t xml:space="preserve">              </w:t>
      </w:r>
      <w:r>
        <w:rPr>
          <w:rFonts w:hint="eastAsia"/>
          <w:sz w:val="21"/>
          <w:szCs w:val="21"/>
        </w:rPr>
        <w:t>元（¥</w:t>
      </w:r>
      <w:r>
        <w:rPr>
          <w:rFonts w:hint="eastAsia"/>
          <w:sz w:val="21"/>
          <w:szCs w:val="21"/>
          <w:u w:val="single"/>
        </w:rPr>
        <w:t xml:space="preserve">           </w:t>
      </w:r>
      <w:r>
        <w:rPr>
          <w:rFonts w:hint="eastAsia"/>
          <w:sz w:val="21"/>
          <w:szCs w:val="21"/>
        </w:rPr>
        <w:t>）。</w:t>
      </w:r>
    </w:p>
    <w:p w14:paraId="751FF71F">
      <w:pPr>
        <w:spacing w:line="360" w:lineRule="auto"/>
        <w:ind w:firstLine="420" w:firstLineChars="200"/>
        <w:rPr>
          <w:sz w:val="21"/>
          <w:szCs w:val="21"/>
        </w:rPr>
      </w:pPr>
      <w:r>
        <w:rPr>
          <w:rFonts w:hint="eastAsia"/>
          <w:sz w:val="21"/>
          <w:szCs w:val="21"/>
        </w:rPr>
        <w:t xml:space="preserve">二、我方在投标人发生以下情形时承担保证担保责任： </w:t>
      </w:r>
    </w:p>
    <w:p w14:paraId="2370A3C0">
      <w:pPr>
        <w:pStyle w:val="49"/>
        <w:spacing w:line="360" w:lineRule="auto"/>
        <w:ind w:firstLine="367" w:firstLineChars="175"/>
        <w:rPr>
          <w:sz w:val="21"/>
          <w:szCs w:val="21"/>
        </w:rPr>
      </w:pPr>
      <w:r>
        <w:rPr>
          <w:rFonts w:hint="eastAsia"/>
          <w:sz w:val="21"/>
          <w:szCs w:val="21"/>
        </w:rPr>
        <w:t xml:space="preserve">（1）投标人在开标后和投标有效期满之前撤销投标的； </w:t>
      </w:r>
    </w:p>
    <w:p w14:paraId="5C8B5EC5">
      <w:pPr>
        <w:pStyle w:val="49"/>
        <w:spacing w:line="360" w:lineRule="auto"/>
        <w:rPr>
          <w:sz w:val="21"/>
          <w:szCs w:val="21"/>
        </w:rPr>
      </w:pPr>
      <w:r>
        <w:rPr>
          <w:rFonts w:hint="eastAsia"/>
          <w:sz w:val="21"/>
          <w:szCs w:val="21"/>
        </w:rPr>
        <w:t xml:space="preserve">（2）投标人在收到中标通知后，不能或拒绝在中标通知书规定的时间内与贵方签订合同； </w:t>
      </w:r>
    </w:p>
    <w:p w14:paraId="17FD64B1">
      <w:pPr>
        <w:pStyle w:val="49"/>
        <w:spacing w:line="360" w:lineRule="auto"/>
        <w:rPr>
          <w:sz w:val="21"/>
          <w:szCs w:val="21"/>
        </w:rPr>
      </w:pPr>
      <w:r>
        <w:rPr>
          <w:rFonts w:hint="eastAsia"/>
          <w:sz w:val="21"/>
          <w:szCs w:val="21"/>
        </w:rPr>
        <w:t>（3）投标人在与贵方签订合同后，未在规定的时间内提交符合招标文件要求的履约担保；</w:t>
      </w:r>
    </w:p>
    <w:p w14:paraId="05A9F3E9">
      <w:pPr>
        <w:pStyle w:val="49"/>
        <w:spacing w:line="360" w:lineRule="auto"/>
        <w:rPr>
          <w:sz w:val="21"/>
          <w:szCs w:val="21"/>
        </w:rPr>
      </w:pPr>
      <w:r>
        <w:rPr>
          <w:rFonts w:hint="eastAsia"/>
          <w:sz w:val="21"/>
          <w:szCs w:val="21"/>
        </w:rPr>
        <w:t>（4）投标人违反招标文件规定的其他情形。</w:t>
      </w:r>
    </w:p>
    <w:p w14:paraId="7C68638F">
      <w:pPr>
        <w:spacing w:line="360" w:lineRule="auto"/>
        <w:ind w:firstLine="420" w:firstLineChars="200"/>
        <w:rPr>
          <w:sz w:val="21"/>
          <w:szCs w:val="21"/>
        </w:rPr>
      </w:pPr>
      <w:r>
        <w:rPr>
          <w:rFonts w:hint="eastAsia"/>
          <w:sz w:val="21"/>
          <w:szCs w:val="21"/>
        </w:rPr>
        <w:t>三、本保函为不可撤销、不可转让的见索即付独立保函。本保函有效期自开立之日起至投标有效期届满之日后的</w:t>
      </w:r>
      <w:r>
        <w:rPr>
          <w:rFonts w:hint="eastAsia"/>
          <w:sz w:val="21"/>
          <w:szCs w:val="21"/>
          <w:u w:val="single"/>
        </w:rPr>
        <w:t xml:space="preserve"> 7 </w:t>
      </w:r>
      <w:r>
        <w:rPr>
          <w:rFonts w:hint="eastAsia"/>
          <w:sz w:val="21"/>
          <w:szCs w:val="21"/>
        </w:rPr>
        <w:t>日。投标有效期延长的，本保函有效期相应顺延，最迟不超过</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14:paraId="2B141F9C">
      <w:pPr>
        <w:spacing w:line="360" w:lineRule="auto"/>
        <w:ind w:firstLine="480"/>
        <w:rPr>
          <w:sz w:val="21"/>
          <w:szCs w:val="21"/>
        </w:rPr>
      </w:pPr>
      <w:r>
        <w:rPr>
          <w:rFonts w:hint="eastAsia"/>
          <w:sz w:val="21"/>
          <w:szCs w:val="21"/>
        </w:rPr>
        <w:t>四、我方承诺，在收到受益人发来的书面付款通知后的</w:t>
      </w:r>
      <w:r>
        <w:rPr>
          <w:rFonts w:hint="eastAsia"/>
          <w:sz w:val="21"/>
          <w:szCs w:val="21"/>
          <w:u w:val="single"/>
        </w:rPr>
        <w:t xml:space="preserve"> 7 </w:t>
      </w:r>
      <w:r>
        <w:rPr>
          <w:rFonts w:hint="eastAsia"/>
          <w:sz w:val="21"/>
          <w:szCs w:val="21"/>
        </w:rPr>
        <w:t>日内无条件支付，前述书面付款通知即为付款要求之单据，且应满足以下要求：</w:t>
      </w:r>
    </w:p>
    <w:p w14:paraId="51CDE7A6">
      <w:pPr>
        <w:spacing w:line="360" w:lineRule="auto"/>
        <w:ind w:firstLine="480"/>
        <w:rPr>
          <w:sz w:val="21"/>
          <w:szCs w:val="21"/>
        </w:rPr>
      </w:pPr>
      <w:r>
        <w:rPr>
          <w:rFonts w:hint="eastAsia"/>
          <w:sz w:val="21"/>
          <w:szCs w:val="21"/>
        </w:rPr>
        <w:t>（1）付款通知到达的日期在本保函的有效期内；</w:t>
      </w:r>
    </w:p>
    <w:p w14:paraId="672F8343">
      <w:pPr>
        <w:spacing w:line="360" w:lineRule="auto"/>
        <w:ind w:firstLine="480"/>
        <w:rPr>
          <w:sz w:val="21"/>
          <w:szCs w:val="21"/>
        </w:rPr>
      </w:pPr>
      <w:r>
        <w:rPr>
          <w:rFonts w:hint="eastAsia"/>
          <w:sz w:val="21"/>
          <w:szCs w:val="21"/>
        </w:rPr>
        <w:t>（2）载明要求支付的金额；</w:t>
      </w:r>
    </w:p>
    <w:p w14:paraId="72E50CC1">
      <w:pPr>
        <w:spacing w:line="360" w:lineRule="auto"/>
        <w:ind w:firstLine="480"/>
        <w:rPr>
          <w:sz w:val="21"/>
          <w:szCs w:val="21"/>
        </w:rPr>
      </w:pPr>
      <w:r>
        <w:rPr>
          <w:rFonts w:hint="eastAsia"/>
          <w:sz w:val="21"/>
          <w:szCs w:val="21"/>
        </w:rPr>
        <w:t>（3）载明申请人违反招投标文件规定的义务内容和具体条款；</w:t>
      </w:r>
    </w:p>
    <w:p w14:paraId="5840D2C6">
      <w:pPr>
        <w:spacing w:line="360" w:lineRule="auto"/>
        <w:ind w:firstLine="480"/>
        <w:rPr>
          <w:sz w:val="21"/>
          <w:szCs w:val="21"/>
        </w:rPr>
      </w:pPr>
      <w:r>
        <w:rPr>
          <w:rFonts w:hint="eastAsia"/>
          <w:sz w:val="21"/>
          <w:szCs w:val="21"/>
        </w:rPr>
        <w:t>（4）声明不存在招标文件规定或我国法律规定免除申请人或我方支付责任的情形；</w:t>
      </w:r>
    </w:p>
    <w:p w14:paraId="42971A8E">
      <w:pPr>
        <w:spacing w:line="360" w:lineRule="auto"/>
        <w:ind w:firstLine="480"/>
        <w:rPr>
          <w:sz w:val="21"/>
          <w:szCs w:val="21"/>
        </w:rPr>
      </w:pPr>
      <w:r>
        <w:rPr>
          <w:rFonts w:hint="eastAsia"/>
          <w:sz w:val="21"/>
          <w:szCs w:val="21"/>
        </w:rPr>
        <w:t>（5）书面付款通知应在本保函有效期内到达的地址是：</w:t>
      </w:r>
      <w:r>
        <w:rPr>
          <w:rFonts w:hint="eastAsia"/>
          <w:sz w:val="21"/>
          <w:szCs w:val="21"/>
          <w:u w:val="single"/>
        </w:rPr>
        <w:t xml:space="preserve">           </w:t>
      </w:r>
      <w:r>
        <w:rPr>
          <w:rFonts w:hint="eastAsia"/>
          <w:sz w:val="21"/>
          <w:szCs w:val="21"/>
        </w:rPr>
        <w:t>。</w:t>
      </w:r>
    </w:p>
    <w:p w14:paraId="6554B88E">
      <w:pPr>
        <w:spacing w:line="360" w:lineRule="auto"/>
        <w:rPr>
          <w:sz w:val="21"/>
          <w:szCs w:val="21"/>
        </w:rPr>
      </w:pPr>
      <w:r>
        <w:rPr>
          <w:rFonts w:hint="eastAsia"/>
          <w:sz w:val="21"/>
          <w:szCs w:val="21"/>
        </w:rPr>
        <w:t xml:space="preserve">    受益人发出的书面付款通知应由其为鉴明受益人法定代表人（负责人）或授权代理人签字并加盖公章。</w:t>
      </w:r>
    </w:p>
    <w:p w14:paraId="6CB3C933">
      <w:pPr>
        <w:spacing w:line="360" w:lineRule="auto"/>
        <w:ind w:firstLine="420" w:firstLineChars="200"/>
        <w:rPr>
          <w:sz w:val="21"/>
          <w:szCs w:val="21"/>
        </w:rPr>
      </w:pPr>
      <w:r>
        <w:rPr>
          <w:rFonts w:hint="eastAsia"/>
          <w:sz w:val="21"/>
          <w:szCs w:val="21"/>
        </w:rPr>
        <w:t xml:space="preserve">五、本保函项下的权利不得转让，不得设定担保。贵方未经我方书面同意转让本保函或其项下任何权利，对我方不发生法律效力。 </w:t>
      </w:r>
    </w:p>
    <w:p w14:paraId="77B4FD0D">
      <w:pPr>
        <w:spacing w:line="360" w:lineRule="auto"/>
        <w:ind w:firstLine="420" w:firstLineChars="200"/>
        <w:rPr>
          <w:sz w:val="21"/>
          <w:szCs w:val="21"/>
        </w:rPr>
      </w:pPr>
      <w:r>
        <w:rPr>
          <w:rFonts w:hint="eastAsia"/>
          <w:sz w:val="21"/>
          <w:szCs w:val="21"/>
        </w:rPr>
        <w:t xml:space="preserve">六、本保函项下的基础交易不成立、不生效、无效、被撤销、被解除，不影响本保函的独立有效。 </w:t>
      </w:r>
    </w:p>
    <w:p w14:paraId="1C2DD99A">
      <w:pPr>
        <w:spacing w:line="360" w:lineRule="auto"/>
        <w:ind w:firstLine="420" w:firstLineChars="200"/>
        <w:rPr>
          <w:sz w:val="21"/>
          <w:szCs w:val="21"/>
        </w:rPr>
      </w:pPr>
      <w:r>
        <w:rPr>
          <w:rFonts w:hint="eastAsia"/>
          <w:sz w:val="21"/>
          <w:szCs w:val="21"/>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71FFB9E9">
      <w:pPr>
        <w:spacing w:line="360" w:lineRule="auto"/>
        <w:ind w:firstLine="420" w:firstLineChars="200"/>
        <w:rPr>
          <w:sz w:val="21"/>
          <w:szCs w:val="21"/>
        </w:rPr>
      </w:pPr>
      <w:r>
        <w:rPr>
          <w:rFonts w:hint="eastAsia"/>
          <w:sz w:val="21"/>
          <w:szCs w:val="21"/>
        </w:rPr>
        <w:t>八、本保函适用的法律为中华人民共和国法律，诉讼管辖地为中华人民共和国</w:t>
      </w:r>
      <w:r>
        <w:rPr>
          <w:rFonts w:hint="eastAsia"/>
          <w:sz w:val="21"/>
          <w:szCs w:val="21"/>
          <w:u w:val="single"/>
        </w:rPr>
        <w:t xml:space="preserve"> 受益人所在地人民法院  </w:t>
      </w:r>
      <w:r>
        <w:rPr>
          <w:rFonts w:hint="eastAsia"/>
          <w:sz w:val="21"/>
          <w:szCs w:val="21"/>
        </w:rPr>
        <w:t xml:space="preserve">。 </w:t>
      </w:r>
    </w:p>
    <w:p w14:paraId="3A7177FE">
      <w:pPr>
        <w:spacing w:line="360" w:lineRule="auto"/>
        <w:ind w:firstLine="420" w:firstLineChars="200"/>
        <w:rPr>
          <w:sz w:val="21"/>
          <w:szCs w:val="21"/>
        </w:rPr>
      </w:pPr>
      <w:r>
        <w:rPr>
          <w:rFonts w:hint="eastAsia"/>
          <w:sz w:val="21"/>
          <w:szCs w:val="21"/>
        </w:rPr>
        <w:t xml:space="preserve">九、本保函自我方法定代表人或授权代表签字并加盖公章之日起生效。 </w:t>
      </w:r>
    </w:p>
    <w:p w14:paraId="395A4ECE">
      <w:pPr>
        <w:spacing w:line="360" w:lineRule="auto"/>
        <w:ind w:firstLine="420" w:firstLineChars="200"/>
        <w:rPr>
          <w:sz w:val="21"/>
          <w:szCs w:val="21"/>
        </w:rPr>
      </w:pPr>
      <w:r>
        <w:rPr>
          <w:rFonts w:hint="eastAsia"/>
          <w:sz w:val="21"/>
          <w:szCs w:val="21"/>
        </w:rPr>
        <w:t xml:space="preserve"> </w:t>
      </w:r>
    </w:p>
    <w:p w14:paraId="76A9A3C6">
      <w:pPr>
        <w:spacing w:line="360" w:lineRule="auto"/>
        <w:ind w:firstLine="420" w:firstLineChars="200"/>
        <w:rPr>
          <w:sz w:val="21"/>
          <w:szCs w:val="21"/>
        </w:rPr>
      </w:pPr>
      <w:r>
        <w:rPr>
          <w:rFonts w:hint="eastAsia"/>
          <w:sz w:val="21"/>
          <w:szCs w:val="21"/>
        </w:rPr>
        <w:t xml:space="preserve">开 立 人：                                （公章） </w:t>
      </w:r>
    </w:p>
    <w:p w14:paraId="332380C0">
      <w:pPr>
        <w:spacing w:line="360" w:lineRule="auto"/>
        <w:ind w:firstLine="420" w:firstLineChars="200"/>
        <w:rPr>
          <w:sz w:val="21"/>
          <w:szCs w:val="21"/>
        </w:rPr>
      </w:pPr>
      <w:r>
        <w:rPr>
          <w:rFonts w:hint="eastAsia"/>
          <w:sz w:val="21"/>
          <w:szCs w:val="21"/>
        </w:rPr>
        <w:t xml:space="preserve">法定代表人（或授权代表） ：               （签字或签章） </w:t>
      </w:r>
    </w:p>
    <w:p w14:paraId="40DEAD3F">
      <w:pPr>
        <w:spacing w:line="360" w:lineRule="auto"/>
        <w:ind w:firstLine="420" w:firstLineChars="200"/>
        <w:rPr>
          <w:sz w:val="21"/>
          <w:szCs w:val="21"/>
        </w:rPr>
      </w:pPr>
      <w:r>
        <w:rPr>
          <w:rFonts w:hint="eastAsia"/>
          <w:sz w:val="21"/>
          <w:szCs w:val="21"/>
        </w:rPr>
        <w:t xml:space="preserve">地    址：                                       </w:t>
      </w:r>
    </w:p>
    <w:p w14:paraId="28AB934E">
      <w:pPr>
        <w:spacing w:line="360" w:lineRule="auto"/>
        <w:ind w:firstLine="420" w:firstLineChars="200"/>
        <w:rPr>
          <w:sz w:val="21"/>
          <w:szCs w:val="21"/>
        </w:rPr>
      </w:pPr>
      <w:r>
        <w:rPr>
          <w:rFonts w:hint="eastAsia"/>
          <w:sz w:val="21"/>
          <w:szCs w:val="21"/>
        </w:rPr>
        <w:t xml:space="preserve">邮政编码：                 </w:t>
      </w:r>
    </w:p>
    <w:p w14:paraId="557528DD">
      <w:pPr>
        <w:spacing w:line="360" w:lineRule="auto"/>
        <w:ind w:firstLine="420" w:firstLineChars="200"/>
        <w:rPr>
          <w:sz w:val="21"/>
          <w:szCs w:val="21"/>
        </w:rPr>
      </w:pPr>
      <w:r>
        <w:rPr>
          <w:rFonts w:hint="eastAsia"/>
          <w:sz w:val="21"/>
          <w:szCs w:val="21"/>
        </w:rPr>
        <w:t xml:space="preserve">电    话：                 </w:t>
      </w:r>
    </w:p>
    <w:p w14:paraId="0871B9B7">
      <w:pPr>
        <w:spacing w:line="360" w:lineRule="auto"/>
        <w:ind w:firstLine="420" w:firstLineChars="200"/>
        <w:rPr>
          <w:sz w:val="21"/>
          <w:szCs w:val="21"/>
        </w:rPr>
      </w:pPr>
      <w:r>
        <w:rPr>
          <w:rFonts w:hint="eastAsia"/>
          <w:sz w:val="21"/>
          <w:szCs w:val="21"/>
        </w:rPr>
        <w:t xml:space="preserve">传    真：                 </w:t>
      </w:r>
    </w:p>
    <w:p w14:paraId="0929C25A">
      <w:pPr>
        <w:spacing w:line="360" w:lineRule="auto"/>
        <w:ind w:firstLine="420" w:firstLineChars="200"/>
        <w:rPr>
          <w:sz w:val="21"/>
          <w:szCs w:val="21"/>
        </w:rPr>
      </w:pPr>
    </w:p>
    <w:p w14:paraId="6BB359CA">
      <w:pPr>
        <w:spacing w:line="360" w:lineRule="auto"/>
        <w:ind w:firstLine="420" w:firstLineChars="200"/>
        <w:rPr>
          <w:sz w:val="21"/>
          <w:szCs w:val="21"/>
        </w:rPr>
      </w:pPr>
    </w:p>
    <w:p w14:paraId="3D67B3F6">
      <w:pPr>
        <w:spacing w:line="360" w:lineRule="auto"/>
        <w:ind w:firstLine="420" w:firstLineChars="200"/>
        <w:jc w:val="right"/>
        <w:rPr>
          <w:sz w:val="21"/>
          <w:szCs w:val="21"/>
        </w:rPr>
      </w:pPr>
      <w:r>
        <w:rPr>
          <w:rFonts w:hint="eastAsia"/>
          <w:sz w:val="21"/>
          <w:szCs w:val="21"/>
        </w:rPr>
        <w:t>开立时间：      年      月   日</w:t>
      </w:r>
    </w:p>
    <w:p w14:paraId="54EE35CC">
      <w:pPr>
        <w:spacing w:after="0"/>
        <w:sectPr>
          <w:headerReference r:id="rId81" w:type="default"/>
          <w:footerReference r:id="rId83" w:type="default"/>
          <w:headerReference r:id="rId82" w:type="even"/>
          <w:footerReference r:id="rId84" w:type="even"/>
          <w:pgSz w:w="11910" w:h="16850"/>
          <w:pgMar w:top="1540" w:right="1300" w:bottom="1060" w:left="1420" w:header="876" w:footer="860" w:gutter="0"/>
          <w:pgNumType w:fmt="decimal"/>
          <w:cols w:space="720" w:num="1"/>
        </w:sectPr>
      </w:pPr>
    </w:p>
    <w:p w14:paraId="701CC79F">
      <w:pPr>
        <w:pStyle w:val="12"/>
        <w:spacing w:before="5"/>
        <w:rPr>
          <w:sz w:val="28"/>
        </w:rPr>
      </w:pPr>
    </w:p>
    <w:p w14:paraId="45FC8F40">
      <w:pPr>
        <w:pStyle w:val="4"/>
        <w:bidi w:val="0"/>
        <w:rPr>
          <w:rFonts w:hint="eastAsia"/>
          <w:sz w:val="30"/>
          <w:szCs w:val="30"/>
        </w:rPr>
      </w:pPr>
      <w:bookmarkStart w:id="432" w:name="_bookmark297"/>
      <w:bookmarkEnd w:id="432"/>
      <w:bookmarkStart w:id="433" w:name="_Toc21402"/>
      <w:r>
        <w:rPr>
          <w:rFonts w:hint="eastAsia"/>
          <w:sz w:val="30"/>
          <w:szCs w:val="30"/>
        </w:rPr>
        <w:t>五、施工组织设计</w:t>
      </w:r>
      <w:bookmarkEnd w:id="433"/>
    </w:p>
    <w:p w14:paraId="58930E6C">
      <w:pPr>
        <w:spacing w:before="244"/>
        <w:ind w:left="0" w:right="58" w:firstLine="0"/>
        <w:jc w:val="center"/>
        <w:rPr>
          <w:sz w:val="21"/>
        </w:rPr>
      </w:pPr>
      <w:r>
        <w:rPr>
          <w:sz w:val="21"/>
        </w:rPr>
        <w:t>（适用于</w:t>
      </w:r>
      <w:r>
        <w:rPr>
          <w:rFonts w:hint="eastAsia"/>
          <w:sz w:val="21"/>
          <w:lang w:eastAsia="zh-CN"/>
        </w:rPr>
        <w:t>技术评分最低价法和综合评分法</w:t>
      </w:r>
      <w:r>
        <w:rPr>
          <w:sz w:val="21"/>
        </w:rPr>
        <w:t>）</w:t>
      </w:r>
    </w:p>
    <w:p w14:paraId="04770BCA">
      <w:pPr>
        <w:pStyle w:val="12"/>
        <w:rPr>
          <w:sz w:val="20"/>
        </w:rPr>
      </w:pPr>
    </w:p>
    <w:p w14:paraId="446F7A02">
      <w:pPr>
        <w:pStyle w:val="12"/>
        <w:spacing w:before="5"/>
        <w:rPr>
          <w:sz w:val="23"/>
        </w:rPr>
      </w:pPr>
    </w:p>
    <w:p w14:paraId="1B7498A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20" w:firstLineChars="200"/>
        <w:textAlignment w:val="auto"/>
        <w:rPr>
          <w:spacing w:val="0"/>
          <w:sz w:val="21"/>
          <w:szCs w:val="21"/>
        </w:rPr>
      </w:pPr>
      <w:r>
        <w:rPr>
          <w:rFonts w:hint="eastAsia"/>
          <w:spacing w:val="0"/>
          <w:sz w:val="21"/>
          <w:szCs w:val="21"/>
          <w:lang w:val="en-US" w:eastAsia="zh-CN"/>
        </w:rPr>
        <w:t>1、</w:t>
      </w:r>
      <w:r>
        <w:rPr>
          <w:spacing w:val="0"/>
          <w:sz w:val="21"/>
          <w:szCs w:val="21"/>
        </w:rPr>
        <w:t>投标人应按以下要点编制施工组织设计（文字宜精炼、内容具有针对性）：</w:t>
      </w:r>
    </w:p>
    <w:p w14:paraId="10DF0E26">
      <w:pPr>
        <w:pStyle w:val="41"/>
        <w:keepNext w:val="0"/>
        <w:keepLines w:val="0"/>
        <w:pageBreakBefore w:val="0"/>
        <w:widowControl w:val="0"/>
        <w:numPr>
          <w:ilvl w:val="0"/>
          <w:numId w:val="0"/>
        </w:numPr>
        <w:tabs>
          <w:tab w:val="left" w:pos="0"/>
          <w:tab w:val="left" w:pos="88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sz w:val="21"/>
          <w:szCs w:val="21"/>
          <w:lang w:val="zh-CN" w:eastAsia="zh-CN" w:bidi="zh-CN"/>
        </w:rPr>
        <w:t>(1)</w:t>
      </w:r>
      <w:r>
        <w:rPr>
          <w:spacing w:val="0"/>
          <w:sz w:val="21"/>
          <w:szCs w:val="21"/>
        </w:rPr>
        <w:t>总体施工组织布置及规划</w:t>
      </w:r>
    </w:p>
    <w:p w14:paraId="102ED9AA">
      <w:pPr>
        <w:pStyle w:val="41"/>
        <w:keepNext w:val="0"/>
        <w:keepLines w:val="0"/>
        <w:pageBreakBefore w:val="0"/>
        <w:widowControl w:val="0"/>
        <w:numPr>
          <w:ilvl w:val="0"/>
          <w:numId w:val="0"/>
        </w:numPr>
        <w:tabs>
          <w:tab w:val="left" w:pos="0"/>
          <w:tab w:val="left" w:pos="88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sz w:val="21"/>
          <w:szCs w:val="21"/>
          <w:lang w:val="zh-CN" w:eastAsia="zh-CN" w:bidi="zh-CN"/>
        </w:rPr>
        <w:t>(2)</w:t>
      </w:r>
      <w:r>
        <w:rPr>
          <w:rFonts w:hint="eastAsia"/>
          <w:spacing w:val="0"/>
          <w:sz w:val="21"/>
          <w:szCs w:val="21"/>
        </w:rPr>
        <w:t>主要工程项目的施工方案、方法与技术措施（尤其对重点、关键和难点工程的施工方案、方法及措施）</w:t>
      </w:r>
    </w:p>
    <w:p w14:paraId="4EC72036">
      <w:pPr>
        <w:pStyle w:val="41"/>
        <w:keepNext w:val="0"/>
        <w:keepLines w:val="0"/>
        <w:pageBreakBefore w:val="0"/>
        <w:widowControl w:val="0"/>
        <w:numPr>
          <w:ilvl w:val="0"/>
          <w:numId w:val="0"/>
        </w:numPr>
        <w:tabs>
          <w:tab w:val="left" w:pos="0"/>
          <w:tab w:val="left" w:pos="88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sz w:val="21"/>
          <w:szCs w:val="21"/>
          <w:lang w:val="zh-CN" w:eastAsia="zh-CN" w:bidi="zh-CN"/>
        </w:rPr>
        <w:t>(3)</w:t>
      </w:r>
      <w:r>
        <w:rPr>
          <w:rFonts w:hint="eastAsia"/>
          <w:spacing w:val="0"/>
          <w:sz w:val="21"/>
          <w:szCs w:val="21"/>
        </w:rPr>
        <w:t>工期保证体系及保证措施</w:t>
      </w:r>
    </w:p>
    <w:p w14:paraId="0E01FB09">
      <w:pPr>
        <w:pStyle w:val="41"/>
        <w:keepNext w:val="0"/>
        <w:keepLines w:val="0"/>
        <w:pageBreakBefore w:val="0"/>
        <w:widowControl w:val="0"/>
        <w:numPr>
          <w:ilvl w:val="0"/>
          <w:numId w:val="0"/>
        </w:numPr>
        <w:tabs>
          <w:tab w:val="left" w:pos="0"/>
          <w:tab w:val="left" w:pos="88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sz w:val="21"/>
          <w:szCs w:val="21"/>
          <w:lang w:val="zh-CN" w:eastAsia="zh-CN" w:bidi="zh-CN"/>
        </w:rPr>
        <w:t>(4)</w:t>
      </w:r>
      <w:r>
        <w:rPr>
          <w:rFonts w:hint="eastAsia"/>
          <w:spacing w:val="0"/>
          <w:sz w:val="21"/>
          <w:szCs w:val="21"/>
        </w:rPr>
        <w:t>工程质量管理体系及保证措施</w:t>
      </w:r>
    </w:p>
    <w:p w14:paraId="5D2E2512">
      <w:pPr>
        <w:pStyle w:val="41"/>
        <w:keepNext w:val="0"/>
        <w:keepLines w:val="0"/>
        <w:pageBreakBefore w:val="0"/>
        <w:widowControl w:val="0"/>
        <w:numPr>
          <w:ilvl w:val="0"/>
          <w:numId w:val="0"/>
        </w:numPr>
        <w:tabs>
          <w:tab w:val="left" w:pos="0"/>
          <w:tab w:val="left" w:pos="88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sz w:val="21"/>
          <w:szCs w:val="21"/>
          <w:lang w:val="zh-CN" w:eastAsia="zh-CN" w:bidi="zh-CN"/>
        </w:rPr>
        <w:t>(5)</w:t>
      </w:r>
      <w:r>
        <w:rPr>
          <w:rFonts w:hint="eastAsia"/>
          <w:spacing w:val="0"/>
          <w:sz w:val="21"/>
          <w:szCs w:val="21"/>
        </w:rPr>
        <w:t>安全生产管理体系及保证措施</w:t>
      </w:r>
    </w:p>
    <w:p w14:paraId="17B31AE1">
      <w:pPr>
        <w:pStyle w:val="41"/>
        <w:keepNext w:val="0"/>
        <w:keepLines w:val="0"/>
        <w:pageBreakBefore w:val="0"/>
        <w:widowControl w:val="0"/>
        <w:numPr>
          <w:ilvl w:val="0"/>
          <w:numId w:val="0"/>
        </w:numPr>
        <w:tabs>
          <w:tab w:val="left" w:pos="0"/>
          <w:tab w:val="left" w:pos="88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sz w:val="21"/>
          <w:szCs w:val="21"/>
          <w:lang w:val="zh-CN" w:eastAsia="zh-CN" w:bidi="zh-CN"/>
        </w:rPr>
        <w:t>(6)</w:t>
      </w:r>
      <w:r>
        <w:rPr>
          <w:rFonts w:hint="eastAsia"/>
          <w:spacing w:val="0"/>
          <w:sz w:val="21"/>
          <w:szCs w:val="21"/>
        </w:rPr>
        <w:t>环境保护、水土保持保证体系及保证措施</w:t>
      </w:r>
    </w:p>
    <w:p w14:paraId="7CC51A18">
      <w:pPr>
        <w:pStyle w:val="41"/>
        <w:keepNext w:val="0"/>
        <w:keepLines w:val="0"/>
        <w:pageBreakBefore w:val="0"/>
        <w:widowControl w:val="0"/>
        <w:numPr>
          <w:ilvl w:val="0"/>
          <w:numId w:val="0"/>
        </w:numPr>
        <w:tabs>
          <w:tab w:val="left" w:pos="0"/>
          <w:tab w:val="left" w:pos="88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spacing w:val="0"/>
          <w:sz w:val="21"/>
          <w:szCs w:val="21"/>
        </w:rPr>
      </w:pPr>
      <w:r>
        <w:rPr>
          <w:rFonts w:hint="default" w:ascii="宋体" w:hAnsi="宋体" w:eastAsia="宋体" w:cs="宋体"/>
          <w:spacing w:val="0"/>
          <w:sz w:val="21"/>
          <w:szCs w:val="21"/>
          <w:lang w:val="zh-CN" w:eastAsia="zh-CN" w:bidi="zh-CN"/>
        </w:rPr>
        <w:t>(7)</w:t>
      </w:r>
      <w:r>
        <w:rPr>
          <w:rFonts w:hint="eastAsia"/>
          <w:spacing w:val="0"/>
          <w:sz w:val="21"/>
          <w:szCs w:val="21"/>
        </w:rPr>
        <w:t>文明施工、文物保护保证体系及保证措施</w:t>
      </w:r>
    </w:p>
    <w:p w14:paraId="72AE38ED">
      <w:pPr>
        <w:pStyle w:val="41"/>
        <w:keepNext w:val="0"/>
        <w:keepLines w:val="0"/>
        <w:pageBreakBefore w:val="0"/>
        <w:widowControl w:val="0"/>
        <w:numPr>
          <w:ilvl w:val="0"/>
          <w:numId w:val="0"/>
        </w:numPr>
        <w:tabs>
          <w:tab w:val="left" w:pos="0"/>
          <w:tab w:val="left" w:pos="88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spacing w:val="0"/>
          <w:sz w:val="21"/>
          <w:szCs w:val="21"/>
        </w:rPr>
      </w:pPr>
      <w:r>
        <w:rPr>
          <w:rFonts w:hint="default" w:ascii="宋体" w:hAnsi="宋体" w:eastAsia="宋体" w:cs="宋体"/>
          <w:spacing w:val="0"/>
          <w:sz w:val="21"/>
          <w:szCs w:val="21"/>
          <w:lang w:val="zh-CN" w:eastAsia="zh-CN" w:bidi="zh-CN"/>
        </w:rPr>
        <w:t>(8)</w:t>
      </w:r>
      <w:r>
        <w:rPr>
          <w:rFonts w:hint="eastAsia"/>
          <w:spacing w:val="0"/>
          <w:sz w:val="21"/>
          <w:szCs w:val="21"/>
        </w:rPr>
        <w:t>项目风险预测与防范，事故应急预案</w:t>
      </w:r>
    </w:p>
    <w:p w14:paraId="3646E379">
      <w:pPr>
        <w:pStyle w:val="41"/>
        <w:keepNext w:val="0"/>
        <w:keepLines w:val="0"/>
        <w:pageBreakBefore w:val="0"/>
        <w:widowControl w:val="0"/>
        <w:numPr>
          <w:ilvl w:val="0"/>
          <w:numId w:val="0"/>
        </w:numPr>
        <w:tabs>
          <w:tab w:val="left" w:pos="0"/>
          <w:tab w:val="left" w:pos="886"/>
        </w:tabs>
        <w:kinsoku/>
        <w:wordWrap/>
        <w:overflowPunct/>
        <w:topLinePunct w:val="0"/>
        <w:autoSpaceDE w:val="0"/>
        <w:autoSpaceDN w:val="0"/>
        <w:bidi w:val="0"/>
        <w:adjustRightInd/>
        <w:snapToGrid/>
        <w:spacing w:before="0" w:after="0" w:line="360" w:lineRule="auto"/>
        <w:ind w:left="0" w:leftChars="0" w:right="0" w:rightChars="0" w:firstLine="420" w:firstLineChars="200"/>
        <w:jc w:val="left"/>
        <w:textAlignment w:val="auto"/>
        <w:rPr>
          <w:rFonts w:hint="eastAsia"/>
          <w:spacing w:val="0"/>
          <w:sz w:val="21"/>
          <w:szCs w:val="21"/>
        </w:rPr>
      </w:pPr>
      <w:r>
        <w:rPr>
          <w:rFonts w:hint="default" w:ascii="宋体" w:hAnsi="宋体" w:eastAsia="宋体" w:cs="宋体"/>
          <w:spacing w:val="0"/>
          <w:sz w:val="21"/>
          <w:szCs w:val="21"/>
          <w:lang w:val="zh-CN" w:eastAsia="zh-CN" w:bidi="zh-CN"/>
        </w:rPr>
        <w:t>(9)</w:t>
      </w:r>
      <w:r>
        <w:rPr>
          <w:rFonts w:hint="eastAsia"/>
          <w:spacing w:val="0"/>
          <w:sz w:val="21"/>
          <w:szCs w:val="21"/>
        </w:rPr>
        <w:t>其他应说明的事项</w:t>
      </w:r>
    </w:p>
    <w:p w14:paraId="7069CD4F">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20" w:firstLineChars="200"/>
        <w:textAlignment w:val="auto"/>
        <w:rPr>
          <w:rFonts w:hint="eastAsia"/>
          <w:spacing w:val="0"/>
          <w:sz w:val="21"/>
          <w:szCs w:val="21"/>
        </w:rPr>
      </w:pPr>
    </w:p>
    <w:p w14:paraId="02C9DE26">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20" w:firstLineChars="200"/>
        <w:textAlignment w:val="auto"/>
        <w:rPr>
          <w:rFonts w:hint="eastAsia"/>
          <w:spacing w:val="0"/>
          <w:sz w:val="21"/>
          <w:szCs w:val="21"/>
          <w:lang w:val="en-US" w:eastAsia="zh-CN"/>
        </w:rPr>
      </w:pPr>
      <w:bookmarkStart w:id="434" w:name="_bookmark298"/>
      <w:bookmarkEnd w:id="434"/>
      <w:r>
        <w:rPr>
          <w:rFonts w:hint="default"/>
          <w:spacing w:val="0"/>
          <w:sz w:val="21"/>
          <w:szCs w:val="21"/>
          <w:lang w:val="en-US" w:eastAsia="zh-CN"/>
        </w:rPr>
        <w:t xml:space="preserve">2. </w:t>
      </w:r>
      <w:r>
        <w:rPr>
          <w:rFonts w:hint="eastAsia"/>
          <w:spacing w:val="0"/>
          <w:sz w:val="21"/>
          <w:szCs w:val="21"/>
          <w:lang w:val="en-US" w:eastAsia="zh-CN"/>
        </w:rPr>
        <w:t xml:space="preserve">施工组织设计除采用文字表述外可附下列图表，图表及格式自拟。 </w:t>
      </w:r>
    </w:p>
    <w:p w14:paraId="4187CB9E">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20" w:firstLineChars="200"/>
        <w:textAlignment w:val="auto"/>
        <w:rPr>
          <w:rFonts w:hint="eastAsia"/>
          <w:spacing w:val="0"/>
          <w:sz w:val="21"/>
          <w:szCs w:val="21"/>
          <w:lang w:val="en-US" w:eastAsia="zh-CN"/>
        </w:rPr>
      </w:pPr>
      <w:r>
        <w:rPr>
          <w:rFonts w:hint="eastAsia"/>
          <w:spacing w:val="0"/>
          <w:sz w:val="21"/>
          <w:szCs w:val="21"/>
          <w:lang w:val="en-US" w:eastAsia="zh-CN"/>
        </w:rPr>
        <w:t>附表一</w:t>
      </w:r>
      <w:r>
        <w:rPr>
          <w:rFonts w:hint="default"/>
          <w:spacing w:val="0"/>
          <w:sz w:val="21"/>
          <w:szCs w:val="21"/>
          <w:lang w:val="en-US" w:eastAsia="zh-CN"/>
        </w:rPr>
        <w:t xml:space="preserve"> </w:t>
      </w:r>
      <w:r>
        <w:rPr>
          <w:rFonts w:hint="eastAsia"/>
          <w:spacing w:val="0"/>
          <w:sz w:val="21"/>
          <w:szCs w:val="21"/>
          <w:lang w:val="en-US" w:eastAsia="zh-CN"/>
        </w:rPr>
        <w:t xml:space="preserve">施工总体计划表 </w:t>
      </w:r>
    </w:p>
    <w:p w14:paraId="1203046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20" w:firstLineChars="200"/>
        <w:textAlignment w:val="auto"/>
        <w:rPr>
          <w:rFonts w:hint="eastAsia"/>
          <w:spacing w:val="0"/>
          <w:sz w:val="21"/>
          <w:szCs w:val="21"/>
          <w:lang w:val="en-US" w:eastAsia="zh-CN"/>
        </w:rPr>
      </w:pPr>
      <w:r>
        <w:rPr>
          <w:rFonts w:hint="eastAsia"/>
          <w:spacing w:val="0"/>
          <w:sz w:val="21"/>
          <w:szCs w:val="21"/>
          <w:lang w:val="en-US" w:eastAsia="zh-CN"/>
        </w:rPr>
        <w:t>附表二</w:t>
      </w:r>
      <w:r>
        <w:rPr>
          <w:rFonts w:hint="default"/>
          <w:spacing w:val="0"/>
          <w:sz w:val="21"/>
          <w:szCs w:val="21"/>
          <w:lang w:val="en-US" w:eastAsia="zh-CN"/>
        </w:rPr>
        <w:t xml:space="preserve"> </w:t>
      </w:r>
      <w:r>
        <w:rPr>
          <w:rFonts w:hint="eastAsia"/>
          <w:spacing w:val="0"/>
          <w:sz w:val="21"/>
          <w:szCs w:val="21"/>
          <w:lang w:val="en-US" w:eastAsia="zh-CN"/>
        </w:rPr>
        <w:t xml:space="preserve">分项工程进度率计划（斜率图） </w:t>
      </w:r>
    </w:p>
    <w:p w14:paraId="67502512">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20" w:firstLineChars="200"/>
        <w:textAlignment w:val="auto"/>
        <w:rPr>
          <w:rFonts w:hint="eastAsia"/>
          <w:spacing w:val="0"/>
          <w:sz w:val="21"/>
          <w:szCs w:val="21"/>
          <w:lang w:val="en-US" w:eastAsia="zh-CN"/>
        </w:rPr>
      </w:pPr>
      <w:r>
        <w:rPr>
          <w:rFonts w:hint="eastAsia"/>
          <w:spacing w:val="0"/>
          <w:sz w:val="21"/>
          <w:szCs w:val="21"/>
          <w:lang w:val="en-US" w:eastAsia="zh-CN"/>
        </w:rPr>
        <w:t>附表三</w:t>
      </w:r>
      <w:r>
        <w:rPr>
          <w:rFonts w:hint="default"/>
          <w:spacing w:val="0"/>
          <w:sz w:val="21"/>
          <w:szCs w:val="21"/>
          <w:lang w:val="en-US" w:eastAsia="zh-CN"/>
        </w:rPr>
        <w:t xml:space="preserve"> </w:t>
      </w:r>
      <w:r>
        <w:rPr>
          <w:rFonts w:hint="eastAsia"/>
          <w:spacing w:val="0"/>
          <w:sz w:val="21"/>
          <w:szCs w:val="21"/>
          <w:lang w:val="en-US" w:eastAsia="zh-CN"/>
        </w:rPr>
        <w:t xml:space="preserve">工程管理曲线 </w:t>
      </w:r>
    </w:p>
    <w:p w14:paraId="1E92513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20" w:firstLineChars="200"/>
        <w:textAlignment w:val="auto"/>
        <w:rPr>
          <w:rFonts w:hint="eastAsia"/>
          <w:spacing w:val="0"/>
          <w:sz w:val="21"/>
          <w:szCs w:val="21"/>
          <w:lang w:val="en-US" w:eastAsia="zh-CN"/>
        </w:rPr>
      </w:pPr>
      <w:r>
        <w:rPr>
          <w:rFonts w:hint="eastAsia"/>
          <w:spacing w:val="0"/>
          <w:sz w:val="21"/>
          <w:szCs w:val="21"/>
          <w:lang w:val="en-US" w:eastAsia="zh-CN"/>
        </w:rPr>
        <w:t>附表四</w:t>
      </w:r>
      <w:r>
        <w:rPr>
          <w:rFonts w:hint="default"/>
          <w:spacing w:val="0"/>
          <w:sz w:val="21"/>
          <w:szCs w:val="21"/>
          <w:lang w:val="en-US" w:eastAsia="zh-CN"/>
        </w:rPr>
        <w:t xml:space="preserve"> </w:t>
      </w:r>
      <w:r>
        <w:rPr>
          <w:rFonts w:hint="eastAsia"/>
          <w:spacing w:val="0"/>
          <w:sz w:val="21"/>
          <w:szCs w:val="21"/>
          <w:lang w:val="en-US" w:eastAsia="zh-CN"/>
        </w:rPr>
        <w:t xml:space="preserve">分项工程生产率和施工周期表 </w:t>
      </w:r>
    </w:p>
    <w:p w14:paraId="6F0235F0">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20" w:firstLineChars="200"/>
        <w:textAlignment w:val="auto"/>
        <w:rPr>
          <w:rFonts w:hint="eastAsia"/>
          <w:spacing w:val="0"/>
          <w:sz w:val="21"/>
          <w:szCs w:val="21"/>
          <w:lang w:val="en-US" w:eastAsia="zh-CN"/>
        </w:rPr>
      </w:pPr>
      <w:r>
        <w:rPr>
          <w:rFonts w:hint="eastAsia"/>
          <w:spacing w:val="0"/>
          <w:sz w:val="21"/>
          <w:szCs w:val="21"/>
          <w:lang w:val="en-US" w:eastAsia="zh-CN"/>
        </w:rPr>
        <w:t>附表五</w:t>
      </w:r>
      <w:r>
        <w:rPr>
          <w:rFonts w:hint="default"/>
          <w:spacing w:val="0"/>
          <w:sz w:val="21"/>
          <w:szCs w:val="21"/>
          <w:lang w:val="en-US" w:eastAsia="zh-CN"/>
        </w:rPr>
        <w:t xml:space="preserve"> </w:t>
      </w:r>
      <w:r>
        <w:rPr>
          <w:rFonts w:hint="eastAsia"/>
          <w:spacing w:val="0"/>
          <w:sz w:val="21"/>
          <w:szCs w:val="21"/>
          <w:lang w:val="en-US" w:eastAsia="zh-CN"/>
        </w:rPr>
        <w:t xml:space="preserve">施工总平面图 </w:t>
      </w:r>
    </w:p>
    <w:p w14:paraId="60D18CC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20" w:firstLineChars="200"/>
        <w:textAlignment w:val="auto"/>
        <w:rPr>
          <w:rFonts w:hint="eastAsia"/>
          <w:spacing w:val="0"/>
          <w:sz w:val="21"/>
          <w:szCs w:val="21"/>
          <w:lang w:val="en-US" w:eastAsia="zh-CN"/>
        </w:rPr>
      </w:pPr>
      <w:r>
        <w:rPr>
          <w:rFonts w:hint="eastAsia"/>
          <w:spacing w:val="0"/>
          <w:sz w:val="21"/>
          <w:szCs w:val="21"/>
          <w:lang w:val="en-US" w:eastAsia="zh-CN"/>
        </w:rPr>
        <w:t>附表六</w:t>
      </w:r>
      <w:r>
        <w:rPr>
          <w:rFonts w:hint="default"/>
          <w:spacing w:val="0"/>
          <w:sz w:val="21"/>
          <w:szCs w:val="21"/>
          <w:lang w:val="en-US" w:eastAsia="zh-CN"/>
        </w:rPr>
        <w:t xml:space="preserve"> </w:t>
      </w:r>
      <w:r>
        <w:rPr>
          <w:rFonts w:hint="eastAsia"/>
          <w:spacing w:val="0"/>
          <w:sz w:val="21"/>
          <w:szCs w:val="21"/>
          <w:lang w:val="en-US" w:eastAsia="zh-CN"/>
        </w:rPr>
        <w:t>劳动力计划表</w:t>
      </w:r>
      <w:r>
        <w:rPr>
          <w:rFonts w:hint="default"/>
          <w:spacing w:val="0"/>
          <w:sz w:val="21"/>
          <w:szCs w:val="21"/>
          <w:lang w:val="en-US" w:eastAsia="zh-CN"/>
        </w:rPr>
        <w:t xml:space="preserve"> </w:t>
      </w:r>
    </w:p>
    <w:p w14:paraId="4C539C4A">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20" w:firstLineChars="200"/>
        <w:textAlignment w:val="auto"/>
        <w:rPr>
          <w:rFonts w:hint="eastAsia"/>
          <w:spacing w:val="0"/>
          <w:sz w:val="21"/>
          <w:szCs w:val="21"/>
          <w:lang w:val="en-US" w:eastAsia="zh-CN"/>
        </w:rPr>
      </w:pPr>
      <w:r>
        <w:rPr>
          <w:rFonts w:hint="eastAsia"/>
          <w:spacing w:val="0"/>
          <w:sz w:val="21"/>
          <w:szCs w:val="21"/>
          <w:lang w:val="en-US" w:eastAsia="zh-CN"/>
        </w:rPr>
        <w:t>附表七</w:t>
      </w:r>
      <w:r>
        <w:rPr>
          <w:rFonts w:hint="default"/>
          <w:spacing w:val="0"/>
          <w:sz w:val="21"/>
          <w:szCs w:val="21"/>
          <w:lang w:val="en-US" w:eastAsia="zh-CN"/>
        </w:rPr>
        <w:t xml:space="preserve"> </w:t>
      </w:r>
      <w:r>
        <w:rPr>
          <w:rFonts w:hint="eastAsia"/>
          <w:spacing w:val="0"/>
          <w:sz w:val="21"/>
          <w:szCs w:val="21"/>
          <w:lang w:val="en-US" w:eastAsia="zh-CN"/>
        </w:rPr>
        <w:t xml:space="preserve">临时占地计划表 </w:t>
      </w:r>
    </w:p>
    <w:p w14:paraId="423E4F69">
      <w:pPr>
        <w:pStyle w:val="1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420" w:firstLineChars="200"/>
        <w:textAlignment w:val="auto"/>
        <w:rPr>
          <w:rFonts w:hint="eastAsia"/>
          <w:spacing w:val="0"/>
          <w:sz w:val="21"/>
          <w:szCs w:val="21"/>
          <w:lang w:val="en-US" w:eastAsia="zh-CN"/>
        </w:rPr>
      </w:pPr>
      <w:r>
        <w:rPr>
          <w:rFonts w:hint="eastAsia"/>
          <w:spacing w:val="0"/>
          <w:sz w:val="21"/>
          <w:szCs w:val="21"/>
          <w:lang w:val="en-US" w:eastAsia="zh-CN"/>
        </w:rPr>
        <w:t>附表八</w:t>
      </w:r>
      <w:r>
        <w:rPr>
          <w:rFonts w:hint="default"/>
          <w:spacing w:val="0"/>
          <w:sz w:val="21"/>
          <w:szCs w:val="21"/>
          <w:lang w:val="en-US" w:eastAsia="zh-CN"/>
        </w:rPr>
        <w:t xml:space="preserve"> </w:t>
      </w:r>
      <w:r>
        <w:rPr>
          <w:rFonts w:hint="eastAsia"/>
          <w:spacing w:val="0"/>
          <w:sz w:val="21"/>
          <w:szCs w:val="21"/>
          <w:lang w:val="en-US" w:eastAsia="zh-CN"/>
        </w:rPr>
        <w:t>外供电力需求计划表</w:t>
      </w:r>
    </w:p>
    <w:p w14:paraId="5373B994">
      <w:pPr>
        <w:pStyle w:val="12"/>
        <w:spacing w:before="2"/>
        <w:rPr>
          <w:rFonts w:ascii="黑体"/>
          <w:sz w:val="29"/>
        </w:rPr>
      </w:pPr>
    </w:p>
    <w:p w14:paraId="7792D538">
      <w:pPr>
        <w:rPr>
          <w:rFonts w:hint="eastAsia"/>
          <w:sz w:val="30"/>
          <w:szCs w:val="30"/>
        </w:rPr>
      </w:pPr>
      <w:bookmarkStart w:id="435" w:name="_bookmark307"/>
      <w:bookmarkEnd w:id="435"/>
      <w:bookmarkStart w:id="436" w:name="_Toc23352"/>
      <w:r>
        <w:rPr>
          <w:rFonts w:hint="eastAsia" w:ascii="黑体" w:eastAsia="黑体"/>
          <w:sz w:val="28"/>
        </w:rPr>
        <w:br w:type="page"/>
      </w:r>
    </w:p>
    <w:p w14:paraId="6AD53496">
      <w:pPr>
        <w:pStyle w:val="4"/>
        <w:bidi w:val="0"/>
        <w:rPr>
          <w:rFonts w:hint="eastAsia"/>
          <w:sz w:val="30"/>
          <w:szCs w:val="30"/>
        </w:rPr>
      </w:pPr>
      <w:r>
        <w:rPr>
          <w:rFonts w:hint="eastAsia"/>
          <w:sz w:val="30"/>
          <w:szCs w:val="30"/>
        </w:rPr>
        <w:t>六、项目管理机构</w:t>
      </w:r>
      <w:bookmarkEnd w:id="436"/>
    </w:p>
    <w:p w14:paraId="6D3D821F">
      <w:pPr>
        <w:pStyle w:val="12"/>
        <w:rPr>
          <w:rFonts w:ascii="黑体"/>
          <w:sz w:val="20"/>
        </w:rPr>
      </w:pPr>
    </w:p>
    <w:p w14:paraId="438FD65E">
      <w:pPr>
        <w:pStyle w:val="12"/>
        <w:spacing w:before="1"/>
        <w:rPr>
          <w:rFonts w:ascii="黑体"/>
          <w:sz w:val="18"/>
        </w:rPr>
      </w:pPr>
    </w:p>
    <w:tbl>
      <w:tblPr>
        <w:tblStyle w:val="25"/>
        <w:tblW w:w="0" w:type="auto"/>
        <w:tblInd w:w="27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26"/>
      </w:tblGrid>
      <w:tr w14:paraId="678B5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69" w:hRule="atLeast"/>
        </w:trPr>
        <w:tc>
          <w:tcPr>
            <w:tcW w:w="8726" w:type="dxa"/>
          </w:tcPr>
          <w:p w14:paraId="19BE6311">
            <w:pPr>
              <w:pStyle w:val="42"/>
              <w:rPr>
                <w:rFonts w:ascii="黑体"/>
                <w:sz w:val="20"/>
              </w:rPr>
            </w:pPr>
          </w:p>
          <w:p w14:paraId="0E53EEE3">
            <w:pPr>
              <w:pStyle w:val="42"/>
              <w:rPr>
                <w:rFonts w:ascii="黑体"/>
                <w:sz w:val="20"/>
              </w:rPr>
            </w:pPr>
          </w:p>
          <w:p w14:paraId="60773856">
            <w:pPr>
              <w:pStyle w:val="42"/>
              <w:rPr>
                <w:rFonts w:ascii="黑体"/>
                <w:sz w:val="20"/>
              </w:rPr>
            </w:pPr>
          </w:p>
          <w:p w14:paraId="47C81771">
            <w:pPr>
              <w:pStyle w:val="42"/>
              <w:ind w:left="378"/>
              <w:rPr>
                <w:sz w:val="21"/>
              </w:rPr>
            </w:pPr>
            <w:r>
              <w:rPr>
                <w:sz w:val="21"/>
              </w:rPr>
              <w:t>拟为承包本标段工程设立的组织机构以框图方式表示。</w:t>
            </w:r>
          </w:p>
        </w:tc>
      </w:tr>
      <w:tr w14:paraId="2AC5F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7" w:hRule="atLeast"/>
        </w:trPr>
        <w:tc>
          <w:tcPr>
            <w:tcW w:w="8726" w:type="dxa"/>
          </w:tcPr>
          <w:p w14:paraId="0521CCE5">
            <w:pPr>
              <w:pStyle w:val="42"/>
              <w:spacing w:before="7"/>
              <w:rPr>
                <w:rFonts w:ascii="黑体"/>
                <w:sz w:val="19"/>
              </w:rPr>
            </w:pPr>
          </w:p>
          <w:p w14:paraId="27438A2B">
            <w:pPr>
              <w:pStyle w:val="42"/>
              <w:ind w:left="378"/>
              <w:rPr>
                <w:sz w:val="21"/>
              </w:rPr>
            </w:pPr>
            <w:r>
              <w:rPr>
                <w:sz w:val="21"/>
              </w:rPr>
              <w:t>说明</w:t>
            </w:r>
          </w:p>
        </w:tc>
      </w:tr>
    </w:tbl>
    <w:p w14:paraId="0483768E">
      <w:pPr>
        <w:spacing w:after="0"/>
        <w:rPr>
          <w:sz w:val="21"/>
        </w:rPr>
        <w:sectPr>
          <w:headerReference r:id="rId85" w:type="default"/>
          <w:footerReference r:id="rId87" w:type="default"/>
          <w:headerReference r:id="rId86" w:type="even"/>
          <w:footerReference r:id="rId88" w:type="even"/>
          <w:pgSz w:w="11910" w:h="16850"/>
          <w:pgMar w:top="1540" w:right="1140" w:bottom="1080" w:left="1380" w:header="883" w:footer="884" w:gutter="0"/>
          <w:pgNumType w:fmt="decimal"/>
          <w:cols w:space="720" w:num="1"/>
        </w:sectPr>
      </w:pPr>
    </w:p>
    <w:p w14:paraId="6B6488AA">
      <w:pPr>
        <w:pStyle w:val="12"/>
        <w:rPr>
          <w:rFonts w:ascii="黑体"/>
          <w:sz w:val="20"/>
        </w:rPr>
      </w:pPr>
    </w:p>
    <w:p w14:paraId="3D12AA04">
      <w:pPr>
        <w:pStyle w:val="4"/>
        <w:bidi w:val="0"/>
        <w:rPr>
          <w:rFonts w:hint="eastAsia"/>
          <w:sz w:val="30"/>
          <w:szCs w:val="30"/>
        </w:rPr>
      </w:pPr>
      <w:bookmarkStart w:id="437" w:name="_bookmark308"/>
      <w:bookmarkEnd w:id="437"/>
      <w:bookmarkStart w:id="438" w:name="_Toc10297"/>
      <w:r>
        <w:rPr>
          <w:rFonts w:hint="eastAsia"/>
          <w:sz w:val="30"/>
          <w:szCs w:val="30"/>
        </w:rPr>
        <w:t>七、拟分包项目情况表</w:t>
      </w:r>
      <w:bookmarkEnd w:id="438"/>
    </w:p>
    <w:p w14:paraId="1F9A0739">
      <w:pPr>
        <w:pStyle w:val="12"/>
        <w:rPr>
          <w:rFonts w:ascii="黑体"/>
          <w:sz w:val="20"/>
        </w:rPr>
      </w:pPr>
    </w:p>
    <w:p w14:paraId="581676B9">
      <w:pPr>
        <w:pStyle w:val="12"/>
        <w:spacing w:before="9"/>
        <w:rPr>
          <w:rFonts w:ascii="黑体"/>
          <w:sz w:val="14"/>
        </w:rPr>
      </w:pPr>
    </w:p>
    <w:tbl>
      <w:tblPr>
        <w:tblStyle w:val="25"/>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0"/>
        <w:gridCol w:w="2456"/>
        <w:gridCol w:w="1865"/>
        <w:gridCol w:w="2583"/>
      </w:tblGrid>
      <w:tr w14:paraId="5FC17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90" w:type="dxa"/>
          </w:tcPr>
          <w:p w14:paraId="6BEA13DE">
            <w:pPr>
              <w:pStyle w:val="42"/>
              <w:spacing w:before="142"/>
              <w:ind w:left="153"/>
              <w:rPr>
                <w:sz w:val="21"/>
              </w:rPr>
            </w:pPr>
            <w:r>
              <w:rPr>
                <w:sz w:val="21"/>
              </w:rPr>
              <w:t>拟分包的工程项目</w:t>
            </w:r>
          </w:p>
        </w:tc>
        <w:tc>
          <w:tcPr>
            <w:tcW w:w="2456" w:type="dxa"/>
          </w:tcPr>
          <w:p w14:paraId="74B39945">
            <w:pPr>
              <w:pStyle w:val="42"/>
              <w:spacing w:before="142"/>
              <w:ind w:left="597"/>
              <w:rPr>
                <w:sz w:val="21"/>
              </w:rPr>
            </w:pPr>
            <w:r>
              <w:rPr>
                <w:sz w:val="21"/>
              </w:rPr>
              <w:t>主要工程内容</w:t>
            </w:r>
          </w:p>
        </w:tc>
        <w:tc>
          <w:tcPr>
            <w:tcW w:w="1865" w:type="dxa"/>
          </w:tcPr>
          <w:p w14:paraId="1F3D3150">
            <w:pPr>
              <w:pStyle w:val="42"/>
              <w:spacing w:before="142"/>
              <w:ind w:left="107"/>
              <w:rPr>
                <w:sz w:val="21"/>
              </w:rPr>
            </w:pPr>
            <w:r>
              <w:rPr>
                <w:sz w:val="21"/>
              </w:rPr>
              <w:t>预计造价（万元）</w:t>
            </w:r>
          </w:p>
        </w:tc>
        <w:tc>
          <w:tcPr>
            <w:tcW w:w="2583" w:type="dxa"/>
          </w:tcPr>
          <w:p w14:paraId="1AA80A44">
            <w:pPr>
              <w:pStyle w:val="42"/>
              <w:spacing w:before="142"/>
              <w:ind w:left="1008" w:right="999"/>
              <w:jc w:val="center"/>
              <w:rPr>
                <w:sz w:val="21"/>
              </w:rPr>
            </w:pPr>
            <w:r>
              <w:rPr>
                <w:sz w:val="21"/>
              </w:rPr>
              <w:t>备 注</w:t>
            </w:r>
          </w:p>
        </w:tc>
      </w:tr>
      <w:tr w14:paraId="457A0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90" w:type="dxa"/>
          </w:tcPr>
          <w:p w14:paraId="4B2905B3">
            <w:pPr>
              <w:pStyle w:val="42"/>
              <w:rPr>
                <w:rFonts w:ascii="Times New Roman"/>
                <w:sz w:val="22"/>
              </w:rPr>
            </w:pPr>
          </w:p>
        </w:tc>
        <w:tc>
          <w:tcPr>
            <w:tcW w:w="2456" w:type="dxa"/>
          </w:tcPr>
          <w:p w14:paraId="59EF1BB9">
            <w:pPr>
              <w:pStyle w:val="42"/>
              <w:rPr>
                <w:rFonts w:ascii="Times New Roman"/>
                <w:sz w:val="22"/>
              </w:rPr>
            </w:pPr>
          </w:p>
        </w:tc>
        <w:tc>
          <w:tcPr>
            <w:tcW w:w="1865" w:type="dxa"/>
          </w:tcPr>
          <w:p w14:paraId="7C9FAB3C">
            <w:pPr>
              <w:pStyle w:val="42"/>
              <w:rPr>
                <w:rFonts w:ascii="Times New Roman"/>
                <w:sz w:val="22"/>
              </w:rPr>
            </w:pPr>
          </w:p>
        </w:tc>
        <w:tc>
          <w:tcPr>
            <w:tcW w:w="2583" w:type="dxa"/>
            <w:vMerge w:val="restart"/>
          </w:tcPr>
          <w:p w14:paraId="1048A3F2">
            <w:pPr>
              <w:pStyle w:val="42"/>
              <w:rPr>
                <w:rFonts w:ascii="黑体"/>
                <w:sz w:val="22"/>
              </w:rPr>
            </w:pPr>
          </w:p>
          <w:p w14:paraId="4BACF8B0">
            <w:pPr>
              <w:pStyle w:val="42"/>
              <w:rPr>
                <w:rFonts w:ascii="黑体"/>
                <w:sz w:val="22"/>
              </w:rPr>
            </w:pPr>
          </w:p>
          <w:p w14:paraId="236314DD">
            <w:pPr>
              <w:pStyle w:val="42"/>
              <w:rPr>
                <w:rFonts w:ascii="黑体"/>
                <w:sz w:val="22"/>
              </w:rPr>
            </w:pPr>
          </w:p>
          <w:p w14:paraId="0D2407FC">
            <w:pPr>
              <w:pStyle w:val="42"/>
              <w:rPr>
                <w:rFonts w:ascii="黑体"/>
                <w:sz w:val="22"/>
              </w:rPr>
            </w:pPr>
          </w:p>
          <w:p w14:paraId="370C71A1">
            <w:pPr>
              <w:pStyle w:val="42"/>
              <w:rPr>
                <w:rFonts w:ascii="黑体"/>
                <w:sz w:val="22"/>
              </w:rPr>
            </w:pPr>
          </w:p>
          <w:p w14:paraId="5B6269CF">
            <w:pPr>
              <w:pStyle w:val="42"/>
              <w:rPr>
                <w:rFonts w:ascii="黑体"/>
                <w:sz w:val="22"/>
              </w:rPr>
            </w:pPr>
          </w:p>
          <w:p w14:paraId="10B267DB">
            <w:pPr>
              <w:pStyle w:val="42"/>
              <w:rPr>
                <w:rFonts w:ascii="黑体"/>
                <w:sz w:val="22"/>
              </w:rPr>
            </w:pPr>
          </w:p>
          <w:p w14:paraId="3CA05C9E">
            <w:pPr>
              <w:pStyle w:val="42"/>
              <w:rPr>
                <w:rFonts w:ascii="黑体"/>
                <w:sz w:val="22"/>
              </w:rPr>
            </w:pPr>
          </w:p>
          <w:p w14:paraId="17ACB66F">
            <w:pPr>
              <w:pStyle w:val="42"/>
              <w:rPr>
                <w:rFonts w:ascii="黑体"/>
                <w:sz w:val="22"/>
              </w:rPr>
            </w:pPr>
          </w:p>
          <w:p w14:paraId="1BFEB37F">
            <w:pPr>
              <w:pStyle w:val="42"/>
              <w:rPr>
                <w:rFonts w:ascii="黑体"/>
                <w:sz w:val="22"/>
              </w:rPr>
            </w:pPr>
          </w:p>
          <w:p w14:paraId="07970465">
            <w:pPr>
              <w:pStyle w:val="42"/>
              <w:rPr>
                <w:rFonts w:ascii="黑体"/>
                <w:sz w:val="22"/>
              </w:rPr>
            </w:pPr>
          </w:p>
          <w:p w14:paraId="2A2D3DEB">
            <w:pPr>
              <w:pStyle w:val="42"/>
              <w:rPr>
                <w:rFonts w:ascii="黑体"/>
                <w:sz w:val="22"/>
              </w:rPr>
            </w:pPr>
          </w:p>
          <w:p w14:paraId="43BE7D54">
            <w:pPr>
              <w:pStyle w:val="42"/>
              <w:rPr>
                <w:rFonts w:ascii="黑体"/>
                <w:sz w:val="22"/>
              </w:rPr>
            </w:pPr>
          </w:p>
          <w:p w14:paraId="2FCB3B1E">
            <w:pPr>
              <w:pStyle w:val="42"/>
              <w:rPr>
                <w:rFonts w:ascii="黑体"/>
                <w:sz w:val="22"/>
              </w:rPr>
            </w:pPr>
          </w:p>
          <w:p w14:paraId="084A599D">
            <w:pPr>
              <w:pStyle w:val="42"/>
              <w:rPr>
                <w:rFonts w:ascii="黑体"/>
                <w:sz w:val="22"/>
              </w:rPr>
            </w:pPr>
          </w:p>
          <w:p w14:paraId="5FF60E24">
            <w:pPr>
              <w:pStyle w:val="42"/>
              <w:spacing w:before="185" w:line="393" w:lineRule="auto"/>
              <w:ind w:left="107" w:right="94"/>
              <w:rPr>
                <w:rFonts w:ascii="Times New Roman" w:hAnsi="Times New Roman" w:eastAsia="Times New Roman"/>
                <w:sz w:val="21"/>
              </w:rPr>
            </w:pPr>
            <w:r>
              <w:rPr>
                <w:sz w:val="21"/>
              </w:rPr>
              <w:t>注：若无分包计划，则投标人应在本表填写</w:t>
            </w:r>
            <w:r>
              <w:rPr>
                <w:rFonts w:ascii="Times New Roman" w:hAnsi="Times New Roman" w:eastAsia="Times New Roman"/>
                <w:sz w:val="21"/>
              </w:rPr>
              <w:t>“</w:t>
            </w:r>
            <w:r>
              <w:rPr>
                <w:sz w:val="21"/>
              </w:rPr>
              <w:t>无</w:t>
            </w:r>
            <w:r>
              <w:rPr>
                <w:rFonts w:ascii="Times New Roman" w:hAnsi="Times New Roman" w:eastAsia="Times New Roman"/>
                <w:sz w:val="21"/>
              </w:rPr>
              <w:t>”</w:t>
            </w:r>
          </w:p>
        </w:tc>
      </w:tr>
      <w:tr w14:paraId="126A5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990" w:type="dxa"/>
          </w:tcPr>
          <w:p w14:paraId="6CFC824B">
            <w:pPr>
              <w:pStyle w:val="42"/>
              <w:rPr>
                <w:rFonts w:ascii="Times New Roman"/>
                <w:sz w:val="22"/>
              </w:rPr>
            </w:pPr>
          </w:p>
        </w:tc>
        <w:tc>
          <w:tcPr>
            <w:tcW w:w="2456" w:type="dxa"/>
          </w:tcPr>
          <w:p w14:paraId="5FCE2A7E">
            <w:pPr>
              <w:pStyle w:val="42"/>
              <w:rPr>
                <w:rFonts w:ascii="Times New Roman"/>
                <w:sz w:val="22"/>
              </w:rPr>
            </w:pPr>
          </w:p>
        </w:tc>
        <w:tc>
          <w:tcPr>
            <w:tcW w:w="1865" w:type="dxa"/>
          </w:tcPr>
          <w:p w14:paraId="4CBD44DF">
            <w:pPr>
              <w:pStyle w:val="42"/>
              <w:rPr>
                <w:rFonts w:ascii="Times New Roman"/>
                <w:sz w:val="22"/>
              </w:rPr>
            </w:pPr>
          </w:p>
        </w:tc>
        <w:tc>
          <w:tcPr>
            <w:tcW w:w="2583" w:type="dxa"/>
            <w:vMerge w:val="continue"/>
            <w:tcBorders>
              <w:top w:val="nil"/>
            </w:tcBorders>
          </w:tcPr>
          <w:p w14:paraId="29CFA88F">
            <w:pPr>
              <w:rPr>
                <w:sz w:val="2"/>
                <w:szCs w:val="2"/>
              </w:rPr>
            </w:pPr>
          </w:p>
        </w:tc>
      </w:tr>
      <w:tr w14:paraId="20733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90" w:type="dxa"/>
          </w:tcPr>
          <w:p w14:paraId="3D614581">
            <w:pPr>
              <w:pStyle w:val="42"/>
              <w:rPr>
                <w:rFonts w:ascii="Times New Roman"/>
                <w:sz w:val="22"/>
              </w:rPr>
            </w:pPr>
          </w:p>
        </w:tc>
        <w:tc>
          <w:tcPr>
            <w:tcW w:w="2456" w:type="dxa"/>
          </w:tcPr>
          <w:p w14:paraId="1856E24A">
            <w:pPr>
              <w:pStyle w:val="42"/>
              <w:rPr>
                <w:rFonts w:ascii="Times New Roman"/>
                <w:sz w:val="22"/>
              </w:rPr>
            </w:pPr>
          </w:p>
        </w:tc>
        <w:tc>
          <w:tcPr>
            <w:tcW w:w="1865" w:type="dxa"/>
          </w:tcPr>
          <w:p w14:paraId="7CC20D0F">
            <w:pPr>
              <w:pStyle w:val="42"/>
              <w:rPr>
                <w:rFonts w:ascii="Times New Roman"/>
                <w:sz w:val="22"/>
              </w:rPr>
            </w:pPr>
          </w:p>
        </w:tc>
        <w:tc>
          <w:tcPr>
            <w:tcW w:w="2583" w:type="dxa"/>
            <w:vMerge w:val="continue"/>
            <w:tcBorders>
              <w:top w:val="nil"/>
            </w:tcBorders>
          </w:tcPr>
          <w:p w14:paraId="54E2FD92">
            <w:pPr>
              <w:rPr>
                <w:sz w:val="2"/>
                <w:szCs w:val="2"/>
              </w:rPr>
            </w:pPr>
          </w:p>
        </w:tc>
      </w:tr>
      <w:tr w14:paraId="79D5C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90" w:type="dxa"/>
          </w:tcPr>
          <w:p w14:paraId="2E1A7463">
            <w:pPr>
              <w:pStyle w:val="42"/>
              <w:rPr>
                <w:rFonts w:ascii="Times New Roman"/>
                <w:sz w:val="22"/>
              </w:rPr>
            </w:pPr>
          </w:p>
        </w:tc>
        <w:tc>
          <w:tcPr>
            <w:tcW w:w="2456" w:type="dxa"/>
          </w:tcPr>
          <w:p w14:paraId="7F489976">
            <w:pPr>
              <w:pStyle w:val="42"/>
              <w:rPr>
                <w:rFonts w:ascii="Times New Roman"/>
                <w:sz w:val="22"/>
              </w:rPr>
            </w:pPr>
          </w:p>
        </w:tc>
        <w:tc>
          <w:tcPr>
            <w:tcW w:w="1865" w:type="dxa"/>
          </w:tcPr>
          <w:p w14:paraId="61EC4593">
            <w:pPr>
              <w:pStyle w:val="42"/>
              <w:rPr>
                <w:rFonts w:ascii="Times New Roman"/>
                <w:sz w:val="22"/>
              </w:rPr>
            </w:pPr>
          </w:p>
        </w:tc>
        <w:tc>
          <w:tcPr>
            <w:tcW w:w="2583" w:type="dxa"/>
            <w:vMerge w:val="continue"/>
            <w:tcBorders>
              <w:top w:val="nil"/>
            </w:tcBorders>
          </w:tcPr>
          <w:p w14:paraId="0E901532">
            <w:pPr>
              <w:rPr>
                <w:sz w:val="2"/>
                <w:szCs w:val="2"/>
              </w:rPr>
            </w:pPr>
          </w:p>
        </w:tc>
      </w:tr>
      <w:tr w14:paraId="241A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990" w:type="dxa"/>
          </w:tcPr>
          <w:p w14:paraId="78EB6938">
            <w:pPr>
              <w:pStyle w:val="42"/>
              <w:rPr>
                <w:rFonts w:ascii="Times New Roman"/>
                <w:sz w:val="22"/>
              </w:rPr>
            </w:pPr>
          </w:p>
        </w:tc>
        <w:tc>
          <w:tcPr>
            <w:tcW w:w="2456" w:type="dxa"/>
          </w:tcPr>
          <w:p w14:paraId="524BE6D3">
            <w:pPr>
              <w:pStyle w:val="42"/>
              <w:rPr>
                <w:rFonts w:ascii="Times New Roman"/>
                <w:sz w:val="22"/>
              </w:rPr>
            </w:pPr>
          </w:p>
        </w:tc>
        <w:tc>
          <w:tcPr>
            <w:tcW w:w="1865" w:type="dxa"/>
          </w:tcPr>
          <w:p w14:paraId="4EB44AC9">
            <w:pPr>
              <w:pStyle w:val="42"/>
              <w:rPr>
                <w:rFonts w:ascii="Times New Roman"/>
                <w:sz w:val="22"/>
              </w:rPr>
            </w:pPr>
          </w:p>
        </w:tc>
        <w:tc>
          <w:tcPr>
            <w:tcW w:w="2583" w:type="dxa"/>
            <w:vMerge w:val="continue"/>
            <w:tcBorders>
              <w:top w:val="nil"/>
            </w:tcBorders>
          </w:tcPr>
          <w:p w14:paraId="0735CA3E">
            <w:pPr>
              <w:rPr>
                <w:sz w:val="2"/>
                <w:szCs w:val="2"/>
              </w:rPr>
            </w:pPr>
          </w:p>
        </w:tc>
      </w:tr>
      <w:tr w14:paraId="743A1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tcPr>
          <w:p w14:paraId="01F248A7">
            <w:pPr>
              <w:pStyle w:val="42"/>
              <w:rPr>
                <w:rFonts w:ascii="Times New Roman"/>
                <w:sz w:val="22"/>
              </w:rPr>
            </w:pPr>
          </w:p>
        </w:tc>
        <w:tc>
          <w:tcPr>
            <w:tcW w:w="2456" w:type="dxa"/>
          </w:tcPr>
          <w:p w14:paraId="50E69710">
            <w:pPr>
              <w:pStyle w:val="42"/>
              <w:rPr>
                <w:rFonts w:ascii="Times New Roman"/>
                <w:sz w:val="22"/>
              </w:rPr>
            </w:pPr>
          </w:p>
        </w:tc>
        <w:tc>
          <w:tcPr>
            <w:tcW w:w="1865" w:type="dxa"/>
          </w:tcPr>
          <w:p w14:paraId="3FB62526">
            <w:pPr>
              <w:pStyle w:val="42"/>
              <w:rPr>
                <w:rFonts w:ascii="Times New Roman"/>
                <w:sz w:val="22"/>
              </w:rPr>
            </w:pPr>
          </w:p>
        </w:tc>
        <w:tc>
          <w:tcPr>
            <w:tcW w:w="2583" w:type="dxa"/>
            <w:vMerge w:val="continue"/>
            <w:tcBorders>
              <w:top w:val="nil"/>
            </w:tcBorders>
          </w:tcPr>
          <w:p w14:paraId="7B2AB19D">
            <w:pPr>
              <w:rPr>
                <w:sz w:val="2"/>
                <w:szCs w:val="2"/>
              </w:rPr>
            </w:pPr>
          </w:p>
        </w:tc>
      </w:tr>
      <w:tr w14:paraId="0AF9E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tcPr>
          <w:p w14:paraId="106D7E0E">
            <w:pPr>
              <w:pStyle w:val="42"/>
              <w:rPr>
                <w:rFonts w:ascii="Times New Roman"/>
                <w:sz w:val="22"/>
              </w:rPr>
            </w:pPr>
          </w:p>
        </w:tc>
        <w:tc>
          <w:tcPr>
            <w:tcW w:w="2456" w:type="dxa"/>
          </w:tcPr>
          <w:p w14:paraId="36BEA4F0">
            <w:pPr>
              <w:pStyle w:val="42"/>
              <w:rPr>
                <w:rFonts w:ascii="Times New Roman"/>
                <w:sz w:val="22"/>
              </w:rPr>
            </w:pPr>
          </w:p>
        </w:tc>
        <w:tc>
          <w:tcPr>
            <w:tcW w:w="1865" w:type="dxa"/>
          </w:tcPr>
          <w:p w14:paraId="26B7D892">
            <w:pPr>
              <w:pStyle w:val="42"/>
              <w:rPr>
                <w:rFonts w:ascii="Times New Roman"/>
                <w:sz w:val="22"/>
              </w:rPr>
            </w:pPr>
          </w:p>
        </w:tc>
        <w:tc>
          <w:tcPr>
            <w:tcW w:w="2583" w:type="dxa"/>
            <w:vMerge w:val="continue"/>
            <w:tcBorders>
              <w:top w:val="nil"/>
            </w:tcBorders>
          </w:tcPr>
          <w:p w14:paraId="2D3EDAF7">
            <w:pPr>
              <w:rPr>
                <w:sz w:val="2"/>
                <w:szCs w:val="2"/>
              </w:rPr>
            </w:pPr>
          </w:p>
        </w:tc>
      </w:tr>
      <w:tr w14:paraId="635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90" w:type="dxa"/>
          </w:tcPr>
          <w:p w14:paraId="2DE72404">
            <w:pPr>
              <w:pStyle w:val="42"/>
              <w:rPr>
                <w:rFonts w:ascii="Times New Roman"/>
                <w:sz w:val="22"/>
              </w:rPr>
            </w:pPr>
          </w:p>
        </w:tc>
        <w:tc>
          <w:tcPr>
            <w:tcW w:w="2456" w:type="dxa"/>
          </w:tcPr>
          <w:p w14:paraId="03A94249">
            <w:pPr>
              <w:pStyle w:val="42"/>
              <w:rPr>
                <w:rFonts w:ascii="Times New Roman"/>
                <w:sz w:val="22"/>
              </w:rPr>
            </w:pPr>
          </w:p>
        </w:tc>
        <w:tc>
          <w:tcPr>
            <w:tcW w:w="1865" w:type="dxa"/>
          </w:tcPr>
          <w:p w14:paraId="4268F332">
            <w:pPr>
              <w:pStyle w:val="42"/>
              <w:rPr>
                <w:rFonts w:ascii="Times New Roman"/>
                <w:sz w:val="22"/>
              </w:rPr>
            </w:pPr>
          </w:p>
        </w:tc>
        <w:tc>
          <w:tcPr>
            <w:tcW w:w="2583" w:type="dxa"/>
            <w:vMerge w:val="continue"/>
            <w:tcBorders>
              <w:top w:val="nil"/>
            </w:tcBorders>
          </w:tcPr>
          <w:p w14:paraId="02D8FDB0">
            <w:pPr>
              <w:rPr>
                <w:sz w:val="2"/>
                <w:szCs w:val="2"/>
              </w:rPr>
            </w:pPr>
          </w:p>
        </w:tc>
      </w:tr>
      <w:tr w14:paraId="458A3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tcPr>
          <w:p w14:paraId="6759E69F">
            <w:pPr>
              <w:pStyle w:val="42"/>
              <w:rPr>
                <w:rFonts w:ascii="Times New Roman"/>
                <w:sz w:val="22"/>
              </w:rPr>
            </w:pPr>
          </w:p>
        </w:tc>
        <w:tc>
          <w:tcPr>
            <w:tcW w:w="2456" w:type="dxa"/>
          </w:tcPr>
          <w:p w14:paraId="46022604">
            <w:pPr>
              <w:pStyle w:val="42"/>
              <w:rPr>
                <w:rFonts w:ascii="Times New Roman"/>
                <w:sz w:val="22"/>
              </w:rPr>
            </w:pPr>
          </w:p>
        </w:tc>
        <w:tc>
          <w:tcPr>
            <w:tcW w:w="1865" w:type="dxa"/>
          </w:tcPr>
          <w:p w14:paraId="109C0FCC">
            <w:pPr>
              <w:pStyle w:val="42"/>
              <w:rPr>
                <w:rFonts w:ascii="Times New Roman"/>
                <w:sz w:val="22"/>
              </w:rPr>
            </w:pPr>
          </w:p>
        </w:tc>
        <w:tc>
          <w:tcPr>
            <w:tcW w:w="2583" w:type="dxa"/>
            <w:vMerge w:val="continue"/>
            <w:tcBorders>
              <w:top w:val="nil"/>
            </w:tcBorders>
          </w:tcPr>
          <w:p w14:paraId="19F9602B">
            <w:pPr>
              <w:rPr>
                <w:sz w:val="2"/>
                <w:szCs w:val="2"/>
              </w:rPr>
            </w:pPr>
          </w:p>
        </w:tc>
      </w:tr>
      <w:tr w14:paraId="4EA3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90" w:type="dxa"/>
          </w:tcPr>
          <w:p w14:paraId="2B76DE74">
            <w:pPr>
              <w:pStyle w:val="42"/>
              <w:rPr>
                <w:rFonts w:ascii="Times New Roman"/>
                <w:sz w:val="22"/>
              </w:rPr>
            </w:pPr>
          </w:p>
        </w:tc>
        <w:tc>
          <w:tcPr>
            <w:tcW w:w="2456" w:type="dxa"/>
          </w:tcPr>
          <w:p w14:paraId="69608517">
            <w:pPr>
              <w:pStyle w:val="42"/>
              <w:rPr>
                <w:rFonts w:ascii="Times New Roman"/>
                <w:sz w:val="22"/>
              </w:rPr>
            </w:pPr>
          </w:p>
        </w:tc>
        <w:tc>
          <w:tcPr>
            <w:tcW w:w="1865" w:type="dxa"/>
          </w:tcPr>
          <w:p w14:paraId="49A6FC3A">
            <w:pPr>
              <w:pStyle w:val="42"/>
              <w:rPr>
                <w:rFonts w:ascii="Times New Roman"/>
                <w:sz w:val="22"/>
              </w:rPr>
            </w:pPr>
          </w:p>
        </w:tc>
        <w:tc>
          <w:tcPr>
            <w:tcW w:w="2583" w:type="dxa"/>
            <w:vMerge w:val="continue"/>
            <w:tcBorders>
              <w:top w:val="nil"/>
            </w:tcBorders>
          </w:tcPr>
          <w:p w14:paraId="439F2D46">
            <w:pPr>
              <w:rPr>
                <w:sz w:val="2"/>
                <w:szCs w:val="2"/>
              </w:rPr>
            </w:pPr>
          </w:p>
        </w:tc>
      </w:tr>
      <w:tr w14:paraId="4B2A4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90" w:type="dxa"/>
          </w:tcPr>
          <w:p w14:paraId="3DEAF5BD">
            <w:pPr>
              <w:pStyle w:val="42"/>
              <w:rPr>
                <w:rFonts w:ascii="Times New Roman"/>
                <w:sz w:val="22"/>
              </w:rPr>
            </w:pPr>
          </w:p>
        </w:tc>
        <w:tc>
          <w:tcPr>
            <w:tcW w:w="2456" w:type="dxa"/>
          </w:tcPr>
          <w:p w14:paraId="458CD9AC">
            <w:pPr>
              <w:pStyle w:val="42"/>
              <w:rPr>
                <w:rFonts w:ascii="Times New Roman"/>
                <w:sz w:val="22"/>
              </w:rPr>
            </w:pPr>
          </w:p>
        </w:tc>
        <w:tc>
          <w:tcPr>
            <w:tcW w:w="1865" w:type="dxa"/>
          </w:tcPr>
          <w:p w14:paraId="4CB2DCE1">
            <w:pPr>
              <w:pStyle w:val="42"/>
              <w:rPr>
                <w:rFonts w:ascii="Times New Roman"/>
                <w:sz w:val="22"/>
              </w:rPr>
            </w:pPr>
          </w:p>
        </w:tc>
        <w:tc>
          <w:tcPr>
            <w:tcW w:w="2583" w:type="dxa"/>
            <w:vMerge w:val="continue"/>
            <w:tcBorders>
              <w:top w:val="nil"/>
            </w:tcBorders>
          </w:tcPr>
          <w:p w14:paraId="265F2552">
            <w:pPr>
              <w:rPr>
                <w:sz w:val="2"/>
                <w:szCs w:val="2"/>
              </w:rPr>
            </w:pPr>
          </w:p>
        </w:tc>
      </w:tr>
      <w:tr w14:paraId="6E715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tcPr>
          <w:p w14:paraId="077A4187">
            <w:pPr>
              <w:pStyle w:val="42"/>
              <w:rPr>
                <w:rFonts w:ascii="Times New Roman"/>
                <w:sz w:val="22"/>
              </w:rPr>
            </w:pPr>
          </w:p>
        </w:tc>
        <w:tc>
          <w:tcPr>
            <w:tcW w:w="2456" w:type="dxa"/>
          </w:tcPr>
          <w:p w14:paraId="3D44145D">
            <w:pPr>
              <w:pStyle w:val="42"/>
              <w:rPr>
                <w:rFonts w:ascii="Times New Roman"/>
                <w:sz w:val="22"/>
              </w:rPr>
            </w:pPr>
          </w:p>
        </w:tc>
        <w:tc>
          <w:tcPr>
            <w:tcW w:w="1865" w:type="dxa"/>
          </w:tcPr>
          <w:p w14:paraId="7652EE02">
            <w:pPr>
              <w:pStyle w:val="42"/>
              <w:rPr>
                <w:rFonts w:ascii="Times New Roman"/>
                <w:sz w:val="22"/>
              </w:rPr>
            </w:pPr>
          </w:p>
        </w:tc>
        <w:tc>
          <w:tcPr>
            <w:tcW w:w="2583" w:type="dxa"/>
            <w:vMerge w:val="continue"/>
            <w:tcBorders>
              <w:top w:val="nil"/>
            </w:tcBorders>
          </w:tcPr>
          <w:p w14:paraId="0D034A9D">
            <w:pPr>
              <w:rPr>
                <w:sz w:val="2"/>
                <w:szCs w:val="2"/>
              </w:rPr>
            </w:pPr>
          </w:p>
        </w:tc>
      </w:tr>
      <w:tr w14:paraId="567FA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tcPr>
          <w:p w14:paraId="4913025C">
            <w:pPr>
              <w:pStyle w:val="42"/>
              <w:rPr>
                <w:rFonts w:ascii="Times New Roman"/>
                <w:sz w:val="22"/>
              </w:rPr>
            </w:pPr>
          </w:p>
        </w:tc>
        <w:tc>
          <w:tcPr>
            <w:tcW w:w="2456" w:type="dxa"/>
          </w:tcPr>
          <w:p w14:paraId="377EE244">
            <w:pPr>
              <w:pStyle w:val="42"/>
              <w:rPr>
                <w:rFonts w:ascii="Times New Roman"/>
                <w:sz w:val="22"/>
              </w:rPr>
            </w:pPr>
          </w:p>
        </w:tc>
        <w:tc>
          <w:tcPr>
            <w:tcW w:w="1865" w:type="dxa"/>
          </w:tcPr>
          <w:p w14:paraId="5F56DF21">
            <w:pPr>
              <w:pStyle w:val="42"/>
              <w:rPr>
                <w:rFonts w:ascii="Times New Roman"/>
                <w:sz w:val="22"/>
              </w:rPr>
            </w:pPr>
          </w:p>
        </w:tc>
        <w:tc>
          <w:tcPr>
            <w:tcW w:w="2583" w:type="dxa"/>
            <w:vMerge w:val="continue"/>
            <w:tcBorders>
              <w:top w:val="nil"/>
            </w:tcBorders>
          </w:tcPr>
          <w:p w14:paraId="7E15EA0A">
            <w:pPr>
              <w:rPr>
                <w:sz w:val="2"/>
                <w:szCs w:val="2"/>
              </w:rPr>
            </w:pPr>
          </w:p>
        </w:tc>
      </w:tr>
      <w:tr w14:paraId="7F0FB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90" w:type="dxa"/>
          </w:tcPr>
          <w:p w14:paraId="5C237C89">
            <w:pPr>
              <w:pStyle w:val="42"/>
              <w:rPr>
                <w:rFonts w:ascii="Times New Roman"/>
                <w:sz w:val="22"/>
              </w:rPr>
            </w:pPr>
          </w:p>
        </w:tc>
        <w:tc>
          <w:tcPr>
            <w:tcW w:w="2456" w:type="dxa"/>
          </w:tcPr>
          <w:p w14:paraId="0112BD3A">
            <w:pPr>
              <w:pStyle w:val="42"/>
              <w:rPr>
                <w:rFonts w:ascii="Times New Roman"/>
                <w:sz w:val="22"/>
              </w:rPr>
            </w:pPr>
          </w:p>
        </w:tc>
        <w:tc>
          <w:tcPr>
            <w:tcW w:w="1865" w:type="dxa"/>
          </w:tcPr>
          <w:p w14:paraId="35FF9207">
            <w:pPr>
              <w:pStyle w:val="42"/>
              <w:rPr>
                <w:rFonts w:ascii="Times New Roman"/>
                <w:sz w:val="22"/>
              </w:rPr>
            </w:pPr>
          </w:p>
        </w:tc>
        <w:tc>
          <w:tcPr>
            <w:tcW w:w="2583" w:type="dxa"/>
            <w:vMerge w:val="continue"/>
            <w:tcBorders>
              <w:top w:val="nil"/>
            </w:tcBorders>
          </w:tcPr>
          <w:p w14:paraId="3414E4FC">
            <w:pPr>
              <w:rPr>
                <w:sz w:val="2"/>
                <w:szCs w:val="2"/>
              </w:rPr>
            </w:pPr>
          </w:p>
        </w:tc>
      </w:tr>
      <w:tr w14:paraId="6AB00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tcPr>
          <w:p w14:paraId="40670B6D">
            <w:pPr>
              <w:pStyle w:val="42"/>
              <w:rPr>
                <w:rFonts w:ascii="Times New Roman"/>
                <w:sz w:val="22"/>
              </w:rPr>
            </w:pPr>
          </w:p>
        </w:tc>
        <w:tc>
          <w:tcPr>
            <w:tcW w:w="2456" w:type="dxa"/>
          </w:tcPr>
          <w:p w14:paraId="1DBEE042">
            <w:pPr>
              <w:pStyle w:val="42"/>
              <w:rPr>
                <w:rFonts w:ascii="Times New Roman"/>
                <w:sz w:val="22"/>
              </w:rPr>
            </w:pPr>
          </w:p>
        </w:tc>
        <w:tc>
          <w:tcPr>
            <w:tcW w:w="1865" w:type="dxa"/>
          </w:tcPr>
          <w:p w14:paraId="64A0AF70">
            <w:pPr>
              <w:pStyle w:val="42"/>
              <w:rPr>
                <w:rFonts w:ascii="Times New Roman"/>
                <w:sz w:val="22"/>
              </w:rPr>
            </w:pPr>
          </w:p>
        </w:tc>
        <w:tc>
          <w:tcPr>
            <w:tcW w:w="2583" w:type="dxa"/>
            <w:vMerge w:val="continue"/>
            <w:tcBorders>
              <w:top w:val="nil"/>
            </w:tcBorders>
          </w:tcPr>
          <w:p w14:paraId="0BF7E6CB">
            <w:pPr>
              <w:rPr>
                <w:sz w:val="2"/>
                <w:szCs w:val="2"/>
              </w:rPr>
            </w:pPr>
          </w:p>
        </w:tc>
      </w:tr>
      <w:tr w14:paraId="19847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990" w:type="dxa"/>
          </w:tcPr>
          <w:p w14:paraId="5FDAA575">
            <w:pPr>
              <w:pStyle w:val="42"/>
              <w:rPr>
                <w:rFonts w:ascii="Times New Roman"/>
                <w:sz w:val="22"/>
              </w:rPr>
            </w:pPr>
          </w:p>
        </w:tc>
        <w:tc>
          <w:tcPr>
            <w:tcW w:w="2456" w:type="dxa"/>
          </w:tcPr>
          <w:p w14:paraId="68B77852">
            <w:pPr>
              <w:pStyle w:val="42"/>
              <w:rPr>
                <w:rFonts w:ascii="Times New Roman"/>
                <w:sz w:val="22"/>
              </w:rPr>
            </w:pPr>
          </w:p>
        </w:tc>
        <w:tc>
          <w:tcPr>
            <w:tcW w:w="1865" w:type="dxa"/>
          </w:tcPr>
          <w:p w14:paraId="0DB734FF">
            <w:pPr>
              <w:pStyle w:val="42"/>
              <w:rPr>
                <w:rFonts w:ascii="Times New Roman"/>
                <w:sz w:val="22"/>
              </w:rPr>
            </w:pPr>
          </w:p>
        </w:tc>
        <w:tc>
          <w:tcPr>
            <w:tcW w:w="2583" w:type="dxa"/>
            <w:vMerge w:val="continue"/>
            <w:tcBorders>
              <w:top w:val="nil"/>
            </w:tcBorders>
          </w:tcPr>
          <w:p w14:paraId="0AF309B5">
            <w:pPr>
              <w:rPr>
                <w:sz w:val="2"/>
                <w:szCs w:val="2"/>
              </w:rPr>
            </w:pPr>
          </w:p>
        </w:tc>
      </w:tr>
      <w:tr w14:paraId="0F13C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990" w:type="dxa"/>
          </w:tcPr>
          <w:p w14:paraId="1004D2C5">
            <w:pPr>
              <w:pStyle w:val="42"/>
              <w:rPr>
                <w:rFonts w:ascii="Times New Roman"/>
                <w:sz w:val="22"/>
              </w:rPr>
            </w:pPr>
          </w:p>
        </w:tc>
        <w:tc>
          <w:tcPr>
            <w:tcW w:w="2456" w:type="dxa"/>
          </w:tcPr>
          <w:p w14:paraId="27A335C9">
            <w:pPr>
              <w:pStyle w:val="42"/>
              <w:rPr>
                <w:rFonts w:ascii="Times New Roman"/>
                <w:sz w:val="22"/>
              </w:rPr>
            </w:pPr>
          </w:p>
        </w:tc>
        <w:tc>
          <w:tcPr>
            <w:tcW w:w="1865" w:type="dxa"/>
          </w:tcPr>
          <w:p w14:paraId="1C4D11F2">
            <w:pPr>
              <w:pStyle w:val="42"/>
              <w:rPr>
                <w:rFonts w:ascii="Times New Roman"/>
                <w:sz w:val="22"/>
              </w:rPr>
            </w:pPr>
          </w:p>
        </w:tc>
        <w:tc>
          <w:tcPr>
            <w:tcW w:w="2583" w:type="dxa"/>
            <w:vMerge w:val="continue"/>
            <w:tcBorders>
              <w:top w:val="nil"/>
            </w:tcBorders>
          </w:tcPr>
          <w:p w14:paraId="58C1C60C">
            <w:pPr>
              <w:rPr>
                <w:sz w:val="2"/>
                <w:szCs w:val="2"/>
              </w:rPr>
            </w:pPr>
          </w:p>
        </w:tc>
      </w:tr>
      <w:tr w14:paraId="05BE6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tcPr>
          <w:p w14:paraId="60B4EE9C">
            <w:pPr>
              <w:pStyle w:val="42"/>
              <w:rPr>
                <w:rFonts w:ascii="Times New Roman"/>
                <w:sz w:val="22"/>
              </w:rPr>
            </w:pPr>
          </w:p>
        </w:tc>
        <w:tc>
          <w:tcPr>
            <w:tcW w:w="2456" w:type="dxa"/>
          </w:tcPr>
          <w:p w14:paraId="16B06175">
            <w:pPr>
              <w:pStyle w:val="42"/>
              <w:rPr>
                <w:rFonts w:ascii="Times New Roman"/>
                <w:sz w:val="22"/>
              </w:rPr>
            </w:pPr>
          </w:p>
        </w:tc>
        <w:tc>
          <w:tcPr>
            <w:tcW w:w="1865" w:type="dxa"/>
          </w:tcPr>
          <w:p w14:paraId="7FD06C78">
            <w:pPr>
              <w:pStyle w:val="42"/>
              <w:rPr>
                <w:rFonts w:ascii="Times New Roman"/>
                <w:sz w:val="22"/>
              </w:rPr>
            </w:pPr>
          </w:p>
        </w:tc>
        <w:tc>
          <w:tcPr>
            <w:tcW w:w="2583" w:type="dxa"/>
            <w:vMerge w:val="continue"/>
            <w:tcBorders>
              <w:top w:val="nil"/>
            </w:tcBorders>
          </w:tcPr>
          <w:p w14:paraId="24606582">
            <w:pPr>
              <w:rPr>
                <w:sz w:val="2"/>
                <w:szCs w:val="2"/>
              </w:rPr>
            </w:pPr>
          </w:p>
        </w:tc>
      </w:tr>
      <w:tr w14:paraId="17361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90" w:type="dxa"/>
          </w:tcPr>
          <w:p w14:paraId="79C6EA41">
            <w:pPr>
              <w:pStyle w:val="42"/>
              <w:rPr>
                <w:rFonts w:ascii="Times New Roman"/>
                <w:sz w:val="22"/>
              </w:rPr>
            </w:pPr>
          </w:p>
        </w:tc>
        <w:tc>
          <w:tcPr>
            <w:tcW w:w="2456" w:type="dxa"/>
          </w:tcPr>
          <w:p w14:paraId="213CF08A">
            <w:pPr>
              <w:pStyle w:val="42"/>
              <w:rPr>
                <w:rFonts w:ascii="Times New Roman"/>
                <w:sz w:val="22"/>
              </w:rPr>
            </w:pPr>
          </w:p>
        </w:tc>
        <w:tc>
          <w:tcPr>
            <w:tcW w:w="1865" w:type="dxa"/>
          </w:tcPr>
          <w:p w14:paraId="02638B48">
            <w:pPr>
              <w:pStyle w:val="42"/>
              <w:rPr>
                <w:rFonts w:ascii="Times New Roman"/>
                <w:sz w:val="22"/>
              </w:rPr>
            </w:pPr>
          </w:p>
        </w:tc>
        <w:tc>
          <w:tcPr>
            <w:tcW w:w="2583" w:type="dxa"/>
            <w:vMerge w:val="continue"/>
            <w:tcBorders>
              <w:top w:val="nil"/>
            </w:tcBorders>
          </w:tcPr>
          <w:p w14:paraId="6DBC4FF8">
            <w:pPr>
              <w:rPr>
                <w:sz w:val="2"/>
                <w:szCs w:val="2"/>
              </w:rPr>
            </w:pPr>
          </w:p>
        </w:tc>
      </w:tr>
      <w:tr w14:paraId="2761D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4446" w:type="dxa"/>
            <w:gridSpan w:val="2"/>
          </w:tcPr>
          <w:p w14:paraId="21263180">
            <w:pPr>
              <w:pStyle w:val="42"/>
              <w:spacing w:before="147"/>
              <w:ind w:left="856"/>
              <w:rPr>
                <w:sz w:val="21"/>
              </w:rPr>
            </w:pPr>
            <w:r>
              <w:rPr>
                <w:sz w:val="21"/>
              </w:rPr>
              <w:t>拟分包工程造价合计（万元）</w:t>
            </w:r>
          </w:p>
        </w:tc>
        <w:tc>
          <w:tcPr>
            <w:tcW w:w="1865" w:type="dxa"/>
          </w:tcPr>
          <w:p w14:paraId="545402FC">
            <w:pPr>
              <w:pStyle w:val="42"/>
              <w:rPr>
                <w:rFonts w:ascii="Times New Roman"/>
                <w:sz w:val="22"/>
              </w:rPr>
            </w:pPr>
          </w:p>
        </w:tc>
        <w:tc>
          <w:tcPr>
            <w:tcW w:w="2583" w:type="dxa"/>
            <w:vMerge w:val="continue"/>
            <w:tcBorders>
              <w:top w:val="nil"/>
            </w:tcBorders>
          </w:tcPr>
          <w:p w14:paraId="398FFA6C">
            <w:pPr>
              <w:rPr>
                <w:sz w:val="2"/>
                <w:szCs w:val="2"/>
              </w:rPr>
            </w:pPr>
          </w:p>
        </w:tc>
      </w:tr>
    </w:tbl>
    <w:p w14:paraId="44D00581">
      <w:pPr>
        <w:spacing w:after="0"/>
        <w:rPr>
          <w:sz w:val="2"/>
          <w:szCs w:val="2"/>
        </w:rPr>
        <w:sectPr>
          <w:pgSz w:w="11910" w:h="16850"/>
          <w:pgMar w:top="1540" w:right="1140" w:bottom="1060" w:left="1380" w:header="876" w:footer="860" w:gutter="0"/>
          <w:pgNumType w:fmt="decimal"/>
          <w:cols w:space="720" w:num="1"/>
        </w:sectPr>
      </w:pPr>
    </w:p>
    <w:p w14:paraId="1D6C701B">
      <w:pPr>
        <w:pStyle w:val="4"/>
        <w:bidi w:val="0"/>
        <w:rPr>
          <w:rFonts w:hint="eastAsia"/>
          <w:sz w:val="30"/>
          <w:szCs w:val="30"/>
        </w:rPr>
      </w:pPr>
      <w:bookmarkStart w:id="439" w:name="_bookmark309"/>
      <w:bookmarkEnd w:id="439"/>
      <w:bookmarkStart w:id="440" w:name="_bookmark310"/>
      <w:bookmarkEnd w:id="440"/>
      <w:bookmarkStart w:id="441" w:name="_Toc19479"/>
      <w:r>
        <w:rPr>
          <w:rFonts w:hint="eastAsia"/>
          <w:sz w:val="30"/>
          <w:szCs w:val="30"/>
        </w:rPr>
        <w:t>八、资格审查资料</w:t>
      </w:r>
      <w:bookmarkEnd w:id="441"/>
    </w:p>
    <w:p w14:paraId="39AD6238">
      <w:pPr>
        <w:pStyle w:val="12"/>
        <w:spacing w:before="3"/>
        <w:rPr>
          <w:rFonts w:ascii="黑体"/>
          <w:sz w:val="35"/>
        </w:rPr>
      </w:pPr>
    </w:p>
    <w:p w14:paraId="62397D47">
      <w:pPr>
        <w:pStyle w:val="5"/>
        <w:bidi w:val="0"/>
        <w:rPr>
          <w:rFonts w:hint="eastAsia"/>
          <w:sz w:val="30"/>
          <w:szCs w:val="30"/>
        </w:rPr>
      </w:pPr>
      <w:bookmarkStart w:id="442" w:name="_bookmark311"/>
      <w:bookmarkEnd w:id="442"/>
      <w:r>
        <w:rPr>
          <w:rFonts w:hint="eastAsia"/>
          <w:sz w:val="30"/>
          <w:szCs w:val="30"/>
        </w:rPr>
        <w:t>（一）投标人基本情况表</w:t>
      </w:r>
    </w:p>
    <w:tbl>
      <w:tblPr>
        <w:tblStyle w:val="25"/>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8"/>
        <w:gridCol w:w="901"/>
        <w:gridCol w:w="1080"/>
        <w:gridCol w:w="528"/>
        <w:gridCol w:w="732"/>
        <w:gridCol w:w="1077"/>
        <w:gridCol w:w="182"/>
        <w:gridCol w:w="900"/>
        <w:gridCol w:w="1621"/>
      </w:tblGrid>
      <w:tr w14:paraId="41E5E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08" w:type="dxa"/>
          </w:tcPr>
          <w:p w14:paraId="3BDEC0F5">
            <w:pPr>
              <w:pStyle w:val="42"/>
              <w:spacing w:before="142"/>
              <w:ind w:left="426"/>
              <w:rPr>
                <w:sz w:val="21"/>
              </w:rPr>
            </w:pPr>
            <w:r>
              <w:rPr>
                <w:sz w:val="21"/>
              </w:rPr>
              <w:t>投标人名称</w:t>
            </w:r>
          </w:p>
        </w:tc>
        <w:tc>
          <w:tcPr>
            <w:tcW w:w="7021" w:type="dxa"/>
            <w:gridSpan w:val="8"/>
          </w:tcPr>
          <w:p w14:paraId="663B6A92">
            <w:pPr>
              <w:pStyle w:val="42"/>
              <w:rPr>
                <w:rFonts w:ascii="Times New Roman"/>
                <w:sz w:val="20"/>
              </w:rPr>
            </w:pPr>
          </w:p>
        </w:tc>
      </w:tr>
      <w:tr w14:paraId="7D467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08" w:type="dxa"/>
          </w:tcPr>
          <w:p w14:paraId="73D40226">
            <w:pPr>
              <w:pStyle w:val="42"/>
              <w:spacing w:before="142"/>
              <w:ind w:left="532"/>
              <w:rPr>
                <w:sz w:val="21"/>
              </w:rPr>
            </w:pPr>
            <w:r>
              <w:rPr>
                <w:sz w:val="21"/>
              </w:rPr>
              <w:t>注册地址</w:t>
            </w:r>
          </w:p>
        </w:tc>
        <w:tc>
          <w:tcPr>
            <w:tcW w:w="3241" w:type="dxa"/>
            <w:gridSpan w:val="4"/>
          </w:tcPr>
          <w:p w14:paraId="50EDB4FD">
            <w:pPr>
              <w:pStyle w:val="42"/>
              <w:rPr>
                <w:rFonts w:ascii="Times New Roman"/>
                <w:sz w:val="20"/>
              </w:rPr>
            </w:pPr>
          </w:p>
        </w:tc>
        <w:tc>
          <w:tcPr>
            <w:tcW w:w="1077" w:type="dxa"/>
          </w:tcPr>
          <w:p w14:paraId="4F3AF600">
            <w:pPr>
              <w:pStyle w:val="42"/>
              <w:spacing w:before="142"/>
              <w:ind w:left="98" w:right="88"/>
              <w:jc w:val="center"/>
              <w:rPr>
                <w:sz w:val="21"/>
              </w:rPr>
            </w:pPr>
            <w:r>
              <w:rPr>
                <w:sz w:val="21"/>
              </w:rPr>
              <w:t>邮政编码</w:t>
            </w:r>
          </w:p>
        </w:tc>
        <w:tc>
          <w:tcPr>
            <w:tcW w:w="2703" w:type="dxa"/>
            <w:gridSpan w:val="3"/>
          </w:tcPr>
          <w:p w14:paraId="0C3BB4E2">
            <w:pPr>
              <w:pStyle w:val="42"/>
              <w:rPr>
                <w:rFonts w:ascii="Times New Roman"/>
                <w:sz w:val="20"/>
              </w:rPr>
            </w:pPr>
          </w:p>
        </w:tc>
      </w:tr>
      <w:tr w14:paraId="7AF47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08" w:type="dxa"/>
            <w:vMerge w:val="restart"/>
          </w:tcPr>
          <w:p w14:paraId="7AF4E2A0">
            <w:pPr>
              <w:pStyle w:val="42"/>
              <w:spacing w:before="9"/>
              <w:rPr>
                <w:rFonts w:ascii="黑体"/>
                <w:sz w:val="28"/>
              </w:rPr>
            </w:pPr>
          </w:p>
          <w:p w14:paraId="525F9E3B">
            <w:pPr>
              <w:pStyle w:val="42"/>
              <w:ind w:left="532"/>
              <w:rPr>
                <w:sz w:val="21"/>
              </w:rPr>
            </w:pPr>
            <w:r>
              <w:rPr>
                <w:sz w:val="21"/>
              </w:rPr>
              <w:t>联系方式</w:t>
            </w:r>
          </w:p>
        </w:tc>
        <w:tc>
          <w:tcPr>
            <w:tcW w:w="901" w:type="dxa"/>
          </w:tcPr>
          <w:p w14:paraId="0A7066DB">
            <w:pPr>
              <w:pStyle w:val="42"/>
              <w:spacing w:before="142"/>
              <w:ind w:left="10"/>
              <w:jc w:val="center"/>
              <w:rPr>
                <w:sz w:val="21"/>
              </w:rPr>
            </w:pPr>
            <w:r>
              <w:rPr>
                <w:sz w:val="21"/>
              </w:rPr>
              <w:t>联系人</w:t>
            </w:r>
          </w:p>
        </w:tc>
        <w:tc>
          <w:tcPr>
            <w:tcW w:w="2340" w:type="dxa"/>
            <w:gridSpan w:val="3"/>
          </w:tcPr>
          <w:p w14:paraId="0090C776">
            <w:pPr>
              <w:pStyle w:val="42"/>
              <w:rPr>
                <w:rFonts w:ascii="Times New Roman"/>
                <w:sz w:val="20"/>
              </w:rPr>
            </w:pPr>
          </w:p>
        </w:tc>
        <w:tc>
          <w:tcPr>
            <w:tcW w:w="1077" w:type="dxa"/>
          </w:tcPr>
          <w:p w14:paraId="4CB1A73E">
            <w:pPr>
              <w:pStyle w:val="42"/>
              <w:spacing w:before="142"/>
              <w:ind w:left="98" w:right="86"/>
              <w:jc w:val="center"/>
              <w:rPr>
                <w:sz w:val="21"/>
              </w:rPr>
            </w:pPr>
            <w:r>
              <w:rPr>
                <w:sz w:val="21"/>
              </w:rPr>
              <w:t>电 话</w:t>
            </w:r>
          </w:p>
        </w:tc>
        <w:tc>
          <w:tcPr>
            <w:tcW w:w="2703" w:type="dxa"/>
            <w:gridSpan w:val="3"/>
          </w:tcPr>
          <w:p w14:paraId="7AEE74CB">
            <w:pPr>
              <w:pStyle w:val="42"/>
              <w:rPr>
                <w:rFonts w:ascii="Times New Roman"/>
                <w:sz w:val="20"/>
              </w:rPr>
            </w:pPr>
          </w:p>
        </w:tc>
      </w:tr>
      <w:tr w14:paraId="6CA0F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08" w:type="dxa"/>
            <w:vMerge w:val="continue"/>
            <w:tcBorders>
              <w:top w:val="nil"/>
            </w:tcBorders>
          </w:tcPr>
          <w:p w14:paraId="51CF78F7">
            <w:pPr>
              <w:rPr>
                <w:sz w:val="2"/>
                <w:szCs w:val="2"/>
              </w:rPr>
            </w:pPr>
          </w:p>
        </w:tc>
        <w:tc>
          <w:tcPr>
            <w:tcW w:w="901" w:type="dxa"/>
          </w:tcPr>
          <w:p w14:paraId="74B08697">
            <w:pPr>
              <w:pStyle w:val="42"/>
              <w:tabs>
                <w:tab w:val="left" w:pos="434"/>
              </w:tabs>
              <w:spacing w:before="142"/>
              <w:ind w:left="11"/>
              <w:jc w:val="center"/>
              <w:rPr>
                <w:sz w:val="21"/>
              </w:rPr>
            </w:pPr>
            <w:r>
              <w:rPr>
                <w:sz w:val="21"/>
              </w:rPr>
              <w:t>传</w:t>
            </w:r>
            <w:r>
              <w:rPr>
                <w:sz w:val="21"/>
              </w:rPr>
              <w:tab/>
            </w:r>
            <w:r>
              <w:rPr>
                <w:sz w:val="21"/>
              </w:rPr>
              <w:t>真</w:t>
            </w:r>
          </w:p>
        </w:tc>
        <w:tc>
          <w:tcPr>
            <w:tcW w:w="2340" w:type="dxa"/>
            <w:gridSpan w:val="3"/>
          </w:tcPr>
          <w:p w14:paraId="23E1D536">
            <w:pPr>
              <w:pStyle w:val="42"/>
              <w:rPr>
                <w:rFonts w:ascii="Times New Roman"/>
                <w:sz w:val="20"/>
              </w:rPr>
            </w:pPr>
          </w:p>
        </w:tc>
        <w:tc>
          <w:tcPr>
            <w:tcW w:w="1077" w:type="dxa"/>
          </w:tcPr>
          <w:p w14:paraId="3EB15B3B">
            <w:pPr>
              <w:pStyle w:val="42"/>
              <w:spacing w:before="142"/>
              <w:ind w:left="98" w:right="88"/>
              <w:jc w:val="center"/>
              <w:rPr>
                <w:sz w:val="21"/>
              </w:rPr>
            </w:pPr>
            <w:r>
              <w:rPr>
                <w:sz w:val="21"/>
              </w:rPr>
              <w:t>电子邮件</w:t>
            </w:r>
          </w:p>
        </w:tc>
        <w:tc>
          <w:tcPr>
            <w:tcW w:w="2703" w:type="dxa"/>
            <w:gridSpan w:val="3"/>
          </w:tcPr>
          <w:p w14:paraId="11009903">
            <w:pPr>
              <w:pStyle w:val="42"/>
              <w:rPr>
                <w:rFonts w:ascii="Times New Roman"/>
                <w:sz w:val="20"/>
              </w:rPr>
            </w:pPr>
          </w:p>
        </w:tc>
      </w:tr>
      <w:tr w14:paraId="5B31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08" w:type="dxa"/>
          </w:tcPr>
          <w:p w14:paraId="1FA0AA6A">
            <w:pPr>
              <w:pStyle w:val="42"/>
              <w:spacing w:before="143"/>
              <w:ind w:left="426"/>
              <w:rPr>
                <w:sz w:val="21"/>
              </w:rPr>
            </w:pPr>
            <w:r>
              <w:rPr>
                <w:sz w:val="21"/>
              </w:rPr>
              <w:t>法定代表人</w:t>
            </w:r>
          </w:p>
        </w:tc>
        <w:tc>
          <w:tcPr>
            <w:tcW w:w="901" w:type="dxa"/>
          </w:tcPr>
          <w:p w14:paraId="399C3D84">
            <w:pPr>
              <w:pStyle w:val="42"/>
              <w:spacing w:before="143"/>
              <w:ind w:left="10"/>
              <w:jc w:val="center"/>
              <w:rPr>
                <w:sz w:val="21"/>
              </w:rPr>
            </w:pPr>
            <w:r>
              <w:rPr>
                <w:sz w:val="21"/>
              </w:rPr>
              <w:t>姓名</w:t>
            </w:r>
          </w:p>
        </w:tc>
        <w:tc>
          <w:tcPr>
            <w:tcW w:w="1080" w:type="dxa"/>
          </w:tcPr>
          <w:p w14:paraId="118F5C28">
            <w:pPr>
              <w:pStyle w:val="42"/>
              <w:rPr>
                <w:rFonts w:ascii="Times New Roman"/>
                <w:sz w:val="20"/>
              </w:rPr>
            </w:pPr>
          </w:p>
        </w:tc>
        <w:tc>
          <w:tcPr>
            <w:tcW w:w="1260" w:type="dxa"/>
            <w:gridSpan w:val="2"/>
          </w:tcPr>
          <w:p w14:paraId="2203D0D9">
            <w:pPr>
              <w:pStyle w:val="42"/>
              <w:spacing w:before="143"/>
              <w:ind w:left="208"/>
              <w:rPr>
                <w:sz w:val="21"/>
              </w:rPr>
            </w:pPr>
            <w:r>
              <w:rPr>
                <w:sz w:val="21"/>
              </w:rPr>
              <w:t>技术职称</w:t>
            </w:r>
          </w:p>
        </w:tc>
        <w:tc>
          <w:tcPr>
            <w:tcW w:w="1077" w:type="dxa"/>
          </w:tcPr>
          <w:p w14:paraId="79542E22">
            <w:pPr>
              <w:pStyle w:val="42"/>
              <w:rPr>
                <w:rFonts w:ascii="Times New Roman"/>
                <w:sz w:val="20"/>
              </w:rPr>
            </w:pPr>
          </w:p>
        </w:tc>
        <w:tc>
          <w:tcPr>
            <w:tcW w:w="1082" w:type="dxa"/>
            <w:gridSpan w:val="2"/>
          </w:tcPr>
          <w:p w14:paraId="2E658074">
            <w:pPr>
              <w:pStyle w:val="42"/>
              <w:spacing w:before="143"/>
              <w:ind w:left="331"/>
              <w:rPr>
                <w:sz w:val="21"/>
              </w:rPr>
            </w:pPr>
            <w:r>
              <w:rPr>
                <w:sz w:val="21"/>
              </w:rPr>
              <w:t>电话</w:t>
            </w:r>
          </w:p>
        </w:tc>
        <w:tc>
          <w:tcPr>
            <w:tcW w:w="1621" w:type="dxa"/>
          </w:tcPr>
          <w:p w14:paraId="3E6FD062">
            <w:pPr>
              <w:pStyle w:val="42"/>
              <w:rPr>
                <w:rFonts w:ascii="Times New Roman"/>
                <w:sz w:val="20"/>
              </w:rPr>
            </w:pPr>
          </w:p>
        </w:tc>
      </w:tr>
      <w:tr w14:paraId="42A99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08" w:type="dxa"/>
          </w:tcPr>
          <w:p w14:paraId="05AF0E33">
            <w:pPr>
              <w:pStyle w:val="42"/>
              <w:spacing w:before="142"/>
              <w:ind w:left="426"/>
              <w:rPr>
                <w:sz w:val="21"/>
              </w:rPr>
            </w:pPr>
            <w:r>
              <w:rPr>
                <w:sz w:val="21"/>
              </w:rPr>
              <w:t>技术负责人</w:t>
            </w:r>
          </w:p>
        </w:tc>
        <w:tc>
          <w:tcPr>
            <w:tcW w:w="901" w:type="dxa"/>
          </w:tcPr>
          <w:p w14:paraId="2B6969EE">
            <w:pPr>
              <w:pStyle w:val="42"/>
              <w:spacing w:before="142"/>
              <w:ind w:left="10"/>
              <w:jc w:val="center"/>
              <w:rPr>
                <w:sz w:val="21"/>
              </w:rPr>
            </w:pPr>
            <w:r>
              <w:rPr>
                <w:sz w:val="21"/>
              </w:rPr>
              <w:t>姓名</w:t>
            </w:r>
          </w:p>
        </w:tc>
        <w:tc>
          <w:tcPr>
            <w:tcW w:w="1080" w:type="dxa"/>
          </w:tcPr>
          <w:p w14:paraId="314A2F1D">
            <w:pPr>
              <w:pStyle w:val="42"/>
              <w:rPr>
                <w:rFonts w:ascii="Times New Roman"/>
                <w:sz w:val="20"/>
              </w:rPr>
            </w:pPr>
          </w:p>
        </w:tc>
        <w:tc>
          <w:tcPr>
            <w:tcW w:w="1260" w:type="dxa"/>
            <w:gridSpan w:val="2"/>
          </w:tcPr>
          <w:p w14:paraId="4C3B5136">
            <w:pPr>
              <w:pStyle w:val="42"/>
              <w:spacing w:before="142"/>
              <w:ind w:left="208"/>
              <w:rPr>
                <w:sz w:val="21"/>
              </w:rPr>
            </w:pPr>
            <w:r>
              <w:rPr>
                <w:sz w:val="21"/>
              </w:rPr>
              <w:t>技术职称</w:t>
            </w:r>
          </w:p>
        </w:tc>
        <w:tc>
          <w:tcPr>
            <w:tcW w:w="1077" w:type="dxa"/>
          </w:tcPr>
          <w:p w14:paraId="0E482AA0">
            <w:pPr>
              <w:pStyle w:val="42"/>
              <w:rPr>
                <w:rFonts w:ascii="Times New Roman"/>
                <w:sz w:val="20"/>
              </w:rPr>
            </w:pPr>
          </w:p>
        </w:tc>
        <w:tc>
          <w:tcPr>
            <w:tcW w:w="1082" w:type="dxa"/>
            <w:gridSpan w:val="2"/>
          </w:tcPr>
          <w:p w14:paraId="516892FD">
            <w:pPr>
              <w:pStyle w:val="42"/>
              <w:spacing w:before="142"/>
              <w:ind w:left="331"/>
              <w:rPr>
                <w:sz w:val="21"/>
              </w:rPr>
            </w:pPr>
            <w:r>
              <w:rPr>
                <w:sz w:val="21"/>
              </w:rPr>
              <w:t>电话</w:t>
            </w:r>
          </w:p>
        </w:tc>
        <w:tc>
          <w:tcPr>
            <w:tcW w:w="1621" w:type="dxa"/>
          </w:tcPr>
          <w:p w14:paraId="2FB75AAD">
            <w:pPr>
              <w:pStyle w:val="42"/>
              <w:rPr>
                <w:rFonts w:ascii="Times New Roman"/>
                <w:sz w:val="20"/>
              </w:rPr>
            </w:pPr>
          </w:p>
        </w:tc>
      </w:tr>
      <w:tr w14:paraId="3B8C9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08" w:type="dxa"/>
          </w:tcPr>
          <w:p w14:paraId="6AAEA24F">
            <w:pPr>
              <w:pStyle w:val="42"/>
              <w:spacing w:before="142"/>
              <w:ind w:left="426"/>
              <w:rPr>
                <w:sz w:val="21"/>
              </w:rPr>
            </w:pPr>
            <w:r>
              <w:rPr>
                <w:sz w:val="21"/>
              </w:rPr>
              <w:t>营业执照号</w:t>
            </w:r>
          </w:p>
        </w:tc>
        <w:tc>
          <w:tcPr>
            <w:tcW w:w="1981" w:type="dxa"/>
            <w:gridSpan w:val="2"/>
          </w:tcPr>
          <w:p w14:paraId="6A9ED3C8">
            <w:pPr>
              <w:pStyle w:val="42"/>
              <w:rPr>
                <w:rFonts w:ascii="Times New Roman"/>
                <w:sz w:val="20"/>
              </w:rPr>
            </w:pPr>
          </w:p>
        </w:tc>
        <w:tc>
          <w:tcPr>
            <w:tcW w:w="5040" w:type="dxa"/>
            <w:gridSpan w:val="6"/>
          </w:tcPr>
          <w:p w14:paraId="7801BA54">
            <w:pPr>
              <w:pStyle w:val="42"/>
              <w:spacing w:before="142"/>
              <w:ind w:left="1922" w:right="1807"/>
              <w:jc w:val="center"/>
              <w:rPr>
                <w:sz w:val="21"/>
              </w:rPr>
            </w:pPr>
            <w:r>
              <w:rPr>
                <w:sz w:val="21"/>
              </w:rPr>
              <w:t>员工总人数：</w:t>
            </w:r>
          </w:p>
        </w:tc>
      </w:tr>
      <w:tr w14:paraId="3615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08" w:type="dxa"/>
          </w:tcPr>
          <w:p w14:paraId="36E54FF0">
            <w:pPr>
              <w:pStyle w:val="42"/>
              <w:spacing w:before="142"/>
              <w:ind w:left="323"/>
              <w:rPr>
                <w:sz w:val="21"/>
              </w:rPr>
            </w:pPr>
            <w:r>
              <w:rPr>
                <w:sz w:val="21"/>
              </w:rPr>
              <w:t>企业资质等级</w:t>
            </w:r>
          </w:p>
        </w:tc>
        <w:tc>
          <w:tcPr>
            <w:tcW w:w="1981" w:type="dxa"/>
            <w:gridSpan w:val="2"/>
          </w:tcPr>
          <w:p w14:paraId="67EF8F29">
            <w:pPr>
              <w:pStyle w:val="42"/>
              <w:rPr>
                <w:rFonts w:ascii="Times New Roman"/>
                <w:sz w:val="20"/>
              </w:rPr>
            </w:pPr>
          </w:p>
        </w:tc>
        <w:tc>
          <w:tcPr>
            <w:tcW w:w="528" w:type="dxa"/>
            <w:vMerge w:val="restart"/>
          </w:tcPr>
          <w:p w14:paraId="548A716C">
            <w:pPr>
              <w:pStyle w:val="42"/>
              <w:rPr>
                <w:rFonts w:ascii="黑体"/>
                <w:sz w:val="20"/>
              </w:rPr>
            </w:pPr>
          </w:p>
          <w:p w14:paraId="798253C3">
            <w:pPr>
              <w:pStyle w:val="42"/>
              <w:rPr>
                <w:rFonts w:ascii="黑体"/>
                <w:sz w:val="20"/>
              </w:rPr>
            </w:pPr>
          </w:p>
          <w:p w14:paraId="13AD624B">
            <w:pPr>
              <w:pStyle w:val="42"/>
              <w:spacing w:before="4"/>
              <w:rPr>
                <w:rFonts w:ascii="黑体"/>
                <w:sz w:val="24"/>
              </w:rPr>
            </w:pPr>
          </w:p>
          <w:p w14:paraId="7657858C">
            <w:pPr>
              <w:pStyle w:val="42"/>
              <w:spacing w:line="391" w:lineRule="auto"/>
              <w:ind w:left="157" w:right="147"/>
              <w:rPr>
                <w:sz w:val="21"/>
              </w:rPr>
            </w:pPr>
            <w:r>
              <w:rPr>
                <w:sz w:val="21"/>
              </w:rPr>
              <w:t>其中</w:t>
            </w:r>
          </w:p>
        </w:tc>
        <w:tc>
          <w:tcPr>
            <w:tcW w:w="1991" w:type="dxa"/>
            <w:gridSpan w:val="3"/>
          </w:tcPr>
          <w:p w14:paraId="5DC8ADBA">
            <w:pPr>
              <w:pStyle w:val="42"/>
              <w:spacing w:before="142"/>
              <w:ind w:left="575"/>
              <w:rPr>
                <w:sz w:val="21"/>
              </w:rPr>
            </w:pPr>
            <w:r>
              <w:rPr>
                <w:sz w:val="21"/>
              </w:rPr>
              <w:t>项目经理</w:t>
            </w:r>
          </w:p>
        </w:tc>
        <w:tc>
          <w:tcPr>
            <w:tcW w:w="2521" w:type="dxa"/>
            <w:gridSpan w:val="2"/>
          </w:tcPr>
          <w:p w14:paraId="0E27E7FA">
            <w:pPr>
              <w:pStyle w:val="42"/>
              <w:rPr>
                <w:rFonts w:ascii="Times New Roman"/>
                <w:sz w:val="20"/>
              </w:rPr>
            </w:pPr>
          </w:p>
        </w:tc>
      </w:tr>
      <w:tr w14:paraId="761AC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08" w:type="dxa"/>
          </w:tcPr>
          <w:p w14:paraId="5FF8E471">
            <w:pPr>
              <w:pStyle w:val="42"/>
              <w:spacing w:before="142"/>
              <w:ind w:left="532"/>
              <w:rPr>
                <w:sz w:val="21"/>
              </w:rPr>
            </w:pPr>
            <w:r>
              <w:rPr>
                <w:sz w:val="21"/>
              </w:rPr>
              <w:t>注册资本</w:t>
            </w:r>
          </w:p>
        </w:tc>
        <w:tc>
          <w:tcPr>
            <w:tcW w:w="1981" w:type="dxa"/>
            <w:gridSpan w:val="2"/>
          </w:tcPr>
          <w:p w14:paraId="60CC032C">
            <w:pPr>
              <w:pStyle w:val="42"/>
              <w:rPr>
                <w:rFonts w:ascii="Times New Roman"/>
                <w:sz w:val="20"/>
              </w:rPr>
            </w:pPr>
          </w:p>
        </w:tc>
        <w:tc>
          <w:tcPr>
            <w:tcW w:w="528" w:type="dxa"/>
            <w:vMerge w:val="continue"/>
            <w:tcBorders>
              <w:top w:val="nil"/>
            </w:tcBorders>
          </w:tcPr>
          <w:p w14:paraId="3DF6B73C">
            <w:pPr>
              <w:rPr>
                <w:sz w:val="2"/>
                <w:szCs w:val="2"/>
              </w:rPr>
            </w:pPr>
          </w:p>
        </w:tc>
        <w:tc>
          <w:tcPr>
            <w:tcW w:w="1991" w:type="dxa"/>
            <w:gridSpan w:val="3"/>
          </w:tcPr>
          <w:p w14:paraId="7F3E74B3">
            <w:pPr>
              <w:pStyle w:val="42"/>
              <w:spacing w:before="142"/>
              <w:ind w:left="364"/>
              <w:rPr>
                <w:sz w:val="21"/>
              </w:rPr>
            </w:pPr>
            <w:r>
              <w:rPr>
                <w:sz w:val="21"/>
              </w:rPr>
              <w:t>高级职称人员</w:t>
            </w:r>
          </w:p>
        </w:tc>
        <w:tc>
          <w:tcPr>
            <w:tcW w:w="2521" w:type="dxa"/>
            <w:gridSpan w:val="2"/>
          </w:tcPr>
          <w:p w14:paraId="3149F072">
            <w:pPr>
              <w:pStyle w:val="42"/>
              <w:rPr>
                <w:rFonts w:ascii="Times New Roman"/>
                <w:sz w:val="20"/>
              </w:rPr>
            </w:pPr>
          </w:p>
        </w:tc>
      </w:tr>
      <w:tr w14:paraId="2AFBD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08" w:type="dxa"/>
          </w:tcPr>
          <w:p w14:paraId="5063A2DA">
            <w:pPr>
              <w:pStyle w:val="42"/>
              <w:spacing w:before="142"/>
              <w:ind w:left="532"/>
              <w:rPr>
                <w:sz w:val="21"/>
              </w:rPr>
            </w:pPr>
            <w:r>
              <w:rPr>
                <w:sz w:val="21"/>
              </w:rPr>
              <w:t>成立日期</w:t>
            </w:r>
          </w:p>
        </w:tc>
        <w:tc>
          <w:tcPr>
            <w:tcW w:w="1981" w:type="dxa"/>
            <w:gridSpan w:val="2"/>
          </w:tcPr>
          <w:p w14:paraId="5A183E65">
            <w:pPr>
              <w:pStyle w:val="42"/>
              <w:rPr>
                <w:rFonts w:ascii="Times New Roman"/>
                <w:sz w:val="20"/>
              </w:rPr>
            </w:pPr>
          </w:p>
        </w:tc>
        <w:tc>
          <w:tcPr>
            <w:tcW w:w="528" w:type="dxa"/>
            <w:vMerge w:val="continue"/>
            <w:tcBorders>
              <w:top w:val="nil"/>
            </w:tcBorders>
          </w:tcPr>
          <w:p w14:paraId="1B723BC8">
            <w:pPr>
              <w:rPr>
                <w:sz w:val="2"/>
                <w:szCs w:val="2"/>
              </w:rPr>
            </w:pPr>
          </w:p>
        </w:tc>
        <w:tc>
          <w:tcPr>
            <w:tcW w:w="1991" w:type="dxa"/>
            <w:gridSpan w:val="3"/>
          </w:tcPr>
          <w:p w14:paraId="6CED1C7A">
            <w:pPr>
              <w:pStyle w:val="42"/>
              <w:spacing w:before="142"/>
              <w:ind w:left="364"/>
              <w:rPr>
                <w:sz w:val="21"/>
              </w:rPr>
            </w:pPr>
            <w:r>
              <w:rPr>
                <w:sz w:val="21"/>
              </w:rPr>
              <w:t>中级职称人员</w:t>
            </w:r>
          </w:p>
        </w:tc>
        <w:tc>
          <w:tcPr>
            <w:tcW w:w="2521" w:type="dxa"/>
            <w:gridSpan w:val="2"/>
          </w:tcPr>
          <w:p w14:paraId="411806D1">
            <w:pPr>
              <w:pStyle w:val="42"/>
              <w:rPr>
                <w:rFonts w:ascii="Times New Roman"/>
                <w:sz w:val="20"/>
              </w:rPr>
            </w:pPr>
          </w:p>
        </w:tc>
      </w:tr>
      <w:tr w14:paraId="3B33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08" w:type="dxa"/>
          </w:tcPr>
          <w:p w14:paraId="7C71E392">
            <w:pPr>
              <w:pStyle w:val="42"/>
              <w:spacing w:before="142"/>
              <w:ind w:right="100"/>
              <w:jc w:val="right"/>
              <w:rPr>
                <w:sz w:val="21"/>
              </w:rPr>
            </w:pPr>
            <w:r>
              <w:rPr>
                <w:sz w:val="21"/>
              </w:rPr>
              <w:t>基本账户开户银行</w:t>
            </w:r>
          </w:p>
        </w:tc>
        <w:tc>
          <w:tcPr>
            <w:tcW w:w="1981" w:type="dxa"/>
            <w:gridSpan w:val="2"/>
          </w:tcPr>
          <w:p w14:paraId="6A4460CD">
            <w:pPr>
              <w:pStyle w:val="42"/>
              <w:rPr>
                <w:rFonts w:ascii="Times New Roman"/>
                <w:sz w:val="20"/>
              </w:rPr>
            </w:pPr>
          </w:p>
        </w:tc>
        <w:tc>
          <w:tcPr>
            <w:tcW w:w="528" w:type="dxa"/>
            <w:vMerge w:val="continue"/>
            <w:tcBorders>
              <w:top w:val="nil"/>
            </w:tcBorders>
          </w:tcPr>
          <w:p w14:paraId="64903A97">
            <w:pPr>
              <w:rPr>
                <w:sz w:val="2"/>
                <w:szCs w:val="2"/>
              </w:rPr>
            </w:pPr>
          </w:p>
        </w:tc>
        <w:tc>
          <w:tcPr>
            <w:tcW w:w="1991" w:type="dxa"/>
            <w:gridSpan w:val="3"/>
          </w:tcPr>
          <w:p w14:paraId="5223D01A">
            <w:pPr>
              <w:pStyle w:val="42"/>
              <w:spacing w:before="142"/>
              <w:ind w:left="364"/>
              <w:rPr>
                <w:sz w:val="21"/>
              </w:rPr>
            </w:pPr>
            <w:r>
              <w:rPr>
                <w:sz w:val="21"/>
              </w:rPr>
              <w:t>初级职称人员</w:t>
            </w:r>
          </w:p>
        </w:tc>
        <w:tc>
          <w:tcPr>
            <w:tcW w:w="2521" w:type="dxa"/>
            <w:gridSpan w:val="2"/>
          </w:tcPr>
          <w:p w14:paraId="0224C568">
            <w:pPr>
              <w:pStyle w:val="42"/>
              <w:rPr>
                <w:rFonts w:ascii="Times New Roman"/>
                <w:sz w:val="20"/>
              </w:rPr>
            </w:pPr>
          </w:p>
        </w:tc>
      </w:tr>
      <w:tr w14:paraId="4E0E4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1908" w:type="dxa"/>
          </w:tcPr>
          <w:p w14:paraId="2CDF98BF">
            <w:pPr>
              <w:pStyle w:val="42"/>
              <w:spacing w:before="143"/>
              <w:ind w:right="103"/>
              <w:jc w:val="right"/>
              <w:rPr>
                <w:sz w:val="21"/>
              </w:rPr>
            </w:pPr>
            <w:r>
              <w:rPr>
                <w:sz w:val="21"/>
              </w:rPr>
              <w:t>基本账户银行账号</w:t>
            </w:r>
          </w:p>
        </w:tc>
        <w:tc>
          <w:tcPr>
            <w:tcW w:w="1981" w:type="dxa"/>
            <w:gridSpan w:val="2"/>
          </w:tcPr>
          <w:p w14:paraId="63729E13">
            <w:pPr>
              <w:pStyle w:val="42"/>
              <w:rPr>
                <w:rFonts w:ascii="Times New Roman"/>
                <w:sz w:val="20"/>
              </w:rPr>
            </w:pPr>
          </w:p>
        </w:tc>
        <w:tc>
          <w:tcPr>
            <w:tcW w:w="528" w:type="dxa"/>
            <w:vMerge w:val="continue"/>
            <w:tcBorders>
              <w:top w:val="nil"/>
            </w:tcBorders>
          </w:tcPr>
          <w:p w14:paraId="1ED24D1A">
            <w:pPr>
              <w:rPr>
                <w:sz w:val="2"/>
                <w:szCs w:val="2"/>
              </w:rPr>
            </w:pPr>
          </w:p>
        </w:tc>
        <w:tc>
          <w:tcPr>
            <w:tcW w:w="1991" w:type="dxa"/>
            <w:gridSpan w:val="3"/>
          </w:tcPr>
          <w:p w14:paraId="6F5E22EB">
            <w:pPr>
              <w:pStyle w:val="42"/>
              <w:spacing w:before="153"/>
              <w:ind w:left="773" w:right="768"/>
              <w:jc w:val="center"/>
              <w:rPr>
                <w:sz w:val="20"/>
              </w:rPr>
            </w:pPr>
            <w:r>
              <w:rPr>
                <w:sz w:val="20"/>
              </w:rPr>
              <w:t>技工</w:t>
            </w:r>
          </w:p>
        </w:tc>
        <w:tc>
          <w:tcPr>
            <w:tcW w:w="2521" w:type="dxa"/>
            <w:gridSpan w:val="2"/>
          </w:tcPr>
          <w:p w14:paraId="1A13643A">
            <w:pPr>
              <w:pStyle w:val="42"/>
              <w:rPr>
                <w:rFonts w:ascii="Times New Roman"/>
                <w:sz w:val="20"/>
              </w:rPr>
            </w:pPr>
          </w:p>
        </w:tc>
      </w:tr>
      <w:tr w14:paraId="59492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1908" w:type="dxa"/>
          </w:tcPr>
          <w:p w14:paraId="4192D162">
            <w:pPr>
              <w:pStyle w:val="42"/>
              <w:rPr>
                <w:rFonts w:ascii="黑体"/>
                <w:sz w:val="20"/>
              </w:rPr>
            </w:pPr>
          </w:p>
          <w:p w14:paraId="6967EB79">
            <w:pPr>
              <w:pStyle w:val="42"/>
              <w:rPr>
                <w:rFonts w:ascii="黑体"/>
                <w:sz w:val="20"/>
              </w:rPr>
            </w:pPr>
          </w:p>
          <w:p w14:paraId="57DD5BAE">
            <w:pPr>
              <w:pStyle w:val="42"/>
              <w:spacing w:before="8"/>
              <w:rPr>
                <w:rFonts w:ascii="黑体"/>
                <w:sz w:val="22"/>
              </w:rPr>
            </w:pPr>
          </w:p>
          <w:p w14:paraId="69937F15">
            <w:pPr>
              <w:pStyle w:val="42"/>
              <w:ind w:left="638"/>
              <w:rPr>
                <w:sz w:val="21"/>
              </w:rPr>
            </w:pPr>
            <w:r>
              <w:rPr>
                <w:sz w:val="21"/>
              </w:rPr>
              <w:t>经营范围</w:t>
            </w:r>
          </w:p>
        </w:tc>
        <w:tc>
          <w:tcPr>
            <w:tcW w:w="7021" w:type="dxa"/>
            <w:gridSpan w:val="8"/>
          </w:tcPr>
          <w:p w14:paraId="08BC11B9">
            <w:pPr>
              <w:pStyle w:val="42"/>
              <w:rPr>
                <w:rFonts w:ascii="Times New Roman"/>
                <w:sz w:val="20"/>
              </w:rPr>
            </w:pPr>
          </w:p>
        </w:tc>
      </w:tr>
      <w:tr w14:paraId="3A991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2" w:hRule="atLeast"/>
        </w:trPr>
        <w:tc>
          <w:tcPr>
            <w:tcW w:w="1908" w:type="dxa"/>
          </w:tcPr>
          <w:p w14:paraId="17E6BE59">
            <w:pPr>
              <w:pStyle w:val="42"/>
              <w:rPr>
                <w:rFonts w:ascii="黑体"/>
                <w:sz w:val="20"/>
              </w:rPr>
            </w:pPr>
          </w:p>
          <w:p w14:paraId="285F1600">
            <w:pPr>
              <w:pStyle w:val="42"/>
              <w:rPr>
                <w:rFonts w:ascii="黑体"/>
                <w:sz w:val="20"/>
              </w:rPr>
            </w:pPr>
          </w:p>
          <w:p w14:paraId="195401A3">
            <w:pPr>
              <w:pStyle w:val="42"/>
              <w:rPr>
                <w:rFonts w:ascii="黑体"/>
                <w:sz w:val="20"/>
              </w:rPr>
            </w:pPr>
          </w:p>
          <w:p w14:paraId="0CBB0F69">
            <w:pPr>
              <w:pStyle w:val="42"/>
              <w:rPr>
                <w:rFonts w:ascii="黑体"/>
                <w:sz w:val="20"/>
              </w:rPr>
            </w:pPr>
          </w:p>
          <w:p w14:paraId="213BCFF0">
            <w:pPr>
              <w:pStyle w:val="42"/>
              <w:spacing w:before="4"/>
              <w:rPr>
                <w:rFonts w:ascii="黑体"/>
                <w:sz w:val="23"/>
              </w:rPr>
            </w:pPr>
          </w:p>
          <w:p w14:paraId="70B47774">
            <w:pPr>
              <w:pStyle w:val="42"/>
              <w:spacing w:line="391" w:lineRule="auto"/>
              <w:ind w:left="846" w:right="100" w:hanging="735"/>
              <w:rPr>
                <w:sz w:val="21"/>
              </w:rPr>
            </w:pPr>
            <w:r>
              <w:rPr>
                <w:sz w:val="21"/>
              </w:rPr>
              <w:t>投标人关联企业情况</w:t>
            </w:r>
          </w:p>
        </w:tc>
        <w:tc>
          <w:tcPr>
            <w:tcW w:w="7021" w:type="dxa"/>
            <w:gridSpan w:val="8"/>
          </w:tcPr>
          <w:p w14:paraId="28DC2BB6">
            <w:pPr>
              <w:pStyle w:val="42"/>
              <w:spacing w:before="128"/>
              <w:ind w:left="107"/>
              <w:rPr>
                <w:sz w:val="21"/>
              </w:rPr>
            </w:pPr>
            <w:r>
              <w:rPr>
                <w:sz w:val="21"/>
              </w:rPr>
              <w:t>投标人应提供关联企业情况，包括：</w:t>
            </w:r>
          </w:p>
          <w:p w14:paraId="401446BD">
            <w:pPr>
              <w:pStyle w:val="42"/>
              <w:numPr>
                <w:ilvl w:val="0"/>
                <w:numId w:val="11"/>
              </w:numPr>
              <w:tabs>
                <w:tab w:val="left" w:pos="538"/>
              </w:tabs>
              <w:spacing w:before="132" w:after="0" w:line="357" w:lineRule="auto"/>
              <w:ind w:left="107" w:right="90" w:hanging="106"/>
              <w:jc w:val="both"/>
              <w:rPr>
                <w:sz w:val="21"/>
              </w:rPr>
            </w:pPr>
            <w:r>
              <w:rPr>
                <w:sz w:val="21"/>
              </w:rPr>
              <w:t>投标人的所有股东名称及相应股权（出资额）</w:t>
            </w:r>
            <w:r>
              <w:rPr>
                <w:spacing w:val="-2"/>
                <w:sz w:val="21"/>
              </w:rPr>
              <w:t>比例；如投标人为上市</w:t>
            </w:r>
            <w:r>
              <w:rPr>
                <w:spacing w:val="-3"/>
                <w:sz w:val="21"/>
              </w:rPr>
              <w:t>公司，投标人应提供股权占公司股份总数</w:t>
            </w:r>
            <w:r>
              <w:rPr>
                <w:sz w:val="21"/>
                <w:u w:val="single"/>
              </w:rPr>
              <w:t xml:space="preserve"> </w:t>
            </w:r>
            <w:r>
              <w:rPr>
                <w:spacing w:val="35"/>
                <w:sz w:val="21"/>
                <w:u w:val="single"/>
              </w:rPr>
              <w:t xml:space="preserve"> </w:t>
            </w:r>
            <w:r>
              <w:rPr>
                <w:rFonts w:ascii="Times New Roman" w:eastAsia="Times New Roman"/>
                <w:spacing w:val="-4"/>
                <w:sz w:val="21"/>
              </w:rPr>
              <w:t>%</w:t>
            </w:r>
            <w:r>
              <w:rPr>
                <w:spacing w:val="-3"/>
                <w:sz w:val="21"/>
              </w:rPr>
              <w:t>以上的所有股东名称及相应股权比例；</w:t>
            </w:r>
          </w:p>
          <w:p w14:paraId="71ABB7CA">
            <w:pPr>
              <w:pStyle w:val="42"/>
              <w:numPr>
                <w:ilvl w:val="0"/>
                <w:numId w:val="11"/>
              </w:numPr>
              <w:tabs>
                <w:tab w:val="left" w:pos="538"/>
              </w:tabs>
              <w:spacing w:before="0" w:after="0" w:line="357" w:lineRule="auto"/>
              <w:ind w:left="107" w:right="94" w:hanging="106"/>
              <w:jc w:val="left"/>
              <w:rPr>
                <w:sz w:val="21"/>
              </w:rPr>
            </w:pPr>
            <w:r>
              <w:rPr>
                <w:sz w:val="21"/>
              </w:rPr>
              <w:t>投标人投资（控股）或管理的下属企业名称、持有股权（出资额）</w:t>
            </w:r>
            <w:r>
              <w:rPr>
                <w:spacing w:val="-12"/>
                <w:sz w:val="21"/>
              </w:rPr>
              <w:t>比</w:t>
            </w:r>
            <w:r>
              <w:rPr>
                <w:sz w:val="21"/>
              </w:rPr>
              <w:t>例；</w:t>
            </w:r>
          </w:p>
          <w:p w14:paraId="5AFD4B40">
            <w:pPr>
              <w:pStyle w:val="42"/>
              <w:numPr>
                <w:ilvl w:val="0"/>
                <w:numId w:val="11"/>
              </w:numPr>
              <w:tabs>
                <w:tab w:val="left" w:pos="532"/>
              </w:tabs>
              <w:spacing w:before="0" w:after="0" w:line="266" w:lineRule="exact"/>
              <w:ind w:left="531" w:right="0" w:hanging="530"/>
              <w:jc w:val="left"/>
              <w:rPr>
                <w:sz w:val="21"/>
              </w:rPr>
            </w:pPr>
            <w:r>
              <w:rPr>
                <w:spacing w:val="-3"/>
                <w:sz w:val="21"/>
              </w:rPr>
              <w:t>与投标人单位负责人</w:t>
            </w:r>
            <w:r>
              <w:rPr>
                <w:sz w:val="21"/>
              </w:rPr>
              <w:t>（</w:t>
            </w:r>
            <w:r>
              <w:rPr>
                <w:spacing w:val="-3"/>
                <w:sz w:val="21"/>
              </w:rPr>
              <w:t>即法定代表人</w:t>
            </w:r>
            <w:r>
              <w:rPr>
                <w:sz w:val="21"/>
              </w:rPr>
              <w:t>）</w:t>
            </w:r>
            <w:r>
              <w:rPr>
                <w:spacing w:val="-3"/>
                <w:sz w:val="21"/>
              </w:rPr>
              <w:t>为同一人的其他单位名称</w:t>
            </w:r>
          </w:p>
        </w:tc>
      </w:tr>
      <w:tr w14:paraId="4279E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1908" w:type="dxa"/>
          </w:tcPr>
          <w:p w14:paraId="090A791B">
            <w:pPr>
              <w:pStyle w:val="42"/>
              <w:spacing w:before="142"/>
              <w:ind w:left="724" w:right="713"/>
              <w:jc w:val="center"/>
              <w:rPr>
                <w:sz w:val="21"/>
              </w:rPr>
            </w:pPr>
            <w:r>
              <w:rPr>
                <w:sz w:val="21"/>
              </w:rPr>
              <w:t>备注</w:t>
            </w:r>
          </w:p>
        </w:tc>
        <w:tc>
          <w:tcPr>
            <w:tcW w:w="7021" w:type="dxa"/>
            <w:gridSpan w:val="8"/>
          </w:tcPr>
          <w:p w14:paraId="0AA3D55A">
            <w:pPr>
              <w:pStyle w:val="42"/>
              <w:rPr>
                <w:rFonts w:ascii="Times New Roman"/>
                <w:sz w:val="20"/>
              </w:rPr>
            </w:pPr>
          </w:p>
        </w:tc>
      </w:tr>
    </w:tbl>
    <w:p w14:paraId="29FFF341">
      <w:pPr>
        <w:spacing w:before="126"/>
        <w:ind w:left="0" w:right="81" w:firstLine="0"/>
        <w:jc w:val="center"/>
        <w:rPr>
          <w:sz w:val="21"/>
        </w:rPr>
      </w:pPr>
      <w:r>
        <w:rPr>
          <w:sz w:val="21"/>
        </w:rPr>
        <w:t>注：</w:t>
      </w:r>
      <w:r>
        <w:rPr>
          <w:rFonts w:ascii="Times New Roman" w:hAnsi="Times New Roman" w:eastAsia="Times New Roman"/>
          <w:sz w:val="21"/>
        </w:rPr>
        <w:t>1.</w:t>
      </w:r>
      <w:r>
        <w:rPr>
          <w:sz w:val="21"/>
        </w:rPr>
        <w:t>投标人应根据招标文件第二章“投标人须知”第</w:t>
      </w:r>
      <w:r>
        <w:rPr>
          <w:rFonts w:ascii="Times New Roman" w:hAnsi="Times New Roman" w:eastAsia="Times New Roman"/>
          <w:sz w:val="21"/>
        </w:rPr>
        <w:t>3.5.1</w:t>
      </w:r>
      <w:r>
        <w:rPr>
          <w:sz w:val="21"/>
        </w:rPr>
        <w:t>项的要求在本表后附相关证明材料。</w:t>
      </w:r>
    </w:p>
    <w:p w14:paraId="46D65D0B">
      <w:pPr>
        <w:spacing w:before="134"/>
        <w:ind w:left="684" w:right="0" w:firstLine="0"/>
        <w:jc w:val="left"/>
        <w:rPr>
          <w:sz w:val="21"/>
        </w:rPr>
      </w:pPr>
      <w:r>
        <w:rPr>
          <w:rFonts w:ascii="Times New Roman" w:eastAsia="Times New Roman"/>
          <w:sz w:val="21"/>
        </w:rPr>
        <w:t>2.</w:t>
      </w:r>
      <w:r>
        <w:rPr>
          <w:sz w:val="21"/>
        </w:rPr>
        <w:t>以联合体形式参与投标的，联合体各成员应分别填写。</w:t>
      </w:r>
    </w:p>
    <w:p w14:paraId="64658592">
      <w:pPr>
        <w:spacing w:after="0"/>
        <w:jc w:val="left"/>
        <w:rPr>
          <w:sz w:val="21"/>
        </w:rPr>
        <w:sectPr>
          <w:pgSz w:w="11910" w:h="16850"/>
          <w:pgMar w:top="1540" w:right="1140" w:bottom="1060" w:left="1380" w:header="876" w:footer="860" w:gutter="0"/>
          <w:pgNumType w:fmt="decimal"/>
          <w:cols w:space="720" w:num="1"/>
        </w:sectPr>
      </w:pPr>
    </w:p>
    <w:p w14:paraId="2572C36C">
      <w:pPr>
        <w:pStyle w:val="5"/>
        <w:bidi w:val="0"/>
        <w:rPr>
          <w:rFonts w:hint="eastAsia"/>
          <w:sz w:val="30"/>
          <w:szCs w:val="30"/>
        </w:rPr>
      </w:pPr>
      <w:bookmarkStart w:id="443" w:name="_bookmark312"/>
      <w:bookmarkEnd w:id="443"/>
      <w:r>
        <w:rPr>
          <w:rFonts w:hint="eastAsia"/>
          <w:sz w:val="30"/>
          <w:szCs w:val="30"/>
        </w:rPr>
        <w:t>（二）投标人企业组织机构框图</w:t>
      </w:r>
    </w:p>
    <w:p w14:paraId="35652695">
      <w:pPr>
        <w:pStyle w:val="12"/>
        <w:rPr>
          <w:rFonts w:ascii="黑体"/>
          <w:sz w:val="20"/>
        </w:rPr>
      </w:pPr>
    </w:p>
    <w:p w14:paraId="72E9993C">
      <w:pPr>
        <w:pStyle w:val="12"/>
        <w:rPr>
          <w:rFonts w:ascii="黑体"/>
          <w:sz w:val="20"/>
        </w:rPr>
      </w:pPr>
    </w:p>
    <w:p w14:paraId="6F2D66B9">
      <w:pPr>
        <w:pStyle w:val="12"/>
        <w:spacing w:before="6"/>
        <w:rPr>
          <w:rFonts w:ascii="黑体"/>
          <w:sz w:val="22"/>
        </w:rPr>
      </w:pPr>
    </w:p>
    <w:tbl>
      <w:tblPr>
        <w:tblStyle w:val="25"/>
        <w:tblW w:w="0" w:type="auto"/>
        <w:tblInd w:w="16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94"/>
      </w:tblGrid>
      <w:tr w14:paraId="2578F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6" w:hRule="atLeast"/>
        </w:trPr>
        <w:tc>
          <w:tcPr>
            <w:tcW w:w="8894" w:type="dxa"/>
          </w:tcPr>
          <w:p w14:paraId="560A2013">
            <w:pPr>
              <w:pStyle w:val="42"/>
              <w:rPr>
                <w:rFonts w:ascii="黑体"/>
                <w:sz w:val="20"/>
              </w:rPr>
            </w:pPr>
          </w:p>
          <w:p w14:paraId="5A3E1731">
            <w:pPr>
              <w:pStyle w:val="42"/>
              <w:rPr>
                <w:rFonts w:ascii="黑体"/>
                <w:sz w:val="20"/>
              </w:rPr>
            </w:pPr>
          </w:p>
          <w:p w14:paraId="025563C9">
            <w:pPr>
              <w:pStyle w:val="42"/>
              <w:spacing w:before="136"/>
              <w:ind w:left="378"/>
              <w:rPr>
                <w:sz w:val="21"/>
              </w:rPr>
            </w:pPr>
            <w:r>
              <w:rPr>
                <w:sz w:val="21"/>
              </w:rPr>
              <w:t>以框图方式表示。</w:t>
            </w:r>
          </w:p>
        </w:tc>
      </w:tr>
      <w:tr w14:paraId="1D6D0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3" w:hRule="atLeast"/>
        </w:trPr>
        <w:tc>
          <w:tcPr>
            <w:tcW w:w="8894" w:type="dxa"/>
          </w:tcPr>
          <w:p w14:paraId="228B982F">
            <w:pPr>
              <w:pStyle w:val="42"/>
              <w:spacing w:before="128"/>
              <w:ind w:left="378"/>
              <w:rPr>
                <w:sz w:val="21"/>
              </w:rPr>
            </w:pPr>
            <w:r>
              <w:rPr>
                <w:sz w:val="21"/>
              </w:rPr>
              <w:t>说明</w:t>
            </w:r>
          </w:p>
        </w:tc>
      </w:tr>
    </w:tbl>
    <w:p w14:paraId="6BACDD67">
      <w:pPr>
        <w:spacing w:after="0"/>
        <w:rPr>
          <w:sz w:val="21"/>
        </w:rPr>
        <w:sectPr>
          <w:pgSz w:w="11910" w:h="16850"/>
          <w:pgMar w:top="1540" w:right="1140" w:bottom="1080" w:left="1380" w:header="883" w:footer="884" w:gutter="0"/>
          <w:pgNumType w:fmt="decimal"/>
          <w:cols w:space="720" w:num="1"/>
        </w:sectPr>
      </w:pPr>
    </w:p>
    <w:p w14:paraId="0C85875D">
      <w:pPr>
        <w:pStyle w:val="5"/>
        <w:numPr>
          <w:ilvl w:val="0"/>
          <w:numId w:val="12"/>
        </w:numPr>
        <w:bidi w:val="0"/>
        <w:rPr>
          <w:rFonts w:hint="eastAsia"/>
          <w:sz w:val="32"/>
          <w:szCs w:val="32"/>
        </w:rPr>
      </w:pPr>
      <w:r>
        <w:rPr>
          <w:sz w:val="32"/>
          <w:szCs w:val="32"/>
        </w:rPr>
        <mc:AlternateContent>
          <mc:Choice Requires="wps">
            <w:drawing>
              <wp:anchor distT="0" distB="0" distL="114300" distR="114300" simplePos="0" relativeHeight="251705344" behindDoc="0" locked="0" layoutInCell="1" allowOverlap="1">
                <wp:simplePos x="0" y="0"/>
                <wp:positionH relativeFrom="page">
                  <wp:posOffset>972185</wp:posOffset>
                </wp:positionH>
                <wp:positionV relativeFrom="paragraph">
                  <wp:posOffset>976630</wp:posOffset>
                </wp:positionV>
                <wp:extent cx="5682615" cy="6583680"/>
                <wp:effectExtent l="0" t="0" r="0" b="0"/>
                <wp:wrapNone/>
                <wp:docPr id="125" name="文本框 121"/>
                <wp:cNvGraphicFramePr/>
                <a:graphic xmlns:a="http://schemas.openxmlformats.org/drawingml/2006/main">
                  <a:graphicData uri="http://schemas.microsoft.com/office/word/2010/wordprocessingShape">
                    <wps:wsp>
                      <wps:cNvSpPr txBox="1"/>
                      <wps:spPr>
                        <a:xfrm>
                          <a:off x="0" y="0"/>
                          <a:ext cx="5682615" cy="6583680"/>
                        </a:xfrm>
                        <a:prstGeom prst="rect">
                          <a:avLst/>
                        </a:prstGeom>
                        <a:noFill/>
                        <a:ln>
                          <a:noFill/>
                        </a:ln>
                      </wps:spPr>
                      <wps:txbx>
                        <w:txbxContent>
                          <w:p w14:paraId="3AA581F2">
                            <w:pPr>
                              <w:pStyle w:val="12"/>
                            </w:pPr>
                          </w:p>
                        </w:txbxContent>
                      </wps:txbx>
                      <wps:bodyPr lIns="0" tIns="0" rIns="0" bIns="0" upright="1"/>
                    </wps:wsp>
                  </a:graphicData>
                </a:graphic>
              </wp:anchor>
            </w:drawing>
          </mc:Choice>
          <mc:Fallback>
            <w:pict>
              <v:shape id="文本框 121" o:spid="_x0000_s1026" o:spt="202" type="#_x0000_t202" style="position:absolute;left:0pt;margin-left:76.55pt;margin-top:76.9pt;height:518.4pt;width:447.45pt;mso-position-horizontal-relative:page;z-index:251705344;mso-width-relative:page;mso-height-relative:page;" filled="f" stroked="f" coordsize="21600,21600" o:gfxdata="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ymG6PZAAAADQEAAA8AAAAAAAAAAQAgAAAAIgAAAGRycy9kb3ducmV2Lnht&#10;bFBLAQIUABQAAAAIAIdO4kCyODr/vwEAAHcDAAAOAAAAAAAAAAEAIAAAACgBAABkcnMvZTJvRG9j&#10;LnhtbFBLBQYAAAAABgAGAFkBAABZBQAAAAA=&#10;">
                <v:fill on="f" focussize="0,0"/>
                <v:stroke on="f"/>
                <v:imagedata o:title=""/>
                <o:lock v:ext="edit" aspectratio="f"/>
                <v:textbox inset="0mm,0mm,0mm,0mm">
                  <w:txbxContent>
                    <w:p w14:paraId="3AA581F2">
                      <w:pPr>
                        <w:pStyle w:val="12"/>
                      </w:pPr>
                    </w:p>
                  </w:txbxContent>
                </v:textbox>
              </v:shape>
            </w:pict>
          </mc:Fallback>
        </mc:AlternateContent>
      </w:r>
      <w:bookmarkStart w:id="444" w:name="_bookmark313"/>
      <w:bookmarkEnd w:id="444"/>
      <w:r>
        <w:rPr>
          <w:rFonts w:hint="eastAsia"/>
          <w:sz w:val="32"/>
          <w:szCs w:val="32"/>
        </w:rPr>
        <w:t>近年财务状况</w:t>
      </w:r>
    </w:p>
    <w:p w14:paraId="6679AD0E">
      <w:pPr>
        <w:pStyle w:val="6"/>
        <w:bidi w:val="0"/>
        <w:jc w:val="center"/>
        <w:rPr>
          <w:sz w:val="28"/>
          <w:szCs w:val="28"/>
        </w:rPr>
      </w:pPr>
      <w:r>
        <w:rPr>
          <w:rFonts w:hint="eastAsia"/>
          <w:sz w:val="28"/>
          <w:szCs w:val="28"/>
        </w:rPr>
        <w:t>财务状况表</w:t>
      </w:r>
      <w:r>
        <w:rPr>
          <w:rFonts w:hint="eastAsia"/>
          <w:sz w:val="28"/>
          <w:szCs w:val="28"/>
          <w:lang w:eastAsia="zh-CN"/>
        </w:rPr>
        <w:t>（</w:t>
      </w:r>
      <w:r>
        <w:rPr>
          <w:rFonts w:hint="eastAsia"/>
          <w:sz w:val="28"/>
          <w:szCs w:val="28"/>
          <w:lang w:val="en-US" w:eastAsia="zh-CN"/>
        </w:rPr>
        <w:t>本项目不适用</w:t>
      </w:r>
      <w:r>
        <w:rPr>
          <w:rFonts w:hint="eastAsia"/>
          <w:sz w:val="28"/>
          <w:szCs w:val="28"/>
          <w:lang w:eastAsia="zh-CN"/>
        </w:rPr>
        <w:t>）</w:t>
      </w:r>
    </w:p>
    <w:tbl>
      <w:tblPr>
        <w:tblStyle w:val="25"/>
        <w:tblpPr w:leftFromText="180" w:rightFromText="180" w:vertAnchor="text" w:horzAnchor="page" w:tblpX="1641" w:tblpY="29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66"/>
        <w:gridCol w:w="900"/>
        <w:gridCol w:w="1320"/>
        <w:gridCol w:w="1321"/>
        <w:gridCol w:w="1320"/>
      </w:tblGrid>
      <w:tr w14:paraId="24365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Pr>
          <w:p w14:paraId="3D95E325">
            <w:pPr>
              <w:pStyle w:val="42"/>
              <w:spacing w:before="169"/>
              <w:ind w:right="1426"/>
              <w:jc w:val="right"/>
              <w:rPr>
                <w:sz w:val="21"/>
              </w:rPr>
            </w:pPr>
            <w:r>
              <w:rPr>
                <w:sz w:val="21"/>
              </w:rPr>
              <w:t>项目或指标</w:t>
            </w:r>
          </w:p>
        </w:tc>
        <w:tc>
          <w:tcPr>
            <w:tcW w:w="900" w:type="dxa"/>
          </w:tcPr>
          <w:p w14:paraId="45641730">
            <w:pPr>
              <w:pStyle w:val="42"/>
              <w:spacing w:before="169"/>
              <w:ind w:left="167" w:right="136"/>
              <w:jc w:val="center"/>
              <w:rPr>
                <w:sz w:val="21"/>
              </w:rPr>
            </w:pPr>
            <w:r>
              <w:rPr>
                <w:sz w:val="21"/>
              </w:rPr>
              <w:t>单位</w:t>
            </w:r>
          </w:p>
        </w:tc>
        <w:tc>
          <w:tcPr>
            <w:tcW w:w="1320" w:type="dxa"/>
          </w:tcPr>
          <w:p w14:paraId="65E3B20E">
            <w:pPr>
              <w:pStyle w:val="42"/>
              <w:tabs>
                <w:tab w:val="left" w:pos="878"/>
              </w:tabs>
              <w:spacing w:before="169"/>
              <w:ind w:left="247"/>
              <w:rPr>
                <w:sz w:val="21"/>
              </w:rPr>
            </w:pPr>
            <w:r>
              <w:rPr>
                <w:rFonts w:ascii="Times New Roman" w:eastAsia="Times New Roman"/>
                <w:w w:val="100"/>
                <w:sz w:val="21"/>
                <w:u w:val="single"/>
              </w:rPr>
              <w:t xml:space="preserve"> </w:t>
            </w:r>
            <w:r>
              <w:rPr>
                <w:rFonts w:ascii="Times New Roman" w:eastAsia="Times New Roman"/>
                <w:sz w:val="21"/>
                <w:u w:val="single"/>
              </w:rPr>
              <w:tab/>
            </w:r>
            <w:r>
              <w:rPr>
                <w:sz w:val="21"/>
              </w:rPr>
              <w:t>年</w:t>
            </w:r>
          </w:p>
        </w:tc>
        <w:tc>
          <w:tcPr>
            <w:tcW w:w="1321" w:type="dxa"/>
          </w:tcPr>
          <w:p w14:paraId="4CCDE3F1">
            <w:pPr>
              <w:pStyle w:val="42"/>
              <w:tabs>
                <w:tab w:val="left" w:pos="878"/>
              </w:tabs>
              <w:spacing w:before="169"/>
              <w:ind w:left="247"/>
              <w:rPr>
                <w:sz w:val="21"/>
              </w:rPr>
            </w:pPr>
            <w:r>
              <w:rPr>
                <w:rFonts w:ascii="Times New Roman" w:eastAsia="Times New Roman"/>
                <w:w w:val="100"/>
                <w:sz w:val="21"/>
                <w:u w:val="single"/>
              </w:rPr>
              <w:t xml:space="preserve"> </w:t>
            </w:r>
            <w:r>
              <w:rPr>
                <w:rFonts w:ascii="Times New Roman" w:eastAsia="Times New Roman"/>
                <w:sz w:val="21"/>
                <w:u w:val="single"/>
              </w:rPr>
              <w:tab/>
            </w:r>
            <w:r>
              <w:rPr>
                <w:sz w:val="21"/>
              </w:rPr>
              <w:t>年</w:t>
            </w:r>
          </w:p>
        </w:tc>
        <w:tc>
          <w:tcPr>
            <w:tcW w:w="1320" w:type="dxa"/>
          </w:tcPr>
          <w:p w14:paraId="7693BD81">
            <w:pPr>
              <w:pStyle w:val="42"/>
              <w:tabs>
                <w:tab w:val="left" w:pos="878"/>
              </w:tabs>
              <w:spacing w:before="169"/>
              <w:ind w:left="247"/>
              <w:rPr>
                <w:sz w:val="21"/>
              </w:rPr>
            </w:pPr>
            <w:r>
              <w:rPr>
                <w:rFonts w:ascii="Times New Roman" w:eastAsia="Times New Roman"/>
                <w:w w:val="100"/>
                <w:sz w:val="21"/>
                <w:u w:val="single"/>
              </w:rPr>
              <w:t xml:space="preserve"> </w:t>
            </w:r>
            <w:r>
              <w:rPr>
                <w:rFonts w:ascii="Times New Roman" w:eastAsia="Times New Roman"/>
                <w:sz w:val="21"/>
                <w:u w:val="single"/>
              </w:rPr>
              <w:tab/>
            </w:r>
            <w:r>
              <w:rPr>
                <w:sz w:val="21"/>
              </w:rPr>
              <w:t>年</w:t>
            </w:r>
          </w:p>
        </w:tc>
      </w:tr>
      <w:tr w14:paraId="034C4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4066" w:type="dxa"/>
          </w:tcPr>
          <w:p w14:paraId="24AECF54">
            <w:pPr>
              <w:pStyle w:val="42"/>
              <w:spacing w:before="166"/>
              <w:ind w:left="155"/>
              <w:rPr>
                <w:sz w:val="21"/>
              </w:rPr>
            </w:pPr>
            <w:r>
              <w:rPr>
                <w:sz w:val="21"/>
              </w:rPr>
              <w:t>一、 注册资本</w:t>
            </w:r>
          </w:p>
        </w:tc>
        <w:tc>
          <w:tcPr>
            <w:tcW w:w="900" w:type="dxa"/>
          </w:tcPr>
          <w:p w14:paraId="1D2E428A">
            <w:pPr>
              <w:pStyle w:val="42"/>
              <w:spacing w:before="166"/>
              <w:ind w:left="167" w:right="136"/>
              <w:jc w:val="center"/>
              <w:rPr>
                <w:sz w:val="21"/>
              </w:rPr>
            </w:pPr>
            <w:r>
              <w:rPr>
                <w:sz w:val="21"/>
              </w:rPr>
              <w:t>万元</w:t>
            </w:r>
          </w:p>
        </w:tc>
        <w:tc>
          <w:tcPr>
            <w:tcW w:w="1320" w:type="dxa"/>
          </w:tcPr>
          <w:p w14:paraId="6F0469E6">
            <w:pPr>
              <w:pStyle w:val="42"/>
              <w:rPr>
                <w:rFonts w:ascii="Times New Roman"/>
                <w:sz w:val="20"/>
              </w:rPr>
            </w:pPr>
          </w:p>
        </w:tc>
        <w:tc>
          <w:tcPr>
            <w:tcW w:w="1321" w:type="dxa"/>
          </w:tcPr>
          <w:p w14:paraId="5DDE59BD">
            <w:pPr>
              <w:pStyle w:val="42"/>
              <w:rPr>
                <w:rFonts w:ascii="Times New Roman"/>
                <w:sz w:val="20"/>
              </w:rPr>
            </w:pPr>
          </w:p>
        </w:tc>
        <w:tc>
          <w:tcPr>
            <w:tcW w:w="1320" w:type="dxa"/>
          </w:tcPr>
          <w:p w14:paraId="53B16656">
            <w:pPr>
              <w:pStyle w:val="42"/>
              <w:rPr>
                <w:rFonts w:ascii="Times New Roman"/>
                <w:sz w:val="20"/>
              </w:rPr>
            </w:pPr>
          </w:p>
        </w:tc>
      </w:tr>
      <w:tr w14:paraId="04C7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4066" w:type="dxa"/>
          </w:tcPr>
          <w:p w14:paraId="1797A10F">
            <w:pPr>
              <w:pStyle w:val="42"/>
              <w:spacing w:before="166"/>
              <w:ind w:left="155"/>
              <w:rPr>
                <w:sz w:val="21"/>
              </w:rPr>
            </w:pPr>
            <w:r>
              <w:rPr>
                <w:sz w:val="21"/>
              </w:rPr>
              <w:t>二、 净资产</w:t>
            </w:r>
          </w:p>
        </w:tc>
        <w:tc>
          <w:tcPr>
            <w:tcW w:w="900" w:type="dxa"/>
          </w:tcPr>
          <w:p w14:paraId="74DB1F13">
            <w:pPr>
              <w:pStyle w:val="42"/>
              <w:spacing w:before="166"/>
              <w:ind w:left="167" w:right="136"/>
              <w:jc w:val="center"/>
              <w:rPr>
                <w:sz w:val="21"/>
              </w:rPr>
            </w:pPr>
            <w:r>
              <w:rPr>
                <w:sz w:val="21"/>
              </w:rPr>
              <w:t>万元</w:t>
            </w:r>
          </w:p>
        </w:tc>
        <w:tc>
          <w:tcPr>
            <w:tcW w:w="1320" w:type="dxa"/>
          </w:tcPr>
          <w:p w14:paraId="01941BFF">
            <w:pPr>
              <w:pStyle w:val="42"/>
              <w:rPr>
                <w:rFonts w:ascii="Times New Roman"/>
                <w:sz w:val="20"/>
              </w:rPr>
            </w:pPr>
          </w:p>
        </w:tc>
        <w:tc>
          <w:tcPr>
            <w:tcW w:w="1321" w:type="dxa"/>
          </w:tcPr>
          <w:p w14:paraId="4D499311">
            <w:pPr>
              <w:pStyle w:val="42"/>
              <w:rPr>
                <w:rFonts w:ascii="Times New Roman"/>
                <w:sz w:val="20"/>
              </w:rPr>
            </w:pPr>
          </w:p>
        </w:tc>
        <w:tc>
          <w:tcPr>
            <w:tcW w:w="1320" w:type="dxa"/>
          </w:tcPr>
          <w:p w14:paraId="2C98E297">
            <w:pPr>
              <w:pStyle w:val="42"/>
              <w:rPr>
                <w:rFonts w:ascii="Times New Roman"/>
                <w:sz w:val="20"/>
              </w:rPr>
            </w:pPr>
          </w:p>
        </w:tc>
      </w:tr>
      <w:tr w14:paraId="4606B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4066" w:type="dxa"/>
          </w:tcPr>
          <w:p w14:paraId="61F87961">
            <w:pPr>
              <w:pStyle w:val="42"/>
              <w:spacing w:before="166"/>
              <w:ind w:left="155"/>
              <w:rPr>
                <w:sz w:val="21"/>
              </w:rPr>
            </w:pPr>
            <w:r>
              <w:rPr>
                <w:sz w:val="21"/>
              </w:rPr>
              <w:t>三、 总资产</w:t>
            </w:r>
          </w:p>
        </w:tc>
        <w:tc>
          <w:tcPr>
            <w:tcW w:w="900" w:type="dxa"/>
          </w:tcPr>
          <w:p w14:paraId="381350F1">
            <w:pPr>
              <w:pStyle w:val="42"/>
              <w:spacing w:before="166"/>
              <w:ind w:left="167" w:right="136"/>
              <w:jc w:val="center"/>
              <w:rPr>
                <w:sz w:val="21"/>
              </w:rPr>
            </w:pPr>
            <w:r>
              <w:rPr>
                <w:sz w:val="21"/>
              </w:rPr>
              <w:t>万元</w:t>
            </w:r>
          </w:p>
        </w:tc>
        <w:tc>
          <w:tcPr>
            <w:tcW w:w="1320" w:type="dxa"/>
          </w:tcPr>
          <w:p w14:paraId="11165A4C">
            <w:pPr>
              <w:pStyle w:val="42"/>
              <w:rPr>
                <w:rFonts w:ascii="Times New Roman"/>
                <w:sz w:val="20"/>
              </w:rPr>
            </w:pPr>
          </w:p>
        </w:tc>
        <w:tc>
          <w:tcPr>
            <w:tcW w:w="1321" w:type="dxa"/>
          </w:tcPr>
          <w:p w14:paraId="52D3BB85">
            <w:pPr>
              <w:pStyle w:val="42"/>
              <w:rPr>
                <w:rFonts w:ascii="Times New Roman"/>
                <w:sz w:val="20"/>
              </w:rPr>
            </w:pPr>
          </w:p>
        </w:tc>
        <w:tc>
          <w:tcPr>
            <w:tcW w:w="1320" w:type="dxa"/>
          </w:tcPr>
          <w:p w14:paraId="3F964878">
            <w:pPr>
              <w:pStyle w:val="42"/>
              <w:rPr>
                <w:rFonts w:ascii="Times New Roman"/>
                <w:sz w:val="20"/>
              </w:rPr>
            </w:pPr>
          </w:p>
        </w:tc>
      </w:tr>
      <w:tr w14:paraId="73F78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066" w:type="dxa"/>
          </w:tcPr>
          <w:p w14:paraId="0AFD7F88">
            <w:pPr>
              <w:pStyle w:val="42"/>
              <w:spacing w:before="166"/>
              <w:ind w:left="155"/>
              <w:rPr>
                <w:sz w:val="21"/>
              </w:rPr>
            </w:pPr>
            <w:r>
              <w:rPr>
                <w:sz w:val="21"/>
              </w:rPr>
              <w:t>四、 固定资产</w:t>
            </w:r>
          </w:p>
        </w:tc>
        <w:tc>
          <w:tcPr>
            <w:tcW w:w="900" w:type="dxa"/>
          </w:tcPr>
          <w:p w14:paraId="1D18A207">
            <w:pPr>
              <w:pStyle w:val="42"/>
              <w:spacing w:before="166"/>
              <w:ind w:left="167" w:right="136"/>
              <w:jc w:val="center"/>
              <w:rPr>
                <w:sz w:val="21"/>
              </w:rPr>
            </w:pPr>
            <w:r>
              <w:rPr>
                <w:sz w:val="21"/>
              </w:rPr>
              <w:t>万元</w:t>
            </w:r>
          </w:p>
        </w:tc>
        <w:tc>
          <w:tcPr>
            <w:tcW w:w="1320" w:type="dxa"/>
          </w:tcPr>
          <w:p w14:paraId="68F303B7">
            <w:pPr>
              <w:pStyle w:val="42"/>
              <w:rPr>
                <w:rFonts w:ascii="Times New Roman"/>
                <w:sz w:val="20"/>
              </w:rPr>
            </w:pPr>
          </w:p>
        </w:tc>
        <w:tc>
          <w:tcPr>
            <w:tcW w:w="1321" w:type="dxa"/>
          </w:tcPr>
          <w:p w14:paraId="6A993E2A">
            <w:pPr>
              <w:pStyle w:val="42"/>
              <w:rPr>
                <w:rFonts w:ascii="Times New Roman"/>
                <w:sz w:val="20"/>
              </w:rPr>
            </w:pPr>
          </w:p>
        </w:tc>
        <w:tc>
          <w:tcPr>
            <w:tcW w:w="1320" w:type="dxa"/>
          </w:tcPr>
          <w:p w14:paraId="108BC6AD">
            <w:pPr>
              <w:pStyle w:val="42"/>
              <w:rPr>
                <w:rFonts w:ascii="Times New Roman"/>
                <w:sz w:val="20"/>
              </w:rPr>
            </w:pPr>
          </w:p>
        </w:tc>
      </w:tr>
      <w:tr w14:paraId="56D9E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Pr>
          <w:p w14:paraId="04FE985A">
            <w:pPr>
              <w:pStyle w:val="42"/>
              <w:spacing w:before="169"/>
              <w:ind w:left="155"/>
              <w:rPr>
                <w:sz w:val="21"/>
              </w:rPr>
            </w:pPr>
            <w:r>
              <w:rPr>
                <w:sz w:val="21"/>
              </w:rPr>
              <w:t>五、 流动资产</w:t>
            </w:r>
          </w:p>
        </w:tc>
        <w:tc>
          <w:tcPr>
            <w:tcW w:w="900" w:type="dxa"/>
          </w:tcPr>
          <w:p w14:paraId="20E9900E">
            <w:pPr>
              <w:pStyle w:val="42"/>
              <w:spacing w:before="169"/>
              <w:ind w:left="167" w:right="136"/>
              <w:jc w:val="center"/>
              <w:rPr>
                <w:sz w:val="21"/>
              </w:rPr>
            </w:pPr>
            <w:r>
              <w:rPr>
                <w:sz w:val="21"/>
              </w:rPr>
              <w:t>万元</w:t>
            </w:r>
          </w:p>
        </w:tc>
        <w:tc>
          <w:tcPr>
            <w:tcW w:w="1320" w:type="dxa"/>
          </w:tcPr>
          <w:p w14:paraId="672B5B36">
            <w:pPr>
              <w:pStyle w:val="42"/>
              <w:rPr>
                <w:rFonts w:ascii="Times New Roman"/>
                <w:sz w:val="20"/>
              </w:rPr>
            </w:pPr>
          </w:p>
        </w:tc>
        <w:tc>
          <w:tcPr>
            <w:tcW w:w="1321" w:type="dxa"/>
          </w:tcPr>
          <w:p w14:paraId="0A105E3C">
            <w:pPr>
              <w:pStyle w:val="42"/>
              <w:rPr>
                <w:rFonts w:ascii="Times New Roman"/>
                <w:sz w:val="20"/>
              </w:rPr>
            </w:pPr>
          </w:p>
        </w:tc>
        <w:tc>
          <w:tcPr>
            <w:tcW w:w="1320" w:type="dxa"/>
          </w:tcPr>
          <w:p w14:paraId="1950FBCF">
            <w:pPr>
              <w:pStyle w:val="42"/>
              <w:rPr>
                <w:rFonts w:ascii="Times New Roman"/>
                <w:sz w:val="20"/>
              </w:rPr>
            </w:pPr>
          </w:p>
        </w:tc>
      </w:tr>
      <w:tr w14:paraId="38BE4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4066" w:type="dxa"/>
          </w:tcPr>
          <w:p w14:paraId="6D1D2483">
            <w:pPr>
              <w:pStyle w:val="42"/>
              <w:spacing w:before="166"/>
              <w:ind w:left="155"/>
              <w:rPr>
                <w:sz w:val="21"/>
              </w:rPr>
            </w:pPr>
            <w:r>
              <w:rPr>
                <w:sz w:val="21"/>
              </w:rPr>
              <w:t>六、 流动负债</w:t>
            </w:r>
          </w:p>
        </w:tc>
        <w:tc>
          <w:tcPr>
            <w:tcW w:w="900" w:type="dxa"/>
          </w:tcPr>
          <w:p w14:paraId="6B9A104F">
            <w:pPr>
              <w:pStyle w:val="42"/>
              <w:spacing w:before="166"/>
              <w:ind w:left="167" w:right="136"/>
              <w:jc w:val="center"/>
              <w:rPr>
                <w:sz w:val="21"/>
              </w:rPr>
            </w:pPr>
            <w:r>
              <w:rPr>
                <w:sz w:val="21"/>
              </w:rPr>
              <w:t>万元</w:t>
            </w:r>
          </w:p>
        </w:tc>
        <w:tc>
          <w:tcPr>
            <w:tcW w:w="1320" w:type="dxa"/>
          </w:tcPr>
          <w:p w14:paraId="3EA1636F">
            <w:pPr>
              <w:pStyle w:val="42"/>
              <w:rPr>
                <w:rFonts w:ascii="Times New Roman"/>
                <w:sz w:val="20"/>
              </w:rPr>
            </w:pPr>
          </w:p>
        </w:tc>
        <w:tc>
          <w:tcPr>
            <w:tcW w:w="1321" w:type="dxa"/>
          </w:tcPr>
          <w:p w14:paraId="6B69E4B4">
            <w:pPr>
              <w:pStyle w:val="42"/>
              <w:rPr>
                <w:rFonts w:ascii="Times New Roman"/>
                <w:sz w:val="20"/>
              </w:rPr>
            </w:pPr>
          </w:p>
        </w:tc>
        <w:tc>
          <w:tcPr>
            <w:tcW w:w="1320" w:type="dxa"/>
          </w:tcPr>
          <w:p w14:paraId="2F486F1B">
            <w:pPr>
              <w:pStyle w:val="42"/>
              <w:rPr>
                <w:rFonts w:ascii="Times New Roman"/>
                <w:sz w:val="20"/>
              </w:rPr>
            </w:pPr>
          </w:p>
        </w:tc>
      </w:tr>
      <w:tr w14:paraId="234B4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066" w:type="dxa"/>
          </w:tcPr>
          <w:p w14:paraId="7B9BFA58">
            <w:pPr>
              <w:pStyle w:val="42"/>
              <w:spacing w:before="166"/>
              <w:ind w:left="155"/>
              <w:rPr>
                <w:sz w:val="21"/>
              </w:rPr>
            </w:pPr>
            <w:r>
              <w:rPr>
                <w:sz w:val="21"/>
              </w:rPr>
              <w:t>七、 负债合计</w:t>
            </w:r>
          </w:p>
        </w:tc>
        <w:tc>
          <w:tcPr>
            <w:tcW w:w="900" w:type="dxa"/>
          </w:tcPr>
          <w:p w14:paraId="09239D74">
            <w:pPr>
              <w:pStyle w:val="42"/>
              <w:spacing w:before="166"/>
              <w:ind w:left="167" w:right="136"/>
              <w:jc w:val="center"/>
              <w:rPr>
                <w:sz w:val="21"/>
              </w:rPr>
            </w:pPr>
            <w:r>
              <w:rPr>
                <w:sz w:val="21"/>
              </w:rPr>
              <w:t>万元</w:t>
            </w:r>
          </w:p>
        </w:tc>
        <w:tc>
          <w:tcPr>
            <w:tcW w:w="1320" w:type="dxa"/>
          </w:tcPr>
          <w:p w14:paraId="267AC7EE">
            <w:pPr>
              <w:pStyle w:val="42"/>
              <w:rPr>
                <w:rFonts w:ascii="Times New Roman"/>
                <w:sz w:val="20"/>
              </w:rPr>
            </w:pPr>
          </w:p>
        </w:tc>
        <w:tc>
          <w:tcPr>
            <w:tcW w:w="1321" w:type="dxa"/>
          </w:tcPr>
          <w:p w14:paraId="4B8B62EB">
            <w:pPr>
              <w:pStyle w:val="42"/>
              <w:rPr>
                <w:rFonts w:ascii="Times New Roman"/>
                <w:sz w:val="20"/>
              </w:rPr>
            </w:pPr>
          </w:p>
        </w:tc>
        <w:tc>
          <w:tcPr>
            <w:tcW w:w="1320" w:type="dxa"/>
          </w:tcPr>
          <w:p w14:paraId="08B8FE35">
            <w:pPr>
              <w:pStyle w:val="42"/>
              <w:rPr>
                <w:rFonts w:ascii="Times New Roman"/>
                <w:sz w:val="20"/>
              </w:rPr>
            </w:pPr>
          </w:p>
        </w:tc>
      </w:tr>
      <w:tr w14:paraId="6DCA1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Pr>
          <w:p w14:paraId="5A7EDD2A">
            <w:pPr>
              <w:pStyle w:val="42"/>
              <w:spacing w:before="167"/>
              <w:ind w:left="155"/>
              <w:rPr>
                <w:sz w:val="21"/>
              </w:rPr>
            </w:pPr>
            <w:r>
              <w:rPr>
                <w:sz w:val="21"/>
              </w:rPr>
              <w:t>八、 营业收入</w:t>
            </w:r>
          </w:p>
        </w:tc>
        <w:tc>
          <w:tcPr>
            <w:tcW w:w="900" w:type="dxa"/>
          </w:tcPr>
          <w:p w14:paraId="21D70439">
            <w:pPr>
              <w:pStyle w:val="42"/>
              <w:spacing w:before="167"/>
              <w:ind w:left="167" w:right="136"/>
              <w:jc w:val="center"/>
              <w:rPr>
                <w:sz w:val="21"/>
              </w:rPr>
            </w:pPr>
            <w:r>
              <w:rPr>
                <w:sz w:val="21"/>
              </w:rPr>
              <w:t>万元</w:t>
            </w:r>
          </w:p>
        </w:tc>
        <w:tc>
          <w:tcPr>
            <w:tcW w:w="1320" w:type="dxa"/>
          </w:tcPr>
          <w:p w14:paraId="50384285">
            <w:pPr>
              <w:pStyle w:val="42"/>
              <w:rPr>
                <w:rFonts w:ascii="Times New Roman"/>
                <w:sz w:val="20"/>
              </w:rPr>
            </w:pPr>
          </w:p>
        </w:tc>
        <w:tc>
          <w:tcPr>
            <w:tcW w:w="1321" w:type="dxa"/>
          </w:tcPr>
          <w:p w14:paraId="224AA5B1">
            <w:pPr>
              <w:pStyle w:val="42"/>
              <w:rPr>
                <w:rFonts w:ascii="Times New Roman"/>
                <w:sz w:val="20"/>
              </w:rPr>
            </w:pPr>
          </w:p>
        </w:tc>
        <w:tc>
          <w:tcPr>
            <w:tcW w:w="1320" w:type="dxa"/>
          </w:tcPr>
          <w:p w14:paraId="563CB2C9">
            <w:pPr>
              <w:pStyle w:val="42"/>
              <w:rPr>
                <w:rFonts w:ascii="Times New Roman"/>
                <w:sz w:val="20"/>
              </w:rPr>
            </w:pPr>
          </w:p>
        </w:tc>
      </w:tr>
      <w:tr w14:paraId="3029A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066" w:type="dxa"/>
          </w:tcPr>
          <w:p w14:paraId="25C67ECD">
            <w:pPr>
              <w:pStyle w:val="42"/>
              <w:spacing w:before="166"/>
              <w:ind w:left="155"/>
              <w:rPr>
                <w:sz w:val="21"/>
              </w:rPr>
            </w:pPr>
            <w:r>
              <w:rPr>
                <w:sz w:val="21"/>
              </w:rPr>
              <w:t>九、 净利润</w:t>
            </w:r>
          </w:p>
        </w:tc>
        <w:tc>
          <w:tcPr>
            <w:tcW w:w="900" w:type="dxa"/>
          </w:tcPr>
          <w:p w14:paraId="7751E433">
            <w:pPr>
              <w:pStyle w:val="42"/>
              <w:spacing w:before="166"/>
              <w:ind w:left="167" w:right="136"/>
              <w:jc w:val="center"/>
              <w:rPr>
                <w:sz w:val="21"/>
              </w:rPr>
            </w:pPr>
            <w:r>
              <w:rPr>
                <w:sz w:val="21"/>
              </w:rPr>
              <w:t>万元</w:t>
            </w:r>
          </w:p>
        </w:tc>
        <w:tc>
          <w:tcPr>
            <w:tcW w:w="1320" w:type="dxa"/>
          </w:tcPr>
          <w:p w14:paraId="0BD56747">
            <w:pPr>
              <w:pStyle w:val="42"/>
              <w:rPr>
                <w:rFonts w:ascii="Times New Roman"/>
                <w:sz w:val="20"/>
              </w:rPr>
            </w:pPr>
          </w:p>
        </w:tc>
        <w:tc>
          <w:tcPr>
            <w:tcW w:w="1321" w:type="dxa"/>
          </w:tcPr>
          <w:p w14:paraId="773D4B70">
            <w:pPr>
              <w:pStyle w:val="42"/>
              <w:rPr>
                <w:rFonts w:ascii="Times New Roman"/>
                <w:sz w:val="20"/>
              </w:rPr>
            </w:pPr>
          </w:p>
        </w:tc>
        <w:tc>
          <w:tcPr>
            <w:tcW w:w="1320" w:type="dxa"/>
          </w:tcPr>
          <w:p w14:paraId="59B64DBE">
            <w:pPr>
              <w:pStyle w:val="42"/>
              <w:rPr>
                <w:rFonts w:ascii="Times New Roman"/>
                <w:sz w:val="20"/>
              </w:rPr>
            </w:pPr>
          </w:p>
        </w:tc>
      </w:tr>
      <w:tr w14:paraId="11A1B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Pr>
          <w:p w14:paraId="358AD6E3">
            <w:pPr>
              <w:pStyle w:val="42"/>
              <w:spacing w:before="169"/>
              <w:ind w:left="155"/>
              <w:rPr>
                <w:sz w:val="21"/>
              </w:rPr>
            </w:pPr>
            <w:r>
              <w:rPr>
                <w:sz w:val="21"/>
              </w:rPr>
              <w:t>十、 现金流量净额</w:t>
            </w:r>
          </w:p>
        </w:tc>
        <w:tc>
          <w:tcPr>
            <w:tcW w:w="900" w:type="dxa"/>
          </w:tcPr>
          <w:p w14:paraId="6A9F62CB">
            <w:pPr>
              <w:pStyle w:val="42"/>
              <w:spacing w:before="169"/>
              <w:ind w:left="167" w:right="136"/>
              <w:jc w:val="center"/>
              <w:rPr>
                <w:sz w:val="21"/>
              </w:rPr>
            </w:pPr>
            <w:r>
              <w:rPr>
                <w:sz w:val="21"/>
              </w:rPr>
              <w:t>万元</w:t>
            </w:r>
          </w:p>
        </w:tc>
        <w:tc>
          <w:tcPr>
            <w:tcW w:w="1320" w:type="dxa"/>
          </w:tcPr>
          <w:p w14:paraId="4D1FFB8D">
            <w:pPr>
              <w:pStyle w:val="42"/>
              <w:rPr>
                <w:rFonts w:ascii="Times New Roman"/>
                <w:sz w:val="20"/>
              </w:rPr>
            </w:pPr>
          </w:p>
        </w:tc>
        <w:tc>
          <w:tcPr>
            <w:tcW w:w="1321" w:type="dxa"/>
          </w:tcPr>
          <w:p w14:paraId="278ED7D7">
            <w:pPr>
              <w:pStyle w:val="42"/>
              <w:rPr>
                <w:rFonts w:ascii="Times New Roman"/>
                <w:sz w:val="20"/>
              </w:rPr>
            </w:pPr>
          </w:p>
        </w:tc>
        <w:tc>
          <w:tcPr>
            <w:tcW w:w="1320" w:type="dxa"/>
          </w:tcPr>
          <w:p w14:paraId="40FEDB08">
            <w:pPr>
              <w:pStyle w:val="42"/>
              <w:rPr>
                <w:rFonts w:ascii="Times New Roman"/>
                <w:sz w:val="20"/>
              </w:rPr>
            </w:pPr>
          </w:p>
        </w:tc>
      </w:tr>
      <w:tr w14:paraId="59897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066" w:type="dxa"/>
          </w:tcPr>
          <w:p w14:paraId="58802C76">
            <w:pPr>
              <w:pStyle w:val="42"/>
              <w:spacing w:before="166"/>
              <w:ind w:left="155"/>
              <w:rPr>
                <w:sz w:val="21"/>
              </w:rPr>
            </w:pPr>
            <w:r>
              <w:rPr>
                <w:sz w:val="21"/>
              </w:rPr>
              <w:t>十一、 主要财务指标</w:t>
            </w:r>
          </w:p>
        </w:tc>
        <w:tc>
          <w:tcPr>
            <w:tcW w:w="900" w:type="dxa"/>
          </w:tcPr>
          <w:p w14:paraId="0755D1E6">
            <w:pPr>
              <w:pStyle w:val="42"/>
              <w:rPr>
                <w:rFonts w:ascii="Times New Roman"/>
                <w:sz w:val="20"/>
              </w:rPr>
            </w:pPr>
          </w:p>
        </w:tc>
        <w:tc>
          <w:tcPr>
            <w:tcW w:w="1320" w:type="dxa"/>
          </w:tcPr>
          <w:p w14:paraId="60433901">
            <w:pPr>
              <w:pStyle w:val="42"/>
              <w:rPr>
                <w:rFonts w:ascii="Times New Roman"/>
                <w:sz w:val="20"/>
              </w:rPr>
            </w:pPr>
          </w:p>
        </w:tc>
        <w:tc>
          <w:tcPr>
            <w:tcW w:w="1321" w:type="dxa"/>
          </w:tcPr>
          <w:p w14:paraId="41F01CBC">
            <w:pPr>
              <w:pStyle w:val="42"/>
              <w:rPr>
                <w:rFonts w:ascii="Times New Roman"/>
                <w:sz w:val="20"/>
              </w:rPr>
            </w:pPr>
          </w:p>
        </w:tc>
        <w:tc>
          <w:tcPr>
            <w:tcW w:w="1320" w:type="dxa"/>
          </w:tcPr>
          <w:p w14:paraId="709B29EF">
            <w:pPr>
              <w:pStyle w:val="42"/>
              <w:rPr>
                <w:rFonts w:ascii="Times New Roman"/>
                <w:sz w:val="20"/>
              </w:rPr>
            </w:pPr>
          </w:p>
        </w:tc>
      </w:tr>
      <w:tr w14:paraId="462AF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Pr>
          <w:p w14:paraId="70F2EB7A">
            <w:pPr>
              <w:pStyle w:val="42"/>
              <w:spacing w:before="169"/>
              <w:ind w:left="952"/>
              <w:rPr>
                <w:sz w:val="21"/>
              </w:rPr>
            </w:pPr>
            <w:r>
              <w:rPr>
                <w:rFonts w:ascii="Times New Roman" w:eastAsia="Times New Roman"/>
                <w:sz w:val="21"/>
              </w:rPr>
              <w:t xml:space="preserve">1. </w:t>
            </w:r>
            <w:r>
              <w:rPr>
                <w:sz w:val="21"/>
              </w:rPr>
              <w:t>净资产收益率</w:t>
            </w:r>
          </w:p>
        </w:tc>
        <w:tc>
          <w:tcPr>
            <w:tcW w:w="900" w:type="dxa"/>
          </w:tcPr>
          <w:p w14:paraId="1CDC2870">
            <w:pPr>
              <w:pStyle w:val="42"/>
              <w:spacing w:before="180"/>
              <w:ind w:left="29"/>
              <w:jc w:val="center"/>
              <w:rPr>
                <w:rFonts w:ascii="Times New Roman"/>
                <w:sz w:val="21"/>
              </w:rPr>
            </w:pPr>
            <w:r>
              <w:rPr>
                <w:rFonts w:ascii="Times New Roman"/>
                <w:w w:val="100"/>
                <w:sz w:val="21"/>
              </w:rPr>
              <w:t>%</w:t>
            </w:r>
          </w:p>
        </w:tc>
        <w:tc>
          <w:tcPr>
            <w:tcW w:w="1320" w:type="dxa"/>
          </w:tcPr>
          <w:p w14:paraId="0EE7C8FA">
            <w:pPr>
              <w:pStyle w:val="42"/>
              <w:rPr>
                <w:rFonts w:ascii="Times New Roman"/>
                <w:sz w:val="20"/>
              </w:rPr>
            </w:pPr>
          </w:p>
        </w:tc>
        <w:tc>
          <w:tcPr>
            <w:tcW w:w="1321" w:type="dxa"/>
          </w:tcPr>
          <w:p w14:paraId="2C2E1D03">
            <w:pPr>
              <w:pStyle w:val="42"/>
              <w:rPr>
                <w:rFonts w:ascii="Times New Roman"/>
                <w:sz w:val="20"/>
              </w:rPr>
            </w:pPr>
          </w:p>
        </w:tc>
        <w:tc>
          <w:tcPr>
            <w:tcW w:w="1320" w:type="dxa"/>
          </w:tcPr>
          <w:p w14:paraId="583F10FA">
            <w:pPr>
              <w:pStyle w:val="42"/>
              <w:rPr>
                <w:rFonts w:ascii="Times New Roman"/>
                <w:sz w:val="20"/>
              </w:rPr>
            </w:pPr>
          </w:p>
        </w:tc>
      </w:tr>
      <w:tr w14:paraId="312BA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Pr>
          <w:p w14:paraId="4DB7990E">
            <w:pPr>
              <w:pStyle w:val="42"/>
              <w:spacing w:before="167"/>
              <w:ind w:left="952"/>
              <w:rPr>
                <w:sz w:val="21"/>
              </w:rPr>
            </w:pPr>
            <w:r>
              <w:rPr>
                <w:rFonts w:ascii="Times New Roman" w:eastAsia="Times New Roman"/>
                <w:sz w:val="21"/>
              </w:rPr>
              <w:t xml:space="preserve">2. </w:t>
            </w:r>
            <w:r>
              <w:rPr>
                <w:sz w:val="21"/>
              </w:rPr>
              <w:t>总资产报酬率</w:t>
            </w:r>
          </w:p>
        </w:tc>
        <w:tc>
          <w:tcPr>
            <w:tcW w:w="900" w:type="dxa"/>
          </w:tcPr>
          <w:p w14:paraId="755B4A73">
            <w:pPr>
              <w:pStyle w:val="42"/>
              <w:spacing w:before="178"/>
              <w:ind w:left="29"/>
              <w:jc w:val="center"/>
              <w:rPr>
                <w:rFonts w:ascii="Times New Roman"/>
                <w:sz w:val="21"/>
              </w:rPr>
            </w:pPr>
            <w:r>
              <w:rPr>
                <w:rFonts w:ascii="Times New Roman"/>
                <w:w w:val="100"/>
                <w:sz w:val="21"/>
              </w:rPr>
              <w:t>%</w:t>
            </w:r>
          </w:p>
        </w:tc>
        <w:tc>
          <w:tcPr>
            <w:tcW w:w="1320" w:type="dxa"/>
          </w:tcPr>
          <w:p w14:paraId="519250C1">
            <w:pPr>
              <w:pStyle w:val="42"/>
              <w:rPr>
                <w:rFonts w:ascii="Times New Roman"/>
                <w:sz w:val="20"/>
              </w:rPr>
            </w:pPr>
          </w:p>
        </w:tc>
        <w:tc>
          <w:tcPr>
            <w:tcW w:w="1321" w:type="dxa"/>
          </w:tcPr>
          <w:p w14:paraId="1E771311">
            <w:pPr>
              <w:pStyle w:val="42"/>
              <w:rPr>
                <w:rFonts w:ascii="Times New Roman"/>
                <w:sz w:val="20"/>
              </w:rPr>
            </w:pPr>
          </w:p>
        </w:tc>
        <w:tc>
          <w:tcPr>
            <w:tcW w:w="1320" w:type="dxa"/>
          </w:tcPr>
          <w:p w14:paraId="33D6FDC6">
            <w:pPr>
              <w:pStyle w:val="42"/>
              <w:rPr>
                <w:rFonts w:ascii="Times New Roman"/>
                <w:sz w:val="20"/>
              </w:rPr>
            </w:pPr>
          </w:p>
        </w:tc>
      </w:tr>
      <w:tr w14:paraId="754B4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066" w:type="dxa"/>
          </w:tcPr>
          <w:p w14:paraId="067E7D76">
            <w:pPr>
              <w:pStyle w:val="42"/>
              <w:spacing w:before="166"/>
              <w:ind w:right="1361"/>
              <w:jc w:val="right"/>
              <w:rPr>
                <w:sz w:val="21"/>
              </w:rPr>
            </w:pPr>
            <w:r>
              <w:rPr>
                <w:rFonts w:ascii="Times New Roman" w:eastAsia="Times New Roman"/>
                <w:sz w:val="21"/>
              </w:rPr>
              <w:t xml:space="preserve">3. </w:t>
            </w:r>
            <w:r>
              <w:rPr>
                <w:sz w:val="21"/>
              </w:rPr>
              <w:t>主营业务利润率</w:t>
            </w:r>
          </w:p>
        </w:tc>
        <w:tc>
          <w:tcPr>
            <w:tcW w:w="900" w:type="dxa"/>
          </w:tcPr>
          <w:p w14:paraId="5975A394">
            <w:pPr>
              <w:pStyle w:val="42"/>
              <w:spacing w:before="178"/>
              <w:ind w:left="29"/>
              <w:jc w:val="center"/>
              <w:rPr>
                <w:rFonts w:ascii="Times New Roman"/>
                <w:sz w:val="21"/>
              </w:rPr>
            </w:pPr>
            <w:r>
              <w:rPr>
                <w:rFonts w:ascii="Times New Roman"/>
                <w:w w:val="100"/>
                <w:sz w:val="21"/>
              </w:rPr>
              <w:t>%</w:t>
            </w:r>
          </w:p>
        </w:tc>
        <w:tc>
          <w:tcPr>
            <w:tcW w:w="1320" w:type="dxa"/>
          </w:tcPr>
          <w:p w14:paraId="66459514">
            <w:pPr>
              <w:pStyle w:val="42"/>
              <w:rPr>
                <w:rFonts w:ascii="Times New Roman"/>
                <w:sz w:val="20"/>
              </w:rPr>
            </w:pPr>
          </w:p>
        </w:tc>
        <w:tc>
          <w:tcPr>
            <w:tcW w:w="1321" w:type="dxa"/>
          </w:tcPr>
          <w:p w14:paraId="10AE3716">
            <w:pPr>
              <w:pStyle w:val="42"/>
              <w:rPr>
                <w:rFonts w:ascii="Times New Roman"/>
                <w:sz w:val="20"/>
              </w:rPr>
            </w:pPr>
          </w:p>
        </w:tc>
        <w:tc>
          <w:tcPr>
            <w:tcW w:w="1320" w:type="dxa"/>
          </w:tcPr>
          <w:p w14:paraId="6BC618DD">
            <w:pPr>
              <w:pStyle w:val="42"/>
              <w:rPr>
                <w:rFonts w:ascii="Times New Roman"/>
                <w:sz w:val="20"/>
              </w:rPr>
            </w:pPr>
          </w:p>
        </w:tc>
      </w:tr>
      <w:tr w14:paraId="38995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Pr>
          <w:p w14:paraId="0A595A5B">
            <w:pPr>
              <w:pStyle w:val="42"/>
              <w:spacing w:before="166"/>
              <w:ind w:left="952"/>
              <w:rPr>
                <w:sz w:val="21"/>
              </w:rPr>
            </w:pPr>
            <w:r>
              <w:rPr>
                <w:rFonts w:ascii="Times New Roman" w:eastAsia="Times New Roman"/>
                <w:sz w:val="21"/>
              </w:rPr>
              <w:t xml:space="preserve">4. </w:t>
            </w:r>
            <w:r>
              <w:rPr>
                <w:sz w:val="21"/>
              </w:rPr>
              <w:t>资产负债率</w:t>
            </w:r>
          </w:p>
        </w:tc>
        <w:tc>
          <w:tcPr>
            <w:tcW w:w="900" w:type="dxa"/>
          </w:tcPr>
          <w:p w14:paraId="4F05EA8D">
            <w:pPr>
              <w:pStyle w:val="42"/>
              <w:spacing w:before="178"/>
              <w:ind w:left="29"/>
              <w:jc w:val="center"/>
              <w:rPr>
                <w:rFonts w:ascii="Times New Roman"/>
                <w:sz w:val="21"/>
              </w:rPr>
            </w:pPr>
            <w:r>
              <w:rPr>
                <w:rFonts w:ascii="Times New Roman"/>
                <w:w w:val="100"/>
                <w:sz w:val="21"/>
              </w:rPr>
              <w:t>%</w:t>
            </w:r>
          </w:p>
        </w:tc>
        <w:tc>
          <w:tcPr>
            <w:tcW w:w="1320" w:type="dxa"/>
          </w:tcPr>
          <w:p w14:paraId="73502512">
            <w:pPr>
              <w:pStyle w:val="42"/>
              <w:rPr>
                <w:rFonts w:ascii="Times New Roman"/>
                <w:sz w:val="20"/>
              </w:rPr>
            </w:pPr>
          </w:p>
        </w:tc>
        <w:tc>
          <w:tcPr>
            <w:tcW w:w="1321" w:type="dxa"/>
          </w:tcPr>
          <w:p w14:paraId="7551B0BB">
            <w:pPr>
              <w:pStyle w:val="42"/>
              <w:rPr>
                <w:rFonts w:ascii="Times New Roman"/>
                <w:sz w:val="20"/>
              </w:rPr>
            </w:pPr>
          </w:p>
        </w:tc>
        <w:tc>
          <w:tcPr>
            <w:tcW w:w="1320" w:type="dxa"/>
          </w:tcPr>
          <w:p w14:paraId="6396673F">
            <w:pPr>
              <w:pStyle w:val="42"/>
              <w:rPr>
                <w:rFonts w:ascii="Times New Roman"/>
                <w:sz w:val="20"/>
              </w:rPr>
            </w:pPr>
          </w:p>
        </w:tc>
      </w:tr>
      <w:tr w14:paraId="24398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4066" w:type="dxa"/>
          </w:tcPr>
          <w:p w14:paraId="5C044A5B">
            <w:pPr>
              <w:pStyle w:val="42"/>
              <w:spacing w:before="166"/>
              <w:ind w:left="952"/>
              <w:rPr>
                <w:sz w:val="21"/>
              </w:rPr>
            </w:pPr>
            <w:r>
              <w:rPr>
                <w:rFonts w:ascii="Times New Roman" w:eastAsia="Times New Roman"/>
                <w:sz w:val="21"/>
              </w:rPr>
              <w:t xml:space="preserve">5. </w:t>
            </w:r>
            <w:r>
              <w:rPr>
                <w:sz w:val="21"/>
              </w:rPr>
              <w:t>流动比率</w:t>
            </w:r>
          </w:p>
        </w:tc>
        <w:tc>
          <w:tcPr>
            <w:tcW w:w="900" w:type="dxa"/>
          </w:tcPr>
          <w:p w14:paraId="1404CB5E">
            <w:pPr>
              <w:pStyle w:val="42"/>
              <w:spacing w:before="178"/>
              <w:ind w:left="29"/>
              <w:jc w:val="center"/>
              <w:rPr>
                <w:rFonts w:ascii="Times New Roman"/>
                <w:sz w:val="21"/>
              </w:rPr>
            </w:pPr>
            <w:r>
              <w:rPr>
                <w:rFonts w:ascii="Times New Roman"/>
                <w:w w:val="100"/>
                <w:sz w:val="21"/>
              </w:rPr>
              <w:t>%</w:t>
            </w:r>
          </w:p>
        </w:tc>
        <w:tc>
          <w:tcPr>
            <w:tcW w:w="1320" w:type="dxa"/>
          </w:tcPr>
          <w:p w14:paraId="25FD166E">
            <w:pPr>
              <w:pStyle w:val="42"/>
              <w:rPr>
                <w:rFonts w:ascii="Times New Roman"/>
                <w:sz w:val="20"/>
              </w:rPr>
            </w:pPr>
          </w:p>
        </w:tc>
        <w:tc>
          <w:tcPr>
            <w:tcW w:w="1321" w:type="dxa"/>
          </w:tcPr>
          <w:p w14:paraId="044228D7">
            <w:pPr>
              <w:pStyle w:val="42"/>
              <w:rPr>
                <w:rFonts w:ascii="Times New Roman"/>
                <w:sz w:val="20"/>
              </w:rPr>
            </w:pPr>
          </w:p>
        </w:tc>
        <w:tc>
          <w:tcPr>
            <w:tcW w:w="1320" w:type="dxa"/>
          </w:tcPr>
          <w:p w14:paraId="2B1B0019">
            <w:pPr>
              <w:pStyle w:val="42"/>
              <w:rPr>
                <w:rFonts w:ascii="Times New Roman"/>
                <w:sz w:val="20"/>
              </w:rPr>
            </w:pPr>
          </w:p>
        </w:tc>
      </w:tr>
      <w:tr w14:paraId="6B3C8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4066" w:type="dxa"/>
          </w:tcPr>
          <w:p w14:paraId="5B617998">
            <w:pPr>
              <w:pStyle w:val="42"/>
              <w:spacing w:before="169"/>
              <w:ind w:left="952"/>
              <w:rPr>
                <w:sz w:val="21"/>
              </w:rPr>
            </w:pPr>
            <w:r>
              <w:rPr>
                <w:rFonts w:ascii="Times New Roman" w:eastAsia="Times New Roman"/>
                <w:sz w:val="21"/>
              </w:rPr>
              <w:t xml:space="preserve">6. </w:t>
            </w:r>
            <w:r>
              <w:rPr>
                <w:sz w:val="21"/>
              </w:rPr>
              <w:t>速动比率</w:t>
            </w:r>
          </w:p>
        </w:tc>
        <w:tc>
          <w:tcPr>
            <w:tcW w:w="900" w:type="dxa"/>
          </w:tcPr>
          <w:p w14:paraId="611116D3">
            <w:pPr>
              <w:pStyle w:val="42"/>
              <w:spacing w:before="180"/>
              <w:ind w:left="29"/>
              <w:jc w:val="center"/>
              <w:rPr>
                <w:rFonts w:ascii="Times New Roman"/>
                <w:sz w:val="21"/>
              </w:rPr>
            </w:pPr>
            <w:r>
              <w:rPr>
                <w:rFonts w:ascii="Times New Roman"/>
                <w:w w:val="100"/>
                <w:sz w:val="21"/>
              </w:rPr>
              <w:t>%</w:t>
            </w:r>
          </w:p>
        </w:tc>
        <w:tc>
          <w:tcPr>
            <w:tcW w:w="1320" w:type="dxa"/>
          </w:tcPr>
          <w:p w14:paraId="4A55EF81">
            <w:pPr>
              <w:pStyle w:val="42"/>
              <w:rPr>
                <w:rFonts w:ascii="Times New Roman"/>
                <w:sz w:val="20"/>
              </w:rPr>
            </w:pPr>
          </w:p>
        </w:tc>
        <w:tc>
          <w:tcPr>
            <w:tcW w:w="1321" w:type="dxa"/>
          </w:tcPr>
          <w:p w14:paraId="25865F45">
            <w:pPr>
              <w:pStyle w:val="42"/>
              <w:rPr>
                <w:rFonts w:ascii="Times New Roman"/>
                <w:sz w:val="20"/>
              </w:rPr>
            </w:pPr>
          </w:p>
        </w:tc>
        <w:tc>
          <w:tcPr>
            <w:tcW w:w="1320" w:type="dxa"/>
          </w:tcPr>
          <w:p w14:paraId="47F019F2">
            <w:pPr>
              <w:pStyle w:val="42"/>
              <w:rPr>
                <w:rFonts w:ascii="Times New Roman"/>
                <w:sz w:val="20"/>
              </w:rPr>
            </w:pPr>
          </w:p>
        </w:tc>
      </w:tr>
    </w:tbl>
    <w:p w14:paraId="4420BD97">
      <w:pPr>
        <w:pStyle w:val="12"/>
        <w:rPr>
          <w:rFonts w:ascii="黑体"/>
        </w:rPr>
      </w:pPr>
    </w:p>
    <w:p w14:paraId="6001DC8E">
      <w:pPr>
        <w:bidi w:val="0"/>
      </w:pPr>
      <w:r>
        <w:t>注：1.投标人应根据招标文件第二章“投标人须知”第 3.5.2 项的要求在本表后附相关证明材料。</w:t>
      </w:r>
    </w:p>
    <w:p w14:paraId="21FB5C9C">
      <w:pPr>
        <w:bidi w:val="0"/>
        <w:ind w:firstLine="440" w:firstLineChars="200"/>
      </w:pPr>
      <w:r>
        <w:rPr>
          <w:rFonts w:hint="eastAsia"/>
          <w:lang w:val="en-US" w:eastAsia="zh-CN"/>
        </w:rPr>
        <w:t>2.</w:t>
      </w:r>
      <w:r>
        <w:t>本表所列数据必须与本表各附件中的数据相一致。</w:t>
      </w:r>
    </w:p>
    <w:p w14:paraId="2B97DD7D">
      <w:pPr>
        <w:bidi w:val="0"/>
        <w:ind w:firstLine="440" w:firstLineChars="200"/>
      </w:pPr>
      <w:r>
        <w:rPr>
          <w:rFonts w:hint="eastAsia"/>
          <w:lang w:val="en-US" w:eastAsia="zh-CN"/>
        </w:rPr>
        <w:t>3.</w:t>
      </w:r>
      <w:r>
        <w:t>以联合体形式参与投标的，联合体各成员应分别填写。</w:t>
      </w:r>
    </w:p>
    <w:p w14:paraId="13506327">
      <w:pPr>
        <w:bidi w:val="0"/>
        <w:sectPr>
          <w:footerReference r:id="rId89" w:type="default"/>
          <w:footerReference r:id="rId90" w:type="even"/>
          <w:pgSz w:w="11910" w:h="16850"/>
          <w:pgMar w:top="1540" w:right="1140" w:bottom="1060" w:left="1380" w:header="876" w:footer="860" w:gutter="0"/>
          <w:pgNumType w:fmt="decimal"/>
          <w:cols w:space="720" w:num="1"/>
        </w:sectPr>
      </w:pPr>
    </w:p>
    <w:p w14:paraId="290EBE77">
      <w:pPr>
        <w:pStyle w:val="12"/>
        <w:spacing w:before="108"/>
        <w:ind w:right="180"/>
        <w:jc w:val="center"/>
        <w:rPr>
          <w:rFonts w:hint="eastAsia" w:ascii="黑体" w:eastAsia="黑体"/>
        </w:rPr>
      </w:pPr>
      <w:bookmarkStart w:id="445" w:name="_bookmark314"/>
      <w:bookmarkEnd w:id="445"/>
      <w:r>
        <w:rPr>
          <w:rFonts w:hint="eastAsia" w:ascii="黑体" w:eastAsia="黑体"/>
        </w:rPr>
        <w:t>（四）近年完成的类似项目情况表</w:t>
      </w:r>
    </w:p>
    <w:p w14:paraId="651EC7F9">
      <w:pPr>
        <w:pStyle w:val="12"/>
        <w:rPr>
          <w:rFonts w:ascii="黑体"/>
          <w:sz w:val="20"/>
        </w:rPr>
      </w:pPr>
    </w:p>
    <w:p w14:paraId="355C2557">
      <w:pPr>
        <w:pStyle w:val="12"/>
        <w:spacing w:before="5"/>
        <w:rPr>
          <w:rFonts w:ascii="黑体"/>
          <w:sz w:val="14"/>
        </w:rPr>
      </w:pPr>
    </w:p>
    <w:tbl>
      <w:tblPr>
        <w:tblStyle w:val="25"/>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7"/>
        <w:gridCol w:w="6527"/>
      </w:tblGrid>
      <w:tr w14:paraId="1E54E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367" w:type="dxa"/>
          </w:tcPr>
          <w:p w14:paraId="0F47C461">
            <w:pPr>
              <w:pStyle w:val="42"/>
              <w:spacing w:before="1"/>
              <w:rPr>
                <w:rFonts w:ascii="黑体"/>
                <w:sz w:val="20"/>
              </w:rPr>
            </w:pPr>
          </w:p>
          <w:p w14:paraId="3C822FE7">
            <w:pPr>
              <w:pStyle w:val="42"/>
              <w:tabs>
                <w:tab w:val="left" w:pos="642"/>
              </w:tabs>
              <w:ind w:left="11"/>
              <w:jc w:val="center"/>
              <w:rPr>
                <w:sz w:val="21"/>
              </w:rPr>
            </w:pPr>
            <w:r>
              <w:rPr>
                <w:sz w:val="21"/>
              </w:rPr>
              <w:t>序</w:t>
            </w:r>
            <w:r>
              <w:rPr>
                <w:sz w:val="21"/>
              </w:rPr>
              <w:tab/>
            </w:r>
            <w:r>
              <w:rPr>
                <w:sz w:val="21"/>
              </w:rPr>
              <w:t>号</w:t>
            </w:r>
          </w:p>
        </w:tc>
        <w:tc>
          <w:tcPr>
            <w:tcW w:w="6527" w:type="dxa"/>
          </w:tcPr>
          <w:p w14:paraId="7487D771">
            <w:pPr>
              <w:pStyle w:val="42"/>
              <w:rPr>
                <w:rFonts w:ascii="Times New Roman"/>
                <w:sz w:val="20"/>
              </w:rPr>
            </w:pPr>
          </w:p>
        </w:tc>
      </w:tr>
      <w:tr w14:paraId="5CCAE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367" w:type="dxa"/>
          </w:tcPr>
          <w:p w14:paraId="3A4C2941">
            <w:pPr>
              <w:pStyle w:val="42"/>
              <w:spacing w:before="11"/>
              <w:rPr>
                <w:rFonts w:ascii="黑体"/>
                <w:sz w:val="20"/>
              </w:rPr>
            </w:pPr>
          </w:p>
          <w:p w14:paraId="3EF0D7EF">
            <w:pPr>
              <w:pStyle w:val="42"/>
              <w:ind w:left="4"/>
              <w:jc w:val="center"/>
              <w:rPr>
                <w:sz w:val="20"/>
              </w:rPr>
            </w:pPr>
            <w:r>
              <w:rPr>
                <w:sz w:val="20"/>
              </w:rPr>
              <w:t>项目名称</w:t>
            </w:r>
          </w:p>
        </w:tc>
        <w:tc>
          <w:tcPr>
            <w:tcW w:w="6527" w:type="dxa"/>
          </w:tcPr>
          <w:p w14:paraId="48453DBD">
            <w:pPr>
              <w:pStyle w:val="42"/>
              <w:rPr>
                <w:rFonts w:ascii="Times New Roman"/>
                <w:sz w:val="20"/>
              </w:rPr>
            </w:pPr>
          </w:p>
        </w:tc>
      </w:tr>
      <w:tr w14:paraId="4826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367" w:type="dxa"/>
          </w:tcPr>
          <w:p w14:paraId="343CF777">
            <w:pPr>
              <w:pStyle w:val="42"/>
              <w:spacing w:before="5"/>
              <w:rPr>
                <w:rFonts w:ascii="黑体"/>
                <w:sz w:val="18"/>
              </w:rPr>
            </w:pPr>
          </w:p>
          <w:p w14:paraId="21D5D815">
            <w:pPr>
              <w:pStyle w:val="42"/>
              <w:spacing w:before="1"/>
              <w:ind w:left="3"/>
              <w:jc w:val="center"/>
              <w:rPr>
                <w:sz w:val="20"/>
              </w:rPr>
            </w:pPr>
            <w:r>
              <w:rPr>
                <w:sz w:val="20"/>
              </w:rPr>
              <w:t>项目所在地</w:t>
            </w:r>
          </w:p>
        </w:tc>
        <w:tc>
          <w:tcPr>
            <w:tcW w:w="6527" w:type="dxa"/>
          </w:tcPr>
          <w:p w14:paraId="462E0BCD">
            <w:pPr>
              <w:pStyle w:val="42"/>
              <w:rPr>
                <w:rFonts w:ascii="Times New Roman"/>
                <w:sz w:val="20"/>
              </w:rPr>
            </w:pPr>
          </w:p>
        </w:tc>
      </w:tr>
      <w:tr w14:paraId="72EDD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367" w:type="dxa"/>
          </w:tcPr>
          <w:p w14:paraId="5EAD6141">
            <w:pPr>
              <w:pStyle w:val="42"/>
              <w:spacing w:before="8"/>
              <w:rPr>
                <w:rFonts w:ascii="黑体"/>
                <w:sz w:val="18"/>
              </w:rPr>
            </w:pPr>
          </w:p>
          <w:p w14:paraId="01DA75A2">
            <w:pPr>
              <w:pStyle w:val="42"/>
              <w:spacing w:before="1"/>
              <w:ind w:left="3"/>
              <w:jc w:val="center"/>
              <w:rPr>
                <w:sz w:val="20"/>
              </w:rPr>
            </w:pPr>
            <w:r>
              <w:rPr>
                <w:sz w:val="20"/>
              </w:rPr>
              <w:t>发包人名称</w:t>
            </w:r>
          </w:p>
        </w:tc>
        <w:tc>
          <w:tcPr>
            <w:tcW w:w="6527" w:type="dxa"/>
          </w:tcPr>
          <w:p w14:paraId="5718791F">
            <w:pPr>
              <w:pStyle w:val="42"/>
              <w:rPr>
                <w:rFonts w:ascii="Times New Roman"/>
                <w:sz w:val="20"/>
              </w:rPr>
            </w:pPr>
          </w:p>
        </w:tc>
      </w:tr>
      <w:tr w14:paraId="73DC4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367" w:type="dxa"/>
          </w:tcPr>
          <w:p w14:paraId="0580CFF3">
            <w:pPr>
              <w:pStyle w:val="42"/>
              <w:spacing w:before="5"/>
              <w:rPr>
                <w:rFonts w:ascii="黑体"/>
                <w:sz w:val="18"/>
              </w:rPr>
            </w:pPr>
          </w:p>
          <w:p w14:paraId="2AF98991">
            <w:pPr>
              <w:pStyle w:val="42"/>
              <w:spacing w:before="1"/>
              <w:ind w:left="3"/>
              <w:jc w:val="center"/>
              <w:rPr>
                <w:sz w:val="20"/>
              </w:rPr>
            </w:pPr>
            <w:r>
              <w:rPr>
                <w:sz w:val="20"/>
              </w:rPr>
              <w:t>发包人地址</w:t>
            </w:r>
          </w:p>
        </w:tc>
        <w:tc>
          <w:tcPr>
            <w:tcW w:w="6527" w:type="dxa"/>
          </w:tcPr>
          <w:p w14:paraId="13628753">
            <w:pPr>
              <w:pStyle w:val="42"/>
              <w:rPr>
                <w:rFonts w:ascii="Times New Roman"/>
                <w:sz w:val="20"/>
              </w:rPr>
            </w:pPr>
          </w:p>
        </w:tc>
      </w:tr>
      <w:tr w14:paraId="165D3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367" w:type="dxa"/>
          </w:tcPr>
          <w:p w14:paraId="404433D8">
            <w:pPr>
              <w:pStyle w:val="42"/>
              <w:spacing w:before="10"/>
              <w:rPr>
                <w:rFonts w:ascii="黑体"/>
                <w:sz w:val="18"/>
              </w:rPr>
            </w:pPr>
          </w:p>
          <w:p w14:paraId="1CE7BC6D">
            <w:pPr>
              <w:pStyle w:val="42"/>
              <w:ind w:left="3"/>
              <w:jc w:val="center"/>
              <w:rPr>
                <w:sz w:val="20"/>
              </w:rPr>
            </w:pPr>
            <w:r>
              <w:rPr>
                <w:sz w:val="20"/>
              </w:rPr>
              <w:t>发包人电话</w:t>
            </w:r>
          </w:p>
        </w:tc>
        <w:tc>
          <w:tcPr>
            <w:tcW w:w="6527" w:type="dxa"/>
          </w:tcPr>
          <w:p w14:paraId="68E7D5F0">
            <w:pPr>
              <w:pStyle w:val="42"/>
              <w:rPr>
                <w:rFonts w:ascii="Times New Roman"/>
                <w:sz w:val="20"/>
              </w:rPr>
            </w:pPr>
          </w:p>
        </w:tc>
      </w:tr>
      <w:tr w14:paraId="23410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367" w:type="dxa"/>
          </w:tcPr>
          <w:p w14:paraId="21F0EF53">
            <w:pPr>
              <w:pStyle w:val="42"/>
              <w:spacing w:before="8"/>
              <w:rPr>
                <w:rFonts w:ascii="黑体"/>
                <w:sz w:val="18"/>
              </w:rPr>
            </w:pPr>
          </w:p>
          <w:p w14:paraId="32CC6CFB">
            <w:pPr>
              <w:pStyle w:val="42"/>
              <w:ind w:left="4"/>
              <w:jc w:val="center"/>
              <w:rPr>
                <w:sz w:val="20"/>
              </w:rPr>
            </w:pPr>
            <w:r>
              <w:rPr>
                <w:sz w:val="20"/>
              </w:rPr>
              <w:t>合同价格</w:t>
            </w:r>
          </w:p>
        </w:tc>
        <w:tc>
          <w:tcPr>
            <w:tcW w:w="6527" w:type="dxa"/>
          </w:tcPr>
          <w:p w14:paraId="124C87D8">
            <w:pPr>
              <w:pStyle w:val="42"/>
              <w:rPr>
                <w:rFonts w:ascii="Times New Roman"/>
                <w:sz w:val="20"/>
              </w:rPr>
            </w:pPr>
          </w:p>
        </w:tc>
      </w:tr>
      <w:tr w14:paraId="3EDE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367" w:type="dxa"/>
          </w:tcPr>
          <w:p w14:paraId="52C23654">
            <w:pPr>
              <w:pStyle w:val="42"/>
              <w:spacing w:before="5"/>
              <w:rPr>
                <w:rFonts w:ascii="黑体"/>
                <w:sz w:val="18"/>
              </w:rPr>
            </w:pPr>
          </w:p>
          <w:p w14:paraId="52E63CD9">
            <w:pPr>
              <w:pStyle w:val="42"/>
              <w:spacing w:before="1"/>
              <w:ind w:left="4"/>
              <w:jc w:val="center"/>
              <w:rPr>
                <w:sz w:val="20"/>
              </w:rPr>
            </w:pPr>
            <w:r>
              <w:rPr>
                <w:sz w:val="20"/>
              </w:rPr>
              <w:t>开工日期</w:t>
            </w:r>
          </w:p>
        </w:tc>
        <w:tc>
          <w:tcPr>
            <w:tcW w:w="6527" w:type="dxa"/>
          </w:tcPr>
          <w:p w14:paraId="63BEE962">
            <w:pPr>
              <w:pStyle w:val="42"/>
              <w:rPr>
                <w:rFonts w:ascii="Times New Roman"/>
                <w:sz w:val="20"/>
              </w:rPr>
            </w:pPr>
          </w:p>
        </w:tc>
      </w:tr>
      <w:tr w14:paraId="7B74E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367" w:type="dxa"/>
          </w:tcPr>
          <w:p w14:paraId="5565E668">
            <w:pPr>
              <w:pStyle w:val="42"/>
              <w:spacing w:before="3"/>
              <w:rPr>
                <w:rFonts w:ascii="黑体"/>
                <w:sz w:val="19"/>
              </w:rPr>
            </w:pPr>
          </w:p>
          <w:p w14:paraId="35A003B7">
            <w:pPr>
              <w:pStyle w:val="42"/>
              <w:ind w:left="4"/>
              <w:jc w:val="center"/>
              <w:rPr>
                <w:sz w:val="20"/>
              </w:rPr>
            </w:pPr>
            <w:r>
              <w:rPr>
                <w:sz w:val="20"/>
              </w:rPr>
              <w:t>交工日期</w:t>
            </w:r>
          </w:p>
        </w:tc>
        <w:tc>
          <w:tcPr>
            <w:tcW w:w="6527" w:type="dxa"/>
          </w:tcPr>
          <w:p w14:paraId="3237BB60">
            <w:pPr>
              <w:pStyle w:val="42"/>
              <w:rPr>
                <w:rFonts w:ascii="Times New Roman"/>
                <w:sz w:val="20"/>
              </w:rPr>
            </w:pPr>
          </w:p>
        </w:tc>
      </w:tr>
      <w:tr w14:paraId="7BC72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367" w:type="dxa"/>
          </w:tcPr>
          <w:p w14:paraId="0FE0A59C">
            <w:pPr>
              <w:pStyle w:val="42"/>
              <w:spacing w:before="5"/>
              <w:rPr>
                <w:rFonts w:ascii="黑体"/>
                <w:sz w:val="18"/>
              </w:rPr>
            </w:pPr>
          </w:p>
          <w:p w14:paraId="7EEF74D7">
            <w:pPr>
              <w:pStyle w:val="42"/>
              <w:spacing w:before="1"/>
              <w:ind w:left="3"/>
              <w:jc w:val="center"/>
              <w:rPr>
                <w:sz w:val="20"/>
              </w:rPr>
            </w:pPr>
            <w:r>
              <w:rPr>
                <w:sz w:val="20"/>
              </w:rPr>
              <w:t>承担的工作</w:t>
            </w:r>
          </w:p>
        </w:tc>
        <w:tc>
          <w:tcPr>
            <w:tcW w:w="6527" w:type="dxa"/>
          </w:tcPr>
          <w:p w14:paraId="3D643E16">
            <w:pPr>
              <w:pStyle w:val="42"/>
              <w:rPr>
                <w:rFonts w:ascii="Times New Roman"/>
                <w:sz w:val="20"/>
              </w:rPr>
            </w:pPr>
          </w:p>
        </w:tc>
      </w:tr>
      <w:tr w14:paraId="6519F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367" w:type="dxa"/>
          </w:tcPr>
          <w:p w14:paraId="6D155B28">
            <w:pPr>
              <w:pStyle w:val="42"/>
              <w:spacing w:before="8"/>
              <w:rPr>
                <w:rFonts w:ascii="黑体"/>
                <w:sz w:val="18"/>
              </w:rPr>
            </w:pPr>
          </w:p>
          <w:p w14:paraId="4FD51624">
            <w:pPr>
              <w:pStyle w:val="42"/>
              <w:ind w:left="4"/>
              <w:jc w:val="center"/>
              <w:rPr>
                <w:sz w:val="20"/>
              </w:rPr>
            </w:pPr>
            <w:r>
              <w:rPr>
                <w:sz w:val="20"/>
              </w:rPr>
              <w:t>工程质量</w:t>
            </w:r>
          </w:p>
        </w:tc>
        <w:tc>
          <w:tcPr>
            <w:tcW w:w="6527" w:type="dxa"/>
          </w:tcPr>
          <w:p w14:paraId="6EE21245">
            <w:pPr>
              <w:pStyle w:val="42"/>
              <w:rPr>
                <w:rFonts w:ascii="Times New Roman"/>
                <w:sz w:val="20"/>
              </w:rPr>
            </w:pPr>
          </w:p>
        </w:tc>
      </w:tr>
      <w:tr w14:paraId="0442C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367" w:type="dxa"/>
          </w:tcPr>
          <w:p w14:paraId="32E9C747">
            <w:pPr>
              <w:pStyle w:val="42"/>
              <w:spacing w:before="5"/>
              <w:rPr>
                <w:rFonts w:ascii="黑体"/>
                <w:sz w:val="18"/>
              </w:rPr>
            </w:pPr>
          </w:p>
          <w:p w14:paraId="5344646F">
            <w:pPr>
              <w:pStyle w:val="42"/>
              <w:spacing w:before="1"/>
              <w:ind w:left="4"/>
              <w:jc w:val="center"/>
              <w:rPr>
                <w:sz w:val="20"/>
              </w:rPr>
            </w:pPr>
            <w:r>
              <w:rPr>
                <w:sz w:val="20"/>
              </w:rPr>
              <w:t>项目经理</w:t>
            </w:r>
          </w:p>
        </w:tc>
        <w:tc>
          <w:tcPr>
            <w:tcW w:w="6527" w:type="dxa"/>
          </w:tcPr>
          <w:p w14:paraId="4E13C2E2">
            <w:pPr>
              <w:pStyle w:val="42"/>
              <w:rPr>
                <w:rFonts w:ascii="Times New Roman"/>
                <w:sz w:val="20"/>
              </w:rPr>
            </w:pPr>
          </w:p>
        </w:tc>
      </w:tr>
      <w:tr w14:paraId="7C94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367" w:type="dxa"/>
          </w:tcPr>
          <w:p w14:paraId="7D23ADEF">
            <w:pPr>
              <w:pStyle w:val="42"/>
              <w:spacing w:before="10"/>
              <w:rPr>
                <w:rFonts w:ascii="黑体"/>
                <w:sz w:val="18"/>
              </w:rPr>
            </w:pPr>
          </w:p>
          <w:p w14:paraId="425EF039">
            <w:pPr>
              <w:pStyle w:val="42"/>
              <w:ind w:left="4"/>
              <w:jc w:val="center"/>
              <w:rPr>
                <w:sz w:val="20"/>
              </w:rPr>
            </w:pPr>
            <w:r>
              <w:rPr>
                <w:sz w:val="20"/>
              </w:rPr>
              <w:t>项目总工</w:t>
            </w:r>
          </w:p>
        </w:tc>
        <w:tc>
          <w:tcPr>
            <w:tcW w:w="6527" w:type="dxa"/>
          </w:tcPr>
          <w:p w14:paraId="1D9A7C07">
            <w:pPr>
              <w:pStyle w:val="42"/>
              <w:rPr>
                <w:rFonts w:ascii="Times New Roman"/>
                <w:sz w:val="20"/>
              </w:rPr>
            </w:pPr>
          </w:p>
        </w:tc>
      </w:tr>
      <w:tr w14:paraId="13295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367" w:type="dxa"/>
          </w:tcPr>
          <w:p w14:paraId="092308C5">
            <w:pPr>
              <w:pStyle w:val="42"/>
              <w:spacing w:before="8"/>
              <w:rPr>
                <w:rFonts w:ascii="黑体"/>
                <w:sz w:val="18"/>
              </w:rPr>
            </w:pPr>
          </w:p>
          <w:p w14:paraId="2B203F9C">
            <w:pPr>
              <w:pStyle w:val="42"/>
              <w:spacing w:before="1"/>
              <w:ind w:left="6"/>
              <w:jc w:val="center"/>
              <w:rPr>
                <w:sz w:val="20"/>
              </w:rPr>
            </w:pPr>
            <w:r>
              <w:rPr>
                <w:sz w:val="20"/>
              </w:rPr>
              <w:t>总监理工程师及电话</w:t>
            </w:r>
          </w:p>
        </w:tc>
        <w:tc>
          <w:tcPr>
            <w:tcW w:w="6527" w:type="dxa"/>
          </w:tcPr>
          <w:p w14:paraId="16D8F260">
            <w:pPr>
              <w:pStyle w:val="42"/>
              <w:rPr>
                <w:rFonts w:ascii="Times New Roman"/>
                <w:sz w:val="20"/>
              </w:rPr>
            </w:pPr>
          </w:p>
        </w:tc>
      </w:tr>
      <w:tr w14:paraId="236CF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2367" w:type="dxa"/>
          </w:tcPr>
          <w:p w14:paraId="69695683">
            <w:pPr>
              <w:pStyle w:val="42"/>
              <w:rPr>
                <w:rFonts w:ascii="黑体"/>
                <w:sz w:val="20"/>
              </w:rPr>
            </w:pPr>
          </w:p>
          <w:p w14:paraId="3E884F6E">
            <w:pPr>
              <w:pStyle w:val="42"/>
              <w:spacing w:before="2"/>
              <w:rPr>
                <w:rFonts w:ascii="黑体"/>
                <w:sz w:val="26"/>
              </w:rPr>
            </w:pPr>
          </w:p>
          <w:p w14:paraId="79AC3809">
            <w:pPr>
              <w:pStyle w:val="42"/>
              <w:ind w:left="4"/>
              <w:jc w:val="center"/>
              <w:rPr>
                <w:sz w:val="20"/>
              </w:rPr>
            </w:pPr>
            <w:r>
              <w:rPr>
                <w:sz w:val="20"/>
              </w:rPr>
              <w:t>项目描述</w:t>
            </w:r>
          </w:p>
        </w:tc>
        <w:tc>
          <w:tcPr>
            <w:tcW w:w="6527" w:type="dxa"/>
          </w:tcPr>
          <w:p w14:paraId="0EF67186">
            <w:pPr>
              <w:pStyle w:val="42"/>
              <w:rPr>
                <w:rFonts w:ascii="Times New Roman"/>
                <w:sz w:val="20"/>
              </w:rPr>
            </w:pPr>
          </w:p>
        </w:tc>
      </w:tr>
      <w:tr w14:paraId="3AA49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367" w:type="dxa"/>
          </w:tcPr>
          <w:p w14:paraId="7CD79EDD">
            <w:pPr>
              <w:pStyle w:val="42"/>
              <w:spacing w:before="3"/>
              <w:rPr>
                <w:rFonts w:ascii="黑体"/>
                <w:sz w:val="18"/>
              </w:rPr>
            </w:pPr>
          </w:p>
          <w:p w14:paraId="1A122D06">
            <w:pPr>
              <w:pStyle w:val="42"/>
              <w:ind w:left="4"/>
              <w:jc w:val="center"/>
              <w:rPr>
                <w:sz w:val="20"/>
              </w:rPr>
            </w:pPr>
            <w:r>
              <w:rPr>
                <w:sz w:val="20"/>
              </w:rPr>
              <w:t>备注</w:t>
            </w:r>
          </w:p>
        </w:tc>
        <w:tc>
          <w:tcPr>
            <w:tcW w:w="6527" w:type="dxa"/>
          </w:tcPr>
          <w:p w14:paraId="0D209E28">
            <w:pPr>
              <w:pStyle w:val="42"/>
              <w:rPr>
                <w:rFonts w:ascii="Times New Roman"/>
                <w:sz w:val="20"/>
              </w:rPr>
            </w:pPr>
          </w:p>
        </w:tc>
      </w:tr>
    </w:tbl>
    <w:p w14:paraId="57CB006B">
      <w:pPr>
        <w:spacing w:before="128"/>
        <w:ind w:left="264" w:right="0" w:firstLine="0"/>
        <w:jc w:val="left"/>
        <w:rPr>
          <w:sz w:val="21"/>
        </w:rPr>
      </w:pPr>
      <w:r>
        <w:rPr>
          <w:sz w:val="21"/>
        </w:rPr>
        <w:t>注：</w:t>
      </w:r>
      <w:r>
        <w:rPr>
          <w:rFonts w:ascii="Times New Roman" w:eastAsia="Times New Roman"/>
          <w:sz w:val="21"/>
        </w:rPr>
        <w:t>1.</w:t>
      </w:r>
      <w:r>
        <w:rPr>
          <w:sz w:val="21"/>
        </w:rPr>
        <w:t>每张表格只填写一个项目，并标明序号。</w:t>
      </w:r>
    </w:p>
    <w:p w14:paraId="6EA5A626">
      <w:pPr>
        <w:pStyle w:val="41"/>
        <w:numPr>
          <w:ilvl w:val="0"/>
          <w:numId w:val="13"/>
        </w:numPr>
        <w:tabs>
          <w:tab w:val="left" w:pos="844"/>
        </w:tabs>
        <w:spacing w:before="130" w:after="0" w:line="240" w:lineRule="auto"/>
        <w:ind w:left="843" w:right="0" w:hanging="160"/>
        <w:jc w:val="left"/>
        <w:rPr>
          <w:sz w:val="21"/>
        </w:rPr>
      </w:pPr>
      <w:r>
        <w:rPr>
          <w:spacing w:val="-12"/>
          <w:sz w:val="21"/>
        </w:rPr>
        <w:t xml:space="preserve">投标人应根据招标文件第二章“投标人须知”第 </w:t>
      </w:r>
      <w:r>
        <w:rPr>
          <w:rFonts w:ascii="Times New Roman" w:hAnsi="Times New Roman" w:eastAsia="Times New Roman"/>
          <w:sz w:val="21"/>
        </w:rPr>
        <w:t>3.5.3</w:t>
      </w:r>
      <w:r>
        <w:rPr>
          <w:rFonts w:ascii="Times New Roman" w:hAnsi="Times New Roman" w:eastAsia="Times New Roman"/>
          <w:spacing w:val="5"/>
          <w:sz w:val="21"/>
        </w:rPr>
        <w:t xml:space="preserve"> </w:t>
      </w:r>
      <w:r>
        <w:rPr>
          <w:spacing w:val="-3"/>
          <w:sz w:val="21"/>
        </w:rPr>
        <w:t>项的要求在本表后附相关证明材料。</w:t>
      </w:r>
    </w:p>
    <w:p w14:paraId="18AB2427">
      <w:pPr>
        <w:pStyle w:val="41"/>
        <w:numPr>
          <w:ilvl w:val="0"/>
          <w:numId w:val="13"/>
        </w:numPr>
        <w:tabs>
          <w:tab w:val="left" w:pos="844"/>
        </w:tabs>
        <w:spacing w:before="132" w:after="0" w:line="357" w:lineRule="auto"/>
        <w:ind w:left="852" w:right="440" w:hanging="168"/>
        <w:jc w:val="left"/>
        <w:rPr>
          <w:sz w:val="21"/>
        </w:rPr>
      </w:pPr>
      <w:r>
        <w:rPr>
          <w:spacing w:val="-10"/>
          <w:sz w:val="21"/>
        </w:rPr>
        <w:t>如近年来，投标人法人机构发生合法变更或重组或法人名称变更时，应提供相关部门的合</w:t>
      </w:r>
      <w:r>
        <w:rPr>
          <w:spacing w:val="-5"/>
          <w:sz w:val="21"/>
        </w:rPr>
        <w:t>法批件或其他相关证明材料来证明其所附业绩的继承性。</w:t>
      </w:r>
    </w:p>
    <w:p w14:paraId="42FAABE2">
      <w:pPr>
        <w:pStyle w:val="41"/>
        <w:numPr>
          <w:ilvl w:val="0"/>
          <w:numId w:val="13"/>
        </w:numPr>
        <w:tabs>
          <w:tab w:val="left" w:pos="844"/>
        </w:tabs>
        <w:spacing w:before="0" w:after="0" w:line="266" w:lineRule="exact"/>
        <w:ind w:left="843" w:right="0" w:hanging="160"/>
        <w:jc w:val="left"/>
        <w:rPr>
          <w:sz w:val="21"/>
        </w:rPr>
      </w:pPr>
      <w:r>
        <w:rPr>
          <w:spacing w:val="-3"/>
          <w:sz w:val="21"/>
        </w:rPr>
        <w:t>以联合体形式参与投标的，联合体各成员应分别填写。</w:t>
      </w:r>
    </w:p>
    <w:p w14:paraId="39E35A8F">
      <w:pPr>
        <w:spacing w:after="0" w:line="266" w:lineRule="exact"/>
        <w:jc w:val="left"/>
        <w:rPr>
          <w:sz w:val="21"/>
        </w:rPr>
        <w:sectPr>
          <w:footerReference r:id="rId91" w:type="default"/>
          <w:footerReference r:id="rId92" w:type="even"/>
          <w:pgSz w:w="11910" w:h="16850"/>
          <w:pgMar w:top="1540" w:right="1140" w:bottom="1060" w:left="1380" w:header="876" w:footer="860" w:gutter="0"/>
          <w:pgNumType w:fmt="decimal"/>
          <w:cols w:space="720" w:num="1"/>
        </w:sectPr>
      </w:pPr>
    </w:p>
    <w:p w14:paraId="4A99C5DB">
      <w:pPr>
        <w:pStyle w:val="12"/>
        <w:spacing w:before="12"/>
      </w:pPr>
    </w:p>
    <w:p w14:paraId="32A82D32">
      <w:pPr>
        <w:pStyle w:val="12"/>
        <w:spacing w:before="66"/>
        <w:ind w:right="180"/>
        <w:jc w:val="center"/>
        <w:rPr>
          <w:rFonts w:hint="eastAsia" w:ascii="黑体" w:eastAsia="黑体"/>
        </w:rPr>
      </w:pPr>
      <w:bookmarkStart w:id="446" w:name="_bookmark315"/>
      <w:bookmarkEnd w:id="446"/>
      <w:r>
        <w:rPr>
          <w:rFonts w:hint="eastAsia" w:ascii="黑体" w:eastAsia="黑体"/>
        </w:rPr>
        <w:t>（五）投标人的信誉情况表</w:t>
      </w:r>
    </w:p>
    <w:p w14:paraId="2B263E33">
      <w:pPr>
        <w:pStyle w:val="12"/>
        <w:rPr>
          <w:rFonts w:ascii="黑体"/>
          <w:sz w:val="20"/>
        </w:rPr>
      </w:pPr>
    </w:p>
    <w:p w14:paraId="7CD8FEB5">
      <w:pPr>
        <w:pStyle w:val="12"/>
        <w:spacing w:before="6"/>
        <w:rPr>
          <w:rFonts w:ascii="黑体"/>
          <w:sz w:val="11"/>
        </w:rPr>
      </w:pP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1"/>
        <w:gridCol w:w="4264"/>
      </w:tblGrid>
      <w:tr w14:paraId="14410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5" w:hRule="atLeast"/>
          <w:jc w:val="center"/>
        </w:trPr>
        <w:tc>
          <w:tcPr>
            <w:tcW w:w="4261" w:type="dxa"/>
          </w:tcPr>
          <w:p w14:paraId="4D952590">
            <w:pPr>
              <w:pStyle w:val="42"/>
              <w:rPr>
                <w:rFonts w:ascii="黑体"/>
                <w:sz w:val="20"/>
              </w:rPr>
            </w:pPr>
          </w:p>
          <w:p w14:paraId="61F185D1">
            <w:pPr>
              <w:pStyle w:val="42"/>
              <w:spacing w:before="8"/>
              <w:rPr>
                <w:rFonts w:ascii="黑体"/>
                <w:sz w:val="15"/>
              </w:rPr>
            </w:pPr>
          </w:p>
          <w:p w14:paraId="19125600">
            <w:pPr>
              <w:pStyle w:val="42"/>
              <w:ind w:left="1848" w:right="1838"/>
              <w:jc w:val="center"/>
              <w:rPr>
                <w:sz w:val="21"/>
              </w:rPr>
            </w:pPr>
            <w:r>
              <w:rPr>
                <w:sz w:val="21"/>
              </w:rPr>
              <w:t>项 目</w:t>
            </w:r>
          </w:p>
        </w:tc>
        <w:tc>
          <w:tcPr>
            <w:tcW w:w="4264" w:type="dxa"/>
          </w:tcPr>
          <w:p w14:paraId="179E8167">
            <w:pPr>
              <w:pStyle w:val="42"/>
              <w:rPr>
                <w:rFonts w:ascii="黑体"/>
                <w:sz w:val="20"/>
              </w:rPr>
            </w:pPr>
          </w:p>
          <w:p w14:paraId="1E7B9574">
            <w:pPr>
              <w:pStyle w:val="42"/>
              <w:spacing w:before="8"/>
              <w:rPr>
                <w:rFonts w:ascii="黑体"/>
                <w:sz w:val="15"/>
              </w:rPr>
            </w:pPr>
          </w:p>
          <w:p w14:paraId="2D95D0DD">
            <w:pPr>
              <w:pStyle w:val="42"/>
              <w:ind w:left="1394"/>
              <w:rPr>
                <w:sz w:val="21"/>
              </w:rPr>
            </w:pPr>
            <w:r>
              <w:rPr>
                <w:sz w:val="21"/>
              </w:rPr>
              <w:t>投标人情况说明</w:t>
            </w:r>
          </w:p>
        </w:tc>
      </w:tr>
      <w:tr w14:paraId="50166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4261" w:type="dxa"/>
          </w:tcPr>
          <w:p w14:paraId="2F74BD34">
            <w:pPr>
              <w:pStyle w:val="42"/>
              <w:rPr>
                <w:rFonts w:ascii="Times New Roman"/>
                <w:sz w:val="20"/>
              </w:rPr>
            </w:pPr>
          </w:p>
        </w:tc>
        <w:tc>
          <w:tcPr>
            <w:tcW w:w="4264" w:type="dxa"/>
          </w:tcPr>
          <w:p w14:paraId="14ADCA4D">
            <w:pPr>
              <w:pStyle w:val="42"/>
              <w:rPr>
                <w:rFonts w:ascii="Times New Roman"/>
                <w:sz w:val="20"/>
              </w:rPr>
            </w:pPr>
          </w:p>
        </w:tc>
      </w:tr>
      <w:tr w14:paraId="40DBB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4261" w:type="dxa"/>
          </w:tcPr>
          <w:p w14:paraId="1D0E5472">
            <w:pPr>
              <w:pStyle w:val="42"/>
              <w:rPr>
                <w:rFonts w:ascii="Times New Roman"/>
                <w:sz w:val="20"/>
              </w:rPr>
            </w:pPr>
          </w:p>
        </w:tc>
        <w:tc>
          <w:tcPr>
            <w:tcW w:w="4264" w:type="dxa"/>
          </w:tcPr>
          <w:p w14:paraId="6516CFD0">
            <w:pPr>
              <w:pStyle w:val="42"/>
              <w:rPr>
                <w:rFonts w:ascii="Times New Roman"/>
                <w:sz w:val="20"/>
              </w:rPr>
            </w:pPr>
          </w:p>
        </w:tc>
      </w:tr>
      <w:tr w14:paraId="5532A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4261" w:type="dxa"/>
          </w:tcPr>
          <w:p w14:paraId="2D191F1A">
            <w:pPr>
              <w:pStyle w:val="42"/>
              <w:rPr>
                <w:rFonts w:ascii="Times New Roman"/>
                <w:sz w:val="20"/>
              </w:rPr>
            </w:pPr>
          </w:p>
        </w:tc>
        <w:tc>
          <w:tcPr>
            <w:tcW w:w="4264" w:type="dxa"/>
          </w:tcPr>
          <w:p w14:paraId="64893097">
            <w:pPr>
              <w:pStyle w:val="42"/>
              <w:rPr>
                <w:rFonts w:ascii="Times New Roman"/>
                <w:sz w:val="20"/>
              </w:rPr>
            </w:pPr>
          </w:p>
        </w:tc>
      </w:tr>
      <w:tr w14:paraId="3731F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4261" w:type="dxa"/>
          </w:tcPr>
          <w:p w14:paraId="3BB4D776">
            <w:pPr>
              <w:pStyle w:val="42"/>
              <w:rPr>
                <w:rFonts w:ascii="Times New Roman"/>
                <w:sz w:val="20"/>
              </w:rPr>
            </w:pPr>
          </w:p>
        </w:tc>
        <w:tc>
          <w:tcPr>
            <w:tcW w:w="4264" w:type="dxa"/>
          </w:tcPr>
          <w:p w14:paraId="526C39D8">
            <w:pPr>
              <w:pStyle w:val="42"/>
              <w:rPr>
                <w:rFonts w:ascii="Times New Roman"/>
                <w:sz w:val="20"/>
              </w:rPr>
            </w:pPr>
          </w:p>
        </w:tc>
      </w:tr>
      <w:tr w14:paraId="14077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4261" w:type="dxa"/>
          </w:tcPr>
          <w:p w14:paraId="2D00908B">
            <w:pPr>
              <w:pStyle w:val="42"/>
              <w:rPr>
                <w:rFonts w:ascii="Times New Roman"/>
                <w:sz w:val="20"/>
              </w:rPr>
            </w:pPr>
          </w:p>
        </w:tc>
        <w:tc>
          <w:tcPr>
            <w:tcW w:w="4264" w:type="dxa"/>
          </w:tcPr>
          <w:p w14:paraId="22DB2230">
            <w:pPr>
              <w:pStyle w:val="42"/>
              <w:rPr>
                <w:rFonts w:ascii="Times New Roman"/>
                <w:sz w:val="20"/>
              </w:rPr>
            </w:pPr>
          </w:p>
        </w:tc>
      </w:tr>
      <w:tr w14:paraId="0CA1B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4261" w:type="dxa"/>
          </w:tcPr>
          <w:p w14:paraId="2D8856D6">
            <w:pPr>
              <w:pStyle w:val="42"/>
              <w:rPr>
                <w:rFonts w:ascii="Times New Roman"/>
                <w:sz w:val="20"/>
              </w:rPr>
            </w:pPr>
          </w:p>
        </w:tc>
        <w:tc>
          <w:tcPr>
            <w:tcW w:w="4264" w:type="dxa"/>
          </w:tcPr>
          <w:p w14:paraId="2113E86F">
            <w:pPr>
              <w:pStyle w:val="42"/>
              <w:rPr>
                <w:rFonts w:ascii="Times New Roman"/>
                <w:sz w:val="20"/>
              </w:rPr>
            </w:pPr>
          </w:p>
        </w:tc>
      </w:tr>
      <w:tr w14:paraId="3957E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4261" w:type="dxa"/>
          </w:tcPr>
          <w:p w14:paraId="12FECE60">
            <w:pPr>
              <w:pStyle w:val="42"/>
              <w:rPr>
                <w:rFonts w:ascii="Times New Roman"/>
                <w:sz w:val="20"/>
              </w:rPr>
            </w:pPr>
          </w:p>
        </w:tc>
        <w:tc>
          <w:tcPr>
            <w:tcW w:w="4264" w:type="dxa"/>
          </w:tcPr>
          <w:p w14:paraId="321946A5">
            <w:pPr>
              <w:pStyle w:val="42"/>
              <w:rPr>
                <w:rFonts w:ascii="Times New Roman"/>
                <w:sz w:val="20"/>
              </w:rPr>
            </w:pPr>
          </w:p>
        </w:tc>
      </w:tr>
      <w:tr w14:paraId="7907C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4261" w:type="dxa"/>
          </w:tcPr>
          <w:p w14:paraId="59377136">
            <w:pPr>
              <w:pStyle w:val="42"/>
              <w:rPr>
                <w:rFonts w:ascii="Times New Roman"/>
                <w:sz w:val="20"/>
              </w:rPr>
            </w:pPr>
          </w:p>
        </w:tc>
        <w:tc>
          <w:tcPr>
            <w:tcW w:w="4264" w:type="dxa"/>
          </w:tcPr>
          <w:p w14:paraId="6168F746">
            <w:pPr>
              <w:pStyle w:val="42"/>
              <w:rPr>
                <w:rFonts w:ascii="Times New Roman"/>
                <w:sz w:val="20"/>
              </w:rPr>
            </w:pPr>
          </w:p>
        </w:tc>
      </w:tr>
    </w:tbl>
    <w:p w14:paraId="250EE450">
      <w:pPr>
        <w:spacing w:before="128" w:line="357" w:lineRule="auto"/>
        <w:ind w:left="684" w:right="381" w:hanging="420"/>
        <w:jc w:val="left"/>
        <w:rPr>
          <w:sz w:val="21"/>
        </w:rPr>
      </w:pPr>
      <w:r>
        <w:rPr>
          <w:sz w:val="21"/>
        </w:rPr>
        <w:t>注：</w:t>
      </w:r>
      <w:r>
        <w:rPr>
          <w:rFonts w:ascii="Times New Roman" w:hAnsi="Times New Roman" w:eastAsia="Times New Roman"/>
          <w:sz w:val="21"/>
        </w:rPr>
        <w:t>1.</w:t>
      </w:r>
      <w:r>
        <w:rPr>
          <w:sz w:val="21"/>
        </w:rPr>
        <w:t>投标人应按照招标文件第二章</w:t>
      </w:r>
      <w:r>
        <w:rPr>
          <w:rFonts w:ascii="Times New Roman" w:hAnsi="Times New Roman" w:eastAsia="Times New Roman"/>
          <w:sz w:val="21"/>
        </w:rPr>
        <w:t>“</w:t>
      </w:r>
      <w:r>
        <w:rPr>
          <w:sz w:val="21"/>
        </w:rPr>
        <w:t>投标人须知</w:t>
      </w:r>
      <w:r>
        <w:rPr>
          <w:rFonts w:ascii="Times New Roman" w:hAnsi="Times New Roman" w:eastAsia="Times New Roman"/>
          <w:sz w:val="21"/>
        </w:rPr>
        <w:t>”</w:t>
      </w:r>
      <w:r>
        <w:rPr>
          <w:sz w:val="21"/>
        </w:rPr>
        <w:t xml:space="preserve">前附表附录 </w:t>
      </w:r>
      <w:r>
        <w:rPr>
          <w:rFonts w:ascii="Times New Roman" w:hAnsi="Times New Roman" w:eastAsia="Times New Roman"/>
          <w:sz w:val="21"/>
        </w:rPr>
        <w:t xml:space="preserve">4 </w:t>
      </w:r>
      <w:r>
        <w:rPr>
          <w:sz w:val="21"/>
        </w:rPr>
        <w:t>和</w:t>
      </w:r>
      <w:r>
        <w:rPr>
          <w:rFonts w:ascii="Times New Roman" w:hAnsi="Times New Roman" w:eastAsia="Times New Roman"/>
          <w:sz w:val="21"/>
        </w:rPr>
        <w:t>“</w:t>
      </w:r>
      <w:r>
        <w:rPr>
          <w:sz w:val="21"/>
        </w:rPr>
        <w:t>投标人须知</w:t>
      </w:r>
      <w:r>
        <w:rPr>
          <w:rFonts w:ascii="Times New Roman" w:hAnsi="Times New Roman" w:eastAsia="Times New Roman"/>
          <w:sz w:val="21"/>
        </w:rPr>
        <w:t>”</w:t>
      </w:r>
      <w:r>
        <w:rPr>
          <w:sz w:val="21"/>
        </w:rPr>
        <w:t xml:space="preserve">正文第 </w:t>
      </w:r>
      <w:r>
        <w:rPr>
          <w:rFonts w:ascii="Times New Roman" w:hAnsi="Times New Roman" w:eastAsia="Times New Roman"/>
          <w:sz w:val="21"/>
        </w:rPr>
        <w:t xml:space="preserve">1.4.4 </w:t>
      </w:r>
      <w:r>
        <w:rPr>
          <w:sz w:val="21"/>
        </w:rPr>
        <w:t>项规定，逐条说明其信誉情况。</w:t>
      </w:r>
    </w:p>
    <w:p w14:paraId="63BB5A7A">
      <w:pPr>
        <w:pStyle w:val="41"/>
        <w:numPr>
          <w:ilvl w:val="0"/>
          <w:numId w:val="14"/>
        </w:numPr>
        <w:tabs>
          <w:tab w:val="left" w:pos="844"/>
        </w:tabs>
        <w:spacing w:before="0" w:after="0" w:line="267" w:lineRule="exact"/>
        <w:ind w:left="843" w:right="0" w:hanging="160"/>
        <w:jc w:val="left"/>
        <w:rPr>
          <w:sz w:val="21"/>
        </w:rPr>
      </w:pPr>
      <w:r>
        <w:rPr>
          <w:spacing w:val="-12"/>
          <w:sz w:val="21"/>
        </w:rPr>
        <w:t xml:space="preserve">投标人应根据招标文件第二章“投标人须知”第 </w:t>
      </w:r>
      <w:r>
        <w:rPr>
          <w:rFonts w:ascii="Times New Roman" w:hAnsi="Times New Roman" w:eastAsia="Times New Roman"/>
          <w:sz w:val="21"/>
        </w:rPr>
        <w:t>3.5.4</w:t>
      </w:r>
      <w:r>
        <w:rPr>
          <w:rFonts w:ascii="Times New Roman" w:hAnsi="Times New Roman" w:eastAsia="Times New Roman"/>
          <w:spacing w:val="5"/>
          <w:sz w:val="21"/>
        </w:rPr>
        <w:t xml:space="preserve"> </w:t>
      </w:r>
      <w:r>
        <w:rPr>
          <w:spacing w:val="-3"/>
          <w:sz w:val="21"/>
        </w:rPr>
        <w:t>项的要求在本表后附相关证明材料。</w:t>
      </w:r>
    </w:p>
    <w:p w14:paraId="60078D9B">
      <w:pPr>
        <w:pStyle w:val="41"/>
        <w:numPr>
          <w:ilvl w:val="0"/>
          <w:numId w:val="14"/>
        </w:numPr>
        <w:tabs>
          <w:tab w:val="left" w:pos="844"/>
        </w:tabs>
        <w:spacing w:before="132" w:after="0" w:line="240" w:lineRule="auto"/>
        <w:ind w:left="843" w:right="0" w:hanging="160"/>
        <w:jc w:val="left"/>
        <w:rPr>
          <w:sz w:val="21"/>
        </w:rPr>
      </w:pPr>
      <w:r>
        <w:rPr>
          <w:spacing w:val="-3"/>
          <w:sz w:val="21"/>
        </w:rPr>
        <w:t>以联合体形式参与投标的，联合体各成员应分别填写。</w:t>
      </w:r>
    </w:p>
    <w:p w14:paraId="0B0F7BAF">
      <w:pPr>
        <w:spacing w:after="0" w:line="240" w:lineRule="auto"/>
        <w:jc w:val="left"/>
        <w:rPr>
          <w:sz w:val="21"/>
        </w:rPr>
        <w:sectPr>
          <w:pgSz w:w="11910" w:h="16850"/>
          <w:pgMar w:top="1540" w:right="1140" w:bottom="1080" w:left="1380" w:header="883" w:footer="884" w:gutter="0"/>
          <w:pgNumType w:fmt="decimal"/>
          <w:cols w:space="720" w:num="1"/>
        </w:sectPr>
      </w:pPr>
    </w:p>
    <w:p w14:paraId="0080B344">
      <w:pPr>
        <w:pStyle w:val="12"/>
        <w:spacing w:before="108"/>
        <w:ind w:right="181"/>
        <w:jc w:val="center"/>
        <w:rPr>
          <w:rFonts w:hint="eastAsia" w:ascii="黑体" w:eastAsia="黑体"/>
        </w:rPr>
      </w:pPr>
      <w:bookmarkStart w:id="447" w:name="_bookmark316"/>
      <w:bookmarkEnd w:id="447"/>
      <w:r>
        <w:rPr>
          <w:rFonts w:hint="eastAsia" w:ascii="黑体" w:eastAsia="黑体"/>
        </w:rPr>
        <w:t>（六）拟委任的项目经理和项目总工资历表</w:t>
      </w:r>
    </w:p>
    <w:p w14:paraId="70B3300E">
      <w:pPr>
        <w:pStyle w:val="12"/>
        <w:rPr>
          <w:rFonts w:ascii="黑体"/>
          <w:sz w:val="20"/>
        </w:rPr>
      </w:pPr>
    </w:p>
    <w:p w14:paraId="0131A233">
      <w:pPr>
        <w:pStyle w:val="12"/>
        <w:spacing w:before="5"/>
        <w:rPr>
          <w:rFonts w:ascii="黑体"/>
          <w:sz w:val="11"/>
        </w:rPr>
      </w:pPr>
    </w:p>
    <w:tbl>
      <w:tblPr>
        <w:tblStyle w:val="25"/>
        <w:tblW w:w="0" w:type="auto"/>
        <w:tblInd w:w="2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1"/>
        <w:gridCol w:w="1377"/>
        <w:gridCol w:w="103"/>
        <w:gridCol w:w="1061"/>
        <w:gridCol w:w="1381"/>
        <w:gridCol w:w="339"/>
        <w:gridCol w:w="1544"/>
        <w:gridCol w:w="388"/>
        <w:gridCol w:w="1283"/>
      </w:tblGrid>
      <w:tr w14:paraId="7F3E0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261" w:type="dxa"/>
          </w:tcPr>
          <w:p w14:paraId="66C8C4FB">
            <w:pPr>
              <w:pStyle w:val="42"/>
              <w:spacing w:before="6"/>
              <w:rPr>
                <w:rFonts w:ascii="黑体"/>
                <w:sz w:val="14"/>
              </w:rPr>
            </w:pPr>
          </w:p>
          <w:p w14:paraId="3F210A9E">
            <w:pPr>
              <w:pStyle w:val="42"/>
              <w:tabs>
                <w:tab w:val="left" w:pos="631"/>
              </w:tabs>
              <w:ind w:right="13"/>
              <w:jc w:val="center"/>
              <w:rPr>
                <w:sz w:val="21"/>
              </w:rPr>
            </w:pPr>
            <w:r>
              <w:rPr>
                <w:sz w:val="21"/>
              </w:rPr>
              <w:t>姓</w:t>
            </w:r>
            <w:r>
              <w:rPr>
                <w:sz w:val="21"/>
              </w:rPr>
              <w:tab/>
            </w:r>
            <w:r>
              <w:rPr>
                <w:sz w:val="21"/>
              </w:rPr>
              <w:t>名</w:t>
            </w:r>
          </w:p>
        </w:tc>
        <w:tc>
          <w:tcPr>
            <w:tcW w:w="1480" w:type="dxa"/>
            <w:gridSpan w:val="2"/>
          </w:tcPr>
          <w:p w14:paraId="6C2EF95D">
            <w:pPr>
              <w:pStyle w:val="42"/>
              <w:rPr>
                <w:rFonts w:ascii="Times New Roman"/>
                <w:sz w:val="20"/>
              </w:rPr>
            </w:pPr>
          </w:p>
        </w:tc>
        <w:tc>
          <w:tcPr>
            <w:tcW w:w="1061" w:type="dxa"/>
          </w:tcPr>
          <w:p w14:paraId="3ABADBE2">
            <w:pPr>
              <w:pStyle w:val="42"/>
              <w:spacing w:before="6"/>
              <w:rPr>
                <w:rFonts w:ascii="黑体"/>
                <w:sz w:val="14"/>
              </w:rPr>
            </w:pPr>
          </w:p>
          <w:p w14:paraId="13C9A2F0">
            <w:pPr>
              <w:pStyle w:val="42"/>
              <w:tabs>
                <w:tab w:val="left" w:pos="643"/>
              </w:tabs>
              <w:ind w:left="12"/>
              <w:jc w:val="center"/>
              <w:rPr>
                <w:sz w:val="21"/>
              </w:rPr>
            </w:pPr>
            <w:r>
              <w:rPr>
                <w:sz w:val="21"/>
              </w:rPr>
              <w:t>年</w:t>
            </w:r>
            <w:r>
              <w:rPr>
                <w:sz w:val="21"/>
              </w:rPr>
              <w:tab/>
            </w:r>
            <w:r>
              <w:rPr>
                <w:sz w:val="21"/>
              </w:rPr>
              <w:t>龄</w:t>
            </w:r>
          </w:p>
        </w:tc>
        <w:tc>
          <w:tcPr>
            <w:tcW w:w="1381" w:type="dxa"/>
          </w:tcPr>
          <w:p w14:paraId="1A8233BD">
            <w:pPr>
              <w:pStyle w:val="42"/>
              <w:rPr>
                <w:rFonts w:ascii="Times New Roman"/>
                <w:sz w:val="20"/>
              </w:rPr>
            </w:pPr>
          </w:p>
        </w:tc>
        <w:tc>
          <w:tcPr>
            <w:tcW w:w="1883" w:type="dxa"/>
            <w:gridSpan w:val="2"/>
          </w:tcPr>
          <w:p w14:paraId="7E4D337D">
            <w:pPr>
              <w:pStyle w:val="42"/>
              <w:spacing w:before="6"/>
              <w:rPr>
                <w:rFonts w:ascii="黑体"/>
                <w:sz w:val="14"/>
              </w:rPr>
            </w:pPr>
          </w:p>
          <w:p w14:paraId="3B2D9085">
            <w:pPr>
              <w:pStyle w:val="42"/>
              <w:tabs>
                <w:tab w:val="left" w:pos="1151"/>
              </w:tabs>
              <w:ind w:left="520"/>
              <w:rPr>
                <w:sz w:val="21"/>
              </w:rPr>
            </w:pPr>
            <w:r>
              <w:rPr>
                <w:sz w:val="21"/>
              </w:rPr>
              <w:t>专</w:t>
            </w:r>
            <w:r>
              <w:rPr>
                <w:sz w:val="21"/>
              </w:rPr>
              <w:tab/>
            </w:r>
            <w:r>
              <w:rPr>
                <w:sz w:val="21"/>
              </w:rPr>
              <w:t>业</w:t>
            </w:r>
          </w:p>
        </w:tc>
        <w:tc>
          <w:tcPr>
            <w:tcW w:w="1671" w:type="dxa"/>
            <w:gridSpan w:val="2"/>
          </w:tcPr>
          <w:p w14:paraId="3624A541">
            <w:pPr>
              <w:pStyle w:val="42"/>
              <w:rPr>
                <w:rFonts w:ascii="Times New Roman"/>
                <w:sz w:val="20"/>
              </w:rPr>
            </w:pPr>
          </w:p>
        </w:tc>
      </w:tr>
      <w:tr w14:paraId="18019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1261" w:type="dxa"/>
          </w:tcPr>
          <w:p w14:paraId="0CD8120D">
            <w:pPr>
              <w:pStyle w:val="42"/>
              <w:rPr>
                <w:rFonts w:ascii="黑体"/>
                <w:sz w:val="20"/>
              </w:rPr>
            </w:pPr>
          </w:p>
          <w:p w14:paraId="0F1C7790">
            <w:pPr>
              <w:pStyle w:val="42"/>
              <w:spacing w:before="160"/>
              <w:ind w:right="15"/>
              <w:jc w:val="center"/>
              <w:rPr>
                <w:sz w:val="21"/>
              </w:rPr>
            </w:pPr>
            <w:r>
              <w:rPr>
                <w:sz w:val="21"/>
              </w:rPr>
              <w:t>技术职称</w:t>
            </w:r>
          </w:p>
        </w:tc>
        <w:tc>
          <w:tcPr>
            <w:tcW w:w="1480" w:type="dxa"/>
            <w:gridSpan w:val="2"/>
          </w:tcPr>
          <w:p w14:paraId="5A8DF690">
            <w:pPr>
              <w:pStyle w:val="42"/>
              <w:rPr>
                <w:rFonts w:ascii="Times New Roman"/>
                <w:sz w:val="20"/>
              </w:rPr>
            </w:pPr>
          </w:p>
        </w:tc>
        <w:tc>
          <w:tcPr>
            <w:tcW w:w="1061" w:type="dxa"/>
          </w:tcPr>
          <w:p w14:paraId="61DC769E">
            <w:pPr>
              <w:pStyle w:val="42"/>
              <w:rPr>
                <w:rFonts w:ascii="黑体"/>
                <w:sz w:val="20"/>
              </w:rPr>
            </w:pPr>
          </w:p>
          <w:p w14:paraId="1DAB720F">
            <w:pPr>
              <w:pStyle w:val="42"/>
              <w:tabs>
                <w:tab w:val="left" w:pos="643"/>
              </w:tabs>
              <w:spacing w:before="160"/>
              <w:ind w:left="12"/>
              <w:jc w:val="center"/>
              <w:rPr>
                <w:sz w:val="21"/>
              </w:rPr>
            </w:pPr>
            <w:r>
              <w:rPr>
                <w:sz w:val="21"/>
              </w:rPr>
              <w:t>学</w:t>
            </w:r>
            <w:r>
              <w:rPr>
                <w:sz w:val="21"/>
              </w:rPr>
              <w:tab/>
            </w:r>
            <w:r>
              <w:rPr>
                <w:sz w:val="21"/>
              </w:rPr>
              <w:t>历</w:t>
            </w:r>
          </w:p>
        </w:tc>
        <w:tc>
          <w:tcPr>
            <w:tcW w:w="1381" w:type="dxa"/>
          </w:tcPr>
          <w:p w14:paraId="606FB2C5">
            <w:pPr>
              <w:pStyle w:val="42"/>
              <w:rPr>
                <w:rFonts w:ascii="Times New Roman"/>
                <w:sz w:val="20"/>
              </w:rPr>
            </w:pPr>
          </w:p>
        </w:tc>
        <w:tc>
          <w:tcPr>
            <w:tcW w:w="1883" w:type="dxa"/>
            <w:gridSpan w:val="2"/>
          </w:tcPr>
          <w:p w14:paraId="1F8E5538">
            <w:pPr>
              <w:pStyle w:val="42"/>
              <w:spacing w:before="31" w:line="458" w:lineRule="exact"/>
              <w:ind w:left="520" w:right="402" w:hanging="106"/>
              <w:rPr>
                <w:sz w:val="21"/>
              </w:rPr>
            </w:pPr>
            <w:r>
              <w:rPr>
                <w:sz w:val="21"/>
              </w:rPr>
              <w:t>拟在本标段工程任职</w:t>
            </w:r>
          </w:p>
        </w:tc>
        <w:tc>
          <w:tcPr>
            <w:tcW w:w="1671" w:type="dxa"/>
            <w:gridSpan w:val="2"/>
          </w:tcPr>
          <w:p w14:paraId="7278BE6C">
            <w:pPr>
              <w:pStyle w:val="42"/>
              <w:rPr>
                <w:rFonts w:ascii="Times New Roman"/>
                <w:sz w:val="20"/>
              </w:rPr>
            </w:pPr>
          </w:p>
        </w:tc>
      </w:tr>
      <w:tr w14:paraId="1EB35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tcPr>
          <w:p w14:paraId="444878A1">
            <w:pPr>
              <w:pStyle w:val="42"/>
              <w:spacing w:before="6"/>
              <w:rPr>
                <w:rFonts w:ascii="黑体"/>
                <w:sz w:val="14"/>
              </w:rPr>
            </w:pPr>
          </w:p>
          <w:p w14:paraId="6E091B27">
            <w:pPr>
              <w:pStyle w:val="42"/>
              <w:ind w:right="15"/>
              <w:jc w:val="center"/>
              <w:rPr>
                <w:sz w:val="21"/>
              </w:rPr>
            </w:pPr>
            <w:r>
              <w:rPr>
                <w:sz w:val="21"/>
              </w:rPr>
              <w:t>工作年限</w:t>
            </w:r>
          </w:p>
        </w:tc>
        <w:tc>
          <w:tcPr>
            <w:tcW w:w="3922" w:type="dxa"/>
            <w:gridSpan w:val="4"/>
          </w:tcPr>
          <w:p w14:paraId="63E8721F">
            <w:pPr>
              <w:pStyle w:val="42"/>
              <w:rPr>
                <w:rFonts w:ascii="Times New Roman"/>
                <w:sz w:val="20"/>
              </w:rPr>
            </w:pPr>
          </w:p>
        </w:tc>
        <w:tc>
          <w:tcPr>
            <w:tcW w:w="1883" w:type="dxa"/>
            <w:gridSpan w:val="2"/>
          </w:tcPr>
          <w:p w14:paraId="3F5FCAA6">
            <w:pPr>
              <w:pStyle w:val="42"/>
              <w:spacing w:before="6"/>
              <w:rPr>
                <w:rFonts w:ascii="黑体"/>
                <w:sz w:val="14"/>
              </w:rPr>
            </w:pPr>
          </w:p>
          <w:p w14:paraId="31EF5774">
            <w:pPr>
              <w:pStyle w:val="42"/>
              <w:ind w:left="100"/>
              <w:rPr>
                <w:sz w:val="21"/>
              </w:rPr>
            </w:pPr>
            <w:r>
              <w:rPr>
                <w:sz w:val="21"/>
              </w:rPr>
              <w:t>类似施工经验年限</w:t>
            </w:r>
          </w:p>
        </w:tc>
        <w:tc>
          <w:tcPr>
            <w:tcW w:w="1671" w:type="dxa"/>
            <w:gridSpan w:val="2"/>
          </w:tcPr>
          <w:p w14:paraId="5B54178B">
            <w:pPr>
              <w:pStyle w:val="42"/>
              <w:rPr>
                <w:rFonts w:ascii="Times New Roman"/>
                <w:sz w:val="20"/>
              </w:rPr>
            </w:pPr>
          </w:p>
        </w:tc>
      </w:tr>
      <w:tr w14:paraId="006E3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tcPr>
          <w:p w14:paraId="53160E4C">
            <w:pPr>
              <w:pStyle w:val="42"/>
              <w:spacing w:before="7"/>
              <w:rPr>
                <w:rFonts w:ascii="黑体"/>
                <w:sz w:val="14"/>
              </w:rPr>
            </w:pPr>
          </w:p>
          <w:p w14:paraId="3F3654F8">
            <w:pPr>
              <w:pStyle w:val="42"/>
              <w:ind w:right="13"/>
              <w:jc w:val="center"/>
              <w:rPr>
                <w:sz w:val="21"/>
              </w:rPr>
            </w:pPr>
            <w:r>
              <w:rPr>
                <w:sz w:val="21"/>
              </w:rPr>
              <w:t>毕业学校</w:t>
            </w:r>
          </w:p>
        </w:tc>
        <w:tc>
          <w:tcPr>
            <w:tcW w:w="7476" w:type="dxa"/>
            <w:gridSpan w:val="8"/>
          </w:tcPr>
          <w:p w14:paraId="1D9A526B">
            <w:pPr>
              <w:pStyle w:val="42"/>
              <w:tabs>
                <w:tab w:val="left" w:pos="531"/>
                <w:tab w:val="left" w:pos="1057"/>
                <w:tab w:val="left" w:pos="3892"/>
                <w:tab w:val="left" w:pos="5466"/>
                <w:tab w:val="left" w:pos="7145"/>
              </w:tabs>
              <w:spacing w:before="186"/>
              <w:ind w:left="5"/>
              <w:rPr>
                <w:sz w:val="21"/>
              </w:rPr>
            </w:pPr>
            <w:r>
              <w:rPr>
                <w:rFonts w:ascii="Times New Roman" w:eastAsia="Times New Roman"/>
                <w:w w:val="100"/>
                <w:sz w:val="21"/>
                <w:u w:val="single"/>
              </w:rPr>
              <w:t xml:space="preserve"> </w:t>
            </w:r>
            <w:r>
              <w:rPr>
                <w:rFonts w:ascii="Times New Roman" w:eastAsia="Times New Roman"/>
                <w:sz w:val="21"/>
                <w:u w:val="single"/>
              </w:rPr>
              <w:tab/>
            </w:r>
            <w:r>
              <w:rPr>
                <w:sz w:val="21"/>
              </w:rPr>
              <w:t>年</w:t>
            </w:r>
            <w:r>
              <w:rPr>
                <w:sz w:val="21"/>
                <w:u w:val="single"/>
              </w:rPr>
              <w:t xml:space="preserve"> </w:t>
            </w:r>
            <w:r>
              <w:rPr>
                <w:sz w:val="21"/>
                <w:u w:val="single"/>
              </w:rPr>
              <w:tab/>
            </w:r>
            <w:r>
              <w:rPr>
                <w:spacing w:val="-3"/>
                <w:sz w:val="21"/>
              </w:rPr>
              <w:t>月</w:t>
            </w:r>
            <w:r>
              <w:rPr>
                <w:sz w:val="21"/>
              </w:rPr>
              <w:t>毕</w:t>
            </w:r>
            <w:r>
              <w:rPr>
                <w:spacing w:val="-3"/>
                <w:sz w:val="21"/>
              </w:rPr>
              <w:t>业</w:t>
            </w:r>
            <w:r>
              <w:rPr>
                <w:sz w:val="21"/>
              </w:rPr>
              <w:t>于</w:t>
            </w:r>
            <w:r>
              <w:rPr>
                <w:sz w:val="21"/>
                <w:u w:val="single"/>
              </w:rPr>
              <w:t xml:space="preserve"> </w:t>
            </w:r>
            <w:r>
              <w:rPr>
                <w:sz w:val="21"/>
                <w:u w:val="single"/>
              </w:rPr>
              <w:tab/>
            </w:r>
            <w:r>
              <w:rPr>
                <w:spacing w:val="-3"/>
                <w:sz w:val="21"/>
              </w:rPr>
              <w:t>学</w:t>
            </w:r>
            <w:r>
              <w:rPr>
                <w:sz w:val="21"/>
              </w:rPr>
              <w:t>校</w:t>
            </w:r>
            <w:r>
              <w:rPr>
                <w:sz w:val="21"/>
                <w:u w:val="single"/>
              </w:rPr>
              <w:t xml:space="preserve"> </w:t>
            </w:r>
            <w:r>
              <w:rPr>
                <w:sz w:val="21"/>
                <w:u w:val="single"/>
              </w:rPr>
              <w:tab/>
            </w:r>
            <w:r>
              <w:rPr>
                <w:spacing w:val="-3"/>
                <w:sz w:val="21"/>
              </w:rPr>
              <w:t>专</w:t>
            </w:r>
            <w:r>
              <w:rPr>
                <w:sz w:val="21"/>
              </w:rPr>
              <w:t>业</w:t>
            </w:r>
            <w:r>
              <w:rPr>
                <w:spacing w:val="-3"/>
                <w:sz w:val="21"/>
              </w:rPr>
              <w:t>，</w:t>
            </w:r>
            <w:r>
              <w:rPr>
                <w:sz w:val="21"/>
              </w:rPr>
              <w:t>学制</w:t>
            </w:r>
            <w:r>
              <w:rPr>
                <w:sz w:val="21"/>
                <w:u w:val="single"/>
              </w:rPr>
              <w:t xml:space="preserve"> </w:t>
            </w:r>
            <w:r>
              <w:rPr>
                <w:sz w:val="21"/>
                <w:u w:val="single"/>
              </w:rPr>
              <w:tab/>
            </w:r>
            <w:r>
              <w:rPr>
                <w:sz w:val="21"/>
              </w:rPr>
              <w:t>年</w:t>
            </w:r>
          </w:p>
        </w:tc>
      </w:tr>
      <w:tr w14:paraId="18640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8737" w:type="dxa"/>
            <w:gridSpan w:val="9"/>
          </w:tcPr>
          <w:p w14:paraId="1288E06F">
            <w:pPr>
              <w:pStyle w:val="42"/>
              <w:spacing w:before="6"/>
              <w:rPr>
                <w:rFonts w:ascii="黑体"/>
                <w:sz w:val="14"/>
              </w:rPr>
            </w:pPr>
          </w:p>
          <w:p w14:paraId="0561404B">
            <w:pPr>
              <w:pStyle w:val="42"/>
              <w:tabs>
                <w:tab w:val="left" w:pos="1167"/>
              </w:tabs>
              <w:ind w:left="10"/>
              <w:jc w:val="center"/>
              <w:rPr>
                <w:sz w:val="21"/>
              </w:rPr>
            </w:pPr>
            <w:r>
              <w:rPr>
                <w:sz w:val="21"/>
              </w:rPr>
              <w:t>经</w:t>
            </w:r>
            <w:r>
              <w:rPr>
                <w:sz w:val="21"/>
              </w:rPr>
              <w:tab/>
            </w:r>
            <w:r>
              <w:rPr>
                <w:sz w:val="21"/>
              </w:rPr>
              <w:t>历</w:t>
            </w:r>
          </w:p>
        </w:tc>
      </w:tr>
      <w:tr w14:paraId="76B51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1261" w:type="dxa"/>
          </w:tcPr>
          <w:p w14:paraId="77B23B92">
            <w:pPr>
              <w:pStyle w:val="42"/>
              <w:rPr>
                <w:rFonts w:ascii="黑体"/>
                <w:sz w:val="20"/>
              </w:rPr>
            </w:pPr>
          </w:p>
          <w:p w14:paraId="3CCD0A63">
            <w:pPr>
              <w:pStyle w:val="42"/>
              <w:tabs>
                <w:tab w:val="left" w:pos="457"/>
              </w:tabs>
              <w:spacing w:before="131"/>
              <w:ind w:left="34"/>
              <w:jc w:val="center"/>
              <w:rPr>
                <w:sz w:val="21"/>
              </w:rPr>
            </w:pPr>
            <w:r>
              <w:rPr>
                <w:sz w:val="21"/>
              </w:rPr>
              <w:t>时</w:t>
            </w:r>
            <w:r>
              <w:rPr>
                <w:sz w:val="21"/>
              </w:rPr>
              <w:tab/>
            </w:r>
            <w:r>
              <w:rPr>
                <w:sz w:val="21"/>
              </w:rPr>
              <w:t>间</w:t>
            </w:r>
          </w:p>
        </w:tc>
        <w:tc>
          <w:tcPr>
            <w:tcW w:w="4261" w:type="dxa"/>
            <w:gridSpan w:val="5"/>
          </w:tcPr>
          <w:p w14:paraId="19DA95F6">
            <w:pPr>
              <w:pStyle w:val="42"/>
              <w:rPr>
                <w:rFonts w:ascii="黑体"/>
                <w:sz w:val="20"/>
              </w:rPr>
            </w:pPr>
          </w:p>
          <w:p w14:paraId="4C3C0317">
            <w:pPr>
              <w:pStyle w:val="42"/>
              <w:spacing w:before="131"/>
              <w:ind w:left="877"/>
              <w:rPr>
                <w:sz w:val="21"/>
              </w:rPr>
            </w:pPr>
            <w:r>
              <w:rPr>
                <w:sz w:val="21"/>
              </w:rPr>
              <w:t>参加过的类似工程项目名称</w:t>
            </w:r>
          </w:p>
        </w:tc>
        <w:tc>
          <w:tcPr>
            <w:tcW w:w="1932" w:type="dxa"/>
            <w:gridSpan w:val="2"/>
          </w:tcPr>
          <w:p w14:paraId="2FA49F64">
            <w:pPr>
              <w:pStyle w:val="42"/>
              <w:rPr>
                <w:rFonts w:ascii="黑体"/>
                <w:sz w:val="20"/>
              </w:rPr>
            </w:pPr>
          </w:p>
          <w:p w14:paraId="7D71C1C3">
            <w:pPr>
              <w:pStyle w:val="42"/>
              <w:spacing w:before="131"/>
              <w:ind w:left="541"/>
              <w:rPr>
                <w:sz w:val="21"/>
              </w:rPr>
            </w:pPr>
            <w:r>
              <w:rPr>
                <w:sz w:val="21"/>
              </w:rPr>
              <w:t>担任职务</w:t>
            </w:r>
          </w:p>
        </w:tc>
        <w:tc>
          <w:tcPr>
            <w:tcW w:w="1283" w:type="dxa"/>
          </w:tcPr>
          <w:p w14:paraId="1B31D9FD">
            <w:pPr>
              <w:pStyle w:val="42"/>
              <w:spacing w:before="57" w:line="400" w:lineRule="atLeast"/>
              <w:ind w:left="320" w:right="107" w:hanging="212"/>
              <w:rPr>
                <w:sz w:val="21"/>
              </w:rPr>
            </w:pPr>
            <w:r>
              <w:rPr>
                <w:sz w:val="21"/>
              </w:rPr>
              <w:t>发包人及联系电话</w:t>
            </w:r>
          </w:p>
        </w:tc>
      </w:tr>
      <w:tr w14:paraId="56437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tcPr>
          <w:p w14:paraId="63B64A42">
            <w:pPr>
              <w:pStyle w:val="42"/>
              <w:rPr>
                <w:rFonts w:ascii="Times New Roman"/>
                <w:sz w:val="20"/>
              </w:rPr>
            </w:pPr>
          </w:p>
        </w:tc>
        <w:tc>
          <w:tcPr>
            <w:tcW w:w="4261" w:type="dxa"/>
            <w:gridSpan w:val="5"/>
          </w:tcPr>
          <w:p w14:paraId="316EC782">
            <w:pPr>
              <w:pStyle w:val="42"/>
              <w:rPr>
                <w:rFonts w:ascii="Times New Roman"/>
                <w:sz w:val="20"/>
              </w:rPr>
            </w:pPr>
          </w:p>
        </w:tc>
        <w:tc>
          <w:tcPr>
            <w:tcW w:w="1932" w:type="dxa"/>
            <w:gridSpan w:val="2"/>
          </w:tcPr>
          <w:p w14:paraId="17D3E441">
            <w:pPr>
              <w:pStyle w:val="42"/>
              <w:rPr>
                <w:rFonts w:ascii="Times New Roman"/>
                <w:sz w:val="20"/>
              </w:rPr>
            </w:pPr>
          </w:p>
        </w:tc>
        <w:tc>
          <w:tcPr>
            <w:tcW w:w="1283" w:type="dxa"/>
          </w:tcPr>
          <w:p w14:paraId="33CE45F6">
            <w:pPr>
              <w:pStyle w:val="42"/>
              <w:rPr>
                <w:rFonts w:ascii="Times New Roman"/>
                <w:sz w:val="20"/>
              </w:rPr>
            </w:pPr>
          </w:p>
        </w:tc>
      </w:tr>
      <w:tr w14:paraId="37972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tcPr>
          <w:p w14:paraId="10A31168">
            <w:pPr>
              <w:pStyle w:val="42"/>
              <w:rPr>
                <w:rFonts w:ascii="Times New Roman"/>
                <w:sz w:val="20"/>
              </w:rPr>
            </w:pPr>
          </w:p>
        </w:tc>
        <w:tc>
          <w:tcPr>
            <w:tcW w:w="4261" w:type="dxa"/>
            <w:gridSpan w:val="5"/>
          </w:tcPr>
          <w:p w14:paraId="082555AE">
            <w:pPr>
              <w:pStyle w:val="42"/>
              <w:rPr>
                <w:rFonts w:ascii="Times New Roman"/>
                <w:sz w:val="20"/>
              </w:rPr>
            </w:pPr>
          </w:p>
        </w:tc>
        <w:tc>
          <w:tcPr>
            <w:tcW w:w="1932" w:type="dxa"/>
            <w:gridSpan w:val="2"/>
          </w:tcPr>
          <w:p w14:paraId="1D1C9BBC">
            <w:pPr>
              <w:pStyle w:val="42"/>
              <w:rPr>
                <w:rFonts w:ascii="Times New Roman"/>
                <w:sz w:val="20"/>
              </w:rPr>
            </w:pPr>
          </w:p>
        </w:tc>
        <w:tc>
          <w:tcPr>
            <w:tcW w:w="1283" w:type="dxa"/>
          </w:tcPr>
          <w:p w14:paraId="37D56DA2">
            <w:pPr>
              <w:pStyle w:val="42"/>
              <w:rPr>
                <w:rFonts w:ascii="Times New Roman"/>
                <w:sz w:val="20"/>
              </w:rPr>
            </w:pPr>
          </w:p>
        </w:tc>
      </w:tr>
      <w:tr w14:paraId="180A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61" w:type="dxa"/>
          </w:tcPr>
          <w:p w14:paraId="3E766C18">
            <w:pPr>
              <w:pStyle w:val="42"/>
              <w:rPr>
                <w:rFonts w:ascii="Times New Roman"/>
                <w:sz w:val="20"/>
              </w:rPr>
            </w:pPr>
          </w:p>
        </w:tc>
        <w:tc>
          <w:tcPr>
            <w:tcW w:w="4261" w:type="dxa"/>
            <w:gridSpan w:val="5"/>
          </w:tcPr>
          <w:p w14:paraId="52319794">
            <w:pPr>
              <w:pStyle w:val="42"/>
              <w:rPr>
                <w:rFonts w:ascii="Times New Roman"/>
                <w:sz w:val="20"/>
              </w:rPr>
            </w:pPr>
          </w:p>
        </w:tc>
        <w:tc>
          <w:tcPr>
            <w:tcW w:w="1932" w:type="dxa"/>
            <w:gridSpan w:val="2"/>
          </w:tcPr>
          <w:p w14:paraId="633850F1">
            <w:pPr>
              <w:pStyle w:val="42"/>
              <w:rPr>
                <w:rFonts w:ascii="Times New Roman"/>
                <w:sz w:val="20"/>
              </w:rPr>
            </w:pPr>
          </w:p>
        </w:tc>
        <w:tc>
          <w:tcPr>
            <w:tcW w:w="1283" w:type="dxa"/>
          </w:tcPr>
          <w:p w14:paraId="4B1A0FEA">
            <w:pPr>
              <w:pStyle w:val="42"/>
              <w:rPr>
                <w:rFonts w:ascii="Times New Roman"/>
                <w:sz w:val="20"/>
              </w:rPr>
            </w:pPr>
          </w:p>
        </w:tc>
      </w:tr>
      <w:tr w14:paraId="68AA9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tcPr>
          <w:p w14:paraId="5E0DAB1A">
            <w:pPr>
              <w:pStyle w:val="42"/>
              <w:rPr>
                <w:rFonts w:ascii="Times New Roman"/>
                <w:sz w:val="20"/>
              </w:rPr>
            </w:pPr>
          </w:p>
        </w:tc>
        <w:tc>
          <w:tcPr>
            <w:tcW w:w="4261" w:type="dxa"/>
            <w:gridSpan w:val="5"/>
          </w:tcPr>
          <w:p w14:paraId="5C3B9B4C">
            <w:pPr>
              <w:pStyle w:val="42"/>
              <w:rPr>
                <w:rFonts w:ascii="Times New Roman"/>
                <w:sz w:val="20"/>
              </w:rPr>
            </w:pPr>
          </w:p>
        </w:tc>
        <w:tc>
          <w:tcPr>
            <w:tcW w:w="1932" w:type="dxa"/>
            <w:gridSpan w:val="2"/>
          </w:tcPr>
          <w:p w14:paraId="5526F2FA">
            <w:pPr>
              <w:pStyle w:val="42"/>
              <w:rPr>
                <w:rFonts w:ascii="Times New Roman"/>
                <w:sz w:val="20"/>
              </w:rPr>
            </w:pPr>
          </w:p>
        </w:tc>
        <w:tc>
          <w:tcPr>
            <w:tcW w:w="1283" w:type="dxa"/>
          </w:tcPr>
          <w:p w14:paraId="58DADB43">
            <w:pPr>
              <w:pStyle w:val="42"/>
              <w:rPr>
                <w:rFonts w:ascii="Times New Roman"/>
                <w:sz w:val="20"/>
              </w:rPr>
            </w:pPr>
          </w:p>
        </w:tc>
      </w:tr>
      <w:tr w14:paraId="22CE6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tcPr>
          <w:p w14:paraId="2B8DC369">
            <w:pPr>
              <w:pStyle w:val="42"/>
              <w:rPr>
                <w:rFonts w:ascii="Times New Roman"/>
                <w:sz w:val="20"/>
              </w:rPr>
            </w:pPr>
          </w:p>
        </w:tc>
        <w:tc>
          <w:tcPr>
            <w:tcW w:w="4261" w:type="dxa"/>
            <w:gridSpan w:val="5"/>
          </w:tcPr>
          <w:p w14:paraId="784267FC">
            <w:pPr>
              <w:pStyle w:val="42"/>
              <w:rPr>
                <w:rFonts w:ascii="Times New Roman"/>
                <w:sz w:val="20"/>
              </w:rPr>
            </w:pPr>
          </w:p>
        </w:tc>
        <w:tc>
          <w:tcPr>
            <w:tcW w:w="1932" w:type="dxa"/>
            <w:gridSpan w:val="2"/>
          </w:tcPr>
          <w:p w14:paraId="2AC16F8A">
            <w:pPr>
              <w:pStyle w:val="42"/>
              <w:rPr>
                <w:rFonts w:ascii="Times New Roman"/>
                <w:sz w:val="20"/>
              </w:rPr>
            </w:pPr>
          </w:p>
        </w:tc>
        <w:tc>
          <w:tcPr>
            <w:tcW w:w="1283" w:type="dxa"/>
          </w:tcPr>
          <w:p w14:paraId="24C945A7">
            <w:pPr>
              <w:pStyle w:val="42"/>
              <w:rPr>
                <w:rFonts w:ascii="Times New Roman"/>
                <w:sz w:val="20"/>
              </w:rPr>
            </w:pPr>
          </w:p>
        </w:tc>
      </w:tr>
      <w:tr w14:paraId="67475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tcPr>
          <w:p w14:paraId="37ED76A4">
            <w:pPr>
              <w:pStyle w:val="42"/>
              <w:rPr>
                <w:rFonts w:ascii="Times New Roman"/>
                <w:sz w:val="20"/>
              </w:rPr>
            </w:pPr>
          </w:p>
        </w:tc>
        <w:tc>
          <w:tcPr>
            <w:tcW w:w="4261" w:type="dxa"/>
            <w:gridSpan w:val="5"/>
          </w:tcPr>
          <w:p w14:paraId="2B201D57">
            <w:pPr>
              <w:pStyle w:val="42"/>
              <w:rPr>
                <w:rFonts w:ascii="Times New Roman"/>
                <w:sz w:val="20"/>
              </w:rPr>
            </w:pPr>
          </w:p>
        </w:tc>
        <w:tc>
          <w:tcPr>
            <w:tcW w:w="1932" w:type="dxa"/>
            <w:gridSpan w:val="2"/>
          </w:tcPr>
          <w:p w14:paraId="07C20A9C">
            <w:pPr>
              <w:pStyle w:val="42"/>
              <w:rPr>
                <w:rFonts w:ascii="Times New Roman"/>
                <w:sz w:val="20"/>
              </w:rPr>
            </w:pPr>
          </w:p>
        </w:tc>
        <w:tc>
          <w:tcPr>
            <w:tcW w:w="1283" w:type="dxa"/>
          </w:tcPr>
          <w:p w14:paraId="5FF6B08F">
            <w:pPr>
              <w:pStyle w:val="42"/>
              <w:rPr>
                <w:rFonts w:ascii="Times New Roman"/>
                <w:sz w:val="20"/>
              </w:rPr>
            </w:pPr>
          </w:p>
        </w:tc>
      </w:tr>
      <w:tr w14:paraId="3314A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tcPr>
          <w:p w14:paraId="3AFF234E">
            <w:pPr>
              <w:pStyle w:val="42"/>
              <w:rPr>
                <w:rFonts w:ascii="Times New Roman"/>
                <w:sz w:val="20"/>
              </w:rPr>
            </w:pPr>
          </w:p>
        </w:tc>
        <w:tc>
          <w:tcPr>
            <w:tcW w:w="4261" w:type="dxa"/>
            <w:gridSpan w:val="5"/>
          </w:tcPr>
          <w:p w14:paraId="3C0E97E9">
            <w:pPr>
              <w:pStyle w:val="42"/>
              <w:rPr>
                <w:rFonts w:ascii="Times New Roman"/>
                <w:sz w:val="20"/>
              </w:rPr>
            </w:pPr>
          </w:p>
        </w:tc>
        <w:tc>
          <w:tcPr>
            <w:tcW w:w="1932" w:type="dxa"/>
            <w:gridSpan w:val="2"/>
          </w:tcPr>
          <w:p w14:paraId="1C004F6B">
            <w:pPr>
              <w:pStyle w:val="42"/>
              <w:rPr>
                <w:rFonts w:ascii="Times New Roman"/>
                <w:sz w:val="20"/>
              </w:rPr>
            </w:pPr>
          </w:p>
        </w:tc>
        <w:tc>
          <w:tcPr>
            <w:tcW w:w="1283" w:type="dxa"/>
          </w:tcPr>
          <w:p w14:paraId="3B6FF862">
            <w:pPr>
              <w:pStyle w:val="42"/>
              <w:rPr>
                <w:rFonts w:ascii="Times New Roman"/>
                <w:sz w:val="20"/>
              </w:rPr>
            </w:pPr>
          </w:p>
        </w:tc>
      </w:tr>
      <w:tr w14:paraId="4FF08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1" w:type="dxa"/>
          </w:tcPr>
          <w:p w14:paraId="4682FDCA">
            <w:pPr>
              <w:pStyle w:val="42"/>
              <w:rPr>
                <w:rFonts w:ascii="Times New Roman"/>
                <w:sz w:val="20"/>
              </w:rPr>
            </w:pPr>
          </w:p>
        </w:tc>
        <w:tc>
          <w:tcPr>
            <w:tcW w:w="4261" w:type="dxa"/>
            <w:gridSpan w:val="5"/>
          </w:tcPr>
          <w:p w14:paraId="66D1BB42">
            <w:pPr>
              <w:pStyle w:val="42"/>
              <w:rPr>
                <w:rFonts w:ascii="Times New Roman"/>
                <w:sz w:val="20"/>
              </w:rPr>
            </w:pPr>
          </w:p>
        </w:tc>
        <w:tc>
          <w:tcPr>
            <w:tcW w:w="1932" w:type="dxa"/>
            <w:gridSpan w:val="2"/>
          </w:tcPr>
          <w:p w14:paraId="681B5685">
            <w:pPr>
              <w:pStyle w:val="42"/>
              <w:rPr>
                <w:rFonts w:ascii="Times New Roman"/>
                <w:sz w:val="20"/>
              </w:rPr>
            </w:pPr>
          </w:p>
        </w:tc>
        <w:tc>
          <w:tcPr>
            <w:tcW w:w="1283" w:type="dxa"/>
          </w:tcPr>
          <w:p w14:paraId="4FC940D1">
            <w:pPr>
              <w:pStyle w:val="42"/>
              <w:rPr>
                <w:rFonts w:ascii="Times New Roman"/>
                <w:sz w:val="20"/>
              </w:rPr>
            </w:pPr>
          </w:p>
        </w:tc>
      </w:tr>
      <w:tr w14:paraId="18644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261" w:type="dxa"/>
          </w:tcPr>
          <w:p w14:paraId="5A689316">
            <w:pPr>
              <w:pStyle w:val="42"/>
              <w:rPr>
                <w:rFonts w:ascii="Times New Roman"/>
                <w:sz w:val="20"/>
              </w:rPr>
            </w:pPr>
          </w:p>
        </w:tc>
        <w:tc>
          <w:tcPr>
            <w:tcW w:w="4261" w:type="dxa"/>
            <w:gridSpan w:val="5"/>
          </w:tcPr>
          <w:p w14:paraId="7B045A4E">
            <w:pPr>
              <w:pStyle w:val="42"/>
              <w:rPr>
                <w:rFonts w:ascii="Times New Roman"/>
                <w:sz w:val="20"/>
              </w:rPr>
            </w:pPr>
          </w:p>
        </w:tc>
        <w:tc>
          <w:tcPr>
            <w:tcW w:w="1932" w:type="dxa"/>
            <w:gridSpan w:val="2"/>
          </w:tcPr>
          <w:p w14:paraId="3D25D50E">
            <w:pPr>
              <w:pStyle w:val="42"/>
              <w:rPr>
                <w:rFonts w:ascii="Times New Roman"/>
                <w:sz w:val="20"/>
              </w:rPr>
            </w:pPr>
          </w:p>
        </w:tc>
        <w:tc>
          <w:tcPr>
            <w:tcW w:w="1283" w:type="dxa"/>
          </w:tcPr>
          <w:p w14:paraId="311A9B0E">
            <w:pPr>
              <w:pStyle w:val="42"/>
              <w:rPr>
                <w:rFonts w:ascii="Times New Roman"/>
                <w:sz w:val="20"/>
              </w:rPr>
            </w:pPr>
          </w:p>
        </w:tc>
      </w:tr>
      <w:tr w14:paraId="61672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638" w:type="dxa"/>
            <w:gridSpan w:val="2"/>
          </w:tcPr>
          <w:p w14:paraId="1BB4326C">
            <w:pPr>
              <w:pStyle w:val="42"/>
              <w:spacing w:before="8"/>
              <w:rPr>
                <w:rFonts w:ascii="黑体"/>
                <w:sz w:val="14"/>
              </w:rPr>
            </w:pPr>
          </w:p>
          <w:p w14:paraId="2B9D888B">
            <w:pPr>
              <w:pStyle w:val="42"/>
              <w:spacing w:before="1"/>
              <w:ind w:left="878" w:right="869"/>
              <w:jc w:val="center"/>
              <w:rPr>
                <w:sz w:val="21"/>
              </w:rPr>
            </w:pPr>
            <w:r>
              <w:rPr>
                <w:sz w:val="21"/>
              </w:rPr>
              <w:t>获奖情况</w:t>
            </w:r>
          </w:p>
        </w:tc>
        <w:tc>
          <w:tcPr>
            <w:tcW w:w="6099" w:type="dxa"/>
            <w:gridSpan w:val="7"/>
          </w:tcPr>
          <w:p w14:paraId="634B9702">
            <w:pPr>
              <w:pStyle w:val="42"/>
              <w:rPr>
                <w:rFonts w:ascii="Times New Roman"/>
                <w:sz w:val="20"/>
              </w:rPr>
            </w:pPr>
          </w:p>
        </w:tc>
      </w:tr>
      <w:tr w14:paraId="3AE5B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1" w:hRule="atLeast"/>
        </w:trPr>
        <w:tc>
          <w:tcPr>
            <w:tcW w:w="2638" w:type="dxa"/>
            <w:gridSpan w:val="2"/>
          </w:tcPr>
          <w:p w14:paraId="049AD0D5">
            <w:pPr>
              <w:pStyle w:val="42"/>
              <w:rPr>
                <w:rFonts w:ascii="黑体"/>
                <w:sz w:val="20"/>
              </w:rPr>
            </w:pPr>
          </w:p>
          <w:p w14:paraId="3F028769">
            <w:pPr>
              <w:pStyle w:val="42"/>
              <w:spacing w:before="7"/>
              <w:rPr>
                <w:rFonts w:ascii="黑体"/>
                <w:sz w:val="19"/>
              </w:rPr>
            </w:pPr>
          </w:p>
          <w:p w14:paraId="1579D50A">
            <w:pPr>
              <w:pStyle w:val="42"/>
              <w:ind w:left="688"/>
              <w:rPr>
                <w:sz w:val="21"/>
              </w:rPr>
            </w:pPr>
            <w:r>
              <w:rPr>
                <w:sz w:val="21"/>
              </w:rPr>
              <w:t>说明在岗情况</w:t>
            </w:r>
          </w:p>
        </w:tc>
        <w:tc>
          <w:tcPr>
            <w:tcW w:w="6099" w:type="dxa"/>
            <w:gridSpan w:val="7"/>
          </w:tcPr>
          <w:p w14:paraId="3A0A9F68">
            <w:pPr>
              <w:pStyle w:val="42"/>
              <w:tabs>
                <w:tab w:val="left" w:pos="5780"/>
              </w:tabs>
              <w:spacing w:before="90"/>
              <w:ind w:left="107"/>
              <w:rPr>
                <w:sz w:val="21"/>
              </w:rPr>
            </w:pPr>
            <w:r>
              <w:rPr>
                <w:sz w:val="21"/>
              </w:rPr>
              <w:t>□目</w:t>
            </w:r>
            <w:r>
              <w:rPr>
                <w:spacing w:val="-3"/>
                <w:sz w:val="21"/>
              </w:rPr>
              <w:t>前</w:t>
            </w:r>
            <w:r>
              <w:rPr>
                <w:sz w:val="21"/>
              </w:rPr>
              <w:t>未</w:t>
            </w:r>
            <w:r>
              <w:rPr>
                <w:spacing w:val="-3"/>
                <w:sz w:val="21"/>
              </w:rPr>
              <w:t>在</w:t>
            </w:r>
            <w:r>
              <w:rPr>
                <w:sz w:val="21"/>
              </w:rPr>
              <w:t>其</w:t>
            </w:r>
            <w:r>
              <w:rPr>
                <w:spacing w:val="-3"/>
                <w:sz w:val="21"/>
              </w:rPr>
              <w:t>他</w:t>
            </w:r>
            <w:r>
              <w:rPr>
                <w:sz w:val="21"/>
              </w:rPr>
              <w:t>项</w:t>
            </w:r>
            <w:r>
              <w:rPr>
                <w:spacing w:val="-3"/>
                <w:sz w:val="21"/>
              </w:rPr>
              <w:t>目</w:t>
            </w:r>
            <w:r>
              <w:rPr>
                <w:sz w:val="21"/>
              </w:rPr>
              <w:t>上</w:t>
            </w:r>
            <w:r>
              <w:rPr>
                <w:spacing w:val="-3"/>
                <w:sz w:val="21"/>
              </w:rPr>
              <w:t>任</w:t>
            </w:r>
            <w:r>
              <w:rPr>
                <w:sz w:val="21"/>
              </w:rPr>
              <w:t>职，</w:t>
            </w:r>
            <w:r>
              <w:rPr>
                <w:spacing w:val="-3"/>
                <w:sz w:val="21"/>
              </w:rPr>
              <w:t>现</w:t>
            </w:r>
            <w:r>
              <w:rPr>
                <w:sz w:val="21"/>
              </w:rPr>
              <w:t>从</w:t>
            </w:r>
            <w:r>
              <w:rPr>
                <w:spacing w:val="-3"/>
                <w:sz w:val="21"/>
              </w:rPr>
              <w:t>事</w:t>
            </w:r>
            <w:r>
              <w:rPr>
                <w:sz w:val="21"/>
              </w:rPr>
              <w:t>工</w:t>
            </w:r>
            <w:r>
              <w:rPr>
                <w:spacing w:val="-3"/>
                <w:sz w:val="21"/>
              </w:rPr>
              <w:t>作</w:t>
            </w:r>
            <w:r>
              <w:rPr>
                <w:sz w:val="21"/>
              </w:rPr>
              <w:t>为</w:t>
            </w:r>
            <w:r>
              <w:rPr>
                <w:spacing w:val="-3"/>
                <w:sz w:val="21"/>
              </w:rPr>
              <w:t>：</w:t>
            </w:r>
            <w:r>
              <w:rPr>
                <w:spacing w:val="-3"/>
                <w:sz w:val="21"/>
                <w:u w:val="single"/>
              </w:rPr>
              <w:t xml:space="preserve"> </w:t>
            </w:r>
            <w:r>
              <w:rPr>
                <w:spacing w:val="-3"/>
                <w:sz w:val="21"/>
                <w:u w:val="single"/>
              </w:rPr>
              <w:tab/>
            </w:r>
            <w:r>
              <w:rPr>
                <w:sz w:val="21"/>
              </w:rPr>
              <w:t>。</w:t>
            </w:r>
          </w:p>
          <w:p w14:paraId="645FDB5C">
            <w:pPr>
              <w:pStyle w:val="42"/>
              <w:tabs>
                <w:tab w:val="left" w:pos="3626"/>
                <w:tab w:val="left" w:pos="5883"/>
              </w:tabs>
              <w:spacing w:before="16" w:line="400" w:lineRule="exact"/>
              <w:ind w:left="107" w:right="-15"/>
              <w:rPr>
                <w:sz w:val="21"/>
              </w:rPr>
            </w:pPr>
            <w:r>
              <w:rPr>
                <w:spacing w:val="7"/>
                <w:sz w:val="21"/>
              </w:rPr>
              <w:t>□目前虽在其他项</w:t>
            </w:r>
            <w:r>
              <w:rPr>
                <w:spacing w:val="4"/>
                <w:sz w:val="21"/>
              </w:rPr>
              <w:t>目</w:t>
            </w:r>
            <w:r>
              <w:rPr>
                <w:spacing w:val="7"/>
                <w:sz w:val="21"/>
              </w:rPr>
              <w:t>上</w:t>
            </w:r>
            <w:r>
              <w:rPr>
                <w:spacing w:val="4"/>
                <w:sz w:val="21"/>
              </w:rPr>
              <w:t>任</w:t>
            </w:r>
            <w:r>
              <w:rPr>
                <w:spacing w:val="6"/>
                <w:sz w:val="21"/>
              </w:rPr>
              <w:t>职，但本项目中标</w:t>
            </w:r>
            <w:r>
              <w:rPr>
                <w:spacing w:val="4"/>
                <w:sz w:val="21"/>
              </w:rPr>
              <w:t>后</w:t>
            </w:r>
            <w:r>
              <w:rPr>
                <w:spacing w:val="6"/>
                <w:sz w:val="21"/>
              </w:rPr>
              <w:t>能</w:t>
            </w:r>
            <w:r>
              <w:rPr>
                <w:spacing w:val="4"/>
                <w:sz w:val="21"/>
              </w:rPr>
              <w:t>够</w:t>
            </w:r>
            <w:r>
              <w:rPr>
                <w:spacing w:val="6"/>
                <w:sz w:val="21"/>
              </w:rPr>
              <w:t>从该</w:t>
            </w:r>
            <w:r>
              <w:rPr>
                <w:spacing w:val="10"/>
                <w:sz w:val="21"/>
              </w:rPr>
              <w:t>项</w:t>
            </w:r>
            <w:r>
              <w:rPr>
                <w:spacing w:val="7"/>
                <w:sz w:val="21"/>
              </w:rPr>
              <w:t>目撤</w:t>
            </w:r>
            <w:r>
              <w:rPr>
                <w:sz w:val="21"/>
              </w:rPr>
              <w:t>离</w:t>
            </w:r>
            <w:r>
              <w:rPr>
                <w:spacing w:val="-82"/>
                <w:sz w:val="21"/>
              </w:rPr>
              <w:t>，</w:t>
            </w:r>
            <w:r>
              <w:rPr>
                <w:sz w:val="21"/>
              </w:rPr>
              <w:t>目前</w:t>
            </w:r>
            <w:r>
              <w:rPr>
                <w:spacing w:val="-3"/>
                <w:sz w:val="21"/>
              </w:rPr>
              <w:t>任</w:t>
            </w:r>
            <w:r>
              <w:rPr>
                <w:sz w:val="21"/>
              </w:rPr>
              <w:t>职</w:t>
            </w:r>
            <w:r>
              <w:rPr>
                <w:spacing w:val="-3"/>
                <w:sz w:val="21"/>
              </w:rPr>
              <w:t>项</w:t>
            </w:r>
            <w:r>
              <w:rPr>
                <w:sz w:val="21"/>
              </w:rPr>
              <w:t>目</w:t>
            </w:r>
            <w:r>
              <w:rPr>
                <w:sz w:val="21"/>
                <w:u w:val="single"/>
              </w:rPr>
              <w:t>：</w:t>
            </w:r>
            <w:r>
              <w:rPr>
                <w:sz w:val="21"/>
                <w:u w:val="single"/>
              </w:rPr>
              <w:tab/>
            </w:r>
            <w:r>
              <w:rPr>
                <w:spacing w:val="-82"/>
                <w:sz w:val="21"/>
              </w:rPr>
              <w:t>，</w:t>
            </w:r>
            <w:r>
              <w:rPr>
                <w:sz w:val="21"/>
              </w:rPr>
              <w:t>担</w:t>
            </w:r>
            <w:r>
              <w:rPr>
                <w:spacing w:val="-3"/>
                <w:sz w:val="21"/>
              </w:rPr>
              <w:t>任</w:t>
            </w:r>
            <w:r>
              <w:rPr>
                <w:sz w:val="21"/>
              </w:rPr>
              <w:t>职</w:t>
            </w:r>
            <w:r>
              <w:rPr>
                <w:spacing w:val="-3"/>
                <w:sz w:val="21"/>
              </w:rPr>
              <w:t>位</w:t>
            </w:r>
            <w:r>
              <w:rPr>
                <w:sz w:val="21"/>
              </w:rPr>
              <w:t>：</w:t>
            </w:r>
            <w:r>
              <w:rPr>
                <w:sz w:val="21"/>
                <w:u w:val="single"/>
              </w:rPr>
              <w:tab/>
            </w:r>
            <w:r>
              <w:rPr>
                <w:spacing w:val="-11"/>
                <w:sz w:val="21"/>
              </w:rPr>
              <w:t>。</w:t>
            </w:r>
          </w:p>
        </w:tc>
      </w:tr>
      <w:tr w14:paraId="0ACD3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trPr>
        <w:tc>
          <w:tcPr>
            <w:tcW w:w="2638" w:type="dxa"/>
            <w:gridSpan w:val="2"/>
          </w:tcPr>
          <w:p w14:paraId="3F721638">
            <w:pPr>
              <w:pStyle w:val="42"/>
              <w:rPr>
                <w:rFonts w:ascii="黑体"/>
                <w:sz w:val="20"/>
              </w:rPr>
            </w:pPr>
          </w:p>
          <w:p w14:paraId="512DE08E">
            <w:pPr>
              <w:pStyle w:val="42"/>
              <w:spacing w:before="5"/>
              <w:rPr>
                <w:rFonts w:ascii="黑体"/>
                <w:sz w:val="17"/>
              </w:rPr>
            </w:pPr>
          </w:p>
          <w:p w14:paraId="63FC95B8">
            <w:pPr>
              <w:pStyle w:val="42"/>
              <w:tabs>
                <w:tab w:val="left" w:pos="1581"/>
              </w:tabs>
              <w:ind w:left="844"/>
              <w:rPr>
                <w:sz w:val="21"/>
              </w:rPr>
            </w:pPr>
            <w:r>
              <w:rPr>
                <w:sz w:val="21"/>
              </w:rPr>
              <w:t>备</w:t>
            </w:r>
            <w:r>
              <w:rPr>
                <w:sz w:val="21"/>
              </w:rPr>
              <w:tab/>
            </w:r>
            <w:r>
              <w:rPr>
                <w:sz w:val="21"/>
              </w:rPr>
              <w:t>注</w:t>
            </w:r>
          </w:p>
        </w:tc>
        <w:tc>
          <w:tcPr>
            <w:tcW w:w="6099" w:type="dxa"/>
            <w:gridSpan w:val="7"/>
          </w:tcPr>
          <w:p w14:paraId="4C6B5163">
            <w:pPr>
              <w:pStyle w:val="42"/>
              <w:rPr>
                <w:rFonts w:ascii="Times New Roman"/>
                <w:sz w:val="20"/>
              </w:rPr>
            </w:pPr>
          </w:p>
        </w:tc>
      </w:tr>
    </w:tbl>
    <w:p w14:paraId="7394BDC3">
      <w:pPr>
        <w:spacing w:before="128"/>
        <w:ind w:left="264" w:right="0" w:firstLine="0"/>
        <w:jc w:val="left"/>
        <w:rPr>
          <w:sz w:val="21"/>
        </w:rPr>
      </w:pPr>
      <w:r>
        <w:rPr>
          <w:sz w:val="21"/>
        </w:rPr>
        <w:t>注：</w:t>
      </w:r>
      <w:r>
        <w:rPr>
          <w:rFonts w:ascii="Times New Roman" w:eastAsia="Times New Roman"/>
          <w:sz w:val="21"/>
        </w:rPr>
        <w:t>1.</w:t>
      </w:r>
      <w:r>
        <w:rPr>
          <w:sz w:val="21"/>
        </w:rPr>
        <w:t>本表应填写项目经理和项目总工相关情况。</w:t>
      </w:r>
    </w:p>
    <w:p w14:paraId="2343C293">
      <w:pPr>
        <w:spacing w:before="129"/>
        <w:ind w:left="684" w:right="0" w:firstLine="0"/>
        <w:jc w:val="left"/>
        <w:rPr>
          <w:sz w:val="21"/>
        </w:rPr>
      </w:pPr>
      <w:r>
        <w:rPr>
          <w:rFonts w:ascii="Times New Roman" w:hAnsi="Times New Roman" w:eastAsia="Times New Roman"/>
          <w:sz w:val="21"/>
        </w:rPr>
        <w:t>2.</w:t>
      </w:r>
      <w:r>
        <w:rPr>
          <w:sz w:val="21"/>
        </w:rPr>
        <w:t xml:space="preserve">投标人应根据招标文件第二章“投标人须知”第 </w:t>
      </w:r>
      <w:r>
        <w:rPr>
          <w:rFonts w:ascii="Times New Roman" w:hAnsi="Times New Roman" w:eastAsia="Times New Roman"/>
          <w:sz w:val="21"/>
        </w:rPr>
        <w:t xml:space="preserve">3.5.5 </w:t>
      </w:r>
      <w:r>
        <w:rPr>
          <w:sz w:val="21"/>
        </w:rPr>
        <w:t>项的要求在本表后附相关证明材料。</w:t>
      </w:r>
    </w:p>
    <w:p w14:paraId="6D69E661">
      <w:pPr>
        <w:spacing w:after="0"/>
        <w:jc w:val="left"/>
        <w:rPr>
          <w:sz w:val="21"/>
        </w:rPr>
        <w:sectPr>
          <w:pgSz w:w="11910" w:h="16850"/>
          <w:pgMar w:top="1540" w:right="1140" w:bottom="1060" w:left="1380" w:header="876" w:footer="860" w:gutter="0"/>
          <w:pgNumType w:fmt="decimal"/>
          <w:cols w:space="720" w:num="1"/>
        </w:sectPr>
      </w:pPr>
    </w:p>
    <w:p w14:paraId="399DD3D3">
      <w:pPr>
        <w:pStyle w:val="4"/>
        <w:numPr>
          <w:ilvl w:val="0"/>
          <w:numId w:val="15"/>
        </w:numPr>
        <w:bidi w:val="0"/>
        <w:rPr>
          <w:rFonts w:hint="eastAsia"/>
          <w:sz w:val="30"/>
          <w:szCs w:val="30"/>
        </w:rPr>
      </w:pPr>
      <w:bookmarkStart w:id="448" w:name="_bookmark321"/>
      <w:bookmarkEnd w:id="448"/>
      <w:bookmarkStart w:id="449" w:name="_bookmark317"/>
      <w:bookmarkEnd w:id="449"/>
      <w:bookmarkStart w:id="450" w:name="_bookmark319"/>
      <w:bookmarkEnd w:id="450"/>
      <w:bookmarkStart w:id="451" w:name="_Toc23695"/>
      <w:r>
        <w:rPr>
          <w:rFonts w:hint="eastAsia"/>
          <w:sz w:val="30"/>
          <w:szCs w:val="30"/>
        </w:rPr>
        <w:t>其他资料</w:t>
      </w:r>
      <w:bookmarkEnd w:id="451"/>
    </w:p>
    <w:p w14:paraId="774CFF9B">
      <w:pPr>
        <w:pStyle w:val="12"/>
        <w:rPr>
          <w:rFonts w:ascii="黑体"/>
          <w:sz w:val="20"/>
        </w:rPr>
      </w:pPr>
    </w:p>
    <w:p w14:paraId="52B53D45">
      <w:pPr>
        <w:pStyle w:val="12"/>
        <w:rPr>
          <w:rFonts w:ascii="黑体"/>
          <w:sz w:val="20"/>
        </w:rPr>
      </w:pPr>
    </w:p>
    <w:p w14:paraId="2BA7DDAF">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pP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000000"/>
          <w:kern w:val="0"/>
          <w:sz w:val="21"/>
          <w:szCs w:val="21"/>
          <w:lang w:val="en-US" w:eastAsia="zh-CN" w:bidi="ar"/>
        </w:rPr>
        <w:t>投标人近三年内未因发生重大安全事故或重大合同纠纷被有关部门通报过的承诺书</w:t>
      </w:r>
      <w:r>
        <w:rPr>
          <w:rFonts w:hint="eastAsia" w:ascii="宋体" w:hAnsi="宋体" w:eastAsia="宋体" w:cs="宋体"/>
          <w:color w:val="FF0000"/>
          <w:kern w:val="0"/>
          <w:sz w:val="21"/>
          <w:szCs w:val="21"/>
          <w:lang w:val="en-US" w:eastAsia="zh-CN" w:bidi="ar"/>
        </w:rPr>
        <w:t xml:space="preserve">（法定代表人签字并加盖单位公章） </w:t>
      </w:r>
    </w:p>
    <w:p w14:paraId="2CB4DD0E">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pPr>
      <w:r>
        <w:rPr>
          <w:rFonts w:hint="eastAsia" w:ascii="宋体" w:hAnsi="宋体" w:eastAsia="宋体" w:cs="宋体"/>
          <w:color w:val="000000"/>
          <w:kern w:val="0"/>
          <w:sz w:val="21"/>
          <w:szCs w:val="21"/>
          <w:lang w:val="en-US" w:eastAsia="zh-CN" w:bidi="ar"/>
        </w:rPr>
        <w:t>2、投标人在近三年内未因发生过骗取中标或被有关部门通报过的承诺书</w:t>
      </w:r>
      <w:r>
        <w:rPr>
          <w:rFonts w:hint="eastAsia" w:ascii="宋体" w:hAnsi="宋体" w:eastAsia="宋体" w:cs="宋体"/>
          <w:color w:val="FF0000"/>
          <w:kern w:val="0"/>
          <w:sz w:val="21"/>
          <w:szCs w:val="21"/>
          <w:lang w:val="en-US" w:eastAsia="zh-CN" w:bidi="ar"/>
        </w:rPr>
        <w:t xml:space="preserve">（法定代表人签字并加盖单位公章） </w:t>
      </w:r>
    </w:p>
    <w:p w14:paraId="4676FF0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pPr>
      <w:r>
        <w:rPr>
          <w:rFonts w:hint="eastAsia" w:ascii="宋体" w:hAnsi="宋体" w:eastAsia="宋体" w:cs="宋体"/>
          <w:color w:val="000000"/>
          <w:kern w:val="0"/>
          <w:sz w:val="21"/>
          <w:szCs w:val="21"/>
          <w:lang w:val="en-US" w:eastAsia="zh-CN" w:bidi="ar"/>
        </w:rPr>
        <w:t>3、投标人无恶意拖欠农民工工资的不良行为的承诺书</w:t>
      </w:r>
      <w:r>
        <w:rPr>
          <w:rFonts w:hint="eastAsia" w:ascii="宋体" w:hAnsi="宋体" w:eastAsia="宋体" w:cs="宋体"/>
          <w:color w:val="FF0000"/>
          <w:kern w:val="0"/>
          <w:sz w:val="21"/>
          <w:szCs w:val="21"/>
          <w:lang w:val="en-US" w:eastAsia="zh-CN" w:bidi="ar"/>
        </w:rPr>
        <w:t xml:space="preserve">（法定代表人签字并加盖单位公章） </w:t>
      </w:r>
    </w:p>
    <w:p w14:paraId="33986E1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pPr>
      <w:r>
        <w:rPr>
          <w:rFonts w:hint="eastAsia" w:ascii="宋体" w:hAnsi="宋体" w:eastAsia="宋体" w:cs="宋体"/>
          <w:color w:val="000000"/>
          <w:kern w:val="0"/>
          <w:sz w:val="21"/>
          <w:szCs w:val="21"/>
          <w:lang w:val="en-US" w:eastAsia="zh-CN" w:bidi="ar"/>
        </w:rPr>
        <w:t>4、项目经理和项目总工无在岗</w:t>
      </w:r>
      <w:r>
        <w:rPr>
          <w:rFonts w:hint="eastAsia" w:cs="宋体"/>
          <w:color w:val="000000"/>
          <w:kern w:val="0"/>
          <w:sz w:val="21"/>
          <w:szCs w:val="21"/>
          <w:lang w:val="en-US" w:eastAsia="zh-CN" w:bidi="ar"/>
        </w:rPr>
        <w:t>或虽在其他项目上任职，但本项目中标后能够从该项目撤离</w:t>
      </w:r>
      <w:r>
        <w:rPr>
          <w:rFonts w:hint="eastAsia" w:ascii="宋体" w:hAnsi="宋体" w:eastAsia="宋体" w:cs="宋体"/>
          <w:color w:val="000000"/>
          <w:kern w:val="0"/>
          <w:sz w:val="21"/>
          <w:szCs w:val="21"/>
          <w:lang w:val="en-US" w:eastAsia="zh-CN" w:bidi="ar"/>
        </w:rPr>
        <w:t>的承诺书，如在公示期间，发现项目经理和项目总工有在岗项目</w:t>
      </w:r>
      <w:r>
        <w:rPr>
          <w:rFonts w:hint="eastAsia" w:cs="宋体"/>
          <w:color w:val="000000"/>
          <w:kern w:val="0"/>
          <w:sz w:val="21"/>
          <w:szCs w:val="21"/>
          <w:lang w:val="en-US" w:eastAsia="zh-CN" w:bidi="ar"/>
        </w:rPr>
        <w:t>或</w:t>
      </w:r>
      <w:r>
        <w:rPr>
          <w:rFonts w:hint="eastAsia" w:ascii="宋体" w:hAnsi="宋体" w:eastAsia="宋体" w:cs="宋体"/>
          <w:color w:val="000000"/>
          <w:kern w:val="0"/>
          <w:sz w:val="21"/>
          <w:szCs w:val="21"/>
          <w:lang w:val="en-US" w:eastAsia="zh-CN" w:bidi="ar"/>
        </w:rPr>
        <w:t>虽在其他项目上任职，但本项目中标后</w:t>
      </w:r>
      <w:r>
        <w:rPr>
          <w:rFonts w:hint="eastAsia" w:cs="宋体"/>
          <w:color w:val="000000"/>
          <w:kern w:val="0"/>
          <w:sz w:val="21"/>
          <w:szCs w:val="21"/>
          <w:lang w:val="en-US" w:eastAsia="zh-CN" w:bidi="ar"/>
        </w:rPr>
        <w:t>不</w:t>
      </w:r>
      <w:r>
        <w:rPr>
          <w:rFonts w:hint="eastAsia" w:ascii="宋体" w:hAnsi="宋体" w:eastAsia="宋体" w:cs="宋体"/>
          <w:color w:val="000000"/>
          <w:kern w:val="0"/>
          <w:sz w:val="21"/>
          <w:szCs w:val="21"/>
          <w:lang w:val="en-US" w:eastAsia="zh-CN" w:bidi="ar"/>
        </w:rPr>
        <w:t>能够从该项目撤离</w:t>
      </w:r>
      <w:r>
        <w:rPr>
          <w:rFonts w:hint="eastAsia" w:cs="宋体"/>
          <w:color w:val="000000"/>
          <w:kern w:val="0"/>
          <w:sz w:val="21"/>
          <w:szCs w:val="21"/>
          <w:lang w:val="en-US" w:eastAsia="zh-CN" w:bidi="ar"/>
        </w:rPr>
        <w:t>的</w:t>
      </w:r>
      <w:r>
        <w:rPr>
          <w:rFonts w:hint="eastAsia" w:ascii="宋体" w:hAnsi="宋体" w:eastAsia="宋体" w:cs="宋体"/>
          <w:color w:val="000000"/>
          <w:kern w:val="0"/>
          <w:sz w:val="21"/>
          <w:szCs w:val="21"/>
          <w:lang w:val="en-US" w:eastAsia="zh-CN" w:bidi="ar"/>
        </w:rPr>
        <w:t>，取消中标资格。</w:t>
      </w:r>
      <w:r>
        <w:rPr>
          <w:rFonts w:hint="eastAsia" w:ascii="宋体" w:hAnsi="宋体" w:eastAsia="宋体" w:cs="宋体"/>
          <w:color w:val="FF0000"/>
          <w:kern w:val="0"/>
          <w:sz w:val="21"/>
          <w:szCs w:val="21"/>
          <w:lang w:val="en-US" w:eastAsia="zh-CN" w:bidi="ar"/>
        </w:rPr>
        <w:t xml:space="preserve">（法定代表人签字并加盖单位公章的承诺书） </w:t>
      </w:r>
    </w:p>
    <w:p w14:paraId="4C1D98A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pPr>
      <w:r>
        <w:rPr>
          <w:rFonts w:hint="eastAsia" w:ascii="宋体" w:hAnsi="宋体" w:eastAsia="宋体" w:cs="宋体"/>
          <w:color w:val="000000"/>
          <w:kern w:val="0"/>
          <w:sz w:val="21"/>
          <w:szCs w:val="21"/>
          <w:lang w:val="en-US" w:eastAsia="zh-CN" w:bidi="ar"/>
        </w:rPr>
        <w:t>5、投标人承诺无行贿犯罪行为承诺书：我单位法定代表人（姓名）及拟派项目负责人（姓名）截至投标时（以递交的投标文件截止为准）均无行贿犯罪行为，若存在，同意取消我单位中标资格，并追究我单位相关法律责任。</w:t>
      </w:r>
      <w:r>
        <w:rPr>
          <w:rFonts w:hint="eastAsia" w:ascii="宋体" w:hAnsi="宋体" w:eastAsia="宋体" w:cs="宋体"/>
          <w:color w:val="FF0000"/>
          <w:kern w:val="0"/>
          <w:sz w:val="21"/>
          <w:szCs w:val="21"/>
          <w:lang w:val="en-US" w:eastAsia="zh-CN" w:bidi="ar"/>
        </w:rPr>
        <w:t xml:space="preserve">（法定代表人签字并加盖单位公章） </w:t>
      </w:r>
    </w:p>
    <w:p w14:paraId="0691E3CE">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2" w:firstLineChars="200"/>
        <w:jc w:val="left"/>
        <w:textAlignment w:val="auto"/>
        <w:outlineLvl w:val="9"/>
      </w:pPr>
      <w:bookmarkStart w:id="452" w:name="_Toc8418"/>
      <w:r>
        <w:rPr>
          <w:rFonts w:hint="eastAsia" w:ascii="宋体" w:hAnsi="宋体" w:eastAsia="宋体" w:cs="宋体"/>
          <w:b/>
          <w:bCs/>
          <w:color w:val="FF0000"/>
          <w:kern w:val="0"/>
          <w:sz w:val="21"/>
          <w:szCs w:val="21"/>
          <w:lang w:val="en-US" w:eastAsia="zh-CN" w:bidi="ar"/>
        </w:rPr>
        <w:t>注：以上格式自拟。</w:t>
      </w:r>
      <w:bookmarkEnd w:id="452"/>
      <w:r>
        <w:rPr>
          <w:rFonts w:hint="eastAsia" w:ascii="宋体" w:hAnsi="宋体" w:eastAsia="宋体" w:cs="宋体"/>
          <w:color w:val="FF0000"/>
          <w:kern w:val="0"/>
          <w:sz w:val="21"/>
          <w:szCs w:val="21"/>
          <w:lang w:val="en-US" w:eastAsia="zh-CN" w:bidi="ar"/>
        </w:rPr>
        <w:t xml:space="preserve"> </w:t>
      </w:r>
    </w:p>
    <w:p w14:paraId="178B6A0F">
      <w:pPr>
        <w:pStyle w:val="12"/>
        <w:rPr>
          <w:rFonts w:ascii="黑体"/>
          <w:sz w:val="20"/>
        </w:rPr>
      </w:pPr>
    </w:p>
    <w:p w14:paraId="515D64A8">
      <w:pPr>
        <w:pStyle w:val="12"/>
        <w:rPr>
          <w:rFonts w:ascii="黑体"/>
          <w:sz w:val="20"/>
        </w:rPr>
      </w:pPr>
    </w:p>
    <w:p w14:paraId="5623B3E0">
      <w:pPr>
        <w:pStyle w:val="12"/>
        <w:spacing w:before="9"/>
        <w:rPr>
          <w:rFonts w:ascii="黑体"/>
          <w:sz w:val="19"/>
        </w:rPr>
      </w:pPr>
    </w:p>
    <w:p w14:paraId="0EC572B7">
      <w:pPr>
        <w:rPr>
          <w:rFonts w:ascii="Times New Roman" w:eastAsia="Times New Roman"/>
          <w:w w:val="99"/>
          <w:sz w:val="31"/>
          <w:u w:val="single"/>
        </w:rPr>
      </w:pPr>
      <w:r>
        <w:rPr>
          <w:rFonts w:ascii="Times New Roman" w:eastAsia="Times New Roman"/>
          <w:w w:val="99"/>
          <w:sz w:val="31"/>
          <w:u w:val="single"/>
        </w:rPr>
        <w:br w:type="page"/>
      </w:r>
    </w:p>
    <w:p w14:paraId="79C8E24D">
      <w:pPr>
        <w:pStyle w:val="12"/>
        <w:rPr>
          <w:rFonts w:ascii="黑体"/>
          <w:sz w:val="20"/>
        </w:rPr>
      </w:pPr>
    </w:p>
    <w:p w14:paraId="4034CC52">
      <w:pPr>
        <w:pStyle w:val="12"/>
        <w:rPr>
          <w:rFonts w:ascii="黑体"/>
          <w:sz w:val="20"/>
        </w:rPr>
      </w:pPr>
    </w:p>
    <w:p w14:paraId="17C203FC">
      <w:pPr>
        <w:pStyle w:val="12"/>
        <w:rPr>
          <w:rFonts w:ascii="黑体"/>
          <w:sz w:val="20"/>
        </w:rPr>
      </w:pPr>
    </w:p>
    <w:p w14:paraId="00B8F56C">
      <w:pPr>
        <w:pStyle w:val="12"/>
        <w:spacing w:before="2"/>
        <w:rPr>
          <w:rFonts w:ascii="黑体"/>
          <w:sz w:val="19"/>
          <w:u w:val="single"/>
        </w:rPr>
      </w:pPr>
    </w:p>
    <w:p w14:paraId="231F4E54">
      <w:pPr>
        <w:bidi w:val="0"/>
        <w:jc w:val="center"/>
        <w:rPr>
          <w:rFonts w:hint="eastAsia"/>
          <w:sz w:val="28"/>
          <w:szCs w:val="28"/>
        </w:rPr>
      </w:pPr>
      <w:bookmarkStart w:id="453" w:name="_Toc20298"/>
      <w:r>
        <w:rPr>
          <w:rFonts w:hint="eastAsia"/>
          <w:sz w:val="28"/>
          <w:szCs w:val="28"/>
          <w:u w:val="single"/>
          <w:lang w:val="en-US" w:eastAsia="zh-CN"/>
        </w:rPr>
        <w:t xml:space="preserve">                               </w:t>
      </w:r>
      <w:r>
        <w:rPr>
          <w:rFonts w:hint="eastAsia"/>
          <w:sz w:val="28"/>
          <w:szCs w:val="28"/>
        </w:rPr>
        <w:t>（项目名称）施工招标</w:t>
      </w:r>
      <w:bookmarkEnd w:id="453"/>
    </w:p>
    <w:p w14:paraId="074A9888">
      <w:pPr>
        <w:pStyle w:val="12"/>
        <w:rPr>
          <w:rFonts w:ascii="黑体"/>
          <w:sz w:val="26"/>
        </w:rPr>
      </w:pPr>
    </w:p>
    <w:p w14:paraId="166AE8DD">
      <w:pPr>
        <w:pStyle w:val="12"/>
        <w:rPr>
          <w:rFonts w:ascii="黑体"/>
          <w:sz w:val="26"/>
        </w:rPr>
      </w:pPr>
    </w:p>
    <w:p w14:paraId="143EFB09">
      <w:pPr>
        <w:pStyle w:val="12"/>
        <w:rPr>
          <w:rFonts w:ascii="黑体"/>
          <w:sz w:val="26"/>
        </w:rPr>
      </w:pPr>
    </w:p>
    <w:p w14:paraId="22EC82A6">
      <w:pPr>
        <w:pStyle w:val="12"/>
        <w:rPr>
          <w:rFonts w:ascii="黑体"/>
          <w:sz w:val="26"/>
        </w:rPr>
      </w:pPr>
    </w:p>
    <w:p w14:paraId="7BD017DE">
      <w:pPr>
        <w:pStyle w:val="12"/>
        <w:spacing w:before="3"/>
        <w:rPr>
          <w:rFonts w:ascii="黑体"/>
          <w:sz w:val="35"/>
        </w:rPr>
      </w:pPr>
    </w:p>
    <w:p w14:paraId="271D0344">
      <w:pPr>
        <w:bidi w:val="0"/>
        <w:jc w:val="center"/>
        <w:rPr>
          <w:sz w:val="32"/>
          <w:szCs w:val="32"/>
        </w:rPr>
      </w:pPr>
      <w:bookmarkStart w:id="454" w:name="_bookmark322"/>
      <w:bookmarkEnd w:id="454"/>
      <w:r>
        <w:rPr>
          <w:sz w:val="32"/>
          <w:szCs w:val="32"/>
        </w:rPr>
        <w:t>投</w:t>
      </w:r>
      <w:r>
        <w:rPr>
          <w:rFonts w:hint="eastAsia"/>
          <w:sz w:val="32"/>
          <w:szCs w:val="32"/>
          <w:lang w:val="en-US" w:eastAsia="zh-CN"/>
        </w:rPr>
        <w:t xml:space="preserve"> </w:t>
      </w:r>
      <w:r>
        <w:rPr>
          <w:sz w:val="32"/>
          <w:szCs w:val="32"/>
        </w:rPr>
        <w:t>标</w:t>
      </w:r>
      <w:r>
        <w:rPr>
          <w:rFonts w:hint="eastAsia"/>
          <w:sz w:val="32"/>
          <w:szCs w:val="32"/>
          <w:lang w:val="en-US" w:eastAsia="zh-CN"/>
        </w:rPr>
        <w:t xml:space="preserve"> </w:t>
      </w:r>
      <w:r>
        <w:rPr>
          <w:sz w:val="32"/>
          <w:szCs w:val="32"/>
        </w:rPr>
        <w:t>文</w:t>
      </w:r>
      <w:r>
        <w:rPr>
          <w:rFonts w:hint="eastAsia"/>
          <w:sz w:val="32"/>
          <w:szCs w:val="32"/>
          <w:lang w:val="en-US" w:eastAsia="zh-CN"/>
        </w:rPr>
        <w:t xml:space="preserve"> </w:t>
      </w:r>
      <w:r>
        <w:rPr>
          <w:sz w:val="32"/>
          <w:szCs w:val="32"/>
        </w:rPr>
        <w:t>件</w:t>
      </w:r>
    </w:p>
    <w:p w14:paraId="6B2A1A22">
      <w:pPr>
        <w:bidi w:val="0"/>
        <w:jc w:val="center"/>
      </w:pPr>
      <w:r>
        <w:t>（报价文件）</w:t>
      </w:r>
    </w:p>
    <w:p w14:paraId="43CB8AE6">
      <w:pPr>
        <w:pStyle w:val="12"/>
        <w:rPr>
          <w:rFonts w:ascii="黑体"/>
          <w:sz w:val="32"/>
        </w:rPr>
      </w:pPr>
    </w:p>
    <w:p w14:paraId="4AB10295">
      <w:pPr>
        <w:pStyle w:val="12"/>
        <w:rPr>
          <w:rFonts w:ascii="黑体"/>
          <w:sz w:val="32"/>
        </w:rPr>
      </w:pPr>
    </w:p>
    <w:p w14:paraId="7495919E">
      <w:pPr>
        <w:pStyle w:val="12"/>
        <w:rPr>
          <w:rFonts w:ascii="黑体"/>
          <w:sz w:val="32"/>
        </w:rPr>
      </w:pPr>
    </w:p>
    <w:p w14:paraId="34F52C55">
      <w:pPr>
        <w:pStyle w:val="12"/>
        <w:rPr>
          <w:rFonts w:ascii="黑体"/>
          <w:sz w:val="32"/>
        </w:rPr>
      </w:pPr>
    </w:p>
    <w:p w14:paraId="029544FF">
      <w:pPr>
        <w:pStyle w:val="12"/>
        <w:rPr>
          <w:rFonts w:ascii="黑体"/>
          <w:sz w:val="32"/>
        </w:rPr>
      </w:pPr>
    </w:p>
    <w:p w14:paraId="56C6A45E">
      <w:pPr>
        <w:pStyle w:val="12"/>
        <w:rPr>
          <w:rFonts w:ascii="黑体"/>
          <w:sz w:val="32"/>
        </w:rPr>
      </w:pPr>
    </w:p>
    <w:p w14:paraId="712F9916">
      <w:pPr>
        <w:pStyle w:val="12"/>
        <w:rPr>
          <w:rFonts w:ascii="黑体"/>
          <w:sz w:val="32"/>
        </w:rPr>
      </w:pPr>
    </w:p>
    <w:p w14:paraId="52124232">
      <w:pPr>
        <w:pStyle w:val="12"/>
        <w:rPr>
          <w:rFonts w:ascii="黑体"/>
          <w:sz w:val="32"/>
        </w:rPr>
      </w:pPr>
    </w:p>
    <w:p w14:paraId="45A2CB8C">
      <w:pPr>
        <w:pStyle w:val="12"/>
        <w:rPr>
          <w:rFonts w:ascii="黑体"/>
          <w:sz w:val="32"/>
        </w:rPr>
      </w:pPr>
    </w:p>
    <w:p w14:paraId="6D45207A">
      <w:pPr>
        <w:pStyle w:val="12"/>
        <w:rPr>
          <w:rFonts w:ascii="黑体"/>
          <w:sz w:val="32"/>
        </w:rPr>
      </w:pPr>
    </w:p>
    <w:p w14:paraId="4B614F0C">
      <w:pPr>
        <w:pStyle w:val="12"/>
        <w:rPr>
          <w:rFonts w:ascii="黑体"/>
          <w:sz w:val="32"/>
        </w:rPr>
      </w:pPr>
    </w:p>
    <w:p w14:paraId="09E11AA6">
      <w:pPr>
        <w:pStyle w:val="12"/>
        <w:rPr>
          <w:rFonts w:ascii="黑体"/>
          <w:sz w:val="32"/>
        </w:rPr>
      </w:pPr>
    </w:p>
    <w:p w14:paraId="44C78976">
      <w:pPr>
        <w:bidi w:val="0"/>
        <w:ind w:firstLine="1120" w:firstLineChars="400"/>
        <w:rPr>
          <w:rFonts w:hint="eastAsia"/>
          <w:sz w:val="28"/>
          <w:szCs w:val="28"/>
        </w:rPr>
      </w:pPr>
      <w:r>
        <w:rPr>
          <w:rFonts w:hint="eastAsia"/>
          <w:sz w:val="28"/>
          <w:szCs w:val="28"/>
        </w:rPr>
        <w:t>投标人：</w:t>
      </w:r>
      <w:r>
        <w:rPr>
          <w:rFonts w:hint="eastAsia"/>
          <w:sz w:val="28"/>
          <w:szCs w:val="28"/>
          <w:u w:val="single"/>
          <w:lang w:val="en-US" w:eastAsia="zh-CN"/>
        </w:rPr>
        <w:t xml:space="preserve">                                </w:t>
      </w:r>
      <w:r>
        <w:rPr>
          <w:rFonts w:hint="eastAsia"/>
          <w:sz w:val="28"/>
          <w:szCs w:val="28"/>
        </w:rPr>
        <w:t>（盖单位章）</w:t>
      </w:r>
    </w:p>
    <w:p w14:paraId="5B5451E1">
      <w:pPr>
        <w:pStyle w:val="12"/>
        <w:rPr>
          <w:rFonts w:ascii="黑体"/>
          <w:sz w:val="20"/>
        </w:rPr>
      </w:pPr>
    </w:p>
    <w:p w14:paraId="6DFD9762">
      <w:pPr>
        <w:pStyle w:val="12"/>
        <w:spacing w:before="12"/>
        <w:rPr>
          <w:rFonts w:ascii="黑体"/>
          <w:sz w:val="15"/>
        </w:rPr>
      </w:pPr>
    </w:p>
    <w:p w14:paraId="4F57906D">
      <w:pPr>
        <w:bidi w:val="0"/>
        <w:jc w:val="center"/>
        <w:rPr>
          <w:rFonts w:hint="eastAsia"/>
        </w:rPr>
      </w:pPr>
      <w:r>
        <w:rPr>
          <w:rFonts w:hint="eastAsia"/>
        </w:rPr>
        <w:t xml:space="preserve">年 </w:t>
      </w:r>
      <w:r>
        <w:rPr>
          <w:rFonts w:hint="eastAsia"/>
        </w:rPr>
        <w:tab/>
      </w:r>
      <w:r>
        <w:rPr>
          <w:rFonts w:hint="eastAsia"/>
        </w:rPr>
        <w:t xml:space="preserve">月 </w:t>
      </w:r>
      <w:r>
        <w:rPr>
          <w:rFonts w:hint="eastAsia"/>
        </w:rPr>
        <w:tab/>
      </w:r>
      <w:r>
        <w:rPr>
          <w:rFonts w:hint="eastAsia"/>
        </w:rPr>
        <w:t>日</w:t>
      </w:r>
    </w:p>
    <w:p w14:paraId="3FC98EF2">
      <w:pPr>
        <w:pStyle w:val="12"/>
        <w:rPr>
          <w:rFonts w:ascii="黑体"/>
          <w:sz w:val="20"/>
        </w:rPr>
      </w:pPr>
    </w:p>
    <w:p w14:paraId="524ADF3F">
      <w:pPr>
        <w:pStyle w:val="12"/>
        <w:rPr>
          <w:rFonts w:ascii="黑体"/>
          <w:sz w:val="20"/>
        </w:rPr>
      </w:pPr>
    </w:p>
    <w:p w14:paraId="3340EC77">
      <w:pPr>
        <w:pStyle w:val="12"/>
        <w:rPr>
          <w:rFonts w:ascii="黑体"/>
          <w:sz w:val="20"/>
        </w:rPr>
      </w:pPr>
    </w:p>
    <w:p w14:paraId="229831D1">
      <w:pPr>
        <w:pStyle w:val="12"/>
        <w:rPr>
          <w:rFonts w:ascii="黑体"/>
          <w:sz w:val="20"/>
        </w:rPr>
      </w:pPr>
    </w:p>
    <w:p w14:paraId="0EB1B355">
      <w:pPr>
        <w:rPr>
          <w:rFonts w:hint="eastAsia"/>
          <w:sz w:val="32"/>
          <w:szCs w:val="32"/>
        </w:rPr>
      </w:pPr>
      <w:bookmarkStart w:id="455" w:name="_Toc20605"/>
      <w:r>
        <w:rPr>
          <w:rFonts w:hint="eastAsia"/>
          <w:sz w:val="32"/>
          <w:szCs w:val="32"/>
        </w:rPr>
        <w:br w:type="page"/>
      </w:r>
    </w:p>
    <w:p w14:paraId="74719DB1">
      <w:pPr>
        <w:bidi w:val="0"/>
        <w:jc w:val="center"/>
        <w:rPr>
          <w:rFonts w:hint="eastAsia"/>
          <w:sz w:val="30"/>
          <w:szCs w:val="30"/>
        </w:rPr>
      </w:pPr>
      <w:r>
        <w:rPr>
          <w:rFonts w:hint="eastAsia"/>
          <w:sz w:val="30"/>
          <w:szCs w:val="30"/>
        </w:rPr>
        <w:t>目</w:t>
      </w:r>
      <w:r>
        <w:rPr>
          <w:rFonts w:hint="eastAsia"/>
          <w:sz w:val="30"/>
          <w:szCs w:val="30"/>
        </w:rPr>
        <w:tab/>
      </w:r>
      <w:r>
        <w:rPr>
          <w:rFonts w:hint="eastAsia"/>
          <w:sz w:val="30"/>
          <w:szCs w:val="30"/>
        </w:rPr>
        <w:t>录</w:t>
      </w:r>
      <w:bookmarkEnd w:id="455"/>
    </w:p>
    <w:p w14:paraId="5266A2CF">
      <w:pPr>
        <w:pStyle w:val="12"/>
        <w:spacing w:before="6"/>
        <w:rPr>
          <w:rFonts w:ascii="黑体"/>
          <w:b/>
          <w:sz w:val="43"/>
        </w:rPr>
      </w:pPr>
    </w:p>
    <w:p w14:paraId="0C890C45">
      <w:pPr>
        <w:keepNext w:val="0"/>
        <w:keepLines w:val="0"/>
        <w:pageBreakBefore w:val="0"/>
        <w:widowControl w:val="0"/>
        <w:kinsoku/>
        <w:wordWrap/>
        <w:overflowPunct/>
        <w:topLinePunct w:val="0"/>
        <w:autoSpaceDE w:val="0"/>
        <w:autoSpaceDN w:val="0"/>
        <w:bidi w:val="0"/>
        <w:adjustRightInd/>
        <w:snapToGrid/>
        <w:spacing w:line="480" w:lineRule="auto"/>
        <w:textAlignment w:val="auto"/>
        <w:rPr>
          <w:sz w:val="28"/>
          <w:szCs w:val="28"/>
        </w:rPr>
      </w:pPr>
      <w:r>
        <w:rPr>
          <w:sz w:val="28"/>
          <w:szCs w:val="28"/>
        </w:rPr>
        <w:t xml:space="preserve">一、投标函 </w:t>
      </w:r>
    </w:p>
    <w:p w14:paraId="5C8C8E41">
      <w:pPr>
        <w:keepNext w:val="0"/>
        <w:keepLines w:val="0"/>
        <w:pageBreakBefore w:val="0"/>
        <w:widowControl w:val="0"/>
        <w:kinsoku/>
        <w:wordWrap/>
        <w:overflowPunct/>
        <w:topLinePunct w:val="0"/>
        <w:autoSpaceDE w:val="0"/>
        <w:autoSpaceDN w:val="0"/>
        <w:bidi w:val="0"/>
        <w:adjustRightInd/>
        <w:snapToGrid/>
        <w:spacing w:line="480" w:lineRule="auto"/>
        <w:textAlignment w:val="auto"/>
        <w:rPr>
          <w:sz w:val="28"/>
          <w:szCs w:val="28"/>
        </w:rPr>
      </w:pPr>
      <w:r>
        <w:rPr>
          <w:sz w:val="28"/>
          <w:szCs w:val="28"/>
        </w:rPr>
        <w:t>二、已标价工程量清单</w:t>
      </w:r>
    </w:p>
    <w:p w14:paraId="67D65210">
      <w:pPr>
        <w:pStyle w:val="12"/>
        <w:spacing w:line="307" w:lineRule="exact"/>
        <w:ind w:left="1884"/>
      </w:pPr>
      <w:r>
        <w:t xml:space="preserve"> </w:t>
      </w:r>
    </w:p>
    <w:p w14:paraId="039ADC36">
      <w:pPr>
        <w:spacing w:after="0" w:line="307" w:lineRule="exact"/>
        <w:sectPr>
          <w:footerReference r:id="rId93" w:type="default"/>
          <w:footerReference r:id="rId94" w:type="even"/>
          <w:pgSz w:w="11910" w:h="16850"/>
          <w:pgMar w:top="1540" w:right="1140" w:bottom="1080" w:left="1380" w:header="883" w:footer="884" w:gutter="0"/>
          <w:pgNumType w:fmt="decimal"/>
          <w:cols w:space="720" w:num="1"/>
        </w:sectPr>
      </w:pPr>
    </w:p>
    <w:p w14:paraId="78E9691F">
      <w:pPr>
        <w:pStyle w:val="4"/>
        <w:bidi w:val="0"/>
        <w:rPr>
          <w:rFonts w:hint="eastAsia"/>
          <w:sz w:val="30"/>
          <w:szCs w:val="30"/>
        </w:rPr>
      </w:pPr>
      <w:bookmarkStart w:id="456" w:name="_bookmark324"/>
      <w:bookmarkEnd w:id="456"/>
      <w:bookmarkStart w:id="457" w:name="_Toc8382"/>
      <w:r>
        <w:rPr>
          <w:rFonts w:hint="eastAsia"/>
          <w:sz w:val="30"/>
          <w:szCs w:val="30"/>
        </w:rPr>
        <w:t>一、投标函</w:t>
      </w:r>
      <w:bookmarkEnd w:id="457"/>
    </w:p>
    <w:p w14:paraId="76885B2D">
      <w:pPr>
        <w:pStyle w:val="12"/>
        <w:spacing w:before="7"/>
        <w:rPr>
          <w:rFonts w:ascii="黑体"/>
          <w:sz w:val="19"/>
        </w:rPr>
      </w:pPr>
    </w:p>
    <w:p w14:paraId="2B7308AB">
      <w:pPr>
        <w:pStyle w:val="12"/>
        <w:tabs>
          <w:tab w:val="left" w:pos="3264"/>
        </w:tabs>
        <w:spacing w:before="74" w:line="360" w:lineRule="auto"/>
        <w:ind w:left="384"/>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（招标人名称</w:t>
      </w:r>
      <w:r>
        <w:rPr>
          <w:spacing w:val="-120"/>
          <w:sz w:val="21"/>
          <w:szCs w:val="21"/>
        </w:rPr>
        <w:t>）</w:t>
      </w:r>
      <w:r>
        <w:rPr>
          <w:sz w:val="21"/>
          <w:szCs w:val="21"/>
        </w:rPr>
        <w:t>：</w:t>
      </w:r>
    </w:p>
    <w:p w14:paraId="56F9DB7B">
      <w:pPr>
        <w:pStyle w:val="41"/>
        <w:numPr>
          <w:ilvl w:val="0"/>
          <w:numId w:val="16"/>
        </w:numPr>
        <w:tabs>
          <w:tab w:val="left" w:pos="1106"/>
          <w:tab w:val="left" w:pos="3716"/>
          <w:tab w:val="left" w:pos="4796"/>
          <w:tab w:val="left" w:pos="4964"/>
          <w:tab w:val="left" w:pos="7494"/>
        </w:tabs>
        <w:spacing w:before="214" w:after="0" w:line="360" w:lineRule="auto"/>
        <w:ind w:left="264" w:right="445" w:firstLine="479"/>
        <w:jc w:val="left"/>
        <w:rPr>
          <w:rFonts w:ascii="Times New Roman" w:eastAsia="Times New Roman"/>
          <w:sz w:val="21"/>
          <w:szCs w:val="21"/>
        </w:rPr>
      </w:pPr>
      <w:r>
        <w:rPr>
          <w:sz w:val="21"/>
          <w:szCs w:val="21"/>
        </w:rPr>
        <w:t>我方已仔细研究</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rPr>
        <w:t>（项目名称）施工招</w:t>
      </w:r>
      <w:r>
        <w:rPr>
          <w:spacing w:val="-15"/>
          <w:sz w:val="21"/>
          <w:szCs w:val="21"/>
        </w:rPr>
        <w:t>标</w:t>
      </w:r>
      <w:r>
        <w:rPr>
          <w:sz w:val="21"/>
          <w:szCs w:val="21"/>
        </w:rPr>
        <w:t>文件的全部内</w:t>
      </w:r>
      <w:r>
        <w:rPr>
          <w:spacing w:val="-29"/>
          <w:sz w:val="21"/>
          <w:szCs w:val="21"/>
        </w:rPr>
        <w:t>容</w:t>
      </w:r>
      <w:r>
        <w:rPr>
          <w:sz w:val="21"/>
          <w:szCs w:val="21"/>
        </w:rPr>
        <w:t>（含补遗书第</w:t>
      </w:r>
      <w:r>
        <w:rPr>
          <w:sz w:val="21"/>
          <w:szCs w:val="21"/>
          <w:u w:val="single"/>
        </w:rPr>
        <w:t xml:space="preserve"> </w:t>
      </w:r>
      <w:r>
        <w:rPr>
          <w:sz w:val="21"/>
          <w:szCs w:val="21"/>
          <w:u w:val="single"/>
        </w:rPr>
        <w:tab/>
      </w:r>
      <w:r>
        <w:rPr>
          <w:sz w:val="21"/>
          <w:szCs w:val="21"/>
        </w:rPr>
        <w:t>号至第</w:t>
      </w:r>
      <w:r>
        <w:rPr>
          <w:sz w:val="21"/>
          <w:szCs w:val="21"/>
          <w:u w:val="single"/>
        </w:rPr>
        <w:t xml:space="preserve"> </w:t>
      </w:r>
      <w:r>
        <w:rPr>
          <w:sz w:val="21"/>
          <w:szCs w:val="21"/>
          <w:u w:val="single"/>
        </w:rPr>
        <w:tab/>
      </w:r>
      <w:r>
        <w:rPr>
          <w:sz w:val="21"/>
          <w:szCs w:val="21"/>
        </w:rPr>
        <w:t>号</w:t>
      </w:r>
      <w:r>
        <w:rPr>
          <w:spacing w:val="-75"/>
          <w:sz w:val="21"/>
          <w:szCs w:val="21"/>
        </w:rPr>
        <w:t>），</w:t>
      </w:r>
      <w:r>
        <w:rPr>
          <w:sz w:val="21"/>
          <w:szCs w:val="21"/>
        </w:rPr>
        <w:t>在考察工程现场后</w:t>
      </w:r>
      <w:r>
        <w:rPr>
          <w:spacing w:val="-29"/>
          <w:sz w:val="21"/>
          <w:szCs w:val="21"/>
        </w:rPr>
        <w:t>，</w:t>
      </w:r>
      <w:r>
        <w:rPr>
          <w:sz w:val="21"/>
          <w:szCs w:val="21"/>
        </w:rPr>
        <w:t>愿意以人民</w:t>
      </w:r>
      <w:r>
        <w:rPr>
          <w:spacing w:val="-17"/>
          <w:sz w:val="21"/>
          <w:szCs w:val="21"/>
        </w:rPr>
        <w:t>币</w:t>
      </w:r>
    </w:p>
    <w:p w14:paraId="359EB4BA">
      <w:pPr>
        <w:pStyle w:val="12"/>
        <w:tabs>
          <w:tab w:val="left" w:pos="2556"/>
          <w:tab w:val="left" w:pos="4124"/>
          <w:tab w:val="left" w:pos="5929"/>
        </w:tabs>
        <w:spacing w:line="360" w:lineRule="auto"/>
        <w:ind w:left="264" w:right="446"/>
        <w:jc w:val="both"/>
        <w:rPr>
          <w:sz w:val="21"/>
          <w:szCs w:val="21"/>
        </w:rPr>
      </w:pPr>
      <w:r>
        <w:rPr>
          <w:sz w:val="21"/>
          <w:szCs w:val="21"/>
        </w:rPr>
        <w:t>（大写）</w:t>
      </w:r>
      <w:r>
        <w:rPr>
          <w:sz w:val="21"/>
          <w:szCs w:val="21"/>
          <w:u w:val="single"/>
        </w:rPr>
        <w:t xml:space="preserve"> </w:t>
      </w:r>
      <w:r>
        <w:rPr>
          <w:sz w:val="21"/>
          <w:szCs w:val="21"/>
          <w:u w:val="single"/>
        </w:rPr>
        <w:tab/>
      </w:r>
      <w:r>
        <w:rPr>
          <w:sz w:val="21"/>
          <w:szCs w:val="21"/>
        </w:rPr>
        <w:t>元（</w:t>
      </w:r>
      <w:r>
        <w:rPr>
          <w:rFonts w:ascii="Times New Roman" w:hAnsi="Times New Roman" w:eastAsia="Times New Roman"/>
          <w:sz w:val="21"/>
          <w:szCs w:val="21"/>
        </w:rPr>
        <w:t>¥</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sz w:val="21"/>
          <w:szCs w:val="21"/>
        </w:rPr>
        <w:t>）的投标总报</w:t>
      </w:r>
      <w:r>
        <w:rPr>
          <w:spacing w:val="3"/>
          <w:sz w:val="21"/>
          <w:szCs w:val="21"/>
        </w:rPr>
        <w:t>价</w:t>
      </w:r>
      <w:r>
        <w:rPr>
          <w:sz w:val="21"/>
          <w:szCs w:val="21"/>
        </w:rPr>
        <w:t>（或根据招标文件规定修正</w:t>
      </w:r>
      <w:r>
        <w:rPr>
          <w:spacing w:val="-15"/>
          <w:sz w:val="21"/>
          <w:szCs w:val="21"/>
        </w:rPr>
        <w:t>核</w:t>
      </w:r>
      <w:r>
        <w:rPr>
          <w:sz w:val="21"/>
          <w:szCs w:val="21"/>
        </w:rPr>
        <w:t>实后确</w:t>
      </w:r>
      <w:r>
        <w:rPr>
          <w:spacing w:val="2"/>
          <w:sz w:val="21"/>
          <w:szCs w:val="21"/>
        </w:rPr>
        <w:t>定</w:t>
      </w:r>
      <w:r>
        <w:rPr>
          <w:sz w:val="21"/>
          <w:szCs w:val="21"/>
        </w:rPr>
        <w:t>的</w:t>
      </w:r>
      <w:r>
        <w:rPr>
          <w:spacing w:val="2"/>
          <w:sz w:val="21"/>
          <w:szCs w:val="21"/>
        </w:rPr>
        <w:t>另</w:t>
      </w:r>
      <w:r>
        <w:rPr>
          <w:sz w:val="21"/>
          <w:szCs w:val="21"/>
        </w:rPr>
        <w:t>一金</w:t>
      </w:r>
      <w:r>
        <w:rPr>
          <w:spacing w:val="3"/>
          <w:sz w:val="21"/>
          <w:szCs w:val="21"/>
        </w:rPr>
        <w:t>额</w:t>
      </w:r>
      <w:r>
        <w:rPr>
          <w:spacing w:val="2"/>
          <w:sz w:val="21"/>
          <w:szCs w:val="21"/>
        </w:rPr>
        <w:t>，</w:t>
      </w:r>
      <w:r>
        <w:rPr>
          <w:sz w:val="21"/>
          <w:szCs w:val="21"/>
        </w:rPr>
        <w:t>其中，</w:t>
      </w:r>
      <w:r>
        <w:rPr>
          <w:spacing w:val="2"/>
          <w:sz w:val="21"/>
          <w:szCs w:val="21"/>
        </w:rPr>
        <w:t>增</w:t>
      </w:r>
      <w:r>
        <w:rPr>
          <w:sz w:val="21"/>
          <w:szCs w:val="21"/>
        </w:rPr>
        <w:t>值</w:t>
      </w:r>
      <w:r>
        <w:rPr>
          <w:spacing w:val="2"/>
          <w:sz w:val="21"/>
          <w:szCs w:val="21"/>
        </w:rPr>
        <w:t>税</w:t>
      </w:r>
      <w:r>
        <w:rPr>
          <w:sz w:val="21"/>
          <w:szCs w:val="21"/>
        </w:rPr>
        <w:t>税率</w:t>
      </w:r>
      <w:r>
        <w:rPr>
          <w:spacing w:val="2"/>
          <w:sz w:val="21"/>
          <w:szCs w:val="21"/>
        </w:rPr>
        <w:t>为</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spacing w:val="-120"/>
          <w:sz w:val="21"/>
          <w:szCs w:val="21"/>
        </w:rPr>
        <w:t>）</w:t>
      </w:r>
      <w:r>
        <w:rPr>
          <w:spacing w:val="2"/>
          <w:sz w:val="21"/>
          <w:szCs w:val="21"/>
        </w:rPr>
        <w:t>，</w:t>
      </w:r>
      <w:r>
        <w:rPr>
          <w:sz w:val="21"/>
          <w:szCs w:val="21"/>
        </w:rPr>
        <w:t>按合</w:t>
      </w:r>
      <w:r>
        <w:rPr>
          <w:spacing w:val="2"/>
          <w:sz w:val="21"/>
          <w:szCs w:val="21"/>
        </w:rPr>
        <w:t>同</w:t>
      </w:r>
      <w:r>
        <w:rPr>
          <w:sz w:val="21"/>
          <w:szCs w:val="21"/>
        </w:rPr>
        <w:t>约</w:t>
      </w:r>
      <w:r>
        <w:rPr>
          <w:spacing w:val="2"/>
          <w:sz w:val="21"/>
          <w:szCs w:val="21"/>
        </w:rPr>
        <w:t>定</w:t>
      </w:r>
      <w:r>
        <w:rPr>
          <w:sz w:val="21"/>
          <w:szCs w:val="21"/>
        </w:rPr>
        <w:t>实施和</w:t>
      </w:r>
      <w:r>
        <w:rPr>
          <w:spacing w:val="2"/>
          <w:sz w:val="21"/>
          <w:szCs w:val="21"/>
        </w:rPr>
        <w:t>完</w:t>
      </w:r>
      <w:r>
        <w:rPr>
          <w:sz w:val="21"/>
          <w:szCs w:val="21"/>
        </w:rPr>
        <w:t>成</w:t>
      </w:r>
      <w:r>
        <w:rPr>
          <w:spacing w:val="-17"/>
          <w:sz w:val="21"/>
          <w:szCs w:val="21"/>
        </w:rPr>
        <w:t>承</w:t>
      </w:r>
      <w:r>
        <w:rPr>
          <w:sz w:val="21"/>
          <w:szCs w:val="21"/>
        </w:rPr>
        <w:t>包工程，修补工程中的任何缺陷。</w:t>
      </w:r>
    </w:p>
    <w:p w14:paraId="0E9BAA1A">
      <w:pPr>
        <w:pStyle w:val="41"/>
        <w:numPr>
          <w:ilvl w:val="0"/>
          <w:numId w:val="16"/>
        </w:numPr>
        <w:tabs>
          <w:tab w:val="left" w:pos="1106"/>
        </w:tabs>
        <w:spacing w:before="1" w:after="0" w:line="360" w:lineRule="auto"/>
        <w:ind w:left="264" w:right="446" w:firstLine="479"/>
        <w:jc w:val="left"/>
        <w:rPr>
          <w:rFonts w:ascii="Times New Roman" w:eastAsia="Times New Roman"/>
          <w:sz w:val="21"/>
          <w:szCs w:val="21"/>
        </w:rPr>
      </w:pPr>
      <w:r>
        <w:rPr>
          <w:spacing w:val="-3"/>
          <w:sz w:val="21"/>
          <w:szCs w:val="21"/>
        </w:rPr>
        <w:t>在合同协议书正式签署生效之前，本投标函连同你方的中标通知书将构成</w:t>
      </w:r>
      <w:r>
        <w:rPr>
          <w:spacing w:val="-4"/>
          <w:sz w:val="21"/>
          <w:szCs w:val="21"/>
        </w:rPr>
        <w:t>我们双方之间共同遵守的文件，对双方具有约束力。</w:t>
      </w:r>
    </w:p>
    <w:p w14:paraId="7BBF586A">
      <w:pPr>
        <w:pStyle w:val="41"/>
        <w:numPr>
          <w:ilvl w:val="0"/>
          <w:numId w:val="16"/>
        </w:numPr>
        <w:tabs>
          <w:tab w:val="left" w:pos="1106"/>
        </w:tabs>
        <w:spacing w:before="1" w:after="0" w:line="360" w:lineRule="auto"/>
        <w:ind w:left="264" w:right="446" w:firstLine="479"/>
        <w:jc w:val="left"/>
        <w:rPr>
          <w:rFonts w:ascii="Times New Roman" w:eastAsia="Times New Roman"/>
          <w:sz w:val="21"/>
          <w:szCs w:val="21"/>
        </w:rPr>
      </w:pPr>
      <w:r>
        <w:rPr>
          <w:rFonts w:hint="eastAsia" w:ascii="Times New Roman" w:eastAsia="Times New Roman"/>
          <w:sz w:val="21"/>
          <w:szCs w:val="21"/>
          <w:u w:val="single"/>
          <w:lang w:val="en-US" w:eastAsia="zh-CN"/>
        </w:rPr>
        <w:t>本项目投标过程中不存在与其他投标人文件制作机器码相同情形，否则自愿放弃本 项目投标资格</w:t>
      </w:r>
      <w:r>
        <w:rPr>
          <w:sz w:val="21"/>
          <w:szCs w:val="21"/>
        </w:rPr>
        <w:t>（其他补充说明</w:t>
      </w:r>
      <w:r>
        <w:rPr>
          <w:spacing w:val="-120"/>
          <w:sz w:val="21"/>
          <w:szCs w:val="21"/>
        </w:rPr>
        <w:t>）</w:t>
      </w:r>
      <w:r>
        <w:rPr>
          <w:sz w:val="21"/>
          <w:szCs w:val="21"/>
        </w:rPr>
        <w:t>。</w:t>
      </w:r>
    </w:p>
    <w:p w14:paraId="7AC30833">
      <w:pPr>
        <w:pStyle w:val="12"/>
        <w:spacing w:before="7" w:line="360" w:lineRule="auto"/>
        <w:rPr>
          <w:sz w:val="21"/>
          <w:szCs w:val="21"/>
        </w:rPr>
      </w:pPr>
    </w:p>
    <w:p w14:paraId="59A0B810">
      <w:pPr>
        <w:pStyle w:val="12"/>
        <w:tabs>
          <w:tab w:val="left" w:pos="4404"/>
          <w:tab w:val="left" w:pos="7390"/>
          <w:tab w:val="left" w:pos="8101"/>
          <w:tab w:val="left" w:pos="8996"/>
        </w:tabs>
        <w:spacing w:line="360" w:lineRule="auto"/>
        <w:ind w:left="3685" w:right="322"/>
        <w:rPr>
          <w:sz w:val="21"/>
          <w:szCs w:val="21"/>
        </w:rPr>
      </w:pPr>
    </w:p>
    <w:p w14:paraId="0C673314">
      <w:pPr>
        <w:pStyle w:val="12"/>
        <w:tabs>
          <w:tab w:val="left" w:pos="4404"/>
          <w:tab w:val="left" w:pos="7390"/>
          <w:tab w:val="left" w:pos="8101"/>
          <w:tab w:val="left" w:pos="8996"/>
        </w:tabs>
        <w:spacing w:line="360" w:lineRule="auto"/>
        <w:ind w:left="3685" w:right="322"/>
        <w:rPr>
          <w:sz w:val="21"/>
          <w:szCs w:val="21"/>
        </w:rPr>
      </w:pPr>
    </w:p>
    <w:p w14:paraId="4C845D46">
      <w:pPr>
        <w:pStyle w:val="12"/>
        <w:tabs>
          <w:tab w:val="left" w:pos="4404"/>
          <w:tab w:val="left" w:pos="7390"/>
          <w:tab w:val="left" w:pos="8101"/>
          <w:tab w:val="left" w:pos="8996"/>
        </w:tabs>
        <w:spacing w:line="360" w:lineRule="auto"/>
        <w:ind w:left="3685" w:right="322"/>
        <w:rPr>
          <w:sz w:val="21"/>
          <w:szCs w:val="21"/>
        </w:rPr>
      </w:pPr>
    </w:p>
    <w:p w14:paraId="24CD54BD">
      <w:pPr>
        <w:pStyle w:val="12"/>
        <w:tabs>
          <w:tab w:val="left" w:pos="4404"/>
          <w:tab w:val="left" w:pos="7390"/>
          <w:tab w:val="left" w:pos="8101"/>
          <w:tab w:val="left" w:pos="8996"/>
        </w:tabs>
        <w:spacing w:line="360" w:lineRule="auto"/>
        <w:ind w:left="3685" w:right="322"/>
        <w:rPr>
          <w:sz w:val="21"/>
          <w:szCs w:val="21"/>
        </w:rPr>
      </w:pPr>
    </w:p>
    <w:p w14:paraId="7A9C21CA">
      <w:pPr>
        <w:pStyle w:val="12"/>
        <w:tabs>
          <w:tab w:val="left" w:pos="4404"/>
          <w:tab w:val="left" w:pos="7390"/>
          <w:tab w:val="left" w:pos="8101"/>
          <w:tab w:val="left" w:pos="8996"/>
        </w:tabs>
        <w:spacing w:line="360" w:lineRule="auto"/>
        <w:ind w:left="3685" w:right="322"/>
        <w:rPr>
          <w:spacing w:val="-5"/>
          <w:sz w:val="21"/>
          <w:szCs w:val="21"/>
        </w:rPr>
      </w:pPr>
      <w:r>
        <w:rPr>
          <w:sz w:val="21"/>
          <w:szCs w:val="21"/>
        </w:rPr>
        <w:t>投 标 人</w:t>
      </w:r>
      <w:r>
        <w:rPr>
          <w:spacing w:val="-8"/>
          <w:sz w:val="21"/>
          <w:szCs w:val="21"/>
        </w:rPr>
        <w:t>：</w:t>
      </w:r>
      <w:r>
        <w:rPr>
          <w:spacing w:val="-8"/>
          <w:sz w:val="21"/>
          <w:szCs w:val="21"/>
          <w:u w:val="single"/>
        </w:rPr>
        <w:t xml:space="preserve"> </w:t>
      </w:r>
      <w:r>
        <w:rPr>
          <w:spacing w:val="-8"/>
          <w:sz w:val="21"/>
          <w:szCs w:val="21"/>
          <w:u w:val="single"/>
        </w:rPr>
        <w:tab/>
      </w:r>
      <w:r>
        <w:rPr>
          <w:sz w:val="21"/>
          <w:szCs w:val="21"/>
        </w:rPr>
        <w:t>（盖单位章</w:t>
      </w:r>
      <w:r>
        <w:rPr>
          <w:spacing w:val="-5"/>
          <w:sz w:val="21"/>
          <w:szCs w:val="21"/>
        </w:rPr>
        <w:t>）</w:t>
      </w:r>
    </w:p>
    <w:p w14:paraId="28C8BF01">
      <w:pPr>
        <w:pStyle w:val="12"/>
        <w:tabs>
          <w:tab w:val="left" w:pos="4404"/>
          <w:tab w:val="left" w:pos="7390"/>
          <w:tab w:val="left" w:pos="8101"/>
          <w:tab w:val="left" w:pos="8996"/>
        </w:tabs>
        <w:spacing w:line="360" w:lineRule="auto"/>
        <w:ind w:left="3685" w:right="322"/>
        <w:rPr>
          <w:rFonts w:ascii="Times New Roman" w:hAnsi="Times New Roman" w:eastAsia="Times New Roman"/>
          <w:sz w:val="21"/>
          <w:szCs w:val="21"/>
        </w:rPr>
      </w:pPr>
      <w:r>
        <w:rPr>
          <w:sz w:val="21"/>
          <w:szCs w:val="21"/>
        </w:rPr>
        <w:t>法定代表人或其委托代理人</w:t>
      </w:r>
      <w:r>
        <w:rPr>
          <w:spacing w:val="-12"/>
          <w:sz w:val="21"/>
          <w:szCs w:val="21"/>
        </w:rPr>
        <w:t>：</w:t>
      </w:r>
      <w:r>
        <w:rPr>
          <w:spacing w:val="-12"/>
          <w:sz w:val="21"/>
          <w:szCs w:val="21"/>
          <w:u w:val="single"/>
        </w:rPr>
        <w:t xml:space="preserve"> </w:t>
      </w:r>
      <w:r>
        <w:rPr>
          <w:spacing w:val="-12"/>
          <w:sz w:val="21"/>
          <w:szCs w:val="21"/>
          <w:u w:val="single"/>
        </w:rPr>
        <w:tab/>
      </w:r>
      <w:r>
        <w:rPr>
          <w:spacing w:val="-12"/>
          <w:sz w:val="21"/>
          <w:szCs w:val="21"/>
          <w:u w:val="single"/>
        </w:rPr>
        <w:tab/>
      </w:r>
      <w:r>
        <w:rPr>
          <w:sz w:val="21"/>
          <w:szCs w:val="21"/>
        </w:rPr>
        <w:t>（签字</w:t>
      </w:r>
      <w:r>
        <w:rPr>
          <w:spacing w:val="-17"/>
          <w:sz w:val="21"/>
          <w:szCs w:val="21"/>
        </w:rPr>
        <w:t xml:space="preserve">） </w:t>
      </w:r>
      <w:r>
        <w:rPr>
          <w:sz w:val="21"/>
          <w:szCs w:val="21"/>
        </w:rPr>
        <w:t>地</w:t>
      </w:r>
      <w:r>
        <w:rPr>
          <w:sz w:val="21"/>
          <w:szCs w:val="21"/>
        </w:rPr>
        <w:tab/>
      </w:r>
      <w:r>
        <w:rPr>
          <w:sz w:val="21"/>
          <w:szCs w:val="21"/>
        </w:rPr>
        <w:t>址：</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 xml:space="preserve"> </w:t>
      </w:r>
      <w:r>
        <w:rPr>
          <w:sz w:val="21"/>
          <w:szCs w:val="21"/>
        </w:rPr>
        <w:t>网</w:t>
      </w:r>
      <w:r>
        <w:rPr>
          <w:sz w:val="21"/>
          <w:szCs w:val="21"/>
        </w:rPr>
        <w:tab/>
      </w:r>
      <w:r>
        <w:rPr>
          <w:sz w:val="21"/>
          <w:szCs w:val="21"/>
        </w:rPr>
        <w:t>址：</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 xml:space="preserve"> </w:t>
      </w:r>
      <w:r>
        <w:rPr>
          <w:sz w:val="21"/>
          <w:szCs w:val="21"/>
        </w:rPr>
        <w:t>电</w:t>
      </w:r>
      <w:r>
        <w:rPr>
          <w:sz w:val="21"/>
          <w:szCs w:val="21"/>
        </w:rPr>
        <w:tab/>
      </w:r>
      <w:r>
        <w:rPr>
          <w:sz w:val="21"/>
          <w:szCs w:val="21"/>
        </w:rPr>
        <w:t>话：</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 xml:space="preserve"> </w:t>
      </w:r>
      <w:r>
        <w:rPr>
          <w:sz w:val="21"/>
          <w:szCs w:val="21"/>
        </w:rPr>
        <w:t>传</w:t>
      </w:r>
      <w:r>
        <w:rPr>
          <w:sz w:val="21"/>
          <w:szCs w:val="21"/>
        </w:rPr>
        <w:tab/>
      </w:r>
      <w:r>
        <w:rPr>
          <w:sz w:val="21"/>
          <w:szCs w:val="21"/>
        </w:rPr>
        <w:t>真：</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 xml:space="preserve"> </w:t>
      </w:r>
      <w:r>
        <w:rPr>
          <w:sz w:val="21"/>
          <w:szCs w:val="21"/>
        </w:rPr>
        <w:t>邮政编码：</w:t>
      </w:r>
      <w:r>
        <w:rPr>
          <w:rFonts w:ascii="Times New Roman" w:hAnsi="Times New Roman" w:eastAsia="Times New Roman"/>
          <w:sz w:val="21"/>
          <w:szCs w:val="21"/>
          <w:u w:val="single"/>
        </w:rPr>
        <w:t xml:space="preserve"> </w:t>
      </w:r>
      <w:r>
        <w:rPr>
          <w:rFonts w:ascii="Times New Roman" w:hAnsi="Times New Roman" w:eastAsia="Times New Roman"/>
          <w:sz w:val="21"/>
          <w:szCs w:val="21"/>
          <w:u w:val="single"/>
        </w:rPr>
        <w:tab/>
      </w:r>
      <w:r>
        <w:rPr>
          <w:rFonts w:ascii="Times New Roman" w:hAnsi="Times New Roman" w:eastAsia="Times New Roman"/>
          <w:sz w:val="21"/>
          <w:szCs w:val="21"/>
          <w:u w:val="single"/>
        </w:rPr>
        <w:tab/>
      </w:r>
      <w:r>
        <w:rPr>
          <w:rFonts w:ascii="Times New Roman" w:hAnsi="Times New Roman" w:eastAsia="Times New Roman"/>
          <w:sz w:val="21"/>
          <w:szCs w:val="21"/>
          <w:u w:val="single"/>
        </w:rPr>
        <w:tab/>
      </w:r>
    </w:p>
    <w:p w14:paraId="2F35E4AB">
      <w:pPr>
        <w:pStyle w:val="12"/>
        <w:spacing w:before="5" w:line="360" w:lineRule="auto"/>
        <w:rPr>
          <w:rFonts w:ascii="Times New Roman"/>
          <w:sz w:val="21"/>
          <w:szCs w:val="21"/>
        </w:rPr>
      </w:pPr>
    </w:p>
    <w:p w14:paraId="49ECB230">
      <w:pPr>
        <w:pStyle w:val="12"/>
        <w:tabs>
          <w:tab w:val="left" w:pos="6085"/>
          <w:tab w:val="left" w:pos="7165"/>
          <w:tab w:val="left" w:pos="8245"/>
        </w:tabs>
        <w:spacing w:before="74" w:line="360" w:lineRule="auto"/>
        <w:ind w:left="5005"/>
        <w:rPr>
          <w:sz w:val="21"/>
          <w:szCs w:val="21"/>
        </w:rPr>
      </w:pPr>
      <w:r>
        <w:rPr>
          <w:rFonts w:ascii="Times New Roman" w:eastAsia="Times New Roman"/>
          <w:sz w:val="21"/>
          <w:szCs w:val="21"/>
          <w:u w:val="single"/>
        </w:rPr>
        <w:t xml:space="preserve"> </w:t>
      </w:r>
      <w:r>
        <w:rPr>
          <w:rFonts w:ascii="Times New Roman" w:eastAsia="Times New Roman"/>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p>
    <w:p w14:paraId="73A54FD6">
      <w:pPr>
        <w:pStyle w:val="12"/>
        <w:spacing w:line="360" w:lineRule="auto"/>
        <w:rPr>
          <w:sz w:val="21"/>
          <w:szCs w:val="21"/>
        </w:rPr>
      </w:pPr>
    </w:p>
    <w:p w14:paraId="48A6A551">
      <w:pPr>
        <w:pStyle w:val="12"/>
        <w:rPr>
          <w:sz w:val="20"/>
        </w:rPr>
      </w:pPr>
    </w:p>
    <w:p w14:paraId="40ABEB66">
      <w:pPr>
        <w:pStyle w:val="12"/>
        <w:rPr>
          <w:sz w:val="20"/>
        </w:rPr>
      </w:pPr>
    </w:p>
    <w:p w14:paraId="4A386C21">
      <w:pPr>
        <w:pStyle w:val="12"/>
        <w:rPr>
          <w:sz w:val="20"/>
        </w:rPr>
      </w:pPr>
    </w:p>
    <w:p w14:paraId="412CF2C9">
      <w:pPr>
        <w:pStyle w:val="12"/>
        <w:rPr>
          <w:sz w:val="20"/>
        </w:rPr>
      </w:pPr>
    </w:p>
    <w:p w14:paraId="7A26D0B6">
      <w:pPr>
        <w:pStyle w:val="12"/>
        <w:rPr>
          <w:sz w:val="20"/>
        </w:rPr>
      </w:pPr>
    </w:p>
    <w:p w14:paraId="06B252BB">
      <w:pPr>
        <w:pStyle w:val="12"/>
        <w:rPr>
          <w:sz w:val="20"/>
        </w:rPr>
      </w:pPr>
    </w:p>
    <w:p w14:paraId="09FE269B">
      <w:pPr>
        <w:pStyle w:val="12"/>
        <w:rPr>
          <w:sz w:val="20"/>
        </w:rPr>
      </w:pPr>
    </w:p>
    <w:p w14:paraId="28FBAD25">
      <w:pPr>
        <w:pStyle w:val="12"/>
        <w:rPr>
          <w:sz w:val="20"/>
        </w:rPr>
      </w:pPr>
    </w:p>
    <w:p w14:paraId="6BC00183">
      <w:pPr>
        <w:pStyle w:val="12"/>
        <w:rPr>
          <w:sz w:val="20"/>
        </w:rPr>
      </w:pPr>
    </w:p>
    <w:p w14:paraId="3E126BBD">
      <w:pPr>
        <w:pStyle w:val="12"/>
        <w:rPr>
          <w:sz w:val="20"/>
        </w:rPr>
      </w:pPr>
    </w:p>
    <w:p w14:paraId="44EF77EB">
      <w:pPr>
        <w:pStyle w:val="12"/>
        <w:rPr>
          <w:sz w:val="20"/>
        </w:rPr>
      </w:pPr>
    </w:p>
    <w:p w14:paraId="1392382C">
      <w:pPr>
        <w:pStyle w:val="12"/>
        <w:rPr>
          <w:sz w:val="20"/>
        </w:rPr>
      </w:pPr>
    </w:p>
    <w:p w14:paraId="0D79341D">
      <w:pPr>
        <w:pStyle w:val="12"/>
        <w:rPr>
          <w:sz w:val="20"/>
        </w:rPr>
      </w:pPr>
    </w:p>
    <w:p w14:paraId="3391D46C">
      <w:pPr>
        <w:pStyle w:val="12"/>
        <w:rPr>
          <w:sz w:val="20"/>
        </w:rPr>
      </w:pPr>
    </w:p>
    <w:p w14:paraId="682D85EF">
      <w:pPr>
        <w:pStyle w:val="12"/>
        <w:rPr>
          <w:sz w:val="20"/>
        </w:rPr>
      </w:pPr>
    </w:p>
    <w:p w14:paraId="36E36731">
      <w:pPr>
        <w:pStyle w:val="12"/>
        <w:rPr>
          <w:sz w:val="20"/>
        </w:rPr>
      </w:pPr>
    </w:p>
    <w:p w14:paraId="4701BFE2">
      <w:pPr>
        <w:pStyle w:val="12"/>
        <w:spacing w:before="9"/>
        <w:rPr>
          <w:sz w:val="18"/>
        </w:rPr>
      </w:pPr>
    </w:p>
    <w:p w14:paraId="1094DFF6">
      <w:pPr>
        <w:spacing w:before="62"/>
        <w:ind w:left="0" w:right="178" w:firstLine="0"/>
        <w:jc w:val="center"/>
        <w:outlineLvl w:val="9"/>
        <w:rPr>
          <w:rFonts w:hint="eastAsia" w:ascii="黑体" w:eastAsia="黑体"/>
          <w:sz w:val="28"/>
        </w:rPr>
      </w:pPr>
      <w:bookmarkStart w:id="458" w:name="_bookmark325"/>
      <w:bookmarkEnd w:id="458"/>
      <w:bookmarkStart w:id="459" w:name="_Toc26012"/>
    </w:p>
    <w:p w14:paraId="594A8917">
      <w:pPr>
        <w:pStyle w:val="4"/>
        <w:bidi w:val="0"/>
        <w:rPr>
          <w:rFonts w:hint="eastAsia"/>
          <w:sz w:val="30"/>
          <w:szCs w:val="30"/>
        </w:rPr>
      </w:pPr>
      <w:r>
        <w:rPr>
          <w:rFonts w:hint="eastAsia"/>
          <w:sz w:val="30"/>
          <w:szCs w:val="30"/>
        </w:rPr>
        <w:t>二、已标价工程量清单</w:t>
      </w:r>
      <w:bookmarkEnd w:id="459"/>
    </w:p>
    <w:p w14:paraId="50EC8DC1">
      <w:pPr>
        <w:pStyle w:val="12"/>
        <w:rPr>
          <w:rFonts w:ascii="黑体"/>
          <w:sz w:val="28"/>
        </w:rPr>
      </w:pPr>
    </w:p>
    <w:p w14:paraId="52F2B9B8">
      <w:pPr>
        <w:pStyle w:val="12"/>
        <w:spacing w:before="2"/>
        <w:rPr>
          <w:rFonts w:ascii="黑体"/>
          <w:sz w:val="34"/>
        </w:rPr>
      </w:pPr>
    </w:p>
    <w:p w14:paraId="7F4FC1C0">
      <w:pPr>
        <w:pStyle w:val="12"/>
        <w:spacing w:before="1" w:line="360" w:lineRule="auto"/>
        <w:ind w:left="264" w:right="444" w:firstLine="479"/>
        <w:jc w:val="both"/>
        <w:rPr>
          <w:sz w:val="21"/>
          <w:szCs w:val="21"/>
        </w:rPr>
      </w:pPr>
      <w:r>
        <w:rPr>
          <w:sz w:val="21"/>
          <w:szCs w:val="21"/>
        </w:rPr>
        <w:t>投标人应按照第五章</w:t>
      </w:r>
      <w:r>
        <w:rPr>
          <w:rFonts w:ascii="Times New Roman" w:hAnsi="Times New Roman" w:eastAsia="Times New Roman"/>
          <w:sz w:val="21"/>
          <w:szCs w:val="21"/>
        </w:rPr>
        <w:t>“</w:t>
      </w:r>
      <w:r>
        <w:rPr>
          <w:sz w:val="21"/>
          <w:szCs w:val="21"/>
        </w:rPr>
        <w:t>工程量清单</w:t>
      </w:r>
      <w:r>
        <w:rPr>
          <w:rFonts w:ascii="Times New Roman" w:hAnsi="Times New Roman" w:eastAsia="Times New Roman"/>
          <w:sz w:val="21"/>
          <w:szCs w:val="21"/>
        </w:rPr>
        <w:t>”</w:t>
      </w:r>
      <w:r>
        <w:rPr>
          <w:sz w:val="21"/>
          <w:szCs w:val="21"/>
        </w:rPr>
        <w:t>的要求逐项填报工程量清单各项表格（工程量清</w:t>
      </w:r>
      <w:r>
        <w:rPr>
          <w:spacing w:val="-21"/>
          <w:sz w:val="21"/>
          <w:szCs w:val="21"/>
        </w:rPr>
        <w:t xml:space="preserve">单表 </w:t>
      </w:r>
      <w:r>
        <w:rPr>
          <w:rFonts w:ascii="Times New Roman" w:hAnsi="Times New Roman" w:eastAsia="Times New Roman"/>
          <w:sz w:val="21"/>
          <w:szCs w:val="21"/>
        </w:rPr>
        <w:t>5.1</w:t>
      </w:r>
      <w:r>
        <w:rPr>
          <w:sz w:val="21"/>
          <w:szCs w:val="21"/>
        </w:rPr>
        <w:t>～</w:t>
      </w:r>
      <w:r>
        <w:rPr>
          <w:spacing w:val="-30"/>
          <w:sz w:val="21"/>
          <w:szCs w:val="21"/>
        </w:rPr>
        <w:t xml:space="preserve">表 </w:t>
      </w:r>
      <w:r>
        <w:rPr>
          <w:rFonts w:ascii="Times New Roman" w:hAnsi="Times New Roman" w:eastAsia="Times New Roman"/>
          <w:sz w:val="21"/>
          <w:szCs w:val="21"/>
        </w:rPr>
        <w:t>5.5</w:t>
      </w:r>
      <w:r>
        <w:rPr>
          <w:spacing w:val="-120"/>
          <w:sz w:val="21"/>
          <w:szCs w:val="21"/>
        </w:rPr>
        <w:t>）。</w:t>
      </w:r>
    </w:p>
    <w:p w14:paraId="7222BB50">
      <w:pPr>
        <w:spacing w:after="0" w:line="343" w:lineRule="auto"/>
        <w:jc w:val="both"/>
        <w:sectPr>
          <w:footerReference r:id="rId95" w:type="default"/>
          <w:footerReference r:id="rId96" w:type="even"/>
          <w:pgSz w:w="11910" w:h="16850"/>
          <w:pgMar w:top="1540" w:right="1140" w:bottom="1060" w:left="1380" w:header="876" w:footer="860" w:gutter="0"/>
          <w:pgNumType w:fmt="decimal"/>
          <w:cols w:space="720" w:num="1"/>
        </w:sectPr>
      </w:pPr>
    </w:p>
    <w:p w14:paraId="073F49F4">
      <w:pPr>
        <w:spacing w:line="400" w:lineRule="exact"/>
        <w:jc w:val="center"/>
        <w:outlineLvl w:val="0"/>
        <w:rPr>
          <w:rStyle w:val="48"/>
          <w:rFonts w:hint="eastAsia"/>
          <w:sz w:val="30"/>
          <w:szCs w:val="30"/>
        </w:rPr>
      </w:pPr>
      <w:bookmarkStart w:id="460" w:name="_bookmark326"/>
      <w:bookmarkEnd w:id="460"/>
      <w:bookmarkStart w:id="461" w:name="_Toc26782"/>
      <w:r>
        <w:rPr>
          <w:rStyle w:val="48"/>
          <w:rFonts w:hint="eastAsia"/>
          <w:sz w:val="30"/>
          <w:szCs w:val="30"/>
        </w:rPr>
        <w:t>招标单位、招标代理机构对本招标文件的意见</w:t>
      </w:r>
      <w:bookmarkEnd w:id="461"/>
    </w:p>
    <w:p w14:paraId="4C80D518">
      <w:pPr>
        <w:spacing w:line="400" w:lineRule="exact"/>
        <w:ind w:firstLine="843" w:firstLineChars="300"/>
        <w:rPr>
          <w:rFonts w:hint="eastAsia"/>
          <w:b/>
          <w:color w:val="000000"/>
          <w:sz w:val="28"/>
          <w:szCs w:val="28"/>
        </w:rPr>
      </w:pPr>
    </w:p>
    <w:tbl>
      <w:tblPr>
        <w:tblStyle w:val="25"/>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0"/>
      </w:tblGrid>
      <w:tr w14:paraId="069F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7" w:hRule="atLeast"/>
          <w:jc w:val="center"/>
        </w:trPr>
        <w:tc>
          <w:tcPr>
            <w:tcW w:w="9460" w:type="dxa"/>
            <w:tcBorders>
              <w:top w:val="single" w:color="auto" w:sz="4" w:space="0"/>
              <w:left w:val="single" w:color="auto" w:sz="4" w:space="0"/>
              <w:bottom w:val="single" w:color="auto" w:sz="4" w:space="0"/>
              <w:right w:val="single" w:color="auto" w:sz="4" w:space="0"/>
            </w:tcBorders>
            <w:noWrap w:val="0"/>
            <w:vAlign w:val="top"/>
          </w:tcPr>
          <w:p w14:paraId="340C7C35">
            <w:pPr>
              <w:spacing w:line="360" w:lineRule="auto"/>
              <w:rPr>
                <w:rFonts w:hint="eastAsia" w:ascii="宋体" w:hAnsi="宋体" w:eastAsia="宋体" w:cs="宋体"/>
                <w:color w:val="000000"/>
                <w:sz w:val="24"/>
                <w:szCs w:val="24"/>
                <w:highlight w:val="none"/>
              </w:rPr>
            </w:pPr>
          </w:p>
          <w:p w14:paraId="6965202F">
            <w:pPr>
              <w:spacing w:line="360" w:lineRule="auto"/>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本次招标文件由我们公司编制，全部内容无违反国家法律法规、地方性规范性文件及有失公平的条款。</w:t>
            </w:r>
          </w:p>
          <w:p w14:paraId="658E2885">
            <w:pPr>
              <w:spacing w:line="360" w:lineRule="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代理机构：中旭腾飞工程管理有限公司</w:t>
            </w:r>
          </w:p>
          <w:p w14:paraId="02904A3E">
            <w:pPr>
              <w:spacing w:line="360" w:lineRule="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经办人：</w:t>
            </w:r>
            <w:r>
              <w:rPr>
                <w:rFonts w:hint="eastAsia" w:cs="宋体"/>
                <w:color w:val="000000"/>
                <w:sz w:val="24"/>
                <w:szCs w:val="24"/>
                <w:highlight w:val="none"/>
                <w:lang w:val="en-US" w:eastAsia="zh-CN"/>
              </w:rPr>
              <w:t>田昌昌</w:t>
            </w:r>
          </w:p>
          <w:p w14:paraId="22DD916C">
            <w:pPr>
              <w:spacing w:line="360" w:lineRule="auto"/>
              <w:ind w:firstLine="120" w:firstLineChars="50"/>
              <w:rPr>
                <w:rFonts w:hint="default" w:cs="宋体"/>
                <w:color w:val="000000"/>
                <w:sz w:val="24"/>
                <w:szCs w:val="24"/>
                <w:highlight w:val="none"/>
                <w:lang w:val="en-US" w:eastAsia="zh-CN"/>
              </w:rPr>
            </w:pPr>
            <w:r>
              <w:rPr>
                <w:rFonts w:hint="eastAsia" w:ascii="宋体" w:hAnsi="宋体" w:eastAsia="宋体" w:cs="宋体"/>
                <w:color w:val="000000"/>
                <w:sz w:val="24"/>
                <w:szCs w:val="24"/>
                <w:highlight w:val="none"/>
              </w:rPr>
              <w:t>联系电话：</w:t>
            </w:r>
            <w:r>
              <w:rPr>
                <w:rFonts w:hint="eastAsia" w:cs="宋体"/>
                <w:color w:val="000000"/>
                <w:sz w:val="24"/>
                <w:szCs w:val="24"/>
                <w:highlight w:val="none"/>
                <w:lang w:val="en-US" w:eastAsia="zh-CN"/>
              </w:rPr>
              <w:t>17309618777</w:t>
            </w:r>
          </w:p>
          <w:p w14:paraId="13A8FF5A">
            <w:pPr>
              <w:spacing w:line="360" w:lineRule="auto"/>
              <w:ind w:firstLine="120" w:firstLineChars="50"/>
              <w:rPr>
                <w:rFonts w:hint="eastAsia" w:cs="宋体"/>
                <w:color w:val="000000"/>
                <w:sz w:val="24"/>
                <w:szCs w:val="24"/>
                <w:highlight w:val="none"/>
                <w:lang w:val="en-US" w:eastAsia="zh-CN"/>
              </w:rPr>
            </w:pPr>
          </w:p>
          <w:p w14:paraId="30F751A4">
            <w:pPr>
              <w:spacing w:line="360" w:lineRule="auto"/>
              <w:ind w:firstLine="120" w:firstLineChars="50"/>
              <w:rPr>
                <w:rFonts w:hint="default" w:cs="宋体"/>
                <w:color w:val="000000"/>
                <w:sz w:val="24"/>
                <w:szCs w:val="24"/>
                <w:highlight w:val="none"/>
                <w:lang w:val="en-US" w:eastAsia="zh-CN"/>
              </w:rPr>
            </w:pPr>
          </w:p>
          <w:p w14:paraId="34229FCD">
            <w:pPr>
              <w:spacing w:line="360" w:lineRule="auto"/>
              <w:ind w:firstLine="120" w:firstLineChars="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招标代理机构：（章）</w:t>
            </w:r>
          </w:p>
          <w:p w14:paraId="1E5FF7E1">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202</w:t>
            </w: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日</w:t>
            </w:r>
          </w:p>
        </w:tc>
      </w:tr>
      <w:tr w14:paraId="5934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jc w:val="center"/>
        </w:trPr>
        <w:tc>
          <w:tcPr>
            <w:tcW w:w="9460" w:type="dxa"/>
            <w:tcBorders>
              <w:top w:val="single" w:color="auto" w:sz="4" w:space="0"/>
              <w:left w:val="single" w:color="auto" w:sz="4" w:space="0"/>
              <w:bottom w:val="single" w:color="auto" w:sz="4" w:space="0"/>
              <w:right w:val="single" w:color="auto" w:sz="4" w:space="0"/>
            </w:tcBorders>
            <w:noWrap w:val="0"/>
            <w:vAlign w:val="top"/>
          </w:tcPr>
          <w:p w14:paraId="0806D788">
            <w:pPr>
              <w:spacing w:line="360" w:lineRule="auto"/>
              <w:rPr>
                <w:rFonts w:hint="eastAsia" w:ascii="宋体" w:hAnsi="宋体" w:eastAsia="宋体" w:cs="宋体"/>
                <w:color w:val="000000"/>
                <w:sz w:val="24"/>
                <w:szCs w:val="24"/>
                <w:highlight w:val="none"/>
              </w:rPr>
            </w:pPr>
          </w:p>
          <w:p w14:paraId="5DB1642F">
            <w:pPr>
              <w:spacing w:line="360" w:lineRule="auto"/>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我单位对本次招标文件的全部内容予以确认并对其负责且承担全部责任。</w:t>
            </w:r>
          </w:p>
          <w:p w14:paraId="02730969">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招标单位：</w:t>
            </w:r>
            <w:r>
              <w:rPr>
                <w:rFonts w:hint="eastAsia" w:ascii="宋体" w:hAnsi="宋体" w:eastAsia="宋体" w:cs="宋体"/>
                <w:color w:val="000000"/>
                <w:sz w:val="24"/>
                <w:szCs w:val="24"/>
                <w:highlight w:val="none"/>
                <w:lang w:eastAsia="zh-CN"/>
              </w:rPr>
              <w:t>淮北市杜集区住房和城乡建设局</w:t>
            </w:r>
          </w:p>
          <w:p w14:paraId="446863A0">
            <w:pP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经办人：吴怀平</w:t>
            </w:r>
          </w:p>
          <w:p w14:paraId="4830A50E">
            <w:pPr>
              <w:spacing w:line="360" w:lineRule="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联系</w:t>
            </w:r>
            <w:r>
              <w:rPr>
                <w:rFonts w:hint="eastAsia" w:ascii="宋体" w:hAnsi="宋体" w:eastAsia="宋体" w:cs="宋体"/>
                <w:color w:val="000000"/>
                <w:sz w:val="24"/>
                <w:szCs w:val="24"/>
                <w:highlight w:val="none"/>
              </w:rPr>
              <w:t>电话：0561-3090886</w:t>
            </w:r>
            <w:r>
              <w:rPr>
                <w:rFonts w:hint="eastAsia" w:cs="宋体"/>
                <w:color w:val="000000"/>
                <w:sz w:val="24"/>
                <w:szCs w:val="24"/>
                <w:highlight w:val="none"/>
                <w:lang w:val="en-US" w:eastAsia="zh-CN"/>
              </w:rPr>
              <w:t xml:space="preserve">  </w:t>
            </w:r>
          </w:p>
          <w:p w14:paraId="35529FEB">
            <w:pPr>
              <w:spacing w:line="360" w:lineRule="auto"/>
              <w:rPr>
                <w:rFonts w:hint="eastAsia" w:ascii="宋体" w:hAnsi="宋体" w:eastAsia="宋体" w:cs="宋体"/>
                <w:color w:val="000000"/>
                <w:sz w:val="24"/>
                <w:szCs w:val="24"/>
                <w:highlight w:val="none"/>
                <w:lang w:val="en-US" w:eastAsia="zh-CN"/>
              </w:rPr>
            </w:pPr>
          </w:p>
          <w:p w14:paraId="0427A1E5">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招标人（章）</w:t>
            </w:r>
          </w:p>
          <w:p w14:paraId="3DCA4E47">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202</w:t>
            </w:r>
            <w:r>
              <w:rPr>
                <w:rFonts w:hint="eastAsia" w:cs="宋体"/>
                <w:color w:val="000000"/>
                <w:sz w:val="24"/>
                <w:szCs w:val="24"/>
                <w:highlight w:val="none"/>
                <w:lang w:val="en-US" w:eastAsia="zh-CN"/>
              </w:rPr>
              <w:t>5</w:t>
            </w:r>
            <w:r>
              <w:rPr>
                <w:rFonts w:hint="eastAsia" w:ascii="宋体" w:hAnsi="宋体" w:eastAsia="宋体" w:cs="宋体"/>
                <w:color w:val="000000"/>
                <w:sz w:val="24"/>
                <w:szCs w:val="24"/>
                <w:highlight w:val="none"/>
              </w:rPr>
              <w:t>年</w:t>
            </w:r>
            <w:r>
              <w:rPr>
                <w:rFonts w:hint="eastAsia"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月</w:t>
            </w:r>
            <w:r>
              <w:rPr>
                <w:rFonts w:hint="eastAsia"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日</w:t>
            </w:r>
          </w:p>
        </w:tc>
      </w:tr>
    </w:tbl>
    <w:p w14:paraId="1ABFB40D">
      <w:pPr>
        <w:rPr>
          <w:lang w:val="zh-CN" w:eastAsia="zh-CN"/>
        </w:rPr>
      </w:pPr>
    </w:p>
    <w:sectPr>
      <w:headerReference r:id="rId97" w:type="default"/>
      <w:footerReference r:id="rId99" w:type="default"/>
      <w:headerReference r:id="rId98" w:type="even"/>
      <w:footerReference r:id="rId100" w:type="even"/>
      <w:pgSz w:w="11910" w:h="16850"/>
      <w:pgMar w:top="1540" w:right="1140" w:bottom="1080" w:left="1380" w:header="883" w:footer="8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8344">
    <w:pPr>
      <w:pStyle w:val="12"/>
      <w:spacing w:line="14" w:lineRule="auto"/>
      <w:rPr>
        <w:sz w:val="2"/>
      </w:rPr>
    </w:pPr>
    <w:r>
      <w:rPr>
        <w:sz w:val="2"/>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14723">
                          <w:pPr>
                            <w:pStyle w:val="1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414723">
                    <w:pPr>
                      <w:pStyle w:val="1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FFB3F">
    <w:pPr>
      <w:pStyle w:val="12"/>
      <w:spacing w:line="14" w:lineRule="auto"/>
      <w:rPr>
        <w:sz w:val="20"/>
      </w:rPr>
    </w:pPr>
    <w:r>
      <w:rPr>
        <w:sz w:val="20"/>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B60BA">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1B60BA">
                    <w:pPr>
                      <w:pStyle w:val="17"/>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96F10">
    <w:pPr>
      <w:pStyle w:val="12"/>
      <w:spacing w:line="14" w:lineRule="auto"/>
      <w:rPr>
        <w:sz w:val="2"/>
      </w:rPr>
    </w:pPr>
    <w:r>
      <w:rPr>
        <w:sz w:val="2"/>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62ED5">
                          <w:pPr>
                            <w:pStyle w:val="17"/>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AD62ED5">
                    <w:pPr>
                      <w:pStyle w:val="17"/>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58F9D">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661F7">
                          <w:pPr>
                            <w:pStyle w:val="1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90661F7">
                    <w:pPr>
                      <w:pStyle w:val="1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6A963">
    <w:pPr>
      <w:spacing w:line="174" w:lineRule="auto"/>
      <w:ind w:left="1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8E6AA">
                          <w:pPr>
                            <w:pStyle w:val="1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C68E6AA">
                    <w:pPr>
                      <w:pStyle w:val="17"/>
                    </w:pPr>
                    <w:r>
                      <w:fldChar w:fldCharType="begin"/>
                    </w:r>
                    <w:r>
                      <w:instrText xml:space="preserve"> PAGE  \* MERGEFORMAT </w:instrText>
                    </w:r>
                    <w:r>
                      <w:fldChar w:fldCharType="separate"/>
                    </w:r>
                    <w:r>
                      <w:t>48</w:t>
                    </w:r>
                    <w:r>
                      <w:fldChar w:fldCharType="end"/>
                    </w:r>
                  </w:p>
                </w:txbxContent>
              </v:textbox>
            </v:shape>
          </w:pict>
        </mc:Fallback>
      </mc:AlternateContent>
    </w:r>
    <w:r>
      <w:rPr>
        <w:rFonts w:ascii="Times New Roman" w:hAnsi="Times New Roman" w:eastAsia="Times New Roman" w:cs="Times New Roman"/>
        <w:spacing w:val="-3"/>
        <w:sz w:val="18"/>
        <w:szCs w:val="18"/>
      </w:rPr>
      <w:t>82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0D2F3">
    <w:pPr>
      <w:spacing w:line="174" w:lineRule="auto"/>
      <w:ind w:left="85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9DA5D">
                          <w:pPr>
                            <w:pStyle w:val="1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DF9DA5D">
                    <w:pPr>
                      <w:pStyle w:val="17"/>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A9DB">
    <w:pPr>
      <w:pStyle w:val="12"/>
      <w:spacing w:line="14" w:lineRule="auto"/>
      <w:rPr>
        <w:sz w:val="20"/>
      </w:rPr>
    </w:pPr>
    <w:r>
      <w:rPr>
        <w:sz w:val="20"/>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2CFD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C32CFD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7F0E5">
    <w:pPr>
      <w:pStyle w:val="12"/>
      <w:spacing w:line="14" w:lineRule="auto"/>
      <w:rPr>
        <w:sz w:val="20"/>
      </w:rPr>
    </w:pPr>
    <w:r>
      <w:rPr>
        <w:sz w:val="20"/>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CA7A2">
                          <w:pPr>
                            <w:pStyle w:val="1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51CA7A2">
                    <w:pPr>
                      <w:pStyle w:val="1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80758">
    <w:pPr>
      <w:pStyle w:val="12"/>
      <w:spacing w:line="14" w:lineRule="auto"/>
      <w:rPr>
        <w:sz w:val="20"/>
      </w:rPr>
    </w:pPr>
    <w:r>
      <w:rPr>
        <w:sz w:val="20"/>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2A36A">
                          <w:pPr>
                            <w:pStyle w:val="1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982A36A">
                    <w:pPr>
                      <w:pStyle w:val="1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57F6F">
    <w:pPr>
      <w:pStyle w:val="12"/>
      <w:spacing w:line="14" w:lineRule="auto"/>
      <w:rPr>
        <w:sz w:val="20"/>
      </w:rPr>
    </w:pPr>
    <w:r>
      <w:rPr>
        <w:sz w:val="20"/>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8A881">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C38A881">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5E3FF">
    <w:pPr>
      <w:pStyle w:val="12"/>
      <w:spacing w:line="14" w:lineRule="auto"/>
      <w:rPr>
        <w:sz w:val="20"/>
      </w:rPr>
    </w:pPr>
    <w:r>
      <w:rPr>
        <w:sz w:val="20"/>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7D0D9">
                          <w:pPr>
                            <w:pStyle w:val="17"/>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BD7D0D9">
                    <w:pPr>
                      <w:pStyle w:val="17"/>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1BBA8">
    <w:pPr>
      <w:pStyle w:val="12"/>
      <w:spacing w:line="14" w:lineRule="auto"/>
      <w:rPr>
        <w:sz w:val="20"/>
      </w:rPr>
    </w:pPr>
    <w:r>
      <w:rPr>
        <w:sz w:val="20"/>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8A2D3">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78A2D3">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CF5A5">
    <w:pPr>
      <w:pStyle w:val="12"/>
      <w:spacing w:line="14" w:lineRule="auto"/>
      <w:rPr>
        <w:sz w:val="20"/>
      </w:rPr>
    </w:pPr>
    <w:r>
      <w:rPr>
        <w:sz w:val="20"/>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F2DAD">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69F2DAD">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C1F45">
    <w:pPr>
      <w:pStyle w:val="12"/>
      <w:spacing w:line="14" w:lineRule="auto"/>
      <w:rPr>
        <w:sz w:val="20"/>
      </w:rPr>
    </w:pPr>
    <w:r>
      <w:rPr>
        <w:sz w:val="20"/>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BD029">
                          <w:pPr>
                            <w:pStyle w:val="17"/>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77BD029">
                    <w:pPr>
                      <w:pStyle w:val="17"/>
                    </w:pPr>
                    <w:r>
                      <w:t xml:space="preserve">第 </w:t>
                    </w:r>
                    <w:r>
                      <w:fldChar w:fldCharType="begin"/>
                    </w:r>
                    <w:r>
                      <w:instrText xml:space="preserve"> PAGE  \* MERGEFORMAT </w:instrText>
                    </w:r>
                    <w:r>
                      <w:fldChar w:fldCharType="separate"/>
                    </w:r>
                    <w:r>
                      <w:t>91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E5980">
    <w:pPr>
      <w:pStyle w:val="12"/>
      <w:spacing w:line="14" w:lineRule="auto"/>
      <w:rPr>
        <w:sz w:val="20"/>
      </w:rPr>
    </w:pPr>
    <w:r>
      <w:rPr>
        <w:sz w:val="20"/>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F9822">
                          <w:pPr>
                            <w:pStyle w:val="17"/>
                          </w:pPr>
                          <w:r>
                            <w:t xml:space="preserve">第 </w:t>
                          </w:r>
                          <w:r>
                            <w:fldChar w:fldCharType="begin"/>
                          </w:r>
                          <w:r>
                            <w:instrText xml:space="preserve"> PAGE  \* MERGEFORMAT </w:instrText>
                          </w:r>
                          <w:r>
                            <w:fldChar w:fldCharType="separate"/>
                          </w:r>
                          <w:r>
                            <w:t>90</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A9F9822">
                    <w:pPr>
                      <w:pStyle w:val="17"/>
                    </w:pPr>
                    <w:r>
                      <w:t xml:space="preserve">第 </w:t>
                    </w:r>
                    <w:r>
                      <w:fldChar w:fldCharType="begin"/>
                    </w:r>
                    <w:r>
                      <w:instrText xml:space="preserve"> PAGE  \* MERGEFORMAT </w:instrText>
                    </w:r>
                    <w:r>
                      <w:fldChar w:fldCharType="separate"/>
                    </w:r>
                    <w:r>
                      <w:t>90</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C29DB">
    <w:pPr>
      <w:pStyle w:val="12"/>
      <w:spacing w:line="14" w:lineRule="auto"/>
      <w:rPr>
        <w:sz w:val="20"/>
      </w:rPr>
    </w:pPr>
    <w:r>
      <w:rPr>
        <w:sz w:val="20"/>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154FD">
                          <w:pPr>
                            <w:pStyle w:val="17"/>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25154FD">
                    <w:pPr>
                      <w:pStyle w:val="17"/>
                    </w:pPr>
                    <w:r>
                      <w:t xml:space="preserve">第 </w:t>
                    </w:r>
                    <w:r>
                      <w:fldChar w:fldCharType="begin"/>
                    </w:r>
                    <w:r>
                      <w:instrText xml:space="preserve"> PAGE  \* MERGEFORMAT </w:instrText>
                    </w:r>
                    <w:r>
                      <w:fldChar w:fldCharType="separate"/>
                    </w:r>
                    <w:r>
                      <w:t>105</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1B9F3">
    <w:pPr>
      <w:pStyle w:val="12"/>
      <w:spacing w:line="14" w:lineRule="auto"/>
      <w:rPr>
        <w:sz w:val="20"/>
      </w:rPr>
    </w:pPr>
    <w:r>
      <w:rPr>
        <w:sz w:val="24"/>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CFE49">
                          <w:pPr>
                            <w:pStyle w:val="17"/>
                          </w:pPr>
                          <w:r>
                            <w:t xml:space="preserve">第 </w:t>
                          </w:r>
                          <w:r>
                            <w:fldChar w:fldCharType="begin"/>
                          </w:r>
                          <w:r>
                            <w:instrText xml:space="preserve"> PAGE  \* MERGEFORMAT </w:instrText>
                          </w:r>
                          <w:r>
                            <w:fldChar w:fldCharType="separate"/>
                          </w:r>
                          <w:r>
                            <w:t>104</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5ECFE49">
                    <w:pPr>
                      <w:pStyle w:val="17"/>
                    </w:pPr>
                    <w:r>
                      <w:t xml:space="preserve">第 </w:t>
                    </w:r>
                    <w:r>
                      <w:fldChar w:fldCharType="begin"/>
                    </w:r>
                    <w:r>
                      <w:instrText xml:space="preserve"> PAGE  \* MERGEFORMAT </w:instrText>
                    </w:r>
                    <w:r>
                      <w:fldChar w:fldCharType="separate"/>
                    </w:r>
                    <w:r>
                      <w:t>104</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2EBC1">
    <w:pPr>
      <w:pStyle w:val="12"/>
      <w:spacing w:line="14" w:lineRule="auto"/>
      <w:rPr>
        <w:sz w:val="20"/>
      </w:rPr>
    </w:pPr>
    <w:r>
      <w:rPr>
        <w:sz w:val="20"/>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E2CB0">
                          <w:pPr>
                            <w:pStyle w:val="17"/>
                          </w:pPr>
                          <w:r>
                            <w:t xml:space="preserve">第 </w:t>
                          </w:r>
                          <w:r>
                            <w:fldChar w:fldCharType="begin"/>
                          </w:r>
                          <w:r>
                            <w:instrText xml:space="preserve"> PAGE  \* MERGEFORMAT </w:instrText>
                          </w:r>
                          <w:r>
                            <w:fldChar w:fldCharType="separate"/>
                          </w:r>
                          <w:r>
                            <w:t>107</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5BE2CB0">
                    <w:pPr>
                      <w:pStyle w:val="17"/>
                    </w:pPr>
                    <w:r>
                      <w:t xml:space="preserve">第 </w:t>
                    </w:r>
                    <w:r>
                      <w:fldChar w:fldCharType="begin"/>
                    </w:r>
                    <w:r>
                      <w:instrText xml:space="preserve"> PAGE  \* MERGEFORMAT </w:instrText>
                    </w:r>
                    <w:r>
                      <w:fldChar w:fldCharType="separate"/>
                    </w:r>
                    <w:r>
                      <w:t>107</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A4309">
    <w:pPr>
      <w:pStyle w:val="12"/>
      <w:spacing w:line="14" w:lineRule="auto"/>
      <w:rPr>
        <w:sz w:val="20"/>
      </w:rPr>
    </w:pPr>
    <w:r>
      <w:rPr>
        <w:sz w:val="20"/>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BBD9C">
                          <w:pPr>
                            <w:pStyle w:val="17"/>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6FFBBD9C">
                    <w:pPr>
                      <w:pStyle w:val="17"/>
                    </w:pPr>
                    <w:r>
                      <w:t xml:space="preserve">第 </w:t>
                    </w:r>
                    <w:r>
                      <w:fldChar w:fldCharType="begin"/>
                    </w:r>
                    <w:r>
                      <w:instrText xml:space="preserve"> PAGE  \* MERGEFORMAT </w:instrText>
                    </w:r>
                    <w:r>
                      <w:fldChar w:fldCharType="separate"/>
                    </w:r>
                    <w:r>
                      <w:t>108</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35A">
    <w:pPr>
      <w:pStyle w:val="12"/>
      <w:spacing w:line="14" w:lineRule="auto"/>
      <w:rPr>
        <w:sz w:val="2"/>
      </w:rPr>
    </w:pPr>
    <w:r>
      <w:rPr>
        <w:sz w:val="2"/>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FB731">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2CFB731">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45941">
    <w:pPr>
      <w:pStyle w:val="12"/>
      <w:spacing w:line="14" w:lineRule="auto"/>
      <w:rPr>
        <w:sz w:val="20"/>
      </w:rPr>
    </w:pPr>
    <w:r>
      <w:rPr>
        <w:sz w:val="20"/>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691CD">
                          <w:pPr>
                            <w:pStyle w:val="17"/>
                          </w:pPr>
                          <w:r>
                            <w:t xml:space="preserve">第 </w:t>
                          </w:r>
                          <w:r>
                            <w:fldChar w:fldCharType="begin"/>
                          </w:r>
                          <w:r>
                            <w:instrText xml:space="preserve"> PAGE  \* MERGEFORMAT </w:instrText>
                          </w:r>
                          <w:r>
                            <w:fldChar w:fldCharType="separate"/>
                          </w:r>
                          <w:r>
                            <w:t>113</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53691CD">
                    <w:pPr>
                      <w:pStyle w:val="17"/>
                    </w:pPr>
                    <w:r>
                      <w:t xml:space="preserve">第 </w:t>
                    </w:r>
                    <w:r>
                      <w:fldChar w:fldCharType="begin"/>
                    </w:r>
                    <w:r>
                      <w:instrText xml:space="preserve"> PAGE  \* MERGEFORMAT </w:instrText>
                    </w:r>
                    <w:r>
                      <w:fldChar w:fldCharType="separate"/>
                    </w:r>
                    <w:r>
                      <w:t>113</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41C57">
    <w:pPr>
      <w:pStyle w:val="12"/>
      <w:spacing w:line="14" w:lineRule="auto"/>
      <w:rPr>
        <w:sz w:val="20"/>
      </w:rPr>
    </w:pPr>
    <w:r>
      <w:rPr>
        <w:sz w:val="24"/>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6165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026165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r>
      <mc:AlternateContent>
        <mc:Choice Requires="wps">
          <w:drawing>
            <wp:anchor distT="0" distB="0" distL="114300" distR="114300" simplePos="0" relativeHeight="251687936" behindDoc="1" locked="0" layoutInCell="1" allowOverlap="1">
              <wp:simplePos x="0" y="0"/>
              <wp:positionH relativeFrom="page">
                <wp:posOffset>922655</wp:posOffset>
              </wp:positionH>
              <wp:positionV relativeFrom="page">
                <wp:posOffset>6880225</wp:posOffset>
              </wp:positionV>
              <wp:extent cx="199390" cy="152400"/>
              <wp:effectExtent l="0" t="0" r="0" b="0"/>
              <wp:wrapNone/>
              <wp:docPr id="236" name="文本框 107"/>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a:noFill/>
                      </a:ln>
                    </wps:spPr>
                    <wps:txbx>
                      <w:txbxContent>
                        <w:p w14:paraId="4399EA97">
                          <w:pPr>
                            <w:spacing w:before="12"/>
                            <w:ind w:left="20" w:right="0" w:firstLine="0"/>
                            <w:jc w:val="left"/>
                            <w:rPr>
                              <w:rFonts w:ascii="Times New Roman"/>
                              <w:sz w:val="18"/>
                            </w:rPr>
                          </w:pPr>
                          <w:r>
                            <w:rPr>
                              <w:rFonts w:ascii="Times New Roman"/>
                              <w:sz w:val="18"/>
                            </w:rPr>
                            <w:t>198</w:t>
                          </w:r>
                        </w:p>
                      </w:txbxContent>
                    </wps:txbx>
                    <wps:bodyPr lIns="0" tIns="0" rIns="0" bIns="0" upright="1"/>
                  </wps:wsp>
                </a:graphicData>
              </a:graphic>
            </wp:anchor>
          </w:drawing>
        </mc:Choice>
        <mc:Fallback>
          <w:pict>
            <v:shape id="文本框 107" o:spid="_x0000_s1026" o:spt="202" type="#_x0000_t202" style="position:absolute;left:0pt;margin-left:72.65pt;margin-top:541.75pt;height:12pt;width:15.7pt;mso-position-horizontal-relative:page;mso-position-vertical-relative:page;z-index:-251628544;mso-width-relative:page;mso-height-relative:page;" filled="f" stroked="f" coordsize="21600,21600" o:gfxdata="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XBmiTaAAAADQEAAA8AAAAAAAAAAQAgAAAAIgAAAGRycy9kb3ducmV2Lnht&#10;bFBLAQIUABQAAAAIAIdO4kCJWqvOvgEAAHUDAAAOAAAAAAAAAAEAIAAAACkBAABkcnMvZTJvRG9j&#10;LnhtbFBLBQYAAAAABgAGAFkBAABZBQAAAAA=&#10;">
              <v:fill on="f" focussize="0,0"/>
              <v:stroke on="f"/>
              <v:imagedata o:title=""/>
              <o:lock v:ext="edit" aspectratio="f"/>
              <v:textbox inset="0mm,0mm,0mm,0mm">
                <w:txbxContent>
                  <w:p w14:paraId="4399EA97">
                    <w:pPr>
                      <w:spacing w:before="12"/>
                      <w:ind w:left="20" w:right="0" w:firstLine="0"/>
                      <w:jc w:val="left"/>
                      <w:rPr>
                        <w:rFonts w:ascii="Times New Roman"/>
                        <w:sz w:val="18"/>
                      </w:rPr>
                    </w:pPr>
                    <w:r>
                      <w:rPr>
                        <w:rFonts w:ascii="Times New Roman"/>
                        <w:sz w:val="18"/>
                      </w:rPr>
                      <w:t>198</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9FD28">
    <w:pPr>
      <w:pStyle w:val="12"/>
      <w:spacing w:line="14" w:lineRule="auto"/>
      <w:rPr>
        <w:sz w:val="2"/>
      </w:rPr>
    </w:pPr>
    <w:r>
      <w:rPr>
        <w:sz w:val="2"/>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DE15D">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C4DE15D">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CD653">
    <w:pPr>
      <w:pStyle w:val="12"/>
      <w:spacing w:line="14" w:lineRule="auto"/>
      <w:rPr>
        <w:sz w:val="2"/>
      </w:rPr>
    </w:pPr>
    <w:r>
      <w:rPr>
        <w:sz w:val="2"/>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31912">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A331912">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ED9B">
    <w:pPr>
      <w:pStyle w:val="12"/>
      <w:spacing w:line="14" w:lineRule="auto"/>
      <w:rPr>
        <w:sz w:val="20"/>
      </w:rPr>
    </w:pPr>
    <w:r>
      <w:rPr>
        <w:sz w:val="20"/>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F78E1">
                          <w:pPr>
                            <w:pStyle w:val="17"/>
                          </w:pPr>
                          <w:r>
                            <w:t xml:space="preserve">第 </w:t>
                          </w:r>
                          <w:r>
                            <w:fldChar w:fldCharType="begin"/>
                          </w:r>
                          <w:r>
                            <w:instrText xml:space="preserve"> PAGE  \* MERGEFORMAT </w:instrText>
                          </w:r>
                          <w:r>
                            <w:fldChar w:fldCharType="separate"/>
                          </w:r>
                          <w:r>
                            <w:t>114</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10F78E1">
                    <w:pPr>
                      <w:pStyle w:val="17"/>
                    </w:pPr>
                    <w:r>
                      <w:t xml:space="preserve">第 </w:t>
                    </w:r>
                    <w:r>
                      <w:fldChar w:fldCharType="begin"/>
                    </w:r>
                    <w:r>
                      <w:instrText xml:space="preserve"> PAGE  \* MERGEFORMAT </w:instrText>
                    </w:r>
                    <w:r>
                      <w:fldChar w:fldCharType="separate"/>
                    </w:r>
                    <w:r>
                      <w:t>114</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7E7D9">
    <w:pPr>
      <w:pStyle w:val="12"/>
      <w:spacing w:line="14" w:lineRule="auto"/>
      <w:rPr>
        <w:sz w:val="2"/>
      </w:rPr>
    </w:pPr>
    <w:r>
      <w:rPr>
        <w:sz w:val="2"/>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33EAE">
                          <w:pPr>
                            <w:pStyle w:val="17"/>
                          </w:pPr>
                          <w:r>
                            <w:t xml:space="preserve">第 </w:t>
                          </w:r>
                          <w:r>
                            <w:fldChar w:fldCharType="begin"/>
                          </w:r>
                          <w:r>
                            <w:instrText xml:space="preserve"> PAGE  \* MERGEFORMAT </w:instrText>
                          </w:r>
                          <w:r>
                            <w:fldChar w:fldCharType="separate"/>
                          </w:r>
                          <w:r>
                            <w:t>115</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8233EAE">
                    <w:pPr>
                      <w:pStyle w:val="17"/>
                    </w:pPr>
                    <w:r>
                      <w:t xml:space="preserve">第 </w:t>
                    </w:r>
                    <w:r>
                      <w:fldChar w:fldCharType="begin"/>
                    </w:r>
                    <w:r>
                      <w:instrText xml:space="preserve"> PAGE  \* MERGEFORMAT </w:instrText>
                    </w:r>
                    <w:r>
                      <w:fldChar w:fldCharType="separate"/>
                    </w:r>
                    <w:r>
                      <w:t>115</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3243">
    <w:pPr>
      <w:pStyle w:val="12"/>
      <w:spacing w:line="14" w:lineRule="auto"/>
      <w:rPr>
        <w:sz w:val="2"/>
      </w:rPr>
    </w:pPr>
    <w:r>
      <w:rPr>
        <w:sz w:val="2"/>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DC0B2">
                          <w:pPr>
                            <w:pStyle w:val="17"/>
                          </w:pPr>
                          <w:r>
                            <w:t xml:space="preserve">第 </w:t>
                          </w:r>
                          <w:r>
                            <w:fldChar w:fldCharType="begin"/>
                          </w:r>
                          <w:r>
                            <w:instrText xml:space="preserve"> PAGE  \* MERGEFORMAT </w:instrText>
                          </w:r>
                          <w:r>
                            <w:fldChar w:fldCharType="separate"/>
                          </w:r>
                          <w:r>
                            <w:t>116</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FEDC0B2">
                    <w:pPr>
                      <w:pStyle w:val="17"/>
                    </w:pPr>
                    <w:r>
                      <w:t xml:space="preserve">第 </w:t>
                    </w:r>
                    <w:r>
                      <w:fldChar w:fldCharType="begin"/>
                    </w:r>
                    <w:r>
                      <w:instrText xml:space="preserve"> PAGE  \* MERGEFORMAT </w:instrText>
                    </w:r>
                    <w:r>
                      <w:fldChar w:fldCharType="separate"/>
                    </w:r>
                    <w:r>
                      <w:t>116</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19EF">
    <w:pPr>
      <w:pStyle w:val="12"/>
      <w:spacing w:line="14" w:lineRule="auto"/>
      <w:rPr>
        <w:sz w:val="2"/>
      </w:rPr>
    </w:pPr>
    <w:r>
      <w:rPr>
        <w:sz w:val="2"/>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BE06D">
                          <w:pPr>
                            <w:pStyle w:val="17"/>
                          </w:pPr>
                          <w:r>
                            <w:t xml:space="preserve">第 </w:t>
                          </w:r>
                          <w:r>
                            <w:fldChar w:fldCharType="begin"/>
                          </w:r>
                          <w:r>
                            <w:instrText xml:space="preserve"> PAGE  \* MERGEFORMAT </w:instrText>
                          </w:r>
                          <w:r>
                            <w:fldChar w:fldCharType="separate"/>
                          </w:r>
                          <w:r>
                            <w:t>117</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C2BE06D">
                    <w:pPr>
                      <w:pStyle w:val="17"/>
                    </w:pPr>
                    <w:r>
                      <w:t xml:space="preserve">第 </w:t>
                    </w:r>
                    <w:r>
                      <w:fldChar w:fldCharType="begin"/>
                    </w:r>
                    <w:r>
                      <w:instrText xml:space="preserve"> PAGE  \* MERGEFORMAT </w:instrText>
                    </w:r>
                    <w:r>
                      <w:fldChar w:fldCharType="separate"/>
                    </w:r>
                    <w:r>
                      <w:t>117</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9473F">
    <w:pPr>
      <w:pStyle w:val="12"/>
      <w:spacing w:line="14" w:lineRule="auto"/>
      <w:rPr>
        <w:sz w:val="2"/>
      </w:rPr>
    </w:pPr>
    <w:r>
      <w:rPr>
        <w:sz w:val="2"/>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1D2FA">
                          <w:pPr>
                            <w:pStyle w:val="17"/>
                          </w:pPr>
                          <w:r>
                            <w:t xml:space="preserve">第 </w:t>
                          </w:r>
                          <w:r>
                            <w:fldChar w:fldCharType="begin"/>
                          </w:r>
                          <w:r>
                            <w:instrText xml:space="preserve"> PAGE  \* MERGEFORMAT </w:instrText>
                          </w:r>
                          <w:r>
                            <w:fldChar w:fldCharType="separate"/>
                          </w:r>
                          <w:r>
                            <w:t>118</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4331D2FA">
                    <w:pPr>
                      <w:pStyle w:val="17"/>
                    </w:pPr>
                    <w:r>
                      <w:t xml:space="preserve">第 </w:t>
                    </w:r>
                    <w:r>
                      <w:fldChar w:fldCharType="begin"/>
                    </w:r>
                    <w:r>
                      <w:instrText xml:space="preserve"> PAGE  \* MERGEFORMAT </w:instrText>
                    </w:r>
                    <w:r>
                      <w:fldChar w:fldCharType="separate"/>
                    </w:r>
                    <w:r>
                      <w:t>118</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D3A8A">
    <w:pPr>
      <w:pStyle w:val="12"/>
      <w:spacing w:line="14" w:lineRule="auto"/>
      <w:rPr>
        <w:sz w:val="2"/>
      </w:rPr>
    </w:pPr>
    <w:r>
      <w:rPr>
        <w:sz w:val="2"/>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1DECD">
                          <w:pPr>
                            <w:pStyle w:val="17"/>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4FD1DECD">
                    <w:pPr>
                      <w:pStyle w:val="17"/>
                    </w:pPr>
                    <w:r>
                      <w:t xml:space="preserve">第 </w:t>
                    </w:r>
                    <w:r>
                      <w:fldChar w:fldCharType="begin"/>
                    </w:r>
                    <w:r>
                      <w:instrText xml:space="preserve"> PAGE  \* MERGEFORMAT </w:instrText>
                    </w:r>
                    <w:r>
                      <w:fldChar w:fldCharType="separate"/>
                    </w:r>
                    <w:r>
                      <w:t>119</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AC0F3">
    <w:pPr>
      <w:pStyle w:val="12"/>
      <w:spacing w:line="14" w:lineRule="auto"/>
      <w:rPr>
        <w:sz w:val="2"/>
      </w:rPr>
    </w:pPr>
    <w:r>
      <w:rPr>
        <w:sz w:val="2"/>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CDC4B">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CBCDC4B">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9988">
    <w:pPr>
      <w:pStyle w:val="12"/>
      <w:spacing w:line="14" w:lineRule="auto"/>
      <w:rPr>
        <w:sz w:val="2"/>
      </w:rPr>
    </w:pPr>
    <w:r>
      <w:rPr>
        <w:sz w:val="2"/>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BC1AD">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53BC1AD">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F21C">
    <w:pPr>
      <w:pStyle w:val="12"/>
      <w:spacing w:line="14" w:lineRule="auto"/>
      <w:rPr>
        <w:sz w:val="2"/>
      </w:rPr>
    </w:pPr>
    <w:r>
      <w:rPr>
        <w:sz w:val="2"/>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E231C">
                          <w:pPr>
                            <w:pStyle w:val="17"/>
                          </w:pPr>
                          <w:r>
                            <w:t xml:space="preserve">第 </w:t>
                          </w:r>
                          <w:r>
                            <w:fldChar w:fldCharType="begin"/>
                          </w:r>
                          <w:r>
                            <w:instrText xml:space="preserve"> PAGE  \* MERGEFORMAT </w:instrText>
                          </w:r>
                          <w:r>
                            <w:fldChar w:fldCharType="separate"/>
                          </w:r>
                          <w:r>
                            <w:t>120</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66E231C">
                    <w:pPr>
                      <w:pStyle w:val="17"/>
                    </w:pPr>
                    <w:r>
                      <w:t xml:space="preserve">第 </w:t>
                    </w:r>
                    <w:r>
                      <w:fldChar w:fldCharType="begin"/>
                    </w:r>
                    <w:r>
                      <w:instrText xml:space="preserve"> PAGE  \* MERGEFORMAT </w:instrText>
                    </w:r>
                    <w:r>
                      <w:fldChar w:fldCharType="separate"/>
                    </w:r>
                    <w:r>
                      <w:t>120</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9158">
    <w:pPr>
      <w:pStyle w:val="12"/>
      <w:spacing w:line="14" w:lineRule="auto"/>
      <w:rPr>
        <w:sz w:val="20"/>
      </w:rPr>
    </w:pPr>
    <w:r>
      <w:rPr>
        <w:sz w:val="20"/>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F21E8">
                          <w:pPr>
                            <w:pStyle w:val="17"/>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6FF21E8">
                    <w:pPr>
                      <w:pStyle w:val="17"/>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2B6A4">
    <w:pPr>
      <w:pStyle w:val="12"/>
      <w:spacing w:line="14" w:lineRule="auto"/>
      <w:rPr>
        <w:sz w:val="2"/>
      </w:rPr>
    </w:pPr>
    <w:r>
      <w:rPr>
        <w:sz w:val="2"/>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724DA">
                          <w:pPr>
                            <w:pStyle w:val="17"/>
                          </w:pPr>
                          <w:r>
                            <w:t xml:space="preserve">第 </w:t>
                          </w:r>
                          <w:r>
                            <w:fldChar w:fldCharType="begin"/>
                          </w:r>
                          <w:r>
                            <w:instrText xml:space="preserve"> PAGE  \* MERGEFORMAT </w:instrText>
                          </w:r>
                          <w:r>
                            <w:fldChar w:fldCharType="separate"/>
                          </w:r>
                          <w:r>
                            <w:t>121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04F724DA">
                    <w:pPr>
                      <w:pStyle w:val="17"/>
                    </w:pPr>
                    <w:r>
                      <w:t xml:space="preserve">第 </w:t>
                    </w:r>
                    <w:r>
                      <w:fldChar w:fldCharType="begin"/>
                    </w:r>
                    <w:r>
                      <w:instrText xml:space="preserve"> PAGE  \* MERGEFORMAT </w:instrText>
                    </w:r>
                    <w:r>
                      <w:fldChar w:fldCharType="separate"/>
                    </w:r>
                    <w:r>
                      <w:t>121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FEE1">
    <w:pPr>
      <w:pStyle w:val="12"/>
      <w:spacing w:line="14" w:lineRule="auto"/>
      <w:rPr>
        <w:sz w:val="2"/>
      </w:rPr>
    </w:pPr>
    <w:r>
      <w:rPr>
        <w:sz w:val="2"/>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A1044">
                          <w:pPr>
                            <w:pStyle w:val="17"/>
                          </w:pPr>
                          <w:r>
                            <w:t xml:space="preserve">第 </w:t>
                          </w:r>
                          <w:r>
                            <w:fldChar w:fldCharType="begin"/>
                          </w:r>
                          <w:r>
                            <w:instrText xml:space="preserve"> PAGE  \* MERGEFORMAT </w:instrText>
                          </w:r>
                          <w:r>
                            <w:fldChar w:fldCharType="separate"/>
                          </w:r>
                          <w:r>
                            <w:t>122</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7F1A1044">
                    <w:pPr>
                      <w:pStyle w:val="17"/>
                    </w:pPr>
                    <w:r>
                      <w:t xml:space="preserve">第 </w:t>
                    </w:r>
                    <w:r>
                      <w:fldChar w:fldCharType="begin"/>
                    </w:r>
                    <w:r>
                      <w:instrText xml:space="preserve"> PAGE  \* MERGEFORMAT </w:instrText>
                    </w:r>
                    <w:r>
                      <w:fldChar w:fldCharType="separate"/>
                    </w:r>
                    <w:r>
                      <w:t>122</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333B">
    <w:pPr>
      <w:pStyle w:val="12"/>
      <w:spacing w:line="14" w:lineRule="auto"/>
      <w:rPr>
        <w:sz w:val="2"/>
      </w:rPr>
    </w:pPr>
    <w:r>
      <w:rPr>
        <w:sz w:val="2"/>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BE0A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43CBE0A8">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1A1B">
    <w:pPr>
      <w:pStyle w:val="12"/>
      <w:spacing w:line="14" w:lineRule="auto"/>
      <w:rPr>
        <w:sz w:val="2"/>
      </w:rPr>
    </w:pPr>
    <w:r>
      <w:rPr>
        <w:sz w:val="2"/>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47F8D">
                          <w:pPr>
                            <w:pStyle w:val="17"/>
                          </w:pPr>
                          <w:r>
                            <w:t xml:space="preserve">第 </w:t>
                          </w:r>
                          <w:r>
                            <w:fldChar w:fldCharType="begin"/>
                          </w:r>
                          <w:r>
                            <w:instrText xml:space="preserve"> PAGE  \* MERGEFORMAT </w:instrText>
                          </w:r>
                          <w:r>
                            <w:fldChar w:fldCharType="separate"/>
                          </w:r>
                          <w:r>
                            <w:t>123</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02047F8D">
                    <w:pPr>
                      <w:pStyle w:val="17"/>
                    </w:pPr>
                    <w:r>
                      <w:t xml:space="preserve">第 </w:t>
                    </w:r>
                    <w:r>
                      <w:fldChar w:fldCharType="begin"/>
                    </w:r>
                    <w:r>
                      <w:instrText xml:space="preserve"> PAGE  \* MERGEFORMAT </w:instrText>
                    </w:r>
                    <w:r>
                      <w:fldChar w:fldCharType="separate"/>
                    </w:r>
                    <w:r>
                      <w:t>123</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E60F9">
    <w:pPr>
      <w:pStyle w:val="12"/>
      <w:spacing w:line="14" w:lineRule="auto"/>
      <w:rPr>
        <w:sz w:val="20"/>
      </w:rPr>
    </w:pPr>
    <w:r>
      <w:rPr>
        <w:sz w:val="24"/>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62F96">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73A62F96">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195E0">
    <w:pPr>
      <w:pStyle w:val="12"/>
      <w:spacing w:line="14" w:lineRule="auto"/>
      <w:rPr>
        <w:sz w:val="2"/>
      </w:rPr>
    </w:pPr>
    <w:r>
      <w:rPr>
        <w:sz w:val="2"/>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CA246">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0EECA246">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4DC06">
    <w:pPr>
      <w:pStyle w:val="12"/>
      <w:spacing w:line="14" w:lineRule="auto"/>
      <w:rPr>
        <w:sz w:val="2"/>
      </w:rPr>
    </w:pPr>
    <w:r>
      <w:rPr>
        <w:sz w:val="2"/>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C519A">
                          <w:pPr>
                            <w:pStyle w:val="17"/>
                          </w:pPr>
                          <w:r>
                            <w:t xml:space="preserve">第 </w:t>
                          </w:r>
                          <w:r>
                            <w:fldChar w:fldCharType="begin"/>
                          </w:r>
                          <w:r>
                            <w:instrText xml:space="preserve"> PAGE  \* MERGEFORMAT </w:instrText>
                          </w:r>
                          <w:r>
                            <w:fldChar w:fldCharType="separate"/>
                          </w:r>
                          <w:r>
                            <w:t>127</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69AC519A">
                    <w:pPr>
                      <w:pStyle w:val="17"/>
                    </w:pPr>
                    <w:r>
                      <w:t xml:space="preserve">第 </w:t>
                    </w:r>
                    <w:r>
                      <w:fldChar w:fldCharType="begin"/>
                    </w:r>
                    <w:r>
                      <w:instrText xml:space="preserve"> PAGE  \* MERGEFORMAT </w:instrText>
                    </w:r>
                    <w:r>
                      <w:fldChar w:fldCharType="separate"/>
                    </w:r>
                    <w:r>
                      <w:t>127</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A0620">
    <w:pPr>
      <w:pStyle w:val="12"/>
      <w:spacing w:line="14" w:lineRule="auto"/>
      <w:rPr>
        <w:sz w:val="20"/>
      </w:rPr>
    </w:pPr>
    <w:r>
      <w:rPr>
        <w:sz w:val="20"/>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D94AE">
                          <w:pPr>
                            <w:pStyle w:val="17"/>
                          </w:pPr>
                          <w:r>
                            <w:t xml:space="preserve">第 </w:t>
                          </w:r>
                          <w:r>
                            <w:fldChar w:fldCharType="begin"/>
                          </w:r>
                          <w:r>
                            <w:instrText xml:space="preserve"> PAGE  \* MERGEFORMAT </w:instrText>
                          </w:r>
                          <w:r>
                            <w:fldChar w:fldCharType="separate"/>
                          </w:r>
                          <w:r>
                            <w:t>128</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362D94AE">
                    <w:pPr>
                      <w:pStyle w:val="17"/>
                    </w:pPr>
                    <w:r>
                      <w:t xml:space="preserve">第 </w:t>
                    </w:r>
                    <w:r>
                      <w:fldChar w:fldCharType="begin"/>
                    </w:r>
                    <w:r>
                      <w:instrText xml:space="preserve"> PAGE  \* MERGEFORMAT </w:instrText>
                    </w:r>
                    <w:r>
                      <w:fldChar w:fldCharType="separate"/>
                    </w:r>
                    <w:r>
                      <w:t>128</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1947A">
    <w:pPr>
      <w:pStyle w:val="12"/>
      <w:spacing w:line="14" w:lineRule="auto"/>
      <w:rPr>
        <w:sz w:val="20"/>
      </w:rPr>
    </w:pPr>
    <w:r>
      <w:rPr>
        <w:sz w:val="20"/>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8E1F3">
                          <w:pPr>
                            <w:pStyle w:val="17"/>
                          </w:pPr>
                          <w:r>
                            <w:t xml:space="preserve">第 </w:t>
                          </w:r>
                          <w:r>
                            <w:fldChar w:fldCharType="begin"/>
                          </w:r>
                          <w:r>
                            <w:instrText xml:space="preserve"> PAGE  \* MERGEFORMAT </w:instrText>
                          </w:r>
                          <w:r>
                            <w:fldChar w:fldCharType="separate"/>
                          </w:r>
                          <w:r>
                            <w:t>129</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18A8E1F3">
                    <w:pPr>
                      <w:pStyle w:val="17"/>
                    </w:pPr>
                    <w:r>
                      <w:t xml:space="preserve">第 </w:t>
                    </w:r>
                    <w:r>
                      <w:fldChar w:fldCharType="begin"/>
                    </w:r>
                    <w:r>
                      <w:instrText xml:space="preserve"> PAGE  \* MERGEFORMAT </w:instrText>
                    </w:r>
                    <w:r>
                      <w:fldChar w:fldCharType="separate"/>
                    </w:r>
                    <w:r>
                      <w:t>129</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60DB8">
    <w:pPr>
      <w:pStyle w:val="12"/>
      <w:spacing w:line="14" w:lineRule="auto"/>
      <w:rPr>
        <w:sz w:val="20"/>
      </w:rPr>
    </w:pPr>
    <w:r>
      <w:rPr>
        <w:sz w:val="20"/>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16B52">
                          <w:pPr>
                            <w:pStyle w:val="17"/>
                          </w:pPr>
                          <w:r>
                            <w:t xml:space="preserve">第 </w:t>
                          </w:r>
                          <w:r>
                            <w:fldChar w:fldCharType="begin"/>
                          </w:r>
                          <w:r>
                            <w:instrText xml:space="preserve"> PAGE  \* MERGEFORMAT </w:instrText>
                          </w:r>
                          <w:r>
                            <w:fldChar w:fldCharType="separate"/>
                          </w:r>
                          <w:r>
                            <w:t>130</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48F16B52">
                    <w:pPr>
                      <w:pStyle w:val="17"/>
                    </w:pPr>
                    <w:r>
                      <w:t xml:space="preserve">第 </w:t>
                    </w:r>
                    <w:r>
                      <w:fldChar w:fldCharType="begin"/>
                    </w:r>
                    <w:r>
                      <w:instrText xml:space="preserve"> PAGE  \* MERGEFORMAT </w:instrText>
                    </w:r>
                    <w:r>
                      <w:fldChar w:fldCharType="separate"/>
                    </w:r>
                    <w:r>
                      <w:t>130</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E3CEA">
    <w:pPr>
      <w:pStyle w:val="12"/>
      <w:spacing w:line="14" w:lineRule="auto"/>
      <w:rPr>
        <w:sz w:val="20"/>
      </w:rPr>
    </w:pPr>
    <w:r>
      <w:rPr>
        <w:sz w:val="20"/>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DE94A">
                          <w:pPr>
                            <w:pStyle w:val="1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DDE94A">
                    <w:pPr>
                      <w:pStyle w:val="17"/>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3FAB9">
    <w:pPr>
      <w:pStyle w:val="12"/>
      <w:spacing w:line="14" w:lineRule="auto"/>
      <w:rPr>
        <w:sz w:val="20"/>
      </w:rPr>
    </w:pPr>
    <w:r>
      <w:rPr>
        <w:sz w:val="20"/>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43BCB">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27C43BCB">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E504">
    <w:pPr>
      <w:pStyle w:val="12"/>
      <w:spacing w:line="14" w:lineRule="auto"/>
      <w:rPr>
        <w:sz w:val="20"/>
      </w:rPr>
    </w:pPr>
    <w:r>
      <w:rPr>
        <w:sz w:val="24"/>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6CDD9">
                          <w:pPr>
                            <w:pStyle w:val="17"/>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0A56CDD9">
                    <w:pPr>
                      <w:pStyle w:val="17"/>
                    </w:pPr>
                    <w:r>
                      <w:t xml:space="preserve">第 </w:t>
                    </w:r>
                    <w:r>
                      <w:fldChar w:fldCharType="begin"/>
                    </w:r>
                    <w:r>
                      <w:instrText xml:space="preserve"> PAGE  \* MERGEFORMAT </w:instrText>
                    </w:r>
                    <w:r>
                      <w:fldChar w:fldCharType="separate"/>
                    </w:r>
                    <w:r>
                      <w:t>134</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r>
      <mc:AlternateContent>
        <mc:Choice Requires="wps">
          <w:drawing>
            <wp:anchor distT="0" distB="0" distL="114300" distR="114300" simplePos="0" relativeHeight="251701248" behindDoc="1" locked="0" layoutInCell="1" allowOverlap="1">
              <wp:simplePos x="0" y="0"/>
              <wp:positionH relativeFrom="page">
                <wp:posOffset>989965</wp:posOffset>
              </wp:positionH>
              <wp:positionV relativeFrom="page">
                <wp:posOffset>10007600</wp:posOffset>
              </wp:positionV>
              <wp:extent cx="199390" cy="152400"/>
              <wp:effectExtent l="0" t="0" r="0" b="0"/>
              <wp:wrapNone/>
              <wp:docPr id="275" name="文本框 146"/>
              <wp:cNvGraphicFramePr/>
              <a:graphic xmlns:a="http://schemas.openxmlformats.org/drawingml/2006/main">
                <a:graphicData uri="http://schemas.microsoft.com/office/word/2010/wordprocessingShape">
                  <wps:wsp>
                    <wps:cNvSpPr txBox="1"/>
                    <wps:spPr>
                      <a:xfrm>
                        <a:off x="0" y="0"/>
                        <a:ext cx="199390" cy="152400"/>
                      </a:xfrm>
                      <a:prstGeom prst="rect">
                        <a:avLst/>
                      </a:prstGeom>
                      <a:noFill/>
                      <a:ln>
                        <a:noFill/>
                      </a:ln>
                    </wps:spPr>
                    <wps:txbx>
                      <w:txbxContent>
                        <w:p w14:paraId="7045207A">
                          <w:pPr>
                            <w:spacing w:before="12"/>
                            <w:ind w:left="20" w:right="0" w:firstLine="0"/>
                            <w:jc w:val="left"/>
                            <w:rPr>
                              <w:rFonts w:ascii="Times New Roman"/>
                              <w:sz w:val="18"/>
                            </w:rPr>
                          </w:pPr>
                          <w:r>
                            <w:rPr>
                              <w:rFonts w:ascii="Times New Roman"/>
                              <w:sz w:val="18"/>
                            </w:rPr>
                            <w:t>230</w:t>
                          </w:r>
                        </w:p>
                      </w:txbxContent>
                    </wps:txbx>
                    <wps:bodyPr lIns="0" tIns="0" rIns="0" bIns="0" upright="1"/>
                  </wps:wsp>
                </a:graphicData>
              </a:graphic>
            </wp:anchor>
          </w:drawing>
        </mc:Choice>
        <mc:Fallback>
          <w:pict>
            <v:shape id="文本框 146" o:spid="_x0000_s1026" o:spt="202" type="#_x0000_t202" style="position:absolute;left:0pt;margin-left:77.95pt;margin-top:788pt;height:12pt;width:15.7pt;mso-position-horizontal-relative:page;mso-position-vertical-relative:page;z-index:-251615232;mso-width-relative:page;mso-height-relative:page;" filled="f" stroked="f" coordsize="21600,21600" o:gfxdata="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KamZNkAAAANAQAADwAAAAAAAAABACAAAAAiAAAAZHJzL2Rvd25yZXYueG1s&#10;UEsBAhQAFAAAAAgAh07iQBM/30C+AQAAdQMAAA4AAAAAAAAAAQAgAAAAKAEAAGRycy9lMm9Eb2Mu&#10;eG1sUEsFBgAAAAAGAAYAWQEAAFgFAAAAAA==&#10;">
              <v:fill on="f" focussize="0,0"/>
              <v:stroke on="f"/>
              <v:imagedata o:title=""/>
              <o:lock v:ext="edit" aspectratio="f"/>
              <v:textbox inset="0mm,0mm,0mm,0mm">
                <w:txbxContent>
                  <w:p w14:paraId="7045207A">
                    <w:pPr>
                      <w:spacing w:before="12"/>
                      <w:ind w:left="20" w:right="0" w:firstLine="0"/>
                      <w:jc w:val="left"/>
                      <w:rPr>
                        <w:rFonts w:ascii="Times New Roman"/>
                        <w:sz w:val="18"/>
                      </w:rPr>
                    </w:pPr>
                    <w:r>
                      <w:rPr>
                        <w:rFonts w:ascii="Times New Roman"/>
                        <w:sz w:val="18"/>
                      </w:rPr>
                      <w:t>230</w:t>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260F">
    <w:pPr>
      <w:pStyle w:val="12"/>
      <w:spacing w:line="14" w:lineRule="auto"/>
      <w:rPr>
        <w:sz w:val="20"/>
      </w:rPr>
    </w:pPr>
    <w:r>
      <w:rPr>
        <w:sz w:val="20"/>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87CE1">
                          <w:pPr>
                            <w:pStyle w:val="17"/>
                          </w:pPr>
                          <w:r>
                            <w:t xml:space="preserve">第 </w:t>
                          </w:r>
                          <w:r>
                            <w:fldChar w:fldCharType="begin"/>
                          </w:r>
                          <w:r>
                            <w:instrText xml:space="preserve"> PAGE  \* MERGEFORMAT </w:instrText>
                          </w:r>
                          <w:r>
                            <w:fldChar w:fldCharType="separate"/>
                          </w:r>
                          <w:r>
                            <w:t>135</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5887CE1">
                    <w:pPr>
                      <w:pStyle w:val="17"/>
                    </w:pPr>
                    <w:r>
                      <w:t xml:space="preserve">第 </w:t>
                    </w:r>
                    <w:r>
                      <w:fldChar w:fldCharType="begin"/>
                    </w:r>
                    <w:r>
                      <w:instrText xml:space="preserve"> PAGE  \* MERGEFORMAT </w:instrText>
                    </w:r>
                    <w:r>
                      <w:fldChar w:fldCharType="separate"/>
                    </w:r>
                    <w:r>
                      <w:t>135</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3E02C">
    <w:pPr>
      <w:pStyle w:val="12"/>
      <w:spacing w:line="14" w:lineRule="auto"/>
      <w:rPr>
        <w:sz w:val="20"/>
      </w:rPr>
    </w:pPr>
    <w:r>
      <w:rPr>
        <w:sz w:val="20"/>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5C270">
                          <w:pPr>
                            <w:pStyle w:val="17"/>
                          </w:pPr>
                          <w:r>
                            <w:t xml:space="preserve">第 </w:t>
                          </w:r>
                          <w:r>
                            <w:fldChar w:fldCharType="begin"/>
                          </w:r>
                          <w:r>
                            <w:instrText xml:space="preserve"> PAGE  \* MERGEFORMAT </w:instrText>
                          </w:r>
                          <w:r>
                            <w:fldChar w:fldCharType="separate"/>
                          </w:r>
                          <w:r>
                            <w:t>136</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43B5C270">
                    <w:pPr>
                      <w:pStyle w:val="17"/>
                    </w:pPr>
                    <w:r>
                      <w:t xml:space="preserve">第 </w:t>
                    </w:r>
                    <w:r>
                      <w:fldChar w:fldCharType="begin"/>
                    </w:r>
                    <w:r>
                      <w:instrText xml:space="preserve"> PAGE  \* MERGEFORMAT </w:instrText>
                    </w:r>
                    <w:r>
                      <w:fldChar w:fldCharType="separate"/>
                    </w:r>
                    <w:r>
                      <w:t>136</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2DAF3">
    <w:pPr>
      <w:pStyle w:val="12"/>
      <w:spacing w:line="14" w:lineRule="auto"/>
      <w:rPr>
        <w:sz w:val="20"/>
      </w:rPr>
    </w:pPr>
    <w:r>
      <w:rPr>
        <w:sz w:val="20"/>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C8BF2">
                          <w:pPr>
                            <w:pStyle w:val="17"/>
                          </w:pPr>
                          <w:r>
                            <w:t xml:space="preserve">第 </w:t>
                          </w:r>
                          <w:r>
                            <w:fldChar w:fldCharType="begin"/>
                          </w:r>
                          <w:r>
                            <w:instrText xml:space="preserve"> PAGE  \* MERGEFORMAT </w:instrText>
                          </w:r>
                          <w:r>
                            <w:fldChar w:fldCharType="separate"/>
                          </w:r>
                          <w:r>
                            <w:t>139</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375C8BF2">
                    <w:pPr>
                      <w:pStyle w:val="17"/>
                    </w:pPr>
                    <w:r>
                      <w:t xml:space="preserve">第 </w:t>
                    </w:r>
                    <w:r>
                      <w:fldChar w:fldCharType="begin"/>
                    </w:r>
                    <w:r>
                      <w:instrText xml:space="preserve"> PAGE  \* MERGEFORMAT </w:instrText>
                    </w:r>
                    <w:r>
                      <w:fldChar w:fldCharType="separate"/>
                    </w:r>
                    <w:r>
                      <w:t>139</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1D3EF">
    <w:pPr>
      <w:pStyle w:val="12"/>
      <w:spacing w:line="14" w:lineRule="auto"/>
      <w:rPr>
        <w:sz w:val="20"/>
      </w:rPr>
    </w:pPr>
    <w:r>
      <w:rPr>
        <w:sz w:val="24"/>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5C2E8">
                          <w:pPr>
                            <w:pStyle w:val="17"/>
                          </w:pPr>
                          <w:r>
                            <w:t xml:space="preserve">第 </w:t>
                          </w:r>
                          <w:r>
                            <w:fldChar w:fldCharType="begin"/>
                          </w:r>
                          <w:r>
                            <w:instrText xml:space="preserve"> PAGE  \* MERGEFORMAT </w:instrText>
                          </w:r>
                          <w:r>
                            <w:fldChar w:fldCharType="separate"/>
                          </w:r>
                          <w:r>
                            <w:t>138</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6F5C2E8">
                    <w:pPr>
                      <w:pStyle w:val="17"/>
                    </w:pPr>
                    <w:r>
                      <w:t xml:space="preserve">第 </w:t>
                    </w:r>
                    <w:r>
                      <w:fldChar w:fldCharType="begin"/>
                    </w:r>
                    <w:r>
                      <w:instrText xml:space="preserve"> PAGE  \* MERGEFORMAT </w:instrText>
                    </w:r>
                    <w:r>
                      <w:fldChar w:fldCharType="separate"/>
                    </w:r>
                    <w:r>
                      <w:t>138</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r>
      <mc:AlternateContent>
        <mc:Choice Requires="wps">
          <w:drawing>
            <wp:anchor distT="0" distB="0" distL="114300" distR="114300" simplePos="0" relativeHeight="251702272" behindDoc="1" locked="0" layoutInCell="1" allowOverlap="1">
              <wp:simplePos x="0" y="0"/>
              <wp:positionH relativeFrom="page">
                <wp:posOffset>977265</wp:posOffset>
              </wp:positionH>
              <wp:positionV relativeFrom="page">
                <wp:posOffset>10007600</wp:posOffset>
              </wp:positionV>
              <wp:extent cx="224790" cy="152400"/>
              <wp:effectExtent l="0" t="0" r="0" b="0"/>
              <wp:wrapNone/>
              <wp:docPr id="288" name="文本框 159"/>
              <wp:cNvGraphicFramePr/>
              <a:graphic xmlns:a="http://schemas.openxmlformats.org/drawingml/2006/main">
                <a:graphicData uri="http://schemas.microsoft.com/office/word/2010/wordprocessingShape">
                  <wps:wsp>
                    <wps:cNvSpPr txBox="1"/>
                    <wps:spPr>
                      <a:xfrm>
                        <a:off x="0" y="0"/>
                        <a:ext cx="224790" cy="152400"/>
                      </a:xfrm>
                      <a:prstGeom prst="rect">
                        <a:avLst/>
                      </a:prstGeom>
                      <a:noFill/>
                      <a:ln>
                        <a:noFill/>
                      </a:ln>
                    </wps:spPr>
                    <wps:txbx>
                      <w:txbxContent>
                        <w:p w14:paraId="6352AE16">
                          <w:pPr>
                            <w:spacing w:before="12"/>
                            <w:ind w:left="40" w:right="0" w:firstLine="0"/>
                            <w:jc w:val="left"/>
                            <w:rPr>
                              <w:rFonts w:ascii="Times New Roman"/>
                              <w:sz w:val="18"/>
                            </w:rPr>
                          </w:pPr>
                          <w:r>
                            <w:rPr>
                              <w:rFonts w:ascii="Times New Roman"/>
                              <w:sz w:val="18"/>
                            </w:rPr>
                            <w:t>242</w:t>
                          </w:r>
                        </w:p>
                      </w:txbxContent>
                    </wps:txbx>
                    <wps:bodyPr lIns="0" tIns="0" rIns="0" bIns="0" upright="1"/>
                  </wps:wsp>
                </a:graphicData>
              </a:graphic>
            </wp:anchor>
          </w:drawing>
        </mc:Choice>
        <mc:Fallback>
          <w:pict>
            <v:shape id="文本框 159" o:spid="_x0000_s1026" o:spt="202" type="#_x0000_t202" style="position:absolute;left:0pt;margin-left:76.95pt;margin-top:788pt;height:12pt;width:17.7pt;mso-position-horizontal-relative:page;mso-position-vertical-relative:page;z-index:-251614208;mso-width-relative:page;mso-height-relative:page;" filled="f" stroked="f" coordsize="21600,21600" o:gfxdata="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RygQNkAAAANAQAADwAAAAAAAAABACAAAAAiAAAAZHJzL2Rvd25yZXYueG1s&#10;UEsBAhQAFAAAAAgAh07iQPk8TAm+AQAAdQMAAA4AAAAAAAAAAQAgAAAAKAEAAGRycy9lMm9Eb2Mu&#10;eG1sUEsFBgAAAAAGAAYAWQEAAFgFAAAAAA==&#10;">
              <v:fill on="f" focussize="0,0"/>
              <v:stroke on="f"/>
              <v:imagedata o:title=""/>
              <o:lock v:ext="edit" aspectratio="f"/>
              <v:textbox inset="0mm,0mm,0mm,0mm">
                <w:txbxContent>
                  <w:p w14:paraId="6352AE16">
                    <w:pPr>
                      <w:spacing w:before="12"/>
                      <w:ind w:left="40" w:right="0" w:firstLine="0"/>
                      <w:jc w:val="left"/>
                      <w:rPr>
                        <w:rFonts w:ascii="Times New Roman"/>
                        <w:sz w:val="18"/>
                      </w:rPr>
                    </w:pPr>
                    <w:r>
                      <w:rPr>
                        <w:rFonts w:ascii="Times New Roman"/>
                        <w:sz w:val="18"/>
                      </w:rPr>
                      <w:t>242</w:t>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46E20">
    <w:pPr>
      <w:pStyle w:val="12"/>
      <w:spacing w:line="14" w:lineRule="auto"/>
      <w:rPr>
        <w:sz w:val="20"/>
      </w:rPr>
    </w:pPr>
    <w:r>
      <w:rPr>
        <w:sz w:val="20"/>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FC9C1">
                          <w:pPr>
                            <w:pStyle w:val="17"/>
                          </w:pPr>
                          <w:r>
                            <w:t xml:space="preserve">第 </w:t>
                          </w:r>
                          <w:r>
                            <w:fldChar w:fldCharType="begin"/>
                          </w:r>
                          <w:r>
                            <w:instrText xml:space="preserve"> PAGE  \* MERGEFORMAT </w:instrText>
                          </w:r>
                          <w:r>
                            <w:fldChar w:fldCharType="separate"/>
                          </w:r>
                          <w:r>
                            <w:t>141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6BCFC9C1">
                    <w:pPr>
                      <w:pStyle w:val="17"/>
                    </w:pPr>
                    <w:r>
                      <w:t xml:space="preserve">第 </w:t>
                    </w:r>
                    <w:r>
                      <w:fldChar w:fldCharType="begin"/>
                    </w:r>
                    <w:r>
                      <w:instrText xml:space="preserve"> PAGE  \* MERGEFORMAT </w:instrText>
                    </w:r>
                    <w:r>
                      <w:fldChar w:fldCharType="separate"/>
                    </w:r>
                    <w:r>
                      <w:t>141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EFEA4">
    <w:pPr>
      <w:pStyle w:val="12"/>
      <w:spacing w:line="14" w:lineRule="auto"/>
      <w:rPr>
        <w:sz w:val="20"/>
      </w:rPr>
    </w:pPr>
    <w:r>
      <w:rPr>
        <w:sz w:val="20"/>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22D40">
                          <w:pPr>
                            <w:pStyle w:val="17"/>
                          </w:pPr>
                          <w:r>
                            <w:t xml:space="preserve">第 </w:t>
                          </w:r>
                          <w:r>
                            <w:fldChar w:fldCharType="begin"/>
                          </w:r>
                          <w:r>
                            <w:instrText xml:space="preserve"> PAGE  \* MERGEFORMAT </w:instrText>
                          </w:r>
                          <w:r>
                            <w:fldChar w:fldCharType="separate"/>
                          </w:r>
                          <w:r>
                            <w:t>142</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52422D40">
                    <w:pPr>
                      <w:pStyle w:val="17"/>
                    </w:pPr>
                    <w:r>
                      <w:t xml:space="preserve">第 </w:t>
                    </w:r>
                    <w:r>
                      <w:fldChar w:fldCharType="begin"/>
                    </w:r>
                    <w:r>
                      <w:instrText xml:space="preserve"> PAGE  \* MERGEFORMAT </w:instrText>
                    </w:r>
                    <w:r>
                      <w:fldChar w:fldCharType="separate"/>
                    </w:r>
                    <w:r>
                      <w:t>142</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B2794">
    <w:pPr>
      <w:pStyle w:val="12"/>
      <w:spacing w:line="14" w:lineRule="auto"/>
      <w:rPr>
        <w:sz w:val="20"/>
      </w:rPr>
    </w:pPr>
    <w:r>
      <w:rPr>
        <w:sz w:val="20"/>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0AB12">
                          <w:pPr>
                            <w:pStyle w:val="17"/>
                          </w:pPr>
                          <w:r>
                            <w:t xml:space="preserve">第 </w:t>
                          </w:r>
                          <w:r>
                            <w:fldChar w:fldCharType="begin"/>
                          </w:r>
                          <w:r>
                            <w:instrText xml:space="preserve"> PAGE  \* MERGEFORMAT </w:instrText>
                          </w:r>
                          <w:r>
                            <w:fldChar w:fldCharType="separate"/>
                          </w:r>
                          <w:r>
                            <w:t>143</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15D0AB12">
                    <w:pPr>
                      <w:pStyle w:val="17"/>
                    </w:pPr>
                    <w:r>
                      <w:t xml:space="preserve">第 </w:t>
                    </w:r>
                    <w:r>
                      <w:fldChar w:fldCharType="begin"/>
                    </w:r>
                    <w:r>
                      <w:instrText xml:space="preserve"> PAGE  \* MERGEFORMAT </w:instrText>
                    </w:r>
                    <w:r>
                      <w:fldChar w:fldCharType="separate"/>
                    </w:r>
                    <w:r>
                      <w:t>143</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A07EF">
    <w:pPr>
      <w:pStyle w:val="12"/>
      <w:spacing w:line="14" w:lineRule="auto"/>
      <w:rPr>
        <w:sz w:val="20"/>
      </w:rPr>
    </w:pPr>
    <w:r>
      <w:rPr>
        <w:sz w:val="20"/>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D0DD0">
                          <w:pPr>
                            <w:pStyle w:val="17"/>
                          </w:pPr>
                          <w:r>
                            <w:t xml:space="preserve">第 </w:t>
                          </w:r>
                          <w:r>
                            <w:fldChar w:fldCharType="begin"/>
                          </w:r>
                          <w:r>
                            <w:instrText xml:space="preserve"> PAGE  \* MERGEFORMAT </w:instrText>
                          </w:r>
                          <w:r>
                            <w:fldChar w:fldCharType="separate"/>
                          </w:r>
                          <w:r>
                            <w:t>144</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106D0DD0">
                    <w:pPr>
                      <w:pStyle w:val="17"/>
                    </w:pPr>
                    <w:r>
                      <w:t xml:space="preserve">第 </w:t>
                    </w:r>
                    <w:r>
                      <w:fldChar w:fldCharType="begin"/>
                    </w:r>
                    <w:r>
                      <w:instrText xml:space="preserve"> PAGE  \* MERGEFORMAT </w:instrText>
                    </w:r>
                    <w:r>
                      <w:fldChar w:fldCharType="separate"/>
                    </w:r>
                    <w:r>
                      <w:t>144</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4C35">
    <w:pPr>
      <w:pStyle w:val="12"/>
      <w:spacing w:line="14" w:lineRule="auto"/>
      <w:rPr>
        <w:sz w:val="2"/>
      </w:rPr>
    </w:pPr>
    <w:r>
      <w:rPr>
        <w:sz w:val="2"/>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0A57E">
                          <w:pPr>
                            <w:pStyle w:val="17"/>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B0A57E">
                    <w:pPr>
                      <w:pStyle w:val="17"/>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584B6">
    <w:pPr>
      <w:pStyle w:val="12"/>
      <w:spacing w:line="14" w:lineRule="auto"/>
      <w:rPr>
        <w:sz w:val="20"/>
      </w:rPr>
    </w:pPr>
    <w:r>
      <w:rPr>
        <w:sz w:val="20"/>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215390" cy="16192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15390" cy="161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F5C31">
                          <w:pPr>
                            <w:pStyle w:val="1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75pt;width:95.7pt;mso-position-horizontal:center;mso-position-horizontal-relative:margin;z-index:251712512;mso-width-relative:page;mso-height-relative:page;" filled="f" stroked="f" coordsize="21600,21600" o:gfxdata="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FEQG0wAAAAQBAAAPAAAAAAAAAAEAIAAAACIAAABkcnMvZG93bnJldi54&#10;bWxQSwECFAAUAAAACACHTuJAxDbg1TgCAABiBAAADgAAAAAAAAABACAAAAAiAQAAZHJzL2Uyb0Rv&#10;Yy54bWxQSwUGAAAAAAYABgBZAQAAzAUAAAAA&#10;">
              <v:fill on="f" focussize="0,0"/>
              <v:stroke on="f" weight="0.5pt"/>
              <v:imagedata o:title=""/>
              <o:lock v:ext="edit" aspectratio="f"/>
              <v:textbox inset="0mm,0mm,0mm,0mm">
                <w:txbxContent>
                  <w:p w14:paraId="2F4F5C31">
                    <w:pPr>
                      <w:pStyle w:val="1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79A24">
    <w:pPr>
      <w:pStyle w:val="12"/>
      <w:spacing w:line="14" w:lineRule="auto"/>
      <w:rPr>
        <w:sz w:val="20"/>
      </w:rPr>
    </w:pPr>
    <w:r>
      <w:rPr>
        <w:sz w:val="20"/>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899CD">
                          <w:pPr>
                            <w:pStyle w:val="17"/>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7D899CD">
                    <w:pPr>
                      <w:pStyle w:val="17"/>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D3CFF">
    <w:pPr>
      <w:pStyle w:val="12"/>
      <w:spacing w:line="14" w:lineRule="auto"/>
      <w:rPr>
        <w:sz w:val="20"/>
      </w:rPr>
    </w:pPr>
    <w:r>
      <w:rPr>
        <w:sz w:val="20"/>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803B8">
                          <w:pPr>
                            <w:pStyle w:val="17"/>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07803B8">
                    <w:pPr>
                      <w:pStyle w:val="17"/>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144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35A4">
    <w:pPr>
      <w:pStyle w:val="12"/>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BA77">
    <w:pPr>
      <w:pStyle w:val="12"/>
      <w:spacing w:line="14" w:lineRule="auto"/>
      <w:rPr>
        <w:sz w:val="20"/>
      </w:rPr>
    </w:pPr>
    <w:r>
      <mc:AlternateContent>
        <mc:Choice Requires="wps">
          <w:drawing>
            <wp:anchor distT="0" distB="0" distL="114300" distR="114300" simplePos="0" relativeHeight="251673600" behindDoc="1" locked="0" layoutInCell="1" allowOverlap="1">
              <wp:simplePos x="0" y="0"/>
              <wp:positionH relativeFrom="page">
                <wp:posOffset>1025525</wp:posOffset>
              </wp:positionH>
              <wp:positionV relativeFrom="page">
                <wp:posOffset>737235</wp:posOffset>
              </wp:positionV>
              <wp:extent cx="5424805" cy="0"/>
              <wp:effectExtent l="0" t="0" r="0" b="0"/>
              <wp:wrapNone/>
              <wp:docPr id="166" name="直线 37"/>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80.75pt;margin-top:58.05pt;height:0pt;width:427.15pt;mso-position-horizontal-relative:page;mso-position-vertical-relative:page;z-index:-251642880;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63P&#10;xtYAAAAMAQAADwAAAAAAAAABACAAAAAiAAAAZHJzL2Rvd25yZXYueG1sUEsBAhQAFAAAAAgAh07i&#10;QD1w9H3rAQAA3gMAAA4AAAAAAAAAAQAgAAAAJQEAAGRycy9lMm9Eb2MueG1sUEsFBgAAAAAGAAYA&#10;WQEAAII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74624" behindDoc="1" locked="0" layoutInCell="1" allowOverlap="1">
              <wp:simplePos x="0" y="0"/>
              <wp:positionH relativeFrom="page">
                <wp:posOffset>5161915</wp:posOffset>
              </wp:positionH>
              <wp:positionV relativeFrom="page">
                <wp:posOffset>548005</wp:posOffset>
              </wp:positionV>
              <wp:extent cx="1284605" cy="165735"/>
              <wp:effectExtent l="0" t="0" r="0" b="0"/>
              <wp:wrapNone/>
              <wp:docPr id="167" name="文本框 38"/>
              <wp:cNvGraphicFramePr/>
              <a:graphic xmlns:a="http://schemas.openxmlformats.org/drawingml/2006/main">
                <a:graphicData uri="http://schemas.microsoft.com/office/word/2010/wordprocessingShape">
                  <wps:wsp>
                    <wps:cNvSpPr txBox="1"/>
                    <wps:spPr>
                      <a:xfrm>
                        <a:off x="0" y="0"/>
                        <a:ext cx="1284605" cy="165735"/>
                      </a:xfrm>
                      <a:prstGeom prst="rect">
                        <a:avLst/>
                      </a:prstGeom>
                      <a:noFill/>
                      <a:ln>
                        <a:noFill/>
                      </a:ln>
                    </wps:spPr>
                    <wps:txbx>
                      <w:txbxContent>
                        <w:p w14:paraId="2D9F6827">
                          <w:pPr>
                            <w:tabs>
                              <w:tab w:val="left" w:pos="901"/>
                            </w:tabs>
                            <w:spacing w:before="0" w:line="261" w:lineRule="exact"/>
                            <w:ind w:left="20" w:right="0" w:firstLine="0"/>
                            <w:jc w:val="left"/>
                            <w:rPr>
                              <w:rFonts w:hint="eastAsia" w:ascii="黑体" w:eastAsia="黑体"/>
                              <w:sz w:val="22"/>
                            </w:rPr>
                          </w:pPr>
                          <w:r>
                            <w:rPr>
                              <w:rFonts w:hint="eastAsia" w:ascii="黑体" w:eastAsia="黑体"/>
                              <w:sz w:val="22"/>
                            </w:rPr>
                            <w:t>第二章</w:t>
                          </w:r>
                          <w:r>
                            <w:rPr>
                              <w:rFonts w:hint="eastAsia" w:ascii="黑体" w:eastAsia="黑体"/>
                              <w:sz w:val="22"/>
                            </w:rPr>
                            <w:tab/>
                          </w:r>
                          <w:r>
                            <w:rPr>
                              <w:rFonts w:hint="eastAsia" w:ascii="黑体" w:eastAsia="黑体"/>
                              <w:sz w:val="22"/>
                            </w:rPr>
                            <w:t>投标</w:t>
                          </w:r>
                          <w:r>
                            <w:rPr>
                              <w:rFonts w:hint="eastAsia" w:ascii="黑体" w:eastAsia="黑体"/>
                              <w:spacing w:val="-3"/>
                              <w:sz w:val="22"/>
                            </w:rPr>
                            <w:t>人</w:t>
                          </w:r>
                          <w:r>
                            <w:rPr>
                              <w:rFonts w:hint="eastAsia" w:ascii="黑体" w:eastAsia="黑体"/>
                              <w:sz w:val="22"/>
                            </w:rPr>
                            <w:t>须知</w:t>
                          </w:r>
                        </w:p>
                      </w:txbxContent>
                    </wps:txbx>
                    <wps:bodyPr lIns="0" tIns="0" rIns="0" bIns="0" upright="1"/>
                  </wps:wsp>
                </a:graphicData>
              </a:graphic>
            </wp:anchor>
          </w:drawing>
        </mc:Choice>
        <mc:Fallback>
          <w:pict>
            <v:shape id="文本框 38" o:spid="_x0000_s1026" o:spt="202" type="#_x0000_t202" style="position:absolute;left:0pt;margin-left:406.45pt;margin-top:43.15pt;height:13.05pt;width:101.15pt;mso-position-horizontal-relative:page;mso-position-vertical-relative:page;z-index:-251641856;mso-width-relative:page;mso-height-relative:page;" filled="f" stroked="f" coordsize="21600,21600" o:gfxdata="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EhoxW2QAAAAsBAAAPAAAAAAAAAAEAIAAAACIAAABkcnMvZG93bnJldi54bWxQ&#10;SwECFAAUAAAACACHTuJAaRSF7L0BAAB1AwAADgAAAAAAAAABACAAAAAoAQAAZHJzL2Uyb0RvYy54&#10;bWxQSwUGAAAAAAYABgBZAQAAVwUAAAAA&#10;">
              <v:fill on="f" focussize="0,0"/>
              <v:stroke on="f"/>
              <v:imagedata o:title=""/>
              <o:lock v:ext="edit" aspectratio="f"/>
              <v:textbox inset="0mm,0mm,0mm,0mm">
                <w:txbxContent>
                  <w:p w14:paraId="2D9F6827">
                    <w:pPr>
                      <w:tabs>
                        <w:tab w:val="left" w:pos="901"/>
                      </w:tabs>
                      <w:spacing w:before="0" w:line="261" w:lineRule="exact"/>
                      <w:ind w:left="20" w:right="0" w:firstLine="0"/>
                      <w:jc w:val="left"/>
                      <w:rPr>
                        <w:rFonts w:hint="eastAsia" w:ascii="黑体" w:eastAsia="黑体"/>
                        <w:sz w:val="22"/>
                      </w:rPr>
                    </w:pPr>
                    <w:r>
                      <w:rPr>
                        <w:rFonts w:hint="eastAsia" w:ascii="黑体" w:eastAsia="黑体"/>
                        <w:sz w:val="22"/>
                      </w:rPr>
                      <w:t>第二章</w:t>
                    </w:r>
                    <w:r>
                      <w:rPr>
                        <w:rFonts w:hint="eastAsia" w:ascii="黑体" w:eastAsia="黑体"/>
                        <w:sz w:val="22"/>
                      </w:rPr>
                      <w:tab/>
                    </w:r>
                    <w:r>
                      <w:rPr>
                        <w:rFonts w:hint="eastAsia" w:ascii="黑体" w:eastAsia="黑体"/>
                        <w:sz w:val="22"/>
                      </w:rPr>
                      <w:t>投标</w:t>
                    </w:r>
                    <w:r>
                      <w:rPr>
                        <w:rFonts w:hint="eastAsia" w:ascii="黑体" w:eastAsia="黑体"/>
                        <w:spacing w:val="-3"/>
                        <w:sz w:val="22"/>
                      </w:rPr>
                      <w:t>人</w:t>
                    </w:r>
                    <w:r>
                      <w:rPr>
                        <w:rFonts w:hint="eastAsia" w:ascii="黑体" w:eastAsia="黑体"/>
                        <w:sz w:val="22"/>
                      </w:rPr>
                      <w:t>须知</w:t>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6FFDD">
    <w:pPr>
      <w:pStyle w:val="12"/>
      <w:spacing w:line="14" w:lineRule="auto"/>
      <w:rPr>
        <w:sz w:val="20"/>
      </w:rPr>
    </w:pPr>
    <w:r>
      <mc:AlternateContent>
        <mc:Choice Requires="wps">
          <w:drawing>
            <wp:anchor distT="0" distB="0" distL="114300" distR="114300" simplePos="0" relativeHeight="251671552" behindDoc="1" locked="0" layoutInCell="1" allowOverlap="1">
              <wp:simplePos x="0" y="0"/>
              <wp:positionH relativeFrom="page">
                <wp:posOffset>1025525</wp:posOffset>
              </wp:positionH>
              <wp:positionV relativeFrom="page">
                <wp:posOffset>737235</wp:posOffset>
              </wp:positionV>
              <wp:extent cx="5424805" cy="0"/>
              <wp:effectExtent l="0" t="0" r="0" b="0"/>
              <wp:wrapNone/>
              <wp:docPr id="164" name="直线 35"/>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80.75pt;margin-top:58.05pt;height:0pt;width:427.15pt;mso-position-horizontal-relative:page;mso-position-vertical-relative:page;z-index:-251644928;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Ot&#10;z8bWAAAADAEAAA8AAAAAAAAAAQAgAAAAIgAAAGRycy9kb3ducmV2LnhtbFBLAQIUABQAAAAIAIdO&#10;4kCOosAA7AEAAN4DAAAOAAAAAAAAAAEAIAAAACU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1031240</wp:posOffset>
              </wp:positionH>
              <wp:positionV relativeFrom="page">
                <wp:posOffset>543560</wp:posOffset>
              </wp:positionV>
              <wp:extent cx="2577465" cy="180975"/>
              <wp:effectExtent l="0" t="0" r="0" b="0"/>
              <wp:wrapNone/>
              <wp:docPr id="165" name="文本框 36"/>
              <wp:cNvGraphicFramePr/>
              <a:graphic xmlns:a="http://schemas.openxmlformats.org/drawingml/2006/main">
                <a:graphicData uri="http://schemas.microsoft.com/office/word/2010/wordprocessingShape">
                  <wps:wsp>
                    <wps:cNvSpPr txBox="1"/>
                    <wps:spPr>
                      <a:xfrm>
                        <a:off x="0" y="0"/>
                        <a:ext cx="2577465" cy="180975"/>
                      </a:xfrm>
                      <a:prstGeom prst="rect">
                        <a:avLst/>
                      </a:prstGeom>
                      <a:noFill/>
                      <a:ln>
                        <a:noFill/>
                      </a:ln>
                    </wps:spPr>
                    <wps:txbx>
                      <w:txbxContent>
                        <w:p w14:paraId="6A15DB7F">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wps:txbx>
                    <wps:bodyPr lIns="0" tIns="0" rIns="0" bIns="0" upright="1"/>
                  </wps:wsp>
                </a:graphicData>
              </a:graphic>
            </wp:anchor>
          </w:drawing>
        </mc:Choice>
        <mc:Fallback>
          <w:pict>
            <v:shape id="文本框 36" o:spid="_x0000_s1026" o:spt="202" type="#_x0000_t202" style="position:absolute;left:0pt;margin-left:81.2pt;margin-top:42.8pt;height:14.25pt;width:202.95pt;mso-position-horizontal-relative:page;mso-position-vertical-relative:page;z-index:-251643904;mso-width-relative:page;mso-height-relative:page;" filled="f" stroked="f" coordsize="21600,21600" o:gfxdata="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yosiLYAAAACgEAAA8AAAAAAAAAAQAgAAAAIgAAAGRycy9kb3ducmV2LnhtbFBL&#10;AQIUABQAAAAIAIdO4kBMNH7ovQEAAHUDAAAOAAAAAAAAAAEAIAAAACcBAABkcnMvZTJvRG9jLnht&#10;bFBLBQYAAAAABgAGAFkBAABWBQAAAAA=&#10;">
              <v:fill on="f" focussize="0,0"/>
              <v:stroke on="f"/>
              <v:imagedata o:title=""/>
              <o:lock v:ext="edit" aspectratio="f"/>
              <v:textbox inset="0mm,0mm,0mm,0mm">
                <w:txbxContent>
                  <w:p w14:paraId="6A15DB7F">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BD61B">
    <w:pPr>
      <w:pStyle w:val="12"/>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2D5CD">
    <w:pPr>
      <w:spacing w:line="218" w:lineRule="auto"/>
      <w:ind w:left="4427"/>
      <w:rPr>
        <w:rFonts w:ascii="黑体" w:hAnsi="黑体" w:eastAsia="黑体" w:cs="黑体"/>
        <w:sz w:val="22"/>
        <w:szCs w:val="22"/>
      </w:rPr>
    </w:pPr>
    <w:r>
      <mc:AlternateContent>
        <mc:Choice Requires="wps">
          <w:drawing>
            <wp:anchor distT="0" distB="0" distL="114300" distR="114300" simplePos="0" relativeHeight="251760640" behindDoc="0" locked="0" layoutInCell="0" allowOverlap="1">
              <wp:simplePos x="0" y="0"/>
              <wp:positionH relativeFrom="page">
                <wp:posOffset>1025525</wp:posOffset>
              </wp:positionH>
              <wp:positionV relativeFrom="page">
                <wp:posOffset>734060</wp:posOffset>
              </wp:positionV>
              <wp:extent cx="5424805" cy="6350"/>
              <wp:effectExtent l="0" t="0" r="0" b="0"/>
              <wp:wrapNone/>
              <wp:docPr id="59" name="任意多边形 59"/>
              <wp:cNvGraphicFramePr/>
              <a:graphic xmlns:a="http://schemas.openxmlformats.org/drawingml/2006/main">
                <a:graphicData uri="http://schemas.microsoft.com/office/word/2010/wordprocessingShape">
                  <wps:wsp>
                    <wps:cNvSpPr/>
                    <wps:spPr>
                      <a:xfrm>
                        <a:off x="0" y="0"/>
                        <a:ext cx="5424805" cy="6350"/>
                      </a:xfrm>
                      <a:custGeom>
                        <a:avLst/>
                        <a:gdLst/>
                        <a:ahLst/>
                        <a:cxnLst/>
                        <a:pathLst>
                          <a:path w="8542" h="10">
                            <a:moveTo>
                              <a:pt x="0" y="9"/>
                            </a:moveTo>
                            <a:lnTo>
                              <a:pt x="8542" y="9"/>
                            </a:lnTo>
                            <a:lnTo>
                              <a:pt x="8542"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0.75pt;margin-top:57.8pt;height:0.5pt;width:427.15pt;mso-position-horizontal-relative:page;mso-position-vertical-relative:page;z-index:251760640;mso-width-relative:page;mso-height-relative:page;" fillcolor="#000000" filled="t" stroked="f" coordsize="8542,10" o:allowincell="f" o:gfxdata="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Pebp9oAAAAMAQAA&#10;DwAAAAAAAAABACAAAAAiAAAAZHJzL2Rvd25yZXYueG1sUEsBAhQAFAAAAAgAh07iQB1UTgYXAgAA&#10;ewQAAA4AAAAAAAAAAQAgAAAAKQEAAGRycy9lMm9Eb2MueG1sUEsFBgAAAAAGAAYAWQEAALIFAAAA&#10;AA==&#10;" path="m0,9l8542,9,8542,0,0,0,0,9xe">
              <v:fill on="t" focussize="0,0"/>
              <v:stroke on="f"/>
              <v:imagedata o:title=""/>
              <o:lock v:ext="edit" aspectratio="f"/>
            </v:shape>
          </w:pict>
        </mc:Fallback>
      </mc:AlternateContent>
    </w:r>
    <w:r>
      <w:rPr>
        <w:rFonts w:ascii="黑体" w:hAnsi="黑体" w:eastAsia="黑体" w:cs="黑体"/>
        <w:spacing w:val="-1"/>
        <w:sz w:val="22"/>
        <w:szCs w:val="22"/>
      </w:rPr>
      <w:t>第三章  评标办法（技术评分最低标价法）</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4E48">
    <w:pPr>
      <w:spacing w:line="219" w:lineRule="auto"/>
      <w:ind w:left="123"/>
      <w:rPr>
        <w:rFonts w:ascii="黑体" w:hAnsi="黑体" w:eastAsia="黑体" w:cs="黑体"/>
        <w:sz w:val="22"/>
        <w:szCs w:val="22"/>
      </w:rPr>
    </w:pPr>
    <w:r>
      <mc:AlternateContent>
        <mc:Choice Requires="wps">
          <w:drawing>
            <wp:anchor distT="0" distB="0" distL="114300" distR="114300" simplePos="0" relativeHeight="251759616" behindDoc="0" locked="0" layoutInCell="0" allowOverlap="1">
              <wp:simplePos x="0" y="0"/>
              <wp:positionH relativeFrom="page">
                <wp:posOffset>1025525</wp:posOffset>
              </wp:positionH>
              <wp:positionV relativeFrom="page">
                <wp:posOffset>734060</wp:posOffset>
              </wp:positionV>
              <wp:extent cx="5424805"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424805" cy="6350"/>
                      </a:xfrm>
                      <a:custGeom>
                        <a:avLst/>
                        <a:gdLst/>
                        <a:ahLst/>
                        <a:cxnLst/>
                        <a:pathLst>
                          <a:path w="8542" h="10">
                            <a:moveTo>
                              <a:pt x="0" y="9"/>
                            </a:moveTo>
                            <a:lnTo>
                              <a:pt x="8542" y="9"/>
                            </a:lnTo>
                            <a:lnTo>
                              <a:pt x="8542"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0.75pt;margin-top:57.8pt;height:0.5pt;width:427.15pt;mso-position-horizontal-relative:page;mso-position-vertical-relative:page;z-index:251759616;mso-width-relative:page;mso-height-relative:page;" fillcolor="#000000" filled="t" stroked="f" coordsize="8542,10" o:allowincell="f" o:gfxdata="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z3m6faAAAADAEAAA8A&#10;AAAAAAAAAQAgAAAAIgAAAGRycy9kb3ducmV2LnhtbFBLAQIUABQAAAAIAIdO4kAhmVRUFQIAAHsE&#10;AAAOAAAAAAAAAAEAIAAAACkBAABkcnMvZTJvRG9jLnhtbFBLBQYAAAAABgAGAFkBAACwBQAAAAA=&#10;" path="m0,9l8542,9,8542,0,0,0,0,9xe">
              <v:fill on="t" focussize="0,0"/>
              <v:stroke on="f"/>
              <v:imagedata o:title=""/>
              <o:lock v:ext="edit" aspectratio="f"/>
            </v:shape>
          </w:pict>
        </mc:Fallback>
      </mc:AlternateContent>
    </w:r>
    <w:r>
      <w:rPr>
        <w:rFonts w:ascii="黑体" w:hAnsi="黑体" w:eastAsia="黑体" w:cs="黑体"/>
        <w:spacing w:val="-1"/>
        <w:sz w:val="22"/>
        <w:szCs w:val="22"/>
      </w:rPr>
      <w:t>公路工程标准施工招标文件（</w:t>
    </w:r>
    <w:r>
      <w:rPr>
        <w:rFonts w:ascii="Times New Roman" w:hAnsi="Times New Roman" w:eastAsia="Times New Roman" w:cs="Times New Roman"/>
        <w:spacing w:val="-1"/>
        <w:sz w:val="22"/>
        <w:szCs w:val="22"/>
      </w:rPr>
      <w:t xml:space="preserve">2018 </w:t>
    </w:r>
    <w:r>
      <w:rPr>
        <w:rFonts w:ascii="黑体" w:hAnsi="黑体" w:eastAsia="黑体" w:cs="黑体"/>
        <w:spacing w:val="-1"/>
        <w:sz w:val="22"/>
        <w:szCs w:val="22"/>
      </w:rPr>
      <w:t>年版）</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2EBBC">
    <w:pPr>
      <w:spacing w:line="218" w:lineRule="auto"/>
      <w:ind w:left="4343"/>
      <w:rPr>
        <w:rFonts w:ascii="黑体" w:hAnsi="黑体" w:eastAsia="黑体" w:cs="黑体"/>
        <w:sz w:val="22"/>
        <w:szCs w:val="22"/>
      </w:rPr>
    </w:pPr>
    <w:r>
      <mc:AlternateContent>
        <mc:Choice Requires="wps">
          <w:drawing>
            <wp:anchor distT="0" distB="0" distL="114300" distR="114300" simplePos="0" relativeHeight="251763712" behindDoc="0" locked="0" layoutInCell="0" allowOverlap="1">
              <wp:simplePos x="0" y="0"/>
              <wp:positionH relativeFrom="page">
                <wp:posOffset>1025525</wp:posOffset>
              </wp:positionH>
              <wp:positionV relativeFrom="page">
                <wp:posOffset>734060</wp:posOffset>
              </wp:positionV>
              <wp:extent cx="5424805" cy="6350"/>
              <wp:effectExtent l="0" t="0" r="0" b="0"/>
              <wp:wrapNone/>
              <wp:docPr id="53" name="任意多边形 53"/>
              <wp:cNvGraphicFramePr/>
              <a:graphic xmlns:a="http://schemas.openxmlformats.org/drawingml/2006/main">
                <a:graphicData uri="http://schemas.microsoft.com/office/word/2010/wordprocessingShape">
                  <wps:wsp>
                    <wps:cNvSpPr/>
                    <wps:spPr>
                      <a:xfrm>
                        <a:off x="0" y="0"/>
                        <a:ext cx="5424805" cy="6350"/>
                      </a:xfrm>
                      <a:custGeom>
                        <a:avLst/>
                        <a:gdLst/>
                        <a:ahLst/>
                        <a:cxnLst/>
                        <a:pathLst>
                          <a:path w="8542" h="10">
                            <a:moveTo>
                              <a:pt x="0" y="9"/>
                            </a:moveTo>
                            <a:lnTo>
                              <a:pt x="8542" y="9"/>
                            </a:lnTo>
                            <a:lnTo>
                              <a:pt x="8542" y="0"/>
                            </a:lnTo>
                            <a:lnTo>
                              <a:pt x="0" y="0"/>
                            </a:lnTo>
                            <a:lnTo>
                              <a:pt x="0" y="9"/>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0.75pt;margin-top:57.8pt;height:0.5pt;width:427.15pt;mso-position-horizontal-relative:page;mso-position-vertical-relative:page;z-index:251763712;mso-width-relative:page;mso-height-relative:page;" fillcolor="#000000" filled="t" stroked="f" coordsize="8542,10" o:allowincell="f" o:gfxdata="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895un2gAAAAwBAAAP&#10;AAAAAAAAAAEAIAAAACIAAABkcnMvZG93bnJldi54bWxQSwECFAAUAAAACACHTuJASZxpShYCAAB7&#10;BAAADgAAAAAAAAABACAAAAApAQAAZHJzL2Uyb0RvYy54bWxQSwUGAAAAAAYABgBZAQAAsQUAAAAA&#10;" path="m0,9l8542,9,8542,0,0,0,0,9xe">
              <v:fill on="t" focussize="0,0"/>
              <v:stroke on="f"/>
              <v:imagedata o:title=""/>
              <o:lock v:ext="edit" aspectratio="f"/>
            </v:shape>
          </w:pict>
        </mc:Fallback>
      </mc:AlternateContent>
    </w:r>
    <w:r>
      <w:rPr>
        <w:rFonts w:ascii="黑体" w:hAnsi="黑体" w:eastAsia="黑体" w:cs="黑体"/>
        <w:spacing w:val="-1"/>
        <w:sz w:val="22"/>
        <w:szCs w:val="22"/>
      </w:rPr>
      <w:t>第三章  评标办法（技术评分最低标价法）</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56EE4">
    <w:pPr>
      <w:pStyle w:val="12"/>
      <w:spacing w:line="14" w:lineRule="auto"/>
      <w:rPr>
        <w:sz w:val="20"/>
      </w:rPr>
    </w:pPr>
    <w:r>
      <mc:AlternateContent>
        <mc:Choice Requires="wps">
          <w:drawing>
            <wp:anchor distT="0" distB="0" distL="114300" distR="114300" simplePos="0" relativeHeight="251681792" behindDoc="1" locked="0" layoutInCell="1" allowOverlap="1">
              <wp:simplePos x="0" y="0"/>
              <wp:positionH relativeFrom="page">
                <wp:posOffset>1025525</wp:posOffset>
              </wp:positionH>
              <wp:positionV relativeFrom="page">
                <wp:posOffset>737235</wp:posOffset>
              </wp:positionV>
              <wp:extent cx="5424805" cy="0"/>
              <wp:effectExtent l="0" t="0" r="0" b="0"/>
              <wp:wrapNone/>
              <wp:docPr id="194" name="直线 65"/>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80.75pt;margin-top:58.05pt;height:0pt;width:427.15pt;mso-position-horizontal-relative:page;mso-position-vertical-relative:page;z-index:-251634688;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63P&#10;xtYAAAAMAQAADwAAAAAAAAABACAAAAAiAAAAZHJzL2Rvd25yZXYueG1sUEsBAhQAFAAAAAgAh07i&#10;QKObt0XrAQAA3gMAAA4AAAAAAAAAAQAgAAAAJQEAAGRycy9lMm9Eb2MueG1sUEsFBgAAAAAGAAYA&#10;WQEAAII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82816" behindDoc="1" locked="0" layoutInCell="1" allowOverlap="1">
              <wp:simplePos x="0" y="0"/>
              <wp:positionH relativeFrom="page">
                <wp:posOffset>4883150</wp:posOffset>
              </wp:positionH>
              <wp:positionV relativeFrom="page">
                <wp:posOffset>548005</wp:posOffset>
              </wp:positionV>
              <wp:extent cx="1563370" cy="165735"/>
              <wp:effectExtent l="0" t="0" r="0" b="0"/>
              <wp:wrapNone/>
              <wp:docPr id="195" name="文本框 66"/>
              <wp:cNvGraphicFramePr/>
              <a:graphic xmlns:a="http://schemas.openxmlformats.org/drawingml/2006/main">
                <a:graphicData uri="http://schemas.microsoft.com/office/word/2010/wordprocessingShape">
                  <wps:wsp>
                    <wps:cNvSpPr txBox="1"/>
                    <wps:spPr>
                      <a:xfrm>
                        <a:off x="0" y="0"/>
                        <a:ext cx="1563370" cy="165735"/>
                      </a:xfrm>
                      <a:prstGeom prst="rect">
                        <a:avLst/>
                      </a:prstGeom>
                      <a:noFill/>
                      <a:ln>
                        <a:noFill/>
                      </a:ln>
                    </wps:spPr>
                    <wps:txbx>
                      <w:txbxContent>
                        <w:p w14:paraId="6C7F4A64">
                          <w:pPr>
                            <w:tabs>
                              <w:tab w:val="left" w:pos="900"/>
                            </w:tabs>
                            <w:spacing w:before="0" w:line="261" w:lineRule="exact"/>
                            <w:ind w:left="20" w:right="0" w:firstLine="0"/>
                            <w:jc w:val="left"/>
                            <w:rPr>
                              <w:rFonts w:hint="eastAsia" w:ascii="黑体" w:eastAsia="黑体"/>
                              <w:sz w:val="22"/>
                            </w:rPr>
                          </w:pPr>
                          <w:r>
                            <w:rPr>
                              <w:rFonts w:hint="eastAsia" w:ascii="黑体" w:eastAsia="黑体"/>
                              <w:sz w:val="22"/>
                            </w:rPr>
                            <w:t>第四章</w:t>
                          </w:r>
                          <w:r>
                            <w:rPr>
                              <w:rFonts w:hint="eastAsia" w:ascii="黑体" w:eastAsia="黑体"/>
                              <w:sz w:val="22"/>
                            </w:rPr>
                            <w:tab/>
                          </w:r>
                          <w:r>
                            <w:rPr>
                              <w:rFonts w:hint="eastAsia" w:ascii="黑体" w:eastAsia="黑体"/>
                              <w:sz w:val="22"/>
                            </w:rPr>
                            <w:t>合同</w:t>
                          </w:r>
                          <w:r>
                            <w:rPr>
                              <w:rFonts w:hint="eastAsia" w:ascii="黑体" w:eastAsia="黑体"/>
                              <w:spacing w:val="-3"/>
                              <w:sz w:val="22"/>
                            </w:rPr>
                            <w:t>条</w:t>
                          </w:r>
                          <w:r>
                            <w:rPr>
                              <w:rFonts w:hint="eastAsia" w:ascii="黑体" w:eastAsia="黑体"/>
                              <w:sz w:val="22"/>
                            </w:rPr>
                            <w:t>款及</w:t>
                          </w:r>
                          <w:r>
                            <w:rPr>
                              <w:rFonts w:hint="eastAsia" w:ascii="黑体" w:eastAsia="黑体"/>
                              <w:spacing w:val="-3"/>
                              <w:sz w:val="22"/>
                            </w:rPr>
                            <w:t>格</w:t>
                          </w:r>
                          <w:r>
                            <w:rPr>
                              <w:rFonts w:hint="eastAsia" w:ascii="黑体" w:eastAsia="黑体"/>
                              <w:sz w:val="22"/>
                            </w:rPr>
                            <w:t>式</w:t>
                          </w:r>
                        </w:p>
                      </w:txbxContent>
                    </wps:txbx>
                    <wps:bodyPr lIns="0" tIns="0" rIns="0" bIns="0" upright="1"/>
                  </wps:wsp>
                </a:graphicData>
              </a:graphic>
            </wp:anchor>
          </w:drawing>
        </mc:Choice>
        <mc:Fallback>
          <w:pict>
            <v:shape id="文本框 66" o:spid="_x0000_s1026" o:spt="202" type="#_x0000_t202" style="position:absolute;left:0pt;margin-left:384.5pt;margin-top:43.15pt;height:13.05pt;width:123.1pt;mso-position-horizontal-relative:page;mso-position-vertical-relative:page;z-index:-251633664;mso-width-relative:page;mso-height-relative:page;" filled="f" stroked="f" coordsize="21600,21600" o:gfxdata="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a3SLNoAAAALAQAADwAAAAAAAAABACAAAAAiAAAAZHJzL2Rvd25yZXYueG1s&#10;UEsBAhQAFAAAAAgAh07iQJzwjvS9AQAAdQMAAA4AAAAAAAAAAQAgAAAAKQEAAGRycy9lMm9Eb2Mu&#10;eG1sUEsFBgAAAAAGAAYAWQEAAFgFAAAAAA==&#10;">
              <v:fill on="f" focussize="0,0"/>
              <v:stroke on="f"/>
              <v:imagedata o:title=""/>
              <o:lock v:ext="edit" aspectratio="f"/>
              <v:textbox inset="0mm,0mm,0mm,0mm">
                <w:txbxContent>
                  <w:p w14:paraId="6C7F4A64">
                    <w:pPr>
                      <w:tabs>
                        <w:tab w:val="left" w:pos="900"/>
                      </w:tabs>
                      <w:spacing w:before="0" w:line="261" w:lineRule="exact"/>
                      <w:ind w:left="20" w:right="0" w:firstLine="0"/>
                      <w:jc w:val="left"/>
                      <w:rPr>
                        <w:rFonts w:hint="eastAsia" w:ascii="黑体" w:eastAsia="黑体"/>
                        <w:sz w:val="22"/>
                      </w:rPr>
                    </w:pPr>
                    <w:r>
                      <w:rPr>
                        <w:rFonts w:hint="eastAsia" w:ascii="黑体" w:eastAsia="黑体"/>
                        <w:sz w:val="22"/>
                      </w:rPr>
                      <w:t>第四章</w:t>
                    </w:r>
                    <w:r>
                      <w:rPr>
                        <w:rFonts w:hint="eastAsia" w:ascii="黑体" w:eastAsia="黑体"/>
                        <w:sz w:val="22"/>
                      </w:rPr>
                      <w:tab/>
                    </w:r>
                    <w:r>
                      <w:rPr>
                        <w:rFonts w:hint="eastAsia" w:ascii="黑体" w:eastAsia="黑体"/>
                        <w:sz w:val="22"/>
                      </w:rPr>
                      <w:t>合同</w:t>
                    </w:r>
                    <w:r>
                      <w:rPr>
                        <w:rFonts w:hint="eastAsia" w:ascii="黑体" w:eastAsia="黑体"/>
                        <w:spacing w:val="-3"/>
                        <w:sz w:val="22"/>
                      </w:rPr>
                      <w:t>条</w:t>
                    </w:r>
                    <w:r>
                      <w:rPr>
                        <w:rFonts w:hint="eastAsia" w:ascii="黑体" w:eastAsia="黑体"/>
                        <w:sz w:val="22"/>
                      </w:rPr>
                      <w:t>款及</w:t>
                    </w:r>
                    <w:r>
                      <w:rPr>
                        <w:rFonts w:hint="eastAsia" w:ascii="黑体" w:eastAsia="黑体"/>
                        <w:spacing w:val="-3"/>
                        <w:sz w:val="22"/>
                      </w:rPr>
                      <w:t>格</w:t>
                    </w:r>
                    <w:r>
                      <w:rPr>
                        <w:rFonts w:hint="eastAsia" w:ascii="黑体" w:eastAsia="黑体"/>
                        <w:sz w:val="22"/>
                      </w:rPr>
                      <w:t>式</w:t>
                    </w:r>
                  </w:p>
                </w:txbxContent>
              </v:textbox>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3E34C">
    <w:pPr>
      <w:pStyle w:val="12"/>
      <w:spacing w:line="14" w:lineRule="auto"/>
      <w:rPr>
        <w:sz w:val="20"/>
      </w:rPr>
    </w:pPr>
    <w:r>
      <mc:AlternateContent>
        <mc:Choice Requires="wps">
          <w:drawing>
            <wp:anchor distT="0" distB="0" distL="114300" distR="114300" simplePos="0" relativeHeight="251683840" behindDoc="1" locked="0" layoutInCell="1" allowOverlap="1">
              <wp:simplePos x="0" y="0"/>
              <wp:positionH relativeFrom="page">
                <wp:posOffset>1025525</wp:posOffset>
              </wp:positionH>
              <wp:positionV relativeFrom="page">
                <wp:posOffset>737235</wp:posOffset>
              </wp:positionV>
              <wp:extent cx="5424805" cy="0"/>
              <wp:effectExtent l="0" t="0" r="0" b="0"/>
              <wp:wrapNone/>
              <wp:docPr id="196" name="直线 67"/>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67" o:spid="_x0000_s1026" o:spt="20" style="position:absolute;left:0pt;margin-left:80.75pt;margin-top:58.05pt;height:0pt;width:427.15pt;mso-position-horizontal-relative:page;mso-position-vertical-relative:page;z-index:-251632640;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63P&#10;xtYAAAAMAQAADwAAAAAAAAABACAAAAAiAAAAZHJzL2Rvd25yZXYueG1sUEsBAhQAFAAAAAgAh07i&#10;QBBJgzjrAQAA3gMAAA4AAAAAAAAAAQAgAAAAJQEAAGRycy9lMm9Eb2MueG1sUEsFBgAAAAAGAAYA&#10;WQEAAII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84864" behindDoc="1" locked="0" layoutInCell="1" allowOverlap="1">
              <wp:simplePos x="0" y="0"/>
              <wp:positionH relativeFrom="page">
                <wp:posOffset>1031240</wp:posOffset>
              </wp:positionH>
              <wp:positionV relativeFrom="page">
                <wp:posOffset>543560</wp:posOffset>
              </wp:positionV>
              <wp:extent cx="2577465" cy="180975"/>
              <wp:effectExtent l="0" t="0" r="0" b="0"/>
              <wp:wrapNone/>
              <wp:docPr id="197" name="文本框 68"/>
              <wp:cNvGraphicFramePr/>
              <a:graphic xmlns:a="http://schemas.openxmlformats.org/drawingml/2006/main">
                <a:graphicData uri="http://schemas.microsoft.com/office/word/2010/wordprocessingShape">
                  <wps:wsp>
                    <wps:cNvSpPr txBox="1"/>
                    <wps:spPr>
                      <a:xfrm>
                        <a:off x="0" y="0"/>
                        <a:ext cx="2577465" cy="180975"/>
                      </a:xfrm>
                      <a:prstGeom prst="rect">
                        <a:avLst/>
                      </a:prstGeom>
                      <a:noFill/>
                      <a:ln>
                        <a:noFill/>
                      </a:ln>
                    </wps:spPr>
                    <wps:txbx>
                      <w:txbxContent>
                        <w:p w14:paraId="1883F90E">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wps:txbx>
                    <wps:bodyPr lIns="0" tIns="0" rIns="0" bIns="0" upright="1"/>
                  </wps:wsp>
                </a:graphicData>
              </a:graphic>
            </wp:anchor>
          </w:drawing>
        </mc:Choice>
        <mc:Fallback>
          <w:pict>
            <v:shape id="文本框 68" o:spid="_x0000_s1026" o:spt="202" type="#_x0000_t202" style="position:absolute;left:0pt;margin-left:81.2pt;margin-top:42.8pt;height:14.25pt;width:202.95pt;mso-position-horizontal-relative:page;mso-position-vertical-relative:page;z-index:-251631616;mso-width-relative:page;mso-height-relative:page;" filled="f" stroked="f" coordsize="21600,21600" o:gfxdata="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yosiLYAAAACgEAAA8AAAAAAAAAAQAgAAAAIgAAAGRycy9kb3ducmV2LnhtbFBL&#10;AQIUABQAAAAIAIdO4kB2GWzivQEAAHUDAAAOAAAAAAAAAAEAIAAAACcBAABkcnMvZTJvRG9jLnht&#10;bFBLBQYAAAAABgAGAFkBAABWBQAAAAA=&#10;">
              <v:fill on="f" focussize="0,0"/>
              <v:stroke on="f"/>
              <v:imagedata o:title=""/>
              <o:lock v:ext="edit" aspectratio="f"/>
              <v:textbox inset="0mm,0mm,0mm,0mm">
                <w:txbxContent>
                  <w:p w14:paraId="1883F90E">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v:textbox>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45C9">
    <w:pPr>
      <w:pStyle w:val="12"/>
      <w:spacing w:line="14"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CC1B9">
    <w:pPr>
      <w:pStyle w:val="12"/>
      <w:spacing w:line="14" w:lineRule="auto"/>
      <w:rPr>
        <w:sz w:val="20"/>
      </w:rPr>
    </w:pPr>
    <w:r>
      <mc:AlternateContent>
        <mc:Choice Requires="wps">
          <w:drawing>
            <wp:anchor distT="0" distB="0" distL="114300" distR="114300" simplePos="0" relativeHeight="251685888" behindDoc="1" locked="0" layoutInCell="1" allowOverlap="1">
              <wp:simplePos x="0" y="0"/>
              <wp:positionH relativeFrom="page">
                <wp:posOffset>1025525</wp:posOffset>
              </wp:positionH>
              <wp:positionV relativeFrom="page">
                <wp:posOffset>737235</wp:posOffset>
              </wp:positionV>
              <wp:extent cx="5424805" cy="0"/>
              <wp:effectExtent l="0" t="0" r="0" b="0"/>
              <wp:wrapNone/>
              <wp:docPr id="220" name="直线 91"/>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91" o:spid="_x0000_s1026" o:spt="20" style="position:absolute;left:0pt;margin-left:80.75pt;margin-top:58.05pt;height:0pt;width:427.15pt;mso-position-horizontal-relative:page;mso-position-vertical-relative:page;z-index:-251630592;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rc/G&#10;1gAAAAwBAAAPAAAAAAAAAAEAIAAAACIAAABkcnMvZG93bnJldi54bWxQSwECFAAUAAAACACHTuJA&#10;baY69uoBAADeAwAADgAAAAAAAAABACAAAAAlAQAAZHJzL2Uyb0RvYy54bWxQSwUGAAAAAAYABgBZ&#10;AQAAgQ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86912" behindDoc="1" locked="0" layoutInCell="1" allowOverlap="1">
              <wp:simplePos x="0" y="0"/>
              <wp:positionH relativeFrom="page">
                <wp:posOffset>5161915</wp:posOffset>
              </wp:positionH>
              <wp:positionV relativeFrom="page">
                <wp:posOffset>548005</wp:posOffset>
              </wp:positionV>
              <wp:extent cx="1284605" cy="165735"/>
              <wp:effectExtent l="0" t="0" r="0" b="0"/>
              <wp:wrapNone/>
              <wp:docPr id="221" name="文本框 92"/>
              <wp:cNvGraphicFramePr/>
              <a:graphic xmlns:a="http://schemas.openxmlformats.org/drawingml/2006/main">
                <a:graphicData uri="http://schemas.microsoft.com/office/word/2010/wordprocessingShape">
                  <wps:wsp>
                    <wps:cNvSpPr txBox="1"/>
                    <wps:spPr>
                      <a:xfrm>
                        <a:off x="0" y="0"/>
                        <a:ext cx="1284605" cy="165735"/>
                      </a:xfrm>
                      <a:prstGeom prst="rect">
                        <a:avLst/>
                      </a:prstGeom>
                      <a:noFill/>
                      <a:ln>
                        <a:noFill/>
                      </a:ln>
                    </wps:spPr>
                    <wps:txbx>
                      <w:txbxContent>
                        <w:p w14:paraId="39D24B75">
                          <w:pPr>
                            <w:tabs>
                              <w:tab w:val="left" w:pos="901"/>
                            </w:tabs>
                            <w:spacing w:before="0" w:line="261" w:lineRule="exact"/>
                            <w:ind w:left="20" w:right="0" w:firstLine="0"/>
                            <w:jc w:val="left"/>
                            <w:rPr>
                              <w:rFonts w:hint="eastAsia" w:ascii="黑体" w:eastAsia="黑体"/>
                              <w:sz w:val="22"/>
                            </w:rPr>
                          </w:pPr>
                          <w:r>
                            <w:rPr>
                              <w:rFonts w:hint="eastAsia" w:ascii="黑体" w:eastAsia="黑体"/>
                              <w:sz w:val="22"/>
                            </w:rPr>
                            <w:t>第五章</w:t>
                          </w:r>
                          <w:r>
                            <w:rPr>
                              <w:rFonts w:hint="eastAsia" w:ascii="黑体" w:eastAsia="黑体"/>
                              <w:sz w:val="22"/>
                            </w:rPr>
                            <w:tab/>
                          </w:r>
                          <w:r>
                            <w:rPr>
                              <w:rFonts w:hint="eastAsia" w:ascii="黑体" w:eastAsia="黑体"/>
                              <w:sz w:val="22"/>
                            </w:rPr>
                            <w:t>工程</w:t>
                          </w:r>
                          <w:r>
                            <w:rPr>
                              <w:rFonts w:hint="eastAsia" w:ascii="黑体" w:eastAsia="黑体"/>
                              <w:spacing w:val="-3"/>
                              <w:sz w:val="22"/>
                            </w:rPr>
                            <w:t>量</w:t>
                          </w:r>
                          <w:r>
                            <w:rPr>
                              <w:rFonts w:hint="eastAsia" w:ascii="黑体" w:eastAsia="黑体"/>
                              <w:sz w:val="22"/>
                            </w:rPr>
                            <w:t>清单</w:t>
                          </w:r>
                        </w:p>
                      </w:txbxContent>
                    </wps:txbx>
                    <wps:bodyPr lIns="0" tIns="0" rIns="0" bIns="0" upright="1"/>
                  </wps:wsp>
                </a:graphicData>
              </a:graphic>
            </wp:anchor>
          </w:drawing>
        </mc:Choice>
        <mc:Fallback>
          <w:pict>
            <v:shape id="文本框 92" o:spid="_x0000_s1026" o:spt="202" type="#_x0000_t202" style="position:absolute;left:0pt;margin-left:406.45pt;margin-top:43.15pt;height:13.05pt;width:101.15pt;mso-position-horizontal-relative:page;mso-position-vertical-relative:page;z-index:-251629568;mso-width-relative:page;mso-height-relative:page;" filled="f" stroked="f" coordsize="21600,21600" o:gfxdata="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IaMVtkAAAALAQAADwAAAAAAAAABACAAAAAiAAAAZHJzL2Rvd25yZXYueG1s&#10;UEsBAhQAFAAAAAgAh07iQAD4dL2+AQAAdQMAAA4AAAAAAAAAAQAgAAAAKAEAAGRycy9lMm9Eb2Mu&#10;eG1sUEsFBgAAAAAGAAYAWQEAAFgFAAAAAA==&#10;">
              <v:fill on="f" focussize="0,0"/>
              <v:stroke on="f"/>
              <v:imagedata o:title=""/>
              <o:lock v:ext="edit" aspectratio="f"/>
              <v:textbox inset="0mm,0mm,0mm,0mm">
                <w:txbxContent>
                  <w:p w14:paraId="39D24B75">
                    <w:pPr>
                      <w:tabs>
                        <w:tab w:val="left" w:pos="901"/>
                      </w:tabs>
                      <w:spacing w:before="0" w:line="261" w:lineRule="exact"/>
                      <w:ind w:left="20" w:right="0" w:firstLine="0"/>
                      <w:jc w:val="left"/>
                      <w:rPr>
                        <w:rFonts w:hint="eastAsia" w:ascii="黑体" w:eastAsia="黑体"/>
                        <w:sz w:val="22"/>
                      </w:rPr>
                    </w:pPr>
                    <w:r>
                      <w:rPr>
                        <w:rFonts w:hint="eastAsia" w:ascii="黑体" w:eastAsia="黑体"/>
                        <w:sz w:val="22"/>
                      </w:rPr>
                      <w:t>第五章</w:t>
                    </w:r>
                    <w:r>
                      <w:rPr>
                        <w:rFonts w:hint="eastAsia" w:ascii="黑体" w:eastAsia="黑体"/>
                        <w:sz w:val="22"/>
                      </w:rPr>
                      <w:tab/>
                    </w:r>
                    <w:r>
                      <w:rPr>
                        <w:rFonts w:hint="eastAsia" w:ascii="黑体" w:eastAsia="黑体"/>
                        <w:sz w:val="22"/>
                      </w:rPr>
                      <w:t>工程</w:t>
                    </w:r>
                    <w:r>
                      <w:rPr>
                        <w:rFonts w:hint="eastAsia" w:ascii="黑体" w:eastAsia="黑体"/>
                        <w:spacing w:val="-3"/>
                        <w:sz w:val="22"/>
                      </w:rPr>
                      <w:t>量</w:t>
                    </w:r>
                    <w:r>
                      <w:rPr>
                        <w:rFonts w:hint="eastAsia" w:ascii="黑体" w:eastAsia="黑体"/>
                        <w:sz w:val="22"/>
                      </w:rPr>
                      <w:t>清单</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66D5A">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1025525</wp:posOffset>
              </wp:positionH>
              <wp:positionV relativeFrom="page">
                <wp:posOffset>737235</wp:posOffset>
              </wp:positionV>
              <wp:extent cx="5424805" cy="0"/>
              <wp:effectExtent l="0" t="0" r="0" b="0"/>
              <wp:wrapNone/>
              <wp:docPr id="136" name="直线 7"/>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80.75pt;margin-top:58.05pt;height:0pt;width:427.15pt;mso-position-horizontal-relative:page;mso-position-vertical-relative:page;z-index:-251657216;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rc/G&#10;1gAAAAwBAAAPAAAAAAAAAAEAIAAAACIAAABkcnMvZG93bnJldi54bWxQSwECFAAUAAAACACHTuJA&#10;iGVIeOoBAADdAwAADgAAAAAAAAABACAAAAAlAQAAZHJzL2Uyb0RvYy54bWxQSwUGAAAAAAYABgBZ&#10;AQAAgQ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1031240</wp:posOffset>
              </wp:positionH>
              <wp:positionV relativeFrom="page">
                <wp:posOffset>543560</wp:posOffset>
              </wp:positionV>
              <wp:extent cx="2577465" cy="180975"/>
              <wp:effectExtent l="0" t="0" r="0" b="0"/>
              <wp:wrapNone/>
              <wp:docPr id="137" name="文本框 8"/>
              <wp:cNvGraphicFramePr/>
              <a:graphic xmlns:a="http://schemas.openxmlformats.org/drawingml/2006/main">
                <a:graphicData uri="http://schemas.microsoft.com/office/word/2010/wordprocessingShape">
                  <wps:wsp>
                    <wps:cNvSpPr txBox="1"/>
                    <wps:spPr>
                      <a:xfrm>
                        <a:off x="0" y="0"/>
                        <a:ext cx="2577465" cy="180975"/>
                      </a:xfrm>
                      <a:prstGeom prst="rect">
                        <a:avLst/>
                      </a:prstGeom>
                      <a:noFill/>
                      <a:ln>
                        <a:noFill/>
                      </a:ln>
                    </wps:spPr>
                    <wps:txbx>
                      <w:txbxContent>
                        <w:p w14:paraId="717A5AF7">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wps:txbx>
                    <wps:bodyPr lIns="0" tIns="0" rIns="0" bIns="0" upright="1"/>
                  </wps:wsp>
                </a:graphicData>
              </a:graphic>
            </wp:anchor>
          </w:drawing>
        </mc:Choice>
        <mc:Fallback>
          <w:pict>
            <v:shape id="文本框 8" o:spid="_x0000_s1026" o:spt="202" type="#_x0000_t202" style="position:absolute;left:0pt;margin-left:81.2pt;margin-top:42.8pt;height:14.25pt;width:202.95pt;mso-position-horizontal-relative:page;mso-position-vertical-relative:page;z-index:-251656192;mso-width-relative:page;mso-height-relative:page;" filled="f" stroked="f" coordsize="21600,21600" o:gfxdata="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yosiLYAAAACgEAAA8AAAAAAAAAAQAgAAAAIgAAAGRycy9kb3ducmV2LnhtbFBL&#10;AQIUABQAAAAIAIdO4kAQzrNjvQEAAHQDAAAOAAAAAAAAAAEAIAAAACcBAABkcnMvZTJvRG9jLnht&#10;bFBLBQYAAAAABgAGAFkBAABWBQAAAAA=&#10;">
              <v:fill on="f" focussize="0,0"/>
              <v:stroke on="f"/>
              <v:imagedata o:title=""/>
              <o:lock v:ext="edit" aspectratio="f"/>
              <v:textbox inset="0mm,0mm,0mm,0mm">
                <w:txbxContent>
                  <w:p w14:paraId="717A5AF7">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v:textbox>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C9B44">
    <w:pPr>
      <w:pStyle w:val="12"/>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3138">
    <w:pPr>
      <w:pStyle w:val="12"/>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AC3C">
    <w:pPr>
      <w:pStyle w:val="12"/>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6E8B5">
    <w:pPr>
      <w:pStyle w:val="12"/>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A8084">
    <w:pPr>
      <w:pStyle w:val="12"/>
      <w:spacing w:line="14" w:lineRule="auto"/>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9F52">
    <w:pPr>
      <w:pStyle w:val="12"/>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4249">
    <w:pPr>
      <w:pStyle w:val="12"/>
      <w:spacing w:line="14" w:lineRule="auto"/>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6E70">
    <w:pPr>
      <w:pStyle w:val="12"/>
      <w:spacing w:line="14" w:lineRule="auto"/>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C8A84">
    <w:pPr>
      <w:pStyle w:val="12"/>
      <w:spacing w:line="14" w:lineRule="auto"/>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13EB">
    <w:pPr>
      <w:pStyle w:val="1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80CCC">
    <w:pPr>
      <w:pStyle w:val="12"/>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F9857">
    <w:pPr>
      <w:pStyle w:val="12"/>
      <w:spacing w:line="14" w:lineRule="auto"/>
      <w:rPr>
        <w:sz w:val="20"/>
      </w:rPr>
    </w:pPr>
    <w:r>
      <mc:AlternateContent>
        <mc:Choice Requires="wps">
          <w:drawing>
            <wp:anchor distT="0" distB="0" distL="114300" distR="114300" simplePos="0" relativeHeight="251691008" behindDoc="1" locked="0" layoutInCell="1" allowOverlap="1">
              <wp:simplePos x="0" y="0"/>
              <wp:positionH relativeFrom="page">
                <wp:posOffset>1025525</wp:posOffset>
              </wp:positionH>
              <wp:positionV relativeFrom="page">
                <wp:posOffset>737235</wp:posOffset>
              </wp:positionV>
              <wp:extent cx="5424805" cy="0"/>
              <wp:effectExtent l="0" t="0" r="0" b="0"/>
              <wp:wrapNone/>
              <wp:docPr id="239" name="直线 110"/>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10" o:spid="_x0000_s1026" o:spt="20" style="position:absolute;left:0pt;margin-left:80.75pt;margin-top:58.05pt;height:0pt;width:427.15pt;mso-position-horizontal-relative:page;mso-position-vertical-relative:page;z-index:-251625472;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63P&#10;xtYAAAAMAQAADwAAAAAAAAABACAAAAAiAAAAZHJzL2Rvd25yZXYueG1sUEsBAhQAFAAAAAgAh07i&#10;QD7pxvnrAQAA3wMAAA4AAAAAAAAAAQAgAAAAJQEAAGRycy9lMm9Eb2MueG1sUEsFBgAAAAAGAAYA&#10;WQEAAII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92032" behindDoc="1" locked="0" layoutInCell="1" allowOverlap="1">
              <wp:simplePos x="0" y="0"/>
              <wp:positionH relativeFrom="page">
                <wp:posOffset>5021580</wp:posOffset>
              </wp:positionH>
              <wp:positionV relativeFrom="page">
                <wp:posOffset>548005</wp:posOffset>
              </wp:positionV>
              <wp:extent cx="1424940" cy="165735"/>
              <wp:effectExtent l="0" t="0" r="0" b="0"/>
              <wp:wrapNone/>
              <wp:docPr id="240" name="文本框 111"/>
              <wp:cNvGraphicFramePr/>
              <a:graphic xmlns:a="http://schemas.openxmlformats.org/drawingml/2006/main">
                <a:graphicData uri="http://schemas.microsoft.com/office/word/2010/wordprocessingShape">
                  <wps:wsp>
                    <wps:cNvSpPr txBox="1"/>
                    <wps:spPr>
                      <a:xfrm>
                        <a:off x="0" y="0"/>
                        <a:ext cx="1424940" cy="165735"/>
                      </a:xfrm>
                      <a:prstGeom prst="rect">
                        <a:avLst/>
                      </a:prstGeom>
                      <a:noFill/>
                      <a:ln>
                        <a:noFill/>
                      </a:ln>
                    </wps:spPr>
                    <wps:txbx>
                      <w:txbxContent>
                        <w:p w14:paraId="52BCE34B">
                          <w:pPr>
                            <w:tabs>
                              <w:tab w:val="left" w:pos="900"/>
                            </w:tabs>
                            <w:spacing w:before="0" w:line="261" w:lineRule="exact"/>
                            <w:ind w:left="20" w:right="0" w:firstLine="0"/>
                            <w:jc w:val="left"/>
                            <w:rPr>
                              <w:rFonts w:hint="eastAsia" w:ascii="黑体" w:eastAsia="黑体"/>
                              <w:sz w:val="22"/>
                            </w:rPr>
                          </w:pPr>
                          <w:r>
                            <w:rPr>
                              <w:rFonts w:hint="eastAsia" w:ascii="黑体" w:eastAsia="黑体"/>
                              <w:sz w:val="22"/>
                            </w:rPr>
                            <w:t>第九章</w:t>
                          </w:r>
                          <w:r>
                            <w:rPr>
                              <w:rFonts w:hint="eastAsia" w:ascii="黑体" w:eastAsia="黑体"/>
                              <w:sz w:val="22"/>
                            </w:rPr>
                            <w:tab/>
                          </w:r>
                          <w:r>
                            <w:rPr>
                              <w:rFonts w:hint="eastAsia" w:ascii="黑体" w:eastAsia="黑体"/>
                              <w:sz w:val="22"/>
                            </w:rPr>
                            <w:t>投标</w:t>
                          </w:r>
                          <w:r>
                            <w:rPr>
                              <w:rFonts w:hint="eastAsia" w:ascii="黑体" w:eastAsia="黑体"/>
                              <w:spacing w:val="-3"/>
                              <w:sz w:val="22"/>
                            </w:rPr>
                            <w:t>文</w:t>
                          </w:r>
                          <w:r>
                            <w:rPr>
                              <w:rFonts w:hint="eastAsia" w:ascii="黑体" w:eastAsia="黑体"/>
                              <w:sz w:val="22"/>
                            </w:rPr>
                            <w:t>件格式</w:t>
                          </w:r>
                        </w:p>
                      </w:txbxContent>
                    </wps:txbx>
                    <wps:bodyPr lIns="0" tIns="0" rIns="0" bIns="0" upright="1"/>
                  </wps:wsp>
                </a:graphicData>
              </a:graphic>
            </wp:anchor>
          </w:drawing>
        </mc:Choice>
        <mc:Fallback>
          <w:pict>
            <v:shape id="文本框 111" o:spid="_x0000_s1026" o:spt="202" type="#_x0000_t202" style="position:absolute;left:0pt;margin-left:395.4pt;margin-top:43.15pt;height:13.05pt;width:112.2pt;mso-position-horizontal-relative:page;mso-position-vertical-relative:page;z-index:-251624448;mso-width-relative:page;mso-height-relative:page;" filled="f" stroked="f" coordsize="21600,21600" o:gfxdata="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Zx8R22gAAAAsBAAAPAAAAAAAAAAEAIAAAACIAAABkcnMvZG93bnJldi54bWxQ&#10;SwECFAAUAAAACACHTuJAE+XrB7wBAAB2AwAADgAAAAAAAAABACAAAAApAQAAZHJzL2Uyb0RvYy54&#10;bWxQSwUGAAAAAAYABgBZAQAAVwUAAAAA&#10;">
              <v:fill on="f" focussize="0,0"/>
              <v:stroke on="f"/>
              <v:imagedata o:title=""/>
              <o:lock v:ext="edit" aspectratio="f"/>
              <v:textbox inset="0mm,0mm,0mm,0mm">
                <w:txbxContent>
                  <w:p w14:paraId="52BCE34B">
                    <w:pPr>
                      <w:tabs>
                        <w:tab w:val="left" w:pos="900"/>
                      </w:tabs>
                      <w:spacing w:before="0" w:line="261" w:lineRule="exact"/>
                      <w:ind w:left="20" w:right="0" w:firstLine="0"/>
                      <w:jc w:val="left"/>
                      <w:rPr>
                        <w:rFonts w:hint="eastAsia" w:ascii="黑体" w:eastAsia="黑体"/>
                        <w:sz w:val="22"/>
                      </w:rPr>
                    </w:pPr>
                    <w:r>
                      <w:rPr>
                        <w:rFonts w:hint="eastAsia" w:ascii="黑体" w:eastAsia="黑体"/>
                        <w:sz w:val="22"/>
                      </w:rPr>
                      <w:t>第九章</w:t>
                    </w:r>
                    <w:r>
                      <w:rPr>
                        <w:rFonts w:hint="eastAsia" w:ascii="黑体" w:eastAsia="黑体"/>
                        <w:sz w:val="22"/>
                      </w:rPr>
                      <w:tab/>
                    </w:r>
                    <w:r>
                      <w:rPr>
                        <w:rFonts w:hint="eastAsia" w:ascii="黑体" w:eastAsia="黑体"/>
                        <w:sz w:val="22"/>
                      </w:rPr>
                      <w:t>投标</w:t>
                    </w:r>
                    <w:r>
                      <w:rPr>
                        <w:rFonts w:hint="eastAsia" w:ascii="黑体" w:eastAsia="黑体"/>
                        <w:spacing w:val="-3"/>
                        <w:sz w:val="22"/>
                      </w:rPr>
                      <w:t>文</w:t>
                    </w:r>
                    <w:r>
                      <w:rPr>
                        <w:rFonts w:hint="eastAsia" w:ascii="黑体" w:eastAsia="黑体"/>
                        <w:sz w:val="22"/>
                      </w:rPr>
                      <w:t>件格式</w:t>
                    </w:r>
                  </w:p>
                </w:txbxContent>
              </v:textbox>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2D781">
    <w:pPr>
      <w:pStyle w:val="12"/>
      <w:spacing w:line="14" w:lineRule="auto"/>
      <w:rPr>
        <w:sz w:val="20"/>
      </w:rPr>
    </w:pPr>
    <w:r>
      <mc:AlternateContent>
        <mc:Choice Requires="wps">
          <w:drawing>
            <wp:anchor distT="0" distB="0" distL="114300" distR="114300" simplePos="0" relativeHeight="251688960" behindDoc="1" locked="0" layoutInCell="1" allowOverlap="1">
              <wp:simplePos x="0" y="0"/>
              <wp:positionH relativeFrom="page">
                <wp:posOffset>1025525</wp:posOffset>
              </wp:positionH>
              <wp:positionV relativeFrom="page">
                <wp:posOffset>737235</wp:posOffset>
              </wp:positionV>
              <wp:extent cx="5424805" cy="0"/>
              <wp:effectExtent l="0" t="0" r="0" b="0"/>
              <wp:wrapNone/>
              <wp:docPr id="237" name="直线 108"/>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08" o:spid="_x0000_s1026" o:spt="20" style="position:absolute;left:0pt;margin-left:80.75pt;margin-top:58.05pt;height:0pt;width:427.15pt;mso-position-horizontal-relative:page;mso-position-vertical-relative:page;z-index:-251627520;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j&#10;rc/G1gAAAAwBAAAPAAAAAAAAAAEAIAAAACIAAABkcnMvZG93bnJldi54bWxQSwECFAAUAAAACACH&#10;TuJAwMrDeO0BAADfAwAADgAAAAAAAAABACAAAAAlAQAAZHJzL2Uyb0RvYy54bWxQSwUGAAAAAAYA&#10;BgBZAQAAhA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89984" behindDoc="1" locked="0" layoutInCell="1" allowOverlap="1">
              <wp:simplePos x="0" y="0"/>
              <wp:positionH relativeFrom="page">
                <wp:posOffset>1031240</wp:posOffset>
              </wp:positionH>
              <wp:positionV relativeFrom="page">
                <wp:posOffset>543560</wp:posOffset>
              </wp:positionV>
              <wp:extent cx="2577465" cy="180975"/>
              <wp:effectExtent l="0" t="0" r="0" b="0"/>
              <wp:wrapNone/>
              <wp:docPr id="238" name="文本框 109"/>
              <wp:cNvGraphicFramePr/>
              <a:graphic xmlns:a="http://schemas.openxmlformats.org/drawingml/2006/main">
                <a:graphicData uri="http://schemas.microsoft.com/office/word/2010/wordprocessingShape">
                  <wps:wsp>
                    <wps:cNvSpPr txBox="1"/>
                    <wps:spPr>
                      <a:xfrm>
                        <a:off x="0" y="0"/>
                        <a:ext cx="2577465" cy="180975"/>
                      </a:xfrm>
                      <a:prstGeom prst="rect">
                        <a:avLst/>
                      </a:prstGeom>
                      <a:noFill/>
                      <a:ln>
                        <a:noFill/>
                      </a:ln>
                    </wps:spPr>
                    <wps:txbx>
                      <w:txbxContent>
                        <w:p w14:paraId="04AA6E30">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wps:txbx>
                    <wps:bodyPr lIns="0" tIns="0" rIns="0" bIns="0" upright="1"/>
                  </wps:wsp>
                </a:graphicData>
              </a:graphic>
            </wp:anchor>
          </w:drawing>
        </mc:Choice>
        <mc:Fallback>
          <w:pict>
            <v:shape id="文本框 109" o:spid="_x0000_s1026" o:spt="202" type="#_x0000_t202" style="position:absolute;left:0pt;margin-left:81.2pt;margin-top:42.8pt;height:14.25pt;width:202.95pt;mso-position-horizontal-relative:page;mso-position-vertical-relative:page;z-index:-251626496;mso-width-relative:page;mso-height-relative:page;" filled="f" stroked="f" coordsize="21600,21600" o:gfxdata="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yosiLYAAAACgEAAA8AAAAAAAAAAQAgAAAAIgAAAGRycy9kb3ducmV2Lnht&#10;bFBLAQIUABQAAAAIAIdO4kBaA+cnwAEAAHYDAAAOAAAAAAAAAAEAIAAAACcBAABkcnMvZTJvRG9j&#10;LnhtbFBLBQYAAAAABgAGAFkBAABZBQAAAAA=&#10;">
              <v:fill on="f" focussize="0,0"/>
              <v:stroke on="f"/>
              <v:imagedata o:title=""/>
              <o:lock v:ext="edit" aspectratio="f"/>
              <v:textbox inset="0mm,0mm,0mm,0mm">
                <w:txbxContent>
                  <w:p w14:paraId="04AA6E30">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v:textbox>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42B5">
    <w:pPr>
      <w:pStyle w:val="12"/>
      <w:spacing w:line="14" w:lineRule="auto"/>
      <w:rPr>
        <w:sz w:val="20"/>
      </w:rPr>
    </w:pPr>
    <w:r>
      <mc:AlternateContent>
        <mc:Choice Requires="wps">
          <w:drawing>
            <wp:anchor distT="0" distB="0" distL="114300" distR="114300" simplePos="0" relativeHeight="251695104" behindDoc="1" locked="0" layoutInCell="1" allowOverlap="1">
              <wp:simplePos x="0" y="0"/>
              <wp:positionH relativeFrom="page">
                <wp:posOffset>1025525</wp:posOffset>
              </wp:positionH>
              <wp:positionV relativeFrom="page">
                <wp:posOffset>737235</wp:posOffset>
              </wp:positionV>
              <wp:extent cx="5424805" cy="0"/>
              <wp:effectExtent l="0" t="0" r="0" b="0"/>
              <wp:wrapNone/>
              <wp:docPr id="254" name="直线 125"/>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80.75pt;margin-top:58.05pt;height:0pt;width:427.15pt;mso-position-horizontal-relative:page;mso-position-vertical-relative:page;z-index:-251621376;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Ot&#10;z8bWAAAADAEAAA8AAAAAAAAAAQAgAAAAIgAAAGRycy9kb3ducmV2LnhtbFBLAQIUABQAAAAIAIdO&#10;4kDSEvQR7AEAAN8DAAAOAAAAAAAAAAEAIAAAACU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96128" behindDoc="1" locked="0" layoutInCell="1" allowOverlap="1">
              <wp:simplePos x="0" y="0"/>
              <wp:positionH relativeFrom="page">
                <wp:posOffset>5021580</wp:posOffset>
              </wp:positionH>
              <wp:positionV relativeFrom="page">
                <wp:posOffset>548005</wp:posOffset>
              </wp:positionV>
              <wp:extent cx="1424940" cy="165735"/>
              <wp:effectExtent l="0" t="0" r="0" b="0"/>
              <wp:wrapNone/>
              <wp:docPr id="255" name="文本框 126"/>
              <wp:cNvGraphicFramePr/>
              <a:graphic xmlns:a="http://schemas.openxmlformats.org/drawingml/2006/main">
                <a:graphicData uri="http://schemas.microsoft.com/office/word/2010/wordprocessingShape">
                  <wps:wsp>
                    <wps:cNvSpPr txBox="1"/>
                    <wps:spPr>
                      <a:xfrm>
                        <a:off x="0" y="0"/>
                        <a:ext cx="1424940" cy="165735"/>
                      </a:xfrm>
                      <a:prstGeom prst="rect">
                        <a:avLst/>
                      </a:prstGeom>
                      <a:noFill/>
                      <a:ln>
                        <a:noFill/>
                      </a:ln>
                    </wps:spPr>
                    <wps:txbx>
                      <w:txbxContent>
                        <w:p w14:paraId="18B9EE8D">
                          <w:pPr>
                            <w:tabs>
                              <w:tab w:val="left" w:pos="900"/>
                            </w:tabs>
                            <w:spacing w:before="0" w:line="261" w:lineRule="exact"/>
                            <w:ind w:left="20" w:right="0" w:firstLine="0"/>
                            <w:jc w:val="left"/>
                            <w:rPr>
                              <w:rFonts w:hint="eastAsia" w:ascii="黑体" w:eastAsia="黑体"/>
                              <w:sz w:val="22"/>
                            </w:rPr>
                          </w:pPr>
                          <w:r>
                            <w:rPr>
                              <w:rFonts w:hint="eastAsia" w:ascii="黑体" w:eastAsia="黑体"/>
                              <w:sz w:val="22"/>
                            </w:rPr>
                            <w:t>第九章</w:t>
                          </w:r>
                          <w:r>
                            <w:rPr>
                              <w:rFonts w:hint="eastAsia" w:ascii="黑体" w:eastAsia="黑体"/>
                              <w:sz w:val="22"/>
                            </w:rPr>
                            <w:tab/>
                          </w:r>
                          <w:r>
                            <w:rPr>
                              <w:rFonts w:hint="eastAsia" w:ascii="黑体" w:eastAsia="黑体"/>
                              <w:sz w:val="22"/>
                            </w:rPr>
                            <w:t>投标</w:t>
                          </w:r>
                          <w:r>
                            <w:rPr>
                              <w:rFonts w:hint="eastAsia" w:ascii="黑体" w:eastAsia="黑体"/>
                              <w:spacing w:val="-3"/>
                              <w:sz w:val="22"/>
                            </w:rPr>
                            <w:t>文</w:t>
                          </w:r>
                          <w:r>
                            <w:rPr>
                              <w:rFonts w:hint="eastAsia" w:ascii="黑体" w:eastAsia="黑体"/>
                              <w:sz w:val="22"/>
                            </w:rPr>
                            <w:t>件格式</w:t>
                          </w:r>
                        </w:p>
                      </w:txbxContent>
                    </wps:txbx>
                    <wps:bodyPr lIns="0" tIns="0" rIns="0" bIns="0" upright="1"/>
                  </wps:wsp>
                </a:graphicData>
              </a:graphic>
            </wp:anchor>
          </w:drawing>
        </mc:Choice>
        <mc:Fallback>
          <w:pict>
            <v:shape id="文本框 126" o:spid="_x0000_s1026" o:spt="202" type="#_x0000_t202" style="position:absolute;left:0pt;margin-left:395.4pt;margin-top:43.15pt;height:13.05pt;width:112.2pt;mso-position-horizontal-relative:page;mso-position-vertical-relative:page;z-index:-251620352;mso-width-relative:page;mso-height-relative:page;" filled="f" stroked="f" coordsize="21600,21600" o:gfxdata="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nHxHbaAAAACwEAAA8AAAAAAAAAAQAgAAAAIgAAAGRycy9kb3ducmV2Lnht&#10;bFBLAQIUABQAAAAIAIdO4kA6BWIEvgEAAHYDAAAOAAAAAAAAAAEAIAAAACkBAABkcnMvZTJvRG9j&#10;LnhtbFBLBQYAAAAABgAGAFkBAABZBQAAAAA=&#10;">
              <v:fill on="f" focussize="0,0"/>
              <v:stroke on="f"/>
              <v:imagedata o:title=""/>
              <o:lock v:ext="edit" aspectratio="f"/>
              <v:textbox inset="0mm,0mm,0mm,0mm">
                <w:txbxContent>
                  <w:p w14:paraId="18B9EE8D">
                    <w:pPr>
                      <w:tabs>
                        <w:tab w:val="left" w:pos="900"/>
                      </w:tabs>
                      <w:spacing w:before="0" w:line="261" w:lineRule="exact"/>
                      <w:ind w:left="20" w:right="0" w:firstLine="0"/>
                      <w:jc w:val="left"/>
                      <w:rPr>
                        <w:rFonts w:hint="eastAsia" w:ascii="黑体" w:eastAsia="黑体"/>
                        <w:sz w:val="22"/>
                      </w:rPr>
                    </w:pPr>
                    <w:r>
                      <w:rPr>
                        <w:rFonts w:hint="eastAsia" w:ascii="黑体" w:eastAsia="黑体"/>
                        <w:sz w:val="22"/>
                      </w:rPr>
                      <w:t>第九章</w:t>
                    </w:r>
                    <w:r>
                      <w:rPr>
                        <w:rFonts w:hint="eastAsia" w:ascii="黑体" w:eastAsia="黑体"/>
                        <w:sz w:val="22"/>
                      </w:rPr>
                      <w:tab/>
                    </w:r>
                    <w:r>
                      <w:rPr>
                        <w:rFonts w:hint="eastAsia" w:ascii="黑体" w:eastAsia="黑体"/>
                        <w:sz w:val="22"/>
                      </w:rPr>
                      <w:t>投标</w:t>
                    </w:r>
                    <w:r>
                      <w:rPr>
                        <w:rFonts w:hint="eastAsia" w:ascii="黑体" w:eastAsia="黑体"/>
                        <w:spacing w:val="-3"/>
                        <w:sz w:val="22"/>
                      </w:rPr>
                      <w:t>文</w:t>
                    </w:r>
                    <w:r>
                      <w:rPr>
                        <w:rFonts w:hint="eastAsia" w:ascii="黑体" w:eastAsia="黑体"/>
                        <w:sz w:val="22"/>
                      </w:rPr>
                      <w:t>件格式</w:t>
                    </w:r>
                  </w:p>
                </w:txbxContent>
              </v:textbox>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48271">
    <w:pPr>
      <w:pStyle w:val="12"/>
      <w:spacing w:line="14" w:lineRule="auto"/>
      <w:rPr>
        <w:sz w:val="20"/>
      </w:rPr>
    </w:pPr>
    <w:r>
      <mc:AlternateContent>
        <mc:Choice Requires="wps">
          <w:drawing>
            <wp:anchor distT="0" distB="0" distL="114300" distR="114300" simplePos="0" relativeHeight="251693056" behindDoc="1" locked="0" layoutInCell="1" allowOverlap="1">
              <wp:simplePos x="0" y="0"/>
              <wp:positionH relativeFrom="page">
                <wp:posOffset>1025525</wp:posOffset>
              </wp:positionH>
              <wp:positionV relativeFrom="page">
                <wp:posOffset>737235</wp:posOffset>
              </wp:positionV>
              <wp:extent cx="5424805" cy="0"/>
              <wp:effectExtent l="0" t="0" r="0" b="0"/>
              <wp:wrapNone/>
              <wp:docPr id="252" name="直线 123"/>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23" o:spid="_x0000_s1026" o:spt="20" style="position:absolute;left:0pt;margin-left:80.75pt;margin-top:58.05pt;height:0pt;width:427.15pt;mso-position-horizontal-relative:page;mso-position-vertical-relative:page;z-index:-251623424;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Ot&#10;z8bWAAAADAEAAA8AAAAAAAAAAQAgAAAAIgAAAGRycy9kb3ducmV2LnhtbFBLAQIUABQAAAAIAIdO&#10;4kBkvX6u7AEAAN8DAAAOAAAAAAAAAAEAIAAAACU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94080" behindDoc="1" locked="0" layoutInCell="1" allowOverlap="1">
              <wp:simplePos x="0" y="0"/>
              <wp:positionH relativeFrom="page">
                <wp:posOffset>1031240</wp:posOffset>
              </wp:positionH>
              <wp:positionV relativeFrom="page">
                <wp:posOffset>543560</wp:posOffset>
              </wp:positionV>
              <wp:extent cx="2577465" cy="180975"/>
              <wp:effectExtent l="0" t="0" r="0" b="0"/>
              <wp:wrapNone/>
              <wp:docPr id="253" name="文本框 124"/>
              <wp:cNvGraphicFramePr/>
              <a:graphic xmlns:a="http://schemas.openxmlformats.org/drawingml/2006/main">
                <a:graphicData uri="http://schemas.microsoft.com/office/word/2010/wordprocessingShape">
                  <wps:wsp>
                    <wps:cNvSpPr txBox="1"/>
                    <wps:spPr>
                      <a:xfrm>
                        <a:off x="0" y="0"/>
                        <a:ext cx="2577465" cy="180975"/>
                      </a:xfrm>
                      <a:prstGeom prst="rect">
                        <a:avLst/>
                      </a:prstGeom>
                      <a:noFill/>
                      <a:ln>
                        <a:noFill/>
                      </a:ln>
                    </wps:spPr>
                    <wps:txbx>
                      <w:txbxContent>
                        <w:p w14:paraId="7744FD9F">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wps:txbx>
                    <wps:bodyPr lIns="0" tIns="0" rIns="0" bIns="0" upright="1"/>
                  </wps:wsp>
                </a:graphicData>
              </a:graphic>
            </wp:anchor>
          </w:drawing>
        </mc:Choice>
        <mc:Fallback>
          <w:pict>
            <v:shape id="文本框 124" o:spid="_x0000_s1026" o:spt="202" type="#_x0000_t202" style="position:absolute;left:0pt;margin-left:81.2pt;margin-top:42.8pt;height:14.25pt;width:202.95pt;mso-position-horizontal-relative:page;mso-position-vertical-relative:page;z-index:-251622400;mso-width-relative:page;mso-height-relative:page;" filled="f" stroked="f" coordsize="21600,21600" o:gfxdata="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KiyItgAAAAKAQAADwAAAAAAAAABACAAAAAiAAAAZHJzL2Rvd25yZXYueG1s&#10;UEsBAhQAFAAAAAgAh07iQAK/4qS/AQAAdgMAAA4AAAAAAAAAAQAgAAAAJwEAAGRycy9lMm9Eb2Mu&#10;eG1sUEsFBgAAAAAGAAYAWQEAAFgFAAAAAA==&#10;">
              <v:fill on="f" focussize="0,0"/>
              <v:stroke on="f"/>
              <v:imagedata o:title=""/>
              <o:lock v:ext="edit" aspectratio="f"/>
              <v:textbox inset="0mm,0mm,0mm,0mm">
                <w:txbxContent>
                  <w:p w14:paraId="7744FD9F">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v:textbox>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98CC">
    <w:pPr>
      <w:pStyle w:val="12"/>
      <w:spacing w:line="14" w:lineRule="auto"/>
      <w:rPr>
        <w:sz w:val="20"/>
      </w:rPr>
    </w:pPr>
    <w:r>
      <mc:AlternateContent>
        <mc:Choice Requires="wps">
          <w:drawing>
            <wp:anchor distT="0" distB="0" distL="114300" distR="114300" simplePos="0" relativeHeight="251699200" behindDoc="1" locked="0" layoutInCell="1" allowOverlap="1">
              <wp:simplePos x="0" y="0"/>
              <wp:positionH relativeFrom="page">
                <wp:posOffset>1025525</wp:posOffset>
              </wp:positionH>
              <wp:positionV relativeFrom="page">
                <wp:posOffset>737235</wp:posOffset>
              </wp:positionV>
              <wp:extent cx="5424805" cy="0"/>
              <wp:effectExtent l="0" t="0" r="0" b="0"/>
              <wp:wrapNone/>
              <wp:docPr id="271" name="直线 142"/>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42" o:spid="_x0000_s1026" o:spt="20" style="position:absolute;left:0pt;margin-left:80.75pt;margin-top:58.05pt;height:0pt;width:427.15pt;mso-position-horizontal-relative:page;mso-position-vertical-relative:page;z-index:-251617280;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Ot&#10;z8bWAAAADAEAAA8AAAAAAAAAAQAgAAAAIgAAAGRycy9kb3ducmV2LnhtbFBLAQIUABQAAAAIAIdO&#10;4kClfmDQ7AEAAN8DAAAOAAAAAAAAAAEAIAAAACU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700224" behindDoc="1" locked="0" layoutInCell="1" allowOverlap="1">
              <wp:simplePos x="0" y="0"/>
              <wp:positionH relativeFrom="page">
                <wp:posOffset>5021580</wp:posOffset>
              </wp:positionH>
              <wp:positionV relativeFrom="page">
                <wp:posOffset>548005</wp:posOffset>
              </wp:positionV>
              <wp:extent cx="1424940" cy="165735"/>
              <wp:effectExtent l="0" t="0" r="0" b="0"/>
              <wp:wrapNone/>
              <wp:docPr id="272" name="文本框 143"/>
              <wp:cNvGraphicFramePr/>
              <a:graphic xmlns:a="http://schemas.openxmlformats.org/drawingml/2006/main">
                <a:graphicData uri="http://schemas.microsoft.com/office/word/2010/wordprocessingShape">
                  <wps:wsp>
                    <wps:cNvSpPr txBox="1"/>
                    <wps:spPr>
                      <a:xfrm>
                        <a:off x="0" y="0"/>
                        <a:ext cx="1424940" cy="165735"/>
                      </a:xfrm>
                      <a:prstGeom prst="rect">
                        <a:avLst/>
                      </a:prstGeom>
                      <a:noFill/>
                      <a:ln>
                        <a:noFill/>
                      </a:ln>
                    </wps:spPr>
                    <wps:txbx>
                      <w:txbxContent>
                        <w:p w14:paraId="33BA79BD">
                          <w:pPr>
                            <w:tabs>
                              <w:tab w:val="left" w:pos="900"/>
                            </w:tabs>
                            <w:spacing w:before="0" w:line="261" w:lineRule="exact"/>
                            <w:ind w:left="20" w:right="0" w:firstLine="0"/>
                            <w:jc w:val="left"/>
                            <w:rPr>
                              <w:rFonts w:hint="eastAsia" w:ascii="黑体" w:eastAsia="黑体"/>
                              <w:sz w:val="22"/>
                            </w:rPr>
                          </w:pPr>
                          <w:r>
                            <w:rPr>
                              <w:rFonts w:hint="eastAsia" w:ascii="黑体" w:eastAsia="黑体"/>
                              <w:sz w:val="22"/>
                            </w:rPr>
                            <w:t>第九章</w:t>
                          </w:r>
                          <w:r>
                            <w:rPr>
                              <w:rFonts w:hint="eastAsia" w:ascii="黑体" w:eastAsia="黑体"/>
                              <w:sz w:val="22"/>
                            </w:rPr>
                            <w:tab/>
                          </w:r>
                          <w:r>
                            <w:rPr>
                              <w:rFonts w:hint="eastAsia" w:ascii="黑体" w:eastAsia="黑体"/>
                              <w:sz w:val="22"/>
                            </w:rPr>
                            <w:t>投标</w:t>
                          </w:r>
                          <w:r>
                            <w:rPr>
                              <w:rFonts w:hint="eastAsia" w:ascii="黑体" w:eastAsia="黑体"/>
                              <w:spacing w:val="-3"/>
                              <w:sz w:val="22"/>
                            </w:rPr>
                            <w:t>文</w:t>
                          </w:r>
                          <w:r>
                            <w:rPr>
                              <w:rFonts w:hint="eastAsia" w:ascii="黑体" w:eastAsia="黑体"/>
                              <w:sz w:val="22"/>
                            </w:rPr>
                            <w:t>件格式</w:t>
                          </w:r>
                        </w:p>
                      </w:txbxContent>
                    </wps:txbx>
                    <wps:bodyPr lIns="0" tIns="0" rIns="0" bIns="0" upright="1"/>
                  </wps:wsp>
                </a:graphicData>
              </a:graphic>
            </wp:anchor>
          </w:drawing>
        </mc:Choice>
        <mc:Fallback>
          <w:pict>
            <v:shape id="文本框 143" o:spid="_x0000_s1026" o:spt="202" type="#_x0000_t202" style="position:absolute;left:0pt;margin-left:395.4pt;margin-top:43.15pt;height:13.05pt;width:112.2pt;mso-position-horizontal-relative:page;mso-position-vertical-relative:page;z-index:-251616256;mso-width-relative:page;mso-height-relative:page;" filled="f" stroked="f" coordsize="21600,21600" o:gfxdata="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Zx8R22gAAAAsBAAAPAAAAAAAAAAEAIAAAACIAAABkcnMvZG93bnJldi54&#10;bWxQSwECFAAUAAAACACHTuJAmQa3IL8BAAB2AwAADgAAAAAAAAABACAAAAApAQAAZHJzL2Uyb0Rv&#10;Yy54bWxQSwUGAAAAAAYABgBZAQAAWgUAAAAA&#10;">
              <v:fill on="f" focussize="0,0"/>
              <v:stroke on="f"/>
              <v:imagedata o:title=""/>
              <o:lock v:ext="edit" aspectratio="f"/>
              <v:textbox inset="0mm,0mm,0mm,0mm">
                <w:txbxContent>
                  <w:p w14:paraId="33BA79BD">
                    <w:pPr>
                      <w:tabs>
                        <w:tab w:val="left" w:pos="900"/>
                      </w:tabs>
                      <w:spacing w:before="0" w:line="261" w:lineRule="exact"/>
                      <w:ind w:left="20" w:right="0" w:firstLine="0"/>
                      <w:jc w:val="left"/>
                      <w:rPr>
                        <w:rFonts w:hint="eastAsia" w:ascii="黑体" w:eastAsia="黑体"/>
                        <w:sz w:val="22"/>
                      </w:rPr>
                    </w:pPr>
                    <w:r>
                      <w:rPr>
                        <w:rFonts w:hint="eastAsia" w:ascii="黑体" w:eastAsia="黑体"/>
                        <w:sz w:val="22"/>
                      </w:rPr>
                      <w:t>第九章</w:t>
                    </w:r>
                    <w:r>
                      <w:rPr>
                        <w:rFonts w:hint="eastAsia" w:ascii="黑体" w:eastAsia="黑体"/>
                        <w:sz w:val="22"/>
                      </w:rPr>
                      <w:tab/>
                    </w:r>
                    <w:r>
                      <w:rPr>
                        <w:rFonts w:hint="eastAsia" w:ascii="黑体" w:eastAsia="黑体"/>
                        <w:sz w:val="22"/>
                      </w:rPr>
                      <w:t>投标</w:t>
                    </w:r>
                    <w:r>
                      <w:rPr>
                        <w:rFonts w:hint="eastAsia" w:ascii="黑体" w:eastAsia="黑体"/>
                        <w:spacing w:val="-3"/>
                        <w:sz w:val="22"/>
                      </w:rPr>
                      <w:t>文</w:t>
                    </w:r>
                    <w:r>
                      <w:rPr>
                        <w:rFonts w:hint="eastAsia" w:ascii="黑体" w:eastAsia="黑体"/>
                        <w:sz w:val="22"/>
                      </w:rPr>
                      <w:t>件格式</w:t>
                    </w:r>
                  </w:p>
                </w:txbxContent>
              </v:textbox>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DF22">
    <w:pPr>
      <w:pStyle w:val="12"/>
      <w:spacing w:line="14" w:lineRule="auto"/>
      <w:rPr>
        <w:sz w:val="20"/>
      </w:rPr>
    </w:pPr>
    <w:r>
      <mc:AlternateContent>
        <mc:Choice Requires="wps">
          <w:drawing>
            <wp:anchor distT="0" distB="0" distL="114300" distR="114300" simplePos="0" relativeHeight="251697152" behindDoc="1" locked="0" layoutInCell="1" allowOverlap="1">
              <wp:simplePos x="0" y="0"/>
              <wp:positionH relativeFrom="page">
                <wp:posOffset>1025525</wp:posOffset>
              </wp:positionH>
              <wp:positionV relativeFrom="page">
                <wp:posOffset>737235</wp:posOffset>
              </wp:positionV>
              <wp:extent cx="5424805" cy="0"/>
              <wp:effectExtent l="0" t="0" r="0" b="0"/>
              <wp:wrapNone/>
              <wp:docPr id="269" name="直线 140"/>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40" o:spid="_x0000_s1026" o:spt="20" style="position:absolute;left:0pt;margin-left:80.75pt;margin-top:58.05pt;height:0pt;width:427.15pt;mso-position-horizontal-relative:page;mso-position-vertical-relative:page;z-index:-251619328;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63P&#10;xtYAAAAMAQAADwAAAAAAAAABACAAAAAiAAAAZHJzL2Rvd25yZXYueG1sUEsBAhQAFAAAAAgAh07i&#10;QCO7JcrrAQAA3wMAAA4AAAAAAAAAAQAgAAAAJQEAAGRycy9lMm9Eb2MueG1sUEsFBgAAAAAGAAYA&#10;WQEAAIIFA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98176" behindDoc="1" locked="0" layoutInCell="1" allowOverlap="1">
              <wp:simplePos x="0" y="0"/>
              <wp:positionH relativeFrom="page">
                <wp:posOffset>1031240</wp:posOffset>
              </wp:positionH>
              <wp:positionV relativeFrom="page">
                <wp:posOffset>543560</wp:posOffset>
              </wp:positionV>
              <wp:extent cx="2577465" cy="180975"/>
              <wp:effectExtent l="0" t="0" r="0" b="0"/>
              <wp:wrapNone/>
              <wp:docPr id="270" name="文本框 141"/>
              <wp:cNvGraphicFramePr/>
              <a:graphic xmlns:a="http://schemas.openxmlformats.org/drawingml/2006/main">
                <a:graphicData uri="http://schemas.microsoft.com/office/word/2010/wordprocessingShape">
                  <wps:wsp>
                    <wps:cNvSpPr txBox="1"/>
                    <wps:spPr>
                      <a:xfrm>
                        <a:off x="0" y="0"/>
                        <a:ext cx="2577465" cy="180975"/>
                      </a:xfrm>
                      <a:prstGeom prst="rect">
                        <a:avLst/>
                      </a:prstGeom>
                      <a:noFill/>
                      <a:ln>
                        <a:noFill/>
                      </a:ln>
                    </wps:spPr>
                    <wps:txbx>
                      <w:txbxContent>
                        <w:p w14:paraId="335DFA27">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wps:txbx>
                    <wps:bodyPr lIns="0" tIns="0" rIns="0" bIns="0" upright="1"/>
                  </wps:wsp>
                </a:graphicData>
              </a:graphic>
            </wp:anchor>
          </w:drawing>
        </mc:Choice>
        <mc:Fallback>
          <w:pict>
            <v:shape id="文本框 141" o:spid="_x0000_s1026" o:spt="202" type="#_x0000_t202" style="position:absolute;left:0pt;margin-left:81.2pt;margin-top:42.8pt;height:14.25pt;width:202.95pt;mso-position-horizontal-relative:page;mso-position-vertical-relative:page;z-index:-251618304;mso-width-relative:page;mso-height-relative:page;" filled="f" stroked="f" coordsize="21600,21600" o:gfxdata="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KiyItgAAAAKAQAADwAAAAAAAAABACAAAAAiAAAAZHJzL2Rvd25yZXYueG1s&#10;UEsBAhQAFAAAAAgAh07iQO/NMre/AQAAdgMAAA4AAAAAAAAAAQAgAAAAJwEAAGRycy9lMm9Eb2Mu&#10;eG1sUEsFBgAAAAAGAAYAWQEAAFgFAAAAAA==&#10;">
              <v:fill on="f" focussize="0,0"/>
              <v:stroke on="f"/>
              <v:imagedata o:title=""/>
              <o:lock v:ext="edit" aspectratio="f"/>
              <v:textbox inset="0mm,0mm,0mm,0mm">
                <w:txbxContent>
                  <w:p w14:paraId="335DFA27">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v:textbox>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0CB0">
    <w:pPr>
      <w:pStyle w:val="12"/>
      <w:spacing w:line="14" w:lineRule="auto"/>
      <w:rPr>
        <w:sz w:val="20"/>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7C0C7">
    <w:pPr>
      <w:pStyle w:val="12"/>
      <w:spacing w:line="14" w:lineRule="auto"/>
      <w:rPr>
        <w:sz w:val="20"/>
      </w:rPr>
    </w:pPr>
    <w:r>
      <mc:AlternateContent>
        <mc:Choice Requires="wps">
          <w:drawing>
            <wp:anchor distT="0" distB="0" distL="114300" distR="114300" simplePos="0" relativeHeight="251703296" behindDoc="1" locked="0" layoutInCell="1" allowOverlap="1">
              <wp:simplePos x="0" y="0"/>
              <wp:positionH relativeFrom="page">
                <wp:posOffset>1025525</wp:posOffset>
              </wp:positionH>
              <wp:positionV relativeFrom="page">
                <wp:posOffset>737235</wp:posOffset>
              </wp:positionV>
              <wp:extent cx="5424805" cy="0"/>
              <wp:effectExtent l="0" t="0" r="0" b="0"/>
              <wp:wrapNone/>
              <wp:docPr id="293" name="直线 164"/>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64" o:spid="_x0000_s1026" o:spt="20" style="position:absolute;left:0pt;margin-left:80.75pt;margin-top:58.05pt;height:0pt;width:427.15pt;mso-position-horizontal-relative:page;mso-position-vertical-relative:page;z-index:-251613184;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j&#10;rc/G1gAAAAwBAAAPAAAAAAAAAAEAIAAAACIAAABkcnMvZG93bnJldi54bWxQSwECFAAUAAAACACH&#10;TuJALfVVm+0BAADfAwAADgAAAAAAAAABACAAAAAlAQAAZHJzL2Uyb0RvYy54bWxQSwUGAAAAAAYA&#10;BgBZAQAAhA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704320" behindDoc="1" locked="0" layoutInCell="1" allowOverlap="1">
              <wp:simplePos x="0" y="0"/>
              <wp:positionH relativeFrom="page">
                <wp:posOffset>1031240</wp:posOffset>
              </wp:positionH>
              <wp:positionV relativeFrom="page">
                <wp:posOffset>543560</wp:posOffset>
              </wp:positionV>
              <wp:extent cx="2577465" cy="180975"/>
              <wp:effectExtent l="0" t="0" r="0" b="0"/>
              <wp:wrapNone/>
              <wp:docPr id="294" name="文本框 165"/>
              <wp:cNvGraphicFramePr/>
              <a:graphic xmlns:a="http://schemas.openxmlformats.org/drawingml/2006/main">
                <a:graphicData uri="http://schemas.microsoft.com/office/word/2010/wordprocessingShape">
                  <wps:wsp>
                    <wps:cNvSpPr txBox="1"/>
                    <wps:spPr>
                      <a:xfrm>
                        <a:off x="0" y="0"/>
                        <a:ext cx="2577465" cy="180975"/>
                      </a:xfrm>
                      <a:prstGeom prst="rect">
                        <a:avLst/>
                      </a:prstGeom>
                      <a:noFill/>
                      <a:ln>
                        <a:noFill/>
                      </a:ln>
                    </wps:spPr>
                    <wps:txbx>
                      <w:txbxContent>
                        <w:p w14:paraId="0DCEC64F">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wps:txbx>
                    <wps:bodyPr lIns="0" tIns="0" rIns="0" bIns="0" upright="1"/>
                  </wps:wsp>
                </a:graphicData>
              </a:graphic>
            </wp:anchor>
          </w:drawing>
        </mc:Choice>
        <mc:Fallback>
          <w:pict>
            <v:shape id="文本框 165" o:spid="_x0000_s1026" o:spt="202" type="#_x0000_t202" style="position:absolute;left:0pt;margin-left:81.2pt;margin-top:42.8pt;height:14.25pt;width:202.95pt;mso-position-horizontal-relative:page;mso-position-vertical-relative:page;z-index:-251612160;mso-width-relative:page;mso-height-relative:page;" filled="f" stroked="f" coordsize="21600,21600" o:gfxdata="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KiyItgAAAAKAQAADwAAAAAAAAABACAAAAAiAAAAZHJzL2Rvd25yZXYueG1s&#10;UEsBAhQAFAAAAAgAh07iQP4VZHq/AQAAdgMAAA4AAAAAAAAAAQAgAAAAJwEAAGRycy9lMm9Eb2Mu&#10;eG1sUEsFBgAAAAAGAAYAWQEAAFgFAAAAAA==&#10;">
              <v:fill on="f" focussize="0,0"/>
              <v:stroke on="f"/>
              <v:imagedata o:title=""/>
              <o:lock v:ext="edit" aspectratio="f"/>
              <v:textbox inset="0mm,0mm,0mm,0mm">
                <w:txbxContent>
                  <w:p w14:paraId="0DCEC64F">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17D04">
    <w:pPr>
      <w:pStyle w:val="1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990600</wp:posOffset>
              </wp:positionH>
              <wp:positionV relativeFrom="page">
                <wp:posOffset>737235</wp:posOffset>
              </wp:positionV>
              <wp:extent cx="5497830" cy="0"/>
              <wp:effectExtent l="0" t="0" r="0" b="0"/>
              <wp:wrapNone/>
              <wp:docPr id="140" name="直线 11"/>
              <wp:cNvGraphicFramePr/>
              <a:graphic xmlns:a="http://schemas.openxmlformats.org/drawingml/2006/main">
                <a:graphicData uri="http://schemas.microsoft.com/office/word/2010/wordprocessingShape">
                  <wps:wsp>
                    <wps:cNvCnPr/>
                    <wps:spPr>
                      <a:xfrm>
                        <a:off x="0" y="0"/>
                        <a:ext cx="54978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78pt;margin-top:58.05pt;height:0pt;width:432.9pt;mso-position-horizontal-relative:page;mso-position-vertical-relative:page;z-index:-251655168;mso-width-relative:page;mso-height-relative:page;" filled="f" stroked="t" coordsize="21600,21600" o:gfxdata="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o7&#10;YDjYAAAADAEAAA8AAAAAAAAAAQAgAAAAIgAAAGRycy9kb3ducmV2LnhtbFBLAQIUABQAAAAIAIdO&#10;4kAhJzMx6gEAAN4DAAAOAAAAAAAAAAEAIAAAACcBAABkcnMvZTJvRG9jLnhtbFBLBQYAAAAABgAG&#10;AFkBAACDBQ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4081145</wp:posOffset>
              </wp:positionH>
              <wp:positionV relativeFrom="page">
                <wp:posOffset>548005</wp:posOffset>
              </wp:positionV>
              <wp:extent cx="2401570" cy="165735"/>
              <wp:effectExtent l="0" t="0" r="0" b="0"/>
              <wp:wrapNone/>
              <wp:docPr id="141" name="文本框 12"/>
              <wp:cNvGraphicFramePr/>
              <a:graphic xmlns:a="http://schemas.openxmlformats.org/drawingml/2006/main">
                <a:graphicData uri="http://schemas.microsoft.com/office/word/2010/wordprocessingShape">
                  <wps:wsp>
                    <wps:cNvSpPr txBox="1"/>
                    <wps:spPr>
                      <a:xfrm>
                        <a:off x="0" y="0"/>
                        <a:ext cx="2401570" cy="165735"/>
                      </a:xfrm>
                      <a:prstGeom prst="rect">
                        <a:avLst/>
                      </a:prstGeom>
                      <a:noFill/>
                      <a:ln>
                        <a:noFill/>
                      </a:ln>
                    </wps:spPr>
                    <wps:txbx>
                      <w:txbxContent>
                        <w:p w14:paraId="116AC6FC">
                          <w:pPr>
                            <w:tabs>
                              <w:tab w:val="left" w:pos="900"/>
                            </w:tabs>
                            <w:spacing w:before="0" w:line="261" w:lineRule="exact"/>
                            <w:ind w:left="20" w:right="0" w:firstLine="0"/>
                            <w:jc w:val="right"/>
                            <w:rPr>
                              <w:rFonts w:hint="eastAsia" w:ascii="黑体" w:eastAsia="黑体"/>
                              <w:sz w:val="22"/>
                            </w:rPr>
                          </w:pPr>
                          <w:r>
                            <w:rPr>
                              <w:rFonts w:hint="eastAsia" w:ascii="黑体" w:eastAsia="黑体"/>
                              <w:sz w:val="22"/>
                            </w:rPr>
                            <w:t>第一章</w:t>
                          </w:r>
                          <w:r>
                            <w:rPr>
                              <w:rFonts w:hint="eastAsia" w:ascii="黑体" w:eastAsia="黑体"/>
                              <w:sz w:val="22"/>
                            </w:rPr>
                            <w:tab/>
                          </w:r>
                          <w:r>
                            <w:rPr>
                              <w:rFonts w:hint="eastAsia" w:ascii="黑体" w:eastAsia="黑体"/>
                              <w:sz w:val="22"/>
                            </w:rPr>
                            <w:t>招标</w:t>
                          </w:r>
                          <w:r>
                            <w:rPr>
                              <w:rFonts w:hint="eastAsia" w:ascii="黑体" w:eastAsia="黑体"/>
                              <w:spacing w:val="-3"/>
                              <w:sz w:val="22"/>
                            </w:rPr>
                            <w:t>公</w:t>
                          </w:r>
                          <w:r>
                            <w:rPr>
                              <w:rFonts w:hint="eastAsia" w:ascii="黑体" w:eastAsia="黑体"/>
                              <w:sz w:val="22"/>
                            </w:rPr>
                            <w:t>告</w:t>
                          </w:r>
                        </w:p>
                      </w:txbxContent>
                    </wps:txbx>
                    <wps:bodyPr lIns="0" tIns="0" rIns="0" bIns="0" upright="1"/>
                  </wps:wsp>
                </a:graphicData>
              </a:graphic>
            </wp:anchor>
          </w:drawing>
        </mc:Choice>
        <mc:Fallback>
          <w:pict>
            <v:shape id="文本框 12" o:spid="_x0000_s1026" o:spt="202" type="#_x0000_t202" style="position:absolute;left:0pt;margin-left:321.35pt;margin-top:43.15pt;height:13.05pt;width:189.1pt;mso-position-horizontal-relative:page;mso-position-vertical-relative:page;z-index:-251654144;mso-width-relative:page;mso-height-relative:page;" filled="f" stroked="f" coordsize="21600,21600" o:gfxdata="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DaT8RdoAAAALAQAADwAAAAAAAAABACAAAAAiAAAAZHJzL2Rvd25yZXYueG1s&#10;UEsBAhQAFAAAAAgAh07iQG8uc5+9AQAAdQMAAA4AAAAAAAAAAQAgAAAAKQEAAGRycy9lMm9Eb2Mu&#10;eG1sUEsFBgAAAAAGAAYAWQEAAFgFAAAAAA==&#10;">
              <v:fill on="f" focussize="0,0"/>
              <v:stroke on="f"/>
              <v:imagedata o:title=""/>
              <o:lock v:ext="edit" aspectratio="f"/>
              <v:textbox inset="0mm,0mm,0mm,0mm">
                <w:txbxContent>
                  <w:p w14:paraId="116AC6FC">
                    <w:pPr>
                      <w:tabs>
                        <w:tab w:val="left" w:pos="900"/>
                      </w:tabs>
                      <w:spacing w:before="0" w:line="261" w:lineRule="exact"/>
                      <w:ind w:left="20" w:right="0" w:firstLine="0"/>
                      <w:jc w:val="right"/>
                      <w:rPr>
                        <w:rFonts w:hint="eastAsia" w:ascii="黑体" w:eastAsia="黑体"/>
                        <w:sz w:val="22"/>
                      </w:rPr>
                    </w:pPr>
                    <w:r>
                      <w:rPr>
                        <w:rFonts w:hint="eastAsia" w:ascii="黑体" w:eastAsia="黑体"/>
                        <w:sz w:val="22"/>
                      </w:rPr>
                      <w:t>第一章</w:t>
                    </w:r>
                    <w:r>
                      <w:rPr>
                        <w:rFonts w:hint="eastAsia" w:ascii="黑体" w:eastAsia="黑体"/>
                        <w:sz w:val="22"/>
                      </w:rPr>
                      <w:tab/>
                    </w:r>
                    <w:r>
                      <w:rPr>
                        <w:rFonts w:hint="eastAsia" w:ascii="黑体" w:eastAsia="黑体"/>
                        <w:sz w:val="22"/>
                      </w:rPr>
                      <w:t>招标</w:t>
                    </w:r>
                    <w:r>
                      <w:rPr>
                        <w:rFonts w:hint="eastAsia" w:ascii="黑体" w:eastAsia="黑体"/>
                        <w:spacing w:val="-3"/>
                        <w:sz w:val="22"/>
                      </w:rPr>
                      <w:t>公</w:t>
                    </w:r>
                    <w:r>
                      <w:rPr>
                        <w:rFonts w:hint="eastAsia" w:ascii="黑体" w:eastAsia="黑体"/>
                        <w:sz w:val="22"/>
                      </w:rPr>
                      <w:t>告</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43CAA">
    <w:pPr>
      <w:pStyle w:val="12"/>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990600</wp:posOffset>
              </wp:positionH>
              <wp:positionV relativeFrom="page">
                <wp:posOffset>737235</wp:posOffset>
              </wp:positionV>
              <wp:extent cx="5497830" cy="0"/>
              <wp:effectExtent l="0" t="0" r="0" b="0"/>
              <wp:wrapNone/>
              <wp:docPr id="142" name="直线 13"/>
              <wp:cNvGraphicFramePr/>
              <a:graphic xmlns:a="http://schemas.openxmlformats.org/drawingml/2006/main">
                <a:graphicData uri="http://schemas.microsoft.com/office/word/2010/wordprocessingShape">
                  <wps:wsp>
                    <wps:cNvCnPr/>
                    <wps:spPr>
                      <a:xfrm>
                        <a:off x="0" y="0"/>
                        <a:ext cx="54978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78pt;margin-top:58.05pt;height:0pt;width:432.9pt;mso-position-horizontal-relative:page;mso-position-vertical-relative:page;z-index:-251653120;mso-width-relative:page;mso-height-relative:page;" filled="f" stroked="t" coordsize="21600,21600" o:gfxdata="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6&#10;O2A42AAAAAwBAAAPAAAAAAAAAAEAIAAAACIAAABkcnMvZG93bnJldi54bWxQSwECFAAUAAAACACH&#10;TuJAkvUHTOsBAADeAwAADgAAAAAAAAABACAAAAAnAQAAZHJzL2Uyb0RvYy54bWxQSwUGAAAAAAYA&#10;BgBZAQAAhAUAAAAA&#10;">
              <v:fill on="f" focussize="0,0"/>
              <v:stroke weight="0.48pt" color="#000000" joinstyle="round"/>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655AC">
    <w:pPr>
      <w:pStyle w:val="1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2D67A">
    <w:pPr>
      <w:pStyle w:val="12"/>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990600</wp:posOffset>
              </wp:positionH>
              <wp:positionV relativeFrom="page">
                <wp:posOffset>737235</wp:posOffset>
              </wp:positionV>
              <wp:extent cx="5497830" cy="0"/>
              <wp:effectExtent l="0" t="0" r="0" b="0"/>
              <wp:wrapNone/>
              <wp:docPr id="148" name="直线 19"/>
              <wp:cNvGraphicFramePr/>
              <a:graphic xmlns:a="http://schemas.openxmlformats.org/drawingml/2006/main">
                <a:graphicData uri="http://schemas.microsoft.com/office/word/2010/wordprocessingShape">
                  <wps:wsp>
                    <wps:cNvCnPr/>
                    <wps:spPr>
                      <a:xfrm>
                        <a:off x="0" y="0"/>
                        <a:ext cx="54978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78pt;margin-top:58.05pt;height:0pt;width:432.9pt;mso-position-horizontal-relative:page;mso-position-vertical-relative:page;z-index:-251652096;mso-width-relative:page;mso-height-relative:page;" filled="f" stroked="t" coordsize="21600,21600" o:gfxdata="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6&#10;O2A42AAAAAwBAAAPAAAAAAAAAAEAIAAAACIAAABkcnMvZG93bnJldi54bWxQSwECFAAUAAAACACH&#10;TuJArGuRHusBAADeAwAADgAAAAAAAAABACAAAAAnAQAAZHJzL2Uyb0RvYy54bWxQSwUGAAAAAAYA&#10;BgBZAQAAhA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996315</wp:posOffset>
              </wp:positionH>
              <wp:positionV relativeFrom="page">
                <wp:posOffset>543560</wp:posOffset>
              </wp:positionV>
              <wp:extent cx="2577465" cy="180975"/>
              <wp:effectExtent l="0" t="0" r="0" b="0"/>
              <wp:wrapNone/>
              <wp:docPr id="149" name="文本框 20"/>
              <wp:cNvGraphicFramePr/>
              <a:graphic xmlns:a="http://schemas.openxmlformats.org/drawingml/2006/main">
                <a:graphicData uri="http://schemas.microsoft.com/office/word/2010/wordprocessingShape">
                  <wps:wsp>
                    <wps:cNvSpPr txBox="1"/>
                    <wps:spPr>
                      <a:xfrm>
                        <a:off x="0" y="0"/>
                        <a:ext cx="2577465" cy="180975"/>
                      </a:xfrm>
                      <a:prstGeom prst="rect">
                        <a:avLst/>
                      </a:prstGeom>
                      <a:noFill/>
                      <a:ln>
                        <a:noFill/>
                      </a:ln>
                    </wps:spPr>
                    <wps:txbx>
                      <w:txbxContent>
                        <w:p w14:paraId="326F95C8">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wps:txbx>
                    <wps:bodyPr lIns="0" tIns="0" rIns="0" bIns="0" upright="1"/>
                  </wps:wsp>
                </a:graphicData>
              </a:graphic>
            </wp:anchor>
          </w:drawing>
        </mc:Choice>
        <mc:Fallback>
          <w:pict>
            <v:shape id="文本框 20" o:spid="_x0000_s1026" o:spt="202" type="#_x0000_t202" style="position:absolute;left:0pt;margin-left:78.45pt;margin-top:42.8pt;height:14.25pt;width:202.95pt;mso-position-horizontal-relative:page;mso-position-vertical-relative:page;z-index:-251651072;mso-width-relative:page;mso-height-relative:page;" filled="f" stroked="f" coordsize="21600,21600" o:gfxdata="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OXd4bYAAAACgEAAA8AAAAAAAAAAQAgAAAAIgAAAGRycy9kb3ducmV2LnhtbFBL&#10;AQIUABQAAAAIAIdO4kAxCSULvQEAAHUDAAAOAAAAAAAAAAEAIAAAACcBAABkcnMvZTJvRG9jLnht&#10;bFBLBQYAAAAABgAGAFkBAABWBQAAAAA=&#10;">
              <v:fill on="f" focussize="0,0"/>
              <v:stroke on="f"/>
              <v:imagedata o:title=""/>
              <o:lock v:ext="edit" aspectratio="f"/>
              <v:textbox inset="0mm,0mm,0mm,0mm">
                <w:txbxContent>
                  <w:p w14:paraId="326F95C8">
                    <w:pPr>
                      <w:spacing w:before="0" w:line="279" w:lineRule="exact"/>
                      <w:ind w:left="20" w:right="0" w:firstLine="0"/>
                      <w:jc w:val="left"/>
                      <w:rPr>
                        <w:rFonts w:hint="eastAsia" w:ascii="黑体" w:eastAsia="黑体"/>
                        <w:sz w:val="22"/>
                      </w:rPr>
                    </w:pPr>
                    <w:r>
                      <w:rPr>
                        <w:rFonts w:hint="eastAsia" w:ascii="黑体" w:eastAsia="黑体"/>
                        <w:sz w:val="22"/>
                      </w:rPr>
                      <w:t>公路工程标准施工招标文件（</w:t>
                    </w:r>
                    <w:r>
                      <w:rPr>
                        <w:rFonts w:ascii="Times New Roman" w:eastAsia="Times New Roman"/>
                        <w:sz w:val="22"/>
                      </w:rPr>
                      <w:t xml:space="preserve">2018 </w:t>
                    </w:r>
                    <w:r>
                      <w:rPr>
                        <w:rFonts w:hint="eastAsia" w:ascii="黑体" w:eastAsia="黑体"/>
                        <w:sz w:val="22"/>
                      </w:rPr>
                      <w:t>年版）</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DD956">
    <w:pPr>
      <w:pStyle w:val="12"/>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990600</wp:posOffset>
              </wp:positionH>
              <wp:positionV relativeFrom="page">
                <wp:posOffset>737235</wp:posOffset>
              </wp:positionV>
              <wp:extent cx="5497830" cy="0"/>
              <wp:effectExtent l="0" t="0" r="0" b="0"/>
              <wp:wrapNone/>
              <wp:docPr id="152" name="直线 23"/>
              <wp:cNvGraphicFramePr/>
              <a:graphic xmlns:a="http://schemas.openxmlformats.org/drawingml/2006/main">
                <a:graphicData uri="http://schemas.microsoft.com/office/word/2010/wordprocessingShape">
                  <wps:wsp>
                    <wps:cNvCnPr/>
                    <wps:spPr>
                      <a:xfrm>
                        <a:off x="0" y="0"/>
                        <a:ext cx="54978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78pt;margin-top:58.05pt;height:0pt;width:432.9pt;mso-position-horizontal-relative:page;mso-position-vertical-relative:page;z-index:-251649024;mso-width-relative:page;mso-height-relative:page;" filled="f" stroked="t" coordsize="21600,21600" o:gfxdata="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6&#10;O2A42AAAAAwBAAAPAAAAAAAAAAEAIAAAACIAAABkcnMvZG93bnJldi54bWxQSwECFAAUAAAACACH&#10;TuJAVdI80esBAADeAwAADgAAAAAAAAABACAAAAAnAQAAZHJzL2Uyb0RvYy54bWxQSwUGAAAAAAYA&#10;BgBZAQAAhAUAAAAA&#10;">
              <v:fill on="f" focussize="0,0"/>
              <v:stroke weight="0.48pt" color="#000000" joinstyle="round"/>
              <v:imagedata o:title=""/>
              <o:lock v:ext="edit" aspectratio="f"/>
            </v:lin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5198745</wp:posOffset>
              </wp:positionH>
              <wp:positionV relativeFrom="page">
                <wp:posOffset>548005</wp:posOffset>
              </wp:positionV>
              <wp:extent cx="1284605" cy="165735"/>
              <wp:effectExtent l="0" t="0" r="0" b="0"/>
              <wp:wrapNone/>
              <wp:docPr id="153" name="文本框 24"/>
              <wp:cNvGraphicFramePr/>
              <a:graphic xmlns:a="http://schemas.openxmlformats.org/drawingml/2006/main">
                <a:graphicData uri="http://schemas.microsoft.com/office/word/2010/wordprocessingShape">
                  <wps:wsp>
                    <wps:cNvSpPr txBox="1"/>
                    <wps:spPr>
                      <a:xfrm>
                        <a:off x="0" y="0"/>
                        <a:ext cx="1284605" cy="165735"/>
                      </a:xfrm>
                      <a:prstGeom prst="rect">
                        <a:avLst/>
                      </a:prstGeom>
                      <a:noFill/>
                      <a:ln>
                        <a:noFill/>
                      </a:ln>
                    </wps:spPr>
                    <wps:txbx>
                      <w:txbxContent>
                        <w:p w14:paraId="34495418">
                          <w:pPr>
                            <w:tabs>
                              <w:tab w:val="left" w:pos="901"/>
                            </w:tabs>
                            <w:spacing w:before="0" w:line="261" w:lineRule="exact"/>
                            <w:ind w:left="20" w:right="0" w:firstLine="0"/>
                            <w:jc w:val="left"/>
                            <w:rPr>
                              <w:rFonts w:hint="eastAsia" w:ascii="黑体" w:eastAsia="黑体"/>
                              <w:sz w:val="22"/>
                            </w:rPr>
                          </w:pPr>
                          <w:r>
                            <w:rPr>
                              <w:rFonts w:hint="eastAsia" w:ascii="黑体" w:eastAsia="黑体"/>
                              <w:sz w:val="22"/>
                            </w:rPr>
                            <w:t>第二章</w:t>
                          </w:r>
                          <w:r>
                            <w:rPr>
                              <w:rFonts w:hint="eastAsia" w:ascii="黑体" w:eastAsia="黑体"/>
                              <w:sz w:val="22"/>
                            </w:rPr>
                            <w:tab/>
                          </w:r>
                          <w:r>
                            <w:rPr>
                              <w:rFonts w:hint="eastAsia" w:ascii="黑体" w:eastAsia="黑体"/>
                              <w:sz w:val="22"/>
                            </w:rPr>
                            <w:t>投标</w:t>
                          </w:r>
                          <w:r>
                            <w:rPr>
                              <w:rFonts w:hint="eastAsia" w:ascii="黑体" w:eastAsia="黑体"/>
                              <w:spacing w:val="-3"/>
                              <w:sz w:val="22"/>
                            </w:rPr>
                            <w:t>人</w:t>
                          </w:r>
                          <w:r>
                            <w:rPr>
                              <w:rFonts w:hint="eastAsia" w:ascii="黑体" w:eastAsia="黑体"/>
                              <w:sz w:val="22"/>
                            </w:rPr>
                            <w:t>须知</w:t>
                          </w:r>
                        </w:p>
                      </w:txbxContent>
                    </wps:txbx>
                    <wps:bodyPr lIns="0" tIns="0" rIns="0" bIns="0" upright="1"/>
                  </wps:wsp>
                </a:graphicData>
              </a:graphic>
            </wp:anchor>
          </w:drawing>
        </mc:Choice>
        <mc:Fallback>
          <w:pict>
            <v:shape id="文本框 24" o:spid="_x0000_s1026" o:spt="202" type="#_x0000_t202" style="position:absolute;left:0pt;margin-left:409.35pt;margin-top:43.15pt;height:13.05pt;width:101.15pt;mso-position-horizontal-relative:page;mso-position-vertical-relative:page;z-index:-251648000;mso-width-relative:page;mso-height-relative:page;" filled="f" stroked="f" coordsize="21600,21600" o:gfxdata="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b1mvrYAAAACwEAAA8AAAAAAAAAAQAgAAAAIgAAAGRycy9kb3ducmV2LnhtbFBL&#10;AQIUABQAAAAIAIdO4kDpZxNTvQEAAHUDAAAOAAAAAAAAAAEAIAAAACcBAABkcnMvZTJvRG9jLnht&#10;bFBLBQYAAAAABgAGAFkBAABWBQAAAAA=&#10;">
              <v:fill on="f" focussize="0,0"/>
              <v:stroke on="f"/>
              <v:imagedata o:title=""/>
              <o:lock v:ext="edit" aspectratio="f"/>
              <v:textbox inset="0mm,0mm,0mm,0mm">
                <w:txbxContent>
                  <w:p w14:paraId="34495418">
                    <w:pPr>
                      <w:tabs>
                        <w:tab w:val="left" w:pos="901"/>
                      </w:tabs>
                      <w:spacing w:before="0" w:line="261" w:lineRule="exact"/>
                      <w:ind w:left="20" w:right="0" w:firstLine="0"/>
                      <w:jc w:val="left"/>
                      <w:rPr>
                        <w:rFonts w:hint="eastAsia" w:ascii="黑体" w:eastAsia="黑体"/>
                        <w:sz w:val="22"/>
                      </w:rPr>
                    </w:pPr>
                    <w:r>
                      <w:rPr>
                        <w:rFonts w:hint="eastAsia" w:ascii="黑体" w:eastAsia="黑体"/>
                        <w:sz w:val="22"/>
                      </w:rPr>
                      <w:t>第二章</w:t>
                    </w:r>
                    <w:r>
                      <w:rPr>
                        <w:rFonts w:hint="eastAsia" w:ascii="黑体" w:eastAsia="黑体"/>
                        <w:sz w:val="22"/>
                      </w:rPr>
                      <w:tab/>
                    </w:r>
                    <w:r>
                      <w:rPr>
                        <w:rFonts w:hint="eastAsia" w:ascii="黑体" w:eastAsia="黑体"/>
                        <w:sz w:val="22"/>
                      </w:rPr>
                      <w:t>投标</w:t>
                    </w:r>
                    <w:r>
                      <w:rPr>
                        <w:rFonts w:hint="eastAsia" w:ascii="黑体" w:eastAsia="黑体"/>
                        <w:spacing w:val="-3"/>
                        <w:sz w:val="22"/>
                      </w:rPr>
                      <w:t>人</w:t>
                    </w:r>
                    <w:r>
                      <w:rPr>
                        <w:rFonts w:hint="eastAsia" w:ascii="黑体" w:eastAsia="黑体"/>
                        <w:sz w:val="22"/>
                      </w:rPr>
                      <w:t>须知</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1BFC8">
    <w:pPr>
      <w:pStyle w:val="12"/>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990600</wp:posOffset>
              </wp:positionH>
              <wp:positionV relativeFrom="page">
                <wp:posOffset>737235</wp:posOffset>
              </wp:positionV>
              <wp:extent cx="5497830" cy="0"/>
              <wp:effectExtent l="0" t="0" r="0" b="0"/>
              <wp:wrapNone/>
              <wp:docPr id="150" name="直线 21"/>
              <wp:cNvGraphicFramePr/>
              <a:graphic xmlns:a="http://schemas.openxmlformats.org/drawingml/2006/main">
                <a:graphicData uri="http://schemas.microsoft.com/office/word/2010/wordprocessingShape">
                  <wps:wsp>
                    <wps:cNvCnPr/>
                    <wps:spPr>
                      <a:xfrm>
                        <a:off x="0" y="0"/>
                        <a:ext cx="549783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78pt;margin-top:58.05pt;height:0pt;width:432.9pt;mso-position-horizontal-relative:page;mso-position-vertical-relative:page;z-index:-251650048;mso-width-relative:page;mso-height-relative:page;" filled="f" stroked="t" coordsize="21600,21600" o:gfxdata="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o7&#10;YDjYAAAADAEAAA8AAAAAAAAAAQAgAAAAIgAAAGRycy9kb3ducmV2LnhtbFBLAQIUABQAAAAIAIdO&#10;4kDmAAis6gEAAN4DAAAOAAAAAAAAAAEAIAAAACcBAABkcnMvZTJvRG9jLnhtbFBLBQYAAAAABgAG&#10;AFkBAACDBQAAAAA=&#10;">
              <v:fill on="f" focussize="0,0"/>
              <v:stroke weight="0.48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0339C"/>
    <w:multiLevelType w:val="multilevel"/>
    <w:tmpl w:val="8A60339C"/>
    <w:lvl w:ilvl="0" w:tentative="0">
      <w:start w:val="6"/>
      <w:numFmt w:val="decimal"/>
      <w:lvlText w:val="%1"/>
      <w:lvlJc w:val="left"/>
      <w:pPr>
        <w:ind w:left="1449" w:hanging="600"/>
        <w:jc w:val="left"/>
      </w:pPr>
      <w:rPr>
        <w:rFonts w:hint="default"/>
        <w:lang w:val="zh-CN" w:eastAsia="zh-CN" w:bidi="zh-CN"/>
      </w:rPr>
    </w:lvl>
    <w:lvl w:ilvl="1" w:tentative="0">
      <w:start w:val="1"/>
      <w:numFmt w:val="decimal"/>
      <w:lvlText w:val="%1.%2"/>
      <w:lvlJc w:val="left"/>
      <w:pPr>
        <w:ind w:left="1449" w:hanging="600"/>
        <w:jc w:val="left"/>
      </w:pPr>
      <w:rPr>
        <w:rFonts w:hint="default"/>
        <w:lang w:val="zh-CN" w:eastAsia="zh-CN" w:bidi="zh-CN"/>
      </w:rPr>
    </w:lvl>
    <w:lvl w:ilvl="2" w:tentative="0">
      <w:start w:val="2"/>
      <w:numFmt w:val="decimal"/>
      <w:suff w:val="nothing"/>
      <w:lvlText w:val="%1.%2.%3"/>
      <w:lvlJc w:val="left"/>
      <w:pPr>
        <w:ind w:left="1449" w:hanging="60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853" w:hanging="600"/>
      </w:pPr>
      <w:rPr>
        <w:rFonts w:hint="default"/>
        <w:lang w:val="zh-CN" w:eastAsia="zh-CN" w:bidi="zh-CN"/>
      </w:rPr>
    </w:lvl>
    <w:lvl w:ilvl="4" w:tentative="0">
      <w:start w:val="0"/>
      <w:numFmt w:val="bullet"/>
      <w:lvlText w:val="•"/>
      <w:lvlJc w:val="left"/>
      <w:pPr>
        <w:ind w:left="4658" w:hanging="600"/>
      </w:pPr>
      <w:rPr>
        <w:rFonts w:hint="default"/>
        <w:lang w:val="zh-CN" w:eastAsia="zh-CN" w:bidi="zh-CN"/>
      </w:rPr>
    </w:lvl>
    <w:lvl w:ilvl="5" w:tentative="0">
      <w:start w:val="0"/>
      <w:numFmt w:val="bullet"/>
      <w:lvlText w:val="•"/>
      <w:lvlJc w:val="left"/>
      <w:pPr>
        <w:ind w:left="5463" w:hanging="600"/>
      </w:pPr>
      <w:rPr>
        <w:rFonts w:hint="default"/>
        <w:lang w:val="zh-CN" w:eastAsia="zh-CN" w:bidi="zh-CN"/>
      </w:rPr>
    </w:lvl>
    <w:lvl w:ilvl="6" w:tentative="0">
      <w:start w:val="0"/>
      <w:numFmt w:val="bullet"/>
      <w:lvlText w:val="•"/>
      <w:lvlJc w:val="left"/>
      <w:pPr>
        <w:ind w:left="6267" w:hanging="600"/>
      </w:pPr>
      <w:rPr>
        <w:rFonts w:hint="default"/>
        <w:lang w:val="zh-CN" w:eastAsia="zh-CN" w:bidi="zh-CN"/>
      </w:rPr>
    </w:lvl>
    <w:lvl w:ilvl="7" w:tentative="0">
      <w:start w:val="0"/>
      <w:numFmt w:val="bullet"/>
      <w:lvlText w:val="•"/>
      <w:lvlJc w:val="left"/>
      <w:pPr>
        <w:ind w:left="7072" w:hanging="600"/>
      </w:pPr>
      <w:rPr>
        <w:rFonts w:hint="default"/>
        <w:lang w:val="zh-CN" w:eastAsia="zh-CN" w:bidi="zh-CN"/>
      </w:rPr>
    </w:lvl>
    <w:lvl w:ilvl="8" w:tentative="0">
      <w:start w:val="0"/>
      <w:numFmt w:val="bullet"/>
      <w:lvlText w:val="•"/>
      <w:lvlJc w:val="left"/>
      <w:pPr>
        <w:ind w:left="7877" w:hanging="600"/>
      </w:pPr>
      <w:rPr>
        <w:rFonts w:hint="default"/>
        <w:lang w:val="zh-CN" w:eastAsia="zh-CN" w:bidi="zh-CN"/>
      </w:rPr>
    </w:lvl>
  </w:abstractNum>
  <w:abstractNum w:abstractNumId="1">
    <w:nsid w:val="9CD0C84A"/>
    <w:multiLevelType w:val="multilevel"/>
    <w:tmpl w:val="9CD0C84A"/>
    <w:lvl w:ilvl="0" w:tentative="0">
      <w:start w:val="1"/>
      <w:numFmt w:val="decimal"/>
      <w:lvlText w:val="%1."/>
      <w:lvlJc w:val="left"/>
      <w:pPr>
        <w:ind w:left="224" w:hanging="361"/>
        <w:jc w:val="left"/>
      </w:pPr>
      <w:rPr>
        <w:rFonts w:hint="default" w:ascii="Times New Roman" w:hAnsi="Times New Roman" w:eastAsia="Times New Roman" w:cs="Times New Roman"/>
        <w:spacing w:val="-121"/>
        <w:w w:val="100"/>
        <w:sz w:val="22"/>
        <w:szCs w:val="22"/>
        <w:lang w:val="zh-CN" w:eastAsia="zh-CN" w:bidi="zh-CN"/>
      </w:rPr>
    </w:lvl>
    <w:lvl w:ilvl="1" w:tentative="0">
      <w:start w:val="0"/>
      <w:numFmt w:val="bullet"/>
      <w:lvlText w:val="•"/>
      <w:lvlJc w:val="left"/>
      <w:pPr>
        <w:ind w:left="1116" w:hanging="361"/>
      </w:pPr>
      <w:rPr>
        <w:rFonts w:hint="default"/>
        <w:lang w:val="zh-CN" w:eastAsia="zh-CN" w:bidi="zh-CN"/>
      </w:rPr>
    </w:lvl>
    <w:lvl w:ilvl="2" w:tentative="0">
      <w:start w:val="0"/>
      <w:numFmt w:val="bullet"/>
      <w:lvlText w:val="•"/>
      <w:lvlJc w:val="left"/>
      <w:pPr>
        <w:ind w:left="2013" w:hanging="361"/>
      </w:pPr>
      <w:rPr>
        <w:rFonts w:hint="default"/>
        <w:lang w:val="zh-CN" w:eastAsia="zh-CN" w:bidi="zh-CN"/>
      </w:rPr>
    </w:lvl>
    <w:lvl w:ilvl="3" w:tentative="0">
      <w:start w:val="0"/>
      <w:numFmt w:val="bullet"/>
      <w:lvlText w:val="•"/>
      <w:lvlJc w:val="left"/>
      <w:pPr>
        <w:ind w:left="2909" w:hanging="361"/>
      </w:pPr>
      <w:rPr>
        <w:rFonts w:hint="default"/>
        <w:lang w:val="zh-CN" w:eastAsia="zh-CN" w:bidi="zh-CN"/>
      </w:rPr>
    </w:lvl>
    <w:lvl w:ilvl="4" w:tentative="0">
      <w:start w:val="0"/>
      <w:numFmt w:val="bullet"/>
      <w:lvlText w:val="•"/>
      <w:lvlJc w:val="left"/>
      <w:pPr>
        <w:ind w:left="3806" w:hanging="361"/>
      </w:pPr>
      <w:rPr>
        <w:rFonts w:hint="default"/>
        <w:lang w:val="zh-CN" w:eastAsia="zh-CN" w:bidi="zh-CN"/>
      </w:rPr>
    </w:lvl>
    <w:lvl w:ilvl="5" w:tentative="0">
      <w:start w:val="0"/>
      <w:numFmt w:val="bullet"/>
      <w:lvlText w:val="•"/>
      <w:lvlJc w:val="left"/>
      <w:pPr>
        <w:ind w:left="4703" w:hanging="361"/>
      </w:pPr>
      <w:rPr>
        <w:rFonts w:hint="default"/>
        <w:lang w:val="zh-CN" w:eastAsia="zh-CN" w:bidi="zh-CN"/>
      </w:rPr>
    </w:lvl>
    <w:lvl w:ilvl="6" w:tentative="0">
      <w:start w:val="0"/>
      <w:numFmt w:val="bullet"/>
      <w:lvlText w:val="•"/>
      <w:lvlJc w:val="left"/>
      <w:pPr>
        <w:ind w:left="5599" w:hanging="361"/>
      </w:pPr>
      <w:rPr>
        <w:rFonts w:hint="default"/>
        <w:lang w:val="zh-CN" w:eastAsia="zh-CN" w:bidi="zh-CN"/>
      </w:rPr>
    </w:lvl>
    <w:lvl w:ilvl="7" w:tentative="0">
      <w:start w:val="0"/>
      <w:numFmt w:val="bullet"/>
      <w:lvlText w:val="•"/>
      <w:lvlJc w:val="left"/>
      <w:pPr>
        <w:ind w:left="6496" w:hanging="361"/>
      </w:pPr>
      <w:rPr>
        <w:rFonts w:hint="default"/>
        <w:lang w:val="zh-CN" w:eastAsia="zh-CN" w:bidi="zh-CN"/>
      </w:rPr>
    </w:lvl>
    <w:lvl w:ilvl="8" w:tentative="0">
      <w:start w:val="0"/>
      <w:numFmt w:val="bullet"/>
      <w:lvlText w:val="•"/>
      <w:lvlJc w:val="left"/>
      <w:pPr>
        <w:ind w:left="7393" w:hanging="361"/>
      </w:pPr>
      <w:rPr>
        <w:rFonts w:hint="default"/>
        <w:lang w:val="zh-CN" w:eastAsia="zh-CN" w:bidi="zh-CN"/>
      </w:rPr>
    </w:lvl>
  </w:abstractNum>
  <w:abstractNum w:abstractNumId="2">
    <w:nsid w:val="AC38AFEB"/>
    <w:multiLevelType w:val="multilevel"/>
    <w:tmpl w:val="AC38AFEB"/>
    <w:lvl w:ilvl="0" w:tentative="0">
      <w:start w:val="1"/>
      <w:numFmt w:val="decimal"/>
      <w:lvlText w:val="（%1）"/>
      <w:lvlJc w:val="left"/>
      <w:pPr>
        <w:ind w:left="107" w:hanging="535"/>
        <w:jc w:val="left"/>
      </w:pPr>
      <w:rPr>
        <w:rFonts w:hint="default" w:ascii="宋体" w:hAnsi="宋体" w:eastAsia="宋体" w:cs="宋体"/>
        <w:spacing w:val="2"/>
        <w:w w:val="100"/>
        <w:sz w:val="19"/>
        <w:szCs w:val="19"/>
        <w:lang w:val="zh-CN" w:eastAsia="zh-CN" w:bidi="zh-CN"/>
      </w:rPr>
    </w:lvl>
    <w:lvl w:ilvl="1" w:tentative="0">
      <w:start w:val="0"/>
      <w:numFmt w:val="bullet"/>
      <w:lvlText w:val="•"/>
      <w:lvlJc w:val="left"/>
      <w:pPr>
        <w:ind w:left="791" w:hanging="535"/>
      </w:pPr>
      <w:rPr>
        <w:rFonts w:hint="default"/>
        <w:lang w:val="zh-CN" w:eastAsia="zh-CN" w:bidi="zh-CN"/>
      </w:rPr>
    </w:lvl>
    <w:lvl w:ilvl="2" w:tentative="0">
      <w:start w:val="0"/>
      <w:numFmt w:val="bullet"/>
      <w:lvlText w:val="•"/>
      <w:lvlJc w:val="left"/>
      <w:pPr>
        <w:ind w:left="1482" w:hanging="535"/>
      </w:pPr>
      <w:rPr>
        <w:rFonts w:hint="default"/>
        <w:lang w:val="zh-CN" w:eastAsia="zh-CN" w:bidi="zh-CN"/>
      </w:rPr>
    </w:lvl>
    <w:lvl w:ilvl="3" w:tentative="0">
      <w:start w:val="0"/>
      <w:numFmt w:val="bullet"/>
      <w:lvlText w:val="•"/>
      <w:lvlJc w:val="left"/>
      <w:pPr>
        <w:ind w:left="2173" w:hanging="535"/>
      </w:pPr>
      <w:rPr>
        <w:rFonts w:hint="default"/>
        <w:lang w:val="zh-CN" w:eastAsia="zh-CN" w:bidi="zh-CN"/>
      </w:rPr>
    </w:lvl>
    <w:lvl w:ilvl="4" w:tentative="0">
      <w:start w:val="0"/>
      <w:numFmt w:val="bullet"/>
      <w:lvlText w:val="•"/>
      <w:lvlJc w:val="left"/>
      <w:pPr>
        <w:ind w:left="2864" w:hanging="535"/>
      </w:pPr>
      <w:rPr>
        <w:rFonts w:hint="default"/>
        <w:lang w:val="zh-CN" w:eastAsia="zh-CN" w:bidi="zh-CN"/>
      </w:rPr>
    </w:lvl>
    <w:lvl w:ilvl="5" w:tentative="0">
      <w:start w:val="0"/>
      <w:numFmt w:val="bullet"/>
      <w:lvlText w:val="•"/>
      <w:lvlJc w:val="left"/>
      <w:pPr>
        <w:ind w:left="3555" w:hanging="535"/>
      </w:pPr>
      <w:rPr>
        <w:rFonts w:hint="default"/>
        <w:lang w:val="zh-CN" w:eastAsia="zh-CN" w:bidi="zh-CN"/>
      </w:rPr>
    </w:lvl>
    <w:lvl w:ilvl="6" w:tentative="0">
      <w:start w:val="0"/>
      <w:numFmt w:val="bullet"/>
      <w:lvlText w:val="•"/>
      <w:lvlJc w:val="left"/>
      <w:pPr>
        <w:ind w:left="4246" w:hanging="535"/>
      </w:pPr>
      <w:rPr>
        <w:rFonts w:hint="default"/>
        <w:lang w:val="zh-CN" w:eastAsia="zh-CN" w:bidi="zh-CN"/>
      </w:rPr>
    </w:lvl>
    <w:lvl w:ilvl="7" w:tentative="0">
      <w:start w:val="0"/>
      <w:numFmt w:val="bullet"/>
      <w:lvlText w:val="•"/>
      <w:lvlJc w:val="left"/>
      <w:pPr>
        <w:ind w:left="4937" w:hanging="535"/>
      </w:pPr>
      <w:rPr>
        <w:rFonts w:hint="default"/>
        <w:lang w:val="zh-CN" w:eastAsia="zh-CN" w:bidi="zh-CN"/>
      </w:rPr>
    </w:lvl>
    <w:lvl w:ilvl="8" w:tentative="0">
      <w:start w:val="0"/>
      <w:numFmt w:val="bullet"/>
      <w:lvlText w:val="•"/>
      <w:lvlJc w:val="left"/>
      <w:pPr>
        <w:ind w:left="5628" w:hanging="535"/>
      </w:pPr>
      <w:rPr>
        <w:rFonts w:hint="default"/>
        <w:lang w:val="zh-CN" w:eastAsia="zh-CN" w:bidi="zh-CN"/>
      </w:rPr>
    </w:lvl>
  </w:abstractNum>
  <w:abstractNum w:abstractNumId="3">
    <w:nsid w:val="AE42D830"/>
    <w:multiLevelType w:val="multilevel"/>
    <w:tmpl w:val="AE42D830"/>
    <w:lvl w:ilvl="0" w:tentative="0">
      <w:start w:val="1"/>
      <w:numFmt w:val="decimal"/>
      <w:suff w:val="nothing"/>
      <w:lvlText w:val="（%1）"/>
      <w:lvlJc w:val="left"/>
      <w:pPr>
        <w:ind w:left="1330"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154" w:hanging="601"/>
      </w:pPr>
      <w:rPr>
        <w:rFonts w:hint="default"/>
        <w:lang w:val="zh-CN" w:eastAsia="zh-CN" w:bidi="zh-CN"/>
      </w:rPr>
    </w:lvl>
    <w:lvl w:ilvl="2" w:tentative="0">
      <w:start w:val="0"/>
      <w:numFmt w:val="bullet"/>
      <w:lvlText w:val="•"/>
      <w:lvlJc w:val="left"/>
      <w:pPr>
        <w:ind w:left="2969" w:hanging="601"/>
      </w:pPr>
      <w:rPr>
        <w:rFonts w:hint="default"/>
        <w:lang w:val="zh-CN" w:eastAsia="zh-CN" w:bidi="zh-CN"/>
      </w:rPr>
    </w:lvl>
    <w:lvl w:ilvl="3" w:tentative="0">
      <w:start w:val="0"/>
      <w:numFmt w:val="bullet"/>
      <w:lvlText w:val="•"/>
      <w:lvlJc w:val="left"/>
      <w:pPr>
        <w:ind w:left="3783" w:hanging="601"/>
      </w:pPr>
      <w:rPr>
        <w:rFonts w:hint="default"/>
        <w:lang w:val="zh-CN" w:eastAsia="zh-CN" w:bidi="zh-CN"/>
      </w:rPr>
    </w:lvl>
    <w:lvl w:ilvl="4" w:tentative="0">
      <w:start w:val="0"/>
      <w:numFmt w:val="bullet"/>
      <w:lvlText w:val="•"/>
      <w:lvlJc w:val="left"/>
      <w:pPr>
        <w:ind w:left="4598"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227" w:hanging="601"/>
      </w:pPr>
      <w:rPr>
        <w:rFonts w:hint="default"/>
        <w:lang w:val="zh-CN" w:eastAsia="zh-CN" w:bidi="zh-CN"/>
      </w:rPr>
    </w:lvl>
    <w:lvl w:ilvl="7" w:tentative="0">
      <w:start w:val="0"/>
      <w:numFmt w:val="bullet"/>
      <w:lvlText w:val="•"/>
      <w:lvlJc w:val="left"/>
      <w:pPr>
        <w:ind w:left="7042" w:hanging="601"/>
      </w:pPr>
      <w:rPr>
        <w:rFonts w:hint="default"/>
        <w:lang w:val="zh-CN" w:eastAsia="zh-CN" w:bidi="zh-CN"/>
      </w:rPr>
    </w:lvl>
    <w:lvl w:ilvl="8" w:tentative="0">
      <w:start w:val="0"/>
      <w:numFmt w:val="bullet"/>
      <w:lvlText w:val="•"/>
      <w:lvlJc w:val="left"/>
      <w:pPr>
        <w:ind w:left="7857" w:hanging="601"/>
      </w:pPr>
      <w:rPr>
        <w:rFonts w:hint="default"/>
        <w:lang w:val="zh-CN" w:eastAsia="zh-CN" w:bidi="zh-CN"/>
      </w:rPr>
    </w:lvl>
  </w:abstractNum>
  <w:abstractNum w:abstractNumId="4">
    <w:nsid w:val="B44CEA41"/>
    <w:multiLevelType w:val="multilevel"/>
    <w:tmpl w:val="B44CEA41"/>
    <w:lvl w:ilvl="0" w:tentative="0">
      <w:start w:val="1"/>
      <w:numFmt w:val="decimal"/>
      <w:suff w:val="nothing"/>
      <w:lvlText w:val="（%1）"/>
      <w:lvlJc w:val="left"/>
      <w:pPr>
        <w:ind w:left="369" w:hanging="601"/>
        <w:jc w:val="left"/>
      </w:pPr>
      <w:rPr>
        <w:rFonts w:hint="default" w:ascii="宋体" w:hAnsi="宋体" w:eastAsia="宋体" w:cs="宋体"/>
        <w:spacing w:val="-46"/>
        <w:w w:val="100"/>
        <w:sz w:val="22"/>
        <w:szCs w:val="22"/>
        <w:lang w:val="zh-CN" w:eastAsia="zh-CN" w:bidi="zh-CN"/>
      </w:rPr>
    </w:lvl>
    <w:lvl w:ilvl="1" w:tentative="0">
      <w:start w:val="0"/>
      <w:numFmt w:val="bullet"/>
      <w:lvlText w:val="•"/>
      <w:lvlJc w:val="left"/>
      <w:pPr>
        <w:ind w:left="1272" w:hanging="601"/>
      </w:pPr>
      <w:rPr>
        <w:rFonts w:hint="default"/>
        <w:lang w:val="zh-CN" w:eastAsia="zh-CN" w:bidi="zh-CN"/>
      </w:rPr>
    </w:lvl>
    <w:lvl w:ilvl="2" w:tentative="0">
      <w:start w:val="0"/>
      <w:numFmt w:val="bullet"/>
      <w:lvlText w:val="•"/>
      <w:lvlJc w:val="left"/>
      <w:pPr>
        <w:ind w:left="2185" w:hanging="601"/>
      </w:pPr>
      <w:rPr>
        <w:rFonts w:hint="default"/>
        <w:lang w:val="zh-CN" w:eastAsia="zh-CN" w:bidi="zh-CN"/>
      </w:rPr>
    </w:lvl>
    <w:lvl w:ilvl="3" w:tentative="0">
      <w:start w:val="0"/>
      <w:numFmt w:val="bullet"/>
      <w:lvlText w:val="•"/>
      <w:lvlJc w:val="left"/>
      <w:pPr>
        <w:ind w:left="3097" w:hanging="601"/>
      </w:pPr>
      <w:rPr>
        <w:rFonts w:hint="default"/>
        <w:lang w:val="zh-CN" w:eastAsia="zh-CN" w:bidi="zh-CN"/>
      </w:rPr>
    </w:lvl>
    <w:lvl w:ilvl="4" w:tentative="0">
      <w:start w:val="0"/>
      <w:numFmt w:val="bullet"/>
      <w:lvlText w:val="•"/>
      <w:lvlJc w:val="left"/>
      <w:pPr>
        <w:ind w:left="4010" w:hanging="601"/>
      </w:pPr>
      <w:rPr>
        <w:rFonts w:hint="default"/>
        <w:lang w:val="zh-CN" w:eastAsia="zh-CN" w:bidi="zh-CN"/>
      </w:rPr>
    </w:lvl>
    <w:lvl w:ilvl="5" w:tentative="0">
      <w:start w:val="0"/>
      <w:numFmt w:val="bullet"/>
      <w:lvlText w:val="•"/>
      <w:lvlJc w:val="left"/>
      <w:pPr>
        <w:ind w:left="492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748" w:hanging="601"/>
      </w:pPr>
      <w:rPr>
        <w:rFonts w:hint="default"/>
        <w:lang w:val="zh-CN" w:eastAsia="zh-CN" w:bidi="zh-CN"/>
      </w:rPr>
    </w:lvl>
    <w:lvl w:ilvl="8" w:tentative="0">
      <w:start w:val="0"/>
      <w:numFmt w:val="bullet"/>
      <w:lvlText w:val="•"/>
      <w:lvlJc w:val="left"/>
      <w:pPr>
        <w:ind w:left="7661" w:hanging="601"/>
      </w:pPr>
      <w:rPr>
        <w:rFonts w:hint="default"/>
        <w:lang w:val="zh-CN" w:eastAsia="zh-CN" w:bidi="zh-CN"/>
      </w:rPr>
    </w:lvl>
  </w:abstractNum>
  <w:abstractNum w:abstractNumId="5">
    <w:nsid w:val="B831D421"/>
    <w:multiLevelType w:val="multilevel"/>
    <w:tmpl w:val="B831D421"/>
    <w:lvl w:ilvl="0" w:tentative="0">
      <w:start w:val="1"/>
      <w:numFmt w:val="decimal"/>
      <w:suff w:val="nothing"/>
      <w:lvlText w:val="（%1）"/>
      <w:lvlJc w:val="left"/>
      <w:pPr>
        <w:ind w:left="1330"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154" w:hanging="601"/>
      </w:pPr>
      <w:rPr>
        <w:rFonts w:hint="default"/>
        <w:lang w:val="zh-CN" w:eastAsia="zh-CN" w:bidi="zh-CN"/>
      </w:rPr>
    </w:lvl>
    <w:lvl w:ilvl="2" w:tentative="0">
      <w:start w:val="0"/>
      <w:numFmt w:val="bullet"/>
      <w:lvlText w:val="•"/>
      <w:lvlJc w:val="left"/>
      <w:pPr>
        <w:ind w:left="2969" w:hanging="601"/>
      </w:pPr>
      <w:rPr>
        <w:rFonts w:hint="default"/>
        <w:lang w:val="zh-CN" w:eastAsia="zh-CN" w:bidi="zh-CN"/>
      </w:rPr>
    </w:lvl>
    <w:lvl w:ilvl="3" w:tentative="0">
      <w:start w:val="0"/>
      <w:numFmt w:val="bullet"/>
      <w:lvlText w:val="•"/>
      <w:lvlJc w:val="left"/>
      <w:pPr>
        <w:ind w:left="3783" w:hanging="601"/>
      </w:pPr>
      <w:rPr>
        <w:rFonts w:hint="default"/>
        <w:lang w:val="zh-CN" w:eastAsia="zh-CN" w:bidi="zh-CN"/>
      </w:rPr>
    </w:lvl>
    <w:lvl w:ilvl="4" w:tentative="0">
      <w:start w:val="0"/>
      <w:numFmt w:val="bullet"/>
      <w:lvlText w:val="•"/>
      <w:lvlJc w:val="left"/>
      <w:pPr>
        <w:ind w:left="4598"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227" w:hanging="601"/>
      </w:pPr>
      <w:rPr>
        <w:rFonts w:hint="default"/>
        <w:lang w:val="zh-CN" w:eastAsia="zh-CN" w:bidi="zh-CN"/>
      </w:rPr>
    </w:lvl>
    <w:lvl w:ilvl="7" w:tentative="0">
      <w:start w:val="0"/>
      <w:numFmt w:val="bullet"/>
      <w:lvlText w:val="•"/>
      <w:lvlJc w:val="left"/>
      <w:pPr>
        <w:ind w:left="7042" w:hanging="601"/>
      </w:pPr>
      <w:rPr>
        <w:rFonts w:hint="default"/>
        <w:lang w:val="zh-CN" w:eastAsia="zh-CN" w:bidi="zh-CN"/>
      </w:rPr>
    </w:lvl>
    <w:lvl w:ilvl="8" w:tentative="0">
      <w:start w:val="0"/>
      <w:numFmt w:val="bullet"/>
      <w:lvlText w:val="•"/>
      <w:lvlJc w:val="left"/>
      <w:pPr>
        <w:ind w:left="7857" w:hanging="601"/>
      </w:pPr>
      <w:rPr>
        <w:rFonts w:hint="default"/>
        <w:lang w:val="zh-CN" w:eastAsia="zh-CN" w:bidi="zh-CN"/>
      </w:rPr>
    </w:lvl>
  </w:abstractNum>
  <w:abstractNum w:abstractNumId="6">
    <w:nsid w:val="C560BE57"/>
    <w:multiLevelType w:val="multilevel"/>
    <w:tmpl w:val="C560BE57"/>
    <w:lvl w:ilvl="0" w:tentative="0">
      <w:start w:val="2"/>
      <w:numFmt w:val="decimal"/>
      <w:lvlText w:val="%1."/>
      <w:lvlJc w:val="left"/>
      <w:pPr>
        <w:ind w:left="843" w:hanging="160"/>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1694" w:hanging="160"/>
      </w:pPr>
      <w:rPr>
        <w:rFonts w:hint="default"/>
        <w:lang w:val="zh-CN" w:eastAsia="zh-CN" w:bidi="zh-CN"/>
      </w:rPr>
    </w:lvl>
    <w:lvl w:ilvl="2" w:tentative="0">
      <w:start w:val="0"/>
      <w:numFmt w:val="bullet"/>
      <w:lvlText w:val="•"/>
      <w:lvlJc w:val="left"/>
      <w:pPr>
        <w:ind w:left="2549" w:hanging="160"/>
      </w:pPr>
      <w:rPr>
        <w:rFonts w:hint="default"/>
        <w:lang w:val="zh-CN" w:eastAsia="zh-CN" w:bidi="zh-CN"/>
      </w:rPr>
    </w:lvl>
    <w:lvl w:ilvl="3" w:tentative="0">
      <w:start w:val="0"/>
      <w:numFmt w:val="bullet"/>
      <w:lvlText w:val="•"/>
      <w:lvlJc w:val="left"/>
      <w:pPr>
        <w:ind w:left="3403" w:hanging="160"/>
      </w:pPr>
      <w:rPr>
        <w:rFonts w:hint="default"/>
        <w:lang w:val="zh-CN" w:eastAsia="zh-CN" w:bidi="zh-CN"/>
      </w:rPr>
    </w:lvl>
    <w:lvl w:ilvl="4" w:tentative="0">
      <w:start w:val="0"/>
      <w:numFmt w:val="bullet"/>
      <w:lvlText w:val="•"/>
      <w:lvlJc w:val="left"/>
      <w:pPr>
        <w:ind w:left="4258" w:hanging="160"/>
      </w:pPr>
      <w:rPr>
        <w:rFonts w:hint="default"/>
        <w:lang w:val="zh-CN" w:eastAsia="zh-CN" w:bidi="zh-CN"/>
      </w:rPr>
    </w:lvl>
    <w:lvl w:ilvl="5" w:tentative="0">
      <w:start w:val="0"/>
      <w:numFmt w:val="bullet"/>
      <w:lvlText w:val="•"/>
      <w:lvlJc w:val="left"/>
      <w:pPr>
        <w:ind w:left="5113" w:hanging="160"/>
      </w:pPr>
      <w:rPr>
        <w:rFonts w:hint="default"/>
        <w:lang w:val="zh-CN" w:eastAsia="zh-CN" w:bidi="zh-CN"/>
      </w:rPr>
    </w:lvl>
    <w:lvl w:ilvl="6" w:tentative="0">
      <w:start w:val="0"/>
      <w:numFmt w:val="bullet"/>
      <w:lvlText w:val="•"/>
      <w:lvlJc w:val="left"/>
      <w:pPr>
        <w:ind w:left="5967" w:hanging="160"/>
      </w:pPr>
      <w:rPr>
        <w:rFonts w:hint="default"/>
        <w:lang w:val="zh-CN" w:eastAsia="zh-CN" w:bidi="zh-CN"/>
      </w:rPr>
    </w:lvl>
    <w:lvl w:ilvl="7" w:tentative="0">
      <w:start w:val="0"/>
      <w:numFmt w:val="bullet"/>
      <w:lvlText w:val="•"/>
      <w:lvlJc w:val="left"/>
      <w:pPr>
        <w:ind w:left="6822" w:hanging="160"/>
      </w:pPr>
      <w:rPr>
        <w:rFonts w:hint="default"/>
        <w:lang w:val="zh-CN" w:eastAsia="zh-CN" w:bidi="zh-CN"/>
      </w:rPr>
    </w:lvl>
    <w:lvl w:ilvl="8" w:tentative="0">
      <w:start w:val="0"/>
      <w:numFmt w:val="bullet"/>
      <w:lvlText w:val="•"/>
      <w:lvlJc w:val="left"/>
      <w:pPr>
        <w:ind w:left="7677" w:hanging="160"/>
      </w:pPr>
      <w:rPr>
        <w:rFonts w:hint="default"/>
        <w:lang w:val="zh-CN" w:eastAsia="zh-CN" w:bidi="zh-CN"/>
      </w:rPr>
    </w:lvl>
  </w:abstractNum>
  <w:abstractNum w:abstractNumId="7">
    <w:nsid w:val="C98F6FB6"/>
    <w:multiLevelType w:val="multilevel"/>
    <w:tmpl w:val="C98F6FB6"/>
    <w:lvl w:ilvl="0" w:tentative="0">
      <w:start w:val="1"/>
      <w:numFmt w:val="decimal"/>
      <w:suff w:val="nothing"/>
      <w:lvlText w:val="（%1）"/>
      <w:lvlJc w:val="left"/>
      <w:pPr>
        <w:ind w:left="1330" w:hanging="601"/>
        <w:jc w:val="left"/>
      </w:pPr>
      <w:rPr>
        <w:rFonts w:hint="default" w:ascii="宋体" w:hAnsi="宋体" w:eastAsia="宋体" w:cs="宋体"/>
        <w:spacing w:val="-1"/>
        <w:w w:val="100"/>
        <w:sz w:val="24"/>
        <w:szCs w:val="24"/>
        <w:lang w:val="zh-CN" w:eastAsia="zh-CN" w:bidi="zh-CN"/>
      </w:rPr>
    </w:lvl>
    <w:lvl w:ilvl="1" w:tentative="0">
      <w:start w:val="0"/>
      <w:numFmt w:val="bullet"/>
      <w:lvlText w:val="•"/>
      <w:lvlJc w:val="left"/>
      <w:pPr>
        <w:ind w:left="2154" w:hanging="601"/>
      </w:pPr>
      <w:rPr>
        <w:rFonts w:hint="default"/>
        <w:lang w:val="zh-CN" w:eastAsia="zh-CN" w:bidi="zh-CN"/>
      </w:rPr>
    </w:lvl>
    <w:lvl w:ilvl="2" w:tentative="0">
      <w:start w:val="0"/>
      <w:numFmt w:val="bullet"/>
      <w:lvlText w:val="•"/>
      <w:lvlJc w:val="left"/>
      <w:pPr>
        <w:ind w:left="2969" w:hanging="601"/>
      </w:pPr>
      <w:rPr>
        <w:rFonts w:hint="default"/>
        <w:lang w:val="zh-CN" w:eastAsia="zh-CN" w:bidi="zh-CN"/>
      </w:rPr>
    </w:lvl>
    <w:lvl w:ilvl="3" w:tentative="0">
      <w:start w:val="0"/>
      <w:numFmt w:val="bullet"/>
      <w:lvlText w:val="•"/>
      <w:lvlJc w:val="left"/>
      <w:pPr>
        <w:ind w:left="3783" w:hanging="601"/>
      </w:pPr>
      <w:rPr>
        <w:rFonts w:hint="default"/>
        <w:lang w:val="zh-CN" w:eastAsia="zh-CN" w:bidi="zh-CN"/>
      </w:rPr>
    </w:lvl>
    <w:lvl w:ilvl="4" w:tentative="0">
      <w:start w:val="0"/>
      <w:numFmt w:val="bullet"/>
      <w:lvlText w:val="•"/>
      <w:lvlJc w:val="left"/>
      <w:pPr>
        <w:ind w:left="4598"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227" w:hanging="601"/>
      </w:pPr>
      <w:rPr>
        <w:rFonts w:hint="default"/>
        <w:lang w:val="zh-CN" w:eastAsia="zh-CN" w:bidi="zh-CN"/>
      </w:rPr>
    </w:lvl>
    <w:lvl w:ilvl="7" w:tentative="0">
      <w:start w:val="0"/>
      <w:numFmt w:val="bullet"/>
      <w:lvlText w:val="•"/>
      <w:lvlJc w:val="left"/>
      <w:pPr>
        <w:ind w:left="7042" w:hanging="601"/>
      </w:pPr>
      <w:rPr>
        <w:rFonts w:hint="default"/>
        <w:lang w:val="zh-CN" w:eastAsia="zh-CN" w:bidi="zh-CN"/>
      </w:rPr>
    </w:lvl>
    <w:lvl w:ilvl="8" w:tentative="0">
      <w:start w:val="0"/>
      <w:numFmt w:val="bullet"/>
      <w:lvlText w:val="•"/>
      <w:lvlJc w:val="left"/>
      <w:pPr>
        <w:ind w:left="7857" w:hanging="601"/>
      </w:pPr>
      <w:rPr>
        <w:rFonts w:hint="default"/>
        <w:lang w:val="zh-CN" w:eastAsia="zh-CN" w:bidi="zh-CN"/>
      </w:rPr>
    </w:lvl>
  </w:abstractNum>
  <w:abstractNum w:abstractNumId="8">
    <w:nsid w:val="E4D85DB5"/>
    <w:multiLevelType w:val="multilevel"/>
    <w:tmpl w:val="E4D85DB5"/>
    <w:lvl w:ilvl="0" w:tentative="0">
      <w:start w:val="1"/>
      <w:numFmt w:val="decimal"/>
      <w:lvlText w:val="%1."/>
      <w:lvlJc w:val="left"/>
      <w:pPr>
        <w:ind w:left="264" w:hanging="361"/>
        <w:jc w:val="right"/>
      </w:pPr>
      <w:rPr>
        <w:rFonts w:hint="default"/>
        <w:spacing w:val="-120"/>
        <w:w w:val="100"/>
        <w:lang w:val="zh-CN" w:eastAsia="zh-CN" w:bidi="zh-CN"/>
      </w:rPr>
    </w:lvl>
    <w:lvl w:ilvl="1" w:tentative="0">
      <w:start w:val="1"/>
      <w:numFmt w:val="decimal"/>
      <w:lvlText w:val="%1.%2"/>
      <w:lvlJc w:val="left"/>
      <w:pPr>
        <w:ind w:left="264" w:hanging="420"/>
        <w:jc w:val="left"/>
      </w:pPr>
      <w:rPr>
        <w:rFonts w:hint="default" w:ascii="Times New Roman" w:hAnsi="Times New Roman" w:eastAsia="Times New Roman" w:cs="Times New Roman"/>
        <w:spacing w:val="-120"/>
        <w:w w:val="99"/>
        <w:sz w:val="24"/>
        <w:szCs w:val="24"/>
        <w:lang w:val="zh-CN" w:eastAsia="zh-CN" w:bidi="zh-CN"/>
      </w:rPr>
    </w:lvl>
    <w:lvl w:ilvl="2" w:tentative="0">
      <w:start w:val="0"/>
      <w:numFmt w:val="bullet"/>
      <w:lvlText w:val="•"/>
      <w:lvlJc w:val="left"/>
      <w:pPr>
        <w:ind w:left="1140" w:hanging="420"/>
      </w:pPr>
      <w:rPr>
        <w:rFonts w:hint="default"/>
        <w:lang w:val="zh-CN" w:eastAsia="zh-CN" w:bidi="zh-CN"/>
      </w:rPr>
    </w:lvl>
    <w:lvl w:ilvl="3" w:tentative="0">
      <w:start w:val="0"/>
      <w:numFmt w:val="bullet"/>
      <w:lvlText w:val="•"/>
      <w:lvlJc w:val="left"/>
      <w:pPr>
        <w:ind w:left="2170" w:hanging="420"/>
      </w:pPr>
      <w:rPr>
        <w:rFonts w:hint="default"/>
        <w:lang w:val="zh-CN" w:eastAsia="zh-CN" w:bidi="zh-CN"/>
      </w:rPr>
    </w:lvl>
    <w:lvl w:ilvl="4" w:tentative="0">
      <w:start w:val="0"/>
      <w:numFmt w:val="bullet"/>
      <w:lvlText w:val="•"/>
      <w:lvlJc w:val="left"/>
      <w:pPr>
        <w:ind w:left="3201" w:hanging="420"/>
      </w:pPr>
      <w:rPr>
        <w:rFonts w:hint="default"/>
        <w:lang w:val="zh-CN" w:eastAsia="zh-CN" w:bidi="zh-CN"/>
      </w:rPr>
    </w:lvl>
    <w:lvl w:ilvl="5" w:tentative="0">
      <w:start w:val="0"/>
      <w:numFmt w:val="bullet"/>
      <w:lvlText w:val="•"/>
      <w:lvlJc w:val="left"/>
      <w:pPr>
        <w:ind w:left="4232" w:hanging="420"/>
      </w:pPr>
      <w:rPr>
        <w:rFonts w:hint="default"/>
        <w:lang w:val="zh-CN" w:eastAsia="zh-CN" w:bidi="zh-CN"/>
      </w:rPr>
    </w:lvl>
    <w:lvl w:ilvl="6" w:tentative="0">
      <w:start w:val="0"/>
      <w:numFmt w:val="bullet"/>
      <w:lvlText w:val="•"/>
      <w:lvlJc w:val="left"/>
      <w:pPr>
        <w:ind w:left="5263" w:hanging="420"/>
      </w:pPr>
      <w:rPr>
        <w:rFonts w:hint="default"/>
        <w:lang w:val="zh-CN" w:eastAsia="zh-CN" w:bidi="zh-CN"/>
      </w:rPr>
    </w:lvl>
    <w:lvl w:ilvl="7" w:tentative="0">
      <w:start w:val="0"/>
      <w:numFmt w:val="bullet"/>
      <w:lvlText w:val="•"/>
      <w:lvlJc w:val="left"/>
      <w:pPr>
        <w:ind w:left="6294" w:hanging="420"/>
      </w:pPr>
      <w:rPr>
        <w:rFonts w:hint="default"/>
        <w:lang w:val="zh-CN" w:eastAsia="zh-CN" w:bidi="zh-CN"/>
      </w:rPr>
    </w:lvl>
    <w:lvl w:ilvl="8" w:tentative="0">
      <w:start w:val="0"/>
      <w:numFmt w:val="bullet"/>
      <w:lvlText w:val="•"/>
      <w:lvlJc w:val="left"/>
      <w:pPr>
        <w:ind w:left="7324" w:hanging="420"/>
      </w:pPr>
      <w:rPr>
        <w:rFonts w:hint="default"/>
        <w:lang w:val="zh-CN" w:eastAsia="zh-CN" w:bidi="zh-CN"/>
      </w:rPr>
    </w:lvl>
  </w:abstractNum>
  <w:abstractNum w:abstractNumId="9">
    <w:nsid w:val="E8B03698"/>
    <w:multiLevelType w:val="multilevel"/>
    <w:tmpl w:val="E8B03698"/>
    <w:lvl w:ilvl="0" w:tentative="0">
      <w:start w:val="1"/>
      <w:numFmt w:val="decimal"/>
      <w:suff w:val="nothing"/>
      <w:lvlText w:val="（%1）"/>
      <w:lvlJc w:val="left"/>
      <w:pPr>
        <w:ind w:left="1330" w:hanging="60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154" w:hanging="601"/>
      </w:pPr>
      <w:rPr>
        <w:rFonts w:hint="default"/>
        <w:lang w:val="zh-CN" w:eastAsia="zh-CN" w:bidi="zh-CN"/>
      </w:rPr>
    </w:lvl>
    <w:lvl w:ilvl="2" w:tentative="0">
      <w:start w:val="0"/>
      <w:numFmt w:val="bullet"/>
      <w:lvlText w:val="•"/>
      <w:lvlJc w:val="left"/>
      <w:pPr>
        <w:ind w:left="2969" w:hanging="601"/>
      </w:pPr>
      <w:rPr>
        <w:rFonts w:hint="default"/>
        <w:lang w:val="zh-CN" w:eastAsia="zh-CN" w:bidi="zh-CN"/>
      </w:rPr>
    </w:lvl>
    <w:lvl w:ilvl="3" w:tentative="0">
      <w:start w:val="0"/>
      <w:numFmt w:val="bullet"/>
      <w:lvlText w:val="•"/>
      <w:lvlJc w:val="left"/>
      <w:pPr>
        <w:ind w:left="3783" w:hanging="601"/>
      </w:pPr>
      <w:rPr>
        <w:rFonts w:hint="default"/>
        <w:lang w:val="zh-CN" w:eastAsia="zh-CN" w:bidi="zh-CN"/>
      </w:rPr>
    </w:lvl>
    <w:lvl w:ilvl="4" w:tentative="0">
      <w:start w:val="0"/>
      <w:numFmt w:val="bullet"/>
      <w:lvlText w:val="•"/>
      <w:lvlJc w:val="left"/>
      <w:pPr>
        <w:ind w:left="4598" w:hanging="601"/>
      </w:pPr>
      <w:rPr>
        <w:rFonts w:hint="default"/>
        <w:lang w:val="zh-CN" w:eastAsia="zh-CN" w:bidi="zh-CN"/>
      </w:rPr>
    </w:lvl>
    <w:lvl w:ilvl="5" w:tentative="0">
      <w:start w:val="0"/>
      <w:numFmt w:val="bullet"/>
      <w:lvlText w:val="•"/>
      <w:lvlJc w:val="left"/>
      <w:pPr>
        <w:ind w:left="5413" w:hanging="601"/>
      </w:pPr>
      <w:rPr>
        <w:rFonts w:hint="default"/>
        <w:lang w:val="zh-CN" w:eastAsia="zh-CN" w:bidi="zh-CN"/>
      </w:rPr>
    </w:lvl>
    <w:lvl w:ilvl="6" w:tentative="0">
      <w:start w:val="0"/>
      <w:numFmt w:val="bullet"/>
      <w:lvlText w:val="•"/>
      <w:lvlJc w:val="left"/>
      <w:pPr>
        <w:ind w:left="6227" w:hanging="601"/>
      </w:pPr>
      <w:rPr>
        <w:rFonts w:hint="default"/>
        <w:lang w:val="zh-CN" w:eastAsia="zh-CN" w:bidi="zh-CN"/>
      </w:rPr>
    </w:lvl>
    <w:lvl w:ilvl="7" w:tentative="0">
      <w:start w:val="0"/>
      <w:numFmt w:val="bullet"/>
      <w:lvlText w:val="•"/>
      <w:lvlJc w:val="left"/>
      <w:pPr>
        <w:ind w:left="7042" w:hanging="601"/>
      </w:pPr>
      <w:rPr>
        <w:rFonts w:hint="default"/>
        <w:lang w:val="zh-CN" w:eastAsia="zh-CN" w:bidi="zh-CN"/>
      </w:rPr>
    </w:lvl>
    <w:lvl w:ilvl="8" w:tentative="0">
      <w:start w:val="0"/>
      <w:numFmt w:val="bullet"/>
      <w:lvlText w:val="•"/>
      <w:lvlJc w:val="left"/>
      <w:pPr>
        <w:ind w:left="7857" w:hanging="601"/>
      </w:pPr>
      <w:rPr>
        <w:rFonts w:hint="default"/>
        <w:lang w:val="zh-CN" w:eastAsia="zh-CN" w:bidi="zh-CN"/>
      </w:rPr>
    </w:lvl>
  </w:abstractNum>
  <w:abstractNum w:abstractNumId="10">
    <w:nsid w:val="F54273BF"/>
    <w:multiLevelType w:val="multilevel"/>
    <w:tmpl w:val="F54273BF"/>
    <w:lvl w:ilvl="0" w:tentative="0">
      <w:start w:val="1"/>
      <w:numFmt w:val="decimal"/>
      <w:suff w:val="nothing"/>
      <w:lvlText w:val="（%1）"/>
      <w:lvlJc w:val="left"/>
      <w:pPr>
        <w:ind w:left="369" w:hanging="601"/>
        <w:jc w:val="left"/>
      </w:pPr>
      <w:rPr>
        <w:rFonts w:hint="default" w:ascii="宋体" w:hAnsi="宋体" w:eastAsia="宋体" w:cs="宋体"/>
        <w:spacing w:val="-20"/>
        <w:w w:val="100"/>
        <w:sz w:val="22"/>
        <w:szCs w:val="22"/>
        <w:lang w:val="zh-CN" w:eastAsia="zh-CN" w:bidi="zh-CN"/>
      </w:rPr>
    </w:lvl>
    <w:lvl w:ilvl="1" w:tentative="0">
      <w:start w:val="0"/>
      <w:numFmt w:val="bullet"/>
      <w:lvlText w:val="•"/>
      <w:lvlJc w:val="left"/>
      <w:pPr>
        <w:ind w:left="1272" w:hanging="601"/>
      </w:pPr>
      <w:rPr>
        <w:rFonts w:hint="default"/>
        <w:lang w:val="zh-CN" w:eastAsia="zh-CN" w:bidi="zh-CN"/>
      </w:rPr>
    </w:lvl>
    <w:lvl w:ilvl="2" w:tentative="0">
      <w:start w:val="0"/>
      <w:numFmt w:val="bullet"/>
      <w:lvlText w:val="•"/>
      <w:lvlJc w:val="left"/>
      <w:pPr>
        <w:ind w:left="2185" w:hanging="601"/>
      </w:pPr>
      <w:rPr>
        <w:rFonts w:hint="default"/>
        <w:lang w:val="zh-CN" w:eastAsia="zh-CN" w:bidi="zh-CN"/>
      </w:rPr>
    </w:lvl>
    <w:lvl w:ilvl="3" w:tentative="0">
      <w:start w:val="0"/>
      <w:numFmt w:val="bullet"/>
      <w:lvlText w:val="•"/>
      <w:lvlJc w:val="left"/>
      <w:pPr>
        <w:ind w:left="3097" w:hanging="601"/>
      </w:pPr>
      <w:rPr>
        <w:rFonts w:hint="default"/>
        <w:lang w:val="zh-CN" w:eastAsia="zh-CN" w:bidi="zh-CN"/>
      </w:rPr>
    </w:lvl>
    <w:lvl w:ilvl="4" w:tentative="0">
      <w:start w:val="0"/>
      <w:numFmt w:val="bullet"/>
      <w:lvlText w:val="•"/>
      <w:lvlJc w:val="left"/>
      <w:pPr>
        <w:ind w:left="4010" w:hanging="601"/>
      </w:pPr>
      <w:rPr>
        <w:rFonts w:hint="default"/>
        <w:lang w:val="zh-CN" w:eastAsia="zh-CN" w:bidi="zh-CN"/>
      </w:rPr>
    </w:lvl>
    <w:lvl w:ilvl="5" w:tentative="0">
      <w:start w:val="0"/>
      <w:numFmt w:val="bullet"/>
      <w:lvlText w:val="•"/>
      <w:lvlJc w:val="left"/>
      <w:pPr>
        <w:ind w:left="492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748" w:hanging="601"/>
      </w:pPr>
      <w:rPr>
        <w:rFonts w:hint="default"/>
        <w:lang w:val="zh-CN" w:eastAsia="zh-CN" w:bidi="zh-CN"/>
      </w:rPr>
    </w:lvl>
    <w:lvl w:ilvl="8" w:tentative="0">
      <w:start w:val="0"/>
      <w:numFmt w:val="bullet"/>
      <w:lvlText w:val="•"/>
      <w:lvlJc w:val="left"/>
      <w:pPr>
        <w:ind w:left="7661" w:hanging="601"/>
      </w:pPr>
      <w:rPr>
        <w:rFonts w:hint="default"/>
        <w:lang w:val="zh-CN" w:eastAsia="zh-CN" w:bidi="zh-CN"/>
      </w:rPr>
    </w:lvl>
  </w:abstractNum>
  <w:abstractNum w:abstractNumId="11">
    <w:nsid w:val="F97CED97"/>
    <w:multiLevelType w:val="multilevel"/>
    <w:tmpl w:val="F97CED97"/>
    <w:lvl w:ilvl="0" w:tentative="0">
      <w:start w:val="1"/>
      <w:numFmt w:val="decimal"/>
      <w:lvlText w:val="%1."/>
      <w:lvlJc w:val="left"/>
      <w:pPr>
        <w:ind w:left="1204" w:hanging="300"/>
        <w:jc w:val="left"/>
      </w:pPr>
      <w:rPr>
        <w:rFonts w:hint="default" w:ascii="Times New Roman" w:hAnsi="Times New Roman" w:eastAsia="Times New Roman" w:cs="Times New Roman"/>
        <w:spacing w:val="-120"/>
        <w:w w:val="100"/>
        <w:sz w:val="24"/>
        <w:szCs w:val="24"/>
        <w:lang w:val="zh-CN" w:eastAsia="zh-CN" w:bidi="zh-CN"/>
      </w:rPr>
    </w:lvl>
    <w:lvl w:ilvl="1" w:tentative="0">
      <w:start w:val="0"/>
      <w:numFmt w:val="bullet"/>
      <w:lvlText w:val="•"/>
      <w:lvlJc w:val="left"/>
      <w:pPr>
        <w:ind w:left="880" w:hanging="300"/>
      </w:pPr>
      <w:rPr>
        <w:rFonts w:hint="default"/>
        <w:lang w:val="zh-CN" w:eastAsia="zh-CN" w:bidi="zh-CN"/>
      </w:rPr>
    </w:lvl>
    <w:lvl w:ilvl="2" w:tentative="0">
      <w:start w:val="0"/>
      <w:numFmt w:val="bullet"/>
      <w:lvlText w:val="•"/>
      <w:lvlJc w:val="left"/>
      <w:pPr>
        <w:ind w:left="1200" w:hanging="300"/>
      </w:pPr>
      <w:rPr>
        <w:rFonts w:hint="default"/>
        <w:lang w:val="zh-CN" w:eastAsia="zh-CN" w:bidi="zh-CN"/>
      </w:rPr>
    </w:lvl>
    <w:lvl w:ilvl="3" w:tentative="0">
      <w:start w:val="0"/>
      <w:numFmt w:val="bullet"/>
      <w:lvlText w:val="•"/>
      <w:lvlJc w:val="left"/>
      <w:pPr>
        <w:ind w:left="2235" w:hanging="300"/>
      </w:pPr>
      <w:rPr>
        <w:rFonts w:hint="default"/>
        <w:lang w:val="zh-CN" w:eastAsia="zh-CN" w:bidi="zh-CN"/>
      </w:rPr>
    </w:lvl>
    <w:lvl w:ilvl="4" w:tentative="0">
      <w:start w:val="0"/>
      <w:numFmt w:val="bullet"/>
      <w:lvlText w:val="•"/>
      <w:lvlJc w:val="left"/>
      <w:pPr>
        <w:ind w:left="3271" w:hanging="300"/>
      </w:pPr>
      <w:rPr>
        <w:rFonts w:hint="default"/>
        <w:lang w:val="zh-CN" w:eastAsia="zh-CN" w:bidi="zh-CN"/>
      </w:rPr>
    </w:lvl>
    <w:lvl w:ilvl="5" w:tentative="0">
      <w:start w:val="0"/>
      <w:numFmt w:val="bullet"/>
      <w:lvlText w:val="•"/>
      <w:lvlJc w:val="left"/>
      <w:pPr>
        <w:ind w:left="4307" w:hanging="300"/>
      </w:pPr>
      <w:rPr>
        <w:rFonts w:hint="default"/>
        <w:lang w:val="zh-CN" w:eastAsia="zh-CN" w:bidi="zh-CN"/>
      </w:rPr>
    </w:lvl>
    <w:lvl w:ilvl="6" w:tentative="0">
      <w:start w:val="0"/>
      <w:numFmt w:val="bullet"/>
      <w:lvlText w:val="•"/>
      <w:lvlJc w:val="left"/>
      <w:pPr>
        <w:ind w:left="5343" w:hanging="300"/>
      </w:pPr>
      <w:rPr>
        <w:rFonts w:hint="default"/>
        <w:lang w:val="zh-CN" w:eastAsia="zh-CN" w:bidi="zh-CN"/>
      </w:rPr>
    </w:lvl>
    <w:lvl w:ilvl="7" w:tentative="0">
      <w:start w:val="0"/>
      <w:numFmt w:val="bullet"/>
      <w:lvlText w:val="•"/>
      <w:lvlJc w:val="left"/>
      <w:pPr>
        <w:ind w:left="6379" w:hanging="300"/>
      </w:pPr>
      <w:rPr>
        <w:rFonts w:hint="default"/>
        <w:lang w:val="zh-CN" w:eastAsia="zh-CN" w:bidi="zh-CN"/>
      </w:rPr>
    </w:lvl>
    <w:lvl w:ilvl="8" w:tentative="0">
      <w:start w:val="0"/>
      <w:numFmt w:val="bullet"/>
      <w:lvlText w:val="•"/>
      <w:lvlJc w:val="left"/>
      <w:pPr>
        <w:ind w:left="7414" w:hanging="300"/>
      </w:pPr>
      <w:rPr>
        <w:rFonts w:hint="default"/>
        <w:lang w:val="zh-CN" w:eastAsia="zh-CN" w:bidi="zh-CN"/>
      </w:rPr>
    </w:lvl>
  </w:abstractNum>
  <w:abstractNum w:abstractNumId="12">
    <w:nsid w:val="0A91BA48"/>
    <w:multiLevelType w:val="singleLevel"/>
    <w:tmpl w:val="0A91BA48"/>
    <w:lvl w:ilvl="0" w:tentative="0">
      <w:start w:val="1"/>
      <w:numFmt w:val="chineseCounting"/>
      <w:lvlText w:val="第%1节"/>
      <w:lvlJc w:val="left"/>
      <w:rPr>
        <w:rFonts w:hint="eastAsia"/>
      </w:rPr>
    </w:lvl>
  </w:abstractNum>
  <w:abstractNum w:abstractNumId="13">
    <w:nsid w:val="1DEB737C"/>
    <w:multiLevelType w:val="multilevel"/>
    <w:tmpl w:val="1DEB737C"/>
    <w:lvl w:ilvl="0" w:tentative="0">
      <w:start w:val="2"/>
      <w:numFmt w:val="decimal"/>
      <w:lvlText w:val="%1."/>
      <w:lvlJc w:val="left"/>
      <w:pPr>
        <w:ind w:left="843" w:hanging="160"/>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1694" w:hanging="160"/>
      </w:pPr>
      <w:rPr>
        <w:rFonts w:hint="default"/>
        <w:lang w:val="zh-CN" w:eastAsia="zh-CN" w:bidi="zh-CN"/>
      </w:rPr>
    </w:lvl>
    <w:lvl w:ilvl="2" w:tentative="0">
      <w:start w:val="0"/>
      <w:numFmt w:val="bullet"/>
      <w:lvlText w:val="•"/>
      <w:lvlJc w:val="left"/>
      <w:pPr>
        <w:ind w:left="2549" w:hanging="160"/>
      </w:pPr>
      <w:rPr>
        <w:rFonts w:hint="default"/>
        <w:lang w:val="zh-CN" w:eastAsia="zh-CN" w:bidi="zh-CN"/>
      </w:rPr>
    </w:lvl>
    <w:lvl w:ilvl="3" w:tentative="0">
      <w:start w:val="0"/>
      <w:numFmt w:val="bullet"/>
      <w:lvlText w:val="•"/>
      <w:lvlJc w:val="left"/>
      <w:pPr>
        <w:ind w:left="3403" w:hanging="160"/>
      </w:pPr>
      <w:rPr>
        <w:rFonts w:hint="default"/>
        <w:lang w:val="zh-CN" w:eastAsia="zh-CN" w:bidi="zh-CN"/>
      </w:rPr>
    </w:lvl>
    <w:lvl w:ilvl="4" w:tentative="0">
      <w:start w:val="0"/>
      <w:numFmt w:val="bullet"/>
      <w:lvlText w:val="•"/>
      <w:lvlJc w:val="left"/>
      <w:pPr>
        <w:ind w:left="4258" w:hanging="160"/>
      </w:pPr>
      <w:rPr>
        <w:rFonts w:hint="default"/>
        <w:lang w:val="zh-CN" w:eastAsia="zh-CN" w:bidi="zh-CN"/>
      </w:rPr>
    </w:lvl>
    <w:lvl w:ilvl="5" w:tentative="0">
      <w:start w:val="0"/>
      <w:numFmt w:val="bullet"/>
      <w:lvlText w:val="•"/>
      <w:lvlJc w:val="left"/>
      <w:pPr>
        <w:ind w:left="5113" w:hanging="160"/>
      </w:pPr>
      <w:rPr>
        <w:rFonts w:hint="default"/>
        <w:lang w:val="zh-CN" w:eastAsia="zh-CN" w:bidi="zh-CN"/>
      </w:rPr>
    </w:lvl>
    <w:lvl w:ilvl="6" w:tentative="0">
      <w:start w:val="0"/>
      <w:numFmt w:val="bullet"/>
      <w:lvlText w:val="•"/>
      <w:lvlJc w:val="left"/>
      <w:pPr>
        <w:ind w:left="5967" w:hanging="160"/>
      </w:pPr>
      <w:rPr>
        <w:rFonts w:hint="default"/>
        <w:lang w:val="zh-CN" w:eastAsia="zh-CN" w:bidi="zh-CN"/>
      </w:rPr>
    </w:lvl>
    <w:lvl w:ilvl="7" w:tentative="0">
      <w:start w:val="0"/>
      <w:numFmt w:val="bullet"/>
      <w:lvlText w:val="•"/>
      <w:lvlJc w:val="left"/>
      <w:pPr>
        <w:ind w:left="6822" w:hanging="160"/>
      </w:pPr>
      <w:rPr>
        <w:rFonts w:hint="default"/>
        <w:lang w:val="zh-CN" w:eastAsia="zh-CN" w:bidi="zh-CN"/>
      </w:rPr>
    </w:lvl>
    <w:lvl w:ilvl="8" w:tentative="0">
      <w:start w:val="0"/>
      <w:numFmt w:val="bullet"/>
      <w:lvlText w:val="•"/>
      <w:lvlJc w:val="left"/>
      <w:pPr>
        <w:ind w:left="7677" w:hanging="160"/>
      </w:pPr>
      <w:rPr>
        <w:rFonts w:hint="default"/>
        <w:lang w:val="zh-CN" w:eastAsia="zh-CN" w:bidi="zh-CN"/>
      </w:rPr>
    </w:lvl>
  </w:abstractNum>
  <w:abstractNum w:abstractNumId="14">
    <w:nsid w:val="6DC36F60"/>
    <w:multiLevelType w:val="singleLevel"/>
    <w:tmpl w:val="6DC36F60"/>
    <w:lvl w:ilvl="0" w:tentative="0">
      <w:start w:val="3"/>
      <w:numFmt w:val="chineseCounting"/>
      <w:suff w:val="nothing"/>
      <w:lvlText w:val="（%1）"/>
      <w:lvlJc w:val="left"/>
      <w:rPr>
        <w:rFonts w:hint="eastAsia"/>
      </w:rPr>
    </w:lvl>
  </w:abstractNum>
  <w:abstractNum w:abstractNumId="15">
    <w:nsid w:val="781BB26F"/>
    <w:multiLevelType w:val="singleLevel"/>
    <w:tmpl w:val="781BB26F"/>
    <w:lvl w:ilvl="0" w:tentative="0">
      <w:start w:val="7"/>
      <w:numFmt w:val="chineseCounting"/>
      <w:suff w:val="nothing"/>
      <w:lvlText w:val="%1、"/>
      <w:lvlJc w:val="left"/>
      <w:rPr>
        <w:rFonts w:hint="eastAsia"/>
      </w:rPr>
    </w:lvl>
  </w:abstractNum>
  <w:num w:numId="1">
    <w:abstractNumId w:val="7"/>
  </w:num>
  <w:num w:numId="2">
    <w:abstractNumId w:val="5"/>
  </w:num>
  <w:num w:numId="3">
    <w:abstractNumId w:val="3"/>
  </w:num>
  <w:num w:numId="4">
    <w:abstractNumId w:val="9"/>
  </w:num>
  <w:num w:numId="5">
    <w:abstractNumId w:val="0"/>
  </w:num>
  <w:num w:numId="6">
    <w:abstractNumId w:val="10"/>
  </w:num>
  <w:num w:numId="7">
    <w:abstractNumId w:val="4"/>
  </w:num>
  <w:num w:numId="8">
    <w:abstractNumId w:val="12"/>
  </w:num>
  <w:num w:numId="9">
    <w:abstractNumId w:val="11"/>
  </w:num>
  <w:num w:numId="10">
    <w:abstractNumId w:val="1"/>
  </w:num>
  <w:num w:numId="11">
    <w:abstractNumId w:val="2"/>
  </w:num>
  <w:num w:numId="12">
    <w:abstractNumId w:val="14"/>
  </w:num>
  <w:num w:numId="13">
    <w:abstractNumId w:val="6"/>
  </w:num>
  <w:num w:numId="14">
    <w:abstractNumId w:val="13"/>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 w:name="KSO_WPS_MARK_KEY" w:val="f8309274-c506-467e-b698-58c774ae6ada"/>
  </w:docVars>
  <w:rsids>
    <w:rsidRoot w:val="00000000"/>
    <w:rsid w:val="00110DB9"/>
    <w:rsid w:val="0027677D"/>
    <w:rsid w:val="008F3099"/>
    <w:rsid w:val="00B259A6"/>
    <w:rsid w:val="01213B66"/>
    <w:rsid w:val="015123B9"/>
    <w:rsid w:val="01E000C7"/>
    <w:rsid w:val="02271F3B"/>
    <w:rsid w:val="02AA6694"/>
    <w:rsid w:val="02BF15A4"/>
    <w:rsid w:val="02F92D08"/>
    <w:rsid w:val="03460588"/>
    <w:rsid w:val="03920A67"/>
    <w:rsid w:val="039667A9"/>
    <w:rsid w:val="039B7DD9"/>
    <w:rsid w:val="03A62D85"/>
    <w:rsid w:val="03AC1B29"/>
    <w:rsid w:val="03E52ED2"/>
    <w:rsid w:val="044170B5"/>
    <w:rsid w:val="04F976CE"/>
    <w:rsid w:val="05015EA4"/>
    <w:rsid w:val="05BF5A51"/>
    <w:rsid w:val="05DA7A44"/>
    <w:rsid w:val="065E672F"/>
    <w:rsid w:val="06E9634B"/>
    <w:rsid w:val="06EE6695"/>
    <w:rsid w:val="077010BF"/>
    <w:rsid w:val="081A339A"/>
    <w:rsid w:val="083A7ED1"/>
    <w:rsid w:val="08BC0A60"/>
    <w:rsid w:val="08CA1531"/>
    <w:rsid w:val="08E65ADD"/>
    <w:rsid w:val="09605666"/>
    <w:rsid w:val="09DF42DA"/>
    <w:rsid w:val="09E46690"/>
    <w:rsid w:val="0A206DCD"/>
    <w:rsid w:val="0A252635"/>
    <w:rsid w:val="0A2668AC"/>
    <w:rsid w:val="0A292BA4"/>
    <w:rsid w:val="0A8C5F4A"/>
    <w:rsid w:val="0B325009"/>
    <w:rsid w:val="0B424B21"/>
    <w:rsid w:val="0B744718"/>
    <w:rsid w:val="0BB8019E"/>
    <w:rsid w:val="0C247824"/>
    <w:rsid w:val="0CEB2686"/>
    <w:rsid w:val="0D38267F"/>
    <w:rsid w:val="0D771D03"/>
    <w:rsid w:val="0DFC36AD"/>
    <w:rsid w:val="0E1E1875"/>
    <w:rsid w:val="0E8F02B9"/>
    <w:rsid w:val="0ECC307F"/>
    <w:rsid w:val="0F052A35"/>
    <w:rsid w:val="0FF85C39"/>
    <w:rsid w:val="101051ED"/>
    <w:rsid w:val="10936427"/>
    <w:rsid w:val="10D2051E"/>
    <w:rsid w:val="10D861E3"/>
    <w:rsid w:val="111F58B7"/>
    <w:rsid w:val="113A6143"/>
    <w:rsid w:val="11592BC4"/>
    <w:rsid w:val="11934328"/>
    <w:rsid w:val="11A46535"/>
    <w:rsid w:val="11CB2F87"/>
    <w:rsid w:val="11D746F8"/>
    <w:rsid w:val="11F56D91"/>
    <w:rsid w:val="11F63532"/>
    <w:rsid w:val="1217203B"/>
    <w:rsid w:val="12353AA9"/>
    <w:rsid w:val="12DA480F"/>
    <w:rsid w:val="12F966CC"/>
    <w:rsid w:val="13441D7E"/>
    <w:rsid w:val="1356385F"/>
    <w:rsid w:val="137A0AE9"/>
    <w:rsid w:val="13C13857"/>
    <w:rsid w:val="14306D85"/>
    <w:rsid w:val="14667AD2"/>
    <w:rsid w:val="14BA7E1E"/>
    <w:rsid w:val="14BF5434"/>
    <w:rsid w:val="14C900B7"/>
    <w:rsid w:val="14DA003D"/>
    <w:rsid w:val="14E63A12"/>
    <w:rsid w:val="14EA2040"/>
    <w:rsid w:val="14EA24B1"/>
    <w:rsid w:val="150115A9"/>
    <w:rsid w:val="154C6CC8"/>
    <w:rsid w:val="15744D00"/>
    <w:rsid w:val="168406E3"/>
    <w:rsid w:val="16890584"/>
    <w:rsid w:val="1698541C"/>
    <w:rsid w:val="16B8098B"/>
    <w:rsid w:val="16D451C7"/>
    <w:rsid w:val="16F45869"/>
    <w:rsid w:val="16FA0C31"/>
    <w:rsid w:val="170610F8"/>
    <w:rsid w:val="17285513"/>
    <w:rsid w:val="174C3061"/>
    <w:rsid w:val="174F0CF1"/>
    <w:rsid w:val="174F7030"/>
    <w:rsid w:val="17DA29E1"/>
    <w:rsid w:val="18036780"/>
    <w:rsid w:val="182E3D76"/>
    <w:rsid w:val="1850285F"/>
    <w:rsid w:val="189F6908"/>
    <w:rsid w:val="195760EA"/>
    <w:rsid w:val="1A514D80"/>
    <w:rsid w:val="1AC94CF5"/>
    <w:rsid w:val="1B3F0D20"/>
    <w:rsid w:val="1B4B17D0"/>
    <w:rsid w:val="1BBC6127"/>
    <w:rsid w:val="1BF227B5"/>
    <w:rsid w:val="1C014D0E"/>
    <w:rsid w:val="1C2D58AD"/>
    <w:rsid w:val="1C68476F"/>
    <w:rsid w:val="1C7971BA"/>
    <w:rsid w:val="1CD13B74"/>
    <w:rsid w:val="1CF55E97"/>
    <w:rsid w:val="1D0D1432"/>
    <w:rsid w:val="1D30411E"/>
    <w:rsid w:val="1D594678"/>
    <w:rsid w:val="1DA9445C"/>
    <w:rsid w:val="1E592455"/>
    <w:rsid w:val="1E594203"/>
    <w:rsid w:val="1EA731C1"/>
    <w:rsid w:val="1EAB0F03"/>
    <w:rsid w:val="1EB458DE"/>
    <w:rsid w:val="1EC01FDA"/>
    <w:rsid w:val="1ECC0E79"/>
    <w:rsid w:val="1F542115"/>
    <w:rsid w:val="1F6E513F"/>
    <w:rsid w:val="1F7E4F01"/>
    <w:rsid w:val="1F8B0310"/>
    <w:rsid w:val="1FC85AE5"/>
    <w:rsid w:val="20000B35"/>
    <w:rsid w:val="20194161"/>
    <w:rsid w:val="20466D7F"/>
    <w:rsid w:val="206E043A"/>
    <w:rsid w:val="210320DB"/>
    <w:rsid w:val="210B68C5"/>
    <w:rsid w:val="21535882"/>
    <w:rsid w:val="219C708E"/>
    <w:rsid w:val="21B85B1A"/>
    <w:rsid w:val="21DA38AD"/>
    <w:rsid w:val="21F4496F"/>
    <w:rsid w:val="21F96062"/>
    <w:rsid w:val="22481A55"/>
    <w:rsid w:val="227930C6"/>
    <w:rsid w:val="228757E3"/>
    <w:rsid w:val="22D64B16"/>
    <w:rsid w:val="22F23BAE"/>
    <w:rsid w:val="23870525"/>
    <w:rsid w:val="23CD191B"/>
    <w:rsid w:val="23D52D51"/>
    <w:rsid w:val="24182535"/>
    <w:rsid w:val="244119C2"/>
    <w:rsid w:val="245552CB"/>
    <w:rsid w:val="250A75A1"/>
    <w:rsid w:val="251B0465"/>
    <w:rsid w:val="256D7CE0"/>
    <w:rsid w:val="25771292"/>
    <w:rsid w:val="25C57850"/>
    <w:rsid w:val="265359DC"/>
    <w:rsid w:val="26B046FA"/>
    <w:rsid w:val="27421798"/>
    <w:rsid w:val="276E51C4"/>
    <w:rsid w:val="27C13D00"/>
    <w:rsid w:val="27C13EDC"/>
    <w:rsid w:val="27CA2CF9"/>
    <w:rsid w:val="280D678A"/>
    <w:rsid w:val="2835183D"/>
    <w:rsid w:val="28387190"/>
    <w:rsid w:val="285443B9"/>
    <w:rsid w:val="28654A9B"/>
    <w:rsid w:val="28DB0637"/>
    <w:rsid w:val="28E76FDC"/>
    <w:rsid w:val="290336EA"/>
    <w:rsid w:val="294C32E2"/>
    <w:rsid w:val="298876F1"/>
    <w:rsid w:val="29A053DC"/>
    <w:rsid w:val="29EE5DE5"/>
    <w:rsid w:val="2A1025E1"/>
    <w:rsid w:val="2A600AAE"/>
    <w:rsid w:val="2A6C52BE"/>
    <w:rsid w:val="2B2C7C10"/>
    <w:rsid w:val="2B382728"/>
    <w:rsid w:val="2B3D09AB"/>
    <w:rsid w:val="2B45648A"/>
    <w:rsid w:val="2B6761B2"/>
    <w:rsid w:val="2B701F2A"/>
    <w:rsid w:val="2B9234FB"/>
    <w:rsid w:val="2BDC13C0"/>
    <w:rsid w:val="2BED7625"/>
    <w:rsid w:val="2C776ADF"/>
    <w:rsid w:val="2C832D13"/>
    <w:rsid w:val="2CA3162D"/>
    <w:rsid w:val="2CEF44ED"/>
    <w:rsid w:val="2DAC2660"/>
    <w:rsid w:val="2DFE26D1"/>
    <w:rsid w:val="2E6B6A74"/>
    <w:rsid w:val="2EB705C1"/>
    <w:rsid w:val="2ED3358E"/>
    <w:rsid w:val="2F1039AD"/>
    <w:rsid w:val="2F2E38E2"/>
    <w:rsid w:val="2F713AA3"/>
    <w:rsid w:val="2F7C2A2E"/>
    <w:rsid w:val="2F9108B6"/>
    <w:rsid w:val="30136908"/>
    <w:rsid w:val="30444929"/>
    <w:rsid w:val="305B6BE1"/>
    <w:rsid w:val="306F3E72"/>
    <w:rsid w:val="309F1C4E"/>
    <w:rsid w:val="3163566D"/>
    <w:rsid w:val="31E736B6"/>
    <w:rsid w:val="325B00F2"/>
    <w:rsid w:val="32A47CEB"/>
    <w:rsid w:val="33093FF2"/>
    <w:rsid w:val="330A3B0F"/>
    <w:rsid w:val="332826CA"/>
    <w:rsid w:val="336351DF"/>
    <w:rsid w:val="33AF6948"/>
    <w:rsid w:val="33B201E6"/>
    <w:rsid w:val="343828D5"/>
    <w:rsid w:val="3460478E"/>
    <w:rsid w:val="347131F5"/>
    <w:rsid w:val="34C72AC7"/>
    <w:rsid w:val="34D50630"/>
    <w:rsid w:val="350473FF"/>
    <w:rsid w:val="35BC6B1C"/>
    <w:rsid w:val="35EB3E83"/>
    <w:rsid w:val="360B2D37"/>
    <w:rsid w:val="365D7CB9"/>
    <w:rsid w:val="36C56482"/>
    <w:rsid w:val="36DF58E9"/>
    <w:rsid w:val="3717336C"/>
    <w:rsid w:val="37384199"/>
    <w:rsid w:val="37606068"/>
    <w:rsid w:val="3779679F"/>
    <w:rsid w:val="377A101B"/>
    <w:rsid w:val="3783372B"/>
    <w:rsid w:val="37D90437"/>
    <w:rsid w:val="37F126BC"/>
    <w:rsid w:val="38163439"/>
    <w:rsid w:val="3885411B"/>
    <w:rsid w:val="390369D1"/>
    <w:rsid w:val="39205BF2"/>
    <w:rsid w:val="3934169D"/>
    <w:rsid w:val="3982604D"/>
    <w:rsid w:val="39930BD6"/>
    <w:rsid w:val="39A6259B"/>
    <w:rsid w:val="39CD5569"/>
    <w:rsid w:val="39D569DC"/>
    <w:rsid w:val="39D87FB9"/>
    <w:rsid w:val="39E44930"/>
    <w:rsid w:val="39E52C5E"/>
    <w:rsid w:val="39E915AC"/>
    <w:rsid w:val="39EE67FC"/>
    <w:rsid w:val="3A6039CC"/>
    <w:rsid w:val="3A6C45A9"/>
    <w:rsid w:val="3B20041C"/>
    <w:rsid w:val="3B2A6027"/>
    <w:rsid w:val="3B404329"/>
    <w:rsid w:val="3B530248"/>
    <w:rsid w:val="3BF364BE"/>
    <w:rsid w:val="3C705E47"/>
    <w:rsid w:val="3C7A000A"/>
    <w:rsid w:val="3C7C2B5C"/>
    <w:rsid w:val="3C7C3A87"/>
    <w:rsid w:val="3C862210"/>
    <w:rsid w:val="3C971B10"/>
    <w:rsid w:val="3C9963E7"/>
    <w:rsid w:val="3CC8143A"/>
    <w:rsid w:val="3D124655"/>
    <w:rsid w:val="3D287871"/>
    <w:rsid w:val="3DFF03C5"/>
    <w:rsid w:val="3E2721B4"/>
    <w:rsid w:val="3E310E95"/>
    <w:rsid w:val="3E5F65E7"/>
    <w:rsid w:val="3E7F160D"/>
    <w:rsid w:val="3EC630CB"/>
    <w:rsid w:val="3EF21DDE"/>
    <w:rsid w:val="3F584337"/>
    <w:rsid w:val="3F7740FD"/>
    <w:rsid w:val="3F935C16"/>
    <w:rsid w:val="3FCF2120"/>
    <w:rsid w:val="401E5274"/>
    <w:rsid w:val="406003EE"/>
    <w:rsid w:val="40A610D2"/>
    <w:rsid w:val="40CA1FDD"/>
    <w:rsid w:val="415E19AD"/>
    <w:rsid w:val="41740DAC"/>
    <w:rsid w:val="419D4D10"/>
    <w:rsid w:val="41D51832"/>
    <w:rsid w:val="41F527ED"/>
    <w:rsid w:val="42613503"/>
    <w:rsid w:val="43882D11"/>
    <w:rsid w:val="43960956"/>
    <w:rsid w:val="440700DA"/>
    <w:rsid w:val="44761D87"/>
    <w:rsid w:val="449B48B2"/>
    <w:rsid w:val="44B21CE6"/>
    <w:rsid w:val="44CA024E"/>
    <w:rsid w:val="44CC46BA"/>
    <w:rsid w:val="454A6837"/>
    <w:rsid w:val="457B0704"/>
    <w:rsid w:val="459534C4"/>
    <w:rsid w:val="459651B4"/>
    <w:rsid w:val="45B23E4C"/>
    <w:rsid w:val="462D5F0B"/>
    <w:rsid w:val="46607F75"/>
    <w:rsid w:val="46926CC4"/>
    <w:rsid w:val="46D63FF2"/>
    <w:rsid w:val="473C2516"/>
    <w:rsid w:val="47A3636C"/>
    <w:rsid w:val="47F60B91"/>
    <w:rsid w:val="48451AE3"/>
    <w:rsid w:val="48897310"/>
    <w:rsid w:val="489F2FD7"/>
    <w:rsid w:val="49BA174B"/>
    <w:rsid w:val="49CE0DBE"/>
    <w:rsid w:val="49E213D9"/>
    <w:rsid w:val="49FF132D"/>
    <w:rsid w:val="4AB368C6"/>
    <w:rsid w:val="4B250B93"/>
    <w:rsid w:val="4B5C291C"/>
    <w:rsid w:val="4B734C26"/>
    <w:rsid w:val="4B9A48DF"/>
    <w:rsid w:val="4BA7017A"/>
    <w:rsid w:val="4BEB6533"/>
    <w:rsid w:val="4C3857CC"/>
    <w:rsid w:val="4C3D477A"/>
    <w:rsid w:val="4C5F249C"/>
    <w:rsid w:val="4C8B5009"/>
    <w:rsid w:val="4D1829CD"/>
    <w:rsid w:val="4D8E524A"/>
    <w:rsid w:val="4DDB7B86"/>
    <w:rsid w:val="4DE247A0"/>
    <w:rsid w:val="4E0C3478"/>
    <w:rsid w:val="4E3E7ABD"/>
    <w:rsid w:val="4E41068C"/>
    <w:rsid w:val="4E5531A0"/>
    <w:rsid w:val="4ECC61A8"/>
    <w:rsid w:val="4EE554BC"/>
    <w:rsid w:val="4F3E3CD4"/>
    <w:rsid w:val="4F787850"/>
    <w:rsid w:val="4FD01CC8"/>
    <w:rsid w:val="4FE10EDF"/>
    <w:rsid w:val="4FE94730"/>
    <w:rsid w:val="4FFF68AA"/>
    <w:rsid w:val="50463D38"/>
    <w:rsid w:val="51E25CE3"/>
    <w:rsid w:val="51EF44A0"/>
    <w:rsid w:val="52173BDE"/>
    <w:rsid w:val="525B6CEF"/>
    <w:rsid w:val="52796647"/>
    <w:rsid w:val="52A238F1"/>
    <w:rsid w:val="52BF71C1"/>
    <w:rsid w:val="52CA6EA2"/>
    <w:rsid w:val="531617D1"/>
    <w:rsid w:val="5322283B"/>
    <w:rsid w:val="533026AA"/>
    <w:rsid w:val="53740BBC"/>
    <w:rsid w:val="53952E53"/>
    <w:rsid w:val="53BF4C43"/>
    <w:rsid w:val="53C214D6"/>
    <w:rsid w:val="53D63625"/>
    <w:rsid w:val="54221312"/>
    <w:rsid w:val="54735E07"/>
    <w:rsid w:val="547C0308"/>
    <w:rsid w:val="54970AE5"/>
    <w:rsid w:val="54B45847"/>
    <w:rsid w:val="54BC632B"/>
    <w:rsid w:val="5521529B"/>
    <w:rsid w:val="5523289A"/>
    <w:rsid w:val="553E061F"/>
    <w:rsid w:val="557C6C88"/>
    <w:rsid w:val="55A72A75"/>
    <w:rsid w:val="560538AD"/>
    <w:rsid w:val="56172AA2"/>
    <w:rsid w:val="562F0394"/>
    <w:rsid w:val="5630620C"/>
    <w:rsid w:val="56471599"/>
    <w:rsid w:val="565D002E"/>
    <w:rsid w:val="565E03C9"/>
    <w:rsid w:val="56777341"/>
    <w:rsid w:val="56B83344"/>
    <w:rsid w:val="56B83F37"/>
    <w:rsid w:val="56D3006F"/>
    <w:rsid w:val="56DF0A43"/>
    <w:rsid w:val="571335FB"/>
    <w:rsid w:val="57544F8D"/>
    <w:rsid w:val="578C62A0"/>
    <w:rsid w:val="57AA2DFF"/>
    <w:rsid w:val="57D622E1"/>
    <w:rsid w:val="58152BC3"/>
    <w:rsid w:val="586C4558"/>
    <w:rsid w:val="58A33A36"/>
    <w:rsid w:val="58C9733C"/>
    <w:rsid w:val="58F20F01"/>
    <w:rsid w:val="58F231FA"/>
    <w:rsid w:val="58F92AB4"/>
    <w:rsid w:val="595A480D"/>
    <w:rsid w:val="59B7793C"/>
    <w:rsid w:val="59C2459E"/>
    <w:rsid w:val="5A0C7CF5"/>
    <w:rsid w:val="5A137C64"/>
    <w:rsid w:val="5A272E2C"/>
    <w:rsid w:val="5A2D1FE7"/>
    <w:rsid w:val="5A3A4544"/>
    <w:rsid w:val="5A643AA2"/>
    <w:rsid w:val="5A696FA1"/>
    <w:rsid w:val="5A94704B"/>
    <w:rsid w:val="5B4377F2"/>
    <w:rsid w:val="5B515513"/>
    <w:rsid w:val="5BD448EE"/>
    <w:rsid w:val="5C080BF2"/>
    <w:rsid w:val="5CF07506"/>
    <w:rsid w:val="5D277771"/>
    <w:rsid w:val="5DBB62FD"/>
    <w:rsid w:val="5DBE4D6A"/>
    <w:rsid w:val="5DBF59DC"/>
    <w:rsid w:val="5DC62E9C"/>
    <w:rsid w:val="5DDB01B6"/>
    <w:rsid w:val="5DEA664B"/>
    <w:rsid w:val="5DED1C97"/>
    <w:rsid w:val="5E457D25"/>
    <w:rsid w:val="5E8F3348"/>
    <w:rsid w:val="5EC92704"/>
    <w:rsid w:val="5ECF646C"/>
    <w:rsid w:val="5F4467D8"/>
    <w:rsid w:val="5F7563E8"/>
    <w:rsid w:val="5F906D7E"/>
    <w:rsid w:val="5FDE68D8"/>
    <w:rsid w:val="600E4291"/>
    <w:rsid w:val="60880AE5"/>
    <w:rsid w:val="608B4111"/>
    <w:rsid w:val="60D609F8"/>
    <w:rsid w:val="612260FC"/>
    <w:rsid w:val="61545DA3"/>
    <w:rsid w:val="61995C3B"/>
    <w:rsid w:val="621E64D0"/>
    <w:rsid w:val="63D93374"/>
    <w:rsid w:val="63E43B3C"/>
    <w:rsid w:val="63F975E8"/>
    <w:rsid w:val="63FC73A1"/>
    <w:rsid w:val="64280B81"/>
    <w:rsid w:val="6472739A"/>
    <w:rsid w:val="64C874A9"/>
    <w:rsid w:val="64D23995"/>
    <w:rsid w:val="64E536C8"/>
    <w:rsid w:val="64F2770F"/>
    <w:rsid w:val="65273CE0"/>
    <w:rsid w:val="6541035A"/>
    <w:rsid w:val="65A60BA1"/>
    <w:rsid w:val="65B06CE6"/>
    <w:rsid w:val="661C1193"/>
    <w:rsid w:val="664219D3"/>
    <w:rsid w:val="668C4743"/>
    <w:rsid w:val="66B3593A"/>
    <w:rsid w:val="66E217EC"/>
    <w:rsid w:val="670861B6"/>
    <w:rsid w:val="672422F9"/>
    <w:rsid w:val="673D585E"/>
    <w:rsid w:val="674B5607"/>
    <w:rsid w:val="67DB02CF"/>
    <w:rsid w:val="67FA1D2A"/>
    <w:rsid w:val="68B00491"/>
    <w:rsid w:val="697370B8"/>
    <w:rsid w:val="69A30E1A"/>
    <w:rsid w:val="69B751BA"/>
    <w:rsid w:val="69CF69FF"/>
    <w:rsid w:val="69D755C1"/>
    <w:rsid w:val="6A827C64"/>
    <w:rsid w:val="6ABB0E84"/>
    <w:rsid w:val="6AC65D4A"/>
    <w:rsid w:val="6B154F78"/>
    <w:rsid w:val="6BBF2EC5"/>
    <w:rsid w:val="6C4B6506"/>
    <w:rsid w:val="6C6E44C7"/>
    <w:rsid w:val="6CCB7CC1"/>
    <w:rsid w:val="6D210219"/>
    <w:rsid w:val="6D3E5A5E"/>
    <w:rsid w:val="6D54763D"/>
    <w:rsid w:val="6D5B54C6"/>
    <w:rsid w:val="6DB230D2"/>
    <w:rsid w:val="6DE37C66"/>
    <w:rsid w:val="6E5316B7"/>
    <w:rsid w:val="6EAD33F6"/>
    <w:rsid w:val="6EC837DB"/>
    <w:rsid w:val="6EE57DDB"/>
    <w:rsid w:val="6F790883"/>
    <w:rsid w:val="6FB63C99"/>
    <w:rsid w:val="700F3CEF"/>
    <w:rsid w:val="700F51B3"/>
    <w:rsid w:val="70662D68"/>
    <w:rsid w:val="709D1419"/>
    <w:rsid w:val="70CD7765"/>
    <w:rsid w:val="710D6480"/>
    <w:rsid w:val="71400738"/>
    <w:rsid w:val="718F158B"/>
    <w:rsid w:val="719A1ED8"/>
    <w:rsid w:val="71B42DA0"/>
    <w:rsid w:val="720D1F18"/>
    <w:rsid w:val="7218332F"/>
    <w:rsid w:val="727B1B10"/>
    <w:rsid w:val="72C01D9F"/>
    <w:rsid w:val="72D60910"/>
    <w:rsid w:val="72E27926"/>
    <w:rsid w:val="72FD2105"/>
    <w:rsid w:val="731E2EAA"/>
    <w:rsid w:val="734E35CA"/>
    <w:rsid w:val="738B0CAF"/>
    <w:rsid w:val="73DA0AA4"/>
    <w:rsid w:val="73FE6554"/>
    <w:rsid w:val="749031EE"/>
    <w:rsid w:val="74AA6E2B"/>
    <w:rsid w:val="74BB4445"/>
    <w:rsid w:val="74C7103C"/>
    <w:rsid w:val="74C85AEA"/>
    <w:rsid w:val="74CB28DA"/>
    <w:rsid w:val="74E034AF"/>
    <w:rsid w:val="74F6722B"/>
    <w:rsid w:val="750F2AD2"/>
    <w:rsid w:val="7546273D"/>
    <w:rsid w:val="755723C0"/>
    <w:rsid w:val="75CB61AF"/>
    <w:rsid w:val="75F406AA"/>
    <w:rsid w:val="760065B4"/>
    <w:rsid w:val="76125EAA"/>
    <w:rsid w:val="763E0EB1"/>
    <w:rsid w:val="76746FA2"/>
    <w:rsid w:val="76C5258F"/>
    <w:rsid w:val="771802A1"/>
    <w:rsid w:val="775E7CD2"/>
    <w:rsid w:val="776808B4"/>
    <w:rsid w:val="77951366"/>
    <w:rsid w:val="779862A2"/>
    <w:rsid w:val="77B209A6"/>
    <w:rsid w:val="781F79E8"/>
    <w:rsid w:val="789444B7"/>
    <w:rsid w:val="78D31E47"/>
    <w:rsid w:val="78D3328B"/>
    <w:rsid w:val="79142376"/>
    <w:rsid w:val="798B075D"/>
    <w:rsid w:val="79981568"/>
    <w:rsid w:val="79D42231"/>
    <w:rsid w:val="79F83DFC"/>
    <w:rsid w:val="7A1637BB"/>
    <w:rsid w:val="7A2D01F0"/>
    <w:rsid w:val="7A704982"/>
    <w:rsid w:val="7A9D3852"/>
    <w:rsid w:val="7AAA3E7D"/>
    <w:rsid w:val="7B4D0E37"/>
    <w:rsid w:val="7B5D78C0"/>
    <w:rsid w:val="7B716301"/>
    <w:rsid w:val="7C75137E"/>
    <w:rsid w:val="7C9E08D4"/>
    <w:rsid w:val="7CE85FF3"/>
    <w:rsid w:val="7D955A20"/>
    <w:rsid w:val="7E105802"/>
    <w:rsid w:val="7E1E7F1F"/>
    <w:rsid w:val="7E2C76F3"/>
    <w:rsid w:val="7EAB1304"/>
    <w:rsid w:val="7EF0118F"/>
    <w:rsid w:val="7F100F50"/>
    <w:rsid w:val="7F395731"/>
    <w:rsid w:val="7F594F87"/>
    <w:rsid w:val="7FFB3D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link w:val="48"/>
    <w:qFormat/>
    <w:uiPriority w:val="1"/>
    <w:pPr>
      <w:spacing w:line="968" w:lineRule="exact"/>
      <w:ind w:right="55"/>
      <w:jc w:val="center"/>
      <w:outlineLvl w:val="1"/>
    </w:pPr>
    <w:rPr>
      <w:rFonts w:ascii="黑体" w:hAnsi="黑体" w:eastAsia="黑体" w:cs="黑体"/>
      <w:sz w:val="76"/>
      <w:szCs w:val="76"/>
      <w:lang w:val="zh-CN" w:eastAsia="zh-CN" w:bidi="zh-CN"/>
    </w:rPr>
  </w:style>
  <w:style w:type="paragraph" w:styleId="3">
    <w:name w:val="heading 2"/>
    <w:basedOn w:val="1"/>
    <w:next w:val="1"/>
    <w:qFormat/>
    <w:uiPriority w:val="1"/>
    <w:pPr>
      <w:ind w:right="61"/>
      <w:jc w:val="center"/>
      <w:outlineLvl w:val="2"/>
    </w:pPr>
    <w:rPr>
      <w:rFonts w:ascii="黑体" w:hAnsi="黑体" w:eastAsia="黑体" w:cs="黑体"/>
      <w:sz w:val="72"/>
      <w:szCs w:val="72"/>
      <w:lang w:val="zh-CN" w:eastAsia="zh-CN" w:bidi="zh-CN"/>
    </w:rPr>
  </w:style>
  <w:style w:type="paragraph" w:styleId="4">
    <w:name w:val="heading 3"/>
    <w:basedOn w:val="1"/>
    <w:next w:val="1"/>
    <w:qFormat/>
    <w:uiPriority w:val="1"/>
    <w:pPr>
      <w:spacing w:before="169"/>
      <w:jc w:val="center"/>
      <w:outlineLvl w:val="3"/>
    </w:pPr>
    <w:rPr>
      <w:rFonts w:ascii="黑体" w:hAnsi="黑体" w:eastAsia="黑体" w:cs="黑体"/>
      <w:sz w:val="56"/>
      <w:szCs w:val="56"/>
      <w:lang w:val="zh-CN" w:eastAsia="zh-CN" w:bidi="zh-CN"/>
    </w:rPr>
  </w:style>
  <w:style w:type="paragraph" w:styleId="5">
    <w:name w:val="heading 4"/>
    <w:basedOn w:val="1"/>
    <w:next w:val="1"/>
    <w:qFormat/>
    <w:uiPriority w:val="1"/>
    <w:pPr>
      <w:spacing w:before="21"/>
      <w:jc w:val="center"/>
      <w:outlineLvl w:val="4"/>
    </w:pPr>
    <w:rPr>
      <w:rFonts w:ascii="黑体" w:hAnsi="黑体" w:eastAsia="黑体" w:cs="黑体"/>
      <w:sz w:val="44"/>
      <w:szCs w:val="44"/>
      <w:lang w:val="zh-CN" w:eastAsia="zh-CN" w:bidi="zh-CN"/>
    </w:rPr>
  </w:style>
  <w:style w:type="paragraph" w:styleId="6">
    <w:name w:val="heading 5"/>
    <w:basedOn w:val="1"/>
    <w:next w:val="1"/>
    <w:qFormat/>
    <w:uiPriority w:val="1"/>
    <w:pPr>
      <w:spacing w:before="41"/>
      <w:ind w:left="38"/>
      <w:outlineLvl w:val="5"/>
    </w:pPr>
    <w:rPr>
      <w:rFonts w:ascii="黑体" w:hAnsi="黑体" w:eastAsia="黑体" w:cs="黑体"/>
      <w:b/>
      <w:bCs/>
      <w:sz w:val="42"/>
      <w:szCs w:val="42"/>
      <w:lang w:val="zh-CN" w:eastAsia="zh-CN" w:bidi="zh-CN"/>
    </w:rPr>
  </w:style>
  <w:style w:type="paragraph" w:styleId="7">
    <w:name w:val="heading 6"/>
    <w:basedOn w:val="1"/>
    <w:next w:val="1"/>
    <w:qFormat/>
    <w:uiPriority w:val="1"/>
    <w:pPr>
      <w:spacing w:before="41"/>
      <w:ind w:left="37"/>
      <w:jc w:val="center"/>
      <w:outlineLvl w:val="6"/>
    </w:pPr>
    <w:rPr>
      <w:rFonts w:ascii="黑体" w:hAnsi="黑体" w:eastAsia="黑体" w:cs="黑体"/>
      <w:sz w:val="42"/>
      <w:szCs w:val="42"/>
      <w:lang w:val="zh-CN" w:eastAsia="zh-CN" w:bidi="zh-CN"/>
    </w:rPr>
  </w:style>
  <w:style w:type="paragraph" w:styleId="8">
    <w:name w:val="heading 7"/>
    <w:basedOn w:val="1"/>
    <w:next w:val="1"/>
    <w:qFormat/>
    <w:uiPriority w:val="1"/>
    <w:pPr>
      <w:spacing w:before="55"/>
      <w:jc w:val="center"/>
      <w:outlineLvl w:val="7"/>
    </w:pPr>
    <w:rPr>
      <w:rFonts w:ascii="黑体" w:hAnsi="黑体" w:eastAsia="黑体" w:cs="黑体"/>
      <w:sz w:val="32"/>
      <w:szCs w:val="32"/>
      <w:lang w:val="zh-CN" w:eastAsia="zh-CN" w:bidi="zh-CN"/>
    </w:rPr>
  </w:style>
  <w:style w:type="paragraph" w:styleId="9">
    <w:name w:val="heading 8"/>
    <w:basedOn w:val="1"/>
    <w:next w:val="1"/>
    <w:qFormat/>
    <w:uiPriority w:val="1"/>
    <w:pPr>
      <w:spacing w:before="66"/>
      <w:outlineLvl w:val="8"/>
    </w:pPr>
    <w:rPr>
      <w:rFonts w:ascii="黑体" w:hAnsi="黑体" w:eastAsia="黑体" w:cs="黑体"/>
      <w:sz w:val="31"/>
      <w:szCs w:val="31"/>
      <w:lang w:val="zh-CN" w:eastAsia="zh-CN" w:bidi="zh-CN"/>
    </w:rPr>
  </w:style>
  <w:style w:type="paragraph" w:styleId="10">
    <w:name w:val="heading 9"/>
    <w:basedOn w:val="1"/>
    <w:next w:val="1"/>
    <w:qFormat/>
    <w:uiPriority w:val="1"/>
    <w:pPr>
      <w:spacing w:before="48"/>
      <w:ind w:right="60"/>
      <w:jc w:val="center"/>
      <w:outlineLvl w:val="9"/>
    </w:pPr>
    <w:rPr>
      <w:rFonts w:ascii="黑体" w:hAnsi="黑体" w:eastAsia="黑体" w:cs="黑体"/>
      <w:sz w:val="30"/>
      <w:szCs w:val="30"/>
      <w:lang w:val="zh-CN" w:eastAsia="zh-CN" w:bidi="zh-CN"/>
    </w:rPr>
  </w:style>
  <w:style w:type="character" w:default="1" w:styleId="27">
    <w:name w:val="Default Paragraph Font"/>
    <w:semiHidden/>
    <w:unhideWhenUsed/>
    <w:qFormat/>
    <w:uiPriority w:val="1"/>
  </w:style>
  <w:style w:type="table" w:default="1" w:styleId="25">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qFormat/>
    <w:uiPriority w:val="1"/>
    <w:rPr>
      <w:rFonts w:ascii="宋体" w:hAnsi="宋体" w:eastAsia="宋体" w:cs="宋体"/>
      <w:sz w:val="24"/>
      <w:szCs w:val="24"/>
      <w:lang w:val="zh-CN" w:eastAsia="zh-CN" w:bidi="zh-CN"/>
    </w:rPr>
  </w:style>
  <w:style w:type="paragraph" w:styleId="13">
    <w:name w:val="Body Text Indent"/>
    <w:basedOn w:val="1"/>
    <w:next w:val="14"/>
    <w:qFormat/>
    <w:uiPriority w:val="0"/>
    <w:pPr>
      <w:spacing w:line="360" w:lineRule="auto"/>
      <w:ind w:firstLine="480" w:firstLineChars="200"/>
    </w:pPr>
    <w:rPr>
      <w:rFonts w:ascii="宋体"/>
      <w:sz w:val="24"/>
    </w:rPr>
  </w:style>
  <w:style w:type="paragraph" w:styleId="14">
    <w:name w:val="envelope return"/>
    <w:basedOn w:val="1"/>
    <w:next w:val="13"/>
    <w:qFormat/>
    <w:uiPriority w:val="0"/>
    <w:pPr>
      <w:snapToGrid w:val="0"/>
    </w:pPr>
    <w:rPr>
      <w:rFonts w:ascii="Arial" w:hAnsi="Arial"/>
    </w:r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1"/>
    <w:pPr>
      <w:spacing w:before="183"/>
      <w:ind w:right="250"/>
      <w:jc w:val="right"/>
    </w:pPr>
    <w:rPr>
      <w:rFonts w:ascii="黑体" w:hAnsi="黑体" w:eastAsia="黑体" w:cs="黑体"/>
      <w:sz w:val="20"/>
      <w:szCs w:val="20"/>
      <w:lang w:val="zh-CN" w:eastAsia="zh-CN" w:bidi="zh-CN"/>
    </w:rPr>
  </w:style>
  <w:style w:type="paragraph" w:styleId="20">
    <w:name w:val="toc 2"/>
    <w:basedOn w:val="1"/>
    <w:next w:val="1"/>
    <w:qFormat/>
    <w:uiPriority w:val="1"/>
    <w:pPr>
      <w:spacing w:before="383"/>
      <w:ind w:left="1098" w:right="1061"/>
      <w:jc w:val="center"/>
    </w:pPr>
    <w:rPr>
      <w:rFonts w:ascii="黑体" w:hAnsi="黑体" w:eastAsia="黑体" w:cs="黑体"/>
      <w:sz w:val="30"/>
      <w:szCs w:val="30"/>
      <w:lang w:val="zh-CN" w:eastAsia="zh-CN" w:bidi="zh-CN"/>
    </w:rPr>
  </w:style>
  <w:style w:type="paragraph" w:styleId="2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styleId="2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3">
    <w:name w:val="Body Text First Indent"/>
    <w:basedOn w:val="1"/>
    <w:qFormat/>
    <w:uiPriority w:val="0"/>
    <w:pPr>
      <w:spacing w:line="312" w:lineRule="auto"/>
      <w:ind w:firstLine="420"/>
    </w:pPr>
  </w:style>
  <w:style w:type="paragraph" w:styleId="24">
    <w:name w:val="Body Text First Indent 2"/>
    <w:basedOn w:val="13"/>
    <w:next w:val="1"/>
    <w:qFormat/>
    <w:uiPriority w:val="0"/>
    <w:pPr>
      <w:tabs>
        <w:tab w:val="left" w:pos="0"/>
        <w:tab w:val="left" w:pos="993"/>
        <w:tab w:val="left" w:pos="1134"/>
      </w:tabs>
      <w:ind w:left="420"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FollowedHyperlink"/>
    <w:basedOn w:val="27"/>
    <w:qFormat/>
    <w:uiPriority w:val="0"/>
    <w:rPr>
      <w:color w:val="800080"/>
      <w:u w:val="none"/>
    </w:rPr>
  </w:style>
  <w:style w:type="character" w:styleId="30">
    <w:name w:val="Emphasis"/>
    <w:basedOn w:val="27"/>
    <w:qFormat/>
    <w:uiPriority w:val="0"/>
    <w:rPr>
      <w:i/>
    </w:rPr>
  </w:style>
  <w:style w:type="character" w:styleId="31">
    <w:name w:val="HTML Definition"/>
    <w:basedOn w:val="27"/>
    <w:qFormat/>
    <w:uiPriority w:val="0"/>
  </w:style>
  <w:style w:type="character" w:styleId="32">
    <w:name w:val="HTML Typewriter"/>
    <w:basedOn w:val="27"/>
    <w:qFormat/>
    <w:uiPriority w:val="0"/>
    <w:rPr>
      <w:rFonts w:ascii="monospace" w:hAnsi="monospace" w:eastAsia="monospace" w:cs="monospace"/>
      <w:sz w:val="20"/>
    </w:rPr>
  </w:style>
  <w:style w:type="character" w:styleId="33">
    <w:name w:val="HTML Acronym"/>
    <w:basedOn w:val="27"/>
    <w:qFormat/>
    <w:uiPriority w:val="0"/>
  </w:style>
  <w:style w:type="character" w:styleId="34">
    <w:name w:val="HTML Variable"/>
    <w:basedOn w:val="27"/>
    <w:qFormat/>
    <w:uiPriority w:val="0"/>
  </w:style>
  <w:style w:type="character" w:styleId="35">
    <w:name w:val="Hyperlink"/>
    <w:basedOn w:val="27"/>
    <w:qFormat/>
    <w:uiPriority w:val="0"/>
    <w:rPr>
      <w:color w:val="0000FF"/>
      <w:u w:val="none"/>
    </w:rPr>
  </w:style>
  <w:style w:type="character" w:styleId="36">
    <w:name w:val="HTML Code"/>
    <w:basedOn w:val="27"/>
    <w:qFormat/>
    <w:uiPriority w:val="0"/>
    <w:rPr>
      <w:rFonts w:hint="default" w:ascii="monospace" w:hAnsi="monospace" w:eastAsia="monospace" w:cs="monospace"/>
      <w:sz w:val="20"/>
    </w:rPr>
  </w:style>
  <w:style w:type="character" w:styleId="37">
    <w:name w:val="HTML Cite"/>
    <w:basedOn w:val="27"/>
    <w:qFormat/>
    <w:uiPriority w:val="0"/>
  </w:style>
  <w:style w:type="character" w:styleId="38">
    <w:name w:val="HTML Keyboard"/>
    <w:basedOn w:val="27"/>
    <w:qFormat/>
    <w:uiPriority w:val="0"/>
    <w:rPr>
      <w:rFonts w:hint="default" w:ascii="monospace" w:hAnsi="monospace" w:eastAsia="monospace" w:cs="monospace"/>
      <w:sz w:val="20"/>
    </w:rPr>
  </w:style>
  <w:style w:type="character" w:styleId="39">
    <w:name w:val="HTML Sample"/>
    <w:basedOn w:val="27"/>
    <w:qFormat/>
    <w:uiPriority w:val="0"/>
    <w:rPr>
      <w:rFonts w:hint="default" w:ascii="monospace" w:hAnsi="monospace" w:eastAsia="monospace" w:cs="monospace"/>
    </w:rPr>
  </w:style>
  <w:style w:type="table" w:customStyle="1" w:styleId="40">
    <w:name w:val="Table Normal"/>
    <w:semiHidden/>
    <w:unhideWhenUsed/>
    <w:qFormat/>
    <w:uiPriority w:val="2"/>
    <w:tblPr>
      <w:tblCellMar>
        <w:top w:w="0" w:type="dxa"/>
        <w:left w:w="0" w:type="dxa"/>
        <w:bottom w:w="0" w:type="dxa"/>
        <w:right w:w="0" w:type="dxa"/>
      </w:tblCellMar>
    </w:tblPr>
  </w:style>
  <w:style w:type="paragraph" w:styleId="41">
    <w:name w:val="List Paragraph"/>
    <w:basedOn w:val="1"/>
    <w:qFormat/>
    <w:uiPriority w:val="1"/>
    <w:pPr>
      <w:ind w:left="424" w:firstLine="479"/>
    </w:pPr>
    <w:rPr>
      <w:rFonts w:ascii="宋体" w:hAnsi="宋体" w:eastAsia="宋体" w:cs="宋体"/>
      <w:lang w:val="zh-CN" w:eastAsia="zh-CN" w:bidi="zh-CN"/>
    </w:rPr>
  </w:style>
  <w:style w:type="paragraph" w:customStyle="1" w:styleId="42">
    <w:name w:val="Table Paragraph"/>
    <w:basedOn w:val="1"/>
    <w:qFormat/>
    <w:uiPriority w:val="1"/>
    <w:rPr>
      <w:rFonts w:ascii="宋体" w:hAnsi="宋体" w:eastAsia="宋体" w:cs="宋体"/>
      <w:lang w:val="zh-CN" w:eastAsia="zh-CN" w:bidi="zh-CN"/>
    </w:rPr>
  </w:style>
  <w:style w:type="character" w:customStyle="1" w:styleId="43">
    <w:name w:val="layui-this"/>
    <w:basedOn w:val="27"/>
    <w:qFormat/>
    <w:uiPriority w:val="0"/>
    <w:rPr>
      <w:bdr w:val="single" w:color="EEEEEE" w:sz="6" w:space="0"/>
      <w:shd w:val="clear" w:fill="FFFFFF"/>
    </w:rPr>
  </w:style>
  <w:style w:type="character" w:customStyle="1" w:styleId="44">
    <w:name w:val="first-child1"/>
    <w:basedOn w:val="27"/>
    <w:qFormat/>
    <w:uiPriority w:val="0"/>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paragraph" w:customStyle="1" w:styleId="46">
    <w:name w:val="WPSOffice手动目录 2"/>
    <w:qFormat/>
    <w:uiPriority w:val="0"/>
    <w:pPr>
      <w:ind w:leftChars="200"/>
    </w:pPr>
    <w:rPr>
      <w:rFonts w:ascii="Times New Roman" w:hAnsi="Times New Roman" w:eastAsia="宋体" w:cs="Times New Roman"/>
      <w:sz w:val="20"/>
      <w:szCs w:val="20"/>
    </w:rPr>
  </w:style>
  <w:style w:type="paragraph" w:customStyle="1" w:styleId="47">
    <w:name w:val="WPSOffice手动目录 3"/>
    <w:qFormat/>
    <w:uiPriority w:val="0"/>
    <w:pPr>
      <w:ind w:leftChars="400"/>
    </w:pPr>
    <w:rPr>
      <w:rFonts w:ascii="Times New Roman" w:hAnsi="Times New Roman" w:eastAsia="宋体" w:cs="Times New Roman"/>
      <w:sz w:val="20"/>
      <w:szCs w:val="20"/>
    </w:rPr>
  </w:style>
  <w:style w:type="character" w:customStyle="1" w:styleId="48">
    <w:name w:val="标题 1 Char"/>
    <w:link w:val="2"/>
    <w:qFormat/>
    <w:uiPriority w:val="1"/>
    <w:rPr>
      <w:rFonts w:ascii="黑体" w:hAnsi="黑体" w:eastAsia="黑体" w:cs="黑体"/>
      <w:sz w:val="76"/>
      <w:szCs w:val="76"/>
      <w:lang w:val="zh-CN" w:eastAsia="zh-CN" w:bidi="zh-CN"/>
    </w:rPr>
  </w:style>
  <w:style w:type="paragraph" w:customStyle="1" w:styleId="49">
    <w:name w:val="_Style 4"/>
    <w:basedOn w:val="1"/>
    <w:qFormat/>
    <w:uiPriority w:val="1"/>
    <w:pPr>
      <w:ind w:left="280" w:firstLine="480"/>
    </w:pPr>
  </w:style>
  <w:style w:type="character" w:customStyle="1" w:styleId="50">
    <w:name w:val="layui-layer-tabnow"/>
    <w:basedOn w:val="27"/>
    <w:qFormat/>
    <w:uiPriority w:val="0"/>
    <w:rPr>
      <w:bdr w:val="single" w:color="CCCCCC" w:sz="6" w:space="0"/>
      <w:shd w:val="clear" w:fill="FFFFFF"/>
    </w:rPr>
  </w:style>
  <w:style w:type="character" w:customStyle="1" w:styleId="51">
    <w:name w:val="first-child2"/>
    <w:basedOn w:val="27"/>
    <w:qFormat/>
    <w:uiPriority w:val="0"/>
  </w:style>
  <w:style w:type="character" w:customStyle="1" w:styleId="52">
    <w:name w:val="first-child"/>
    <w:basedOn w:val="27"/>
    <w:qFormat/>
    <w:uiPriority w:val="0"/>
  </w:style>
  <w:style w:type="paragraph" w:customStyle="1" w:styleId="5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58.xml"/><Relationship Id="rId98" Type="http://schemas.openxmlformats.org/officeDocument/2006/relationships/header" Target="header37.xml"/><Relationship Id="rId97" Type="http://schemas.openxmlformats.org/officeDocument/2006/relationships/header" Target="header36.xml"/><Relationship Id="rId96" Type="http://schemas.openxmlformats.org/officeDocument/2006/relationships/footer" Target="footer57.xml"/><Relationship Id="rId95" Type="http://schemas.openxmlformats.org/officeDocument/2006/relationships/footer" Target="footer56.xml"/><Relationship Id="rId94" Type="http://schemas.openxmlformats.org/officeDocument/2006/relationships/footer" Target="footer55.xml"/><Relationship Id="rId93" Type="http://schemas.openxmlformats.org/officeDocument/2006/relationships/footer" Target="footer54.xml"/><Relationship Id="rId92" Type="http://schemas.openxmlformats.org/officeDocument/2006/relationships/footer" Target="footer53.xml"/><Relationship Id="rId91" Type="http://schemas.openxmlformats.org/officeDocument/2006/relationships/footer" Target="footer52.xml"/><Relationship Id="rId90" Type="http://schemas.openxmlformats.org/officeDocument/2006/relationships/footer" Target="footer51.xml"/><Relationship Id="rId9" Type="http://schemas.openxmlformats.org/officeDocument/2006/relationships/header" Target="header3.xml"/><Relationship Id="rId89" Type="http://schemas.openxmlformats.org/officeDocument/2006/relationships/footer" Target="footer50.xml"/><Relationship Id="rId88" Type="http://schemas.openxmlformats.org/officeDocument/2006/relationships/footer" Target="footer49.xml"/><Relationship Id="rId87" Type="http://schemas.openxmlformats.org/officeDocument/2006/relationships/footer" Target="footer48.xml"/><Relationship Id="rId86" Type="http://schemas.openxmlformats.org/officeDocument/2006/relationships/header" Target="header35.xml"/><Relationship Id="rId85" Type="http://schemas.openxmlformats.org/officeDocument/2006/relationships/header" Target="header34.xml"/><Relationship Id="rId84" Type="http://schemas.openxmlformats.org/officeDocument/2006/relationships/footer" Target="footer47.xml"/><Relationship Id="rId83" Type="http://schemas.openxmlformats.org/officeDocument/2006/relationships/footer" Target="footer46.xml"/><Relationship Id="rId82" Type="http://schemas.openxmlformats.org/officeDocument/2006/relationships/header" Target="header33.xml"/><Relationship Id="rId81" Type="http://schemas.openxmlformats.org/officeDocument/2006/relationships/header" Target="header32.xml"/><Relationship Id="rId80" Type="http://schemas.openxmlformats.org/officeDocument/2006/relationships/footer" Target="footer45.xml"/><Relationship Id="rId8" Type="http://schemas.openxmlformats.org/officeDocument/2006/relationships/footer" Target="footer2.xml"/><Relationship Id="rId79" Type="http://schemas.openxmlformats.org/officeDocument/2006/relationships/footer" Target="footer44.xml"/><Relationship Id="rId78" Type="http://schemas.openxmlformats.org/officeDocument/2006/relationships/footer" Target="footer43.xml"/><Relationship Id="rId77" Type="http://schemas.openxmlformats.org/officeDocument/2006/relationships/header" Target="header31.xml"/><Relationship Id="rId76" Type="http://schemas.openxmlformats.org/officeDocument/2006/relationships/header" Target="header30.xml"/><Relationship Id="rId75" Type="http://schemas.openxmlformats.org/officeDocument/2006/relationships/footer" Target="footer42.xml"/><Relationship Id="rId74" Type="http://schemas.openxmlformats.org/officeDocument/2006/relationships/header" Target="header29.xml"/><Relationship Id="rId73" Type="http://schemas.openxmlformats.org/officeDocument/2006/relationships/footer" Target="footer41.xml"/><Relationship Id="rId72" Type="http://schemas.openxmlformats.org/officeDocument/2006/relationships/footer" Target="footer40.xml"/><Relationship Id="rId71" Type="http://schemas.openxmlformats.org/officeDocument/2006/relationships/footer" Target="footer39.xml"/><Relationship Id="rId70" Type="http://schemas.openxmlformats.org/officeDocument/2006/relationships/footer" Target="footer38.xml"/><Relationship Id="rId7" Type="http://schemas.openxmlformats.org/officeDocument/2006/relationships/footer" Target="footer1.xml"/><Relationship Id="rId69" Type="http://schemas.openxmlformats.org/officeDocument/2006/relationships/header" Target="header28.xml"/><Relationship Id="rId68" Type="http://schemas.openxmlformats.org/officeDocument/2006/relationships/header" Target="header27.xml"/><Relationship Id="rId67" Type="http://schemas.openxmlformats.org/officeDocument/2006/relationships/footer" Target="footer37.xml"/><Relationship Id="rId66" Type="http://schemas.openxmlformats.org/officeDocument/2006/relationships/header" Target="header26.xml"/><Relationship Id="rId65" Type="http://schemas.openxmlformats.org/officeDocument/2006/relationships/footer" Target="footer36.xml"/><Relationship Id="rId64" Type="http://schemas.openxmlformats.org/officeDocument/2006/relationships/header" Target="header25.xml"/><Relationship Id="rId63" Type="http://schemas.openxmlformats.org/officeDocument/2006/relationships/footer" Target="footer35.xml"/><Relationship Id="rId62" Type="http://schemas.openxmlformats.org/officeDocument/2006/relationships/header" Target="header24.xml"/><Relationship Id="rId61" Type="http://schemas.openxmlformats.org/officeDocument/2006/relationships/footer" Target="footer34.xml"/><Relationship Id="rId60" Type="http://schemas.openxmlformats.org/officeDocument/2006/relationships/header" Target="header23.xml"/><Relationship Id="rId6" Type="http://schemas.openxmlformats.org/officeDocument/2006/relationships/header" Target="header2.xml"/><Relationship Id="rId59" Type="http://schemas.openxmlformats.org/officeDocument/2006/relationships/footer" Target="footer33.xml"/><Relationship Id="rId58" Type="http://schemas.openxmlformats.org/officeDocument/2006/relationships/footer" Target="footer32.xml"/><Relationship Id="rId57" Type="http://schemas.openxmlformats.org/officeDocument/2006/relationships/header" Target="header22.xml"/><Relationship Id="rId56" Type="http://schemas.openxmlformats.org/officeDocument/2006/relationships/footer" Target="footer31.xml"/><Relationship Id="rId55" Type="http://schemas.openxmlformats.org/officeDocument/2006/relationships/footer" Target="footer30.xml"/><Relationship Id="rId54" Type="http://schemas.openxmlformats.org/officeDocument/2006/relationships/header" Target="header21.xml"/><Relationship Id="rId53" Type="http://schemas.openxmlformats.org/officeDocument/2006/relationships/footer" Target="footer29.xml"/><Relationship Id="rId52" Type="http://schemas.openxmlformats.org/officeDocument/2006/relationships/footer" Target="footer28.xml"/><Relationship Id="rId51" Type="http://schemas.openxmlformats.org/officeDocument/2006/relationships/header" Target="header20.xml"/><Relationship Id="rId50" Type="http://schemas.openxmlformats.org/officeDocument/2006/relationships/header" Target="header19.xml"/><Relationship Id="rId5" Type="http://schemas.openxmlformats.org/officeDocument/2006/relationships/header" Target="header1.xml"/><Relationship Id="rId49" Type="http://schemas.openxmlformats.org/officeDocument/2006/relationships/footer" Target="footer27.xml"/><Relationship Id="rId48" Type="http://schemas.openxmlformats.org/officeDocument/2006/relationships/header" Target="header18.xml"/><Relationship Id="rId47" Type="http://schemas.openxmlformats.org/officeDocument/2006/relationships/footer" Target="footer26.xml"/><Relationship Id="rId46" Type="http://schemas.openxmlformats.org/officeDocument/2006/relationships/footer" Target="footer25.xml"/><Relationship Id="rId45" Type="http://schemas.openxmlformats.org/officeDocument/2006/relationships/footer" Target="footer24.xml"/><Relationship Id="rId44" Type="http://schemas.openxmlformats.org/officeDocument/2006/relationships/footer" Target="footer23.xml"/><Relationship Id="rId43" Type="http://schemas.openxmlformats.org/officeDocument/2006/relationships/footer" Target="footer22.xml"/><Relationship Id="rId42" Type="http://schemas.openxmlformats.org/officeDocument/2006/relationships/footer" Target="footer21.xml"/><Relationship Id="rId41" Type="http://schemas.openxmlformats.org/officeDocument/2006/relationships/footer" Target="footer20.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4" Type="http://schemas.openxmlformats.org/officeDocument/2006/relationships/fontTable" Target="fontTable.xml"/><Relationship Id="rId103" Type="http://schemas.openxmlformats.org/officeDocument/2006/relationships/numbering" Target="numbering.xml"/><Relationship Id="rId102" Type="http://schemas.openxmlformats.org/officeDocument/2006/relationships/customXml" Target="../customXml/item1.xml"/><Relationship Id="rId101" Type="http://schemas.openxmlformats.org/officeDocument/2006/relationships/theme" Target="theme/theme1.xml"/><Relationship Id="rId100" Type="http://schemas.openxmlformats.org/officeDocument/2006/relationships/footer" Target="footer59.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137</Pages>
  <Words>5503</Words>
  <Characters>6069</Characters>
  <TotalTime>18</TotalTime>
  <ScaleCrop>false</ScaleCrop>
  <LinksUpToDate>false</LinksUpToDate>
  <CharactersWithSpaces>6412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2022-01-22T05:04:00Z</dcterms:created>
  <dc:creator>袁静</dc:creator>
  <cp:lastModifiedBy>梓安</cp:lastModifiedBy>
  <cp:lastPrinted>2025-01-06T09:05:00Z</cp:lastPrinted>
  <dcterms:modified xsi:type="dcterms:W3CDTF">2025-04-29T09:01:52Z</dcterms:modified>
  <dc:title>公路工程标准施工招标文件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2018-02-27T00:00:00Z</vt:filetime>
  </property>
  <property fmtid="{D5CDD505-2E9C-101B-9397-08002B2CF9AE}" pid="3" name="Creator">
    <vt:lpwstr>Microsoft® Office Word 2007</vt:lpwstr>
  </property>
  <property fmtid="{D5CDD505-2E9C-101B-9397-08002B2CF9AE}" pid="4" name="LastSaved">
    <vt:filetime>2022-01-22T00:00:00Z</vt:filetime>
  </property>
  <property fmtid="{D5CDD505-2E9C-101B-9397-08002B2CF9AE}" pid="5" name="KSOProductBuildVer">
    <vt:lpwstr>2052-12.1.0.20305</vt:lpwstr>
  </property>
  <property fmtid="{D5CDD505-2E9C-101B-9397-08002B2CF9AE}" pid="6" name="ICV">
    <vt:lpwstr>36AA7730212F4E45BDD33B8D7D0A76B0_13</vt:lpwstr>
  </property>
  <property fmtid="{D5CDD505-2E9C-101B-9397-08002B2CF9AE}" pid="7" name="KSOTemplateDocerSaveRecord">
    <vt:lpwstr>eyJoZGlkIjoiMjU1ZjAyYTdlNTQyYmQ3NTE2MDNmY2MyODllNDg0YWIiLCJ1c2VySWQiOiI4NzQ3NzUwNDkifQ==</vt:lpwstr>
  </property>
</Properties>
</file>