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868E">
      <w:pPr>
        <w:pStyle w:val="68"/>
        <w:tabs>
          <w:tab w:val="left" w:pos="3839"/>
        </w:tabs>
        <w:kinsoku w:val="0"/>
        <w:overflowPunct w:val="0"/>
        <w:spacing w:beforeLines="0" w:afterLines="0" w:line="360" w:lineRule="auto"/>
        <w:ind w:left="2721"/>
        <w:outlineLvl w:val="9"/>
        <w:rPr>
          <w:rFonts w:hint="eastAsia"/>
          <w:color w:val="auto"/>
          <w:sz w:val="28"/>
          <w:highlight w:val="none"/>
          <w:u w:val="single"/>
        </w:rPr>
      </w:pPr>
      <w:bookmarkStart w:id="0" w:name="_Toc492300545"/>
    </w:p>
    <w:p w14:paraId="3351BBE3">
      <w:pPr>
        <w:pStyle w:val="68"/>
        <w:tabs>
          <w:tab w:val="left" w:pos="3839"/>
        </w:tabs>
        <w:kinsoku w:val="0"/>
        <w:overflowPunct w:val="0"/>
        <w:spacing w:beforeLines="0" w:afterLines="0" w:line="360" w:lineRule="auto"/>
        <w:ind w:left="2721"/>
        <w:outlineLvl w:val="9"/>
        <w:rPr>
          <w:rFonts w:hint="eastAsia"/>
          <w:color w:val="auto"/>
          <w:sz w:val="28"/>
          <w:highlight w:val="none"/>
          <w:u w:val="single"/>
        </w:rPr>
      </w:pPr>
    </w:p>
    <w:p w14:paraId="5083EB0A">
      <w:pPr>
        <w:bidi w:val="0"/>
        <w:spacing w:line="360" w:lineRule="auto"/>
        <w:jc w:val="center"/>
        <w:rPr>
          <w:rFonts w:hint="eastAsia"/>
          <w:color w:val="auto"/>
          <w:sz w:val="44"/>
          <w:szCs w:val="44"/>
          <w:highlight w:val="none"/>
        </w:rPr>
      </w:pPr>
      <w:r>
        <w:rPr>
          <w:rFonts w:hint="eastAsia" w:ascii="宋体" w:hAnsi="宋体" w:cs="宋体"/>
          <w:color w:val="auto"/>
          <w:sz w:val="52"/>
          <w:szCs w:val="52"/>
          <w:highlight w:val="none"/>
          <w:lang w:eastAsia="zh-CN"/>
        </w:rPr>
        <w:t>元岗北路建设工程监理</w:t>
      </w:r>
    </w:p>
    <w:p w14:paraId="503662C7">
      <w:pPr>
        <w:kinsoku w:val="0"/>
        <w:overflowPunct w:val="0"/>
        <w:spacing w:beforeLines="0" w:afterLines="0" w:line="360" w:lineRule="auto"/>
        <w:rPr>
          <w:rFonts w:hint="default"/>
          <w:color w:val="auto"/>
          <w:sz w:val="20"/>
          <w:highlight w:val="none"/>
        </w:rPr>
      </w:pPr>
    </w:p>
    <w:p w14:paraId="7C4E75D5">
      <w:pPr>
        <w:kinsoku w:val="0"/>
        <w:overflowPunct w:val="0"/>
        <w:spacing w:beforeLines="0" w:afterLines="0" w:line="360" w:lineRule="auto"/>
        <w:rPr>
          <w:rFonts w:hint="default"/>
          <w:color w:val="auto"/>
          <w:sz w:val="20"/>
          <w:highlight w:val="none"/>
        </w:rPr>
      </w:pPr>
    </w:p>
    <w:p w14:paraId="3D45BF22">
      <w:pPr>
        <w:kinsoku w:val="0"/>
        <w:overflowPunct w:val="0"/>
        <w:spacing w:beforeLines="0" w:afterLines="0" w:line="360" w:lineRule="auto"/>
        <w:rPr>
          <w:rFonts w:hint="default"/>
          <w:color w:val="auto"/>
          <w:sz w:val="20"/>
          <w:highlight w:val="none"/>
        </w:rPr>
      </w:pPr>
    </w:p>
    <w:p w14:paraId="21D85F49">
      <w:pPr>
        <w:kinsoku w:val="0"/>
        <w:overflowPunct w:val="0"/>
        <w:spacing w:beforeLines="0" w:afterLines="0" w:line="360" w:lineRule="auto"/>
        <w:rPr>
          <w:rFonts w:hint="default"/>
          <w:color w:val="auto"/>
          <w:sz w:val="20"/>
          <w:highlight w:val="none"/>
        </w:rPr>
      </w:pPr>
    </w:p>
    <w:p w14:paraId="60BF0E8A">
      <w:pPr>
        <w:kinsoku w:val="0"/>
        <w:overflowPunct w:val="0"/>
        <w:spacing w:beforeLines="0" w:afterLines="0" w:line="360" w:lineRule="auto"/>
        <w:rPr>
          <w:rFonts w:hint="default"/>
          <w:color w:val="auto"/>
          <w:sz w:val="20"/>
          <w:highlight w:val="none"/>
        </w:rPr>
      </w:pPr>
    </w:p>
    <w:p w14:paraId="1204EFFE">
      <w:pPr>
        <w:kinsoku w:val="0"/>
        <w:overflowPunct w:val="0"/>
        <w:spacing w:beforeLines="0" w:afterLines="0" w:line="360" w:lineRule="auto"/>
        <w:rPr>
          <w:rFonts w:hint="default"/>
          <w:color w:val="auto"/>
          <w:sz w:val="20"/>
          <w:highlight w:val="none"/>
        </w:rPr>
      </w:pPr>
    </w:p>
    <w:p w14:paraId="0CE523AC">
      <w:pPr>
        <w:kinsoku w:val="0"/>
        <w:overflowPunct w:val="0"/>
        <w:spacing w:beforeLines="0" w:afterLines="0" w:line="360" w:lineRule="auto"/>
        <w:ind w:right="1"/>
        <w:jc w:val="both"/>
        <w:outlineLvl w:val="9"/>
        <w:rPr>
          <w:rFonts w:hint="eastAsia" w:ascii="宋体" w:hAnsi="宋体" w:eastAsia="宋体"/>
          <w:color w:val="auto"/>
          <w:spacing w:val="1"/>
          <w:sz w:val="72"/>
          <w:szCs w:val="36"/>
          <w:highlight w:val="none"/>
        </w:rPr>
      </w:pPr>
      <w:bookmarkStart w:id="1" w:name="_Toc30233"/>
      <w:bookmarkStart w:id="2" w:name="_Toc31377"/>
    </w:p>
    <w:p w14:paraId="688B3786">
      <w:pPr>
        <w:keepNext w:val="0"/>
        <w:keepLines w:val="0"/>
        <w:pageBreakBefore w:val="0"/>
        <w:widowControl w:val="0"/>
        <w:kinsoku w:val="0"/>
        <w:wordWrap/>
        <w:overflowPunct w:val="0"/>
        <w:topLinePunct w:val="0"/>
        <w:autoSpaceDE/>
        <w:autoSpaceDN/>
        <w:bidi w:val="0"/>
        <w:adjustRightInd/>
        <w:snapToGrid/>
        <w:spacing w:beforeLines="0" w:afterLines="0" w:line="360" w:lineRule="auto"/>
        <w:ind w:right="0"/>
        <w:jc w:val="center"/>
        <w:textAlignment w:val="auto"/>
        <w:outlineLvl w:val="9"/>
        <w:rPr>
          <w:rFonts w:hint="eastAsia" w:ascii="宋体" w:hAnsi="宋体" w:eastAsia="宋体"/>
          <w:color w:val="auto"/>
          <w:sz w:val="72"/>
          <w:szCs w:val="72"/>
          <w:highlight w:val="none"/>
        </w:rPr>
      </w:pPr>
      <w:r>
        <w:rPr>
          <w:rFonts w:hint="eastAsia" w:ascii="宋体" w:hAnsi="宋体" w:eastAsia="宋体"/>
          <w:color w:val="auto"/>
          <w:spacing w:val="1"/>
          <w:sz w:val="72"/>
          <w:szCs w:val="72"/>
          <w:highlight w:val="none"/>
        </w:rPr>
        <w:t>招</w:t>
      </w:r>
      <w:r>
        <w:rPr>
          <w:rFonts w:hint="eastAsia" w:ascii="宋体" w:hAnsi="宋体" w:eastAsia="宋体"/>
          <w:color w:val="auto"/>
          <w:sz w:val="72"/>
          <w:szCs w:val="72"/>
          <w:highlight w:val="none"/>
        </w:rPr>
        <w:t>标文件</w:t>
      </w:r>
      <w:bookmarkEnd w:id="1"/>
      <w:bookmarkEnd w:id="2"/>
    </w:p>
    <w:p w14:paraId="7C4294E6">
      <w:pPr>
        <w:keepNext w:val="0"/>
        <w:keepLines w:val="0"/>
        <w:pageBreakBefore w:val="0"/>
        <w:widowControl w:val="0"/>
        <w:kinsoku w:val="0"/>
        <w:wordWrap/>
        <w:overflowPunct w:val="0"/>
        <w:topLinePunct w:val="0"/>
        <w:autoSpaceDE/>
        <w:autoSpaceDN/>
        <w:bidi w:val="0"/>
        <w:adjustRightInd/>
        <w:snapToGrid/>
        <w:spacing w:beforeLines="0" w:afterLines="0" w:line="360" w:lineRule="auto"/>
        <w:textAlignment w:val="auto"/>
        <w:rPr>
          <w:rFonts w:hint="default"/>
          <w:color w:val="auto"/>
          <w:sz w:val="17"/>
          <w:highlight w:val="none"/>
        </w:rPr>
      </w:pPr>
    </w:p>
    <w:p w14:paraId="7E4C4415">
      <w:pPr>
        <w:kinsoku w:val="0"/>
        <w:overflowPunct w:val="0"/>
        <w:spacing w:beforeLines="0" w:afterLines="0" w:line="360" w:lineRule="auto"/>
        <w:rPr>
          <w:rFonts w:hint="default"/>
          <w:color w:val="auto"/>
          <w:sz w:val="20"/>
          <w:highlight w:val="none"/>
        </w:rPr>
      </w:pPr>
    </w:p>
    <w:p w14:paraId="73411E7E">
      <w:pPr>
        <w:kinsoku w:val="0"/>
        <w:overflowPunct w:val="0"/>
        <w:spacing w:beforeLines="0" w:afterLines="0" w:line="360" w:lineRule="auto"/>
        <w:rPr>
          <w:rFonts w:hint="default"/>
          <w:color w:val="auto"/>
          <w:sz w:val="20"/>
          <w:highlight w:val="none"/>
        </w:rPr>
      </w:pPr>
    </w:p>
    <w:p w14:paraId="1F6A097F">
      <w:pPr>
        <w:kinsoku w:val="0"/>
        <w:overflowPunct w:val="0"/>
        <w:spacing w:beforeLines="0" w:afterLines="0" w:line="360" w:lineRule="auto"/>
        <w:rPr>
          <w:rFonts w:hint="default"/>
          <w:color w:val="auto"/>
          <w:sz w:val="20"/>
          <w:highlight w:val="none"/>
        </w:rPr>
      </w:pPr>
    </w:p>
    <w:p w14:paraId="36CC0143">
      <w:pPr>
        <w:kinsoku w:val="0"/>
        <w:overflowPunct w:val="0"/>
        <w:spacing w:beforeLines="0" w:afterLines="0" w:line="360" w:lineRule="auto"/>
        <w:rPr>
          <w:rFonts w:hint="default"/>
          <w:color w:val="auto"/>
          <w:sz w:val="20"/>
          <w:highlight w:val="none"/>
        </w:rPr>
      </w:pPr>
    </w:p>
    <w:p w14:paraId="3271DF09">
      <w:pPr>
        <w:kinsoku w:val="0"/>
        <w:overflowPunct w:val="0"/>
        <w:spacing w:beforeLines="0" w:afterLines="0" w:line="360" w:lineRule="auto"/>
        <w:rPr>
          <w:rFonts w:hint="default"/>
          <w:color w:val="auto"/>
          <w:sz w:val="20"/>
          <w:highlight w:val="none"/>
        </w:rPr>
      </w:pPr>
    </w:p>
    <w:p w14:paraId="2814C11E">
      <w:pPr>
        <w:kinsoku w:val="0"/>
        <w:overflowPunct w:val="0"/>
        <w:spacing w:beforeLines="0" w:afterLines="0" w:line="360" w:lineRule="auto"/>
        <w:rPr>
          <w:rFonts w:hint="default"/>
          <w:color w:val="auto"/>
          <w:sz w:val="20"/>
          <w:highlight w:val="none"/>
        </w:rPr>
      </w:pPr>
    </w:p>
    <w:p w14:paraId="475A614D">
      <w:pPr>
        <w:kinsoku w:val="0"/>
        <w:overflowPunct w:val="0"/>
        <w:spacing w:beforeLines="0" w:afterLines="0" w:line="360" w:lineRule="auto"/>
        <w:rPr>
          <w:rFonts w:hint="default"/>
          <w:color w:val="auto"/>
          <w:sz w:val="20"/>
          <w:highlight w:val="none"/>
        </w:rPr>
      </w:pPr>
    </w:p>
    <w:p w14:paraId="48E2C953">
      <w:pPr>
        <w:tabs>
          <w:tab w:val="left" w:pos="2593"/>
        </w:tabs>
        <w:kinsoku w:val="0"/>
        <w:overflowPunct w:val="0"/>
        <w:spacing w:beforeLines="0" w:afterLines="0" w:line="360" w:lineRule="auto"/>
        <w:ind w:left="3"/>
        <w:jc w:val="left"/>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招标人：</w:t>
      </w:r>
      <w:r>
        <w:rPr>
          <w:rFonts w:hint="eastAsia" w:ascii="宋体" w:hAnsi="宋体" w:eastAsia="宋体" w:cs="宋体"/>
          <w:color w:val="auto"/>
          <w:sz w:val="30"/>
          <w:szCs w:val="22"/>
          <w:highlight w:val="none"/>
          <w:u w:val="single"/>
          <w:lang w:eastAsia="zh-CN"/>
        </w:rPr>
        <w:t>广州市天河区建设工程项目代建局</w:t>
      </w:r>
      <w:r>
        <w:rPr>
          <w:rFonts w:hint="eastAsia" w:ascii="宋体" w:hAnsi="宋体" w:eastAsia="宋体"/>
          <w:color w:val="auto"/>
          <w:sz w:val="28"/>
          <w:szCs w:val="28"/>
          <w:highlight w:val="none"/>
        </w:rPr>
        <w:t>（盖单位章）</w:t>
      </w:r>
    </w:p>
    <w:p w14:paraId="3835D92A">
      <w:pPr>
        <w:kinsoku w:val="0"/>
        <w:overflowPunct w:val="0"/>
        <w:spacing w:line="360" w:lineRule="auto"/>
        <w:ind w:left="3"/>
        <w:rPr>
          <w:rFonts w:hint="eastAsia" w:ascii="宋体" w:hAnsi="宋体"/>
          <w:color w:val="auto"/>
          <w:sz w:val="28"/>
          <w:szCs w:val="28"/>
          <w:highlight w:val="none"/>
        </w:rPr>
      </w:pPr>
    </w:p>
    <w:p w14:paraId="366928D9">
      <w:pPr>
        <w:kinsoku/>
        <w:overflowPunct/>
        <w:spacing w:line="360" w:lineRule="auto"/>
        <w:ind w:left="0" w:leftChars="0" w:firstLine="0" w:firstLineChars="0"/>
        <w:jc w:val="left"/>
        <w:rPr>
          <w:rFonts w:hint="eastAsia" w:ascii="宋体" w:hAnsi="宋体"/>
          <w:color w:val="auto"/>
          <w:sz w:val="28"/>
          <w:szCs w:val="28"/>
          <w:highlight w:val="none"/>
        </w:rPr>
      </w:pPr>
      <w:r>
        <w:rPr>
          <w:rFonts w:hint="eastAsia" w:ascii="宋体" w:hAnsi="宋体"/>
          <w:color w:val="auto"/>
          <w:sz w:val="28"/>
          <w:szCs w:val="28"/>
          <w:highlight w:val="none"/>
        </w:rPr>
        <w:t>招标代理机构：</w:t>
      </w:r>
      <w:r>
        <w:rPr>
          <w:rFonts w:hint="eastAsia" w:ascii="宋体" w:hAnsi="宋体" w:cs="宋体"/>
          <w:color w:val="auto"/>
          <w:sz w:val="30"/>
          <w:highlight w:val="none"/>
          <w:u w:val="single"/>
          <w:lang w:eastAsia="zh-CN"/>
        </w:rPr>
        <w:t>广东建科建设咨询有限公司</w:t>
      </w:r>
      <w:r>
        <w:rPr>
          <w:rFonts w:hint="eastAsia" w:ascii="宋体" w:hAnsi="宋体"/>
          <w:color w:val="auto"/>
          <w:sz w:val="28"/>
          <w:szCs w:val="28"/>
          <w:highlight w:val="none"/>
        </w:rPr>
        <w:t xml:space="preserve">（盖单位章） </w:t>
      </w:r>
    </w:p>
    <w:p w14:paraId="352E99DD">
      <w:pPr>
        <w:tabs>
          <w:tab w:val="left" w:pos="3611"/>
          <w:tab w:val="left" w:pos="4626"/>
          <w:tab w:val="left" w:pos="5642"/>
        </w:tabs>
        <w:kinsoku w:val="0"/>
        <w:overflowPunct w:val="0"/>
        <w:spacing w:line="360" w:lineRule="auto"/>
        <w:ind w:left="2877"/>
        <w:rPr>
          <w:rFonts w:hint="eastAsia" w:ascii="宋体" w:hAnsi="宋体"/>
          <w:color w:val="auto"/>
          <w:sz w:val="28"/>
          <w:szCs w:val="28"/>
          <w:highlight w:val="none"/>
          <w:u w:val="single"/>
          <w:lang w:val="en-US" w:eastAsia="zh-CN"/>
        </w:rPr>
      </w:pPr>
    </w:p>
    <w:p w14:paraId="39D99F36">
      <w:pPr>
        <w:tabs>
          <w:tab w:val="left" w:pos="3611"/>
          <w:tab w:val="left" w:pos="4626"/>
          <w:tab w:val="left" w:pos="5642"/>
        </w:tabs>
        <w:kinsoku w:val="0"/>
        <w:overflowPunct w:val="0"/>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u w:val="single"/>
          <w:lang w:val="en-US" w:eastAsia="zh-CN"/>
        </w:rPr>
        <w:t>2026</w:t>
      </w:r>
      <w:r>
        <w:rPr>
          <w:rFonts w:hint="eastAsia" w:ascii="宋体" w:hAnsi="宋体"/>
          <w:color w:val="auto"/>
          <w:spacing w:val="2"/>
          <w:sz w:val="28"/>
          <w:szCs w:val="28"/>
          <w:highlight w:val="none"/>
        </w:rPr>
        <w:t>年</w:t>
      </w:r>
      <w:r>
        <w:rPr>
          <w:rFonts w:hint="eastAsia" w:ascii="宋体" w:hAnsi="宋体"/>
          <w:color w:val="auto"/>
          <w:spacing w:val="2"/>
          <w:sz w:val="28"/>
          <w:szCs w:val="28"/>
          <w:highlight w:val="none"/>
          <w:u w:val="single"/>
          <w:lang w:val="en-US" w:eastAsia="zh-CN"/>
        </w:rPr>
        <w:t>02</w:t>
      </w:r>
      <w:r>
        <w:rPr>
          <w:rFonts w:hint="eastAsia" w:ascii="宋体" w:hAnsi="宋体"/>
          <w:color w:val="auto"/>
          <w:spacing w:val="2"/>
          <w:sz w:val="28"/>
          <w:szCs w:val="28"/>
          <w:highlight w:val="none"/>
        </w:rPr>
        <w:t>月</w:t>
      </w:r>
    </w:p>
    <w:p w14:paraId="7CBBB63C">
      <w:pPr>
        <w:tabs>
          <w:tab w:val="left" w:pos="2593"/>
        </w:tabs>
        <w:kinsoku w:val="0"/>
        <w:overflowPunct w:val="0"/>
        <w:spacing w:beforeLines="0" w:afterLines="0" w:line="360" w:lineRule="auto"/>
        <w:ind w:left="3"/>
        <w:jc w:val="center"/>
        <w:rPr>
          <w:rFonts w:hint="eastAsia" w:ascii="宋体" w:hAnsi="宋体" w:eastAsia="宋体"/>
          <w:color w:val="auto"/>
          <w:sz w:val="28"/>
          <w:highlight w:val="none"/>
        </w:rPr>
      </w:pPr>
    </w:p>
    <w:p w14:paraId="48366423">
      <w:pPr>
        <w:tabs>
          <w:tab w:val="left" w:pos="2593"/>
        </w:tabs>
        <w:kinsoku w:val="0"/>
        <w:overflowPunct w:val="0"/>
        <w:spacing w:beforeLines="0" w:afterLines="0" w:line="360" w:lineRule="auto"/>
        <w:ind w:left="3"/>
        <w:jc w:val="center"/>
        <w:rPr>
          <w:rFonts w:hint="eastAsia" w:ascii="宋体" w:hAnsi="宋体" w:eastAsia="宋体"/>
          <w:color w:val="auto"/>
          <w:sz w:val="28"/>
          <w:highlight w:val="none"/>
        </w:rPr>
      </w:pPr>
    </w:p>
    <w:p w14:paraId="59F62E58">
      <w:pPr>
        <w:tabs>
          <w:tab w:val="left" w:pos="2593"/>
        </w:tabs>
        <w:kinsoku w:val="0"/>
        <w:overflowPunct w:val="0"/>
        <w:spacing w:beforeLines="0" w:afterLines="0" w:line="360" w:lineRule="auto"/>
        <w:ind w:left="3"/>
        <w:jc w:val="center"/>
        <w:rPr>
          <w:rFonts w:hint="eastAsia" w:ascii="宋体" w:hAnsi="宋体" w:eastAsia="宋体"/>
          <w:color w:val="auto"/>
          <w:sz w:val="28"/>
          <w:highlight w:val="none"/>
        </w:rPr>
      </w:pPr>
    </w:p>
    <w:p w14:paraId="3F7BF49B">
      <w:pPr>
        <w:kinsoku w:val="0"/>
        <w:overflowPunct w:val="0"/>
        <w:spacing w:before="6" w:beforeLines="0" w:afterLines="0" w:line="360" w:lineRule="auto"/>
        <w:rPr>
          <w:rFonts w:hint="default"/>
          <w:color w:val="auto"/>
          <w:sz w:val="10"/>
          <w:highlight w:val="none"/>
        </w:rPr>
        <w:sectPr>
          <w:footerReference r:id="rId3" w:type="default"/>
          <w:pgSz w:w="11850" w:h="16840"/>
          <w:pgMar w:top="1380" w:right="168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p>
    <w:p w14:paraId="7E10C549">
      <w:pPr>
        <w:pStyle w:val="13"/>
        <w:spacing w:line="360" w:lineRule="auto"/>
        <w:rPr>
          <w:rFonts w:hint="default"/>
          <w:color w:val="auto"/>
          <w:highlight w:val="none"/>
        </w:rPr>
      </w:pPr>
    </w:p>
    <w:p w14:paraId="2E43F337">
      <w:pPr>
        <w:pStyle w:val="69"/>
        <w:kinsoku w:val="0"/>
        <w:overflowPunct w:val="0"/>
        <w:adjustRightInd w:val="0"/>
        <w:snapToGrid w:val="0"/>
        <w:spacing w:line="360" w:lineRule="auto"/>
        <w:ind w:left="3415" w:right="3413"/>
        <w:jc w:val="center"/>
        <w:outlineLvl w:val="9"/>
        <w:rPr>
          <w:rFonts w:hint="eastAsia" w:ascii="宋体" w:hAnsi="宋体" w:eastAsia="宋体" w:cs="宋体"/>
          <w:color w:val="auto"/>
          <w:kern w:val="2"/>
          <w:sz w:val="44"/>
          <w:szCs w:val="36"/>
          <w:highlight w:val="none"/>
          <w:lang w:val="en-US" w:eastAsia="zh-CN" w:bidi="ar-SA"/>
        </w:rPr>
      </w:pPr>
      <w:bookmarkStart w:id="3" w:name="_Toc32034"/>
      <w:bookmarkStart w:id="4" w:name="_Toc30381"/>
      <w:bookmarkStart w:id="5" w:name="_Toc9211"/>
      <w:bookmarkStart w:id="6" w:name="_Toc4950"/>
      <w:bookmarkStart w:id="7" w:name="_Toc13350"/>
      <w:bookmarkStart w:id="8" w:name="_Toc9304"/>
      <w:bookmarkStart w:id="9" w:name="_Toc69"/>
      <w:bookmarkStart w:id="10" w:name="_Toc22141"/>
      <w:bookmarkStart w:id="11" w:name="_Toc8345"/>
      <w:bookmarkStart w:id="12" w:name="_Toc12164"/>
      <w:bookmarkStart w:id="13" w:name="_Toc7867"/>
      <w:bookmarkStart w:id="14" w:name="_Toc319"/>
      <w:bookmarkStart w:id="15" w:name="_Toc22254"/>
      <w:bookmarkStart w:id="16" w:name="_Toc29746"/>
      <w:bookmarkStart w:id="17" w:name="_Toc16495"/>
      <w:r>
        <w:rPr>
          <w:rStyle w:val="44"/>
          <w:rFonts w:hint="eastAsia" w:ascii="方正小标宋简体" w:hAnsi="方正小标宋简体" w:eastAsia="方正小标宋简体" w:cs="方正小标宋简体"/>
          <w:color w:val="auto"/>
          <w:sz w:val="28"/>
          <w:szCs w:val="28"/>
          <w:highlight w:val="none"/>
          <w:lang w:val="en-US"/>
        </w:rPr>
        <w:t>目  录</w:t>
      </w:r>
      <w:bookmarkEnd w:id="3"/>
      <w:bookmarkEnd w:id="4"/>
      <w:bookmarkEnd w:id="5"/>
      <w:bookmarkEnd w:id="6"/>
      <w:bookmarkEnd w:id="7"/>
      <w:bookmarkEnd w:id="8"/>
      <w:bookmarkEnd w:id="9"/>
      <w:bookmarkEnd w:id="10"/>
      <w:bookmarkEnd w:id="11"/>
      <w:bookmarkEnd w:id="12"/>
      <w:bookmarkEnd w:id="13"/>
      <w:bookmarkEnd w:id="14"/>
      <w:bookmarkStart w:id="18" w:name="_Toc10922"/>
      <w:bookmarkStart w:id="19" w:name="_Toc13055"/>
      <w:bookmarkStart w:id="20" w:name="_Toc31670"/>
      <w:r>
        <w:rPr>
          <w:rStyle w:val="44"/>
          <w:rFonts w:hint="eastAsia" w:ascii="宋体" w:hAnsi="宋体" w:eastAsia="宋体" w:cs="宋体"/>
          <w:color w:val="auto"/>
          <w:sz w:val="36"/>
          <w:szCs w:val="36"/>
          <w:highlight w:val="none"/>
        </w:rPr>
        <w:fldChar w:fldCharType="begin"/>
      </w:r>
      <w:r>
        <w:rPr>
          <w:rStyle w:val="44"/>
          <w:rFonts w:hint="eastAsia" w:ascii="宋体" w:hAnsi="宋体" w:eastAsia="宋体" w:cs="宋体"/>
          <w:color w:val="auto"/>
          <w:sz w:val="36"/>
          <w:szCs w:val="36"/>
          <w:highlight w:val="none"/>
        </w:rPr>
        <w:instrText xml:space="preserve">TOC \o "1-3" \h \u </w:instrText>
      </w:r>
      <w:r>
        <w:rPr>
          <w:rStyle w:val="44"/>
          <w:rFonts w:hint="eastAsia" w:ascii="宋体" w:hAnsi="宋体" w:eastAsia="宋体" w:cs="宋体"/>
          <w:color w:val="auto"/>
          <w:sz w:val="36"/>
          <w:szCs w:val="36"/>
          <w:highlight w:val="none"/>
        </w:rPr>
        <w:fldChar w:fldCharType="separate"/>
      </w:r>
      <w:bookmarkEnd w:id="15"/>
      <w:bookmarkEnd w:id="16"/>
      <w:bookmarkEnd w:id="17"/>
    </w:p>
    <w:p w14:paraId="0FAAB119">
      <w:pPr>
        <w:pStyle w:val="21"/>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_Toc18341 </w:instrText>
      </w:r>
      <w:r>
        <w:rPr>
          <w:rFonts w:hint="eastAsia" w:ascii="宋体" w:hAnsi="宋体" w:eastAsia="宋体" w:cs="宋体"/>
          <w:color w:val="auto"/>
          <w:szCs w:val="36"/>
          <w:highlight w:val="none"/>
        </w:rPr>
        <w:fldChar w:fldCharType="separate"/>
      </w:r>
      <w:r>
        <w:rPr>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_Toc18341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36"/>
          <w:highlight w:val="none"/>
        </w:rPr>
        <w:fldChar w:fldCharType="end"/>
      </w:r>
    </w:p>
    <w:p w14:paraId="1CE2239F">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_Toc4527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szCs w:val="36"/>
          <w:highlight w:val="none"/>
          <w:lang w:eastAsia="zh-CN"/>
        </w:rPr>
        <w:t>第一章</w:t>
      </w:r>
      <w:r>
        <w:rPr>
          <w:rFonts w:hint="eastAsia" w:ascii="宋体" w:hAnsi="宋体" w:eastAsia="宋体" w:cs="宋体"/>
          <w:bCs w:val="0"/>
          <w:color w:val="auto"/>
          <w:szCs w:val="36"/>
          <w:highlight w:val="none"/>
          <w:lang w:val="en-US" w:eastAsia="zh-CN"/>
        </w:rPr>
        <w:t xml:space="preserve"> 招标公告</w:t>
      </w:r>
      <w:r>
        <w:rPr>
          <w:color w:val="auto"/>
          <w:highlight w:val="none"/>
        </w:rPr>
        <w:tab/>
      </w:r>
      <w:r>
        <w:rPr>
          <w:color w:val="auto"/>
          <w:highlight w:val="none"/>
        </w:rPr>
        <w:fldChar w:fldCharType="begin"/>
      </w:r>
      <w:r>
        <w:rPr>
          <w:color w:val="auto"/>
          <w:highlight w:val="none"/>
        </w:rPr>
        <w:instrText xml:space="preserve"> PAGEREF _Toc4527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36"/>
          <w:highlight w:val="none"/>
        </w:rPr>
        <w:fldChar w:fldCharType="end"/>
      </w:r>
    </w:p>
    <w:p w14:paraId="6611944D">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_Toc11519 </w:instrText>
      </w:r>
      <w:r>
        <w:rPr>
          <w:rFonts w:hint="eastAsia" w:ascii="宋体" w:hAnsi="宋体" w:eastAsia="宋体" w:cs="宋体"/>
          <w:color w:val="auto"/>
          <w:szCs w:val="36"/>
          <w:highlight w:val="none"/>
        </w:rPr>
        <w:fldChar w:fldCharType="separate"/>
      </w:r>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_Toc11519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6"/>
          <w:highlight w:val="none"/>
        </w:rPr>
        <w:fldChar w:fldCharType="end"/>
      </w:r>
    </w:p>
    <w:p w14:paraId="7D813563">
      <w:pPr>
        <w:pStyle w:val="1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840" w:firstLineChars="4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_Toc27088 </w:instrText>
      </w:r>
      <w:r>
        <w:rPr>
          <w:rFonts w:hint="eastAsia" w:ascii="宋体" w:hAnsi="宋体" w:eastAsia="宋体" w:cs="宋体"/>
          <w:color w:val="auto"/>
          <w:szCs w:val="36"/>
          <w:highlight w:val="none"/>
        </w:rPr>
        <w:fldChar w:fldCharType="separate"/>
      </w:r>
      <w:r>
        <w:rPr>
          <w:rFonts w:hint="eastAsia" w:ascii="宋体" w:hAnsi="宋体" w:eastAsia="宋体" w:cs="宋体"/>
          <w:bCs/>
          <w:color w:val="auto"/>
          <w:szCs w:val="28"/>
          <w:highlight w:val="none"/>
        </w:rPr>
        <w:t>1. 总则</w:t>
      </w:r>
      <w:r>
        <w:rPr>
          <w:color w:val="auto"/>
          <w:highlight w:val="none"/>
        </w:rPr>
        <w:tab/>
      </w:r>
      <w:r>
        <w:rPr>
          <w:color w:val="auto"/>
          <w:highlight w:val="none"/>
        </w:rPr>
        <w:fldChar w:fldCharType="begin"/>
      </w:r>
      <w:r>
        <w:rPr>
          <w:color w:val="auto"/>
          <w:highlight w:val="none"/>
        </w:rPr>
        <w:instrText xml:space="preserve"> PAGEREF _Toc27088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36"/>
          <w:highlight w:val="none"/>
        </w:rPr>
        <w:fldChar w:fldCharType="end"/>
      </w:r>
    </w:p>
    <w:p w14:paraId="74A6190A">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_Toc29457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36"/>
          <w:highlight w:val="none"/>
        </w:rPr>
        <w:fldChar w:fldCharType="end"/>
      </w:r>
    </w:p>
    <w:p w14:paraId="1D155AD9">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_Toc2539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_Toc2539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36"/>
          <w:highlight w:val="none"/>
        </w:rPr>
        <w:fldChar w:fldCharType="end"/>
      </w:r>
    </w:p>
    <w:p w14:paraId="387A8B69">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_Toc5866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_Toc5866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36"/>
          <w:highlight w:val="none"/>
        </w:rPr>
        <w:fldChar w:fldCharType="end"/>
      </w:r>
    </w:p>
    <w:p w14:paraId="28AE9664">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_Toc24815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36"/>
          <w:highlight w:val="none"/>
        </w:rPr>
        <w:fldChar w:fldCharType="end"/>
      </w:r>
    </w:p>
    <w:p w14:paraId="28D13D57">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_Toc18109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_Toc18109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36"/>
          <w:highlight w:val="none"/>
        </w:rPr>
        <w:fldChar w:fldCharType="end"/>
      </w:r>
    </w:p>
    <w:p w14:paraId="46B9170D">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_Toc13952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_Toc13952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6"/>
          <w:highlight w:val="none"/>
        </w:rPr>
        <w:fldChar w:fldCharType="end"/>
      </w:r>
    </w:p>
    <w:p w14:paraId="582997F0">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_Toc27998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8.纪律和监督</w:t>
      </w:r>
      <w:r>
        <w:rPr>
          <w:color w:val="auto"/>
          <w:highlight w:val="none"/>
        </w:rPr>
        <w:tab/>
      </w:r>
      <w:r>
        <w:rPr>
          <w:color w:val="auto"/>
          <w:highlight w:val="none"/>
        </w:rPr>
        <w:fldChar w:fldCharType="begin"/>
      </w:r>
      <w:r>
        <w:rPr>
          <w:color w:val="auto"/>
          <w:highlight w:val="none"/>
        </w:rPr>
        <w:instrText xml:space="preserve"> PAGEREF _Toc27998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36"/>
          <w:highlight w:val="none"/>
        </w:rPr>
        <w:fldChar w:fldCharType="end"/>
      </w:r>
    </w:p>
    <w:p w14:paraId="155A76DD">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_Toc31063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9. 是否采用电子招标投标</w:t>
      </w:r>
      <w:r>
        <w:rPr>
          <w:color w:val="auto"/>
          <w:highlight w:val="none"/>
        </w:rPr>
        <w:tab/>
      </w:r>
      <w:r>
        <w:rPr>
          <w:color w:val="auto"/>
          <w:highlight w:val="none"/>
        </w:rPr>
        <w:fldChar w:fldCharType="begin"/>
      </w:r>
      <w:r>
        <w:rPr>
          <w:color w:val="auto"/>
          <w:highlight w:val="none"/>
        </w:rPr>
        <w:instrText xml:space="preserve"> PAGEREF _Toc31063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36"/>
          <w:highlight w:val="none"/>
        </w:rPr>
        <w:fldChar w:fldCharType="end"/>
      </w:r>
    </w:p>
    <w:p w14:paraId="24F8A283">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_Toc26223 </w:instrText>
      </w:r>
      <w:r>
        <w:rPr>
          <w:rFonts w:hint="eastAsia" w:ascii="宋体" w:hAnsi="宋体" w:eastAsia="宋体" w:cs="宋体"/>
          <w:color w:val="auto"/>
          <w:szCs w:val="36"/>
          <w:highlight w:val="none"/>
        </w:rPr>
        <w:fldChar w:fldCharType="separate"/>
      </w:r>
      <w:r>
        <w:rPr>
          <w:rFonts w:hint="eastAsia" w:ascii="宋体" w:hAnsi="宋体" w:eastAsia="宋体" w:cs="宋体"/>
          <w:bCs/>
          <w:color w:val="auto"/>
          <w:highlight w:val="none"/>
        </w:rPr>
        <w:t xml:space="preserve">10. </w:t>
      </w:r>
      <w:r>
        <w:rPr>
          <w:rFonts w:hint="eastAsia" w:ascii="宋体" w:hAnsi="宋体" w:cs="宋体"/>
          <w:bCs/>
          <w:color w:val="auto"/>
          <w:highlight w:val="none"/>
          <w:lang w:eastAsia="zh-CN"/>
        </w:rPr>
        <w:t>重新招标情形</w:t>
      </w:r>
      <w:r>
        <w:rPr>
          <w:color w:val="auto"/>
          <w:highlight w:val="none"/>
        </w:rPr>
        <w:tab/>
      </w:r>
      <w:r>
        <w:rPr>
          <w:color w:val="auto"/>
          <w:highlight w:val="none"/>
        </w:rPr>
        <w:fldChar w:fldCharType="begin"/>
      </w:r>
      <w:r>
        <w:rPr>
          <w:color w:val="auto"/>
          <w:highlight w:val="none"/>
        </w:rPr>
        <w:instrText xml:space="preserve"> PAGEREF _Toc26223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36"/>
          <w:highlight w:val="none"/>
        </w:rPr>
        <w:fldChar w:fldCharType="end"/>
      </w:r>
    </w:p>
    <w:p w14:paraId="63924546">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_Toc41 </w:instrText>
      </w:r>
      <w:r>
        <w:rPr>
          <w:rFonts w:hint="eastAsia" w:ascii="宋体" w:hAnsi="宋体" w:eastAsia="宋体" w:cs="宋体"/>
          <w:color w:val="auto"/>
          <w:szCs w:val="36"/>
          <w:highlight w:val="none"/>
        </w:rPr>
        <w:fldChar w:fldCharType="separate"/>
      </w:r>
      <w:r>
        <w:rPr>
          <w:rFonts w:hint="eastAsia" w:ascii="宋体" w:hAnsi="宋体" w:eastAsia="宋体" w:cs="宋体"/>
          <w:bCs/>
          <w:color w:val="auto"/>
          <w:highlight w:val="none"/>
          <w:lang w:val="en-US" w:eastAsia="zh-CN"/>
        </w:rPr>
        <w:t>11</w:t>
      </w:r>
      <w:r>
        <w:rPr>
          <w:rFonts w:hint="eastAsia" w:ascii="宋体" w:hAnsi="宋体" w:eastAsia="宋体" w:cs="宋体"/>
          <w:bCs/>
          <w:color w:val="auto"/>
          <w:highlight w:val="none"/>
        </w:rPr>
        <w:t>. 需要补充的其他内容</w:t>
      </w:r>
      <w:r>
        <w:rPr>
          <w:color w:val="auto"/>
          <w:highlight w:val="none"/>
        </w:rPr>
        <w:tab/>
      </w:r>
      <w:r>
        <w:rPr>
          <w:color w:val="auto"/>
          <w:highlight w:val="none"/>
        </w:rPr>
        <w:fldChar w:fldCharType="begin"/>
      </w:r>
      <w:r>
        <w:rPr>
          <w:color w:val="auto"/>
          <w:highlight w:val="none"/>
        </w:rPr>
        <w:instrText xml:space="preserve"> PAGEREF _Toc41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36"/>
          <w:highlight w:val="none"/>
        </w:rPr>
        <w:fldChar w:fldCharType="end"/>
      </w:r>
    </w:p>
    <w:p w14:paraId="4E488F61">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_Toc12835 </w:instrText>
      </w:r>
      <w:r>
        <w:rPr>
          <w:rFonts w:hint="eastAsia" w:ascii="宋体" w:hAnsi="宋体" w:eastAsia="宋体" w:cs="宋体"/>
          <w:color w:val="auto"/>
          <w:szCs w:val="36"/>
          <w:highlight w:val="none"/>
        </w:rPr>
        <w:fldChar w:fldCharType="separate"/>
      </w:r>
      <w:r>
        <w:rPr>
          <w:color w:val="auto"/>
          <w:szCs w:val="32"/>
          <w:highlight w:val="none"/>
        </w:rPr>
        <w:t>第三章</w:t>
      </w:r>
      <w:r>
        <w:rPr>
          <w:rFonts w:hint="eastAsia"/>
          <w:color w:val="auto"/>
          <w:szCs w:val="32"/>
          <w:highlight w:val="none"/>
          <w:lang w:val="en-US" w:eastAsia="zh-CN"/>
        </w:rPr>
        <w:t xml:space="preserve"> </w:t>
      </w:r>
      <w:r>
        <w:rPr>
          <w:color w:val="auto"/>
          <w:szCs w:val="32"/>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_Toc12835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36"/>
          <w:highlight w:val="none"/>
        </w:rPr>
        <w:fldChar w:fldCharType="end"/>
      </w:r>
    </w:p>
    <w:p w14:paraId="2BE75CBE">
      <w:pPr>
        <w:pStyle w:val="1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_Toc14469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lang w:val="en-US" w:eastAsia="zh-CN"/>
        </w:rPr>
        <w:t>1. 评标方法</w:t>
      </w:r>
      <w:r>
        <w:rPr>
          <w:color w:val="auto"/>
          <w:highlight w:val="none"/>
        </w:rPr>
        <w:tab/>
      </w:r>
      <w:r>
        <w:rPr>
          <w:color w:val="auto"/>
          <w:highlight w:val="none"/>
        </w:rPr>
        <w:fldChar w:fldCharType="begin"/>
      </w:r>
      <w:r>
        <w:rPr>
          <w:color w:val="auto"/>
          <w:highlight w:val="none"/>
        </w:rPr>
        <w:instrText xml:space="preserve"> PAGEREF _Toc14469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36"/>
          <w:highlight w:val="none"/>
        </w:rPr>
        <w:fldChar w:fldCharType="end"/>
      </w:r>
    </w:p>
    <w:p w14:paraId="66B8BA56">
      <w:pPr>
        <w:pStyle w:val="1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_Toc31168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_Toc31168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36"/>
          <w:highlight w:val="none"/>
        </w:rPr>
        <w:fldChar w:fldCharType="end"/>
      </w:r>
    </w:p>
    <w:p w14:paraId="3CA6E674">
      <w:pPr>
        <w:pStyle w:val="1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_Toc28689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_Toc28689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36"/>
          <w:highlight w:val="none"/>
        </w:rPr>
        <w:fldChar w:fldCharType="end"/>
      </w:r>
    </w:p>
    <w:p w14:paraId="4E78C422">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_Toc27477 </w:instrText>
      </w:r>
      <w:r>
        <w:rPr>
          <w:rFonts w:hint="eastAsia" w:ascii="宋体" w:hAnsi="宋体" w:eastAsia="宋体" w:cs="宋体"/>
          <w:color w:val="auto"/>
          <w:szCs w:val="36"/>
          <w:highlight w:val="none"/>
        </w:rPr>
        <w:fldChar w:fldCharType="separate"/>
      </w:r>
      <w:r>
        <w:rPr>
          <w:rFonts w:hint="eastAsia" w:ascii="宋体" w:hAnsi="宋体" w:eastAsia="宋体" w:cs="宋体"/>
          <w:color w:val="auto"/>
          <w:highlight w:val="none"/>
          <w:lang w:eastAsia="zh-CN"/>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_Toc27477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color w:val="auto"/>
          <w:szCs w:val="36"/>
          <w:highlight w:val="none"/>
        </w:rPr>
        <w:fldChar w:fldCharType="end"/>
      </w:r>
    </w:p>
    <w:p w14:paraId="4153E5E2">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36"/>
          <w:highlight w:val="none"/>
          <w:lang w:val="en-US" w:eastAsia="zh-CN"/>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_Toc18341 </w:instrText>
      </w:r>
      <w:r>
        <w:rPr>
          <w:rFonts w:hint="eastAsia" w:ascii="宋体" w:hAnsi="宋体" w:eastAsia="宋体" w:cs="宋体"/>
          <w:color w:val="auto"/>
          <w:szCs w:val="36"/>
          <w:highlight w:val="none"/>
        </w:rPr>
        <w:fldChar w:fldCharType="separate"/>
      </w:r>
      <w:r>
        <w:rPr>
          <w:color w:val="auto"/>
          <w:highlight w:val="none"/>
        </w:rPr>
        <w:t>第</w:t>
      </w:r>
      <w:r>
        <w:rPr>
          <w:rFonts w:hint="eastAsia"/>
          <w:color w:val="auto"/>
          <w:highlight w:val="none"/>
          <w:lang w:val="en-US" w:eastAsia="zh-CN"/>
        </w:rPr>
        <w:t>二</w:t>
      </w:r>
      <w:r>
        <w:rPr>
          <w:color w:val="auto"/>
          <w:highlight w:val="none"/>
        </w:rPr>
        <w:t>卷</w:t>
      </w:r>
      <w:r>
        <w:rPr>
          <w:color w:val="auto"/>
          <w:highlight w:val="none"/>
        </w:rPr>
        <w:tab/>
      </w:r>
      <w:r>
        <w:rPr>
          <w:rFonts w:hint="eastAsia"/>
          <w:color w:val="auto"/>
          <w:highlight w:val="none"/>
          <w:lang w:val="en-US" w:eastAsia="zh-CN"/>
        </w:rPr>
        <w:t>5</w:t>
      </w:r>
      <w:r>
        <w:rPr>
          <w:rFonts w:hint="eastAsia" w:ascii="宋体" w:hAnsi="宋体" w:eastAsia="宋体" w:cs="宋体"/>
          <w:color w:val="auto"/>
          <w:szCs w:val="36"/>
          <w:highlight w:val="none"/>
        </w:rPr>
        <w:fldChar w:fldCharType="end"/>
      </w:r>
      <w:r>
        <w:rPr>
          <w:rFonts w:hint="eastAsia" w:ascii="宋体" w:hAnsi="宋体" w:eastAsia="宋体" w:cs="宋体"/>
          <w:color w:val="auto"/>
          <w:szCs w:val="36"/>
          <w:highlight w:val="none"/>
          <w:lang w:val="en-US" w:eastAsia="zh-CN"/>
        </w:rPr>
        <w:t>1</w:t>
      </w:r>
    </w:p>
    <w:p w14:paraId="0295EC87">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_Toc17455 </w:instrText>
      </w:r>
      <w:r>
        <w:rPr>
          <w:rFonts w:hint="eastAsia" w:ascii="宋体" w:hAnsi="宋体" w:eastAsia="宋体" w:cs="宋体"/>
          <w:color w:val="auto"/>
          <w:szCs w:val="36"/>
          <w:highlight w:val="none"/>
        </w:rPr>
        <w:fldChar w:fldCharType="separate"/>
      </w:r>
      <w:r>
        <w:rPr>
          <w:rFonts w:hint="eastAsia" w:ascii="宋体" w:hAnsi="宋体" w:eastAsia="宋体" w:cs="宋体"/>
          <w:color w:val="auto"/>
          <w:szCs w:val="36"/>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_Toc17455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eastAsia="宋体" w:cs="宋体"/>
          <w:color w:val="auto"/>
          <w:szCs w:val="36"/>
          <w:highlight w:val="none"/>
        </w:rPr>
        <w:fldChar w:fldCharType="end"/>
      </w:r>
    </w:p>
    <w:p w14:paraId="0B77EBBC">
      <w:pPr>
        <w:pStyle w:val="21"/>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_Toc18073 </w:instrText>
      </w:r>
      <w:r>
        <w:rPr>
          <w:rFonts w:hint="eastAsia" w:ascii="宋体" w:hAnsi="宋体" w:eastAsia="宋体" w:cs="宋体"/>
          <w:color w:val="auto"/>
          <w:szCs w:val="36"/>
          <w:highlight w:val="none"/>
        </w:rPr>
        <w:fldChar w:fldCharType="separate"/>
      </w:r>
      <w:r>
        <w:rPr>
          <w:rFonts w:hint="eastAsia" w:ascii="宋体" w:hAnsi="宋体" w:eastAsia="宋体" w:cs="宋体"/>
          <w:color w:val="auto"/>
          <w:szCs w:val="36"/>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_Toc18073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eastAsia="宋体" w:cs="宋体"/>
          <w:color w:val="auto"/>
          <w:szCs w:val="36"/>
          <w:highlight w:val="none"/>
        </w:rPr>
        <w:fldChar w:fldCharType="end"/>
      </w:r>
    </w:p>
    <w:p w14:paraId="57875743">
      <w:pPr>
        <w:kinsoku w:val="0"/>
        <w:overflowPunct w:val="0"/>
        <w:adjustRightInd w:val="0"/>
        <w:snapToGrid w:val="0"/>
        <w:spacing w:line="360" w:lineRule="auto"/>
        <w:ind w:left="3415" w:right="3413"/>
        <w:jc w:val="center"/>
        <w:outlineLvl w:val="9"/>
        <w:rPr>
          <w:rStyle w:val="44"/>
          <w:rFonts w:hint="eastAsia" w:ascii="宋体" w:hAnsi="宋体" w:eastAsia="宋体" w:cs="宋体"/>
          <w:color w:val="auto"/>
          <w:sz w:val="36"/>
          <w:szCs w:val="36"/>
          <w:highlight w:val="none"/>
        </w:rPr>
      </w:pPr>
      <w:r>
        <w:rPr>
          <w:rFonts w:hint="eastAsia" w:ascii="宋体" w:hAnsi="宋体" w:eastAsia="宋体" w:cs="宋体"/>
          <w:color w:val="auto"/>
          <w:szCs w:val="36"/>
          <w:highlight w:val="none"/>
        </w:rPr>
        <w:fldChar w:fldCharType="end"/>
      </w:r>
    </w:p>
    <w:p w14:paraId="19A761D3">
      <w:pPr>
        <w:pStyle w:val="69"/>
        <w:kinsoku w:val="0"/>
        <w:overflowPunct w:val="0"/>
        <w:spacing w:line="360" w:lineRule="auto"/>
        <w:ind w:left="3415" w:right="3413"/>
        <w:jc w:val="center"/>
        <w:outlineLvl w:val="9"/>
        <w:rPr>
          <w:color w:val="auto"/>
          <w:spacing w:val="2"/>
          <w:highlight w:val="none"/>
        </w:rPr>
      </w:pPr>
    </w:p>
    <w:p w14:paraId="2F365B85">
      <w:pPr>
        <w:pStyle w:val="3"/>
        <w:bidi w:val="0"/>
        <w:spacing w:line="360" w:lineRule="auto"/>
        <w:jc w:val="center"/>
        <w:rPr>
          <w:color w:val="auto"/>
          <w:highlight w:val="none"/>
        </w:rPr>
      </w:pPr>
      <w:bookmarkStart w:id="21" w:name="_Toc21151"/>
      <w:bookmarkStart w:id="22" w:name="_Toc5735"/>
      <w:bookmarkStart w:id="23" w:name="_Toc21048"/>
      <w:bookmarkStart w:id="24" w:name="_Toc25101"/>
      <w:bookmarkStart w:id="25" w:name="_Toc20865"/>
      <w:bookmarkStart w:id="26" w:name="_Toc28043"/>
      <w:bookmarkStart w:id="27" w:name="_Toc16665"/>
      <w:bookmarkStart w:id="28" w:name="_Toc8682"/>
      <w:bookmarkStart w:id="29" w:name="_Toc16225"/>
    </w:p>
    <w:p w14:paraId="0D810F39">
      <w:pPr>
        <w:rPr>
          <w:color w:val="auto"/>
          <w:highlight w:val="none"/>
        </w:rPr>
      </w:pPr>
    </w:p>
    <w:p w14:paraId="22B4CC37">
      <w:pPr>
        <w:pStyle w:val="3"/>
        <w:bidi w:val="0"/>
        <w:spacing w:line="360" w:lineRule="auto"/>
        <w:jc w:val="center"/>
        <w:rPr>
          <w:color w:val="auto"/>
          <w:highlight w:val="none"/>
        </w:rPr>
      </w:pPr>
      <w:bookmarkStart w:id="30" w:name="_Toc18341"/>
      <w:r>
        <w:rPr>
          <w:color w:val="auto"/>
          <w:highlight w:val="none"/>
        </w:rPr>
        <w:t>第一卷</w:t>
      </w:r>
      <w:bookmarkEnd w:id="18"/>
      <w:bookmarkEnd w:id="19"/>
      <w:bookmarkEnd w:id="20"/>
      <w:bookmarkEnd w:id="21"/>
      <w:bookmarkEnd w:id="22"/>
      <w:bookmarkEnd w:id="23"/>
      <w:bookmarkEnd w:id="24"/>
      <w:bookmarkEnd w:id="25"/>
      <w:bookmarkEnd w:id="26"/>
      <w:bookmarkEnd w:id="27"/>
      <w:bookmarkEnd w:id="28"/>
      <w:bookmarkEnd w:id="29"/>
      <w:bookmarkEnd w:id="30"/>
    </w:p>
    <w:p w14:paraId="0ABA0825">
      <w:pPr>
        <w:pStyle w:val="4"/>
        <w:bidi w:val="0"/>
        <w:spacing w:line="360" w:lineRule="auto"/>
        <w:jc w:val="center"/>
        <w:rPr>
          <w:rStyle w:val="44"/>
          <w:rFonts w:hint="eastAsia" w:ascii="宋体" w:hAnsi="宋体" w:eastAsia="宋体" w:cs="宋体"/>
          <w:b/>
          <w:bCs w:val="0"/>
          <w:color w:val="auto"/>
          <w:sz w:val="36"/>
          <w:szCs w:val="36"/>
          <w:highlight w:val="none"/>
          <w:lang w:val="en-US" w:eastAsia="zh-CN"/>
        </w:rPr>
      </w:pPr>
      <w:r>
        <w:rPr>
          <w:rStyle w:val="44"/>
          <w:rFonts w:hint="eastAsia"/>
          <w:b/>
          <w:color w:val="auto"/>
          <w:sz w:val="36"/>
          <w:szCs w:val="36"/>
          <w:highlight w:val="none"/>
        </w:rPr>
        <w:br w:type="page"/>
      </w:r>
      <w:bookmarkStart w:id="31" w:name="_Toc10268"/>
      <w:bookmarkStart w:id="32" w:name="_Toc24415"/>
      <w:bookmarkStart w:id="33" w:name="_Toc4527"/>
      <w:bookmarkStart w:id="34" w:name="OLE_LINK24"/>
      <w:r>
        <w:rPr>
          <w:rStyle w:val="44"/>
          <w:rFonts w:hint="eastAsia" w:ascii="宋体" w:hAnsi="宋体" w:eastAsia="宋体" w:cs="宋体"/>
          <w:b/>
          <w:bCs w:val="0"/>
          <w:color w:val="auto"/>
          <w:sz w:val="36"/>
          <w:szCs w:val="36"/>
          <w:highlight w:val="none"/>
          <w:lang w:eastAsia="zh-CN"/>
        </w:rPr>
        <w:t>第一章</w:t>
      </w:r>
      <w:r>
        <w:rPr>
          <w:rStyle w:val="44"/>
          <w:rFonts w:hint="eastAsia" w:ascii="宋体" w:hAnsi="宋体" w:eastAsia="宋体" w:cs="宋体"/>
          <w:b/>
          <w:bCs w:val="0"/>
          <w:color w:val="auto"/>
          <w:sz w:val="36"/>
          <w:szCs w:val="36"/>
          <w:highlight w:val="none"/>
          <w:lang w:val="en-US" w:eastAsia="zh-CN"/>
        </w:rPr>
        <w:t xml:space="preserve"> 招标公告</w:t>
      </w:r>
      <w:bookmarkEnd w:id="31"/>
      <w:bookmarkEnd w:id="32"/>
      <w:bookmarkEnd w:id="33"/>
    </w:p>
    <w:bookmarkEnd w:id="0"/>
    <w:bookmarkEnd w:id="34"/>
    <w:p w14:paraId="29F2C2F6">
      <w:pPr>
        <w:spacing w:line="360" w:lineRule="auto"/>
        <w:ind w:firstLine="210" w:firstLineChars="100"/>
        <w:jc w:val="center"/>
        <w:rPr>
          <w:rFonts w:hint="default" w:ascii="宋体" w:hAnsi="宋体" w:eastAsia="宋体" w:cs="Times New Roman"/>
          <w:color w:val="auto"/>
          <w:sz w:val="21"/>
          <w:highlight w:val="none"/>
          <w:u w:val="single"/>
          <w:lang w:val="en-US" w:eastAsia="zh-CN" w:bidi="ar-SA"/>
        </w:rPr>
      </w:pPr>
      <w:bookmarkStart w:id="35" w:name="_Toc20870"/>
      <w:bookmarkStart w:id="36" w:name="_Toc511140161"/>
      <w:bookmarkStart w:id="37" w:name="_Toc451"/>
      <w:bookmarkStart w:id="38" w:name="_Toc11211"/>
      <w:bookmarkStart w:id="39" w:name="_Toc9384"/>
      <w:bookmarkStart w:id="40" w:name="_Toc24707"/>
      <w:bookmarkStart w:id="41" w:name="_Toc6648"/>
      <w:bookmarkStart w:id="42" w:name="_Toc24988"/>
      <w:bookmarkStart w:id="43" w:name="_Toc16445"/>
      <w:bookmarkStart w:id="44" w:name="_Toc23802"/>
      <w:r>
        <w:rPr>
          <w:rFonts w:hint="eastAsia" w:ascii="宋体" w:hAnsi="宋体" w:eastAsia="宋体" w:cs="Times New Roman"/>
          <w:color w:val="auto"/>
          <w:sz w:val="21"/>
          <w:highlight w:val="none"/>
          <w:u w:val="single"/>
          <w:lang w:val="en-US" w:eastAsia="zh-CN" w:bidi="ar-SA"/>
        </w:rPr>
        <w:t>(另册)</w:t>
      </w:r>
    </w:p>
    <w:p w14:paraId="1F82952C">
      <w:pPr>
        <w:spacing w:line="360" w:lineRule="auto"/>
        <w:ind w:firstLine="210" w:firstLineChars="100"/>
        <w:jc w:val="center"/>
        <w:rPr>
          <w:rFonts w:hint="eastAsia" w:ascii="宋体" w:hAnsi="宋体" w:eastAsia="宋体" w:cs="Times New Roman"/>
          <w:color w:val="auto"/>
          <w:sz w:val="21"/>
          <w:highlight w:val="none"/>
          <w:u w:val="single"/>
          <w:lang w:val="en-US" w:eastAsia="zh-CN" w:bidi="ar-SA"/>
        </w:rPr>
      </w:pPr>
    </w:p>
    <w:p w14:paraId="6D5DD3A1">
      <w:pPr>
        <w:pStyle w:val="4"/>
        <w:spacing w:line="360" w:lineRule="auto"/>
        <w:rPr>
          <w:rFonts w:hint="eastAsia" w:ascii="宋体" w:hAnsi="宋体" w:eastAsia="宋体" w:cs="Times New Roman"/>
          <w:color w:val="auto"/>
          <w:sz w:val="21"/>
          <w:highlight w:val="none"/>
          <w:u w:val="single"/>
          <w:lang w:val="en-US" w:eastAsia="zh-CN" w:bidi="ar-SA"/>
        </w:rPr>
      </w:pPr>
    </w:p>
    <w:p w14:paraId="7338F9F1">
      <w:pPr>
        <w:spacing w:line="360" w:lineRule="auto"/>
        <w:rPr>
          <w:rFonts w:hint="eastAsia" w:ascii="宋体" w:hAnsi="宋体" w:eastAsia="宋体" w:cs="Times New Roman"/>
          <w:color w:val="auto"/>
          <w:sz w:val="21"/>
          <w:highlight w:val="none"/>
          <w:u w:val="single"/>
          <w:lang w:val="en-US" w:eastAsia="zh-CN" w:bidi="ar-SA"/>
        </w:rPr>
      </w:pPr>
    </w:p>
    <w:p w14:paraId="515271D3">
      <w:pPr>
        <w:pStyle w:val="4"/>
        <w:spacing w:line="360" w:lineRule="auto"/>
        <w:rPr>
          <w:rFonts w:hint="eastAsia" w:ascii="宋体" w:hAnsi="宋体" w:eastAsia="宋体" w:cs="Times New Roman"/>
          <w:color w:val="auto"/>
          <w:sz w:val="21"/>
          <w:highlight w:val="none"/>
          <w:u w:val="single"/>
          <w:lang w:val="en-US" w:eastAsia="zh-CN" w:bidi="ar-SA"/>
        </w:rPr>
      </w:pPr>
    </w:p>
    <w:p w14:paraId="28DAD1EF">
      <w:pPr>
        <w:spacing w:line="360" w:lineRule="auto"/>
        <w:rPr>
          <w:rFonts w:hint="eastAsia" w:ascii="宋体" w:hAnsi="宋体" w:eastAsia="宋体" w:cs="Times New Roman"/>
          <w:color w:val="auto"/>
          <w:sz w:val="21"/>
          <w:highlight w:val="none"/>
          <w:u w:val="single"/>
          <w:lang w:val="en-US" w:eastAsia="zh-CN" w:bidi="ar-SA"/>
        </w:rPr>
      </w:pPr>
    </w:p>
    <w:p w14:paraId="3738D110">
      <w:pPr>
        <w:pStyle w:val="4"/>
        <w:spacing w:line="360" w:lineRule="auto"/>
        <w:rPr>
          <w:rFonts w:hint="eastAsia" w:ascii="宋体" w:hAnsi="宋体" w:eastAsia="宋体" w:cs="Times New Roman"/>
          <w:color w:val="auto"/>
          <w:sz w:val="21"/>
          <w:highlight w:val="none"/>
          <w:u w:val="single"/>
          <w:lang w:val="en-US" w:eastAsia="zh-CN" w:bidi="ar-SA"/>
        </w:rPr>
      </w:pPr>
    </w:p>
    <w:p w14:paraId="2A8203AC">
      <w:pPr>
        <w:spacing w:line="360" w:lineRule="auto"/>
        <w:rPr>
          <w:rFonts w:hint="eastAsia" w:ascii="宋体" w:hAnsi="宋体" w:eastAsia="宋体" w:cs="Times New Roman"/>
          <w:color w:val="auto"/>
          <w:sz w:val="21"/>
          <w:highlight w:val="none"/>
          <w:u w:val="single"/>
          <w:lang w:val="en-US" w:eastAsia="zh-CN" w:bidi="ar-SA"/>
        </w:rPr>
      </w:pPr>
    </w:p>
    <w:p w14:paraId="580BBDD3">
      <w:pPr>
        <w:pStyle w:val="4"/>
        <w:spacing w:line="360" w:lineRule="auto"/>
        <w:rPr>
          <w:rFonts w:hint="eastAsia" w:ascii="宋体" w:hAnsi="宋体" w:eastAsia="宋体" w:cs="Times New Roman"/>
          <w:color w:val="auto"/>
          <w:sz w:val="21"/>
          <w:highlight w:val="none"/>
          <w:u w:val="single"/>
          <w:lang w:val="en-US" w:eastAsia="zh-CN" w:bidi="ar-SA"/>
        </w:rPr>
      </w:pPr>
    </w:p>
    <w:p w14:paraId="43F7B24F">
      <w:pPr>
        <w:spacing w:line="360" w:lineRule="auto"/>
        <w:rPr>
          <w:rFonts w:hint="eastAsia" w:ascii="宋体" w:hAnsi="宋体" w:eastAsia="宋体" w:cs="Times New Roman"/>
          <w:color w:val="auto"/>
          <w:sz w:val="21"/>
          <w:highlight w:val="none"/>
          <w:u w:val="single"/>
          <w:lang w:val="en-US" w:eastAsia="zh-CN" w:bidi="ar-SA"/>
        </w:rPr>
      </w:pPr>
    </w:p>
    <w:p w14:paraId="2E8791A2">
      <w:pPr>
        <w:pStyle w:val="4"/>
        <w:spacing w:line="360" w:lineRule="auto"/>
        <w:rPr>
          <w:rFonts w:hint="eastAsia" w:ascii="宋体" w:hAnsi="宋体" w:eastAsia="宋体" w:cs="Times New Roman"/>
          <w:color w:val="auto"/>
          <w:sz w:val="21"/>
          <w:highlight w:val="none"/>
          <w:u w:val="single"/>
          <w:lang w:val="en-US" w:eastAsia="zh-CN" w:bidi="ar-SA"/>
        </w:rPr>
      </w:pPr>
    </w:p>
    <w:p w14:paraId="2CE289D4">
      <w:pPr>
        <w:spacing w:line="360" w:lineRule="auto"/>
        <w:rPr>
          <w:rFonts w:hint="eastAsia" w:ascii="宋体" w:hAnsi="宋体" w:eastAsia="宋体" w:cs="Times New Roman"/>
          <w:color w:val="auto"/>
          <w:sz w:val="21"/>
          <w:highlight w:val="none"/>
          <w:u w:val="single"/>
          <w:lang w:val="en-US" w:eastAsia="zh-CN" w:bidi="ar-SA"/>
        </w:rPr>
      </w:pPr>
    </w:p>
    <w:p w14:paraId="72B6FD8B">
      <w:pPr>
        <w:pStyle w:val="2"/>
        <w:spacing w:line="360" w:lineRule="auto"/>
        <w:rPr>
          <w:rFonts w:hint="eastAsia" w:ascii="宋体" w:hAnsi="宋体" w:eastAsia="宋体" w:cs="Times New Roman"/>
          <w:color w:val="auto"/>
          <w:sz w:val="21"/>
          <w:highlight w:val="none"/>
          <w:u w:val="single"/>
          <w:lang w:val="en-US" w:eastAsia="zh-CN" w:bidi="ar-SA"/>
        </w:rPr>
      </w:pPr>
    </w:p>
    <w:p w14:paraId="66492415">
      <w:pPr>
        <w:spacing w:line="360" w:lineRule="auto"/>
        <w:rPr>
          <w:rFonts w:hint="eastAsia" w:ascii="宋体" w:hAnsi="宋体" w:eastAsia="宋体" w:cs="Times New Roman"/>
          <w:color w:val="auto"/>
          <w:sz w:val="21"/>
          <w:highlight w:val="none"/>
          <w:u w:val="single"/>
          <w:lang w:val="en-US" w:eastAsia="zh-CN" w:bidi="ar-SA"/>
        </w:rPr>
      </w:pPr>
    </w:p>
    <w:p w14:paraId="42432B00">
      <w:pPr>
        <w:pStyle w:val="2"/>
        <w:spacing w:line="360" w:lineRule="auto"/>
        <w:rPr>
          <w:rFonts w:hint="eastAsia" w:ascii="宋体" w:hAnsi="宋体" w:eastAsia="宋体" w:cs="Times New Roman"/>
          <w:color w:val="auto"/>
          <w:sz w:val="21"/>
          <w:highlight w:val="none"/>
          <w:u w:val="single"/>
          <w:lang w:val="en-US" w:eastAsia="zh-CN" w:bidi="ar-SA"/>
        </w:rPr>
      </w:pPr>
    </w:p>
    <w:p w14:paraId="11BE229A">
      <w:pPr>
        <w:spacing w:line="360" w:lineRule="auto"/>
        <w:rPr>
          <w:rFonts w:hint="eastAsia" w:ascii="宋体" w:hAnsi="宋体" w:eastAsia="宋体" w:cs="Times New Roman"/>
          <w:color w:val="auto"/>
          <w:sz w:val="21"/>
          <w:highlight w:val="none"/>
          <w:u w:val="single"/>
          <w:lang w:val="en-US" w:eastAsia="zh-CN" w:bidi="ar-SA"/>
        </w:rPr>
      </w:pPr>
    </w:p>
    <w:p w14:paraId="61B61313">
      <w:pPr>
        <w:pStyle w:val="2"/>
        <w:spacing w:line="360" w:lineRule="auto"/>
        <w:rPr>
          <w:rFonts w:hint="eastAsia" w:ascii="宋体" w:hAnsi="宋体" w:eastAsia="宋体" w:cs="Times New Roman"/>
          <w:color w:val="auto"/>
          <w:sz w:val="21"/>
          <w:highlight w:val="none"/>
          <w:u w:val="single"/>
          <w:lang w:val="en-US" w:eastAsia="zh-CN" w:bidi="ar-SA"/>
        </w:rPr>
      </w:pPr>
    </w:p>
    <w:p w14:paraId="563EADC2">
      <w:pPr>
        <w:spacing w:line="360" w:lineRule="auto"/>
        <w:rPr>
          <w:rFonts w:hint="eastAsia"/>
          <w:color w:val="auto"/>
          <w:highlight w:val="none"/>
          <w:lang w:val="en-US" w:eastAsia="zh-CN"/>
        </w:rPr>
      </w:pPr>
    </w:p>
    <w:p w14:paraId="3FC80D85">
      <w:pPr>
        <w:spacing w:line="360" w:lineRule="auto"/>
        <w:rPr>
          <w:rFonts w:hint="eastAsia" w:ascii="宋体" w:hAnsi="宋体" w:eastAsia="宋体" w:cs="Times New Roman"/>
          <w:color w:val="auto"/>
          <w:sz w:val="21"/>
          <w:highlight w:val="none"/>
          <w:u w:val="single"/>
          <w:lang w:val="en-US" w:eastAsia="zh-CN" w:bidi="ar-SA"/>
        </w:rPr>
      </w:pPr>
    </w:p>
    <w:p w14:paraId="593D6E36">
      <w:pPr>
        <w:pStyle w:val="4"/>
        <w:bidi w:val="0"/>
        <w:spacing w:line="360" w:lineRule="auto"/>
        <w:jc w:val="center"/>
        <w:rPr>
          <w:rFonts w:hint="eastAsia"/>
          <w:color w:val="auto"/>
          <w:highlight w:val="none"/>
        </w:rPr>
      </w:pPr>
      <w:r>
        <w:rPr>
          <w:rFonts w:hint="eastAsia"/>
          <w:color w:val="auto"/>
          <w:highlight w:val="none"/>
        </w:rPr>
        <w:br w:type="page"/>
      </w:r>
      <w:bookmarkStart w:id="45" w:name="_Toc11519"/>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投标人须知</w:t>
      </w:r>
      <w:bookmarkEnd w:id="35"/>
      <w:bookmarkEnd w:id="36"/>
      <w:bookmarkEnd w:id="37"/>
      <w:bookmarkEnd w:id="38"/>
      <w:bookmarkEnd w:id="39"/>
      <w:bookmarkEnd w:id="40"/>
      <w:bookmarkEnd w:id="41"/>
      <w:bookmarkEnd w:id="42"/>
      <w:bookmarkEnd w:id="43"/>
      <w:bookmarkEnd w:id="44"/>
      <w:bookmarkEnd w:id="45"/>
    </w:p>
    <w:p w14:paraId="019DB488">
      <w:pPr>
        <w:bidi w:val="0"/>
        <w:spacing w:line="360" w:lineRule="auto"/>
        <w:jc w:val="center"/>
        <w:rPr>
          <w:b/>
          <w:bCs/>
          <w:color w:val="auto"/>
          <w:sz w:val="28"/>
          <w:szCs w:val="28"/>
          <w:highlight w:val="none"/>
        </w:rPr>
      </w:pPr>
      <w:bookmarkStart w:id="46" w:name="_Toc30044"/>
      <w:bookmarkStart w:id="47" w:name="_Toc6981"/>
      <w:bookmarkStart w:id="48" w:name="_Toc26905"/>
      <w:bookmarkStart w:id="49" w:name="_Toc9401"/>
      <w:bookmarkStart w:id="50" w:name="_Toc20074"/>
      <w:bookmarkStart w:id="51" w:name="_Toc21765"/>
      <w:bookmarkStart w:id="52" w:name="_Toc26316"/>
      <w:bookmarkStart w:id="53" w:name="_Toc5312"/>
      <w:bookmarkStart w:id="54" w:name="_Toc4256"/>
      <w:r>
        <w:rPr>
          <w:rFonts w:hint="eastAsia"/>
          <w:b/>
          <w:bCs/>
          <w:color w:val="auto"/>
          <w:sz w:val="28"/>
          <w:szCs w:val="28"/>
          <w:highlight w:val="none"/>
        </w:rPr>
        <w:t>投标人须知前附表</w:t>
      </w:r>
      <w:bookmarkEnd w:id="46"/>
      <w:bookmarkEnd w:id="47"/>
      <w:bookmarkEnd w:id="48"/>
      <w:bookmarkEnd w:id="49"/>
      <w:bookmarkEnd w:id="50"/>
      <w:bookmarkEnd w:id="51"/>
      <w:bookmarkEnd w:id="52"/>
      <w:bookmarkEnd w:id="53"/>
      <w:bookmarkEnd w:id="54"/>
    </w:p>
    <w:tbl>
      <w:tblPr>
        <w:tblStyle w:val="30"/>
        <w:tblW w:w="4996" w:type="pct"/>
        <w:tblInd w:w="0" w:type="dxa"/>
        <w:tblLayout w:type="autofit"/>
        <w:tblCellMar>
          <w:top w:w="0" w:type="dxa"/>
          <w:left w:w="108" w:type="dxa"/>
          <w:bottom w:w="0" w:type="dxa"/>
          <w:right w:w="108" w:type="dxa"/>
        </w:tblCellMar>
      </w:tblPr>
      <w:tblGrid>
        <w:gridCol w:w="838"/>
        <w:gridCol w:w="2467"/>
        <w:gridCol w:w="5920"/>
      </w:tblGrid>
      <w:tr w14:paraId="13A2BED8">
        <w:tblPrEx>
          <w:tblCellMar>
            <w:top w:w="0" w:type="dxa"/>
            <w:left w:w="108" w:type="dxa"/>
            <w:bottom w:w="0" w:type="dxa"/>
            <w:right w:w="108" w:type="dxa"/>
          </w:tblCellMar>
        </w:tblPrEx>
        <w:trPr>
          <w:tblHeader/>
        </w:trPr>
        <w:tc>
          <w:tcPr>
            <w:tcW w:w="454" w:type="pct"/>
            <w:tcBorders>
              <w:top w:val="single" w:color="auto" w:sz="4" w:space="0"/>
              <w:left w:val="single" w:color="auto" w:sz="4" w:space="0"/>
              <w:bottom w:val="single" w:color="auto" w:sz="4" w:space="0"/>
              <w:right w:val="single" w:color="auto" w:sz="4" w:space="0"/>
            </w:tcBorders>
            <w:noWrap w:val="0"/>
            <w:vAlign w:val="center"/>
          </w:tcPr>
          <w:p w14:paraId="239326CD">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089750C">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条款名称</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868B674">
            <w:pPr>
              <w:spacing w:line="360" w:lineRule="auto"/>
              <w:jc w:val="center"/>
              <w:rPr>
                <w:rFonts w:ascii="Times New Roman" w:hAnsi="Times New Roman"/>
                <w:b/>
                <w:color w:val="auto"/>
                <w:highlight w:val="none"/>
              </w:rPr>
            </w:pPr>
            <w:r>
              <w:rPr>
                <w:rFonts w:hint="eastAsia" w:ascii="Times New Roman" w:hAnsi="Times New Roman"/>
                <w:b/>
                <w:color w:val="auto"/>
                <w:highlight w:val="none"/>
              </w:rPr>
              <w:t>编列内容</w:t>
            </w:r>
          </w:p>
        </w:tc>
      </w:tr>
      <w:tr w14:paraId="7EE2C7ED">
        <w:tblPrEx>
          <w:tblCellMar>
            <w:top w:w="0" w:type="dxa"/>
            <w:left w:w="108" w:type="dxa"/>
            <w:bottom w:w="0" w:type="dxa"/>
            <w:right w:w="108" w:type="dxa"/>
          </w:tblCellMar>
        </w:tblPrEx>
        <w:trPr>
          <w:trHeight w:val="186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B6A9B23">
            <w:pPr>
              <w:spacing w:line="360" w:lineRule="auto"/>
              <w:jc w:val="center"/>
              <w:rPr>
                <w:rFonts w:ascii="Times New Roman" w:hAnsi="Times New Roman"/>
                <w:color w:val="auto"/>
                <w:highlight w:val="none"/>
              </w:rPr>
            </w:pPr>
            <w:r>
              <w:rPr>
                <w:rFonts w:ascii="Times New Roman" w:hAnsi="Times New Roman"/>
                <w:color w:val="auto"/>
                <w:highlight w:val="none"/>
              </w:rPr>
              <w:t>1.1.2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1099C3C">
            <w:pPr>
              <w:spacing w:line="360" w:lineRule="auto"/>
              <w:jc w:val="left"/>
              <w:rPr>
                <w:rFonts w:ascii="Times New Roman" w:hAnsi="Times New Roman"/>
                <w:color w:val="auto"/>
                <w:highlight w:val="none"/>
              </w:rPr>
            </w:pPr>
            <w:r>
              <w:rPr>
                <w:rFonts w:hint="eastAsia" w:ascii="Times New Roman" w:hAnsi="Times New Roman"/>
                <w:color w:val="auto"/>
                <w:highlight w:val="none"/>
              </w:rPr>
              <w:t>招标人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3AA1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u w:val="none"/>
              </w:rPr>
              <w:t>名称：</w:t>
            </w:r>
            <w:r>
              <w:rPr>
                <w:rFonts w:hint="eastAsia" w:ascii="宋体" w:hAnsi="宋体" w:cs="宋体"/>
                <w:color w:val="auto"/>
                <w:sz w:val="21"/>
                <w:szCs w:val="21"/>
                <w:highlight w:val="none"/>
                <w:u w:val="none"/>
                <w:lang w:eastAsia="zh-CN"/>
              </w:rPr>
              <w:t>广州市天河区建设工程项目代建局</w:t>
            </w:r>
          </w:p>
          <w:p w14:paraId="5E08D8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none"/>
              </w:rPr>
              <w:t>地址：广州市天河区黄埔大道中300号1</w:t>
            </w:r>
            <w:r>
              <w:rPr>
                <w:rFonts w:hint="eastAsia" w:ascii="宋体" w:hAnsi="宋体" w:cs="宋体"/>
                <w:color w:val="auto"/>
                <w:sz w:val="21"/>
                <w:szCs w:val="21"/>
                <w:highlight w:val="none"/>
                <w:u w:val="none"/>
                <w:lang w:val="en-US" w:eastAsia="zh-CN"/>
              </w:rPr>
              <w:t>6</w:t>
            </w:r>
            <w:r>
              <w:rPr>
                <w:rFonts w:hint="eastAsia" w:ascii="宋体" w:hAnsi="宋体" w:cs="宋体"/>
                <w:color w:val="auto"/>
                <w:sz w:val="21"/>
                <w:szCs w:val="21"/>
                <w:highlight w:val="none"/>
                <w:u w:val="none"/>
              </w:rPr>
              <w:t>楼</w:t>
            </w:r>
          </w:p>
          <w:p w14:paraId="1FE85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none"/>
              </w:rPr>
              <w:t>联系人：吴工</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李工</w:t>
            </w:r>
          </w:p>
          <w:p w14:paraId="4E6CEDCA">
            <w:pPr>
              <w:spacing w:line="360" w:lineRule="auto"/>
              <w:rPr>
                <w:rFonts w:hint="eastAsia" w:ascii="宋体" w:hAnsi="宋体"/>
                <w:color w:val="auto"/>
                <w:sz w:val="21"/>
                <w:szCs w:val="21"/>
                <w:highlight w:val="none"/>
                <w:u w:val="single"/>
                <w:lang w:eastAsia="zh-CN"/>
              </w:rPr>
            </w:pPr>
            <w:r>
              <w:rPr>
                <w:rFonts w:hint="eastAsia" w:ascii="宋体" w:hAnsi="宋体" w:cs="宋体"/>
                <w:color w:val="auto"/>
                <w:sz w:val="21"/>
                <w:szCs w:val="21"/>
                <w:highlight w:val="none"/>
                <w:u w:val="none"/>
              </w:rPr>
              <w:t>电话：020-38085259</w:t>
            </w:r>
          </w:p>
          <w:p w14:paraId="5F630B7B">
            <w:pPr>
              <w:spacing w:line="360" w:lineRule="auto"/>
              <w:rPr>
                <w:rFonts w:ascii="Times New Roman" w:hAnsi="Times New Roman"/>
                <w:color w:val="auto"/>
                <w:highlight w:val="none"/>
              </w:rPr>
            </w:pPr>
            <w:r>
              <w:rPr>
                <w:rFonts w:hint="eastAsia" w:ascii="宋体" w:hAnsi="宋体"/>
                <w:color w:val="auto"/>
                <w:sz w:val="21"/>
                <w:szCs w:val="21"/>
                <w:highlight w:val="none"/>
                <w:lang w:eastAsia="zh-CN"/>
              </w:rPr>
              <w:t>邮箱：xmjs-bgs@thnet.gov.cn</w:t>
            </w:r>
          </w:p>
        </w:tc>
      </w:tr>
      <w:tr w14:paraId="4A9B396D">
        <w:tblPrEx>
          <w:tblCellMar>
            <w:top w:w="0" w:type="dxa"/>
            <w:left w:w="108" w:type="dxa"/>
            <w:bottom w:w="0" w:type="dxa"/>
            <w:right w:w="108" w:type="dxa"/>
          </w:tblCellMar>
        </w:tblPrEx>
        <w:trPr>
          <w:trHeight w:val="171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707EFA3">
            <w:pPr>
              <w:spacing w:line="360" w:lineRule="auto"/>
              <w:jc w:val="center"/>
              <w:rPr>
                <w:rFonts w:ascii="Times New Roman" w:hAnsi="Times New Roman"/>
                <w:color w:val="auto"/>
                <w:highlight w:val="none"/>
              </w:rPr>
            </w:pPr>
            <w:r>
              <w:rPr>
                <w:rFonts w:ascii="Times New Roman" w:hAnsi="Times New Roman"/>
                <w:color w:val="auto"/>
                <w:highlight w:val="none"/>
              </w:rPr>
              <w:t>1.1.3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21D3B85">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招标代理机构</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793E02D">
            <w:pPr>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名称：</w:t>
            </w:r>
            <w:r>
              <w:rPr>
                <w:rFonts w:hint="eastAsia" w:ascii="宋体" w:hAnsi="宋体" w:cs="宋体"/>
                <w:color w:val="auto"/>
                <w:sz w:val="21"/>
                <w:szCs w:val="21"/>
                <w:highlight w:val="none"/>
                <w:u w:val="none"/>
                <w:lang w:eastAsia="zh-CN"/>
              </w:rPr>
              <w:t>广东建科建设咨询有限公司</w:t>
            </w:r>
          </w:p>
          <w:p w14:paraId="4B4352A8">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 址：</w:t>
            </w:r>
            <w:r>
              <w:rPr>
                <w:rFonts w:hint="eastAsia" w:ascii="Times New Roman" w:hAnsi="Times New Roman" w:eastAsia="宋体" w:cs="Times New Roman"/>
                <w:color w:val="auto"/>
                <w:kern w:val="2"/>
                <w:sz w:val="21"/>
                <w:szCs w:val="22"/>
                <w:highlight w:val="none"/>
                <w:lang w:val="en-US" w:eastAsia="zh-CN" w:bidi="ar-SA"/>
              </w:rPr>
              <w:t>广州市天河区先烈东路121号大院内6栋2号</w:t>
            </w:r>
            <w:r>
              <w:rPr>
                <w:rFonts w:hint="eastAsia" w:ascii="Times New Roman" w:hAnsi="Times New Roman" w:eastAsia="宋体" w:cs="Times New Roman"/>
                <w:color w:val="auto"/>
                <w:kern w:val="2"/>
                <w:sz w:val="21"/>
                <w:szCs w:val="22"/>
                <w:highlight w:val="none"/>
                <w:lang w:val="en-US" w:eastAsia="zh-CN" w:bidi="ar-SA"/>
              </w:rPr>
              <w:br w:type="textWrapping"/>
            </w:r>
            <w:r>
              <w:rPr>
                <w:rFonts w:hint="eastAsia" w:ascii="宋体" w:hAnsi="宋体" w:eastAsia="宋体" w:cs="宋体"/>
                <w:color w:val="auto"/>
                <w:sz w:val="21"/>
                <w:szCs w:val="21"/>
                <w:highlight w:val="none"/>
                <w:u w:val="none"/>
              </w:rPr>
              <w:t>联系人：</w:t>
            </w:r>
            <w:r>
              <w:rPr>
                <w:rFonts w:hint="eastAsia" w:ascii="Times New Roman" w:hAnsi="Times New Roman" w:eastAsia="宋体" w:cs="Times New Roman"/>
                <w:color w:val="auto"/>
                <w:kern w:val="2"/>
                <w:sz w:val="21"/>
                <w:szCs w:val="22"/>
                <w:highlight w:val="none"/>
                <w:lang w:val="en-US" w:eastAsia="zh-CN" w:bidi="ar-SA"/>
              </w:rPr>
              <w:t>陈工</w:t>
            </w:r>
          </w:p>
          <w:p w14:paraId="49BC84FE">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 话：020-87257569</w:t>
            </w:r>
          </w:p>
          <w:p w14:paraId="5EBBE131">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电子邮箱：gdjianke@126.com</w:t>
            </w:r>
          </w:p>
        </w:tc>
      </w:tr>
      <w:tr w14:paraId="70D4D2F4">
        <w:tblPrEx>
          <w:tblCellMar>
            <w:top w:w="0" w:type="dxa"/>
            <w:left w:w="108" w:type="dxa"/>
            <w:bottom w:w="0" w:type="dxa"/>
            <w:right w:w="108" w:type="dxa"/>
          </w:tblCellMar>
        </w:tblPrEx>
        <w:trPr>
          <w:trHeight w:val="71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20C213C6">
            <w:pPr>
              <w:spacing w:line="360" w:lineRule="auto"/>
              <w:jc w:val="center"/>
              <w:rPr>
                <w:rFonts w:ascii="Times New Roman" w:hAnsi="Times New Roman"/>
                <w:color w:val="auto"/>
                <w:highlight w:val="none"/>
              </w:rPr>
            </w:pPr>
            <w:r>
              <w:rPr>
                <w:rFonts w:ascii="Times New Roman" w:hAnsi="Times New Roman"/>
                <w:color w:val="auto"/>
                <w:highlight w:val="none"/>
              </w:rPr>
              <w:t>1.1.4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C723A7B">
            <w:pPr>
              <w:spacing w:line="360" w:lineRule="auto"/>
              <w:jc w:val="left"/>
              <w:rPr>
                <w:rFonts w:ascii="Times New Roman" w:hAnsi="Times New Roman"/>
                <w:color w:val="auto"/>
                <w:highlight w:val="none"/>
              </w:rPr>
            </w:pPr>
            <w:r>
              <w:rPr>
                <w:rFonts w:hint="eastAsia" w:ascii="Times New Roman" w:hAnsi="Times New Roman"/>
                <w:color w:val="auto"/>
                <w:highlight w:val="none"/>
              </w:rPr>
              <w:t>招标项目名称</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43CD4CC">
            <w:pPr>
              <w:spacing w:line="360" w:lineRule="auto"/>
              <w:jc w:val="left"/>
              <w:rPr>
                <w:rFonts w:hint="eastAsia" w:ascii="Times New Roman" w:hAnsi="Times New Roman" w:eastAsia="宋体"/>
                <w:color w:val="auto"/>
                <w:highlight w:val="none"/>
                <w:lang w:eastAsia="zh-CN"/>
              </w:rPr>
            </w:pPr>
            <w:r>
              <w:rPr>
                <w:rFonts w:hint="eastAsia" w:ascii="宋体" w:hAnsi="宋体" w:cs="宋体"/>
                <w:color w:val="auto"/>
                <w:sz w:val="21"/>
                <w:szCs w:val="21"/>
                <w:highlight w:val="none"/>
                <w:lang w:eastAsia="zh-CN"/>
              </w:rPr>
              <w:t>元岗北路建设工程监理</w:t>
            </w:r>
          </w:p>
        </w:tc>
      </w:tr>
      <w:tr w14:paraId="3A479859">
        <w:tblPrEx>
          <w:tblCellMar>
            <w:top w:w="0" w:type="dxa"/>
            <w:left w:w="108" w:type="dxa"/>
            <w:bottom w:w="0" w:type="dxa"/>
            <w:right w:w="108" w:type="dxa"/>
          </w:tblCellMar>
        </w:tblPrEx>
        <w:trPr>
          <w:trHeight w:val="61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7C942D4">
            <w:pPr>
              <w:spacing w:line="360" w:lineRule="auto"/>
              <w:jc w:val="center"/>
              <w:rPr>
                <w:rFonts w:ascii="Times New Roman" w:hAnsi="Times New Roman"/>
                <w:color w:val="auto"/>
                <w:highlight w:val="none"/>
              </w:rPr>
            </w:pPr>
            <w:r>
              <w:rPr>
                <w:rFonts w:ascii="Times New Roman" w:hAnsi="Times New Roman"/>
                <w:color w:val="auto"/>
                <w:highlight w:val="none"/>
              </w:rPr>
              <w:t>1.1.5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7DF6C20">
            <w:pPr>
              <w:spacing w:line="360" w:lineRule="auto"/>
              <w:jc w:val="left"/>
              <w:rPr>
                <w:rFonts w:ascii="Times New Roman" w:hAnsi="Times New Roman"/>
                <w:color w:val="auto"/>
                <w:highlight w:val="none"/>
              </w:rPr>
            </w:pPr>
            <w:r>
              <w:rPr>
                <w:rFonts w:hint="eastAsia" w:ascii="Times New Roman" w:hAnsi="Times New Roman"/>
                <w:color w:val="auto"/>
                <w:highlight w:val="none"/>
              </w:rPr>
              <w:t>项目建设地点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5772E9A">
            <w:pPr>
              <w:spacing w:line="360" w:lineRule="auto"/>
              <w:jc w:val="left"/>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67D3CFEA">
        <w:tblPrEx>
          <w:tblCellMar>
            <w:top w:w="0" w:type="dxa"/>
            <w:left w:w="108" w:type="dxa"/>
            <w:bottom w:w="0" w:type="dxa"/>
            <w:right w:w="108" w:type="dxa"/>
          </w:tblCellMar>
        </w:tblPrEx>
        <w:trPr>
          <w:trHeight w:val="76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B1FB5A8">
            <w:pPr>
              <w:spacing w:line="360" w:lineRule="auto"/>
              <w:jc w:val="center"/>
              <w:rPr>
                <w:rFonts w:ascii="Times New Roman" w:hAnsi="Times New Roman"/>
                <w:color w:val="auto"/>
                <w:highlight w:val="none"/>
              </w:rPr>
            </w:pPr>
            <w:r>
              <w:rPr>
                <w:rFonts w:ascii="Times New Roman" w:hAnsi="Times New Roman"/>
                <w:color w:val="auto"/>
                <w:highlight w:val="none"/>
              </w:rPr>
              <w:t>1.1.6</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664503F">
            <w:pPr>
              <w:spacing w:line="360" w:lineRule="auto"/>
              <w:jc w:val="left"/>
              <w:rPr>
                <w:rFonts w:ascii="Times New Roman" w:hAnsi="Times New Roman"/>
                <w:color w:val="auto"/>
                <w:highlight w:val="none"/>
              </w:rPr>
            </w:pPr>
            <w:r>
              <w:rPr>
                <w:rFonts w:hint="eastAsia" w:ascii="Times New Roman" w:hAnsi="Times New Roman"/>
                <w:color w:val="auto"/>
                <w:highlight w:val="none"/>
              </w:rPr>
              <w:t>项目建设规模</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AE5DBF3">
            <w:pPr>
              <w:wordWrap w:val="0"/>
              <w:spacing w:line="360" w:lineRule="auto"/>
              <w:jc w:val="left"/>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45470436">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121D2F49">
            <w:pPr>
              <w:spacing w:line="360" w:lineRule="auto"/>
              <w:jc w:val="center"/>
              <w:rPr>
                <w:rFonts w:ascii="Times New Roman" w:hAnsi="Times New Roman"/>
                <w:color w:val="auto"/>
                <w:highlight w:val="none"/>
              </w:rPr>
            </w:pPr>
            <w:r>
              <w:rPr>
                <w:rFonts w:ascii="Times New Roman" w:hAnsi="Times New Roman"/>
                <w:color w:val="auto"/>
                <w:highlight w:val="none"/>
              </w:rPr>
              <w:t>1.1.7</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6055EBA">
            <w:pPr>
              <w:spacing w:line="360" w:lineRule="auto"/>
              <w:jc w:val="left"/>
              <w:rPr>
                <w:rFonts w:ascii="Times New Roman" w:hAnsi="Times New Roman"/>
                <w:color w:val="auto"/>
                <w:highlight w:val="none"/>
              </w:rPr>
            </w:pPr>
            <w:r>
              <w:rPr>
                <w:rFonts w:hint="eastAsia" w:ascii="Times New Roman" w:hAnsi="Times New Roman"/>
                <w:color w:val="auto"/>
                <w:highlight w:val="none"/>
              </w:rPr>
              <w:t>工程项目施工预计开工日期和建设周期</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165E404">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工程施工预计开工日期：</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6</w:t>
            </w:r>
            <w:r>
              <w:rPr>
                <w:rFonts w:hint="eastAsia" w:ascii="Times New Roman" w:hAnsi="Times New Roman"/>
                <w:color w:val="auto"/>
                <w:highlight w:val="none"/>
              </w:rPr>
              <w:t>年/月/日，具体施工工期以本项目施工招标时约定的工期为准。</w:t>
            </w:r>
          </w:p>
        </w:tc>
      </w:tr>
      <w:tr w14:paraId="6398FD3C">
        <w:tblPrEx>
          <w:tblCellMar>
            <w:top w:w="0" w:type="dxa"/>
            <w:left w:w="108" w:type="dxa"/>
            <w:bottom w:w="0" w:type="dxa"/>
            <w:right w:w="108" w:type="dxa"/>
          </w:tblCellMar>
        </w:tblPrEx>
        <w:trPr>
          <w:trHeight w:val="65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376B93C">
            <w:pPr>
              <w:spacing w:line="360" w:lineRule="auto"/>
              <w:jc w:val="center"/>
              <w:rPr>
                <w:rFonts w:ascii="Times New Roman" w:hAnsi="Times New Roman"/>
                <w:color w:val="auto"/>
                <w:highlight w:val="none"/>
              </w:rPr>
            </w:pPr>
            <w:r>
              <w:rPr>
                <w:rFonts w:ascii="Times New Roman" w:hAnsi="Times New Roman"/>
                <w:color w:val="auto"/>
                <w:highlight w:val="none"/>
              </w:rPr>
              <w:t>1.1.8</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B17AFE9">
            <w:pPr>
              <w:spacing w:line="360" w:lineRule="auto"/>
              <w:jc w:val="left"/>
              <w:rPr>
                <w:rFonts w:ascii="Times New Roman" w:hAnsi="Times New Roman"/>
                <w:color w:val="auto"/>
                <w:highlight w:val="none"/>
              </w:rPr>
            </w:pPr>
            <w:r>
              <w:rPr>
                <w:rFonts w:hint="eastAsia" w:ascii="Times New Roman" w:hAnsi="Times New Roman"/>
                <w:color w:val="auto"/>
                <w:highlight w:val="none"/>
              </w:rPr>
              <w:t>建筑安装工程费</w:t>
            </w:r>
            <w:r>
              <w:rPr>
                <w:rFonts w:ascii="Times New Roman" w:hAnsi="Times New Roman"/>
                <w:color w:val="auto"/>
                <w:highlight w:val="none"/>
              </w:rPr>
              <w:t>/</w:t>
            </w:r>
            <w:r>
              <w:rPr>
                <w:rFonts w:hint="eastAsia" w:ascii="Times New Roman" w:hAnsi="Times New Roman"/>
                <w:color w:val="auto"/>
                <w:highlight w:val="none"/>
              </w:rPr>
              <w:t>工程概算</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4F1B1A4">
            <w:pPr>
              <w:spacing w:line="360" w:lineRule="auto"/>
              <w:jc w:val="left"/>
              <w:rPr>
                <w:rFonts w:hint="eastAsia" w:ascii="Times New Roman" w:hAnsi="Times New Roman"/>
                <w:color w:val="auto"/>
                <w:szCs w:val="21"/>
                <w:highlight w:val="none"/>
              </w:rPr>
            </w:pPr>
            <w:r>
              <w:rPr>
                <w:rFonts w:hint="eastAsia" w:ascii="宋体" w:hAnsi="宋体" w:eastAsia="宋体" w:cs="宋体"/>
                <w:color w:val="auto"/>
                <w:sz w:val="21"/>
                <w:szCs w:val="21"/>
                <w:highlight w:val="none"/>
              </w:rPr>
              <w:t>详见招标公告。</w:t>
            </w:r>
          </w:p>
        </w:tc>
      </w:tr>
      <w:tr w14:paraId="394D0642">
        <w:tblPrEx>
          <w:tblCellMar>
            <w:top w:w="0" w:type="dxa"/>
            <w:left w:w="108" w:type="dxa"/>
            <w:bottom w:w="0" w:type="dxa"/>
            <w:right w:w="108" w:type="dxa"/>
          </w:tblCellMar>
        </w:tblPrEx>
        <w:trPr>
          <w:trHeight w:val="71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BA4385E">
            <w:pPr>
              <w:spacing w:line="360" w:lineRule="auto"/>
              <w:jc w:val="center"/>
              <w:rPr>
                <w:rFonts w:ascii="Times New Roman" w:hAnsi="Times New Roman"/>
                <w:color w:val="auto"/>
                <w:highlight w:val="none"/>
              </w:rPr>
            </w:pPr>
            <w:r>
              <w:rPr>
                <w:rFonts w:ascii="Times New Roman" w:hAnsi="Times New Roman"/>
                <w:color w:val="auto"/>
                <w:highlight w:val="none"/>
              </w:rPr>
              <w:t>1.2.1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D42DC38">
            <w:pPr>
              <w:spacing w:line="360" w:lineRule="auto"/>
              <w:jc w:val="left"/>
              <w:rPr>
                <w:rFonts w:ascii="Times New Roman" w:hAnsi="Times New Roman"/>
                <w:color w:val="auto"/>
                <w:highlight w:val="none"/>
              </w:rPr>
            </w:pPr>
            <w:r>
              <w:rPr>
                <w:rFonts w:hint="eastAsia" w:ascii="Times New Roman" w:hAnsi="Times New Roman"/>
                <w:color w:val="auto"/>
                <w:highlight w:val="none"/>
              </w:rPr>
              <w:t>资金来源及比例</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42624A3">
            <w:pPr>
              <w:spacing w:line="360" w:lineRule="auto"/>
              <w:jc w:val="both"/>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352DDB80">
        <w:tblPrEx>
          <w:tblCellMar>
            <w:top w:w="0" w:type="dxa"/>
            <w:left w:w="108" w:type="dxa"/>
            <w:bottom w:w="0" w:type="dxa"/>
            <w:right w:w="108" w:type="dxa"/>
          </w:tblCellMar>
        </w:tblPrEx>
        <w:trPr>
          <w:trHeight w:val="70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8529E70">
            <w:pPr>
              <w:spacing w:line="360" w:lineRule="auto"/>
              <w:jc w:val="center"/>
              <w:rPr>
                <w:rFonts w:ascii="Times New Roman" w:hAnsi="Times New Roman"/>
                <w:color w:val="auto"/>
                <w:highlight w:val="none"/>
              </w:rPr>
            </w:pPr>
            <w:r>
              <w:rPr>
                <w:rFonts w:ascii="Times New Roman" w:hAnsi="Times New Roman"/>
                <w:color w:val="auto"/>
                <w:highlight w:val="none"/>
              </w:rPr>
              <w:t>1.2.2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06567A1">
            <w:pPr>
              <w:spacing w:line="360" w:lineRule="auto"/>
              <w:jc w:val="left"/>
              <w:rPr>
                <w:rFonts w:ascii="Times New Roman" w:hAnsi="Times New Roman"/>
                <w:color w:val="auto"/>
                <w:highlight w:val="none"/>
              </w:rPr>
            </w:pPr>
            <w:r>
              <w:rPr>
                <w:rFonts w:hint="eastAsia" w:ascii="Times New Roman" w:hAnsi="Times New Roman"/>
                <w:color w:val="auto"/>
                <w:highlight w:val="none"/>
              </w:rPr>
              <w:t>资金落实情况</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481F770">
            <w:pPr>
              <w:spacing w:line="360" w:lineRule="auto"/>
              <w:jc w:val="both"/>
              <w:rPr>
                <w:rFonts w:hint="eastAsia" w:ascii="Times New Roman" w:hAnsi="Times New Roman"/>
                <w:color w:val="auto"/>
                <w:szCs w:val="21"/>
                <w:highlight w:val="none"/>
              </w:rPr>
            </w:pPr>
            <w:r>
              <w:rPr>
                <w:rFonts w:hint="eastAsia" w:ascii="宋体" w:hAnsi="宋体" w:cs="宋体"/>
                <w:color w:val="auto"/>
                <w:sz w:val="21"/>
                <w:szCs w:val="21"/>
                <w:highlight w:val="none"/>
              </w:rPr>
              <w:t>已落实。</w:t>
            </w:r>
          </w:p>
        </w:tc>
      </w:tr>
      <w:tr w14:paraId="692B54E4">
        <w:tblPrEx>
          <w:tblCellMar>
            <w:top w:w="0" w:type="dxa"/>
            <w:left w:w="108" w:type="dxa"/>
            <w:bottom w:w="0" w:type="dxa"/>
            <w:right w:w="108" w:type="dxa"/>
          </w:tblCellMar>
        </w:tblPrEx>
        <w:trPr>
          <w:trHeight w:val="67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17587E3">
            <w:pPr>
              <w:spacing w:line="360" w:lineRule="auto"/>
              <w:jc w:val="center"/>
              <w:rPr>
                <w:rFonts w:ascii="Times New Roman" w:hAnsi="Times New Roman"/>
                <w:color w:val="auto"/>
                <w:highlight w:val="none"/>
              </w:rPr>
            </w:pPr>
            <w:r>
              <w:rPr>
                <w:rFonts w:ascii="Times New Roman" w:hAnsi="Times New Roman"/>
                <w:color w:val="auto"/>
                <w:highlight w:val="none"/>
              </w:rPr>
              <w:t>1.3.1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ABAE2A0">
            <w:pPr>
              <w:spacing w:line="360" w:lineRule="auto"/>
              <w:jc w:val="left"/>
              <w:rPr>
                <w:rFonts w:ascii="Times New Roman" w:hAnsi="Times New Roman"/>
                <w:color w:val="auto"/>
                <w:highlight w:val="none"/>
              </w:rPr>
            </w:pPr>
            <w:r>
              <w:rPr>
                <w:rFonts w:hint="eastAsia" w:ascii="Times New Roman" w:hAnsi="Times New Roman"/>
                <w:color w:val="auto"/>
                <w:highlight w:val="none"/>
              </w:rPr>
              <w:t>招标范围</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A65929C">
            <w:pPr>
              <w:spacing w:line="360" w:lineRule="auto"/>
              <w:jc w:val="left"/>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75D86873">
        <w:tblPrEx>
          <w:tblCellMar>
            <w:top w:w="0" w:type="dxa"/>
            <w:left w:w="108" w:type="dxa"/>
            <w:bottom w:w="0" w:type="dxa"/>
            <w:right w:w="108" w:type="dxa"/>
          </w:tblCellMar>
        </w:tblPrEx>
        <w:trPr>
          <w:trHeight w:val="64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B9B249F">
            <w:pPr>
              <w:spacing w:line="360" w:lineRule="auto"/>
              <w:jc w:val="center"/>
              <w:rPr>
                <w:rFonts w:ascii="Times New Roman" w:hAnsi="Times New Roman"/>
                <w:color w:val="auto"/>
                <w:highlight w:val="none"/>
              </w:rPr>
            </w:pPr>
            <w:r>
              <w:rPr>
                <w:rFonts w:ascii="Times New Roman" w:hAnsi="Times New Roman"/>
                <w:color w:val="auto"/>
                <w:highlight w:val="none"/>
              </w:rPr>
              <w:t>1.3.2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9DFB02D">
            <w:pPr>
              <w:spacing w:line="360" w:lineRule="auto"/>
              <w:jc w:val="left"/>
              <w:rPr>
                <w:rFonts w:ascii="Times New Roman" w:hAnsi="Times New Roman"/>
                <w:color w:val="auto"/>
                <w:highlight w:val="none"/>
              </w:rPr>
            </w:pPr>
            <w:r>
              <w:rPr>
                <w:rFonts w:hint="eastAsia" w:ascii="Times New Roman" w:hAnsi="Times New Roman"/>
                <w:color w:val="auto"/>
                <w:highlight w:val="none"/>
              </w:rPr>
              <w:t>监理服务期限</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F54344C">
            <w:pPr>
              <w:spacing w:line="360" w:lineRule="auto"/>
              <w:jc w:val="left"/>
              <w:rPr>
                <w:rFonts w:hint="eastAsia" w:ascii="Times New Roman" w:hAnsi="Times New Roman"/>
                <w:color w:val="auto"/>
                <w:szCs w:val="21"/>
                <w:highlight w:val="none"/>
              </w:rPr>
            </w:pPr>
            <w:bookmarkStart w:id="55" w:name="OLE_LINK16"/>
            <w:r>
              <w:rPr>
                <w:rFonts w:hint="eastAsia" w:ascii="宋体" w:hAnsi="宋体" w:cs="宋体"/>
                <w:color w:val="auto"/>
                <w:sz w:val="21"/>
                <w:szCs w:val="21"/>
                <w:highlight w:val="none"/>
              </w:rPr>
              <w:t>详见招标公告。</w:t>
            </w:r>
            <w:bookmarkEnd w:id="55"/>
          </w:p>
        </w:tc>
      </w:tr>
      <w:tr w14:paraId="2926E6E9">
        <w:tblPrEx>
          <w:tblCellMar>
            <w:top w:w="0" w:type="dxa"/>
            <w:left w:w="108" w:type="dxa"/>
            <w:bottom w:w="0" w:type="dxa"/>
            <w:right w:w="108" w:type="dxa"/>
          </w:tblCellMar>
        </w:tblPrEx>
        <w:trPr>
          <w:trHeight w:val="67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0D353D6D">
            <w:pPr>
              <w:spacing w:line="360" w:lineRule="auto"/>
              <w:jc w:val="center"/>
              <w:rPr>
                <w:rFonts w:ascii="Times New Roman" w:hAnsi="Times New Roman"/>
                <w:color w:val="auto"/>
                <w:highlight w:val="none"/>
              </w:rPr>
            </w:pPr>
            <w:r>
              <w:rPr>
                <w:rFonts w:ascii="Times New Roman" w:hAnsi="Times New Roman"/>
                <w:color w:val="auto"/>
                <w:highlight w:val="none"/>
              </w:rPr>
              <w:t>1.3.3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552F5E1">
            <w:pPr>
              <w:spacing w:line="360" w:lineRule="auto"/>
              <w:jc w:val="left"/>
              <w:rPr>
                <w:rFonts w:ascii="Times New Roman" w:hAnsi="Times New Roman"/>
                <w:color w:val="auto"/>
                <w:highlight w:val="none"/>
              </w:rPr>
            </w:pPr>
            <w:r>
              <w:rPr>
                <w:rFonts w:hint="eastAsia" w:ascii="Times New Roman" w:hAnsi="Times New Roman"/>
                <w:color w:val="auto"/>
                <w:highlight w:val="none"/>
              </w:rPr>
              <w:t>监理目标</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93AB157">
            <w:pPr>
              <w:spacing w:line="360" w:lineRule="auto"/>
              <w:jc w:val="left"/>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eastAsia="zh-CN"/>
              </w:rPr>
              <w:t>详见招标公告。</w:t>
            </w:r>
          </w:p>
        </w:tc>
      </w:tr>
      <w:tr w14:paraId="235C954A">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16936ADF">
            <w:pPr>
              <w:spacing w:line="360" w:lineRule="auto"/>
              <w:jc w:val="center"/>
              <w:rPr>
                <w:rFonts w:ascii="Times New Roman" w:hAnsi="Times New Roman"/>
                <w:color w:val="auto"/>
                <w:highlight w:val="none"/>
              </w:rPr>
            </w:pPr>
            <w:r>
              <w:rPr>
                <w:rFonts w:ascii="Times New Roman" w:hAnsi="Times New Roman"/>
                <w:color w:val="auto"/>
                <w:highlight w:val="none"/>
              </w:rPr>
              <w:t>1.4.1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2A06C42">
            <w:pPr>
              <w:spacing w:line="360" w:lineRule="auto"/>
              <w:jc w:val="left"/>
              <w:rPr>
                <w:rFonts w:ascii="Times New Roman" w:hAnsi="Times New Roman"/>
                <w:color w:val="auto"/>
                <w:highlight w:val="none"/>
              </w:rPr>
            </w:pPr>
            <w:r>
              <w:rPr>
                <w:rFonts w:hint="eastAsia" w:ascii="Times New Roman" w:hAnsi="Times New Roman"/>
                <w:color w:val="auto"/>
                <w:highlight w:val="none"/>
              </w:rPr>
              <w:t>投标人资质条件、能力、信誉</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FDD5CD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（1）资质要求：</w:t>
            </w:r>
            <w:r>
              <w:rPr>
                <w:rFonts w:hint="eastAsia" w:ascii="宋体" w:hAnsi="宋体" w:cs="宋体"/>
                <w:color w:val="auto"/>
                <w:sz w:val="21"/>
                <w:szCs w:val="21"/>
                <w:highlight w:val="none"/>
                <w:u w:val="single"/>
              </w:rPr>
              <w:t>见招标公告投标人资格要求；</w:t>
            </w:r>
          </w:p>
          <w:p w14:paraId="3281962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（2）财务要求：</w:t>
            </w:r>
            <w:r>
              <w:rPr>
                <w:rFonts w:hint="eastAsia" w:ascii="宋体" w:hAnsi="宋体" w:cs="宋体"/>
                <w:color w:val="auto"/>
                <w:sz w:val="21"/>
                <w:szCs w:val="21"/>
                <w:highlight w:val="none"/>
                <w:u w:val="single"/>
              </w:rPr>
              <w:t>/</w:t>
            </w:r>
          </w:p>
          <w:p w14:paraId="0EDE7DB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（3）业绩要求：</w:t>
            </w:r>
            <w:r>
              <w:rPr>
                <w:rFonts w:hint="eastAsia" w:ascii="宋体" w:hAnsi="宋体" w:cs="宋体"/>
                <w:color w:val="auto"/>
                <w:sz w:val="21"/>
                <w:szCs w:val="21"/>
                <w:highlight w:val="none"/>
                <w:u w:val="single"/>
              </w:rPr>
              <w:t>/</w:t>
            </w:r>
          </w:p>
          <w:p w14:paraId="5A255D7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（4）信誉要求：</w:t>
            </w:r>
            <w:r>
              <w:rPr>
                <w:rFonts w:hint="eastAsia" w:ascii="宋体" w:hAnsi="宋体" w:cs="宋体"/>
                <w:color w:val="auto"/>
                <w:sz w:val="21"/>
                <w:szCs w:val="21"/>
                <w:highlight w:val="none"/>
                <w:u w:val="single"/>
              </w:rPr>
              <w:t>/</w:t>
            </w:r>
          </w:p>
          <w:p w14:paraId="18DDFC3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（5）总监理工程师的资格要求：</w:t>
            </w:r>
            <w:r>
              <w:rPr>
                <w:rFonts w:hint="eastAsia" w:ascii="宋体" w:hAnsi="宋体" w:cs="宋体"/>
                <w:color w:val="auto"/>
                <w:sz w:val="21"/>
                <w:szCs w:val="21"/>
                <w:highlight w:val="none"/>
                <w:u w:val="single"/>
              </w:rPr>
              <w:t>见招标公告投标人资格要求；</w:t>
            </w:r>
          </w:p>
          <w:p w14:paraId="5BAEBCB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（6）其他主要人员要求：</w:t>
            </w:r>
            <w:r>
              <w:rPr>
                <w:rFonts w:hint="eastAsia" w:ascii="宋体" w:hAnsi="宋体" w:cs="宋体"/>
                <w:color w:val="auto"/>
                <w:sz w:val="21"/>
                <w:szCs w:val="21"/>
                <w:highlight w:val="none"/>
                <w:u w:val="single"/>
              </w:rPr>
              <w:t>/</w:t>
            </w:r>
          </w:p>
          <w:p w14:paraId="68A3391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（7）试验检测仪器设备要求：</w:t>
            </w:r>
            <w:r>
              <w:rPr>
                <w:rFonts w:hint="eastAsia" w:ascii="宋体" w:hAnsi="宋体" w:cs="宋体"/>
                <w:color w:val="auto"/>
                <w:sz w:val="21"/>
                <w:szCs w:val="21"/>
                <w:highlight w:val="none"/>
                <w:u w:val="single"/>
              </w:rPr>
              <w:t>/</w:t>
            </w:r>
          </w:p>
          <w:p w14:paraId="1D9E25C5">
            <w:pPr>
              <w:spacing w:line="360" w:lineRule="auto"/>
              <w:rPr>
                <w:rFonts w:ascii="Times New Roman" w:hAnsi="Times New Roman"/>
                <w:color w:val="auto"/>
                <w:highlight w:val="none"/>
              </w:rPr>
            </w:pPr>
            <w:r>
              <w:rPr>
                <w:rFonts w:hint="eastAsia" w:ascii="宋体" w:hAnsi="宋体" w:cs="宋体"/>
                <w:color w:val="auto"/>
                <w:sz w:val="21"/>
                <w:szCs w:val="21"/>
                <w:highlight w:val="none"/>
              </w:rPr>
              <w:t>（8）其他要求：</w:t>
            </w:r>
            <w:r>
              <w:rPr>
                <w:rFonts w:hint="eastAsia" w:ascii="宋体" w:hAnsi="宋体" w:cs="宋体"/>
                <w:color w:val="auto"/>
                <w:sz w:val="21"/>
                <w:szCs w:val="21"/>
                <w:highlight w:val="none"/>
                <w:u w:val="single"/>
              </w:rPr>
              <w:t>见招标公告投标人资格要求。</w:t>
            </w:r>
          </w:p>
        </w:tc>
      </w:tr>
      <w:tr w14:paraId="1F267D4D">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407061D3">
            <w:pPr>
              <w:spacing w:line="360" w:lineRule="auto"/>
              <w:jc w:val="center"/>
              <w:rPr>
                <w:rFonts w:ascii="Times New Roman" w:hAnsi="Times New Roman"/>
                <w:color w:val="auto"/>
                <w:highlight w:val="none"/>
              </w:rPr>
            </w:pPr>
            <w:r>
              <w:rPr>
                <w:rFonts w:ascii="Times New Roman" w:hAnsi="Times New Roman"/>
                <w:color w:val="auto"/>
                <w:highlight w:val="none"/>
              </w:rPr>
              <w:t>1.4.2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FD64E9B">
            <w:pPr>
              <w:spacing w:line="360" w:lineRule="auto"/>
              <w:jc w:val="left"/>
              <w:rPr>
                <w:rFonts w:ascii="Times New Roman" w:hAnsi="Times New Roman"/>
                <w:color w:val="auto"/>
                <w:highlight w:val="none"/>
              </w:rPr>
            </w:pPr>
            <w:r>
              <w:rPr>
                <w:rFonts w:hint="eastAsia" w:ascii="Times New Roman" w:hAnsi="Times New Roman"/>
                <w:color w:val="auto"/>
                <w:highlight w:val="none"/>
              </w:rPr>
              <w:t>是否接受联合体投标</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E8A5EBA">
            <w:pPr>
              <w:topLinePunct/>
              <w:spacing w:line="360" w:lineRule="auto"/>
              <w:rPr>
                <w:rFonts w:ascii="Times New Roman" w:hAnsi="Times New Roman"/>
                <w:color w:val="auto"/>
                <w:szCs w:val="21"/>
                <w:highlight w:val="none"/>
              </w:rPr>
            </w:pPr>
            <w:r>
              <w:rPr>
                <w:rFonts w:hint="eastAsia" w:ascii="Times New Roman" w:hAnsi="Times New Roman"/>
                <w:color w:val="auto"/>
                <w:sz w:val="21"/>
                <w:szCs w:val="21"/>
                <w:highlight w:val="none"/>
                <w:lang w:eastAsia="zh-CN"/>
              </w:rPr>
              <w:t>□</w:t>
            </w:r>
            <w:r>
              <w:rPr>
                <w:rFonts w:hint="eastAsia" w:ascii="Times New Roman" w:hAnsi="Times New Roman"/>
                <w:color w:val="auto"/>
                <w:szCs w:val="21"/>
                <w:highlight w:val="none"/>
              </w:rPr>
              <w:t>不接受</w:t>
            </w:r>
          </w:p>
          <w:p w14:paraId="6A702B6C">
            <w:pPr>
              <w:spacing w:line="360" w:lineRule="auto"/>
              <w:rPr>
                <w:rFonts w:hint="default" w:ascii="Times New Roman" w:hAnsi="Times New Roman" w:eastAsia="宋体"/>
                <w:color w:val="auto"/>
                <w:sz w:val="32"/>
                <w:highlight w:val="none"/>
                <w:lang w:val="en-US" w:eastAsia="zh-CN"/>
              </w:rPr>
            </w:pPr>
            <w:r>
              <w:rPr>
                <w:rFonts w:hint="eastAsia" w:ascii="Times New Roman" w:hAnsi="Times New Roman"/>
                <w:color w:val="auto"/>
                <w:sz w:val="21"/>
                <w:szCs w:val="21"/>
                <w:highlight w:val="none"/>
                <w:lang w:eastAsia="zh-CN"/>
              </w:rPr>
              <w:t>☑</w:t>
            </w:r>
            <w:r>
              <w:rPr>
                <w:rFonts w:hint="eastAsia" w:ascii="Times New Roman" w:hAnsi="Times New Roman"/>
                <w:color w:val="auto"/>
                <w:szCs w:val="21"/>
                <w:highlight w:val="none"/>
              </w:rPr>
              <w:t>接受，应满足下列要求：</w:t>
            </w:r>
            <w:r>
              <w:rPr>
                <w:rFonts w:hint="eastAsia" w:ascii="Times New Roman" w:hAnsi="Times New Roman"/>
                <w:color w:val="auto"/>
                <w:szCs w:val="21"/>
                <w:highlight w:val="none"/>
                <w:lang w:val="en-US" w:eastAsia="zh-CN"/>
              </w:rPr>
              <w:t>详见招标公告“投标人资格要求”</w:t>
            </w:r>
          </w:p>
        </w:tc>
      </w:tr>
      <w:tr w14:paraId="1EB27469">
        <w:tblPrEx>
          <w:tblCellMar>
            <w:top w:w="0" w:type="dxa"/>
            <w:left w:w="108" w:type="dxa"/>
            <w:bottom w:w="0" w:type="dxa"/>
            <w:right w:w="108" w:type="dxa"/>
          </w:tblCellMar>
        </w:tblPrEx>
        <w:trPr>
          <w:trHeight w:val="74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00B65F28">
            <w:pPr>
              <w:spacing w:line="360" w:lineRule="auto"/>
              <w:jc w:val="center"/>
              <w:rPr>
                <w:rFonts w:ascii="Times New Roman" w:hAnsi="Times New Roman"/>
                <w:color w:val="auto"/>
                <w:highlight w:val="none"/>
              </w:rPr>
            </w:pPr>
            <w:r>
              <w:rPr>
                <w:rFonts w:ascii="Times New Roman" w:hAnsi="Times New Roman"/>
                <w:color w:val="auto"/>
                <w:highlight w:val="none"/>
              </w:rPr>
              <w:t>1.4.3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AE6C28B">
            <w:pPr>
              <w:spacing w:line="360" w:lineRule="auto"/>
              <w:jc w:val="left"/>
              <w:rPr>
                <w:rFonts w:ascii="Times New Roman" w:hAnsi="Times New Roman"/>
                <w:color w:val="auto"/>
                <w:highlight w:val="none"/>
              </w:rPr>
            </w:pPr>
            <w:r>
              <w:rPr>
                <w:rFonts w:hint="eastAsia" w:ascii="Times New Roman" w:hAnsi="Times New Roman"/>
                <w:color w:val="auto"/>
                <w:szCs w:val="21"/>
                <w:highlight w:val="none"/>
              </w:rPr>
              <w:t>投标人不得存在的其他情形</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3526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4A59A9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35CFB5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588D60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1E5489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（5）为本招标项目的代建人或建设管理单位；</w:t>
            </w:r>
          </w:p>
          <w:p w14:paraId="219CA3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（6）为本招标项目的招标代理机构；</w:t>
            </w:r>
          </w:p>
          <w:p w14:paraId="3AE34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（7）与本招标项目的招标代理机构同为一个法定代表人；</w:t>
            </w:r>
          </w:p>
          <w:p w14:paraId="3EB5F3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1D51E3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与本招标项目的检测机构、建设</w:t>
            </w:r>
            <w:r>
              <w:rPr>
                <w:rFonts w:hint="eastAsia" w:ascii="宋体" w:hAnsi="宋体" w:cs="宋体"/>
                <w:color w:val="auto"/>
                <w:szCs w:val="21"/>
                <w:highlight w:val="none"/>
              </w:rPr>
              <w:t>、施工</w:t>
            </w:r>
            <w:r>
              <w:rPr>
                <w:rFonts w:ascii="宋体" w:hAnsi="宋体" w:cs="宋体"/>
                <w:color w:val="auto"/>
                <w:szCs w:val="21"/>
                <w:highlight w:val="none"/>
              </w:rPr>
              <w:t>单位以及建筑材料、建筑构配件和设备供应商有隶属关系或者其他利害关系有隶属关系或者其他利害关系</w:t>
            </w:r>
            <w:r>
              <w:rPr>
                <w:rFonts w:hint="eastAsia" w:ascii="宋体" w:hAnsi="宋体" w:cs="宋体"/>
                <w:color w:val="auto"/>
                <w:szCs w:val="21"/>
                <w:highlight w:val="none"/>
              </w:rPr>
              <w:t>；</w:t>
            </w:r>
          </w:p>
          <w:p w14:paraId="7CBBB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132B82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（11）被责令停产停业、暂扣或者吊销许可证、暂扣或者吊销执照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rFonts w:hint="eastAsia" w:ascii="宋体" w:hAnsi="宋体" w:cs="宋体"/>
                <w:color w:val="auto"/>
                <w:szCs w:val="21"/>
                <w:highlight w:val="none"/>
              </w:rPr>
              <w:t>；</w:t>
            </w:r>
          </w:p>
          <w:p w14:paraId="30F62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（12）进入清算程序，或被宣告破产，或其他丧失履约能力的情形；</w:t>
            </w:r>
          </w:p>
          <w:p w14:paraId="683BC5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（13）在最近三年内</w:t>
            </w:r>
            <w:r>
              <w:rPr>
                <w:rFonts w:hint="eastAsia"/>
                <w:color w:val="auto"/>
                <w:spacing w:val="-3"/>
                <w:highlight w:val="none"/>
              </w:rPr>
              <w:t>有严重违约或</w:t>
            </w:r>
            <w:r>
              <w:rPr>
                <w:rFonts w:hint="eastAsia" w:ascii="宋体" w:hAnsi="宋体" w:cs="宋体"/>
                <w:color w:val="auto"/>
                <w:szCs w:val="21"/>
                <w:highlight w:val="none"/>
              </w:rPr>
              <w:t>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5948675F">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Times New Roman" w:hAnsi="Times New Roman" w:eastAsia="宋体"/>
                <w:color w:val="auto"/>
                <w:sz w:val="32"/>
                <w:highlight w:val="none"/>
                <w:lang w:eastAsia="zh-CN"/>
              </w:rPr>
            </w:pPr>
            <w:r>
              <w:rPr>
                <w:rFonts w:hint="eastAsia" w:ascii="宋体" w:hAnsi="宋体" w:cs="宋体"/>
                <w:color w:val="auto"/>
                <w:szCs w:val="21"/>
                <w:highlight w:val="none"/>
              </w:rPr>
              <w:t>（14）法律法规或投标人须知前附表规定的其他情形。</w:t>
            </w:r>
          </w:p>
        </w:tc>
      </w:tr>
      <w:tr w14:paraId="4FC94251">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2895DD3F">
            <w:pPr>
              <w:spacing w:line="360" w:lineRule="auto"/>
              <w:jc w:val="center"/>
              <w:rPr>
                <w:rFonts w:ascii="Times New Roman" w:hAnsi="Times New Roman"/>
                <w:color w:val="auto"/>
                <w:highlight w:val="none"/>
              </w:rPr>
            </w:pPr>
            <w:r>
              <w:rPr>
                <w:rFonts w:ascii="Times New Roman" w:hAnsi="Times New Roman"/>
                <w:color w:val="auto"/>
                <w:highlight w:val="none"/>
              </w:rPr>
              <w:t>1.9.1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63DAF1D">
            <w:pPr>
              <w:keepNext w:val="0"/>
              <w:keepLines w:val="0"/>
              <w:pageBreakBefore w:val="0"/>
              <w:widowControl w:val="0"/>
              <w:kinsoku/>
              <w:wordWrap/>
              <w:overflowPunct/>
              <w:autoSpaceDE/>
              <w:autoSpaceDN/>
              <w:bidi w:val="0"/>
              <w:adjustRightInd/>
              <w:snapToGrid/>
              <w:spacing w:line="360" w:lineRule="auto"/>
              <w:jc w:val="left"/>
              <w:textAlignment w:val="auto"/>
              <w:rPr>
                <w:rFonts w:ascii="Times New Roman" w:hAnsi="Times New Roman"/>
                <w:color w:val="auto"/>
                <w:highlight w:val="none"/>
              </w:rPr>
            </w:pPr>
            <w:r>
              <w:rPr>
                <w:rFonts w:hint="eastAsia" w:ascii="Times New Roman" w:hAnsi="Times New Roman"/>
                <w:color w:val="auto"/>
                <w:highlight w:val="none"/>
              </w:rPr>
              <w:t>踏勘现场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75592AE">
            <w:pPr>
              <w:keepNext w:val="0"/>
              <w:keepLines w:val="0"/>
              <w:pageBreakBefore w:val="0"/>
              <w:widowControl w:val="0"/>
              <w:kinsoku/>
              <w:wordWrap/>
              <w:overflowPunct/>
              <w:autoSpaceDE/>
              <w:autoSpaceDN/>
              <w:bidi w:val="0"/>
              <w:adjustRightInd/>
              <w:snapToGrid/>
              <w:spacing w:line="440" w:lineRule="exact"/>
              <w:jc w:val="both"/>
              <w:textAlignment w:val="auto"/>
              <w:rPr>
                <w:rFonts w:hint="eastAsia" w:ascii="宋体" w:hAnsi="宋体" w:eastAsia="宋体" w:cs="Times New Roman"/>
                <w:color w:val="auto"/>
                <w:sz w:val="21"/>
                <w:highlight w:val="none"/>
                <w:lang w:val="en-US" w:eastAsia="zh-CN" w:bidi="ar-SA"/>
              </w:rPr>
            </w:pPr>
            <w:r>
              <w:rPr>
                <w:rFonts w:eastAsia="Times New Roman"/>
                <w:color w:val="auto"/>
                <w:spacing w:val="-1"/>
                <w:sz w:val="32"/>
                <w:highlight w:val="none"/>
              </w:rPr>
              <w:sym w:font="Wingdings 2" w:char="0052"/>
            </w:r>
            <w:r>
              <w:rPr>
                <w:rFonts w:hint="eastAsia" w:ascii="宋体" w:hAnsi="宋体" w:eastAsia="宋体" w:cs="Times New Roman"/>
                <w:color w:val="auto"/>
                <w:sz w:val="21"/>
                <w:highlight w:val="none"/>
                <w:lang w:val="en-US" w:eastAsia="zh-CN" w:bidi="ar-SA"/>
              </w:rPr>
              <w:t>招标人不集中组织，由投标人自行踏勘；</w:t>
            </w:r>
          </w:p>
          <w:p w14:paraId="6C14CBD9">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21"/>
                <w:szCs w:val="21"/>
                <w:highlight w:val="none"/>
              </w:rPr>
            </w:pPr>
            <w:r>
              <w:rPr>
                <w:rFonts w:eastAsia="Times New Roman"/>
                <w:color w:val="auto"/>
                <w:spacing w:val="-1"/>
                <w:sz w:val="32"/>
                <w:highlight w:val="none"/>
              </w:rPr>
              <w:sym w:font="Wingdings 2" w:char="00A3"/>
            </w:r>
            <w:r>
              <w:rPr>
                <w:rFonts w:hint="eastAsia" w:ascii="Times New Roman" w:hAnsi="Times New Roman"/>
                <w:color w:val="auto"/>
                <w:sz w:val="21"/>
                <w:szCs w:val="21"/>
                <w:highlight w:val="none"/>
              </w:rPr>
              <w:t>组织，踏勘时间：</w:t>
            </w:r>
          </w:p>
          <w:p w14:paraId="1FE0C5FB">
            <w:pPr>
              <w:pStyle w:val="11"/>
              <w:keepNext w:val="0"/>
              <w:keepLines w:val="0"/>
              <w:pageBreakBefore w:val="0"/>
              <w:widowControl w:val="0"/>
              <w:kinsoku/>
              <w:wordWrap/>
              <w:overflowPunct/>
              <w:topLinePunct/>
              <w:autoSpaceDE/>
              <w:autoSpaceDN/>
              <w:bidi w:val="0"/>
              <w:adjustRightInd/>
              <w:snapToGrid/>
              <w:spacing w:after="0" w:line="440" w:lineRule="exact"/>
              <w:ind w:firstLine="840" w:firstLineChars="400"/>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踏勘集中地点：</w:t>
            </w:r>
          </w:p>
        </w:tc>
      </w:tr>
      <w:tr w14:paraId="669920B2">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2E1D41E4">
            <w:pPr>
              <w:spacing w:line="360" w:lineRule="auto"/>
              <w:jc w:val="center"/>
              <w:rPr>
                <w:rFonts w:ascii="Times New Roman" w:hAnsi="Times New Roman"/>
                <w:color w:val="auto"/>
                <w:highlight w:val="none"/>
              </w:rPr>
            </w:pPr>
            <w:r>
              <w:rPr>
                <w:rFonts w:ascii="Times New Roman" w:hAnsi="Times New Roman"/>
                <w:color w:val="auto"/>
                <w:highlight w:val="none"/>
              </w:rPr>
              <w:t>1.10.1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3C003AF">
            <w:pPr>
              <w:spacing w:line="360" w:lineRule="auto"/>
              <w:jc w:val="left"/>
              <w:rPr>
                <w:rFonts w:ascii="Times New Roman" w:hAnsi="Times New Roman"/>
                <w:color w:val="auto"/>
                <w:highlight w:val="none"/>
              </w:rPr>
            </w:pPr>
            <w:r>
              <w:rPr>
                <w:rFonts w:hint="eastAsia" w:ascii="Times New Roman" w:hAnsi="Times New Roman"/>
                <w:color w:val="auto"/>
                <w:highlight w:val="none"/>
              </w:rPr>
              <w:t>投标预备会</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B8D29FA">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21"/>
                <w:szCs w:val="22"/>
                <w:highlight w:val="none"/>
              </w:rPr>
            </w:pPr>
            <w:r>
              <w:rPr>
                <w:rFonts w:ascii="Times New Roman" w:hAnsi="Times New Roman"/>
                <w:color w:val="auto"/>
                <w:sz w:val="32"/>
                <w:highlight w:val="none"/>
              </w:rPr>
              <w:sym w:font="Wingdings 2" w:char="0052"/>
            </w:r>
            <w:r>
              <w:rPr>
                <w:rFonts w:hint="eastAsia" w:ascii="Times New Roman" w:hAnsi="Times New Roman"/>
                <w:color w:val="auto"/>
                <w:sz w:val="21"/>
                <w:szCs w:val="22"/>
                <w:highlight w:val="none"/>
              </w:rPr>
              <w:t>不召开</w:t>
            </w:r>
          </w:p>
          <w:p w14:paraId="30941136">
            <w:pPr>
              <w:keepNext w:val="0"/>
              <w:keepLines w:val="0"/>
              <w:pageBreakBefore w:val="0"/>
              <w:widowControl w:val="0"/>
              <w:kinsoku/>
              <w:wordWrap/>
              <w:overflowPunct/>
              <w:autoSpaceDE/>
              <w:autoSpaceDN/>
              <w:bidi w:val="0"/>
              <w:adjustRightInd/>
              <w:snapToGrid/>
              <w:spacing w:line="440" w:lineRule="exact"/>
              <w:textAlignment w:val="auto"/>
              <w:rPr>
                <w:rFonts w:ascii="Times New Roman" w:hAnsi="Times New Roman"/>
                <w:color w:val="auto"/>
                <w:highlight w:val="none"/>
              </w:rPr>
            </w:pPr>
            <w:r>
              <w:rPr>
                <w:rFonts w:ascii="Times New Roman" w:hAnsi="Times New Roman"/>
                <w:color w:val="auto"/>
                <w:sz w:val="32"/>
                <w:highlight w:val="none"/>
              </w:rPr>
              <w:sym w:font="Wingdings 2" w:char="00A3"/>
            </w:r>
            <w:r>
              <w:rPr>
                <w:rFonts w:hint="eastAsia" w:ascii="Times New Roman" w:hAnsi="Times New Roman"/>
                <w:color w:val="auto"/>
                <w:highlight w:val="none"/>
              </w:rPr>
              <w:t>召开，召开时间：</w:t>
            </w:r>
          </w:p>
          <w:p w14:paraId="3A84A82C">
            <w:pPr>
              <w:keepNext w:val="0"/>
              <w:keepLines w:val="0"/>
              <w:pageBreakBefore w:val="0"/>
              <w:widowControl w:val="0"/>
              <w:kinsoku/>
              <w:wordWrap/>
              <w:overflowPunct/>
              <w:autoSpaceDE/>
              <w:autoSpaceDN/>
              <w:bidi w:val="0"/>
              <w:adjustRightInd/>
              <w:snapToGrid/>
              <w:spacing w:line="440" w:lineRule="exact"/>
              <w:ind w:firstLine="840" w:firstLineChars="400"/>
              <w:textAlignment w:val="auto"/>
              <w:rPr>
                <w:rFonts w:ascii="Times New Roman" w:hAnsi="Times New Roman"/>
                <w:color w:val="auto"/>
                <w:highlight w:val="none"/>
              </w:rPr>
            </w:pPr>
            <w:r>
              <w:rPr>
                <w:rFonts w:hint="eastAsia" w:ascii="Times New Roman" w:hAnsi="Times New Roman"/>
                <w:color w:val="auto"/>
                <w:highlight w:val="none"/>
              </w:rPr>
              <w:t>召开地点：</w:t>
            </w:r>
          </w:p>
        </w:tc>
      </w:tr>
      <w:tr w14:paraId="139088F8">
        <w:tblPrEx>
          <w:tblCellMar>
            <w:top w:w="0" w:type="dxa"/>
            <w:left w:w="108" w:type="dxa"/>
            <w:bottom w:w="0" w:type="dxa"/>
            <w:right w:w="108" w:type="dxa"/>
          </w:tblCellMar>
        </w:tblPrEx>
        <w:tc>
          <w:tcPr>
            <w:tcW w:w="454" w:type="pct"/>
            <w:vMerge w:val="restart"/>
            <w:tcBorders>
              <w:top w:val="single" w:color="auto" w:sz="4" w:space="0"/>
              <w:left w:val="single" w:color="auto" w:sz="4" w:space="0"/>
              <w:right w:val="single" w:color="auto" w:sz="4" w:space="0"/>
            </w:tcBorders>
            <w:noWrap w:val="0"/>
            <w:vAlign w:val="center"/>
          </w:tcPr>
          <w:p w14:paraId="20C9370B">
            <w:pPr>
              <w:spacing w:line="360" w:lineRule="auto"/>
              <w:jc w:val="center"/>
              <w:rPr>
                <w:rFonts w:ascii="Times New Roman" w:hAnsi="Times New Roman"/>
                <w:color w:val="auto"/>
                <w:highlight w:val="none"/>
              </w:rPr>
            </w:pPr>
            <w:r>
              <w:rPr>
                <w:rFonts w:ascii="Times New Roman" w:hAnsi="Times New Roman"/>
                <w:color w:val="auto"/>
                <w:highlight w:val="none"/>
              </w:rPr>
              <w:t>1.10.2</w:t>
            </w:r>
          </w:p>
        </w:tc>
        <w:tc>
          <w:tcPr>
            <w:tcW w:w="1337" w:type="pct"/>
            <w:vMerge w:val="restart"/>
            <w:tcBorders>
              <w:top w:val="single" w:color="auto" w:sz="4" w:space="0"/>
              <w:left w:val="single" w:color="auto" w:sz="4" w:space="0"/>
              <w:right w:val="single" w:color="auto" w:sz="4" w:space="0"/>
            </w:tcBorders>
            <w:noWrap w:val="0"/>
            <w:vAlign w:val="center"/>
          </w:tcPr>
          <w:p w14:paraId="4046ECE8">
            <w:pPr>
              <w:spacing w:line="360" w:lineRule="auto"/>
              <w:jc w:val="left"/>
              <w:rPr>
                <w:rFonts w:ascii="Times New Roman" w:hAnsi="Times New Roman"/>
                <w:color w:val="auto"/>
                <w:highlight w:val="none"/>
              </w:rPr>
            </w:pPr>
            <w:r>
              <w:rPr>
                <w:rFonts w:hint="eastAsia" w:ascii="Times New Roman" w:hAnsi="Times New Roman"/>
                <w:color w:val="auto"/>
                <w:highlight w:val="none"/>
              </w:rPr>
              <w:t>投标人在投标预备会前提出问题</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2C60BC7">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时间：</w:t>
            </w:r>
            <w:r>
              <w:rPr>
                <w:rFonts w:hint="eastAsia" w:ascii="宋体" w:hAnsi="宋体" w:eastAsia="宋体" w:cs="宋体"/>
                <w:color w:val="auto"/>
                <w:highlight w:val="none"/>
                <w:lang w:val="en-US" w:eastAsia="zh-CN"/>
              </w:rPr>
              <w:t>/</w:t>
            </w:r>
          </w:p>
        </w:tc>
      </w:tr>
      <w:tr w14:paraId="4094522B">
        <w:tblPrEx>
          <w:tblCellMar>
            <w:top w:w="0" w:type="dxa"/>
            <w:left w:w="108" w:type="dxa"/>
            <w:bottom w:w="0" w:type="dxa"/>
            <w:right w:w="108" w:type="dxa"/>
          </w:tblCellMar>
        </w:tblPrEx>
        <w:tc>
          <w:tcPr>
            <w:tcW w:w="454" w:type="pct"/>
            <w:vMerge w:val="continue"/>
            <w:tcBorders>
              <w:left w:val="single" w:color="auto" w:sz="4" w:space="0"/>
              <w:bottom w:val="single" w:color="auto" w:sz="4" w:space="0"/>
              <w:right w:val="single" w:color="auto" w:sz="4" w:space="0"/>
            </w:tcBorders>
            <w:noWrap w:val="0"/>
            <w:vAlign w:val="center"/>
          </w:tcPr>
          <w:p w14:paraId="30893BB8">
            <w:pPr>
              <w:spacing w:line="360" w:lineRule="auto"/>
              <w:jc w:val="center"/>
              <w:rPr>
                <w:rFonts w:ascii="Times New Roman" w:hAnsi="Times New Roman"/>
                <w:color w:val="auto"/>
                <w:highlight w:val="none"/>
              </w:rPr>
            </w:pPr>
          </w:p>
        </w:tc>
        <w:tc>
          <w:tcPr>
            <w:tcW w:w="1337" w:type="pct"/>
            <w:vMerge w:val="continue"/>
            <w:tcBorders>
              <w:left w:val="single" w:color="auto" w:sz="4" w:space="0"/>
              <w:bottom w:val="single" w:color="auto" w:sz="4" w:space="0"/>
              <w:right w:val="single" w:color="auto" w:sz="4" w:space="0"/>
            </w:tcBorders>
            <w:noWrap w:val="0"/>
            <w:vAlign w:val="center"/>
          </w:tcPr>
          <w:p w14:paraId="18193AE3">
            <w:pPr>
              <w:spacing w:line="360" w:lineRule="auto"/>
              <w:jc w:val="left"/>
              <w:rPr>
                <w:rFonts w:ascii="Times New Roman" w:hAnsi="Times New Roman"/>
                <w:color w:val="auto"/>
                <w:highlight w:val="none"/>
              </w:rPr>
            </w:pP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525BE50">
            <w:pPr>
              <w:spacing w:line="360" w:lineRule="auto"/>
              <w:rPr>
                <w:rFonts w:hint="eastAsia" w:ascii="Times New Roman" w:hAnsi="Times New Roman" w:eastAsia="宋体"/>
                <w:color w:val="auto"/>
                <w:highlight w:val="none"/>
                <w:lang w:val="en-US" w:eastAsia="zh-CN"/>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w:t>
            </w:r>
          </w:p>
        </w:tc>
      </w:tr>
      <w:tr w14:paraId="6BCF5E5E">
        <w:tblPrEx>
          <w:tblCellMar>
            <w:top w:w="0" w:type="dxa"/>
            <w:left w:w="108" w:type="dxa"/>
            <w:bottom w:w="0" w:type="dxa"/>
            <w:right w:w="108" w:type="dxa"/>
          </w:tblCellMar>
        </w:tblPrEx>
        <w:tc>
          <w:tcPr>
            <w:tcW w:w="454" w:type="pct"/>
            <w:tcBorders>
              <w:left w:val="single" w:color="auto" w:sz="4" w:space="0"/>
              <w:bottom w:val="single" w:color="auto" w:sz="4" w:space="0"/>
              <w:right w:val="single" w:color="auto" w:sz="4" w:space="0"/>
            </w:tcBorders>
            <w:noWrap w:val="0"/>
            <w:vAlign w:val="center"/>
          </w:tcPr>
          <w:p w14:paraId="7842C96F">
            <w:pPr>
              <w:spacing w:line="360" w:lineRule="auto"/>
              <w:jc w:val="center"/>
              <w:rPr>
                <w:rFonts w:ascii="Times New Roman" w:hAnsi="Times New Roman"/>
                <w:color w:val="auto"/>
                <w:highlight w:val="none"/>
              </w:rPr>
            </w:pPr>
            <w:r>
              <w:rPr>
                <w:rFonts w:ascii="Times New Roman" w:hAnsi="Times New Roman"/>
                <w:color w:val="auto"/>
                <w:highlight w:val="none"/>
              </w:rPr>
              <w:t>1.10.3</w:t>
            </w:r>
          </w:p>
        </w:tc>
        <w:tc>
          <w:tcPr>
            <w:tcW w:w="1337" w:type="pct"/>
            <w:tcBorders>
              <w:left w:val="single" w:color="auto" w:sz="4" w:space="0"/>
              <w:bottom w:val="single" w:color="auto" w:sz="4" w:space="0"/>
              <w:right w:val="single" w:color="auto" w:sz="4" w:space="0"/>
            </w:tcBorders>
            <w:noWrap w:val="0"/>
            <w:vAlign w:val="center"/>
          </w:tcPr>
          <w:p w14:paraId="42B99DEE">
            <w:pPr>
              <w:spacing w:line="360" w:lineRule="auto"/>
              <w:jc w:val="left"/>
              <w:rPr>
                <w:rFonts w:ascii="Times New Roman" w:hAnsi="Times New Roman"/>
                <w:color w:val="auto"/>
                <w:highlight w:val="none"/>
              </w:rPr>
            </w:pPr>
            <w:r>
              <w:rPr>
                <w:rFonts w:hint="eastAsia" w:ascii="Times New Roman" w:hAnsi="Times New Roman"/>
                <w:color w:val="auto"/>
                <w:highlight w:val="none"/>
              </w:rPr>
              <w:t>招标文件澄清发出的形式</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FE77BEC">
            <w:pPr>
              <w:spacing w:line="360" w:lineRule="auto"/>
              <w:rPr>
                <w:rFonts w:hint="eastAsia" w:ascii="Times New Roman" w:hAnsi="Times New Roman" w:eastAsia="宋体"/>
                <w:color w:val="auto"/>
                <w:highlight w:val="none"/>
                <w:lang w:val="en-US" w:eastAsia="zh-CN"/>
              </w:rPr>
            </w:pPr>
            <w:r>
              <w:rPr>
                <w:rFonts w:hint="eastAsia" w:ascii="宋体" w:hAnsi="宋体"/>
                <w:color w:val="auto"/>
                <w:szCs w:val="21"/>
                <w:highlight w:val="none"/>
              </w:rPr>
              <w:t>在广州公共资源交易中心网站首页-建设工程-“项目查询（日程安排、答疑纪要）”专区发布，一经在发布，视作已发放给所有投标人。</w:t>
            </w:r>
          </w:p>
        </w:tc>
      </w:tr>
      <w:tr w14:paraId="6F0A019D">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348BCDE4">
            <w:pPr>
              <w:spacing w:line="360" w:lineRule="auto"/>
              <w:jc w:val="center"/>
              <w:rPr>
                <w:rFonts w:ascii="Times New Roman" w:hAnsi="Times New Roman"/>
                <w:color w:val="auto"/>
                <w:highlight w:val="none"/>
              </w:rPr>
            </w:pPr>
            <w:r>
              <w:rPr>
                <w:rFonts w:ascii="Times New Roman" w:hAnsi="Times New Roman"/>
                <w:color w:val="auto"/>
                <w:highlight w:val="none"/>
              </w:rPr>
              <w:t>1.12.1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CBD049E">
            <w:pPr>
              <w:spacing w:line="360" w:lineRule="auto"/>
              <w:jc w:val="left"/>
              <w:rPr>
                <w:rFonts w:ascii="Times New Roman" w:hAnsi="Times New Roman"/>
                <w:color w:val="auto"/>
                <w:highlight w:val="none"/>
              </w:rPr>
            </w:pPr>
            <w:r>
              <w:rPr>
                <w:rFonts w:hint="eastAsia" w:ascii="Times New Roman" w:hAnsi="Times New Roman"/>
                <w:color w:val="auto"/>
                <w:highlight w:val="none"/>
              </w:rPr>
              <w:t>实质性要求和条件</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050C209">
            <w:pPr>
              <w:pStyle w:val="11"/>
              <w:topLinePunct/>
              <w:spacing w:line="360" w:lineRule="auto"/>
              <w:rPr>
                <w:rFonts w:hint="eastAsia" w:ascii="Times New Roman" w:hAnsi="Times New Roman" w:eastAsia="宋体"/>
                <w:color w:val="auto"/>
                <w:sz w:val="21"/>
                <w:szCs w:val="22"/>
                <w:highlight w:val="none"/>
                <w:lang w:val="en-US" w:eastAsia="zh-CN"/>
              </w:rPr>
            </w:pPr>
            <w:r>
              <w:rPr>
                <w:rFonts w:hint="eastAsia" w:ascii="Times New Roman" w:hAnsi="Times New Roman"/>
                <w:color w:val="auto"/>
                <w:sz w:val="21"/>
                <w:szCs w:val="22"/>
                <w:highlight w:val="none"/>
                <w:lang w:val="en-US" w:eastAsia="zh-CN"/>
              </w:rPr>
              <w:t>/</w:t>
            </w:r>
          </w:p>
        </w:tc>
      </w:tr>
      <w:tr w14:paraId="547FCC22">
        <w:tblPrEx>
          <w:tblCellMar>
            <w:top w:w="0" w:type="dxa"/>
            <w:left w:w="108" w:type="dxa"/>
            <w:bottom w:w="0" w:type="dxa"/>
            <w:right w:w="108" w:type="dxa"/>
          </w:tblCellMar>
        </w:tblPrEx>
        <w:trPr>
          <w:trHeight w:val="9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611EC43">
            <w:pPr>
              <w:spacing w:line="360" w:lineRule="auto"/>
              <w:jc w:val="center"/>
              <w:rPr>
                <w:rFonts w:ascii="Times New Roman" w:hAnsi="Times New Roman"/>
                <w:color w:val="auto"/>
                <w:highlight w:val="none"/>
              </w:rPr>
            </w:pPr>
            <w:r>
              <w:rPr>
                <w:rFonts w:ascii="Times New Roman" w:hAnsi="Times New Roman"/>
                <w:color w:val="auto"/>
                <w:highlight w:val="none"/>
              </w:rPr>
              <w:t>1.12.3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6E91726">
            <w:pPr>
              <w:spacing w:line="360" w:lineRule="auto"/>
              <w:jc w:val="left"/>
              <w:rPr>
                <w:rFonts w:ascii="Times New Roman" w:hAnsi="Times New Roman"/>
                <w:color w:val="auto"/>
                <w:highlight w:val="none"/>
              </w:rPr>
            </w:pPr>
            <w:r>
              <w:rPr>
                <w:rFonts w:hint="eastAsia" w:ascii="Times New Roman" w:hAnsi="Times New Roman"/>
                <w:color w:val="auto"/>
                <w:highlight w:val="none"/>
              </w:rPr>
              <w:t>偏差</w:t>
            </w:r>
          </w:p>
        </w:tc>
        <w:tc>
          <w:tcPr>
            <w:tcW w:w="3208" w:type="pct"/>
            <w:tcBorders>
              <w:top w:val="single" w:color="auto" w:sz="4" w:space="0"/>
              <w:left w:val="single" w:color="auto" w:sz="4" w:space="0"/>
              <w:bottom w:val="single" w:color="auto" w:sz="4" w:space="0"/>
              <w:right w:val="single" w:color="auto" w:sz="4" w:space="0"/>
            </w:tcBorders>
            <w:noWrap w:val="0"/>
            <w:vAlign w:val="top"/>
          </w:tcPr>
          <w:p w14:paraId="4D57A789">
            <w:pPr>
              <w:keepNext w:val="0"/>
              <w:keepLines w:val="0"/>
              <w:pageBreakBefore w:val="0"/>
              <w:widowControl w:val="0"/>
              <w:kinsoku/>
              <w:wordWrap/>
              <w:overflowPunct/>
              <w:autoSpaceDE/>
              <w:autoSpaceDN/>
              <w:bidi w:val="0"/>
              <w:adjustRightInd/>
              <w:snapToGrid/>
              <w:spacing w:line="440" w:lineRule="exact"/>
              <w:textAlignment w:val="auto"/>
              <w:rPr>
                <w:rFonts w:ascii="Times New Roman" w:hAnsi="Times New Roman"/>
                <w:color w:val="auto"/>
                <w:szCs w:val="21"/>
                <w:highlight w:val="none"/>
              </w:rPr>
            </w:pPr>
            <w:r>
              <w:rPr>
                <w:rFonts w:ascii="Times New Roman" w:hAnsi="Times New Roman"/>
                <w:color w:val="auto"/>
                <w:sz w:val="32"/>
                <w:highlight w:val="none"/>
              </w:rPr>
              <w:sym w:font="Wingdings 2" w:char="0052"/>
            </w:r>
            <w:r>
              <w:rPr>
                <w:rFonts w:hint="eastAsia" w:ascii="Times New Roman" w:hAnsi="Times New Roman"/>
                <w:color w:val="auto"/>
                <w:szCs w:val="21"/>
                <w:highlight w:val="none"/>
              </w:rPr>
              <w:t>不允许</w:t>
            </w:r>
          </w:p>
          <w:p w14:paraId="0557F094">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21"/>
                <w:szCs w:val="22"/>
                <w:highlight w:val="none"/>
              </w:rPr>
            </w:pPr>
            <w:r>
              <w:rPr>
                <w:rFonts w:ascii="Times New Roman" w:hAnsi="Times New Roman"/>
                <w:color w:val="auto"/>
                <w:sz w:val="32"/>
                <w:highlight w:val="none"/>
              </w:rPr>
              <w:sym w:font="Wingdings 2" w:char="00A3"/>
            </w:r>
            <w:r>
              <w:rPr>
                <w:rFonts w:hint="eastAsia" w:ascii="Times New Roman" w:hAnsi="Times New Roman"/>
                <w:color w:val="auto"/>
                <w:sz w:val="21"/>
                <w:szCs w:val="22"/>
                <w:highlight w:val="none"/>
              </w:rPr>
              <w:t>允许，偏差范围：</w:t>
            </w:r>
          </w:p>
          <w:p w14:paraId="2174F430">
            <w:pPr>
              <w:pStyle w:val="11"/>
              <w:keepNext w:val="0"/>
              <w:keepLines w:val="0"/>
              <w:pageBreakBefore w:val="0"/>
              <w:widowControl w:val="0"/>
              <w:kinsoku/>
              <w:wordWrap/>
              <w:overflowPunct/>
              <w:topLinePunct/>
              <w:autoSpaceDE/>
              <w:autoSpaceDN/>
              <w:bidi w:val="0"/>
              <w:adjustRightInd/>
              <w:snapToGrid/>
              <w:spacing w:after="0" w:line="440" w:lineRule="exact"/>
              <w:ind w:firstLine="945" w:firstLineChars="450"/>
              <w:textAlignment w:val="auto"/>
              <w:rPr>
                <w:rFonts w:ascii="Times New Roman" w:hAnsi="Times New Roman"/>
                <w:color w:val="auto"/>
                <w:sz w:val="21"/>
                <w:szCs w:val="22"/>
                <w:highlight w:val="none"/>
              </w:rPr>
            </w:pPr>
            <w:r>
              <w:rPr>
                <w:rFonts w:hint="eastAsia" w:ascii="Times New Roman" w:hAnsi="Times New Roman"/>
                <w:color w:val="auto"/>
                <w:sz w:val="21"/>
                <w:szCs w:val="22"/>
                <w:highlight w:val="none"/>
              </w:rPr>
              <w:t>偏差幅度：</w:t>
            </w:r>
          </w:p>
        </w:tc>
      </w:tr>
      <w:tr w14:paraId="0BD3F0C8">
        <w:tblPrEx>
          <w:tblCellMar>
            <w:top w:w="0" w:type="dxa"/>
            <w:left w:w="108" w:type="dxa"/>
            <w:bottom w:w="0" w:type="dxa"/>
            <w:right w:w="108" w:type="dxa"/>
          </w:tblCellMar>
        </w:tblPrEx>
        <w:trPr>
          <w:trHeight w:val="64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5069252">
            <w:pPr>
              <w:spacing w:line="360" w:lineRule="auto"/>
              <w:jc w:val="center"/>
              <w:rPr>
                <w:rFonts w:ascii="Times New Roman" w:hAnsi="Times New Roman"/>
                <w:color w:val="auto"/>
                <w:highlight w:val="none"/>
              </w:rPr>
            </w:pPr>
            <w:r>
              <w:rPr>
                <w:rFonts w:ascii="Times New Roman" w:hAnsi="Times New Roman"/>
                <w:color w:val="auto"/>
                <w:highlight w:val="none"/>
              </w:rPr>
              <w:t>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6A34673">
            <w:pPr>
              <w:spacing w:line="360" w:lineRule="auto"/>
              <w:jc w:val="left"/>
              <w:rPr>
                <w:rFonts w:ascii="Times New Roman" w:hAnsi="Times New Roman"/>
                <w:color w:val="auto"/>
                <w:highlight w:val="none"/>
              </w:rPr>
            </w:pPr>
            <w:r>
              <w:rPr>
                <w:rFonts w:hint="eastAsia" w:ascii="Times New Roman" w:hAnsi="Times New Roman"/>
                <w:color w:val="auto"/>
                <w:highlight w:val="none"/>
              </w:rPr>
              <w:t>构成招标文件的其他资料</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BB6A161">
            <w:pPr>
              <w:spacing w:line="360" w:lineRule="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14:paraId="590C74FF">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0171B8CB">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674059E">
            <w:pPr>
              <w:spacing w:line="360" w:lineRule="auto"/>
              <w:jc w:val="left"/>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招标答疑</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BE998B1">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疑问提交时间：202</w:t>
            </w:r>
            <w:r>
              <w:rPr>
                <w:rFonts w:hint="eastAsia" w:ascii="宋体" w:hAnsi="宋体" w:cs="Times New Roman"/>
                <w:color w:val="auto"/>
                <w:sz w:val="21"/>
                <w:highlight w:val="none"/>
                <w:lang w:val="en-US" w:eastAsia="zh-CN" w:bidi="ar-SA"/>
              </w:rPr>
              <w:t>6</w:t>
            </w:r>
            <w:r>
              <w:rPr>
                <w:rFonts w:hint="eastAsia" w:ascii="宋体" w:hAnsi="宋体" w:eastAsia="宋体" w:cs="Times New Roman"/>
                <w:color w:val="auto"/>
                <w:sz w:val="21"/>
                <w:highlight w:val="none"/>
                <w:lang w:val="en-US" w:eastAsia="zh-CN" w:bidi="ar-SA"/>
              </w:rPr>
              <w:t>年  月  日   时前；</w:t>
            </w:r>
          </w:p>
          <w:p w14:paraId="38EB78FE">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形式：投标人的疑问通过</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网站提交。</w:t>
            </w:r>
          </w:p>
          <w:p w14:paraId="2F31815D">
            <w:pPr>
              <w:spacing w:line="360" w:lineRule="auto"/>
              <w:rPr>
                <w:rFonts w:ascii="Times New Roman" w:hAnsi="Times New Roman"/>
                <w:color w:val="auto"/>
                <w:highlight w:val="none"/>
              </w:rPr>
            </w:pPr>
            <w:r>
              <w:rPr>
                <w:rFonts w:hint="eastAsia" w:ascii="宋体" w:hAnsi="宋体" w:eastAsia="宋体" w:cs="Times New Roman"/>
                <w:color w:val="auto"/>
                <w:sz w:val="21"/>
                <w:highlight w:val="none"/>
                <w:lang w:val="en-US" w:eastAsia="zh-CN" w:bidi="ar-SA"/>
              </w:rPr>
              <w:t>具体要求：按照</w:t>
            </w:r>
            <w:r>
              <w:rPr>
                <w:rFonts w:hint="eastAsia" w:ascii="宋体" w:hAnsi="宋体" w:eastAsia="宋体" w:cs="Times New Roman"/>
                <w:color w:val="auto"/>
                <w:sz w:val="21"/>
                <w:highlight w:val="none"/>
                <w:u w:val="single"/>
                <w:lang w:val="en-US" w:eastAsia="zh-CN" w:bidi="ar-SA"/>
              </w:rPr>
              <w:t>广州交易集团有限公司（广州公共资源交易中心）网站</w:t>
            </w:r>
            <w:r>
              <w:rPr>
                <w:rFonts w:hint="eastAsia" w:ascii="宋体" w:hAnsi="宋体" w:eastAsia="宋体" w:cs="Times New Roman"/>
                <w:color w:val="auto"/>
                <w:sz w:val="21"/>
                <w:highlight w:val="none"/>
                <w:lang w:val="en-US" w:eastAsia="zh-CN" w:bidi="ar-SA"/>
              </w:rPr>
              <w:t>关于全流程电子化项目的相关指南进行操作，提问一律不得署名。</w:t>
            </w:r>
          </w:p>
        </w:tc>
      </w:tr>
      <w:tr w14:paraId="55334B92">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36EE8D54">
            <w:pPr>
              <w:spacing w:line="360" w:lineRule="auto"/>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8D09369">
            <w:pPr>
              <w:spacing w:line="360" w:lineRule="auto"/>
              <w:jc w:val="left"/>
              <w:rPr>
                <w:rFonts w:hint="eastAsia" w:ascii="Times New Roman" w:hAnsi="Times New Roman"/>
                <w:color w:val="auto"/>
                <w:highlight w:val="none"/>
                <w:lang w:eastAsia="zh-CN"/>
              </w:rPr>
            </w:pPr>
            <w:r>
              <w:rPr>
                <w:rFonts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ascii="宋体" w:hAnsi="宋体" w:eastAsia="宋体" w:cs="宋体"/>
                <w:color w:val="auto"/>
                <w:spacing w:val="-1"/>
                <w:sz w:val="21"/>
                <w:szCs w:val="21"/>
                <w:highlight w:val="none"/>
              </w:rPr>
              <w:t>修改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D034B1F">
            <w:pPr>
              <w:spacing w:line="360" w:lineRule="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招标文件的修改期限：在投标截止时间</w:t>
            </w:r>
            <w:r>
              <w:rPr>
                <w:rFonts w:hint="eastAsia" w:ascii="宋体" w:hAnsi="宋体" w:eastAsia="宋体" w:cs="Times New Roman"/>
                <w:color w:val="auto"/>
                <w:sz w:val="21"/>
                <w:highlight w:val="none"/>
                <w:u w:val="single"/>
                <w:lang w:val="en-US" w:eastAsia="zh-CN" w:bidi="ar-SA"/>
              </w:rPr>
              <w:t xml:space="preserve"> 15</w:t>
            </w:r>
            <w:r>
              <w:rPr>
                <w:rFonts w:hint="eastAsia" w:ascii="宋体" w:hAnsi="宋体" w:eastAsia="宋体" w:cs="Times New Roman"/>
                <w:color w:val="auto"/>
                <w:sz w:val="21"/>
                <w:highlight w:val="none"/>
                <w:lang w:val="en-US" w:eastAsia="zh-CN" w:bidi="ar-SA"/>
              </w:rPr>
              <w:t xml:space="preserve"> 天前</w:t>
            </w:r>
          </w:p>
        </w:tc>
      </w:tr>
      <w:tr w14:paraId="70E86A0B">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7B7FE792">
            <w:pPr>
              <w:spacing w:line="360" w:lineRule="auto"/>
              <w:jc w:val="center"/>
              <w:rPr>
                <w:rFonts w:ascii="Times New Roman" w:hAnsi="Times New Roman"/>
                <w:color w:val="auto"/>
                <w:highlight w:val="none"/>
              </w:rPr>
            </w:pPr>
            <w:r>
              <w:rPr>
                <w:rFonts w:ascii="Times New Roman" w:hAnsi="Times New Roman"/>
                <w:color w:val="auto"/>
                <w:highlight w:val="none"/>
              </w:rPr>
              <w:t>3.1.1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4D9111C">
            <w:pPr>
              <w:spacing w:line="360" w:lineRule="auto"/>
              <w:jc w:val="left"/>
              <w:rPr>
                <w:rFonts w:ascii="Times New Roman" w:hAnsi="Times New Roman"/>
                <w:color w:val="auto"/>
                <w:highlight w:val="none"/>
              </w:rPr>
            </w:pPr>
            <w:r>
              <w:rPr>
                <w:rFonts w:hint="eastAsia" w:ascii="Times New Roman" w:hAnsi="Times New Roman"/>
                <w:color w:val="auto"/>
                <w:highlight w:val="none"/>
              </w:rPr>
              <w:t>构成投标文件的其他资料</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3C38EA1">
            <w:pPr>
              <w:spacing w:line="360" w:lineRule="auto"/>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满足本项目评审要求的其他资料。</w:t>
            </w:r>
          </w:p>
        </w:tc>
      </w:tr>
      <w:tr w14:paraId="6933EC44">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45B4B12E">
            <w:pPr>
              <w:spacing w:line="360" w:lineRule="auto"/>
              <w:jc w:val="center"/>
              <w:rPr>
                <w:rFonts w:ascii="Times New Roman" w:hAnsi="Times New Roman"/>
                <w:color w:val="auto"/>
                <w:highlight w:val="none"/>
              </w:rPr>
            </w:pPr>
            <w:r>
              <w:rPr>
                <w:rFonts w:ascii="Times New Roman" w:hAnsi="Times New Roman"/>
                <w:color w:val="auto"/>
                <w:highlight w:val="none"/>
              </w:rPr>
              <w:t>3.2.1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BE3B429">
            <w:pPr>
              <w:spacing w:line="360" w:lineRule="auto"/>
              <w:jc w:val="left"/>
              <w:rPr>
                <w:rFonts w:ascii="Times New Roman" w:hAnsi="Times New Roman"/>
                <w:color w:val="auto"/>
                <w:highlight w:val="none"/>
              </w:rPr>
            </w:pPr>
            <w:r>
              <w:rPr>
                <w:rFonts w:hint="eastAsia" w:ascii="Times New Roman" w:hAnsi="Times New Roman"/>
                <w:color w:val="auto"/>
                <w:highlight w:val="none"/>
              </w:rPr>
              <w:t>增值税税金的计算方法</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9433FE8">
            <w:pPr>
              <w:spacing w:line="360" w:lineRule="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14:paraId="466E5F57">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1D9DA56E">
            <w:pPr>
              <w:spacing w:line="360" w:lineRule="auto"/>
              <w:jc w:val="center"/>
              <w:rPr>
                <w:rFonts w:ascii="Times New Roman" w:hAnsi="Times New Roman"/>
                <w:color w:val="auto"/>
                <w:highlight w:val="none"/>
              </w:rPr>
            </w:pPr>
            <w:r>
              <w:rPr>
                <w:rFonts w:ascii="Times New Roman" w:hAnsi="Times New Roman"/>
                <w:color w:val="auto"/>
                <w:highlight w:val="none"/>
              </w:rPr>
              <w:t>3.2.3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D65B530">
            <w:pPr>
              <w:spacing w:line="360" w:lineRule="auto"/>
              <w:jc w:val="left"/>
              <w:rPr>
                <w:rFonts w:ascii="Times New Roman" w:hAnsi="Times New Roman"/>
                <w:color w:val="auto"/>
                <w:highlight w:val="none"/>
              </w:rPr>
            </w:pPr>
            <w:r>
              <w:rPr>
                <w:rFonts w:hint="eastAsia" w:ascii="Times New Roman" w:hAnsi="Times New Roman"/>
                <w:color w:val="auto"/>
                <w:highlight w:val="none"/>
              </w:rPr>
              <w:t>报价方式</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01C492A">
            <w:pPr>
              <w:spacing w:line="360" w:lineRule="auto"/>
              <w:rPr>
                <w:rFonts w:ascii="Times New Roman" w:hAnsi="Times New Roman"/>
                <w:color w:val="auto"/>
                <w:highlight w:val="none"/>
              </w:rPr>
            </w:pPr>
            <w:r>
              <w:rPr>
                <w:rFonts w:hint="eastAsia" w:ascii="宋体" w:hAnsi="宋体" w:cs="宋体"/>
                <w:color w:val="auto"/>
                <w:sz w:val="21"/>
                <w:szCs w:val="21"/>
                <w:highlight w:val="none"/>
                <w:u w:val="single"/>
              </w:rPr>
              <w:t>自行报价（以元为单位，精确到小数位后2位）。投标报价不得高于最高投标限价，由投标人根据招标文件要求以及企业自身情况填写报价。结算方式：按合同约定执行。</w:t>
            </w:r>
          </w:p>
        </w:tc>
      </w:tr>
      <w:tr w14:paraId="3E28719D">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5650A67E">
            <w:pPr>
              <w:spacing w:line="360" w:lineRule="auto"/>
              <w:jc w:val="center"/>
              <w:rPr>
                <w:rFonts w:ascii="Times New Roman" w:hAnsi="Times New Roman"/>
                <w:color w:val="auto"/>
                <w:highlight w:val="none"/>
              </w:rPr>
            </w:pPr>
            <w:r>
              <w:rPr>
                <w:rFonts w:ascii="Times New Roman" w:hAnsi="Times New Roman"/>
                <w:color w:val="auto"/>
                <w:highlight w:val="none"/>
              </w:rPr>
              <w:t>3.2.4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CADC03F">
            <w:pPr>
              <w:spacing w:line="360" w:lineRule="auto"/>
              <w:jc w:val="left"/>
              <w:rPr>
                <w:rFonts w:ascii="Times New Roman" w:hAnsi="Times New Roman"/>
                <w:color w:val="auto"/>
                <w:highlight w:val="none"/>
              </w:rPr>
            </w:pPr>
            <w:r>
              <w:rPr>
                <w:rFonts w:hint="eastAsia" w:ascii="Times New Roman" w:hAnsi="Times New Roman"/>
                <w:color w:val="auto"/>
                <w:highlight w:val="none"/>
              </w:rPr>
              <w:t>最高投标限价</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1A34C5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highlight w:val="none"/>
              </w:rPr>
            </w:pPr>
            <w:r>
              <w:rPr>
                <w:rFonts w:ascii="Times New Roman" w:hAnsi="Times New Roman"/>
                <w:color w:val="auto"/>
                <w:sz w:val="32"/>
                <w:highlight w:val="none"/>
              </w:rPr>
              <w:sym w:font="Wingdings 2" w:char="00A3"/>
            </w:r>
            <w:r>
              <w:rPr>
                <w:rFonts w:hint="eastAsia" w:ascii="Times New Roman" w:hAnsi="Times New Roman"/>
                <w:color w:val="auto"/>
                <w:highlight w:val="none"/>
              </w:rPr>
              <w:t>无</w:t>
            </w:r>
          </w:p>
          <w:p w14:paraId="2F3ABAD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highlight w:val="none"/>
              </w:rPr>
            </w:pPr>
            <w:r>
              <w:rPr>
                <w:rFonts w:ascii="Times New Roman" w:hAnsi="Times New Roman"/>
                <w:color w:val="auto"/>
                <w:sz w:val="32"/>
                <w:highlight w:val="none"/>
              </w:rPr>
              <w:sym w:font="Wingdings 2" w:char="0052"/>
            </w:r>
            <w:r>
              <w:rPr>
                <w:rFonts w:hint="eastAsia" w:ascii="Times New Roman" w:hAnsi="Times New Roman"/>
                <w:color w:val="auto"/>
                <w:highlight w:val="none"/>
              </w:rPr>
              <w:t>有，最高投标限价：</w:t>
            </w:r>
            <w:r>
              <w:rPr>
                <w:rFonts w:hint="eastAsia" w:ascii="宋体" w:hAnsi="宋体"/>
                <w:color w:val="auto"/>
                <w:sz w:val="21"/>
                <w:szCs w:val="21"/>
                <w:highlight w:val="none"/>
                <w:lang w:val="en-US" w:eastAsia="zh-CN"/>
              </w:rPr>
              <w:t>151.69</w:t>
            </w:r>
            <w:r>
              <w:rPr>
                <w:rFonts w:hint="default" w:ascii="宋体" w:hAnsi="宋体" w:eastAsia="宋体"/>
                <w:color w:val="auto"/>
                <w:sz w:val="21"/>
                <w:szCs w:val="21"/>
                <w:highlight w:val="none"/>
              </w:rPr>
              <w:t>万元</w:t>
            </w:r>
            <w:r>
              <w:rPr>
                <w:color w:val="auto"/>
                <w:sz w:val="24"/>
                <w:szCs w:val="24"/>
                <w:highlight w:val="none"/>
              </w:rPr>
              <w:t>。</w:t>
            </w:r>
          </w:p>
        </w:tc>
      </w:tr>
      <w:tr w14:paraId="2448BE1D">
        <w:tblPrEx>
          <w:tblCellMar>
            <w:top w:w="0" w:type="dxa"/>
            <w:left w:w="108" w:type="dxa"/>
            <w:bottom w:w="0" w:type="dxa"/>
            <w:right w:w="108" w:type="dxa"/>
          </w:tblCellMar>
        </w:tblPrEx>
        <w:trPr>
          <w:trHeight w:val="5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2B3C91DB">
            <w:pPr>
              <w:spacing w:line="360" w:lineRule="auto"/>
              <w:jc w:val="center"/>
              <w:rPr>
                <w:rFonts w:ascii="Times New Roman" w:hAnsi="Times New Roman"/>
                <w:color w:val="auto"/>
                <w:highlight w:val="none"/>
              </w:rPr>
            </w:pPr>
            <w:r>
              <w:rPr>
                <w:rFonts w:ascii="Times New Roman" w:hAnsi="Times New Roman"/>
                <w:color w:val="auto"/>
                <w:highlight w:val="none"/>
              </w:rPr>
              <w:t>3.2.5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C0AA7D6">
            <w:pPr>
              <w:spacing w:line="360" w:lineRule="auto"/>
              <w:jc w:val="left"/>
              <w:rPr>
                <w:rFonts w:ascii="Times New Roman" w:hAnsi="Times New Roman"/>
                <w:color w:val="auto"/>
                <w:highlight w:val="none"/>
              </w:rPr>
            </w:pPr>
            <w:r>
              <w:rPr>
                <w:rFonts w:hint="eastAsia" w:ascii="Times New Roman" w:hAnsi="Times New Roman"/>
                <w:color w:val="auto"/>
                <w:highlight w:val="none"/>
              </w:rPr>
              <w:t>投标报价的其他要求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FAADFD0">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投标报价超过最高投标限价的投标文件将被否决其投标。</w:t>
            </w:r>
          </w:p>
          <w:p w14:paraId="207F523B">
            <w:pPr>
              <w:spacing w:line="360" w:lineRule="auto"/>
              <w:rPr>
                <w:rFonts w:ascii="Times New Roman" w:hAnsi="Times New Roman"/>
                <w:color w:val="auto"/>
                <w:highlight w:val="none"/>
              </w:rPr>
            </w:pPr>
            <w:r>
              <w:rPr>
                <w:rFonts w:hint="eastAsia" w:ascii="宋体" w:hAnsi="宋体" w:cs="宋体"/>
                <w:color w:val="auto"/>
                <w:sz w:val="21"/>
                <w:szCs w:val="21"/>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tc>
      </w:tr>
      <w:tr w14:paraId="289A7B26">
        <w:tblPrEx>
          <w:tblCellMar>
            <w:top w:w="0" w:type="dxa"/>
            <w:left w:w="108" w:type="dxa"/>
            <w:bottom w:w="0" w:type="dxa"/>
            <w:right w:w="108" w:type="dxa"/>
          </w:tblCellMar>
        </w:tblPrEx>
        <w:trPr>
          <w:trHeight w:val="68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785A247">
            <w:pPr>
              <w:spacing w:line="360" w:lineRule="auto"/>
              <w:jc w:val="center"/>
              <w:rPr>
                <w:rFonts w:ascii="Times New Roman" w:hAnsi="Times New Roman"/>
                <w:color w:val="auto"/>
                <w:highlight w:val="none"/>
              </w:rPr>
            </w:pPr>
            <w:r>
              <w:rPr>
                <w:rFonts w:ascii="Times New Roman" w:hAnsi="Times New Roman"/>
                <w:color w:val="auto"/>
                <w:highlight w:val="none"/>
              </w:rPr>
              <w:t>3.3.1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97376E3">
            <w:pPr>
              <w:spacing w:line="360" w:lineRule="auto"/>
              <w:jc w:val="left"/>
              <w:rPr>
                <w:rFonts w:ascii="Times New Roman" w:hAnsi="Times New Roman"/>
                <w:color w:val="auto"/>
                <w:highlight w:val="none"/>
              </w:rPr>
            </w:pPr>
            <w:r>
              <w:rPr>
                <w:rFonts w:hint="eastAsia" w:ascii="Times New Roman" w:hAnsi="Times New Roman"/>
                <w:color w:val="auto"/>
                <w:highlight w:val="none"/>
              </w:rPr>
              <w:t>投标有效期</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C12CE97">
            <w:pPr>
              <w:spacing w:line="360" w:lineRule="auto"/>
              <w:rPr>
                <w:rFonts w:ascii="Times New Roman" w:hAnsi="Times New Roman"/>
                <w:color w:val="auto"/>
                <w:highlight w:val="none"/>
              </w:rPr>
            </w:pPr>
            <w:r>
              <w:rPr>
                <w:rFonts w:hint="eastAsia" w:ascii="宋体" w:hAnsi="宋体" w:eastAsia="宋体" w:cs="宋体"/>
                <w:color w:val="auto"/>
                <w:sz w:val="24"/>
                <w:szCs w:val="24"/>
                <w:highlight w:val="none"/>
                <w:u w:val="single"/>
                <w:lang w:val="en-US" w:eastAsia="zh-CN"/>
              </w:rPr>
              <w:t>120</w:t>
            </w:r>
            <w:r>
              <w:rPr>
                <w:rFonts w:hint="default" w:ascii="宋体" w:hAnsi="Times New Roman" w:eastAsia="宋体"/>
                <w:color w:val="auto"/>
                <w:sz w:val="21"/>
                <w:szCs w:val="24"/>
                <w:highlight w:val="none"/>
              </w:rPr>
              <w:t>日历天（从投标截止之日计起）</w:t>
            </w:r>
          </w:p>
        </w:tc>
      </w:tr>
      <w:tr w14:paraId="7EFB5DF6">
        <w:tblPrEx>
          <w:tblCellMar>
            <w:top w:w="0" w:type="dxa"/>
            <w:left w:w="108" w:type="dxa"/>
            <w:bottom w:w="0" w:type="dxa"/>
            <w:right w:w="108" w:type="dxa"/>
          </w:tblCellMar>
        </w:tblPrEx>
        <w:trPr>
          <w:trHeight w:val="906"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89703E0">
            <w:pPr>
              <w:spacing w:line="360" w:lineRule="auto"/>
              <w:jc w:val="center"/>
              <w:rPr>
                <w:rFonts w:ascii="Times New Roman" w:hAnsi="Times New Roman"/>
                <w:color w:val="auto"/>
                <w:highlight w:val="none"/>
              </w:rPr>
            </w:pPr>
            <w:r>
              <w:rPr>
                <w:rFonts w:ascii="Times New Roman" w:hAnsi="Times New Roman"/>
                <w:color w:val="auto"/>
                <w:highlight w:val="none"/>
              </w:rPr>
              <w:t>3.4.1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C0D8851">
            <w:pPr>
              <w:spacing w:line="360" w:lineRule="auto"/>
              <w:jc w:val="left"/>
              <w:rPr>
                <w:rFonts w:ascii="Times New Roman" w:hAnsi="Times New Roman"/>
                <w:color w:val="auto"/>
                <w:highlight w:val="none"/>
              </w:rPr>
            </w:pPr>
            <w:r>
              <w:rPr>
                <w:rFonts w:hint="eastAsia" w:ascii="Times New Roman" w:hAnsi="Times New Roman"/>
                <w:color w:val="auto"/>
                <w:highlight w:val="none"/>
              </w:rPr>
              <w:t>投标保证金</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AE4F323">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32"/>
                <w:highlight w:val="none"/>
              </w:rPr>
            </w:pPr>
            <w:r>
              <w:rPr>
                <w:rFonts w:hint="eastAsia" w:ascii="Times New Roman" w:hAnsi="Times New Roman"/>
                <w:color w:val="auto"/>
                <w:sz w:val="21"/>
                <w:szCs w:val="22"/>
                <w:highlight w:val="none"/>
              </w:rPr>
              <w:t>是否要求投标人递交投标保证金：</w:t>
            </w:r>
          </w:p>
          <w:p w14:paraId="32F32C81">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21"/>
                <w:szCs w:val="22"/>
                <w:highlight w:val="none"/>
              </w:rPr>
            </w:pPr>
            <w:r>
              <w:rPr>
                <w:rFonts w:ascii="Times New Roman" w:hAnsi="Times New Roman"/>
                <w:color w:val="auto"/>
                <w:sz w:val="32"/>
                <w:highlight w:val="none"/>
              </w:rPr>
              <w:t>□</w:t>
            </w:r>
            <w:r>
              <w:rPr>
                <w:rFonts w:hint="eastAsia" w:ascii="Times New Roman" w:hAnsi="Times New Roman"/>
                <w:color w:val="auto"/>
                <w:sz w:val="21"/>
                <w:szCs w:val="22"/>
                <w:highlight w:val="none"/>
              </w:rPr>
              <w:t>要求，</w:t>
            </w:r>
            <w:r>
              <w:rPr>
                <w:rFonts w:hint="eastAsia" w:ascii="Times New Roman" w:hAnsi="Times New Roman"/>
                <w:color w:val="auto"/>
                <w:sz w:val="21"/>
                <w:szCs w:val="21"/>
                <w:highlight w:val="none"/>
              </w:rPr>
              <w:t>投标保证金的金额：</w:t>
            </w:r>
          </w:p>
          <w:p w14:paraId="6CF5BD9C">
            <w:pPr>
              <w:keepNext w:val="0"/>
              <w:keepLines w:val="0"/>
              <w:pageBreakBefore w:val="0"/>
              <w:widowControl w:val="0"/>
              <w:kinsoku/>
              <w:wordWrap/>
              <w:overflowPunct/>
              <w:autoSpaceDE/>
              <w:autoSpaceDN/>
              <w:bidi w:val="0"/>
              <w:adjustRightInd/>
              <w:snapToGrid/>
              <w:spacing w:line="440" w:lineRule="exact"/>
              <w:ind w:firstLine="840" w:firstLineChars="40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投标保证金的形式：</w:t>
            </w:r>
          </w:p>
          <w:p w14:paraId="1671D69C">
            <w:pPr>
              <w:pStyle w:val="11"/>
              <w:topLinePunct/>
              <w:spacing w:line="360" w:lineRule="auto"/>
              <w:rPr>
                <w:rFonts w:hint="eastAsia"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不要求</w:t>
            </w:r>
          </w:p>
          <w:p w14:paraId="4DE1E095">
            <w:pPr>
              <w:pStyle w:val="15"/>
              <w:widowControl w:val="0"/>
              <w:kinsoku/>
              <w:autoSpaceDE/>
              <w:autoSpaceDN/>
              <w:adjustRightInd/>
              <w:snapToGrid/>
              <w:spacing w:line="360" w:lineRule="auto"/>
              <w:jc w:val="both"/>
              <w:textAlignment w:val="auto"/>
              <w:rPr>
                <w:rFonts w:hint="eastAsia" w:ascii="楷体" w:hAnsi="楷体" w:eastAsia="楷体" w:cs="楷体"/>
                <w:snapToGrid/>
                <w:color w:val="auto"/>
                <w:sz w:val="21"/>
                <w:szCs w:val="21"/>
                <w:highlight w:val="none"/>
                <w:u w:val="none"/>
                <w:lang w:val="en-US" w:eastAsia="zh-CN" w:bidi="ar-SA"/>
              </w:rPr>
            </w:pPr>
            <w:r>
              <w:rPr>
                <w:rFonts w:hint="eastAsia" w:ascii="楷体" w:hAnsi="楷体" w:eastAsia="楷体" w:cs="楷体"/>
                <w:snapToGrid/>
                <w:color w:val="auto"/>
                <w:sz w:val="21"/>
                <w:szCs w:val="21"/>
                <w:highlight w:val="none"/>
                <w:u w:val="none"/>
                <w:lang w:val="en-US" w:eastAsia="zh-CN" w:bidi="ar-SA"/>
              </w:rPr>
              <w:t>注：1、投标保证金不得超过招标项目估算价的2%。投标保证金有效期应当与投标有效期一致。（投标保证金金额根据《中华人民共和国招标投标法实施条例》第二十六条）。</w:t>
            </w:r>
          </w:p>
          <w:p w14:paraId="193A0B89">
            <w:pPr>
              <w:pStyle w:val="15"/>
              <w:widowControl w:val="0"/>
              <w:kinsoku/>
              <w:autoSpaceDE/>
              <w:autoSpaceDN/>
              <w:adjustRightInd/>
              <w:snapToGrid/>
              <w:spacing w:line="360" w:lineRule="auto"/>
              <w:jc w:val="both"/>
              <w:textAlignment w:val="auto"/>
              <w:rPr>
                <w:rFonts w:hint="eastAsia" w:ascii="楷体" w:hAnsi="楷体" w:eastAsia="楷体" w:cs="楷体"/>
                <w:snapToGrid/>
                <w:color w:val="auto"/>
                <w:sz w:val="21"/>
                <w:szCs w:val="21"/>
                <w:highlight w:val="none"/>
                <w:u w:val="none"/>
                <w:lang w:val="en-US" w:eastAsia="zh-CN" w:bidi="ar-SA"/>
              </w:rPr>
            </w:pPr>
            <w:r>
              <w:rPr>
                <w:rFonts w:hint="eastAsia" w:ascii="楷体" w:hAnsi="楷体" w:eastAsia="楷体" w:cs="楷体"/>
                <w:snapToGrid/>
                <w:color w:val="auto"/>
                <w:sz w:val="21"/>
                <w:szCs w:val="21"/>
                <w:highlight w:val="none"/>
                <w:u w:val="none"/>
                <w:lang w:val="en-US" w:eastAsia="zh-CN" w:bidi="ar-SA"/>
              </w:rPr>
              <w:t>2、</w:t>
            </w:r>
            <w:r>
              <w:rPr>
                <w:rFonts w:hint="eastAsia" w:ascii="楷体" w:hAnsi="楷体" w:eastAsia="楷体" w:cs="楷体"/>
                <w:i w:val="0"/>
                <w:iCs w:val="0"/>
                <w:caps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楷体" w:hAnsi="楷体" w:eastAsia="楷体" w:cs="楷体"/>
                <w:i w:val="0"/>
                <w:iCs w:val="0"/>
                <w:caps w:val="0"/>
                <w:color w:val="auto"/>
                <w:spacing w:val="0"/>
                <w:sz w:val="21"/>
                <w:szCs w:val="21"/>
                <w:highlight w:val="none"/>
                <w:shd w:val="clear" w:color="auto" w:fill="FFFFFF"/>
                <w:lang w:val="en-US" w:eastAsia="zh-CN"/>
              </w:rPr>
              <w:t>。</w:t>
            </w:r>
          </w:p>
          <w:p w14:paraId="2D222204">
            <w:pPr>
              <w:pStyle w:val="11"/>
              <w:topLinePunct/>
              <w:spacing w:line="360" w:lineRule="auto"/>
              <w:rPr>
                <w:rFonts w:hint="eastAsia" w:ascii="Times New Roman" w:hAnsi="Times New Roman"/>
                <w:color w:val="auto"/>
                <w:sz w:val="21"/>
                <w:szCs w:val="22"/>
                <w:highlight w:val="none"/>
              </w:rPr>
            </w:pPr>
            <w:r>
              <w:rPr>
                <w:rFonts w:hint="eastAsia" w:ascii="楷体" w:hAnsi="楷体" w:eastAsia="楷体" w:cs="楷体"/>
                <w:snapToGrid/>
                <w:color w:val="auto"/>
                <w:sz w:val="21"/>
                <w:szCs w:val="21"/>
                <w:highlight w:val="none"/>
                <w:u w:val="none"/>
                <w:lang w:val="en-US" w:eastAsia="zh-CN" w:bidi="ar-SA"/>
              </w:rPr>
              <w:t>3、</w:t>
            </w:r>
            <w:r>
              <w:rPr>
                <w:rFonts w:hint="eastAsia" w:ascii="楷体" w:hAnsi="楷体" w:eastAsia="楷体" w:cs="楷体"/>
                <w:i w:val="0"/>
                <w:iCs w:val="0"/>
                <w:caps w:val="0"/>
                <w:color w:val="auto"/>
                <w:spacing w:val="0"/>
                <w:sz w:val="21"/>
                <w:szCs w:val="21"/>
                <w:highlight w:val="none"/>
                <w:shd w:val="clear" w:color="auto" w:fill="FFFFFF"/>
                <w:lang w:val="en-US" w:eastAsia="zh-CN"/>
              </w:rPr>
              <w:t>招标人在免收投标保证金的同时，应约定免交投标保证金的投标人存在3.4.4条款所列情形的后续处理措施，包括但不限于向投标人索赔等情形。</w:t>
            </w:r>
          </w:p>
        </w:tc>
      </w:tr>
      <w:tr w14:paraId="26C80DF4">
        <w:tblPrEx>
          <w:tblCellMar>
            <w:top w:w="0" w:type="dxa"/>
            <w:left w:w="108" w:type="dxa"/>
            <w:bottom w:w="0" w:type="dxa"/>
            <w:right w:w="108" w:type="dxa"/>
          </w:tblCellMar>
        </w:tblPrEx>
        <w:trPr>
          <w:trHeight w:val="906"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3325942">
            <w:pPr>
              <w:spacing w:line="360" w:lineRule="auto"/>
              <w:jc w:val="center"/>
              <w:rPr>
                <w:rFonts w:ascii="Times New Roman" w:hAnsi="Times New Roman"/>
                <w:color w:val="auto"/>
                <w:highlight w:val="none"/>
              </w:rPr>
            </w:pPr>
            <w:r>
              <w:rPr>
                <w:rFonts w:ascii="Times New Roman" w:hAnsi="Times New Roman"/>
                <w:color w:val="auto"/>
                <w:highlight w:val="none"/>
              </w:rPr>
              <w:t>3.4.4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66EE7BA">
            <w:pPr>
              <w:spacing w:line="360" w:lineRule="auto"/>
              <w:jc w:val="left"/>
              <w:rPr>
                <w:rFonts w:ascii="Times New Roman" w:hAnsi="Times New Roman"/>
                <w:color w:val="auto"/>
                <w:highlight w:val="none"/>
              </w:rPr>
            </w:pPr>
            <w:r>
              <w:rPr>
                <w:rFonts w:hint="eastAsia" w:ascii="Times New Roman" w:hAnsi="Times New Roman"/>
                <w:color w:val="auto"/>
                <w:szCs w:val="21"/>
                <w:highlight w:val="none"/>
              </w:rPr>
              <w:t>其他可以不予退还投标保证金的情形</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C8077B4">
            <w:pPr>
              <w:spacing w:line="360" w:lineRule="auto"/>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无</w:t>
            </w:r>
          </w:p>
        </w:tc>
      </w:tr>
      <w:tr w14:paraId="68490444">
        <w:tblPrEx>
          <w:tblCellMar>
            <w:top w:w="0" w:type="dxa"/>
            <w:left w:w="108" w:type="dxa"/>
            <w:bottom w:w="0" w:type="dxa"/>
            <w:right w:w="108" w:type="dxa"/>
          </w:tblCellMar>
        </w:tblPrEx>
        <w:trPr>
          <w:trHeight w:val="97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0C17481">
            <w:pPr>
              <w:spacing w:line="360" w:lineRule="auto"/>
              <w:jc w:val="center"/>
              <w:rPr>
                <w:rFonts w:ascii="Times New Roman" w:hAnsi="Times New Roman"/>
                <w:color w:val="auto"/>
                <w:highlight w:val="none"/>
              </w:rPr>
            </w:pPr>
            <w:r>
              <w:rPr>
                <w:rFonts w:ascii="Times New Roman" w:hAnsi="Times New Roman"/>
                <w:color w:val="auto"/>
                <w:highlight w:val="none"/>
              </w:rPr>
              <w:t>3.5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4AC2B60">
            <w:pPr>
              <w:spacing w:line="360" w:lineRule="auto"/>
              <w:jc w:val="left"/>
              <w:rPr>
                <w:rFonts w:ascii="Times New Roman" w:hAnsi="Times New Roman"/>
                <w:color w:val="auto"/>
                <w:szCs w:val="21"/>
                <w:highlight w:val="none"/>
              </w:rPr>
            </w:pPr>
            <w:r>
              <w:rPr>
                <w:rFonts w:hint="eastAsia" w:ascii="Times New Roman" w:hAnsi="Times New Roman"/>
                <w:color w:val="auto"/>
                <w:highlight w:val="none"/>
              </w:rPr>
              <w:t>资格审查资料</w:t>
            </w:r>
            <w:r>
              <w:rPr>
                <w:rFonts w:hint="eastAsia" w:ascii="Times New Roman" w:hAnsi="Times New Roman"/>
                <w:color w:val="auto"/>
                <w:szCs w:val="21"/>
                <w:highlight w:val="none"/>
              </w:rPr>
              <w:t>的特殊要求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1DB1D3C">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21"/>
                <w:szCs w:val="21"/>
                <w:highlight w:val="none"/>
              </w:rPr>
            </w:pPr>
            <w:r>
              <w:rPr>
                <w:rFonts w:ascii="Times New Roman" w:hAnsi="Times New Roman"/>
                <w:color w:val="auto"/>
                <w:sz w:val="32"/>
                <w:highlight w:val="none"/>
              </w:rPr>
              <w:t>□</w:t>
            </w:r>
            <w:r>
              <w:rPr>
                <w:rFonts w:hint="eastAsia" w:ascii="Times New Roman" w:hAnsi="Times New Roman"/>
                <w:color w:val="auto"/>
                <w:sz w:val="21"/>
                <w:szCs w:val="22"/>
                <w:highlight w:val="none"/>
              </w:rPr>
              <w:t>无</w:t>
            </w:r>
          </w:p>
          <w:p w14:paraId="6BC7F750">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hint="eastAsia"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有，具体要求：</w:t>
            </w:r>
          </w:p>
          <w:p w14:paraId="341CD820">
            <w:pPr>
              <w:pStyle w:val="11"/>
              <w:topLinePunct/>
              <w:spacing w:line="360" w:lineRule="auto"/>
              <w:rPr>
                <w:rFonts w:hint="eastAsia" w:ascii="Times New Roman" w:hAnsi="Times New Roman"/>
                <w:color w:val="auto"/>
                <w:sz w:val="21"/>
                <w:szCs w:val="22"/>
                <w:highlight w:val="none"/>
              </w:rPr>
            </w:pPr>
            <w:r>
              <w:rPr>
                <w:rFonts w:hint="eastAsia" w:ascii="宋体" w:hAnsi="宋体" w:cs="宋体"/>
                <w:color w:val="auto"/>
                <w:sz w:val="21"/>
                <w:szCs w:val="21"/>
                <w:highlight w:val="none"/>
              </w:rPr>
              <w:t>1、</w:t>
            </w:r>
            <w:r>
              <w:rPr>
                <w:rFonts w:hint="eastAsia" w:ascii="宋体" w:hAnsi="宋体" w:cs="宋体"/>
                <w:b/>
                <w:bCs/>
                <w:color w:val="auto"/>
                <w:sz w:val="21"/>
                <w:szCs w:val="21"/>
                <w:highlight w:val="none"/>
                <w:u w:val="single"/>
              </w:rPr>
              <w:t>本招标项目不要求提供“近年财务状况表”、“正在监理和新承接的项目情况表”、“近年发生的诉讼及仲裁情况”，不作为资格审查内容。本招标项目要求提供“投标人基本情况表”、“近年完成的类似监理项目情况表”“拟委任的主要人员汇总表”、“主要人员简历表”、“拟投入本项目的主要试验检测仪器设备表”资料，但不作为资格审查内容，上述内容资料需提供且作为评标资料。</w:t>
            </w:r>
          </w:p>
        </w:tc>
      </w:tr>
      <w:tr w14:paraId="560C44BD">
        <w:tblPrEx>
          <w:tblCellMar>
            <w:top w:w="0" w:type="dxa"/>
            <w:left w:w="108" w:type="dxa"/>
            <w:bottom w:w="0" w:type="dxa"/>
            <w:right w:w="108" w:type="dxa"/>
          </w:tblCellMar>
        </w:tblPrEx>
        <w:trPr>
          <w:trHeight w:val="852"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B1AB5CE">
            <w:pPr>
              <w:spacing w:line="360" w:lineRule="auto"/>
              <w:jc w:val="center"/>
              <w:rPr>
                <w:rFonts w:ascii="Times New Roman" w:hAnsi="Times New Roman"/>
                <w:color w:val="auto"/>
                <w:highlight w:val="none"/>
              </w:rPr>
            </w:pPr>
            <w:r>
              <w:rPr>
                <w:rFonts w:ascii="Times New Roman" w:hAnsi="Times New Roman"/>
                <w:color w:val="auto"/>
                <w:highlight w:val="none"/>
              </w:rPr>
              <w:t>3.5.3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2098CD5">
            <w:pPr>
              <w:spacing w:line="360" w:lineRule="auto"/>
              <w:jc w:val="left"/>
              <w:rPr>
                <w:rFonts w:ascii="Times New Roman" w:hAnsi="Times New Roman"/>
                <w:color w:val="auto"/>
                <w:szCs w:val="21"/>
                <w:highlight w:val="none"/>
              </w:rPr>
            </w:pPr>
            <w:r>
              <w:rPr>
                <w:rFonts w:hint="eastAsia" w:ascii="Times New Roman" w:hAnsi="Times New Roman"/>
                <w:color w:val="auto"/>
                <w:highlight w:val="none"/>
              </w:rPr>
              <w:t>近年完成的类似项目情况的时间要求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B57D718">
            <w:pPr>
              <w:spacing w:line="360" w:lineRule="auto"/>
              <w:ind w:firstLine="140" w:firstLineChars="50"/>
              <w:rPr>
                <w:rFonts w:hint="eastAsia" w:ascii="Times New Roman" w:hAnsi="Times New Roman" w:eastAsia="宋体"/>
                <w:color w:val="auto"/>
                <w:highlight w:val="none"/>
                <w:lang w:eastAsia="zh-CN"/>
              </w:rPr>
            </w:pPr>
            <w:r>
              <w:rPr>
                <w:rFonts w:hint="eastAsia" w:ascii="Times New Roman" w:hAnsi="Times New Roman" w:eastAsia="黑体"/>
                <w:color w:val="auto"/>
                <w:sz w:val="28"/>
                <w:highlight w:val="none"/>
                <w:u w:val="single"/>
                <w:lang w:val="en-US" w:eastAsia="zh-CN"/>
              </w:rPr>
              <w:t>/</w:t>
            </w:r>
          </w:p>
        </w:tc>
      </w:tr>
      <w:tr w14:paraId="73356EA2">
        <w:tblPrEx>
          <w:tblCellMar>
            <w:top w:w="0" w:type="dxa"/>
            <w:left w:w="108" w:type="dxa"/>
            <w:bottom w:w="0" w:type="dxa"/>
            <w:right w:w="108" w:type="dxa"/>
          </w:tblCellMar>
        </w:tblPrEx>
        <w:trPr>
          <w:trHeight w:val="473"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9A63BDD">
            <w:pPr>
              <w:spacing w:line="360" w:lineRule="auto"/>
              <w:jc w:val="center"/>
              <w:rPr>
                <w:rFonts w:ascii="Times New Roman" w:hAnsi="Times New Roman"/>
                <w:color w:val="auto"/>
                <w:highlight w:val="none"/>
              </w:rPr>
            </w:pPr>
            <w:r>
              <w:rPr>
                <w:rFonts w:ascii="Times New Roman" w:hAnsi="Times New Roman"/>
                <w:color w:val="auto"/>
                <w:highlight w:val="none"/>
              </w:rPr>
              <w:t>3.6.1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BCE2C53">
            <w:pPr>
              <w:spacing w:line="360" w:lineRule="auto"/>
              <w:jc w:val="both"/>
              <w:rPr>
                <w:rFonts w:ascii="Times New Roman" w:hAnsi="Times New Roman"/>
                <w:color w:val="auto"/>
                <w:highlight w:val="none"/>
              </w:rPr>
            </w:pPr>
            <w:r>
              <w:rPr>
                <w:rFonts w:hint="eastAsia" w:ascii="Times New Roman" w:hAnsi="Times New Roman"/>
                <w:color w:val="auto"/>
                <w:highlight w:val="none"/>
              </w:rPr>
              <w:t>是否允许递交备选投标方案</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C2FF86B">
            <w:pPr>
              <w:pStyle w:val="11"/>
              <w:keepNext w:val="0"/>
              <w:keepLines w:val="0"/>
              <w:pageBreakBefore w:val="0"/>
              <w:widowControl w:val="0"/>
              <w:kinsoku/>
              <w:wordWrap/>
              <w:overflowPunct/>
              <w:topLinePunct/>
              <w:autoSpaceDE/>
              <w:autoSpaceDN/>
              <w:bidi w:val="0"/>
              <w:adjustRightInd/>
              <w:snapToGrid/>
              <w:spacing w:after="0" w:line="440" w:lineRule="exact"/>
              <w:textAlignment w:val="auto"/>
              <w:rPr>
                <w:rFonts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不允许</w:t>
            </w:r>
          </w:p>
          <w:p w14:paraId="4B17CEB1">
            <w:pPr>
              <w:keepNext w:val="0"/>
              <w:keepLines w:val="0"/>
              <w:pageBreakBefore w:val="0"/>
              <w:widowControl w:val="0"/>
              <w:kinsoku/>
              <w:wordWrap/>
              <w:overflowPunct/>
              <w:autoSpaceDE/>
              <w:autoSpaceDN/>
              <w:bidi w:val="0"/>
              <w:adjustRightInd/>
              <w:snapToGrid/>
              <w:spacing w:line="440" w:lineRule="exact"/>
              <w:textAlignment w:val="auto"/>
              <w:rPr>
                <w:rFonts w:ascii="Times New Roman" w:hAnsi="Times New Roman"/>
                <w:color w:val="auto"/>
                <w:highlight w:val="none"/>
              </w:rPr>
            </w:pPr>
            <w:r>
              <w:rPr>
                <w:rFonts w:ascii="Times New Roman" w:hAnsi="Times New Roman"/>
                <w:color w:val="auto"/>
                <w:sz w:val="32"/>
                <w:highlight w:val="none"/>
              </w:rPr>
              <w:t>□</w:t>
            </w:r>
            <w:r>
              <w:rPr>
                <w:rFonts w:hint="eastAsia" w:ascii="Times New Roman" w:hAnsi="Times New Roman"/>
                <w:color w:val="auto"/>
                <w:highlight w:val="none"/>
              </w:rPr>
              <w:t>允许</w:t>
            </w:r>
          </w:p>
        </w:tc>
      </w:tr>
      <w:tr w14:paraId="107286E4">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4BD6C5C6">
            <w:pPr>
              <w:spacing w:line="360" w:lineRule="auto"/>
              <w:jc w:val="center"/>
              <w:rPr>
                <w:rFonts w:hint="default" w:ascii="Times New Roman" w:hAnsi="Times New Roman" w:eastAsia="宋体"/>
                <w:color w:val="auto"/>
                <w:highlight w:val="none"/>
                <w:lang w:val="en-US" w:eastAsia="zh-CN"/>
              </w:rPr>
            </w:pPr>
            <w:r>
              <w:rPr>
                <w:rFonts w:ascii="Times New Roman" w:hAnsi="Times New Roman"/>
                <w:color w:val="auto"/>
                <w:highlight w:val="none"/>
              </w:rPr>
              <w:t>3.7.3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7D6FC57">
            <w:pPr>
              <w:spacing w:line="360" w:lineRule="auto"/>
              <w:jc w:val="both"/>
              <w:rPr>
                <w:rFonts w:ascii="Times New Roman" w:hAnsi="Times New Roman"/>
                <w:color w:val="auto"/>
                <w:highlight w:val="none"/>
              </w:rPr>
            </w:pPr>
            <w:r>
              <w:rPr>
                <w:rFonts w:hint="eastAsia" w:ascii="Times New Roman" w:hAnsi="Times New Roman"/>
                <w:color w:val="auto"/>
                <w:highlight w:val="none"/>
              </w:rPr>
              <w:t>投标文件签字或盖章要求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30EC565">
            <w:pPr>
              <w:pStyle w:val="11"/>
              <w:topLinePunct/>
              <w:spacing w:line="360" w:lineRule="auto"/>
              <w:rPr>
                <w:rFonts w:hint="default" w:ascii="Times New Roman" w:hAnsi="Times New Roman" w:eastAsia="Times New Roman" w:cs="Times New Roman"/>
                <w:color w:val="auto"/>
                <w:spacing w:val="-2"/>
                <w:sz w:val="21"/>
                <w:szCs w:val="21"/>
                <w:highlight w:val="none"/>
                <w:lang w:val="en-US" w:eastAsia="zh-CN"/>
              </w:rPr>
            </w:pP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w:t>
            </w:r>
            <w:r>
              <w:rPr>
                <w:rFonts w:hint="eastAsia" w:ascii="Times New Roman" w:hAnsi="Times New Roman" w:eastAsia="Times New Roman" w:cs="Times New Roman"/>
                <w:b/>
                <w:bCs/>
                <w:color w:val="auto"/>
                <w:spacing w:val="-2"/>
                <w:sz w:val="21"/>
                <w:szCs w:val="21"/>
                <w:highlight w:val="none"/>
                <w:u w:val="single"/>
              </w:rPr>
              <w:t>对投标文件</w:t>
            </w:r>
            <w:r>
              <w:rPr>
                <w:rFonts w:hint="eastAsia" w:ascii="Times New Roman" w:hAnsi="Times New Roman" w:eastAsia="Times New Roman" w:cs="Times New Roman"/>
                <w:color w:val="auto"/>
                <w:spacing w:val="-2"/>
                <w:sz w:val="21"/>
                <w:szCs w:val="21"/>
                <w:highlight w:val="none"/>
              </w:rPr>
              <w:t>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Times New Roman" w:hAnsi="Times New Roman" w:eastAsia="Times New Roman" w:cs="Times New Roman"/>
                <w:b/>
                <w:bCs/>
                <w:color w:val="auto"/>
                <w:spacing w:val="-2"/>
                <w:sz w:val="21"/>
                <w:szCs w:val="21"/>
                <w:highlight w:val="none"/>
                <w:u w:val="single"/>
                <w:lang w:eastAsia="zh-CN"/>
              </w:rPr>
              <w:t>注：投标文件电子文档需要投标人单位盖章的材料，投标人加盖电子印章即可，不得将投标人未对电子文档加盖实物印章作为否决投标的情形。</w:t>
            </w:r>
          </w:p>
        </w:tc>
      </w:tr>
      <w:tr w14:paraId="6E7637FC">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2176787A">
            <w:pPr>
              <w:spacing w:line="360" w:lineRule="auto"/>
              <w:jc w:val="center"/>
              <w:rPr>
                <w:rFonts w:ascii="Times New Roman" w:hAnsi="Times New Roman"/>
                <w:color w:val="auto"/>
                <w:highlight w:val="none"/>
              </w:rPr>
            </w:pPr>
            <w:r>
              <w:rPr>
                <w:rFonts w:ascii="Times New Roman" w:hAnsi="Times New Roman"/>
                <w:color w:val="auto"/>
                <w:highlight w:val="none"/>
              </w:rPr>
              <w:t>4.2.1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2D98EC0">
            <w:pPr>
              <w:spacing w:line="360" w:lineRule="auto"/>
              <w:jc w:val="both"/>
              <w:rPr>
                <w:rFonts w:ascii="Times New Roman" w:hAnsi="Times New Roman"/>
                <w:color w:val="auto"/>
                <w:highlight w:val="none"/>
              </w:rPr>
            </w:pPr>
            <w:r>
              <w:rPr>
                <w:rFonts w:hint="eastAsia" w:ascii="Times New Roman" w:hAnsi="Times New Roman"/>
                <w:color w:val="auto"/>
                <w:highlight w:val="none"/>
              </w:rPr>
              <w:t>投标截止时间</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74D2DF7">
            <w:pPr>
              <w:spacing w:line="360" w:lineRule="auto"/>
              <w:rPr>
                <w:rFonts w:hint="eastAsia" w:ascii="Times New Roman" w:hAnsi="Times New Roman"/>
                <w:color w:val="auto"/>
                <w:highlight w:val="none"/>
              </w:rPr>
            </w:pPr>
            <w:r>
              <w:rPr>
                <w:rFonts w:hint="eastAsia" w:ascii="宋体" w:hAnsi="宋体" w:cs="宋体"/>
                <w:color w:val="auto"/>
                <w:sz w:val="21"/>
                <w:szCs w:val="21"/>
                <w:highlight w:val="none"/>
                <w:u w:val="single"/>
              </w:rPr>
              <w:t>详见招标公告（详见广州交易集团有限公司（广州公共资源交易中心）网站信息）。</w:t>
            </w:r>
          </w:p>
        </w:tc>
      </w:tr>
      <w:tr w14:paraId="47B2E893">
        <w:tblPrEx>
          <w:tblCellMar>
            <w:top w:w="0" w:type="dxa"/>
            <w:left w:w="108" w:type="dxa"/>
            <w:bottom w:w="0" w:type="dxa"/>
            <w:right w:w="108" w:type="dxa"/>
          </w:tblCellMar>
        </w:tblPrEx>
        <w:trPr>
          <w:trHeight w:val="100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1CB187F">
            <w:pPr>
              <w:spacing w:line="360" w:lineRule="auto"/>
              <w:jc w:val="center"/>
              <w:rPr>
                <w:rFonts w:hint="default" w:ascii="Times New Roman" w:hAnsi="Times New Roman"/>
                <w:color w:val="auto"/>
                <w:highlight w:val="none"/>
              </w:rPr>
            </w:pPr>
            <w:r>
              <w:rPr>
                <w:rFonts w:ascii="Times New Roman" w:hAnsi="Times New Roman"/>
                <w:color w:val="auto"/>
                <w:highlight w:val="none"/>
              </w:rPr>
              <w:t>5.1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3DB401D">
            <w:pPr>
              <w:spacing w:line="360" w:lineRule="auto"/>
              <w:jc w:val="both"/>
              <w:rPr>
                <w:rFonts w:ascii="Times New Roman" w:hAnsi="Times New Roman"/>
                <w:color w:val="auto"/>
                <w:highlight w:val="none"/>
              </w:rPr>
            </w:pPr>
            <w:r>
              <w:rPr>
                <w:rFonts w:hint="eastAsia" w:ascii="Times New Roman" w:hAnsi="Times New Roman"/>
                <w:color w:val="auto"/>
                <w:highlight w:val="none"/>
              </w:rPr>
              <w:t>开标时间和地点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C8809D9">
            <w:pPr>
              <w:spacing w:line="360" w:lineRule="auto"/>
              <w:jc w:val="both"/>
              <w:rPr>
                <w:rFonts w:hint="eastAsia"/>
                <w:color w:val="auto"/>
                <w:highlight w:val="none"/>
                <w:lang w:eastAsia="zh-CN"/>
              </w:rPr>
            </w:pPr>
            <w:r>
              <w:rPr>
                <w:rFonts w:hint="eastAsia"/>
                <w:color w:val="auto"/>
                <w:highlight w:val="none"/>
                <w:lang w:val="en-US" w:eastAsia="zh-CN"/>
              </w:rPr>
              <w:t>1.</w:t>
            </w:r>
            <w:r>
              <w:rPr>
                <w:rFonts w:hint="eastAsia"/>
                <w:color w:val="auto"/>
                <w:highlight w:val="none"/>
              </w:rPr>
              <w:t>开标时间：</w:t>
            </w:r>
            <w:r>
              <w:rPr>
                <w:rFonts w:hint="eastAsia"/>
                <w:color w:val="auto"/>
                <w:highlight w:val="none"/>
                <w:lang w:eastAsia="zh-CN"/>
              </w:rPr>
              <w:t>同投标截止时间</w:t>
            </w:r>
          </w:p>
          <w:p w14:paraId="20F579BC">
            <w:pPr>
              <w:spacing w:line="360" w:lineRule="auto"/>
              <w:jc w:val="both"/>
              <w:rPr>
                <w:rFonts w:hint="eastAsia"/>
                <w:color w:val="auto"/>
                <w:highlight w:val="none"/>
              </w:rPr>
            </w:pPr>
            <w:r>
              <w:rPr>
                <w:rFonts w:hint="eastAsia"/>
                <w:color w:val="auto"/>
                <w:highlight w:val="none"/>
                <w:lang w:val="en-US" w:eastAsia="zh-CN"/>
              </w:rPr>
              <w:t>2.</w:t>
            </w:r>
            <w:r>
              <w:rPr>
                <w:rFonts w:hint="eastAsia"/>
                <w:color w:val="auto"/>
                <w:highlight w:val="none"/>
              </w:rPr>
              <w:t>开标地点：</w:t>
            </w:r>
            <w:r>
              <w:rPr>
                <w:rFonts w:hint="eastAsia"/>
                <w:color w:val="auto"/>
                <w:highlight w:val="none"/>
                <w:lang w:eastAsia="zh-CN"/>
              </w:rPr>
              <w:t>广州交易集团有限公司（广州公共资源交易中心）</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开标室</w:t>
            </w:r>
          </w:p>
          <w:p w14:paraId="4AC8BF54">
            <w:pPr>
              <w:spacing w:before="120" w:beforeLines="50" w:line="360" w:lineRule="auto"/>
              <w:contextualSpacing/>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递交投标文件备用光盘</w:t>
            </w:r>
            <w:r>
              <w:rPr>
                <w:rFonts w:hint="eastAsia" w:ascii="宋体" w:hAnsi="宋体" w:eastAsia="宋体" w:cs="宋体"/>
                <w:color w:val="auto"/>
                <w:sz w:val="21"/>
                <w:szCs w:val="18"/>
                <w:highlight w:val="none"/>
              </w:rPr>
              <w:t>时间：</w:t>
            </w:r>
            <w:r>
              <w:rPr>
                <w:rFonts w:hint="eastAsia" w:ascii="宋体" w:hAnsi="宋体" w:eastAsia="宋体" w:cs="宋体"/>
                <w:color w:val="auto"/>
                <w:sz w:val="21"/>
                <w:szCs w:val="18"/>
                <w:highlight w:val="none"/>
                <w:lang w:val="en-US" w:eastAsia="zh-CN"/>
              </w:rPr>
              <w:t>2026</w:t>
            </w:r>
            <w:r>
              <w:rPr>
                <w:rFonts w:hint="eastAsia" w:ascii="宋体" w:hAnsi="宋体" w:eastAsia="宋体" w:cs="宋体"/>
                <w:color w:val="auto"/>
                <w:sz w:val="21"/>
                <w:szCs w:val="18"/>
                <w:highlight w:val="none"/>
              </w:rPr>
              <w:t>年</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月</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日</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时</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分至</w:t>
            </w:r>
            <w:r>
              <w:rPr>
                <w:rFonts w:hint="eastAsia" w:ascii="宋体" w:hAnsi="宋体" w:eastAsia="宋体" w:cs="宋体"/>
                <w:color w:val="auto"/>
                <w:sz w:val="21"/>
                <w:szCs w:val="18"/>
                <w:highlight w:val="none"/>
                <w:lang w:val="en-US" w:eastAsia="zh-CN"/>
              </w:rPr>
              <w:t>2026</w:t>
            </w:r>
            <w:r>
              <w:rPr>
                <w:rFonts w:hint="eastAsia" w:ascii="宋体" w:hAnsi="宋体" w:eastAsia="宋体" w:cs="宋体"/>
                <w:color w:val="auto"/>
                <w:sz w:val="21"/>
                <w:szCs w:val="18"/>
                <w:highlight w:val="none"/>
              </w:rPr>
              <w:t>年</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月</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日</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时</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分；递交地点：</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第</w:t>
            </w:r>
            <w:r>
              <w:rPr>
                <w:rFonts w:hint="eastAsia" w:ascii="宋体" w:hAnsi="宋体" w:eastAsia="宋体" w:cs="宋体"/>
                <w:color w:val="auto"/>
                <w:sz w:val="21"/>
                <w:szCs w:val="21"/>
                <w:highlight w:val="none"/>
                <w:u w:val="single"/>
                <w:lang w:val="en-US" w:eastAsia="zh-CN"/>
              </w:rPr>
              <w:t xml:space="preserve">  开标室</w:t>
            </w:r>
            <w:r>
              <w:rPr>
                <w:rFonts w:hint="eastAsia" w:ascii="宋体" w:hAnsi="宋体" w:eastAsia="宋体" w:cs="宋体"/>
                <w:color w:val="auto"/>
                <w:sz w:val="21"/>
                <w:szCs w:val="18"/>
                <w:highlight w:val="none"/>
              </w:rPr>
              <w:t>。(建议安排在投标文件截止时间前 15 分钟至投标文件截止时间）</w:t>
            </w:r>
          </w:p>
          <w:p w14:paraId="6BC06AD9">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5B821780">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07C36FB">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4DE88F76">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FC3EF37">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42375A43">
            <w:pPr>
              <w:spacing w:before="156"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6E8FAF23">
            <w:pPr>
              <w:spacing w:before="156" w:beforeLines="50" w:line="360" w:lineRule="auto"/>
              <w:contextualSpacing/>
              <w:rPr>
                <w:rFonts w:ascii="Times New Roman" w:hAnsi="Times New Roman"/>
                <w:color w:val="auto"/>
                <w:sz w:val="21"/>
                <w:szCs w:val="21"/>
                <w:highlight w:val="none"/>
              </w:rPr>
            </w:pPr>
            <w:r>
              <w:rPr>
                <w:rFonts w:hint="eastAsia" w:ascii="宋体" w:hAnsi="宋体" w:eastAsia="宋体" w:cs="宋体"/>
                <w:bCs w:val="0"/>
                <w:color w:val="auto"/>
                <w:kern w:val="2"/>
                <w:sz w:val="21"/>
                <w:szCs w:val="21"/>
                <w:highlight w:val="none"/>
                <w:lang w:val="en-US" w:eastAsia="zh-CN"/>
              </w:rPr>
              <w:t>6.</w:t>
            </w: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6C72F90F">
            <w:pPr>
              <w:pStyle w:val="8"/>
              <w:spacing w:line="360" w:lineRule="auto"/>
              <w:ind w:left="0" w:leftChars="0" w:firstLine="0" w:firstLineChars="0"/>
              <w:rPr>
                <w:color w:val="auto"/>
                <w:highlight w:val="none"/>
              </w:rPr>
            </w:pPr>
            <w:r>
              <w:rPr>
                <w:rFonts w:hint="eastAsia"/>
                <w:color w:val="auto"/>
                <w:sz w:val="21"/>
                <w:szCs w:val="21"/>
                <w:highlight w:val="none"/>
                <w:lang w:val="en-US" w:eastAsia="zh-CN"/>
              </w:rPr>
              <w:t>7.</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1BEFE186">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800A293">
            <w:pPr>
              <w:spacing w:line="360" w:lineRule="auto"/>
              <w:jc w:val="center"/>
              <w:rPr>
                <w:rFonts w:ascii="Times New Roman" w:hAnsi="Times New Roman"/>
                <w:color w:val="auto"/>
                <w:highlight w:val="none"/>
              </w:rPr>
            </w:pPr>
            <w:r>
              <w:rPr>
                <w:rFonts w:ascii="Times New Roman" w:hAnsi="Times New Roman"/>
                <w:color w:val="auto"/>
                <w:highlight w:val="none"/>
              </w:rPr>
              <w:t>6.1.1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9A10288">
            <w:pPr>
              <w:spacing w:line="360" w:lineRule="auto"/>
              <w:jc w:val="both"/>
              <w:rPr>
                <w:rFonts w:ascii="Times New Roman" w:hAnsi="Times New Roman"/>
                <w:color w:val="auto"/>
                <w:highlight w:val="none"/>
              </w:rPr>
            </w:pPr>
            <w:r>
              <w:rPr>
                <w:rFonts w:hint="eastAsia" w:ascii="Times New Roman" w:hAnsi="Times New Roman"/>
                <w:color w:val="auto"/>
                <w:highlight w:val="none"/>
              </w:rPr>
              <w:t>评标委员会的组建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CE0C78E">
            <w:pPr>
              <w:spacing w:line="360" w:lineRule="auto"/>
              <w:rPr>
                <w:rFonts w:ascii="Times New Roman" w:hAnsi="Times New Roman"/>
                <w:color w:val="auto"/>
                <w:highlight w:val="none"/>
              </w:rPr>
            </w:pPr>
            <w:r>
              <w:rPr>
                <w:rFonts w:hint="eastAsia" w:ascii="Times New Roman" w:hAnsi="Times New Roman"/>
                <w:color w:val="auto"/>
                <w:highlight w:val="none"/>
              </w:rPr>
              <w:t>评标委员会构成：</w:t>
            </w:r>
            <w:r>
              <w:rPr>
                <w:rFonts w:hint="eastAsia" w:ascii="宋体" w:hAnsi="宋体" w:cs="宋体"/>
                <w:color w:val="auto"/>
                <w:sz w:val="21"/>
                <w:szCs w:val="21"/>
                <w:highlight w:val="none"/>
              </w:rPr>
              <w:t>由招标人依法组建</w:t>
            </w:r>
          </w:p>
          <w:p w14:paraId="4E448928">
            <w:pPr>
              <w:spacing w:line="360" w:lineRule="auto"/>
              <w:rPr>
                <w:rFonts w:ascii="Times New Roman" w:hAnsi="Times New Roman"/>
                <w:color w:val="auto"/>
                <w:highlight w:val="none"/>
              </w:rPr>
            </w:pPr>
            <w:r>
              <w:rPr>
                <w:rFonts w:hint="eastAsia" w:ascii="Times New Roman" w:hAnsi="Times New Roman"/>
                <w:color w:val="auto"/>
                <w:highlight w:val="none"/>
              </w:rPr>
              <w:t>其中招标人代表</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2</w:t>
            </w:r>
            <w:r>
              <w:rPr>
                <w:rFonts w:ascii="Times New Roman" w:hAnsi="Times New Roman"/>
                <w:color w:val="auto"/>
                <w:highlight w:val="none"/>
                <w:u w:val="single"/>
              </w:rPr>
              <w:t xml:space="preserve"> </w:t>
            </w:r>
            <w:r>
              <w:rPr>
                <w:rFonts w:hint="eastAsia" w:ascii="Times New Roman" w:hAnsi="Times New Roman"/>
                <w:color w:val="auto"/>
                <w:highlight w:val="none"/>
              </w:rPr>
              <w:t>人，专家</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5</w:t>
            </w:r>
            <w:r>
              <w:rPr>
                <w:rFonts w:ascii="Times New Roman" w:hAnsi="Times New Roman"/>
                <w:color w:val="auto"/>
                <w:highlight w:val="none"/>
                <w:u w:val="single"/>
              </w:rPr>
              <w:t xml:space="preserve">  </w:t>
            </w:r>
            <w:r>
              <w:rPr>
                <w:rFonts w:hint="eastAsia" w:ascii="Times New Roman" w:hAnsi="Times New Roman"/>
                <w:color w:val="auto"/>
                <w:highlight w:val="none"/>
              </w:rPr>
              <w:t>人；</w:t>
            </w:r>
          </w:p>
          <w:p w14:paraId="41F2E50A">
            <w:pPr>
              <w:spacing w:line="360" w:lineRule="auto"/>
              <w:rPr>
                <w:rFonts w:ascii="Times New Roman" w:hAnsi="Times New Roman"/>
                <w:color w:val="auto"/>
                <w:highlight w:val="none"/>
              </w:rPr>
            </w:pPr>
            <w:r>
              <w:rPr>
                <w:rFonts w:hint="eastAsia" w:ascii="Times New Roman" w:hAnsi="Times New Roman"/>
                <w:color w:val="auto"/>
                <w:highlight w:val="none"/>
              </w:rPr>
              <w:t>评标专家确定方式：广东省综合评标评审专家库中随机抽取</w:t>
            </w:r>
          </w:p>
        </w:tc>
      </w:tr>
      <w:tr w14:paraId="1990C97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6567F1C">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6.2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BA5477F">
            <w:pPr>
              <w:spacing w:line="360" w:lineRule="auto"/>
              <w:jc w:val="both"/>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定标委员会的组建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709AC12">
            <w:pPr>
              <w:spacing w:line="360" w:lineRule="auto"/>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w:t>
            </w:r>
          </w:p>
        </w:tc>
      </w:tr>
      <w:tr w14:paraId="309EA49E">
        <w:tblPrEx>
          <w:tblCellMar>
            <w:top w:w="0" w:type="dxa"/>
            <w:left w:w="108" w:type="dxa"/>
            <w:bottom w:w="0" w:type="dxa"/>
            <w:right w:w="108" w:type="dxa"/>
          </w:tblCellMar>
        </w:tblPrEx>
        <w:trPr>
          <w:trHeight w:val="723"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2AFC9EF">
            <w:pPr>
              <w:spacing w:line="360" w:lineRule="auto"/>
              <w:jc w:val="center"/>
              <w:rPr>
                <w:rFonts w:ascii="Times New Roman" w:hAnsi="Times New Roman"/>
                <w:color w:val="auto"/>
                <w:highlight w:val="none"/>
              </w:rPr>
            </w:pPr>
            <w:r>
              <w:rPr>
                <w:rFonts w:ascii="Times New Roman" w:hAnsi="Times New Roman"/>
                <w:color w:val="auto"/>
                <w:highlight w:val="none"/>
              </w:rPr>
              <w:t>6.3.2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8DBF20A">
            <w:pPr>
              <w:spacing w:line="360" w:lineRule="auto"/>
              <w:jc w:val="left"/>
              <w:rPr>
                <w:rFonts w:ascii="Times New Roman" w:hAnsi="Times New Roman"/>
                <w:color w:val="auto"/>
                <w:highlight w:val="none"/>
              </w:rPr>
            </w:pPr>
            <w:r>
              <w:rPr>
                <w:rFonts w:hint="eastAsia" w:ascii="Times New Roman" w:hAnsi="Times New Roman"/>
                <w:color w:val="auto"/>
                <w:highlight w:val="none"/>
              </w:rPr>
              <w:t>评标委员会推荐中标候选人的人数</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31ABE8C">
            <w:pPr>
              <w:spacing w:line="360" w:lineRule="auto"/>
              <w:rPr>
                <w:rFonts w:ascii="Times New Roman" w:hAnsi="Times New Roman"/>
                <w:color w:val="auto"/>
                <w:highlight w:val="none"/>
              </w:rPr>
            </w:pPr>
            <w:r>
              <w:rPr>
                <w:rFonts w:hint="eastAsia" w:ascii="宋体" w:hAnsi="宋体"/>
                <w:color w:val="auto"/>
                <w:sz w:val="21"/>
                <w:szCs w:val="21"/>
                <w:highlight w:val="none"/>
              </w:rPr>
              <w:t>推荐3名中标候选人。</w:t>
            </w:r>
          </w:p>
        </w:tc>
      </w:tr>
      <w:tr w14:paraId="7940197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993393A">
            <w:pPr>
              <w:spacing w:line="360" w:lineRule="auto"/>
              <w:jc w:val="center"/>
              <w:rPr>
                <w:rFonts w:ascii="Times New Roman" w:hAnsi="Times New Roman"/>
                <w:color w:val="auto"/>
                <w:highlight w:val="none"/>
              </w:rPr>
            </w:pPr>
            <w:r>
              <w:rPr>
                <w:rFonts w:ascii="Times New Roman" w:hAnsi="Times New Roman"/>
                <w:color w:val="auto"/>
                <w:highlight w:val="none"/>
              </w:rPr>
              <w:t>7.1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5E4C4A2">
            <w:pPr>
              <w:spacing w:line="360" w:lineRule="auto"/>
              <w:jc w:val="left"/>
              <w:rPr>
                <w:rFonts w:ascii="Times New Roman" w:hAnsi="Times New Roman"/>
                <w:color w:val="auto"/>
                <w:highlight w:val="none"/>
              </w:rPr>
            </w:pPr>
            <w:r>
              <w:rPr>
                <w:rFonts w:hint="eastAsia" w:ascii="Times New Roman" w:hAnsi="Times New Roman"/>
                <w:color w:val="auto"/>
                <w:highlight w:val="none"/>
              </w:rPr>
              <w:t>中标候选人公示媒介及期限</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40D417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Times New Roman" w:hAnsi="Times New Roman"/>
                <w:color w:val="auto"/>
                <w:highlight w:val="none"/>
              </w:rPr>
              <w:t>公示媒介：</w:t>
            </w:r>
            <w:r>
              <w:rPr>
                <w:rFonts w:hint="eastAsia"/>
                <w:color w:val="auto"/>
                <w:sz w:val="21"/>
                <w:szCs w:val="21"/>
                <w:highlight w:val="none"/>
              </w:rPr>
              <w:t>中国招标投标公共服务平台、广东省招标投标监管网、广州交易集团有限公司（广州公共资源交易中心）网。</w:t>
            </w:r>
          </w:p>
          <w:p w14:paraId="6A04F980">
            <w:pPr>
              <w:spacing w:line="360" w:lineRule="auto"/>
              <w:rPr>
                <w:rFonts w:hint="default" w:ascii="Times New Roman" w:hAnsi="Times New Roman" w:eastAsia="宋体"/>
                <w:color w:val="auto"/>
                <w:sz w:val="32"/>
                <w:highlight w:val="none"/>
                <w:lang w:val="en-US" w:eastAsia="zh-CN"/>
              </w:rPr>
            </w:pPr>
            <w:r>
              <w:rPr>
                <w:rFonts w:hint="eastAsia" w:ascii="Times New Roman" w:hAnsi="Times New Roman"/>
                <w:color w:val="auto"/>
                <w:highlight w:val="none"/>
              </w:rPr>
              <w:t>公示期限：</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3</w:t>
            </w:r>
            <w:r>
              <w:rPr>
                <w:rFonts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lang w:eastAsia="zh-CN"/>
              </w:rPr>
              <w:t>（不少于</w:t>
            </w:r>
            <w:r>
              <w:rPr>
                <w:rFonts w:hint="eastAsia" w:ascii="Times New Roman" w:hAnsi="Times New Roman"/>
                <w:color w:val="auto"/>
                <w:highlight w:val="none"/>
                <w:lang w:val="en-US" w:eastAsia="zh-CN"/>
              </w:rPr>
              <w:t>3日，最后一天应为工作日）</w:t>
            </w:r>
          </w:p>
        </w:tc>
      </w:tr>
      <w:tr w14:paraId="4C05153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B4D086A">
            <w:pPr>
              <w:spacing w:line="360" w:lineRule="auto"/>
              <w:jc w:val="center"/>
              <w:rPr>
                <w:rFonts w:ascii="Times New Roman" w:hAnsi="Times New Roman"/>
                <w:color w:val="auto"/>
                <w:highlight w:val="none"/>
              </w:rPr>
            </w:pPr>
            <w:r>
              <w:rPr>
                <w:rFonts w:ascii="Times New Roman" w:hAnsi="Times New Roman"/>
                <w:color w:val="auto"/>
                <w:highlight w:val="none"/>
              </w:rPr>
              <w:t>7.4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2852210">
            <w:pPr>
              <w:spacing w:line="360" w:lineRule="auto"/>
              <w:jc w:val="left"/>
              <w:rPr>
                <w:rFonts w:ascii="Times New Roman" w:hAnsi="Times New Roman"/>
                <w:color w:val="auto"/>
                <w:highlight w:val="none"/>
              </w:rPr>
            </w:pPr>
            <w:r>
              <w:rPr>
                <w:rFonts w:hint="eastAsia" w:ascii="Times New Roman" w:hAnsi="Times New Roman"/>
                <w:color w:val="auto"/>
                <w:highlight w:val="none"/>
              </w:rPr>
              <w:t>是否授权评标委员会确定中标人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184571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highlight w:val="none"/>
              </w:rPr>
            </w:pPr>
            <w:r>
              <w:rPr>
                <w:rFonts w:ascii="Times New Roman" w:hAnsi="Times New Roman"/>
                <w:color w:val="auto"/>
                <w:sz w:val="32"/>
                <w:highlight w:val="none"/>
              </w:rPr>
              <w:sym w:font="Wingdings 2" w:char="00A3"/>
            </w:r>
            <w:r>
              <w:rPr>
                <w:rFonts w:hint="eastAsia" w:ascii="Times New Roman" w:hAnsi="Times New Roman"/>
                <w:color w:val="auto"/>
                <w:highlight w:val="none"/>
              </w:rPr>
              <w:t>是</w:t>
            </w:r>
          </w:p>
          <w:p w14:paraId="7B95F0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olor w:val="auto"/>
                <w:highlight w:val="none"/>
              </w:rPr>
            </w:pPr>
            <w:r>
              <w:rPr>
                <w:rFonts w:ascii="Times New Roman" w:hAnsi="Times New Roman"/>
                <w:color w:val="auto"/>
                <w:sz w:val="32"/>
                <w:highlight w:val="none"/>
              </w:rPr>
              <w:sym w:font="Wingdings 2" w:char="0052"/>
            </w:r>
            <w:r>
              <w:rPr>
                <w:rFonts w:hint="eastAsia" w:ascii="Times New Roman" w:hAnsi="Times New Roman"/>
                <w:color w:val="auto"/>
                <w:highlight w:val="none"/>
              </w:rPr>
              <w:t>否</w:t>
            </w:r>
          </w:p>
          <w:p w14:paraId="30E5AF04">
            <w:pPr>
              <w:pStyle w:val="62"/>
              <w:keepNext w:val="0"/>
              <w:keepLines w:val="0"/>
              <w:pageBreakBefore w:val="0"/>
              <w:widowControl w:val="0"/>
              <w:kinsoku/>
              <w:wordWrap/>
              <w:overflowPunct/>
              <w:topLinePunct w:val="0"/>
              <w:bidi w:val="0"/>
              <w:adjustRightInd/>
              <w:snapToGrid/>
              <w:spacing w:line="360" w:lineRule="auto"/>
              <w:jc w:val="both"/>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（1）由招标人根据评标报告，最终审定中标人。</w:t>
            </w:r>
          </w:p>
          <w:p w14:paraId="3F35CCAD">
            <w:pPr>
              <w:pStyle w:val="62"/>
              <w:keepNext w:val="0"/>
              <w:keepLines w:val="0"/>
              <w:pageBreakBefore w:val="0"/>
              <w:widowControl w:val="0"/>
              <w:kinsoku/>
              <w:wordWrap/>
              <w:overflowPunct/>
              <w:topLinePunct w:val="0"/>
              <w:bidi w:val="0"/>
              <w:adjustRightInd/>
              <w:snapToGrid/>
              <w:spacing w:line="360" w:lineRule="auto"/>
              <w:jc w:val="both"/>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（2）依法必须进行公开招标的项目，招标人应当确定排名第一的中标候选人为中标人。</w:t>
            </w:r>
          </w:p>
          <w:p w14:paraId="235A2D1C">
            <w:pPr>
              <w:pStyle w:val="28"/>
              <w:keepNext w:val="0"/>
              <w:keepLines w:val="0"/>
              <w:pageBreakBefore w:val="0"/>
              <w:widowControl w:val="0"/>
              <w:kinsoku/>
              <w:wordWrap/>
              <w:overflowPunct/>
              <w:topLinePunct w:val="0"/>
              <w:bidi w:val="0"/>
              <w:adjustRightInd/>
              <w:snapToGrid/>
              <w:spacing w:line="360" w:lineRule="auto"/>
              <w:ind w:firstLine="0" w:firstLineChars="0"/>
              <w:textAlignment w:val="auto"/>
              <w:rPr>
                <w:color w:val="auto"/>
                <w:highlight w:val="none"/>
              </w:rPr>
            </w:pPr>
            <w:r>
              <w:rPr>
                <w:rFonts w:hint="eastAsia" w:ascii="Times New Roman" w:hAnsi="Times New Roman" w:eastAsia="宋体" w:cs="Times New Roman"/>
                <w:color w:val="auto"/>
                <w:kern w:val="2"/>
                <w:sz w:val="21"/>
                <w:szCs w:val="22"/>
                <w:highlight w:val="none"/>
                <w:lang w:val="en-US" w:eastAsia="zh-CN" w:bidi="ar-SA"/>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6E5DE3F0">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0D1FD6C">
            <w:pPr>
              <w:spacing w:line="360" w:lineRule="auto"/>
              <w:jc w:val="center"/>
              <w:rPr>
                <w:rFonts w:ascii="Times New Roman" w:hAnsi="Times New Roman"/>
                <w:color w:val="auto"/>
                <w:highlight w:val="none"/>
              </w:rPr>
            </w:pPr>
            <w:r>
              <w:rPr>
                <w:rFonts w:ascii="Times New Roman" w:hAnsi="Times New Roman"/>
                <w:color w:val="auto"/>
                <w:highlight w:val="none"/>
              </w:rPr>
              <w:t>7.6.1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DF32475">
            <w:pPr>
              <w:spacing w:line="360" w:lineRule="auto"/>
              <w:jc w:val="center"/>
              <w:rPr>
                <w:rFonts w:ascii="Times New Roman" w:hAnsi="Times New Roman"/>
                <w:color w:val="auto"/>
                <w:highlight w:val="none"/>
              </w:rPr>
            </w:pPr>
            <w:r>
              <w:rPr>
                <w:rFonts w:hint="eastAsia" w:ascii="Times New Roman" w:hAnsi="Times New Roman"/>
                <w:color w:val="auto"/>
                <w:highlight w:val="none"/>
              </w:rPr>
              <w:t>履约保证金</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3C5F2F3">
            <w:pPr>
              <w:pStyle w:val="11"/>
              <w:topLinePunct/>
              <w:spacing w:line="360" w:lineRule="auto"/>
              <w:rPr>
                <w:rFonts w:ascii="Times New Roman" w:hAnsi="Times New Roman"/>
                <w:color w:val="auto"/>
                <w:sz w:val="21"/>
                <w:szCs w:val="21"/>
                <w:highlight w:val="none"/>
              </w:rPr>
            </w:pPr>
            <w:r>
              <w:rPr>
                <w:rFonts w:hint="eastAsia" w:ascii="Times New Roman" w:hAnsi="Times New Roman"/>
                <w:color w:val="auto"/>
                <w:sz w:val="21"/>
                <w:szCs w:val="21"/>
                <w:highlight w:val="none"/>
              </w:rPr>
              <w:t>是否要求中标人提交履约保证金：</w:t>
            </w:r>
          </w:p>
          <w:p w14:paraId="4516DC47">
            <w:pPr>
              <w:pStyle w:val="11"/>
              <w:topLinePunct/>
              <w:spacing w:line="360" w:lineRule="auto"/>
              <w:rPr>
                <w:rFonts w:ascii="Times New Roman" w:hAnsi="Times New Roman"/>
                <w:color w:val="auto"/>
                <w:sz w:val="21"/>
                <w:szCs w:val="21"/>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1"/>
                <w:highlight w:val="none"/>
              </w:rPr>
              <w:t>要求，履约保证金的金额：</w:t>
            </w:r>
            <w:r>
              <w:rPr>
                <w:rFonts w:hint="eastAsia" w:ascii="宋体" w:hAnsi="宋体" w:cs="宋体"/>
                <w:color w:val="auto"/>
                <w:sz w:val="21"/>
                <w:szCs w:val="21"/>
                <w:highlight w:val="none"/>
                <w:u w:val="single"/>
              </w:rPr>
              <w:t>中标人提供的履约担保为中标价款的10%</w:t>
            </w:r>
            <w:r>
              <w:rPr>
                <w:rFonts w:ascii="宋体" w:hAnsi="宋体" w:cs="宋体"/>
                <w:color w:val="auto"/>
                <w:sz w:val="21"/>
                <w:szCs w:val="21"/>
                <w:highlight w:val="none"/>
                <w:u w:val="single"/>
              </w:rPr>
              <w:t>（若中标人为中小企业的，金额为</w:t>
            </w:r>
            <w:r>
              <w:rPr>
                <w:rFonts w:hint="eastAsia" w:ascii="宋体" w:hAnsi="宋体" w:cs="宋体"/>
                <w:color w:val="auto"/>
                <w:sz w:val="21"/>
                <w:szCs w:val="21"/>
                <w:highlight w:val="none"/>
                <w:u w:val="single"/>
              </w:rPr>
              <w:t>中标价款的</w:t>
            </w:r>
            <w:r>
              <w:rPr>
                <w:rFonts w:ascii="宋体" w:hAnsi="宋体" w:cs="宋体"/>
                <w:color w:val="auto"/>
                <w:sz w:val="21"/>
                <w:szCs w:val="21"/>
                <w:highlight w:val="none"/>
                <w:u w:val="single"/>
              </w:rPr>
              <w:t>5</w:t>
            </w:r>
            <w:r>
              <w:rPr>
                <w:rFonts w:hint="eastAsia" w:ascii="宋体" w:hAnsi="宋体" w:cs="宋体"/>
                <w:color w:val="auto"/>
                <w:sz w:val="21"/>
                <w:szCs w:val="21"/>
                <w:highlight w:val="none"/>
                <w:u w:val="single"/>
              </w:rPr>
              <w:t>%</w:t>
            </w:r>
            <w:r>
              <w:rPr>
                <w:rFonts w:ascii="宋体" w:hAnsi="宋体" w:cs="宋体"/>
                <w:color w:val="auto"/>
                <w:sz w:val="21"/>
                <w:szCs w:val="21"/>
                <w:highlight w:val="none"/>
                <w:u w:val="single"/>
              </w:rPr>
              <w:t>）</w:t>
            </w:r>
            <w:r>
              <w:rPr>
                <w:rFonts w:hint="eastAsia" w:ascii="宋体" w:hAnsi="宋体" w:cs="宋体"/>
                <w:color w:val="auto"/>
                <w:sz w:val="21"/>
                <w:szCs w:val="21"/>
                <w:highlight w:val="none"/>
                <w:u w:val="single"/>
              </w:rPr>
              <w:t>。</w:t>
            </w:r>
          </w:p>
          <w:p w14:paraId="1692073B">
            <w:pPr>
              <w:spacing w:line="360" w:lineRule="auto"/>
              <w:ind w:firstLine="0" w:firstLineChars="0"/>
              <w:rPr>
                <w:rFonts w:hint="default" w:ascii="宋体" w:hAnsi="宋体" w:cs="宋体"/>
                <w:color w:val="auto"/>
                <w:szCs w:val="21"/>
                <w:highlight w:val="none"/>
              </w:rPr>
            </w:pPr>
            <w:r>
              <w:rPr>
                <w:rFonts w:hint="eastAsia" w:ascii="Times New Roman" w:hAnsi="Times New Roman"/>
                <w:color w:val="auto"/>
                <w:szCs w:val="21"/>
                <w:highlight w:val="none"/>
              </w:rPr>
              <w:t>履约保证金的形式：</w:t>
            </w:r>
            <w:r>
              <w:rPr>
                <w:rFonts w:hint="eastAsia" w:ascii="Times New Roman" w:hAnsi="Times New Roman"/>
                <w:color w:val="auto"/>
                <w:szCs w:val="21"/>
                <w:highlight w:val="none"/>
                <w:lang w:val="en-US" w:eastAsia="zh-CN"/>
              </w:rPr>
              <w:t>银行转</w:t>
            </w:r>
            <w:r>
              <w:rPr>
                <w:rFonts w:hint="eastAsia" w:ascii="Times New Roman" w:hAnsi="Times New Roman" w:eastAsia="宋体" w:cs="Times New Roman"/>
                <w:color w:val="auto"/>
                <w:szCs w:val="21"/>
                <w:highlight w:val="none"/>
                <w:lang w:val="en-US" w:eastAsia="zh-CN"/>
              </w:rPr>
              <w:t>账或</w:t>
            </w:r>
            <w:r>
              <w:rPr>
                <w:rFonts w:hint="eastAsia" w:ascii="Times New Roman" w:hAnsi="Times New Roman" w:eastAsia="宋体" w:cs="Times New Roman"/>
                <w:color w:val="auto"/>
                <w:szCs w:val="21"/>
                <w:highlight w:val="none"/>
              </w:rPr>
              <w:t>由在中华人民共和国注册的金融机构或担保公司开出见索即付的银行保函或保证保险或担保保函</w:t>
            </w:r>
            <w:r>
              <w:rPr>
                <w:rFonts w:hint="eastAsia" w:ascii="Times New Roman" w:hAnsi="Times New Roman"/>
                <w:color w:val="auto"/>
                <w:szCs w:val="21"/>
                <w:highlight w:val="none"/>
                <w:lang w:val="en-US" w:eastAsia="zh-CN"/>
              </w:rPr>
              <w:t>。</w:t>
            </w:r>
          </w:p>
          <w:p w14:paraId="5D1287A9">
            <w:pPr>
              <w:pStyle w:val="11"/>
              <w:topLinePunct/>
              <w:spacing w:line="360" w:lineRule="auto"/>
              <w:rPr>
                <w:rFonts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不要求</w:t>
            </w:r>
          </w:p>
        </w:tc>
      </w:tr>
      <w:tr w14:paraId="6B7C3F43">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30FE96C">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7.7.3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1F01C88">
            <w:pPr>
              <w:spacing w:line="360" w:lineRule="auto"/>
              <w:jc w:val="center"/>
              <w:rPr>
                <w:rFonts w:hint="default" w:ascii="Times New Roman" w:hAnsi="Times New Roman" w:eastAsia="宋体"/>
                <w:b/>
                <w:bCs/>
                <w:color w:val="auto"/>
                <w:highlight w:val="none"/>
                <w:u w:val="single"/>
                <w:lang w:val="en-US" w:eastAsia="zh-CN"/>
              </w:rPr>
            </w:pPr>
            <w:r>
              <w:rPr>
                <w:rFonts w:hint="eastAsia" w:ascii="Times New Roman" w:hAnsi="Times New Roman"/>
                <w:b/>
                <w:bCs/>
                <w:color w:val="auto"/>
                <w:highlight w:val="none"/>
                <w:u w:val="single"/>
                <w:lang w:val="en-US" w:eastAsia="zh-CN"/>
              </w:rPr>
              <w:t>签订合同</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DD16BE3">
            <w:pPr>
              <w:spacing w:line="360" w:lineRule="auto"/>
              <w:rPr>
                <w:rFonts w:hint="eastAsia" w:ascii="Times New Roman" w:hAnsi="Times New Roman"/>
                <w:b/>
                <w:bCs/>
                <w:color w:val="auto"/>
                <w:sz w:val="32"/>
                <w:highlight w:val="none"/>
                <w:u w:val="single"/>
                <w:lang w:eastAsia="zh-CN"/>
              </w:rPr>
            </w:pPr>
            <w:r>
              <w:rPr>
                <w:rFonts w:hint="eastAsia" w:ascii="Times New Roman" w:hAnsi="Times New Roman" w:eastAsia="宋体" w:cs="Times New Roman"/>
                <w:b/>
                <w:bCs/>
                <w:color w:val="auto"/>
                <w:sz w:val="21"/>
                <w:szCs w:val="21"/>
                <w:highlight w:val="none"/>
                <w:u w:val="single"/>
                <w:lang w:eastAsia="zh-CN"/>
              </w:rPr>
              <w:t>中标人在收到本项目中标通知书后，按招标人通知的时间及地点，由其法定代表人或者经授权的副总经理级别或以上的人员参与招标人组织的合同签约仪式。</w:t>
            </w:r>
          </w:p>
        </w:tc>
      </w:tr>
      <w:tr w14:paraId="3F62352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2FECE71">
            <w:pPr>
              <w:spacing w:line="360" w:lineRule="auto"/>
              <w:jc w:val="center"/>
              <w:rPr>
                <w:rFonts w:ascii="Times New Roman" w:hAnsi="Times New Roman"/>
                <w:color w:val="auto"/>
                <w:highlight w:val="none"/>
              </w:rPr>
            </w:pPr>
            <w:r>
              <w:rPr>
                <w:rFonts w:ascii="Times New Roman" w:hAnsi="Times New Roman"/>
                <w:color w:val="auto"/>
                <w:highlight w:val="none"/>
              </w:rPr>
              <w:t>9</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EDBD87C">
            <w:pPr>
              <w:spacing w:line="360" w:lineRule="auto"/>
              <w:jc w:val="center"/>
              <w:rPr>
                <w:rFonts w:ascii="Times New Roman" w:hAnsi="Times New Roman"/>
                <w:color w:val="auto"/>
                <w:highlight w:val="none"/>
              </w:rPr>
            </w:pPr>
            <w:r>
              <w:rPr>
                <w:rFonts w:hint="eastAsia" w:ascii="Times New Roman" w:hAnsi="Times New Roman"/>
                <w:color w:val="auto"/>
                <w:highlight w:val="none"/>
              </w:rPr>
              <w:t>是否采用电子招标投标</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28D2563">
            <w:pPr>
              <w:spacing w:line="360" w:lineRule="auto"/>
              <w:rPr>
                <w:rFonts w:ascii="Times New Roman" w:hAnsi="Times New Roman"/>
                <w:color w:val="auto"/>
                <w:highlight w:val="none"/>
              </w:rPr>
            </w:pPr>
            <w:r>
              <w:rPr>
                <w:rFonts w:hint="eastAsia" w:ascii="Times New Roman" w:hAnsi="Times New Roman"/>
                <w:color w:val="auto"/>
                <w:sz w:val="32"/>
                <w:highlight w:val="none"/>
                <w:lang w:eastAsia="zh-CN"/>
              </w:rPr>
              <w:t>□</w:t>
            </w:r>
            <w:r>
              <w:rPr>
                <w:rFonts w:hint="eastAsia" w:ascii="Times New Roman" w:hAnsi="Times New Roman"/>
                <w:color w:val="auto"/>
                <w:highlight w:val="none"/>
              </w:rPr>
              <w:t>否</w:t>
            </w:r>
          </w:p>
          <w:p w14:paraId="623D8042">
            <w:pPr>
              <w:spacing w:line="360" w:lineRule="auto"/>
              <w:rPr>
                <w:rFonts w:hint="eastAsia" w:ascii="Times New Roman" w:hAnsi="Times New Roman" w:eastAsia="宋体"/>
                <w:color w:val="auto"/>
                <w:sz w:val="32"/>
                <w:highlight w:val="none"/>
                <w:lang w:eastAsia="zh-CN"/>
              </w:rPr>
            </w:pPr>
            <w:r>
              <w:rPr>
                <w:rFonts w:hint="eastAsia" w:ascii="Times New Roman" w:hAnsi="Times New Roman"/>
                <w:color w:val="auto"/>
                <w:sz w:val="32"/>
                <w:highlight w:val="none"/>
                <w:lang w:eastAsia="zh-CN"/>
              </w:rPr>
              <w:t>☑</w:t>
            </w:r>
            <w:r>
              <w:rPr>
                <w:rFonts w:hint="eastAsia"/>
                <w:color w:val="auto"/>
                <w:sz w:val="21"/>
                <w:szCs w:val="21"/>
                <w:highlight w:val="none"/>
              </w:rPr>
              <w:t>是</w:t>
            </w:r>
            <w:r>
              <w:rPr>
                <w:rFonts w:hint="eastAsia"/>
                <w:color w:val="auto"/>
                <w:sz w:val="21"/>
                <w:szCs w:val="21"/>
                <w:highlight w:val="none"/>
                <w:lang w:eastAsia="zh-CN"/>
              </w:rPr>
              <w:t>，采用全流程电子招标投标。</w:t>
            </w:r>
          </w:p>
        </w:tc>
      </w:tr>
      <w:tr w14:paraId="6EF94805">
        <w:tblPrEx>
          <w:tblCellMar>
            <w:top w:w="0" w:type="dxa"/>
            <w:left w:w="108" w:type="dxa"/>
            <w:bottom w:w="0" w:type="dxa"/>
            <w:right w:w="108" w:type="dxa"/>
          </w:tblCellMar>
        </w:tblPrEx>
        <w:trPr>
          <w:trHeight w:val="53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6872BD5">
            <w:pPr>
              <w:spacing w:line="360" w:lineRule="auto"/>
              <w:jc w:val="center"/>
              <w:rPr>
                <w:rFonts w:hint="eastAsia" w:ascii="Times New Roman" w:hAnsi="Times New Roman" w:eastAsia="宋体"/>
                <w:color w:val="auto"/>
                <w:highlight w:val="none"/>
                <w:lang w:eastAsia="zh-CN"/>
              </w:rPr>
            </w:pPr>
            <w:r>
              <w:rPr>
                <w:rFonts w:ascii="Times New Roman" w:hAnsi="Times New Roman"/>
                <w:color w:val="auto"/>
                <w:highlight w:val="none"/>
              </w:rPr>
              <w:t>1</w:t>
            </w:r>
            <w:r>
              <w:rPr>
                <w:rFonts w:hint="eastAsia" w:ascii="Times New Roman" w:hAnsi="Times New Roman"/>
                <w:color w:val="auto"/>
                <w:highlight w:val="none"/>
                <w:lang w:val="en-US" w:eastAsia="zh-CN"/>
              </w:rPr>
              <w:t>1</w:t>
            </w:r>
          </w:p>
        </w:tc>
        <w:tc>
          <w:tcPr>
            <w:tcW w:w="4545" w:type="pct"/>
            <w:gridSpan w:val="2"/>
            <w:tcBorders>
              <w:top w:val="single" w:color="auto" w:sz="4" w:space="0"/>
              <w:left w:val="single" w:color="auto" w:sz="4" w:space="0"/>
              <w:bottom w:val="single" w:color="auto" w:sz="4" w:space="0"/>
              <w:right w:val="single" w:color="auto" w:sz="4" w:space="0"/>
            </w:tcBorders>
            <w:noWrap w:val="0"/>
            <w:vAlign w:val="center"/>
          </w:tcPr>
          <w:p w14:paraId="6DC182F3">
            <w:pPr>
              <w:spacing w:line="360" w:lineRule="auto"/>
              <w:jc w:val="center"/>
              <w:rPr>
                <w:rFonts w:hint="eastAsia" w:ascii="Times New Roman" w:hAnsi="Times New Roman" w:eastAsia="宋体"/>
                <w:color w:val="auto"/>
                <w:sz w:val="32"/>
                <w:highlight w:val="none"/>
                <w:lang w:val="en-US" w:eastAsia="zh-CN"/>
              </w:rPr>
            </w:pPr>
            <w:r>
              <w:rPr>
                <w:rFonts w:hint="eastAsia" w:ascii="Times New Roman" w:hAnsi="Times New Roman"/>
                <w:color w:val="auto"/>
                <w:highlight w:val="none"/>
              </w:rPr>
              <w:t>需要补充的其他内容</w:t>
            </w:r>
          </w:p>
        </w:tc>
      </w:tr>
      <w:tr w14:paraId="0EB7BB50">
        <w:tblPrEx>
          <w:tblCellMar>
            <w:top w:w="0" w:type="dxa"/>
            <w:left w:w="108" w:type="dxa"/>
            <w:bottom w:w="0" w:type="dxa"/>
            <w:right w:w="108" w:type="dxa"/>
          </w:tblCellMar>
        </w:tblPrEx>
        <w:trPr>
          <w:trHeight w:val="29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D155443">
            <w:pPr>
              <w:snapToGrid w:val="0"/>
              <w:spacing w:line="360" w:lineRule="auto"/>
              <w:jc w:val="center"/>
              <w:rPr>
                <w:rFonts w:ascii="Times New Roman" w:hAnsi="Times New Roman"/>
                <w:color w:val="auto"/>
                <w:highlight w:val="none"/>
              </w:rPr>
            </w:pPr>
            <w:bookmarkStart w:id="56" w:name="_Toc17452664"/>
            <w:bookmarkStart w:id="57" w:name="_Toc17451623"/>
            <w:bookmarkStart w:id="58" w:name="_Toc17451578"/>
            <w:bookmarkStart w:id="59" w:name="_Toc26588"/>
            <w:bookmarkStart w:id="60" w:name="_Toc17454871"/>
            <w:bookmarkStart w:id="61" w:name="_Toc262229161"/>
            <w:bookmarkStart w:id="62" w:name="_Toc17556931"/>
            <w:bookmarkStart w:id="63" w:name="_Toc17556876"/>
            <w:bookmarkStart w:id="64" w:name="_Toc17451101"/>
            <w:bookmarkStart w:id="65" w:name="_Toc17454922"/>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8C07593">
            <w:pPr>
              <w:spacing w:line="360" w:lineRule="auto"/>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特别提示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51C22F6">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投标人在本项目招标人的工程项目中存在下列行为的，将被拒绝</w:t>
            </w:r>
            <w:r>
              <w:rPr>
                <w:rFonts w:hint="eastAsia" w:ascii="Times New Roman" w:hAnsi="Times New Roman" w:eastAsia="宋体" w:cs="Times New Roman"/>
                <w:color w:val="auto"/>
                <w:highlight w:val="none"/>
                <w:lang w:val="en-US" w:eastAsia="zh-CN"/>
              </w:rPr>
              <w:t>两</w:t>
            </w:r>
            <w:r>
              <w:rPr>
                <w:rFonts w:hint="eastAsia" w:ascii="Times New Roman" w:hAnsi="Times New Roman" w:eastAsia="宋体" w:cs="Times New Roman"/>
                <w:color w:val="auto"/>
                <w:highlight w:val="none"/>
              </w:rPr>
              <w:t>年内参与我单位后续工程投标。（注：拒绝投标时限由招标人视严重程度确定，最低三个月起，自招标人发出通知之日起计）：</w:t>
            </w:r>
          </w:p>
          <w:p w14:paraId="6D46230B">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（1）将中标工程转包或者违法分包的；</w:t>
            </w:r>
          </w:p>
          <w:p w14:paraId="339C7794">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（2）在中标工程中不执行质量、安全生产相关规定的，造成质量或安全事故的；</w:t>
            </w:r>
          </w:p>
          <w:p w14:paraId="18613252">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（3）出让投标资格的；</w:t>
            </w:r>
          </w:p>
          <w:p w14:paraId="32D290AD">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（4）存在围标或串标情形的；</w:t>
            </w:r>
          </w:p>
          <w:p w14:paraId="5264A1CF">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（5）在投标文件中提供虚假材料的； </w:t>
            </w:r>
          </w:p>
          <w:p w14:paraId="2DA55C37">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（6）存在少放、不放业绩、奖项等客观评审资料，减少自身竞争力情形的；</w:t>
            </w:r>
          </w:p>
          <w:p w14:paraId="26672861">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（7）存在行贿情形的；</w:t>
            </w:r>
          </w:p>
          <w:p w14:paraId="196FC0A6">
            <w:pPr>
              <w:widowControl/>
              <w:spacing w:line="360" w:lineRule="auto"/>
              <w:jc w:val="left"/>
              <w:rPr>
                <w:rFonts w:hint="eastAsia" w:ascii="Times New Roman" w:hAnsi="Times New Roman" w:eastAsia="宋体" w:cs="Times New Roman"/>
                <w:b w:val="0"/>
                <w:bCs w:val="0"/>
                <w:color w:val="auto"/>
                <w:kern w:val="2"/>
                <w:sz w:val="21"/>
                <w:szCs w:val="22"/>
                <w:highlight w:val="none"/>
              </w:rPr>
            </w:pPr>
            <w:r>
              <w:rPr>
                <w:rFonts w:hint="eastAsia" w:ascii="Times New Roman" w:hAnsi="Times New Roman" w:cs="Times New Roman"/>
                <w:b w:val="0"/>
                <w:bCs w:val="0"/>
                <w:color w:val="auto"/>
                <w:kern w:val="2"/>
                <w:sz w:val="21"/>
                <w:szCs w:val="22"/>
                <w:highlight w:val="none"/>
                <w:lang w:eastAsia="zh-CN"/>
              </w:rPr>
              <w:t>（</w:t>
            </w:r>
            <w:r>
              <w:rPr>
                <w:rFonts w:hint="eastAsia" w:ascii="Times New Roman" w:hAnsi="Times New Roman" w:cs="Times New Roman"/>
                <w:b w:val="0"/>
                <w:bCs w:val="0"/>
                <w:color w:val="auto"/>
                <w:kern w:val="2"/>
                <w:sz w:val="21"/>
                <w:szCs w:val="22"/>
                <w:highlight w:val="none"/>
                <w:lang w:val="en-US" w:eastAsia="zh-CN"/>
              </w:rPr>
              <w:t>8</w:t>
            </w:r>
            <w:r>
              <w:rPr>
                <w:rFonts w:hint="eastAsia" w:ascii="Times New Roman" w:hAnsi="Times New Roman" w:cs="Times New Roman"/>
                <w:b w:val="0"/>
                <w:bCs w:val="0"/>
                <w:color w:val="auto"/>
                <w:kern w:val="2"/>
                <w:sz w:val="21"/>
                <w:szCs w:val="22"/>
                <w:highlight w:val="none"/>
                <w:lang w:eastAsia="zh-CN"/>
              </w:rPr>
              <w:t>）</w:t>
            </w:r>
            <w:r>
              <w:rPr>
                <w:rFonts w:hint="eastAsia" w:ascii="Times New Roman" w:hAnsi="Times New Roman" w:eastAsia="宋体" w:cs="Times New Roman"/>
                <w:b w:val="0"/>
                <w:bCs w:val="0"/>
                <w:color w:val="auto"/>
                <w:kern w:val="2"/>
                <w:sz w:val="21"/>
                <w:szCs w:val="22"/>
                <w:highlight w:val="none"/>
              </w:rPr>
              <w:t>拖欠农民工工资的；</w:t>
            </w:r>
          </w:p>
          <w:p w14:paraId="73B3F610">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cs="Times New Roman"/>
                <w:color w:val="auto"/>
                <w:highlight w:val="none"/>
                <w:lang w:val="en-US" w:eastAsia="zh-CN"/>
              </w:rPr>
              <w:t>9</w:t>
            </w:r>
            <w:r>
              <w:rPr>
                <w:rFonts w:hint="eastAsia" w:ascii="Times New Roman" w:hAnsi="Times New Roman" w:eastAsia="宋体" w:cs="Times New Roman"/>
                <w:color w:val="auto"/>
                <w:highlight w:val="none"/>
              </w:rPr>
              <w:t>）为招标人提供监理服务过程中存在因过错行为被生效法律文书认定承担违约或侵权责任的；</w:t>
            </w:r>
          </w:p>
          <w:p w14:paraId="7FD38ADF">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cs="Times New Roman"/>
                <w:color w:val="auto"/>
                <w:highlight w:val="none"/>
                <w:lang w:val="en-US" w:eastAsia="zh-CN"/>
              </w:rPr>
              <w:t>10</w:t>
            </w:r>
            <w:r>
              <w:rPr>
                <w:rFonts w:hint="eastAsia" w:ascii="Times New Roman" w:hAnsi="Times New Roman" w:eastAsia="宋体" w:cs="Times New Roman"/>
                <w:color w:val="auto"/>
                <w:highlight w:val="none"/>
              </w:rPr>
              <w:t>）违反监理合同约定自行调换或未按照招标人要求及时更换项目总监的；</w:t>
            </w:r>
          </w:p>
          <w:p w14:paraId="49E3919A">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cs="Times New Roman"/>
                <w:color w:val="auto"/>
                <w:highlight w:val="none"/>
                <w:lang w:val="en-US" w:eastAsia="zh-CN"/>
              </w:rPr>
              <w:t>1</w:t>
            </w:r>
            <w:r>
              <w:rPr>
                <w:rFonts w:hint="eastAsia" w:ascii="Times New Roman" w:hAnsi="Times New Roman" w:eastAsia="宋体" w:cs="Times New Roman"/>
                <w:color w:val="auto"/>
                <w:highlight w:val="none"/>
              </w:rPr>
              <w:t>）委派的项目总监已在其他在建项目中任职且任职数量不符合相关规定并拒绝按照任职承诺书的规定更换的。</w:t>
            </w:r>
          </w:p>
        </w:tc>
      </w:tr>
      <w:tr w14:paraId="1162930C">
        <w:tblPrEx>
          <w:tblCellMar>
            <w:top w:w="0" w:type="dxa"/>
            <w:left w:w="108" w:type="dxa"/>
            <w:bottom w:w="0" w:type="dxa"/>
            <w:right w:w="108" w:type="dxa"/>
          </w:tblCellMar>
        </w:tblPrEx>
        <w:trPr>
          <w:trHeight w:val="57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0172BD45">
            <w:pPr>
              <w:snapToGrid w:val="0"/>
              <w:spacing w:line="360" w:lineRule="auto"/>
              <w:jc w:val="center"/>
              <w:rPr>
                <w:rFonts w:ascii="Times New Roman" w:hAnsi="Times New Roman"/>
                <w:color w:val="auto"/>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ADD0BAD">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招标失败的情形</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FF3DB21">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本项目采用资格后审方式，递交投标文件或满足资格审查合格条件或通过初步评审的投标申请人不足3名时</w:t>
            </w:r>
            <w:r>
              <w:rPr>
                <w:rFonts w:hint="eastAsia" w:ascii="Times New Roman" w:hAnsi="Times New Roman" w:eastAsia="宋体" w:cs="Times New Roman"/>
                <w:strike/>
                <w:color w:val="auto"/>
                <w:highlight w:val="none"/>
              </w:rPr>
              <w:t>（当 N 个标段同时招标且不允许兼中时，投标人少于 N+2 名）</w:t>
            </w:r>
            <w:r>
              <w:rPr>
                <w:rFonts w:hint="eastAsia" w:ascii="Times New Roman" w:hAnsi="Times New Roman" w:eastAsia="宋体" w:cs="Times New Roman"/>
                <w:color w:val="auto"/>
                <w:highlight w:val="none"/>
              </w:rPr>
              <w:t>为招标失败。招标人分析招标失败原因，修正招标方案后，重新组织招标。</w:t>
            </w:r>
          </w:p>
        </w:tc>
      </w:tr>
      <w:tr w14:paraId="0DBD2272">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488760B">
            <w:pPr>
              <w:snapToGrid w:val="0"/>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63EFA07">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提交纸质投标文件要求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C920102">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本项目中标通知书发出后，中标单位须将投标文件打印一正一副，送至招标人指定地方。</w:t>
            </w:r>
          </w:p>
        </w:tc>
      </w:tr>
      <w:tr w14:paraId="5BAFE8EA">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80CD1B0">
            <w:pPr>
              <w:snapToGrid w:val="0"/>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581358A">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中标候选人</w:t>
            </w:r>
          </w:p>
          <w:p w14:paraId="59F23246">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投标文件公示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8B10B39">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在产生中标候选人后，招标人将中标候选人的投标文件商务部分的人员、业绩、奖项等资料在广州交易集团有限公司（广州公共资源交易中心）网站、广东省招标投标监管网公开。</w:t>
            </w:r>
          </w:p>
        </w:tc>
      </w:tr>
      <w:tr w14:paraId="2AF6F7A8">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2E1E15E3">
            <w:pPr>
              <w:snapToGrid w:val="0"/>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D16675C">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项目监理团队人员组成配置要求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AD4F295">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要求投标人根据本项目特点，结合本企业的实力和资源情况，项目监理部人员组成配置要求详见下表</w:t>
            </w:r>
            <w:r>
              <w:rPr>
                <w:rFonts w:hint="eastAsia" w:ascii="Times New Roman" w:hAnsi="Times New Roman" w:eastAsia="宋体" w:cs="Times New Roman"/>
                <w:color w:val="auto"/>
                <w:highlight w:val="none"/>
                <w:lang w:eastAsia="zh-CN"/>
              </w:rPr>
              <w:t>：</w:t>
            </w:r>
            <w:r>
              <w:rPr>
                <w:rFonts w:hint="eastAsia" w:ascii="宋体" w:hAnsi="宋体"/>
                <w:color w:val="auto"/>
                <w:szCs w:val="21"/>
                <w:highlight w:val="none"/>
                <w:u w:val="single"/>
              </w:rPr>
              <w:t>详见本须知后附表。</w:t>
            </w:r>
          </w:p>
        </w:tc>
      </w:tr>
      <w:tr w14:paraId="3AC05C84">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1626F99">
            <w:pPr>
              <w:snapToGrid w:val="0"/>
              <w:spacing w:before="48" w:beforeLines="20" w:after="48" w:afterLines="2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F38D976">
            <w:pPr>
              <w:snapToGrid w:val="0"/>
              <w:spacing w:before="48" w:beforeLines="20" w:after="48" w:afterLines="20" w:line="360" w:lineRule="auto"/>
              <w:ind w:right="174" w:rightChars="83"/>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投标报价得分评审优惠政策</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11F118F">
            <w:pPr>
              <w:spacing w:line="360" w:lineRule="auto"/>
              <w:rPr>
                <w:rFonts w:hint="eastAsia" w:ascii="宋体" w:hAnsi="宋体"/>
                <w:bCs/>
                <w:color w:val="auto"/>
                <w:szCs w:val="21"/>
                <w:highlight w:val="none"/>
              </w:rPr>
            </w:pPr>
            <w:r>
              <w:rPr>
                <w:rFonts w:hint="eastAsia" w:ascii="宋体" w:hAnsi="宋体"/>
                <w:bCs/>
                <w:color w:val="auto"/>
                <w:szCs w:val="21"/>
                <w:highlight w:val="none"/>
              </w:rPr>
              <w:t>经济标评审优惠政策</w:t>
            </w:r>
          </w:p>
          <w:p w14:paraId="78703DDA">
            <w:pPr>
              <w:spacing w:line="360" w:lineRule="auto"/>
              <w:rPr>
                <w:rFonts w:hint="eastAsia" w:ascii="宋体" w:hAnsi="宋体"/>
                <w:bCs/>
                <w:color w:val="auto"/>
                <w:szCs w:val="21"/>
                <w:highlight w:val="none"/>
              </w:rPr>
            </w:pPr>
            <w:r>
              <w:rPr>
                <w:rFonts w:ascii="Segoe UI Symbol" w:hAnsi="Segoe UI Symbol" w:cs="Segoe UI Symbol"/>
                <w:bCs/>
                <w:color w:val="auto"/>
                <w:szCs w:val="21"/>
                <w:highlight w:val="none"/>
              </w:rPr>
              <w:t>☑</w:t>
            </w:r>
            <w:r>
              <w:rPr>
                <w:rFonts w:hint="eastAsia" w:ascii="宋体" w:hAnsi="宋体"/>
                <w:bCs/>
                <w:color w:val="auto"/>
                <w:szCs w:val="21"/>
                <w:highlight w:val="none"/>
              </w:rPr>
              <w:t>本招标项目执行经济标评审优惠政策</w:t>
            </w:r>
          </w:p>
          <w:p w14:paraId="6638AC3C">
            <w:pPr>
              <w:spacing w:line="360" w:lineRule="auto"/>
              <w:rPr>
                <w:rFonts w:hint="eastAsia" w:ascii="宋体" w:hAnsi="宋体"/>
                <w:bCs/>
                <w:color w:val="auto"/>
                <w:szCs w:val="21"/>
                <w:highlight w:val="none"/>
              </w:rPr>
            </w:pPr>
            <w:r>
              <w:rPr>
                <w:rFonts w:hint="eastAsia" w:ascii="宋体" w:hAnsi="宋体"/>
                <w:bCs/>
                <w:color w:val="auto"/>
                <w:szCs w:val="21"/>
                <w:highlight w:val="none"/>
              </w:rPr>
              <w:t>□本招标项目不执行经济标评审优惠政策</w:t>
            </w:r>
          </w:p>
          <w:p w14:paraId="0AA1E252">
            <w:pPr>
              <w:spacing w:line="360" w:lineRule="auto"/>
              <w:rPr>
                <w:rFonts w:hint="eastAsia" w:ascii="宋体" w:hAnsi="宋体"/>
                <w:bCs/>
                <w:color w:val="auto"/>
                <w:szCs w:val="21"/>
                <w:highlight w:val="none"/>
              </w:rPr>
            </w:pPr>
            <w:r>
              <w:rPr>
                <w:rFonts w:hint="eastAsia" w:ascii="宋体" w:hAnsi="宋体"/>
                <w:bCs/>
                <w:color w:val="auto"/>
                <w:szCs w:val="21"/>
                <w:highlight w:val="none"/>
              </w:rPr>
              <w:t>注：本招标项目执行经济标评审优惠政策，投标人应根据自身情况提供《中小企业声明函》（如有）或由省级以上监狱管理局、戒毒管理局（含新疆生产建设兵团）出具的属于监狱企业的证明文件（如有）或需提供《残疾人福利性单位声明函》（如有）。</w:t>
            </w:r>
          </w:p>
          <w:p w14:paraId="049BBD20">
            <w:pPr>
              <w:spacing w:line="360" w:lineRule="auto"/>
              <w:rPr>
                <w:rFonts w:hint="eastAsia" w:ascii="宋体" w:hAnsi="宋体"/>
                <w:bCs/>
                <w:color w:val="auto"/>
                <w:szCs w:val="21"/>
                <w:highlight w:val="none"/>
              </w:rPr>
            </w:pPr>
            <w:r>
              <w:rPr>
                <w:rFonts w:hint="eastAsia" w:ascii="宋体" w:hAnsi="宋体"/>
                <w:bCs/>
                <w:color w:val="auto"/>
                <w:szCs w:val="21"/>
                <w:highlight w:val="none"/>
              </w:rPr>
              <w:t>1.根据《广东省政府采购促进中小企业发展实施细则（试行）》要求，对符合《政府采购促进中小企业发展管理办法》的</w:t>
            </w:r>
            <w:r>
              <w:rPr>
                <w:rFonts w:hint="eastAsia" w:ascii="宋体" w:hAnsi="宋体"/>
                <w:b/>
                <w:color w:val="auto"/>
                <w:szCs w:val="21"/>
                <w:highlight w:val="none"/>
              </w:rPr>
              <w:t>小微企业投标人，给予相应的价格评审优惠</w:t>
            </w:r>
            <w:r>
              <w:rPr>
                <w:rFonts w:hint="eastAsia" w:ascii="宋体" w:hAnsi="宋体"/>
                <w:bCs/>
                <w:color w:val="auto"/>
                <w:szCs w:val="21"/>
                <w:highlight w:val="none"/>
              </w:rPr>
              <w:t>。</w:t>
            </w:r>
          </w:p>
          <w:p w14:paraId="132392F7">
            <w:pPr>
              <w:spacing w:line="360" w:lineRule="auto"/>
              <w:rPr>
                <w:rFonts w:hint="eastAsia" w:ascii="宋体" w:hAnsi="宋体"/>
                <w:b/>
                <w:bCs w:val="0"/>
                <w:color w:val="auto"/>
                <w:szCs w:val="21"/>
                <w:highlight w:val="none"/>
              </w:rPr>
            </w:pPr>
            <w:r>
              <w:rPr>
                <w:rFonts w:hint="eastAsia" w:ascii="宋体" w:hAnsi="宋体"/>
                <w:bCs/>
                <w:color w:val="auto"/>
                <w:szCs w:val="21"/>
                <w:highlight w:val="none"/>
              </w:rPr>
              <w:t>2.</w:t>
            </w:r>
            <w:r>
              <w:rPr>
                <w:rFonts w:hint="eastAsia" w:ascii="宋体" w:hAnsi="宋体"/>
                <w:b/>
                <w:bCs w:val="0"/>
                <w:color w:val="auto"/>
                <w:szCs w:val="21"/>
                <w:highlight w:val="none"/>
              </w:rPr>
              <w:t>价格评审优惠规则：</w:t>
            </w:r>
          </w:p>
          <w:p w14:paraId="15AF1C16">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rPr>
              <w:t>（1）非联合体投标：本招标项目评标计算价格分（即投标报价得分）时，对小微企业投标的，在采用原报价进行评分的基础上增</w:t>
            </w:r>
            <w:r>
              <w:rPr>
                <w:rFonts w:hint="eastAsia" w:ascii="宋体" w:hAnsi="宋体"/>
                <w:b/>
                <w:bCs w:val="0"/>
                <w:color w:val="auto"/>
                <w:szCs w:val="21"/>
                <w:highlight w:val="none"/>
                <w:u w:val="single"/>
              </w:rPr>
              <w:t>加其价格得分的5%作为其价格分。若原报价已满分，仍可突破满分</w:t>
            </w:r>
            <w:r>
              <w:rPr>
                <w:rFonts w:hint="eastAsia" w:ascii="宋体" w:hAnsi="宋体"/>
                <w:b/>
                <w:bCs w:val="0"/>
                <w:color w:val="auto"/>
                <w:szCs w:val="21"/>
                <w:highlight w:val="none"/>
              </w:rPr>
              <w:t>上限继续享受加分优惠，以实际计算结果作为最终价格分。</w:t>
            </w:r>
          </w:p>
          <w:p w14:paraId="3E6BA28D">
            <w:pPr>
              <w:spacing w:line="360" w:lineRule="auto"/>
              <w:rPr>
                <w:rFonts w:hint="eastAsia" w:eastAsia="宋体"/>
                <w:color w:val="auto"/>
                <w:highlight w:val="none"/>
                <w:lang w:eastAsia="zh-CN"/>
              </w:rPr>
            </w:pPr>
            <w:r>
              <w:rPr>
                <w:rFonts w:hint="eastAsia" w:ascii="宋体" w:hAnsi="宋体"/>
                <w:b/>
                <w:bCs w:val="0"/>
                <w:color w:val="auto"/>
                <w:szCs w:val="21"/>
                <w:highlight w:val="none"/>
              </w:rPr>
              <w:t>（2）联合体投标：对于大中型企业与小微企业组成联合体</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联合</w:t>
            </w:r>
            <w:r>
              <w:rPr>
                <w:rFonts w:hint="eastAsia" w:ascii="宋体" w:hAnsi="宋体"/>
                <w:b/>
                <w:bCs w:val="0"/>
                <w:color w:val="auto"/>
                <w:szCs w:val="21"/>
                <w:highlight w:val="none"/>
                <w:lang w:val="en-US" w:eastAsia="zh-CN"/>
              </w:rPr>
              <w:t>体</w:t>
            </w:r>
            <w:r>
              <w:rPr>
                <w:rFonts w:hint="eastAsia" w:ascii="宋体" w:hAnsi="宋体"/>
                <w:b/>
                <w:bCs w:val="0"/>
                <w:color w:val="auto"/>
                <w:szCs w:val="21"/>
                <w:highlight w:val="none"/>
              </w:rPr>
              <w:t>协议约定小微企业的合同份额占到合同总金额30%以上</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的，在采用原报价进行评分的基础上增加其价格得分的2%作为其价格分。若原报价已满分，仍可突破满分上限继续享受加分优惠，以实际计算结果作为最终价格分</w:t>
            </w:r>
            <w:r>
              <w:rPr>
                <w:rFonts w:hint="eastAsia" w:ascii="宋体" w:hAnsi="宋体"/>
                <w:b w:val="0"/>
                <w:bCs/>
                <w:color w:val="auto"/>
                <w:szCs w:val="21"/>
                <w:highlight w:val="none"/>
              </w:rPr>
              <w:t>（注：本项目通信工程监理占比不足合同额的30%）</w:t>
            </w:r>
            <w:r>
              <w:rPr>
                <w:rFonts w:hint="eastAsia" w:ascii="宋体" w:hAnsi="宋体"/>
                <w:bCs/>
                <w:color w:val="auto"/>
                <w:szCs w:val="21"/>
                <w:highlight w:val="none"/>
              </w:rPr>
              <w:t>。</w:t>
            </w:r>
          </w:p>
          <w:p w14:paraId="3C23BE68">
            <w:pPr>
              <w:spacing w:line="360" w:lineRule="auto"/>
              <w:rPr>
                <w:rFonts w:hint="eastAsia" w:ascii="宋体" w:hAnsi="宋体"/>
                <w:bCs/>
                <w:color w:val="auto"/>
                <w:szCs w:val="21"/>
                <w:highlight w:val="none"/>
              </w:rPr>
            </w:pPr>
            <w:r>
              <w:rPr>
                <w:rFonts w:hint="eastAsia" w:ascii="宋体" w:hAnsi="宋体"/>
                <w:bCs/>
                <w:color w:val="auto"/>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7A7AF7C6">
            <w:pPr>
              <w:spacing w:line="360" w:lineRule="auto"/>
              <w:rPr>
                <w:rFonts w:hint="eastAsia" w:ascii="宋体" w:hAnsi="宋体"/>
                <w:bCs/>
                <w:color w:val="auto"/>
                <w:szCs w:val="21"/>
                <w:highlight w:val="none"/>
              </w:rPr>
            </w:pPr>
            <w:r>
              <w:rPr>
                <w:rFonts w:hint="eastAsia" w:ascii="宋体" w:hAnsi="宋体"/>
                <w:bCs/>
                <w:color w:val="auto"/>
                <w:szCs w:val="21"/>
                <w:highlight w:val="none"/>
              </w:rPr>
              <w:t>4.小微企业划分标准按照《工业和信息化部 国家统计局 国家发展和改革委员会 财政部关于印发中小企业划型标准规定的通知》（工信部联企业〔2011〕300号）执行。本招标项目属于</w:t>
            </w:r>
            <w:r>
              <w:rPr>
                <w:rFonts w:hint="eastAsia" w:ascii="宋体" w:hAnsi="宋体"/>
                <w:b/>
                <w:color w:val="auto"/>
                <w:szCs w:val="21"/>
                <w:highlight w:val="none"/>
                <w:u w:val="single"/>
              </w:rPr>
              <w:t>其他未列明行业</w:t>
            </w:r>
            <w:r>
              <w:rPr>
                <w:rFonts w:hint="eastAsia" w:ascii="宋体" w:hAnsi="宋体"/>
                <w:bCs/>
                <w:color w:val="auto"/>
                <w:szCs w:val="21"/>
                <w:highlight w:val="none"/>
              </w:rPr>
              <w:t>，从业人员300人以下的为中小微型企业。其中，从业人员100人及以上的为中型企业；从业人员10人及以上的为小型企业；从业人员10人以下的为微型企业。</w:t>
            </w:r>
          </w:p>
          <w:p w14:paraId="103A5375">
            <w:pPr>
              <w:numPr>
                <w:ilvl w:val="0"/>
                <w:numId w:val="0"/>
              </w:numPr>
              <w:autoSpaceDE w:val="0"/>
              <w:autoSpaceDN w:val="0"/>
              <w:adjustRightInd w:val="0"/>
              <w:spacing w:line="360" w:lineRule="auto"/>
              <w:ind w:firstLine="0" w:firstLineChars="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b/>
                <w:color w:val="auto"/>
                <w:szCs w:val="21"/>
                <w:highlight w:val="none"/>
              </w:rPr>
              <w:t>注：</w:t>
            </w:r>
            <w:r>
              <w:rPr>
                <w:rFonts w:hint="eastAsia" w:ascii="宋体" w:hAnsi="宋体"/>
                <w:bCs/>
                <w:color w:val="auto"/>
                <w:szCs w:val="21"/>
                <w:highlight w:val="none"/>
              </w:rPr>
              <w:t>（1）小微企业，是指在中华人民共和国境内依法设立，依据国务院批准的中小企业划分标准确定的小型企业和微型企业，但与大企业的负责人为同一人，或者与大企业存在直接控股、管理关系的除外。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r>
              <w:rPr>
                <w:rFonts w:hint="eastAsia" w:ascii="宋体" w:hAnsi="宋体" w:cs="宋体"/>
                <w:color w:val="auto"/>
                <w:kern w:val="2"/>
                <w:szCs w:val="21"/>
                <w:highlight w:val="none"/>
                <w:u w:val="single"/>
              </w:rPr>
              <w:t>组成联合体的小微企业与联合体内其他企业之间存在直接控股、管理关系的，不享受价格评分优惠。</w:t>
            </w:r>
          </w:p>
          <w:p w14:paraId="1DE9653C">
            <w:pPr>
              <w:spacing w:line="360" w:lineRule="auto"/>
              <w:rPr>
                <w:rFonts w:hint="eastAsia" w:ascii="宋体" w:hAnsi="宋体"/>
                <w:bCs/>
                <w:color w:val="auto"/>
                <w:szCs w:val="21"/>
                <w:highlight w:val="none"/>
              </w:rPr>
            </w:pPr>
            <w:r>
              <w:rPr>
                <w:rFonts w:hint="eastAsia" w:ascii="宋体" w:hAnsi="宋体"/>
                <w:bCs/>
                <w:color w:val="auto"/>
                <w:szCs w:val="21"/>
                <w:highlight w:val="none"/>
              </w:rPr>
              <w:t>（2）事业单位、社会组织等非企业主体不享受中小企业扶持政策。</w:t>
            </w:r>
          </w:p>
          <w:p w14:paraId="537E36A9">
            <w:pPr>
              <w:spacing w:line="360" w:lineRule="auto"/>
              <w:rPr>
                <w:rFonts w:hint="eastAsia" w:ascii="宋体" w:hAnsi="宋体"/>
                <w:bCs/>
                <w:color w:val="auto"/>
                <w:szCs w:val="21"/>
                <w:highlight w:val="none"/>
              </w:rPr>
            </w:pPr>
            <w:r>
              <w:rPr>
                <w:rFonts w:hint="eastAsia" w:ascii="宋体" w:hAnsi="宋体"/>
                <w:bCs/>
                <w:color w:val="auto"/>
                <w:szCs w:val="21"/>
                <w:highlight w:val="none"/>
              </w:rPr>
              <w:t>（3）公示期间如有异议、投诉的，被异议、投诉单位需提供注册登记所在地的县级以上人民政府中小企业主管部门认定函。</w:t>
            </w:r>
          </w:p>
          <w:p w14:paraId="57572AE8">
            <w:pPr>
              <w:spacing w:line="360" w:lineRule="auto"/>
              <w:rPr>
                <w:rFonts w:hint="eastAsia" w:ascii="宋体" w:hAnsi="宋体"/>
                <w:bCs/>
                <w:color w:val="auto"/>
                <w:szCs w:val="21"/>
                <w:highlight w:val="none"/>
              </w:rPr>
            </w:pPr>
            <w:r>
              <w:rPr>
                <w:rFonts w:hint="eastAsia" w:ascii="宋体" w:hAnsi="宋体"/>
                <w:bCs/>
                <w:color w:val="auto"/>
                <w:szCs w:val="21"/>
                <w:highlight w:val="none"/>
              </w:rPr>
              <w:t>（4）规定享受扶持政策获得承包合同的，小微企业不得将合同分包给大中型企业，中型企业不得将合同分包给大型企业。</w:t>
            </w:r>
          </w:p>
          <w:p w14:paraId="6B298B25">
            <w:pPr>
              <w:spacing w:line="360" w:lineRule="auto"/>
              <w:rPr>
                <w:rFonts w:hint="eastAsia" w:ascii="宋体" w:hAnsi="宋体"/>
                <w:bCs/>
                <w:color w:val="auto"/>
                <w:szCs w:val="21"/>
                <w:highlight w:val="none"/>
              </w:rPr>
            </w:pPr>
            <w:r>
              <w:rPr>
                <w:rFonts w:hint="eastAsia" w:ascii="宋体" w:hAnsi="宋体"/>
                <w:bCs/>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w:t>
            </w:r>
          </w:p>
          <w:p w14:paraId="57FD5030">
            <w:pPr>
              <w:spacing w:line="360" w:lineRule="auto"/>
              <w:rPr>
                <w:rFonts w:hint="eastAsia" w:ascii="宋体" w:hAnsi="宋体"/>
                <w:bCs/>
                <w:color w:val="auto"/>
                <w:szCs w:val="21"/>
                <w:highlight w:val="none"/>
              </w:rPr>
            </w:pPr>
            <w:r>
              <w:rPr>
                <w:rFonts w:hint="eastAsia" w:ascii="宋体" w:hAnsi="宋体"/>
                <w:bCs/>
                <w:color w:val="auto"/>
                <w:szCs w:val="21"/>
                <w:highlight w:val="none"/>
              </w:rPr>
              <w:t>（6）根据《财政部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w:t>
            </w:r>
          </w:p>
          <w:p w14:paraId="78FA2BFF">
            <w:pPr>
              <w:tabs>
                <w:tab w:val="left" w:pos="312"/>
              </w:tabs>
              <w:adjustRightInd w:val="0"/>
              <w:spacing w:line="360" w:lineRule="auto"/>
              <w:jc w:val="left"/>
              <w:rPr>
                <w:rFonts w:hint="eastAsia" w:ascii="Calibri" w:hAnsi="宋体"/>
                <w:color w:val="auto"/>
                <w:kern w:val="2"/>
                <w:sz w:val="21"/>
                <w:szCs w:val="24"/>
                <w:highlight w:val="none"/>
                <w:lang w:val="en-US" w:eastAsia="zh-CN" w:bidi="ar-SA"/>
              </w:rPr>
            </w:pPr>
            <w:r>
              <w:rPr>
                <w:rFonts w:hint="eastAsia" w:ascii="宋体" w:hAnsi="宋体"/>
                <w:bCs/>
                <w:color w:val="auto"/>
                <w:szCs w:val="21"/>
                <w:highlight w:val="none"/>
              </w:rPr>
              <w:t>（7）监狱企业或残疾人福利性单位属于小型、微型企业的，不重复享受政策。</w:t>
            </w:r>
          </w:p>
        </w:tc>
      </w:tr>
    </w:tbl>
    <w:p w14:paraId="53C366A2">
      <w:pPr>
        <w:bidi w:val="0"/>
        <w:spacing w:line="360" w:lineRule="auto"/>
        <w:jc w:val="center"/>
        <w:rPr>
          <w:rFonts w:hint="default"/>
          <w:b/>
          <w:bCs/>
          <w:color w:val="auto"/>
          <w:sz w:val="28"/>
          <w:szCs w:val="28"/>
          <w:highlight w:val="none"/>
        </w:rPr>
      </w:pPr>
    </w:p>
    <w:p w14:paraId="1E6BD527">
      <w:pPr>
        <w:bidi w:val="0"/>
        <w:spacing w:line="360" w:lineRule="auto"/>
        <w:jc w:val="center"/>
        <w:rPr>
          <w:rFonts w:hint="default"/>
          <w:b/>
          <w:bCs/>
          <w:color w:val="auto"/>
          <w:sz w:val="28"/>
          <w:szCs w:val="28"/>
          <w:highlight w:val="none"/>
        </w:rPr>
      </w:pPr>
    </w:p>
    <w:p w14:paraId="2056B8A0">
      <w:pPr>
        <w:bidi w:val="0"/>
        <w:spacing w:line="360" w:lineRule="auto"/>
        <w:jc w:val="center"/>
        <w:rPr>
          <w:rFonts w:hint="default"/>
          <w:b/>
          <w:bCs/>
          <w:color w:val="auto"/>
          <w:sz w:val="28"/>
          <w:szCs w:val="28"/>
          <w:highlight w:val="none"/>
        </w:rPr>
      </w:pPr>
    </w:p>
    <w:p w14:paraId="707C01FE">
      <w:pPr>
        <w:bidi w:val="0"/>
        <w:spacing w:line="360" w:lineRule="auto"/>
        <w:jc w:val="center"/>
        <w:rPr>
          <w:rFonts w:hint="default"/>
          <w:b/>
          <w:bCs/>
          <w:color w:val="auto"/>
          <w:sz w:val="28"/>
          <w:szCs w:val="28"/>
          <w:highlight w:val="none"/>
        </w:rPr>
      </w:pPr>
    </w:p>
    <w:p w14:paraId="7B82D64C">
      <w:pPr>
        <w:bidi w:val="0"/>
        <w:spacing w:line="360" w:lineRule="auto"/>
        <w:jc w:val="center"/>
        <w:rPr>
          <w:rFonts w:hint="default"/>
          <w:b/>
          <w:bCs/>
          <w:color w:val="auto"/>
          <w:sz w:val="28"/>
          <w:szCs w:val="28"/>
          <w:highlight w:val="none"/>
        </w:rPr>
      </w:pPr>
    </w:p>
    <w:p w14:paraId="469F5838">
      <w:pPr>
        <w:bidi w:val="0"/>
        <w:spacing w:line="360" w:lineRule="auto"/>
        <w:jc w:val="center"/>
        <w:rPr>
          <w:rFonts w:hint="default"/>
          <w:b/>
          <w:bCs/>
          <w:color w:val="auto"/>
          <w:sz w:val="28"/>
          <w:szCs w:val="28"/>
          <w:highlight w:val="none"/>
        </w:rPr>
      </w:pPr>
    </w:p>
    <w:p w14:paraId="16562F45">
      <w:pPr>
        <w:tabs>
          <w:tab w:val="left" w:pos="105"/>
        </w:tabs>
        <w:spacing w:line="360" w:lineRule="auto"/>
        <w:ind w:left="720"/>
        <w:jc w:val="center"/>
        <w:rPr>
          <w:rFonts w:hint="eastAsia" w:ascii="宋体" w:hAnsi="宋体" w:cs="宋体"/>
          <w:b/>
          <w:color w:val="auto"/>
          <w:szCs w:val="21"/>
          <w:highlight w:val="none"/>
        </w:rPr>
      </w:pPr>
    </w:p>
    <w:p w14:paraId="170F38F9">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2F1EE5C">
      <w:pPr>
        <w:tabs>
          <w:tab w:val="left" w:pos="105"/>
        </w:tabs>
        <w:spacing w:line="360" w:lineRule="auto"/>
        <w:ind w:left="720"/>
        <w:jc w:val="center"/>
        <w:rPr>
          <w:rFonts w:ascii="宋体" w:hAnsi="宋体" w:cs="宋体"/>
          <w:b/>
          <w:color w:val="auto"/>
          <w:szCs w:val="21"/>
          <w:highlight w:val="none"/>
        </w:rPr>
      </w:pPr>
      <w:r>
        <w:rPr>
          <w:rFonts w:hint="eastAsia" w:ascii="宋体" w:hAnsi="宋体" w:cs="宋体"/>
          <w:b/>
          <w:color w:val="auto"/>
          <w:szCs w:val="21"/>
          <w:highlight w:val="none"/>
        </w:rPr>
        <w:t>项目监理团队人员组成配置要求</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669"/>
        <w:gridCol w:w="1113"/>
        <w:gridCol w:w="3126"/>
        <w:gridCol w:w="2683"/>
      </w:tblGrid>
      <w:tr w14:paraId="2E04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2D24BBE0">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4C091CF8">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岗位</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6EF7C0A">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最低要求数量</w:t>
            </w:r>
          </w:p>
        </w:tc>
        <w:tc>
          <w:tcPr>
            <w:tcW w:w="1693" w:type="pct"/>
            <w:tcBorders>
              <w:top w:val="single" w:color="auto" w:sz="4" w:space="0"/>
              <w:left w:val="single" w:color="auto" w:sz="4" w:space="0"/>
              <w:bottom w:val="single" w:color="auto" w:sz="4" w:space="0"/>
              <w:right w:val="single" w:color="auto" w:sz="4" w:space="0"/>
            </w:tcBorders>
            <w:noWrap w:val="0"/>
            <w:vAlign w:val="center"/>
          </w:tcPr>
          <w:p w14:paraId="4A614213">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基本要求</w:t>
            </w:r>
          </w:p>
        </w:tc>
        <w:tc>
          <w:tcPr>
            <w:tcW w:w="1453" w:type="pct"/>
            <w:tcBorders>
              <w:top w:val="single" w:color="auto" w:sz="4" w:space="0"/>
              <w:left w:val="single" w:color="auto" w:sz="4" w:space="0"/>
              <w:bottom w:val="single" w:color="auto" w:sz="4" w:space="0"/>
              <w:right w:val="single" w:color="auto" w:sz="4" w:space="0"/>
            </w:tcBorders>
            <w:noWrap w:val="0"/>
            <w:vAlign w:val="center"/>
          </w:tcPr>
          <w:p w14:paraId="44D474AD">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备注（应提供如下证明材料等）</w:t>
            </w:r>
          </w:p>
        </w:tc>
      </w:tr>
      <w:tr w14:paraId="7BE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4DA78DD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65DE476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C49CB14">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1名</w:t>
            </w:r>
          </w:p>
        </w:tc>
        <w:tc>
          <w:tcPr>
            <w:tcW w:w="1693" w:type="pct"/>
            <w:tcBorders>
              <w:top w:val="single" w:color="auto" w:sz="4" w:space="0"/>
              <w:left w:val="single" w:color="auto" w:sz="4" w:space="0"/>
              <w:bottom w:val="single" w:color="auto" w:sz="4" w:space="0"/>
              <w:right w:val="single" w:color="auto" w:sz="4" w:space="0"/>
            </w:tcBorders>
            <w:noWrap w:val="0"/>
            <w:vAlign w:val="center"/>
          </w:tcPr>
          <w:p w14:paraId="2FFBD148">
            <w:pPr>
              <w:adjustRightInd w:val="0"/>
              <w:snapToGrid w:val="0"/>
              <w:spacing w:line="360" w:lineRule="auto"/>
              <w:jc w:val="center"/>
              <w:rPr>
                <w:color w:val="auto"/>
                <w:highlight w:val="none"/>
              </w:rPr>
            </w:pPr>
            <w:r>
              <w:rPr>
                <w:rFonts w:hint="eastAsia" w:ascii="宋体" w:hAnsi="宋体"/>
                <w:color w:val="auto"/>
                <w:szCs w:val="21"/>
                <w:highlight w:val="none"/>
              </w:rPr>
              <w:t>资格要求与招标公告要求一致；</w:t>
            </w:r>
          </w:p>
        </w:tc>
        <w:tc>
          <w:tcPr>
            <w:tcW w:w="1453" w:type="pct"/>
            <w:tcBorders>
              <w:top w:val="single" w:color="auto" w:sz="4" w:space="0"/>
              <w:left w:val="single" w:color="auto" w:sz="4" w:space="0"/>
              <w:bottom w:val="single" w:color="auto" w:sz="4" w:space="0"/>
              <w:right w:val="single" w:color="auto" w:sz="4" w:space="0"/>
            </w:tcBorders>
            <w:noWrap w:val="0"/>
            <w:vAlign w:val="center"/>
          </w:tcPr>
          <w:p w14:paraId="1AA7F5BA">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注册监理工程师执业证书、职称证书</w:t>
            </w:r>
          </w:p>
        </w:tc>
      </w:tr>
      <w:tr w14:paraId="3AA8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2B43380A">
            <w:pPr>
              <w:adjustRightInd w:val="0"/>
              <w:snapToGrid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42234D4D">
            <w:pPr>
              <w:spacing w:line="360" w:lineRule="auto"/>
              <w:jc w:val="center"/>
              <w:rPr>
                <w:rFonts w:hint="eastAsia" w:ascii="宋体" w:hAnsi="Courier New"/>
                <w:color w:val="auto"/>
                <w:szCs w:val="21"/>
                <w:highlight w:val="none"/>
              </w:rPr>
            </w:pPr>
            <w:r>
              <w:rPr>
                <w:rFonts w:hint="eastAsia"/>
                <w:color w:val="auto"/>
                <w:highlight w:val="none"/>
              </w:rPr>
              <w:t>总监理工程师代表</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0DD6FD4">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1名</w:t>
            </w:r>
          </w:p>
        </w:tc>
        <w:tc>
          <w:tcPr>
            <w:tcW w:w="1693" w:type="pct"/>
            <w:tcBorders>
              <w:top w:val="single" w:color="auto" w:sz="4" w:space="0"/>
              <w:left w:val="single" w:color="auto" w:sz="4" w:space="0"/>
              <w:bottom w:val="single" w:color="auto" w:sz="4" w:space="0"/>
              <w:right w:val="single" w:color="auto" w:sz="4" w:space="0"/>
            </w:tcBorders>
            <w:noWrap w:val="0"/>
            <w:vAlign w:val="center"/>
          </w:tcPr>
          <w:p w14:paraId="7E0B2836">
            <w:pPr>
              <w:pStyle w:val="2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1、中级</w:t>
            </w:r>
            <w:r>
              <w:rPr>
                <w:rFonts w:ascii="宋体" w:hAnsi="宋体"/>
                <w:color w:val="auto"/>
                <w:szCs w:val="21"/>
                <w:highlight w:val="none"/>
                <w:lang w:eastAsia="zh-CN"/>
              </w:rPr>
              <w:t>或以上职称</w:t>
            </w:r>
            <w:r>
              <w:rPr>
                <w:rFonts w:hint="eastAsia" w:ascii="宋体" w:hAnsi="宋体"/>
                <w:color w:val="auto"/>
                <w:szCs w:val="21"/>
                <w:highlight w:val="none"/>
                <w:lang w:eastAsia="zh-CN"/>
              </w:rPr>
              <w:t>；</w:t>
            </w:r>
          </w:p>
          <w:p w14:paraId="1223ABE6">
            <w:pPr>
              <w:pStyle w:val="29"/>
              <w:spacing w:line="360" w:lineRule="auto"/>
              <w:ind w:left="0" w:leftChars="0"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lang w:eastAsia="zh-CN"/>
              </w:rPr>
              <w:t>2、持有</w:t>
            </w:r>
            <w:r>
              <w:rPr>
                <w:rFonts w:hint="eastAsia" w:ascii="宋体" w:hAnsi="宋体"/>
                <w:color w:val="auto"/>
                <w:szCs w:val="21"/>
                <w:highlight w:val="none"/>
                <w:lang w:eastAsia="zh-CN"/>
              </w:rPr>
              <w:t>省级或以上专业监理工程师上岗证或</w:t>
            </w:r>
            <w:r>
              <w:rPr>
                <w:rFonts w:hint="eastAsia" w:ascii="宋体" w:hAnsi="宋体"/>
                <w:color w:val="auto"/>
                <w:kern w:val="0"/>
                <w:szCs w:val="21"/>
                <w:highlight w:val="none"/>
                <w:lang w:eastAsia="zh-CN"/>
              </w:rPr>
              <w:t>持有注册监理工程师证书，</w:t>
            </w:r>
            <w:r>
              <w:rPr>
                <w:rFonts w:ascii="宋体" w:hAnsi="宋体"/>
                <w:color w:val="auto"/>
                <w:kern w:val="0"/>
                <w:szCs w:val="21"/>
                <w:highlight w:val="none"/>
                <w:lang w:eastAsia="zh-CN"/>
              </w:rPr>
              <w:t>专业为</w:t>
            </w:r>
            <w:r>
              <w:rPr>
                <w:rFonts w:hint="eastAsia" w:ascii="宋体" w:hAnsi="宋体"/>
                <w:color w:val="auto"/>
                <w:szCs w:val="21"/>
                <w:highlight w:val="none"/>
                <w:lang w:eastAsia="zh-CN"/>
              </w:rPr>
              <w:t>市政公用工程相关专业。</w:t>
            </w:r>
          </w:p>
        </w:tc>
        <w:tc>
          <w:tcPr>
            <w:tcW w:w="1453" w:type="pct"/>
            <w:tcBorders>
              <w:top w:val="single" w:color="auto" w:sz="4" w:space="0"/>
              <w:left w:val="single" w:color="auto" w:sz="4" w:space="0"/>
              <w:bottom w:val="single" w:color="auto" w:sz="4" w:space="0"/>
              <w:right w:val="single" w:color="auto" w:sz="4" w:space="0"/>
            </w:tcBorders>
            <w:noWrap w:val="0"/>
            <w:vAlign w:val="center"/>
          </w:tcPr>
          <w:p w14:paraId="653650F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职称证书、上岗证或注册监理工程师执业证书</w:t>
            </w:r>
          </w:p>
        </w:tc>
      </w:tr>
      <w:tr w14:paraId="2A8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6792614E">
            <w:pPr>
              <w:adjustRightInd w:val="0"/>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3A24ECC7">
            <w:pPr>
              <w:adjustRightInd w:val="0"/>
              <w:snapToGrid w:val="0"/>
              <w:spacing w:line="360" w:lineRule="auto"/>
              <w:jc w:val="center"/>
              <w:rPr>
                <w:rFonts w:ascii="宋体" w:hAnsi="宋体"/>
                <w:color w:val="auto"/>
                <w:szCs w:val="21"/>
                <w:highlight w:val="none"/>
              </w:rPr>
            </w:pPr>
            <w:r>
              <w:rPr>
                <w:rFonts w:hint="eastAsia" w:ascii="宋体" w:hAnsi="Courier New"/>
                <w:color w:val="auto"/>
                <w:szCs w:val="21"/>
                <w:highlight w:val="none"/>
              </w:rPr>
              <w:t>市政专业监理工程师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7C6EAD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名</w:t>
            </w:r>
          </w:p>
        </w:tc>
        <w:tc>
          <w:tcPr>
            <w:tcW w:w="1693" w:type="pct"/>
            <w:tcBorders>
              <w:top w:val="single" w:color="auto" w:sz="4" w:space="0"/>
              <w:left w:val="single" w:color="auto" w:sz="4" w:space="0"/>
              <w:bottom w:val="single" w:color="auto" w:sz="4" w:space="0"/>
              <w:right w:val="single" w:color="auto" w:sz="4" w:space="0"/>
            </w:tcBorders>
            <w:noWrap w:val="0"/>
            <w:vAlign w:val="center"/>
          </w:tcPr>
          <w:p w14:paraId="369727E1">
            <w:pPr>
              <w:adjustRightInd w:val="0"/>
              <w:snapToGrid w:val="0"/>
              <w:spacing w:line="360" w:lineRule="auto"/>
              <w:jc w:val="center"/>
              <w:rPr>
                <w:rFonts w:hint="eastAsia"/>
                <w:color w:val="auto"/>
                <w:szCs w:val="24"/>
                <w:highlight w:val="none"/>
              </w:rPr>
            </w:pPr>
            <w:r>
              <w:rPr>
                <w:rFonts w:hint="eastAsia" w:ascii="宋体" w:hAnsi="宋体"/>
                <w:color w:val="auto"/>
                <w:kern w:val="0"/>
                <w:szCs w:val="21"/>
                <w:highlight w:val="none"/>
              </w:rPr>
              <w:t>持有</w:t>
            </w:r>
            <w:r>
              <w:rPr>
                <w:rFonts w:hint="eastAsia" w:ascii="宋体" w:hAnsi="宋体"/>
                <w:color w:val="auto"/>
                <w:szCs w:val="21"/>
                <w:highlight w:val="none"/>
              </w:rPr>
              <w:t>省级或以上专业监理工程师上岗证或培训证或</w:t>
            </w:r>
            <w:r>
              <w:rPr>
                <w:rFonts w:hint="eastAsia" w:ascii="宋体" w:hAnsi="宋体"/>
                <w:color w:val="auto"/>
                <w:kern w:val="0"/>
                <w:szCs w:val="21"/>
                <w:highlight w:val="none"/>
              </w:rPr>
              <w:t>持有注册监理工程师证书，</w:t>
            </w:r>
            <w:r>
              <w:rPr>
                <w:rFonts w:ascii="宋体" w:hAnsi="宋体"/>
                <w:color w:val="auto"/>
                <w:kern w:val="0"/>
                <w:szCs w:val="21"/>
                <w:highlight w:val="none"/>
              </w:rPr>
              <w:t>专业为</w:t>
            </w:r>
            <w:r>
              <w:rPr>
                <w:rFonts w:hint="eastAsia" w:ascii="宋体" w:hAnsi="宋体"/>
                <w:color w:val="auto"/>
                <w:szCs w:val="21"/>
                <w:highlight w:val="none"/>
              </w:rPr>
              <w:t>市政公用工程相关专业。</w:t>
            </w:r>
          </w:p>
        </w:tc>
        <w:tc>
          <w:tcPr>
            <w:tcW w:w="1453" w:type="pct"/>
            <w:tcBorders>
              <w:top w:val="single" w:color="auto" w:sz="4" w:space="0"/>
              <w:left w:val="single" w:color="auto" w:sz="4" w:space="0"/>
              <w:bottom w:val="single" w:color="auto" w:sz="4" w:space="0"/>
              <w:right w:val="single" w:color="auto" w:sz="4" w:space="0"/>
            </w:tcBorders>
            <w:noWrap w:val="0"/>
            <w:vAlign w:val="center"/>
          </w:tcPr>
          <w:p w14:paraId="1476E37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上岗证或培训证或注册监理工程师执业证书</w:t>
            </w:r>
          </w:p>
        </w:tc>
      </w:tr>
      <w:tr w14:paraId="573D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065B05C1">
            <w:pPr>
              <w:adjustRightInd w:val="0"/>
              <w:snapToGrid w:val="0"/>
              <w:spacing w:line="360" w:lineRule="auto"/>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bidi="ar"/>
              </w:rPr>
              <w:t>4</w:t>
            </w:r>
          </w:p>
        </w:tc>
        <w:tc>
          <w:tcPr>
            <w:tcW w:w="9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C2A69">
            <w:pPr>
              <w:adjustRightInd w:val="0"/>
              <w:snapToGrid w:val="0"/>
              <w:spacing w:line="360" w:lineRule="auto"/>
              <w:jc w:val="center"/>
              <w:rPr>
                <w:rFonts w:hint="eastAsia" w:ascii="宋体" w:hAnsi="Courier New" w:eastAsia="宋体" w:cs="宋体"/>
                <w:color w:val="auto"/>
                <w:kern w:val="2"/>
                <w:sz w:val="21"/>
                <w:szCs w:val="21"/>
                <w:highlight w:val="none"/>
                <w:lang w:val="en-US" w:eastAsia="zh-CN" w:bidi="ar"/>
              </w:rPr>
            </w:pPr>
            <w:r>
              <w:rPr>
                <w:rFonts w:hint="eastAsia" w:ascii="宋体" w:hAnsi="Courier New" w:cs="宋体"/>
                <w:color w:val="auto"/>
                <w:szCs w:val="21"/>
                <w:highlight w:val="none"/>
                <w:lang w:eastAsia="zh-CN" w:bidi="ar"/>
              </w:rPr>
              <w:t>机电安装</w:t>
            </w:r>
            <w:r>
              <w:rPr>
                <w:rFonts w:hint="eastAsia" w:ascii="宋体" w:hAnsi="Courier New" w:cs="宋体"/>
                <w:color w:val="auto"/>
                <w:szCs w:val="21"/>
                <w:highlight w:val="none"/>
                <w:lang w:bidi="ar"/>
              </w:rPr>
              <w:t>工程专业监理工程师</w:t>
            </w: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72829B">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bidi="ar"/>
              </w:rPr>
              <w:t>1名</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990B">
            <w:pPr>
              <w:adjustRightInd w:val="0"/>
              <w:snapToGrid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持有</w:t>
            </w:r>
            <w:r>
              <w:rPr>
                <w:rFonts w:hint="eastAsia" w:ascii="宋体" w:hAnsi="宋体" w:cs="宋体"/>
                <w:color w:val="auto"/>
                <w:szCs w:val="21"/>
                <w:highlight w:val="none"/>
                <w:lang w:bidi="ar"/>
              </w:rPr>
              <w:t>省级或以上专业监理工程师上岗证或培训证或</w:t>
            </w:r>
            <w:r>
              <w:rPr>
                <w:rFonts w:hint="eastAsia" w:ascii="宋体" w:hAnsi="宋体" w:cs="宋体"/>
                <w:color w:val="auto"/>
                <w:kern w:val="0"/>
                <w:szCs w:val="21"/>
                <w:highlight w:val="none"/>
                <w:lang w:bidi="ar"/>
              </w:rPr>
              <w:t>持有注册监理工程师证书，</w:t>
            </w:r>
            <w:r>
              <w:rPr>
                <w:rFonts w:hint="eastAsia" w:ascii="宋体" w:hAnsi="宋体" w:cs="宋体"/>
                <w:color w:val="auto"/>
                <w:szCs w:val="21"/>
                <w:highlight w:val="none"/>
                <w:lang w:bidi="ar"/>
              </w:rPr>
              <w:t>专业为</w:t>
            </w:r>
            <w:r>
              <w:rPr>
                <w:rFonts w:hint="eastAsia" w:ascii="宋体" w:hAnsi="Courier New" w:cs="宋体"/>
                <w:color w:val="auto"/>
                <w:szCs w:val="21"/>
                <w:highlight w:val="none"/>
                <w:lang w:eastAsia="zh-CN" w:bidi="ar"/>
              </w:rPr>
              <w:t>机电安装</w:t>
            </w:r>
            <w:r>
              <w:rPr>
                <w:rFonts w:hint="eastAsia" w:ascii="宋体" w:hAnsi="宋体" w:cs="宋体"/>
                <w:color w:val="auto"/>
                <w:szCs w:val="21"/>
                <w:highlight w:val="none"/>
                <w:lang w:bidi="ar"/>
              </w:rPr>
              <w:t>工程相关专业。</w:t>
            </w:r>
          </w:p>
        </w:tc>
        <w:tc>
          <w:tcPr>
            <w:tcW w:w="1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F9B8C9">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bidi="ar"/>
              </w:rPr>
              <w:t>上岗证或培训证或注册监理工程师执业证书</w:t>
            </w:r>
          </w:p>
        </w:tc>
      </w:tr>
      <w:tr w14:paraId="4438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054F142F">
            <w:pPr>
              <w:adjustRightInd w:val="0"/>
              <w:snapToGrid w:val="0"/>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9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BB0375">
            <w:pPr>
              <w:adjustRightInd w:val="0"/>
              <w:snapToGrid w:val="0"/>
              <w:spacing w:line="360" w:lineRule="auto"/>
              <w:jc w:val="center"/>
              <w:rPr>
                <w:rFonts w:hint="eastAsia" w:ascii="宋体" w:hAnsi="Courier New" w:eastAsia="宋体" w:cs="Times New Roman"/>
                <w:color w:val="auto"/>
                <w:kern w:val="2"/>
                <w:sz w:val="21"/>
                <w:szCs w:val="21"/>
                <w:highlight w:val="none"/>
                <w:lang w:val="en-US" w:eastAsia="zh-CN" w:bidi="ar-SA"/>
              </w:rPr>
            </w:pPr>
            <w:r>
              <w:rPr>
                <w:rFonts w:hint="eastAsia" w:ascii="宋体" w:hAnsi="Courier New" w:cs="宋体"/>
                <w:color w:val="auto"/>
                <w:szCs w:val="21"/>
                <w:highlight w:val="none"/>
                <w:lang w:bidi="ar"/>
              </w:rPr>
              <w:t>造价负责人</w:t>
            </w: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BF5E73">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bidi="ar"/>
              </w:rPr>
              <w:t>1名</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0A6E51">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lang w:bidi="ar"/>
              </w:rPr>
              <w:t>持有</w:t>
            </w:r>
            <w:r>
              <w:rPr>
                <w:rFonts w:hint="eastAsia" w:ascii="宋体" w:hAnsi="宋体" w:cs="宋体"/>
                <w:color w:val="auto"/>
                <w:szCs w:val="21"/>
                <w:highlight w:val="none"/>
                <w:lang w:bidi="ar"/>
              </w:rPr>
              <w:t>国家注册造价工程师或</w:t>
            </w:r>
            <w:r>
              <w:rPr>
                <w:rFonts w:hint="eastAsia" w:ascii="宋体" w:hAnsi="Courier New" w:cs="宋体"/>
                <w:color w:val="auto"/>
                <w:szCs w:val="21"/>
                <w:highlight w:val="none"/>
                <w:lang w:bidi="ar"/>
              </w:rPr>
              <w:t>一级注册造价工程师。</w:t>
            </w:r>
            <w:r>
              <w:rPr>
                <w:rFonts w:hint="eastAsia" w:ascii="宋体" w:hAnsi="宋体" w:cs="宋体"/>
                <w:color w:val="auto"/>
                <w:szCs w:val="21"/>
                <w:highlight w:val="none"/>
                <w:lang w:bidi="ar"/>
              </w:rPr>
              <w:t>专业为土木建筑工程相关专业。</w:t>
            </w:r>
          </w:p>
        </w:tc>
        <w:tc>
          <w:tcPr>
            <w:tcW w:w="1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73F4D0">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bidi="ar"/>
              </w:rPr>
              <w:t>国家注册造价工程师注册证书或注册一级造价工程师注册证书</w:t>
            </w:r>
          </w:p>
        </w:tc>
      </w:tr>
      <w:tr w14:paraId="58F2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14:paraId="68129945">
            <w:pPr>
              <w:adjustRightInd w:val="0"/>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9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CE08DE">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监理员</w:t>
            </w: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E79613">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r>
              <w:rPr>
                <w:rFonts w:hint="eastAsia" w:ascii="宋体" w:hAnsi="宋体"/>
                <w:color w:val="auto"/>
                <w:szCs w:val="21"/>
                <w:highlight w:val="none"/>
              </w:rPr>
              <w:t>名</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F9E26D">
            <w:pPr>
              <w:pStyle w:val="15"/>
              <w:spacing w:line="360" w:lineRule="auto"/>
              <w:jc w:val="center"/>
              <w:rPr>
                <w:rFonts w:hint="eastAsia" w:ascii="宋体" w:hAnsi="Courier New" w:eastAsia="宋体" w:cs="Courier New"/>
                <w:color w:val="auto"/>
                <w:kern w:val="2"/>
                <w:sz w:val="21"/>
                <w:szCs w:val="21"/>
                <w:highlight w:val="none"/>
                <w:lang w:val="en-US" w:eastAsia="zh-CN" w:bidi="ar-SA"/>
              </w:rPr>
            </w:pPr>
            <w:r>
              <w:rPr>
                <w:rFonts w:hint="eastAsia"/>
                <w:color w:val="auto"/>
                <w:highlight w:val="none"/>
              </w:rPr>
              <w:t>持有监理员上岗证或培训证，</w:t>
            </w:r>
            <w:r>
              <w:rPr>
                <w:rFonts w:hAnsi="宋体"/>
                <w:color w:val="auto"/>
                <w:highlight w:val="none"/>
              </w:rPr>
              <w:t>专业为</w:t>
            </w:r>
            <w:r>
              <w:rPr>
                <w:rFonts w:hint="eastAsia" w:hAnsi="宋体"/>
                <w:color w:val="auto"/>
                <w:highlight w:val="none"/>
              </w:rPr>
              <w:t>市政公用工程相关专业。</w:t>
            </w:r>
          </w:p>
        </w:tc>
        <w:tc>
          <w:tcPr>
            <w:tcW w:w="1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9B6DF9">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上岗证或培训证</w:t>
            </w:r>
          </w:p>
        </w:tc>
      </w:tr>
    </w:tbl>
    <w:p w14:paraId="7B1B5451">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w:t>
      </w:r>
      <w:r>
        <w:rPr>
          <w:rFonts w:ascii="宋体" w:hAnsi="宋体" w:cs="宋体"/>
          <w:color w:val="auto"/>
          <w:szCs w:val="21"/>
          <w:highlight w:val="none"/>
        </w:rPr>
        <w:t>20</w:t>
      </w:r>
      <w:r>
        <w:rPr>
          <w:rFonts w:hint="eastAsia" w:ascii="宋体" w:hAnsi="宋体" w:cs="宋体"/>
          <w:color w:val="auto"/>
          <w:szCs w:val="21"/>
          <w:highlight w:val="none"/>
        </w:rPr>
        <w:t>〕1号）确定]，可承担相应专业监理工程师岗位。</w:t>
      </w:r>
    </w:p>
    <w:p w14:paraId="2F144D20">
      <w:pPr>
        <w:pStyle w:val="29"/>
        <w:spacing w:line="360" w:lineRule="auto"/>
        <w:ind w:left="0" w:leftChars="0"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②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7A628C1B">
      <w:pPr>
        <w:pStyle w:val="29"/>
        <w:spacing w:after="0" w:line="360" w:lineRule="auto"/>
        <w:ind w:left="0" w:leftChars="0"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③总监理工程师及监理机构人员资格、证书及社保证明等方面内容必须提供相应的证明材料；</w:t>
      </w:r>
      <w:r>
        <w:rPr>
          <w:rFonts w:ascii="宋体" w:hAnsi="宋体" w:cs="宋体"/>
          <w:color w:val="auto"/>
          <w:szCs w:val="21"/>
          <w:highlight w:val="none"/>
          <w:lang w:eastAsia="zh-CN"/>
        </w:rPr>
        <w:t>所投入人员必须为投标人本单位人员，所有人员须提供近一个月（</w:t>
      </w:r>
      <w:r>
        <w:rPr>
          <w:rFonts w:hint="eastAsia" w:ascii="宋体" w:hAnsi="宋体" w:cs="宋体"/>
          <w:color w:val="auto"/>
          <w:szCs w:val="21"/>
          <w:highlight w:val="none"/>
          <w:lang w:eastAsia="zh-CN"/>
        </w:rPr>
        <w:t>指202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月</w:t>
      </w:r>
      <w:r>
        <w:rPr>
          <w:rFonts w:ascii="宋体" w:hAnsi="宋体" w:cs="宋体"/>
          <w:color w:val="auto"/>
          <w:szCs w:val="21"/>
          <w:highlight w:val="none"/>
          <w:lang w:eastAsia="zh-CN"/>
        </w:rPr>
        <w:t>）在本投标单位购买社保缴纳证明材料，提供证明资料的清晰扫描件并加盖投标单位电子印章，否则不计分。</w:t>
      </w:r>
      <w:r>
        <w:rPr>
          <w:rFonts w:hint="eastAsia" w:ascii="宋体" w:hAnsi="宋体" w:cs="宋体"/>
          <w:color w:val="auto"/>
          <w:szCs w:val="21"/>
          <w:highlight w:val="none"/>
          <w:lang w:eastAsia="zh-CN"/>
        </w:rPr>
        <w:t>专业以上岗证或培训证或注册证所列专业为准，若相关证书没有显示专业的，则需提供可证明专业的其他证明材料。</w:t>
      </w:r>
    </w:p>
    <w:p w14:paraId="07EBBDB7">
      <w:pPr>
        <w:spacing w:line="360" w:lineRule="auto"/>
        <w:rPr>
          <w:rFonts w:ascii="宋体" w:hAnsi="宋体" w:cs="宋体"/>
          <w:color w:val="auto"/>
          <w:szCs w:val="21"/>
          <w:highlight w:val="none"/>
        </w:rPr>
      </w:pPr>
      <w:r>
        <w:rPr>
          <w:rFonts w:hint="eastAsia" w:ascii="宋体" w:hAnsi="宋体" w:cs="宋体"/>
          <w:color w:val="auto"/>
          <w:szCs w:val="21"/>
          <w:highlight w:val="none"/>
        </w:rPr>
        <w:t>④除总监理工程师外，上述人员要求不作为形式评审、资格评审、响应性评审的审查依据，只作为综合评分表中的评审依据。</w:t>
      </w:r>
    </w:p>
    <w:p w14:paraId="31127E4C">
      <w:pPr>
        <w:bidi w:val="0"/>
        <w:spacing w:line="360" w:lineRule="auto"/>
        <w:jc w:val="center"/>
        <w:rPr>
          <w:rFonts w:hint="default"/>
          <w:b/>
          <w:bCs/>
          <w:color w:val="auto"/>
          <w:sz w:val="28"/>
          <w:szCs w:val="28"/>
          <w:highlight w:val="none"/>
        </w:rPr>
      </w:pPr>
      <w:r>
        <w:rPr>
          <w:rFonts w:hint="default"/>
          <w:b/>
          <w:bCs/>
          <w:color w:val="auto"/>
          <w:sz w:val="28"/>
          <w:szCs w:val="28"/>
          <w:highlight w:val="none"/>
        </w:rPr>
        <w:br w:type="page"/>
      </w:r>
      <w:r>
        <w:rPr>
          <w:rFonts w:hint="default"/>
          <w:b/>
          <w:bCs/>
          <w:color w:val="auto"/>
          <w:sz w:val="28"/>
          <w:szCs w:val="28"/>
          <w:highlight w:val="none"/>
        </w:rPr>
        <w:t>投标须知修改表</w:t>
      </w:r>
      <w:bookmarkEnd w:id="56"/>
      <w:bookmarkEnd w:id="57"/>
      <w:bookmarkEnd w:id="58"/>
      <w:bookmarkEnd w:id="59"/>
      <w:bookmarkEnd w:id="60"/>
      <w:bookmarkEnd w:id="61"/>
      <w:bookmarkEnd w:id="62"/>
      <w:bookmarkEnd w:id="63"/>
      <w:bookmarkEnd w:id="64"/>
      <w:bookmarkEnd w:id="65"/>
    </w:p>
    <w:p w14:paraId="36E922B8">
      <w:pPr>
        <w:pStyle w:val="28"/>
        <w:spacing w:line="360" w:lineRule="auto"/>
        <w:rPr>
          <w:rFonts w:hint="default" w:ascii="宋体" w:hAnsi="宋体" w:eastAsia="宋体"/>
          <w:b w:val="0"/>
          <w:bCs/>
          <w:strike w:val="0"/>
          <w:dstrike w:val="0"/>
          <w:color w:val="auto"/>
          <w:sz w:val="24"/>
          <w:szCs w:val="24"/>
          <w:highlight w:val="none"/>
          <w:lang w:val="en-US"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707EF5D7">
      <w:pPr>
        <w:spacing w:line="360" w:lineRule="auto"/>
        <w:ind w:firstLine="495" w:firstLineChars="224"/>
        <w:rPr>
          <w:rFonts w:hint="eastAsia" w:ascii="宋体" w:hAnsi="宋体" w:eastAsia="宋体"/>
          <w:b/>
          <w:bCs/>
          <w:color w:val="auto"/>
          <w:sz w:val="22"/>
          <w:szCs w:val="22"/>
          <w:highlight w:val="none"/>
          <w:lang w:eastAsia="zh-CN"/>
        </w:rPr>
      </w:pPr>
      <w:r>
        <w:rPr>
          <w:rFonts w:hint="default" w:ascii="宋体" w:hAnsi="宋体" w:eastAsia="宋体"/>
          <w:b/>
          <w:bCs/>
          <w:color w:val="auto"/>
          <w:sz w:val="22"/>
          <w:szCs w:val="22"/>
          <w:highlight w:val="none"/>
        </w:rPr>
        <w:t>条款号：</w:t>
      </w:r>
      <w:r>
        <w:rPr>
          <w:rFonts w:hint="eastAsia" w:ascii="宋体" w:hAnsi="宋体" w:eastAsia="宋体"/>
          <w:b/>
          <w:bCs/>
          <w:color w:val="auto"/>
          <w:sz w:val="22"/>
          <w:szCs w:val="22"/>
          <w:highlight w:val="none"/>
          <w:lang w:val="en-US" w:eastAsia="zh-CN"/>
        </w:rPr>
        <w:t>1.3.3</w:t>
      </w:r>
      <w:r>
        <w:rPr>
          <w:rFonts w:hint="default" w:ascii="宋体" w:hAnsi="宋体" w:eastAsia="宋体"/>
          <w:b/>
          <w:bCs/>
          <w:color w:val="auto"/>
          <w:sz w:val="22"/>
          <w:szCs w:val="22"/>
          <w:highlight w:val="none"/>
        </w:rPr>
        <w:t xml:space="preserve">             修改类型：</w:t>
      </w:r>
      <w:r>
        <w:rPr>
          <w:rFonts w:hint="eastAsia" w:ascii="宋体" w:hAnsi="宋体" w:eastAsia="宋体"/>
          <w:b/>
          <w:bCs/>
          <w:color w:val="auto"/>
          <w:sz w:val="22"/>
          <w:szCs w:val="22"/>
          <w:highlight w:val="none"/>
          <w:lang w:val="en-US" w:eastAsia="zh-CN"/>
        </w:rPr>
        <w:t>修改</w:t>
      </w:r>
    </w:p>
    <w:p w14:paraId="3B5EAC3E">
      <w:pPr>
        <w:spacing w:line="360" w:lineRule="auto"/>
        <w:ind w:firstLine="422" w:firstLineChars="200"/>
        <w:rPr>
          <w:rFonts w:hint="eastAsia"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ascii="宋体" w:hAnsi="宋体" w:cs="宋体"/>
          <w:color w:val="auto"/>
          <w:sz w:val="21"/>
          <w:szCs w:val="21"/>
          <w:highlight w:val="none"/>
        </w:rPr>
        <w:t xml:space="preserve">1.3.3 </w:t>
      </w:r>
      <w:r>
        <w:rPr>
          <w:rFonts w:hint="eastAsia" w:ascii="宋体" w:hAnsi="宋体" w:cs="宋体"/>
          <w:b w:val="0"/>
          <w:bCs w:val="0"/>
          <w:color w:val="auto"/>
          <w:sz w:val="21"/>
          <w:szCs w:val="21"/>
          <w:highlight w:val="none"/>
          <w:u w:val="none"/>
          <w:lang w:val="en-US" w:eastAsia="zh-CN"/>
        </w:rPr>
        <w:t>质量标准</w:t>
      </w:r>
      <w:r>
        <w:rPr>
          <w:rFonts w:hint="eastAsia" w:ascii="宋体" w:hAnsi="宋体" w:cs="宋体"/>
          <w:color w:val="auto"/>
          <w:sz w:val="21"/>
          <w:szCs w:val="21"/>
          <w:highlight w:val="none"/>
        </w:rPr>
        <w:t>：见投标人须知前附表。</w:t>
      </w:r>
    </w:p>
    <w:p w14:paraId="05F991BC">
      <w:pPr>
        <w:spacing w:line="360" w:lineRule="auto"/>
        <w:ind w:firstLine="420" w:firstLineChars="200"/>
        <w:rPr>
          <w:rFonts w:ascii="宋体" w:hAnsi="宋体" w:cs="宋体"/>
          <w:color w:val="auto"/>
          <w:sz w:val="21"/>
          <w:szCs w:val="21"/>
          <w:highlight w:val="none"/>
        </w:rPr>
      </w:pP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ragraph">
                  <wp:posOffset>225425</wp:posOffset>
                </wp:positionV>
                <wp:extent cx="5740400" cy="635"/>
                <wp:effectExtent l="0" t="0" r="0" b="0"/>
                <wp:wrapNone/>
                <wp:docPr id="8" name="直线 15"/>
                <wp:cNvGraphicFramePr/>
                <a:graphic xmlns:a="http://schemas.openxmlformats.org/drawingml/2006/main">
                  <a:graphicData uri="http://schemas.microsoft.com/office/word/2010/wordprocessingShape">
                    <wps:wsp>
                      <wps:cNvCnPr/>
                      <wps:spPr>
                        <a:xfrm>
                          <a:off x="0" y="0"/>
                          <a:ext cx="5740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2pt;margin-top:17.75pt;height:0.05pt;width:452pt;z-index:251666432;mso-width-relative:page;mso-height-relative:page;" filled="f" stroked="t" coordsize="21600,21600" o:gfxdata="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1rED1wAAAAgBAAAPAAAAAAAAAAEAIAAAACIAAABkcnMvZG93bnJldi54bWxQSwECFAAUAAAACACH&#10;TuJAjjpVS+wBAADeAwAADgAAAAAAAAABACAAAAAmAQAAZHJzL2Uyb0RvYy54bWxQSwUGAAAAAAYA&#10;BgBZAQAAhAUAAAAA&#10;">
                <v:fill on="f" focussize="0,0"/>
                <v:stroke color="#000000" joinstyle="round"/>
                <v:imagedata o:title=""/>
                <o:lock v:ext="edit" aspectratio="f"/>
              </v:line>
            </w:pict>
          </mc:Fallback>
        </mc:AlternateContent>
      </w:r>
      <w:r>
        <w:rPr>
          <w:rFonts w:hint="eastAsia"/>
          <w:b/>
          <w:bCs/>
          <w:color w:val="auto"/>
          <w:highlight w:val="none"/>
          <w:lang w:val="en-US" w:eastAsia="zh-CN"/>
        </w:rPr>
        <w:t>现文：</w:t>
      </w:r>
      <w:r>
        <w:rPr>
          <w:rFonts w:ascii="宋体" w:hAnsi="宋体" w:cs="宋体"/>
          <w:color w:val="auto"/>
          <w:sz w:val="21"/>
          <w:szCs w:val="21"/>
          <w:highlight w:val="none"/>
        </w:rPr>
        <w:t xml:space="preserve">1.3.3 </w:t>
      </w:r>
      <w:r>
        <w:rPr>
          <w:rFonts w:hint="eastAsia" w:ascii="宋体" w:hAnsi="宋体" w:cs="宋体"/>
          <w:b/>
          <w:bCs/>
          <w:color w:val="auto"/>
          <w:sz w:val="21"/>
          <w:szCs w:val="21"/>
          <w:highlight w:val="none"/>
          <w:u w:val="single"/>
          <w:lang w:val="en-US" w:eastAsia="zh-CN"/>
        </w:rPr>
        <w:t>监理目标</w:t>
      </w:r>
      <w:r>
        <w:rPr>
          <w:rFonts w:hint="eastAsia" w:ascii="宋体" w:hAnsi="宋体" w:cs="宋体"/>
          <w:color w:val="auto"/>
          <w:sz w:val="21"/>
          <w:szCs w:val="21"/>
          <w:highlight w:val="none"/>
        </w:rPr>
        <w:t>：见投标人须知前附表。</w:t>
      </w:r>
    </w:p>
    <w:p w14:paraId="0B0D7165">
      <w:pPr>
        <w:spacing w:line="48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3.1.1</w:t>
      </w:r>
      <w:r>
        <w:rPr>
          <w:rFonts w:hint="default" w:ascii="宋体" w:hAnsi="宋体" w:eastAsia="宋体"/>
          <w:b/>
          <w:bCs/>
          <w:color w:val="auto"/>
          <w:sz w:val="21"/>
          <w:szCs w:val="21"/>
          <w:highlight w:val="none"/>
        </w:rPr>
        <w:t xml:space="preserve">            修改类型：修改</w:t>
      </w:r>
    </w:p>
    <w:p w14:paraId="6966C8B4">
      <w:pPr>
        <w:spacing w:line="360" w:lineRule="auto"/>
        <w:ind w:firstLine="422" w:firstLineChars="200"/>
        <w:rPr>
          <w:rFonts w:ascii="宋体" w:hAnsi="宋体" w:cs="宋体"/>
          <w:color w:val="auto"/>
          <w:sz w:val="21"/>
          <w:szCs w:val="21"/>
          <w:highlight w:val="none"/>
        </w:rPr>
      </w:pPr>
      <w:r>
        <w:rPr>
          <w:rFonts w:hint="eastAsia" w:ascii="宋体" w:hAnsi="宋体" w:eastAsia="宋体"/>
          <w:b/>
          <w:bCs/>
          <w:color w:val="auto"/>
          <w:sz w:val="21"/>
          <w:szCs w:val="21"/>
          <w:highlight w:val="none"/>
          <w:lang w:val="en-US" w:eastAsia="zh-CN"/>
        </w:rPr>
        <w:t>原文</w:t>
      </w:r>
      <w:r>
        <w:rPr>
          <w:rFonts w:hint="eastAsia" w:ascii="宋体" w:hAnsi="宋体" w:eastAsia="宋体"/>
          <w:color w:val="auto"/>
          <w:sz w:val="21"/>
          <w:szCs w:val="21"/>
          <w:highlight w:val="none"/>
          <w:lang w:val="en-US" w:eastAsia="zh-CN"/>
        </w:rPr>
        <w:t>：</w:t>
      </w: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6DFAA13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58011CE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或授权委托书；</w:t>
      </w:r>
    </w:p>
    <w:p w14:paraId="46B8816E">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联合体协议书；</w:t>
      </w:r>
    </w:p>
    <w:p w14:paraId="2C822A4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投标保证金</w:t>
      </w:r>
      <w:r>
        <w:rPr>
          <w:rFonts w:hint="eastAsia" w:ascii="宋体" w:hAnsi="宋体" w:cs="宋体"/>
          <w:color w:val="auto"/>
          <w:sz w:val="21"/>
          <w:szCs w:val="21"/>
          <w:highlight w:val="none"/>
          <w:lang w:eastAsia="zh-CN"/>
        </w:rPr>
        <w:t>（如有）</w:t>
      </w:r>
      <w:r>
        <w:rPr>
          <w:rFonts w:hint="eastAsia" w:ascii="宋体" w:hAnsi="宋体" w:cs="宋体"/>
          <w:color w:val="auto"/>
          <w:sz w:val="21"/>
          <w:szCs w:val="21"/>
          <w:highlight w:val="none"/>
        </w:rPr>
        <w:t>；</w:t>
      </w:r>
    </w:p>
    <w:p w14:paraId="00CFC7C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）监理报酬清单；</w:t>
      </w:r>
    </w:p>
    <w:p w14:paraId="1D92250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）资格审查资料；</w:t>
      </w:r>
    </w:p>
    <w:p w14:paraId="2B72519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）监理大纲；</w:t>
      </w:r>
    </w:p>
    <w:p w14:paraId="3FC9D37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）投标人须知前附表规定的其他资料。</w:t>
      </w:r>
    </w:p>
    <w:p w14:paraId="00207A2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42C6092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3.1.2 </w:t>
      </w:r>
      <w:r>
        <w:rPr>
          <w:rFonts w:hint="eastAsia" w:ascii="宋体" w:hAnsi="宋体" w:cs="宋体"/>
          <w:strike w:val="0"/>
          <w:dstrike w:val="0"/>
          <w:color w:val="auto"/>
          <w:sz w:val="21"/>
          <w:szCs w:val="21"/>
          <w:highlight w:val="none"/>
        </w:rPr>
        <w:t>投标人须知前附表规定不接受联合体投标的，或投标人没有组成联合体的，投标文件不包括本章第3.1.1（3）目所指的联合体协议书。</w:t>
      </w:r>
    </w:p>
    <w:p w14:paraId="1247C189">
      <w:pPr>
        <w:spacing w:line="360" w:lineRule="auto"/>
        <w:ind w:firstLine="420" w:firstLineChars="200"/>
        <w:rPr>
          <w:rFonts w:hint="eastAsia"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3.1.3 </w:t>
      </w:r>
      <w:r>
        <w:rPr>
          <w:rFonts w:hint="eastAsia" w:ascii="宋体" w:hAnsi="宋体" w:cs="宋体"/>
          <w:strike w:val="0"/>
          <w:dstrike w:val="0"/>
          <w:color w:val="auto"/>
          <w:sz w:val="21"/>
          <w:szCs w:val="21"/>
          <w:highlight w:val="none"/>
        </w:rPr>
        <w:t>投标人须知前附表未要求提交投标保证金的，投标文件不包括本章第3.1.1（4）目所指的投标保证金。</w:t>
      </w:r>
    </w:p>
    <w:p w14:paraId="6EBABEEE">
      <w:pPr>
        <w:spacing w:line="360" w:lineRule="auto"/>
        <w:ind w:firstLine="420" w:firstLineChars="200"/>
        <w:rPr>
          <w:rFonts w:hint="eastAsia" w:ascii="宋体" w:hAnsi="宋体" w:cs="宋体"/>
          <w:color w:val="auto"/>
          <w:sz w:val="21"/>
          <w:szCs w:val="21"/>
          <w:highlight w:val="none"/>
        </w:rPr>
      </w:pPr>
    </w:p>
    <w:p w14:paraId="3CFFBD90">
      <w:pPr>
        <w:spacing w:line="360" w:lineRule="auto"/>
        <w:ind w:firstLine="422" w:firstLineChars="200"/>
        <w:rPr>
          <w:rFonts w:ascii="宋体" w:hAnsi="宋体" w:cs="宋体"/>
          <w:color w:val="auto"/>
          <w:sz w:val="21"/>
          <w:szCs w:val="21"/>
          <w:highlight w:val="none"/>
        </w:rPr>
      </w:pPr>
      <w:r>
        <w:rPr>
          <w:rFonts w:hint="eastAsia"/>
          <w:b/>
          <w:bCs/>
          <w:color w:val="auto"/>
          <w:highlight w:val="none"/>
          <w:lang w:val="en-US" w:eastAsia="zh-CN"/>
        </w:rPr>
        <w:t>现文：</w:t>
      </w: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6377192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3BB444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或授权委托书；</w:t>
      </w:r>
    </w:p>
    <w:p w14:paraId="141CBCF3">
      <w:pPr>
        <w:spacing w:line="360" w:lineRule="auto"/>
        <w:ind w:firstLine="420" w:firstLineChars="200"/>
        <w:rPr>
          <w:rFonts w:hint="eastAsia" w:ascii="宋体" w:hAnsi="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rPr>
        <w:t>（3）</w:t>
      </w:r>
      <w:r>
        <w:rPr>
          <w:rFonts w:hint="eastAsia" w:ascii="宋体" w:hAnsi="宋体" w:cs="宋体"/>
          <w:strike w:val="0"/>
          <w:dstrike w:val="0"/>
          <w:color w:val="auto"/>
          <w:sz w:val="21"/>
          <w:szCs w:val="21"/>
          <w:highlight w:val="none"/>
          <w:lang w:eastAsia="zh-CN"/>
        </w:rPr>
        <w:t>联合体协议书</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b/>
          <w:bCs/>
          <w:strike w:val="0"/>
          <w:dstrike w:val="0"/>
          <w:color w:val="auto"/>
          <w:sz w:val="21"/>
          <w:szCs w:val="21"/>
          <w:highlight w:val="none"/>
          <w:u w:val="single"/>
          <w:lang w:val="en-US" w:eastAsia="zh-CN"/>
        </w:rPr>
        <w:t>如有</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strike w:val="0"/>
          <w:dstrike w:val="0"/>
          <w:color w:val="auto"/>
          <w:sz w:val="21"/>
          <w:szCs w:val="21"/>
          <w:highlight w:val="none"/>
          <w:lang w:eastAsia="zh-CN"/>
        </w:rPr>
        <w:t>；</w:t>
      </w:r>
    </w:p>
    <w:p w14:paraId="1AF3CDD0">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lang w:eastAsia="zh-CN"/>
        </w:rPr>
        <w:t>（</w:t>
      </w:r>
      <w:r>
        <w:rPr>
          <w:rFonts w:hint="eastAsia" w:ascii="宋体" w:hAnsi="宋体" w:cs="宋体"/>
          <w:strike/>
          <w:dstrike w:val="0"/>
          <w:color w:val="auto"/>
          <w:sz w:val="21"/>
          <w:szCs w:val="21"/>
          <w:highlight w:val="none"/>
          <w:lang w:val="en-US" w:eastAsia="zh-CN"/>
        </w:rPr>
        <w:t>4）</w:t>
      </w:r>
      <w:r>
        <w:rPr>
          <w:rFonts w:hint="eastAsia" w:ascii="宋体" w:hAnsi="宋体" w:cs="宋体"/>
          <w:strike/>
          <w:dstrike w:val="0"/>
          <w:color w:val="auto"/>
          <w:sz w:val="21"/>
          <w:szCs w:val="21"/>
          <w:highlight w:val="none"/>
        </w:rPr>
        <w:t>投标保证金</w:t>
      </w:r>
      <w:r>
        <w:rPr>
          <w:rFonts w:hint="eastAsia" w:ascii="宋体" w:hAnsi="宋体" w:cs="宋体"/>
          <w:strike/>
          <w:dstrike w:val="0"/>
          <w:color w:val="auto"/>
          <w:sz w:val="21"/>
          <w:szCs w:val="21"/>
          <w:highlight w:val="none"/>
          <w:lang w:eastAsia="zh-CN"/>
        </w:rPr>
        <w:t>（如有）</w:t>
      </w:r>
      <w:r>
        <w:rPr>
          <w:rFonts w:hint="eastAsia" w:ascii="宋体" w:hAnsi="宋体" w:cs="宋体"/>
          <w:strike/>
          <w:dstrike w:val="0"/>
          <w:color w:val="auto"/>
          <w:sz w:val="21"/>
          <w:szCs w:val="21"/>
          <w:highlight w:val="none"/>
        </w:rPr>
        <w:t>；</w:t>
      </w:r>
    </w:p>
    <w:p w14:paraId="174BC5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）监理报酬清单；</w:t>
      </w:r>
    </w:p>
    <w:p w14:paraId="10D7E0C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）资格审查</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含资信业绩</w:t>
      </w:r>
      <w:r>
        <w:rPr>
          <w:rFonts w:hint="eastAsia" w:ascii="宋体" w:hAnsi="宋体" w:cs="宋体"/>
          <w:b/>
          <w:bCs/>
          <w:color w:val="auto"/>
          <w:sz w:val="21"/>
          <w:szCs w:val="21"/>
          <w:highlight w:val="none"/>
          <w:u w:val="single"/>
          <w:lang w:eastAsia="zh-CN"/>
        </w:rPr>
        <w:t>）</w:t>
      </w:r>
      <w:r>
        <w:rPr>
          <w:rFonts w:hint="eastAsia" w:ascii="宋体" w:hAnsi="宋体" w:cs="宋体"/>
          <w:color w:val="auto"/>
          <w:sz w:val="21"/>
          <w:szCs w:val="21"/>
          <w:highlight w:val="none"/>
        </w:rPr>
        <w:t>资料；</w:t>
      </w:r>
    </w:p>
    <w:p w14:paraId="3B61876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）监理大纲；</w:t>
      </w:r>
    </w:p>
    <w:p w14:paraId="0B4F836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）投标人须知前附表规定的其他资料。</w:t>
      </w:r>
    </w:p>
    <w:p w14:paraId="71ED9F0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2ED6A10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3.1.2 </w:t>
      </w:r>
      <w:r>
        <w:rPr>
          <w:rFonts w:hint="eastAsia" w:ascii="宋体" w:hAnsi="宋体" w:cs="宋体"/>
          <w:strike w:val="0"/>
          <w:dstrike w:val="0"/>
          <w:color w:val="auto"/>
          <w:sz w:val="21"/>
          <w:szCs w:val="21"/>
          <w:highlight w:val="none"/>
        </w:rPr>
        <w:t>投标人须知前附表规定不接受联合体投标的，或投标人没有组成联合体的，投标文件不包括本章第3.1.1（3）目所指的联合体协议书。</w:t>
      </w:r>
    </w:p>
    <w:p w14:paraId="5C028F21">
      <w:pPr>
        <w:spacing w:line="360" w:lineRule="auto"/>
        <w:ind w:firstLine="420" w:firstLineChars="200"/>
        <w:rPr>
          <w:rFonts w:hint="eastAsia" w:ascii="宋体" w:hAnsi="宋体" w:cs="宋体"/>
          <w:strike/>
          <w:dstrike w:val="0"/>
          <w:color w:val="auto"/>
          <w:sz w:val="21"/>
          <w:szCs w:val="21"/>
          <w:highlight w:val="none"/>
        </w:rPr>
      </w:pPr>
      <w:r>
        <w:rPr>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494030</wp:posOffset>
                </wp:positionV>
                <wp:extent cx="5712460" cy="6985"/>
                <wp:effectExtent l="0" t="0" r="0" b="0"/>
                <wp:wrapNone/>
                <wp:docPr id="11" name="直线 22"/>
                <wp:cNvGraphicFramePr/>
                <a:graphic xmlns:a="http://schemas.openxmlformats.org/drawingml/2006/main">
                  <a:graphicData uri="http://schemas.microsoft.com/office/word/2010/wordprocessingShape">
                    <wps:wsp>
                      <wps:cNvCnPr/>
                      <wps:spPr>
                        <a:xfrm flipV="1">
                          <a:off x="0" y="0"/>
                          <a:ext cx="5712460"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flip:y;margin-left:1.55pt;margin-top:38.9pt;height:0.55pt;width:449.8pt;z-index:251669504;mso-width-relative:page;mso-height-relative:page;" filled="f" stroked="t" coordsize="21600,21600" o:gfxdata="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ppdNUAAAAHAQAADwAAAAAAAAABACAAAAAiAAAAZHJzL2Rvd25yZXYueG1sUEsBAhQAFAAA&#10;AAgAh07iQN7XgtTyAQAA6gMAAA4AAAAAAAAAAQAgAAAAJAEAAGRycy9lMm9Eb2MueG1sUEsFBgAA&#10;AAAGAAYAWQEAAIgFAAAAAA==&#10;">
                <v:fill on="f" focussize="0,0"/>
                <v:stroke color="#000000" joinstyle="round"/>
                <v:imagedata o:title=""/>
                <o:lock v:ext="edit" aspectratio="f"/>
              </v:line>
            </w:pict>
          </mc:Fallback>
        </mc:AlternateContent>
      </w:r>
      <w:r>
        <w:rPr>
          <w:rFonts w:ascii="宋体" w:hAnsi="宋体" w:cs="宋体"/>
          <w:strike/>
          <w:dstrike w:val="0"/>
          <w:color w:val="auto"/>
          <w:sz w:val="21"/>
          <w:szCs w:val="21"/>
          <w:highlight w:val="none"/>
        </w:rPr>
        <w:t xml:space="preserve">3.1.3 </w:t>
      </w:r>
      <w:r>
        <w:rPr>
          <w:rFonts w:hint="eastAsia" w:ascii="宋体" w:hAnsi="宋体" w:cs="宋体"/>
          <w:strike/>
          <w:dstrike w:val="0"/>
          <w:color w:val="auto"/>
          <w:sz w:val="21"/>
          <w:szCs w:val="21"/>
          <w:highlight w:val="none"/>
        </w:rPr>
        <w:t>投标人须知前附表未要求提交投标保证金的，投标文件不包括本章第3.1.1（4）目所指的投标保证金。</w:t>
      </w:r>
    </w:p>
    <w:p w14:paraId="39825C91">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3.3.3</w:t>
      </w:r>
      <w:r>
        <w:rPr>
          <w:rFonts w:hint="default" w:ascii="宋体" w:hAnsi="宋体" w:eastAsia="宋体"/>
          <w:b/>
          <w:bCs/>
          <w:color w:val="auto"/>
          <w:sz w:val="21"/>
          <w:szCs w:val="21"/>
          <w:highlight w:val="none"/>
        </w:rPr>
        <w:t xml:space="preserve">           修改类型：修改</w:t>
      </w:r>
    </w:p>
    <w:p w14:paraId="385483F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highlight w:val="none"/>
        </w:rPr>
      </w:pPr>
      <w:r>
        <w:rPr>
          <w:rFonts w:hint="eastAsia" w:ascii="宋体" w:hAnsi="宋体" w:eastAsia="宋体"/>
          <w:b/>
          <w:bCs/>
          <w:color w:val="auto"/>
          <w:sz w:val="21"/>
          <w:szCs w:val="21"/>
          <w:highlight w:val="none"/>
          <w:lang w:val="en-US" w:eastAsia="zh-CN"/>
        </w:rPr>
        <w:t>原文</w:t>
      </w:r>
      <w:r>
        <w:rPr>
          <w:rFonts w:hint="eastAsia" w:ascii="宋体" w:hAnsi="宋体" w:eastAsia="宋体"/>
          <w:color w:val="auto"/>
          <w:sz w:val="21"/>
          <w:szCs w:val="21"/>
          <w:highlight w:val="none"/>
          <w:lang w:val="en-US" w:eastAsia="zh-CN"/>
        </w:rPr>
        <w:t>：</w:t>
      </w:r>
      <w:r>
        <w:rPr>
          <w:rFonts w:hint="eastAsia" w:ascii="宋体" w:hAnsi="宋体" w:cs="宋体"/>
          <w:color w:val="auto"/>
          <w:sz w:val="21"/>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2FCE0EC">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b/>
          <w:bCs/>
          <w:color w:val="auto"/>
          <w:sz w:val="22"/>
          <w:szCs w:val="22"/>
          <w:highlight w:val="none"/>
          <w:u w:val="single"/>
          <w:lang w:eastAsia="zh-CN"/>
        </w:rPr>
      </w:pPr>
      <w:r>
        <w:rPr>
          <w:rFonts w:hint="eastAsia"/>
          <w:b/>
          <w:bCs/>
          <w:color w:val="auto"/>
          <w:highlight w:val="none"/>
          <w:lang w:val="en-US" w:eastAsia="zh-CN"/>
        </w:rPr>
        <w:t>现文：</w:t>
      </w:r>
      <w:r>
        <w:rPr>
          <w:rFonts w:hint="eastAsia" w:ascii="宋体" w:hAnsi="宋体" w:cs="宋体"/>
          <w:color w:val="auto"/>
          <w:sz w:val="21"/>
          <w:szCs w:val="21"/>
          <w:highlight w:val="none"/>
        </w:rPr>
        <w:t>出现特殊情况需要延长投标有效期的，招标人以书面形式通知所有投标人延长投标有效期。</w:t>
      </w:r>
      <w:r>
        <w:rPr>
          <w:rFonts w:hint="eastAsia" w:ascii="宋体" w:hAnsi="宋体" w:cs="宋体"/>
          <w:b/>
          <w:bCs/>
          <w:color w:val="auto"/>
          <w:sz w:val="21"/>
          <w:szCs w:val="21"/>
          <w:highlight w:val="none"/>
          <w:u w:val="single"/>
        </w:rPr>
        <w:t>投标人应予以书面答复，同意延长的，</w:t>
      </w:r>
      <w:r>
        <w:rPr>
          <w:rFonts w:hint="eastAsia" w:ascii="宋体" w:hAnsi="宋体" w:cs="宋体"/>
          <w:b/>
          <w:bCs/>
          <w:strike/>
          <w:dstrike w:val="0"/>
          <w:color w:val="auto"/>
          <w:sz w:val="21"/>
          <w:szCs w:val="21"/>
          <w:highlight w:val="none"/>
          <w:u w:val="single"/>
        </w:rPr>
        <w:t>应相应延长其投标保证金的有效期，但</w:t>
      </w:r>
      <w:r>
        <w:rPr>
          <w:rFonts w:hint="eastAsia" w:ascii="宋体" w:hAnsi="宋体" w:cs="宋体"/>
          <w:b/>
          <w:bCs/>
          <w:color w:val="auto"/>
          <w:sz w:val="21"/>
          <w:szCs w:val="21"/>
          <w:highlight w:val="none"/>
          <w:u w:val="single"/>
        </w:rPr>
        <w:t>不得要求或被允许修改其投标文件；投标人拒绝延长的，其投标失效</w:t>
      </w:r>
      <w:r>
        <w:rPr>
          <w:rFonts w:hint="eastAsia" w:ascii="宋体" w:hAnsi="宋体" w:cs="宋体"/>
          <w:b/>
          <w:bCs/>
          <w:strike/>
          <w:dstrike w:val="0"/>
          <w:color w:val="auto"/>
          <w:sz w:val="21"/>
          <w:szCs w:val="21"/>
          <w:highlight w:val="none"/>
          <w:u w:val="single"/>
        </w:rPr>
        <w:t>，但投标人有权收回其投标保证金及以现金或者支票形式递交的投标保证金的银行同期存款利息</w:t>
      </w:r>
      <w:r>
        <w:rPr>
          <w:rFonts w:hint="eastAsia" w:ascii="宋体" w:hAnsi="宋体" w:cs="宋体"/>
          <w:b/>
          <w:bCs/>
          <w:color w:val="auto"/>
          <w:sz w:val="21"/>
          <w:szCs w:val="21"/>
          <w:highlight w:val="none"/>
          <w:u w:val="single"/>
          <w:lang w:eastAsia="zh-CN"/>
        </w:rPr>
        <w:t>。</w:t>
      </w:r>
    </w:p>
    <w:p w14:paraId="49032482">
      <w:pPr>
        <w:keepNext w:val="0"/>
        <w:keepLines w:val="0"/>
        <w:pageBreakBefore w:val="0"/>
        <w:widowControl w:val="0"/>
        <w:kinsoku/>
        <w:wordWrap/>
        <w:overflowPunct/>
        <w:topLinePunct w:val="0"/>
        <w:autoSpaceDE/>
        <w:autoSpaceDN/>
        <w:bidi w:val="0"/>
        <w:adjustRightInd/>
        <w:snapToGrid/>
        <w:spacing w:line="360" w:lineRule="auto"/>
        <w:ind w:firstLine="470" w:firstLineChars="224"/>
        <w:textAlignment w:val="auto"/>
        <w:rPr>
          <w:rFonts w:hint="default" w:ascii="宋体" w:hAnsi="宋体" w:eastAsia="宋体"/>
          <w:b/>
          <w:bCs/>
          <w:color w:val="auto"/>
          <w:sz w:val="22"/>
          <w:szCs w:val="22"/>
          <w:highlight w:val="none"/>
        </w:rPr>
      </w:pPr>
      <w:r>
        <w:rPr>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54610</wp:posOffset>
                </wp:positionV>
                <wp:extent cx="5708015" cy="635"/>
                <wp:effectExtent l="0" t="0" r="0" b="0"/>
                <wp:wrapNone/>
                <wp:docPr id="7" name="直线 12"/>
                <wp:cNvGraphicFramePr/>
                <a:graphic xmlns:a="http://schemas.openxmlformats.org/drawingml/2006/main">
                  <a:graphicData uri="http://schemas.microsoft.com/office/word/2010/wordprocessingShape">
                    <wps:wsp>
                      <wps:cNvCnPr/>
                      <wps:spPr>
                        <a:xfrm>
                          <a:off x="0" y="0"/>
                          <a:ext cx="57080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3pt;margin-top:4.3pt;height:0.05pt;width:449.45pt;z-index:251665408;mso-width-relative:page;mso-height-relative:page;" filled="f" stroked="t" coordsize="21600,21600" o:gfxdata="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fQT0wAA&#10;AAQBAAAPAAAAAAAAAAEAIAAAACIAAABkcnMvZG93bnJldi54bWxQSwECFAAUAAAACACHTuJAzoAA&#10;PeoBAADeAwAADgAAAAAAAAABACAAAAAiAQAAZHJzL2Uyb0RvYy54bWxQSwUGAAAAAAYABgBZAQAA&#10;fgUAAAAA&#10;">
                <v:fill on="f" focussize="0,0"/>
                <v:stroke color="#000000" joinstyle="round"/>
                <v:imagedata o:title=""/>
                <o:lock v:ext="edit" aspectratio="f"/>
              </v:line>
            </w:pict>
          </mc:Fallback>
        </mc:AlternateContent>
      </w:r>
    </w:p>
    <w:p w14:paraId="457E4623">
      <w:pPr>
        <w:spacing w:line="360" w:lineRule="auto"/>
        <w:ind w:firstLine="495" w:firstLineChars="224"/>
        <w:rPr>
          <w:rFonts w:hint="default" w:ascii="宋体" w:hAnsi="宋体" w:eastAsia="宋体"/>
          <w:b/>
          <w:bCs/>
          <w:color w:val="auto"/>
          <w:sz w:val="22"/>
          <w:szCs w:val="22"/>
          <w:highlight w:val="none"/>
          <w:lang w:val="en-US" w:eastAsia="zh-CN"/>
        </w:rPr>
      </w:pPr>
      <w:r>
        <w:rPr>
          <w:rFonts w:hint="default" w:ascii="宋体" w:hAnsi="宋体" w:eastAsia="宋体"/>
          <w:b/>
          <w:bCs/>
          <w:color w:val="auto"/>
          <w:sz w:val="22"/>
          <w:szCs w:val="22"/>
          <w:highlight w:val="none"/>
        </w:rPr>
        <w:t xml:space="preserve">条款号： </w:t>
      </w:r>
      <w:r>
        <w:rPr>
          <w:rFonts w:hint="eastAsia" w:ascii="宋体" w:hAnsi="宋体" w:eastAsia="宋体"/>
          <w:b/>
          <w:bCs/>
          <w:color w:val="auto"/>
          <w:sz w:val="22"/>
          <w:szCs w:val="22"/>
          <w:highlight w:val="none"/>
          <w:lang w:val="en-US" w:eastAsia="zh-CN"/>
        </w:rPr>
        <w:t>3.4</w:t>
      </w:r>
      <w:r>
        <w:rPr>
          <w:rFonts w:hint="default" w:ascii="宋体" w:hAnsi="宋体" w:eastAsia="宋体"/>
          <w:b/>
          <w:bCs/>
          <w:color w:val="auto"/>
          <w:sz w:val="22"/>
          <w:szCs w:val="22"/>
          <w:highlight w:val="none"/>
        </w:rPr>
        <w:t xml:space="preserve">            修改类型：</w:t>
      </w:r>
      <w:r>
        <w:rPr>
          <w:rFonts w:hint="eastAsia" w:ascii="宋体" w:hAnsi="宋体" w:eastAsia="宋体"/>
          <w:b/>
          <w:bCs/>
          <w:color w:val="auto"/>
          <w:sz w:val="22"/>
          <w:szCs w:val="22"/>
          <w:highlight w:val="none"/>
          <w:lang w:val="en-US" w:eastAsia="zh-CN"/>
        </w:rPr>
        <w:t>删除</w:t>
      </w:r>
    </w:p>
    <w:p w14:paraId="2FE3BB44">
      <w:pPr>
        <w:pStyle w:val="5"/>
        <w:bidi w:val="0"/>
        <w:spacing w:line="360" w:lineRule="auto"/>
        <w:ind w:firstLine="422" w:firstLineChars="200"/>
        <w:rPr>
          <w:b w:val="0"/>
          <w:bCs w:val="0"/>
          <w:color w:val="auto"/>
          <w:sz w:val="22"/>
          <w:szCs w:val="24"/>
          <w:highlight w:val="none"/>
        </w:rPr>
      </w:pPr>
      <w:bookmarkStart w:id="66" w:name="_Toc25972"/>
      <w:bookmarkStart w:id="67" w:name="_Toc28475"/>
      <w:bookmarkStart w:id="68" w:name="_Toc22888"/>
      <w:r>
        <w:rPr>
          <w:rFonts w:hint="default" w:ascii="宋体" w:hAnsi="宋体" w:eastAsia="宋体"/>
          <w:color w:val="auto"/>
          <w:sz w:val="21"/>
          <w:szCs w:val="21"/>
          <w:highlight w:val="none"/>
        </w:rPr>
        <w:t>原文：</w:t>
      </w:r>
      <w:r>
        <w:rPr>
          <w:b w:val="0"/>
          <w:bCs w:val="0"/>
          <w:color w:val="auto"/>
          <w:sz w:val="22"/>
          <w:szCs w:val="24"/>
          <w:highlight w:val="none"/>
        </w:rPr>
        <w:t xml:space="preserve">3.4 </w:t>
      </w:r>
      <w:r>
        <w:rPr>
          <w:rFonts w:hint="eastAsia" w:ascii="Times New Roman" w:hAnsi="Times New Roman" w:eastAsia="Times New Roman" w:cs="Times New Roman"/>
          <w:b w:val="0"/>
          <w:bCs w:val="0"/>
          <w:color w:val="auto"/>
          <w:spacing w:val="-4"/>
          <w:kern w:val="2"/>
          <w:sz w:val="21"/>
          <w:szCs w:val="21"/>
          <w:highlight w:val="none"/>
          <w:lang w:val="en-US" w:eastAsia="zh-CN" w:bidi="ar-SA"/>
        </w:rPr>
        <w:t>投标保证金</w:t>
      </w:r>
      <w:bookmarkEnd w:id="66"/>
      <w:bookmarkEnd w:id="67"/>
      <w:bookmarkEnd w:id="68"/>
    </w:p>
    <w:p w14:paraId="554269FE">
      <w:pPr>
        <w:pStyle w:val="2"/>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highlight w:val="none"/>
        </w:rPr>
      </w:pPr>
      <w:r>
        <w:rPr>
          <w:rFonts w:ascii="Times New Roman" w:hAnsi="Times New Roman" w:eastAsia="Times New Roman"/>
          <w:color w:val="auto"/>
          <w:highlight w:val="none"/>
        </w:rPr>
        <w:t>3.4.1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人应</w:t>
      </w:r>
      <w:r>
        <w:rPr>
          <w:color w:val="auto"/>
          <w:spacing w:val="-3"/>
          <w:highlight w:val="none"/>
        </w:rPr>
        <w:t>按</w:t>
      </w:r>
      <w:r>
        <w:rPr>
          <w:color w:val="auto"/>
          <w:highlight w:val="none"/>
        </w:rPr>
        <w:t>投</w:t>
      </w:r>
      <w:r>
        <w:rPr>
          <w:color w:val="auto"/>
          <w:spacing w:val="-3"/>
          <w:highlight w:val="none"/>
        </w:rPr>
        <w:t>标</w:t>
      </w:r>
      <w:r>
        <w:rPr>
          <w:color w:val="auto"/>
          <w:highlight w:val="none"/>
        </w:rPr>
        <w:t>人</w:t>
      </w:r>
      <w:r>
        <w:rPr>
          <w:color w:val="auto"/>
          <w:spacing w:val="-3"/>
          <w:highlight w:val="none"/>
        </w:rPr>
        <w:t>须知</w:t>
      </w:r>
      <w:r>
        <w:rPr>
          <w:color w:val="auto"/>
          <w:highlight w:val="none"/>
        </w:rPr>
        <w:t>前附</w:t>
      </w:r>
      <w:r>
        <w:rPr>
          <w:color w:val="auto"/>
          <w:spacing w:val="-3"/>
          <w:highlight w:val="none"/>
        </w:rPr>
        <w:t>表</w:t>
      </w:r>
      <w:r>
        <w:rPr>
          <w:color w:val="auto"/>
          <w:highlight w:val="none"/>
        </w:rPr>
        <w:t>规</w:t>
      </w:r>
      <w:r>
        <w:rPr>
          <w:color w:val="auto"/>
          <w:spacing w:val="-3"/>
          <w:highlight w:val="none"/>
        </w:rPr>
        <w:t>定</w:t>
      </w:r>
      <w:r>
        <w:rPr>
          <w:color w:val="auto"/>
          <w:highlight w:val="none"/>
        </w:rPr>
        <w:t>的</w:t>
      </w:r>
      <w:r>
        <w:rPr>
          <w:color w:val="auto"/>
          <w:spacing w:val="-3"/>
          <w:highlight w:val="none"/>
        </w:rPr>
        <w:t>金</w:t>
      </w:r>
      <w:r>
        <w:rPr>
          <w:color w:val="auto"/>
          <w:highlight w:val="none"/>
        </w:rPr>
        <w:t>额</w:t>
      </w:r>
      <w:r>
        <w:rPr>
          <w:rFonts w:hint="eastAsia"/>
          <w:color w:val="auto"/>
          <w:highlight w:val="none"/>
          <w:lang w:eastAsia="zh-CN"/>
        </w:rPr>
        <w:t>和时间</w:t>
      </w:r>
      <w:r>
        <w:rPr>
          <w:color w:val="auto"/>
          <w:spacing w:val="-3"/>
          <w:highlight w:val="none"/>
        </w:rPr>
        <w:t>递</w:t>
      </w:r>
      <w:r>
        <w:rPr>
          <w:color w:val="auto"/>
          <w:highlight w:val="none"/>
        </w:rPr>
        <w:t>交</w:t>
      </w:r>
      <w:r>
        <w:rPr>
          <w:color w:val="auto"/>
          <w:spacing w:val="-3"/>
          <w:highlight w:val="none"/>
        </w:rPr>
        <w:t>投</w:t>
      </w:r>
      <w:r>
        <w:rPr>
          <w:color w:val="auto"/>
          <w:highlight w:val="none"/>
        </w:rPr>
        <w:t>标</w:t>
      </w:r>
      <w:r>
        <w:rPr>
          <w:color w:val="auto"/>
          <w:spacing w:val="-3"/>
          <w:highlight w:val="none"/>
        </w:rPr>
        <w:t>保</w:t>
      </w:r>
      <w:r>
        <w:rPr>
          <w:color w:val="auto"/>
          <w:highlight w:val="none"/>
        </w:rPr>
        <w:t>证</w:t>
      </w:r>
      <w:r>
        <w:rPr>
          <w:color w:val="auto"/>
          <w:spacing w:val="-3"/>
          <w:highlight w:val="none"/>
        </w:rPr>
        <w:t>金</w:t>
      </w:r>
      <w:r>
        <w:rPr>
          <w:color w:val="auto"/>
          <w:spacing w:val="-34"/>
          <w:highlight w:val="none"/>
        </w:rPr>
        <w:t>。</w:t>
      </w:r>
      <w:r>
        <w:rPr>
          <w:rFonts w:hint="eastAsia" w:ascii="Times New Roman" w:hAnsi="Times New Roman" w:eastAsia="Times New Roman" w:cs="Times New Roman"/>
          <w:color w:val="auto"/>
          <w:spacing w:val="-4"/>
          <w:sz w:val="21"/>
          <w:szCs w:val="21"/>
          <w:highlight w:val="none"/>
        </w:rPr>
        <w:t>招标人应当允许投标人自主选择现金、银行保函、保证保险、专业工程担保公司担保等方式缴纳投标保证金。</w:t>
      </w:r>
      <w:r>
        <w:rPr>
          <w:rFonts w:hint="eastAsia" w:ascii="Times New Roman" w:hAnsi="Times New Roman" w:eastAsia="宋体" w:cs="Times New Roman"/>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color w:val="auto"/>
          <w:spacing w:val="-4"/>
          <w:sz w:val="21"/>
          <w:szCs w:val="21"/>
          <w:highlight w:val="none"/>
        </w:rPr>
        <w:t>联合体投标的，其投标</w:t>
      </w:r>
      <w:r>
        <w:rPr>
          <w:rFonts w:hint="eastAsia" w:ascii="Times New Roman" w:hAnsi="Times New Roman" w:eastAsia="Times New Roman" w:cs="Times New Roman"/>
          <w:color w:val="auto"/>
          <w:spacing w:val="-4"/>
          <w:sz w:val="21"/>
          <w:szCs w:val="21"/>
          <w:highlight w:val="none"/>
          <w:lang w:eastAsia="zh-CN"/>
        </w:rPr>
        <w:t>保证金</w:t>
      </w:r>
      <w:r>
        <w:rPr>
          <w:rFonts w:hint="eastAsia" w:ascii="Times New Roman" w:hAnsi="Times New Roman" w:eastAsia="Times New Roman" w:cs="Times New Roman"/>
          <w:color w:val="auto"/>
          <w:spacing w:val="-4"/>
          <w:sz w:val="21"/>
          <w:szCs w:val="21"/>
          <w:highlight w:val="none"/>
        </w:rPr>
        <w:t>可以由</w:t>
      </w:r>
      <w:r>
        <w:rPr>
          <w:rFonts w:hint="eastAsia" w:ascii="Times New Roman" w:hAnsi="Times New Roman" w:eastAsia="宋体" w:cs="Times New Roman"/>
          <w:color w:val="auto"/>
          <w:spacing w:val="-4"/>
          <w:sz w:val="21"/>
          <w:szCs w:val="21"/>
          <w:highlight w:val="none"/>
          <w:lang w:eastAsia="zh-CN"/>
        </w:rPr>
        <w:t>主办方</w:t>
      </w:r>
      <w:r>
        <w:rPr>
          <w:rFonts w:hint="eastAsia" w:ascii="Times New Roman" w:hAnsi="Times New Roman" w:eastAsia="Times New Roman" w:cs="Times New Roman"/>
          <w:color w:val="auto"/>
          <w:spacing w:val="-4"/>
          <w:sz w:val="21"/>
          <w:szCs w:val="21"/>
          <w:highlight w:val="none"/>
        </w:rPr>
        <w:t>递交，并应符合投标人须知前附表的规定</w:t>
      </w:r>
      <w:r>
        <w:rPr>
          <w:color w:val="auto"/>
          <w:highlight w:val="none"/>
        </w:rPr>
        <w:t>。</w:t>
      </w:r>
    </w:p>
    <w:p w14:paraId="243A113B">
      <w:pPr>
        <w:pStyle w:val="2"/>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highlight w:val="none"/>
        </w:rPr>
      </w:pPr>
      <w:r>
        <w:rPr>
          <w:color w:val="auto"/>
          <w:highlight w:val="none"/>
        </w:rPr>
        <w:t>3.4.2 投标人不按本章第 3.4.1 项要求提交投标保证金的，评标委员会将否决其投标。</w:t>
      </w:r>
      <w:r>
        <w:rPr>
          <w:rFonts w:hint="default"/>
          <w:color w:val="auto"/>
          <w:highlight w:val="none"/>
        </w:rPr>
        <w:t>未按招标文件要求提交符合免予提供投标保证金相关证明材料，且未提交投标保证金的投标人，视为未按要求提供投标保证金。</w:t>
      </w:r>
    </w:p>
    <w:p w14:paraId="08A0CD92">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color w:val="auto"/>
          <w:spacing w:val="-3"/>
          <w:highlight w:val="none"/>
        </w:rPr>
      </w:pPr>
      <w:r>
        <w:rPr>
          <w:rFonts w:ascii="宋体" w:hAnsi="宋体" w:eastAsia="宋体" w:cs="Times New Roman"/>
          <w:color w:val="auto"/>
          <w:spacing w:val="-3"/>
          <w:highlight w:val="none"/>
        </w:rPr>
        <w:t xml:space="preserve">3.4.3 </w:t>
      </w:r>
      <w:r>
        <w:rPr>
          <w:rFonts w:hint="eastAsia" w:ascii="Times New Roman" w:hAnsi="Times New Roman" w:eastAsia="Times New Roman" w:cs="Times New Roman"/>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color w:val="auto"/>
          <w:spacing w:val="-4"/>
          <w:sz w:val="21"/>
          <w:szCs w:val="21"/>
          <w:highlight w:val="none"/>
          <w:lang w:eastAsia="zh-CN"/>
        </w:rPr>
        <w:t>；</w:t>
      </w:r>
      <w:r>
        <w:rPr>
          <w:rFonts w:hint="eastAsia" w:ascii="Times New Roman" w:hAnsi="Times New Roman" w:eastAsia="Times New Roman" w:cs="Times New Roman"/>
          <w:color w:val="auto"/>
          <w:spacing w:val="-4"/>
          <w:sz w:val="21"/>
          <w:szCs w:val="21"/>
          <w:highlight w:val="none"/>
        </w:rPr>
        <w:t>中标人和其他中标候选人的投标保证金，在书面合同订立之日起五日内予以退还</w:t>
      </w:r>
      <w:r>
        <w:rPr>
          <w:rFonts w:eastAsia="宋体" w:cs="Times New Roman"/>
          <w:color w:val="auto"/>
          <w:spacing w:val="-3"/>
          <w:highlight w:val="none"/>
        </w:rPr>
        <w:t>。投标保证金以现金或者支票形式递交的，还应退还银行同期存款利息。</w:t>
      </w:r>
    </w:p>
    <w:p w14:paraId="086C82EF">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i w:val="0"/>
          <w:iCs w:val="0"/>
          <w:caps w:val="0"/>
          <w:color w:val="auto"/>
          <w:spacing w:val="-4"/>
          <w:sz w:val="21"/>
          <w:szCs w:val="21"/>
          <w:highlight w:val="none"/>
          <w:shd w:val="clear" w:color="auto" w:fill="auto"/>
          <w:lang w:eastAsia="zh-CN"/>
        </w:rPr>
      </w:pPr>
      <w:r>
        <w:rPr>
          <w:rFonts w:hint="default" w:ascii="宋体" w:hAnsi="宋体" w:eastAsia="宋体" w:cs="Times New Roman"/>
          <w:color w:val="auto"/>
          <w:spacing w:val="-3"/>
          <w:highlight w:val="none"/>
          <w:lang w:val="en-US" w:eastAsia="zh-CN"/>
        </w:rPr>
        <w:t>3.4.</w:t>
      </w:r>
      <w:r>
        <w:rPr>
          <w:rFonts w:hint="eastAsia" w:ascii="宋体" w:hAnsi="宋体" w:eastAsia="宋体" w:cs="Times New Roman"/>
          <w:color w:val="auto"/>
          <w:spacing w:val="-3"/>
          <w:highlight w:val="none"/>
          <w:lang w:val="en-US" w:eastAsia="zh-CN"/>
        </w:rPr>
        <w:t xml:space="preserve">4 </w:t>
      </w:r>
      <w:r>
        <w:rPr>
          <w:rFonts w:hint="default" w:ascii="宋体" w:hAnsi="宋体" w:eastAsia="宋体" w:cs="Times New Roman"/>
          <w:color w:val="auto"/>
          <w:spacing w:val="-3"/>
          <w:highlight w:val="none"/>
        </w:rPr>
        <w:t>在</w:t>
      </w:r>
      <w:r>
        <w:rPr>
          <w:rFonts w:hint="default" w:ascii="Times New Roman" w:hAnsi="Times New Roman" w:eastAsia="Times New Roman" w:cs="Times New Roman"/>
          <w:color w:val="auto"/>
          <w:spacing w:val="-4"/>
          <w:sz w:val="21"/>
          <w:szCs w:val="21"/>
          <w:highlight w:val="none"/>
        </w:rPr>
        <w:t>提交</w:t>
      </w:r>
      <w:r>
        <w:rPr>
          <w:rFonts w:hint="default" w:ascii="Times New Roman" w:hAnsi="Times New Roman" w:eastAsia="Times New Roman" w:cs="Times New Roman"/>
          <w:i w:val="0"/>
          <w:iCs w:val="0"/>
          <w:caps w:val="0"/>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color w:val="auto"/>
          <w:spacing w:val="-4"/>
          <w:sz w:val="21"/>
          <w:szCs w:val="21"/>
          <w:highlight w:val="none"/>
          <w:shd w:val="clear" w:color="auto" w:fill="auto"/>
          <w:lang w:eastAsia="zh-CN"/>
        </w:rPr>
        <w:t>。</w:t>
      </w:r>
    </w:p>
    <w:p w14:paraId="2158E66D">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color w:val="auto"/>
          <w:spacing w:val="-3"/>
          <w:highlight w:val="none"/>
        </w:rPr>
      </w:pPr>
      <w:r>
        <w:rPr>
          <w:rFonts w:ascii="宋体" w:hAnsi="宋体" w:eastAsia="宋体" w:cs="Times New Roman"/>
          <w:color w:val="auto"/>
          <w:spacing w:val="-3"/>
          <w:highlight w:val="none"/>
        </w:rPr>
        <w:t>3.4.</w:t>
      </w:r>
      <w:r>
        <w:rPr>
          <w:rFonts w:hint="eastAsia" w:eastAsia="宋体" w:cs="Times New Roman"/>
          <w:color w:val="auto"/>
          <w:spacing w:val="-3"/>
          <w:highlight w:val="none"/>
          <w:lang w:val="en-US" w:eastAsia="zh-CN"/>
        </w:rPr>
        <w:t>5</w:t>
      </w:r>
      <w:r>
        <w:rPr>
          <w:rFonts w:ascii="宋体" w:hAnsi="宋体" w:eastAsia="宋体" w:cs="Times New Roman"/>
          <w:color w:val="auto"/>
          <w:spacing w:val="-3"/>
          <w:highlight w:val="none"/>
        </w:rPr>
        <w:t xml:space="preserve"> </w:t>
      </w:r>
      <w:r>
        <w:rPr>
          <w:rFonts w:eastAsia="宋体" w:cs="Times New Roman"/>
          <w:color w:val="auto"/>
          <w:spacing w:val="-3"/>
          <w:highlight w:val="none"/>
        </w:rPr>
        <w:t>有下列情形之一的，投标保证金将不予退还：</w:t>
      </w:r>
    </w:p>
    <w:p w14:paraId="73D10DE8">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color w:val="auto"/>
          <w:spacing w:val="-3"/>
          <w:highlight w:val="none"/>
        </w:rPr>
      </w:pPr>
      <w:r>
        <w:rPr>
          <w:rFonts w:eastAsia="宋体" w:cs="Times New Roman"/>
          <w:color w:val="auto"/>
          <w:spacing w:val="-3"/>
          <w:highlight w:val="none"/>
        </w:rPr>
        <w:t>（</w:t>
      </w:r>
      <w:r>
        <w:rPr>
          <w:rFonts w:ascii="宋体" w:hAnsi="宋体" w:eastAsia="宋体" w:cs="Times New Roman"/>
          <w:color w:val="auto"/>
          <w:spacing w:val="-3"/>
          <w:highlight w:val="none"/>
        </w:rPr>
        <w:t>1</w:t>
      </w:r>
      <w:r>
        <w:rPr>
          <w:rFonts w:eastAsia="宋体" w:cs="Times New Roman"/>
          <w:color w:val="auto"/>
          <w:spacing w:val="-3"/>
          <w:highlight w:val="none"/>
        </w:rPr>
        <w:t>）投标人在</w:t>
      </w:r>
      <w:r>
        <w:rPr>
          <w:rFonts w:hint="default" w:ascii="Times New Roman" w:hAnsi="Times New Roman" w:eastAsia="Times New Roman" w:cs="Times New Roman"/>
          <w:i w:val="0"/>
          <w:iCs w:val="0"/>
          <w:caps w:val="0"/>
          <w:color w:val="auto"/>
          <w:spacing w:val="-4"/>
          <w:sz w:val="21"/>
          <w:szCs w:val="21"/>
          <w:highlight w:val="none"/>
          <w:shd w:val="clear" w:color="auto" w:fill="auto"/>
        </w:rPr>
        <w:t>提交投标文件截止时间后到招标文件规定的投标有效期终止之前</w:t>
      </w:r>
      <w:r>
        <w:rPr>
          <w:rFonts w:eastAsia="宋体" w:cs="Times New Roman"/>
          <w:color w:val="auto"/>
          <w:spacing w:val="-3"/>
          <w:highlight w:val="none"/>
        </w:rPr>
        <w:t>撤销投标文件；</w:t>
      </w:r>
    </w:p>
    <w:p w14:paraId="3DF54C55">
      <w:pPr>
        <w:pStyle w:val="2"/>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color w:val="auto"/>
          <w:highlight w:val="none"/>
        </w:rPr>
      </w:pPr>
      <w:r>
        <w:rPr>
          <w:rFonts w:eastAsia="宋体" w:cs="Times New Roman"/>
          <w:color w:val="auto"/>
          <w:spacing w:val="-3"/>
          <w:highlight w:val="none"/>
        </w:rPr>
        <w:t>（</w:t>
      </w:r>
      <w:r>
        <w:rPr>
          <w:rFonts w:ascii="宋体" w:hAnsi="宋体" w:eastAsia="宋体" w:cs="Times New Roman"/>
          <w:color w:val="auto"/>
          <w:spacing w:val="-3"/>
          <w:highlight w:val="none"/>
        </w:rPr>
        <w:t>2</w:t>
      </w:r>
      <w:r>
        <w:rPr>
          <w:rFonts w:eastAsia="宋体" w:cs="Times New Roman"/>
          <w:color w:val="auto"/>
          <w:spacing w:val="-3"/>
          <w:highlight w:val="none"/>
        </w:rPr>
        <w:t>）中标人在收到中标通知书后，无正当理由不与招标人</w:t>
      </w:r>
      <w:r>
        <w:rPr>
          <w:color w:val="auto"/>
          <w:highlight w:val="none"/>
        </w:rPr>
        <w:t>订立合同</w:t>
      </w:r>
      <w:r>
        <w:rPr>
          <w:color w:val="auto"/>
          <w:spacing w:val="-3"/>
          <w:highlight w:val="none"/>
        </w:rPr>
        <w:t>，</w:t>
      </w:r>
      <w:r>
        <w:rPr>
          <w:color w:val="auto"/>
          <w:highlight w:val="none"/>
        </w:rPr>
        <w:t>在签</w:t>
      </w:r>
      <w:r>
        <w:rPr>
          <w:color w:val="auto"/>
          <w:spacing w:val="-3"/>
          <w:highlight w:val="none"/>
        </w:rPr>
        <w:t>订</w:t>
      </w:r>
      <w:r>
        <w:rPr>
          <w:color w:val="auto"/>
          <w:highlight w:val="none"/>
        </w:rPr>
        <w:t>合同时向招标人提</w:t>
      </w:r>
      <w:r>
        <w:rPr>
          <w:color w:val="auto"/>
          <w:spacing w:val="-3"/>
          <w:highlight w:val="none"/>
        </w:rPr>
        <w:t>出</w:t>
      </w:r>
      <w:r>
        <w:rPr>
          <w:color w:val="auto"/>
          <w:highlight w:val="none"/>
        </w:rPr>
        <w:t>附</w:t>
      </w:r>
      <w:r>
        <w:rPr>
          <w:color w:val="auto"/>
          <w:spacing w:val="-3"/>
          <w:highlight w:val="none"/>
        </w:rPr>
        <w:t>加</w:t>
      </w:r>
      <w:r>
        <w:rPr>
          <w:color w:val="auto"/>
          <w:highlight w:val="none"/>
        </w:rPr>
        <w:t>条</w:t>
      </w:r>
      <w:r>
        <w:rPr>
          <w:color w:val="auto"/>
          <w:spacing w:val="-3"/>
          <w:highlight w:val="none"/>
        </w:rPr>
        <w:t>件</w:t>
      </w:r>
      <w:r>
        <w:rPr>
          <w:color w:val="auto"/>
          <w:highlight w:val="none"/>
        </w:rPr>
        <w:t>，</w:t>
      </w:r>
      <w:r>
        <w:rPr>
          <w:color w:val="auto"/>
          <w:spacing w:val="-3"/>
          <w:highlight w:val="none"/>
        </w:rPr>
        <w:t>或</w:t>
      </w:r>
      <w:r>
        <w:rPr>
          <w:color w:val="auto"/>
          <w:highlight w:val="none"/>
        </w:rPr>
        <w:t>者</w:t>
      </w:r>
      <w:r>
        <w:rPr>
          <w:color w:val="auto"/>
          <w:spacing w:val="-3"/>
          <w:highlight w:val="none"/>
        </w:rPr>
        <w:t>不</w:t>
      </w:r>
      <w:r>
        <w:rPr>
          <w:color w:val="auto"/>
          <w:highlight w:val="none"/>
        </w:rPr>
        <w:t>按照</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要</w:t>
      </w:r>
      <w:r>
        <w:rPr>
          <w:color w:val="auto"/>
          <w:highlight w:val="none"/>
        </w:rPr>
        <w:t>求</w:t>
      </w:r>
      <w:r>
        <w:rPr>
          <w:color w:val="auto"/>
          <w:spacing w:val="-3"/>
          <w:highlight w:val="none"/>
        </w:rPr>
        <w:t>提</w:t>
      </w:r>
      <w:r>
        <w:rPr>
          <w:color w:val="auto"/>
          <w:highlight w:val="none"/>
        </w:rPr>
        <w:t>交</w:t>
      </w:r>
      <w:r>
        <w:rPr>
          <w:color w:val="auto"/>
          <w:spacing w:val="-3"/>
          <w:highlight w:val="none"/>
        </w:rPr>
        <w:t>履</w:t>
      </w:r>
      <w:r>
        <w:rPr>
          <w:color w:val="auto"/>
          <w:highlight w:val="none"/>
        </w:rPr>
        <w:t>约保</w:t>
      </w:r>
      <w:r>
        <w:rPr>
          <w:color w:val="auto"/>
          <w:spacing w:val="-3"/>
          <w:highlight w:val="none"/>
        </w:rPr>
        <w:t>证</w:t>
      </w:r>
      <w:r>
        <w:rPr>
          <w:color w:val="auto"/>
          <w:highlight w:val="none"/>
        </w:rPr>
        <w:t>金；</w:t>
      </w:r>
    </w:p>
    <w:p w14:paraId="1C3958A8">
      <w:pPr>
        <w:pStyle w:val="2"/>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ascii="Times New Roman" w:hAnsi="Times New Roman" w:eastAsia="Times New Roman"/>
          <w:color w:val="auto"/>
          <w:highlight w:val="none"/>
        </w:rPr>
        <w:t>3</w:t>
      </w:r>
      <w:r>
        <w:rPr>
          <w:color w:val="auto"/>
          <w:spacing w:val="-3"/>
          <w:highlight w:val="none"/>
        </w:rPr>
        <w:t>）</w:t>
      </w:r>
      <w:r>
        <w:rPr>
          <w:color w:val="auto"/>
          <w:highlight w:val="none"/>
        </w:rPr>
        <w:t>发</w:t>
      </w:r>
      <w:r>
        <w:rPr>
          <w:color w:val="auto"/>
          <w:spacing w:val="-3"/>
          <w:highlight w:val="none"/>
        </w:rPr>
        <w:t>生</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前附</w:t>
      </w:r>
      <w:r>
        <w:rPr>
          <w:color w:val="auto"/>
          <w:highlight w:val="none"/>
        </w:rPr>
        <w:t>表规</w:t>
      </w:r>
      <w:r>
        <w:rPr>
          <w:color w:val="auto"/>
          <w:spacing w:val="-3"/>
          <w:highlight w:val="none"/>
        </w:rPr>
        <w:t>定</w:t>
      </w:r>
      <w:r>
        <w:rPr>
          <w:color w:val="auto"/>
          <w:highlight w:val="none"/>
        </w:rPr>
        <w:t>的</w:t>
      </w:r>
      <w:r>
        <w:rPr>
          <w:color w:val="auto"/>
          <w:spacing w:val="-3"/>
          <w:highlight w:val="none"/>
        </w:rPr>
        <w:t>其</w:t>
      </w:r>
      <w:r>
        <w:rPr>
          <w:color w:val="auto"/>
          <w:highlight w:val="none"/>
        </w:rPr>
        <w:t>他</w:t>
      </w:r>
      <w:r>
        <w:rPr>
          <w:color w:val="auto"/>
          <w:spacing w:val="-3"/>
          <w:highlight w:val="none"/>
        </w:rPr>
        <w:t>可</w:t>
      </w:r>
      <w:r>
        <w:rPr>
          <w:color w:val="auto"/>
          <w:highlight w:val="none"/>
        </w:rPr>
        <w:t>以</w:t>
      </w:r>
      <w:r>
        <w:rPr>
          <w:color w:val="auto"/>
          <w:spacing w:val="-3"/>
          <w:highlight w:val="none"/>
        </w:rPr>
        <w:t>不</w:t>
      </w:r>
      <w:r>
        <w:rPr>
          <w:color w:val="auto"/>
          <w:highlight w:val="none"/>
        </w:rPr>
        <w:t>予</w:t>
      </w:r>
      <w:r>
        <w:rPr>
          <w:color w:val="auto"/>
          <w:spacing w:val="-3"/>
          <w:highlight w:val="none"/>
        </w:rPr>
        <w:t>退</w:t>
      </w:r>
      <w:r>
        <w:rPr>
          <w:color w:val="auto"/>
          <w:highlight w:val="none"/>
        </w:rPr>
        <w:t>还投</w:t>
      </w:r>
      <w:r>
        <w:rPr>
          <w:color w:val="auto"/>
          <w:spacing w:val="-3"/>
          <w:highlight w:val="none"/>
        </w:rPr>
        <w:t>标</w:t>
      </w:r>
      <w:r>
        <w:rPr>
          <w:color w:val="auto"/>
          <w:highlight w:val="none"/>
        </w:rPr>
        <w:t>保</w:t>
      </w:r>
      <w:r>
        <w:rPr>
          <w:color w:val="auto"/>
          <w:spacing w:val="-3"/>
          <w:highlight w:val="none"/>
        </w:rPr>
        <w:t>证</w:t>
      </w:r>
      <w:r>
        <w:rPr>
          <w:color w:val="auto"/>
          <w:highlight w:val="none"/>
        </w:rPr>
        <w:t>金</w:t>
      </w:r>
      <w:r>
        <w:rPr>
          <w:color w:val="auto"/>
          <w:spacing w:val="-3"/>
          <w:highlight w:val="none"/>
        </w:rPr>
        <w:t>的</w:t>
      </w:r>
      <w:r>
        <w:rPr>
          <w:color w:val="auto"/>
          <w:highlight w:val="none"/>
        </w:rPr>
        <w:t>情</w:t>
      </w:r>
      <w:r>
        <w:rPr>
          <w:color w:val="auto"/>
          <w:spacing w:val="-3"/>
          <w:highlight w:val="none"/>
        </w:rPr>
        <w:t>形</w:t>
      </w:r>
      <w:r>
        <w:rPr>
          <w:color w:val="auto"/>
          <w:highlight w:val="none"/>
        </w:rPr>
        <w:t>。</w:t>
      </w:r>
    </w:p>
    <w:p w14:paraId="317F21A9">
      <w:pPr>
        <w:spacing w:line="360" w:lineRule="auto"/>
        <w:ind w:firstLine="420" w:firstLineChars="200"/>
        <w:rPr>
          <w:rFonts w:hint="eastAsia"/>
          <w:color w:val="auto"/>
          <w:highlight w:val="none"/>
          <w:lang w:val="en-US" w:eastAsia="zh-CN"/>
        </w:rPr>
      </w:pPr>
      <w:r>
        <w:rPr>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1754505</wp:posOffset>
                </wp:positionV>
                <wp:extent cx="5558790" cy="635"/>
                <wp:effectExtent l="0" t="0" r="0" b="0"/>
                <wp:wrapNone/>
                <wp:docPr id="2" name="直线 4"/>
                <wp:cNvGraphicFramePr/>
                <a:graphic xmlns:a="http://schemas.openxmlformats.org/drawingml/2006/main">
                  <a:graphicData uri="http://schemas.microsoft.com/office/word/2010/wordprocessingShape">
                    <wps:wsp>
                      <wps:cNvCnPr/>
                      <wps:spPr>
                        <a:xfrm>
                          <a:off x="0" y="0"/>
                          <a:ext cx="55587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95pt;margin-top:138.15pt;height:0.05pt;width:437.7pt;z-index:251660288;mso-width-relative:page;mso-height-relative:page;" filled="f" stroked="t" coordsize="21600,21600" o:gfxdata="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pB6L&#10;1wAAAAkBAAAPAAAAAAAAAAEAIAAAACIAAABkcnMvZG93bnJldi54bWxQSwECFAAUAAAACACHTuJA&#10;eTak0ekBAADdAwAADgAAAAAAAAABACAAAAAmAQAAZHJzL2Uyb0RvYy54bWxQSwUGAAAAAAYABgBZ&#10;AQAAgQUAAAAA&#10;">
                <v:fill on="f" focussize="0,0"/>
                <v:stroke color="#000000" joinstyle="round"/>
                <v:imagedata o:title=""/>
                <o:lock v:ext="edit" aspectratio="f"/>
              </v:line>
            </w:pict>
          </mc:Fallback>
        </mc:AlternateContent>
      </w:r>
      <w:r>
        <w:rPr>
          <w:rFonts w:hint="eastAsia"/>
          <w:color w:val="auto"/>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15DB504E">
      <w:pPr>
        <w:spacing w:line="360" w:lineRule="auto"/>
        <w:ind w:firstLine="495" w:firstLineChars="224"/>
        <w:rPr>
          <w:rFonts w:hint="eastAsia" w:ascii="宋体" w:hAnsi="宋体" w:eastAsia="宋体"/>
          <w:b/>
          <w:bCs/>
          <w:color w:val="auto"/>
          <w:sz w:val="22"/>
          <w:szCs w:val="22"/>
          <w:highlight w:val="none"/>
          <w:lang w:eastAsia="zh-CN"/>
        </w:rPr>
      </w:pPr>
      <w:r>
        <w:rPr>
          <w:rFonts w:hint="default" w:ascii="宋体" w:hAnsi="宋体" w:eastAsia="宋体"/>
          <w:b/>
          <w:bCs/>
          <w:color w:val="auto"/>
          <w:sz w:val="22"/>
          <w:szCs w:val="22"/>
          <w:highlight w:val="none"/>
        </w:rPr>
        <w:t>条款号：</w:t>
      </w:r>
      <w:r>
        <w:rPr>
          <w:rFonts w:hint="eastAsia" w:ascii="宋体" w:hAnsi="宋体" w:eastAsia="宋体"/>
          <w:b/>
          <w:bCs/>
          <w:color w:val="auto"/>
          <w:sz w:val="22"/>
          <w:szCs w:val="22"/>
          <w:highlight w:val="none"/>
          <w:lang w:val="en-US" w:eastAsia="zh-CN"/>
        </w:rPr>
        <w:t xml:space="preserve">3.5 </w:t>
      </w:r>
      <w:r>
        <w:rPr>
          <w:rFonts w:hint="default" w:ascii="宋体" w:hAnsi="宋体" w:eastAsia="宋体"/>
          <w:b/>
          <w:bCs/>
          <w:color w:val="auto"/>
          <w:sz w:val="22"/>
          <w:szCs w:val="22"/>
          <w:highlight w:val="none"/>
        </w:rPr>
        <w:t xml:space="preserve">             修改类型：</w:t>
      </w:r>
      <w:r>
        <w:rPr>
          <w:rFonts w:hint="eastAsia" w:ascii="宋体" w:hAnsi="宋体" w:eastAsia="宋体"/>
          <w:b/>
          <w:bCs/>
          <w:color w:val="auto"/>
          <w:sz w:val="22"/>
          <w:szCs w:val="22"/>
          <w:highlight w:val="none"/>
          <w:lang w:val="en-US" w:eastAsia="zh-CN"/>
        </w:rPr>
        <w:t>修改</w:t>
      </w:r>
    </w:p>
    <w:p w14:paraId="5C836900">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hint="eastAsia" w:ascii="宋体" w:hAnsi="宋体" w:cs="宋体"/>
          <w:color w:val="auto"/>
          <w:sz w:val="21"/>
          <w:szCs w:val="21"/>
          <w:highlight w:val="none"/>
        </w:rPr>
        <w:t>除投标人须知前附表另有规定外，投标人应按</w:t>
      </w:r>
      <w:r>
        <w:rPr>
          <w:rFonts w:hint="eastAsia" w:ascii="宋体" w:hAnsi="宋体" w:cs="宋体"/>
          <w:color w:val="auto"/>
          <w:sz w:val="21"/>
          <w:szCs w:val="21"/>
          <w:highlight w:val="none"/>
          <w:u w:val="single"/>
        </w:rPr>
        <w:t>招标公告投标人资格要求及</w:t>
      </w:r>
      <w:r>
        <w:rPr>
          <w:rFonts w:hint="eastAsia" w:ascii="宋体" w:hAnsi="宋体" w:cs="宋体"/>
          <w:color w:val="auto"/>
          <w:sz w:val="21"/>
          <w:szCs w:val="21"/>
          <w:highlight w:val="none"/>
        </w:rPr>
        <w:t>下列规定提供资格审查资料，以证明其满足本章第1.4款规定的资质、业绩等要求。</w:t>
      </w:r>
    </w:p>
    <w:p w14:paraId="307AAC8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3.5.1 </w:t>
      </w:r>
      <w:r>
        <w:rPr>
          <w:rFonts w:hint="eastAsia" w:ascii="宋体" w:hAnsi="宋体" w:cs="宋体"/>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1332C86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252055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default" w:ascii="宋体" w:hAnsi="宋体" w:eastAsia="宋体" w:cs="宋体"/>
          <w:color w:val="auto"/>
          <w:sz w:val="21"/>
          <w:szCs w:val="21"/>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default" w:ascii="宋体" w:hAnsi="宋体" w:eastAsia="宋体" w:cs="宋体"/>
          <w:color w:val="auto"/>
          <w:sz w:val="21"/>
          <w:szCs w:val="21"/>
          <w:highlight w:val="none"/>
          <w:lang w:eastAsia="zh-CN"/>
        </w:rPr>
        <w:t>有）</w:t>
      </w:r>
      <w:r>
        <w:rPr>
          <w:rFonts w:hint="default" w:ascii="宋体" w:hAnsi="宋体" w:eastAsia="宋体" w:cs="宋体"/>
          <w:color w:val="auto"/>
          <w:sz w:val="21"/>
          <w:szCs w:val="21"/>
          <w:highlight w:val="none"/>
        </w:rPr>
        <w:t>；其他主要人员应附身份证、学历证、职称证、有关证书和社保缴费证明</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default" w:ascii="宋体" w:hAnsi="宋体" w:eastAsia="宋体" w:cs="宋体"/>
          <w:color w:val="auto"/>
          <w:sz w:val="21"/>
          <w:szCs w:val="21"/>
          <w:highlight w:val="none"/>
          <w:lang w:eastAsia="zh-CN"/>
        </w:rPr>
        <w:t>有）</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个月</w:t>
      </w:r>
      <w:r>
        <w:rPr>
          <w:rFonts w:hint="eastAsia" w:ascii="宋体" w:hAnsi="宋体" w:eastAsia="宋体" w:cs="宋体"/>
          <w:color w:val="auto"/>
          <w:sz w:val="21"/>
          <w:szCs w:val="21"/>
          <w:highlight w:val="none"/>
          <w:lang w:eastAsia="zh-CN"/>
        </w:rPr>
        <w:t>在本单位缴纳的社保证明文件，</w:t>
      </w:r>
      <w:r>
        <w:rPr>
          <w:rFonts w:hint="eastAsia" w:ascii="宋体" w:hAnsi="宋体" w:eastAsia="宋体" w:cs="宋体"/>
          <w:color w:val="auto"/>
          <w:sz w:val="21"/>
          <w:szCs w:val="21"/>
          <w:highlight w:val="none"/>
          <w:lang w:val="en-US" w:eastAsia="zh-CN"/>
        </w:rPr>
        <w:t>由招标人自行确定</w:t>
      </w:r>
      <w:r>
        <w:rPr>
          <w:rFonts w:hint="eastAsia" w:ascii="宋体" w:hAnsi="宋体" w:eastAsia="宋体" w:cs="宋体"/>
          <w:color w:val="auto"/>
          <w:sz w:val="21"/>
          <w:szCs w:val="21"/>
          <w:highlight w:val="none"/>
          <w:lang w:eastAsia="zh-CN"/>
        </w:rPr>
        <w:t>。）</w:t>
      </w:r>
    </w:p>
    <w:p w14:paraId="408A9B9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投标人须知前附表规定接受联合体投标的，本章第3.5.1项至第3.5.</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项规定的表格和资料应包括联合体各方相关情况。</w:t>
      </w:r>
    </w:p>
    <w:p w14:paraId="4B31AF7B">
      <w:pPr>
        <w:spacing w:line="360" w:lineRule="auto"/>
        <w:ind w:firstLine="422" w:firstLineChars="200"/>
        <w:rPr>
          <w:rFonts w:ascii="宋体" w:hAnsi="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现文：</w:t>
      </w:r>
      <w:r>
        <w:rPr>
          <w:rFonts w:hint="eastAsia" w:ascii="宋体" w:hAnsi="宋体" w:cs="宋体"/>
          <w:color w:val="auto"/>
          <w:sz w:val="21"/>
          <w:szCs w:val="21"/>
          <w:highlight w:val="none"/>
        </w:rPr>
        <w:t>除投标人须知前附表另有规定外，投标人应按</w:t>
      </w:r>
      <w:r>
        <w:rPr>
          <w:rFonts w:hint="eastAsia" w:ascii="宋体" w:hAnsi="宋体" w:cs="宋体"/>
          <w:color w:val="auto"/>
          <w:sz w:val="21"/>
          <w:szCs w:val="21"/>
          <w:highlight w:val="none"/>
          <w:u w:val="single"/>
        </w:rPr>
        <w:t>招标公告投标人资格要求及</w:t>
      </w:r>
      <w:r>
        <w:rPr>
          <w:rFonts w:hint="eastAsia" w:ascii="宋体" w:hAnsi="宋体" w:cs="宋体"/>
          <w:color w:val="auto"/>
          <w:sz w:val="21"/>
          <w:szCs w:val="21"/>
          <w:highlight w:val="none"/>
        </w:rPr>
        <w:t>下列规定提供资格审查资料，以证明其满足本章第1.4款规定的资质</w:t>
      </w:r>
      <w:r>
        <w:rPr>
          <w:rFonts w:hint="eastAsia" w:ascii="宋体" w:hAnsi="宋体" w:cs="宋体"/>
          <w:strike/>
          <w:dstrike w:val="0"/>
          <w:color w:val="auto"/>
          <w:sz w:val="21"/>
          <w:szCs w:val="21"/>
          <w:highlight w:val="none"/>
        </w:rPr>
        <w:t>、业绩</w:t>
      </w:r>
      <w:r>
        <w:rPr>
          <w:rFonts w:hint="eastAsia" w:ascii="宋体" w:hAnsi="宋体" w:cs="宋体"/>
          <w:color w:val="auto"/>
          <w:sz w:val="21"/>
          <w:szCs w:val="21"/>
          <w:highlight w:val="none"/>
        </w:rPr>
        <w:t>等要求。</w:t>
      </w:r>
    </w:p>
    <w:p w14:paraId="75938AB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3.5.1 </w:t>
      </w:r>
      <w:r>
        <w:rPr>
          <w:rFonts w:hint="eastAsia" w:ascii="宋体" w:hAnsi="宋体" w:cs="宋体"/>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1CF7CE84">
      <w:pPr>
        <w:spacing w:line="360" w:lineRule="auto"/>
        <w:ind w:firstLine="420" w:firstLineChars="200"/>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597776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trike/>
          <w:dstrike w:val="0"/>
          <w:color w:val="auto"/>
          <w:sz w:val="21"/>
          <w:szCs w:val="21"/>
          <w:highlight w:val="none"/>
        </w:rPr>
        <w:t>3.5.</w:t>
      </w:r>
      <w:r>
        <w:rPr>
          <w:rFonts w:hint="eastAsia" w:ascii="宋体" w:hAnsi="宋体" w:eastAsia="宋体" w:cs="宋体"/>
          <w:strike/>
          <w:dstrike w:val="0"/>
          <w:color w:val="auto"/>
          <w:sz w:val="21"/>
          <w:szCs w:val="21"/>
          <w:highlight w:val="none"/>
          <w:lang w:val="en-US" w:eastAsia="zh-CN"/>
        </w:rPr>
        <w:t>3</w:t>
      </w:r>
      <w:r>
        <w:rPr>
          <w:rFonts w:hint="eastAsia" w:ascii="宋体" w:hAnsi="宋体" w:eastAsia="宋体" w:cs="宋体"/>
          <w:strike/>
          <w:dstrike w:val="0"/>
          <w:color w:val="auto"/>
          <w:sz w:val="21"/>
          <w:szCs w:val="21"/>
          <w:highlight w:val="none"/>
        </w:rPr>
        <w:t xml:space="preserve">  </w:t>
      </w:r>
      <w:r>
        <w:rPr>
          <w:rFonts w:hint="default" w:ascii="宋体" w:hAnsi="宋体" w:eastAsia="宋体" w:cs="宋体"/>
          <w:strike/>
          <w:dstrike w:val="0"/>
          <w:color w:val="auto"/>
          <w:sz w:val="21"/>
          <w:szCs w:val="21"/>
          <w:highlight w:val="none"/>
        </w:rPr>
        <w:t>“拟委任的主要人员汇总表”应填报满足本章第 1.4.1 项规定的总监理工程师和其他主要人员的相关信息。“主要人员简历表”中</w:t>
      </w:r>
      <w:r>
        <w:rPr>
          <w:rFonts w:hint="default" w:ascii="宋体" w:hAnsi="宋体" w:eastAsia="宋体" w:cs="宋体"/>
          <w:color w:val="auto"/>
          <w:sz w:val="21"/>
          <w:szCs w:val="21"/>
          <w:highlight w:val="none"/>
        </w:rPr>
        <w:t>总监理工程师应附身份证、学历证、职称证、注册监理工程师执业证书和社保缴费证明，管理过的项目业绩须附合同协议书</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default" w:ascii="宋体" w:hAnsi="宋体" w:eastAsia="宋体" w:cs="宋体"/>
          <w:color w:val="auto"/>
          <w:sz w:val="21"/>
          <w:szCs w:val="21"/>
          <w:highlight w:val="none"/>
          <w:lang w:eastAsia="zh-CN"/>
        </w:rPr>
        <w:t>有）</w:t>
      </w:r>
      <w:r>
        <w:rPr>
          <w:rFonts w:hint="default" w:ascii="宋体" w:hAnsi="宋体" w:eastAsia="宋体" w:cs="宋体"/>
          <w:strike/>
          <w:color w:val="auto"/>
          <w:sz w:val="21"/>
          <w:szCs w:val="21"/>
          <w:highlight w:val="none"/>
        </w:rPr>
        <w:t>；其他主要人员应附身份证、学历证、职称证、有关证书和社保缴费证明</w:t>
      </w:r>
      <w:r>
        <w:rPr>
          <w:rFonts w:hint="default"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如</w:t>
      </w:r>
      <w:r>
        <w:rPr>
          <w:rFonts w:hint="default" w:ascii="宋体" w:hAnsi="宋体" w:eastAsia="宋体" w:cs="宋体"/>
          <w:strike/>
          <w:color w:val="auto"/>
          <w:sz w:val="21"/>
          <w:szCs w:val="21"/>
          <w:highlight w:val="none"/>
          <w:lang w:eastAsia="zh-CN"/>
        </w:rPr>
        <w:t>有）</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个月</w:t>
      </w:r>
      <w:r>
        <w:rPr>
          <w:rFonts w:hint="eastAsia" w:ascii="宋体" w:hAnsi="宋体" w:eastAsia="宋体" w:cs="宋体"/>
          <w:color w:val="auto"/>
          <w:sz w:val="21"/>
          <w:szCs w:val="21"/>
          <w:highlight w:val="none"/>
          <w:lang w:eastAsia="zh-CN"/>
        </w:rPr>
        <w:t>在本单位缴纳的社保证明文件，</w:t>
      </w:r>
      <w:r>
        <w:rPr>
          <w:rFonts w:hint="eastAsia" w:ascii="宋体" w:hAnsi="宋体" w:eastAsia="宋体" w:cs="宋体"/>
          <w:b/>
          <w:bCs/>
          <w:color w:val="auto"/>
          <w:sz w:val="21"/>
          <w:szCs w:val="21"/>
          <w:highlight w:val="none"/>
          <w:u w:val="single"/>
          <w:lang w:val="en-US" w:eastAsia="zh-CN"/>
        </w:rPr>
        <w:t>详见招标公告</w:t>
      </w:r>
      <w:r>
        <w:rPr>
          <w:rFonts w:hint="eastAsia" w:ascii="宋体" w:hAnsi="宋体" w:eastAsia="宋体" w:cs="宋体"/>
          <w:color w:val="auto"/>
          <w:sz w:val="21"/>
          <w:szCs w:val="21"/>
          <w:highlight w:val="none"/>
          <w:lang w:eastAsia="zh-CN"/>
        </w:rPr>
        <w:t>。）</w:t>
      </w:r>
    </w:p>
    <w:p w14:paraId="3C27DA1C">
      <w:pPr>
        <w:spacing w:line="360" w:lineRule="auto"/>
        <w:ind w:firstLine="420" w:firstLineChars="200"/>
        <w:rPr>
          <w:rFonts w:hint="eastAsia"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3.5.</w:t>
      </w:r>
      <w:r>
        <w:rPr>
          <w:rFonts w:hint="eastAsia" w:ascii="宋体" w:hAnsi="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rPr>
        <w:t>投标人须知前附表规定接受联合体投标的，本章第3.5.1项至第3.5.</w:t>
      </w:r>
      <w:r>
        <w:rPr>
          <w:rFonts w:hint="eastAsia" w:ascii="宋体" w:hAnsi="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rPr>
        <w:t>项规定的表格和资料应包括联合体各方相关情况。</w:t>
      </w:r>
    </w:p>
    <w:p w14:paraId="36D47051">
      <w:pPr>
        <w:spacing w:line="360" w:lineRule="auto"/>
        <w:ind w:firstLine="420" w:firstLineChars="200"/>
        <w:rPr>
          <w:rFonts w:ascii="宋体" w:hAnsi="宋体" w:cs="宋体"/>
          <w:color w:val="auto"/>
          <w:sz w:val="21"/>
          <w:szCs w:val="21"/>
          <w:highlight w:val="none"/>
        </w:rPr>
      </w:pPr>
      <w:r>
        <w:rPr>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14605</wp:posOffset>
                </wp:positionH>
                <wp:positionV relativeFrom="paragraph">
                  <wp:posOffset>40640</wp:posOffset>
                </wp:positionV>
                <wp:extent cx="5580380" cy="635"/>
                <wp:effectExtent l="0" t="0" r="0" b="0"/>
                <wp:wrapNone/>
                <wp:docPr id="9" name="直线 18"/>
                <wp:cNvGraphicFramePr/>
                <a:graphic xmlns:a="http://schemas.openxmlformats.org/drawingml/2006/main">
                  <a:graphicData uri="http://schemas.microsoft.com/office/word/2010/wordprocessingShape">
                    <wps:wsp>
                      <wps:cNvCnPr/>
                      <wps:spPr>
                        <a:xfrm>
                          <a:off x="0" y="0"/>
                          <a:ext cx="5580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1.15pt;margin-top:3.2pt;height:0.05pt;width:439.4pt;z-index:251667456;mso-width-relative:page;mso-height-relative:page;" filled="f" stroked="t" coordsize="21600,21600" o:gfxdata="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ZFT+3TAAAA&#10;BQEAAA8AAAAAAAAAAQAgAAAAIgAAAGRycy9kb3ducmV2LnhtbFBLAQIUABQAAAAIAIdO4kAhP7ke&#10;6QEAAN4DAAAOAAAAAAAAAAEAIAAAACIBAABkcnMvZTJvRG9jLnhtbFBLBQYAAAAABgAGAFkBAAB9&#10;BQAAAAA=&#10;">
                <v:fill on="f" focussize="0,0"/>
                <v:stroke color="#000000" joinstyle="round"/>
                <v:imagedata o:title=""/>
                <o:lock v:ext="edit" aspectratio="f"/>
              </v:line>
            </w:pict>
          </mc:Fallback>
        </mc:AlternateContent>
      </w:r>
    </w:p>
    <w:p w14:paraId="0A18D0D8">
      <w:pPr>
        <w:spacing w:line="360" w:lineRule="auto"/>
        <w:ind w:firstLine="495" w:firstLineChars="224"/>
        <w:rPr>
          <w:rFonts w:hint="default" w:ascii="宋体" w:hAnsi="宋体" w:eastAsia="宋体"/>
          <w:b/>
          <w:bCs/>
          <w:color w:val="auto"/>
          <w:sz w:val="22"/>
          <w:szCs w:val="22"/>
          <w:highlight w:val="none"/>
        </w:rPr>
      </w:pPr>
      <w:r>
        <w:rPr>
          <w:rFonts w:hint="default" w:ascii="宋体" w:hAnsi="宋体" w:eastAsia="宋体"/>
          <w:b/>
          <w:bCs/>
          <w:color w:val="auto"/>
          <w:sz w:val="22"/>
          <w:szCs w:val="22"/>
          <w:highlight w:val="none"/>
        </w:rPr>
        <w:t>条款号：</w:t>
      </w:r>
      <w:r>
        <w:rPr>
          <w:rFonts w:hint="eastAsia" w:ascii="宋体" w:hAnsi="宋体" w:eastAsia="宋体"/>
          <w:b/>
          <w:bCs/>
          <w:color w:val="auto"/>
          <w:sz w:val="22"/>
          <w:szCs w:val="22"/>
          <w:highlight w:val="none"/>
          <w:lang w:val="en-US" w:eastAsia="zh-CN"/>
        </w:rPr>
        <w:t>7.6</w:t>
      </w:r>
      <w:r>
        <w:rPr>
          <w:rFonts w:hint="default" w:ascii="宋体" w:hAnsi="宋体" w:eastAsia="宋体"/>
          <w:b/>
          <w:bCs/>
          <w:color w:val="auto"/>
          <w:sz w:val="22"/>
          <w:szCs w:val="22"/>
          <w:highlight w:val="none"/>
        </w:rPr>
        <w:t xml:space="preserve">             修改类型：删除</w:t>
      </w:r>
    </w:p>
    <w:p w14:paraId="72C5DF1F">
      <w:pPr>
        <w:spacing w:line="360" w:lineRule="auto"/>
        <w:ind w:firstLine="422" w:firstLineChars="200"/>
        <w:rPr>
          <w:rFonts w:hint="eastAsia"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hint="eastAsia" w:ascii="宋体" w:hAnsi="宋体" w:cs="宋体"/>
          <w:color w:val="auto"/>
          <w:sz w:val="21"/>
          <w:szCs w:val="21"/>
          <w:highlight w:val="none"/>
        </w:rPr>
        <w:t>7.6 履约保证金</w:t>
      </w:r>
    </w:p>
    <w:p w14:paraId="2369F4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DFAB1E8">
      <w:pPr>
        <w:spacing w:line="360" w:lineRule="auto"/>
        <w:ind w:firstLine="420" w:firstLineChars="200"/>
        <w:rPr>
          <w:rFonts w:ascii="宋体" w:hAnsi="宋体" w:cs="宋体"/>
          <w:color w:val="auto"/>
          <w:sz w:val="21"/>
          <w:szCs w:val="21"/>
          <w:highlight w:val="none"/>
        </w:rPr>
      </w:pPr>
      <w:r>
        <w:rPr>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483235</wp:posOffset>
                </wp:positionV>
                <wp:extent cx="5580380" cy="635"/>
                <wp:effectExtent l="0" t="0" r="0" b="0"/>
                <wp:wrapNone/>
                <wp:docPr id="10" name="直线 20"/>
                <wp:cNvGraphicFramePr/>
                <a:graphic xmlns:a="http://schemas.openxmlformats.org/drawingml/2006/main">
                  <a:graphicData uri="http://schemas.microsoft.com/office/word/2010/wordprocessingShape">
                    <wps:wsp>
                      <wps:cNvCnPr/>
                      <wps:spPr>
                        <a:xfrm>
                          <a:off x="0" y="0"/>
                          <a:ext cx="5580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0.55pt;margin-top:38.05pt;height:0.05pt;width:439.4pt;z-index:251668480;mso-width-relative:page;mso-height-relative:page;" filled="f" stroked="t" coordsize="21600,21600" o:gfxdata="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5Lji1QAA&#10;AAcBAAAPAAAAAAAAAAEAIAAAACIAAABkcnMvZG93bnJldi54bWxQSwECFAAUAAAACACHTuJA23sE&#10;u+gBAADf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cs="宋体"/>
          <w:color w:val="auto"/>
          <w:sz w:val="21"/>
          <w:szCs w:val="21"/>
          <w:highlight w:val="none"/>
        </w:rPr>
        <w:t>7.6.2 中标人不能按本章第7.6.1项要求提交履约保证金的，视为放弃中标，其投标保证金不予退还，给招标人造成的损失超过投标保证金数额的，中标人还应当对超过部分予以赔偿。</w:t>
      </w:r>
    </w:p>
    <w:p w14:paraId="2DB43F26">
      <w:pPr>
        <w:spacing w:line="360" w:lineRule="auto"/>
        <w:ind w:firstLine="472" w:firstLineChars="224"/>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sz w:val="21"/>
          <w:szCs w:val="21"/>
          <w:highlight w:val="none"/>
        </w:rPr>
        <w:t xml:space="preserve">条款号： </w:t>
      </w:r>
      <w:r>
        <w:rPr>
          <w:rFonts w:hint="eastAsia" w:ascii="宋体" w:hAnsi="宋体" w:eastAsia="宋体" w:cs="Times New Roman"/>
          <w:b/>
          <w:bCs/>
          <w:color w:val="auto"/>
          <w:sz w:val="21"/>
          <w:szCs w:val="21"/>
          <w:highlight w:val="none"/>
          <w:lang w:val="en-US" w:eastAsia="zh-CN"/>
        </w:rPr>
        <w:t>7.7</w:t>
      </w:r>
      <w:r>
        <w:rPr>
          <w:rFonts w:hint="default" w:ascii="宋体" w:hAnsi="宋体" w:eastAsia="宋体" w:cs="Times New Roman"/>
          <w:b/>
          <w:bCs/>
          <w:color w:val="auto"/>
          <w:sz w:val="21"/>
          <w:szCs w:val="21"/>
          <w:highlight w:val="none"/>
        </w:rPr>
        <w:t xml:space="preserve">            修改类型：修改</w:t>
      </w:r>
    </w:p>
    <w:p w14:paraId="4E2E9B18">
      <w:pPr>
        <w:spacing w:line="360" w:lineRule="auto"/>
        <w:ind w:firstLine="472" w:firstLineChars="224"/>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sz w:val="21"/>
          <w:szCs w:val="21"/>
          <w:highlight w:val="none"/>
          <w:lang w:val="en-US" w:eastAsia="zh-CN"/>
        </w:rPr>
        <w:t>原文：</w:t>
      </w:r>
      <w:r>
        <w:rPr>
          <w:rFonts w:hint="default" w:ascii="宋体" w:hAnsi="宋体" w:eastAsia="宋体" w:cs="Times New Roman"/>
          <w:b/>
          <w:bCs/>
          <w:color w:val="auto"/>
          <w:sz w:val="21"/>
          <w:szCs w:val="21"/>
          <w:highlight w:val="none"/>
        </w:rPr>
        <w:t xml:space="preserve">7.7 </w:t>
      </w:r>
      <w:r>
        <w:rPr>
          <w:rFonts w:hint="eastAsia" w:ascii="宋体" w:hAnsi="宋体" w:eastAsia="宋体" w:cs="Times New Roman"/>
          <w:b/>
          <w:bCs/>
          <w:color w:val="auto"/>
          <w:sz w:val="21"/>
          <w:szCs w:val="21"/>
          <w:highlight w:val="none"/>
        </w:rPr>
        <w:t>签订合同</w:t>
      </w:r>
    </w:p>
    <w:p w14:paraId="3CAC2F33">
      <w:pPr>
        <w:pStyle w:val="2"/>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highlight w:val="none"/>
        </w:rPr>
      </w:pPr>
      <w:r>
        <w:rPr>
          <w:rFonts w:ascii="宋体" w:hAnsi="宋体" w:eastAsia="宋体" w:cs="Times New Roman"/>
          <w:color w:val="auto"/>
          <w:spacing w:val="-3"/>
          <w:highlight w:val="none"/>
        </w:rPr>
        <w:t>7.8.1 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color w:val="auto"/>
          <w:spacing w:val="-3"/>
          <w:highlight w:val="none"/>
        </w:rPr>
        <w:t>，</w:t>
      </w:r>
      <w:r>
        <w:rPr>
          <w:color w:val="auto"/>
          <w:highlight w:val="none"/>
        </w:rPr>
        <w:t>或者不按照招标文</w:t>
      </w:r>
      <w:r>
        <w:rPr>
          <w:color w:val="auto"/>
          <w:spacing w:val="-3"/>
          <w:highlight w:val="none"/>
        </w:rPr>
        <w:t>件</w:t>
      </w:r>
      <w:r>
        <w:rPr>
          <w:color w:val="auto"/>
          <w:highlight w:val="none"/>
        </w:rPr>
        <w:t>要求</w:t>
      </w:r>
      <w:r>
        <w:rPr>
          <w:color w:val="auto"/>
          <w:spacing w:val="-3"/>
          <w:highlight w:val="none"/>
        </w:rPr>
        <w:t>提</w:t>
      </w:r>
      <w:r>
        <w:rPr>
          <w:color w:val="auto"/>
          <w:highlight w:val="none"/>
        </w:rPr>
        <w:t>交履约保证金的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color w:val="auto"/>
          <w:spacing w:val="-3"/>
          <w:highlight w:val="none"/>
        </w:rPr>
        <w:t>其</w:t>
      </w:r>
      <w:r>
        <w:rPr>
          <w:color w:val="auto"/>
          <w:highlight w:val="none"/>
        </w:rPr>
        <w:t>投标保证金不</w:t>
      </w:r>
      <w:r>
        <w:rPr>
          <w:color w:val="auto"/>
          <w:spacing w:val="-3"/>
          <w:highlight w:val="none"/>
        </w:rPr>
        <w:t>予</w:t>
      </w:r>
      <w:r>
        <w:rPr>
          <w:color w:val="auto"/>
          <w:highlight w:val="none"/>
        </w:rPr>
        <w:t>退还；</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color w:val="auto"/>
          <w:spacing w:val="-3"/>
          <w:highlight w:val="none"/>
        </w:rPr>
        <w:t>的</w:t>
      </w:r>
      <w:r>
        <w:rPr>
          <w:color w:val="auto"/>
          <w:highlight w:val="none"/>
        </w:rPr>
        <w:t>损</w:t>
      </w:r>
      <w:r>
        <w:rPr>
          <w:color w:val="auto"/>
          <w:spacing w:val="-3"/>
          <w:highlight w:val="none"/>
        </w:rPr>
        <w:t>失</w:t>
      </w:r>
      <w:r>
        <w:rPr>
          <w:color w:val="auto"/>
          <w:highlight w:val="none"/>
        </w:rPr>
        <w:t>超过</w:t>
      </w:r>
      <w:r>
        <w:rPr>
          <w:color w:val="auto"/>
          <w:spacing w:val="-3"/>
          <w:highlight w:val="none"/>
        </w:rPr>
        <w:t>投</w:t>
      </w:r>
      <w:r>
        <w:rPr>
          <w:color w:val="auto"/>
          <w:highlight w:val="none"/>
        </w:rPr>
        <w:t>标</w:t>
      </w:r>
      <w:r>
        <w:rPr>
          <w:color w:val="auto"/>
          <w:spacing w:val="-3"/>
          <w:highlight w:val="none"/>
        </w:rPr>
        <w:t>保</w:t>
      </w:r>
      <w:r>
        <w:rPr>
          <w:color w:val="auto"/>
          <w:highlight w:val="none"/>
        </w:rPr>
        <w:t>证</w:t>
      </w:r>
      <w:r>
        <w:rPr>
          <w:color w:val="auto"/>
          <w:spacing w:val="-3"/>
          <w:highlight w:val="none"/>
        </w:rPr>
        <w:t>金</w:t>
      </w:r>
      <w:r>
        <w:rPr>
          <w:color w:val="auto"/>
          <w:highlight w:val="none"/>
        </w:rPr>
        <w:t>数</w:t>
      </w:r>
      <w:r>
        <w:rPr>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74717AB3">
      <w:pPr>
        <w:pStyle w:val="2"/>
        <w:keepNext w:val="0"/>
        <w:keepLines w:val="0"/>
        <w:pageBreakBefore w:val="0"/>
        <w:widowControl w:val="0"/>
        <w:kinsoku w:val="0"/>
        <w:wordWrap/>
        <w:overflowPunct w:val="0"/>
        <w:topLinePunct w:val="0"/>
        <w:autoSpaceDE w:val="0"/>
        <w:autoSpaceDN w:val="0"/>
        <w:bidi w:val="0"/>
        <w:adjustRightInd/>
        <w:snapToGrid/>
        <w:spacing w:beforeLines="0" w:after="0" w:afterLines="0" w:line="360" w:lineRule="auto"/>
        <w:ind w:left="0" w:leftChars="0" w:right="215" w:firstLine="420" w:firstLineChars="200"/>
        <w:jc w:val="both"/>
        <w:textAlignment w:val="auto"/>
        <w:rPr>
          <w:rFonts w:ascii="宋体" w:hAnsi="宋体" w:eastAsia="宋体" w:cs="Times New Roman"/>
          <w:color w:val="auto"/>
          <w:highlight w:val="none"/>
        </w:rPr>
      </w:pPr>
      <w:r>
        <w:rPr>
          <w:rFonts w:ascii="宋体" w:hAnsi="宋体" w:eastAsia="宋体" w:cs="Times New Roman"/>
          <w:color w:val="auto"/>
          <w:highlight w:val="none"/>
        </w:rPr>
        <w:t>7.8.2</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发出中标通知书后，招标人无正当理由拒签合同，或者在签订合同时向中标人提出附加条件的，招标人向中标人退还投标保证金；给中标人造成损失的，还应当赔偿损失。</w:t>
      </w:r>
    </w:p>
    <w:p w14:paraId="10DAAB59">
      <w:pPr>
        <w:spacing w:line="360" w:lineRule="auto"/>
        <w:ind w:firstLine="420" w:firstLineChars="200"/>
        <w:rPr>
          <w:rFonts w:ascii="宋体" w:hAnsi="宋体" w:cs="宋体"/>
          <w:color w:val="auto"/>
          <w:sz w:val="21"/>
          <w:szCs w:val="21"/>
          <w:highlight w:val="none"/>
        </w:rPr>
      </w:pPr>
      <w:r>
        <w:rPr>
          <w:rFonts w:ascii="宋体" w:hAnsi="宋体" w:eastAsia="宋体" w:cs="Times New Roman"/>
          <w:color w:val="auto"/>
          <w:highlight w:val="none"/>
        </w:rPr>
        <w:t>7.8.3 联合体中标的，联合体各方应当共同与招标人签订合同，就中标项目向招标人承担连带责任</w:t>
      </w:r>
      <w:r>
        <w:rPr>
          <w:rFonts w:hint="eastAsia" w:ascii="宋体" w:hAnsi="宋体" w:cs="宋体"/>
          <w:color w:val="auto"/>
          <w:sz w:val="21"/>
          <w:szCs w:val="21"/>
          <w:highlight w:val="none"/>
        </w:rPr>
        <w:t>。</w:t>
      </w:r>
    </w:p>
    <w:p w14:paraId="1427483C">
      <w:pPr>
        <w:pStyle w:val="5"/>
        <w:bidi w:val="0"/>
        <w:spacing w:line="360" w:lineRule="auto"/>
        <w:ind w:firstLine="422" w:firstLineChars="200"/>
        <w:rPr>
          <w:rFonts w:hint="eastAsia" w:ascii="宋体" w:hAnsi="宋体" w:eastAsia="宋体" w:cs="宋体"/>
          <w:color w:val="auto"/>
          <w:sz w:val="21"/>
          <w:szCs w:val="21"/>
          <w:highlight w:val="none"/>
        </w:rPr>
      </w:pPr>
      <w:bookmarkStart w:id="69" w:name="_Toc23208"/>
      <w:bookmarkStart w:id="70" w:name="_Toc15252"/>
      <w:bookmarkStart w:id="71" w:name="_Toc1209"/>
      <w:r>
        <w:rPr>
          <w:rFonts w:hint="eastAsia" w:ascii="宋体" w:hAnsi="宋体" w:eastAsia="宋体" w:cs="宋体"/>
          <w:color w:val="auto"/>
          <w:kern w:val="2"/>
          <w:sz w:val="21"/>
          <w:szCs w:val="21"/>
          <w:highlight w:val="none"/>
          <w:lang w:val="en-US" w:eastAsia="zh-CN" w:bidi="ar-SA"/>
        </w:rPr>
        <w:t>现文：</w:t>
      </w:r>
      <w:r>
        <w:rPr>
          <w:rFonts w:hint="eastAsia" w:ascii="宋体" w:hAnsi="宋体" w:eastAsia="宋体" w:cs="宋体"/>
          <w:color w:val="auto"/>
          <w:sz w:val="21"/>
          <w:szCs w:val="21"/>
          <w:highlight w:val="none"/>
        </w:rPr>
        <w:t>7.7 签订合同</w:t>
      </w:r>
      <w:bookmarkEnd w:id="69"/>
      <w:bookmarkEnd w:id="70"/>
      <w:bookmarkEnd w:id="71"/>
    </w:p>
    <w:p w14:paraId="0B4AC5F3">
      <w:pPr>
        <w:pStyle w:val="2"/>
        <w:pageBreakBefore w:val="0"/>
        <w:kinsoku w:val="0"/>
        <w:wordWrap/>
        <w:overflowPunct w:val="0"/>
        <w:topLinePunct w:val="0"/>
        <w:autoSpaceDE w:val="0"/>
        <w:autoSpaceDN w:val="0"/>
        <w:bidi w:val="0"/>
        <w:adjustRightInd/>
        <w:snapToGrid/>
        <w:spacing w:beforeLines="0" w:afterLines="0" w:line="360" w:lineRule="auto"/>
        <w:ind w:left="0" w:leftChars="0" w:right="213" w:firstLine="410" w:firstLineChars="200"/>
        <w:jc w:val="both"/>
        <w:textAlignment w:val="auto"/>
        <w:rPr>
          <w:color w:val="auto"/>
          <w:highlight w:val="none"/>
        </w:rPr>
      </w:pPr>
      <w:r>
        <w:rPr>
          <w:rFonts w:ascii="宋体" w:hAnsi="宋体" w:eastAsia="宋体" w:cs="Times New Roman"/>
          <w:b/>
          <w:bCs/>
          <w:color w:val="auto"/>
          <w:spacing w:val="-3"/>
          <w:highlight w:val="none"/>
        </w:rPr>
        <w:t>7.</w:t>
      </w:r>
      <w:r>
        <w:rPr>
          <w:rFonts w:hint="eastAsia" w:ascii="宋体" w:hAnsi="宋体" w:eastAsia="宋体" w:cs="Times New Roman"/>
          <w:b/>
          <w:bCs/>
          <w:color w:val="auto"/>
          <w:spacing w:val="-3"/>
          <w:highlight w:val="none"/>
          <w:u w:val="single"/>
          <w:lang w:val="en-US" w:eastAsia="zh-CN"/>
        </w:rPr>
        <w:t>7</w:t>
      </w:r>
      <w:r>
        <w:rPr>
          <w:rFonts w:ascii="宋体" w:hAnsi="宋体" w:eastAsia="宋体" w:cs="Times New Roman"/>
          <w:b/>
          <w:bCs/>
          <w:color w:val="auto"/>
          <w:spacing w:val="-3"/>
          <w:highlight w:val="none"/>
        </w:rPr>
        <w:t xml:space="preserve">.1 </w:t>
      </w:r>
      <w:r>
        <w:rPr>
          <w:rFonts w:ascii="宋体" w:hAnsi="宋体" w:eastAsia="宋体" w:cs="Times New Roman"/>
          <w:color w:val="auto"/>
          <w:spacing w:val="-3"/>
          <w:highlight w:val="none"/>
        </w:rPr>
        <w:t>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strike/>
          <w:color w:val="auto"/>
          <w:spacing w:val="-3"/>
          <w:highlight w:val="none"/>
        </w:rPr>
        <w:t>，</w:t>
      </w:r>
      <w:r>
        <w:rPr>
          <w:strike/>
          <w:color w:val="auto"/>
          <w:highlight w:val="none"/>
        </w:rPr>
        <w:t>或者不按照招标文</w:t>
      </w:r>
      <w:r>
        <w:rPr>
          <w:strike/>
          <w:color w:val="auto"/>
          <w:spacing w:val="-3"/>
          <w:highlight w:val="none"/>
        </w:rPr>
        <w:t>件</w:t>
      </w:r>
      <w:r>
        <w:rPr>
          <w:strike/>
          <w:color w:val="auto"/>
          <w:highlight w:val="none"/>
        </w:rPr>
        <w:t>要求</w:t>
      </w:r>
      <w:r>
        <w:rPr>
          <w:strike/>
          <w:color w:val="auto"/>
          <w:spacing w:val="-3"/>
          <w:highlight w:val="none"/>
        </w:rPr>
        <w:t>提</w:t>
      </w:r>
      <w:r>
        <w:rPr>
          <w:strike/>
          <w:color w:val="auto"/>
          <w:highlight w:val="none"/>
        </w:rPr>
        <w:t>交履约保证金</w:t>
      </w:r>
      <w:r>
        <w:rPr>
          <w:color w:val="auto"/>
          <w:highlight w:val="none"/>
        </w:rPr>
        <w:t>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strike/>
          <w:color w:val="auto"/>
          <w:highlight w:val="none"/>
        </w:rPr>
        <w:t>，</w:t>
      </w:r>
      <w:r>
        <w:rPr>
          <w:strike/>
          <w:color w:val="auto"/>
          <w:spacing w:val="-3"/>
          <w:highlight w:val="none"/>
        </w:rPr>
        <w:t>其</w:t>
      </w:r>
      <w:r>
        <w:rPr>
          <w:strike/>
          <w:color w:val="auto"/>
          <w:highlight w:val="none"/>
        </w:rPr>
        <w:t>投标保证金不</w:t>
      </w:r>
      <w:r>
        <w:rPr>
          <w:strike/>
          <w:color w:val="auto"/>
          <w:spacing w:val="-3"/>
          <w:highlight w:val="none"/>
        </w:rPr>
        <w:t>予</w:t>
      </w:r>
      <w:r>
        <w:rPr>
          <w:strike/>
          <w:color w:val="auto"/>
          <w:highlight w:val="none"/>
        </w:rPr>
        <w:t>退还</w:t>
      </w:r>
      <w:r>
        <w:rPr>
          <w:color w:val="auto"/>
          <w:highlight w:val="none"/>
        </w:rPr>
        <w:t>；</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strike/>
          <w:color w:val="auto"/>
          <w:spacing w:val="-3"/>
          <w:highlight w:val="none"/>
        </w:rPr>
        <w:t>的</w:t>
      </w:r>
      <w:r>
        <w:rPr>
          <w:color w:val="auto"/>
          <w:highlight w:val="none"/>
        </w:rPr>
        <w:t>损</w:t>
      </w:r>
      <w:r>
        <w:rPr>
          <w:color w:val="auto"/>
          <w:spacing w:val="-3"/>
          <w:highlight w:val="none"/>
        </w:rPr>
        <w:t>失</w:t>
      </w:r>
      <w:r>
        <w:rPr>
          <w:strike/>
          <w:color w:val="auto"/>
          <w:highlight w:val="none"/>
        </w:rPr>
        <w:t>超过</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数</w:t>
      </w:r>
      <w:r>
        <w:rPr>
          <w:strike/>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3875AB58">
      <w:pPr>
        <w:pStyle w:val="2"/>
        <w:kinsoku w:val="0"/>
        <w:overflowPunct w:val="0"/>
        <w:autoSpaceDE w:val="0"/>
        <w:autoSpaceDN w:val="0"/>
        <w:spacing w:beforeLines="0" w:afterLines="0" w:line="360" w:lineRule="auto"/>
        <w:ind w:right="213" w:firstLine="422" w:firstLineChars="200"/>
        <w:rPr>
          <w:rFonts w:ascii="宋体" w:hAnsi="宋体" w:eastAsia="宋体" w:cs="Times New Roman"/>
          <w:color w:val="auto"/>
          <w:highlight w:val="none"/>
        </w:rPr>
      </w:pPr>
      <w:r>
        <w:rPr>
          <w:rFonts w:ascii="宋体" w:hAnsi="宋体" w:eastAsia="宋体" w:cs="Times New Roman"/>
          <w:b/>
          <w:bCs/>
          <w:color w:val="auto"/>
          <w:highlight w:val="none"/>
        </w:rPr>
        <w:t>7.</w:t>
      </w:r>
      <w:r>
        <w:rPr>
          <w:rFonts w:hint="eastAsia" w:ascii="宋体" w:hAnsi="宋体" w:eastAsia="宋体" w:cs="Times New Roman"/>
          <w:b/>
          <w:bCs/>
          <w:color w:val="auto"/>
          <w:highlight w:val="none"/>
          <w:u w:val="single"/>
          <w:lang w:val="en-US" w:eastAsia="zh-CN"/>
        </w:rPr>
        <w:t>7</w:t>
      </w:r>
      <w:r>
        <w:rPr>
          <w:rFonts w:ascii="宋体" w:hAnsi="宋体" w:eastAsia="宋体" w:cs="Times New Roman"/>
          <w:b/>
          <w:bCs/>
          <w:color w:val="auto"/>
          <w:highlight w:val="none"/>
        </w:rPr>
        <w:t>.2</w:t>
      </w:r>
      <w:r>
        <w:rPr>
          <w:rFonts w:hint="eastAsia" w:ascii="宋体" w:hAnsi="宋体" w:eastAsia="宋体" w:cs="Times New Roman"/>
          <w:b/>
          <w:bCs/>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w:t>
      </w:r>
      <w:r>
        <w:rPr>
          <w:rFonts w:ascii="宋体" w:hAnsi="宋体" w:eastAsia="宋体" w:cs="Times New Roman"/>
          <w:strike/>
          <w:color w:val="auto"/>
          <w:highlight w:val="none"/>
        </w:rPr>
        <w:t>，招标人向中标人退还投标保证金</w:t>
      </w:r>
      <w:r>
        <w:rPr>
          <w:rFonts w:hint="eastAsia" w:ascii="宋体" w:hAnsi="宋体" w:cs="Times New Roman"/>
          <w:b/>
          <w:bCs/>
          <w:color w:val="auto"/>
          <w:highlight w:val="none"/>
          <w:lang w:eastAsia="zh-CN"/>
        </w:rPr>
        <w:t>，</w:t>
      </w:r>
      <w:r>
        <w:rPr>
          <w:rFonts w:ascii="宋体" w:hAnsi="宋体" w:eastAsia="宋体" w:cs="Times New Roman"/>
          <w:color w:val="auto"/>
          <w:highlight w:val="none"/>
        </w:rPr>
        <w:t>给中标人造成损失的，还应当赔偿损失。</w:t>
      </w:r>
    </w:p>
    <w:p w14:paraId="2D51B6D6">
      <w:pPr>
        <w:pStyle w:val="2"/>
        <w:kinsoku w:val="0"/>
        <w:overflowPunct w:val="0"/>
        <w:autoSpaceDE w:val="0"/>
        <w:autoSpaceDN w:val="0"/>
        <w:spacing w:beforeLines="0" w:afterLines="0" w:line="360" w:lineRule="auto"/>
        <w:ind w:right="213" w:firstLine="420" w:firstLineChars="200"/>
        <w:rPr>
          <w:rFonts w:hint="eastAsia" w:ascii="宋体" w:hAnsi="宋体" w:cs="宋体"/>
          <w:strike w:val="0"/>
          <w:color w:val="auto"/>
          <w:sz w:val="21"/>
          <w:szCs w:val="21"/>
          <w:highlight w:val="none"/>
        </w:rPr>
      </w:pPr>
      <w:r>
        <w:rPr>
          <w:rFonts w:ascii="宋体" w:hAnsi="宋体" w:eastAsia="宋体" w:cs="Times New Roman"/>
          <w:strike w:val="0"/>
          <w:color w:val="auto"/>
          <w:highlight w:val="none"/>
        </w:rPr>
        <w:t>7.8.3 联合体中标的，联合体各方应当共同与招标人签订合同，就中标项目向招标人承担连带责任</w:t>
      </w:r>
      <w:r>
        <w:rPr>
          <w:rFonts w:hint="eastAsia" w:ascii="宋体" w:hAnsi="宋体" w:cs="宋体"/>
          <w:strike w:val="0"/>
          <w:color w:val="auto"/>
          <w:sz w:val="21"/>
          <w:szCs w:val="21"/>
          <w:highlight w:val="none"/>
        </w:rPr>
        <w:t>。</w:t>
      </w:r>
    </w:p>
    <w:p w14:paraId="275ED46C">
      <w:pPr>
        <w:pStyle w:val="2"/>
        <w:kinsoku w:val="0"/>
        <w:overflowPunct w:val="0"/>
        <w:autoSpaceDE w:val="0"/>
        <w:autoSpaceDN w:val="0"/>
        <w:spacing w:beforeLines="0" w:afterLines="0" w:line="360" w:lineRule="auto"/>
        <w:ind w:right="213" w:firstLine="422" w:firstLineChars="200"/>
        <w:rPr>
          <w:rFonts w:hint="default" w:eastAsia="宋体"/>
          <w:b/>
          <w:bCs/>
          <w:color w:val="auto"/>
          <w:highlight w:val="none"/>
          <w:u w:val="single"/>
          <w:lang w:val="en-US" w:eastAsia="zh-CN"/>
        </w:rPr>
      </w:pPr>
      <w:r>
        <w:rPr>
          <w:b/>
          <w:bCs/>
          <w:color w:val="auto"/>
          <w:sz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532765</wp:posOffset>
                </wp:positionV>
                <wp:extent cx="5674995" cy="6985"/>
                <wp:effectExtent l="0" t="0" r="0" b="0"/>
                <wp:wrapNone/>
                <wp:docPr id="3" name="直线 6"/>
                <wp:cNvGraphicFramePr/>
                <a:graphic xmlns:a="http://schemas.openxmlformats.org/drawingml/2006/main">
                  <a:graphicData uri="http://schemas.microsoft.com/office/word/2010/wordprocessingShape">
                    <wps:wsp>
                      <wps:cNvCnPr/>
                      <wps:spPr>
                        <a:xfrm flipV="1">
                          <a:off x="0" y="0"/>
                          <a:ext cx="5674995"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1.5pt;margin-top:41.95pt;height:0.55pt;width:446.85pt;z-index:251661312;mso-width-relative:page;mso-height-relative:page;" filled="f" stroked="t" coordsize="21600,21600" o:gfxdata="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0tcDXAAAACAEAAA8AAAAAAAAAAQAgAAAAIgAAAGRycy9kb3ducmV2LnhtbFBLAQIUABQA&#10;AAAIAIdO4kCvBlKT8QEAAOg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Times New Roman"/>
          <w:b/>
          <w:bCs/>
          <w:color w:val="auto"/>
          <w:highlight w:val="none"/>
          <w:u w:val="single"/>
          <w:lang w:val="en-US" w:eastAsia="zh-CN"/>
        </w:rPr>
        <w:t>7.7.3中标人在收到本项目中标通知书后，按招标人通知的时间及地点，由其法定代表人或者经授权的副总经理级别或以上的人员参与招标人组织的合同签约仪式。</w:t>
      </w:r>
    </w:p>
    <w:p w14:paraId="10FDF934">
      <w:pPr>
        <w:spacing w:line="360" w:lineRule="auto"/>
        <w:ind w:firstLine="420" w:firstLineChars="200"/>
        <w:rPr>
          <w:rFonts w:hint="default" w:ascii="楷体_GB2312" w:hAnsi="楷体_GB2312" w:eastAsia="楷体_GB2312" w:cs="楷体_GB2312"/>
          <w:color w:val="auto"/>
          <w:kern w:val="2"/>
          <w:sz w:val="21"/>
          <w:szCs w:val="21"/>
          <w:highlight w:val="none"/>
          <w:lang w:val="en-US" w:eastAsia="zh-CN" w:bidi="ar-SA"/>
        </w:rPr>
      </w:pPr>
    </w:p>
    <w:p w14:paraId="679C37F7">
      <w:pPr>
        <w:spacing w:line="360" w:lineRule="auto"/>
        <w:ind w:firstLine="420" w:firstLineChars="200"/>
        <w:rPr>
          <w:rFonts w:hint="default" w:ascii="楷体_GB2312" w:hAnsi="楷体_GB2312" w:eastAsia="楷体_GB2312" w:cs="楷体_GB2312"/>
          <w:color w:val="auto"/>
          <w:kern w:val="2"/>
          <w:sz w:val="21"/>
          <w:szCs w:val="21"/>
          <w:highlight w:val="none"/>
          <w:lang w:val="en-US" w:eastAsia="zh-CN" w:bidi="ar-SA"/>
        </w:rPr>
      </w:pPr>
      <w:r>
        <w:rPr>
          <w:rFonts w:hint="default" w:ascii="楷体_GB2312" w:hAnsi="楷体_GB2312" w:eastAsia="楷体_GB2312" w:cs="楷体_GB2312"/>
          <w:color w:val="auto"/>
          <w:kern w:val="2"/>
          <w:sz w:val="21"/>
          <w:szCs w:val="21"/>
          <w:highlight w:val="none"/>
          <w:lang w:val="en-US" w:eastAsia="zh-CN" w:bidi="ar-SA"/>
        </w:rPr>
        <w:t>注：以上修改，仅限于本范本中有可供选择条款的情形。</w:t>
      </w:r>
    </w:p>
    <w:p w14:paraId="041FF8E5">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76480202">
      <w:pPr>
        <w:spacing w:line="360" w:lineRule="auto"/>
        <w:rPr>
          <w:rFonts w:hint="default"/>
          <w:color w:val="auto"/>
          <w:highlight w:val="none"/>
        </w:rPr>
        <w:sectPr>
          <w:footerReference r:id="rId4" w:type="default"/>
          <w:pgSz w:w="11850"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start="1"/>
          <w:cols w:space="720" w:num="1"/>
        </w:sectPr>
      </w:pPr>
    </w:p>
    <w:p w14:paraId="7150A5F7">
      <w:pPr>
        <w:bidi w:val="0"/>
        <w:spacing w:line="360" w:lineRule="auto"/>
        <w:rPr>
          <w:rFonts w:hint="eastAsia" w:ascii="宋体" w:hAnsi="宋体" w:eastAsia="宋体" w:cs="宋体"/>
          <w:color w:val="auto"/>
          <w:sz w:val="28"/>
          <w:szCs w:val="28"/>
          <w:highlight w:val="none"/>
        </w:rPr>
      </w:pPr>
      <w:bookmarkStart w:id="72" w:name="_Toc492300564"/>
      <w:bookmarkStart w:id="73" w:name="_Toc7456"/>
      <w:bookmarkStart w:id="74" w:name="_Toc18411"/>
      <w:bookmarkStart w:id="75" w:name="_Toc19500"/>
      <w:bookmarkStart w:id="76" w:name="_Toc21340"/>
      <w:bookmarkStart w:id="77" w:name="_Toc12009"/>
      <w:bookmarkStart w:id="78" w:name="_Toc22560"/>
      <w:bookmarkStart w:id="79" w:name="_Toc22444"/>
      <w:bookmarkStart w:id="80" w:name="_Toc26169"/>
      <w:bookmarkStart w:id="81" w:name="_Toc8425"/>
      <w:bookmarkStart w:id="82" w:name="_Toc25297"/>
      <w:bookmarkStart w:id="83" w:name="_Toc5705"/>
      <w:bookmarkStart w:id="84" w:name="_Toc30612"/>
      <w:bookmarkStart w:id="85" w:name="_Toc31696"/>
      <w:bookmarkStart w:id="86" w:name="_Toc6604"/>
    </w:p>
    <w:p w14:paraId="1CD709CC">
      <w:pPr>
        <w:pStyle w:val="28"/>
        <w:spacing w:line="360" w:lineRule="auto"/>
        <w:rPr>
          <w:rFonts w:hint="eastAsia" w:ascii="宋体" w:hAnsi="宋体" w:eastAsia="宋体" w:cs="宋体"/>
          <w:color w:val="auto"/>
          <w:sz w:val="28"/>
          <w:szCs w:val="28"/>
          <w:highlight w:val="none"/>
        </w:rPr>
      </w:pPr>
    </w:p>
    <w:p w14:paraId="6C7A679E">
      <w:pPr>
        <w:pStyle w:val="28"/>
        <w:spacing w:line="360" w:lineRule="auto"/>
        <w:rPr>
          <w:rFonts w:hint="eastAsia" w:ascii="宋体" w:hAnsi="宋体" w:eastAsia="宋体" w:cs="宋体"/>
          <w:color w:val="auto"/>
          <w:sz w:val="28"/>
          <w:szCs w:val="28"/>
          <w:highlight w:val="none"/>
        </w:rPr>
      </w:pPr>
    </w:p>
    <w:p w14:paraId="71240863">
      <w:pPr>
        <w:pStyle w:val="28"/>
        <w:spacing w:line="360" w:lineRule="auto"/>
        <w:rPr>
          <w:rFonts w:hint="eastAsia" w:ascii="宋体" w:hAnsi="宋体" w:eastAsia="宋体" w:cs="宋体"/>
          <w:color w:val="auto"/>
          <w:sz w:val="28"/>
          <w:szCs w:val="28"/>
          <w:highlight w:val="none"/>
        </w:rPr>
      </w:pPr>
    </w:p>
    <w:p w14:paraId="6C25AFD0">
      <w:pPr>
        <w:pStyle w:val="28"/>
        <w:spacing w:line="360" w:lineRule="auto"/>
        <w:rPr>
          <w:rFonts w:hint="eastAsia" w:ascii="宋体" w:hAnsi="宋体" w:eastAsia="宋体" w:cs="宋体"/>
          <w:color w:val="auto"/>
          <w:sz w:val="28"/>
          <w:szCs w:val="28"/>
          <w:highlight w:val="none"/>
        </w:rPr>
      </w:pPr>
    </w:p>
    <w:p w14:paraId="729B1EEF">
      <w:pPr>
        <w:pStyle w:val="28"/>
        <w:spacing w:line="360" w:lineRule="auto"/>
        <w:rPr>
          <w:rFonts w:hint="eastAsia" w:ascii="宋体" w:hAnsi="宋体" w:eastAsia="宋体" w:cs="宋体"/>
          <w:color w:val="auto"/>
          <w:sz w:val="28"/>
          <w:szCs w:val="28"/>
          <w:highlight w:val="none"/>
        </w:rPr>
      </w:pPr>
    </w:p>
    <w:p w14:paraId="4529484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87" w:name="_Toc27088"/>
      <w:r>
        <w:rPr>
          <w:rFonts w:hint="eastAsia" w:ascii="宋体" w:hAnsi="宋体" w:eastAsia="宋体" w:cs="宋体"/>
          <w:b/>
          <w:bCs/>
          <w:color w:val="auto"/>
          <w:sz w:val="28"/>
          <w:szCs w:val="28"/>
          <w:highlight w:val="none"/>
        </w:rPr>
        <w:t>1. 总则</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FA1843E">
      <w:pPr>
        <w:pStyle w:val="8"/>
        <w:spacing w:line="360" w:lineRule="auto"/>
        <w:rPr>
          <w:rFonts w:hint="eastAsia"/>
          <w:color w:val="auto"/>
          <w:highlight w:val="none"/>
        </w:rPr>
      </w:pPr>
    </w:p>
    <w:p w14:paraId="16D45E1A">
      <w:pPr>
        <w:bidi w:val="0"/>
        <w:spacing w:line="360" w:lineRule="auto"/>
        <w:rPr>
          <w:rFonts w:hint="eastAsia" w:ascii="宋体" w:hAnsi="宋体" w:eastAsia="宋体" w:cs="宋体"/>
          <w:b/>
          <w:bCs/>
          <w:color w:val="auto"/>
          <w:sz w:val="28"/>
          <w:szCs w:val="28"/>
          <w:highlight w:val="none"/>
        </w:rPr>
      </w:pPr>
      <w:bookmarkStart w:id="88" w:name="_Toc22496"/>
      <w:bookmarkStart w:id="89" w:name="_Toc21695"/>
      <w:bookmarkStart w:id="90" w:name="_Toc3885"/>
      <w:bookmarkStart w:id="91" w:name="_Toc11648"/>
      <w:bookmarkStart w:id="92" w:name="_Toc29135"/>
      <w:bookmarkStart w:id="93" w:name="_Toc30803"/>
      <w:bookmarkStart w:id="94" w:name="_Toc30770"/>
      <w:bookmarkStart w:id="95" w:name="_Toc17110"/>
      <w:bookmarkStart w:id="96" w:name="_Toc725"/>
      <w:bookmarkStart w:id="97" w:name="_Toc14769"/>
      <w:bookmarkStart w:id="98" w:name="_Toc290"/>
      <w:bookmarkStart w:id="99" w:name="_Toc22345"/>
      <w:bookmarkStart w:id="100" w:name="_Toc6176"/>
      <w:bookmarkStart w:id="101" w:name="_Toc492300565"/>
      <w:bookmarkStart w:id="102" w:name="_Toc11116"/>
      <w:r>
        <w:rPr>
          <w:rFonts w:hint="eastAsia" w:ascii="宋体" w:hAnsi="宋体" w:eastAsia="宋体" w:cs="宋体"/>
          <w:b/>
          <w:bCs/>
          <w:color w:val="auto"/>
          <w:sz w:val="28"/>
          <w:szCs w:val="28"/>
          <w:highlight w:val="none"/>
        </w:rPr>
        <w:t>1.1 招标项目概况</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C40DA3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1.1.1根据《中华人民共和国招标投标法》、《中华人民共和国招标投标法实施条例》等有关法律、法规和规章的规定，本招标项目已具备招标条件，现对监理进行招标。</w:t>
      </w:r>
    </w:p>
    <w:p w14:paraId="4073688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1.1.2招标人：见投标人须知前附表。</w:t>
      </w:r>
    </w:p>
    <w:p w14:paraId="5400DD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1.1.3招标代理机构：见投标人须知前附表。</w:t>
      </w:r>
    </w:p>
    <w:p w14:paraId="5787576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1.1.4招标项目名称：见投标人须知前附表。</w:t>
      </w:r>
    </w:p>
    <w:p w14:paraId="70FDEC0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1.1.5项目建设地点：见投标人须知前附表。</w:t>
      </w:r>
    </w:p>
    <w:p w14:paraId="7026253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1.1.6项目建设规模：见投标人须知前附表。</w:t>
      </w:r>
    </w:p>
    <w:p w14:paraId="7D080BC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1.1.7工程项目施工预计开工日期和建设周期：见投标人须知前附表。</w:t>
      </w:r>
    </w:p>
    <w:p w14:paraId="5CF839B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1.1.8建筑安装工程费/工程概算：见投标人须知前附表。</w:t>
      </w:r>
    </w:p>
    <w:p w14:paraId="52D8801C">
      <w:pPr>
        <w:pStyle w:val="8"/>
        <w:spacing w:line="360" w:lineRule="auto"/>
        <w:rPr>
          <w:color w:val="auto"/>
          <w:highlight w:val="none"/>
        </w:rPr>
      </w:pPr>
    </w:p>
    <w:p w14:paraId="207870A3">
      <w:pPr>
        <w:bidi w:val="0"/>
        <w:spacing w:line="360" w:lineRule="auto"/>
        <w:rPr>
          <w:rFonts w:hint="eastAsia" w:ascii="宋体" w:hAnsi="宋体" w:eastAsia="宋体" w:cs="宋体"/>
          <w:b/>
          <w:bCs/>
          <w:color w:val="auto"/>
          <w:sz w:val="28"/>
          <w:szCs w:val="28"/>
          <w:highlight w:val="none"/>
        </w:rPr>
      </w:pPr>
      <w:bookmarkStart w:id="103" w:name="_Toc32712"/>
      <w:bookmarkStart w:id="104" w:name="_Toc29508"/>
      <w:bookmarkStart w:id="105" w:name="_Toc26231"/>
      <w:bookmarkStart w:id="106" w:name="_Toc8474"/>
      <w:bookmarkStart w:id="107" w:name="_Toc27819"/>
      <w:bookmarkStart w:id="108" w:name="_Toc3649"/>
      <w:bookmarkStart w:id="109" w:name="_Toc29208"/>
      <w:bookmarkStart w:id="110" w:name="_Toc492300566"/>
      <w:bookmarkStart w:id="111" w:name="_Toc15383"/>
      <w:bookmarkStart w:id="112" w:name="_Toc12092"/>
      <w:bookmarkStart w:id="113" w:name="_Toc2031"/>
      <w:bookmarkStart w:id="114" w:name="_Toc11422"/>
      <w:bookmarkStart w:id="115" w:name="_Toc29969"/>
      <w:bookmarkStart w:id="116" w:name="_Toc5642"/>
      <w:bookmarkStart w:id="117" w:name="_Toc4038"/>
      <w:r>
        <w:rPr>
          <w:rFonts w:hint="eastAsia" w:ascii="宋体" w:hAnsi="宋体" w:eastAsia="宋体" w:cs="宋体"/>
          <w:b/>
          <w:bCs/>
          <w:color w:val="auto"/>
          <w:sz w:val="28"/>
          <w:szCs w:val="28"/>
          <w:highlight w:val="none"/>
        </w:rPr>
        <w:t>1.2 招标项目的资金来源和落实情况</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FD7646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1.2.1 </w:t>
      </w:r>
      <w:r>
        <w:rPr>
          <w:rFonts w:hint="eastAsia" w:ascii="宋体" w:hAnsi="宋体" w:cs="宋体"/>
          <w:color w:val="auto"/>
          <w:sz w:val="21"/>
          <w:szCs w:val="21"/>
          <w:highlight w:val="none"/>
        </w:rPr>
        <w:t>资金来源及比例：见投标人须知前附表。</w:t>
      </w:r>
    </w:p>
    <w:p w14:paraId="0FA55FB0">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1.2.2 </w:t>
      </w:r>
      <w:r>
        <w:rPr>
          <w:rFonts w:hint="eastAsia" w:ascii="宋体" w:hAnsi="宋体" w:cs="宋体"/>
          <w:color w:val="auto"/>
          <w:sz w:val="21"/>
          <w:szCs w:val="21"/>
          <w:highlight w:val="none"/>
        </w:rPr>
        <w:t>资金落实情况：见投标人须知前附表。</w:t>
      </w:r>
    </w:p>
    <w:p w14:paraId="49EC6CA7">
      <w:pPr>
        <w:pStyle w:val="8"/>
        <w:spacing w:line="360" w:lineRule="auto"/>
        <w:rPr>
          <w:color w:val="auto"/>
          <w:highlight w:val="none"/>
        </w:rPr>
      </w:pPr>
    </w:p>
    <w:p w14:paraId="228AF6BC">
      <w:pPr>
        <w:bidi w:val="0"/>
        <w:spacing w:line="360" w:lineRule="auto"/>
        <w:rPr>
          <w:rFonts w:hint="eastAsia" w:ascii="宋体" w:hAnsi="宋体" w:eastAsia="宋体" w:cs="宋体"/>
          <w:b/>
          <w:bCs/>
          <w:color w:val="auto"/>
          <w:sz w:val="28"/>
          <w:szCs w:val="28"/>
          <w:highlight w:val="none"/>
          <w:lang w:val="en-US" w:eastAsia="zh-CN"/>
        </w:rPr>
      </w:pPr>
      <w:bookmarkStart w:id="118" w:name="_Toc17583"/>
      <w:bookmarkStart w:id="119" w:name="_Toc7007"/>
      <w:bookmarkStart w:id="120" w:name="_Toc25902"/>
      <w:bookmarkStart w:id="121" w:name="_Toc13153"/>
      <w:bookmarkStart w:id="122" w:name="_Toc492300567"/>
      <w:bookmarkStart w:id="123" w:name="_Toc10849"/>
      <w:bookmarkStart w:id="124" w:name="_Toc32339"/>
      <w:bookmarkStart w:id="125" w:name="_Toc32533"/>
      <w:bookmarkStart w:id="126" w:name="_Toc14372"/>
      <w:bookmarkStart w:id="127" w:name="_Toc8798"/>
      <w:bookmarkStart w:id="128" w:name="_Toc25003"/>
      <w:bookmarkStart w:id="129" w:name="_Toc26261"/>
      <w:bookmarkStart w:id="130" w:name="_Toc977"/>
      <w:bookmarkStart w:id="131" w:name="_Toc32554"/>
      <w:bookmarkStart w:id="132" w:name="_Toc11163"/>
      <w:r>
        <w:rPr>
          <w:rFonts w:hint="eastAsia" w:ascii="宋体" w:hAnsi="宋体" w:eastAsia="宋体" w:cs="宋体"/>
          <w:b/>
          <w:bCs/>
          <w:color w:val="auto"/>
          <w:sz w:val="28"/>
          <w:szCs w:val="28"/>
          <w:highlight w:val="none"/>
          <w:lang w:val="en-US" w:eastAsia="zh-CN"/>
        </w:rPr>
        <w:t>1.3招标范围、监理服务期限和质量标准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ADE931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1.3.1 </w:t>
      </w:r>
      <w:r>
        <w:rPr>
          <w:rFonts w:hint="eastAsia" w:ascii="宋体" w:hAnsi="宋体" w:cs="宋体"/>
          <w:color w:val="auto"/>
          <w:sz w:val="21"/>
          <w:szCs w:val="21"/>
          <w:highlight w:val="none"/>
        </w:rPr>
        <w:t>招标范围：见投标人须知前附表。</w:t>
      </w:r>
    </w:p>
    <w:p w14:paraId="263A6C3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1.3.2 </w:t>
      </w:r>
      <w:r>
        <w:rPr>
          <w:rFonts w:hint="eastAsia" w:ascii="宋体" w:hAnsi="宋体" w:cs="宋体"/>
          <w:color w:val="auto"/>
          <w:sz w:val="21"/>
          <w:szCs w:val="21"/>
          <w:highlight w:val="none"/>
        </w:rPr>
        <w:t>监理服务期限：见投标人须知前附表。</w:t>
      </w:r>
    </w:p>
    <w:p w14:paraId="399F3388">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1.3.3 </w:t>
      </w:r>
      <w:r>
        <w:rPr>
          <w:rFonts w:hint="eastAsia" w:ascii="宋体" w:hAnsi="宋体" w:cs="宋体"/>
          <w:b/>
          <w:bCs/>
          <w:color w:val="auto"/>
          <w:sz w:val="21"/>
          <w:szCs w:val="21"/>
          <w:highlight w:val="none"/>
          <w:u w:val="single"/>
          <w:lang w:val="en-US" w:eastAsia="zh-CN"/>
        </w:rPr>
        <w:t>监理目标</w:t>
      </w:r>
      <w:r>
        <w:rPr>
          <w:rFonts w:hint="eastAsia" w:ascii="宋体" w:hAnsi="宋体" w:cs="宋体"/>
          <w:color w:val="auto"/>
          <w:sz w:val="21"/>
          <w:szCs w:val="21"/>
          <w:highlight w:val="none"/>
        </w:rPr>
        <w:t>：见投标人须知前附表。</w:t>
      </w:r>
    </w:p>
    <w:p w14:paraId="2139C570">
      <w:pPr>
        <w:pStyle w:val="8"/>
        <w:spacing w:line="360" w:lineRule="auto"/>
        <w:rPr>
          <w:color w:val="auto"/>
          <w:highlight w:val="none"/>
        </w:rPr>
      </w:pPr>
    </w:p>
    <w:p w14:paraId="294B1C8E">
      <w:pPr>
        <w:bidi w:val="0"/>
        <w:spacing w:line="360" w:lineRule="auto"/>
        <w:rPr>
          <w:rFonts w:hint="eastAsia" w:ascii="宋体" w:hAnsi="宋体" w:eastAsia="宋体" w:cs="宋体"/>
          <w:b/>
          <w:bCs/>
          <w:color w:val="auto"/>
          <w:sz w:val="28"/>
          <w:szCs w:val="28"/>
          <w:highlight w:val="none"/>
        </w:rPr>
      </w:pPr>
      <w:bookmarkStart w:id="133" w:name="_Toc31590"/>
      <w:bookmarkStart w:id="134" w:name="_Toc22521"/>
      <w:bookmarkStart w:id="135" w:name="_Toc11096"/>
      <w:bookmarkStart w:id="136" w:name="_Toc3452"/>
      <w:bookmarkStart w:id="137" w:name="_Toc492300568"/>
      <w:bookmarkStart w:id="138" w:name="_Toc10416"/>
      <w:bookmarkStart w:id="139" w:name="_Toc19855"/>
      <w:bookmarkStart w:id="140" w:name="_Toc637"/>
      <w:bookmarkStart w:id="141" w:name="_Toc28503"/>
      <w:bookmarkStart w:id="142" w:name="_Toc26477"/>
      <w:bookmarkStart w:id="143" w:name="_Toc15209"/>
      <w:bookmarkStart w:id="144" w:name="_Toc4897"/>
      <w:bookmarkStart w:id="145" w:name="_Toc27705"/>
      <w:bookmarkStart w:id="146" w:name="_Toc31362"/>
      <w:bookmarkStart w:id="147" w:name="_Toc2674"/>
      <w:r>
        <w:rPr>
          <w:rFonts w:hint="eastAsia" w:ascii="宋体" w:hAnsi="宋体" w:eastAsia="宋体" w:cs="宋体"/>
          <w:b/>
          <w:bCs/>
          <w:color w:val="auto"/>
          <w:sz w:val="28"/>
          <w:szCs w:val="28"/>
          <w:highlight w:val="none"/>
        </w:rPr>
        <w:t>1.4投标人资格要求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90330B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1.4.1 </w:t>
      </w:r>
      <w:r>
        <w:rPr>
          <w:rFonts w:hint="eastAsia" w:ascii="宋体" w:hAnsi="宋体" w:cs="宋体"/>
          <w:color w:val="auto"/>
          <w:sz w:val="21"/>
          <w:szCs w:val="21"/>
          <w:highlight w:val="none"/>
        </w:rPr>
        <w:t>投标人应具备承担本招标项目资质条件、能力和信誉：</w:t>
      </w:r>
    </w:p>
    <w:p w14:paraId="7B85FB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（1）资质要求：见投标人须知前附表；</w:t>
      </w:r>
    </w:p>
    <w:p w14:paraId="337045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）业绩要求：见投标人须知前附表；</w:t>
      </w:r>
    </w:p>
    <w:p w14:paraId="3FEB4AE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）总监理工程师的资格要求：应当具备工程注册监理工程师执业资格（如有），具体要求见投标人须知前附表；</w:t>
      </w:r>
    </w:p>
    <w:p w14:paraId="7AA822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）其他主要人员要求：见投标人须知前附表。</w:t>
      </w:r>
    </w:p>
    <w:p w14:paraId="532109C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）其他要求：见投标人须知前附表。</w:t>
      </w:r>
    </w:p>
    <w:p w14:paraId="1D43DF1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需要提交的相关证明材料见本章第3.5款的规定。</w:t>
      </w:r>
    </w:p>
    <w:p w14:paraId="1652359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1.4.2投标人须知前附表规定接受联合体投标的，联合体除应符合本章第1.4.1项和投标人须知前附表的要求外，还应遵守以下规定：</w:t>
      </w:r>
    </w:p>
    <w:p w14:paraId="297758C5">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（1）联合体各方应按招标文件提供的格式签订联合体协议书，明确联合体牵头人和各方权利义务，并承诺就中标项目向招标人承担连带责任；</w:t>
      </w:r>
    </w:p>
    <w:p w14:paraId="3DFFFD2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（2）由同一专业的单位组成的联合体，按照资质等级较低的单位确定资质等级；</w:t>
      </w:r>
    </w:p>
    <w:p w14:paraId="6F1A2F6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（3）联合体各方不得再以自己名义单独或参加其他联合体在本招标项目中投标，否则各相关投标均无效。</w:t>
      </w:r>
    </w:p>
    <w:p w14:paraId="4A4F5CB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1.4.3 </w:t>
      </w:r>
      <w:r>
        <w:rPr>
          <w:rFonts w:hint="eastAsia" w:ascii="宋体" w:hAnsi="宋体" w:cs="宋体"/>
          <w:color w:val="auto"/>
          <w:sz w:val="21"/>
          <w:szCs w:val="21"/>
          <w:highlight w:val="none"/>
        </w:rPr>
        <w:t>投标人不得存在下列情形之一：</w:t>
      </w:r>
    </w:p>
    <w:p w14:paraId="2768185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（1）为招标人不具有独立法人资格的附属机构（单位）；</w:t>
      </w:r>
    </w:p>
    <w:p w14:paraId="1A3626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（2）与招标人存在利害关系且可能影响招标公正性；</w:t>
      </w:r>
    </w:p>
    <w:p w14:paraId="5EF2096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（3）与本招标项目的其他投标人为同一个单位负责人；</w:t>
      </w:r>
    </w:p>
    <w:p w14:paraId="2F75EC6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（4）与本招标项目的其他投标人存在控股、管理关系；</w:t>
      </w:r>
    </w:p>
    <w:p w14:paraId="3E24F7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（5）为本招标项目的代建人或建设管理单位；</w:t>
      </w:r>
    </w:p>
    <w:p w14:paraId="4C4D906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（6）为本招标项目的招标代理机构；</w:t>
      </w:r>
    </w:p>
    <w:p w14:paraId="505CBD9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（7）与本招标项目的招标代理机构同为一个法定代表人；</w:t>
      </w:r>
    </w:p>
    <w:p w14:paraId="1827D4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（8）与本招标项目的</w:t>
      </w:r>
      <w:r>
        <w:rPr>
          <w:rFonts w:hint="eastAsia" w:ascii="宋体" w:hAnsi="宋体" w:cs="宋体"/>
          <w:color w:val="auto"/>
          <w:sz w:val="21"/>
          <w:szCs w:val="21"/>
          <w:highlight w:val="none"/>
          <w:lang w:eastAsia="zh-CN"/>
        </w:rPr>
        <w:t>代建人或</w:t>
      </w:r>
      <w:r>
        <w:rPr>
          <w:rFonts w:hint="eastAsia" w:ascii="宋体" w:hAnsi="宋体" w:cs="宋体"/>
          <w:color w:val="auto"/>
          <w:sz w:val="21"/>
          <w:szCs w:val="21"/>
          <w:highlight w:val="none"/>
        </w:rPr>
        <w:t>招标代理机构存在控股或参股关系；</w:t>
      </w:r>
    </w:p>
    <w:p w14:paraId="3060CA64">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eastAsia="宋体" w:cs="宋体"/>
          <w:color w:val="auto"/>
          <w:kern w:val="2"/>
          <w:sz w:val="21"/>
          <w:szCs w:val="21"/>
          <w:highlight w:val="none"/>
          <w:lang w:val="en-US" w:eastAsia="zh-CN" w:bidi="ar-SA"/>
        </w:rPr>
        <w:t>；</w:t>
      </w:r>
    </w:p>
    <w:p w14:paraId="0872932C">
      <w:pPr>
        <w:spacing w:line="360" w:lineRule="auto"/>
        <w:ind w:firstLine="420" w:firstLineChars="200"/>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（10）被依法暂停</w:t>
      </w:r>
      <w:r>
        <w:rPr>
          <w:rFonts w:hint="eastAsia" w:ascii="宋体" w:hAnsi="宋体" w:cs="宋体"/>
          <w:color w:val="auto"/>
          <w:sz w:val="21"/>
          <w:szCs w:val="21"/>
          <w:highlight w:val="none"/>
        </w:rPr>
        <w:t>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264AA4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（11）被责令停产停业、暂扣或者吊销许可证、暂扣或者吊销执照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rFonts w:hint="eastAsia" w:ascii="宋体" w:hAnsi="宋体" w:cs="宋体"/>
          <w:color w:val="auto"/>
          <w:sz w:val="21"/>
          <w:szCs w:val="21"/>
          <w:highlight w:val="none"/>
        </w:rPr>
        <w:t>；</w:t>
      </w:r>
    </w:p>
    <w:p w14:paraId="4A35420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（12）进入清算程序，或被宣告破产，或其他丧失履约能力的情形；</w:t>
      </w:r>
    </w:p>
    <w:p w14:paraId="715FB95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（13）在最近三年内</w:t>
      </w:r>
      <w:r>
        <w:rPr>
          <w:rFonts w:hint="eastAsia"/>
          <w:color w:val="auto"/>
          <w:spacing w:val="-3"/>
          <w:highlight w:val="none"/>
        </w:rPr>
        <w:t>有严重违约或</w:t>
      </w:r>
      <w:r>
        <w:rPr>
          <w:rFonts w:hint="eastAsia" w:ascii="宋体" w:hAnsi="宋体" w:cs="宋体"/>
          <w:color w:val="auto"/>
          <w:sz w:val="21"/>
          <w:szCs w:val="21"/>
          <w:highlight w:val="none"/>
        </w:rPr>
        <w:t>发生重大监理质量问题（“严重违约”事实应当以司法机关、仲裁机构出具的认定文件为准。“重大</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443C97D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（14）法律法规或投标人须知前附表规定的其他情形。</w:t>
      </w:r>
    </w:p>
    <w:p w14:paraId="59DF1CB2">
      <w:pPr>
        <w:pStyle w:val="8"/>
        <w:spacing w:line="360" w:lineRule="auto"/>
        <w:rPr>
          <w:color w:val="auto"/>
          <w:highlight w:val="none"/>
        </w:rPr>
      </w:pPr>
    </w:p>
    <w:p w14:paraId="5362623A">
      <w:pPr>
        <w:pStyle w:val="5"/>
        <w:bidi w:val="0"/>
        <w:spacing w:line="360" w:lineRule="auto"/>
        <w:rPr>
          <w:color w:val="auto"/>
          <w:highlight w:val="none"/>
        </w:rPr>
      </w:pPr>
      <w:bookmarkStart w:id="148" w:name="_Toc8683"/>
      <w:bookmarkStart w:id="149" w:name="_Toc872"/>
      <w:bookmarkStart w:id="150" w:name="_Toc27608"/>
      <w:bookmarkStart w:id="151" w:name="_Toc21274"/>
      <w:bookmarkStart w:id="152" w:name="_Toc16570"/>
      <w:bookmarkStart w:id="153" w:name="_Toc20"/>
      <w:bookmarkStart w:id="154" w:name="_Toc19960"/>
      <w:bookmarkStart w:id="155" w:name="_Toc492300569"/>
      <w:bookmarkStart w:id="156" w:name="_Toc17400"/>
      <w:bookmarkStart w:id="157" w:name="_Toc24300"/>
      <w:bookmarkStart w:id="158" w:name="_Toc4707"/>
      <w:bookmarkStart w:id="159" w:name="_Toc7015"/>
      <w:bookmarkStart w:id="160" w:name="_Toc21938"/>
      <w:bookmarkStart w:id="161" w:name="_Toc14174"/>
      <w:bookmarkStart w:id="162" w:name="_Toc11991"/>
      <w:bookmarkStart w:id="163" w:name="_Toc12621"/>
      <w:bookmarkStart w:id="164" w:name="_Toc10449"/>
      <w:bookmarkStart w:id="165" w:name="_Toc20478"/>
      <w:bookmarkStart w:id="166" w:name="_Toc9204"/>
      <w:r>
        <w:rPr>
          <w:color w:val="auto"/>
          <w:highlight w:val="none"/>
        </w:rPr>
        <w:t xml:space="preserve">1.5 </w:t>
      </w:r>
      <w:r>
        <w:rPr>
          <w:rFonts w:hint="eastAsia"/>
          <w:color w:val="auto"/>
          <w:highlight w:val="none"/>
        </w:rPr>
        <w:t>费用承担</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F76EC5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投标人准备和参加投标活动发生的费用自理。</w:t>
      </w:r>
    </w:p>
    <w:p w14:paraId="7EAE32B4">
      <w:pPr>
        <w:pStyle w:val="8"/>
        <w:spacing w:line="360" w:lineRule="auto"/>
        <w:rPr>
          <w:color w:val="auto"/>
          <w:highlight w:val="none"/>
        </w:rPr>
      </w:pPr>
    </w:p>
    <w:p w14:paraId="78403B9A">
      <w:pPr>
        <w:pStyle w:val="5"/>
        <w:bidi w:val="0"/>
        <w:spacing w:line="360" w:lineRule="auto"/>
        <w:rPr>
          <w:color w:val="auto"/>
          <w:highlight w:val="none"/>
        </w:rPr>
      </w:pPr>
      <w:bookmarkStart w:id="167" w:name="_Toc12237"/>
      <w:bookmarkStart w:id="168" w:name="_Toc17762"/>
      <w:bookmarkStart w:id="169" w:name="_Toc14744"/>
      <w:bookmarkStart w:id="170" w:name="_Toc31138"/>
      <w:bookmarkStart w:id="171" w:name="_Toc9220"/>
      <w:bookmarkStart w:id="172" w:name="_Toc7373"/>
      <w:bookmarkStart w:id="173" w:name="_Toc13547"/>
      <w:bookmarkStart w:id="174" w:name="_Toc11860"/>
      <w:bookmarkStart w:id="175" w:name="_Toc11941"/>
      <w:bookmarkStart w:id="176" w:name="_Toc30935"/>
      <w:bookmarkStart w:id="177" w:name="_Toc29823"/>
      <w:bookmarkStart w:id="178" w:name="_Toc22241"/>
      <w:bookmarkStart w:id="179" w:name="_Toc27939"/>
      <w:bookmarkStart w:id="180" w:name="_Toc492300570"/>
      <w:bookmarkStart w:id="181" w:name="_Toc540"/>
      <w:bookmarkStart w:id="182" w:name="_Toc4949"/>
      <w:bookmarkStart w:id="183" w:name="_Toc6809"/>
      <w:bookmarkStart w:id="184" w:name="_Toc10184"/>
      <w:bookmarkStart w:id="185" w:name="_Toc23989"/>
      <w:r>
        <w:rPr>
          <w:color w:val="auto"/>
          <w:highlight w:val="none"/>
        </w:rPr>
        <w:t>1.6</w:t>
      </w:r>
      <w:r>
        <w:rPr>
          <w:rFonts w:hint="eastAsia"/>
          <w:color w:val="auto"/>
          <w:highlight w:val="none"/>
        </w:rPr>
        <w:t xml:space="preserve"> 保密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17FEBA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参与招标投标活动的各方应对招标文件和投标文件中</w:t>
      </w:r>
      <w:bookmarkStart w:id="186" w:name="_Toc361508589"/>
      <w:bookmarkStart w:id="187" w:name="_Toc384308214"/>
      <w:bookmarkStart w:id="188" w:name="_Toc5326"/>
      <w:bookmarkStart w:id="189" w:name="_Toc369531519"/>
      <w:bookmarkStart w:id="190" w:name="_Toc352691477"/>
      <w:r>
        <w:rPr>
          <w:rFonts w:hint="eastAsia" w:ascii="宋体" w:hAnsi="宋体" w:cs="宋体"/>
          <w:color w:val="auto"/>
          <w:sz w:val="21"/>
          <w:szCs w:val="21"/>
          <w:highlight w:val="none"/>
        </w:rPr>
        <w:t>的商业和技术等秘密保密</w:t>
      </w:r>
      <w:bookmarkEnd w:id="186"/>
      <w:bookmarkEnd w:id="187"/>
      <w:bookmarkEnd w:id="188"/>
      <w:bookmarkEnd w:id="189"/>
      <w:bookmarkEnd w:id="190"/>
      <w:r>
        <w:rPr>
          <w:rFonts w:hint="eastAsia" w:ascii="宋体" w:hAnsi="宋体" w:cs="宋体"/>
          <w:color w:val="auto"/>
          <w:sz w:val="21"/>
          <w:szCs w:val="21"/>
          <w:highlight w:val="none"/>
        </w:rPr>
        <w:t>，否则应承担相应的法律责任。</w:t>
      </w:r>
    </w:p>
    <w:p w14:paraId="3285792C">
      <w:pPr>
        <w:pStyle w:val="8"/>
        <w:spacing w:line="360" w:lineRule="auto"/>
        <w:rPr>
          <w:color w:val="auto"/>
          <w:highlight w:val="none"/>
        </w:rPr>
      </w:pPr>
    </w:p>
    <w:p w14:paraId="1A66C0F7">
      <w:pPr>
        <w:pStyle w:val="5"/>
        <w:bidi w:val="0"/>
        <w:spacing w:line="360" w:lineRule="auto"/>
        <w:rPr>
          <w:color w:val="auto"/>
          <w:highlight w:val="none"/>
        </w:rPr>
      </w:pPr>
      <w:bookmarkStart w:id="191" w:name="_Toc25417"/>
      <w:bookmarkStart w:id="192" w:name="_Toc27294"/>
      <w:bookmarkStart w:id="193" w:name="_Toc23078"/>
      <w:bookmarkStart w:id="194" w:name="_Toc10033"/>
      <w:bookmarkStart w:id="195" w:name="_Toc11868"/>
      <w:bookmarkStart w:id="196" w:name="_Toc66"/>
      <w:bookmarkStart w:id="197" w:name="_Toc20693"/>
      <w:bookmarkStart w:id="198" w:name="_Toc16958"/>
      <w:bookmarkStart w:id="199" w:name="_Toc12300"/>
      <w:bookmarkStart w:id="200" w:name="_Toc22513"/>
      <w:bookmarkStart w:id="201" w:name="_Toc31035"/>
      <w:bookmarkStart w:id="202" w:name="_Toc25860"/>
      <w:bookmarkStart w:id="203" w:name="_Toc6779"/>
      <w:bookmarkStart w:id="204" w:name="_Toc8031"/>
      <w:bookmarkStart w:id="205" w:name="_Toc24881"/>
      <w:bookmarkStart w:id="206" w:name="_Toc657"/>
      <w:bookmarkStart w:id="207" w:name="_Toc25717"/>
      <w:bookmarkStart w:id="208" w:name="_Toc31812"/>
      <w:bookmarkStart w:id="209" w:name="_Toc492300571"/>
      <w:r>
        <w:rPr>
          <w:color w:val="auto"/>
          <w:highlight w:val="none"/>
        </w:rPr>
        <w:t xml:space="preserve">1.7 </w:t>
      </w:r>
      <w:r>
        <w:rPr>
          <w:rFonts w:hint="eastAsia"/>
          <w:color w:val="auto"/>
          <w:highlight w:val="none"/>
        </w:rPr>
        <w:t>语言文字</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BA48DF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招标投标文件使用的语言文字为中文。专用术语使用外文的，应附有中文注释。</w:t>
      </w:r>
    </w:p>
    <w:p w14:paraId="1CE281B5">
      <w:pPr>
        <w:pStyle w:val="8"/>
        <w:spacing w:line="360" w:lineRule="auto"/>
        <w:rPr>
          <w:color w:val="auto"/>
          <w:highlight w:val="none"/>
        </w:rPr>
      </w:pPr>
    </w:p>
    <w:p w14:paraId="6D6EDA4A">
      <w:pPr>
        <w:pStyle w:val="5"/>
        <w:bidi w:val="0"/>
        <w:spacing w:line="360" w:lineRule="auto"/>
        <w:rPr>
          <w:color w:val="auto"/>
          <w:highlight w:val="none"/>
        </w:rPr>
      </w:pPr>
      <w:bookmarkStart w:id="210" w:name="_Toc3529"/>
      <w:bookmarkStart w:id="211" w:name="_Toc22062"/>
      <w:bookmarkStart w:id="212" w:name="_Toc24930"/>
      <w:bookmarkStart w:id="213" w:name="_Toc26419"/>
      <w:bookmarkStart w:id="214" w:name="_Toc3021"/>
      <w:bookmarkStart w:id="215" w:name="_Toc10746"/>
      <w:bookmarkStart w:id="216" w:name="_Toc23444"/>
      <w:bookmarkStart w:id="217" w:name="_Toc7046"/>
      <w:bookmarkStart w:id="218" w:name="_Toc20276"/>
      <w:bookmarkStart w:id="219" w:name="_Toc10804"/>
      <w:bookmarkStart w:id="220" w:name="_Toc2860"/>
      <w:bookmarkStart w:id="221" w:name="_Toc492300572"/>
      <w:bookmarkStart w:id="222" w:name="_Toc3199"/>
      <w:bookmarkStart w:id="223" w:name="_Toc2762"/>
      <w:bookmarkStart w:id="224" w:name="_Toc15081"/>
      <w:bookmarkStart w:id="225" w:name="_Toc20380"/>
      <w:bookmarkStart w:id="226" w:name="_Toc26583"/>
      <w:bookmarkStart w:id="227" w:name="_Toc16459"/>
      <w:bookmarkStart w:id="228" w:name="_Toc19040"/>
      <w:r>
        <w:rPr>
          <w:rFonts w:hint="eastAsia"/>
          <w:color w:val="auto"/>
          <w:highlight w:val="none"/>
        </w:rPr>
        <w:t>1.8 计量单位</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DEE710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所有计量均采用中华人民共和国法定计量单位。</w:t>
      </w:r>
    </w:p>
    <w:p w14:paraId="16F0A595">
      <w:pPr>
        <w:pStyle w:val="8"/>
        <w:spacing w:line="360" w:lineRule="auto"/>
        <w:rPr>
          <w:color w:val="auto"/>
          <w:highlight w:val="none"/>
        </w:rPr>
      </w:pPr>
    </w:p>
    <w:p w14:paraId="594B9DA7">
      <w:pPr>
        <w:pStyle w:val="5"/>
        <w:bidi w:val="0"/>
        <w:spacing w:line="360" w:lineRule="auto"/>
        <w:rPr>
          <w:color w:val="auto"/>
          <w:highlight w:val="none"/>
        </w:rPr>
      </w:pPr>
      <w:bookmarkStart w:id="229" w:name="_Toc8544"/>
      <w:bookmarkStart w:id="230" w:name="_Toc30318"/>
      <w:bookmarkStart w:id="231" w:name="_Toc361508594"/>
      <w:bookmarkStart w:id="232" w:name="_Toc152045539"/>
      <w:bookmarkStart w:id="233" w:name="_Toc15174"/>
      <w:bookmarkStart w:id="234" w:name="_Toc247513962"/>
      <w:bookmarkStart w:id="235" w:name="_Toc391393967"/>
      <w:bookmarkStart w:id="236" w:name="_Toc300834959"/>
      <w:bookmarkStart w:id="237" w:name="_Toc247527563"/>
      <w:bookmarkStart w:id="238" w:name="_Toc30482"/>
      <w:bookmarkStart w:id="239" w:name="_Toc6165"/>
      <w:bookmarkStart w:id="240" w:name="_Toc16766"/>
      <w:bookmarkStart w:id="241" w:name="_Toc6113"/>
      <w:bookmarkStart w:id="242" w:name="_Toc10088"/>
      <w:bookmarkStart w:id="243" w:name="_Toc27567"/>
      <w:bookmarkStart w:id="244" w:name="_Toc20483"/>
      <w:bookmarkStart w:id="245" w:name="_Toc152042315"/>
      <w:bookmarkStart w:id="246" w:name="_Toc9576"/>
      <w:bookmarkStart w:id="247" w:name="_Toc21883"/>
      <w:bookmarkStart w:id="248" w:name="_Toc8007"/>
      <w:bookmarkStart w:id="249" w:name="_Toc370676289"/>
      <w:bookmarkStart w:id="250" w:name="_Toc10219"/>
      <w:bookmarkStart w:id="251" w:name="_Toc3426"/>
      <w:bookmarkStart w:id="252" w:name="_Toc144974507"/>
      <w:bookmarkStart w:id="253" w:name="_Toc1309"/>
      <w:bookmarkStart w:id="254" w:name="_Toc482188480"/>
      <w:bookmarkStart w:id="255" w:name="_Toc384308219"/>
      <w:bookmarkStart w:id="256" w:name="_Toc22497"/>
      <w:bookmarkStart w:id="257" w:name="_Toc492300573"/>
      <w:bookmarkStart w:id="258" w:name="_Toc29990"/>
      <w:r>
        <w:rPr>
          <w:color w:val="auto"/>
          <w:highlight w:val="none"/>
        </w:rPr>
        <w:t xml:space="preserve">1.9 </w:t>
      </w:r>
      <w:r>
        <w:rPr>
          <w:rFonts w:hint="eastAsia"/>
          <w:color w:val="auto"/>
          <w:highlight w:val="none"/>
        </w:rPr>
        <w:t>踏勘现场</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E6CC82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1.9.1 </w:t>
      </w:r>
      <w:r>
        <w:rPr>
          <w:rFonts w:hint="eastAsia" w:ascii="宋体" w:hAnsi="宋体" w:cs="宋体"/>
          <w:color w:val="auto"/>
          <w:sz w:val="21"/>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5374E77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1.9.2 </w:t>
      </w:r>
      <w:r>
        <w:rPr>
          <w:rFonts w:hint="eastAsia" w:ascii="宋体" w:hAnsi="宋体" w:cs="宋体"/>
          <w:color w:val="auto"/>
          <w:sz w:val="21"/>
          <w:szCs w:val="21"/>
          <w:highlight w:val="none"/>
        </w:rPr>
        <w:t>投标人踏勘现场发生的费用自理。</w:t>
      </w:r>
    </w:p>
    <w:p w14:paraId="577FA90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1.9.3 </w:t>
      </w:r>
      <w:r>
        <w:rPr>
          <w:rFonts w:hint="eastAsia" w:ascii="宋体" w:hAnsi="宋体" w:cs="宋体"/>
          <w:color w:val="auto"/>
          <w:sz w:val="21"/>
          <w:szCs w:val="21"/>
          <w:highlight w:val="none"/>
        </w:rPr>
        <w:t>除招标人的原因外，投标人自行负责在踏勘现场中所发生的人员伤亡和财产损失。</w:t>
      </w:r>
    </w:p>
    <w:p w14:paraId="2A737895">
      <w:pPr>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由于投标人没有对工程现场及周围环境进行</w:t>
      </w:r>
      <w:r>
        <w:rPr>
          <w:rFonts w:hint="eastAsia" w:ascii="宋体" w:hAnsi="宋体" w:eastAsia="宋体" w:cs="宋体"/>
          <w:color w:val="auto"/>
          <w:sz w:val="21"/>
          <w:szCs w:val="21"/>
          <w:highlight w:val="none"/>
        </w:rPr>
        <w:t>踏勘</w:t>
      </w:r>
      <w:r>
        <w:rPr>
          <w:rFonts w:hint="eastAsia" w:ascii="宋体" w:hAnsi="宋体" w:eastAsia="宋体" w:cs="宋体"/>
          <w:color w:val="auto"/>
          <w:sz w:val="21"/>
          <w:szCs w:val="21"/>
          <w:highlight w:val="none"/>
          <w:lang w:eastAsia="zh-CN"/>
        </w:rPr>
        <w:t>，造成投标失误的，由投标人自行承担责任和损失</w:t>
      </w:r>
      <w:r>
        <w:rPr>
          <w:rFonts w:hint="eastAsia" w:ascii="宋体" w:hAnsi="宋体" w:eastAsia="宋体" w:cs="宋体"/>
          <w:color w:val="auto"/>
          <w:sz w:val="21"/>
          <w:szCs w:val="21"/>
          <w:highlight w:val="none"/>
        </w:rPr>
        <w:t>。</w:t>
      </w:r>
    </w:p>
    <w:p w14:paraId="6BA23306">
      <w:pPr>
        <w:pStyle w:val="8"/>
        <w:spacing w:line="360" w:lineRule="auto"/>
        <w:rPr>
          <w:color w:val="auto"/>
          <w:highlight w:val="none"/>
        </w:rPr>
      </w:pPr>
    </w:p>
    <w:p w14:paraId="7B0AFAA4">
      <w:pPr>
        <w:pStyle w:val="5"/>
        <w:bidi w:val="0"/>
        <w:spacing w:line="360" w:lineRule="auto"/>
        <w:rPr>
          <w:color w:val="auto"/>
          <w:highlight w:val="none"/>
        </w:rPr>
      </w:pPr>
      <w:bookmarkStart w:id="259" w:name="_Toc32425"/>
      <w:bookmarkStart w:id="260" w:name="_Toc9803"/>
      <w:bookmarkStart w:id="261" w:name="_Toc19565"/>
      <w:bookmarkStart w:id="262" w:name="_Toc29676"/>
      <w:bookmarkStart w:id="263" w:name="_Toc26586"/>
      <w:bookmarkStart w:id="264" w:name="_Toc32063"/>
      <w:bookmarkStart w:id="265" w:name="_Toc15928"/>
      <w:bookmarkStart w:id="266" w:name="_Toc2535"/>
      <w:bookmarkStart w:id="267" w:name="_Toc18533"/>
      <w:bookmarkStart w:id="268" w:name="_Toc6307"/>
      <w:bookmarkStart w:id="269" w:name="_Toc9856"/>
      <w:bookmarkStart w:id="270" w:name="_Toc492300574"/>
      <w:bookmarkStart w:id="271" w:name="_Toc21252"/>
      <w:bookmarkStart w:id="272" w:name="_Toc21847"/>
      <w:bookmarkStart w:id="273" w:name="_Toc5606"/>
      <w:bookmarkStart w:id="274" w:name="_Toc11535"/>
      <w:bookmarkStart w:id="275" w:name="_Toc27081"/>
      <w:bookmarkStart w:id="276" w:name="_Toc3908"/>
      <w:bookmarkStart w:id="277" w:name="_Toc32411"/>
      <w:r>
        <w:rPr>
          <w:rFonts w:hint="eastAsia"/>
          <w:color w:val="auto"/>
          <w:highlight w:val="none"/>
        </w:rPr>
        <w:t>1.10 投标预备会</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2BCD61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1.10.1 </w:t>
      </w:r>
      <w:r>
        <w:rPr>
          <w:rFonts w:hint="eastAsia" w:ascii="宋体" w:hAnsi="宋体" w:cs="宋体"/>
          <w:color w:val="auto"/>
          <w:sz w:val="21"/>
          <w:szCs w:val="21"/>
          <w:highlight w:val="none"/>
        </w:rPr>
        <w:t>投标人须知前附表规定召开投标预备会的，招标人按投标人须知前附表规定的时间和地点召开投标预备会，澄清投标人提出的问题。</w:t>
      </w:r>
    </w:p>
    <w:p w14:paraId="65AAD0E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1.10.2 </w:t>
      </w:r>
      <w:r>
        <w:rPr>
          <w:rFonts w:hint="eastAsia" w:ascii="宋体" w:hAnsi="宋体" w:cs="宋体"/>
          <w:color w:val="auto"/>
          <w:sz w:val="21"/>
          <w:szCs w:val="21"/>
          <w:highlight w:val="none"/>
        </w:rPr>
        <w:t>投标人应按投标人须知前附表规定的时间和形式将提出的问题送达招标人，以便招标人在会议期间澄清。</w:t>
      </w:r>
    </w:p>
    <w:p w14:paraId="2BEFD6C9">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1.10.3 </w:t>
      </w:r>
      <w:r>
        <w:rPr>
          <w:rFonts w:hint="eastAsia" w:ascii="宋体" w:hAnsi="宋体" w:cs="宋体"/>
          <w:color w:val="auto"/>
          <w:sz w:val="21"/>
          <w:szCs w:val="21"/>
          <w:highlight w:val="none"/>
        </w:rPr>
        <w:t>投标预备会后，招标人将对投标人所提问题的澄清，以投标人须知前附表规定的形式通知所有购买招标文件的投标人。该澄清内容为招标文件的组成部分。</w:t>
      </w:r>
    </w:p>
    <w:p w14:paraId="5C4B5D15">
      <w:pPr>
        <w:pStyle w:val="8"/>
        <w:spacing w:line="360" w:lineRule="auto"/>
        <w:rPr>
          <w:color w:val="auto"/>
          <w:highlight w:val="none"/>
        </w:rPr>
      </w:pPr>
    </w:p>
    <w:p w14:paraId="108D0756">
      <w:pPr>
        <w:pStyle w:val="5"/>
        <w:bidi w:val="0"/>
        <w:spacing w:line="360" w:lineRule="auto"/>
        <w:rPr>
          <w:color w:val="auto"/>
          <w:highlight w:val="none"/>
        </w:rPr>
      </w:pPr>
      <w:bookmarkStart w:id="278" w:name="_Toc5583"/>
      <w:bookmarkStart w:id="279" w:name="_Toc492300575"/>
      <w:bookmarkStart w:id="280" w:name="_Toc29345"/>
      <w:bookmarkStart w:id="281" w:name="_Toc25036"/>
      <w:bookmarkStart w:id="282" w:name="_Toc6867"/>
      <w:bookmarkStart w:id="283" w:name="_Toc16569"/>
      <w:bookmarkStart w:id="284" w:name="_Toc16668"/>
      <w:bookmarkStart w:id="285" w:name="_Toc25720"/>
      <w:bookmarkStart w:id="286" w:name="_Toc21594"/>
      <w:bookmarkStart w:id="287" w:name="_Toc12979"/>
      <w:bookmarkStart w:id="288" w:name="_Toc7636"/>
      <w:bookmarkStart w:id="289" w:name="_Toc25071"/>
      <w:bookmarkStart w:id="290" w:name="_Toc13431"/>
      <w:bookmarkStart w:id="291" w:name="_Toc11665"/>
      <w:bookmarkStart w:id="292" w:name="_Toc25550"/>
      <w:bookmarkStart w:id="293" w:name="_Toc24540"/>
      <w:bookmarkStart w:id="294" w:name="_Toc19968"/>
      <w:bookmarkStart w:id="295" w:name="_Toc21429"/>
      <w:bookmarkStart w:id="296" w:name="_Toc15290"/>
      <w:r>
        <w:rPr>
          <w:color w:val="auto"/>
          <w:highlight w:val="none"/>
        </w:rPr>
        <w:t xml:space="preserve">1.11 </w:t>
      </w:r>
      <w:r>
        <w:rPr>
          <w:rFonts w:hint="eastAsia"/>
          <w:color w:val="auto"/>
          <w:highlight w:val="none"/>
        </w:rPr>
        <w:t>分包</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A2F23AB">
      <w:pPr>
        <w:spacing w:line="360" w:lineRule="auto"/>
        <w:ind w:firstLine="420" w:firstLineChars="200"/>
        <w:rPr>
          <w:rFonts w:hint="default" w:ascii="宋体" w:hAnsi="宋体" w:eastAsia="宋体" w:cs="宋体"/>
          <w:color w:val="auto"/>
          <w:szCs w:val="21"/>
          <w:highlight w:val="none"/>
        </w:rPr>
      </w:pPr>
      <w:bookmarkStart w:id="297" w:name="_Toc7090"/>
      <w:bookmarkStart w:id="298" w:name="_Toc9275"/>
      <w:bookmarkStart w:id="299" w:name="_Toc492300576"/>
      <w:bookmarkStart w:id="300" w:name="_Toc23487"/>
      <w:bookmarkStart w:id="301" w:name="_Toc32619"/>
      <w:bookmarkStart w:id="302" w:name="_Toc16032"/>
      <w:r>
        <w:rPr>
          <w:rFonts w:hint="default" w:ascii="宋体" w:hAnsi="宋体" w:eastAsia="宋体" w:cs="宋体"/>
          <w:color w:val="auto"/>
          <w:szCs w:val="21"/>
          <w:highlight w:val="none"/>
        </w:rPr>
        <w:t xml:space="preserve">1.11.1 </w:t>
      </w:r>
      <w:r>
        <w:rPr>
          <w:rFonts w:hint="eastAsia" w:ascii="宋体" w:hAnsi="宋体" w:eastAsia="宋体" w:cs="宋体"/>
          <w:color w:val="auto"/>
          <w:szCs w:val="21"/>
          <w:highlight w:val="none"/>
          <w:lang w:eastAsia="zh-CN"/>
        </w:rPr>
        <w:t>本项目</w:t>
      </w:r>
      <w:r>
        <w:rPr>
          <w:rFonts w:hint="default" w:ascii="宋体" w:hAnsi="宋体" w:eastAsia="宋体" w:cs="宋体"/>
          <w:color w:val="auto"/>
          <w:szCs w:val="21"/>
          <w:highlight w:val="none"/>
        </w:rPr>
        <w:t>不得分包。</w:t>
      </w:r>
    </w:p>
    <w:p w14:paraId="46EA6FE9">
      <w:pPr>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1.11.2 中标人不得向他人转让中标项目。</w:t>
      </w:r>
    </w:p>
    <w:p w14:paraId="535ACB50">
      <w:pPr>
        <w:pStyle w:val="8"/>
        <w:spacing w:line="360" w:lineRule="auto"/>
        <w:rPr>
          <w:rFonts w:hint="default"/>
          <w:color w:val="auto"/>
          <w:highlight w:val="none"/>
        </w:rPr>
      </w:pPr>
    </w:p>
    <w:p w14:paraId="570DF031">
      <w:pPr>
        <w:pStyle w:val="5"/>
        <w:bidi w:val="0"/>
        <w:spacing w:line="360" w:lineRule="auto"/>
        <w:rPr>
          <w:color w:val="auto"/>
          <w:highlight w:val="none"/>
        </w:rPr>
      </w:pPr>
      <w:bookmarkStart w:id="303" w:name="_Toc22154"/>
      <w:bookmarkStart w:id="304" w:name="_Toc24008"/>
      <w:bookmarkStart w:id="305" w:name="_Toc3789"/>
      <w:bookmarkStart w:id="306" w:name="_Toc22622"/>
      <w:bookmarkStart w:id="307" w:name="_Toc428"/>
      <w:bookmarkStart w:id="308" w:name="_Toc25909"/>
      <w:bookmarkStart w:id="309" w:name="_Toc13991"/>
      <w:bookmarkStart w:id="310" w:name="_Toc26489"/>
      <w:bookmarkStart w:id="311" w:name="_Toc10275"/>
      <w:bookmarkStart w:id="312" w:name="_Toc1339"/>
      <w:bookmarkStart w:id="313" w:name="_Toc20575"/>
      <w:bookmarkStart w:id="314" w:name="_Toc11246"/>
      <w:bookmarkStart w:id="315" w:name="_Toc23278"/>
      <w:r>
        <w:rPr>
          <w:rFonts w:hint="eastAsia"/>
          <w:color w:val="auto"/>
          <w:highlight w:val="none"/>
        </w:rPr>
        <w:t>1.12响应和偏差</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60E6DC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1.12.1投标文件应当对招标文件的实质性要求和条件作出满足性或更有利于招标人的响应，否则，投标人的投标将被否决。实质性要求和条件见投标人须知前附表。</w:t>
      </w:r>
    </w:p>
    <w:p w14:paraId="6056C7F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1.12.2 </w:t>
      </w:r>
      <w:r>
        <w:rPr>
          <w:rFonts w:hint="eastAsia" w:ascii="宋体" w:hAnsi="宋体" w:cs="宋体"/>
          <w:color w:val="auto"/>
          <w:sz w:val="21"/>
          <w:szCs w:val="21"/>
          <w:highlight w:val="none"/>
        </w:rPr>
        <w:t>投标人应根据招标文件的要求提供投标监理大纲等内容以对招标文件作出响应。</w:t>
      </w:r>
    </w:p>
    <w:p w14:paraId="42DB2E8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1.12.3投标人须知前附表允许投标文件偏离招标文件某些要求的，偏差应当符合招标文件规定的偏差范围和幅度。</w:t>
      </w:r>
    </w:p>
    <w:p w14:paraId="587278C3">
      <w:pPr>
        <w:pStyle w:val="4"/>
        <w:bidi w:val="0"/>
        <w:spacing w:line="360" w:lineRule="auto"/>
        <w:rPr>
          <w:rFonts w:hint="eastAsia" w:ascii="宋体" w:hAnsi="宋体" w:eastAsia="宋体" w:cs="宋体"/>
          <w:b/>
          <w:bCs w:val="0"/>
          <w:color w:val="auto"/>
          <w:szCs w:val="21"/>
          <w:highlight w:val="none"/>
        </w:rPr>
      </w:pPr>
      <w:bookmarkStart w:id="316" w:name="_Toc22732"/>
      <w:bookmarkStart w:id="317" w:name="_Toc492300577"/>
      <w:bookmarkStart w:id="318" w:name="_Toc30626"/>
      <w:bookmarkStart w:id="319" w:name="_Toc32477"/>
      <w:bookmarkStart w:id="320" w:name="_Toc32110"/>
      <w:bookmarkStart w:id="321" w:name="_Toc17049"/>
      <w:bookmarkStart w:id="322" w:name="_Toc23849"/>
      <w:bookmarkStart w:id="323" w:name="_Toc2173"/>
      <w:bookmarkStart w:id="324" w:name="_Toc3361"/>
      <w:bookmarkStart w:id="325" w:name="_Toc11778"/>
      <w:bookmarkStart w:id="326" w:name="_Toc29457"/>
      <w:bookmarkStart w:id="327" w:name="_Toc13668"/>
      <w:bookmarkStart w:id="328" w:name="_Toc19337"/>
      <w:bookmarkStart w:id="329" w:name="_Toc21805"/>
      <w:bookmarkStart w:id="330" w:name="_Toc2551"/>
      <w:bookmarkStart w:id="331" w:name="_Toc28327"/>
      <w:bookmarkStart w:id="332" w:name="_Toc12512"/>
      <w:bookmarkStart w:id="333" w:name="_Toc26772"/>
      <w:bookmarkStart w:id="334" w:name="_Toc31585"/>
      <w:r>
        <w:rPr>
          <w:rFonts w:hint="eastAsia" w:ascii="宋体" w:hAnsi="宋体" w:eastAsia="宋体" w:cs="宋体"/>
          <w:b/>
          <w:bCs w:val="0"/>
          <w:color w:val="auto"/>
          <w:highlight w:val="none"/>
        </w:rPr>
        <w:t>2. 招标文件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A267876">
      <w:pPr>
        <w:pStyle w:val="5"/>
        <w:bidi w:val="0"/>
        <w:spacing w:line="360" w:lineRule="auto"/>
        <w:rPr>
          <w:color w:val="auto"/>
          <w:highlight w:val="none"/>
        </w:rPr>
      </w:pPr>
      <w:bookmarkStart w:id="335" w:name="_Toc28912"/>
      <w:bookmarkStart w:id="336" w:name="_Toc15515"/>
      <w:bookmarkStart w:id="337" w:name="_Toc12184"/>
      <w:bookmarkStart w:id="338" w:name="_Toc29609"/>
      <w:bookmarkStart w:id="339" w:name="_Toc8603"/>
      <w:bookmarkStart w:id="340" w:name="_Toc7923"/>
      <w:bookmarkStart w:id="341" w:name="_Toc28644"/>
      <w:bookmarkStart w:id="342" w:name="_Toc10942"/>
      <w:bookmarkStart w:id="343" w:name="_Toc16073"/>
      <w:bookmarkStart w:id="344" w:name="_Toc11898"/>
      <w:bookmarkStart w:id="345" w:name="_Toc32308"/>
      <w:bookmarkStart w:id="346" w:name="_Toc16472"/>
      <w:bookmarkStart w:id="347" w:name="_Toc492300578"/>
      <w:bookmarkStart w:id="348" w:name="_Toc21358"/>
      <w:bookmarkStart w:id="349" w:name="_Toc757"/>
      <w:bookmarkStart w:id="350" w:name="_Toc1039"/>
      <w:bookmarkStart w:id="351" w:name="_Toc22951"/>
      <w:bookmarkStart w:id="352" w:name="_Toc30202"/>
      <w:bookmarkStart w:id="353" w:name="_Toc5111"/>
      <w:r>
        <w:rPr>
          <w:color w:val="auto"/>
          <w:highlight w:val="none"/>
        </w:rPr>
        <w:t xml:space="preserve">2.1 </w:t>
      </w:r>
      <w:r>
        <w:rPr>
          <w:rFonts w:hint="eastAsia"/>
          <w:color w:val="auto"/>
          <w:highlight w:val="none"/>
        </w:rPr>
        <w:t>招标文件的组成</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F9781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本招标文件包括：</w:t>
      </w:r>
    </w:p>
    <w:p w14:paraId="15064E8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（1）招标公告；</w:t>
      </w:r>
    </w:p>
    <w:p w14:paraId="259CD5D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（2）投标人须知；</w:t>
      </w:r>
    </w:p>
    <w:p w14:paraId="1E1F930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（3）评标办法；</w:t>
      </w:r>
    </w:p>
    <w:p w14:paraId="1956E33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（4）合同条款及格式；</w:t>
      </w:r>
    </w:p>
    <w:p w14:paraId="0BEB35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（5）委托人要求；</w:t>
      </w:r>
    </w:p>
    <w:p w14:paraId="11FD43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（6）投标文件格式；</w:t>
      </w:r>
    </w:p>
    <w:p w14:paraId="490DECA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（7）投标人须知前附表规定的其他资料。</w:t>
      </w:r>
    </w:p>
    <w:p w14:paraId="5E8563B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根据本章第1.10款、第2.2款和第2.3款对招标文件所作的澄清、修改，构成招标文件的组成部分。</w:t>
      </w:r>
    </w:p>
    <w:p w14:paraId="5DE56A6F">
      <w:pPr>
        <w:pStyle w:val="5"/>
        <w:bidi w:val="0"/>
        <w:spacing w:line="360" w:lineRule="auto"/>
        <w:rPr>
          <w:color w:val="auto"/>
          <w:highlight w:val="none"/>
        </w:rPr>
      </w:pPr>
      <w:bookmarkStart w:id="354" w:name="_Toc30224"/>
      <w:bookmarkStart w:id="355" w:name="_Toc7775"/>
      <w:bookmarkStart w:id="356" w:name="_Toc29305"/>
      <w:bookmarkStart w:id="357" w:name="_Toc6695"/>
      <w:bookmarkStart w:id="358" w:name="_Toc27084"/>
      <w:bookmarkStart w:id="359" w:name="_Toc3497"/>
      <w:bookmarkStart w:id="360" w:name="_Toc31226"/>
      <w:bookmarkStart w:id="361" w:name="_Toc28881"/>
      <w:bookmarkStart w:id="362" w:name="_Toc9467"/>
      <w:bookmarkStart w:id="363" w:name="_Toc19191"/>
      <w:bookmarkStart w:id="364" w:name="_Toc15522"/>
      <w:bookmarkStart w:id="365" w:name="_Toc17542"/>
      <w:bookmarkStart w:id="366" w:name="_Toc20512"/>
      <w:bookmarkStart w:id="367" w:name="_Toc31565"/>
      <w:bookmarkStart w:id="368" w:name="_Toc492300579"/>
    </w:p>
    <w:p w14:paraId="0639F662">
      <w:pPr>
        <w:pStyle w:val="68"/>
        <w:pageBreakBefore w:val="0"/>
        <w:kinsoku w:val="0"/>
        <w:wordWrap/>
        <w:overflowPunct w:val="0"/>
        <w:topLinePunct w:val="0"/>
        <w:autoSpaceDE w:val="0"/>
        <w:autoSpaceDN w:val="0"/>
        <w:bidi w:val="0"/>
        <w:adjustRightInd/>
        <w:snapToGrid/>
        <w:spacing w:beforeLines="0" w:afterLines="0" w:line="360" w:lineRule="auto"/>
        <w:ind w:left="0" w:leftChars="0" w:firstLine="0" w:firstLineChars="0"/>
        <w:jc w:val="both"/>
        <w:textAlignment w:val="auto"/>
        <w:outlineLvl w:val="3"/>
        <w:rPr>
          <w:rFonts w:hint="eastAsia" w:eastAsia="宋体"/>
          <w:color w:val="auto"/>
          <w:highlight w:val="none"/>
          <w:lang w:eastAsia="zh-CN"/>
        </w:rPr>
      </w:pPr>
      <w:bookmarkStart w:id="369" w:name="_Toc23736"/>
      <w:bookmarkStart w:id="370" w:name="_Toc21489"/>
      <w:bookmarkStart w:id="371" w:name="_Toc7710"/>
      <w:bookmarkStart w:id="372" w:name="_Toc2206"/>
      <w:bookmarkStart w:id="373" w:name="_Toc26635"/>
      <w:bookmarkStart w:id="374" w:name="_Toc11264"/>
      <w:r>
        <w:rPr>
          <w:rFonts w:hint="default" w:ascii="Times New Roman" w:hAnsi="Times New Roman" w:eastAsia="宋体" w:cs="Times New Roman"/>
          <w:bCs/>
          <w:color w:val="auto"/>
          <w:kern w:val="2"/>
          <w:sz w:val="24"/>
          <w:szCs w:val="32"/>
          <w:highlight w:val="none"/>
          <w:lang w:val="en-US" w:eastAsia="zh-CN" w:bidi="ar-SA"/>
        </w:rPr>
        <w:t xml:space="preserve">2.2 </w:t>
      </w:r>
      <w:r>
        <w:rPr>
          <w:rFonts w:hint="eastAsia" w:ascii="Times New Roman" w:hAnsi="Times New Roman" w:eastAsia="宋体" w:cs="Times New Roman"/>
          <w:bCs/>
          <w:color w:val="auto"/>
          <w:kern w:val="2"/>
          <w:sz w:val="24"/>
          <w:szCs w:val="32"/>
          <w:highlight w:val="none"/>
          <w:lang w:val="en-US" w:eastAsia="zh-CN" w:bidi="ar-SA"/>
        </w:rPr>
        <w:t>招标文件的</w:t>
      </w:r>
      <w:bookmarkEnd w:id="369"/>
      <w:bookmarkEnd w:id="370"/>
      <w:bookmarkEnd w:id="371"/>
      <w:bookmarkEnd w:id="372"/>
      <w:bookmarkEnd w:id="373"/>
      <w:r>
        <w:rPr>
          <w:rFonts w:hint="eastAsia" w:ascii="Times New Roman" w:hAnsi="Times New Roman" w:eastAsia="宋体" w:cs="Times New Roman"/>
          <w:bCs/>
          <w:color w:val="auto"/>
          <w:kern w:val="2"/>
          <w:sz w:val="24"/>
          <w:szCs w:val="32"/>
          <w:highlight w:val="none"/>
          <w:lang w:val="en-US" w:eastAsia="zh-CN" w:bidi="ar-SA"/>
        </w:rPr>
        <w:t>答疑</w:t>
      </w:r>
      <w:bookmarkEnd w:id="374"/>
    </w:p>
    <w:p w14:paraId="0AF7A3E6">
      <w:pPr>
        <w:pStyle w:val="2"/>
        <w:pageBreakBefore w:val="0"/>
        <w:kinsoku w:val="0"/>
        <w:wordWrap/>
        <w:overflowPunct w:val="0"/>
        <w:topLinePunct w:val="0"/>
        <w:autoSpaceDE w:val="0"/>
        <w:autoSpaceDN w:val="0"/>
        <w:bidi w:val="0"/>
        <w:adjustRightInd/>
        <w:snapToGrid/>
        <w:spacing w:beforeLines="0" w:afterLines="0" w:line="360" w:lineRule="auto"/>
        <w:ind w:left="100" w:right="213" w:firstLine="419"/>
        <w:jc w:val="both"/>
        <w:textAlignment w:val="auto"/>
        <w:rPr>
          <w:color w:val="auto"/>
          <w:highlight w:val="none"/>
        </w:rPr>
      </w:pPr>
      <w:r>
        <w:rPr>
          <w:rFonts w:ascii="Times New Roman" w:hAnsi="Times New Roman" w:eastAsia="Times New Roman"/>
          <w:color w:val="auto"/>
          <w:highlight w:val="none"/>
        </w:rPr>
        <w:t>2.2.1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应</w:t>
      </w:r>
      <w:r>
        <w:rPr>
          <w:color w:val="auto"/>
          <w:highlight w:val="none"/>
        </w:rPr>
        <w:t>仔</w:t>
      </w:r>
      <w:r>
        <w:rPr>
          <w:color w:val="auto"/>
          <w:spacing w:val="-3"/>
          <w:highlight w:val="none"/>
        </w:rPr>
        <w:t>细</w:t>
      </w:r>
      <w:r>
        <w:rPr>
          <w:color w:val="auto"/>
          <w:highlight w:val="none"/>
        </w:rPr>
        <w:t>阅</w:t>
      </w:r>
      <w:r>
        <w:rPr>
          <w:color w:val="auto"/>
          <w:spacing w:val="-3"/>
          <w:highlight w:val="none"/>
        </w:rPr>
        <w:t>读和</w:t>
      </w:r>
      <w:r>
        <w:rPr>
          <w:color w:val="auto"/>
          <w:highlight w:val="none"/>
        </w:rPr>
        <w:t>检查</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的</w:t>
      </w:r>
      <w:r>
        <w:rPr>
          <w:color w:val="auto"/>
          <w:highlight w:val="none"/>
        </w:rPr>
        <w:t>全</w:t>
      </w:r>
      <w:r>
        <w:rPr>
          <w:color w:val="auto"/>
          <w:spacing w:val="-3"/>
          <w:highlight w:val="none"/>
        </w:rPr>
        <w:t>部</w:t>
      </w:r>
      <w:r>
        <w:rPr>
          <w:color w:val="auto"/>
          <w:highlight w:val="none"/>
        </w:rPr>
        <w:t>内</w:t>
      </w:r>
      <w:r>
        <w:rPr>
          <w:color w:val="auto"/>
          <w:spacing w:val="-3"/>
          <w:highlight w:val="none"/>
        </w:rPr>
        <w:t>容</w:t>
      </w:r>
      <w:r>
        <w:rPr>
          <w:color w:val="auto"/>
          <w:spacing w:val="-39"/>
          <w:highlight w:val="none"/>
        </w:rPr>
        <w:t>。</w:t>
      </w:r>
      <w:r>
        <w:rPr>
          <w:color w:val="auto"/>
          <w:spacing w:val="-3"/>
          <w:highlight w:val="none"/>
        </w:rPr>
        <w:t>如</w:t>
      </w:r>
      <w:r>
        <w:rPr>
          <w:color w:val="auto"/>
          <w:highlight w:val="none"/>
        </w:rPr>
        <w:t>有疑问，应按投</w:t>
      </w:r>
      <w:r>
        <w:rPr>
          <w:color w:val="auto"/>
          <w:spacing w:val="-3"/>
          <w:highlight w:val="none"/>
        </w:rPr>
        <w:t>标</w:t>
      </w:r>
      <w:r>
        <w:rPr>
          <w:color w:val="auto"/>
          <w:highlight w:val="none"/>
        </w:rPr>
        <w:t>人须</w:t>
      </w:r>
      <w:r>
        <w:rPr>
          <w:color w:val="auto"/>
          <w:spacing w:val="-3"/>
          <w:highlight w:val="none"/>
        </w:rPr>
        <w:t>知</w:t>
      </w:r>
      <w:r>
        <w:rPr>
          <w:color w:val="auto"/>
          <w:highlight w:val="none"/>
        </w:rPr>
        <w:t>前附表规定的时</w:t>
      </w:r>
      <w:r>
        <w:rPr>
          <w:color w:val="auto"/>
          <w:spacing w:val="-3"/>
          <w:highlight w:val="none"/>
        </w:rPr>
        <w:t>间</w:t>
      </w:r>
      <w:r>
        <w:rPr>
          <w:color w:val="auto"/>
          <w:highlight w:val="none"/>
        </w:rPr>
        <w:t>和形</w:t>
      </w:r>
      <w:r>
        <w:rPr>
          <w:color w:val="auto"/>
          <w:spacing w:val="-3"/>
          <w:highlight w:val="none"/>
        </w:rPr>
        <w:t>式</w:t>
      </w:r>
      <w:r>
        <w:rPr>
          <w:color w:val="auto"/>
          <w:highlight w:val="none"/>
        </w:rPr>
        <w:t>将提出的问题</w:t>
      </w:r>
      <w:r>
        <w:rPr>
          <w:color w:val="auto"/>
          <w:spacing w:val="-3"/>
          <w:highlight w:val="none"/>
        </w:rPr>
        <w:t>送</w:t>
      </w:r>
      <w:r>
        <w:rPr>
          <w:color w:val="auto"/>
          <w:highlight w:val="none"/>
        </w:rPr>
        <w:t>达招标</w:t>
      </w:r>
      <w:r>
        <w:rPr>
          <w:color w:val="auto"/>
          <w:spacing w:val="-3"/>
          <w:highlight w:val="none"/>
        </w:rPr>
        <w:t>人</w:t>
      </w:r>
      <w:r>
        <w:rPr>
          <w:color w:val="auto"/>
          <w:highlight w:val="none"/>
        </w:rPr>
        <w:t>，</w:t>
      </w:r>
      <w:r>
        <w:rPr>
          <w:color w:val="auto"/>
          <w:spacing w:val="-3"/>
          <w:highlight w:val="none"/>
        </w:rPr>
        <w:t>要</w:t>
      </w:r>
      <w:r>
        <w:rPr>
          <w:color w:val="auto"/>
          <w:highlight w:val="none"/>
        </w:rPr>
        <w:t>求</w:t>
      </w:r>
      <w:r>
        <w:rPr>
          <w:color w:val="auto"/>
          <w:spacing w:val="-3"/>
          <w:highlight w:val="none"/>
        </w:rPr>
        <w:t>招</w:t>
      </w:r>
      <w:r>
        <w:rPr>
          <w:color w:val="auto"/>
          <w:highlight w:val="none"/>
        </w:rPr>
        <w:t>标</w:t>
      </w:r>
      <w:r>
        <w:rPr>
          <w:color w:val="auto"/>
          <w:spacing w:val="-3"/>
          <w:highlight w:val="none"/>
        </w:rPr>
        <w:t>人</w:t>
      </w:r>
      <w:r>
        <w:rPr>
          <w:color w:val="auto"/>
          <w:highlight w:val="none"/>
        </w:rPr>
        <w:t>对</w:t>
      </w:r>
      <w:r>
        <w:rPr>
          <w:color w:val="auto"/>
          <w:spacing w:val="-3"/>
          <w:highlight w:val="none"/>
        </w:rPr>
        <w:t>招</w:t>
      </w:r>
      <w:r>
        <w:rPr>
          <w:color w:val="auto"/>
          <w:highlight w:val="none"/>
        </w:rPr>
        <w:t>标文</w:t>
      </w:r>
      <w:r>
        <w:rPr>
          <w:color w:val="auto"/>
          <w:spacing w:val="-3"/>
          <w:highlight w:val="none"/>
        </w:rPr>
        <w:t>件</w:t>
      </w:r>
      <w:r>
        <w:rPr>
          <w:color w:val="auto"/>
          <w:highlight w:val="none"/>
        </w:rPr>
        <w:t>予</w:t>
      </w:r>
      <w:r>
        <w:rPr>
          <w:color w:val="auto"/>
          <w:spacing w:val="-3"/>
          <w:highlight w:val="none"/>
        </w:rPr>
        <w:t>以</w:t>
      </w:r>
      <w:r>
        <w:rPr>
          <w:color w:val="auto"/>
          <w:highlight w:val="none"/>
        </w:rPr>
        <w:t>澄</w:t>
      </w:r>
      <w:r>
        <w:rPr>
          <w:color w:val="auto"/>
          <w:spacing w:val="-3"/>
          <w:highlight w:val="none"/>
        </w:rPr>
        <w:t>清</w:t>
      </w:r>
      <w:r>
        <w:rPr>
          <w:color w:val="auto"/>
          <w:highlight w:val="none"/>
        </w:rPr>
        <w:t>。</w:t>
      </w:r>
    </w:p>
    <w:p w14:paraId="394A6317">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color w:val="auto"/>
          <w:spacing w:val="-3"/>
          <w:sz w:val="21"/>
          <w:szCs w:val="21"/>
          <w:highlight w:val="none"/>
          <w:lang w:eastAsia="zh-CN"/>
        </w:rPr>
      </w:pPr>
      <w:r>
        <w:rPr>
          <w:rFonts w:ascii="Times New Roman" w:hAnsi="Times New Roman" w:eastAsia="Times New Roman" w:cs="Times New Roman"/>
          <w:color w:val="auto"/>
          <w:spacing w:val="-3"/>
          <w:sz w:val="21"/>
          <w:szCs w:val="21"/>
          <w:highlight w:val="none"/>
        </w:rPr>
        <w:t>2.2.2招标答疑采用网上答疑方式进行。投标人若对招标文件有疑问的，</w:t>
      </w:r>
      <w:r>
        <w:rPr>
          <w:rFonts w:hint="eastAsia" w:ascii="Times New Roman" w:hAnsi="Times New Roman" w:eastAsia="Times New Roman" w:cs="Times New Roman"/>
          <w:color w:val="auto"/>
          <w:spacing w:val="-3"/>
          <w:sz w:val="21"/>
          <w:szCs w:val="21"/>
          <w:highlight w:val="none"/>
          <w:lang w:eastAsia="zh-CN"/>
        </w:rPr>
        <w:t>通过</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网站提交，</w:t>
      </w:r>
      <w:r>
        <w:rPr>
          <w:rFonts w:hint="eastAsia" w:ascii="Times New Roman" w:hAnsi="Times New Roman" w:eastAsia="Times New Roman" w:cs="Times New Roman"/>
          <w:color w:val="auto"/>
          <w:spacing w:val="-3"/>
          <w:sz w:val="21"/>
          <w:szCs w:val="21"/>
          <w:highlight w:val="none"/>
        </w:rPr>
        <w:t>应按照</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u w:val="single"/>
          <w:lang w:eastAsia="zh-CN"/>
        </w:rPr>
        <w:t>网站</w:t>
      </w:r>
      <w:r>
        <w:rPr>
          <w:rFonts w:hint="eastAsia" w:ascii="Times New Roman" w:hAnsi="Times New Roman" w:eastAsia="Times New Roman" w:cs="Times New Roman"/>
          <w:color w:val="auto"/>
          <w:spacing w:val="-3"/>
          <w:sz w:val="21"/>
          <w:szCs w:val="21"/>
          <w:highlight w:val="none"/>
          <w:lang w:eastAsia="zh-CN"/>
        </w:rPr>
        <w:t>关于全流程电子化项目的相关指南进行操作</w:t>
      </w:r>
      <w:r>
        <w:rPr>
          <w:rFonts w:hint="eastAsia" w:ascii="Times New Roman" w:hAnsi="Times New Roman" w:eastAsia="Times New Roman" w:cs="Times New Roman"/>
          <w:color w:val="auto"/>
          <w:spacing w:val="-3"/>
          <w:sz w:val="21"/>
          <w:szCs w:val="21"/>
          <w:highlight w:val="none"/>
        </w:rPr>
        <w:t>。提</w:t>
      </w:r>
      <w:r>
        <w:rPr>
          <w:rFonts w:hint="eastAsia" w:ascii="Times New Roman" w:hAnsi="Times New Roman" w:eastAsia="Times New Roman" w:cs="Times New Roman"/>
          <w:color w:val="auto"/>
          <w:spacing w:val="-3"/>
          <w:sz w:val="21"/>
          <w:szCs w:val="21"/>
          <w:highlight w:val="none"/>
          <w:lang w:eastAsia="zh-CN"/>
        </w:rPr>
        <w:t>问</w:t>
      </w:r>
      <w:r>
        <w:rPr>
          <w:rFonts w:hint="eastAsia" w:ascii="Times New Roman" w:hAnsi="Times New Roman" w:eastAsia="Times New Roman" w:cs="Times New Roman"/>
          <w:color w:val="auto"/>
          <w:spacing w:val="-3"/>
          <w:sz w:val="21"/>
          <w:szCs w:val="21"/>
          <w:highlight w:val="none"/>
        </w:rPr>
        <w:t>一律不得署名</w:t>
      </w:r>
      <w:r>
        <w:rPr>
          <w:rFonts w:hint="eastAsia" w:ascii="Times New Roman" w:hAnsi="Times New Roman" w:eastAsia="宋体" w:cs="Times New Roman"/>
          <w:color w:val="auto"/>
          <w:spacing w:val="-3"/>
          <w:sz w:val="21"/>
          <w:szCs w:val="21"/>
          <w:highlight w:val="none"/>
          <w:lang w:eastAsia="zh-CN"/>
        </w:rPr>
        <w:t>。</w:t>
      </w:r>
    </w:p>
    <w:p w14:paraId="32C94BF4">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Times New Roman" w:hAnsi="Times New Roman" w:eastAsia="Times New Roman" w:cs="Times New Roman"/>
          <w:color w:val="auto"/>
          <w:spacing w:val="-3"/>
          <w:kern w:val="2"/>
          <w:sz w:val="21"/>
          <w:szCs w:val="21"/>
          <w:highlight w:val="none"/>
          <w:lang w:val="en-US" w:eastAsia="zh-CN" w:bidi="ar-SA"/>
        </w:rPr>
      </w:pPr>
      <w:r>
        <w:rPr>
          <w:rFonts w:ascii="Times New Roman" w:hAnsi="Times New Roman" w:eastAsia="Times New Roman"/>
          <w:color w:val="auto"/>
          <w:highlight w:val="none"/>
        </w:rPr>
        <w:t>2.2.</w:t>
      </w:r>
      <w:r>
        <w:rPr>
          <w:rFonts w:hint="eastAsia" w:ascii="Times New Roman" w:hAnsi="Times New Roman" w:eastAsia="宋体"/>
          <w:color w:val="auto"/>
          <w:highlight w:val="none"/>
          <w:lang w:val="en-US" w:eastAsia="zh-CN"/>
        </w:rPr>
        <w:t>3</w:t>
      </w:r>
      <w:r>
        <w:rPr>
          <w:rFonts w:ascii="Times New Roman" w:hAnsi="Times New Roman" w:eastAsia="Times New Roman"/>
          <w:color w:val="auto"/>
          <w:spacing w:val="-3"/>
          <w:highlight w:val="none"/>
        </w:rPr>
        <w:t xml:space="preserve"> </w:t>
      </w:r>
      <w:r>
        <w:rPr>
          <w:rFonts w:hint="eastAsia" w:ascii="Times New Roman" w:hAnsi="Times New Roman" w:eastAsia="Times New Roman" w:cs="Times New Roman"/>
          <w:color w:val="auto"/>
          <w:spacing w:val="-3"/>
          <w:sz w:val="21"/>
          <w:szCs w:val="21"/>
          <w:highlight w:val="none"/>
        </w:rPr>
        <w:t>招标答疑会会议纪要将在提交投标文件截止时间 15 日前在</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u w:val="single"/>
          <w:lang w:eastAsia="zh-CN"/>
        </w:rPr>
        <w:t>网站</w:t>
      </w:r>
      <w:r>
        <w:rPr>
          <w:rFonts w:hint="eastAsia" w:ascii="Times New Roman" w:hAnsi="Times New Roman" w:eastAsia="Times New Roman" w:cs="Times New Roman"/>
          <w:color w:val="auto"/>
          <w:spacing w:val="-3"/>
          <w:sz w:val="21"/>
          <w:szCs w:val="21"/>
          <w:highlight w:val="none"/>
          <w:u w:val="single"/>
        </w:rPr>
        <w:t>“项目答疑纪要”专区</w:t>
      </w:r>
      <w:r>
        <w:rPr>
          <w:rFonts w:hint="eastAsia" w:ascii="Times New Roman" w:hAnsi="Times New Roman" w:eastAsia="Times New Roman" w:cs="Times New Roman"/>
          <w:color w:val="auto"/>
          <w:spacing w:val="-3"/>
          <w:sz w:val="21"/>
          <w:szCs w:val="21"/>
          <w:highlight w:val="none"/>
        </w:rPr>
        <w:t>公开发布。答疑纪要一经</w:t>
      </w:r>
      <w:r>
        <w:rPr>
          <w:rFonts w:hint="eastAsia" w:ascii="Times New Roman" w:hAnsi="Times New Roman" w:eastAsia="Times New Roman" w:cs="Times New Roman"/>
          <w:color w:val="auto"/>
          <w:spacing w:val="-3"/>
          <w:sz w:val="21"/>
          <w:szCs w:val="21"/>
          <w:highlight w:val="none"/>
          <w:u w:val="single"/>
        </w:rPr>
        <w:t>在</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发布，视作已发放给所有投标人</w:t>
      </w:r>
      <w:r>
        <w:rPr>
          <w:rFonts w:hint="eastAsia" w:ascii="Times New Roman" w:hAnsi="Times New Roman" w:eastAsia="宋体" w:cs="Times New Roman"/>
          <w:color w:val="auto"/>
          <w:spacing w:val="-3"/>
          <w:sz w:val="21"/>
          <w:szCs w:val="21"/>
          <w:highlight w:val="none"/>
          <w:lang w:eastAsia="zh-CN"/>
        </w:rPr>
        <w:t>。</w:t>
      </w:r>
      <w:r>
        <w:rPr>
          <w:color w:val="auto"/>
          <w:highlight w:val="none"/>
        </w:rPr>
        <w:t>澄清</w:t>
      </w:r>
      <w:r>
        <w:rPr>
          <w:color w:val="auto"/>
          <w:spacing w:val="-3"/>
          <w:highlight w:val="none"/>
        </w:rPr>
        <w:t>发</w:t>
      </w:r>
      <w:r>
        <w:rPr>
          <w:color w:val="auto"/>
          <w:highlight w:val="none"/>
        </w:rPr>
        <w:t>出</w:t>
      </w:r>
      <w:r>
        <w:rPr>
          <w:color w:val="auto"/>
          <w:spacing w:val="-3"/>
          <w:highlight w:val="none"/>
        </w:rPr>
        <w:t>的</w:t>
      </w:r>
      <w:r>
        <w:rPr>
          <w:color w:val="auto"/>
          <w:highlight w:val="none"/>
        </w:rPr>
        <w:t>时</w:t>
      </w:r>
      <w:r>
        <w:rPr>
          <w:color w:val="auto"/>
          <w:spacing w:val="-3"/>
          <w:highlight w:val="none"/>
        </w:rPr>
        <w:t>间</w:t>
      </w:r>
      <w:r>
        <w:rPr>
          <w:color w:val="auto"/>
          <w:highlight w:val="none"/>
        </w:rPr>
        <w:t>距</w:t>
      </w:r>
      <w:r>
        <w:rPr>
          <w:color w:val="auto"/>
          <w:spacing w:val="-3"/>
          <w:highlight w:val="none"/>
        </w:rPr>
        <w:t>本</w:t>
      </w:r>
      <w:r>
        <w:rPr>
          <w:color w:val="auto"/>
          <w:highlight w:val="none"/>
        </w:rPr>
        <w:t>章第</w:t>
      </w:r>
      <w:r>
        <w:rPr>
          <w:color w:val="auto"/>
          <w:spacing w:val="-48"/>
          <w:highlight w:val="none"/>
        </w:rPr>
        <w:t xml:space="preserve"> </w:t>
      </w:r>
      <w:r>
        <w:rPr>
          <w:rFonts w:ascii="Times New Roman" w:hAnsi="Times New Roman" w:eastAsia="Times New Roman"/>
          <w:color w:val="auto"/>
          <w:highlight w:val="none"/>
        </w:rPr>
        <w:t>4.2.1</w:t>
      </w:r>
      <w:r>
        <w:rPr>
          <w:rFonts w:ascii="Times New Roman" w:hAnsi="Times New Roman" w:eastAsia="Times New Roman"/>
          <w:color w:val="auto"/>
          <w:spacing w:val="7"/>
          <w:highlight w:val="none"/>
        </w:rPr>
        <w:t xml:space="preserve"> </w:t>
      </w:r>
      <w:r>
        <w:rPr>
          <w:color w:val="auto"/>
          <w:spacing w:val="-3"/>
          <w:highlight w:val="none"/>
        </w:rPr>
        <w:t>项</w:t>
      </w:r>
      <w:r>
        <w:rPr>
          <w:color w:val="auto"/>
          <w:highlight w:val="none"/>
        </w:rPr>
        <w:t>规</w:t>
      </w:r>
      <w:r>
        <w:rPr>
          <w:color w:val="auto"/>
          <w:spacing w:val="-3"/>
          <w:highlight w:val="none"/>
        </w:rPr>
        <w:t>定</w:t>
      </w:r>
      <w:r>
        <w:rPr>
          <w:color w:val="auto"/>
          <w:highlight w:val="none"/>
        </w:rPr>
        <w:t>的</w:t>
      </w:r>
      <w:r>
        <w:rPr>
          <w:color w:val="auto"/>
          <w:spacing w:val="-3"/>
          <w:highlight w:val="none"/>
        </w:rPr>
        <w:t>投</w:t>
      </w:r>
      <w:r>
        <w:rPr>
          <w:color w:val="auto"/>
          <w:highlight w:val="none"/>
        </w:rPr>
        <w:t>标</w:t>
      </w:r>
      <w:r>
        <w:rPr>
          <w:color w:val="auto"/>
          <w:spacing w:val="-3"/>
          <w:highlight w:val="none"/>
        </w:rPr>
        <w:t>截</w:t>
      </w:r>
      <w:r>
        <w:rPr>
          <w:color w:val="auto"/>
          <w:highlight w:val="none"/>
        </w:rPr>
        <w:t>止</w:t>
      </w:r>
      <w:r>
        <w:rPr>
          <w:color w:val="auto"/>
          <w:spacing w:val="-3"/>
          <w:highlight w:val="none"/>
        </w:rPr>
        <w:t>时</w:t>
      </w:r>
      <w:r>
        <w:rPr>
          <w:color w:val="auto"/>
          <w:highlight w:val="none"/>
        </w:rPr>
        <w:t>间不足</w:t>
      </w:r>
      <w:r>
        <w:rPr>
          <w:color w:val="auto"/>
          <w:spacing w:val="-48"/>
          <w:highlight w:val="none"/>
        </w:rPr>
        <w:t xml:space="preserve"> </w:t>
      </w:r>
      <w:r>
        <w:rPr>
          <w:rFonts w:ascii="Times New Roman" w:hAnsi="Times New Roman" w:eastAsia="Times New Roman"/>
          <w:color w:val="auto"/>
          <w:highlight w:val="none"/>
        </w:rPr>
        <w:t>15</w:t>
      </w:r>
      <w:r>
        <w:rPr>
          <w:rFonts w:ascii="Times New Roman" w:hAnsi="Times New Roman" w:eastAsia="Times New Roman"/>
          <w:color w:val="auto"/>
          <w:spacing w:val="8"/>
          <w:highlight w:val="none"/>
        </w:rPr>
        <w:t xml:space="preserve"> </w:t>
      </w:r>
      <w:r>
        <w:rPr>
          <w:color w:val="auto"/>
          <w:spacing w:val="-3"/>
          <w:highlight w:val="none"/>
        </w:rPr>
        <w:t>日的，</w:t>
      </w:r>
      <w:r>
        <w:rPr>
          <w:color w:val="auto"/>
          <w:highlight w:val="none"/>
        </w:rPr>
        <w:t>并且</w:t>
      </w:r>
      <w:r>
        <w:rPr>
          <w:color w:val="auto"/>
          <w:spacing w:val="-3"/>
          <w:highlight w:val="none"/>
        </w:rPr>
        <w:t>澄</w:t>
      </w:r>
      <w:r>
        <w:rPr>
          <w:color w:val="auto"/>
          <w:highlight w:val="none"/>
        </w:rPr>
        <w:t>清</w:t>
      </w:r>
      <w:r>
        <w:rPr>
          <w:color w:val="auto"/>
          <w:spacing w:val="-3"/>
          <w:highlight w:val="none"/>
        </w:rPr>
        <w:t>内</w:t>
      </w:r>
      <w:r>
        <w:rPr>
          <w:color w:val="auto"/>
          <w:highlight w:val="none"/>
        </w:rPr>
        <w:t>容</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投</w:t>
      </w:r>
      <w:r>
        <w:rPr>
          <w:color w:val="auto"/>
          <w:highlight w:val="none"/>
        </w:rPr>
        <w:t>标文</w:t>
      </w:r>
      <w:r>
        <w:rPr>
          <w:color w:val="auto"/>
          <w:spacing w:val="-3"/>
          <w:highlight w:val="none"/>
        </w:rPr>
        <w:t>件</w:t>
      </w:r>
      <w:r>
        <w:rPr>
          <w:color w:val="auto"/>
          <w:highlight w:val="none"/>
        </w:rPr>
        <w:t>编</w:t>
      </w:r>
      <w:r>
        <w:rPr>
          <w:color w:val="auto"/>
          <w:spacing w:val="-3"/>
          <w:highlight w:val="none"/>
        </w:rPr>
        <w:t>制</w:t>
      </w:r>
      <w:r>
        <w:rPr>
          <w:color w:val="auto"/>
          <w:highlight w:val="none"/>
        </w:rPr>
        <w:t>的</w:t>
      </w:r>
      <w:r>
        <w:rPr>
          <w:color w:val="auto"/>
          <w:spacing w:val="-3"/>
          <w:highlight w:val="none"/>
        </w:rPr>
        <w:t>，</w:t>
      </w:r>
      <w:r>
        <w:rPr>
          <w:color w:val="auto"/>
          <w:highlight w:val="none"/>
        </w:rPr>
        <w:t>将</w:t>
      </w:r>
      <w:r>
        <w:rPr>
          <w:color w:val="auto"/>
          <w:spacing w:val="-3"/>
          <w:highlight w:val="none"/>
        </w:rPr>
        <w:t>相</w:t>
      </w:r>
      <w:r>
        <w:rPr>
          <w:rFonts w:hint="eastAsia" w:ascii="Times New Roman" w:hAnsi="Times New Roman" w:eastAsia="Times New Roman" w:cs="Times New Roman"/>
          <w:color w:val="auto"/>
          <w:spacing w:val="-3"/>
          <w:kern w:val="2"/>
          <w:sz w:val="21"/>
          <w:szCs w:val="21"/>
          <w:highlight w:val="none"/>
          <w:lang w:val="en-US" w:eastAsia="zh-CN" w:bidi="ar-SA"/>
        </w:rPr>
        <w:t>应延长投标截止时间。</w:t>
      </w:r>
    </w:p>
    <w:p w14:paraId="6E168CE4">
      <w:pPr>
        <w:spacing w:before="2" w:line="360" w:lineRule="auto"/>
        <w:ind w:left="6" w:right="1" w:firstLine="412"/>
        <w:jc w:val="both"/>
        <w:rPr>
          <w:rFonts w:hint="eastAsia" w:ascii="Times New Roman" w:hAnsi="Times New Roman" w:eastAsia="Times New Roman" w:cs="Times New Roman"/>
          <w:color w:val="auto"/>
          <w:spacing w:val="-3"/>
          <w:kern w:val="2"/>
          <w:sz w:val="21"/>
          <w:szCs w:val="21"/>
          <w:highlight w:val="none"/>
          <w:lang w:val="en-US" w:eastAsia="zh-CN" w:bidi="ar-SA"/>
        </w:rPr>
      </w:pPr>
      <w:r>
        <w:rPr>
          <w:rFonts w:hint="eastAsia" w:ascii="Times New Roman" w:hAnsi="Times New Roman" w:eastAsia="Times New Roman" w:cs="Times New Roman"/>
          <w:color w:val="auto"/>
          <w:spacing w:val="-3"/>
          <w:kern w:val="2"/>
          <w:sz w:val="21"/>
          <w:szCs w:val="21"/>
          <w:highlight w:val="none"/>
          <w:lang w:val="en-US" w:eastAsia="zh-CN" w:bidi="ar-SA"/>
        </w:rPr>
        <w:t>2.2.4  招标答疑会会议纪要是招标文件的组成部分，对投标人起约束作用。若招标答疑会会议纪要与招标文件有矛盾时，以广州交易集团有限公司（广州公共资源交易中心）网站最后发布的答疑纪要为准.</w:t>
      </w:r>
    </w:p>
    <w:p w14:paraId="73F6B6F4">
      <w:pPr>
        <w:pStyle w:val="5"/>
        <w:bidi w:val="0"/>
        <w:spacing w:line="360" w:lineRule="auto"/>
        <w:ind w:firstLine="408" w:firstLineChars="200"/>
        <w:rPr>
          <w:color w:val="auto"/>
          <w:highlight w:val="none"/>
        </w:rPr>
      </w:pPr>
      <w:bookmarkStart w:id="375" w:name="_Toc16328"/>
      <w:bookmarkStart w:id="376" w:name="_Toc7075"/>
      <w:bookmarkStart w:id="377" w:name="_Toc19009"/>
      <w:bookmarkStart w:id="378" w:name="_Toc12501"/>
      <w:r>
        <w:rPr>
          <w:rFonts w:hint="eastAsia" w:ascii="Times New Roman" w:hAnsi="Times New Roman" w:eastAsia="Times New Roman" w:cs="Times New Roman"/>
          <w:color w:val="auto"/>
          <w:spacing w:val="-3"/>
          <w:kern w:val="2"/>
          <w:sz w:val="21"/>
          <w:szCs w:val="21"/>
          <w:highlight w:val="none"/>
          <w:lang w:val="en-US" w:eastAsia="zh-CN" w:bidi="ar-SA"/>
        </w:rPr>
        <w:t>2.2.5 除非招标人认为确有必要答复，否则，招标人有权拒绝回复投标人在本章第 2.2.1 项规定的时间后的任何澄清要求</w:t>
      </w:r>
      <w:r>
        <w:rPr>
          <w:color w:val="auto"/>
          <w:highlight w:val="none"/>
        </w:rPr>
        <w:t>。</w:t>
      </w:r>
      <w:bookmarkEnd w:id="375"/>
      <w:bookmarkEnd w:id="376"/>
      <w:bookmarkEnd w:id="377"/>
      <w:bookmarkEnd w:id="378"/>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47291304">
      <w:pPr>
        <w:pStyle w:val="5"/>
        <w:bidi w:val="0"/>
        <w:spacing w:line="360" w:lineRule="auto"/>
        <w:rPr>
          <w:color w:val="auto"/>
          <w:highlight w:val="none"/>
        </w:rPr>
      </w:pPr>
      <w:bookmarkStart w:id="379" w:name="_Toc12961"/>
      <w:bookmarkStart w:id="380" w:name="_Toc19220"/>
      <w:bookmarkStart w:id="381" w:name="_Toc352691479"/>
      <w:bookmarkStart w:id="382" w:name="_Toc11529"/>
      <w:bookmarkStart w:id="383" w:name="_Toc12456"/>
      <w:bookmarkStart w:id="384" w:name="_Toc492300580"/>
      <w:bookmarkStart w:id="385" w:name="_Toc17178"/>
      <w:bookmarkStart w:id="386" w:name="_Toc28244"/>
      <w:bookmarkStart w:id="387" w:name="_Toc7145"/>
      <w:bookmarkStart w:id="388" w:name="_Toc16508"/>
      <w:bookmarkStart w:id="389" w:name="_Toc7628"/>
      <w:bookmarkStart w:id="390" w:name="_Toc16341"/>
      <w:bookmarkStart w:id="391" w:name="_Toc6375"/>
      <w:bookmarkStart w:id="392" w:name="_Toc12034"/>
      <w:bookmarkStart w:id="393" w:name="_Toc3799"/>
      <w:bookmarkStart w:id="394" w:name="_Toc1787"/>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CF4F0B7">
      <w:pPr>
        <w:pStyle w:val="68"/>
        <w:pageBreakBefore w:val="0"/>
        <w:kinsoku w:val="0"/>
        <w:wordWrap/>
        <w:overflowPunct w:val="0"/>
        <w:topLinePunct w:val="0"/>
        <w:autoSpaceDE w:val="0"/>
        <w:autoSpaceDN w:val="0"/>
        <w:bidi w:val="0"/>
        <w:adjustRightInd/>
        <w:snapToGrid/>
        <w:spacing w:beforeLines="0" w:afterLines="0" w:line="360" w:lineRule="auto"/>
        <w:ind w:left="0" w:leftChars="0" w:firstLine="0" w:firstLineChars="0"/>
        <w:jc w:val="both"/>
        <w:textAlignment w:val="auto"/>
        <w:outlineLvl w:val="3"/>
        <w:rPr>
          <w:rFonts w:hint="eastAsia" w:ascii="Times New Roman" w:hAnsi="Times New Roman" w:eastAsia="宋体" w:cs="Times New Roman"/>
          <w:bCs/>
          <w:color w:val="auto"/>
          <w:kern w:val="2"/>
          <w:sz w:val="24"/>
          <w:szCs w:val="32"/>
          <w:highlight w:val="none"/>
          <w:lang w:val="en-US" w:eastAsia="zh-CN" w:bidi="ar-SA"/>
        </w:rPr>
      </w:pPr>
      <w:bookmarkStart w:id="395" w:name="_Toc31245"/>
      <w:bookmarkStart w:id="396" w:name="_Toc22892"/>
      <w:bookmarkStart w:id="397" w:name="_Toc9473"/>
      <w:bookmarkStart w:id="398" w:name="_Toc10583"/>
      <w:bookmarkStart w:id="399" w:name="_Toc417"/>
      <w:bookmarkStart w:id="400" w:name="_Toc27522"/>
      <w:bookmarkStart w:id="401" w:name="_Toc27467"/>
      <w:bookmarkStart w:id="402" w:name="_Toc12514"/>
      <w:bookmarkStart w:id="403" w:name="_Toc29243"/>
      <w:bookmarkStart w:id="404" w:name="_Toc492300582"/>
      <w:bookmarkStart w:id="405" w:name="_Toc7665"/>
      <w:bookmarkStart w:id="406" w:name="_Toc27869"/>
      <w:bookmarkStart w:id="407" w:name="_Toc399"/>
      <w:bookmarkStart w:id="408" w:name="_Toc31509"/>
      <w:bookmarkStart w:id="409" w:name="_Toc8359"/>
      <w:bookmarkStart w:id="410" w:name="_Toc8793"/>
      <w:bookmarkStart w:id="411" w:name="_Toc8405"/>
      <w:bookmarkStart w:id="412" w:name="_Toc24578"/>
      <w:bookmarkStart w:id="413" w:name="_Toc18998"/>
      <w:bookmarkStart w:id="414" w:name="_Toc11693"/>
      <w:r>
        <w:rPr>
          <w:rFonts w:hint="default" w:ascii="Times New Roman" w:hAnsi="Times New Roman" w:eastAsia="宋体" w:cs="Times New Roman"/>
          <w:bCs/>
          <w:color w:val="auto"/>
          <w:kern w:val="2"/>
          <w:sz w:val="24"/>
          <w:szCs w:val="32"/>
          <w:highlight w:val="none"/>
          <w:lang w:val="en-US" w:eastAsia="zh-CN" w:bidi="ar-SA"/>
        </w:rPr>
        <w:t xml:space="preserve">2.3 </w:t>
      </w:r>
      <w:r>
        <w:rPr>
          <w:rFonts w:hint="eastAsia" w:ascii="Times New Roman" w:hAnsi="Times New Roman" w:eastAsia="宋体" w:cs="Times New Roman"/>
          <w:bCs/>
          <w:color w:val="auto"/>
          <w:kern w:val="2"/>
          <w:sz w:val="24"/>
          <w:szCs w:val="32"/>
          <w:highlight w:val="none"/>
          <w:lang w:val="en-US" w:eastAsia="zh-CN" w:bidi="ar-SA"/>
        </w:rPr>
        <w:t>招标文件的</w:t>
      </w:r>
      <w:bookmarkEnd w:id="395"/>
      <w:bookmarkEnd w:id="396"/>
      <w:bookmarkEnd w:id="397"/>
      <w:bookmarkEnd w:id="398"/>
      <w:r>
        <w:rPr>
          <w:rFonts w:hint="eastAsia" w:ascii="Times New Roman" w:hAnsi="Times New Roman" w:eastAsia="宋体" w:cs="Times New Roman"/>
          <w:bCs/>
          <w:color w:val="auto"/>
          <w:kern w:val="2"/>
          <w:sz w:val="24"/>
          <w:szCs w:val="32"/>
          <w:highlight w:val="none"/>
          <w:lang w:val="en-US" w:eastAsia="zh-CN" w:bidi="ar-SA"/>
        </w:rPr>
        <w:t>澄清与修改</w:t>
      </w:r>
      <w:bookmarkEnd w:id="399"/>
    </w:p>
    <w:p w14:paraId="07FF093D">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Times New Roman" w:hAnsi="Times New Roman" w:eastAsia="Times New Roman" w:cs="Times New Roman"/>
          <w:color w:val="auto"/>
          <w:spacing w:val="-3"/>
          <w:sz w:val="21"/>
          <w:szCs w:val="21"/>
          <w:highlight w:val="none"/>
          <w:lang w:val="en-US" w:eastAsia="zh-CN"/>
        </w:rPr>
      </w:pPr>
      <w:r>
        <w:rPr>
          <w:rFonts w:ascii="Times New Roman" w:hAnsi="Times New Roman" w:eastAsia="Times New Roman"/>
          <w:color w:val="auto"/>
          <w:highlight w:val="none"/>
        </w:rPr>
        <w:t>2.3.1</w:t>
      </w:r>
      <w:r>
        <w:rPr>
          <w:rFonts w:ascii="Times New Roman" w:hAnsi="Times New Roman" w:eastAsia="Times New Roman"/>
          <w:color w:val="auto"/>
          <w:spacing w:val="-3"/>
          <w:highlight w:val="none"/>
        </w:rPr>
        <w:t xml:space="preserve"> </w:t>
      </w:r>
      <w:r>
        <w:rPr>
          <w:rFonts w:hint="eastAsia" w:ascii="Times New Roman" w:hAnsi="Times New Roman" w:eastAsia="Times New Roman" w:cs="Times New Roman"/>
          <w:color w:val="auto"/>
          <w:spacing w:val="-3"/>
          <w:sz w:val="21"/>
          <w:szCs w:val="21"/>
          <w:highlight w:val="none"/>
          <w:lang w:val="en-US" w:eastAsia="zh-CN"/>
        </w:rPr>
        <w:t>招标文件发出后，在提交投标文件截止时间15日前，招标人可对招标文件进行必要的澄清或修改。</w:t>
      </w:r>
    </w:p>
    <w:p w14:paraId="544B7F23">
      <w:pPr>
        <w:spacing w:before="1" w:line="360" w:lineRule="auto"/>
        <w:ind w:left="25" w:right="1" w:firstLine="393"/>
        <w:jc w:val="both"/>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2.3.2</w:t>
      </w:r>
      <w:r>
        <w:rPr>
          <w:rFonts w:hint="eastAsia" w:ascii="Times New Roman" w:hAnsi="Times New Roman" w:eastAsia="Times New Roman" w:cs="Times New Roman"/>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color w:val="auto"/>
          <w:spacing w:val="-3"/>
          <w:sz w:val="21"/>
          <w:szCs w:val="21"/>
          <w:highlight w:val="none"/>
          <w:lang w:val="en-US" w:eastAsia="zh-CN"/>
        </w:rPr>
        <w:t>网站发布时间作为送达时间。</w:t>
      </w:r>
    </w:p>
    <w:p w14:paraId="5883278B">
      <w:pPr>
        <w:spacing w:before="1" w:line="360" w:lineRule="auto"/>
        <w:ind w:left="25" w:right="1" w:firstLine="393"/>
        <w:jc w:val="both"/>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2.3.3  </w:t>
      </w:r>
      <w:r>
        <w:rPr>
          <w:rFonts w:hint="eastAsia" w:ascii="Times New Roman" w:hAnsi="Times New Roman" w:eastAsia="Times New Roman" w:cs="Times New Roman"/>
          <w:color w:val="auto"/>
          <w:spacing w:val="-3"/>
          <w:sz w:val="21"/>
          <w:szCs w:val="21"/>
          <w:highlight w:val="none"/>
        </w:rPr>
        <w:t>招标</w:t>
      </w:r>
      <w:r>
        <w:rPr>
          <w:rFonts w:hint="eastAsia" w:ascii="Times New Roman" w:hAnsi="Times New Roman" w:eastAsia="宋体" w:cs="Times New Roman"/>
          <w:color w:val="auto"/>
          <w:spacing w:val="-3"/>
          <w:sz w:val="21"/>
          <w:szCs w:val="21"/>
          <w:highlight w:val="none"/>
          <w:lang w:eastAsia="zh-CN"/>
        </w:rPr>
        <w:t>文件的</w:t>
      </w:r>
      <w:r>
        <w:rPr>
          <w:rFonts w:hint="eastAsia" w:ascii="Times New Roman" w:hAnsi="Times New Roman" w:eastAsia="Times New Roman" w:cs="Times New Roman"/>
          <w:color w:val="auto"/>
          <w:spacing w:val="-3"/>
          <w:sz w:val="21"/>
          <w:szCs w:val="21"/>
          <w:highlight w:val="none"/>
          <w:lang w:eastAsia="zh-CN"/>
        </w:rPr>
        <w:t>澄清或修改</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14:paraId="66A9C704">
      <w:pPr>
        <w:spacing w:before="1" w:line="360" w:lineRule="auto"/>
        <w:ind w:left="25" w:right="1" w:firstLine="393"/>
        <w:jc w:val="both"/>
        <w:rPr>
          <w:rFonts w:ascii="Times New Roman" w:hAnsi="Times New Roman" w:eastAsia="Times New Roman" w:cs="Times New Roman"/>
          <w:color w:val="auto"/>
          <w:spacing w:val="-8"/>
          <w:sz w:val="21"/>
          <w:szCs w:val="21"/>
          <w:highlight w:val="none"/>
        </w:rPr>
      </w:pPr>
      <w:r>
        <w:rPr>
          <w:rFonts w:hint="eastAsia" w:ascii="Times New Roman" w:hAnsi="Times New Roman" w:eastAsia="Times New Roman" w:cs="Times New Roman"/>
          <w:color w:val="auto"/>
          <w:spacing w:val="-3"/>
          <w:sz w:val="21"/>
          <w:szCs w:val="21"/>
          <w:highlight w:val="none"/>
          <w:lang w:eastAsia="zh-CN"/>
        </w:rPr>
        <w:t>2.3.</w:t>
      </w:r>
      <w:r>
        <w:rPr>
          <w:rFonts w:hint="eastAsia" w:ascii="Times New Roman" w:hAnsi="Times New Roman" w:eastAsia="Times New Roman" w:cs="Times New Roman"/>
          <w:color w:val="auto"/>
          <w:spacing w:val="-3"/>
          <w:sz w:val="21"/>
          <w:szCs w:val="21"/>
          <w:highlight w:val="none"/>
          <w:lang w:val="en-US" w:eastAsia="zh-CN"/>
        </w:rPr>
        <w:t xml:space="preserve">4 </w:t>
      </w:r>
      <w:r>
        <w:rPr>
          <w:rFonts w:hint="eastAsia" w:ascii="Times New Roman" w:hAnsi="Times New Roman" w:eastAsia="Times New Roman" w:cs="Times New Roman"/>
          <w:color w:val="auto"/>
          <w:spacing w:val="-3"/>
          <w:sz w:val="21"/>
          <w:szCs w:val="21"/>
          <w:highlight w:val="none"/>
          <w:lang w:eastAsia="zh-CN"/>
        </w:rPr>
        <w:t xml:space="preserve"> 招标文件的澄清或修</w:t>
      </w:r>
      <w:r>
        <w:rPr>
          <w:rFonts w:hint="eastAsia" w:ascii="Times New Roman" w:hAnsi="Times New Roman" w:eastAsia="Times New Roman" w:cs="Times New Roman"/>
          <w:color w:val="auto"/>
          <w:spacing w:val="-8"/>
          <w:sz w:val="21"/>
          <w:szCs w:val="21"/>
          <w:highlight w:val="none"/>
        </w:rPr>
        <w:t>改均以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发布的内容为准。当招标文件的澄清、修改</w:t>
      </w:r>
      <w:r>
        <w:rPr>
          <w:rFonts w:hint="eastAsia" w:ascii="Times New Roman" w:hAnsi="Times New Roman" w:eastAsia="宋体" w:cs="Times New Roman"/>
          <w:color w:val="auto"/>
          <w:spacing w:val="-8"/>
          <w:sz w:val="21"/>
          <w:szCs w:val="21"/>
          <w:highlight w:val="none"/>
          <w:lang w:eastAsia="zh-CN"/>
        </w:rPr>
        <w:t>、补充等</w:t>
      </w:r>
      <w:r>
        <w:rPr>
          <w:rFonts w:hint="eastAsia" w:ascii="Times New Roman" w:hAnsi="Times New Roman" w:eastAsia="Times New Roman" w:cs="Times New Roman"/>
          <w:color w:val="auto"/>
          <w:spacing w:val="-8"/>
          <w:sz w:val="21"/>
          <w:szCs w:val="21"/>
          <w:highlight w:val="none"/>
        </w:rPr>
        <w:t>在同一内容的表述不一致时，以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最后发布的内容为准</w:t>
      </w:r>
      <w:r>
        <w:rPr>
          <w:rFonts w:ascii="Times New Roman" w:hAnsi="Times New Roman" w:eastAsia="Times New Roman" w:cs="Times New Roman"/>
          <w:color w:val="auto"/>
          <w:spacing w:val="-8"/>
          <w:sz w:val="21"/>
          <w:szCs w:val="21"/>
          <w:highlight w:val="none"/>
        </w:rPr>
        <w:t>。</w:t>
      </w:r>
    </w:p>
    <w:p w14:paraId="2184B754">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color w:val="auto"/>
          <w:highlight w:val="none"/>
        </w:rPr>
      </w:pPr>
      <w:r>
        <w:rPr>
          <w:rFonts w:hint="eastAsia" w:ascii="Times New Roman" w:hAnsi="Times New Roman" w:eastAsia="Times New Roman" w:cs="Times New Roman"/>
          <w:color w:val="auto"/>
          <w:spacing w:val="-3"/>
          <w:sz w:val="21"/>
          <w:szCs w:val="21"/>
          <w:highlight w:val="none"/>
          <w:lang w:val="en-US" w:eastAsia="zh-CN"/>
        </w:rPr>
        <w:t xml:space="preserve">2.3.5  </w:t>
      </w:r>
      <w:r>
        <w:rPr>
          <w:rFonts w:hint="eastAsia" w:ascii="Times New Roman" w:hAnsi="Times New Roman" w:eastAsia="Times New Roman" w:cs="Times New Roman"/>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r>
        <w:rPr>
          <w:color w:val="auto"/>
          <w:highlight w:val="none"/>
        </w:rPr>
        <w:t>。</w:t>
      </w:r>
    </w:p>
    <w:p w14:paraId="003BE617">
      <w:pPr>
        <w:pageBreakBefore w:val="0"/>
        <w:kinsoku w:val="0"/>
        <w:wordWrap/>
        <w:overflowPunct w:val="0"/>
        <w:topLinePunct w:val="0"/>
        <w:autoSpaceDE w:val="0"/>
        <w:autoSpaceDN w:val="0"/>
        <w:bidi w:val="0"/>
        <w:adjustRightInd/>
        <w:snapToGrid/>
        <w:spacing w:line="360" w:lineRule="auto"/>
        <w:jc w:val="both"/>
        <w:textAlignment w:val="auto"/>
        <w:rPr>
          <w:color w:val="auto"/>
          <w:sz w:val="17"/>
          <w:highlight w:val="none"/>
        </w:rPr>
      </w:pPr>
    </w:p>
    <w:p w14:paraId="2001B6C9">
      <w:pPr>
        <w:pStyle w:val="68"/>
        <w:pageBreakBefore w:val="0"/>
        <w:kinsoku w:val="0"/>
        <w:wordWrap/>
        <w:overflowPunct w:val="0"/>
        <w:topLinePunct w:val="0"/>
        <w:autoSpaceDE w:val="0"/>
        <w:autoSpaceDN w:val="0"/>
        <w:bidi w:val="0"/>
        <w:adjustRightInd/>
        <w:snapToGrid/>
        <w:spacing w:beforeLines="0" w:afterLines="0" w:line="360" w:lineRule="auto"/>
        <w:ind w:left="0" w:leftChars="0" w:right="2726" w:rightChars="0" w:firstLine="560" w:firstLineChars="200"/>
        <w:jc w:val="both"/>
        <w:textAlignment w:val="auto"/>
        <w:outlineLvl w:val="3"/>
        <w:rPr>
          <w:color w:val="auto"/>
          <w:highlight w:val="none"/>
        </w:rPr>
      </w:pPr>
      <w:bookmarkStart w:id="415" w:name="bookmark39"/>
      <w:bookmarkEnd w:id="415"/>
      <w:bookmarkStart w:id="416" w:name="_Toc4803"/>
      <w:bookmarkStart w:id="417" w:name="_Toc24265"/>
      <w:bookmarkStart w:id="418" w:name="_Toc3881"/>
      <w:bookmarkStart w:id="419" w:name="_Toc7522"/>
      <w:bookmarkStart w:id="420" w:name="_Toc21331"/>
      <w:bookmarkStart w:id="421" w:name="_Toc19073"/>
      <w:r>
        <w:rPr>
          <w:rFonts w:hint="default" w:ascii="Times New Roman" w:hAnsi="Times New Roman" w:eastAsia="Times New Roman"/>
          <w:color w:val="auto"/>
          <w:highlight w:val="none"/>
        </w:rPr>
        <w:t>2.4</w:t>
      </w:r>
      <w:r>
        <w:rPr>
          <w:rFonts w:hint="default" w:ascii="Times New Roman" w:hAnsi="Times New Roman" w:eastAsia="Times New Roman"/>
          <w:color w:val="auto"/>
          <w:spacing w:val="67"/>
          <w:highlight w:val="none"/>
        </w:rPr>
        <w:t xml:space="preserve"> </w:t>
      </w:r>
      <w:r>
        <w:rPr>
          <w:color w:val="auto"/>
          <w:highlight w:val="none"/>
        </w:rPr>
        <w:t>招标文件</w:t>
      </w:r>
      <w:r>
        <w:rPr>
          <w:color w:val="auto"/>
          <w:spacing w:val="-3"/>
          <w:highlight w:val="none"/>
        </w:rPr>
        <w:t>的</w:t>
      </w:r>
      <w:r>
        <w:rPr>
          <w:color w:val="auto"/>
          <w:highlight w:val="none"/>
        </w:rPr>
        <w:t>异议</w:t>
      </w:r>
      <w:bookmarkEnd w:id="416"/>
      <w:bookmarkEnd w:id="417"/>
      <w:bookmarkEnd w:id="418"/>
      <w:bookmarkEnd w:id="419"/>
      <w:bookmarkEnd w:id="420"/>
      <w:bookmarkEnd w:id="421"/>
    </w:p>
    <w:p w14:paraId="7ADAC9FF">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eastAsia="宋体"/>
          <w:color w:val="auto"/>
          <w:highlight w:val="none"/>
          <w:lang w:eastAsia="zh-CN"/>
        </w:rPr>
      </w:pPr>
      <w:r>
        <w:rPr>
          <w:color w:val="auto"/>
          <w:highlight w:val="none"/>
        </w:rPr>
        <w:t>投标</w:t>
      </w:r>
      <w:r>
        <w:rPr>
          <w:color w:val="auto"/>
          <w:spacing w:val="-3"/>
          <w:highlight w:val="none"/>
        </w:rPr>
        <w:t>人</w:t>
      </w:r>
      <w:r>
        <w:rPr>
          <w:color w:val="auto"/>
          <w:highlight w:val="none"/>
        </w:rPr>
        <w:t>或</w:t>
      </w:r>
      <w:r>
        <w:rPr>
          <w:color w:val="auto"/>
          <w:spacing w:val="-3"/>
          <w:highlight w:val="none"/>
        </w:rPr>
        <w:t>者</w:t>
      </w:r>
      <w:r>
        <w:rPr>
          <w:color w:val="auto"/>
          <w:highlight w:val="none"/>
        </w:rPr>
        <w:t>其</w:t>
      </w:r>
      <w:r>
        <w:rPr>
          <w:color w:val="auto"/>
          <w:spacing w:val="-3"/>
          <w:highlight w:val="none"/>
        </w:rPr>
        <w:t>他</w:t>
      </w:r>
      <w:r>
        <w:rPr>
          <w:color w:val="auto"/>
          <w:highlight w:val="none"/>
        </w:rPr>
        <w:t>利</w:t>
      </w:r>
      <w:r>
        <w:rPr>
          <w:color w:val="auto"/>
          <w:spacing w:val="-3"/>
          <w:highlight w:val="none"/>
        </w:rPr>
        <w:t>害</w:t>
      </w:r>
      <w:r>
        <w:rPr>
          <w:color w:val="auto"/>
          <w:highlight w:val="none"/>
        </w:rPr>
        <w:t>关</w:t>
      </w:r>
      <w:r>
        <w:rPr>
          <w:color w:val="auto"/>
          <w:spacing w:val="-3"/>
          <w:highlight w:val="none"/>
        </w:rPr>
        <w:t>系</w:t>
      </w:r>
      <w:r>
        <w:rPr>
          <w:color w:val="auto"/>
          <w:highlight w:val="none"/>
        </w:rPr>
        <w:t>人对</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有</w:t>
      </w:r>
      <w:r>
        <w:rPr>
          <w:color w:val="auto"/>
          <w:highlight w:val="none"/>
        </w:rPr>
        <w:t>异</w:t>
      </w:r>
      <w:r>
        <w:rPr>
          <w:color w:val="auto"/>
          <w:spacing w:val="-3"/>
          <w:highlight w:val="none"/>
        </w:rPr>
        <w:t>议的</w:t>
      </w:r>
      <w:r>
        <w:rPr>
          <w:color w:val="auto"/>
          <w:spacing w:val="-75"/>
          <w:highlight w:val="none"/>
        </w:rPr>
        <w:t>，</w:t>
      </w:r>
      <w:r>
        <w:rPr>
          <w:color w:val="auto"/>
          <w:spacing w:val="-3"/>
          <w:highlight w:val="none"/>
        </w:rPr>
        <w:t>应</w:t>
      </w:r>
      <w:r>
        <w:rPr>
          <w:color w:val="auto"/>
          <w:highlight w:val="none"/>
        </w:rPr>
        <w:t>当在</w:t>
      </w:r>
      <w:r>
        <w:rPr>
          <w:color w:val="auto"/>
          <w:spacing w:val="-3"/>
          <w:highlight w:val="none"/>
        </w:rPr>
        <w:t>投</w:t>
      </w:r>
      <w:r>
        <w:rPr>
          <w:color w:val="auto"/>
          <w:highlight w:val="none"/>
        </w:rPr>
        <w:t>标</w:t>
      </w:r>
      <w:r>
        <w:rPr>
          <w:color w:val="auto"/>
          <w:spacing w:val="-3"/>
          <w:highlight w:val="none"/>
        </w:rPr>
        <w:t>截</w:t>
      </w:r>
      <w:r>
        <w:rPr>
          <w:color w:val="auto"/>
          <w:highlight w:val="none"/>
        </w:rPr>
        <w:t>止</w:t>
      </w:r>
      <w:r>
        <w:rPr>
          <w:color w:val="auto"/>
          <w:spacing w:val="-3"/>
          <w:highlight w:val="none"/>
        </w:rPr>
        <w:t>时</w:t>
      </w:r>
      <w:r>
        <w:rPr>
          <w:color w:val="auto"/>
          <w:highlight w:val="none"/>
        </w:rPr>
        <w:t>间</w:t>
      </w:r>
      <w:r>
        <w:rPr>
          <w:color w:val="auto"/>
          <w:spacing w:val="-53"/>
          <w:highlight w:val="none"/>
        </w:rPr>
        <w:t xml:space="preserve"> </w:t>
      </w:r>
      <w:r>
        <w:rPr>
          <w:rFonts w:ascii="Times New Roman" w:hAnsi="Times New Roman" w:eastAsia="Times New Roman"/>
          <w:color w:val="auto"/>
          <w:spacing w:val="-3"/>
          <w:highlight w:val="none"/>
        </w:rPr>
        <w:t>1</w:t>
      </w:r>
      <w:r>
        <w:rPr>
          <w:rFonts w:ascii="Times New Roman" w:hAnsi="Times New Roman" w:eastAsia="Times New Roman"/>
          <w:color w:val="auto"/>
          <w:highlight w:val="none"/>
        </w:rPr>
        <w:t xml:space="preserve">0 </w:t>
      </w:r>
      <w:r>
        <w:rPr>
          <w:color w:val="auto"/>
          <w:spacing w:val="-3"/>
          <w:highlight w:val="none"/>
        </w:rPr>
        <w:t>日前</w:t>
      </w:r>
      <w:r>
        <w:rPr>
          <w:color w:val="auto"/>
          <w:highlight w:val="none"/>
        </w:rPr>
        <w:t>以书</w:t>
      </w:r>
      <w:r>
        <w:rPr>
          <w:color w:val="auto"/>
          <w:spacing w:val="-3"/>
          <w:highlight w:val="none"/>
        </w:rPr>
        <w:t>面</w:t>
      </w:r>
      <w:r>
        <w:rPr>
          <w:color w:val="auto"/>
          <w:highlight w:val="none"/>
        </w:rPr>
        <w:t>形式提出</w:t>
      </w:r>
      <w:r>
        <w:rPr>
          <w:color w:val="auto"/>
          <w:spacing w:val="-3"/>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将</w:t>
      </w:r>
      <w:r>
        <w:rPr>
          <w:color w:val="auto"/>
          <w:highlight w:val="none"/>
        </w:rPr>
        <w:t>在</w:t>
      </w:r>
      <w:r>
        <w:rPr>
          <w:color w:val="auto"/>
          <w:spacing w:val="-3"/>
          <w:highlight w:val="none"/>
        </w:rPr>
        <w:t>收</w:t>
      </w:r>
      <w:r>
        <w:rPr>
          <w:color w:val="auto"/>
          <w:highlight w:val="none"/>
        </w:rPr>
        <w:t>到</w:t>
      </w:r>
      <w:r>
        <w:rPr>
          <w:color w:val="auto"/>
          <w:spacing w:val="-3"/>
          <w:highlight w:val="none"/>
        </w:rPr>
        <w:t>异</w:t>
      </w:r>
      <w:r>
        <w:rPr>
          <w:color w:val="auto"/>
          <w:highlight w:val="none"/>
        </w:rPr>
        <w:t>议之</w:t>
      </w:r>
      <w:r>
        <w:rPr>
          <w:color w:val="auto"/>
          <w:spacing w:val="-3"/>
          <w:highlight w:val="none"/>
        </w:rPr>
        <w:t>日</w:t>
      </w:r>
      <w:r>
        <w:rPr>
          <w:color w:val="auto"/>
          <w:highlight w:val="none"/>
        </w:rPr>
        <w:t>起</w:t>
      </w:r>
      <w:r>
        <w:rPr>
          <w:color w:val="auto"/>
          <w:spacing w:val="-53"/>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3"/>
          <w:highlight w:val="none"/>
        </w:rPr>
        <w:t xml:space="preserve"> </w:t>
      </w:r>
      <w:r>
        <w:rPr>
          <w:color w:val="auto"/>
          <w:highlight w:val="none"/>
        </w:rPr>
        <w:t>日</w:t>
      </w:r>
      <w:r>
        <w:rPr>
          <w:color w:val="auto"/>
          <w:spacing w:val="-3"/>
          <w:highlight w:val="none"/>
        </w:rPr>
        <w:t>内</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前</w:t>
      </w:r>
      <w:r>
        <w:rPr>
          <w:color w:val="auto"/>
          <w:spacing w:val="-3"/>
          <w:highlight w:val="none"/>
        </w:rPr>
        <w:t>，</w:t>
      </w:r>
      <w:r>
        <w:rPr>
          <w:color w:val="auto"/>
          <w:highlight w:val="none"/>
        </w:rPr>
        <w:t>将</w:t>
      </w:r>
      <w:r>
        <w:rPr>
          <w:color w:val="auto"/>
          <w:spacing w:val="-3"/>
          <w:highlight w:val="none"/>
        </w:rPr>
        <w:t>暂</w:t>
      </w:r>
      <w:r>
        <w:rPr>
          <w:color w:val="auto"/>
          <w:highlight w:val="none"/>
        </w:rPr>
        <w:t>停</w:t>
      </w:r>
      <w:r>
        <w:rPr>
          <w:color w:val="auto"/>
          <w:spacing w:val="-3"/>
          <w:highlight w:val="none"/>
        </w:rPr>
        <w:t>招</w:t>
      </w:r>
      <w:r>
        <w:rPr>
          <w:color w:val="auto"/>
          <w:highlight w:val="none"/>
        </w:rPr>
        <w:t>标投</w:t>
      </w:r>
      <w:r>
        <w:rPr>
          <w:color w:val="auto"/>
          <w:spacing w:val="-3"/>
          <w:highlight w:val="none"/>
        </w:rPr>
        <w:t>标</w:t>
      </w:r>
      <w:r>
        <w:rPr>
          <w:color w:val="auto"/>
          <w:highlight w:val="none"/>
        </w:rPr>
        <w:t>活</w:t>
      </w:r>
      <w:r>
        <w:rPr>
          <w:color w:val="auto"/>
          <w:spacing w:val="-3"/>
          <w:highlight w:val="none"/>
        </w:rPr>
        <w:t>动</w:t>
      </w:r>
      <w:r>
        <w:rPr>
          <w:color w:val="auto"/>
          <w:highlight w:val="none"/>
        </w:rPr>
        <w:t>。</w:t>
      </w:r>
    </w:p>
    <w:p w14:paraId="21EAFF03">
      <w:pPr>
        <w:pStyle w:val="4"/>
        <w:bidi w:val="0"/>
        <w:spacing w:line="360" w:lineRule="auto"/>
        <w:rPr>
          <w:rFonts w:hint="eastAsia" w:ascii="宋体" w:hAnsi="宋体" w:eastAsia="宋体" w:cs="宋体"/>
          <w:b/>
          <w:bCs w:val="0"/>
          <w:color w:val="auto"/>
          <w:highlight w:val="none"/>
        </w:rPr>
      </w:pPr>
      <w:bookmarkStart w:id="422" w:name="_Toc20584"/>
      <w:bookmarkStart w:id="423" w:name="_Toc2539"/>
      <w:bookmarkStart w:id="424" w:name="_Toc16503"/>
      <w:bookmarkStart w:id="425" w:name="_Toc19179"/>
      <w:r>
        <w:rPr>
          <w:rFonts w:hint="eastAsia" w:ascii="宋体" w:hAnsi="宋体" w:eastAsia="宋体" w:cs="宋体"/>
          <w:b/>
          <w:bCs w:val="0"/>
          <w:color w:val="auto"/>
          <w:highlight w:val="none"/>
        </w:rPr>
        <w:t>3. 投标文件</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22"/>
      <w:bookmarkEnd w:id="423"/>
      <w:bookmarkEnd w:id="424"/>
      <w:bookmarkEnd w:id="425"/>
    </w:p>
    <w:p w14:paraId="23EDAC1A">
      <w:pPr>
        <w:pStyle w:val="5"/>
        <w:bidi w:val="0"/>
        <w:spacing w:line="360" w:lineRule="auto"/>
        <w:rPr>
          <w:color w:val="auto"/>
          <w:highlight w:val="none"/>
        </w:rPr>
      </w:pPr>
      <w:bookmarkStart w:id="426" w:name="_Toc26287"/>
      <w:bookmarkStart w:id="427" w:name="_Toc31064"/>
      <w:bookmarkStart w:id="428" w:name="_Toc16937"/>
      <w:bookmarkStart w:id="429" w:name="_Toc18023"/>
      <w:bookmarkStart w:id="430" w:name="_Toc26484"/>
      <w:bookmarkStart w:id="431" w:name="_Toc492300583"/>
      <w:bookmarkStart w:id="432" w:name="_Toc5605"/>
      <w:bookmarkStart w:id="433" w:name="_Toc15320"/>
      <w:bookmarkStart w:id="434" w:name="_Toc29440"/>
      <w:bookmarkStart w:id="435" w:name="_Toc16439"/>
      <w:bookmarkStart w:id="436" w:name="_Toc17018"/>
      <w:bookmarkStart w:id="437" w:name="_Toc15644"/>
      <w:bookmarkStart w:id="438" w:name="_Toc8333"/>
      <w:bookmarkStart w:id="439" w:name="_Toc9355"/>
      <w:bookmarkStart w:id="440" w:name="_Toc14035"/>
      <w:bookmarkStart w:id="441" w:name="_Toc8509"/>
      <w:bookmarkStart w:id="442" w:name="_Toc4118"/>
      <w:bookmarkStart w:id="443" w:name="_Toc806"/>
      <w:bookmarkStart w:id="444" w:name="_Toc25712"/>
      <w:r>
        <w:rPr>
          <w:color w:val="auto"/>
          <w:highlight w:val="none"/>
        </w:rPr>
        <w:t xml:space="preserve">3.1 </w:t>
      </w:r>
      <w:r>
        <w:rPr>
          <w:rFonts w:hint="eastAsia"/>
          <w:color w:val="auto"/>
          <w:highlight w:val="none"/>
        </w:rPr>
        <w:t>投标文件的组成</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7E4FC7B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40B791F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01BFAD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或授权委托书；</w:t>
      </w:r>
    </w:p>
    <w:p w14:paraId="1CAE5DEB">
      <w:pPr>
        <w:spacing w:line="360" w:lineRule="auto"/>
        <w:ind w:firstLine="420" w:firstLineChars="200"/>
        <w:rPr>
          <w:rFonts w:hint="eastAsia" w:ascii="宋体" w:hAnsi="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rPr>
        <w:t>（3）</w:t>
      </w:r>
      <w:r>
        <w:rPr>
          <w:rFonts w:hint="eastAsia" w:ascii="宋体" w:hAnsi="宋体" w:cs="宋体"/>
          <w:strike w:val="0"/>
          <w:dstrike w:val="0"/>
          <w:color w:val="auto"/>
          <w:sz w:val="21"/>
          <w:szCs w:val="21"/>
          <w:highlight w:val="none"/>
          <w:lang w:eastAsia="zh-CN"/>
        </w:rPr>
        <w:t>联合体协议书</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b/>
          <w:bCs/>
          <w:strike w:val="0"/>
          <w:dstrike w:val="0"/>
          <w:color w:val="auto"/>
          <w:sz w:val="21"/>
          <w:szCs w:val="21"/>
          <w:highlight w:val="none"/>
          <w:u w:val="single"/>
          <w:lang w:val="en-US" w:eastAsia="zh-CN"/>
        </w:rPr>
        <w:t>如有</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strike w:val="0"/>
          <w:dstrike w:val="0"/>
          <w:color w:val="auto"/>
          <w:sz w:val="21"/>
          <w:szCs w:val="21"/>
          <w:highlight w:val="none"/>
          <w:lang w:eastAsia="zh-CN"/>
        </w:rPr>
        <w:t>；</w:t>
      </w:r>
    </w:p>
    <w:p w14:paraId="69CDC03E">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lang w:eastAsia="zh-CN"/>
        </w:rPr>
        <w:t>（</w:t>
      </w:r>
      <w:r>
        <w:rPr>
          <w:rFonts w:hint="eastAsia" w:ascii="宋体" w:hAnsi="宋体" w:cs="宋体"/>
          <w:strike/>
          <w:dstrike w:val="0"/>
          <w:color w:val="auto"/>
          <w:sz w:val="21"/>
          <w:szCs w:val="21"/>
          <w:highlight w:val="none"/>
          <w:lang w:val="en-US" w:eastAsia="zh-CN"/>
        </w:rPr>
        <w:t>4）</w:t>
      </w:r>
      <w:r>
        <w:rPr>
          <w:rFonts w:hint="eastAsia" w:ascii="宋体" w:hAnsi="宋体" w:cs="宋体"/>
          <w:strike/>
          <w:dstrike w:val="0"/>
          <w:color w:val="auto"/>
          <w:sz w:val="21"/>
          <w:szCs w:val="21"/>
          <w:highlight w:val="none"/>
        </w:rPr>
        <w:t>投标保证金</w:t>
      </w:r>
      <w:r>
        <w:rPr>
          <w:rFonts w:hint="eastAsia" w:ascii="宋体" w:hAnsi="宋体" w:cs="宋体"/>
          <w:strike/>
          <w:dstrike w:val="0"/>
          <w:color w:val="auto"/>
          <w:sz w:val="21"/>
          <w:szCs w:val="21"/>
          <w:highlight w:val="none"/>
          <w:lang w:eastAsia="zh-CN"/>
        </w:rPr>
        <w:t>（如有）</w:t>
      </w:r>
      <w:r>
        <w:rPr>
          <w:rFonts w:hint="eastAsia" w:ascii="宋体" w:hAnsi="宋体" w:cs="宋体"/>
          <w:strike/>
          <w:dstrike w:val="0"/>
          <w:color w:val="auto"/>
          <w:sz w:val="21"/>
          <w:szCs w:val="21"/>
          <w:highlight w:val="none"/>
        </w:rPr>
        <w:t>；</w:t>
      </w:r>
    </w:p>
    <w:p w14:paraId="64C0E1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）监理报酬清单；</w:t>
      </w:r>
    </w:p>
    <w:p w14:paraId="24EB23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）资格审查</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含资信业绩</w:t>
      </w:r>
      <w:r>
        <w:rPr>
          <w:rFonts w:hint="eastAsia" w:ascii="宋体" w:hAnsi="宋体" w:cs="宋体"/>
          <w:b/>
          <w:bCs/>
          <w:color w:val="auto"/>
          <w:sz w:val="21"/>
          <w:szCs w:val="21"/>
          <w:highlight w:val="none"/>
          <w:u w:val="single"/>
          <w:lang w:eastAsia="zh-CN"/>
        </w:rPr>
        <w:t>）</w:t>
      </w:r>
      <w:r>
        <w:rPr>
          <w:rFonts w:hint="eastAsia" w:ascii="宋体" w:hAnsi="宋体" w:cs="宋体"/>
          <w:color w:val="auto"/>
          <w:sz w:val="21"/>
          <w:szCs w:val="21"/>
          <w:highlight w:val="none"/>
        </w:rPr>
        <w:t>资料；</w:t>
      </w:r>
    </w:p>
    <w:p w14:paraId="27E1E87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）监理大纲；</w:t>
      </w:r>
    </w:p>
    <w:p w14:paraId="515BC80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）投标人须知前附表规定的其他资料。</w:t>
      </w:r>
    </w:p>
    <w:p w14:paraId="4DF5A1E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038965C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3.1.2 </w:t>
      </w:r>
      <w:r>
        <w:rPr>
          <w:rFonts w:hint="eastAsia" w:ascii="宋体" w:hAnsi="宋体" w:cs="宋体"/>
          <w:strike w:val="0"/>
          <w:dstrike w:val="0"/>
          <w:color w:val="auto"/>
          <w:sz w:val="21"/>
          <w:szCs w:val="21"/>
          <w:highlight w:val="none"/>
        </w:rPr>
        <w:t>投标人须知前附表规定不接受联合体投标的，或投标人没有组成联合体的，投标文件不包括本章第3.1.1（3）目所指的联合体协议书。</w:t>
      </w:r>
    </w:p>
    <w:p w14:paraId="5279DE87">
      <w:pPr>
        <w:spacing w:line="360" w:lineRule="auto"/>
        <w:ind w:firstLine="420" w:firstLineChars="200"/>
        <w:rPr>
          <w:rFonts w:hint="eastAsia" w:ascii="宋体" w:hAnsi="宋体" w:cs="宋体"/>
          <w:strike/>
          <w:dstrike w:val="0"/>
          <w:color w:val="auto"/>
          <w:sz w:val="21"/>
          <w:szCs w:val="21"/>
          <w:highlight w:val="none"/>
        </w:rPr>
      </w:pPr>
      <w:r>
        <w:rPr>
          <w:rFonts w:ascii="宋体" w:hAnsi="宋体" w:cs="宋体"/>
          <w:strike/>
          <w:dstrike w:val="0"/>
          <w:color w:val="auto"/>
          <w:sz w:val="21"/>
          <w:szCs w:val="21"/>
          <w:highlight w:val="none"/>
        </w:rPr>
        <w:t xml:space="preserve">3.1.3 </w:t>
      </w:r>
      <w:r>
        <w:rPr>
          <w:rFonts w:hint="eastAsia" w:ascii="宋体" w:hAnsi="宋体" w:cs="宋体"/>
          <w:strike/>
          <w:dstrike w:val="0"/>
          <w:color w:val="auto"/>
          <w:sz w:val="21"/>
          <w:szCs w:val="21"/>
          <w:highlight w:val="none"/>
        </w:rPr>
        <w:t>投标人须知前附表未要求提交投标保证金的，投标文件不包括本章第3.1.1（4）目所指的投标保证金。</w:t>
      </w:r>
    </w:p>
    <w:p w14:paraId="1A3D7316">
      <w:pPr>
        <w:pStyle w:val="8"/>
        <w:spacing w:line="360" w:lineRule="auto"/>
        <w:rPr>
          <w:color w:val="auto"/>
          <w:highlight w:val="none"/>
        </w:rPr>
      </w:pPr>
    </w:p>
    <w:p w14:paraId="2A44A8D7">
      <w:pPr>
        <w:pStyle w:val="5"/>
        <w:bidi w:val="0"/>
        <w:spacing w:line="360" w:lineRule="auto"/>
        <w:rPr>
          <w:color w:val="auto"/>
          <w:highlight w:val="none"/>
        </w:rPr>
      </w:pPr>
      <w:bookmarkStart w:id="445" w:name="_Toc15851"/>
      <w:bookmarkStart w:id="446" w:name="_Toc27438"/>
      <w:bookmarkStart w:id="447" w:name="_Toc17351"/>
      <w:bookmarkStart w:id="448" w:name="_Toc5106"/>
      <w:bookmarkStart w:id="449" w:name="_Toc7196"/>
      <w:bookmarkStart w:id="450" w:name="_Toc32515"/>
      <w:bookmarkStart w:id="451" w:name="_Toc16730"/>
      <w:bookmarkStart w:id="452" w:name="_Toc2313"/>
      <w:bookmarkStart w:id="453" w:name="_Toc4291"/>
      <w:bookmarkStart w:id="454" w:name="_Toc8965"/>
      <w:bookmarkStart w:id="455" w:name="_Toc6445"/>
      <w:bookmarkStart w:id="456" w:name="_Toc492300584"/>
      <w:bookmarkStart w:id="457" w:name="_Toc4902"/>
      <w:bookmarkStart w:id="458" w:name="_Toc27272"/>
      <w:bookmarkStart w:id="459" w:name="_Toc24040"/>
      <w:bookmarkStart w:id="460" w:name="_Toc2472"/>
      <w:bookmarkStart w:id="461" w:name="_Toc16621"/>
      <w:bookmarkStart w:id="462" w:name="_Toc13408"/>
      <w:bookmarkStart w:id="463" w:name="_Toc4671"/>
      <w:r>
        <w:rPr>
          <w:color w:val="auto"/>
          <w:highlight w:val="none"/>
        </w:rPr>
        <w:t xml:space="preserve">3.2 </w:t>
      </w:r>
      <w:r>
        <w:rPr>
          <w:rFonts w:hint="eastAsia"/>
          <w:color w:val="auto"/>
          <w:highlight w:val="none"/>
        </w:rPr>
        <w:t>投标报价</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1C5487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415E280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投标人应充分了解该项目的总体情况以及影响投标报价的其他要素。</w:t>
      </w:r>
    </w:p>
    <w:p w14:paraId="0C302DB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3.2.3</w:t>
      </w:r>
      <w:bookmarkStart w:id="464" w:name="_Toc300834964"/>
      <w:bookmarkEnd w:id="464"/>
      <w:bookmarkStart w:id="465" w:name="_Toc15242"/>
      <w:bookmarkEnd w:id="465"/>
      <w:bookmarkStart w:id="466" w:name="_Toc247513967"/>
      <w:bookmarkEnd w:id="466"/>
      <w:bookmarkStart w:id="467" w:name="_Toc144974511"/>
      <w:bookmarkEnd w:id="467"/>
      <w:bookmarkStart w:id="468" w:name="_Toc361508599"/>
      <w:bookmarkEnd w:id="468"/>
      <w:bookmarkStart w:id="469" w:name="_Toc152042319"/>
      <w:bookmarkEnd w:id="469"/>
      <w:bookmarkStart w:id="470" w:name="_Toc352691487"/>
      <w:bookmarkEnd w:id="470"/>
      <w:bookmarkStart w:id="471" w:name="_Toc247527568"/>
      <w:bookmarkEnd w:id="471"/>
      <w:bookmarkStart w:id="472" w:name="_Toc152045543"/>
      <w:bookmarkEnd w:id="472"/>
      <w:bookmarkStart w:id="473" w:name="_Toc369531530"/>
      <w:bookmarkEnd w:id="473"/>
      <w:bookmarkStart w:id="474" w:name="_Toc384308224"/>
      <w:bookmarkEnd w:id="474"/>
      <w:r>
        <w:rPr>
          <w:rFonts w:hint="eastAsia" w:ascii="宋体" w:hAnsi="宋体" w:cs="宋体"/>
          <w:color w:val="auto"/>
          <w:sz w:val="21"/>
          <w:szCs w:val="21"/>
          <w:highlight w:val="none"/>
        </w:rPr>
        <w:t xml:space="preserve"> 本项目的报价方式见投标人须知前附表。投标人在投标截止时间前修改投标函中的投标报价总额，应同时修改投标文件“监理报酬清单”中的相应报价。此修改须符合本章第4.3款的有关要求。</w:t>
      </w:r>
    </w:p>
    <w:p w14:paraId="3C23978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3.2.4</w:t>
      </w:r>
      <w:r>
        <w:rPr>
          <w:rFonts w:hint="eastAsia" w:ascii="宋体" w:hAnsi="宋体" w:cs="宋体"/>
          <w:color w:val="auto"/>
          <w:sz w:val="21"/>
          <w:szCs w:val="21"/>
          <w:highlight w:val="none"/>
        </w:rPr>
        <w:t>招标人设有最高投标限价的，投标人的投标报价不得超过最高投标限价，最高投标限价在投标</w:t>
      </w:r>
      <w:bookmarkStart w:id="475" w:name="_Toc369531531"/>
      <w:bookmarkStart w:id="476" w:name="_Toc300834965"/>
      <w:bookmarkStart w:id="477" w:name="_Toc247527569"/>
      <w:bookmarkStart w:id="478" w:name="_Toc384308225"/>
      <w:bookmarkStart w:id="479" w:name="_Toc152045544"/>
      <w:bookmarkStart w:id="480" w:name="_Toc152042320"/>
      <w:bookmarkStart w:id="481" w:name="_Toc247513968"/>
      <w:bookmarkStart w:id="482" w:name="_Toc352691488"/>
      <w:bookmarkStart w:id="483" w:name="_Toc144974512"/>
      <w:bookmarkStart w:id="484" w:name="_Toc10429"/>
      <w:bookmarkStart w:id="485" w:name="_Toc361508600"/>
      <w:r>
        <w:rPr>
          <w:rFonts w:hint="eastAsia" w:ascii="宋体" w:hAnsi="宋体" w:cs="宋体"/>
          <w:color w:val="auto"/>
          <w:sz w:val="21"/>
          <w:szCs w:val="21"/>
          <w:highlight w:val="none"/>
        </w:rPr>
        <w:t>人须知前附表中载明。</w:t>
      </w:r>
      <w:bookmarkEnd w:id="475"/>
      <w:bookmarkEnd w:id="476"/>
      <w:bookmarkEnd w:id="477"/>
      <w:bookmarkEnd w:id="478"/>
      <w:bookmarkEnd w:id="479"/>
      <w:bookmarkEnd w:id="480"/>
      <w:bookmarkEnd w:id="481"/>
      <w:bookmarkEnd w:id="482"/>
      <w:bookmarkEnd w:id="483"/>
      <w:bookmarkEnd w:id="484"/>
      <w:bookmarkEnd w:id="485"/>
    </w:p>
    <w:p w14:paraId="0A20B76D">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3.2.5 </w:t>
      </w:r>
      <w:r>
        <w:rPr>
          <w:rFonts w:hint="eastAsia" w:ascii="宋体" w:hAnsi="宋体" w:cs="宋体"/>
          <w:color w:val="auto"/>
          <w:sz w:val="21"/>
          <w:szCs w:val="21"/>
          <w:highlight w:val="none"/>
        </w:rPr>
        <w:t>投标报价的其他要求见投标人须知前附表。</w:t>
      </w:r>
    </w:p>
    <w:p w14:paraId="65E910B9">
      <w:pPr>
        <w:pStyle w:val="8"/>
        <w:spacing w:line="360" w:lineRule="auto"/>
        <w:rPr>
          <w:color w:val="auto"/>
          <w:highlight w:val="none"/>
        </w:rPr>
      </w:pPr>
    </w:p>
    <w:p w14:paraId="6BF33F57">
      <w:pPr>
        <w:pStyle w:val="5"/>
        <w:bidi w:val="0"/>
        <w:spacing w:line="360" w:lineRule="auto"/>
        <w:rPr>
          <w:color w:val="auto"/>
          <w:highlight w:val="none"/>
        </w:rPr>
      </w:pPr>
      <w:bookmarkStart w:id="486" w:name="_Toc20912"/>
      <w:bookmarkStart w:id="487" w:name="_Toc4398"/>
      <w:bookmarkStart w:id="488" w:name="_Toc12495"/>
      <w:bookmarkStart w:id="489" w:name="_Toc20172"/>
      <w:bookmarkStart w:id="490" w:name="_Toc28097"/>
      <w:bookmarkStart w:id="491" w:name="_Toc492300585"/>
      <w:bookmarkStart w:id="492" w:name="_Toc17768"/>
      <w:bookmarkStart w:id="493" w:name="_Toc16866"/>
      <w:bookmarkStart w:id="494" w:name="_Toc25626"/>
      <w:bookmarkStart w:id="495" w:name="_Toc10185"/>
      <w:bookmarkStart w:id="496" w:name="_Toc21676"/>
      <w:bookmarkStart w:id="497" w:name="_Toc4335"/>
      <w:bookmarkStart w:id="498" w:name="_Toc31533"/>
      <w:bookmarkStart w:id="499" w:name="_Toc25774"/>
      <w:bookmarkStart w:id="500" w:name="_Toc26775"/>
      <w:bookmarkStart w:id="501" w:name="_Toc20883"/>
      <w:bookmarkStart w:id="502" w:name="_Toc19059"/>
      <w:bookmarkStart w:id="503" w:name="_Toc2478"/>
      <w:bookmarkStart w:id="504" w:name="_Toc2810"/>
      <w:r>
        <w:rPr>
          <w:color w:val="auto"/>
          <w:highlight w:val="none"/>
        </w:rPr>
        <w:t xml:space="preserve">3.3 </w:t>
      </w:r>
      <w:r>
        <w:rPr>
          <w:rFonts w:hint="eastAsia"/>
          <w:color w:val="auto"/>
          <w:highlight w:val="none"/>
        </w:rPr>
        <w:t>投标有效期</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5B89E6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3.3.1 </w:t>
      </w:r>
      <w:r>
        <w:rPr>
          <w:rFonts w:hint="eastAsia" w:ascii="宋体" w:hAnsi="宋体" w:cs="宋体"/>
          <w:color w:val="auto"/>
          <w:sz w:val="21"/>
          <w:szCs w:val="21"/>
          <w:highlight w:val="none"/>
        </w:rPr>
        <w:t>除投标人须知前附表另有规定外，投标有效期</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rPr>
        <w:t>90天。</w:t>
      </w:r>
    </w:p>
    <w:p w14:paraId="1330E37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3.3.2 </w:t>
      </w:r>
      <w:r>
        <w:rPr>
          <w:rFonts w:hint="eastAsia" w:ascii="宋体" w:hAnsi="宋体" w:cs="宋体"/>
          <w:color w:val="auto"/>
          <w:sz w:val="21"/>
          <w:szCs w:val="21"/>
          <w:highlight w:val="none"/>
        </w:rPr>
        <w:t>在投标有效期内，投标人撤销投标文件的，应承担招标文件和法律规定的责任。</w:t>
      </w:r>
    </w:p>
    <w:p w14:paraId="6948ED0B">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3.3.3 </w:t>
      </w:r>
      <w:r>
        <w:rPr>
          <w:rFonts w:hint="eastAsia" w:ascii="宋体" w:hAnsi="宋体" w:cs="宋体"/>
          <w:color w:val="auto"/>
          <w:sz w:val="21"/>
          <w:szCs w:val="21"/>
          <w:highlight w:val="none"/>
        </w:rPr>
        <w:t>出现特殊情况需要延长投标有效期的，招标人以书面形式通知所有投标人延长投标有效期。投标人应予以书面答复</w:t>
      </w:r>
      <w:r>
        <w:rPr>
          <w:rFonts w:hint="eastAsia" w:ascii="宋体" w:hAnsi="宋体" w:cs="宋体"/>
          <w:strike/>
          <w:dstrike w:val="0"/>
          <w:color w:val="auto"/>
          <w:sz w:val="21"/>
          <w:szCs w:val="21"/>
          <w:highlight w:val="none"/>
        </w:rPr>
        <w:t>，同意延长的，应相应延长其投标保证金的有效期，但</w:t>
      </w:r>
      <w:r>
        <w:rPr>
          <w:rFonts w:hint="eastAsia" w:ascii="宋体" w:hAnsi="宋体" w:cs="宋体"/>
          <w:color w:val="auto"/>
          <w:sz w:val="21"/>
          <w:szCs w:val="21"/>
          <w:highlight w:val="none"/>
        </w:rPr>
        <w:t>不得要求或被允许修改其投标文件；投标人拒绝延长的，其投标失效</w:t>
      </w:r>
      <w:r>
        <w:rPr>
          <w:rFonts w:hint="eastAsia" w:ascii="宋体" w:hAnsi="宋体" w:cs="宋体"/>
          <w:strike/>
          <w:dstrike w:val="0"/>
          <w:color w:val="auto"/>
          <w:sz w:val="21"/>
          <w:szCs w:val="21"/>
          <w:highlight w:val="none"/>
        </w:rPr>
        <w:t>，但投标人有权收回其投标保证金及以现金或者支票形式递交的投标保证金的银行同期存款利息</w:t>
      </w:r>
      <w:r>
        <w:rPr>
          <w:rFonts w:hint="eastAsia" w:ascii="宋体" w:hAnsi="宋体" w:cs="宋体"/>
          <w:color w:val="auto"/>
          <w:sz w:val="21"/>
          <w:szCs w:val="21"/>
          <w:highlight w:val="none"/>
        </w:rPr>
        <w:t>。</w:t>
      </w:r>
    </w:p>
    <w:p w14:paraId="12B44161">
      <w:pPr>
        <w:pStyle w:val="8"/>
        <w:spacing w:line="360" w:lineRule="auto"/>
        <w:rPr>
          <w:color w:val="auto"/>
          <w:highlight w:val="none"/>
        </w:rPr>
      </w:pPr>
    </w:p>
    <w:p w14:paraId="055E9186">
      <w:pPr>
        <w:pStyle w:val="5"/>
        <w:bidi w:val="0"/>
        <w:spacing w:line="360" w:lineRule="auto"/>
        <w:rPr>
          <w:b w:val="0"/>
          <w:bCs w:val="0"/>
          <w:strike/>
          <w:color w:val="auto"/>
          <w:highlight w:val="none"/>
        </w:rPr>
      </w:pPr>
      <w:bookmarkStart w:id="505" w:name="_Toc26924"/>
      <w:bookmarkStart w:id="506" w:name="_Toc4342"/>
      <w:bookmarkStart w:id="507" w:name="_Toc492300586"/>
      <w:bookmarkStart w:id="508" w:name="_Toc9274"/>
      <w:bookmarkStart w:id="509" w:name="_Toc21599"/>
      <w:bookmarkStart w:id="510" w:name="_Toc12163"/>
      <w:bookmarkStart w:id="511" w:name="_Toc29424"/>
      <w:bookmarkStart w:id="512" w:name="_Toc16740"/>
      <w:bookmarkStart w:id="513" w:name="_Toc9440"/>
      <w:bookmarkStart w:id="514" w:name="_Toc12714"/>
      <w:bookmarkStart w:id="515" w:name="_Toc17498"/>
      <w:bookmarkStart w:id="516" w:name="_Toc4569"/>
      <w:bookmarkStart w:id="517" w:name="_Toc5522"/>
      <w:bookmarkStart w:id="518" w:name="_Toc26401"/>
      <w:bookmarkStart w:id="519" w:name="_Toc18165"/>
      <w:bookmarkStart w:id="520" w:name="_Toc22677"/>
      <w:bookmarkStart w:id="521" w:name="_Toc4747"/>
      <w:bookmarkStart w:id="522" w:name="_Toc204"/>
      <w:bookmarkStart w:id="523" w:name="_Toc29543"/>
      <w:r>
        <w:rPr>
          <w:b w:val="0"/>
          <w:bCs w:val="0"/>
          <w:strike/>
          <w:color w:val="auto"/>
          <w:highlight w:val="none"/>
        </w:rPr>
        <w:t xml:space="preserve">3.4 </w:t>
      </w:r>
      <w:r>
        <w:rPr>
          <w:rFonts w:hint="eastAsia"/>
          <w:b w:val="0"/>
          <w:bCs w:val="0"/>
          <w:strike/>
          <w:color w:val="auto"/>
          <w:highlight w:val="none"/>
        </w:rPr>
        <w:t>投标保证金</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1ABAFB8">
      <w:pPr>
        <w:pStyle w:val="2"/>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strike/>
          <w:color w:val="auto"/>
          <w:highlight w:val="none"/>
        </w:rPr>
      </w:pPr>
      <w:r>
        <w:rPr>
          <w:rFonts w:ascii="Times New Roman" w:hAnsi="Times New Roman" w:eastAsia="Times New Roman"/>
          <w:strike/>
          <w:color w:val="auto"/>
          <w:highlight w:val="none"/>
        </w:rPr>
        <w:t>3.4.1</w:t>
      </w:r>
      <w:r>
        <w:rPr>
          <w:rFonts w:ascii="Times New Roman" w:hAnsi="Times New Roman" w:eastAsia="Times New Roman"/>
          <w:strike/>
          <w:color w:val="auto"/>
          <w:spacing w:val="50"/>
          <w:highlight w:val="none"/>
        </w:rPr>
        <w:t xml:space="preserve"> </w:t>
      </w:r>
      <w:r>
        <w:rPr>
          <w:strike/>
          <w:color w:val="auto"/>
          <w:highlight w:val="none"/>
        </w:rPr>
        <w:t>投</w:t>
      </w:r>
      <w:r>
        <w:rPr>
          <w:strike/>
          <w:color w:val="auto"/>
          <w:spacing w:val="-3"/>
          <w:highlight w:val="none"/>
        </w:rPr>
        <w:t>标</w:t>
      </w:r>
      <w:r>
        <w:rPr>
          <w:strike/>
          <w:color w:val="auto"/>
          <w:highlight w:val="none"/>
        </w:rPr>
        <w:t>人应</w:t>
      </w:r>
      <w:r>
        <w:rPr>
          <w:strike/>
          <w:color w:val="auto"/>
          <w:spacing w:val="-3"/>
          <w:highlight w:val="none"/>
        </w:rPr>
        <w:t>按</w:t>
      </w:r>
      <w:r>
        <w:rPr>
          <w:strike/>
          <w:color w:val="auto"/>
          <w:highlight w:val="none"/>
        </w:rPr>
        <w:t>投</w:t>
      </w:r>
      <w:r>
        <w:rPr>
          <w:strike/>
          <w:color w:val="auto"/>
          <w:spacing w:val="-3"/>
          <w:highlight w:val="none"/>
        </w:rPr>
        <w:t>标</w:t>
      </w:r>
      <w:r>
        <w:rPr>
          <w:strike/>
          <w:color w:val="auto"/>
          <w:highlight w:val="none"/>
        </w:rPr>
        <w:t>人</w:t>
      </w:r>
      <w:r>
        <w:rPr>
          <w:strike/>
          <w:color w:val="auto"/>
          <w:spacing w:val="-3"/>
          <w:highlight w:val="none"/>
        </w:rPr>
        <w:t>须知</w:t>
      </w:r>
      <w:r>
        <w:rPr>
          <w:strike/>
          <w:color w:val="auto"/>
          <w:highlight w:val="none"/>
        </w:rPr>
        <w:t>前附</w:t>
      </w:r>
      <w:r>
        <w:rPr>
          <w:strike/>
          <w:color w:val="auto"/>
          <w:spacing w:val="-3"/>
          <w:highlight w:val="none"/>
        </w:rPr>
        <w:t>表</w:t>
      </w:r>
      <w:r>
        <w:rPr>
          <w:strike/>
          <w:color w:val="auto"/>
          <w:highlight w:val="none"/>
        </w:rPr>
        <w:t>规</w:t>
      </w:r>
      <w:r>
        <w:rPr>
          <w:strike/>
          <w:color w:val="auto"/>
          <w:spacing w:val="-3"/>
          <w:highlight w:val="none"/>
        </w:rPr>
        <w:t>定</w:t>
      </w:r>
      <w:r>
        <w:rPr>
          <w:strike/>
          <w:color w:val="auto"/>
          <w:highlight w:val="none"/>
        </w:rPr>
        <w:t>的</w:t>
      </w:r>
      <w:r>
        <w:rPr>
          <w:strike/>
          <w:color w:val="auto"/>
          <w:spacing w:val="-3"/>
          <w:highlight w:val="none"/>
        </w:rPr>
        <w:t>金</w:t>
      </w:r>
      <w:r>
        <w:rPr>
          <w:strike/>
          <w:color w:val="auto"/>
          <w:highlight w:val="none"/>
        </w:rPr>
        <w:t>额</w:t>
      </w:r>
      <w:r>
        <w:rPr>
          <w:rFonts w:hint="eastAsia"/>
          <w:strike/>
          <w:color w:val="auto"/>
          <w:highlight w:val="none"/>
          <w:lang w:eastAsia="zh-CN"/>
        </w:rPr>
        <w:t>和时间</w:t>
      </w:r>
      <w:r>
        <w:rPr>
          <w:strike/>
          <w:color w:val="auto"/>
          <w:spacing w:val="-3"/>
          <w:highlight w:val="none"/>
        </w:rPr>
        <w:t>递</w:t>
      </w:r>
      <w:r>
        <w:rPr>
          <w:strike/>
          <w:color w:val="auto"/>
          <w:highlight w:val="none"/>
        </w:rPr>
        <w:t>交</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spacing w:val="-34"/>
          <w:highlight w:val="none"/>
        </w:rPr>
        <w:t>。</w:t>
      </w:r>
      <w:r>
        <w:rPr>
          <w:rFonts w:hint="eastAsia" w:ascii="Times New Roman" w:hAnsi="Times New Roman" w:eastAsia="Times New Roman" w:cs="Times New Roman"/>
          <w:strike/>
          <w:color w:val="auto"/>
          <w:spacing w:val="-4"/>
          <w:sz w:val="21"/>
          <w:szCs w:val="21"/>
          <w:highlight w:val="none"/>
        </w:rPr>
        <w:t>招标人应当允许投标人自主选择现金、银行保函、保证保险、专业工程担保公司担保等方式缴纳投标保证金。</w:t>
      </w:r>
      <w:r>
        <w:rPr>
          <w:rFonts w:hint="eastAsia" w:ascii="Times New Roman" w:hAnsi="Times New Roman" w:eastAsia="宋体" w:cs="Times New Roman"/>
          <w:strike/>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strike/>
          <w:color w:val="auto"/>
          <w:spacing w:val="-4"/>
          <w:sz w:val="21"/>
          <w:szCs w:val="21"/>
          <w:highlight w:val="none"/>
        </w:rPr>
        <w:t>联合体投标的，其投标</w:t>
      </w:r>
      <w:r>
        <w:rPr>
          <w:rFonts w:hint="eastAsia" w:ascii="Times New Roman" w:hAnsi="Times New Roman" w:eastAsia="Times New Roman" w:cs="Times New Roman"/>
          <w:strike/>
          <w:color w:val="auto"/>
          <w:spacing w:val="-4"/>
          <w:sz w:val="21"/>
          <w:szCs w:val="21"/>
          <w:highlight w:val="none"/>
          <w:lang w:eastAsia="zh-CN"/>
        </w:rPr>
        <w:t>保证金</w:t>
      </w:r>
      <w:r>
        <w:rPr>
          <w:rFonts w:hint="eastAsia" w:ascii="Times New Roman" w:hAnsi="Times New Roman" w:eastAsia="Times New Roman" w:cs="Times New Roman"/>
          <w:strike/>
          <w:color w:val="auto"/>
          <w:spacing w:val="-4"/>
          <w:sz w:val="21"/>
          <w:szCs w:val="21"/>
          <w:highlight w:val="none"/>
        </w:rPr>
        <w:t>可以由</w:t>
      </w:r>
      <w:r>
        <w:rPr>
          <w:rFonts w:hint="eastAsia" w:ascii="Times New Roman" w:hAnsi="Times New Roman" w:eastAsia="宋体" w:cs="Times New Roman"/>
          <w:strike/>
          <w:color w:val="auto"/>
          <w:spacing w:val="-4"/>
          <w:sz w:val="21"/>
          <w:szCs w:val="21"/>
          <w:highlight w:val="none"/>
          <w:lang w:eastAsia="zh-CN"/>
        </w:rPr>
        <w:t>主办方</w:t>
      </w:r>
      <w:r>
        <w:rPr>
          <w:rFonts w:hint="eastAsia" w:ascii="Times New Roman" w:hAnsi="Times New Roman" w:eastAsia="Times New Roman" w:cs="Times New Roman"/>
          <w:strike/>
          <w:color w:val="auto"/>
          <w:spacing w:val="-4"/>
          <w:sz w:val="21"/>
          <w:szCs w:val="21"/>
          <w:highlight w:val="none"/>
        </w:rPr>
        <w:t>递交，并应符合投标人须知前附表的规定</w:t>
      </w:r>
      <w:r>
        <w:rPr>
          <w:strike/>
          <w:color w:val="auto"/>
          <w:highlight w:val="none"/>
        </w:rPr>
        <w:t>。</w:t>
      </w:r>
    </w:p>
    <w:p w14:paraId="664BDEDC">
      <w:pPr>
        <w:pStyle w:val="2"/>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ascii="宋体" w:hAnsi="宋体" w:eastAsia="宋体" w:cs="Times New Roman"/>
          <w:b w:val="0"/>
          <w:bCs w:val="0"/>
          <w:strike/>
          <w:color w:val="auto"/>
          <w:spacing w:val="-3"/>
          <w:sz w:val="21"/>
          <w:highlight w:val="none"/>
        </w:rPr>
      </w:pPr>
      <w:r>
        <w:rPr>
          <w:rFonts w:ascii="宋体" w:hAnsi="宋体" w:eastAsia="宋体" w:cs="Times New Roman"/>
          <w:strike/>
          <w:color w:val="auto"/>
          <w:spacing w:val="-3"/>
          <w:sz w:val="21"/>
          <w:highlight w:val="none"/>
        </w:rPr>
        <w:t>3.4.2 投标人不按本章第 3.4.1 项要求提交投标保证金的，评标委员会将否决其投标。</w:t>
      </w:r>
      <w:r>
        <w:rPr>
          <w:rFonts w:hint="default" w:ascii="宋体" w:hAnsi="宋体" w:eastAsia="宋体" w:cs="Times New Roman"/>
          <w:b w:val="0"/>
          <w:bCs w:val="0"/>
          <w:strike/>
          <w:color w:val="auto"/>
          <w:spacing w:val="-3"/>
          <w:sz w:val="21"/>
          <w:highlight w:val="none"/>
        </w:rPr>
        <w:t>未按招标文件要求提交符合免予提供投标保证金相关证明材料，且未提交投标保证金的投标人，视为未按要求提供投标保证金。</w:t>
      </w:r>
    </w:p>
    <w:p w14:paraId="20D362E9">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color w:val="auto"/>
          <w:spacing w:val="-3"/>
          <w:highlight w:val="none"/>
        </w:rPr>
      </w:pPr>
      <w:r>
        <w:rPr>
          <w:rFonts w:ascii="宋体" w:hAnsi="宋体" w:eastAsia="宋体" w:cs="Times New Roman"/>
          <w:strike/>
          <w:color w:val="auto"/>
          <w:spacing w:val="-3"/>
          <w:highlight w:val="none"/>
        </w:rPr>
        <w:t xml:space="preserve">3.4.3 </w:t>
      </w:r>
      <w:r>
        <w:rPr>
          <w:rFonts w:hint="eastAsia" w:ascii="Times New Roman" w:hAnsi="Times New Roman" w:eastAsia="Times New Roman" w:cs="Times New Roman"/>
          <w:strike/>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strike/>
          <w:color w:val="auto"/>
          <w:spacing w:val="-4"/>
          <w:sz w:val="21"/>
          <w:szCs w:val="21"/>
          <w:highlight w:val="none"/>
          <w:lang w:eastAsia="zh-CN"/>
        </w:rPr>
        <w:t>；</w:t>
      </w:r>
      <w:r>
        <w:rPr>
          <w:rFonts w:hint="eastAsia" w:ascii="Times New Roman" w:hAnsi="Times New Roman" w:eastAsia="Times New Roman" w:cs="Times New Roman"/>
          <w:strike/>
          <w:color w:val="auto"/>
          <w:spacing w:val="-4"/>
          <w:sz w:val="21"/>
          <w:szCs w:val="21"/>
          <w:highlight w:val="none"/>
        </w:rPr>
        <w:t>中标人和其他中标候选人的投标保证金，在书面合同订立之日起五日内予以退还</w:t>
      </w:r>
      <w:r>
        <w:rPr>
          <w:rFonts w:eastAsia="宋体" w:cs="Times New Roman"/>
          <w:strike/>
          <w:color w:val="auto"/>
          <w:spacing w:val="-3"/>
          <w:highlight w:val="none"/>
        </w:rPr>
        <w:t>。投标保证金以现金或者支票形式递交的，还应退还银行同期存款利息。</w:t>
      </w:r>
    </w:p>
    <w:p w14:paraId="33C7411D">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i w:val="0"/>
          <w:iCs w:val="0"/>
          <w:caps w:val="0"/>
          <w:strike/>
          <w:color w:val="auto"/>
          <w:spacing w:val="-4"/>
          <w:sz w:val="21"/>
          <w:szCs w:val="21"/>
          <w:highlight w:val="none"/>
          <w:shd w:val="clear" w:color="auto" w:fill="auto"/>
          <w:lang w:eastAsia="zh-CN"/>
        </w:rPr>
      </w:pPr>
      <w:r>
        <w:rPr>
          <w:rFonts w:hint="default" w:ascii="宋体" w:hAnsi="宋体" w:eastAsia="宋体" w:cs="Times New Roman"/>
          <w:strike/>
          <w:color w:val="auto"/>
          <w:spacing w:val="-3"/>
          <w:highlight w:val="none"/>
          <w:lang w:val="en-US" w:eastAsia="zh-CN"/>
        </w:rPr>
        <w:t>3.4.</w:t>
      </w:r>
      <w:r>
        <w:rPr>
          <w:rFonts w:hint="eastAsia" w:ascii="宋体" w:hAnsi="宋体" w:eastAsia="宋体" w:cs="Times New Roman"/>
          <w:strike/>
          <w:color w:val="auto"/>
          <w:spacing w:val="-3"/>
          <w:highlight w:val="none"/>
          <w:lang w:val="en-US" w:eastAsia="zh-CN"/>
        </w:rPr>
        <w:t xml:space="preserve">4 </w:t>
      </w:r>
      <w:r>
        <w:rPr>
          <w:rFonts w:hint="default" w:ascii="宋体" w:hAnsi="宋体" w:eastAsia="宋体" w:cs="Times New Roman"/>
          <w:strike/>
          <w:color w:val="auto"/>
          <w:spacing w:val="-3"/>
          <w:highlight w:val="none"/>
        </w:rPr>
        <w:t>在</w:t>
      </w:r>
      <w:r>
        <w:rPr>
          <w:rFonts w:hint="default" w:ascii="Times New Roman" w:hAnsi="Times New Roman" w:eastAsia="Times New Roman" w:cs="Times New Roman"/>
          <w:strike/>
          <w:color w:val="auto"/>
          <w:spacing w:val="-4"/>
          <w:sz w:val="21"/>
          <w:szCs w:val="21"/>
          <w:highlight w:val="none"/>
        </w:rPr>
        <w:t>提交</w:t>
      </w:r>
      <w:r>
        <w:rPr>
          <w:rFonts w:hint="default" w:ascii="Times New Roman" w:hAnsi="Times New Roman" w:eastAsia="Times New Roman" w:cs="Times New Roman"/>
          <w:i w:val="0"/>
          <w:iCs w:val="0"/>
          <w:caps w:val="0"/>
          <w:strike/>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strike/>
          <w:color w:val="auto"/>
          <w:spacing w:val="-4"/>
          <w:sz w:val="21"/>
          <w:szCs w:val="21"/>
          <w:highlight w:val="none"/>
          <w:shd w:val="clear" w:color="auto" w:fill="auto"/>
          <w:lang w:eastAsia="zh-CN"/>
        </w:rPr>
        <w:t>。</w:t>
      </w:r>
    </w:p>
    <w:p w14:paraId="1D3226D3">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color w:val="auto"/>
          <w:spacing w:val="-3"/>
          <w:highlight w:val="none"/>
        </w:rPr>
      </w:pPr>
      <w:r>
        <w:rPr>
          <w:rFonts w:ascii="宋体" w:hAnsi="宋体" w:eastAsia="宋体" w:cs="Times New Roman"/>
          <w:strike/>
          <w:color w:val="auto"/>
          <w:spacing w:val="-3"/>
          <w:highlight w:val="none"/>
        </w:rPr>
        <w:t>3.4.</w:t>
      </w:r>
      <w:r>
        <w:rPr>
          <w:rFonts w:hint="eastAsia" w:eastAsia="宋体" w:cs="Times New Roman"/>
          <w:strike/>
          <w:color w:val="auto"/>
          <w:spacing w:val="-3"/>
          <w:highlight w:val="none"/>
          <w:lang w:val="en-US" w:eastAsia="zh-CN"/>
        </w:rPr>
        <w:t>5</w:t>
      </w:r>
      <w:r>
        <w:rPr>
          <w:rFonts w:ascii="宋体" w:hAnsi="宋体" w:eastAsia="宋体" w:cs="Times New Roman"/>
          <w:strike/>
          <w:color w:val="auto"/>
          <w:spacing w:val="-3"/>
          <w:highlight w:val="none"/>
        </w:rPr>
        <w:t xml:space="preserve"> </w:t>
      </w:r>
      <w:r>
        <w:rPr>
          <w:rFonts w:eastAsia="宋体" w:cs="Times New Roman"/>
          <w:strike/>
          <w:color w:val="auto"/>
          <w:spacing w:val="-3"/>
          <w:highlight w:val="none"/>
        </w:rPr>
        <w:t>有下列情形之一的，投标保证金将不予退还：</w:t>
      </w:r>
    </w:p>
    <w:p w14:paraId="17E1CADE">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color w:val="auto"/>
          <w:spacing w:val="-3"/>
          <w:highlight w:val="none"/>
        </w:rPr>
      </w:pPr>
      <w:r>
        <w:rPr>
          <w:rFonts w:eastAsia="宋体" w:cs="Times New Roman"/>
          <w:strike/>
          <w:color w:val="auto"/>
          <w:spacing w:val="-3"/>
          <w:highlight w:val="none"/>
        </w:rPr>
        <w:t>（</w:t>
      </w:r>
      <w:r>
        <w:rPr>
          <w:rFonts w:ascii="宋体" w:hAnsi="宋体" w:eastAsia="宋体" w:cs="Times New Roman"/>
          <w:strike/>
          <w:color w:val="auto"/>
          <w:spacing w:val="-3"/>
          <w:highlight w:val="none"/>
        </w:rPr>
        <w:t>1</w:t>
      </w:r>
      <w:r>
        <w:rPr>
          <w:rFonts w:eastAsia="宋体" w:cs="Times New Roman"/>
          <w:strike/>
          <w:color w:val="auto"/>
          <w:spacing w:val="-3"/>
          <w:highlight w:val="none"/>
        </w:rPr>
        <w:t>）投标人在</w:t>
      </w:r>
      <w:r>
        <w:rPr>
          <w:rFonts w:hint="default" w:ascii="Times New Roman" w:hAnsi="Times New Roman" w:eastAsia="Times New Roman" w:cs="Times New Roman"/>
          <w:i w:val="0"/>
          <w:iCs w:val="0"/>
          <w:caps w:val="0"/>
          <w:strike/>
          <w:color w:val="auto"/>
          <w:spacing w:val="-4"/>
          <w:sz w:val="21"/>
          <w:szCs w:val="21"/>
          <w:highlight w:val="none"/>
          <w:shd w:val="clear" w:color="auto" w:fill="auto"/>
        </w:rPr>
        <w:t>提交投标文件截止时间后到招标文件规定的投标有效期终止之前</w:t>
      </w:r>
      <w:r>
        <w:rPr>
          <w:rFonts w:eastAsia="宋体" w:cs="Times New Roman"/>
          <w:strike/>
          <w:color w:val="auto"/>
          <w:spacing w:val="-3"/>
          <w:highlight w:val="none"/>
        </w:rPr>
        <w:t>撤销投标文件；</w:t>
      </w:r>
    </w:p>
    <w:p w14:paraId="293D0E0C">
      <w:pPr>
        <w:pStyle w:val="2"/>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color w:val="auto"/>
          <w:highlight w:val="none"/>
        </w:rPr>
      </w:pPr>
      <w:r>
        <w:rPr>
          <w:rFonts w:eastAsia="宋体" w:cs="Times New Roman"/>
          <w:strike/>
          <w:color w:val="auto"/>
          <w:spacing w:val="-3"/>
          <w:highlight w:val="none"/>
        </w:rPr>
        <w:t>（</w:t>
      </w:r>
      <w:r>
        <w:rPr>
          <w:rFonts w:ascii="宋体" w:hAnsi="宋体" w:eastAsia="宋体" w:cs="Times New Roman"/>
          <w:strike/>
          <w:color w:val="auto"/>
          <w:spacing w:val="-3"/>
          <w:highlight w:val="none"/>
        </w:rPr>
        <w:t>2</w:t>
      </w:r>
      <w:r>
        <w:rPr>
          <w:rFonts w:eastAsia="宋体" w:cs="Times New Roman"/>
          <w:strike/>
          <w:color w:val="auto"/>
          <w:spacing w:val="-3"/>
          <w:highlight w:val="none"/>
        </w:rPr>
        <w:t>）中标人在收到中标通知书后，无正当理由不与招标人</w:t>
      </w:r>
      <w:r>
        <w:rPr>
          <w:strike/>
          <w:color w:val="auto"/>
          <w:highlight w:val="none"/>
        </w:rPr>
        <w:t>订立合同</w:t>
      </w:r>
      <w:r>
        <w:rPr>
          <w:strike/>
          <w:color w:val="auto"/>
          <w:spacing w:val="-3"/>
          <w:highlight w:val="none"/>
        </w:rPr>
        <w:t>，</w:t>
      </w:r>
      <w:r>
        <w:rPr>
          <w:strike/>
          <w:color w:val="auto"/>
          <w:highlight w:val="none"/>
        </w:rPr>
        <w:t>在签</w:t>
      </w:r>
      <w:r>
        <w:rPr>
          <w:strike/>
          <w:color w:val="auto"/>
          <w:spacing w:val="-3"/>
          <w:highlight w:val="none"/>
        </w:rPr>
        <w:t>订</w:t>
      </w:r>
      <w:r>
        <w:rPr>
          <w:strike/>
          <w:color w:val="auto"/>
          <w:highlight w:val="none"/>
        </w:rPr>
        <w:t>合同时向招标人提</w:t>
      </w:r>
      <w:r>
        <w:rPr>
          <w:strike/>
          <w:color w:val="auto"/>
          <w:spacing w:val="-3"/>
          <w:highlight w:val="none"/>
        </w:rPr>
        <w:t>出</w:t>
      </w:r>
      <w:r>
        <w:rPr>
          <w:strike/>
          <w:color w:val="auto"/>
          <w:highlight w:val="none"/>
        </w:rPr>
        <w:t>附</w:t>
      </w:r>
      <w:r>
        <w:rPr>
          <w:strike/>
          <w:color w:val="auto"/>
          <w:spacing w:val="-3"/>
          <w:highlight w:val="none"/>
        </w:rPr>
        <w:t>加</w:t>
      </w:r>
      <w:r>
        <w:rPr>
          <w:strike/>
          <w:color w:val="auto"/>
          <w:highlight w:val="none"/>
        </w:rPr>
        <w:t>条</w:t>
      </w:r>
      <w:r>
        <w:rPr>
          <w:strike/>
          <w:color w:val="auto"/>
          <w:spacing w:val="-3"/>
          <w:highlight w:val="none"/>
        </w:rPr>
        <w:t>件</w:t>
      </w:r>
      <w:r>
        <w:rPr>
          <w:strike/>
          <w:color w:val="auto"/>
          <w:highlight w:val="none"/>
        </w:rPr>
        <w:t>，</w:t>
      </w:r>
      <w:r>
        <w:rPr>
          <w:strike/>
          <w:color w:val="auto"/>
          <w:spacing w:val="-3"/>
          <w:highlight w:val="none"/>
        </w:rPr>
        <w:t>或</w:t>
      </w:r>
      <w:r>
        <w:rPr>
          <w:strike/>
          <w:color w:val="auto"/>
          <w:highlight w:val="none"/>
        </w:rPr>
        <w:t>者</w:t>
      </w:r>
      <w:r>
        <w:rPr>
          <w:strike/>
          <w:color w:val="auto"/>
          <w:spacing w:val="-3"/>
          <w:highlight w:val="none"/>
        </w:rPr>
        <w:t>不</w:t>
      </w:r>
      <w:r>
        <w:rPr>
          <w:strike/>
          <w:color w:val="auto"/>
          <w:highlight w:val="none"/>
        </w:rPr>
        <w:t>按照</w:t>
      </w:r>
      <w:r>
        <w:rPr>
          <w:strike/>
          <w:color w:val="auto"/>
          <w:spacing w:val="-3"/>
          <w:highlight w:val="none"/>
        </w:rPr>
        <w:t>招</w:t>
      </w:r>
      <w:r>
        <w:rPr>
          <w:strike/>
          <w:color w:val="auto"/>
          <w:highlight w:val="none"/>
        </w:rPr>
        <w:t>标</w:t>
      </w:r>
      <w:r>
        <w:rPr>
          <w:strike/>
          <w:color w:val="auto"/>
          <w:spacing w:val="-3"/>
          <w:highlight w:val="none"/>
        </w:rPr>
        <w:t>文</w:t>
      </w:r>
      <w:r>
        <w:rPr>
          <w:strike/>
          <w:color w:val="auto"/>
          <w:highlight w:val="none"/>
        </w:rPr>
        <w:t>件</w:t>
      </w:r>
      <w:r>
        <w:rPr>
          <w:strike/>
          <w:color w:val="auto"/>
          <w:spacing w:val="-3"/>
          <w:highlight w:val="none"/>
        </w:rPr>
        <w:t>要</w:t>
      </w:r>
      <w:r>
        <w:rPr>
          <w:strike/>
          <w:color w:val="auto"/>
          <w:highlight w:val="none"/>
        </w:rPr>
        <w:t>求</w:t>
      </w:r>
      <w:r>
        <w:rPr>
          <w:strike/>
          <w:color w:val="auto"/>
          <w:spacing w:val="-3"/>
          <w:highlight w:val="none"/>
        </w:rPr>
        <w:t>提</w:t>
      </w:r>
      <w:r>
        <w:rPr>
          <w:strike/>
          <w:color w:val="auto"/>
          <w:highlight w:val="none"/>
        </w:rPr>
        <w:t>交</w:t>
      </w:r>
      <w:r>
        <w:rPr>
          <w:strike/>
          <w:color w:val="auto"/>
          <w:spacing w:val="-3"/>
          <w:highlight w:val="none"/>
        </w:rPr>
        <w:t>履</w:t>
      </w:r>
      <w:r>
        <w:rPr>
          <w:strike/>
          <w:color w:val="auto"/>
          <w:highlight w:val="none"/>
        </w:rPr>
        <w:t>约保</w:t>
      </w:r>
      <w:r>
        <w:rPr>
          <w:strike/>
          <w:color w:val="auto"/>
          <w:spacing w:val="-3"/>
          <w:highlight w:val="none"/>
        </w:rPr>
        <w:t>证</w:t>
      </w:r>
      <w:r>
        <w:rPr>
          <w:strike/>
          <w:color w:val="auto"/>
          <w:highlight w:val="none"/>
        </w:rPr>
        <w:t>金；</w:t>
      </w:r>
    </w:p>
    <w:p w14:paraId="0228FDB3">
      <w:pPr>
        <w:pStyle w:val="2"/>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strike/>
          <w:color w:val="auto"/>
          <w:highlight w:val="none"/>
        </w:rPr>
      </w:pPr>
      <w:r>
        <w:rPr>
          <w:strike/>
          <w:color w:val="auto"/>
          <w:highlight w:val="none"/>
        </w:rPr>
        <w:t>（</w:t>
      </w:r>
      <w:r>
        <w:rPr>
          <w:rFonts w:ascii="Times New Roman" w:hAnsi="Times New Roman" w:eastAsia="Times New Roman"/>
          <w:strike/>
          <w:color w:val="auto"/>
          <w:highlight w:val="none"/>
        </w:rPr>
        <w:t>3</w:t>
      </w:r>
      <w:r>
        <w:rPr>
          <w:strike/>
          <w:color w:val="auto"/>
          <w:spacing w:val="-3"/>
          <w:highlight w:val="none"/>
        </w:rPr>
        <w:t>）</w:t>
      </w:r>
      <w:r>
        <w:rPr>
          <w:strike/>
          <w:color w:val="auto"/>
          <w:highlight w:val="none"/>
        </w:rPr>
        <w:t>发</w:t>
      </w:r>
      <w:r>
        <w:rPr>
          <w:strike/>
          <w:color w:val="auto"/>
          <w:spacing w:val="-3"/>
          <w:highlight w:val="none"/>
        </w:rPr>
        <w:t>生</w:t>
      </w:r>
      <w:r>
        <w:rPr>
          <w:strike/>
          <w:color w:val="auto"/>
          <w:highlight w:val="none"/>
        </w:rPr>
        <w:t>投</w:t>
      </w:r>
      <w:r>
        <w:rPr>
          <w:strike/>
          <w:color w:val="auto"/>
          <w:spacing w:val="-3"/>
          <w:highlight w:val="none"/>
        </w:rPr>
        <w:t>标</w:t>
      </w:r>
      <w:r>
        <w:rPr>
          <w:strike/>
          <w:color w:val="auto"/>
          <w:highlight w:val="none"/>
        </w:rPr>
        <w:t>人</w:t>
      </w:r>
      <w:r>
        <w:rPr>
          <w:strike/>
          <w:color w:val="auto"/>
          <w:spacing w:val="-3"/>
          <w:highlight w:val="none"/>
        </w:rPr>
        <w:t>须</w:t>
      </w:r>
      <w:r>
        <w:rPr>
          <w:strike/>
          <w:color w:val="auto"/>
          <w:highlight w:val="none"/>
        </w:rPr>
        <w:t>知</w:t>
      </w:r>
      <w:r>
        <w:rPr>
          <w:strike/>
          <w:color w:val="auto"/>
          <w:spacing w:val="-3"/>
          <w:highlight w:val="none"/>
        </w:rPr>
        <w:t>前附</w:t>
      </w:r>
      <w:r>
        <w:rPr>
          <w:strike/>
          <w:color w:val="auto"/>
          <w:highlight w:val="none"/>
        </w:rPr>
        <w:t>表规</w:t>
      </w:r>
      <w:r>
        <w:rPr>
          <w:strike/>
          <w:color w:val="auto"/>
          <w:spacing w:val="-3"/>
          <w:highlight w:val="none"/>
        </w:rPr>
        <w:t>定</w:t>
      </w:r>
      <w:r>
        <w:rPr>
          <w:strike/>
          <w:color w:val="auto"/>
          <w:highlight w:val="none"/>
        </w:rPr>
        <w:t>的</w:t>
      </w:r>
      <w:r>
        <w:rPr>
          <w:strike/>
          <w:color w:val="auto"/>
          <w:spacing w:val="-3"/>
          <w:highlight w:val="none"/>
        </w:rPr>
        <w:t>其</w:t>
      </w:r>
      <w:r>
        <w:rPr>
          <w:strike/>
          <w:color w:val="auto"/>
          <w:highlight w:val="none"/>
        </w:rPr>
        <w:t>他</w:t>
      </w:r>
      <w:r>
        <w:rPr>
          <w:strike/>
          <w:color w:val="auto"/>
          <w:spacing w:val="-3"/>
          <w:highlight w:val="none"/>
        </w:rPr>
        <w:t>可</w:t>
      </w:r>
      <w:r>
        <w:rPr>
          <w:strike/>
          <w:color w:val="auto"/>
          <w:highlight w:val="none"/>
        </w:rPr>
        <w:t>以</w:t>
      </w:r>
      <w:r>
        <w:rPr>
          <w:strike/>
          <w:color w:val="auto"/>
          <w:spacing w:val="-3"/>
          <w:highlight w:val="none"/>
        </w:rPr>
        <w:t>不</w:t>
      </w:r>
      <w:r>
        <w:rPr>
          <w:strike/>
          <w:color w:val="auto"/>
          <w:highlight w:val="none"/>
        </w:rPr>
        <w:t>予</w:t>
      </w:r>
      <w:r>
        <w:rPr>
          <w:strike/>
          <w:color w:val="auto"/>
          <w:spacing w:val="-3"/>
          <w:highlight w:val="none"/>
        </w:rPr>
        <w:t>退</w:t>
      </w:r>
      <w:r>
        <w:rPr>
          <w:strike/>
          <w:color w:val="auto"/>
          <w:highlight w:val="none"/>
        </w:rPr>
        <w:t>还投</w:t>
      </w:r>
      <w:r>
        <w:rPr>
          <w:strike/>
          <w:color w:val="auto"/>
          <w:spacing w:val="-3"/>
          <w:highlight w:val="none"/>
        </w:rPr>
        <w:t>标</w:t>
      </w:r>
      <w:r>
        <w:rPr>
          <w:strike/>
          <w:color w:val="auto"/>
          <w:highlight w:val="none"/>
        </w:rPr>
        <w:t>保</w:t>
      </w:r>
      <w:r>
        <w:rPr>
          <w:strike/>
          <w:color w:val="auto"/>
          <w:spacing w:val="-3"/>
          <w:highlight w:val="none"/>
        </w:rPr>
        <w:t>证</w:t>
      </w:r>
      <w:r>
        <w:rPr>
          <w:strike/>
          <w:color w:val="auto"/>
          <w:highlight w:val="none"/>
        </w:rPr>
        <w:t>金</w:t>
      </w:r>
      <w:r>
        <w:rPr>
          <w:strike/>
          <w:color w:val="auto"/>
          <w:spacing w:val="-3"/>
          <w:highlight w:val="none"/>
        </w:rPr>
        <w:t>的</w:t>
      </w:r>
      <w:r>
        <w:rPr>
          <w:strike/>
          <w:color w:val="auto"/>
          <w:highlight w:val="none"/>
        </w:rPr>
        <w:t>情</w:t>
      </w:r>
      <w:r>
        <w:rPr>
          <w:strike/>
          <w:color w:val="auto"/>
          <w:spacing w:val="-3"/>
          <w:highlight w:val="none"/>
        </w:rPr>
        <w:t>形</w:t>
      </w:r>
      <w:r>
        <w:rPr>
          <w:strike/>
          <w:color w:val="auto"/>
          <w:highlight w:val="none"/>
        </w:rPr>
        <w:t>。</w:t>
      </w:r>
    </w:p>
    <w:p w14:paraId="00EA80AA">
      <w:pPr>
        <w:spacing w:line="360" w:lineRule="auto"/>
        <w:ind w:firstLine="420" w:firstLineChars="200"/>
        <w:rPr>
          <w:rFonts w:hint="eastAsia"/>
          <w:strike/>
          <w:color w:val="auto"/>
          <w:highlight w:val="none"/>
          <w:lang w:val="en-US" w:eastAsia="zh-CN"/>
        </w:rPr>
      </w:pPr>
      <w:r>
        <w:rPr>
          <w:rFonts w:hint="eastAsia"/>
          <w:strike/>
          <w:color w:val="auto"/>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9BD6BE6">
      <w:pPr>
        <w:pStyle w:val="8"/>
        <w:spacing w:line="360" w:lineRule="auto"/>
        <w:rPr>
          <w:color w:val="auto"/>
          <w:highlight w:val="none"/>
        </w:rPr>
      </w:pPr>
    </w:p>
    <w:p w14:paraId="0B9153D4">
      <w:pPr>
        <w:pStyle w:val="5"/>
        <w:bidi w:val="0"/>
        <w:spacing w:line="360" w:lineRule="auto"/>
        <w:rPr>
          <w:color w:val="auto"/>
          <w:highlight w:val="none"/>
        </w:rPr>
      </w:pPr>
      <w:bookmarkStart w:id="524" w:name="_Toc10645"/>
      <w:bookmarkStart w:id="525" w:name="_Toc11224"/>
      <w:bookmarkStart w:id="526" w:name="_Toc10632"/>
      <w:bookmarkStart w:id="527" w:name="_Toc24524"/>
      <w:bookmarkStart w:id="528" w:name="_Toc10690"/>
      <w:bookmarkStart w:id="529" w:name="_Toc492300588"/>
      <w:bookmarkStart w:id="530" w:name="_Toc26392"/>
      <w:bookmarkStart w:id="531" w:name="_Toc5131"/>
      <w:bookmarkStart w:id="532" w:name="_Toc5639"/>
      <w:bookmarkStart w:id="533" w:name="_Toc15036"/>
      <w:bookmarkStart w:id="534" w:name="_Toc11822"/>
      <w:bookmarkStart w:id="535" w:name="_Toc5941"/>
      <w:bookmarkStart w:id="536" w:name="_Toc28074"/>
      <w:bookmarkStart w:id="537" w:name="_Toc7411"/>
      <w:bookmarkStart w:id="538" w:name="_Toc6692"/>
      <w:bookmarkStart w:id="539" w:name="_Toc10283"/>
      <w:bookmarkStart w:id="540" w:name="_Toc4844"/>
      <w:bookmarkStart w:id="541" w:name="_Toc30937"/>
      <w:bookmarkStart w:id="542" w:name="_Toc7163"/>
      <w:r>
        <w:rPr>
          <w:color w:val="auto"/>
          <w:highlight w:val="none"/>
        </w:rPr>
        <w:t xml:space="preserve">3.5 </w:t>
      </w:r>
      <w:r>
        <w:rPr>
          <w:rFonts w:hint="eastAsia"/>
          <w:color w:val="auto"/>
          <w:highlight w:val="none"/>
        </w:rPr>
        <w:t>资格审查资料（适用于</w:t>
      </w:r>
      <w:r>
        <w:rPr>
          <w:rFonts w:hint="eastAsia"/>
          <w:color w:val="auto"/>
          <w:highlight w:val="none"/>
          <w:lang w:eastAsia="zh-CN"/>
        </w:rPr>
        <w:t>未进行</w:t>
      </w:r>
      <w:r>
        <w:rPr>
          <w:rFonts w:hint="eastAsia"/>
          <w:color w:val="auto"/>
          <w:highlight w:val="none"/>
        </w:rPr>
        <w:t>资格</w:t>
      </w:r>
      <w:r>
        <w:rPr>
          <w:rFonts w:hint="eastAsia"/>
          <w:color w:val="auto"/>
          <w:highlight w:val="none"/>
          <w:lang w:eastAsia="zh-CN"/>
        </w:rPr>
        <w:t>预</w:t>
      </w:r>
      <w:r>
        <w:rPr>
          <w:rFonts w:hint="eastAsia"/>
          <w:color w:val="auto"/>
          <w:highlight w:val="none"/>
        </w:rPr>
        <w:t>审的）</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EC744A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除投标人须知前附表另有规定外，投标人应按</w:t>
      </w:r>
      <w:r>
        <w:rPr>
          <w:rFonts w:hint="eastAsia" w:ascii="宋体" w:hAnsi="宋体" w:cs="宋体"/>
          <w:color w:val="auto"/>
          <w:sz w:val="21"/>
          <w:szCs w:val="21"/>
          <w:highlight w:val="none"/>
          <w:u w:val="single"/>
        </w:rPr>
        <w:t>招标公告投标人资格要求及</w:t>
      </w:r>
      <w:r>
        <w:rPr>
          <w:rFonts w:hint="eastAsia" w:ascii="宋体" w:hAnsi="宋体" w:cs="宋体"/>
          <w:color w:val="auto"/>
          <w:sz w:val="21"/>
          <w:szCs w:val="21"/>
          <w:highlight w:val="none"/>
        </w:rPr>
        <w:t>下列规定提供资格审查资料，以证明其满足本章第1.4款规定的资质</w:t>
      </w:r>
      <w:r>
        <w:rPr>
          <w:rFonts w:hint="eastAsia" w:ascii="宋体" w:hAnsi="宋体" w:cs="宋体"/>
          <w:strike/>
          <w:dstrike w:val="0"/>
          <w:color w:val="auto"/>
          <w:sz w:val="21"/>
          <w:szCs w:val="21"/>
          <w:highlight w:val="none"/>
        </w:rPr>
        <w:t>、业绩</w:t>
      </w:r>
      <w:r>
        <w:rPr>
          <w:rFonts w:hint="eastAsia" w:ascii="宋体" w:hAnsi="宋体" w:cs="宋体"/>
          <w:color w:val="auto"/>
          <w:sz w:val="21"/>
          <w:szCs w:val="21"/>
          <w:highlight w:val="none"/>
        </w:rPr>
        <w:t>等要求。</w:t>
      </w:r>
    </w:p>
    <w:p w14:paraId="05AD8DD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3.5.1 </w:t>
      </w:r>
      <w:r>
        <w:rPr>
          <w:rFonts w:hint="eastAsia" w:ascii="宋体" w:hAnsi="宋体" w:cs="宋体"/>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65637CED">
      <w:pPr>
        <w:spacing w:line="360" w:lineRule="auto"/>
        <w:ind w:firstLine="420" w:firstLineChars="200"/>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0E21C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trike/>
          <w:dstrike w:val="0"/>
          <w:color w:val="auto"/>
          <w:sz w:val="21"/>
          <w:szCs w:val="21"/>
          <w:highlight w:val="none"/>
        </w:rPr>
        <w:t>3.5.</w:t>
      </w:r>
      <w:r>
        <w:rPr>
          <w:rFonts w:hint="eastAsia" w:ascii="宋体" w:hAnsi="宋体" w:eastAsia="宋体" w:cs="宋体"/>
          <w:strike/>
          <w:dstrike w:val="0"/>
          <w:color w:val="auto"/>
          <w:sz w:val="21"/>
          <w:szCs w:val="21"/>
          <w:highlight w:val="none"/>
          <w:lang w:val="en-US" w:eastAsia="zh-CN"/>
        </w:rPr>
        <w:t>3</w:t>
      </w:r>
      <w:r>
        <w:rPr>
          <w:rFonts w:hint="eastAsia" w:ascii="宋体" w:hAnsi="宋体" w:eastAsia="宋体" w:cs="宋体"/>
          <w:strike/>
          <w:dstrike w:val="0"/>
          <w:color w:val="auto"/>
          <w:sz w:val="21"/>
          <w:szCs w:val="21"/>
          <w:highlight w:val="none"/>
        </w:rPr>
        <w:t xml:space="preserve">  </w:t>
      </w:r>
      <w:r>
        <w:rPr>
          <w:rFonts w:hint="default" w:ascii="宋体" w:hAnsi="宋体" w:eastAsia="宋体" w:cs="宋体"/>
          <w:strike/>
          <w:dstrike w:val="0"/>
          <w:color w:val="auto"/>
          <w:sz w:val="21"/>
          <w:szCs w:val="21"/>
          <w:highlight w:val="none"/>
        </w:rPr>
        <w:t>“拟委任的主要人员汇总表”应填报满足本章第 1.4.1 项规定的总监理工程师</w:t>
      </w:r>
      <w:r>
        <w:rPr>
          <w:rFonts w:hint="default" w:ascii="宋体" w:hAnsi="宋体" w:eastAsia="宋体" w:cs="宋体"/>
          <w:strike/>
          <w:color w:val="auto"/>
          <w:sz w:val="21"/>
          <w:szCs w:val="21"/>
          <w:highlight w:val="none"/>
        </w:rPr>
        <w:t>和其他主要人员的相关信息</w:t>
      </w:r>
      <w:r>
        <w:rPr>
          <w:rFonts w:hint="default" w:ascii="宋体" w:hAnsi="宋体" w:eastAsia="宋体" w:cs="宋体"/>
          <w:strike/>
          <w:dstrike w:val="0"/>
          <w:color w:val="auto"/>
          <w:sz w:val="21"/>
          <w:szCs w:val="21"/>
          <w:highlight w:val="none"/>
        </w:rPr>
        <w:t>。“主要人员简历表”中</w:t>
      </w:r>
      <w:r>
        <w:rPr>
          <w:rFonts w:hint="default" w:ascii="宋体" w:hAnsi="宋体" w:eastAsia="宋体" w:cs="宋体"/>
          <w:color w:val="auto"/>
          <w:sz w:val="21"/>
          <w:szCs w:val="21"/>
          <w:highlight w:val="none"/>
        </w:rPr>
        <w:t>总监理工程师应附身份证、学历证、职称证、注册监理工程师执业证书和社保缴费证明，管理过的项目业绩须附合同协议书</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default" w:ascii="宋体" w:hAnsi="宋体" w:eastAsia="宋体" w:cs="宋体"/>
          <w:color w:val="auto"/>
          <w:sz w:val="21"/>
          <w:szCs w:val="21"/>
          <w:highlight w:val="none"/>
          <w:lang w:eastAsia="zh-CN"/>
        </w:rPr>
        <w:t>有）</w:t>
      </w:r>
      <w:r>
        <w:rPr>
          <w:rFonts w:hint="default" w:ascii="宋体" w:hAnsi="宋体" w:eastAsia="宋体" w:cs="宋体"/>
          <w:strike/>
          <w:color w:val="auto"/>
          <w:sz w:val="21"/>
          <w:szCs w:val="21"/>
          <w:highlight w:val="none"/>
        </w:rPr>
        <w:t>；其他主要人员应附身份证、学历证、职称证、有关证书和社保缴费证明</w:t>
      </w:r>
      <w:r>
        <w:rPr>
          <w:rFonts w:hint="default"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如</w:t>
      </w:r>
      <w:r>
        <w:rPr>
          <w:rFonts w:hint="default" w:ascii="宋体" w:hAnsi="宋体" w:eastAsia="宋体" w:cs="宋体"/>
          <w:strike/>
          <w:color w:val="auto"/>
          <w:sz w:val="21"/>
          <w:szCs w:val="21"/>
          <w:highlight w:val="none"/>
          <w:lang w:eastAsia="zh-CN"/>
        </w:rPr>
        <w:t>有）</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个月</w:t>
      </w:r>
      <w:r>
        <w:rPr>
          <w:rFonts w:hint="eastAsia" w:ascii="宋体" w:hAnsi="宋体" w:eastAsia="宋体" w:cs="宋体"/>
          <w:color w:val="auto"/>
          <w:sz w:val="21"/>
          <w:szCs w:val="21"/>
          <w:highlight w:val="none"/>
          <w:lang w:eastAsia="zh-CN"/>
        </w:rPr>
        <w:t>在本单位缴纳的社保证明文件，</w:t>
      </w:r>
      <w:r>
        <w:rPr>
          <w:rFonts w:hint="eastAsia" w:ascii="宋体" w:hAnsi="宋体" w:eastAsia="宋体" w:cs="宋体"/>
          <w:b/>
          <w:bCs/>
          <w:color w:val="auto"/>
          <w:sz w:val="21"/>
          <w:szCs w:val="21"/>
          <w:highlight w:val="none"/>
          <w:u w:val="single"/>
          <w:lang w:val="en-US" w:eastAsia="zh-CN"/>
        </w:rPr>
        <w:t>详见招标公告</w:t>
      </w:r>
      <w:r>
        <w:rPr>
          <w:rFonts w:hint="eastAsia" w:ascii="宋体" w:hAnsi="宋体" w:eastAsia="宋体" w:cs="宋体"/>
          <w:color w:val="auto"/>
          <w:sz w:val="21"/>
          <w:szCs w:val="21"/>
          <w:highlight w:val="none"/>
          <w:lang w:eastAsia="zh-CN"/>
        </w:rPr>
        <w:t>。）</w:t>
      </w:r>
    </w:p>
    <w:p w14:paraId="5249299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3.5.</w:t>
      </w:r>
      <w:r>
        <w:rPr>
          <w:rFonts w:hint="eastAsia" w:ascii="宋体" w:hAnsi="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rPr>
        <w:t>投标人须知前附表规定接受联合体投标的，本章第3.5.1项至第3.5.</w:t>
      </w:r>
      <w:r>
        <w:rPr>
          <w:rFonts w:hint="eastAsia" w:ascii="宋体" w:hAnsi="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rPr>
        <w:t>项规定的表格和资料应包括联合体各方相关情况。</w:t>
      </w:r>
    </w:p>
    <w:p w14:paraId="0C4369AF">
      <w:pPr>
        <w:pStyle w:val="5"/>
        <w:bidi w:val="0"/>
        <w:spacing w:line="360" w:lineRule="auto"/>
        <w:rPr>
          <w:color w:val="auto"/>
          <w:highlight w:val="none"/>
        </w:rPr>
      </w:pPr>
      <w:bookmarkStart w:id="543" w:name="_Toc14983"/>
      <w:bookmarkStart w:id="544" w:name="_Toc1340"/>
      <w:bookmarkStart w:id="545" w:name="_Toc26474"/>
      <w:bookmarkStart w:id="546" w:name="_Toc19891"/>
      <w:bookmarkStart w:id="547" w:name="_Toc492300589"/>
      <w:bookmarkStart w:id="548" w:name="_Toc5239"/>
      <w:bookmarkStart w:id="549" w:name="_Toc2832"/>
      <w:bookmarkStart w:id="550" w:name="_Toc15775"/>
      <w:bookmarkStart w:id="551" w:name="_Toc15790"/>
      <w:bookmarkStart w:id="552" w:name="_Toc21646"/>
      <w:bookmarkStart w:id="553" w:name="_Toc8890"/>
      <w:bookmarkStart w:id="554" w:name="_Toc2520"/>
      <w:bookmarkStart w:id="555" w:name="_Toc14962"/>
      <w:bookmarkStart w:id="556" w:name="_Toc8792"/>
      <w:bookmarkStart w:id="557" w:name="_Toc32674"/>
      <w:bookmarkStart w:id="558" w:name="_Toc22361"/>
      <w:bookmarkStart w:id="559" w:name="_Toc19046"/>
      <w:bookmarkStart w:id="560" w:name="_Toc10867"/>
      <w:bookmarkStart w:id="561" w:name="_Toc5110"/>
      <w:r>
        <w:rPr>
          <w:color w:val="auto"/>
          <w:highlight w:val="none"/>
        </w:rPr>
        <w:t xml:space="preserve">3.6 </w:t>
      </w:r>
      <w:r>
        <w:rPr>
          <w:rFonts w:hint="eastAsia"/>
          <w:color w:val="auto"/>
          <w:highlight w:val="none"/>
        </w:rPr>
        <w:t>备选投标方案</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97994D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 </w:t>
      </w:r>
      <w:r>
        <w:rPr>
          <w:rFonts w:hint="eastAsia" w:ascii="宋体" w:hAnsi="宋体" w:cs="宋体"/>
          <w:color w:val="auto"/>
          <w:sz w:val="21"/>
          <w:szCs w:val="21"/>
          <w:highlight w:val="none"/>
        </w:rPr>
        <w:t>除投标人须知前附表规定允许外，投标人不得递交备选投标方案，否则其投标将被否决。</w:t>
      </w:r>
    </w:p>
    <w:p w14:paraId="1F2847B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3.6.2 </w:t>
      </w:r>
      <w:r>
        <w:rPr>
          <w:rFonts w:hint="eastAsia" w:ascii="宋体" w:hAnsi="宋体" w:cs="宋体"/>
          <w:color w:val="auto"/>
          <w:sz w:val="21"/>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A225D95">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3.6.3 </w:t>
      </w:r>
      <w:r>
        <w:rPr>
          <w:rFonts w:hint="eastAsia" w:ascii="宋体" w:hAnsi="宋体" w:cs="宋体"/>
          <w:color w:val="auto"/>
          <w:sz w:val="21"/>
          <w:szCs w:val="21"/>
          <w:highlight w:val="none"/>
        </w:rPr>
        <w:t>投标人提供两个或两个以上投标报价，或者在投标文件中提供一个报价，但同时提供两个或两个以上</w:t>
      </w:r>
      <w:bookmarkStart w:id="562" w:name="_Toc384308232"/>
      <w:bookmarkStart w:id="563" w:name="_Toc361508607"/>
      <w:bookmarkStart w:id="564" w:name="_Toc369531538"/>
      <w:bookmarkStart w:id="565" w:name="_Toc144974518"/>
      <w:bookmarkStart w:id="566" w:name="_Toc300834971"/>
      <w:bookmarkStart w:id="567" w:name="_Toc152045550"/>
      <w:bookmarkStart w:id="568" w:name="_Toc247527575"/>
      <w:bookmarkStart w:id="569" w:name="_Toc29902"/>
      <w:bookmarkStart w:id="570" w:name="_Toc352691495"/>
      <w:bookmarkStart w:id="571" w:name="_Toc152042326"/>
      <w:bookmarkStart w:id="572" w:name="_Toc247513974"/>
      <w:r>
        <w:rPr>
          <w:rFonts w:hint="eastAsia" w:ascii="宋体" w:hAnsi="宋体" w:cs="宋体"/>
          <w:color w:val="auto"/>
          <w:sz w:val="21"/>
          <w:szCs w:val="21"/>
          <w:highlight w:val="none"/>
        </w:rPr>
        <w:t>监理方案的</w:t>
      </w:r>
      <w:bookmarkEnd w:id="562"/>
      <w:bookmarkEnd w:id="563"/>
      <w:bookmarkEnd w:id="564"/>
      <w:bookmarkEnd w:id="565"/>
      <w:bookmarkEnd w:id="566"/>
      <w:bookmarkEnd w:id="567"/>
      <w:bookmarkEnd w:id="568"/>
      <w:bookmarkEnd w:id="569"/>
      <w:bookmarkEnd w:id="570"/>
      <w:bookmarkEnd w:id="571"/>
      <w:bookmarkEnd w:id="572"/>
      <w:r>
        <w:rPr>
          <w:rFonts w:hint="eastAsia" w:ascii="宋体" w:hAnsi="宋体" w:cs="宋体"/>
          <w:color w:val="auto"/>
          <w:sz w:val="21"/>
          <w:szCs w:val="21"/>
          <w:highlight w:val="none"/>
        </w:rPr>
        <w:t>，视为提供备选方案。</w:t>
      </w:r>
    </w:p>
    <w:p w14:paraId="4B5A0B23">
      <w:pPr>
        <w:pStyle w:val="8"/>
        <w:spacing w:line="360" w:lineRule="auto"/>
        <w:rPr>
          <w:color w:val="auto"/>
          <w:highlight w:val="none"/>
        </w:rPr>
      </w:pPr>
    </w:p>
    <w:p w14:paraId="3B58FA74">
      <w:pPr>
        <w:pStyle w:val="5"/>
        <w:bidi w:val="0"/>
        <w:spacing w:line="360" w:lineRule="auto"/>
        <w:rPr>
          <w:color w:val="auto"/>
          <w:highlight w:val="none"/>
        </w:rPr>
      </w:pPr>
      <w:bookmarkStart w:id="573" w:name="_Toc12136"/>
      <w:bookmarkStart w:id="574" w:name="_Toc28209"/>
      <w:bookmarkStart w:id="575" w:name="_Toc31903"/>
      <w:bookmarkStart w:id="576" w:name="_Toc9765"/>
      <w:bookmarkStart w:id="577" w:name="_Toc19082"/>
      <w:bookmarkStart w:id="578" w:name="_Toc3945"/>
      <w:bookmarkStart w:id="579" w:name="_Toc29860"/>
      <w:bookmarkStart w:id="580" w:name="_Toc20279"/>
      <w:bookmarkStart w:id="581" w:name="_Toc6577"/>
      <w:bookmarkStart w:id="582" w:name="_Toc9866"/>
      <w:bookmarkStart w:id="583" w:name="_Toc18836"/>
      <w:bookmarkStart w:id="584" w:name="_Toc492300590"/>
      <w:bookmarkStart w:id="585" w:name="_Toc9431"/>
      <w:bookmarkStart w:id="586" w:name="_Toc21879"/>
      <w:bookmarkStart w:id="587" w:name="_Toc27474"/>
      <w:bookmarkStart w:id="588" w:name="_Toc32464"/>
      <w:bookmarkStart w:id="589" w:name="_Toc12540"/>
      <w:bookmarkStart w:id="590" w:name="_Toc21755"/>
      <w:bookmarkStart w:id="591" w:name="_Toc19725"/>
      <w:r>
        <w:rPr>
          <w:color w:val="auto"/>
          <w:highlight w:val="none"/>
        </w:rPr>
        <w:t xml:space="preserve">3.7 </w:t>
      </w:r>
      <w:r>
        <w:rPr>
          <w:rFonts w:hint="eastAsia"/>
          <w:color w:val="auto"/>
          <w:highlight w:val="none"/>
        </w:rPr>
        <w:t>投标文件的编制</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38EC12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3.7.1 </w:t>
      </w:r>
      <w:r>
        <w:rPr>
          <w:rFonts w:hint="eastAsia" w:ascii="宋体" w:hAnsi="宋体" w:cs="宋体"/>
          <w:color w:val="auto"/>
          <w:sz w:val="21"/>
          <w:szCs w:val="21"/>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4E91AC8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3.7.2 </w:t>
      </w:r>
      <w:r>
        <w:rPr>
          <w:rFonts w:hint="eastAsia" w:ascii="宋体" w:hAnsi="宋体" w:cs="宋体"/>
          <w:color w:val="auto"/>
          <w:sz w:val="21"/>
          <w:szCs w:val="21"/>
          <w:highlight w:val="none"/>
        </w:rPr>
        <w:t>投标文件应当对招标文件有关监理服务期限、投标有效期、委托人要求、招标范围等实质性内容作出响应。</w:t>
      </w:r>
    </w:p>
    <w:p w14:paraId="76F39445">
      <w:pPr>
        <w:spacing w:before="2" w:line="360" w:lineRule="auto"/>
        <w:ind w:left="5" w:right="46" w:firstLine="415"/>
        <w:rPr>
          <w:rFonts w:hint="eastAsia" w:ascii="宋体" w:hAnsi="宋体" w:cs="宋体"/>
          <w:color w:val="auto"/>
          <w:sz w:val="21"/>
          <w:szCs w:val="21"/>
          <w:highlight w:val="none"/>
        </w:rPr>
      </w:pPr>
      <w:r>
        <w:rPr>
          <w:rFonts w:hint="eastAsia" w:ascii="宋体" w:hAnsi="宋体" w:cs="宋体"/>
          <w:color w:val="auto"/>
          <w:sz w:val="21"/>
          <w:szCs w:val="21"/>
          <w:highlight w:val="none"/>
        </w:rPr>
        <w:t>3.7.3</w:t>
      </w: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w:t>
      </w:r>
      <w:r>
        <w:rPr>
          <w:rFonts w:hint="eastAsia" w:ascii="Times New Roman" w:hAnsi="Times New Roman" w:eastAsia="Times New Roman" w:cs="Times New Roman"/>
          <w:b/>
          <w:bCs/>
          <w:color w:val="auto"/>
          <w:spacing w:val="-2"/>
          <w:sz w:val="21"/>
          <w:szCs w:val="21"/>
          <w:highlight w:val="none"/>
          <w:u w:val="single"/>
        </w:rPr>
        <w:t>对投标文件</w:t>
      </w:r>
      <w:r>
        <w:rPr>
          <w:rFonts w:hint="eastAsia" w:ascii="Times New Roman" w:hAnsi="Times New Roman" w:eastAsia="Times New Roman" w:cs="Times New Roman"/>
          <w:color w:val="auto"/>
          <w:spacing w:val="-2"/>
          <w:sz w:val="21"/>
          <w:szCs w:val="21"/>
          <w:highlight w:val="none"/>
        </w:rPr>
        <w:t>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宋体" w:hAnsi="宋体" w:cs="宋体"/>
          <w:color w:val="auto"/>
          <w:sz w:val="21"/>
          <w:szCs w:val="21"/>
          <w:highlight w:val="none"/>
        </w:rPr>
        <w:t>。</w:t>
      </w:r>
    </w:p>
    <w:p w14:paraId="5083E16F">
      <w:pPr>
        <w:spacing w:before="2" w:line="360" w:lineRule="auto"/>
        <w:ind w:left="5" w:right="46" w:firstLine="415"/>
        <w:rPr>
          <w:rFonts w:hint="eastAsia" w:ascii="宋体" w:hAnsi="宋体" w:cs="宋体"/>
          <w:color w:val="auto"/>
          <w:sz w:val="21"/>
          <w:szCs w:val="21"/>
          <w:highlight w:val="none"/>
        </w:rPr>
      </w:pPr>
      <w:r>
        <w:rPr>
          <w:rFonts w:hint="eastAsia" w:ascii="Times New Roman" w:hAnsi="Times New Roman" w:eastAsia="Times New Roman" w:cs="Times New Roman"/>
          <w:b/>
          <w:bCs/>
          <w:color w:val="auto"/>
          <w:spacing w:val="-2"/>
          <w:sz w:val="21"/>
          <w:szCs w:val="21"/>
          <w:highlight w:val="none"/>
          <w:u w:val="single"/>
          <w:lang w:eastAsia="zh-CN"/>
        </w:rPr>
        <w:t>注：投标文件电子文档需要投标人单位盖章的材料，投标人加盖电子印章即可，不得将投标人未对电子文档加盖实物印章作为否决投标的情形。</w:t>
      </w:r>
    </w:p>
    <w:p w14:paraId="5A833FB5">
      <w:pPr>
        <w:spacing w:before="2" w:line="360" w:lineRule="auto"/>
        <w:ind w:left="5" w:right="46"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lang w:val="en-US" w:eastAsia="zh-CN"/>
        </w:rPr>
        <w:t>3.7.4联</w:t>
      </w:r>
      <w:r>
        <w:rPr>
          <w:rFonts w:hint="eastAsia" w:ascii="Times New Roman" w:hAnsi="Times New Roman" w:eastAsia="Times New Roman" w:cs="Times New Roman"/>
          <w:color w:val="auto"/>
          <w:spacing w:val="-2"/>
          <w:sz w:val="21"/>
          <w:szCs w:val="21"/>
          <w:highlight w:val="none"/>
        </w:rPr>
        <w:t>合体投标时，</w:t>
      </w:r>
      <w:r>
        <w:rPr>
          <w:rFonts w:hint="eastAsia" w:ascii="Times New Roman" w:hAnsi="Times New Roman" w:eastAsia="Times New Roman" w:cs="Times New Roman"/>
          <w:color w:val="auto"/>
          <w:spacing w:val="-2"/>
          <w:sz w:val="21"/>
          <w:szCs w:val="21"/>
          <w:highlight w:val="none"/>
          <w:lang w:eastAsia="zh-CN"/>
        </w:rPr>
        <w:t>投标人封面及其他内容落款中的“投标人”应填写联合体各方的单位全称【格式为：（主）XXXX公司（成）XXXX公司】。除</w:t>
      </w:r>
      <w:r>
        <w:rPr>
          <w:rFonts w:hint="eastAsia" w:ascii="Times New Roman" w:hAnsi="Times New Roman" w:eastAsia="Times New Roman" w:cs="Times New Roman"/>
          <w:color w:val="auto"/>
          <w:spacing w:val="-2"/>
          <w:sz w:val="21"/>
          <w:szCs w:val="21"/>
          <w:highlight w:val="none"/>
        </w:rPr>
        <w:t>联合体共同投标协议需联合体各方按要求共同盖章签字，其余可由联合体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签字、盖章即可，由联合体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法人签字的电子投标文件需提供</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法定代表人证明书，若由联合体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color w:val="auto"/>
          <w:spacing w:val="-2"/>
          <w:sz w:val="21"/>
          <w:szCs w:val="21"/>
          <w:highlight w:val="none"/>
          <w:lang w:eastAsia="zh-CN"/>
        </w:rPr>
        <w:t>扫描</w:t>
      </w:r>
      <w:r>
        <w:rPr>
          <w:rFonts w:hint="eastAsia" w:ascii="Times New Roman" w:hAnsi="Times New Roman" w:eastAsia="Times New Roman" w:cs="Times New Roman"/>
          <w:color w:val="auto"/>
          <w:spacing w:val="-2"/>
          <w:sz w:val="21"/>
          <w:szCs w:val="21"/>
          <w:highlight w:val="none"/>
        </w:rPr>
        <w:t>件。</w:t>
      </w:r>
    </w:p>
    <w:p w14:paraId="2CF31A0B">
      <w:pPr>
        <w:spacing w:line="360" w:lineRule="auto"/>
        <w:ind w:firstLine="412" w:firstLineChars="200"/>
        <w:rPr>
          <w:rFonts w:ascii="宋体" w:hAnsi="宋体" w:cs="宋体"/>
          <w:color w:val="auto"/>
          <w:sz w:val="21"/>
          <w:szCs w:val="21"/>
          <w:highlight w:val="none"/>
        </w:rPr>
      </w:pPr>
      <w:r>
        <w:rPr>
          <w:rFonts w:hint="eastAsia" w:ascii="Times New Roman" w:hAnsi="Times New Roman" w:eastAsia="Times New Roman" w:cs="Times New Roman"/>
          <w:color w:val="auto"/>
          <w:spacing w:val="-2"/>
          <w:sz w:val="21"/>
          <w:szCs w:val="21"/>
          <w:highlight w:val="none"/>
          <w:lang w:eastAsia="zh-CN"/>
        </w:rPr>
        <w:t>3.</w:t>
      </w:r>
      <w:r>
        <w:rPr>
          <w:rFonts w:hint="eastAsia" w:ascii="Times New Roman" w:hAnsi="Times New Roman" w:eastAsia="Times New Roman"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lang w:eastAsia="zh-CN"/>
        </w:rPr>
        <w:t>.</w:t>
      </w:r>
      <w:r>
        <w:rPr>
          <w:rFonts w:hint="eastAsia" w:ascii="Times New Roman" w:hAnsi="Times New Roman" w:eastAsia="Times New Roman" w:cs="Times New Roman"/>
          <w:color w:val="auto"/>
          <w:spacing w:val="-2"/>
          <w:sz w:val="21"/>
          <w:szCs w:val="21"/>
          <w:highlight w:val="none"/>
          <w:lang w:val="en-US" w:eastAsia="zh-CN"/>
        </w:rPr>
        <w:t xml:space="preserve">5   </w:t>
      </w:r>
      <w:r>
        <w:rPr>
          <w:rFonts w:hint="eastAsia" w:ascii="Times New Roman" w:hAnsi="Times New Roman" w:eastAsia="Times New Roman" w:cs="Times New Roman"/>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126F89BA">
      <w:pPr>
        <w:pStyle w:val="4"/>
        <w:bidi w:val="0"/>
        <w:spacing w:line="360" w:lineRule="auto"/>
        <w:rPr>
          <w:rFonts w:hint="eastAsia" w:ascii="宋体" w:hAnsi="宋体" w:eastAsia="宋体" w:cs="宋体"/>
          <w:b/>
          <w:bCs w:val="0"/>
          <w:color w:val="auto"/>
          <w:highlight w:val="none"/>
        </w:rPr>
      </w:pPr>
      <w:bookmarkStart w:id="592" w:name="_Toc21775"/>
      <w:bookmarkStart w:id="593" w:name="_Toc12822"/>
      <w:bookmarkStart w:id="594" w:name="_Toc28166"/>
      <w:bookmarkStart w:id="595" w:name="_Toc1464"/>
      <w:bookmarkStart w:id="596" w:name="_Toc5182"/>
      <w:bookmarkStart w:id="597" w:name="_Toc10101"/>
      <w:bookmarkStart w:id="598" w:name="_Toc19566"/>
      <w:bookmarkStart w:id="599" w:name="_Toc23870"/>
      <w:bookmarkStart w:id="600" w:name="_Toc12982"/>
      <w:bookmarkStart w:id="601" w:name="_Toc14859"/>
      <w:bookmarkStart w:id="602" w:name="_Toc31038"/>
      <w:bookmarkStart w:id="603" w:name="_Toc5686"/>
      <w:bookmarkStart w:id="604" w:name="_Toc26827"/>
      <w:bookmarkStart w:id="605" w:name="_Toc26591"/>
      <w:bookmarkStart w:id="606" w:name="_Toc4721"/>
      <w:bookmarkStart w:id="607" w:name="_Toc21641"/>
      <w:bookmarkStart w:id="608" w:name="_Toc5866"/>
      <w:bookmarkStart w:id="609" w:name="_Toc31476"/>
      <w:bookmarkStart w:id="610" w:name="_Toc492300591"/>
      <w:r>
        <w:rPr>
          <w:rFonts w:hint="eastAsia" w:ascii="宋体" w:hAnsi="宋体" w:eastAsia="宋体" w:cs="宋体"/>
          <w:b/>
          <w:bCs w:val="0"/>
          <w:color w:val="auto"/>
          <w:highlight w:val="none"/>
        </w:rPr>
        <w:t>4. 投标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6DE2A88">
      <w:pPr>
        <w:pStyle w:val="5"/>
        <w:bidi w:val="0"/>
        <w:spacing w:line="360" w:lineRule="auto"/>
        <w:rPr>
          <w:color w:val="auto"/>
          <w:highlight w:val="none"/>
        </w:rPr>
      </w:pPr>
      <w:bookmarkStart w:id="611" w:name="_Toc24517"/>
      <w:bookmarkStart w:id="612" w:name="_Toc22613"/>
      <w:bookmarkStart w:id="613" w:name="_Toc5289"/>
      <w:bookmarkStart w:id="614" w:name="_Toc1661"/>
      <w:bookmarkStart w:id="615" w:name="_Toc27005"/>
      <w:bookmarkStart w:id="616" w:name="_Toc31622"/>
      <w:bookmarkStart w:id="617" w:name="_Toc16071"/>
      <w:bookmarkStart w:id="618" w:name="_Toc30121"/>
      <w:bookmarkStart w:id="619" w:name="_Toc13412"/>
      <w:bookmarkStart w:id="620" w:name="_Toc195"/>
      <w:bookmarkStart w:id="621" w:name="_Toc30488"/>
      <w:bookmarkStart w:id="622" w:name="_Toc30207"/>
      <w:bookmarkStart w:id="623" w:name="_Toc492300592"/>
      <w:bookmarkStart w:id="624" w:name="_Toc8288"/>
      <w:bookmarkStart w:id="625" w:name="_Toc26160"/>
      <w:bookmarkStart w:id="626" w:name="_Toc20798"/>
      <w:bookmarkStart w:id="627" w:name="_Toc28645"/>
      <w:bookmarkStart w:id="628" w:name="_Toc2284"/>
      <w:bookmarkStart w:id="629" w:name="_Toc11175"/>
      <w:r>
        <w:rPr>
          <w:color w:val="auto"/>
          <w:highlight w:val="none"/>
        </w:rPr>
        <w:t xml:space="preserve">4.1 </w:t>
      </w:r>
      <w:r>
        <w:rPr>
          <w:rFonts w:hint="eastAsia"/>
          <w:color w:val="auto"/>
          <w:highlight w:val="none"/>
        </w:rPr>
        <w:t>投标文件的密封和标记</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30BAEC6">
      <w:pPr>
        <w:pStyle w:val="2"/>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4.1.1</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投标人应当按照招标文件和电子招标投标交易平台的要求加密投标文件</w:t>
      </w:r>
      <w:r>
        <w:rPr>
          <w:rFonts w:hint="eastAsia" w:ascii="宋体" w:hAnsi="宋体" w:eastAsia="宋体" w:cs="Times New Roman"/>
          <w:color w:val="auto"/>
          <w:highlight w:val="none"/>
          <w:lang w:eastAsia="zh-CN"/>
        </w:rPr>
        <w:t>（不含备用光盘）</w:t>
      </w:r>
      <w:r>
        <w:rPr>
          <w:rFonts w:ascii="宋体" w:hAnsi="宋体" w:eastAsia="宋体" w:cs="Times New Roman"/>
          <w:color w:val="auto"/>
          <w:highlight w:val="none"/>
        </w:rPr>
        <w:t>，具体要求见投标人须知前附表。</w:t>
      </w:r>
    </w:p>
    <w:p w14:paraId="6B600B2B">
      <w:pPr>
        <w:pStyle w:val="2"/>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 xml:space="preserve">4.1.2 </w:t>
      </w:r>
      <w:r>
        <w:rPr>
          <w:rFonts w:hint="eastAsia" w:ascii="宋体" w:hAnsi="宋体" w:eastAsia="宋体" w:cs="Times New Roman"/>
          <w:color w:val="auto"/>
          <w:highlight w:val="none"/>
          <w:lang w:eastAsia="zh-CN"/>
        </w:rPr>
        <w:t>（如有）</w:t>
      </w:r>
      <w:r>
        <w:rPr>
          <w:rFonts w:ascii="宋体" w:hAnsi="宋体" w:eastAsia="宋体" w:cs="Times New Roman"/>
          <w:color w:val="auto"/>
          <w:highlight w:val="none"/>
        </w:rPr>
        <w:t>投标文件</w:t>
      </w:r>
      <w:r>
        <w:rPr>
          <w:rFonts w:hint="eastAsia" w:ascii="宋体" w:hAnsi="宋体" w:eastAsia="宋体" w:cs="Times New Roman"/>
          <w:color w:val="auto"/>
          <w:highlight w:val="none"/>
          <w:lang w:eastAsia="zh-CN"/>
        </w:rPr>
        <w:t>备用光盘</w:t>
      </w:r>
      <w:r>
        <w:rPr>
          <w:rFonts w:ascii="宋体" w:hAnsi="宋体" w:eastAsia="宋体" w:cs="Times New Roman"/>
          <w:color w:val="auto"/>
          <w:highlight w:val="none"/>
        </w:rPr>
        <w:t>封套上应写明的内容见投标人须知前附表。</w:t>
      </w:r>
    </w:p>
    <w:p w14:paraId="599AB297">
      <w:pPr>
        <w:pStyle w:val="2"/>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4.1.3 未按本章</w:t>
      </w:r>
      <w:r>
        <w:rPr>
          <w:rFonts w:hint="eastAsia" w:ascii="宋体" w:hAnsi="宋体" w:eastAsia="宋体" w:cs="Times New Roman"/>
          <w:color w:val="auto"/>
          <w:highlight w:val="none"/>
          <w:lang w:eastAsia="zh-CN"/>
        </w:rPr>
        <w:t>第 4.1.1 项要求加密</w:t>
      </w:r>
      <w:r>
        <w:rPr>
          <w:rFonts w:ascii="宋体" w:hAnsi="宋体" w:eastAsia="宋体" w:cs="Times New Roman"/>
          <w:color w:val="auto"/>
          <w:highlight w:val="none"/>
        </w:rPr>
        <w:t>的投标文件，招标人将</w:t>
      </w:r>
      <w:r>
        <w:rPr>
          <w:rFonts w:hint="eastAsia" w:ascii="宋体" w:hAnsi="宋体" w:eastAsia="宋体" w:cs="Times New Roman"/>
          <w:color w:val="auto"/>
          <w:highlight w:val="none"/>
          <w:lang w:eastAsia="zh-CN"/>
        </w:rPr>
        <w:t>授权</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网站交易</w:t>
      </w:r>
      <w:r>
        <w:rPr>
          <w:rFonts w:hint="eastAsia" w:ascii="宋体" w:hAnsi="宋体" w:eastAsia="宋体" w:cs="Times New Roman"/>
          <w:color w:val="auto"/>
          <w:highlight w:val="none"/>
        </w:rPr>
        <w:t>平台</w:t>
      </w:r>
      <w:r>
        <w:rPr>
          <w:rFonts w:ascii="宋体" w:hAnsi="宋体" w:eastAsia="宋体" w:cs="Times New Roman"/>
          <w:color w:val="auto"/>
          <w:highlight w:val="none"/>
        </w:rPr>
        <w:t>予以拒收。</w:t>
      </w:r>
    </w:p>
    <w:p w14:paraId="168D799B">
      <w:pPr>
        <w:spacing w:line="360" w:lineRule="auto"/>
        <w:ind w:firstLine="420" w:firstLineChars="200"/>
        <w:rPr>
          <w:rFonts w:ascii="宋体" w:hAnsi="宋体" w:cs="宋体"/>
          <w:color w:val="auto"/>
          <w:sz w:val="21"/>
          <w:szCs w:val="21"/>
          <w:highlight w:val="none"/>
        </w:rPr>
      </w:pPr>
    </w:p>
    <w:p w14:paraId="50238AC3">
      <w:pPr>
        <w:pStyle w:val="5"/>
        <w:bidi w:val="0"/>
        <w:spacing w:line="360" w:lineRule="auto"/>
        <w:rPr>
          <w:color w:val="auto"/>
          <w:highlight w:val="none"/>
        </w:rPr>
      </w:pPr>
      <w:bookmarkStart w:id="630" w:name="_Toc16614"/>
      <w:bookmarkStart w:id="631" w:name="_Toc21455"/>
      <w:bookmarkStart w:id="632" w:name="_Toc27247"/>
      <w:bookmarkStart w:id="633" w:name="_Toc8634"/>
      <w:bookmarkStart w:id="634" w:name="_Toc12842"/>
      <w:bookmarkStart w:id="635" w:name="_Toc9789"/>
      <w:bookmarkStart w:id="636" w:name="_Toc3235"/>
      <w:bookmarkStart w:id="637" w:name="_Toc2950"/>
      <w:bookmarkStart w:id="638" w:name="_Toc492300593"/>
      <w:bookmarkStart w:id="639" w:name="_Toc12700"/>
      <w:bookmarkStart w:id="640" w:name="_Toc12173"/>
      <w:bookmarkStart w:id="641" w:name="_Toc29912"/>
      <w:bookmarkStart w:id="642" w:name="_Toc22506"/>
      <w:bookmarkStart w:id="643" w:name="_Toc11549"/>
      <w:bookmarkStart w:id="644" w:name="_Toc12448"/>
      <w:bookmarkStart w:id="645" w:name="_Toc8542"/>
      <w:bookmarkStart w:id="646" w:name="_Toc32479"/>
      <w:bookmarkStart w:id="647" w:name="_Toc1921"/>
      <w:bookmarkStart w:id="648" w:name="_Toc18806"/>
      <w:r>
        <w:rPr>
          <w:color w:val="auto"/>
          <w:highlight w:val="none"/>
        </w:rPr>
        <w:t xml:space="preserve">4.2 </w:t>
      </w:r>
      <w:r>
        <w:rPr>
          <w:rFonts w:hint="eastAsia"/>
          <w:color w:val="auto"/>
          <w:highlight w:val="none"/>
        </w:rPr>
        <w:t>投标文件的递交</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DB38051">
      <w:pPr>
        <w:pStyle w:val="2"/>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4.2.1 投标人应在投标人须知前附表规定的投标截止时间前</w:t>
      </w:r>
      <w:r>
        <w:rPr>
          <w:rFonts w:hint="eastAsia" w:ascii="宋体" w:hAnsi="宋体" w:eastAsia="宋体" w:cs="Times New Roman"/>
          <w:color w:val="auto"/>
          <w:highlight w:val="none"/>
        </w:rPr>
        <w:t>通过</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交易平台递交电子投标文件</w:t>
      </w:r>
      <w:r>
        <w:rPr>
          <w:rFonts w:ascii="宋体" w:hAnsi="宋体" w:eastAsia="宋体" w:cs="Times New Roman"/>
          <w:color w:val="auto"/>
          <w:highlight w:val="none"/>
        </w:rPr>
        <w:t>。</w:t>
      </w:r>
    </w:p>
    <w:p w14:paraId="4F1C6667">
      <w:pPr>
        <w:pStyle w:val="2"/>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4.2.2</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投标人完成电子投标文件上传后，</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交易平台即时向投标人发出递交回执通知。递交时间以递交回执通知载明的传输完成时间为准</w:t>
      </w:r>
      <w:r>
        <w:rPr>
          <w:rFonts w:ascii="宋体" w:hAnsi="宋体" w:eastAsia="宋体" w:cs="Times New Roman"/>
          <w:color w:val="auto"/>
          <w:highlight w:val="none"/>
        </w:rPr>
        <w:t>。</w:t>
      </w:r>
    </w:p>
    <w:p w14:paraId="517D7834">
      <w:pPr>
        <w:pStyle w:val="2"/>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 xml:space="preserve">4.2.3 </w:t>
      </w:r>
      <w:r>
        <w:rPr>
          <w:rFonts w:hint="eastAsia" w:ascii="宋体" w:hAnsi="宋体" w:eastAsia="宋体" w:cs="Times New Roman"/>
          <w:color w:val="auto"/>
          <w:highlight w:val="none"/>
        </w:rPr>
        <w:t>逾期送达的电子投标文件，</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交易平台将予以拒收。</w:t>
      </w:r>
    </w:p>
    <w:p w14:paraId="1B1C8E01">
      <w:pPr>
        <w:spacing w:line="360"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4.2.</w:t>
      </w:r>
      <w:r>
        <w:rPr>
          <w:rFonts w:hint="eastAsia" w:ascii="宋体" w:hAnsi="宋体" w:eastAsia="宋体" w:cs="Times New Roman"/>
          <w:color w:val="auto"/>
          <w:highlight w:val="none"/>
          <w:lang w:val="en-US" w:eastAsia="zh-CN"/>
        </w:rPr>
        <w:t xml:space="preserve">4 </w:t>
      </w:r>
      <w:r>
        <w:rPr>
          <w:rFonts w:hint="eastAsia" w:ascii="宋体" w:hAnsi="宋体" w:eastAsia="宋体" w:cs="Times New Roman"/>
          <w:color w:val="auto"/>
          <w:highlight w:val="none"/>
        </w:rPr>
        <w:t>投标截止前，招标人拒绝接收符合条件的投标文件，投标人可向招标监督机构投</w:t>
      </w:r>
      <w:r>
        <w:rPr>
          <w:rFonts w:hint="eastAsia" w:ascii="宋体" w:hAnsi="宋体" w:eastAsia="宋体" w:cs="Times New Roman"/>
          <w:color w:val="auto"/>
          <w:highlight w:val="none"/>
          <w:lang w:eastAsia="zh-CN"/>
        </w:rPr>
        <w:t>诉</w:t>
      </w:r>
      <w:r>
        <w:rPr>
          <w:rFonts w:ascii="宋体" w:hAnsi="宋体" w:eastAsia="宋体" w:cs="Times New Roman"/>
          <w:color w:val="auto"/>
          <w:highlight w:val="none"/>
        </w:rPr>
        <w:t>。</w:t>
      </w:r>
    </w:p>
    <w:p w14:paraId="7B61B883">
      <w:pPr>
        <w:pStyle w:val="8"/>
        <w:spacing w:line="360" w:lineRule="auto"/>
        <w:rPr>
          <w:color w:val="auto"/>
          <w:highlight w:val="none"/>
        </w:rPr>
      </w:pPr>
    </w:p>
    <w:p w14:paraId="516259EA">
      <w:pPr>
        <w:pStyle w:val="5"/>
        <w:bidi w:val="0"/>
        <w:spacing w:line="360" w:lineRule="auto"/>
        <w:rPr>
          <w:color w:val="auto"/>
          <w:highlight w:val="none"/>
        </w:rPr>
      </w:pPr>
      <w:bookmarkStart w:id="649" w:name="_Toc16702"/>
      <w:bookmarkStart w:id="650" w:name="_Toc16381"/>
      <w:bookmarkStart w:id="651" w:name="_Toc1455"/>
      <w:bookmarkStart w:id="652" w:name="_Toc17532"/>
      <w:bookmarkStart w:id="653" w:name="_Toc492300594"/>
      <w:bookmarkStart w:id="654" w:name="_Toc3485"/>
      <w:bookmarkStart w:id="655" w:name="_Toc26387"/>
      <w:bookmarkStart w:id="656" w:name="_Toc22854"/>
      <w:bookmarkStart w:id="657" w:name="_Toc30869"/>
      <w:bookmarkStart w:id="658" w:name="_Toc27682"/>
      <w:bookmarkStart w:id="659" w:name="_Toc8217"/>
      <w:bookmarkStart w:id="660" w:name="_Toc31944"/>
      <w:bookmarkStart w:id="661" w:name="_Toc23826"/>
      <w:bookmarkStart w:id="662" w:name="_Toc882"/>
      <w:bookmarkStart w:id="663" w:name="_Toc26319"/>
      <w:bookmarkStart w:id="664" w:name="_Toc9147"/>
      <w:bookmarkStart w:id="665" w:name="_Toc26046"/>
      <w:bookmarkStart w:id="666" w:name="_Toc15299"/>
      <w:bookmarkStart w:id="667" w:name="_Toc4752"/>
      <w:r>
        <w:rPr>
          <w:color w:val="auto"/>
          <w:highlight w:val="none"/>
        </w:rPr>
        <w:t xml:space="preserve">4.3 </w:t>
      </w:r>
      <w:r>
        <w:rPr>
          <w:rFonts w:hint="eastAsia"/>
          <w:color w:val="auto"/>
          <w:highlight w:val="none"/>
        </w:rPr>
        <w:t>投标文件的修改与撤回</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68973D9E">
      <w:pPr>
        <w:spacing w:before="68" w:line="360"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4.3.1 在规定的投标截止时间前， 投标人可以修改或撤回已递交的投标文件， 但应以书面形式通知招标人。</w:t>
      </w:r>
    </w:p>
    <w:p w14:paraId="7EAC75C8">
      <w:pPr>
        <w:spacing w:before="1" w:line="360" w:lineRule="auto"/>
        <w:ind w:left="1" w:right="60" w:firstLine="415"/>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4.3.2 投标人修改或撤回已递交投标文件，需在交易平台发出修改或撤回通知，并按要求加盖电子印章。电子招标投标交易平台收到通知后，即时向投标人发出确认回执通知。</w:t>
      </w:r>
    </w:p>
    <w:p w14:paraId="4CBB5AA8">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4.3.3 修改后再次递交的，按第4.2项的规定执行。</w:t>
      </w:r>
    </w:p>
    <w:p w14:paraId="33443C3C">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4.3.4 在投标截止时间之后，投标人不得补充、修改和更换投标文件。</w:t>
      </w:r>
    </w:p>
    <w:p w14:paraId="79D33F90">
      <w:pPr>
        <w:spacing w:line="360" w:lineRule="auto"/>
        <w:ind w:firstLine="420" w:firstLineChars="200"/>
        <w:rPr>
          <w:rFonts w:ascii="宋体" w:hAnsi="宋体" w:cs="宋体"/>
          <w:color w:val="auto"/>
          <w:sz w:val="21"/>
          <w:szCs w:val="21"/>
          <w:highlight w:val="none"/>
        </w:rPr>
      </w:pPr>
      <w:r>
        <w:rPr>
          <w:rFonts w:hint="eastAsia" w:ascii="宋体" w:hAnsi="宋体" w:eastAsia="宋体" w:cs="Times New Roman"/>
          <w:color w:val="auto"/>
          <w:sz w:val="21"/>
          <w:highlight w:val="none"/>
          <w:lang w:val="en-US" w:eastAsia="zh-CN" w:bidi="ar-SA"/>
        </w:rPr>
        <w:t>4.3.5 投标人撤回投标文件的，招标人自收到投标人书面撤回通知之日起 5 日内退还已收取的投标保证金</w:t>
      </w:r>
      <w:r>
        <w:rPr>
          <w:rFonts w:hint="eastAsia" w:ascii="宋体" w:hAnsi="宋体" w:cs="宋体"/>
          <w:color w:val="auto"/>
          <w:sz w:val="21"/>
          <w:szCs w:val="21"/>
          <w:highlight w:val="none"/>
        </w:rPr>
        <w:t>。</w:t>
      </w:r>
    </w:p>
    <w:p w14:paraId="339BEA37">
      <w:pPr>
        <w:pStyle w:val="4"/>
        <w:bidi w:val="0"/>
        <w:spacing w:line="360" w:lineRule="auto"/>
        <w:rPr>
          <w:rFonts w:hint="eastAsia" w:ascii="宋体" w:hAnsi="宋体" w:eastAsia="宋体" w:cs="宋体"/>
          <w:b/>
          <w:bCs w:val="0"/>
          <w:color w:val="auto"/>
          <w:highlight w:val="none"/>
        </w:rPr>
      </w:pPr>
      <w:bookmarkStart w:id="668" w:name="_Toc18317"/>
      <w:bookmarkStart w:id="669" w:name="_Toc18056"/>
      <w:bookmarkStart w:id="670" w:name="_Toc22040"/>
      <w:bookmarkStart w:id="671" w:name="_Toc266"/>
      <w:bookmarkStart w:id="672" w:name="_Toc26783"/>
      <w:bookmarkStart w:id="673" w:name="_Toc25847"/>
      <w:bookmarkStart w:id="674" w:name="_Toc24815"/>
      <w:bookmarkStart w:id="675" w:name="_Toc27199"/>
      <w:bookmarkStart w:id="676" w:name="_Toc17579"/>
      <w:bookmarkStart w:id="677" w:name="_Toc24926"/>
      <w:bookmarkStart w:id="678" w:name="_Toc20390"/>
      <w:bookmarkStart w:id="679" w:name="_Toc19839"/>
      <w:bookmarkStart w:id="680" w:name="_Toc1586"/>
      <w:bookmarkStart w:id="681" w:name="_Toc3924"/>
      <w:bookmarkStart w:id="682" w:name="_Toc614"/>
      <w:bookmarkStart w:id="683" w:name="_Toc26810"/>
      <w:bookmarkStart w:id="684" w:name="_Toc12919"/>
      <w:bookmarkStart w:id="685" w:name="_Toc492300595"/>
      <w:bookmarkStart w:id="686" w:name="_Toc453"/>
      <w:r>
        <w:rPr>
          <w:rFonts w:hint="eastAsia" w:ascii="宋体" w:hAnsi="宋体" w:eastAsia="宋体" w:cs="宋体"/>
          <w:b/>
          <w:bCs w:val="0"/>
          <w:color w:val="auto"/>
          <w:highlight w:val="none"/>
        </w:rPr>
        <w:t>5. 开标</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A2780BA">
      <w:pPr>
        <w:pStyle w:val="5"/>
        <w:bidi w:val="0"/>
        <w:spacing w:line="360" w:lineRule="auto"/>
        <w:rPr>
          <w:color w:val="auto"/>
          <w:highlight w:val="none"/>
        </w:rPr>
      </w:pPr>
      <w:bookmarkStart w:id="687" w:name="_Toc20139"/>
      <w:bookmarkStart w:id="688" w:name="_Toc14648"/>
      <w:bookmarkStart w:id="689" w:name="_Toc1027"/>
      <w:bookmarkStart w:id="690" w:name="_Toc24094"/>
      <w:bookmarkStart w:id="691" w:name="_Toc24387"/>
      <w:bookmarkStart w:id="692" w:name="_Toc31439"/>
      <w:bookmarkStart w:id="693" w:name="_Toc23813"/>
      <w:bookmarkStart w:id="694" w:name="_Toc21586"/>
      <w:bookmarkStart w:id="695" w:name="_Toc16297"/>
      <w:bookmarkStart w:id="696" w:name="_Toc29654"/>
      <w:bookmarkStart w:id="697" w:name="_Toc32584"/>
      <w:bookmarkStart w:id="698" w:name="_Toc15929"/>
      <w:bookmarkStart w:id="699" w:name="_Toc3269"/>
      <w:bookmarkStart w:id="700" w:name="_Toc7330"/>
      <w:bookmarkStart w:id="701" w:name="_Toc492300597"/>
      <w:bookmarkStart w:id="702" w:name="_Toc7349"/>
      <w:bookmarkStart w:id="703" w:name="_Toc10875"/>
      <w:bookmarkStart w:id="704" w:name="_Toc27378"/>
      <w:bookmarkStart w:id="705" w:name="_Toc8341"/>
      <w:r>
        <w:rPr>
          <w:color w:val="auto"/>
          <w:highlight w:val="none"/>
        </w:rPr>
        <w:t xml:space="preserve">5.1 </w:t>
      </w:r>
      <w:r>
        <w:rPr>
          <w:rFonts w:hint="eastAsia"/>
          <w:color w:val="auto"/>
          <w:highlight w:val="none"/>
        </w:rPr>
        <w:t>开标时间和地点</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5BFD9316">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5.1.1 招标人按投标须知前附表规定的时间和地点公开开标。截标后，开标开始时间因故推迟的，相关评标信息仍以原定的开标开始时间的信息为准。</w:t>
      </w:r>
    </w:p>
    <w:p w14:paraId="7FFABD2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Times New Roman"/>
          <w:color w:val="auto"/>
          <w:sz w:val="21"/>
          <w:highlight w:val="none"/>
          <w:lang w:val="en-US" w:eastAsia="zh-CN" w:bidi="ar-SA"/>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r>
        <w:rPr>
          <w:rFonts w:hint="eastAsia" w:ascii="宋体" w:hAnsi="宋体" w:cs="宋体"/>
          <w:color w:val="auto"/>
          <w:sz w:val="21"/>
          <w:szCs w:val="21"/>
          <w:highlight w:val="none"/>
          <w:lang w:eastAsia="zh-CN"/>
        </w:rPr>
        <w:t>。</w:t>
      </w:r>
    </w:p>
    <w:p w14:paraId="1EA95DB4">
      <w:pPr>
        <w:pStyle w:val="5"/>
        <w:bidi w:val="0"/>
        <w:spacing w:line="360" w:lineRule="auto"/>
        <w:rPr>
          <w:color w:val="auto"/>
          <w:highlight w:val="none"/>
        </w:rPr>
      </w:pPr>
      <w:bookmarkStart w:id="706" w:name="_Toc30900"/>
      <w:bookmarkStart w:id="707" w:name="_Toc24327"/>
      <w:bookmarkStart w:id="708" w:name="_Toc22409"/>
      <w:bookmarkStart w:id="709" w:name="_Toc14200"/>
      <w:bookmarkStart w:id="710" w:name="_Toc13430"/>
      <w:bookmarkStart w:id="711" w:name="_Toc24429"/>
      <w:bookmarkStart w:id="712" w:name="_Toc492300598"/>
      <w:bookmarkStart w:id="713" w:name="_Toc27222"/>
      <w:bookmarkStart w:id="714" w:name="_Toc18203"/>
      <w:bookmarkStart w:id="715" w:name="_Toc20423"/>
      <w:bookmarkStart w:id="716" w:name="_Toc17353"/>
      <w:bookmarkStart w:id="717" w:name="_Toc2757"/>
      <w:bookmarkStart w:id="718" w:name="_Toc1630"/>
      <w:bookmarkStart w:id="719" w:name="_Toc1756"/>
      <w:bookmarkStart w:id="720" w:name="_Toc26133"/>
      <w:bookmarkStart w:id="721" w:name="_Toc1229"/>
      <w:bookmarkStart w:id="722" w:name="_Toc1866"/>
      <w:bookmarkStart w:id="723" w:name="_Toc25527"/>
      <w:bookmarkStart w:id="724" w:name="_Toc21132"/>
      <w:r>
        <w:rPr>
          <w:color w:val="auto"/>
          <w:highlight w:val="none"/>
        </w:rPr>
        <w:t xml:space="preserve">5.2 </w:t>
      </w:r>
      <w:r>
        <w:rPr>
          <w:rFonts w:hint="eastAsia"/>
          <w:color w:val="auto"/>
          <w:highlight w:val="none"/>
        </w:rPr>
        <w:t>开标程序</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B41B441">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5.2.1 在投标截止时间后</w:t>
      </w:r>
      <w:r>
        <w:rPr>
          <w:rFonts w:hint="eastAsia" w:ascii="宋体" w:hAnsi="宋体" w:eastAsia="宋体" w:cs="Times New Roman"/>
          <w:color w:val="auto"/>
          <w:sz w:val="21"/>
          <w:highlight w:val="none"/>
          <w:u w:val="single"/>
          <w:lang w:val="en-US" w:eastAsia="zh-CN" w:bidi="ar-SA"/>
        </w:rPr>
        <w:t>一小时</w:t>
      </w:r>
      <w:r>
        <w:rPr>
          <w:rFonts w:hint="eastAsia" w:ascii="宋体" w:hAnsi="宋体" w:eastAsia="宋体" w:cs="Times New Roman"/>
          <w:color w:val="auto"/>
          <w:sz w:val="21"/>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46978B24">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5.2.2 按开标记录表规定的内容进行唱标。</w:t>
      </w:r>
    </w:p>
    <w:p w14:paraId="31B2D739">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5.2.3 投标人代表、招标人代表等有关人员在开标记录上签字确认；若有关人员不签字的，不影响开标程序。</w:t>
      </w:r>
    </w:p>
    <w:p w14:paraId="31F1CA57">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5.2.4 开标结束。</w:t>
      </w:r>
    </w:p>
    <w:p w14:paraId="23C56BC0">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3428CF0">
      <w:pPr>
        <w:spacing w:line="360"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5.2.6 开标时，两个（含两个）以上的投标人加密打包投标文件的硬件特征码（含MAC地址、硬盘序列号、CPU名称、主板等）一致的，由评标委员会否决其投标。</w:t>
      </w:r>
    </w:p>
    <w:p w14:paraId="4352B239">
      <w:pPr>
        <w:pStyle w:val="8"/>
        <w:spacing w:line="360" w:lineRule="auto"/>
        <w:rPr>
          <w:rFonts w:hint="eastAsia"/>
          <w:color w:val="auto"/>
          <w:highlight w:val="none"/>
        </w:rPr>
      </w:pPr>
    </w:p>
    <w:p w14:paraId="54CF7664">
      <w:pPr>
        <w:pStyle w:val="5"/>
        <w:bidi w:val="0"/>
        <w:spacing w:line="360" w:lineRule="auto"/>
        <w:rPr>
          <w:color w:val="auto"/>
          <w:highlight w:val="none"/>
        </w:rPr>
      </w:pPr>
      <w:bookmarkStart w:id="725" w:name="_Toc8923"/>
      <w:bookmarkStart w:id="726" w:name="_Toc9628"/>
      <w:bookmarkStart w:id="727" w:name="_Toc12797"/>
      <w:bookmarkStart w:id="728" w:name="_Toc15625"/>
      <w:bookmarkStart w:id="729" w:name="_Toc30713"/>
      <w:bookmarkStart w:id="730" w:name="_Toc16728"/>
      <w:bookmarkStart w:id="731" w:name="_Toc13905"/>
      <w:bookmarkStart w:id="732" w:name="_Toc7906"/>
      <w:bookmarkStart w:id="733" w:name="_Toc23605"/>
      <w:bookmarkStart w:id="734" w:name="_Toc492300599"/>
      <w:bookmarkStart w:id="735" w:name="_Toc22136"/>
      <w:bookmarkStart w:id="736" w:name="_Toc17039"/>
      <w:bookmarkStart w:id="737" w:name="_Toc26239"/>
      <w:bookmarkStart w:id="738" w:name="_Toc23754"/>
      <w:bookmarkStart w:id="739" w:name="_Toc13616"/>
      <w:bookmarkStart w:id="740" w:name="_Toc27376"/>
      <w:bookmarkStart w:id="741" w:name="_Toc15293"/>
      <w:bookmarkStart w:id="742" w:name="_Toc18350"/>
      <w:bookmarkStart w:id="743" w:name="_Toc18122"/>
      <w:r>
        <w:rPr>
          <w:color w:val="auto"/>
          <w:highlight w:val="none"/>
        </w:rPr>
        <w:t xml:space="preserve">5.3 </w:t>
      </w:r>
      <w:r>
        <w:rPr>
          <w:rFonts w:hint="eastAsia"/>
          <w:color w:val="auto"/>
          <w:highlight w:val="none"/>
        </w:rPr>
        <w:t>开标异议</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53780681">
      <w:pPr>
        <w:pageBreakBefore w:val="0"/>
        <w:wordWrap/>
        <w:topLinePunct w:val="0"/>
        <w:autoSpaceDE w:val="0"/>
        <w:autoSpaceDN w:val="0"/>
        <w:bidi w:val="0"/>
        <w:adjustRightInd/>
        <w:snapToGrid/>
        <w:spacing w:line="360" w:lineRule="auto"/>
        <w:ind w:firstLine="420" w:firstLineChars="200"/>
        <w:jc w:val="both"/>
        <w:textAlignment w:val="auto"/>
        <w:rPr>
          <w:rFonts w:hint="eastAsia"/>
          <w:color w:val="auto"/>
          <w:sz w:val="21"/>
          <w:szCs w:val="21"/>
          <w:highlight w:val="none"/>
        </w:rPr>
      </w:pPr>
      <w:r>
        <w:rPr>
          <w:color w:val="auto"/>
          <w:sz w:val="21"/>
          <w:szCs w:val="21"/>
          <w:highlight w:val="none"/>
        </w:rPr>
        <w:t>5.3.</w:t>
      </w:r>
      <w:r>
        <w:rPr>
          <w:rFonts w:hint="eastAsia"/>
          <w:color w:val="auto"/>
          <w:sz w:val="21"/>
          <w:szCs w:val="21"/>
          <w:highlight w:val="none"/>
        </w:rPr>
        <w:t>1</w:t>
      </w:r>
      <w:r>
        <w:rPr>
          <w:rFonts w:hint="eastAsia"/>
          <w:color w:val="auto"/>
          <w:sz w:val="21"/>
          <w:szCs w:val="21"/>
          <w:highlight w:val="none"/>
          <w:lang w:val="en-US" w:eastAsia="zh-CN"/>
        </w:rPr>
        <w:t xml:space="preserve"> </w:t>
      </w:r>
      <w:r>
        <w:rPr>
          <w:rFonts w:hint="eastAsia"/>
          <w:color w:val="auto"/>
          <w:sz w:val="21"/>
          <w:szCs w:val="21"/>
          <w:highlight w:val="none"/>
        </w:rPr>
        <w:t>参加现场开标的投标人对开标结果有异议的，应当在开标现场提出，该投标人代表须同时出示本人身份证原件，招标人应当当场作出答复，并制作记录。未答复的，开标程序不得结束。</w:t>
      </w:r>
    </w:p>
    <w:p w14:paraId="1AA46FE2">
      <w:pPr>
        <w:spacing w:before="2" w:line="360" w:lineRule="auto"/>
        <w:ind w:left="18" w:right="60" w:firstLine="397"/>
        <w:rPr>
          <w:rFonts w:hint="eastAsia"/>
          <w:color w:val="auto"/>
          <w:sz w:val="21"/>
          <w:szCs w:val="21"/>
          <w:highlight w:val="none"/>
        </w:rPr>
      </w:pPr>
      <w:r>
        <w:rPr>
          <w:color w:val="auto"/>
          <w:sz w:val="21"/>
          <w:szCs w:val="21"/>
          <w:highlight w:val="none"/>
        </w:rPr>
        <w:t>5.3.</w:t>
      </w:r>
      <w:r>
        <w:rPr>
          <w:rFonts w:hint="eastAsia"/>
          <w:color w:val="auto"/>
          <w:sz w:val="21"/>
          <w:szCs w:val="21"/>
          <w:highlight w:val="none"/>
        </w:rPr>
        <w:t>2</w:t>
      </w:r>
      <w:r>
        <w:rPr>
          <w:rFonts w:hint="eastAsia"/>
          <w:color w:val="auto"/>
          <w:sz w:val="21"/>
          <w:szCs w:val="21"/>
          <w:highlight w:val="none"/>
          <w:lang w:val="en-US" w:eastAsia="zh-CN"/>
        </w:rPr>
        <w:t xml:space="preserve"> </w:t>
      </w:r>
      <w:r>
        <w:rPr>
          <w:rFonts w:hint="eastAsia"/>
          <w:color w:val="auto"/>
          <w:sz w:val="21"/>
          <w:szCs w:val="21"/>
          <w:highlight w:val="none"/>
        </w:rPr>
        <w:t>参加在线开标的投标人对开标结果有异议的，应当在唱标结束后的规定时间内使用单位数字证书登</w:t>
      </w:r>
      <w:r>
        <w:rPr>
          <w:rFonts w:hint="eastAsia" w:ascii="Times New Roman" w:hAnsi="Times New Roman" w:eastAsia="宋体" w:cs="Times New Roman"/>
          <w:color w:val="auto"/>
          <w:sz w:val="21"/>
          <w:szCs w:val="21"/>
          <w:highlight w:val="none"/>
        </w:rPr>
        <w:t>录</w:t>
      </w:r>
      <w:r>
        <w:rPr>
          <w:rFonts w:hint="eastAsia" w:ascii="Times New Roman" w:hAnsi="Times New Roman" w:eastAsia="宋体" w:cs="Times New Roman"/>
          <w:color w:val="auto"/>
          <w:sz w:val="21"/>
          <w:szCs w:val="21"/>
          <w:highlight w:val="none"/>
          <w:u w:val="single"/>
          <w:lang w:eastAsia="zh-CN"/>
        </w:rPr>
        <w:t>广州交易集团有限公司（广州公共资源交易中心）</w:t>
      </w:r>
      <w:r>
        <w:rPr>
          <w:rFonts w:hint="eastAsia"/>
          <w:color w:val="auto"/>
          <w:sz w:val="21"/>
          <w:szCs w:val="21"/>
          <w:highlight w:val="none"/>
          <w:lang w:eastAsia="zh-CN"/>
        </w:rPr>
        <w:t>（</w:t>
      </w:r>
      <w:r>
        <w:rPr>
          <w:rFonts w:hint="eastAsia"/>
          <w:color w:val="auto"/>
          <w:sz w:val="21"/>
          <w:szCs w:val="21"/>
          <w:highlight w:val="none"/>
        </w:rPr>
        <w:t>电子招标投标交易平台</w:t>
      </w:r>
      <w:r>
        <w:rPr>
          <w:rFonts w:hint="eastAsia"/>
          <w:color w:val="auto"/>
          <w:sz w:val="21"/>
          <w:szCs w:val="21"/>
          <w:highlight w:val="none"/>
          <w:lang w:eastAsia="zh-CN"/>
        </w:rPr>
        <w:t>）</w:t>
      </w:r>
      <w:r>
        <w:rPr>
          <w:rFonts w:hint="eastAsia"/>
          <w:color w:val="auto"/>
          <w:sz w:val="21"/>
          <w:szCs w:val="21"/>
          <w:highlight w:val="none"/>
        </w:rPr>
        <w:t>后通过电子招标投标交易平台提出。</w:t>
      </w:r>
      <w:r>
        <w:rPr>
          <w:rFonts w:hint="eastAsia"/>
          <w:color w:val="auto"/>
          <w:sz w:val="21"/>
          <w:szCs w:val="21"/>
          <w:highlight w:val="none"/>
          <w:lang w:eastAsia="zh-CN"/>
        </w:rPr>
        <w:t>若</w:t>
      </w:r>
      <w:r>
        <w:rPr>
          <w:rFonts w:hint="eastAsia"/>
          <w:color w:val="auto"/>
          <w:sz w:val="21"/>
          <w:szCs w:val="21"/>
          <w:highlight w:val="none"/>
        </w:rPr>
        <w:t>招标人授权招标代理机构工作人员使用招标代理机构数字证书登录电子招标投标交易平台答复异议，异议答复是招标人真实意思表示。未答复的，开标程序不得结束。</w:t>
      </w:r>
    </w:p>
    <w:p w14:paraId="6B80BF10">
      <w:pPr>
        <w:spacing w:before="2" w:line="360" w:lineRule="auto"/>
        <w:ind w:left="18" w:right="60" w:firstLine="397"/>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5.3.3  </w:t>
      </w:r>
      <w:r>
        <w:rPr>
          <w:rFonts w:hint="eastAsia" w:ascii="Times New Roman" w:hAnsi="Times New Roman" w:eastAsia="宋体" w:cs="Times New Roman"/>
          <w:color w:val="auto"/>
          <w:sz w:val="21"/>
          <w:szCs w:val="21"/>
          <w:highlight w:val="none"/>
          <w:lang w:eastAsia="zh-CN"/>
        </w:rPr>
        <w:t>投标人未参加开标或在规定的时间内未提出异议的，视为对开标无异议。</w:t>
      </w:r>
    </w:p>
    <w:p w14:paraId="19953BC6">
      <w:pPr>
        <w:pStyle w:val="4"/>
        <w:bidi w:val="0"/>
        <w:spacing w:line="360" w:lineRule="auto"/>
        <w:rPr>
          <w:rFonts w:hint="eastAsia" w:ascii="宋体" w:hAnsi="宋体" w:eastAsia="宋体" w:cs="宋体"/>
          <w:b/>
          <w:bCs w:val="0"/>
          <w:color w:val="auto"/>
          <w:highlight w:val="none"/>
        </w:rPr>
      </w:pPr>
      <w:bookmarkStart w:id="744" w:name="_Toc12131"/>
      <w:bookmarkStart w:id="745" w:name="_Toc31048"/>
      <w:bookmarkStart w:id="746" w:name="_Toc492300600"/>
      <w:bookmarkStart w:id="747" w:name="_Toc25058"/>
      <w:bookmarkStart w:id="748" w:name="_Toc598"/>
      <w:bookmarkStart w:id="749" w:name="_Toc8499"/>
      <w:bookmarkStart w:id="750" w:name="_Toc16812"/>
      <w:bookmarkStart w:id="751" w:name="_Toc19845"/>
      <w:bookmarkStart w:id="752" w:name="_Toc4522"/>
      <w:bookmarkStart w:id="753" w:name="_Toc3417"/>
      <w:bookmarkStart w:id="754" w:name="_Toc10923"/>
      <w:bookmarkStart w:id="755" w:name="_Toc22494"/>
      <w:bookmarkStart w:id="756" w:name="_Toc14100"/>
      <w:bookmarkStart w:id="757" w:name="_Toc3701"/>
      <w:bookmarkStart w:id="758" w:name="_Toc21175"/>
      <w:bookmarkStart w:id="759" w:name="_Toc16886"/>
      <w:bookmarkStart w:id="760" w:name="_Toc18109"/>
      <w:bookmarkStart w:id="761" w:name="_Toc9100"/>
      <w:bookmarkStart w:id="762" w:name="_Toc30726"/>
      <w:r>
        <w:rPr>
          <w:rFonts w:hint="eastAsia" w:ascii="宋体" w:hAnsi="宋体" w:eastAsia="宋体" w:cs="宋体"/>
          <w:b/>
          <w:bCs w:val="0"/>
          <w:color w:val="auto"/>
          <w:highlight w:val="none"/>
        </w:rPr>
        <w:t>6. 评标</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3101302">
      <w:pPr>
        <w:pStyle w:val="5"/>
        <w:bidi w:val="0"/>
        <w:spacing w:line="360" w:lineRule="auto"/>
        <w:rPr>
          <w:color w:val="auto"/>
          <w:highlight w:val="none"/>
        </w:rPr>
      </w:pPr>
      <w:bookmarkStart w:id="763" w:name="_Toc24485"/>
      <w:bookmarkStart w:id="764" w:name="_Toc32557"/>
      <w:bookmarkStart w:id="765" w:name="_Toc28004"/>
      <w:bookmarkStart w:id="766" w:name="_Toc6806"/>
      <w:bookmarkStart w:id="767" w:name="_Toc1544"/>
      <w:bookmarkStart w:id="768" w:name="_Toc16262"/>
      <w:bookmarkStart w:id="769" w:name="_Toc29125"/>
      <w:bookmarkStart w:id="770" w:name="_Toc9698"/>
      <w:bookmarkStart w:id="771" w:name="_Toc11695"/>
      <w:bookmarkStart w:id="772" w:name="_Toc15992"/>
      <w:bookmarkStart w:id="773" w:name="_Toc25188"/>
      <w:bookmarkStart w:id="774" w:name="_Toc1011"/>
      <w:bookmarkStart w:id="775" w:name="_Toc349"/>
      <w:bookmarkStart w:id="776" w:name="_Toc20632"/>
      <w:bookmarkStart w:id="777" w:name="_Toc492300601"/>
      <w:bookmarkStart w:id="778" w:name="_Toc9495"/>
      <w:bookmarkStart w:id="779" w:name="_Toc28483"/>
      <w:bookmarkStart w:id="780" w:name="_Toc7722"/>
      <w:bookmarkStart w:id="781" w:name="_Toc4019"/>
      <w:r>
        <w:rPr>
          <w:color w:val="auto"/>
          <w:highlight w:val="none"/>
        </w:rPr>
        <w:t xml:space="preserve">6.1 </w:t>
      </w:r>
      <w:r>
        <w:rPr>
          <w:rFonts w:hint="eastAsia"/>
          <w:color w:val="auto"/>
          <w:highlight w:val="none"/>
        </w:rPr>
        <w:t>评标委员会</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32B2CE85">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6.1.1</w:t>
      </w:r>
      <w:r>
        <w:rPr>
          <w:rFonts w:ascii="Times New Roman" w:hAnsi="Times New Roman" w:eastAsia="Times New Roman"/>
          <w:color w:val="auto"/>
          <w:spacing w:val="50"/>
          <w:highlight w:val="none"/>
        </w:rPr>
        <w:t xml:space="preserve"> </w:t>
      </w:r>
      <w:r>
        <w:rPr>
          <w:color w:val="auto"/>
          <w:highlight w:val="none"/>
        </w:rPr>
        <w:t>评</w:t>
      </w:r>
      <w:r>
        <w:rPr>
          <w:color w:val="auto"/>
          <w:spacing w:val="-3"/>
          <w:highlight w:val="none"/>
        </w:rPr>
        <w:t>标</w:t>
      </w:r>
      <w:r>
        <w:rPr>
          <w:color w:val="auto"/>
          <w:highlight w:val="none"/>
        </w:rPr>
        <w:t>由</w:t>
      </w:r>
      <w:r>
        <w:rPr>
          <w:color w:val="auto"/>
          <w:spacing w:val="-3"/>
          <w:highlight w:val="none"/>
        </w:rPr>
        <w:t>招</w:t>
      </w:r>
      <w:r>
        <w:rPr>
          <w:color w:val="auto"/>
          <w:highlight w:val="none"/>
        </w:rPr>
        <w:t>标</w:t>
      </w:r>
      <w:r>
        <w:rPr>
          <w:color w:val="auto"/>
          <w:spacing w:val="-3"/>
          <w:highlight w:val="none"/>
        </w:rPr>
        <w:t>人</w:t>
      </w:r>
      <w:r>
        <w:rPr>
          <w:color w:val="auto"/>
          <w:highlight w:val="none"/>
        </w:rPr>
        <w:t>依</w:t>
      </w:r>
      <w:r>
        <w:rPr>
          <w:color w:val="auto"/>
          <w:spacing w:val="-3"/>
          <w:highlight w:val="none"/>
        </w:rPr>
        <w:t>法组</w:t>
      </w:r>
      <w:r>
        <w:rPr>
          <w:color w:val="auto"/>
          <w:highlight w:val="none"/>
        </w:rPr>
        <w:t>建的</w:t>
      </w:r>
      <w:r>
        <w:rPr>
          <w:color w:val="auto"/>
          <w:spacing w:val="-3"/>
          <w:highlight w:val="none"/>
        </w:rPr>
        <w:t>评</w:t>
      </w:r>
      <w:r>
        <w:rPr>
          <w:color w:val="auto"/>
          <w:highlight w:val="none"/>
        </w:rPr>
        <w:t>标</w:t>
      </w:r>
      <w:r>
        <w:rPr>
          <w:color w:val="auto"/>
          <w:spacing w:val="-3"/>
          <w:highlight w:val="none"/>
        </w:rPr>
        <w:t>委</w:t>
      </w:r>
      <w:r>
        <w:rPr>
          <w:color w:val="auto"/>
          <w:highlight w:val="none"/>
        </w:rPr>
        <w:t>员</w:t>
      </w:r>
      <w:r>
        <w:rPr>
          <w:color w:val="auto"/>
          <w:spacing w:val="-3"/>
          <w:highlight w:val="none"/>
        </w:rPr>
        <w:t>会</w:t>
      </w:r>
      <w:r>
        <w:rPr>
          <w:color w:val="auto"/>
          <w:highlight w:val="none"/>
        </w:rPr>
        <w:t>负</w:t>
      </w:r>
      <w:r>
        <w:rPr>
          <w:color w:val="auto"/>
          <w:spacing w:val="-3"/>
          <w:highlight w:val="none"/>
        </w:rPr>
        <w:t>责</w:t>
      </w:r>
      <w:r>
        <w:rPr>
          <w:color w:val="auto"/>
          <w:spacing w:val="-77"/>
          <w:highlight w:val="none"/>
        </w:rPr>
        <w:t>。</w:t>
      </w:r>
      <w:r>
        <w:rPr>
          <w:rFonts w:hint="eastAsia" w:ascii="宋体" w:hAnsi="宋体" w:eastAsia="宋体" w:cs="宋体"/>
          <w:color w:val="auto"/>
          <w:sz w:val="21"/>
          <w:szCs w:val="21"/>
          <w:highlight w:val="none"/>
        </w:rPr>
        <w:t>评标委员会由有关技术、经济等方面的专家和招标人代表组成，专家</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u w:val="single"/>
          <w:lang w:eastAsia="zh-CN"/>
        </w:rPr>
        <w:t>广东省综合评标评审</w:t>
      </w:r>
      <w:r>
        <w:rPr>
          <w:rFonts w:hint="eastAsia" w:ascii="宋体" w:hAnsi="宋体" w:eastAsia="宋体" w:cs="宋体"/>
          <w:color w:val="auto"/>
          <w:sz w:val="21"/>
          <w:szCs w:val="21"/>
          <w:highlight w:val="none"/>
          <w:u w:val="single"/>
        </w:rPr>
        <w:t>专家库</w:t>
      </w:r>
      <w:r>
        <w:rPr>
          <w:rFonts w:hint="eastAsia" w:ascii="宋体" w:hAnsi="宋体" w:eastAsia="宋体" w:cs="宋体"/>
          <w:color w:val="auto"/>
          <w:sz w:val="21"/>
          <w:szCs w:val="21"/>
          <w:highlight w:val="none"/>
        </w:rPr>
        <w:t>中抽取或按远程异地评标专家抽取相关规定组建</w:t>
      </w:r>
      <w:r>
        <w:rPr>
          <w:color w:val="auto"/>
          <w:spacing w:val="-3"/>
          <w:highlight w:val="none"/>
        </w:rPr>
        <w:t>。</w:t>
      </w:r>
      <w:r>
        <w:rPr>
          <w:color w:val="auto"/>
          <w:highlight w:val="none"/>
        </w:rPr>
        <w:t>评标</w:t>
      </w:r>
      <w:r>
        <w:rPr>
          <w:color w:val="auto"/>
          <w:spacing w:val="-3"/>
          <w:highlight w:val="none"/>
        </w:rPr>
        <w:t>委</w:t>
      </w:r>
      <w:r>
        <w:rPr>
          <w:color w:val="auto"/>
          <w:highlight w:val="none"/>
        </w:rPr>
        <w:t>员会成员人数</w:t>
      </w:r>
      <w:r>
        <w:rPr>
          <w:color w:val="auto"/>
          <w:spacing w:val="-3"/>
          <w:highlight w:val="none"/>
        </w:rPr>
        <w:t>以</w:t>
      </w:r>
      <w:r>
        <w:rPr>
          <w:color w:val="auto"/>
          <w:highlight w:val="none"/>
        </w:rPr>
        <w:t>及技术</w:t>
      </w:r>
      <w:r>
        <w:rPr>
          <w:color w:val="auto"/>
          <w:spacing w:val="-3"/>
          <w:highlight w:val="none"/>
        </w:rPr>
        <w:t>、</w:t>
      </w:r>
      <w:r>
        <w:rPr>
          <w:color w:val="auto"/>
          <w:highlight w:val="none"/>
        </w:rPr>
        <w:t>经</w:t>
      </w:r>
      <w:r>
        <w:rPr>
          <w:color w:val="auto"/>
          <w:spacing w:val="-3"/>
          <w:highlight w:val="none"/>
        </w:rPr>
        <w:t>济</w:t>
      </w:r>
      <w:r>
        <w:rPr>
          <w:color w:val="auto"/>
          <w:highlight w:val="none"/>
        </w:rPr>
        <w:t>等</w:t>
      </w:r>
      <w:r>
        <w:rPr>
          <w:color w:val="auto"/>
          <w:spacing w:val="-3"/>
          <w:highlight w:val="none"/>
        </w:rPr>
        <w:t>方</w:t>
      </w:r>
      <w:r>
        <w:rPr>
          <w:color w:val="auto"/>
          <w:highlight w:val="none"/>
        </w:rPr>
        <w:t>面</w:t>
      </w:r>
      <w:r>
        <w:rPr>
          <w:color w:val="auto"/>
          <w:spacing w:val="-3"/>
          <w:highlight w:val="none"/>
        </w:rPr>
        <w:t>专</w:t>
      </w:r>
      <w:r>
        <w:rPr>
          <w:color w:val="auto"/>
          <w:highlight w:val="none"/>
        </w:rPr>
        <w:t>家</w:t>
      </w:r>
      <w:r>
        <w:rPr>
          <w:color w:val="auto"/>
          <w:spacing w:val="-3"/>
          <w:highlight w:val="none"/>
        </w:rPr>
        <w:t>的</w:t>
      </w:r>
      <w:r>
        <w:rPr>
          <w:color w:val="auto"/>
          <w:highlight w:val="none"/>
        </w:rPr>
        <w:t>确定</w:t>
      </w:r>
      <w:r>
        <w:rPr>
          <w:color w:val="auto"/>
          <w:spacing w:val="-3"/>
          <w:highlight w:val="none"/>
        </w:rPr>
        <w:t>方</w:t>
      </w:r>
      <w:r>
        <w:rPr>
          <w:color w:val="auto"/>
          <w:highlight w:val="none"/>
        </w:rPr>
        <w:t>式</w:t>
      </w:r>
      <w:r>
        <w:rPr>
          <w:color w:val="auto"/>
          <w:spacing w:val="-3"/>
          <w:highlight w:val="none"/>
        </w:rPr>
        <w:t>见</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附表。</w:t>
      </w:r>
    </w:p>
    <w:p w14:paraId="1A5AA75D">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6.1.2 评标委员会成员有下列情形之一的，应当回避：</w:t>
      </w:r>
    </w:p>
    <w:p w14:paraId="57F2292F">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(1)投标人或投标人主要负责人的近亲属；</w:t>
      </w:r>
    </w:p>
    <w:p w14:paraId="6FBBE49A">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(2)项目主管部门或者行政监督部门的人员；</w:t>
      </w:r>
    </w:p>
    <w:p w14:paraId="0DCC582B">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Times New Roman"/>
          <w:color w:val="auto"/>
          <w:spacing w:val="-3"/>
          <w:highlight w:val="none"/>
        </w:rPr>
      </w:pPr>
      <w:r>
        <w:rPr>
          <w:rFonts w:ascii="宋体" w:hAnsi="宋体" w:eastAsia="宋体" w:cs="Times New Roman"/>
          <w:color w:val="auto"/>
          <w:spacing w:val="-3"/>
          <w:highlight w:val="none"/>
        </w:rPr>
        <w:t>(3)</w:t>
      </w:r>
      <w:r>
        <w:rPr>
          <w:rFonts w:hint="eastAsia" w:ascii="宋体" w:hAnsi="宋体" w:eastAsia="宋体" w:cs="Times New Roman"/>
          <w:color w:val="auto"/>
          <w:spacing w:val="-3"/>
          <w:highlight w:val="none"/>
        </w:rPr>
        <w:t>招标人或投标人的工作人员、退休或离职未满3年的人员；</w:t>
      </w:r>
    </w:p>
    <w:p w14:paraId="5D357BB6">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4</w:t>
      </w:r>
      <w:r>
        <w:rPr>
          <w:rFonts w:ascii="宋体" w:hAnsi="宋体" w:eastAsia="宋体" w:cs="Times New Roman"/>
          <w:color w:val="auto"/>
          <w:spacing w:val="-3"/>
          <w:highlight w:val="none"/>
        </w:rPr>
        <w:t>)与投标人有经济利益关系，可能影响对投标公正评审的；</w:t>
      </w:r>
    </w:p>
    <w:p w14:paraId="0A0B5560">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5</w:t>
      </w:r>
      <w:r>
        <w:rPr>
          <w:rFonts w:ascii="宋体" w:hAnsi="宋体" w:eastAsia="宋体" w:cs="Times New Roman"/>
          <w:color w:val="auto"/>
          <w:spacing w:val="-3"/>
          <w:highlight w:val="none"/>
        </w:rPr>
        <w:t>)曾因在招标、评标以及其他与招标投标有关活动中从事违法行为而受过行政处罚或刑事处罚的；</w:t>
      </w:r>
    </w:p>
    <w:p w14:paraId="2B90EC27">
      <w:pPr>
        <w:pStyle w:val="2"/>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6</w:t>
      </w:r>
      <w:r>
        <w:rPr>
          <w:rFonts w:ascii="宋体" w:hAnsi="宋体" w:eastAsia="宋体" w:cs="Times New Roman"/>
          <w:color w:val="auto"/>
          <w:spacing w:val="-3"/>
          <w:highlight w:val="none"/>
        </w:rPr>
        <w:t>)与投标人有其他利害关系。</w:t>
      </w:r>
    </w:p>
    <w:p w14:paraId="42D49E79">
      <w:pPr>
        <w:spacing w:line="360" w:lineRule="auto"/>
        <w:ind w:firstLine="408" w:firstLineChars="200"/>
        <w:rPr>
          <w:rFonts w:ascii="宋体" w:hAnsi="宋体" w:eastAsia="宋体" w:cs="Times New Roman"/>
          <w:color w:val="auto"/>
          <w:spacing w:val="-3"/>
          <w:highlight w:val="none"/>
        </w:rPr>
      </w:pPr>
      <w:r>
        <w:rPr>
          <w:rFonts w:ascii="宋体" w:hAnsi="宋体" w:eastAsia="宋体" w:cs="Times New Roman"/>
          <w:color w:val="auto"/>
          <w:spacing w:val="-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385EF9B">
      <w:pPr>
        <w:pStyle w:val="8"/>
        <w:spacing w:line="360" w:lineRule="auto"/>
        <w:rPr>
          <w:color w:val="auto"/>
          <w:highlight w:val="none"/>
        </w:rPr>
      </w:pPr>
    </w:p>
    <w:p w14:paraId="2292A3A4">
      <w:pPr>
        <w:pStyle w:val="5"/>
        <w:bidi w:val="0"/>
        <w:spacing w:line="360" w:lineRule="auto"/>
        <w:rPr>
          <w:color w:val="auto"/>
          <w:highlight w:val="none"/>
        </w:rPr>
      </w:pPr>
      <w:bookmarkStart w:id="782" w:name="_Toc10644"/>
      <w:bookmarkStart w:id="783" w:name="_Toc30809"/>
      <w:bookmarkStart w:id="784" w:name="_Toc32590"/>
      <w:bookmarkStart w:id="785" w:name="_Toc6715"/>
      <w:bookmarkStart w:id="786" w:name="_Toc4668"/>
      <w:bookmarkStart w:id="787" w:name="_Toc14668"/>
      <w:bookmarkStart w:id="788" w:name="_Toc1536"/>
      <w:bookmarkStart w:id="789" w:name="_Toc31918"/>
      <w:bookmarkStart w:id="790" w:name="_Toc1118"/>
      <w:bookmarkStart w:id="791" w:name="_Toc11730"/>
      <w:bookmarkStart w:id="792" w:name="_Toc27652"/>
      <w:bookmarkStart w:id="793" w:name="_Toc19021"/>
      <w:bookmarkStart w:id="794" w:name="_Toc10778"/>
      <w:bookmarkStart w:id="795" w:name="_Toc11767"/>
      <w:bookmarkStart w:id="796" w:name="_Toc492300602"/>
      <w:bookmarkStart w:id="797" w:name="_Toc19584"/>
      <w:bookmarkStart w:id="798" w:name="_Toc21494"/>
      <w:bookmarkStart w:id="799" w:name="_Toc7627"/>
      <w:bookmarkStart w:id="800" w:name="_Toc6444"/>
      <w:r>
        <w:rPr>
          <w:color w:val="auto"/>
          <w:highlight w:val="none"/>
        </w:rPr>
        <w:t xml:space="preserve">6.2 </w:t>
      </w:r>
      <w:r>
        <w:rPr>
          <w:rFonts w:hint="eastAsia"/>
          <w:color w:val="auto"/>
          <w:highlight w:val="none"/>
        </w:rPr>
        <w:t>评标原则</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5C5F33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评标活动遵循公平、公正、科学和择优的原</w:t>
      </w:r>
      <w:bookmarkStart w:id="801" w:name="_Toc18949"/>
      <w:bookmarkStart w:id="802" w:name="_Toc352691501"/>
      <w:bookmarkStart w:id="803" w:name="_Toc361508614"/>
      <w:bookmarkStart w:id="804" w:name="_Toc144974525"/>
      <w:bookmarkStart w:id="805" w:name="_Toc247527582"/>
      <w:bookmarkStart w:id="806" w:name="_Toc247513981"/>
      <w:bookmarkStart w:id="807" w:name="_Toc369531545"/>
      <w:bookmarkStart w:id="808" w:name="_Toc300834978"/>
      <w:bookmarkStart w:id="809" w:name="_Toc152045557"/>
      <w:bookmarkStart w:id="810" w:name="_Toc384308239"/>
      <w:bookmarkStart w:id="811" w:name="_Toc152042333"/>
      <w:r>
        <w:rPr>
          <w:rFonts w:hint="eastAsia" w:ascii="宋体" w:hAnsi="宋体" w:cs="宋体"/>
          <w:color w:val="auto"/>
          <w:sz w:val="21"/>
          <w:szCs w:val="21"/>
          <w:highlight w:val="none"/>
        </w:rPr>
        <w:t>则。</w:t>
      </w:r>
    </w:p>
    <w:p w14:paraId="44B5332B">
      <w:pPr>
        <w:pStyle w:val="8"/>
        <w:spacing w:line="360" w:lineRule="auto"/>
        <w:rPr>
          <w:color w:val="auto"/>
          <w:highlight w:val="none"/>
        </w:rPr>
      </w:pPr>
    </w:p>
    <w:p w14:paraId="15525A62">
      <w:pPr>
        <w:pStyle w:val="5"/>
        <w:bidi w:val="0"/>
        <w:spacing w:line="360" w:lineRule="auto"/>
        <w:rPr>
          <w:color w:val="auto"/>
          <w:highlight w:val="none"/>
        </w:rPr>
      </w:pPr>
      <w:bookmarkStart w:id="812" w:name="_Toc19270"/>
      <w:bookmarkStart w:id="813" w:name="_Toc32128"/>
      <w:bookmarkStart w:id="814" w:name="_Toc10558"/>
      <w:bookmarkStart w:id="815" w:name="_Toc4749"/>
      <w:bookmarkStart w:id="816" w:name="_Toc30279"/>
      <w:bookmarkStart w:id="817" w:name="_Toc27685"/>
      <w:bookmarkStart w:id="818" w:name="_Toc8027"/>
      <w:bookmarkStart w:id="819" w:name="_Toc11509"/>
      <w:bookmarkStart w:id="820" w:name="_Toc26119"/>
      <w:bookmarkStart w:id="821" w:name="_Toc5726"/>
      <w:bookmarkStart w:id="822" w:name="_Toc492300603"/>
      <w:bookmarkStart w:id="823" w:name="_Toc4116"/>
      <w:bookmarkStart w:id="824" w:name="_Toc15309"/>
      <w:bookmarkStart w:id="825" w:name="_Toc2802"/>
      <w:bookmarkStart w:id="826" w:name="_Toc8776"/>
      <w:bookmarkStart w:id="827" w:name="_Toc22317"/>
      <w:bookmarkStart w:id="828" w:name="_Toc20426"/>
      <w:bookmarkStart w:id="829" w:name="_Toc15075"/>
      <w:bookmarkStart w:id="830" w:name="_Toc17359"/>
      <w:r>
        <w:rPr>
          <w:color w:val="auto"/>
          <w:highlight w:val="none"/>
        </w:rPr>
        <w:t xml:space="preserve">6.3 </w:t>
      </w:r>
      <w:r>
        <w:rPr>
          <w:rFonts w:hint="eastAsia"/>
          <w:color w:val="auto"/>
          <w:highlight w:val="none"/>
        </w:rPr>
        <w:t>评标</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E29D41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6</w:t>
      </w:r>
      <w:bookmarkEnd w:id="801"/>
      <w:bookmarkEnd w:id="802"/>
      <w:bookmarkEnd w:id="803"/>
      <w:bookmarkEnd w:id="804"/>
      <w:bookmarkEnd w:id="805"/>
      <w:bookmarkEnd w:id="806"/>
      <w:bookmarkEnd w:id="807"/>
      <w:bookmarkEnd w:id="808"/>
      <w:bookmarkEnd w:id="809"/>
      <w:bookmarkEnd w:id="810"/>
      <w:bookmarkEnd w:id="811"/>
      <w:r>
        <w:rPr>
          <w:rFonts w:hint="eastAsia" w:ascii="宋体" w:hAnsi="宋体" w:cs="宋体"/>
          <w:color w:val="auto"/>
          <w:sz w:val="21"/>
          <w:szCs w:val="21"/>
          <w:highlight w:val="none"/>
        </w:rPr>
        <w:t>.3.1评标委员会按照第三章“评标办法”规定的方法、评审因素、标准和程序对投标文件进行评审。第三章“评标办法”没有规定的方法、评审因素和标准，不作为评标依据。</w:t>
      </w:r>
    </w:p>
    <w:p w14:paraId="188BCEE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6.3.2评标完成后，评标委员会应当向招标人提交书面评标报告和中标候选人名单。评标委员会推荐中标</w:t>
      </w:r>
      <w:bookmarkStart w:id="831" w:name="_Toc247513982"/>
      <w:bookmarkStart w:id="832" w:name="_Toc369531546"/>
      <w:bookmarkStart w:id="833" w:name="_Toc384308240"/>
      <w:bookmarkStart w:id="834" w:name="_Toc152042334"/>
      <w:bookmarkStart w:id="835" w:name="_Toc144974526"/>
      <w:bookmarkStart w:id="836" w:name="_Toc12259"/>
      <w:bookmarkStart w:id="837" w:name="_Toc352691502"/>
      <w:bookmarkStart w:id="838" w:name="_Toc300834979"/>
      <w:bookmarkStart w:id="839" w:name="_Toc152045558"/>
      <w:bookmarkStart w:id="840" w:name="_Toc361508615"/>
      <w:bookmarkStart w:id="841" w:name="_Toc247527583"/>
      <w:r>
        <w:rPr>
          <w:rFonts w:hint="eastAsia" w:ascii="宋体" w:hAnsi="宋体" w:cs="宋体"/>
          <w:color w:val="auto"/>
          <w:sz w:val="21"/>
          <w:szCs w:val="21"/>
          <w:highlight w:val="none"/>
        </w:rPr>
        <w:t>候选人的人数见投标人须知前附</w:t>
      </w:r>
      <w:bookmarkEnd w:id="831"/>
      <w:bookmarkEnd w:id="832"/>
      <w:bookmarkEnd w:id="833"/>
      <w:bookmarkEnd w:id="834"/>
      <w:bookmarkEnd w:id="835"/>
      <w:bookmarkEnd w:id="836"/>
      <w:bookmarkEnd w:id="837"/>
      <w:bookmarkEnd w:id="838"/>
      <w:bookmarkEnd w:id="839"/>
      <w:bookmarkEnd w:id="840"/>
      <w:bookmarkEnd w:id="841"/>
      <w:r>
        <w:rPr>
          <w:rFonts w:hint="eastAsia" w:ascii="宋体" w:hAnsi="宋体" w:cs="宋体"/>
          <w:color w:val="auto"/>
          <w:sz w:val="21"/>
          <w:szCs w:val="21"/>
          <w:highlight w:val="none"/>
        </w:rPr>
        <w:t>表。</w:t>
      </w:r>
    </w:p>
    <w:p w14:paraId="1C047CED">
      <w:pPr>
        <w:pStyle w:val="4"/>
        <w:bidi w:val="0"/>
        <w:spacing w:line="360" w:lineRule="auto"/>
        <w:rPr>
          <w:rFonts w:hint="eastAsia" w:ascii="宋体" w:hAnsi="宋体" w:eastAsia="宋体" w:cs="宋体"/>
          <w:b/>
          <w:bCs w:val="0"/>
          <w:color w:val="auto"/>
          <w:szCs w:val="21"/>
          <w:highlight w:val="none"/>
        </w:rPr>
      </w:pPr>
      <w:bookmarkStart w:id="842" w:name="_Toc10110"/>
      <w:bookmarkStart w:id="843" w:name="_Toc1115"/>
      <w:bookmarkStart w:id="844" w:name="_Toc28512"/>
      <w:bookmarkStart w:id="845" w:name="_Toc162"/>
      <w:bookmarkStart w:id="846" w:name="_Toc15386"/>
      <w:bookmarkStart w:id="847" w:name="_Toc13952"/>
      <w:bookmarkStart w:id="848" w:name="_Toc16324"/>
      <w:bookmarkStart w:id="849" w:name="_Toc22674"/>
      <w:bookmarkStart w:id="850" w:name="_Toc492300604"/>
      <w:bookmarkStart w:id="851" w:name="_Toc18796"/>
      <w:bookmarkStart w:id="852" w:name="_Toc5038"/>
      <w:bookmarkStart w:id="853" w:name="_Toc25633"/>
      <w:bookmarkStart w:id="854" w:name="_Toc30295"/>
      <w:bookmarkStart w:id="855" w:name="_Toc12925"/>
      <w:bookmarkStart w:id="856" w:name="_Toc28355"/>
      <w:bookmarkStart w:id="857" w:name="_Toc5657"/>
      <w:bookmarkStart w:id="858" w:name="_Toc6873"/>
      <w:bookmarkStart w:id="859" w:name="_Toc23139"/>
      <w:bookmarkStart w:id="860" w:name="_Toc18180"/>
      <w:r>
        <w:rPr>
          <w:rFonts w:hint="eastAsia" w:ascii="宋体" w:hAnsi="宋体" w:eastAsia="宋体" w:cs="宋体"/>
          <w:b/>
          <w:bCs w:val="0"/>
          <w:color w:val="auto"/>
          <w:highlight w:val="none"/>
        </w:rPr>
        <w:t>7. 合同授予</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4BB64D9C">
      <w:pPr>
        <w:pStyle w:val="5"/>
        <w:bidi w:val="0"/>
        <w:spacing w:line="360" w:lineRule="auto"/>
        <w:rPr>
          <w:color w:val="auto"/>
          <w:highlight w:val="none"/>
        </w:rPr>
      </w:pPr>
      <w:bookmarkStart w:id="861" w:name="_Toc9013"/>
      <w:bookmarkStart w:id="862" w:name="_Toc20119"/>
      <w:bookmarkStart w:id="863" w:name="_Toc13139"/>
      <w:bookmarkStart w:id="864" w:name="_Toc30502"/>
      <w:bookmarkStart w:id="865" w:name="_Toc16687"/>
      <w:bookmarkStart w:id="866" w:name="_Toc29617"/>
      <w:bookmarkStart w:id="867" w:name="_Toc3032"/>
      <w:bookmarkStart w:id="868" w:name="_Toc31803"/>
      <w:bookmarkStart w:id="869" w:name="_Toc29583"/>
      <w:bookmarkStart w:id="870" w:name="_Toc4024"/>
      <w:bookmarkStart w:id="871" w:name="_Toc16049"/>
      <w:bookmarkStart w:id="872" w:name="_Toc492300605"/>
      <w:bookmarkStart w:id="873" w:name="_Toc6277"/>
      <w:bookmarkStart w:id="874" w:name="_Toc30992"/>
      <w:bookmarkStart w:id="875" w:name="_Toc958"/>
      <w:bookmarkStart w:id="876" w:name="_Toc30180"/>
      <w:bookmarkStart w:id="877" w:name="_Toc896"/>
      <w:bookmarkStart w:id="878" w:name="_Toc9192"/>
      <w:bookmarkStart w:id="879" w:name="_Toc1924"/>
      <w:r>
        <w:rPr>
          <w:color w:val="auto"/>
          <w:highlight w:val="none"/>
        </w:rPr>
        <w:t xml:space="preserve">7.1 </w:t>
      </w:r>
      <w:r>
        <w:rPr>
          <w:rFonts w:hint="eastAsia"/>
          <w:color w:val="auto"/>
          <w:highlight w:val="none"/>
        </w:rPr>
        <w:t>中标候选人公示</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72EBF7AC">
      <w:pPr>
        <w:spacing w:before="69" w:line="360" w:lineRule="auto"/>
        <w:ind w:left="21" w:right="4" w:firstLine="401"/>
        <w:rPr>
          <w:rFonts w:ascii="宋体" w:hAnsi="宋体" w:eastAsia="宋体" w:cs="宋体"/>
          <w:color w:val="auto"/>
          <w:spacing w:val="-5"/>
          <w:sz w:val="21"/>
          <w:szCs w:val="21"/>
          <w:highlight w:val="none"/>
        </w:rPr>
      </w:pPr>
      <w:bookmarkStart w:id="880" w:name="_Toc29273"/>
      <w:bookmarkStart w:id="881" w:name="_Toc26910"/>
      <w:bookmarkStart w:id="882" w:name="_Toc28060"/>
      <w:bookmarkStart w:id="883" w:name="_Toc31907"/>
      <w:bookmarkStart w:id="884" w:name="_Toc25492"/>
      <w:bookmarkStart w:id="885" w:name="_Toc492300606"/>
      <w:bookmarkStart w:id="886" w:name="_Toc16494"/>
      <w:bookmarkStart w:id="887" w:name="_Toc25877"/>
      <w:bookmarkStart w:id="888" w:name="_Toc11891"/>
      <w:bookmarkStart w:id="889" w:name="_Toc19277"/>
      <w:bookmarkStart w:id="890" w:name="_Toc9109"/>
      <w:bookmarkStart w:id="891" w:name="_Toc1957"/>
      <w:bookmarkStart w:id="892" w:name="_Toc14915"/>
      <w:bookmarkStart w:id="893" w:name="_Toc19700"/>
      <w:bookmarkStart w:id="894" w:name="_Toc18991"/>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 xml:space="preserve">招标人在收到评标报告之日起 </w:t>
      </w: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日内，按照投标人须知前附表规定的公示</w:t>
      </w:r>
      <w:r>
        <w:rPr>
          <w:rFonts w:ascii="宋体" w:hAnsi="宋体" w:eastAsia="宋体" w:cs="宋体"/>
          <w:color w:val="auto"/>
          <w:sz w:val="21"/>
          <w:szCs w:val="21"/>
          <w:highlight w:val="none"/>
        </w:rPr>
        <w:t>媒介和期限公示</w:t>
      </w:r>
      <w:r>
        <w:rPr>
          <w:rFonts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ascii="宋体" w:hAnsi="宋体" w:eastAsia="宋体" w:cs="宋体"/>
          <w:color w:val="auto"/>
          <w:spacing w:val="-5"/>
          <w:sz w:val="21"/>
          <w:szCs w:val="21"/>
          <w:highlight w:val="none"/>
        </w:rPr>
        <w:t>。</w:t>
      </w:r>
    </w:p>
    <w:p w14:paraId="365852AE">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宋体" w:cs="Times New Roman"/>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u w:val="single"/>
          <w:lang w:eastAsia="zh-CN"/>
        </w:rPr>
        <w:t>广州交易集团有限公司（广州公共资源交易中心）</w:t>
      </w:r>
      <w:r>
        <w:rPr>
          <w:rFonts w:hint="eastAsia" w:ascii="宋体" w:hAnsi="宋体" w:eastAsia="宋体" w:cs="宋体"/>
          <w:color w:val="auto"/>
          <w:spacing w:val="-1"/>
          <w:sz w:val="21"/>
          <w:szCs w:val="21"/>
          <w:highlight w:val="none"/>
          <w:lang w:eastAsia="zh-CN"/>
        </w:rPr>
        <w:t>网站和广东省招标投标监管网</w:t>
      </w:r>
      <w:r>
        <w:rPr>
          <w:rFonts w:hint="eastAsia" w:ascii="宋体" w:hAnsi="宋体" w:eastAsia="宋体" w:cs="宋体"/>
          <w:color w:val="auto"/>
          <w:spacing w:val="-1"/>
          <w:sz w:val="21"/>
          <w:szCs w:val="21"/>
          <w:highlight w:val="none"/>
        </w:rPr>
        <w:t>公开。</w:t>
      </w:r>
    </w:p>
    <w:p w14:paraId="34B1C125">
      <w:pPr>
        <w:pStyle w:val="2"/>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color w:val="auto"/>
          <w:sz w:val="20"/>
          <w:szCs w:val="21"/>
          <w:highlight w:val="none"/>
          <w:lang w:val="en-US" w:eastAsia="zh-CN"/>
        </w:rPr>
        <w:t>2022</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1EB6EBD1">
      <w:pPr>
        <w:pStyle w:val="5"/>
        <w:bidi w:val="0"/>
        <w:spacing w:line="360" w:lineRule="auto"/>
        <w:rPr>
          <w:color w:val="auto"/>
          <w:highlight w:val="none"/>
        </w:rPr>
      </w:pPr>
      <w:bookmarkStart w:id="895" w:name="_Toc6859"/>
      <w:bookmarkStart w:id="896" w:name="_Toc27346"/>
      <w:bookmarkStart w:id="897" w:name="_Toc11756"/>
      <w:bookmarkStart w:id="898" w:name="_Toc24696"/>
      <w:r>
        <w:rPr>
          <w:color w:val="auto"/>
          <w:highlight w:val="none"/>
        </w:rPr>
        <w:t xml:space="preserve">7.2 </w:t>
      </w:r>
      <w:r>
        <w:rPr>
          <w:rFonts w:hint="eastAsia"/>
          <w:color w:val="auto"/>
          <w:highlight w:val="none"/>
        </w:rPr>
        <w:t>评标结果异议</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5D70746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投标人或者其他利</w:t>
      </w:r>
      <w:bookmarkStart w:id="899" w:name="_Toc352691505"/>
      <w:bookmarkStart w:id="900" w:name="_Toc369531549"/>
      <w:bookmarkStart w:id="901" w:name="_Toc30095"/>
      <w:bookmarkStart w:id="902" w:name="_Toc361508618"/>
      <w:bookmarkStart w:id="903" w:name="_Toc152042337"/>
      <w:bookmarkStart w:id="904" w:name="_Toc247527586"/>
      <w:bookmarkStart w:id="905" w:name="_Toc144974529"/>
      <w:bookmarkStart w:id="906" w:name="_Toc384308243"/>
      <w:bookmarkStart w:id="907" w:name="_Toc247513985"/>
      <w:bookmarkStart w:id="908" w:name="_Toc152045561"/>
      <w:bookmarkStart w:id="909" w:name="_Toc300834982"/>
      <w:r>
        <w:rPr>
          <w:rFonts w:hint="eastAsia" w:ascii="宋体" w:hAnsi="宋体" w:cs="宋体"/>
          <w:color w:val="auto"/>
          <w:sz w:val="21"/>
          <w:szCs w:val="21"/>
          <w:highlight w:val="none"/>
        </w:rPr>
        <w:t>害关系人对评标结</w:t>
      </w:r>
      <w:bookmarkEnd w:id="899"/>
      <w:bookmarkEnd w:id="900"/>
      <w:bookmarkEnd w:id="901"/>
      <w:bookmarkEnd w:id="902"/>
      <w:bookmarkEnd w:id="903"/>
      <w:bookmarkEnd w:id="904"/>
      <w:bookmarkEnd w:id="905"/>
      <w:bookmarkEnd w:id="906"/>
      <w:bookmarkEnd w:id="907"/>
      <w:bookmarkEnd w:id="908"/>
      <w:bookmarkEnd w:id="909"/>
      <w:r>
        <w:rPr>
          <w:rFonts w:hint="eastAsia" w:ascii="宋体" w:hAnsi="宋体" w:cs="宋体"/>
          <w:color w:val="auto"/>
          <w:sz w:val="21"/>
          <w:szCs w:val="21"/>
          <w:highlight w:val="none"/>
        </w:rPr>
        <w:t>果有异议的，应当在中标候选人公示期间提出。招标人将在收到异议之日起3日内作出答复；作出答复前，将暂停招标投标活动。</w:t>
      </w:r>
    </w:p>
    <w:p w14:paraId="376100C1">
      <w:pPr>
        <w:pStyle w:val="5"/>
        <w:bidi w:val="0"/>
        <w:spacing w:line="360" w:lineRule="auto"/>
        <w:rPr>
          <w:color w:val="auto"/>
          <w:highlight w:val="none"/>
        </w:rPr>
      </w:pPr>
      <w:bookmarkStart w:id="910" w:name="_Toc8456"/>
      <w:bookmarkStart w:id="911" w:name="_Toc17193"/>
      <w:bookmarkStart w:id="912" w:name="_Toc12436"/>
      <w:bookmarkStart w:id="913" w:name="_Toc7255"/>
      <w:bookmarkStart w:id="914" w:name="_Toc7236"/>
      <w:bookmarkStart w:id="915" w:name="_Toc492300607"/>
      <w:bookmarkStart w:id="916" w:name="_Toc10747"/>
      <w:bookmarkStart w:id="917" w:name="_Toc17651"/>
      <w:bookmarkStart w:id="918" w:name="_Toc22681"/>
      <w:bookmarkStart w:id="919" w:name="_Toc11242"/>
      <w:bookmarkStart w:id="920" w:name="_Toc16663"/>
      <w:bookmarkStart w:id="921" w:name="_Toc533"/>
      <w:bookmarkStart w:id="922" w:name="_Toc14492"/>
      <w:bookmarkStart w:id="923" w:name="_Toc28050"/>
      <w:bookmarkStart w:id="924" w:name="_Toc2317"/>
    </w:p>
    <w:p w14:paraId="04FA7DED">
      <w:pPr>
        <w:pStyle w:val="5"/>
        <w:bidi w:val="0"/>
        <w:spacing w:line="360" w:lineRule="auto"/>
        <w:rPr>
          <w:color w:val="auto"/>
          <w:highlight w:val="none"/>
        </w:rPr>
      </w:pPr>
      <w:bookmarkStart w:id="925" w:name="_Toc8421"/>
      <w:bookmarkStart w:id="926" w:name="_Toc8909"/>
      <w:bookmarkStart w:id="927" w:name="_Toc9242"/>
      <w:bookmarkStart w:id="928" w:name="_Toc22692"/>
      <w:r>
        <w:rPr>
          <w:color w:val="auto"/>
          <w:highlight w:val="none"/>
        </w:rPr>
        <w:t xml:space="preserve">7.3 </w:t>
      </w:r>
      <w:r>
        <w:rPr>
          <w:rFonts w:hint="eastAsia"/>
          <w:color w:val="auto"/>
          <w:highlight w:val="none"/>
        </w:rPr>
        <w:t>中标候选人履约能力审查</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2E9C5E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FC7ACC1">
      <w:pPr>
        <w:pStyle w:val="8"/>
        <w:spacing w:line="360" w:lineRule="auto"/>
        <w:rPr>
          <w:color w:val="auto"/>
          <w:highlight w:val="none"/>
        </w:rPr>
      </w:pPr>
    </w:p>
    <w:p w14:paraId="1C2158A2">
      <w:pPr>
        <w:pStyle w:val="5"/>
        <w:bidi w:val="0"/>
        <w:spacing w:line="360" w:lineRule="auto"/>
        <w:rPr>
          <w:color w:val="auto"/>
          <w:highlight w:val="none"/>
        </w:rPr>
      </w:pPr>
      <w:bookmarkStart w:id="929" w:name="_Toc21014"/>
      <w:bookmarkStart w:id="930" w:name="_Toc20037"/>
      <w:bookmarkStart w:id="931" w:name="_Toc28673"/>
      <w:bookmarkStart w:id="932" w:name="_Toc19696"/>
      <w:bookmarkStart w:id="933" w:name="_Toc29857"/>
      <w:bookmarkStart w:id="934" w:name="_Toc16645"/>
      <w:bookmarkStart w:id="935" w:name="_Toc26714"/>
      <w:bookmarkStart w:id="936" w:name="_Toc12304"/>
      <w:bookmarkStart w:id="937" w:name="_Toc5698"/>
      <w:bookmarkStart w:id="938" w:name="_Toc9704"/>
      <w:bookmarkStart w:id="939" w:name="_Toc9284"/>
      <w:bookmarkStart w:id="940" w:name="_Toc13911"/>
      <w:bookmarkStart w:id="941" w:name="_Toc15357"/>
      <w:bookmarkStart w:id="942" w:name="_Toc24532"/>
      <w:bookmarkStart w:id="943" w:name="_Toc29986"/>
      <w:bookmarkStart w:id="944" w:name="_Toc25871"/>
      <w:bookmarkStart w:id="945" w:name="_Toc1651"/>
      <w:bookmarkStart w:id="946" w:name="_Toc492300608"/>
      <w:bookmarkStart w:id="947" w:name="_Toc23392"/>
      <w:r>
        <w:rPr>
          <w:color w:val="auto"/>
          <w:highlight w:val="none"/>
        </w:rPr>
        <w:t xml:space="preserve">7.4 </w:t>
      </w:r>
      <w:r>
        <w:rPr>
          <w:rFonts w:hint="eastAsia"/>
          <w:color w:val="auto"/>
          <w:highlight w:val="none"/>
        </w:rPr>
        <w:t>定标</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77FFD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按照投标人须知前附表的规定，招标人或招标人授权的评标委员会依法确定中标人。</w:t>
      </w:r>
    </w:p>
    <w:p w14:paraId="6EB221AE">
      <w:pPr>
        <w:pStyle w:val="8"/>
        <w:spacing w:line="360" w:lineRule="auto"/>
        <w:rPr>
          <w:color w:val="auto"/>
          <w:highlight w:val="none"/>
        </w:rPr>
      </w:pPr>
    </w:p>
    <w:p w14:paraId="1C3AB93B">
      <w:pPr>
        <w:pStyle w:val="5"/>
        <w:bidi w:val="0"/>
        <w:spacing w:line="360" w:lineRule="auto"/>
        <w:rPr>
          <w:color w:val="auto"/>
          <w:highlight w:val="none"/>
        </w:rPr>
      </w:pPr>
      <w:bookmarkStart w:id="948" w:name="_Toc28083"/>
      <w:bookmarkStart w:id="949" w:name="_Toc23927"/>
      <w:bookmarkStart w:id="950" w:name="_Toc4856"/>
      <w:bookmarkStart w:id="951" w:name="_Toc20023"/>
      <w:bookmarkStart w:id="952" w:name="_Toc9845"/>
      <w:bookmarkStart w:id="953" w:name="_Toc25234"/>
      <w:bookmarkStart w:id="954" w:name="_Toc23772"/>
      <w:bookmarkStart w:id="955" w:name="_Toc2936"/>
      <w:bookmarkStart w:id="956" w:name="_Toc24976"/>
      <w:bookmarkStart w:id="957" w:name="_Toc12146"/>
      <w:bookmarkStart w:id="958" w:name="_Toc28694"/>
      <w:bookmarkStart w:id="959" w:name="_Toc20477"/>
      <w:bookmarkStart w:id="960" w:name="_Toc31128"/>
      <w:bookmarkStart w:id="961" w:name="_Toc18770"/>
      <w:bookmarkStart w:id="962" w:name="_Toc24787"/>
      <w:bookmarkStart w:id="963" w:name="_Toc26282"/>
      <w:bookmarkStart w:id="964" w:name="_Toc12343"/>
      <w:bookmarkStart w:id="965" w:name="_Toc19047"/>
      <w:bookmarkStart w:id="966" w:name="_Toc492300609"/>
      <w:r>
        <w:rPr>
          <w:color w:val="auto"/>
          <w:highlight w:val="none"/>
        </w:rPr>
        <w:t xml:space="preserve">7.5 </w:t>
      </w:r>
      <w:r>
        <w:rPr>
          <w:rFonts w:hint="eastAsia"/>
          <w:color w:val="auto"/>
          <w:highlight w:val="none"/>
        </w:rPr>
        <w:t>中标通知</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4E64A3F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7.5.1</w:t>
      </w:r>
      <w:r>
        <w:rPr>
          <w:rFonts w:hint="eastAsia" w:ascii="宋体" w:hAnsi="宋体" w:cs="宋体"/>
          <w:color w:val="auto"/>
          <w:sz w:val="21"/>
          <w:szCs w:val="21"/>
          <w:highlight w:val="none"/>
        </w:rPr>
        <w:t>在本章第3.3款规定的投标有效期内，招标人向中标人发出中标</w:t>
      </w:r>
      <w:bookmarkStart w:id="967" w:name="_Toc5668"/>
      <w:bookmarkStart w:id="968" w:name="_Toc384308244"/>
      <w:bookmarkStart w:id="969" w:name="_Toc352691506"/>
      <w:bookmarkStart w:id="970" w:name="_Toc300834983"/>
      <w:bookmarkStart w:id="971" w:name="_Toc369531550"/>
      <w:bookmarkStart w:id="972" w:name="_Toc361508619"/>
      <w:r>
        <w:rPr>
          <w:rFonts w:hint="eastAsia" w:ascii="宋体" w:hAnsi="宋体" w:cs="宋体"/>
          <w:color w:val="auto"/>
          <w:sz w:val="21"/>
          <w:szCs w:val="21"/>
          <w:highlight w:val="none"/>
        </w:rPr>
        <w:t>通知书</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在广东省招标投标监管网和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网站发布中标信息，视同将中标结果通知未中标的投标人。</w:t>
      </w:r>
      <w:bookmarkEnd w:id="967"/>
      <w:bookmarkEnd w:id="968"/>
      <w:bookmarkEnd w:id="969"/>
      <w:bookmarkEnd w:id="970"/>
      <w:bookmarkEnd w:id="971"/>
      <w:bookmarkEnd w:id="972"/>
    </w:p>
    <w:p w14:paraId="0B715E96">
      <w:pPr>
        <w:pStyle w:val="8"/>
        <w:spacing w:line="360" w:lineRule="auto"/>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7.5.2</w:t>
      </w:r>
      <w:r>
        <w:rPr>
          <w:rFonts w:hint="eastAsia" w:ascii="宋体" w:hAnsi="宋体" w:eastAsia="宋体" w:cs="Times New Roman"/>
          <w:color w:val="auto"/>
          <w:sz w:val="21"/>
          <w:highlight w:val="none"/>
          <w:lang w:val="en-US" w:eastAsia="zh-CN" w:bidi="ar-SA"/>
        </w:rPr>
        <w:t>政府投资项目，中标通知书发出前，中标人应未被纳入失信惩戒名单，否则招标人将取消其中标资格。失信联合惩戒名单以“信用广州”网站公布的为准。</w:t>
      </w:r>
    </w:p>
    <w:p w14:paraId="7E4CEF41">
      <w:pPr>
        <w:pStyle w:val="8"/>
        <w:spacing w:line="360" w:lineRule="auto"/>
        <w:rPr>
          <w:color w:val="auto"/>
          <w:highlight w:val="none"/>
        </w:rPr>
      </w:pPr>
    </w:p>
    <w:p w14:paraId="3F5041E7">
      <w:pPr>
        <w:pStyle w:val="5"/>
        <w:bidi w:val="0"/>
        <w:spacing w:line="360" w:lineRule="auto"/>
        <w:rPr>
          <w:strike/>
          <w:color w:val="auto"/>
          <w:highlight w:val="none"/>
        </w:rPr>
      </w:pPr>
      <w:bookmarkStart w:id="973" w:name="_Toc7444"/>
      <w:bookmarkStart w:id="974" w:name="_Toc1934"/>
      <w:bookmarkStart w:id="975" w:name="_Toc8209"/>
      <w:bookmarkStart w:id="976" w:name="_Toc10579"/>
      <w:bookmarkStart w:id="977" w:name="_Toc18301"/>
      <w:bookmarkStart w:id="978" w:name="_Toc31889"/>
      <w:bookmarkStart w:id="979" w:name="_Toc14148"/>
      <w:bookmarkStart w:id="980" w:name="_Toc11255"/>
      <w:bookmarkStart w:id="981" w:name="_Toc25854"/>
      <w:bookmarkStart w:id="982" w:name="_Toc7702"/>
      <w:bookmarkStart w:id="983" w:name="_Toc15849"/>
      <w:bookmarkStart w:id="984" w:name="_Toc3414"/>
      <w:bookmarkStart w:id="985" w:name="_Toc20582"/>
      <w:bookmarkStart w:id="986" w:name="_Toc2376"/>
      <w:bookmarkStart w:id="987" w:name="_Toc30379"/>
      <w:bookmarkStart w:id="988" w:name="_Toc19280"/>
      <w:bookmarkStart w:id="989" w:name="_Toc29895"/>
      <w:bookmarkStart w:id="990" w:name="_Toc492300610"/>
      <w:bookmarkStart w:id="991" w:name="_Toc28838"/>
      <w:r>
        <w:rPr>
          <w:strike/>
          <w:color w:val="auto"/>
          <w:highlight w:val="none"/>
        </w:rPr>
        <w:t xml:space="preserve">7.6 </w:t>
      </w:r>
      <w:r>
        <w:rPr>
          <w:rFonts w:hint="eastAsia"/>
          <w:strike/>
          <w:color w:val="auto"/>
          <w:highlight w:val="none"/>
        </w:rPr>
        <w:t>履约保证金</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02597F0C">
      <w:pPr>
        <w:spacing w:line="360" w:lineRule="auto"/>
        <w:ind w:firstLine="420" w:firstLineChars="200"/>
        <w:rPr>
          <w:rFonts w:ascii="宋体" w:hAnsi="宋体" w:cs="宋体"/>
          <w:strike/>
          <w:color w:val="auto"/>
          <w:sz w:val="21"/>
          <w:szCs w:val="21"/>
          <w:highlight w:val="none"/>
        </w:rPr>
      </w:pPr>
      <w:r>
        <w:rPr>
          <w:rFonts w:ascii="宋体" w:hAnsi="宋体" w:cs="宋体"/>
          <w:strike/>
          <w:color w:val="auto"/>
          <w:sz w:val="21"/>
          <w:szCs w:val="21"/>
          <w:highlight w:val="none"/>
        </w:rPr>
        <w:t xml:space="preserve">7.6.1 </w:t>
      </w:r>
      <w:r>
        <w:rPr>
          <w:rFonts w:hint="eastAsia" w:ascii="宋体" w:hAnsi="宋体" w:cs="宋体"/>
          <w:strike/>
          <w:color w:val="auto"/>
          <w:sz w:val="21"/>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27E21E2">
      <w:pPr>
        <w:spacing w:line="360" w:lineRule="auto"/>
        <w:ind w:firstLine="420" w:firstLineChars="200"/>
        <w:rPr>
          <w:rFonts w:hint="eastAsia" w:ascii="宋体" w:hAnsi="宋体" w:cs="宋体"/>
          <w:strike/>
          <w:color w:val="auto"/>
          <w:sz w:val="21"/>
          <w:szCs w:val="21"/>
          <w:highlight w:val="none"/>
        </w:rPr>
      </w:pPr>
      <w:r>
        <w:rPr>
          <w:rFonts w:ascii="宋体" w:hAnsi="宋体" w:cs="宋体"/>
          <w:strike/>
          <w:color w:val="auto"/>
          <w:sz w:val="21"/>
          <w:szCs w:val="21"/>
          <w:highlight w:val="none"/>
        </w:rPr>
        <w:t xml:space="preserve">7.6.2 </w:t>
      </w:r>
      <w:r>
        <w:rPr>
          <w:rFonts w:hint="eastAsia" w:ascii="宋体" w:hAnsi="宋体" w:cs="宋体"/>
          <w:strike/>
          <w:color w:val="auto"/>
          <w:sz w:val="21"/>
          <w:szCs w:val="21"/>
          <w:highlight w:val="none"/>
        </w:rPr>
        <w:t>中标人不能按本章第7.6.1项要求提交履约保证金的，视为放弃中标，其投标保证金不予退还，给招标人造成的损失超过投标保证金数额的，中标人还应当对超过部分予以赔偿。</w:t>
      </w:r>
    </w:p>
    <w:p w14:paraId="78866CC1">
      <w:pPr>
        <w:pStyle w:val="8"/>
        <w:spacing w:line="360" w:lineRule="auto"/>
        <w:rPr>
          <w:color w:val="auto"/>
          <w:highlight w:val="none"/>
        </w:rPr>
      </w:pPr>
    </w:p>
    <w:p w14:paraId="63EF2877">
      <w:pPr>
        <w:pStyle w:val="5"/>
        <w:bidi w:val="0"/>
        <w:spacing w:line="360" w:lineRule="auto"/>
        <w:rPr>
          <w:color w:val="auto"/>
          <w:highlight w:val="none"/>
        </w:rPr>
      </w:pPr>
      <w:bookmarkStart w:id="992" w:name="_Toc25308"/>
      <w:bookmarkStart w:id="993" w:name="_Toc859"/>
      <w:bookmarkStart w:id="994" w:name="_Toc15411"/>
      <w:bookmarkStart w:id="995" w:name="_Toc1243"/>
      <w:bookmarkStart w:id="996" w:name="_Toc492300611"/>
      <w:bookmarkStart w:id="997" w:name="_Toc15813"/>
      <w:bookmarkStart w:id="998" w:name="_Toc11766"/>
      <w:bookmarkStart w:id="999" w:name="_Toc28497"/>
      <w:bookmarkStart w:id="1000" w:name="_Toc6210"/>
      <w:bookmarkStart w:id="1001" w:name="_Toc5349"/>
      <w:bookmarkStart w:id="1002" w:name="_Toc25753"/>
      <w:bookmarkStart w:id="1003" w:name="_Toc25176"/>
      <w:bookmarkStart w:id="1004" w:name="_Toc11103"/>
      <w:bookmarkStart w:id="1005" w:name="_Toc25434"/>
      <w:bookmarkStart w:id="1006" w:name="_Toc10884"/>
      <w:bookmarkStart w:id="1007" w:name="_Toc6660"/>
      <w:bookmarkStart w:id="1008" w:name="_Toc4249"/>
      <w:bookmarkStart w:id="1009" w:name="_Toc21691"/>
      <w:bookmarkStart w:id="1010" w:name="_Toc13253"/>
      <w:r>
        <w:rPr>
          <w:color w:val="auto"/>
          <w:highlight w:val="none"/>
        </w:rPr>
        <w:t xml:space="preserve">7.7 </w:t>
      </w:r>
      <w:r>
        <w:rPr>
          <w:rFonts w:hint="eastAsia"/>
          <w:color w:val="auto"/>
          <w:highlight w:val="none"/>
        </w:rPr>
        <w:t>签订合同</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1F063BBD">
      <w:pPr>
        <w:pStyle w:val="2"/>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highlight w:val="none"/>
        </w:rPr>
      </w:pPr>
      <w:r>
        <w:rPr>
          <w:rFonts w:ascii="宋体" w:hAnsi="宋体" w:eastAsia="宋体" w:cs="Times New Roman"/>
          <w:color w:val="auto"/>
          <w:spacing w:val="-3"/>
          <w:highlight w:val="none"/>
        </w:rPr>
        <w:t>7.</w:t>
      </w:r>
      <w:r>
        <w:rPr>
          <w:rFonts w:hint="eastAsia" w:ascii="宋体" w:hAnsi="宋体" w:cs="Times New Roman"/>
          <w:b/>
          <w:bCs/>
          <w:color w:val="auto"/>
          <w:spacing w:val="-3"/>
          <w:highlight w:val="none"/>
          <w:u w:val="single"/>
          <w:lang w:val="en-US" w:eastAsia="zh-CN"/>
        </w:rPr>
        <w:t>7</w:t>
      </w:r>
      <w:r>
        <w:rPr>
          <w:rFonts w:ascii="宋体" w:hAnsi="宋体" w:eastAsia="宋体" w:cs="Times New Roman"/>
          <w:color w:val="auto"/>
          <w:spacing w:val="-3"/>
          <w:highlight w:val="none"/>
        </w:rPr>
        <w:t>.1 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rFonts w:ascii="Times New Roman" w:hAnsi="Times New Roman" w:eastAsia="Times New Roman"/>
          <w:color w:val="auto"/>
          <w:spacing w:val="14"/>
          <w:highlight w:val="none"/>
        </w:rPr>
        <w:t xml:space="preserve"> </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strike/>
          <w:color w:val="auto"/>
          <w:spacing w:val="-3"/>
          <w:highlight w:val="none"/>
        </w:rPr>
        <w:t>，</w:t>
      </w:r>
      <w:r>
        <w:rPr>
          <w:strike/>
          <w:color w:val="auto"/>
          <w:highlight w:val="none"/>
        </w:rPr>
        <w:t>或者不按照招标文</w:t>
      </w:r>
      <w:r>
        <w:rPr>
          <w:strike/>
          <w:color w:val="auto"/>
          <w:spacing w:val="-3"/>
          <w:highlight w:val="none"/>
        </w:rPr>
        <w:t>件</w:t>
      </w:r>
      <w:r>
        <w:rPr>
          <w:strike/>
          <w:color w:val="auto"/>
          <w:highlight w:val="none"/>
        </w:rPr>
        <w:t>要求</w:t>
      </w:r>
      <w:r>
        <w:rPr>
          <w:strike/>
          <w:color w:val="auto"/>
          <w:spacing w:val="-3"/>
          <w:highlight w:val="none"/>
        </w:rPr>
        <w:t>提</w:t>
      </w:r>
      <w:r>
        <w:rPr>
          <w:strike/>
          <w:color w:val="auto"/>
          <w:highlight w:val="none"/>
        </w:rPr>
        <w:t>交履约保证金</w:t>
      </w:r>
      <w:r>
        <w:rPr>
          <w:color w:val="auto"/>
          <w:highlight w:val="none"/>
        </w:rPr>
        <w:t>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strike/>
          <w:color w:val="auto"/>
          <w:highlight w:val="none"/>
        </w:rPr>
        <w:t>，</w:t>
      </w:r>
      <w:r>
        <w:rPr>
          <w:strike/>
          <w:color w:val="auto"/>
          <w:spacing w:val="-3"/>
          <w:highlight w:val="none"/>
        </w:rPr>
        <w:t>其</w:t>
      </w:r>
      <w:r>
        <w:rPr>
          <w:strike/>
          <w:color w:val="auto"/>
          <w:highlight w:val="none"/>
        </w:rPr>
        <w:t>投标保证金不</w:t>
      </w:r>
      <w:r>
        <w:rPr>
          <w:strike/>
          <w:color w:val="auto"/>
          <w:spacing w:val="-3"/>
          <w:highlight w:val="none"/>
        </w:rPr>
        <w:t>予</w:t>
      </w:r>
      <w:r>
        <w:rPr>
          <w:strike/>
          <w:color w:val="auto"/>
          <w:highlight w:val="none"/>
        </w:rPr>
        <w:t>退还</w:t>
      </w:r>
      <w:r>
        <w:rPr>
          <w:color w:val="auto"/>
          <w:highlight w:val="none"/>
        </w:rPr>
        <w:t>；</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strike/>
          <w:color w:val="auto"/>
          <w:spacing w:val="-3"/>
          <w:highlight w:val="none"/>
        </w:rPr>
        <w:t>的</w:t>
      </w:r>
      <w:r>
        <w:rPr>
          <w:color w:val="auto"/>
          <w:highlight w:val="none"/>
        </w:rPr>
        <w:t>损</w:t>
      </w:r>
      <w:r>
        <w:rPr>
          <w:color w:val="auto"/>
          <w:spacing w:val="-3"/>
          <w:highlight w:val="none"/>
        </w:rPr>
        <w:t>失</w:t>
      </w:r>
      <w:r>
        <w:rPr>
          <w:strike/>
          <w:color w:val="auto"/>
          <w:highlight w:val="none"/>
        </w:rPr>
        <w:t>超过</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数</w:t>
      </w:r>
      <w:r>
        <w:rPr>
          <w:strike/>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67E9762D">
      <w:pPr>
        <w:pStyle w:val="2"/>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ascii="宋体" w:hAnsi="宋体" w:eastAsia="宋体" w:cs="Times New Roman"/>
          <w:color w:val="auto"/>
          <w:highlight w:val="none"/>
        </w:rPr>
      </w:pPr>
      <w:r>
        <w:rPr>
          <w:rFonts w:ascii="宋体" w:hAnsi="宋体" w:eastAsia="宋体" w:cs="Times New Roman"/>
          <w:color w:val="auto"/>
          <w:highlight w:val="none"/>
        </w:rPr>
        <w:t>7.</w:t>
      </w:r>
      <w:r>
        <w:rPr>
          <w:rFonts w:hint="eastAsia" w:ascii="宋体" w:hAnsi="宋体" w:cs="Times New Roman"/>
          <w:b/>
          <w:bCs/>
          <w:color w:val="auto"/>
          <w:highlight w:val="none"/>
          <w:u w:val="single"/>
          <w:lang w:val="en-US" w:eastAsia="zh-CN"/>
        </w:rPr>
        <w:t>7</w:t>
      </w:r>
      <w:r>
        <w:rPr>
          <w:rFonts w:ascii="宋体" w:hAnsi="宋体" w:eastAsia="宋体" w:cs="Times New Roman"/>
          <w:color w:val="auto"/>
          <w:highlight w:val="none"/>
        </w:rPr>
        <w:t>.2</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w:t>
      </w:r>
      <w:r>
        <w:rPr>
          <w:rFonts w:ascii="宋体" w:hAnsi="宋体" w:eastAsia="宋体" w:cs="Times New Roman"/>
          <w:strike/>
          <w:color w:val="auto"/>
          <w:highlight w:val="none"/>
        </w:rPr>
        <w:t>，招标人向中标人退还投标保证金</w:t>
      </w:r>
      <w:r>
        <w:rPr>
          <w:rFonts w:hint="eastAsia" w:ascii="宋体" w:hAnsi="宋体" w:cs="Times New Roman"/>
          <w:b/>
          <w:bCs/>
          <w:color w:val="auto"/>
          <w:highlight w:val="none"/>
          <w:lang w:eastAsia="zh-CN"/>
        </w:rPr>
        <w:t>，</w:t>
      </w:r>
      <w:r>
        <w:rPr>
          <w:rFonts w:ascii="宋体" w:hAnsi="宋体" w:eastAsia="宋体" w:cs="Times New Roman"/>
          <w:color w:val="auto"/>
          <w:highlight w:val="none"/>
        </w:rPr>
        <w:t>给中标人造成损失的，还应当赔偿损失。</w:t>
      </w:r>
    </w:p>
    <w:p w14:paraId="05801AD4">
      <w:pPr>
        <w:spacing w:line="360" w:lineRule="auto"/>
        <w:ind w:firstLine="420" w:firstLineChars="200"/>
        <w:rPr>
          <w:rFonts w:hint="eastAsia" w:ascii="宋体" w:hAnsi="宋体" w:cs="宋体"/>
          <w:strike w:val="0"/>
          <w:color w:val="auto"/>
          <w:sz w:val="21"/>
          <w:szCs w:val="21"/>
          <w:highlight w:val="none"/>
        </w:rPr>
      </w:pPr>
      <w:r>
        <w:rPr>
          <w:rFonts w:ascii="宋体" w:hAnsi="宋体" w:eastAsia="宋体" w:cs="Times New Roman"/>
          <w:strike w:val="0"/>
          <w:color w:val="auto"/>
          <w:highlight w:val="none"/>
        </w:rPr>
        <w:t>7.8.3 联合体中标的，联合体各方应当共同与招标人签订合同，就中标项目向招标人承担连带责任</w:t>
      </w:r>
      <w:r>
        <w:rPr>
          <w:rFonts w:hint="eastAsia" w:ascii="宋体" w:hAnsi="宋体" w:cs="宋体"/>
          <w:strike w:val="0"/>
          <w:color w:val="auto"/>
          <w:sz w:val="21"/>
          <w:szCs w:val="21"/>
          <w:highlight w:val="none"/>
        </w:rPr>
        <w:t>。</w:t>
      </w:r>
    </w:p>
    <w:p w14:paraId="4E4CD83D">
      <w:pPr>
        <w:pStyle w:val="2"/>
        <w:kinsoku w:val="0"/>
        <w:overflowPunct w:val="0"/>
        <w:autoSpaceDE w:val="0"/>
        <w:autoSpaceDN w:val="0"/>
        <w:spacing w:beforeLines="0" w:afterLines="0" w:line="360" w:lineRule="auto"/>
        <w:ind w:right="213" w:firstLine="422" w:firstLineChars="200"/>
        <w:rPr>
          <w:rFonts w:hint="default" w:eastAsia="宋体"/>
          <w:b/>
          <w:bCs/>
          <w:color w:val="auto"/>
          <w:highlight w:val="none"/>
          <w:u w:val="single"/>
          <w:lang w:val="en-US" w:eastAsia="zh-CN"/>
        </w:rPr>
      </w:pPr>
      <w:r>
        <w:rPr>
          <w:rFonts w:hint="eastAsia" w:ascii="宋体" w:hAnsi="宋体" w:eastAsia="宋体" w:cs="Times New Roman"/>
          <w:b/>
          <w:bCs/>
          <w:color w:val="auto"/>
          <w:highlight w:val="none"/>
          <w:u w:val="single"/>
          <w:lang w:val="en-US" w:eastAsia="zh-CN"/>
        </w:rPr>
        <w:t>7.7.3中标人在收到本项目中标通知书后，按招标人通知的时间及地点，由其法定代表人或者经授权的副总经理级别或以上的人员参与招标人组织的合同签约仪式。</w:t>
      </w:r>
    </w:p>
    <w:p w14:paraId="37E89624">
      <w:pPr>
        <w:pStyle w:val="4"/>
        <w:bidi w:val="0"/>
        <w:spacing w:line="360" w:lineRule="auto"/>
        <w:rPr>
          <w:rFonts w:hint="eastAsia" w:ascii="宋体" w:hAnsi="宋体" w:eastAsia="宋体" w:cs="宋体"/>
          <w:b/>
          <w:bCs w:val="0"/>
          <w:color w:val="auto"/>
          <w:highlight w:val="none"/>
        </w:rPr>
      </w:pPr>
      <w:bookmarkStart w:id="1011" w:name="_Toc24067"/>
      <w:bookmarkStart w:id="1012" w:name="_Toc361508627"/>
      <w:bookmarkStart w:id="1013" w:name="_Toc384308252"/>
      <w:bookmarkStart w:id="1014" w:name="_Toc15061"/>
      <w:bookmarkStart w:id="1015" w:name="_Toc957"/>
      <w:bookmarkStart w:id="1016" w:name="_Toc22338"/>
      <w:bookmarkStart w:id="1017" w:name="_Toc492300612"/>
      <w:bookmarkStart w:id="1018" w:name="_Toc29011"/>
      <w:bookmarkStart w:id="1019" w:name="_Toc21335"/>
      <w:bookmarkStart w:id="1020" w:name="_Toc31097"/>
      <w:bookmarkStart w:id="1021" w:name="_Toc27998"/>
      <w:bookmarkStart w:id="1022" w:name="_Toc19702"/>
      <w:bookmarkStart w:id="1023" w:name="_Toc16626"/>
      <w:bookmarkStart w:id="1024" w:name="_Toc1004"/>
      <w:bookmarkStart w:id="1025" w:name="_Toc4333"/>
      <w:bookmarkStart w:id="1026" w:name="_Toc19422"/>
      <w:bookmarkStart w:id="1027" w:name="_Toc27233"/>
      <w:bookmarkStart w:id="1028" w:name="_Toc642"/>
      <w:bookmarkStart w:id="1029" w:name="_Toc16149"/>
      <w:bookmarkStart w:id="1030" w:name="_Toc23318"/>
      <w:bookmarkStart w:id="1031" w:name="_Toc5455"/>
      <w:bookmarkStart w:id="1032" w:name="_Toc5519"/>
      <w:bookmarkStart w:id="1033" w:name="_Toc144974536"/>
      <w:bookmarkStart w:id="1034" w:name="_Toc247513992"/>
      <w:bookmarkStart w:id="1035" w:name="_Toc152042344"/>
      <w:bookmarkStart w:id="1036" w:name="_Toc300834991"/>
      <w:bookmarkStart w:id="1037" w:name="_Toc247527593"/>
      <w:bookmarkStart w:id="1038" w:name="_Toc152045568"/>
      <w:r>
        <w:rPr>
          <w:rFonts w:hint="eastAsia" w:ascii="宋体" w:hAnsi="宋体" w:eastAsia="宋体" w:cs="宋体"/>
          <w:b/>
          <w:bCs w:val="0"/>
          <w:color w:val="auto"/>
          <w:highlight w:val="none"/>
        </w:rPr>
        <w:t>8.</w:t>
      </w:r>
      <w:bookmarkEnd w:id="1011"/>
      <w:bookmarkEnd w:id="1012"/>
      <w:bookmarkEnd w:id="1013"/>
      <w:r>
        <w:rPr>
          <w:rFonts w:hint="eastAsia" w:ascii="宋体" w:hAnsi="宋体" w:eastAsia="宋体" w:cs="宋体"/>
          <w:b/>
          <w:bCs w:val="0"/>
          <w:color w:val="auto"/>
          <w:highlight w:val="none"/>
        </w:rPr>
        <w:t>纪律和监督</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600BAB47">
      <w:pPr>
        <w:pStyle w:val="5"/>
        <w:bidi w:val="0"/>
        <w:spacing w:line="360" w:lineRule="auto"/>
        <w:rPr>
          <w:color w:val="auto"/>
          <w:highlight w:val="none"/>
        </w:rPr>
      </w:pPr>
      <w:bookmarkStart w:id="1039" w:name="_Toc9299"/>
      <w:bookmarkStart w:id="1040" w:name="_Toc9581"/>
      <w:bookmarkStart w:id="1041" w:name="_Toc29364"/>
      <w:bookmarkStart w:id="1042" w:name="_Toc21921"/>
      <w:bookmarkStart w:id="1043" w:name="_Toc28925"/>
      <w:bookmarkStart w:id="1044" w:name="_Toc4178"/>
      <w:bookmarkStart w:id="1045" w:name="_Toc18491"/>
      <w:bookmarkStart w:id="1046" w:name="_Toc26233"/>
      <w:bookmarkStart w:id="1047" w:name="_Toc12533"/>
      <w:bookmarkStart w:id="1048" w:name="_Toc7984"/>
      <w:bookmarkStart w:id="1049" w:name="_Toc27406"/>
      <w:bookmarkStart w:id="1050" w:name="_Toc10165"/>
      <w:bookmarkStart w:id="1051" w:name="_Toc18488"/>
      <w:bookmarkStart w:id="1052" w:name="_Toc18110"/>
      <w:bookmarkStart w:id="1053" w:name="_Toc20825"/>
      <w:bookmarkStart w:id="1054" w:name="_Toc492300613"/>
      <w:bookmarkStart w:id="1055" w:name="_Toc19869"/>
      <w:bookmarkStart w:id="1056" w:name="_Toc1428"/>
      <w:bookmarkStart w:id="1057" w:name="_Toc32544"/>
      <w:r>
        <w:rPr>
          <w:color w:val="auto"/>
          <w:highlight w:val="none"/>
        </w:rPr>
        <w:t xml:space="preserve">8.1 </w:t>
      </w:r>
      <w:r>
        <w:rPr>
          <w:rFonts w:hint="eastAsia"/>
          <w:color w:val="auto"/>
          <w:highlight w:val="none"/>
        </w:rPr>
        <w:t>对招标人的纪律要求</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152041A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招标人不得泄露招标投标活动中应当保密的情况和资料，不得与投标人串通损害国家利益、社会公共利益或者他人合法权益。</w:t>
      </w:r>
    </w:p>
    <w:p w14:paraId="22C50D72">
      <w:pPr>
        <w:pStyle w:val="8"/>
        <w:spacing w:line="360" w:lineRule="auto"/>
        <w:rPr>
          <w:color w:val="auto"/>
          <w:highlight w:val="none"/>
        </w:rPr>
      </w:pPr>
    </w:p>
    <w:p w14:paraId="0152EAA9">
      <w:pPr>
        <w:pStyle w:val="5"/>
        <w:bidi w:val="0"/>
        <w:spacing w:line="360" w:lineRule="auto"/>
        <w:rPr>
          <w:rFonts w:ascii="宋体" w:hAnsi="宋体" w:eastAsia="宋体" w:cs="宋体"/>
          <w:color w:val="auto"/>
          <w:szCs w:val="21"/>
          <w:highlight w:val="none"/>
        </w:rPr>
      </w:pPr>
      <w:bookmarkStart w:id="1058" w:name="_Toc22773"/>
      <w:bookmarkStart w:id="1059" w:name="_Toc23531"/>
      <w:bookmarkStart w:id="1060" w:name="_Toc24744"/>
      <w:bookmarkStart w:id="1061" w:name="_Toc7625"/>
      <w:bookmarkStart w:id="1062" w:name="_Toc7748"/>
      <w:bookmarkStart w:id="1063" w:name="_Toc23526"/>
      <w:bookmarkStart w:id="1064" w:name="_Toc16808"/>
      <w:bookmarkStart w:id="1065" w:name="_Toc13302"/>
      <w:bookmarkStart w:id="1066" w:name="_Toc29761"/>
      <w:bookmarkStart w:id="1067" w:name="_Toc28627"/>
      <w:bookmarkStart w:id="1068" w:name="_Toc11989"/>
      <w:bookmarkStart w:id="1069" w:name="_Toc31178"/>
      <w:bookmarkStart w:id="1070" w:name="_Toc32615"/>
      <w:bookmarkStart w:id="1071" w:name="_Toc8530"/>
      <w:bookmarkStart w:id="1072" w:name="_Toc17199"/>
      <w:bookmarkStart w:id="1073" w:name="_Toc492300614"/>
      <w:bookmarkStart w:id="1074" w:name="_Toc5638"/>
      <w:bookmarkStart w:id="1075" w:name="_Toc8183"/>
      <w:bookmarkStart w:id="1076" w:name="_Toc14517"/>
      <w:r>
        <w:rPr>
          <w:color w:val="auto"/>
          <w:highlight w:val="none"/>
        </w:rPr>
        <w:t xml:space="preserve">8.2 </w:t>
      </w:r>
      <w:r>
        <w:rPr>
          <w:rFonts w:hint="eastAsia"/>
          <w:color w:val="auto"/>
          <w:highlight w:val="none"/>
        </w:rPr>
        <w:t>对投标人的纪律要求</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5E5EC81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AB60F6">
      <w:pPr>
        <w:pStyle w:val="8"/>
        <w:spacing w:line="360" w:lineRule="auto"/>
        <w:rPr>
          <w:color w:val="auto"/>
          <w:highlight w:val="none"/>
        </w:rPr>
      </w:pPr>
    </w:p>
    <w:p w14:paraId="1B5BF1E7">
      <w:pPr>
        <w:pStyle w:val="5"/>
        <w:bidi w:val="0"/>
        <w:spacing w:line="360" w:lineRule="auto"/>
        <w:rPr>
          <w:color w:val="auto"/>
          <w:highlight w:val="none"/>
        </w:rPr>
      </w:pPr>
      <w:bookmarkStart w:id="1077" w:name="_Toc13808"/>
      <w:bookmarkStart w:id="1078" w:name="_Toc21541"/>
      <w:bookmarkStart w:id="1079" w:name="_Toc28223"/>
      <w:bookmarkStart w:id="1080" w:name="_Toc8883"/>
      <w:bookmarkStart w:id="1081" w:name="_Toc25078"/>
      <w:bookmarkStart w:id="1082" w:name="_Toc10526"/>
      <w:bookmarkStart w:id="1083" w:name="_Toc30851"/>
      <w:bookmarkStart w:id="1084" w:name="_Toc7612"/>
      <w:bookmarkStart w:id="1085" w:name="_Toc31525"/>
      <w:bookmarkStart w:id="1086" w:name="_Toc10360"/>
      <w:bookmarkStart w:id="1087" w:name="_Toc7745"/>
      <w:bookmarkStart w:id="1088" w:name="_Toc14277"/>
      <w:bookmarkStart w:id="1089" w:name="_Toc6527"/>
      <w:bookmarkStart w:id="1090" w:name="_Toc12805"/>
      <w:bookmarkStart w:id="1091" w:name="_Toc492300615"/>
      <w:bookmarkStart w:id="1092" w:name="_Toc3262"/>
      <w:bookmarkStart w:id="1093" w:name="_Toc30792"/>
      <w:bookmarkStart w:id="1094" w:name="_Toc14054"/>
      <w:bookmarkStart w:id="1095" w:name="_Toc24699"/>
      <w:r>
        <w:rPr>
          <w:color w:val="auto"/>
          <w:highlight w:val="none"/>
        </w:rPr>
        <w:t xml:space="preserve">8.3 </w:t>
      </w:r>
      <w:r>
        <w:rPr>
          <w:rFonts w:hint="eastAsia"/>
          <w:color w:val="auto"/>
          <w:highlight w:val="none"/>
        </w:rPr>
        <w:t>对评标委员会成员的纪律要求</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bookmarkEnd w:id="1033"/>
    <w:bookmarkEnd w:id="1034"/>
    <w:bookmarkEnd w:id="1035"/>
    <w:bookmarkEnd w:id="1036"/>
    <w:bookmarkEnd w:id="1037"/>
    <w:bookmarkEnd w:id="1038"/>
    <w:p w14:paraId="53EB2CC9">
      <w:pPr>
        <w:pStyle w:val="2"/>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highlight w:val="none"/>
          <w:lang w:val="en-US" w:eastAsia="zh-CN"/>
        </w:rPr>
      </w:pPr>
      <w:r>
        <w:rPr>
          <w:rFonts w:ascii="宋体" w:hAnsi="宋体" w:eastAsia="宋体" w:cs="Times New Roman"/>
          <w:color w:val="auto"/>
          <w:highlight w:val="none"/>
        </w:rPr>
        <w:t>在评标活动中，评标委员会成员应当客观、公正地履行职责，遵守职业道德，不得擅离职守，影响评标程序正常进行，不得使用第三章“评标办法”没有规定的评审因素和标准进行评标。</w:t>
      </w:r>
      <w:bookmarkStart w:id="1096" w:name="bookmark75"/>
      <w:bookmarkEnd w:id="1096"/>
      <w:r>
        <w:rPr>
          <w:rFonts w:hint="eastAsia" w:ascii="宋体" w:hAnsi="宋体" w:eastAsia="宋体" w:cs="Times New Roman"/>
          <w:color w:val="auto"/>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667BE4E1">
      <w:pPr>
        <w:pStyle w:val="2"/>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highlight w:val="none"/>
          <w:lang w:val="en-US" w:eastAsia="zh-CN"/>
        </w:rPr>
      </w:pPr>
    </w:p>
    <w:p w14:paraId="40C7A529">
      <w:pPr>
        <w:pStyle w:val="5"/>
        <w:bidi w:val="0"/>
        <w:spacing w:line="360" w:lineRule="auto"/>
        <w:rPr>
          <w:color w:val="auto"/>
          <w:highlight w:val="none"/>
        </w:rPr>
      </w:pPr>
      <w:bookmarkStart w:id="1097" w:name="_Toc28843"/>
      <w:bookmarkStart w:id="1098" w:name="_Toc28320"/>
      <w:bookmarkStart w:id="1099" w:name="_Toc4142"/>
      <w:bookmarkStart w:id="1100" w:name="_Toc684"/>
      <w:bookmarkStart w:id="1101" w:name="_Toc5380"/>
      <w:bookmarkStart w:id="1102" w:name="_Toc28731"/>
      <w:bookmarkStart w:id="1103" w:name="_Toc28214"/>
      <w:bookmarkStart w:id="1104" w:name="_Toc282"/>
      <w:bookmarkStart w:id="1105" w:name="_Toc491"/>
      <w:bookmarkStart w:id="1106" w:name="_Toc8050"/>
      <w:bookmarkStart w:id="1107" w:name="_Toc28590"/>
      <w:bookmarkStart w:id="1108" w:name="_Toc32573"/>
      <w:bookmarkStart w:id="1109" w:name="_Toc492300616"/>
      <w:bookmarkStart w:id="1110" w:name="_Toc4234"/>
      <w:bookmarkStart w:id="1111" w:name="_Toc16951"/>
      <w:bookmarkStart w:id="1112" w:name="_Toc16811"/>
      <w:bookmarkStart w:id="1113" w:name="_Toc9735"/>
      <w:bookmarkStart w:id="1114" w:name="_Toc22625"/>
      <w:bookmarkStart w:id="1115" w:name="_Toc9649"/>
      <w:r>
        <w:rPr>
          <w:color w:val="auto"/>
          <w:highlight w:val="none"/>
        </w:rPr>
        <w:t xml:space="preserve">8.4 </w:t>
      </w:r>
      <w:r>
        <w:rPr>
          <w:rFonts w:hint="eastAsia"/>
          <w:color w:val="auto"/>
          <w:highlight w:val="none"/>
        </w:rPr>
        <w:t>对与评标活动有关的工作人员的纪律要求</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6E0BDB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与评标活动有关的工作人员不得收受他人的财物或者其他好处，不得向他人透露对投标文件</w:t>
      </w:r>
      <w:bookmarkStart w:id="1116" w:name="_Toc152042345"/>
      <w:bookmarkStart w:id="1117" w:name="_Toc300834992"/>
      <w:bookmarkStart w:id="1118" w:name="_Toc247513993"/>
      <w:bookmarkStart w:id="1119" w:name="_Toc361508629"/>
      <w:bookmarkStart w:id="1120" w:name="_Toc247527594"/>
      <w:bookmarkStart w:id="1121" w:name="_Toc152045569"/>
      <w:bookmarkStart w:id="1122" w:name="_Toc369531560"/>
      <w:bookmarkStart w:id="1123" w:name="_Toc144974537"/>
      <w:bookmarkStart w:id="1124" w:name="_Toc352691516"/>
      <w:bookmarkStart w:id="1125" w:name="_Toc19429"/>
      <w:bookmarkStart w:id="1126" w:name="_Toc384308254"/>
      <w:r>
        <w:rPr>
          <w:rFonts w:hint="eastAsia" w:ascii="宋体" w:hAnsi="宋体" w:cs="宋体"/>
          <w:color w:val="auto"/>
          <w:sz w:val="21"/>
          <w:szCs w:val="21"/>
          <w:highlight w:val="none"/>
        </w:rPr>
        <w:t>的评审和比较、中标</w:t>
      </w:r>
      <w:bookmarkEnd w:id="1116"/>
      <w:bookmarkEnd w:id="1117"/>
      <w:bookmarkEnd w:id="1118"/>
      <w:bookmarkEnd w:id="1119"/>
      <w:bookmarkEnd w:id="1120"/>
      <w:bookmarkEnd w:id="1121"/>
      <w:bookmarkEnd w:id="1122"/>
      <w:bookmarkEnd w:id="1123"/>
      <w:bookmarkEnd w:id="1124"/>
      <w:bookmarkEnd w:id="1125"/>
      <w:bookmarkEnd w:id="1126"/>
      <w:r>
        <w:rPr>
          <w:rFonts w:hint="eastAsia" w:ascii="宋体" w:hAnsi="宋体" w:cs="宋体"/>
          <w:color w:val="auto"/>
          <w:sz w:val="21"/>
          <w:szCs w:val="21"/>
          <w:highlight w:val="none"/>
        </w:rPr>
        <w:t>候选人的推荐情况以及评标有关的其他情况。在评标活动中，与评标活动有关的工作人员不得擅离职守，影响评标程序正常进行。</w:t>
      </w:r>
    </w:p>
    <w:p w14:paraId="65DA0FA8">
      <w:pPr>
        <w:pStyle w:val="8"/>
        <w:spacing w:line="360" w:lineRule="auto"/>
        <w:rPr>
          <w:color w:val="auto"/>
          <w:highlight w:val="none"/>
        </w:rPr>
      </w:pPr>
    </w:p>
    <w:p w14:paraId="670602B6">
      <w:pPr>
        <w:pStyle w:val="5"/>
        <w:bidi w:val="0"/>
        <w:spacing w:line="360" w:lineRule="auto"/>
        <w:rPr>
          <w:rFonts w:ascii="宋体" w:hAnsi="宋体" w:eastAsia="宋体" w:cs="宋体"/>
          <w:color w:val="auto"/>
          <w:szCs w:val="21"/>
          <w:highlight w:val="none"/>
        </w:rPr>
      </w:pPr>
      <w:bookmarkStart w:id="1127" w:name="_Toc12743"/>
      <w:bookmarkStart w:id="1128" w:name="_Toc15494"/>
      <w:bookmarkStart w:id="1129" w:name="_Toc2142"/>
      <w:bookmarkStart w:id="1130" w:name="_Toc29154"/>
      <w:bookmarkStart w:id="1131" w:name="_Toc3022"/>
      <w:bookmarkStart w:id="1132" w:name="_Toc12604"/>
      <w:bookmarkStart w:id="1133" w:name="_Toc14715"/>
      <w:bookmarkStart w:id="1134" w:name="_Toc27306"/>
      <w:bookmarkStart w:id="1135" w:name="_Toc28539"/>
      <w:bookmarkStart w:id="1136" w:name="_Toc17336"/>
      <w:bookmarkStart w:id="1137" w:name="_Toc26019"/>
      <w:bookmarkStart w:id="1138" w:name="_Toc23059"/>
      <w:bookmarkStart w:id="1139" w:name="_Toc13636"/>
      <w:bookmarkStart w:id="1140" w:name="_Toc19832"/>
      <w:bookmarkStart w:id="1141" w:name="_Toc18526"/>
      <w:bookmarkStart w:id="1142" w:name="_Toc16736"/>
      <w:bookmarkStart w:id="1143" w:name="_Toc31528"/>
      <w:bookmarkStart w:id="1144" w:name="_Toc29884"/>
      <w:bookmarkStart w:id="1145" w:name="_Toc492300617"/>
      <w:r>
        <w:rPr>
          <w:color w:val="auto"/>
          <w:highlight w:val="none"/>
        </w:rPr>
        <w:t xml:space="preserve">8.5 </w:t>
      </w:r>
      <w:r>
        <w:rPr>
          <w:rFonts w:hint="eastAsia"/>
          <w:color w:val="auto"/>
          <w:highlight w:val="none"/>
        </w:rPr>
        <w:t>投诉</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53DCC097">
      <w:pPr>
        <w:pStyle w:val="2"/>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8.5.1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或</w:t>
      </w:r>
      <w:r>
        <w:rPr>
          <w:color w:val="auto"/>
          <w:highlight w:val="none"/>
        </w:rPr>
        <w:t>者</w:t>
      </w:r>
      <w:r>
        <w:rPr>
          <w:color w:val="auto"/>
          <w:spacing w:val="-3"/>
          <w:highlight w:val="none"/>
        </w:rPr>
        <w:t>其</w:t>
      </w:r>
      <w:r>
        <w:rPr>
          <w:color w:val="auto"/>
          <w:highlight w:val="none"/>
        </w:rPr>
        <w:t>他</w:t>
      </w:r>
      <w:r>
        <w:rPr>
          <w:color w:val="auto"/>
          <w:spacing w:val="-3"/>
          <w:highlight w:val="none"/>
        </w:rPr>
        <w:t>利害</w:t>
      </w:r>
      <w:r>
        <w:rPr>
          <w:color w:val="auto"/>
          <w:highlight w:val="none"/>
        </w:rPr>
        <w:t>关系</w:t>
      </w:r>
      <w:r>
        <w:rPr>
          <w:color w:val="auto"/>
          <w:spacing w:val="-3"/>
          <w:highlight w:val="none"/>
        </w:rPr>
        <w:t>人</w:t>
      </w:r>
      <w:r>
        <w:rPr>
          <w:color w:val="auto"/>
          <w:highlight w:val="none"/>
        </w:rPr>
        <w:t>认</w:t>
      </w:r>
      <w:r>
        <w:rPr>
          <w:color w:val="auto"/>
          <w:spacing w:val="-3"/>
          <w:highlight w:val="none"/>
        </w:rPr>
        <w:t>为</w:t>
      </w:r>
      <w:r>
        <w:rPr>
          <w:color w:val="auto"/>
          <w:highlight w:val="none"/>
        </w:rPr>
        <w:t>招</w:t>
      </w:r>
      <w:r>
        <w:rPr>
          <w:color w:val="auto"/>
          <w:spacing w:val="-3"/>
          <w:highlight w:val="none"/>
        </w:rPr>
        <w:t>标</w:t>
      </w:r>
      <w:r>
        <w:rPr>
          <w:color w:val="auto"/>
          <w:highlight w:val="none"/>
        </w:rPr>
        <w:t>投</w:t>
      </w:r>
      <w:r>
        <w:rPr>
          <w:color w:val="auto"/>
          <w:spacing w:val="-3"/>
          <w:highlight w:val="none"/>
        </w:rPr>
        <w:t>标</w:t>
      </w:r>
      <w:r>
        <w:rPr>
          <w:color w:val="auto"/>
          <w:highlight w:val="none"/>
        </w:rPr>
        <w:t>活</w:t>
      </w:r>
      <w:r>
        <w:rPr>
          <w:color w:val="auto"/>
          <w:spacing w:val="-3"/>
          <w:highlight w:val="none"/>
        </w:rPr>
        <w:t>动</w:t>
      </w:r>
      <w:r>
        <w:rPr>
          <w:color w:val="auto"/>
          <w:highlight w:val="none"/>
        </w:rPr>
        <w:t>不符</w:t>
      </w:r>
      <w:r>
        <w:rPr>
          <w:color w:val="auto"/>
          <w:spacing w:val="-3"/>
          <w:highlight w:val="none"/>
        </w:rPr>
        <w:t>合</w:t>
      </w:r>
      <w:r>
        <w:rPr>
          <w:color w:val="auto"/>
          <w:highlight w:val="none"/>
        </w:rPr>
        <w:t>法</w:t>
      </w:r>
      <w:r>
        <w:rPr>
          <w:color w:val="auto"/>
          <w:spacing w:val="-3"/>
          <w:highlight w:val="none"/>
        </w:rPr>
        <w:t>律</w:t>
      </w:r>
      <w:r>
        <w:rPr>
          <w:color w:val="auto"/>
          <w:spacing w:val="-39"/>
          <w:highlight w:val="none"/>
        </w:rPr>
        <w:t>、</w:t>
      </w:r>
      <w:r>
        <w:rPr>
          <w:color w:val="auto"/>
          <w:spacing w:val="-3"/>
          <w:highlight w:val="none"/>
        </w:rPr>
        <w:t>行</w:t>
      </w:r>
      <w:r>
        <w:rPr>
          <w:color w:val="auto"/>
          <w:highlight w:val="none"/>
        </w:rPr>
        <w:t>政</w:t>
      </w:r>
      <w:r>
        <w:rPr>
          <w:color w:val="auto"/>
          <w:spacing w:val="-3"/>
          <w:highlight w:val="none"/>
        </w:rPr>
        <w:t>法</w:t>
      </w:r>
      <w:r>
        <w:rPr>
          <w:color w:val="auto"/>
          <w:highlight w:val="none"/>
        </w:rPr>
        <w:t>规</w:t>
      </w:r>
      <w:r>
        <w:rPr>
          <w:color w:val="auto"/>
          <w:spacing w:val="-3"/>
          <w:highlight w:val="none"/>
        </w:rPr>
        <w:t>规</w:t>
      </w:r>
      <w:r>
        <w:rPr>
          <w:color w:val="auto"/>
          <w:highlight w:val="none"/>
        </w:rPr>
        <w:t>定的</w:t>
      </w:r>
      <w:r>
        <w:rPr>
          <w:color w:val="auto"/>
          <w:spacing w:val="-41"/>
          <w:highlight w:val="none"/>
        </w:rPr>
        <w:t>，</w:t>
      </w:r>
      <w:r>
        <w:rPr>
          <w:color w:val="auto"/>
          <w:highlight w:val="none"/>
        </w:rPr>
        <w:t>可</w:t>
      </w:r>
      <w:r>
        <w:rPr>
          <w:color w:val="auto"/>
          <w:spacing w:val="-3"/>
          <w:highlight w:val="none"/>
        </w:rPr>
        <w:t>以</w:t>
      </w:r>
      <w:r>
        <w:rPr>
          <w:color w:val="auto"/>
          <w:highlight w:val="none"/>
        </w:rPr>
        <w:t>自知道</w:t>
      </w:r>
      <w:r>
        <w:rPr>
          <w:color w:val="auto"/>
          <w:spacing w:val="-3"/>
          <w:highlight w:val="none"/>
        </w:rPr>
        <w:t>或</w:t>
      </w:r>
      <w:r>
        <w:rPr>
          <w:color w:val="auto"/>
          <w:highlight w:val="none"/>
        </w:rPr>
        <w:t>者</w:t>
      </w:r>
      <w:r>
        <w:rPr>
          <w:color w:val="auto"/>
          <w:spacing w:val="-3"/>
          <w:highlight w:val="none"/>
        </w:rPr>
        <w:t>应</w:t>
      </w:r>
      <w:r>
        <w:rPr>
          <w:color w:val="auto"/>
          <w:highlight w:val="none"/>
        </w:rPr>
        <w:t>当</w:t>
      </w:r>
      <w:r>
        <w:rPr>
          <w:color w:val="auto"/>
          <w:spacing w:val="-3"/>
          <w:highlight w:val="none"/>
        </w:rPr>
        <w:t>知</w:t>
      </w:r>
      <w:r>
        <w:rPr>
          <w:color w:val="auto"/>
          <w:highlight w:val="none"/>
        </w:rPr>
        <w:t>道</w:t>
      </w:r>
      <w:r>
        <w:rPr>
          <w:color w:val="auto"/>
          <w:spacing w:val="-3"/>
          <w:highlight w:val="none"/>
        </w:rPr>
        <w:t>之日</w:t>
      </w:r>
      <w:r>
        <w:rPr>
          <w:color w:val="auto"/>
          <w:highlight w:val="none"/>
        </w:rPr>
        <w:t>起</w:t>
      </w:r>
      <w:r>
        <w:rPr>
          <w:color w:val="auto"/>
          <w:spacing w:val="-55"/>
          <w:highlight w:val="none"/>
        </w:rPr>
        <w:t xml:space="preserve"> </w:t>
      </w:r>
      <w:r>
        <w:rPr>
          <w:rFonts w:ascii="Times New Roman" w:hAnsi="Times New Roman" w:eastAsia="Times New Roman"/>
          <w:color w:val="auto"/>
          <w:highlight w:val="none"/>
        </w:rPr>
        <w:t xml:space="preserve">10 </w:t>
      </w:r>
      <w:r>
        <w:rPr>
          <w:color w:val="auto"/>
          <w:spacing w:val="-3"/>
          <w:highlight w:val="none"/>
        </w:rPr>
        <w:t>日</w:t>
      </w:r>
      <w:r>
        <w:rPr>
          <w:color w:val="auto"/>
          <w:highlight w:val="none"/>
        </w:rPr>
        <w:t>内</w:t>
      </w:r>
      <w:r>
        <w:rPr>
          <w:color w:val="auto"/>
          <w:spacing w:val="-3"/>
          <w:highlight w:val="none"/>
        </w:rPr>
        <w:t>向</w:t>
      </w:r>
      <w:r>
        <w:rPr>
          <w:color w:val="auto"/>
          <w:highlight w:val="none"/>
        </w:rPr>
        <w:t>有</w:t>
      </w:r>
      <w:r>
        <w:rPr>
          <w:color w:val="auto"/>
          <w:spacing w:val="-3"/>
          <w:highlight w:val="none"/>
        </w:rPr>
        <w:t>关</w:t>
      </w:r>
      <w:r>
        <w:rPr>
          <w:color w:val="auto"/>
          <w:highlight w:val="none"/>
        </w:rPr>
        <w:t>行</w:t>
      </w:r>
      <w:r>
        <w:rPr>
          <w:color w:val="auto"/>
          <w:spacing w:val="-3"/>
          <w:highlight w:val="none"/>
        </w:rPr>
        <w:t>政</w:t>
      </w:r>
      <w:r>
        <w:rPr>
          <w:color w:val="auto"/>
          <w:highlight w:val="none"/>
        </w:rPr>
        <w:t>监</w:t>
      </w:r>
      <w:r>
        <w:rPr>
          <w:color w:val="auto"/>
          <w:spacing w:val="-3"/>
          <w:highlight w:val="none"/>
        </w:rPr>
        <w:t>督部</w:t>
      </w:r>
      <w:r>
        <w:rPr>
          <w:color w:val="auto"/>
          <w:highlight w:val="none"/>
        </w:rPr>
        <w:t>门投</w:t>
      </w:r>
      <w:r>
        <w:rPr>
          <w:color w:val="auto"/>
          <w:spacing w:val="-3"/>
          <w:highlight w:val="none"/>
        </w:rPr>
        <w:t>诉</w:t>
      </w:r>
      <w:r>
        <w:rPr>
          <w:color w:val="auto"/>
          <w:spacing w:val="-77"/>
          <w:highlight w:val="none"/>
        </w:rPr>
        <w:t>。</w:t>
      </w:r>
      <w:r>
        <w:rPr>
          <w:color w:val="auto"/>
          <w:highlight w:val="none"/>
        </w:rPr>
        <w:t>投</w:t>
      </w:r>
      <w:r>
        <w:rPr>
          <w:color w:val="auto"/>
          <w:spacing w:val="-3"/>
          <w:highlight w:val="none"/>
        </w:rPr>
        <w:t>诉</w:t>
      </w:r>
      <w:r>
        <w:rPr>
          <w:color w:val="auto"/>
          <w:highlight w:val="none"/>
        </w:rPr>
        <w:t>应</w:t>
      </w:r>
      <w:r>
        <w:rPr>
          <w:color w:val="auto"/>
          <w:spacing w:val="-3"/>
          <w:highlight w:val="none"/>
        </w:rPr>
        <w:t>当</w:t>
      </w:r>
      <w:r>
        <w:rPr>
          <w:color w:val="auto"/>
          <w:highlight w:val="none"/>
        </w:rPr>
        <w:t>有</w:t>
      </w:r>
      <w:r>
        <w:rPr>
          <w:color w:val="auto"/>
          <w:spacing w:val="-3"/>
          <w:highlight w:val="none"/>
        </w:rPr>
        <w:t>明</w:t>
      </w:r>
      <w:r>
        <w:rPr>
          <w:color w:val="auto"/>
          <w:highlight w:val="none"/>
        </w:rPr>
        <w:t>确</w:t>
      </w:r>
      <w:r>
        <w:rPr>
          <w:color w:val="auto"/>
          <w:spacing w:val="-3"/>
          <w:highlight w:val="none"/>
        </w:rPr>
        <w:t>的</w:t>
      </w:r>
      <w:r>
        <w:rPr>
          <w:color w:val="auto"/>
          <w:highlight w:val="none"/>
        </w:rPr>
        <w:t>请求</w:t>
      </w:r>
      <w:r>
        <w:rPr>
          <w:color w:val="auto"/>
          <w:spacing w:val="-3"/>
          <w:highlight w:val="none"/>
        </w:rPr>
        <w:t>和</w:t>
      </w:r>
      <w:r>
        <w:rPr>
          <w:color w:val="auto"/>
          <w:highlight w:val="none"/>
        </w:rPr>
        <w:t>必</w:t>
      </w:r>
      <w:r>
        <w:rPr>
          <w:color w:val="auto"/>
          <w:spacing w:val="-3"/>
          <w:highlight w:val="none"/>
        </w:rPr>
        <w:t>要</w:t>
      </w:r>
      <w:r>
        <w:rPr>
          <w:color w:val="auto"/>
          <w:highlight w:val="none"/>
        </w:rPr>
        <w:t>的证 明材</w:t>
      </w:r>
      <w:r>
        <w:rPr>
          <w:color w:val="auto"/>
          <w:spacing w:val="-3"/>
          <w:highlight w:val="none"/>
        </w:rPr>
        <w:t>料</w:t>
      </w:r>
      <w:r>
        <w:rPr>
          <w:color w:val="auto"/>
          <w:highlight w:val="none"/>
        </w:rPr>
        <w:t>。</w:t>
      </w:r>
    </w:p>
    <w:p w14:paraId="305B4AA8">
      <w:pPr>
        <w:spacing w:line="360" w:lineRule="auto"/>
        <w:ind w:firstLine="420" w:firstLineChars="200"/>
        <w:rPr>
          <w:rFonts w:ascii="宋体" w:hAnsi="宋体" w:cs="宋体"/>
          <w:color w:val="auto"/>
          <w:sz w:val="21"/>
          <w:szCs w:val="21"/>
          <w:highlight w:val="none"/>
        </w:rPr>
      </w:pPr>
      <w:r>
        <w:rPr>
          <w:rFonts w:ascii="Times New Roman" w:hAnsi="Times New Roman" w:eastAsia="Times New Roman"/>
          <w:color w:val="auto"/>
          <w:highlight w:val="none"/>
        </w:rPr>
        <w:t>8.5.2</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或</w:t>
      </w:r>
      <w:r>
        <w:rPr>
          <w:color w:val="auto"/>
          <w:highlight w:val="none"/>
        </w:rPr>
        <w:t>者</w:t>
      </w:r>
      <w:r>
        <w:rPr>
          <w:color w:val="auto"/>
          <w:spacing w:val="-3"/>
          <w:highlight w:val="none"/>
        </w:rPr>
        <w:t>其</w:t>
      </w:r>
      <w:r>
        <w:rPr>
          <w:color w:val="auto"/>
          <w:highlight w:val="none"/>
        </w:rPr>
        <w:t>他</w:t>
      </w:r>
      <w:r>
        <w:rPr>
          <w:color w:val="auto"/>
          <w:spacing w:val="-3"/>
          <w:highlight w:val="none"/>
        </w:rPr>
        <w:t>利害</w:t>
      </w:r>
      <w:r>
        <w:rPr>
          <w:color w:val="auto"/>
          <w:highlight w:val="none"/>
        </w:rPr>
        <w:t>关系</w:t>
      </w:r>
      <w:r>
        <w:rPr>
          <w:color w:val="auto"/>
          <w:spacing w:val="-3"/>
          <w:highlight w:val="none"/>
        </w:rPr>
        <w:t>人</w:t>
      </w:r>
      <w:r>
        <w:rPr>
          <w:color w:val="auto"/>
          <w:highlight w:val="none"/>
        </w:rPr>
        <w:t>对</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41"/>
          <w:highlight w:val="none"/>
        </w:rPr>
        <w:t>、</w:t>
      </w:r>
      <w:r>
        <w:rPr>
          <w:color w:val="auto"/>
          <w:highlight w:val="none"/>
        </w:rPr>
        <w:t>开</w:t>
      </w:r>
      <w:r>
        <w:rPr>
          <w:color w:val="auto"/>
          <w:spacing w:val="-3"/>
          <w:highlight w:val="none"/>
        </w:rPr>
        <w:t>标</w:t>
      </w:r>
      <w:r>
        <w:rPr>
          <w:color w:val="auto"/>
          <w:highlight w:val="none"/>
        </w:rPr>
        <w:t>和评</w:t>
      </w:r>
      <w:r>
        <w:rPr>
          <w:color w:val="auto"/>
          <w:spacing w:val="-3"/>
          <w:highlight w:val="none"/>
        </w:rPr>
        <w:t>标</w:t>
      </w:r>
      <w:r>
        <w:rPr>
          <w:color w:val="auto"/>
          <w:highlight w:val="none"/>
        </w:rPr>
        <w:t>结</w:t>
      </w:r>
      <w:r>
        <w:rPr>
          <w:color w:val="auto"/>
          <w:spacing w:val="-3"/>
          <w:highlight w:val="none"/>
        </w:rPr>
        <w:t>果</w:t>
      </w:r>
      <w:r>
        <w:rPr>
          <w:color w:val="auto"/>
          <w:highlight w:val="none"/>
        </w:rPr>
        <w:t>提</w:t>
      </w:r>
      <w:r>
        <w:rPr>
          <w:color w:val="auto"/>
          <w:spacing w:val="-3"/>
          <w:highlight w:val="none"/>
        </w:rPr>
        <w:t>出</w:t>
      </w:r>
      <w:r>
        <w:rPr>
          <w:color w:val="auto"/>
          <w:highlight w:val="none"/>
        </w:rPr>
        <w:t>投</w:t>
      </w:r>
      <w:r>
        <w:rPr>
          <w:color w:val="auto"/>
          <w:spacing w:val="-3"/>
          <w:highlight w:val="none"/>
        </w:rPr>
        <w:t>诉</w:t>
      </w:r>
      <w:r>
        <w:rPr>
          <w:color w:val="auto"/>
          <w:highlight w:val="none"/>
        </w:rPr>
        <w:t>的</w:t>
      </w:r>
      <w:r>
        <w:rPr>
          <w:color w:val="auto"/>
          <w:spacing w:val="-41"/>
          <w:highlight w:val="none"/>
        </w:rPr>
        <w:t>，</w:t>
      </w:r>
      <w:r>
        <w:rPr>
          <w:color w:val="auto"/>
          <w:highlight w:val="none"/>
        </w:rPr>
        <w:t>应当</w:t>
      </w:r>
      <w:r>
        <w:rPr>
          <w:color w:val="auto"/>
          <w:spacing w:val="-3"/>
          <w:highlight w:val="none"/>
        </w:rPr>
        <w:t>按</w:t>
      </w:r>
      <w:r>
        <w:rPr>
          <w:color w:val="auto"/>
          <w:highlight w:val="none"/>
        </w:rPr>
        <w:t>照</w:t>
      </w:r>
      <w:r>
        <w:rPr>
          <w:color w:val="auto"/>
          <w:spacing w:val="-3"/>
          <w:highlight w:val="none"/>
        </w:rPr>
        <w:t>投</w:t>
      </w:r>
      <w:r>
        <w:rPr>
          <w:color w:val="auto"/>
          <w:highlight w:val="none"/>
        </w:rPr>
        <w:t>标人须</w:t>
      </w:r>
      <w:r>
        <w:rPr>
          <w:color w:val="auto"/>
          <w:spacing w:val="-3"/>
          <w:highlight w:val="none"/>
        </w:rPr>
        <w:t>知</w:t>
      </w:r>
      <w:r>
        <w:rPr>
          <w:color w:val="auto"/>
          <w:highlight w:val="none"/>
        </w:rPr>
        <w:t>第</w:t>
      </w:r>
      <w:r>
        <w:rPr>
          <w:color w:val="auto"/>
          <w:spacing w:val="-65"/>
          <w:highlight w:val="none"/>
        </w:rPr>
        <w:t xml:space="preserve"> </w:t>
      </w:r>
      <w:r>
        <w:rPr>
          <w:rFonts w:ascii="Times New Roman" w:hAnsi="Times New Roman" w:eastAsia="Times New Roman"/>
          <w:color w:val="auto"/>
          <w:highlight w:val="none"/>
        </w:rPr>
        <w:t>2.4</w:t>
      </w:r>
      <w:r>
        <w:rPr>
          <w:rFonts w:ascii="Times New Roman" w:hAnsi="Times New Roman" w:eastAsia="Times New Roman"/>
          <w:color w:val="auto"/>
          <w:spacing w:val="-12"/>
          <w:highlight w:val="none"/>
        </w:rPr>
        <w:t xml:space="preserve"> </w:t>
      </w:r>
      <w:r>
        <w:rPr>
          <w:color w:val="auto"/>
          <w:spacing w:val="-3"/>
          <w:highlight w:val="none"/>
        </w:rPr>
        <w:t>款</w:t>
      </w:r>
      <w:r>
        <w:rPr>
          <w:color w:val="auto"/>
          <w:spacing w:val="-106"/>
          <w:highlight w:val="none"/>
        </w:rPr>
        <w:t>、</w:t>
      </w:r>
      <w:r>
        <w:rPr>
          <w:color w:val="auto"/>
          <w:highlight w:val="none"/>
        </w:rPr>
        <w:t>第</w:t>
      </w:r>
      <w:r>
        <w:rPr>
          <w:color w:val="auto"/>
          <w:spacing w:val="-65"/>
          <w:highlight w:val="none"/>
        </w:rPr>
        <w:t xml:space="preserve"> </w:t>
      </w:r>
      <w:r>
        <w:rPr>
          <w:rFonts w:ascii="Times New Roman" w:hAnsi="Times New Roman" w:eastAsia="Times New Roman"/>
          <w:color w:val="auto"/>
          <w:highlight w:val="none"/>
        </w:rPr>
        <w:t>5.3</w:t>
      </w:r>
      <w:r>
        <w:rPr>
          <w:rFonts w:ascii="Times New Roman" w:hAnsi="Times New Roman" w:eastAsia="Times New Roman"/>
          <w:color w:val="auto"/>
          <w:spacing w:val="-12"/>
          <w:highlight w:val="none"/>
        </w:rPr>
        <w:t xml:space="preserve"> </w:t>
      </w:r>
      <w:r>
        <w:rPr>
          <w:color w:val="auto"/>
          <w:spacing w:val="-3"/>
          <w:highlight w:val="none"/>
        </w:rPr>
        <w:t>款</w:t>
      </w:r>
      <w:r>
        <w:rPr>
          <w:color w:val="auto"/>
          <w:highlight w:val="none"/>
        </w:rPr>
        <w:t>和第</w:t>
      </w:r>
      <w:r>
        <w:rPr>
          <w:color w:val="auto"/>
          <w:spacing w:val="-64"/>
          <w:highlight w:val="none"/>
        </w:rPr>
        <w:t xml:space="preserve"> </w:t>
      </w:r>
      <w:r>
        <w:rPr>
          <w:rFonts w:ascii="Times New Roman" w:hAnsi="Times New Roman" w:eastAsia="Times New Roman"/>
          <w:color w:val="auto"/>
          <w:highlight w:val="none"/>
        </w:rPr>
        <w:t>7.2</w:t>
      </w:r>
      <w:r>
        <w:rPr>
          <w:rFonts w:ascii="Times New Roman" w:hAnsi="Times New Roman" w:eastAsia="Times New Roman"/>
          <w:color w:val="auto"/>
          <w:spacing w:val="-12"/>
          <w:highlight w:val="none"/>
        </w:rPr>
        <w:t xml:space="preserve"> </w:t>
      </w:r>
      <w:r>
        <w:rPr>
          <w:color w:val="auto"/>
          <w:spacing w:val="-3"/>
          <w:highlight w:val="none"/>
        </w:rPr>
        <w:t>款</w:t>
      </w:r>
      <w:r>
        <w:rPr>
          <w:color w:val="auto"/>
          <w:highlight w:val="none"/>
        </w:rPr>
        <w:t>的</w:t>
      </w:r>
      <w:r>
        <w:rPr>
          <w:color w:val="auto"/>
          <w:spacing w:val="-3"/>
          <w:highlight w:val="none"/>
        </w:rPr>
        <w:t>规</w:t>
      </w:r>
      <w:r>
        <w:rPr>
          <w:color w:val="auto"/>
          <w:highlight w:val="none"/>
        </w:rPr>
        <w:t>定</w:t>
      </w:r>
      <w:r>
        <w:rPr>
          <w:color w:val="auto"/>
          <w:spacing w:val="-3"/>
          <w:highlight w:val="none"/>
        </w:rPr>
        <w:t>先</w:t>
      </w:r>
      <w:r>
        <w:rPr>
          <w:color w:val="auto"/>
          <w:highlight w:val="none"/>
        </w:rPr>
        <w:t>向</w:t>
      </w:r>
      <w:r>
        <w:rPr>
          <w:color w:val="auto"/>
          <w:spacing w:val="-3"/>
          <w:highlight w:val="none"/>
        </w:rPr>
        <w:t>招标</w:t>
      </w:r>
      <w:r>
        <w:rPr>
          <w:color w:val="auto"/>
          <w:highlight w:val="none"/>
        </w:rPr>
        <w:t>人提</w:t>
      </w:r>
      <w:r>
        <w:rPr>
          <w:color w:val="auto"/>
          <w:spacing w:val="-3"/>
          <w:highlight w:val="none"/>
        </w:rPr>
        <w:t>出</w:t>
      </w:r>
      <w:r>
        <w:rPr>
          <w:color w:val="auto"/>
          <w:highlight w:val="none"/>
        </w:rPr>
        <w:t>异</w:t>
      </w:r>
      <w:r>
        <w:rPr>
          <w:color w:val="auto"/>
          <w:spacing w:val="-3"/>
          <w:highlight w:val="none"/>
        </w:rPr>
        <w:t>议</w:t>
      </w:r>
      <w:r>
        <w:rPr>
          <w:color w:val="auto"/>
          <w:spacing w:val="-106"/>
          <w:highlight w:val="none"/>
        </w:rPr>
        <w:t>。</w:t>
      </w:r>
      <w:r>
        <w:rPr>
          <w:color w:val="auto"/>
          <w:spacing w:val="-3"/>
          <w:highlight w:val="none"/>
        </w:rPr>
        <w:t>异</w:t>
      </w:r>
      <w:r>
        <w:rPr>
          <w:color w:val="auto"/>
          <w:highlight w:val="none"/>
        </w:rPr>
        <w:t>议</w:t>
      </w:r>
      <w:r>
        <w:rPr>
          <w:color w:val="auto"/>
          <w:spacing w:val="-3"/>
          <w:highlight w:val="none"/>
        </w:rPr>
        <w:t>答</w:t>
      </w:r>
      <w:r>
        <w:rPr>
          <w:color w:val="auto"/>
          <w:highlight w:val="none"/>
        </w:rPr>
        <w:t>复</w:t>
      </w:r>
      <w:r>
        <w:rPr>
          <w:color w:val="auto"/>
          <w:spacing w:val="-3"/>
          <w:highlight w:val="none"/>
        </w:rPr>
        <w:t>期间</w:t>
      </w:r>
      <w:r>
        <w:rPr>
          <w:color w:val="auto"/>
          <w:highlight w:val="none"/>
        </w:rPr>
        <w:t>不计</w:t>
      </w:r>
      <w:r>
        <w:rPr>
          <w:color w:val="auto"/>
          <w:spacing w:val="-3"/>
          <w:highlight w:val="none"/>
        </w:rPr>
        <w:t>算</w:t>
      </w:r>
      <w:r>
        <w:rPr>
          <w:color w:val="auto"/>
          <w:highlight w:val="none"/>
        </w:rPr>
        <w:t>在第</w:t>
      </w:r>
      <w:r>
        <w:rPr>
          <w:color w:val="auto"/>
          <w:spacing w:val="-65"/>
          <w:highlight w:val="none"/>
        </w:rPr>
        <w:t xml:space="preserve"> </w:t>
      </w:r>
      <w:r>
        <w:rPr>
          <w:rFonts w:ascii="Times New Roman" w:hAnsi="Times New Roman" w:eastAsia="Times New Roman"/>
          <w:color w:val="auto"/>
          <w:highlight w:val="none"/>
        </w:rPr>
        <w:t>8</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5.1</w:t>
      </w:r>
      <w:r>
        <w:rPr>
          <w:color w:val="auto"/>
          <w:highlight w:val="none"/>
        </w:rPr>
        <w:t>项规</w:t>
      </w:r>
      <w:r>
        <w:rPr>
          <w:color w:val="auto"/>
          <w:spacing w:val="-3"/>
          <w:highlight w:val="none"/>
        </w:rPr>
        <w:t>定</w:t>
      </w:r>
      <w:r>
        <w:rPr>
          <w:color w:val="auto"/>
          <w:highlight w:val="none"/>
        </w:rPr>
        <w:t>的</w:t>
      </w:r>
      <w:r>
        <w:rPr>
          <w:color w:val="auto"/>
          <w:spacing w:val="-3"/>
          <w:highlight w:val="none"/>
        </w:rPr>
        <w:t>期</w:t>
      </w:r>
      <w:r>
        <w:rPr>
          <w:color w:val="auto"/>
          <w:highlight w:val="none"/>
        </w:rPr>
        <w:t>限</w:t>
      </w:r>
      <w:r>
        <w:rPr>
          <w:color w:val="auto"/>
          <w:spacing w:val="-3"/>
          <w:highlight w:val="none"/>
        </w:rPr>
        <w:t>内</w:t>
      </w:r>
      <w:r>
        <w:rPr>
          <w:rFonts w:hint="eastAsia" w:ascii="宋体" w:hAnsi="宋体" w:cs="宋体"/>
          <w:color w:val="auto"/>
          <w:sz w:val="21"/>
          <w:szCs w:val="21"/>
          <w:highlight w:val="none"/>
        </w:rPr>
        <w:t>。</w:t>
      </w:r>
    </w:p>
    <w:p w14:paraId="1F97B859">
      <w:pPr>
        <w:pStyle w:val="4"/>
        <w:bidi w:val="0"/>
        <w:spacing w:line="360" w:lineRule="auto"/>
        <w:rPr>
          <w:rFonts w:hint="eastAsia" w:ascii="宋体" w:hAnsi="宋体" w:eastAsia="宋体" w:cs="宋体"/>
          <w:b/>
          <w:bCs w:val="0"/>
          <w:color w:val="auto"/>
          <w:highlight w:val="none"/>
        </w:rPr>
      </w:pPr>
      <w:bookmarkStart w:id="1146" w:name="_Toc477134992"/>
      <w:bookmarkStart w:id="1147" w:name="_Toc10277"/>
      <w:bookmarkStart w:id="1148" w:name="_Toc27422"/>
      <w:bookmarkStart w:id="1149" w:name="_Toc8988"/>
      <w:bookmarkStart w:id="1150" w:name="_Toc28852"/>
      <w:bookmarkStart w:id="1151" w:name="_Toc6573"/>
      <w:bookmarkStart w:id="1152" w:name="_Toc20616"/>
      <w:bookmarkStart w:id="1153" w:name="_Toc6758"/>
      <w:bookmarkStart w:id="1154" w:name="_Toc31063"/>
      <w:bookmarkStart w:id="1155" w:name="_Toc25642"/>
      <w:bookmarkStart w:id="1156" w:name="_Toc14974"/>
      <w:bookmarkStart w:id="1157" w:name="_Toc9137"/>
      <w:bookmarkStart w:id="1158" w:name="_Toc15620"/>
      <w:bookmarkStart w:id="1159" w:name="_Toc19651"/>
      <w:bookmarkStart w:id="1160" w:name="_Toc31311"/>
      <w:bookmarkStart w:id="1161" w:name="_Toc21593"/>
      <w:bookmarkStart w:id="1162" w:name="_Toc17880"/>
      <w:bookmarkStart w:id="1163" w:name="_Toc27523"/>
      <w:bookmarkStart w:id="1164" w:name="_Toc21761"/>
      <w:bookmarkStart w:id="1165" w:name="_Toc492300618"/>
      <w:r>
        <w:rPr>
          <w:rFonts w:hint="eastAsia" w:ascii="宋体" w:hAnsi="宋体" w:eastAsia="宋体" w:cs="宋体"/>
          <w:b/>
          <w:bCs w:val="0"/>
          <w:color w:val="auto"/>
          <w:highlight w:val="none"/>
        </w:rPr>
        <w:t>9. 是否采用电子招标投标</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019C51D1">
      <w:pPr>
        <w:spacing w:line="360" w:lineRule="auto"/>
        <w:ind w:firstLine="420" w:firstLineChars="200"/>
        <w:rPr>
          <w:rFonts w:hint="eastAsia" w:ascii="宋体" w:hAnsi="宋体" w:cs="宋体"/>
          <w:color w:val="auto"/>
          <w:sz w:val="21"/>
          <w:szCs w:val="21"/>
          <w:highlight w:val="none"/>
        </w:rPr>
      </w:pPr>
      <w:r>
        <w:rPr>
          <w:color w:val="auto"/>
          <w:highlight w:val="none"/>
        </w:rPr>
        <w:t>本招</w:t>
      </w:r>
      <w:r>
        <w:rPr>
          <w:color w:val="auto"/>
          <w:spacing w:val="-3"/>
          <w:highlight w:val="none"/>
        </w:rPr>
        <w:t>标</w:t>
      </w:r>
      <w:r>
        <w:rPr>
          <w:color w:val="auto"/>
          <w:highlight w:val="none"/>
        </w:rPr>
        <w:t>项</w:t>
      </w:r>
      <w:r>
        <w:rPr>
          <w:color w:val="auto"/>
          <w:spacing w:val="-3"/>
          <w:highlight w:val="none"/>
        </w:rPr>
        <w:t>目</w:t>
      </w:r>
      <w:r>
        <w:rPr>
          <w:rFonts w:hint="default" w:ascii="宋体" w:hAnsi="宋体" w:eastAsia="宋体" w:cs="宋体"/>
          <w:i w:val="0"/>
          <w:iCs w:val="0"/>
          <w:caps w:val="0"/>
          <w:color w:val="auto"/>
          <w:spacing w:val="-4"/>
          <w:sz w:val="21"/>
          <w:szCs w:val="21"/>
          <w:highlight w:val="none"/>
          <w:shd w:val="clear" w:color="auto" w:fill="auto"/>
          <w:lang w:val="en-US" w:eastAsia="zh-CN" w:bidi="ar-SA"/>
        </w:rPr>
        <w:t>采用</w:t>
      </w:r>
      <w:r>
        <w:rPr>
          <w:color w:val="auto"/>
          <w:highlight w:val="none"/>
        </w:rPr>
        <w:t>电</w:t>
      </w:r>
      <w:r>
        <w:rPr>
          <w:color w:val="auto"/>
          <w:spacing w:val="-3"/>
          <w:highlight w:val="none"/>
        </w:rPr>
        <w:t>子</w:t>
      </w:r>
      <w:r>
        <w:rPr>
          <w:color w:val="auto"/>
          <w:highlight w:val="none"/>
        </w:rPr>
        <w:t>招标</w:t>
      </w:r>
      <w:r>
        <w:rPr>
          <w:color w:val="auto"/>
          <w:spacing w:val="-3"/>
          <w:highlight w:val="none"/>
        </w:rPr>
        <w:t>投</w:t>
      </w:r>
      <w:r>
        <w:rPr>
          <w:color w:val="auto"/>
          <w:highlight w:val="none"/>
        </w:rPr>
        <w:t>标</w:t>
      </w:r>
      <w:r>
        <w:rPr>
          <w:color w:val="auto"/>
          <w:spacing w:val="-3"/>
          <w:highlight w:val="none"/>
        </w:rPr>
        <w:t>方</w:t>
      </w:r>
      <w:r>
        <w:rPr>
          <w:color w:val="auto"/>
          <w:highlight w:val="none"/>
        </w:rPr>
        <w:t>式</w:t>
      </w:r>
      <w:r>
        <w:rPr>
          <w:color w:val="auto"/>
          <w:spacing w:val="-3"/>
          <w:highlight w:val="none"/>
        </w:rPr>
        <w:t>，</w:t>
      </w:r>
      <w:r>
        <w:rPr>
          <w:rFonts w:hint="eastAsia" w:ascii="Times New Roman" w:hAnsi="Times New Roman" w:eastAsia="Times New Roman" w:cs="Times New Roman"/>
          <w:color w:val="auto"/>
          <w:spacing w:val="-8"/>
          <w:sz w:val="21"/>
          <w:szCs w:val="21"/>
          <w:highlight w:val="none"/>
          <w:lang w:eastAsia="zh-CN"/>
        </w:rPr>
        <w:t>按照</w:t>
      </w:r>
      <w:r>
        <w:rPr>
          <w:rFonts w:hint="eastAsia" w:ascii="Times New Roman" w:hAnsi="Times New Roman" w:eastAsia="宋体" w:cs="Times New Roman"/>
          <w:color w:val="auto"/>
          <w:spacing w:val="-8"/>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网站关于全流程电子化项目的相关指南进行操作</w:t>
      </w:r>
      <w:r>
        <w:rPr>
          <w:rFonts w:hint="eastAsia" w:ascii="宋体" w:hAnsi="宋体" w:cs="宋体"/>
          <w:color w:val="auto"/>
          <w:sz w:val="21"/>
          <w:szCs w:val="21"/>
          <w:highlight w:val="none"/>
        </w:rPr>
        <w:t>。</w:t>
      </w:r>
    </w:p>
    <w:p w14:paraId="5409A03B">
      <w:pPr>
        <w:pStyle w:val="8"/>
        <w:spacing w:line="360" w:lineRule="auto"/>
        <w:rPr>
          <w:color w:val="auto"/>
          <w:highlight w:val="none"/>
        </w:rPr>
      </w:pPr>
    </w:p>
    <w:p w14:paraId="68D1FD89">
      <w:pPr>
        <w:pStyle w:val="4"/>
        <w:pageBreakBefore w:val="0"/>
        <w:wordWrap/>
        <w:topLinePunct w:val="0"/>
        <w:autoSpaceDE w:val="0"/>
        <w:autoSpaceDN w:val="0"/>
        <w:bidi w:val="0"/>
        <w:adjustRightInd/>
        <w:snapToGrid/>
        <w:spacing w:before="0" w:after="0" w:line="360" w:lineRule="auto"/>
        <w:jc w:val="both"/>
        <w:textAlignment w:val="auto"/>
        <w:rPr>
          <w:rFonts w:hint="eastAsia" w:ascii="黑体" w:hAnsi="黑体" w:eastAsia="宋体" w:cs="黑体"/>
          <w:b w:val="0"/>
          <w:bCs w:val="0"/>
          <w:color w:val="auto"/>
          <w:highlight w:val="none"/>
          <w:lang w:eastAsia="zh-CN"/>
        </w:rPr>
      </w:pPr>
      <w:bookmarkStart w:id="1166" w:name="_Toc8442"/>
      <w:bookmarkStart w:id="1167" w:name="_Toc32621"/>
      <w:bookmarkStart w:id="1168" w:name="_Toc26223"/>
      <w:bookmarkStart w:id="1169" w:name="_Toc743"/>
      <w:r>
        <w:rPr>
          <w:rFonts w:hint="eastAsia" w:ascii="宋体" w:hAnsi="宋体" w:eastAsia="宋体" w:cs="宋体"/>
          <w:b/>
          <w:bCs/>
          <w:color w:val="auto"/>
          <w:highlight w:val="none"/>
        </w:rPr>
        <w:t xml:space="preserve">10. </w:t>
      </w:r>
      <w:r>
        <w:rPr>
          <w:rFonts w:hint="eastAsia" w:ascii="宋体" w:hAnsi="宋体" w:cs="宋体"/>
          <w:b/>
          <w:bCs/>
          <w:color w:val="auto"/>
          <w:highlight w:val="none"/>
          <w:lang w:eastAsia="zh-CN"/>
        </w:rPr>
        <w:t>重新招标情形</w:t>
      </w:r>
      <w:bookmarkEnd w:id="1166"/>
      <w:bookmarkEnd w:id="1167"/>
      <w:bookmarkEnd w:id="1168"/>
      <w:bookmarkEnd w:id="1169"/>
    </w:p>
    <w:p w14:paraId="25768DBC">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在下列情况下，依法必须招标项目的招标人在分析招标失败的原因并采取相应措施后，应当依照本办法重新招标：</w:t>
      </w:r>
    </w:p>
    <w:p w14:paraId="612772A8">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（一）资格</w:t>
      </w:r>
      <w:r>
        <w:rPr>
          <w:rFonts w:hint="eastAsia" w:ascii="宋体" w:hAnsi="宋体" w:eastAsia="宋体" w:cs="宋体"/>
          <w:i w:val="0"/>
          <w:iCs w:val="0"/>
          <w:caps w:val="0"/>
          <w:color w:val="auto"/>
          <w:spacing w:val="-4"/>
          <w:sz w:val="21"/>
          <w:szCs w:val="21"/>
          <w:highlight w:val="none"/>
          <w:shd w:val="clear" w:color="auto" w:fill="auto"/>
          <w:lang w:val="en-US" w:eastAsia="zh-CN" w:bidi="ar-SA"/>
        </w:rPr>
        <w:t>审查</w:t>
      </w:r>
      <w:r>
        <w:rPr>
          <w:rFonts w:hint="default" w:ascii="宋体" w:hAnsi="宋体" w:eastAsia="宋体" w:cs="宋体"/>
          <w:i w:val="0"/>
          <w:iCs w:val="0"/>
          <w:caps w:val="0"/>
          <w:color w:val="auto"/>
          <w:spacing w:val="-4"/>
          <w:sz w:val="21"/>
          <w:szCs w:val="21"/>
          <w:highlight w:val="none"/>
          <w:shd w:val="clear" w:color="auto" w:fill="auto"/>
          <w:lang w:val="en-US" w:eastAsia="zh-CN" w:bidi="ar-SA"/>
        </w:rPr>
        <w:t>合格的投标人不足三个的；</w:t>
      </w:r>
    </w:p>
    <w:p w14:paraId="3B64BA76">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（二）在投标截止时间前提交投标文件的投标人少于三个的；</w:t>
      </w:r>
    </w:p>
    <w:p w14:paraId="7CE0124D">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（三）所有投标均被否决的；</w:t>
      </w:r>
    </w:p>
    <w:p w14:paraId="1755B11B">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（四）评标委员会否决不合格投标后，因有效投标不足三个使得投标明显缺乏竞争，评标委员会决定否决全部投标的；</w:t>
      </w:r>
    </w:p>
    <w:p w14:paraId="058F238C">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eastAsia" w:ascii="宋体" w:hAnsi="宋体" w:eastAsia="宋体" w:cs="宋体"/>
          <w:i w:val="0"/>
          <w:iCs w:val="0"/>
          <w:caps w:val="0"/>
          <w:color w:val="auto"/>
          <w:spacing w:val="-4"/>
          <w:sz w:val="21"/>
          <w:szCs w:val="21"/>
          <w:highlight w:val="none"/>
          <w:shd w:val="clear" w:color="auto" w:fill="auto"/>
          <w:lang w:val="en-US" w:eastAsia="zh-CN" w:bidi="ar-SA"/>
        </w:rPr>
        <w:t>（五）符合法律法规需重新招标的其他情形</w:t>
      </w:r>
      <w:r>
        <w:rPr>
          <w:rFonts w:hint="default" w:ascii="宋体" w:hAnsi="宋体" w:eastAsia="宋体" w:cs="宋体"/>
          <w:i w:val="0"/>
          <w:iCs w:val="0"/>
          <w:caps w:val="0"/>
          <w:color w:val="auto"/>
          <w:spacing w:val="-4"/>
          <w:sz w:val="21"/>
          <w:szCs w:val="21"/>
          <w:highlight w:val="none"/>
          <w:shd w:val="clear" w:color="auto" w:fill="auto"/>
          <w:lang w:val="en-US" w:eastAsia="zh-CN" w:bidi="ar-SA"/>
        </w:rPr>
        <w:t>。</w:t>
      </w:r>
    </w:p>
    <w:p w14:paraId="4D081ECD">
      <w:pPr>
        <w:pStyle w:val="2"/>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p>
    <w:p w14:paraId="3F93D583">
      <w:pPr>
        <w:pStyle w:val="4"/>
        <w:pageBreakBefore w:val="0"/>
        <w:wordWrap/>
        <w:topLinePunct w:val="0"/>
        <w:autoSpaceDE w:val="0"/>
        <w:autoSpaceDN w:val="0"/>
        <w:bidi w:val="0"/>
        <w:adjustRightInd/>
        <w:snapToGrid/>
        <w:spacing w:before="0" w:after="0" w:line="360" w:lineRule="auto"/>
        <w:jc w:val="both"/>
        <w:textAlignment w:val="auto"/>
        <w:rPr>
          <w:rFonts w:hint="eastAsia" w:ascii="黑体" w:hAnsi="黑体" w:eastAsia="黑体" w:cs="黑体"/>
          <w:b w:val="0"/>
          <w:bCs w:val="0"/>
          <w:color w:val="auto"/>
          <w:highlight w:val="none"/>
        </w:rPr>
      </w:pPr>
      <w:bookmarkStart w:id="1170" w:name="_Toc41"/>
      <w:bookmarkStart w:id="1171" w:name="_Toc16478"/>
      <w:bookmarkStart w:id="1172" w:name="_Toc701"/>
      <w:bookmarkStart w:id="1173" w:name="_Toc27757"/>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 需要补充的其他内容</w:t>
      </w:r>
      <w:bookmarkEnd w:id="1170"/>
      <w:bookmarkEnd w:id="1171"/>
      <w:bookmarkEnd w:id="1172"/>
      <w:bookmarkEnd w:id="1173"/>
    </w:p>
    <w:p w14:paraId="30924FE0">
      <w:pPr>
        <w:pStyle w:val="4"/>
        <w:bidi w:val="0"/>
        <w:spacing w:line="360" w:lineRule="auto"/>
        <w:ind w:firstLine="404" w:firstLineChars="200"/>
        <w:jc w:val="both"/>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pPr>
      <w:bookmarkStart w:id="1174" w:name="_Toc18930"/>
      <w:bookmarkStart w:id="1175" w:name="_Toc5812"/>
      <w:bookmarkStart w:id="1176" w:name="_Toc29460"/>
      <w:bookmarkStart w:id="1177" w:name="_Toc2789"/>
      <w:r>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t>需要补充的其他内容：见投标人须知前附表。</w:t>
      </w:r>
      <w:bookmarkEnd w:id="1174"/>
      <w:bookmarkEnd w:id="1175"/>
      <w:bookmarkEnd w:id="1176"/>
      <w:bookmarkEnd w:id="1177"/>
    </w:p>
    <w:p w14:paraId="6817649E">
      <w:pPr>
        <w:spacing w:line="360" w:lineRule="auto"/>
        <w:ind w:right="-20" w:firstLine="0" w:firstLineChars="0"/>
        <w:jc w:val="left"/>
        <w:rPr>
          <w:rFonts w:hint="eastAsia" w:ascii="宋体" w:hAnsi="宋体" w:eastAsia="宋体" w:cs="宋体"/>
          <w:b/>
          <w:color w:val="auto"/>
          <w:position w:val="-4"/>
          <w:sz w:val="24"/>
          <w:szCs w:val="24"/>
          <w:highlight w:val="none"/>
          <w:lang w:val="en-US" w:eastAsia="zh-CN"/>
        </w:rPr>
      </w:pPr>
      <w:r>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br w:type="page"/>
      </w:r>
      <w:bookmarkStart w:id="1178" w:name="_Toc6923"/>
      <w:bookmarkStart w:id="1179" w:name="_Toc5644"/>
      <w:bookmarkStart w:id="1180" w:name="_Toc28363"/>
      <w:bookmarkStart w:id="1181" w:name="_Toc31728"/>
      <w:bookmarkStart w:id="1182" w:name="_Toc24184"/>
      <w:bookmarkStart w:id="1183" w:name="_Toc12835"/>
      <w:r>
        <w:rPr>
          <w:rFonts w:hint="eastAsia" w:ascii="宋体" w:hAnsi="宋体" w:eastAsia="宋体" w:cs="宋体"/>
          <w:b/>
          <w:color w:val="auto"/>
          <w:position w:val="-4"/>
          <w:sz w:val="24"/>
          <w:szCs w:val="24"/>
          <w:highlight w:val="none"/>
          <w:lang w:val="en-US" w:eastAsia="zh-CN"/>
        </w:rPr>
        <w:t>附件一：评标委员会成员声明</w:t>
      </w:r>
    </w:p>
    <w:p w14:paraId="676B0AD7">
      <w:pPr>
        <w:spacing w:line="360" w:lineRule="auto"/>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50A68E48">
      <w:pPr>
        <w:spacing w:line="360" w:lineRule="auto"/>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（本项目招标人）</w:t>
      </w:r>
      <w:r>
        <w:rPr>
          <w:rFonts w:hint="eastAsia" w:ascii="宋体" w:hAnsi="宋体"/>
          <w:color w:val="auto"/>
          <w:sz w:val="24"/>
          <w:szCs w:val="24"/>
          <w:highlight w:val="none"/>
        </w:rPr>
        <w:t>：</w:t>
      </w:r>
    </w:p>
    <w:p w14:paraId="4D395F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本人就参与</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项目的评标工作，作出郑重声明：</w:t>
      </w:r>
    </w:p>
    <w:p w14:paraId="46AAC2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44B81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719BA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8A4EA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2931C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86700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如果本人违反上述声明内容，造成的后果由本人自行承担。</w:t>
      </w:r>
    </w:p>
    <w:p w14:paraId="0CCF8453">
      <w:pPr>
        <w:spacing w:line="360" w:lineRule="auto"/>
        <w:rPr>
          <w:rFonts w:ascii="宋体" w:hAnsi="宋体" w:cs="宋体"/>
          <w:color w:val="auto"/>
          <w:szCs w:val="21"/>
          <w:highlight w:val="none"/>
        </w:rPr>
      </w:pPr>
      <w:r>
        <w:rPr>
          <w:rFonts w:hint="eastAsia" w:ascii="宋体" w:hAnsi="宋体"/>
          <w:color w:val="auto"/>
          <w:sz w:val="24"/>
          <w:szCs w:val="24"/>
          <w:highlight w:val="none"/>
        </w:rPr>
        <w:t xml:space="preserve">                             声明人：</w:t>
      </w:r>
      <w:r>
        <w:rPr>
          <w:rFonts w:hint="eastAsia" w:ascii="宋体" w:hAnsi="宋体"/>
          <w:color w:val="auto"/>
          <w:sz w:val="24"/>
          <w:szCs w:val="24"/>
          <w:highlight w:val="none"/>
          <w:u w:val="single"/>
        </w:rPr>
        <w:t xml:space="preserve">                     （签名） </w:t>
      </w:r>
    </w:p>
    <w:p w14:paraId="584D0076">
      <w:pPr>
        <w:spacing w:line="360" w:lineRule="auto"/>
        <w:jc w:val="right"/>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01D6D9B">
      <w:pPr>
        <w:pStyle w:val="4"/>
        <w:bidi w:val="0"/>
        <w:spacing w:line="360" w:lineRule="auto"/>
        <w:ind w:firstLine="643" w:firstLineChars="200"/>
        <w:jc w:val="center"/>
        <w:rPr>
          <w:color w:val="auto"/>
          <w:sz w:val="32"/>
          <w:szCs w:val="32"/>
          <w:highlight w:val="none"/>
        </w:rPr>
      </w:pPr>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评标办法（综合评估法）</w:t>
      </w:r>
      <w:bookmarkEnd w:id="1178"/>
      <w:bookmarkEnd w:id="1179"/>
      <w:bookmarkEnd w:id="1180"/>
      <w:bookmarkEnd w:id="1181"/>
      <w:bookmarkEnd w:id="1182"/>
      <w:bookmarkEnd w:id="1183"/>
    </w:p>
    <w:p w14:paraId="7E677989">
      <w:pPr>
        <w:bidi w:val="0"/>
        <w:spacing w:line="360" w:lineRule="auto"/>
        <w:jc w:val="center"/>
        <w:rPr>
          <w:rFonts w:hint="eastAsia"/>
          <w:b/>
          <w:bCs/>
          <w:color w:val="auto"/>
          <w:sz w:val="28"/>
          <w:szCs w:val="28"/>
          <w:highlight w:val="none"/>
        </w:rPr>
      </w:pPr>
      <w:bookmarkStart w:id="1184" w:name="_Toc23332"/>
      <w:bookmarkStart w:id="1185" w:name="_Toc11578"/>
      <w:bookmarkStart w:id="1186" w:name="_Toc24664"/>
      <w:bookmarkStart w:id="1187" w:name="_Toc12145"/>
      <w:bookmarkStart w:id="1188" w:name="_Toc511140226"/>
      <w:bookmarkStart w:id="1189" w:name="_Toc3573"/>
      <w:bookmarkStart w:id="1190" w:name="_Toc25449"/>
      <w:bookmarkStart w:id="1191" w:name="_Toc4827"/>
      <w:bookmarkStart w:id="1192" w:name="_Toc7095"/>
      <w:bookmarkStart w:id="1193" w:name="_Toc8283"/>
      <w:r>
        <w:rPr>
          <w:rFonts w:hint="eastAsia"/>
          <w:b/>
          <w:bCs/>
          <w:color w:val="auto"/>
          <w:sz w:val="28"/>
          <w:szCs w:val="28"/>
          <w:highlight w:val="none"/>
        </w:rPr>
        <w:t>评标办法前附表</w:t>
      </w:r>
      <w:bookmarkEnd w:id="1184"/>
      <w:bookmarkEnd w:id="1185"/>
      <w:bookmarkEnd w:id="1186"/>
      <w:bookmarkEnd w:id="1187"/>
      <w:bookmarkEnd w:id="1188"/>
      <w:bookmarkEnd w:id="1189"/>
      <w:bookmarkEnd w:id="1190"/>
      <w:bookmarkEnd w:id="1191"/>
      <w:bookmarkEnd w:id="1192"/>
      <w:bookmarkEnd w:id="1193"/>
    </w:p>
    <w:tbl>
      <w:tblPr>
        <w:tblStyle w:val="30"/>
        <w:tblW w:w="933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787"/>
        <w:gridCol w:w="4523"/>
      </w:tblGrid>
      <w:tr w14:paraId="5E5A8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3D10FBDA">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8305872">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评审因素</w:t>
            </w:r>
          </w:p>
        </w:tc>
        <w:tc>
          <w:tcPr>
            <w:tcW w:w="4523" w:type="dxa"/>
            <w:tcBorders>
              <w:top w:val="single" w:color="auto" w:sz="4" w:space="0"/>
              <w:left w:val="single" w:color="auto" w:sz="4" w:space="0"/>
              <w:bottom w:val="single" w:color="auto" w:sz="4" w:space="0"/>
            </w:tcBorders>
            <w:noWrap w:val="0"/>
            <w:vAlign w:val="center"/>
          </w:tcPr>
          <w:p w14:paraId="37AC6A84">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评审标准</w:t>
            </w:r>
          </w:p>
        </w:tc>
      </w:tr>
      <w:tr w14:paraId="77DBD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bottom w:val="single" w:color="auto" w:sz="4" w:space="0"/>
              <w:right w:val="single" w:color="auto" w:sz="4" w:space="0"/>
            </w:tcBorders>
            <w:noWrap w:val="0"/>
            <w:vAlign w:val="center"/>
          </w:tcPr>
          <w:p w14:paraId="2468D38C">
            <w:pPr>
              <w:spacing w:line="360" w:lineRule="auto"/>
              <w:jc w:val="center"/>
              <w:rPr>
                <w:rFonts w:ascii="Times New Roman" w:hAnsi="Times New Roman"/>
                <w:color w:val="auto"/>
                <w:highlight w:val="none"/>
              </w:rPr>
            </w:pPr>
            <w:r>
              <w:rPr>
                <w:rFonts w:ascii="Times New Roman" w:hAnsi="Times New Roman"/>
                <w:color w:val="auto"/>
                <w:highlight w:val="none"/>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9BFAA7D">
            <w:pPr>
              <w:spacing w:line="360" w:lineRule="auto"/>
              <w:jc w:val="center"/>
              <w:rPr>
                <w:rFonts w:ascii="Times New Roman" w:hAnsi="Times New Roman"/>
                <w:color w:val="auto"/>
                <w:highlight w:val="none"/>
              </w:rPr>
            </w:pPr>
            <w:r>
              <w:rPr>
                <w:rFonts w:hint="eastAsia" w:ascii="Times New Roman" w:hAnsi="Times New Roman"/>
                <w:color w:val="auto"/>
                <w:highlight w:val="none"/>
              </w:rPr>
              <w:t>评标方法</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ECC5E18">
            <w:pPr>
              <w:spacing w:line="360" w:lineRule="auto"/>
              <w:jc w:val="center"/>
              <w:rPr>
                <w:rFonts w:ascii="Times New Roman" w:hAnsi="Times New Roman"/>
                <w:color w:val="auto"/>
                <w:highlight w:val="none"/>
              </w:rPr>
            </w:pPr>
            <w:r>
              <w:rPr>
                <w:rFonts w:hint="eastAsia" w:ascii="Times New Roman" w:hAnsi="Times New Roman"/>
                <w:color w:val="auto"/>
                <w:highlight w:val="none"/>
              </w:rPr>
              <w:t>中标候选人排序方法</w:t>
            </w:r>
          </w:p>
        </w:tc>
        <w:tc>
          <w:tcPr>
            <w:tcW w:w="4523" w:type="dxa"/>
            <w:tcBorders>
              <w:top w:val="single" w:color="auto" w:sz="4" w:space="0"/>
              <w:left w:val="single" w:color="auto" w:sz="4" w:space="0"/>
              <w:bottom w:val="single" w:color="auto" w:sz="4" w:space="0"/>
            </w:tcBorders>
            <w:noWrap w:val="0"/>
            <w:vAlign w:val="top"/>
          </w:tcPr>
          <w:p w14:paraId="62E8BD7F">
            <w:pPr>
              <w:spacing w:line="360" w:lineRule="auto"/>
              <w:jc w:val="left"/>
              <w:rPr>
                <w:rFonts w:hint="eastAsia"/>
                <w:color w:val="auto"/>
                <w:highlight w:val="none"/>
                <w:lang w:eastAsia="zh-CN"/>
              </w:rPr>
            </w:pPr>
            <w:r>
              <w:rPr>
                <w:rFonts w:hint="eastAsia"/>
                <w:strike/>
                <w:color w:val="auto"/>
                <w:highlight w:val="none"/>
                <w:lang w:eastAsia="zh-CN"/>
              </w:rPr>
              <w:t>各标段</w:t>
            </w:r>
            <w:r>
              <w:rPr>
                <w:rFonts w:hint="eastAsia"/>
                <w:color w:val="auto"/>
                <w:highlight w:val="none"/>
                <w:lang w:eastAsia="zh-CN"/>
              </w:rPr>
              <w:t>中标候选人顺序确定方法如下：</w:t>
            </w:r>
          </w:p>
          <w:p w14:paraId="6C626FB4">
            <w:pPr>
              <w:pStyle w:val="8"/>
              <w:spacing w:line="360" w:lineRule="auto"/>
              <w:ind w:left="0" w:leftChars="0" w:firstLine="0" w:firstLineChars="0"/>
              <w:rPr>
                <w:rFonts w:hint="eastAsia"/>
                <w:color w:val="auto"/>
                <w:highlight w:val="none"/>
                <w:lang w:eastAsia="zh-CN"/>
              </w:rPr>
            </w:pPr>
            <w:r>
              <w:rPr>
                <w:rFonts w:hint="eastAsia" w:ascii="宋体" w:hAnsi="宋体" w:cs="宋体"/>
                <w:color w:val="auto"/>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w:t>
            </w:r>
            <w:r>
              <w:rPr>
                <w:rFonts w:ascii="宋体" w:hAnsi="宋体" w:cs="宋体"/>
                <w:color w:val="auto"/>
                <w:spacing w:val="1"/>
                <w:szCs w:val="21"/>
                <w:highlight w:val="none"/>
              </w:rPr>
              <w:t>综合评</w:t>
            </w:r>
            <w:r>
              <w:rPr>
                <w:rFonts w:ascii="宋体" w:hAnsi="宋体" w:cs="宋体"/>
                <w:color w:val="auto"/>
                <w:szCs w:val="21"/>
                <w:highlight w:val="none"/>
              </w:rPr>
              <w:t>分相等时</w:t>
            </w:r>
            <w:r>
              <w:rPr>
                <w:rFonts w:hint="eastAsia" w:ascii="宋体" w:hAnsi="宋体" w:cs="宋体"/>
                <w:color w:val="auto"/>
                <w:highlight w:val="none"/>
              </w:rPr>
              <w:t>，以投标报价低的优先；投标报价也相等的，以监理大纲得分高的优先；如果监理大纲得分也相等，由评标委员会采用记名投票方式，以得票多的优先。</w:t>
            </w:r>
          </w:p>
        </w:tc>
      </w:tr>
      <w:tr w14:paraId="3CAB9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21E4D024">
            <w:pPr>
              <w:spacing w:line="360" w:lineRule="auto"/>
              <w:jc w:val="center"/>
              <w:rPr>
                <w:rFonts w:ascii="Times New Roman" w:hAnsi="Times New Roman"/>
                <w:color w:val="auto"/>
                <w:highlight w:val="none"/>
              </w:rPr>
            </w:pPr>
            <w:r>
              <w:rPr>
                <w:rFonts w:ascii="Times New Roman" w:hAnsi="Times New Roman"/>
                <w:color w:val="auto"/>
                <w:highlight w:val="none"/>
              </w:rPr>
              <w:t>2.1.1</w:t>
            </w:r>
          </w:p>
        </w:tc>
        <w:tc>
          <w:tcPr>
            <w:tcW w:w="1124" w:type="dxa"/>
            <w:vMerge w:val="restart"/>
            <w:tcBorders>
              <w:top w:val="single" w:color="auto" w:sz="4" w:space="0"/>
              <w:right w:val="single" w:color="auto" w:sz="4" w:space="0"/>
            </w:tcBorders>
            <w:noWrap w:val="0"/>
            <w:vAlign w:val="center"/>
          </w:tcPr>
          <w:p w14:paraId="2D11A268">
            <w:pPr>
              <w:spacing w:line="360" w:lineRule="auto"/>
              <w:jc w:val="center"/>
              <w:rPr>
                <w:rFonts w:ascii="Times New Roman" w:hAnsi="Times New Roman"/>
                <w:color w:val="auto"/>
                <w:highlight w:val="none"/>
              </w:rPr>
            </w:pPr>
            <w:r>
              <w:rPr>
                <w:rFonts w:hint="eastAsia" w:ascii="Times New Roman" w:hAnsi="Times New Roman"/>
                <w:color w:val="auto"/>
                <w:highlight w:val="none"/>
              </w:rPr>
              <w:t>形式评审标准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FF66D52">
            <w:pPr>
              <w:spacing w:line="360" w:lineRule="auto"/>
              <w:jc w:val="center"/>
              <w:rPr>
                <w:rFonts w:ascii="Times New Roman" w:hAnsi="Times New Roman"/>
                <w:color w:val="auto"/>
                <w:highlight w:val="none"/>
              </w:rPr>
            </w:pPr>
            <w:r>
              <w:rPr>
                <w:rFonts w:hint="eastAsia" w:ascii="Times New Roman" w:hAnsi="Times New Roman"/>
                <w:color w:val="auto"/>
                <w:highlight w:val="none"/>
              </w:rPr>
              <w:t>投标人名称</w:t>
            </w:r>
          </w:p>
        </w:tc>
        <w:tc>
          <w:tcPr>
            <w:tcW w:w="4523" w:type="dxa"/>
            <w:tcBorders>
              <w:top w:val="single" w:color="auto" w:sz="4" w:space="0"/>
              <w:left w:val="single" w:color="auto" w:sz="4" w:space="0"/>
              <w:bottom w:val="single" w:color="auto" w:sz="4" w:space="0"/>
            </w:tcBorders>
            <w:noWrap w:val="0"/>
            <w:vAlign w:val="center"/>
          </w:tcPr>
          <w:p w14:paraId="5A186613">
            <w:pPr>
              <w:spacing w:line="360" w:lineRule="auto"/>
              <w:rPr>
                <w:rFonts w:hint="eastAsia" w:ascii="Times New Roman" w:hAnsi="Times New Roman" w:eastAsia="宋体"/>
                <w:color w:val="auto"/>
                <w:highlight w:val="none"/>
                <w:lang w:eastAsia="zh-CN"/>
              </w:rPr>
            </w:pPr>
            <w:r>
              <w:rPr>
                <w:rFonts w:hint="eastAsia" w:ascii="Times New Roman" w:hAnsi="Times New Roman"/>
                <w:color w:val="auto"/>
                <w:highlight w:val="none"/>
              </w:rPr>
              <w:t>与营业执照或事业单位登记机构核发的事业单位法人证书、资质证书一致</w:t>
            </w:r>
            <w:r>
              <w:rPr>
                <w:rFonts w:hint="eastAsia" w:ascii="Times New Roman" w:hAnsi="Times New Roman"/>
                <w:color w:val="auto"/>
                <w:highlight w:val="none"/>
                <w:lang w:eastAsia="zh-CN"/>
              </w:rPr>
              <w:t>。</w:t>
            </w:r>
          </w:p>
        </w:tc>
      </w:tr>
      <w:tr w14:paraId="78051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732B7858">
            <w:pPr>
              <w:spacing w:line="360" w:lineRule="auto"/>
              <w:jc w:val="center"/>
              <w:rPr>
                <w:rFonts w:ascii="Times New Roman" w:hAnsi="Times New Roman"/>
                <w:color w:val="auto"/>
                <w:highlight w:val="none"/>
              </w:rPr>
            </w:pPr>
          </w:p>
        </w:tc>
        <w:tc>
          <w:tcPr>
            <w:tcW w:w="1124" w:type="dxa"/>
            <w:vMerge w:val="continue"/>
            <w:tcBorders>
              <w:right w:val="single" w:color="auto" w:sz="4" w:space="0"/>
            </w:tcBorders>
            <w:noWrap w:val="0"/>
            <w:vAlign w:val="center"/>
          </w:tcPr>
          <w:p w14:paraId="6C0970B8">
            <w:pPr>
              <w:spacing w:line="360" w:lineRule="auto"/>
              <w:jc w:val="center"/>
              <w:rPr>
                <w:rFonts w:hint="eastAsia"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14D8E12">
            <w:pPr>
              <w:spacing w:line="360" w:lineRule="auto"/>
              <w:jc w:val="both"/>
              <w:rPr>
                <w:rFonts w:hint="eastAsia" w:ascii="Times New Roman" w:hAnsi="Times New Roman"/>
                <w:color w:val="auto"/>
                <w:highlight w:val="none"/>
              </w:rPr>
            </w:pPr>
            <w:r>
              <w:rPr>
                <w:rFonts w:hint="eastAsia" w:ascii="宋体" w:hAnsi="宋体" w:eastAsia="宋体" w:cs="Times New Roman"/>
                <w:color w:val="auto"/>
                <w:spacing w:val="-3"/>
                <w:sz w:val="21"/>
                <w:highlight w:val="none"/>
              </w:rPr>
              <w:t>投标人参加投标的意思表达清楚，投标人代表被授权有效</w:t>
            </w:r>
          </w:p>
        </w:tc>
        <w:tc>
          <w:tcPr>
            <w:tcW w:w="4523" w:type="dxa"/>
            <w:tcBorders>
              <w:top w:val="single" w:color="auto" w:sz="4" w:space="0"/>
              <w:left w:val="single" w:color="auto" w:sz="4" w:space="0"/>
              <w:bottom w:val="single" w:color="auto" w:sz="4" w:space="0"/>
            </w:tcBorders>
            <w:noWrap w:val="0"/>
            <w:vAlign w:val="center"/>
          </w:tcPr>
          <w:p w14:paraId="7CF34416">
            <w:pPr>
              <w:spacing w:line="360" w:lineRule="auto"/>
              <w:rPr>
                <w:rFonts w:hint="eastAsia" w:ascii="Times New Roman" w:hAnsi="Times New Roman"/>
                <w:color w:val="auto"/>
                <w:highlight w:val="none"/>
              </w:rPr>
            </w:pPr>
            <w:r>
              <w:rPr>
                <w:rFonts w:hint="eastAsia" w:ascii="宋体" w:hAnsi="宋体" w:eastAsia="宋体" w:cs="Times New Roman"/>
                <w:color w:val="auto"/>
                <w:sz w:val="21"/>
                <w:szCs w:val="21"/>
                <w:highlight w:val="none"/>
              </w:rPr>
              <w:t>投标人声明、廉洁承诺书、法定代表人证明书；委托投标的还应提供法人授权委托证明书</w:t>
            </w:r>
            <w:r>
              <w:rPr>
                <w:rFonts w:hint="eastAsia" w:ascii="宋体" w:hAnsi="宋体" w:eastAsia="宋体" w:cs="Times New Roman"/>
                <w:color w:val="auto"/>
                <w:sz w:val="21"/>
                <w:szCs w:val="21"/>
                <w:highlight w:val="none"/>
                <w:lang w:eastAsia="zh-CN"/>
              </w:rPr>
              <w:t>。</w:t>
            </w:r>
          </w:p>
        </w:tc>
      </w:tr>
      <w:tr w14:paraId="18331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382B63B9">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32F20DC1">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A3AEBB6">
            <w:pPr>
              <w:spacing w:line="360" w:lineRule="auto"/>
              <w:jc w:val="center"/>
              <w:rPr>
                <w:rFonts w:ascii="Times New Roman" w:hAnsi="Times New Roman"/>
                <w:color w:val="auto"/>
                <w:highlight w:val="none"/>
              </w:rPr>
            </w:pPr>
            <w:r>
              <w:rPr>
                <w:rFonts w:hint="eastAsia" w:ascii="Times New Roman" w:hAnsi="Times New Roman"/>
                <w:color w:val="auto"/>
                <w:highlight w:val="none"/>
              </w:rPr>
              <w:t>投标函及投标函附录签字盖章</w:t>
            </w:r>
          </w:p>
        </w:tc>
        <w:tc>
          <w:tcPr>
            <w:tcW w:w="4523" w:type="dxa"/>
            <w:tcBorders>
              <w:top w:val="single" w:color="auto" w:sz="4" w:space="0"/>
              <w:left w:val="single" w:color="auto" w:sz="4" w:space="0"/>
              <w:bottom w:val="single" w:color="auto" w:sz="4" w:space="0"/>
            </w:tcBorders>
            <w:noWrap w:val="0"/>
            <w:vAlign w:val="center"/>
          </w:tcPr>
          <w:p w14:paraId="19CC592A">
            <w:pPr>
              <w:spacing w:line="360" w:lineRule="auto"/>
              <w:rPr>
                <w:rFonts w:ascii="Times New Roman" w:hAnsi="Times New Roman"/>
                <w:color w:val="auto"/>
                <w:highlight w:val="none"/>
              </w:rPr>
            </w:pPr>
            <w:r>
              <w:rPr>
                <w:rFonts w:hint="eastAsia" w:ascii="宋体" w:hAnsi="宋体" w:eastAsia="宋体" w:cs="Times New Roman"/>
                <w:color w:val="auto"/>
                <w:sz w:val="21"/>
                <w:szCs w:val="21"/>
                <w:highlight w:val="none"/>
              </w:rPr>
              <w:t>有法定代表人或其委托代理人签字</w:t>
            </w:r>
            <w:r>
              <w:rPr>
                <w:rFonts w:hint="eastAsia" w:ascii="宋体" w:hAnsi="宋体" w:eastAsia="宋体" w:cs="Times New Roman"/>
                <w:color w:val="auto"/>
                <w:sz w:val="21"/>
                <w:szCs w:val="21"/>
                <w:highlight w:val="none"/>
                <w:lang w:eastAsia="zh-CN"/>
              </w:rPr>
              <w:t>和加</w:t>
            </w:r>
            <w:r>
              <w:rPr>
                <w:rFonts w:hint="eastAsia" w:ascii="宋体" w:hAnsi="宋体" w:eastAsia="宋体" w:cs="Times New Roman"/>
                <w:color w:val="auto"/>
                <w:sz w:val="21"/>
                <w:szCs w:val="21"/>
                <w:highlight w:val="none"/>
              </w:rPr>
              <w:t>盖</w:t>
            </w:r>
            <w:r>
              <w:rPr>
                <w:rFonts w:hint="eastAsia" w:ascii="宋体" w:hAnsi="宋体" w:eastAsia="宋体" w:cs="Times New Roman"/>
                <w:color w:val="auto"/>
                <w:sz w:val="21"/>
                <w:szCs w:val="21"/>
                <w:highlight w:val="none"/>
                <w:lang w:eastAsia="zh-CN"/>
              </w:rPr>
              <w:t>单位</w:t>
            </w:r>
            <w:r>
              <w:rPr>
                <w:rFonts w:hint="eastAsia" w:ascii="宋体" w:hAnsi="宋体" w:eastAsia="宋体" w:cs="Times New Roman"/>
                <w:color w:val="auto"/>
                <w:sz w:val="21"/>
                <w:szCs w:val="21"/>
                <w:highlight w:val="none"/>
              </w:rPr>
              <w:t>章。由法定代表人签字的，应附法定代表人身份证明</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由代理人签字的，应附</w:t>
            </w:r>
            <w:r>
              <w:rPr>
                <w:rFonts w:hint="eastAsia" w:ascii="宋体" w:hAnsi="宋体" w:eastAsia="宋体" w:cs="Times New Roman"/>
                <w:color w:val="auto"/>
                <w:sz w:val="21"/>
                <w:szCs w:val="21"/>
                <w:highlight w:val="none"/>
                <w:lang w:eastAsia="zh-CN"/>
              </w:rPr>
              <w:t>法定代表人身份证明及</w:t>
            </w:r>
            <w:r>
              <w:rPr>
                <w:rFonts w:hint="eastAsia" w:ascii="宋体" w:hAnsi="宋体" w:eastAsia="宋体" w:cs="Times New Roman"/>
                <w:color w:val="auto"/>
                <w:sz w:val="21"/>
                <w:szCs w:val="21"/>
                <w:highlight w:val="none"/>
              </w:rPr>
              <w:t>授权委托书，身份证明或授权委托书</w:t>
            </w:r>
            <w:r>
              <w:rPr>
                <w:rFonts w:hint="eastAsia" w:ascii="宋体" w:hAnsi="宋体" w:eastAsia="宋体" w:cs="Times New Roman"/>
                <w:color w:val="auto"/>
                <w:sz w:val="21"/>
                <w:szCs w:val="21"/>
                <w:highlight w:val="none"/>
                <w:lang w:eastAsia="zh-CN"/>
              </w:rPr>
              <w:t>参考</w:t>
            </w:r>
            <w:r>
              <w:rPr>
                <w:rFonts w:hint="eastAsia" w:ascii="宋体" w:hAnsi="宋体" w:eastAsia="宋体" w:cs="Times New Roman"/>
                <w:color w:val="auto"/>
                <w:sz w:val="21"/>
                <w:szCs w:val="21"/>
                <w:highlight w:val="none"/>
              </w:rPr>
              <w:t>第六章“投标文件格式”的规定。</w:t>
            </w:r>
          </w:p>
        </w:tc>
      </w:tr>
      <w:tr w14:paraId="7F87A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900" w:type="dxa"/>
            <w:vMerge w:val="continue"/>
            <w:tcBorders>
              <w:top w:val="nil"/>
              <w:bottom w:val="single" w:color="auto" w:sz="4" w:space="0"/>
              <w:right w:val="single" w:color="auto" w:sz="4" w:space="0"/>
            </w:tcBorders>
            <w:noWrap w:val="0"/>
            <w:vAlign w:val="center"/>
          </w:tcPr>
          <w:p w14:paraId="32876A8D">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04D7D6B9">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AE5D735">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投标文件格式</w:t>
            </w:r>
          </w:p>
        </w:tc>
        <w:tc>
          <w:tcPr>
            <w:tcW w:w="4523" w:type="dxa"/>
            <w:tcBorders>
              <w:top w:val="single" w:color="auto" w:sz="4" w:space="0"/>
              <w:left w:val="single" w:color="auto" w:sz="4" w:space="0"/>
              <w:bottom w:val="single" w:color="auto" w:sz="4" w:space="0"/>
            </w:tcBorders>
            <w:noWrap w:val="0"/>
            <w:vAlign w:val="center"/>
          </w:tcPr>
          <w:p w14:paraId="0930CC8A">
            <w:pPr>
              <w:spacing w:line="360" w:lineRule="auto"/>
              <w:rPr>
                <w:rFonts w:hint="eastAsia" w:ascii="Times New Roman" w:hAnsi="Times New Roman" w:eastAsia="宋体"/>
                <w:color w:val="auto"/>
                <w:highlight w:val="none"/>
                <w:lang w:eastAsia="zh-CN"/>
              </w:rPr>
            </w:pPr>
            <w:r>
              <w:rPr>
                <w:rFonts w:hint="eastAsia" w:ascii="宋体" w:hAnsi="宋体" w:cs="宋体"/>
                <w:b/>
                <w:bCs/>
                <w:color w:val="auto"/>
                <w:szCs w:val="21"/>
                <w:highlight w:val="none"/>
                <w:u w:val="single"/>
                <w:lang w:val="en-US" w:eastAsia="zh-CN"/>
              </w:rPr>
              <w:t>符合</w:t>
            </w:r>
            <w:r>
              <w:rPr>
                <w:rFonts w:hint="eastAsia" w:ascii="宋体" w:hAnsi="宋体" w:cs="宋体"/>
                <w:b/>
                <w:bCs/>
                <w:color w:val="auto"/>
                <w:szCs w:val="21"/>
                <w:highlight w:val="none"/>
                <w:u w:val="single"/>
              </w:rPr>
              <w:t>第六章“投标文件格式”</w:t>
            </w:r>
            <w:r>
              <w:rPr>
                <w:rFonts w:hint="eastAsia" w:ascii="宋体" w:hAnsi="宋体" w:cs="宋体"/>
                <w:b/>
                <w:bCs/>
                <w:color w:val="auto"/>
                <w:szCs w:val="21"/>
                <w:highlight w:val="none"/>
                <w:u w:val="single"/>
                <w:lang w:val="en-US" w:eastAsia="zh-CN"/>
              </w:rPr>
              <w:t>中的格式一、格式四</w:t>
            </w:r>
            <w:r>
              <w:rPr>
                <w:rFonts w:hint="eastAsia" w:ascii="宋体" w:hAnsi="宋体" w:cs="宋体"/>
                <w:b/>
                <w:bCs/>
                <w:color w:val="auto"/>
                <w:szCs w:val="21"/>
                <w:highlight w:val="none"/>
                <w:u w:val="single"/>
              </w:rPr>
              <w:t>规定。</w:t>
            </w:r>
          </w:p>
        </w:tc>
      </w:tr>
      <w:tr w14:paraId="10C74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900" w:type="dxa"/>
            <w:vMerge w:val="continue"/>
            <w:tcBorders>
              <w:top w:val="nil"/>
              <w:bottom w:val="single" w:color="auto" w:sz="4" w:space="0"/>
              <w:right w:val="single" w:color="auto" w:sz="4" w:space="0"/>
            </w:tcBorders>
            <w:noWrap w:val="0"/>
            <w:vAlign w:val="center"/>
          </w:tcPr>
          <w:p w14:paraId="5A29DBD5">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41A0F1F9">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3CBE525">
            <w:pPr>
              <w:spacing w:line="360" w:lineRule="auto"/>
              <w:jc w:val="center"/>
              <w:rPr>
                <w:rFonts w:hint="eastAsia" w:ascii="宋体" w:hAnsi="Times New Roman" w:cs="宋体"/>
                <w:color w:val="auto"/>
                <w:kern w:val="0"/>
                <w:sz w:val="22"/>
                <w:szCs w:val="22"/>
                <w:highlight w:val="none"/>
                <w:lang w:val="zh-CN" w:eastAsia="zh-CN" w:bidi="zh-CN"/>
              </w:rPr>
            </w:pPr>
            <w:r>
              <w:rPr>
                <w:rFonts w:hint="eastAsia" w:ascii="Times New Roman" w:hAnsi="Times New Roman"/>
                <w:color w:val="auto"/>
                <w:highlight w:val="none"/>
              </w:rPr>
              <w:t>联合体投标人</w:t>
            </w:r>
          </w:p>
        </w:tc>
        <w:tc>
          <w:tcPr>
            <w:tcW w:w="4523" w:type="dxa"/>
            <w:tcBorders>
              <w:top w:val="single" w:color="auto" w:sz="4" w:space="0"/>
              <w:left w:val="single" w:color="auto" w:sz="4" w:space="0"/>
              <w:bottom w:val="single" w:color="auto" w:sz="4" w:space="0"/>
            </w:tcBorders>
            <w:noWrap w:val="0"/>
            <w:vAlign w:val="center"/>
          </w:tcPr>
          <w:p w14:paraId="07F69798">
            <w:pPr>
              <w:spacing w:line="360" w:lineRule="auto"/>
              <w:rPr>
                <w:rFonts w:hint="eastAsia" w:ascii="宋体" w:hAnsi="Times New Roman" w:eastAsia="宋体" w:cs="宋体"/>
                <w:color w:val="auto"/>
                <w:kern w:val="0"/>
                <w:sz w:val="22"/>
                <w:szCs w:val="22"/>
                <w:highlight w:val="none"/>
                <w:lang w:val="en-US" w:eastAsia="zh-CN" w:bidi="zh-CN"/>
              </w:rPr>
            </w:pPr>
            <w:r>
              <w:rPr>
                <w:rFonts w:hint="eastAsia"/>
                <w:color w:val="auto"/>
                <w:szCs w:val="21"/>
                <w:highlight w:val="none"/>
              </w:rPr>
              <w:t>本项目接受联合体投标</w:t>
            </w:r>
            <w:r>
              <w:rPr>
                <w:rFonts w:hint="eastAsia"/>
                <w:color w:val="auto"/>
                <w:szCs w:val="21"/>
                <w:highlight w:val="none"/>
                <w:lang w:eastAsia="zh-CN"/>
              </w:rPr>
              <w:t>。</w:t>
            </w:r>
            <w:r>
              <w:rPr>
                <w:rFonts w:hint="eastAsia"/>
                <w:b/>
                <w:bCs/>
                <w:color w:val="auto"/>
                <w:szCs w:val="21"/>
                <w:highlight w:val="none"/>
                <w:u w:val="none"/>
                <w:lang w:val="en-US" w:eastAsia="zh-CN"/>
              </w:rPr>
              <w:t>如为联合体投标，</w:t>
            </w:r>
            <w:r>
              <w:rPr>
                <w:rFonts w:hint="eastAsia" w:ascii="宋体" w:hAnsi="宋体" w:eastAsia="宋体" w:cs="Times New Roman"/>
                <w:color w:val="auto"/>
                <w:sz w:val="21"/>
                <w:szCs w:val="21"/>
                <w:highlight w:val="none"/>
              </w:rPr>
              <w:t>提交符合招标文件要求的联合体协议书，明确各方</w:t>
            </w:r>
            <w:r>
              <w:rPr>
                <w:rFonts w:hint="eastAsia" w:ascii="宋体" w:hAnsi="宋体" w:eastAsia="宋体" w:cs="Times New Roman"/>
                <w:color w:val="auto"/>
                <w:sz w:val="21"/>
                <w:szCs w:val="21"/>
                <w:highlight w:val="none"/>
                <w:lang w:eastAsia="zh-CN"/>
              </w:rPr>
              <w:t>职责分工、权利义务</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并承诺就中标项目向招标人承担连带责任</w:t>
            </w:r>
            <w:r>
              <w:rPr>
                <w:rFonts w:hint="eastAsia" w:ascii="Times New Roman" w:hAnsi="Times New Roman"/>
                <w:color w:val="auto"/>
                <w:highlight w:val="none"/>
                <w:lang w:eastAsia="zh-CN"/>
              </w:rPr>
              <w:t>。</w:t>
            </w:r>
          </w:p>
        </w:tc>
      </w:tr>
      <w:tr w14:paraId="4C9FC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136271E3">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25ED9305">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7485A58">
            <w:pPr>
              <w:spacing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备选投标方案</w:t>
            </w:r>
          </w:p>
        </w:tc>
        <w:tc>
          <w:tcPr>
            <w:tcW w:w="4523" w:type="dxa"/>
            <w:tcBorders>
              <w:top w:val="single" w:color="auto" w:sz="4" w:space="0"/>
              <w:left w:val="single" w:color="auto" w:sz="4" w:space="0"/>
              <w:bottom w:val="single" w:color="auto" w:sz="4" w:space="0"/>
            </w:tcBorders>
            <w:noWrap w:val="0"/>
            <w:vAlign w:val="center"/>
          </w:tcPr>
          <w:p w14:paraId="00334D2D">
            <w:pPr>
              <w:spacing w:line="360" w:lineRule="auto"/>
              <w:rPr>
                <w:rFonts w:hint="eastAsia" w:ascii="Times New Roman" w:hAnsi="Times New Roman" w:eastAsia="宋体"/>
                <w:color w:val="auto"/>
                <w:highlight w:val="none"/>
                <w:lang w:eastAsia="zh-CN"/>
              </w:rPr>
            </w:pPr>
            <w:r>
              <w:rPr>
                <w:rFonts w:hint="eastAsia" w:ascii="宋体" w:hAnsi="宋体" w:eastAsia="宋体" w:cs="Times New Roman"/>
                <w:color w:val="auto"/>
                <w:sz w:val="21"/>
                <w:szCs w:val="21"/>
                <w:highlight w:val="none"/>
                <w:lang w:val="en-US" w:eastAsia="zh-CN"/>
              </w:rPr>
              <w:t>不允许</w:t>
            </w:r>
          </w:p>
        </w:tc>
      </w:tr>
      <w:tr w14:paraId="3F694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2A506140">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0461AF2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8A808D5">
            <w:pPr>
              <w:spacing w:line="360" w:lineRule="auto"/>
              <w:jc w:val="center"/>
              <w:rPr>
                <w:rFonts w:ascii="Times New Roman" w:hAnsi="Times New Roman"/>
                <w:color w:val="auto"/>
                <w:highlight w:val="none"/>
              </w:rPr>
            </w:pPr>
            <w:r>
              <w:rPr>
                <w:rFonts w:hint="eastAsia" w:ascii="宋体" w:hAnsi="宋体"/>
                <w:color w:val="auto"/>
                <w:spacing w:val="-3"/>
                <w:sz w:val="21"/>
                <w:highlight w:val="none"/>
              </w:rPr>
              <w:t>投标人</w:t>
            </w:r>
            <w:r>
              <w:rPr>
                <w:rFonts w:hint="eastAsia" w:ascii="宋体" w:hAnsi="宋体"/>
                <w:color w:val="auto"/>
                <w:spacing w:val="-3"/>
                <w:sz w:val="21"/>
                <w:highlight w:val="none"/>
                <w:lang w:eastAsia="zh-CN"/>
              </w:rPr>
              <w:t>硬件特征</w:t>
            </w:r>
            <w:r>
              <w:rPr>
                <w:rFonts w:hint="eastAsia" w:ascii="宋体" w:hAnsi="宋体"/>
                <w:color w:val="auto"/>
                <w:spacing w:val="-3"/>
                <w:sz w:val="21"/>
                <w:highlight w:val="none"/>
              </w:rPr>
              <w:t>码</w:t>
            </w:r>
          </w:p>
        </w:tc>
        <w:tc>
          <w:tcPr>
            <w:tcW w:w="4523" w:type="dxa"/>
            <w:tcBorders>
              <w:top w:val="single" w:color="auto" w:sz="4" w:space="0"/>
              <w:left w:val="single" w:color="auto" w:sz="4" w:space="0"/>
              <w:bottom w:val="single" w:color="auto" w:sz="4" w:space="0"/>
            </w:tcBorders>
            <w:noWrap w:val="0"/>
            <w:vAlign w:val="center"/>
          </w:tcPr>
          <w:p w14:paraId="306B1655">
            <w:pPr>
              <w:spacing w:line="360" w:lineRule="auto"/>
              <w:rPr>
                <w:rFonts w:hint="eastAsia" w:ascii="Times New Roman" w:hAnsi="Times New Roman" w:eastAsia="宋体"/>
                <w:color w:val="auto"/>
                <w:highlight w:val="none"/>
                <w:lang w:eastAsia="zh-CN"/>
              </w:rPr>
            </w:pP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w:t>
            </w:r>
            <w:r>
              <w:rPr>
                <w:rFonts w:hint="eastAsia" w:ascii="宋体" w:hAnsi="宋体" w:eastAsia="宋体" w:cs="Times New Roman"/>
                <w:color w:val="auto"/>
                <w:sz w:val="21"/>
                <w:szCs w:val="21"/>
                <w:highlight w:val="none"/>
                <w:lang w:eastAsia="zh-CN"/>
              </w:rPr>
              <w:t>不</w:t>
            </w:r>
            <w:r>
              <w:rPr>
                <w:rFonts w:hint="eastAsia" w:ascii="宋体" w:hAnsi="宋体" w:eastAsia="宋体" w:cs="Times New Roman"/>
                <w:color w:val="auto"/>
                <w:sz w:val="21"/>
                <w:szCs w:val="21"/>
                <w:highlight w:val="none"/>
              </w:rPr>
              <w:t>一致的（以</w:t>
            </w:r>
            <w:r>
              <w:rPr>
                <w:rFonts w:hint="eastAsia" w:ascii="宋体" w:hAnsi="宋体" w:eastAsia="宋体" w:cs="Times New Roman"/>
                <w:color w:val="auto"/>
                <w:sz w:val="21"/>
                <w:szCs w:val="21"/>
                <w:highlight w:val="none"/>
                <w:u w:val="single"/>
                <w:lang w:eastAsia="zh-CN"/>
              </w:rPr>
              <w:t>广州交易集团有限公司（广州公共资源交易中心）交易</w:t>
            </w:r>
            <w:r>
              <w:rPr>
                <w:rFonts w:hint="eastAsia" w:ascii="宋体" w:hAnsi="宋体" w:eastAsia="宋体" w:cs="Times New Roman"/>
                <w:color w:val="auto"/>
                <w:sz w:val="21"/>
                <w:szCs w:val="21"/>
                <w:highlight w:val="none"/>
                <w:u w:val="single"/>
              </w:rPr>
              <w:t>平台</w:t>
            </w:r>
            <w:r>
              <w:rPr>
                <w:rFonts w:hint="eastAsia" w:ascii="宋体" w:hAnsi="宋体" w:eastAsia="宋体" w:cs="Times New Roman"/>
                <w:color w:val="auto"/>
                <w:sz w:val="21"/>
                <w:szCs w:val="21"/>
                <w:highlight w:val="none"/>
                <w:u w:val="single"/>
                <w:lang w:eastAsia="zh-CN"/>
              </w:rPr>
              <w:t>开标</w:t>
            </w:r>
            <w:r>
              <w:rPr>
                <w:rFonts w:hint="eastAsia" w:ascii="宋体" w:hAnsi="宋体" w:eastAsia="宋体" w:cs="Times New Roman"/>
                <w:color w:val="auto"/>
                <w:sz w:val="21"/>
                <w:szCs w:val="21"/>
                <w:highlight w:val="none"/>
                <w:u w:val="single"/>
              </w:rPr>
              <w:t>系统</w:t>
            </w:r>
            <w:r>
              <w:rPr>
                <w:rFonts w:hint="eastAsia" w:ascii="宋体" w:hAnsi="宋体" w:eastAsia="宋体" w:cs="Times New Roman"/>
                <w:color w:val="auto"/>
                <w:sz w:val="21"/>
                <w:szCs w:val="21"/>
                <w:highlight w:val="none"/>
              </w:rPr>
              <w:t>的检索信息为准）。</w:t>
            </w:r>
          </w:p>
        </w:tc>
      </w:tr>
      <w:tr w14:paraId="63E38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52B29D4F">
            <w:pPr>
              <w:spacing w:line="360" w:lineRule="auto"/>
              <w:jc w:val="center"/>
              <w:rPr>
                <w:rFonts w:ascii="Times New Roman" w:hAnsi="Times New Roman"/>
                <w:color w:val="auto"/>
                <w:highlight w:val="none"/>
              </w:rPr>
            </w:pPr>
            <w:r>
              <w:rPr>
                <w:rFonts w:ascii="Times New Roman" w:hAnsi="Times New Roman"/>
                <w:color w:val="auto"/>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6B314872">
            <w:pPr>
              <w:spacing w:line="360" w:lineRule="auto"/>
              <w:jc w:val="center"/>
              <w:rPr>
                <w:rFonts w:ascii="Times New Roman" w:hAnsi="Times New Roman"/>
                <w:color w:val="auto"/>
                <w:highlight w:val="none"/>
              </w:rPr>
            </w:pPr>
            <w:r>
              <w:rPr>
                <w:rFonts w:hint="eastAsia" w:ascii="Times New Roman" w:hAnsi="Times New Roman"/>
                <w:color w:val="auto"/>
                <w:highlight w:val="none"/>
              </w:rPr>
              <w:t>资格评审标准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9ACFBD4">
            <w:pPr>
              <w:spacing w:line="360" w:lineRule="auto"/>
              <w:jc w:val="center"/>
              <w:rPr>
                <w:rFonts w:ascii="Times New Roman" w:hAnsi="Times New Roman"/>
                <w:color w:val="auto"/>
                <w:highlight w:val="none"/>
              </w:rPr>
            </w:pPr>
            <w:r>
              <w:rPr>
                <w:rFonts w:hint="eastAsia" w:ascii="Times New Roman" w:hAnsi="Times New Roman"/>
                <w:color w:val="auto"/>
                <w:highlight w:val="none"/>
              </w:rPr>
              <w:t>营业执照和组织机构代码证</w:t>
            </w:r>
          </w:p>
        </w:tc>
        <w:tc>
          <w:tcPr>
            <w:tcW w:w="4523" w:type="dxa"/>
            <w:tcBorders>
              <w:top w:val="single" w:color="auto" w:sz="4" w:space="0"/>
              <w:left w:val="single" w:color="auto" w:sz="4" w:space="0"/>
              <w:bottom w:val="single" w:color="auto" w:sz="4" w:space="0"/>
            </w:tcBorders>
            <w:noWrap w:val="0"/>
            <w:vAlign w:val="center"/>
          </w:tcPr>
          <w:p w14:paraId="7FF6D7DE">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3.5.1</w:t>
            </w:r>
            <w:r>
              <w:rPr>
                <w:rFonts w:hint="eastAsia" w:ascii="Times New Roman" w:hAnsi="Times New Roman"/>
                <w:color w:val="auto"/>
                <w:highlight w:val="none"/>
              </w:rPr>
              <w:t>项规定，具备有效的营业执照和组织机构代码证。按照“三证合一”或“五证合一”登记制度进行登记的投标人，可仅提供营业执照或事业单位法人证书。</w:t>
            </w:r>
          </w:p>
        </w:tc>
      </w:tr>
      <w:tr w14:paraId="6A44B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00" w:type="dxa"/>
            <w:vMerge w:val="continue"/>
            <w:tcBorders>
              <w:top w:val="single" w:color="auto" w:sz="4" w:space="0"/>
              <w:bottom w:val="single" w:color="auto" w:sz="4" w:space="0"/>
              <w:right w:val="single" w:color="auto" w:sz="4" w:space="0"/>
            </w:tcBorders>
            <w:noWrap w:val="0"/>
            <w:vAlign w:val="center"/>
          </w:tcPr>
          <w:p w14:paraId="2ABC9C21">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4CB2FB6">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ADAC3A2">
            <w:pPr>
              <w:spacing w:line="360" w:lineRule="auto"/>
              <w:jc w:val="center"/>
              <w:rPr>
                <w:rFonts w:ascii="Times New Roman" w:hAnsi="Times New Roman"/>
                <w:color w:val="auto"/>
                <w:highlight w:val="none"/>
              </w:rPr>
            </w:pPr>
            <w:r>
              <w:rPr>
                <w:rFonts w:hint="eastAsia" w:ascii="Times New Roman" w:hAnsi="Times New Roman"/>
                <w:color w:val="auto"/>
                <w:highlight w:val="none"/>
              </w:rPr>
              <w:t>资质要求</w:t>
            </w:r>
          </w:p>
        </w:tc>
        <w:tc>
          <w:tcPr>
            <w:tcW w:w="4523" w:type="dxa"/>
            <w:tcBorders>
              <w:top w:val="single" w:color="auto" w:sz="4" w:space="0"/>
              <w:left w:val="single" w:color="auto" w:sz="4" w:space="0"/>
              <w:bottom w:val="single" w:color="auto" w:sz="4" w:space="0"/>
            </w:tcBorders>
            <w:noWrap w:val="0"/>
            <w:vAlign w:val="center"/>
          </w:tcPr>
          <w:p w14:paraId="49FCDB0C">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0DEE6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661D608C">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4000F7E">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92D662D">
            <w:pPr>
              <w:spacing w:line="360" w:lineRule="auto"/>
              <w:jc w:val="center"/>
              <w:rPr>
                <w:rFonts w:ascii="Times New Roman" w:hAnsi="Times New Roman"/>
                <w:strike/>
                <w:dstrike w:val="0"/>
                <w:color w:val="auto"/>
                <w:highlight w:val="none"/>
              </w:rPr>
            </w:pPr>
            <w:r>
              <w:rPr>
                <w:rFonts w:hint="eastAsia" w:ascii="Times New Roman" w:hAnsi="Times New Roman"/>
                <w:strike/>
                <w:dstrike w:val="0"/>
                <w:color w:val="auto"/>
                <w:highlight w:val="none"/>
              </w:rPr>
              <w:t>业绩要求</w:t>
            </w:r>
          </w:p>
        </w:tc>
        <w:tc>
          <w:tcPr>
            <w:tcW w:w="4523" w:type="dxa"/>
            <w:tcBorders>
              <w:top w:val="single" w:color="auto" w:sz="4" w:space="0"/>
              <w:left w:val="single" w:color="auto" w:sz="4" w:space="0"/>
              <w:bottom w:val="single" w:color="auto" w:sz="4" w:space="0"/>
            </w:tcBorders>
            <w:noWrap w:val="0"/>
            <w:vAlign w:val="center"/>
          </w:tcPr>
          <w:p w14:paraId="3A75E87B">
            <w:pPr>
              <w:spacing w:line="360" w:lineRule="auto"/>
              <w:rPr>
                <w:rFonts w:ascii="Times New Roman" w:hAnsi="Times New Roman"/>
                <w:strike/>
                <w:dstrike w:val="0"/>
                <w:color w:val="auto"/>
                <w:highlight w:val="none"/>
              </w:rPr>
            </w:pPr>
            <w:r>
              <w:rPr>
                <w:rFonts w:hint="eastAsia" w:ascii="Times New Roman" w:hAnsi="Times New Roman"/>
                <w:strike/>
                <w:dstrike w:val="0"/>
                <w:color w:val="auto"/>
                <w:highlight w:val="none"/>
              </w:rPr>
              <w:t>符合第二章</w:t>
            </w:r>
            <w:r>
              <w:rPr>
                <w:rFonts w:ascii="Times New Roman" w:hAnsi="Times New Roman"/>
                <w:strike/>
                <w:dstrike w:val="0"/>
                <w:color w:val="auto"/>
                <w:highlight w:val="none"/>
              </w:rPr>
              <w:t>“</w:t>
            </w:r>
            <w:r>
              <w:rPr>
                <w:rFonts w:hint="eastAsia" w:ascii="Times New Roman" w:hAnsi="Times New Roman"/>
                <w:strike/>
                <w:dstrike w:val="0"/>
                <w:color w:val="auto"/>
                <w:highlight w:val="none"/>
              </w:rPr>
              <w:t>投标人须知</w:t>
            </w:r>
            <w:r>
              <w:rPr>
                <w:rFonts w:ascii="Times New Roman" w:hAnsi="Times New Roman"/>
                <w:strike/>
                <w:dstrike w:val="0"/>
                <w:color w:val="auto"/>
                <w:highlight w:val="none"/>
              </w:rPr>
              <w:t>”</w:t>
            </w:r>
            <w:r>
              <w:rPr>
                <w:rFonts w:hint="eastAsia" w:ascii="Times New Roman" w:hAnsi="Times New Roman"/>
                <w:strike/>
                <w:dstrike w:val="0"/>
                <w:color w:val="auto"/>
                <w:highlight w:val="none"/>
              </w:rPr>
              <w:t>第</w:t>
            </w:r>
            <w:r>
              <w:rPr>
                <w:rFonts w:ascii="Times New Roman" w:hAnsi="Times New Roman"/>
                <w:strike/>
                <w:dstrike w:val="0"/>
                <w:color w:val="auto"/>
                <w:highlight w:val="none"/>
              </w:rPr>
              <w:t>1.4.1</w:t>
            </w:r>
            <w:r>
              <w:rPr>
                <w:rFonts w:hint="eastAsia" w:ascii="Times New Roman" w:hAnsi="Times New Roman"/>
                <w:strike/>
                <w:dstrike w:val="0"/>
                <w:color w:val="auto"/>
                <w:highlight w:val="none"/>
              </w:rPr>
              <w:t>项规定</w:t>
            </w:r>
          </w:p>
        </w:tc>
      </w:tr>
      <w:tr w14:paraId="36EB0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top w:val="single" w:color="auto" w:sz="4" w:space="0"/>
              <w:bottom w:val="single" w:color="auto" w:sz="4" w:space="0"/>
              <w:right w:val="single" w:color="auto" w:sz="4" w:space="0"/>
            </w:tcBorders>
            <w:noWrap w:val="0"/>
            <w:vAlign w:val="center"/>
          </w:tcPr>
          <w:p w14:paraId="4A081EB2">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8BEC12D">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A68F582">
            <w:pPr>
              <w:spacing w:line="360" w:lineRule="auto"/>
              <w:jc w:val="center"/>
              <w:rPr>
                <w:rFonts w:ascii="Times New Roman" w:hAnsi="Times New Roman"/>
                <w:color w:val="auto"/>
                <w:highlight w:val="none"/>
              </w:rPr>
            </w:pPr>
            <w:r>
              <w:rPr>
                <w:rFonts w:hint="eastAsia" w:ascii="Times New Roman" w:hAnsi="Times New Roman"/>
                <w:color w:val="auto"/>
                <w:highlight w:val="none"/>
              </w:rPr>
              <w:t>总监理工程师</w:t>
            </w:r>
          </w:p>
        </w:tc>
        <w:tc>
          <w:tcPr>
            <w:tcW w:w="4523" w:type="dxa"/>
            <w:tcBorders>
              <w:top w:val="single" w:color="auto" w:sz="4" w:space="0"/>
              <w:left w:val="single" w:color="auto" w:sz="4" w:space="0"/>
              <w:bottom w:val="single" w:color="auto" w:sz="4" w:space="0"/>
            </w:tcBorders>
            <w:noWrap w:val="0"/>
            <w:vAlign w:val="center"/>
          </w:tcPr>
          <w:p w14:paraId="43423C90">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63AB9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900" w:type="dxa"/>
            <w:vMerge w:val="continue"/>
            <w:tcBorders>
              <w:top w:val="single" w:color="auto" w:sz="4" w:space="0"/>
              <w:bottom w:val="single" w:color="auto" w:sz="4" w:space="0"/>
              <w:right w:val="single" w:color="auto" w:sz="4" w:space="0"/>
            </w:tcBorders>
            <w:noWrap w:val="0"/>
            <w:vAlign w:val="center"/>
          </w:tcPr>
          <w:p w14:paraId="6332D13E">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2CA9216">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8A01F0D">
            <w:pPr>
              <w:spacing w:line="360" w:lineRule="auto"/>
              <w:jc w:val="center"/>
              <w:rPr>
                <w:rFonts w:ascii="Times New Roman" w:hAnsi="Times New Roman"/>
                <w:color w:val="auto"/>
                <w:highlight w:val="none"/>
              </w:rPr>
            </w:pPr>
            <w:r>
              <w:rPr>
                <w:rFonts w:hint="eastAsia" w:ascii="Times New Roman" w:hAnsi="Times New Roman"/>
                <w:color w:val="auto"/>
                <w:highlight w:val="none"/>
              </w:rPr>
              <w:t>其他要求</w:t>
            </w:r>
          </w:p>
        </w:tc>
        <w:tc>
          <w:tcPr>
            <w:tcW w:w="4523" w:type="dxa"/>
            <w:tcBorders>
              <w:top w:val="single" w:color="auto" w:sz="4" w:space="0"/>
              <w:left w:val="single" w:color="auto" w:sz="4" w:space="0"/>
              <w:bottom w:val="single" w:color="auto" w:sz="4" w:space="0"/>
            </w:tcBorders>
            <w:noWrap w:val="0"/>
            <w:vAlign w:val="center"/>
          </w:tcPr>
          <w:p w14:paraId="60C8FAC7">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19FB1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trPr>
        <w:tc>
          <w:tcPr>
            <w:tcW w:w="900" w:type="dxa"/>
            <w:vMerge w:val="continue"/>
            <w:tcBorders>
              <w:top w:val="single" w:color="auto" w:sz="4" w:space="0"/>
              <w:bottom w:val="single" w:color="auto" w:sz="4" w:space="0"/>
              <w:right w:val="single" w:color="auto" w:sz="4" w:space="0"/>
            </w:tcBorders>
            <w:noWrap w:val="0"/>
            <w:vAlign w:val="center"/>
          </w:tcPr>
          <w:p w14:paraId="466020B7">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FF59904">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18B1F87">
            <w:pPr>
              <w:spacing w:line="360" w:lineRule="auto"/>
              <w:jc w:val="center"/>
              <w:rPr>
                <w:rFonts w:ascii="Times New Roman" w:hAnsi="Times New Roman"/>
                <w:strike w:val="0"/>
                <w:color w:val="auto"/>
                <w:highlight w:val="none"/>
              </w:rPr>
            </w:pPr>
            <w:r>
              <w:rPr>
                <w:rFonts w:hint="eastAsia" w:ascii="Times New Roman" w:hAnsi="Times New Roman"/>
                <w:strike w:val="0"/>
                <w:color w:val="auto"/>
                <w:highlight w:val="none"/>
              </w:rPr>
              <w:t>联合体投标人</w:t>
            </w:r>
          </w:p>
        </w:tc>
        <w:tc>
          <w:tcPr>
            <w:tcW w:w="4523" w:type="dxa"/>
            <w:tcBorders>
              <w:top w:val="single" w:color="auto" w:sz="4" w:space="0"/>
              <w:left w:val="single" w:color="auto" w:sz="4" w:space="0"/>
              <w:bottom w:val="single" w:color="auto" w:sz="4" w:space="0"/>
            </w:tcBorders>
            <w:noWrap w:val="0"/>
            <w:vAlign w:val="center"/>
          </w:tcPr>
          <w:p w14:paraId="2D0B3187">
            <w:pPr>
              <w:spacing w:line="360" w:lineRule="auto"/>
              <w:rPr>
                <w:rFonts w:ascii="Times New Roman" w:hAnsi="Times New Roman"/>
                <w:strike w:val="0"/>
                <w:color w:val="auto"/>
                <w:highlight w:val="none"/>
              </w:rPr>
            </w:pPr>
            <w:r>
              <w:rPr>
                <w:rFonts w:hint="eastAsia" w:ascii="Times New Roman" w:hAnsi="Times New Roman"/>
                <w:strike w:val="0"/>
                <w:color w:val="auto"/>
                <w:highlight w:val="none"/>
              </w:rPr>
              <w:t>符合第二章</w:t>
            </w:r>
            <w:r>
              <w:rPr>
                <w:rFonts w:ascii="Times New Roman" w:hAnsi="Times New Roman"/>
                <w:strike w:val="0"/>
                <w:color w:val="auto"/>
                <w:highlight w:val="none"/>
              </w:rPr>
              <w:t>“</w:t>
            </w:r>
            <w:r>
              <w:rPr>
                <w:rFonts w:hint="eastAsia" w:ascii="Times New Roman" w:hAnsi="Times New Roman"/>
                <w:strike w:val="0"/>
                <w:color w:val="auto"/>
                <w:highlight w:val="none"/>
              </w:rPr>
              <w:t>投标人须知</w:t>
            </w:r>
            <w:r>
              <w:rPr>
                <w:rFonts w:ascii="Times New Roman" w:hAnsi="Times New Roman"/>
                <w:strike w:val="0"/>
                <w:color w:val="auto"/>
                <w:highlight w:val="none"/>
              </w:rPr>
              <w:t>”</w:t>
            </w:r>
            <w:r>
              <w:rPr>
                <w:rFonts w:hint="eastAsia" w:ascii="Times New Roman" w:hAnsi="Times New Roman"/>
                <w:strike w:val="0"/>
                <w:color w:val="auto"/>
                <w:highlight w:val="none"/>
              </w:rPr>
              <w:t>第</w:t>
            </w:r>
            <w:r>
              <w:rPr>
                <w:rFonts w:ascii="Times New Roman" w:hAnsi="Times New Roman"/>
                <w:strike w:val="0"/>
                <w:color w:val="auto"/>
                <w:highlight w:val="none"/>
              </w:rPr>
              <w:t>1.4.2</w:t>
            </w:r>
            <w:r>
              <w:rPr>
                <w:rFonts w:hint="eastAsia" w:ascii="Times New Roman" w:hAnsi="Times New Roman"/>
                <w:strike w:val="0"/>
                <w:color w:val="auto"/>
                <w:highlight w:val="none"/>
              </w:rPr>
              <w:t>项规定</w:t>
            </w:r>
          </w:p>
        </w:tc>
      </w:tr>
      <w:tr w14:paraId="3E21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7395F058">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7D321A6">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45FC7C3">
            <w:pPr>
              <w:spacing w:line="360" w:lineRule="auto"/>
              <w:jc w:val="center"/>
              <w:rPr>
                <w:rFonts w:ascii="Times New Roman" w:hAnsi="Times New Roman"/>
                <w:color w:val="auto"/>
                <w:highlight w:val="none"/>
              </w:rPr>
            </w:pPr>
            <w:r>
              <w:rPr>
                <w:rFonts w:hint="eastAsia" w:ascii="Times New Roman" w:hAnsi="Times New Roman"/>
                <w:color w:val="auto"/>
                <w:highlight w:val="none"/>
              </w:rPr>
              <w:t>不存在禁止投标的情形</w:t>
            </w:r>
          </w:p>
        </w:tc>
        <w:tc>
          <w:tcPr>
            <w:tcW w:w="4523" w:type="dxa"/>
            <w:tcBorders>
              <w:top w:val="single" w:color="auto" w:sz="4" w:space="0"/>
              <w:left w:val="single" w:color="auto" w:sz="4" w:space="0"/>
              <w:bottom w:val="single" w:color="auto" w:sz="4" w:space="0"/>
            </w:tcBorders>
            <w:noWrap w:val="0"/>
            <w:vAlign w:val="center"/>
          </w:tcPr>
          <w:p w14:paraId="31A4B3FD">
            <w:pPr>
              <w:spacing w:line="360" w:lineRule="auto"/>
              <w:rPr>
                <w:rFonts w:ascii="Times New Roman" w:hAnsi="Times New Roman"/>
                <w:color w:val="auto"/>
                <w:highlight w:val="none"/>
              </w:rPr>
            </w:pPr>
            <w:r>
              <w:rPr>
                <w:rFonts w:hint="eastAsia" w:ascii="Times New Roman" w:hAnsi="Times New Roman"/>
                <w:color w:val="auto"/>
                <w:highlight w:val="none"/>
              </w:rPr>
              <w:t>不存在第二章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1.4.3</w:t>
            </w:r>
            <w:r>
              <w:rPr>
                <w:rFonts w:hint="eastAsia" w:ascii="Times New Roman" w:hAnsi="Times New Roman"/>
                <w:color w:val="auto"/>
                <w:highlight w:val="none"/>
              </w:rPr>
              <w:t>项规定的任何一种情形</w:t>
            </w:r>
            <w:r>
              <w:rPr>
                <w:rFonts w:hint="eastAsia" w:ascii="Times New Roman" w:hAnsi="Times New Roman" w:eastAsia="宋体" w:cs="Times New Roman"/>
                <w:color w:val="auto"/>
                <w:highlight w:val="none"/>
              </w:rPr>
              <w:t>（</w:t>
            </w:r>
            <w:r>
              <w:rPr>
                <w:rFonts w:hint="eastAsia" w:ascii="宋体" w:hAnsi="宋体" w:eastAsia="宋体" w:cs="宋体"/>
                <w:b/>
                <w:bCs/>
                <w:color w:val="auto"/>
                <w:szCs w:val="21"/>
                <w:highlight w:val="none"/>
                <w:u w:val="single"/>
                <w:lang w:val="en-US" w:eastAsia="zh-CN"/>
              </w:rPr>
              <w:t>按投标人提供的《投标人声明》内容进行评审</w:t>
            </w:r>
            <w:r>
              <w:rPr>
                <w:rFonts w:hint="eastAsia" w:ascii="Times New Roman" w:hAnsi="Times New Roman" w:eastAsia="宋体" w:cs="Times New Roman"/>
                <w:b w:val="0"/>
                <w:color w:val="auto"/>
                <w:sz w:val="21"/>
                <w:szCs w:val="22"/>
                <w:highlight w:val="none"/>
              </w:rPr>
              <w:t>）</w:t>
            </w:r>
          </w:p>
        </w:tc>
      </w:tr>
      <w:tr w14:paraId="088AD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224170AD">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AA55E80">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42F6C2B">
            <w:pPr>
              <w:spacing w:line="360" w:lineRule="auto"/>
              <w:jc w:val="center"/>
              <w:rPr>
                <w:rFonts w:hint="eastAsia" w:ascii="Times New Roman" w:hAnsi="Times New Roman"/>
                <w:color w:val="auto"/>
                <w:highlight w:val="none"/>
              </w:rPr>
            </w:pPr>
            <w:r>
              <w:rPr>
                <w:rFonts w:hint="eastAsia" w:ascii="宋体" w:hAnsi="宋体" w:eastAsia="宋体" w:cs="宋体"/>
                <w:b w:val="0"/>
                <w:bCs w:val="0"/>
                <w:color w:val="auto"/>
                <w:sz w:val="21"/>
                <w:szCs w:val="21"/>
                <w:highlight w:val="none"/>
                <w:u w:val="none"/>
                <w:lang w:eastAsia="zh-CN"/>
              </w:rPr>
              <w:t>投标人</w:t>
            </w:r>
            <w:r>
              <w:rPr>
                <w:rFonts w:hint="eastAsia" w:ascii="宋体" w:hAnsi="宋体" w:eastAsia="宋体" w:cs="宋体"/>
                <w:b w:val="0"/>
                <w:bCs w:val="0"/>
                <w:color w:val="auto"/>
                <w:sz w:val="21"/>
                <w:szCs w:val="21"/>
                <w:highlight w:val="none"/>
                <w:u w:val="none"/>
              </w:rPr>
              <w:t>未被列入拖欠农民工工资失信联合惩戒对象名单</w:t>
            </w:r>
          </w:p>
        </w:tc>
        <w:tc>
          <w:tcPr>
            <w:tcW w:w="4523" w:type="dxa"/>
            <w:tcBorders>
              <w:top w:val="single" w:color="auto" w:sz="4" w:space="0"/>
              <w:left w:val="single" w:color="auto" w:sz="4" w:space="0"/>
              <w:bottom w:val="single" w:color="auto" w:sz="4" w:space="0"/>
            </w:tcBorders>
            <w:noWrap w:val="0"/>
            <w:vAlign w:val="center"/>
          </w:tcPr>
          <w:p w14:paraId="3CA7015D">
            <w:pPr>
              <w:spacing w:line="360" w:lineRule="auto"/>
              <w:rPr>
                <w:rFonts w:hint="eastAsia" w:ascii="Times New Roman" w:hAnsi="Times New Roman"/>
                <w:color w:val="auto"/>
                <w:highlight w:val="none"/>
              </w:rPr>
            </w:pPr>
            <w:r>
              <w:rPr>
                <w:rFonts w:hint="eastAsia" w:ascii="宋体" w:hAnsi="宋体" w:eastAsia="宋体" w:cs="宋体"/>
                <w:color w:val="auto"/>
                <w:sz w:val="21"/>
                <w:szCs w:val="21"/>
                <w:highlight w:val="none"/>
              </w:rPr>
              <w:t>投标人无需提供资料，按</w:t>
            </w:r>
            <w:r>
              <w:rPr>
                <w:rFonts w:hint="eastAsia" w:ascii="宋体" w:hAnsi="宋体" w:eastAsia="宋体" w:cs="宋体"/>
                <w:b/>
                <w:bCs/>
                <w:color w:val="auto"/>
                <w:sz w:val="21"/>
                <w:szCs w:val="21"/>
                <w:highlight w:val="none"/>
                <w:u w:val="single"/>
              </w:rPr>
              <w:t>投标截止时间</w:t>
            </w:r>
            <w:r>
              <w:rPr>
                <w:rFonts w:hint="eastAsia" w:ascii="宋体" w:hAnsi="宋体" w:eastAsia="宋体" w:cs="宋体"/>
                <w:color w:val="auto"/>
                <w:sz w:val="21"/>
                <w:szCs w:val="21"/>
                <w:highlight w:val="none"/>
              </w:rPr>
              <w:t>交易系统比对的结果进行评审</w:t>
            </w:r>
          </w:p>
        </w:tc>
      </w:tr>
      <w:tr w14:paraId="57DD9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900" w:type="dxa"/>
            <w:vMerge w:val="continue"/>
            <w:tcBorders>
              <w:top w:val="single" w:color="auto" w:sz="4" w:space="0"/>
              <w:bottom w:val="single" w:color="auto" w:sz="4" w:space="0"/>
              <w:right w:val="single" w:color="auto" w:sz="4" w:space="0"/>
            </w:tcBorders>
            <w:noWrap w:val="0"/>
            <w:vAlign w:val="center"/>
          </w:tcPr>
          <w:p w14:paraId="50B5031D">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0CC8E7B">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89078F8">
            <w:pPr>
              <w:spacing w:line="360" w:lineRule="auto"/>
              <w:jc w:val="cente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政府投资项目，</w:t>
            </w:r>
            <w:r>
              <w:rPr>
                <w:rFonts w:hint="default" w:ascii="宋体" w:hAnsi="宋体" w:eastAsia="宋体" w:cs="宋体"/>
                <w:b w:val="0"/>
                <w:bCs w:val="0"/>
                <w:color w:val="auto"/>
                <w:sz w:val="21"/>
                <w:szCs w:val="21"/>
                <w:highlight w:val="none"/>
                <w:u w:val="none"/>
                <w:lang w:val="en-US" w:eastAsia="zh-CN"/>
              </w:rPr>
              <w:t>投标人未被列入“</w:t>
            </w:r>
            <w:r>
              <w:rPr>
                <w:rFonts w:hint="eastAsia" w:ascii="宋体" w:hAnsi="宋体" w:eastAsia="宋体" w:cs="宋体"/>
                <w:b w:val="0"/>
                <w:bCs w:val="0"/>
                <w:color w:val="auto"/>
                <w:sz w:val="21"/>
                <w:szCs w:val="21"/>
                <w:highlight w:val="none"/>
                <w:u w:val="none"/>
                <w:lang w:val="en-US" w:eastAsia="zh-CN"/>
              </w:rPr>
              <w:t>失信被执行人</w:t>
            </w:r>
            <w:r>
              <w:rPr>
                <w:rFonts w:hint="default"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名单</w:t>
            </w:r>
          </w:p>
        </w:tc>
        <w:tc>
          <w:tcPr>
            <w:tcW w:w="4523" w:type="dxa"/>
            <w:tcBorders>
              <w:top w:val="single" w:color="auto" w:sz="4" w:space="0"/>
              <w:left w:val="single" w:color="auto" w:sz="4" w:space="0"/>
              <w:bottom w:val="single" w:color="auto" w:sz="4" w:space="0"/>
            </w:tcBorders>
            <w:noWrap w:val="0"/>
            <w:vAlign w:val="center"/>
          </w:tcPr>
          <w:p w14:paraId="4B3776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投标人无需提供资料，按</w:t>
            </w:r>
            <w:r>
              <w:rPr>
                <w:rFonts w:hint="eastAsia" w:ascii="宋体" w:hAnsi="宋体" w:eastAsia="宋体" w:cs="宋体"/>
                <w:b/>
                <w:bCs/>
                <w:color w:val="auto"/>
                <w:sz w:val="21"/>
                <w:szCs w:val="21"/>
                <w:highlight w:val="none"/>
                <w:u w:val="single"/>
              </w:rPr>
              <w:t>投标截止时间</w:t>
            </w:r>
            <w:r>
              <w:rPr>
                <w:rFonts w:hint="eastAsia" w:ascii="宋体" w:hAnsi="宋体" w:eastAsia="宋体" w:cs="宋体"/>
                <w:color w:val="auto"/>
                <w:sz w:val="21"/>
                <w:szCs w:val="21"/>
                <w:highlight w:val="none"/>
              </w:rPr>
              <w:t>交易系统比对的结果进行评审</w:t>
            </w:r>
          </w:p>
        </w:tc>
      </w:tr>
      <w:tr w14:paraId="0D289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restart"/>
            <w:tcBorders>
              <w:top w:val="single" w:color="auto" w:sz="4" w:space="0"/>
              <w:bottom w:val="single" w:color="auto" w:sz="4" w:space="0"/>
              <w:right w:val="single" w:color="auto" w:sz="4" w:space="0"/>
            </w:tcBorders>
            <w:noWrap w:val="0"/>
            <w:vAlign w:val="center"/>
          </w:tcPr>
          <w:p w14:paraId="3740D9C0">
            <w:pPr>
              <w:spacing w:line="360" w:lineRule="auto"/>
              <w:jc w:val="center"/>
              <w:rPr>
                <w:rFonts w:ascii="Times New Roman" w:hAnsi="Times New Roman"/>
                <w:color w:val="auto"/>
                <w:highlight w:val="none"/>
              </w:rPr>
            </w:pPr>
            <w:r>
              <w:rPr>
                <w:rFonts w:ascii="Times New Roman" w:hAnsi="Times New Roman"/>
                <w:color w:val="auto"/>
                <w:highlight w:val="none"/>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7DC3ECFE">
            <w:pPr>
              <w:spacing w:line="360" w:lineRule="auto"/>
              <w:jc w:val="center"/>
              <w:rPr>
                <w:rFonts w:ascii="Times New Roman" w:hAnsi="Times New Roman"/>
                <w:color w:val="auto"/>
                <w:highlight w:val="none"/>
              </w:rPr>
            </w:pPr>
            <w:r>
              <w:rPr>
                <w:rFonts w:hint="eastAsia" w:ascii="Times New Roman" w:hAnsi="Times New Roman"/>
                <w:color w:val="auto"/>
                <w:highlight w:val="none"/>
              </w:rPr>
              <w:t>响应性评审标准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5567FE6">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投标报价</w:t>
            </w:r>
          </w:p>
        </w:tc>
        <w:tc>
          <w:tcPr>
            <w:tcW w:w="4523" w:type="dxa"/>
            <w:tcBorders>
              <w:top w:val="single" w:color="auto" w:sz="4" w:space="0"/>
              <w:left w:val="single" w:color="auto" w:sz="4" w:space="0"/>
              <w:bottom w:val="single" w:color="auto" w:sz="4" w:space="0"/>
            </w:tcBorders>
            <w:noWrap w:val="0"/>
            <w:vAlign w:val="center"/>
          </w:tcPr>
          <w:p w14:paraId="74DBACAA">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3.2</w:t>
            </w:r>
            <w:r>
              <w:rPr>
                <w:rFonts w:hint="eastAsia" w:ascii="Times New Roman" w:hAnsi="Times New Roman"/>
                <w:color w:val="auto"/>
                <w:highlight w:val="none"/>
                <w:lang w:val="en-US" w:eastAsia="zh-CN"/>
              </w:rPr>
              <w:t>.3</w:t>
            </w:r>
            <w:r>
              <w:rPr>
                <w:rFonts w:hint="eastAsia" w:ascii="Times New Roman" w:hAnsi="Times New Roman"/>
                <w:color w:val="auto"/>
                <w:highlight w:val="none"/>
              </w:rPr>
              <w:t>款规定</w:t>
            </w:r>
          </w:p>
        </w:tc>
      </w:tr>
      <w:tr w14:paraId="453D9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top w:val="single" w:color="auto" w:sz="4" w:space="0"/>
              <w:bottom w:val="single" w:color="auto" w:sz="4" w:space="0"/>
              <w:right w:val="single" w:color="auto" w:sz="4" w:space="0"/>
            </w:tcBorders>
            <w:noWrap w:val="0"/>
            <w:vAlign w:val="center"/>
          </w:tcPr>
          <w:p w14:paraId="6C2D77C3">
            <w:pPr>
              <w:spacing w:line="360" w:lineRule="auto"/>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10935CF3">
            <w:pPr>
              <w:spacing w:line="360" w:lineRule="auto"/>
              <w:jc w:val="center"/>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7411E79">
            <w:pPr>
              <w:spacing w:line="360" w:lineRule="auto"/>
              <w:jc w:val="center"/>
              <w:rPr>
                <w:rFonts w:ascii="Times New Roman" w:hAnsi="Times New Roman"/>
                <w:color w:val="auto"/>
                <w:highlight w:val="none"/>
              </w:rPr>
            </w:pPr>
            <w:r>
              <w:rPr>
                <w:rFonts w:hint="eastAsia" w:ascii="Times New Roman" w:hAnsi="Times New Roman"/>
                <w:color w:val="auto"/>
                <w:highlight w:val="none"/>
              </w:rPr>
              <w:t>投标内容</w:t>
            </w:r>
          </w:p>
        </w:tc>
        <w:tc>
          <w:tcPr>
            <w:tcW w:w="4523" w:type="dxa"/>
            <w:tcBorders>
              <w:top w:val="single" w:color="auto" w:sz="4" w:space="0"/>
              <w:left w:val="single" w:color="auto" w:sz="4" w:space="0"/>
              <w:bottom w:val="single" w:color="auto" w:sz="4" w:space="0"/>
            </w:tcBorders>
            <w:noWrap w:val="0"/>
            <w:vAlign w:val="center"/>
          </w:tcPr>
          <w:p w14:paraId="348BC129">
            <w:pPr>
              <w:spacing w:line="360" w:lineRule="auto"/>
              <w:jc w:val="left"/>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1.3.1</w:t>
            </w:r>
            <w:r>
              <w:rPr>
                <w:rFonts w:hint="eastAsia" w:ascii="Times New Roman" w:hAnsi="Times New Roman"/>
                <w:color w:val="auto"/>
                <w:highlight w:val="none"/>
              </w:rPr>
              <w:t>项规定</w:t>
            </w:r>
          </w:p>
        </w:tc>
      </w:tr>
      <w:tr w14:paraId="2EAC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543DF317">
            <w:pPr>
              <w:spacing w:line="360" w:lineRule="auto"/>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CC07A1F">
            <w:pPr>
              <w:spacing w:line="360" w:lineRule="auto"/>
              <w:jc w:val="center"/>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439756E">
            <w:pPr>
              <w:spacing w:line="360" w:lineRule="auto"/>
              <w:jc w:val="center"/>
              <w:rPr>
                <w:rFonts w:ascii="Times New Roman" w:hAnsi="Times New Roman"/>
                <w:color w:val="auto"/>
                <w:highlight w:val="none"/>
              </w:rPr>
            </w:pPr>
            <w:r>
              <w:rPr>
                <w:rFonts w:hint="eastAsia" w:ascii="Times New Roman" w:hAnsi="Times New Roman"/>
                <w:color w:val="auto"/>
                <w:highlight w:val="none"/>
              </w:rPr>
              <w:t>监理服务期限</w:t>
            </w:r>
          </w:p>
        </w:tc>
        <w:tc>
          <w:tcPr>
            <w:tcW w:w="4523" w:type="dxa"/>
            <w:tcBorders>
              <w:top w:val="single" w:color="auto" w:sz="4" w:space="0"/>
              <w:left w:val="single" w:color="auto" w:sz="4" w:space="0"/>
              <w:bottom w:val="single" w:color="auto" w:sz="4" w:space="0"/>
            </w:tcBorders>
            <w:noWrap w:val="0"/>
            <w:vAlign w:val="center"/>
          </w:tcPr>
          <w:p w14:paraId="0D09DD51">
            <w:pPr>
              <w:spacing w:line="360" w:lineRule="auto"/>
              <w:jc w:val="left"/>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1.3.2</w:t>
            </w:r>
            <w:r>
              <w:rPr>
                <w:rFonts w:hint="eastAsia" w:ascii="Times New Roman" w:hAnsi="Times New Roman"/>
                <w:color w:val="auto"/>
                <w:highlight w:val="none"/>
              </w:rPr>
              <w:t>项规定</w:t>
            </w:r>
          </w:p>
        </w:tc>
      </w:tr>
      <w:tr w14:paraId="10B37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900" w:type="dxa"/>
            <w:vMerge w:val="continue"/>
            <w:tcBorders>
              <w:top w:val="single" w:color="auto" w:sz="4" w:space="0"/>
              <w:bottom w:val="single" w:color="auto" w:sz="4" w:space="0"/>
              <w:right w:val="single" w:color="auto" w:sz="4" w:space="0"/>
            </w:tcBorders>
            <w:noWrap w:val="0"/>
            <w:vAlign w:val="center"/>
          </w:tcPr>
          <w:p w14:paraId="751531C8">
            <w:pPr>
              <w:spacing w:line="360" w:lineRule="auto"/>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6062B93">
            <w:pPr>
              <w:spacing w:line="360" w:lineRule="auto"/>
              <w:jc w:val="center"/>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5260019">
            <w:pPr>
              <w:spacing w:line="360" w:lineRule="auto"/>
              <w:jc w:val="center"/>
              <w:rPr>
                <w:rFonts w:ascii="Times New Roman" w:hAnsi="Times New Roman"/>
                <w:color w:val="auto"/>
                <w:highlight w:val="none"/>
              </w:rPr>
            </w:pPr>
            <w:r>
              <w:rPr>
                <w:rFonts w:hint="eastAsia" w:ascii="Times New Roman" w:hAnsi="Times New Roman"/>
                <w:b/>
                <w:bCs/>
                <w:color w:val="auto"/>
                <w:highlight w:val="none"/>
                <w:u w:val="single"/>
                <w:lang w:val="en-US" w:eastAsia="zh-CN"/>
              </w:rPr>
              <w:t>监理</w:t>
            </w:r>
            <w:r>
              <w:rPr>
                <w:rFonts w:hint="eastAsia" w:ascii="Times New Roman" w:hAnsi="Times New Roman"/>
                <w:b/>
                <w:bCs/>
                <w:color w:val="auto"/>
                <w:highlight w:val="none"/>
                <w:u w:val="single"/>
              </w:rPr>
              <w:t>目标</w:t>
            </w:r>
          </w:p>
        </w:tc>
        <w:tc>
          <w:tcPr>
            <w:tcW w:w="4523" w:type="dxa"/>
            <w:tcBorders>
              <w:top w:val="single" w:color="auto" w:sz="4" w:space="0"/>
              <w:left w:val="single" w:color="auto" w:sz="4" w:space="0"/>
              <w:bottom w:val="single" w:color="auto" w:sz="4" w:space="0"/>
            </w:tcBorders>
            <w:noWrap w:val="0"/>
            <w:vAlign w:val="center"/>
          </w:tcPr>
          <w:p w14:paraId="0C9BA177">
            <w:pPr>
              <w:spacing w:line="360" w:lineRule="auto"/>
              <w:jc w:val="left"/>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1.3.3</w:t>
            </w:r>
            <w:r>
              <w:rPr>
                <w:rFonts w:hint="eastAsia" w:ascii="Times New Roman" w:hAnsi="Times New Roman"/>
                <w:color w:val="auto"/>
                <w:highlight w:val="none"/>
              </w:rPr>
              <w:t>项规定</w:t>
            </w:r>
          </w:p>
        </w:tc>
      </w:tr>
      <w:tr w14:paraId="33AB2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0271EB3A">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3225E5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0F7E661D">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4523" w:type="dxa"/>
            <w:tcBorders>
              <w:top w:val="single" w:color="auto" w:sz="4" w:space="0"/>
              <w:left w:val="single" w:color="auto" w:sz="4" w:space="0"/>
              <w:bottom w:val="single" w:color="auto" w:sz="4" w:space="0"/>
            </w:tcBorders>
            <w:noWrap w:val="0"/>
            <w:vAlign w:val="top"/>
          </w:tcPr>
          <w:p w14:paraId="300BF1C1">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3.3.1</w:t>
            </w:r>
            <w:r>
              <w:rPr>
                <w:rFonts w:hint="eastAsia" w:ascii="Times New Roman" w:hAnsi="Times New Roman"/>
                <w:color w:val="auto"/>
                <w:highlight w:val="none"/>
              </w:rPr>
              <w:t>项规定</w:t>
            </w:r>
          </w:p>
        </w:tc>
      </w:tr>
      <w:tr w14:paraId="6F985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900" w:type="dxa"/>
            <w:vMerge w:val="continue"/>
            <w:tcBorders>
              <w:top w:val="single" w:color="auto" w:sz="4" w:space="0"/>
              <w:bottom w:val="single" w:color="auto" w:sz="4" w:space="0"/>
              <w:right w:val="single" w:color="auto" w:sz="4" w:space="0"/>
            </w:tcBorders>
            <w:noWrap w:val="0"/>
            <w:vAlign w:val="center"/>
          </w:tcPr>
          <w:p w14:paraId="403716B2">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E5B2C82">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1E10DF69">
            <w:pPr>
              <w:spacing w:line="360" w:lineRule="auto"/>
              <w:jc w:val="center"/>
              <w:rPr>
                <w:rFonts w:ascii="Times New Roman" w:hAnsi="Times New Roman"/>
                <w:strike/>
                <w:color w:val="auto"/>
                <w:highlight w:val="none"/>
              </w:rPr>
            </w:pPr>
            <w:r>
              <w:rPr>
                <w:rFonts w:hint="eastAsia" w:ascii="Times New Roman" w:hAnsi="Times New Roman"/>
                <w:strike/>
                <w:color w:val="auto"/>
                <w:highlight w:val="none"/>
              </w:rPr>
              <w:t>投标保证金</w:t>
            </w:r>
          </w:p>
        </w:tc>
        <w:tc>
          <w:tcPr>
            <w:tcW w:w="4523" w:type="dxa"/>
            <w:tcBorders>
              <w:top w:val="single" w:color="auto" w:sz="4" w:space="0"/>
              <w:left w:val="single" w:color="auto" w:sz="4" w:space="0"/>
              <w:bottom w:val="single" w:color="auto" w:sz="4" w:space="0"/>
            </w:tcBorders>
            <w:noWrap w:val="0"/>
            <w:vAlign w:val="top"/>
          </w:tcPr>
          <w:p w14:paraId="288FB8F8">
            <w:pPr>
              <w:spacing w:line="360" w:lineRule="auto"/>
              <w:rPr>
                <w:rFonts w:ascii="Times New Roman" w:hAnsi="Times New Roman"/>
                <w:strike/>
                <w:color w:val="auto"/>
                <w:highlight w:val="none"/>
              </w:rPr>
            </w:pPr>
            <w:r>
              <w:rPr>
                <w:rFonts w:hint="eastAsia" w:ascii="Times New Roman" w:hAnsi="Times New Roman"/>
                <w:strike/>
                <w:color w:val="auto"/>
                <w:highlight w:val="none"/>
              </w:rPr>
              <w:t>符合第二章</w:t>
            </w:r>
            <w:r>
              <w:rPr>
                <w:rFonts w:ascii="Times New Roman" w:hAnsi="Times New Roman"/>
                <w:strike/>
                <w:color w:val="auto"/>
                <w:highlight w:val="none"/>
              </w:rPr>
              <w:t>“</w:t>
            </w:r>
            <w:r>
              <w:rPr>
                <w:rFonts w:hint="eastAsia" w:ascii="Times New Roman" w:hAnsi="Times New Roman"/>
                <w:strike/>
                <w:color w:val="auto"/>
                <w:highlight w:val="none"/>
              </w:rPr>
              <w:t>投标人须知</w:t>
            </w:r>
            <w:r>
              <w:rPr>
                <w:rFonts w:ascii="Times New Roman" w:hAnsi="Times New Roman"/>
                <w:strike/>
                <w:color w:val="auto"/>
                <w:highlight w:val="none"/>
              </w:rPr>
              <w:t>”</w:t>
            </w:r>
            <w:r>
              <w:rPr>
                <w:rFonts w:hint="eastAsia" w:ascii="Times New Roman" w:hAnsi="Times New Roman"/>
                <w:strike/>
                <w:color w:val="auto"/>
                <w:highlight w:val="none"/>
              </w:rPr>
              <w:t>第</w:t>
            </w:r>
            <w:r>
              <w:rPr>
                <w:rFonts w:ascii="Times New Roman" w:hAnsi="Times New Roman"/>
                <w:strike/>
                <w:color w:val="auto"/>
                <w:highlight w:val="none"/>
              </w:rPr>
              <w:t>3.4.1</w:t>
            </w:r>
            <w:r>
              <w:rPr>
                <w:rFonts w:hint="eastAsia" w:ascii="Times New Roman" w:hAnsi="Times New Roman"/>
                <w:strike/>
                <w:color w:val="auto"/>
                <w:highlight w:val="none"/>
              </w:rPr>
              <w:t>项规定</w:t>
            </w:r>
          </w:p>
        </w:tc>
      </w:tr>
      <w:tr w14:paraId="0F491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05517DC1">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B34340E">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6563BD89">
            <w:pPr>
              <w:spacing w:line="360" w:lineRule="auto"/>
              <w:jc w:val="center"/>
              <w:rPr>
                <w:rFonts w:hint="eastAsia" w:ascii="Times New Roman" w:hAnsi="Times New Roman"/>
                <w:color w:val="auto"/>
                <w:highlight w:val="none"/>
              </w:rPr>
            </w:pPr>
            <w:r>
              <w:rPr>
                <w:rFonts w:hint="eastAsia" w:ascii="Times New Roman" w:hAnsi="Times New Roman"/>
                <w:color w:val="auto"/>
                <w:highlight w:val="none"/>
              </w:rPr>
              <w:t>串通投标情形</w:t>
            </w:r>
          </w:p>
        </w:tc>
        <w:tc>
          <w:tcPr>
            <w:tcW w:w="4523" w:type="dxa"/>
            <w:tcBorders>
              <w:top w:val="single" w:color="auto" w:sz="4" w:space="0"/>
              <w:left w:val="single" w:color="auto" w:sz="4" w:space="0"/>
              <w:bottom w:val="single" w:color="auto" w:sz="4" w:space="0"/>
            </w:tcBorders>
            <w:noWrap w:val="0"/>
            <w:vAlign w:val="top"/>
          </w:tcPr>
          <w:p w14:paraId="7E9DDC03">
            <w:pPr>
              <w:spacing w:line="360" w:lineRule="auto"/>
              <w:rPr>
                <w:rFonts w:hint="eastAsia" w:ascii="Times New Roman" w:hAnsi="Times New Roman"/>
                <w:color w:val="auto"/>
                <w:highlight w:val="none"/>
              </w:rPr>
            </w:pPr>
            <w:r>
              <w:rPr>
                <w:rFonts w:hint="eastAsia" w:ascii="Times New Roman" w:hAnsi="Times New Roman"/>
                <w:color w:val="auto"/>
                <w:highlight w:val="none"/>
              </w:rPr>
              <w:t>不存在串通投标情形（串通投标情形以</w:t>
            </w:r>
            <w:r>
              <w:rPr>
                <w:rFonts w:hint="eastAsia" w:ascii="Times New Roman" w:hAnsi="Times New Roman"/>
                <w:color w:val="auto"/>
                <w:highlight w:val="none"/>
                <w:lang w:eastAsia="zh-CN"/>
              </w:rPr>
              <w:t>广东省实施</w:t>
            </w:r>
            <w:r>
              <w:rPr>
                <w:rFonts w:hint="eastAsia" w:ascii="Times New Roman" w:hAnsi="Times New Roman"/>
                <w:color w:val="auto"/>
                <w:highlight w:val="none"/>
              </w:rPr>
              <w:t>《中华人民共和国招标投标法》</w:t>
            </w:r>
            <w:r>
              <w:rPr>
                <w:rFonts w:hint="eastAsia" w:ascii="Times New Roman" w:hAnsi="Times New Roman"/>
                <w:color w:val="auto"/>
                <w:highlight w:val="none"/>
                <w:lang w:eastAsia="zh-CN"/>
              </w:rPr>
              <w:t>办法第十六条</w:t>
            </w:r>
            <w:r>
              <w:rPr>
                <w:rFonts w:hint="eastAsia" w:ascii="Times New Roman" w:hAnsi="Times New Roman"/>
                <w:color w:val="auto"/>
                <w:highlight w:val="none"/>
              </w:rPr>
              <w:t>的规定为准）</w:t>
            </w:r>
          </w:p>
        </w:tc>
      </w:tr>
      <w:tr w14:paraId="7EBCD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024" w:type="dxa"/>
            <w:gridSpan w:val="2"/>
            <w:tcBorders>
              <w:top w:val="single" w:color="auto" w:sz="4" w:space="0"/>
              <w:bottom w:val="single" w:color="auto" w:sz="4" w:space="0"/>
              <w:right w:val="single" w:color="auto" w:sz="4" w:space="0"/>
            </w:tcBorders>
            <w:noWrap w:val="0"/>
            <w:vAlign w:val="center"/>
          </w:tcPr>
          <w:p w14:paraId="4269E522">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7EA2982">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条款内容</w:t>
            </w:r>
          </w:p>
        </w:tc>
        <w:tc>
          <w:tcPr>
            <w:tcW w:w="4523" w:type="dxa"/>
            <w:tcBorders>
              <w:top w:val="single" w:color="auto" w:sz="4" w:space="0"/>
              <w:left w:val="single" w:color="auto" w:sz="4" w:space="0"/>
              <w:bottom w:val="single" w:color="auto" w:sz="4" w:space="0"/>
            </w:tcBorders>
            <w:noWrap w:val="0"/>
            <w:vAlign w:val="center"/>
          </w:tcPr>
          <w:p w14:paraId="16DDC02D">
            <w:pPr>
              <w:spacing w:line="360" w:lineRule="auto"/>
              <w:jc w:val="center"/>
              <w:rPr>
                <w:rFonts w:ascii="Times New Roman" w:hAnsi="Times New Roman"/>
                <w:b/>
                <w:color w:val="auto"/>
                <w:highlight w:val="none"/>
              </w:rPr>
            </w:pPr>
            <w:r>
              <w:rPr>
                <w:rFonts w:hint="eastAsia" w:ascii="Times New Roman" w:hAnsi="Times New Roman"/>
                <w:b/>
                <w:color w:val="auto"/>
                <w:highlight w:val="none"/>
              </w:rPr>
              <w:t>编列内容</w:t>
            </w:r>
          </w:p>
        </w:tc>
      </w:tr>
      <w:tr w14:paraId="5D748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noWrap w:val="0"/>
            <w:vAlign w:val="center"/>
          </w:tcPr>
          <w:p w14:paraId="0743C092">
            <w:pPr>
              <w:spacing w:line="360" w:lineRule="auto"/>
              <w:jc w:val="center"/>
              <w:rPr>
                <w:rFonts w:hint="eastAsia" w:ascii="Times New Roman" w:hAnsi="Times New Roman"/>
                <w:color w:val="auto"/>
                <w:highlight w:val="none"/>
              </w:rPr>
            </w:pPr>
            <w:r>
              <w:rPr>
                <w:rFonts w:ascii="Times New Roman" w:hAnsi="Times New Roman"/>
                <w:color w:val="auto"/>
                <w:highlight w:val="none"/>
              </w:rPr>
              <w:t>2.2.1</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4086B79">
            <w:pPr>
              <w:spacing w:line="360" w:lineRule="auto"/>
              <w:jc w:val="center"/>
              <w:rPr>
                <w:rFonts w:ascii="Times New Roman" w:hAnsi="Times New Roman"/>
                <w:color w:val="auto"/>
                <w:highlight w:val="none"/>
              </w:rPr>
            </w:pPr>
            <w:r>
              <w:rPr>
                <w:rFonts w:hint="eastAsia" w:ascii="Times New Roman" w:hAnsi="Times New Roman"/>
                <w:color w:val="auto"/>
                <w:highlight w:val="none"/>
              </w:rPr>
              <w:t>分值构成</w:t>
            </w:r>
          </w:p>
          <w:p w14:paraId="7289D03A">
            <w:pPr>
              <w:spacing w:line="360" w:lineRule="auto"/>
              <w:jc w:val="cente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总分</w:t>
            </w:r>
            <w:r>
              <w:rPr>
                <w:rFonts w:ascii="Times New Roman" w:hAnsi="Times New Roman"/>
                <w:color w:val="auto"/>
                <w:highlight w:val="none"/>
              </w:rPr>
              <w:t>100</w:t>
            </w:r>
            <w:r>
              <w:rPr>
                <w:rFonts w:hint="eastAsia" w:ascii="Times New Roman" w:hAnsi="Times New Roman"/>
                <w:color w:val="auto"/>
                <w:highlight w:val="none"/>
              </w:rPr>
              <w:t>分</w:t>
            </w:r>
            <w:r>
              <w:rPr>
                <w:rFonts w:ascii="Times New Roman" w:hAnsi="Times New Roman"/>
                <w:color w:val="auto"/>
                <w:highlight w:val="none"/>
              </w:rPr>
              <w:t>)</w:t>
            </w:r>
          </w:p>
        </w:tc>
        <w:tc>
          <w:tcPr>
            <w:tcW w:w="4523" w:type="dxa"/>
            <w:tcBorders>
              <w:top w:val="single" w:color="auto" w:sz="4" w:space="0"/>
              <w:left w:val="single" w:color="auto" w:sz="4" w:space="0"/>
              <w:bottom w:val="single" w:color="auto" w:sz="4" w:space="0"/>
            </w:tcBorders>
            <w:noWrap w:val="0"/>
            <w:vAlign w:val="center"/>
          </w:tcPr>
          <w:p w14:paraId="00E52F88">
            <w:pPr>
              <w:spacing w:line="360" w:lineRule="auto"/>
              <w:rPr>
                <w:rFonts w:ascii="Times New Roman" w:hAnsi="Times New Roman"/>
                <w:color w:val="auto"/>
                <w:highlight w:val="none"/>
              </w:rPr>
            </w:pPr>
            <w:r>
              <w:rPr>
                <w:rFonts w:hint="eastAsia" w:ascii="Times New Roman" w:hAnsi="Times New Roman"/>
                <w:color w:val="auto"/>
                <w:highlight w:val="none"/>
              </w:rPr>
              <w:t>资信业绩部分：</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35</w:t>
            </w:r>
            <w:r>
              <w:rPr>
                <w:rFonts w:ascii="Times New Roman" w:hAnsi="Times New Roman"/>
                <w:color w:val="auto"/>
                <w:highlight w:val="none"/>
                <w:u w:val="single"/>
              </w:rPr>
              <w:t xml:space="preserve"> </w:t>
            </w:r>
            <w:r>
              <w:rPr>
                <w:rFonts w:hint="eastAsia" w:ascii="Times New Roman" w:hAnsi="Times New Roman"/>
                <w:color w:val="auto"/>
                <w:highlight w:val="none"/>
              </w:rPr>
              <w:t>分</w:t>
            </w:r>
          </w:p>
          <w:p w14:paraId="45E82623">
            <w:pPr>
              <w:spacing w:line="360" w:lineRule="auto"/>
              <w:rPr>
                <w:rFonts w:hint="eastAsia" w:ascii="Times New Roman" w:hAnsi="Times New Roman"/>
                <w:color w:val="auto"/>
                <w:highlight w:val="none"/>
              </w:rPr>
            </w:pPr>
            <w:r>
              <w:rPr>
                <w:rFonts w:hint="eastAsia" w:ascii="Times New Roman" w:hAnsi="Times New Roman"/>
                <w:color w:val="auto"/>
                <w:highlight w:val="none"/>
              </w:rPr>
              <w:t>监理大纲部分：</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45</w:t>
            </w:r>
            <w:r>
              <w:rPr>
                <w:rFonts w:ascii="Times New Roman" w:hAnsi="Times New Roman"/>
                <w:color w:val="auto"/>
                <w:highlight w:val="none"/>
                <w:u w:val="single"/>
              </w:rPr>
              <w:t xml:space="preserve"> </w:t>
            </w:r>
            <w:r>
              <w:rPr>
                <w:rFonts w:hint="eastAsia" w:ascii="Times New Roman" w:hAnsi="Times New Roman"/>
                <w:color w:val="auto"/>
                <w:highlight w:val="none"/>
              </w:rPr>
              <w:t>分</w:t>
            </w:r>
          </w:p>
          <w:p w14:paraId="7DD0FAE6">
            <w:pPr>
              <w:spacing w:line="360" w:lineRule="auto"/>
              <w:rPr>
                <w:rFonts w:ascii="Times New Roman" w:hAnsi="Times New Roman"/>
                <w:color w:val="auto"/>
                <w:highlight w:val="none"/>
              </w:rPr>
            </w:pPr>
            <w:r>
              <w:rPr>
                <w:rFonts w:hint="eastAsia" w:ascii="Times New Roman" w:hAnsi="Times New Roman"/>
                <w:color w:val="auto"/>
                <w:highlight w:val="none"/>
              </w:rPr>
              <w:t>投标报价：</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20</w:t>
            </w:r>
            <w:r>
              <w:rPr>
                <w:rFonts w:ascii="Times New Roman" w:hAnsi="Times New Roman"/>
                <w:color w:val="auto"/>
                <w:highlight w:val="none"/>
                <w:u w:val="single"/>
              </w:rPr>
              <w:t xml:space="preserve"> </w:t>
            </w:r>
            <w:r>
              <w:rPr>
                <w:rFonts w:hint="eastAsia" w:ascii="Times New Roman" w:hAnsi="Times New Roman"/>
                <w:color w:val="auto"/>
                <w:highlight w:val="none"/>
              </w:rPr>
              <w:t>分</w:t>
            </w:r>
          </w:p>
          <w:p w14:paraId="5FFF5383">
            <w:pPr>
              <w:spacing w:line="360" w:lineRule="auto"/>
              <w:rPr>
                <w:rFonts w:hint="eastAsia" w:ascii="Times New Roman" w:hAnsi="Times New Roman"/>
                <w:color w:val="auto"/>
                <w:highlight w:val="none"/>
                <w:lang w:eastAsia="zh-CN"/>
              </w:rPr>
            </w:pPr>
            <w:r>
              <w:rPr>
                <w:rFonts w:hint="eastAsia" w:ascii="Times New Roman" w:hAnsi="Times New Roman"/>
                <w:color w:val="auto"/>
                <w:highlight w:val="none"/>
              </w:rPr>
              <w:t>其他评分因素</w:t>
            </w:r>
            <w:r>
              <w:rPr>
                <w:rFonts w:hint="eastAsia" w:ascii="Times New Roman" w:hAnsi="Times New Roman"/>
                <w:color w:val="auto"/>
                <w:highlight w:val="none"/>
                <w:lang w:eastAsia="zh-CN"/>
              </w:rPr>
              <w:t>（信用评价得分）</w:t>
            </w:r>
            <w:r>
              <w:rPr>
                <w:rFonts w:hint="eastAsia" w:ascii="Times New Roman" w:hAnsi="Times New Roman"/>
                <w:color w:val="auto"/>
                <w:highlight w:val="none"/>
              </w:rPr>
              <w:t>：</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w:t>
            </w:r>
            <w:r>
              <w:rPr>
                <w:rFonts w:ascii="Times New Roman" w:hAnsi="Times New Roman"/>
                <w:color w:val="auto"/>
                <w:highlight w:val="none"/>
                <w:u w:val="single"/>
              </w:rPr>
              <w:t xml:space="preserve">  </w:t>
            </w:r>
            <w:r>
              <w:rPr>
                <w:rFonts w:hint="eastAsia" w:ascii="Times New Roman" w:hAnsi="Times New Roman"/>
                <w:color w:val="auto"/>
                <w:highlight w:val="none"/>
              </w:rPr>
              <w:t>分</w:t>
            </w:r>
            <w:r>
              <w:rPr>
                <w:rFonts w:hint="eastAsia" w:ascii="Times New Roman" w:hAnsi="Times New Roman"/>
                <w:color w:val="auto"/>
                <w:highlight w:val="none"/>
                <w:lang w:eastAsia="zh-CN"/>
              </w:rPr>
              <w:t>（如有）</w:t>
            </w:r>
          </w:p>
          <w:p w14:paraId="7576AE16">
            <w:pPr>
              <w:spacing w:line="360" w:lineRule="auto"/>
              <w:rPr>
                <w:rFonts w:hint="eastAsia" w:ascii="Times New Roman" w:hAnsi="Times New Roman"/>
                <w:color w:val="auto"/>
                <w:highlight w:val="none"/>
                <w:lang w:val="en-US" w:eastAsia="zh-CN"/>
              </w:rPr>
            </w:pPr>
            <w:r>
              <w:rPr>
                <w:rFonts w:hint="eastAsia" w:ascii="宋体" w:hAnsi="宋体" w:cs="宋体"/>
                <w:b/>
                <w:bCs/>
                <w:color w:val="auto"/>
                <w:sz w:val="21"/>
                <w:szCs w:val="21"/>
                <w:highlight w:val="none"/>
                <w:u w:val="single"/>
                <w:lang w:val="en-US" w:eastAsia="zh-CN"/>
              </w:rPr>
              <w:t>根据第二章“投标人须知前附表”第11.6款规定实施投标报价得分评审优惠政策（如有）。若原投标报价已满分（20分），仍可突破满分（20分）上限继续享受加分优惠，以实际计算结果作为最终投标报价得分。</w:t>
            </w:r>
          </w:p>
        </w:tc>
      </w:tr>
      <w:tr w14:paraId="503CF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67F61354">
            <w:pPr>
              <w:spacing w:line="360" w:lineRule="auto"/>
              <w:jc w:val="center"/>
              <w:rPr>
                <w:rFonts w:hint="eastAsia" w:ascii="Times New Roman" w:hAnsi="Times New Roman"/>
                <w:color w:val="auto"/>
                <w:highlight w:val="none"/>
              </w:rPr>
            </w:pPr>
            <w:r>
              <w:rPr>
                <w:rFonts w:ascii="Times New Roman" w:hAnsi="Times New Roman"/>
                <w:color w:val="auto"/>
                <w:highlight w:val="none"/>
              </w:rPr>
              <w:t>2.2.2</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DB52FC2">
            <w:pPr>
              <w:spacing w:line="360" w:lineRule="auto"/>
              <w:jc w:val="center"/>
              <w:rPr>
                <w:rFonts w:ascii="Times New Roman" w:hAnsi="Times New Roman"/>
                <w:color w:val="auto"/>
                <w:highlight w:val="none"/>
              </w:rPr>
            </w:pPr>
            <w:r>
              <w:rPr>
                <w:rFonts w:hint="eastAsia" w:ascii="Times New Roman" w:hAnsi="Times New Roman"/>
                <w:color w:val="auto"/>
                <w:highlight w:val="none"/>
              </w:rPr>
              <w:t>评标基准价计算方法</w:t>
            </w:r>
          </w:p>
        </w:tc>
        <w:tc>
          <w:tcPr>
            <w:tcW w:w="4523" w:type="dxa"/>
            <w:tcBorders>
              <w:top w:val="single" w:color="auto" w:sz="4" w:space="0"/>
              <w:left w:val="single" w:color="auto" w:sz="4" w:space="0"/>
              <w:bottom w:val="single" w:color="auto" w:sz="4" w:space="0"/>
            </w:tcBorders>
            <w:noWrap w:val="0"/>
            <w:vAlign w:val="center"/>
          </w:tcPr>
          <w:p w14:paraId="4144BA76">
            <w:pPr>
              <w:spacing w:line="360" w:lineRule="auto"/>
              <w:jc w:val="left"/>
              <w:rPr>
                <w:rFonts w:hint="eastAsia" w:ascii="宋体" w:hAnsi="Courier New" w:eastAsia="宋体" w:cs="Times New Roman"/>
                <w:color w:val="auto"/>
                <w:szCs w:val="21"/>
                <w:highlight w:val="none"/>
              </w:rPr>
            </w:pPr>
            <w:r>
              <w:rPr>
                <w:rFonts w:hint="eastAsia" w:ascii="宋体" w:hAnsi="Courier New" w:eastAsia="宋体" w:cs="Times New Roman"/>
                <w:color w:val="auto"/>
                <w:szCs w:val="21"/>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796FE9AD">
            <w:pPr>
              <w:spacing w:line="360" w:lineRule="auto"/>
              <w:jc w:val="left"/>
              <w:rPr>
                <w:rFonts w:hint="eastAsia" w:ascii="宋体" w:hAnsi="Courier New" w:eastAsia="宋体" w:cs="Times New Roman"/>
                <w:color w:val="auto"/>
                <w:szCs w:val="21"/>
                <w:highlight w:val="none"/>
              </w:rPr>
            </w:pPr>
            <w:r>
              <w:rPr>
                <w:rFonts w:hint="eastAsia" w:ascii="宋体" w:hAnsi="Courier New" w:eastAsia="宋体" w:cs="Times New Roman"/>
                <w:color w:val="auto"/>
                <w:szCs w:val="21"/>
                <w:highlight w:val="none"/>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13DEAF25">
            <w:pPr>
              <w:spacing w:line="360" w:lineRule="auto"/>
              <w:jc w:val="left"/>
              <w:rPr>
                <w:rFonts w:ascii="Times New Roman" w:hAnsi="Times New Roman"/>
                <w:color w:val="auto"/>
                <w:highlight w:val="none"/>
              </w:rPr>
            </w:pPr>
            <w:r>
              <w:rPr>
                <w:rFonts w:hint="eastAsia" w:ascii="宋体" w:hAnsi="Courier New"/>
                <w:color w:val="auto"/>
                <w:szCs w:val="21"/>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495FF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055B545A">
            <w:pPr>
              <w:spacing w:line="360" w:lineRule="auto"/>
              <w:jc w:val="center"/>
              <w:rPr>
                <w:rFonts w:hint="eastAsia" w:ascii="Times New Roman" w:hAnsi="Times New Roman"/>
                <w:color w:val="auto"/>
                <w:highlight w:val="none"/>
              </w:rPr>
            </w:pPr>
            <w:r>
              <w:rPr>
                <w:rFonts w:ascii="Times New Roman" w:hAnsi="Times New Roman"/>
                <w:color w:val="auto"/>
                <w:highlight w:val="none"/>
              </w:rPr>
              <w:t>2.2.3</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4354813">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投标报价的偏差率</w:t>
            </w:r>
          </w:p>
          <w:p w14:paraId="0CAD6F0B">
            <w:pPr>
              <w:spacing w:line="360" w:lineRule="auto"/>
              <w:jc w:val="center"/>
              <w:rPr>
                <w:rFonts w:ascii="Times New Roman" w:hAnsi="Times New Roman"/>
                <w:color w:val="auto"/>
                <w:highlight w:val="none"/>
              </w:rPr>
            </w:pPr>
            <w:r>
              <w:rPr>
                <w:rFonts w:hint="eastAsia" w:ascii="Times New Roman" w:hAnsi="Times New Roman"/>
                <w:color w:val="auto"/>
                <w:highlight w:val="none"/>
              </w:rPr>
              <w:t>计算公式</w:t>
            </w:r>
          </w:p>
        </w:tc>
        <w:tc>
          <w:tcPr>
            <w:tcW w:w="4523" w:type="dxa"/>
            <w:tcBorders>
              <w:top w:val="single" w:color="auto" w:sz="4" w:space="0"/>
              <w:left w:val="single" w:color="auto" w:sz="4" w:space="0"/>
              <w:bottom w:val="single" w:color="auto" w:sz="4" w:space="0"/>
            </w:tcBorders>
            <w:noWrap w:val="0"/>
            <w:vAlign w:val="center"/>
          </w:tcPr>
          <w:p w14:paraId="4F511C93">
            <w:pPr>
              <w:spacing w:line="360" w:lineRule="auto"/>
              <w:rPr>
                <w:rFonts w:ascii="Times New Roman" w:hAnsi="Times New Roman"/>
                <w:color w:val="auto"/>
                <w:highlight w:val="none"/>
              </w:rPr>
            </w:pPr>
            <w:r>
              <w:rPr>
                <w:rFonts w:hint="default" w:ascii="宋体" w:hAnsi="宋体" w:eastAsia="宋体" w:cs="宋体"/>
                <w:color w:val="auto"/>
                <w:sz w:val="21"/>
                <w:szCs w:val="21"/>
                <w:highlight w:val="none"/>
              </w:rPr>
              <w:t>投标报价偏差率=（投标报价-评标基准价）/评标基准价×100%。</w:t>
            </w:r>
          </w:p>
        </w:tc>
      </w:tr>
      <w:tr w14:paraId="5AF33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50BA881">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7158D2C">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评分因素（偏差率）</w:t>
            </w:r>
          </w:p>
        </w:tc>
        <w:tc>
          <w:tcPr>
            <w:tcW w:w="4523" w:type="dxa"/>
            <w:tcBorders>
              <w:top w:val="single" w:color="auto" w:sz="4" w:space="0"/>
              <w:left w:val="single" w:color="auto" w:sz="4" w:space="0"/>
              <w:bottom w:val="single" w:color="auto" w:sz="4" w:space="0"/>
            </w:tcBorders>
            <w:noWrap w:val="0"/>
            <w:vAlign w:val="center"/>
          </w:tcPr>
          <w:p w14:paraId="5907648F">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评分标准</w:t>
            </w:r>
          </w:p>
        </w:tc>
      </w:tr>
      <w:tr w14:paraId="61DDE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52" w:hRule="atLeast"/>
        </w:trPr>
        <w:tc>
          <w:tcPr>
            <w:tcW w:w="900" w:type="dxa"/>
            <w:vMerge w:val="restart"/>
            <w:tcBorders>
              <w:top w:val="single" w:color="auto" w:sz="4" w:space="0"/>
              <w:right w:val="single" w:color="auto" w:sz="4" w:space="0"/>
            </w:tcBorders>
            <w:noWrap w:val="0"/>
            <w:vAlign w:val="center"/>
          </w:tcPr>
          <w:p w14:paraId="1CA0EDB8">
            <w:pPr>
              <w:spacing w:line="360" w:lineRule="auto"/>
              <w:jc w:val="center"/>
              <w:rPr>
                <w:rFonts w:ascii="Times New Roman" w:hAnsi="Times New Roman"/>
                <w:color w:val="auto"/>
                <w:highlight w:val="none"/>
              </w:rPr>
            </w:pP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w:t>
            </w:r>
          </w:p>
        </w:tc>
        <w:tc>
          <w:tcPr>
            <w:tcW w:w="1124" w:type="dxa"/>
            <w:vMerge w:val="restart"/>
            <w:tcBorders>
              <w:top w:val="single" w:color="auto" w:sz="4" w:space="0"/>
              <w:right w:val="single" w:color="auto" w:sz="4" w:space="0"/>
            </w:tcBorders>
            <w:noWrap w:val="0"/>
            <w:vAlign w:val="center"/>
          </w:tcPr>
          <w:p w14:paraId="6651D905">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rPr>
              <w:t>资信业绩评分标准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35分</w:t>
            </w:r>
            <w:r>
              <w:rPr>
                <w:rFonts w:hint="eastAsia" w:ascii="Times New Roman" w:hAnsi="Times New Roman"/>
                <w:color w:val="auto"/>
                <w:highlight w:val="none"/>
                <w:lang w:eastAsia="zh-CN"/>
              </w:rPr>
              <w:t>）</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DFC598C">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信誉</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highlight w:val="none"/>
                <w:lang w:eastAsia="zh-CN" w:bidi="ar"/>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6分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bottom w:val="single" w:color="auto" w:sz="4" w:space="0"/>
            </w:tcBorders>
            <w:noWrap w:val="0"/>
            <w:vAlign w:val="center"/>
          </w:tcPr>
          <w:p w14:paraId="114C4BD3">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1、同时具备质量管理体系、环境管理体系、职业健康安全管理体系、信息安全管理体系认证证书的，得</w:t>
            </w:r>
            <w:r>
              <w:rPr>
                <w:rFonts w:hint="eastAsia" w:ascii="Times New Roman" w:hAnsi="Times New Roman"/>
                <w:color w:val="auto"/>
                <w:highlight w:val="none"/>
                <w:lang w:val="en-US" w:eastAsia="zh-CN"/>
              </w:rPr>
              <w:t>3</w:t>
            </w:r>
            <w:r>
              <w:rPr>
                <w:rFonts w:hint="eastAsia" w:ascii="Times New Roman" w:hAnsi="Times New Roman"/>
                <w:color w:val="auto"/>
                <w:highlight w:val="none"/>
              </w:rPr>
              <w:t>分；具备上述证书中三个体系认证证书的，得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分；具备上述证书中两个体系认证证书的，得</w:t>
            </w:r>
            <w:r>
              <w:rPr>
                <w:rFonts w:hint="eastAsia" w:ascii="Times New Roman" w:hAnsi="Times New Roman"/>
                <w:color w:val="auto"/>
                <w:highlight w:val="none"/>
                <w:lang w:val="en-US" w:eastAsia="zh-CN"/>
              </w:rPr>
              <w:t>1</w:t>
            </w:r>
            <w:r>
              <w:rPr>
                <w:rFonts w:hint="eastAsia" w:ascii="Times New Roman" w:hAnsi="Times New Roman"/>
                <w:color w:val="auto"/>
                <w:highlight w:val="none"/>
              </w:rPr>
              <w:t>分；具备上述证书中一个体系认证证书的，得</w:t>
            </w:r>
            <w:r>
              <w:rPr>
                <w:rFonts w:hint="eastAsia" w:ascii="Times New Roman" w:hAnsi="Times New Roman"/>
                <w:color w:val="auto"/>
                <w:highlight w:val="none"/>
                <w:lang w:val="en-US" w:eastAsia="zh-CN"/>
              </w:rPr>
              <w:t>0.5</w:t>
            </w:r>
            <w:r>
              <w:rPr>
                <w:rFonts w:hint="eastAsia" w:ascii="Times New Roman" w:hAnsi="Times New Roman"/>
                <w:color w:val="auto"/>
                <w:highlight w:val="none"/>
              </w:rPr>
              <w:t>分；没有提供的不得分。</w:t>
            </w:r>
          </w:p>
          <w:p w14:paraId="1D1DB05A">
            <w:pPr>
              <w:spacing w:line="360" w:lineRule="auto"/>
              <w:jc w:val="left"/>
              <w:rPr>
                <w:rFonts w:ascii="Times New Roman" w:hAnsi="Times New Roman"/>
                <w:color w:val="auto"/>
                <w:highlight w:val="none"/>
              </w:rPr>
            </w:pPr>
            <w:r>
              <w:rPr>
                <w:rFonts w:hint="eastAsia" w:ascii="Times New Roman" w:hAnsi="Times New Roman"/>
                <w:color w:val="auto"/>
                <w:highlight w:val="none"/>
              </w:rPr>
              <w:t>2、20</w:t>
            </w:r>
            <w:r>
              <w:rPr>
                <w:rFonts w:hint="eastAsia" w:ascii="Times New Roman" w:hAnsi="Times New Roman"/>
                <w:color w:val="auto"/>
                <w:highlight w:val="none"/>
                <w:lang w:val="en-US" w:eastAsia="zh-CN"/>
              </w:rPr>
              <w:t>20</w:t>
            </w:r>
            <w:r>
              <w:rPr>
                <w:rFonts w:hint="eastAsia" w:ascii="Times New Roman" w:hAnsi="Times New Roman"/>
                <w:color w:val="auto"/>
                <w:highlight w:val="none"/>
              </w:rPr>
              <w:t>年1月1日至今获得过</w:t>
            </w:r>
            <w:r>
              <w:rPr>
                <w:rFonts w:hint="eastAsia" w:ascii="Times New Roman" w:hAnsi="Times New Roman"/>
                <w:color w:val="auto"/>
                <w:highlight w:val="none"/>
                <w:lang w:val="en-US" w:eastAsia="zh-CN"/>
              </w:rPr>
              <w:t>4-</w:t>
            </w:r>
            <w:r>
              <w:rPr>
                <w:rFonts w:hint="eastAsia" w:ascii="Times New Roman" w:hAnsi="Times New Roman"/>
                <w:color w:val="auto"/>
                <w:highlight w:val="none"/>
              </w:rPr>
              <w:t>5年纳税信用等级A级纳税人荣誉得</w:t>
            </w:r>
            <w:r>
              <w:rPr>
                <w:rFonts w:hint="eastAsia" w:ascii="Times New Roman" w:hAnsi="Times New Roman"/>
                <w:color w:val="auto"/>
                <w:highlight w:val="none"/>
                <w:lang w:val="en-US" w:eastAsia="zh-CN"/>
              </w:rPr>
              <w:t>3</w:t>
            </w:r>
            <w:r>
              <w:rPr>
                <w:rFonts w:hint="eastAsia" w:ascii="Times New Roman" w:hAnsi="Times New Roman"/>
                <w:color w:val="auto"/>
                <w:highlight w:val="none"/>
              </w:rPr>
              <w:t>分，获得过</w:t>
            </w:r>
            <w:r>
              <w:rPr>
                <w:rFonts w:hint="eastAsia" w:ascii="Times New Roman" w:hAnsi="Times New Roman"/>
                <w:color w:val="auto"/>
                <w:highlight w:val="none"/>
                <w:lang w:val="en-US" w:eastAsia="zh-CN"/>
              </w:rPr>
              <w:t>2-</w:t>
            </w:r>
            <w:r>
              <w:rPr>
                <w:rFonts w:hint="eastAsia" w:ascii="Times New Roman" w:hAnsi="Times New Roman"/>
                <w:color w:val="auto"/>
                <w:highlight w:val="none"/>
              </w:rPr>
              <w:t>3年得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分，获得过1年得1分，没有不得分。</w:t>
            </w:r>
          </w:p>
        </w:tc>
      </w:tr>
      <w:tr w14:paraId="471A4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top"/>
          </w:tcPr>
          <w:p w14:paraId="36C46047">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26303414">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0C95C70">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lang w:bidi="ar"/>
              </w:rPr>
              <w:t>类似工程业绩</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highlight w:val="none"/>
                <w:lang w:eastAsia="zh-CN" w:bidi="ar"/>
              </w:rPr>
              <w:t>）</w:t>
            </w:r>
            <w:r>
              <w:rPr>
                <w:rFonts w:hint="eastAsia" w:ascii="Times New Roman" w:hAnsi="Times New Roman"/>
                <w:color w:val="auto"/>
                <w:highlight w:val="none"/>
                <w:lang w:bidi="ar"/>
              </w:rPr>
              <w:t>（</w:t>
            </w:r>
            <w:r>
              <w:rPr>
                <w:rFonts w:hint="eastAsia" w:ascii="Times New Roman" w:hAnsi="Times New Roman"/>
                <w:color w:val="auto"/>
                <w:highlight w:val="none"/>
                <w:lang w:val="en-US" w:eastAsia="zh-CN" w:bidi="ar"/>
              </w:rPr>
              <w:t>9</w:t>
            </w:r>
            <w:r>
              <w:rPr>
                <w:rFonts w:hint="eastAsia" w:ascii="Times New Roman" w:hAnsi="Times New Roman"/>
                <w:color w:val="auto"/>
                <w:highlight w:val="none"/>
                <w:lang w:bidi="ar"/>
              </w:rPr>
              <w:t>分）</w:t>
            </w:r>
          </w:p>
        </w:tc>
        <w:tc>
          <w:tcPr>
            <w:tcW w:w="4523" w:type="dxa"/>
            <w:tcBorders>
              <w:top w:val="single" w:color="auto" w:sz="4" w:space="0"/>
              <w:left w:val="single" w:color="auto" w:sz="4" w:space="0"/>
              <w:bottom w:val="single" w:color="auto" w:sz="4" w:space="0"/>
            </w:tcBorders>
            <w:noWrap w:val="0"/>
            <w:vAlign w:val="center"/>
          </w:tcPr>
          <w:p w14:paraId="45CC06E9">
            <w:pPr>
              <w:spacing w:line="360" w:lineRule="auto"/>
              <w:jc w:val="left"/>
              <w:rPr>
                <w:rFonts w:ascii="Times New Roman" w:hAnsi="Times New Roman"/>
                <w:color w:val="auto"/>
                <w:highlight w:val="none"/>
              </w:rPr>
            </w:pPr>
            <w:r>
              <w:rPr>
                <w:rFonts w:hint="eastAsia" w:ascii="Times New Roman" w:hAnsi="Times New Roman"/>
                <w:color w:val="auto"/>
                <w:highlight w:val="none"/>
              </w:rPr>
              <w:t>类似工程业绩：自</w:t>
            </w:r>
            <w:r>
              <w:rPr>
                <w:rFonts w:ascii="Times New Roman" w:hAnsi="Times New Roman"/>
                <w:color w:val="auto"/>
                <w:highlight w:val="none"/>
              </w:rPr>
              <w:t>20</w:t>
            </w:r>
            <w:r>
              <w:rPr>
                <w:rFonts w:hint="eastAsia" w:ascii="Times New Roman" w:hAnsi="Times New Roman"/>
                <w:color w:val="auto"/>
                <w:highlight w:val="none"/>
                <w:lang w:val="en-US" w:eastAsia="zh-CN"/>
              </w:rPr>
              <w:t>21</w:t>
            </w:r>
            <w:r>
              <w:rPr>
                <w:rFonts w:hint="eastAsia" w:ascii="Times New Roman" w:hAnsi="Times New Roman"/>
                <w:color w:val="auto"/>
                <w:highlight w:val="none"/>
              </w:rPr>
              <w:t>年1月1日至今独立完成过质量合格的类似工程监理的，每项得</w:t>
            </w:r>
            <w:r>
              <w:rPr>
                <w:rFonts w:hint="eastAsia" w:ascii="Times New Roman" w:hAnsi="Times New Roman"/>
                <w:color w:val="auto"/>
                <w:highlight w:val="none"/>
                <w:lang w:val="en-US" w:eastAsia="zh-CN"/>
              </w:rPr>
              <w:t>3</w:t>
            </w:r>
            <w:r>
              <w:rPr>
                <w:rFonts w:hint="eastAsia" w:ascii="Times New Roman" w:hAnsi="Times New Roman"/>
                <w:color w:val="auto"/>
                <w:highlight w:val="none"/>
              </w:rPr>
              <w:t>分，本项最多得</w:t>
            </w:r>
            <w:r>
              <w:rPr>
                <w:rFonts w:hint="eastAsia" w:ascii="Times New Roman" w:hAnsi="Times New Roman"/>
                <w:color w:val="auto"/>
                <w:highlight w:val="none"/>
                <w:lang w:val="en-US" w:eastAsia="zh-CN"/>
              </w:rPr>
              <w:t>9</w:t>
            </w:r>
            <w:r>
              <w:rPr>
                <w:rFonts w:hint="eastAsia" w:ascii="Times New Roman" w:hAnsi="Times New Roman"/>
                <w:color w:val="auto"/>
                <w:highlight w:val="none"/>
              </w:rPr>
              <w:t>分。</w:t>
            </w:r>
          </w:p>
        </w:tc>
      </w:tr>
      <w:tr w14:paraId="755A0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1" w:hRule="atLeast"/>
        </w:trPr>
        <w:tc>
          <w:tcPr>
            <w:tcW w:w="900" w:type="dxa"/>
            <w:vMerge w:val="continue"/>
            <w:tcBorders>
              <w:right w:val="single" w:color="auto" w:sz="4" w:space="0"/>
            </w:tcBorders>
            <w:noWrap w:val="0"/>
            <w:vAlign w:val="top"/>
          </w:tcPr>
          <w:p w14:paraId="39767620">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1D334755">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0AED04C3">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总监理工程师资历</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highlight w:val="none"/>
                <w:lang w:eastAsia="zh-CN" w:bidi="ar"/>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7分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tcBorders>
            <w:noWrap w:val="0"/>
            <w:vAlign w:val="center"/>
          </w:tcPr>
          <w:p w14:paraId="4D63363B">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1、</w:t>
            </w:r>
            <w:r>
              <w:rPr>
                <w:rFonts w:hint="eastAsia" w:ascii="Times New Roman" w:hAnsi="Times New Roman"/>
                <w:color w:val="auto"/>
                <w:highlight w:val="none"/>
              </w:rPr>
              <w:t>满足公告要求，且具有高级工程师或以上技术职称的，得</w:t>
            </w:r>
            <w:r>
              <w:rPr>
                <w:rFonts w:hint="eastAsia" w:ascii="Times New Roman" w:hAnsi="Times New Roman"/>
                <w:color w:val="auto"/>
                <w:highlight w:val="none"/>
                <w:lang w:val="en-US" w:eastAsia="zh-CN"/>
              </w:rPr>
              <w:t>4</w:t>
            </w:r>
            <w:r>
              <w:rPr>
                <w:rFonts w:hint="eastAsia" w:ascii="Times New Roman" w:hAnsi="Times New Roman"/>
                <w:color w:val="auto"/>
                <w:highlight w:val="none"/>
              </w:rPr>
              <w:t>分；且具有中级工程师职称的得2分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最高得4分</w:t>
            </w:r>
            <w:r>
              <w:rPr>
                <w:rFonts w:hint="eastAsia" w:ascii="Times New Roman" w:hAnsi="Times New Roman"/>
                <w:color w:val="auto"/>
                <w:highlight w:val="none"/>
              </w:rPr>
              <w:t>。</w:t>
            </w:r>
          </w:p>
          <w:p w14:paraId="53860312">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、20</w:t>
            </w:r>
            <w:r>
              <w:rPr>
                <w:rFonts w:hint="eastAsia" w:ascii="Times New Roman" w:hAnsi="Times New Roman"/>
                <w:color w:val="auto"/>
                <w:highlight w:val="none"/>
                <w:lang w:val="en-US" w:eastAsia="zh-CN"/>
              </w:rPr>
              <w:t>21</w:t>
            </w:r>
            <w:r>
              <w:rPr>
                <w:rFonts w:hint="eastAsia" w:ascii="Times New Roman" w:hAnsi="Times New Roman"/>
                <w:color w:val="auto"/>
                <w:highlight w:val="none"/>
              </w:rPr>
              <w:t>年1月1日至今担任总监完成过类似</w:t>
            </w:r>
            <w:r>
              <w:rPr>
                <w:rFonts w:hint="eastAsia" w:ascii="Times New Roman" w:hAnsi="Times New Roman"/>
                <w:color w:val="auto"/>
                <w:highlight w:val="none"/>
                <w:lang w:bidi="ar"/>
              </w:rPr>
              <w:t>工程</w:t>
            </w:r>
            <w:r>
              <w:rPr>
                <w:rFonts w:hint="eastAsia" w:ascii="Times New Roman" w:hAnsi="Times New Roman"/>
                <w:color w:val="auto"/>
                <w:highlight w:val="none"/>
              </w:rPr>
              <w:t>业绩的，得</w:t>
            </w:r>
            <w:r>
              <w:rPr>
                <w:rFonts w:hint="eastAsia" w:ascii="Times New Roman" w:hAnsi="Times New Roman"/>
                <w:color w:val="auto"/>
                <w:highlight w:val="none"/>
                <w:lang w:val="en-US" w:eastAsia="zh-CN"/>
              </w:rPr>
              <w:t>3</w:t>
            </w:r>
            <w:r>
              <w:rPr>
                <w:rFonts w:hint="eastAsia" w:ascii="Times New Roman" w:hAnsi="Times New Roman"/>
                <w:color w:val="auto"/>
                <w:highlight w:val="none"/>
              </w:rPr>
              <w:t>分。</w:t>
            </w:r>
          </w:p>
          <w:p w14:paraId="2236FF99">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color w:val="auto"/>
                <w:highlight w:val="none"/>
              </w:rPr>
            </w:pPr>
            <w:r>
              <w:rPr>
                <w:rFonts w:hint="eastAsia" w:ascii="Times New Roman" w:hAnsi="Times New Roman"/>
                <w:color w:val="auto"/>
                <w:highlight w:val="none"/>
              </w:rPr>
              <w:t>本项最多得</w:t>
            </w:r>
            <w:r>
              <w:rPr>
                <w:rFonts w:hint="eastAsia" w:ascii="Times New Roman" w:hAnsi="Times New Roman"/>
                <w:color w:val="auto"/>
                <w:highlight w:val="none"/>
                <w:lang w:val="en-US" w:eastAsia="zh-CN"/>
              </w:rPr>
              <w:t>7</w:t>
            </w:r>
            <w:r>
              <w:rPr>
                <w:rFonts w:hint="eastAsia" w:ascii="Times New Roman" w:hAnsi="Times New Roman"/>
                <w:color w:val="auto"/>
                <w:highlight w:val="none"/>
              </w:rPr>
              <w:t>分。</w:t>
            </w:r>
          </w:p>
        </w:tc>
      </w:tr>
      <w:tr w14:paraId="23885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900" w:type="dxa"/>
            <w:vMerge w:val="continue"/>
            <w:tcBorders>
              <w:right w:val="single" w:color="auto" w:sz="4" w:space="0"/>
            </w:tcBorders>
            <w:noWrap w:val="0"/>
            <w:vAlign w:val="top"/>
          </w:tcPr>
          <w:p w14:paraId="607F6602">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03ACD360">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4C15F13E">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总监代表</w:t>
            </w:r>
            <w:r>
              <w:rPr>
                <w:rFonts w:hint="eastAsia" w:ascii="Times New Roman" w:hAnsi="Times New Roman"/>
                <w:color w:val="auto"/>
                <w:highlight w:val="none"/>
                <w:lang w:val="en-US" w:eastAsia="zh-CN"/>
              </w:rPr>
              <w:t>资历</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highlight w:val="none"/>
                <w:lang w:eastAsia="zh-CN" w:bidi="ar"/>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5分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tcBorders>
            <w:noWrap w:val="0"/>
            <w:vAlign w:val="center"/>
          </w:tcPr>
          <w:p w14:paraId="0B1DAED5">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1、委派的总监理工程师代表具有高级或以上技术职称的，得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w:t>
            </w:r>
          </w:p>
          <w:p w14:paraId="1E38AFB9">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2、委派的总监理工程师代表具有注册监理工程师证书的，得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w:t>
            </w:r>
          </w:p>
          <w:p w14:paraId="12707144">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3、20</w:t>
            </w:r>
            <w:r>
              <w:rPr>
                <w:rFonts w:hint="eastAsia" w:ascii="Times New Roman" w:hAnsi="Times New Roman"/>
                <w:color w:val="auto"/>
                <w:highlight w:val="none"/>
                <w:lang w:val="en-US" w:eastAsia="zh-CN"/>
              </w:rPr>
              <w:t>21</w:t>
            </w:r>
            <w:r>
              <w:rPr>
                <w:rFonts w:hint="eastAsia" w:ascii="Times New Roman" w:hAnsi="Times New Roman"/>
                <w:color w:val="auto"/>
                <w:highlight w:val="none"/>
              </w:rPr>
              <w:t>年1月1日至今担任总监或总监代表完成过类似</w:t>
            </w:r>
            <w:r>
              <w:rPr>
                <w:rFonts w:hint="eastAsia" w:ascii="Times New Roman" w:hAnsi="Times New Roman"/>
                <w:color w:val="auto"/>
                <w:highlight w:val="none"/>
                <w:lang w:bidi="ar"/>
              </w:rPr>
              <w:t>工程</w:t>
            </w:r>
            <w:r>
              <w:rPr>
                <w:rFonts w:hint="eastAsia" w:ascii="Times New Roman" w:hAnsi="Times New Roman"/>
                <w:color w:val="auto"/>
                <w:highlight w:val="none"/>
              </w:rPr>
              <w:t>业绩的，得1分。</w:t>
            </w:r>
          </w:p>
          <w:p w14:paraId="581F2BBA">
            <w:pPr>
              <w:spacing w:line="360" w:lineRule="auto"/>
              <w:jc w:val="left"/>
              <w:rPr>
                <w:rFonts w:ascii="Times New Roman" w:hAnsi="Times New Roman"/>
                <w:color w:val="auto"/>
                <w:highlight w:val="none"/>
              </w:rPr>
            </w:pPr>
            <w:r>
              <w:rPr>
                <w:rFonts w:hint="eastAsia" w:ascii="Times New Roman" w:hAnsi="Times New Roman"/>
                <w:color w:val="auto"/>
                <w:highlight w:val="none"/>
              </w:rPr>
              <w:t>本项最多得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w:t>
            </w:r>
          </w:p>
        </w:tc>
      </w:tr>
      <w:tr w14:paraId="64BEF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trPr>
        <w:tc>
          <w:tcPr>
            <w:tcW w:w="900" w:type="dxa"/>
            <w:vMerge w:val="continue"/>
            <w:tcBorders>
              <w:right w:val="single" w:color="auto" w:sz="4" w:space="0"/>
            </w:tcBorders>
            <w:noWrap w:val="0"/>
            <w:vAlign w:val="top"/>
          </w:tcPr>
          <w:p w14:paraId="16D3A4C3">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27C6DFF">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10F5298C">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拟投入的试验检测仪器设备</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如为联合体投标，可由联合体各方共同提供</w:t>
            </w:r>
            <w:r>
              <w:rPr>
                <w:rFonts w:hint="eastAsia" w:ascii="Times New Roman" w:hAnsi="Times New Roman"/>
                <w:color w:val="auto"/>
                <w:highlight w:val="none"/>
                <w:lang w:eastAsia="zh-CN" w:bidi="ar"/>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tcBorders>
            <w:noWrap w:val="0"/>
            <w:vAlign w:val="center"/>
          </w:tcPr>
          <w:p w14:paraId="59A2D722">
            <w:pPr>
              <w:spacing w:line="360" w:lineRule="auto"/>
              <w:jc w:val="left"/>
              <w:rPr>
                <w:rFonts w:ascii="Times New Roman" w:hAnsi="Times New Roman"/>
                <w:color w:val="auto"/>
                <w:highlight w:val="none"/>
              </w:rPr>
            </w:pPr>
            <w:r>
              <w:rPr>
                <w:rFonts w:hint="eastAsia" w:ascii="宋体" w:hAnsi="Courier New" w:eastAsia="宋体" w:cs="Times New Roman"/>
                <w:color w:val="auto"/>
                <w:szCs w:val="21"/>
                <w:highlight w:val="none"/>
              </w:rPr>
              <w:t>拟投入的试验检测设备满足本工程监理任务需要的得</w:t>
            </w:r>
            <w:r>
              <w:rPr>
                <w:rFonts w:hint="eastAsia" w:ascii="宋体" w:hAnsi="Courier New" w:eastAsia="宋体" w:cs="Times New Roman"/>
                <w:color w:val="auto"/>
                <w:szCs w:val="21"/>
                <w:highlight w:val="none"/>
                <w:lang w:val="en-US" w:eastAsia="zh-CN"/>
              </w:rPr>
              <w:t>1</w:t>
            </w:r>
            <w:r>
              <w:rPr>
                <w:rFonts w:hint="eastAsia" w:ascii="宋体" w:hAnsi="Courier New" w:eastAsia="宋体" w:cs="Times New Roman"/>
                <w:color w:val="auto"/>
                <w:szCs w:val="21"/>
                <w:highlight w:val="none"/>
              </w:rPr>
              <w:t>分，否则不得分。</w:t>
            </w:r>
          </w:p>
        </w:tc>
      </w:tr>
      <w:tr w14:paraId="606A5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900" w:type="dxa"/>
            <w:vMerge w:val="continue"/>
            <w:tcBorders>
              <w:right w:val="single" w:color="auto" w:sz="4" w:space="0"/>
            </w:tcBorders>
            <w:noWrap w:val="0"/>
            <w:vAlign w:val="top"/>
          </w:tcPr>
          <w:p w14:paraId="4A0FC854">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4AEE865">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4D29C81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Times New Roman" w:hAnsi="Times New Roman"/>
                <w:color w:val="auto"/>
                <w:highlight w:val="none"/>
              </w:rPr>
            </w:pPr>
            <w:r>
              <w:rPr>
                <w:rFonts w:hint="eastAsia"/>
                <w:color w:val="auto"/>
                <w:highlight w:val="none"/>
              </w:rPr>
              <w:t>其他主要人员资历</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如为联合体投标，可由联合体各方共同提供（总监、总监代表除外）</w:t>
            </w:r>
            <w:r>
              <w:rPr>
                <w:rFonts w:hint="eastAsia" w:ascii="Times New Roman" w:hAnsi="Times New Roman"/>
                <w:color w:val="auto"/>
                <w:highlight w:val="none"/>
                <w:lang w:eastAsia="zh-CN" w:bidi="ar"/>
              </w:rPr>
              <w:t>）</w:t>
            </w:r>
            <w:r>
              <w:rPr>
                <w:rFonts w:hint="eastAsia"/>
                <w:color w:val="auto"/>
                <w:highlight w:val="none"/>
              </w:rPr>
              <w:t>（</w:t>
            </w:r>
            <w:r>
              <w:rPr>
                <w:rFonts w:hint="eastAsia"/>
                <w:color w:val="auto"/>
                <w:highlight w:val="none"/>
                <w:lang w:val="en-US" w:eastAsia="zh-CN"/>
              </w:rPr>
              <w:t>7</w:t>
            </w:r>
            <w:r>
              <w:rPr>
                <w:rFonts w:hint="eastAsia"/>
                <w:color w:val="auto"/>
                <w:highlight w:val="none"/>
              </w:rPr>
              <w:t>分）</w:t>
            </w:r>
          </w:p>
        </w:tc>
        <w:tc>
          <w:tcPr>
            <w:tcW w:w="4523" w:type="dxa"/>
            <w:tcBorders>
              <w:top w:val="single" w:color="auto" w:sz="4" w:space="0"/>
              <w:left w:val="single" w:color="auto" w:sz="4" w:space="0"/>
            </w:tcBorders>
            <w:noWrap w:val="0"/>
            <w:vAlign w:val="center"/>
          </w:tcPr>
          <w:p w14:paraId="03550F33">
            <w:pPr>
              <w:spacing w:line="360" w:lineRule="auto"/>
              <w:contextualSpacing/>
              <w:jc w:val="left"/>
              <w:rPr>
                <w:rFonts w:hint="eastAsia" w:ascii="宋体" w:hAnsi="Courier New" w:eastAsia="宋体" w:cs="Times New Roman"/>
                <w:color w:val="auto"/>
                <w:szCs w:val="21"/>
                <w:highlight w:val="none"/>
              </w:rPr>
            </w:pPr>
            <w:r>
              <w:rPr>
                <w:rFonts w:hint="eastAsia" w:ascii="宋体" w:hAnsi="Courier New" w:eastAsia="宋体" w:cs="Times New Roman"/>
                <w:color w:val="auto"/>
                <w:szCs w:val="21"/>
                <w:highlight w:val="none"/>
                <w:lang w:bidi="ar"/>
              </w:rPr>
              <w:t>1、</w:t>
            </w:r>
            <w:r>
              <w:rPr>
                <w:rFonts w:hint="eastAsia" w:ascii="宋体" w:hAnsi="Courier New" w:eastAsia="宋体" w:cs="Times New Roman"/>
                <w:color w:val="auto"/>
                <w:kern w:val="2"/>
                <w:szCs w:val="21"/>
                <w:highlight w:val="none"/>
                <w:lang w:bidi="ar"/>
              </w:rPr>
              <w:t>人员配备满足</w:t>
            </w:r>
            <w:r>
              <w:rPr>
                <w:rFonts w:hint="eastAsia" w:ascii="宋体" w:hAnsi="Courier New" w:eastAsia="宋体" w:cs="Times New Roman"/>
                <w:color w:val="auto"/>
                <w:kern w:val="2"/>
                <w:szCs w:val="21"/>
                <w:highlight w:val="none"/>
                <w:lang w:val="en-US" w:eastAsia="zh-CN" w:bidi="ar"/>
              </w:rPr>
              <w:t>投标人须知前附表</w:t>
            </w:r>
            <w:r>
              <w:rPr>
                <w:rFonts w:hint="eastAsia" w:ascii="宋体" w:hAnsi="Courier New" w:eastAsia="宋体" w:cs="Times New Roman"/>
                <w:color w:val="auto"/>
                <w:kern w:val="2"/>
                <w:szCs w:val="21"/>
                <w:highlight w:val="none"/>
                <w:lang w:bidi="ar"/>
              </w:rPr>
              <w:t>《项目监理团队人员组成配置要求》的</w:t>
            </w:r>
            <w:r>
              <w:rPr>
                <w:rFonts w:hint="eastAsia" w:ascii="宋体" w:hAnsi="Courier New" w:eastAsia="宋体" w:cs="Times New Roman"/>
                <w:color w:val="auto"/>
                <w:szCs w:val="21"/>
                <w:highlight w:val="none"/>
                <w:lang w:bidi="ar"/>
              </w:rPr>
              <w:t>，得</w:t>
            </w:r>
            <w:r>
              <w:rPr>
                <w:rFonts w:hint="eastAsia" w:ascii="宋体" w:hAnsi="Courier New" w:cs="Times New Roman"/>
                <w:color w:val="auto"/>
                <w:szCs w:val="21"/>
                <w:highlight w:val="none"/>
                <w:lang w:val="en-US" w:eastAsia="zh-CN" w:bidi="ar"/>
              </w:rPr>
              <w:t>3</w:t>
            </w:r>
            <w:r>
              <w:rPr>
                <w:rFonts w:hint="eastAsia" w:ascii="宋体" w:hAnsi="Courier New" w:eastAsia="宋体" w:cs="Times New Roman"/>
                <w:color w:val="auto"/>
                <w:szCs w:val="21"/>
                <w:highlight w:val="none"/>
                <w:lang w:bidi="ar"/>
              </w:rPr>
              <w:t>分；不满足，得0分。</w:t>
            </w:r>
          </w:p>
          <w:p w14:paraId="718B8191">
            <w:pPr>
              <w:spacing w:line="360" w:lineRule="auto"/>
              <w:jc w:val="left"/>
              <w:rPr>
                <w:rFonts w:ascii="Calibri" w:hAnsi="Calibri"/>
                <w:color w:val="auto"/>
                <w:kern w:val="2"/>
                <w:sz w:val="21"/>
                <w:szCs w:val="22"/>
                <w:highlight w:val="none"/>
                <w:lang w:val="en-US" w:eastAsia="zh-CN" w:bidi="ar-SA"/>
              </w:rPr>
            </w:pPr>
            <w:r>
              <w:rPr>
                <w:rFonts w:hint="eastAsia" w:ascii="宋体" w:hAnsi="Courier New" w:eastAsia="宋体" w:cs="Times New Roman"/>
                <w:color w:val="auto"/>
                <w:szCs w:val="21"/>
                <w:highlight w:val="none"/>
                <w:lang w:bidi="ar"/>
              </w:rPr>
              <w:t>2、</w:t>
            </w:r>
            <w:r>
              <w:rPr>
                <w:rFonts w:hint="eastAsia" w:ascii="宋体" w:hAnsi="Courier New"/>
                <w:color w:val="auto"/>
                <w:szCs w:val="21"/>
                <w:highlight w:val="none"/>
                <w:lang w:bidi="ar"/>
              </w:rPr>
              <w:t>在满足上述人员配置的前提下，</w:t>
            </w:r>
            <w:r>
              <w:rPr>
                <w:rFonts w:hint="eastAsia" w:ascii="宋体" w:hAnsi="宋体" w:cs="宋体"/>
                <w:color w:val="auto"/>
                <w:szCs w:val="21"/>
                <w:highlight w:val="none"/>
              </w:rPr>
              <w:t>上述人员每有一人（总监理工程师、总监理工程师代表除外）具有中级（或以上）技术职称的，每一人加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分，本小项最多得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Courier New"/>
                <w:color w:val="auto"/>
                <w:szCs w:val="21"/>
                <w:highlight w:val="none"/>
                <w:lang w:bidi="ar"/>
              </w:rPr>
              <w:t>。</w:t>
            </w:r>
          </w:p>
        </w:tc>
      </w:tr>
      <w:tr w14:paraId="539C5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4" w:hRule="atLeast"/>
        </w:trPr>
        <w:tc>
          <w:tcPr>
            <w:tcW w:w="900" w:type="dxa"/>
            <w:vMerge w:val="restart"/>
            <w:tcBorders>
              <w:top w:val="single" w:color="auto" w:sz="4" w:space="0"/>
              <w:right w:val="single" w:color="auto" w:sz="4" w:space="0"/>
            </w:tcBorders>
            <w:noWrap w:val="0"/>
            <w:vAlign w:val="center"/>
          </w:tcPr>
          <w:p w14:paraId="01B712F6">
            <w:pPr>
              <w:spacing w:line="360" w:lineRule="auto"/>
              <w:jc w:val="center"/>
              <w:rPr>
                <w:rFonts w:ascii="Times New Roman" w:hAnsi="Times New Roman"/>
                <w:color w:val="auto"/>
                <w:highlight w:val="none"/>
              </w:rPr>
            </w:pP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w:t>
            </w:r>
          </w:p>
        </w:tc>
        <w:tc>
          <w:tcPr>
            <w:tcW w:w="1124" w:type="dxa"/>
            <w:vMerge w:val="restart"/>
            <w:tcBorders>
              <w:top w:val="single" w:color="auto" w:sz="4" w:space="0"/>
              <w:right w:val="single" w:color="auto" w:sz="4" w:space="0"/>
            </w:tcBorders>
            <w:noWrap w:val="0"/>
            <w:vAlign w:val="center"/>
          </w:tcPr>
          <w:p w14:paraId="216E2AAC">
            <w:pPr>
              <w:spacing w:line="360" w:lineRule="auto"/>
              <w:jc w:val="center"/>
              <w:rPr>
                <w:rFonts w:ascii="Times New Roman" w:hAnsi="Times New Roman"/>
                <w:color w:val="auto"/>
                <w:highlight w:val="none"/>
              </w:rPr>
            </w:pPr>
            <w:r>
              <w:rPr>
                <w:rFonts w:hint="eastAsia" w:ascii="Times New Roman" w:hAnsi="Times New Roman"/>
                <w:color w:val="auto"/>
                <w:highlight w:val="none"/>
              </w:rPr>
              <w:t>监理大纲评分标准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45分</w:t>
            </w:r>
            <w:r>
              <w:rPr>
                <w:rFonts w:hint="eastAsia" w:ascii="Times New Roman" w:hAnsi="Times New Roman"/>
                <w:color w:val="auto"/>
                <w:highlight w:val="none"/>
                <w:lang w:eastAsia="zh-CN"/>
              </w:rPr>
              <w:t>）</w:t>
            </w:r>
          </w:p>
        </w:tc>
        <w:tc>
          <w:tcPr>
            <w:tcW w:w="2787" w:type="dxa"/>
            <w:tcBorders>
              <w:top w:val="single" w:color="auto" w:sz="4" w:space="0"/>
              <w:left w:val="single" w:color="auto" w:sz="4" w:space="0"/>
              <w:right w:val="single" w:color="auto" w:sz="4" w:space="0"/>
            </w:tcBorders>
            <w:noWrap w:val="0"/>
            <w:vAlign w:val="center"/>
          </w:tcPr>
          <w:p w14:paraId="6244B90B">
            <w:pPr>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s="宋体"/>
                <w:color w:val="auto"/>
                <w:highlight w:val="none"/>
                <w:lang w:bidi="ar"/>
              </w:rPr>
              <w:t>监理工作程序、方法和制度（</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bottom w:val="single" w:color="auto" w:sz="4" w:space="0"/>
            </w:tcBorders>
            <w:noWrap w:val="0"/>
            <w:vAlign w:val="top"/>
          </w:tcPr>
          <w:p w14:paraId="44F98DA5">
            <w:pPr>
              <w:snapToGrid w:val="0"/>
              <w:spacing w:line="360" w:lineRule="auto"/>
              <w:rPr>
                <w:rFonts w:ascii="Times New Roman" w:hAnsi="Times New Roman"/>
                <w:color w:val="auto"/>
                <w:highlight w:val="none"/>
              </w:rPr>
            </w:pPr>
            <w:r>
              <w:rPr>
                <w:rFonts w:hint="eastAsia" w:ascii="Times New Roman" w:hAnsi="Times New Roman" w:cs="宋体"/>
                <w:color w:val="auto"/>
                <w:highlight w:val="none"/>
                <w:lang w:bidi="ar"/>
              </w:rPr>
              <w:t>有清晰的工作流程图、工作准则。方案为优，得</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分；方案为良，得</w:t>
            </w:r>
            <w:r>
              <w:rPr>
                <w:rFonts w:ascii="Times New Roman" w:hAnsi="Times New Roman"/>
                <w:color w:val="auto"/>
                <w:highlight w:val="none"/>
                <w:lang w:bidi="ar"/>
              </w:rPr>
              <w:t xml:space="preserve"> 2</w:t>
            </w:r>
            <w:r>
              <w:rPr>
                <w:rFonts w:hint="eastAsia" w:ascii="Times New Roman" w:hAnsi="Times New Roman" w:cs="宋体"/>
                <w:color w:val="auto"/>
                <w:highlight w:val="none"/>
                <w:lang w:bidi="ar"/>
              </w:rPr>
              <w:t>分；方案为一般，得</w:t>
            </w:r>
            <w:r>
              <w:rPr>
                <w:rFonts w:ascii="Times New Roman" w:hAnsi="Times New Roman"/>
                <w:color w:val="auto"/>
                <w:highlight w:val="none"/>
                <w:lang w:bidi="ar"/>
              </w:rPr>
              <w:t>1</w:t>
            </w:r>
            <w:r>
              <w:rPr>
                <w:rFonts w:hint="eastAsia" w:ascii="Times New Roman" w:hAnsi="Times New Roman" w:cs="宋体"/>
                <w:color w:val="auto"/>
                <w:highlight w:val="none"/>
                <w:lang w:bidi="ar"/>
              </w:rPr>
              <w:t>分；方案为差，得</w:t>
            </w:r>
            <w:r>
              <w:rPr>
                <w:rFonts w:ascii="Times New Roman" w:hAnsi="Times New Roman"/>
                <w:color w:val="auto"/>
                <w:highlight w:val="none"/>
                <w:lang w:bidi="ar"/>
              </w:rPr>
              <w:t>0</w:t>
            </w:r>
            <w:r>
              <w:rPr>
                <w:rFonts w:hint="eastAsia" w:ascii="Times New Roman" w:hAnsi="Times New Roman" w:cs="宋体"/>
                <w:color w:val="auto"/>
                <w:highlight w:val="none"/>
                <w:lang w:bidi="ar"/>
              </w:rPr>
              <w:t>分。</w:t>
            </w:r>
          </w:p>
        </w:tc>
      </w:tr>
      <w:tr w14:paraId="2EF2A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2" w:hRule="atLeast"/>
        </w:trPr>
        <w:tc>
          <w:tcPr>
            <w:tcW w:w="900" w:type="dxa"/>
            <w:vMerge w:val="continue"/>
            <w:tcBorders>
              <w:right w:val="single" w:color="auto" w:sz="4" w:space="0"/>
            </w:tcBorders>
            <w:noWrap w:val="0"/>
            <w:vAlign w:val="center"/>
          </w:tcPr>
          <w:p w14:paraId="21E90F00">
            <w:pPr>
              <w:spacing w:line="360" w:lineRule="auto"/>
              <w:jc w:val="center"/>
              <w:rPr>
                <w:rFonts w:ascii="Times New Roman" w:hAnsi="Times New Roman"/>
                <w:color w:val="auto"/>
                <w:highlight w:val="none"/>
              </w:rPr>
            </w:pPr>
          </w:p>
        </w:tc>
        <w:tc>
          <w:tcPr>
            <w:tcW w:w="1124" w:type="dxa"/>
            <w:vMerge w:val="continue"/>
            <w:tcBorders>
              <w:right w:val="single" w:color="auto" w:sz="4" w:space="0"/>
            </w:tcBorders>
            <w:noWrap w:val="0"/>
            <w:vAlign w:val="center"/>
          </w:tcPr>
          <w:p w14:paraId="51DF8025">
            <w:pPr>
              <w:spacing w:line="360" w:lineRule="auto"/>
              <w:jc w:val="center"/>
              <w:rPr>
                <w:rFonts w:hint="eastAsia"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759C9612">
            <w:pPr>
              <w:spacing w:before="100" w:beforeAutospacing="1" w:after="100" w:afterAutospacing="1" w:line="360" w:lineRule="auto"/>
              <w:jc w:val="center"/>
              <w:rPr>
                <w:rFonts w:hint="eastAsia" w:ascii="Times New Roman" w:hAnsi="Times New Roman"/>
                <w:color w:val="auto"/>
                <w:szCs w:val="21"/>
                <w:highlight w:val="none"/>
                <w:lang w:eastAsia="zh-CN"/>
              </w:rPr>
            </w:pPr>
            <w:r>
              <w:rPr>
                <w:rFonts w:hint="eastAsia" w:ascii="Times New Roman" w:hAnsi="Times New Roman" w:cs="宋体"/>
                <w:color w:val="auto"/>
                <w:highlight w:val="none"/>
                <w:lang w:bidi="ar"/>
              </w:rPr>
              <w:t>质量、进度、安全、环保监理措施（</w:t>
            </w:r>
            <w:r>
              <w:rPr>
                <w:rFonts w:hint="eastAsia" w:ascii="Times New Roman" w:hAnsi="Times New Roman"/>
                <w:color w:val="auto"/>
                <w:highlight w:val="none"/>
                <w:lang w:val="en-US" w:eastAsia="zh-CN" w:bidi="ar"/>
              </w:rPr>
              <w:t>9</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bottom w:val="single" w:color="auto" w:sz="4" w:space="0"/>
            </w:tcBorders>
            <w:noWrap w:val="0"/>
            <w:vAlign w:val="top"/>
          </w:tcPr>
          <w:p w14:paraId="3AB58059">
            <w:pPr>
              <w:spacing w:line="360" w:lineRule="auto"/>
              <w:rPr>
                <w:rFonts w:hint="eastAsia" w:ascii="宋体" w:hAnsi="Courier New" w:cs="宋体"/>
                <w:color w:val="auto"/>
                <w:szCs w:val="21"/>
                <w:highlight w:val="none"/>
              </w:rPr>
            </w:pPr>
            <w:r>
              <w:rPr>
                <w:rFonts w:hint="eastAsia" w:ascii="宋体" w:hAnsi="Courier New" w:cs="宋体"/>
                <w:color w:val="auto"/>
                <w:szCs w:val="21"/>
                <w:highlight w:val="none"/>
                <w:lang w:bidi="ar"/>
              </w:rPr>
              <w:t>1、质量控制措施：要求目标明确、方法合理可行、措施具体、针对性强。</w:t>
            </w:r>
            <w:r>
              <w:rPr>
                <w:rFonts w:hint="eastAsia" w:ascii="宋体" w:hAnsi="宋体" w:cs="宋体"/>
                <w:color w:val="auto"/>
                <w:szCs w:val="21"/>
                <w:highlight w:val="none"/>
              </w:rPr>
              <w:t>针对本项目的特点对项目施工过程（对于</w:t>
            </w:r>
            <w:r>
              <w:rPr>
                <w:rFonts w:hint="eastAsia" w:ascii="宋体" w:hAnsi="宋体" w:cs="宋体"/>
                <w:color w:val="auto"/>
                <w:szCs w:val="21"/>
                <w:highlight w:val="none"/>
                <w:lang w:eastAsia="zh-CN"/>
              </w:rPr>
              <w:t>道路工程、交通工程、排水工程、照明工程、电力管沟工程、绿化工程</w:t>
            </w:r>
            <w:r>
              <w:rPr>
                <w:rFonts w:hint="eastAsia" w:ascii="宋体" w:hAnsi="宋体" w:cs="宋体"/>
                <w:color w:val="auto"/>
                <w:szCs w:val="21"/>
                <w:highlight w:val="none"/>
              </w:rPr>
              <w:t>等)各阶段的质量控制管理工作，提出具体服务措施和方法。</w:t>
            </w:r>
            <w:r>
              <w:rPr>
                <w:rFonts w:hint="eastAsia" w:ascii="宋体" w:hAnsi="Courier New" w:cs="宋体"/>
                <w:color w:val="auto"/>
                <w:szCs w:val="21"/>
                <w:highlight w:val="none"/>
                <w:lang w:bidi="ar"/>
              </w:rPr>
              <w:t>方案为优，得</w:t>
            </w:r>
            <w:r>
              <w:rPr>
                <w:rFonts w:hint="eastAsia" w:ascii="宋体" w:hAnsi="Courier New" w:cs="宋体"/>
                <w:color w:val="auto"/>
                <w:szCs w:val="21"/>
                <w:highlight w:val="none"/>
                <w:lang w:val="en-US" w:eastAsia="zh-CN" w:bidi="ar"/>
              </w:rPr>
              <w:t>3</w:t>
            </w:r>
            <w:r>
              <w:rPr>
                <w:rFonts w:hint="eastAsia" w:ascii="宋体" w:hAnsi="Courier New" w:cs="宋体"/>
                <w:color w:val="auto"/>
                <w:szCs w:val="21"/>
                <w:highlight w:val="none"/>
                <w:lang w:bidi="ar"/>
              </w:rPr>
              <w:t xml:space="preserve">分；方案为良，得 </w:t>
            </w:r>
            <w:r>
              <w:rPr>
                <w:rFonts w:hint="eastAsia" w:ascii="宋体" w:hAnsi="Courier New" w:cs="宋体"/>
                <w:color w:val="auto"/>
                <w:szCs w:val="21"/>
                <w:highlight w:val="none"/>
                <w:lang w:val="en-US" w:eastAsia="zh-CN" w:bidi="ar"/>
              </w:rPr>
              <w:t>2</w:t>
            </w:r>
            <w:r>
              <w:rPr>
                <w:rFonts w:hint="eastAsia" w:ascii="宋体" w:hAnsi="Courier New" w:cs="宋体"/>
                <w:color w:val="auto"/>
                <w:szCs w:val="21"/>
                <w:highlight w:val="none"/>
                <w:lang w:bidi="ar"/>
              </w:rPr>
              <w:t>分；方案为一般，得</w:t>
            </w:r>
            <w:r>
              <w:rPr>
                <w:rFonts w:hint="eastAsia" w:ascii="宋体" w:hAnsi="Courier New" w:cs="宋体"/>
                <w:color w:val="auto"/>
                <w:szCs w:val="21"/>
                <w:highlight w:val="none"/>
                <w:lang w:val="en-US" w:eastAsia="zh-CN" w:bidi="ar"/>
              </w:rPr>
              <w:t>1</w:t>
            </w:r>
            <w:r>
              <w:rPr>
                <w:rFonts w:hint="eastAsia" w:ascii="宋体" w:hAnsi="Courier New" w:cs="宋体"/>
                <w:color w:val="auto"/>
                <w:szCs w:val="21"/>
                <w:highlight w:val="none"/>
                <w:lang w:bidi="ar"/>
              </w:rPr>
              <w:t>分；方案为差，得0分；</w:t>
            </w:r>
          </w:p>
          <w:p w14:paraId="422DDAAD">
            <w:pPr>
              <w:spacing w:line="360" w:lineRule="auto"/>
              <w:rPr>
                <w:rFonts w:hint="eastAsia" w:ascii="宋体" w:hAnsi="Courier New" w:cs="宋体"/>
                <w:color w:val="auto"/>
                <w:szCs w:val="21"/>
                <w:highlight w:val="none"/>
              </w:rPr>
            </w:pPr>
            <w:r>
              <w:rPr>
                <w:rFonts w:hint="eastAsia" w:ascii="宋体" w:hAnsi="Courier New" w:cs="宋体"/>
                <w:color w:val="auto"/>
                <w:szCs w:val="21"/>
                <w:highlight w:val="none"/>
                <w:lang w:bidi="ar"/>
              </w:rPr>
              <w:t>2、进度控制措施：针对本项目的特点，提出切实可行的进度计划，分析工期关键节点，逐一提出可行的进度控制方法及针对性的措施，并有相应的合理化建议。方案为优，得</w:t>
            </w:r>
            <w:r>
              <w:rPr>
                <w:rFonts w:hint="eastAsia" w:ascii="宋体" w:hAnsi="Courier New" w:cs="宋体"/>
                <w:color w:val="auto"/>
                <w:szCs w:val="21"/>
                <w:highlight w:val="none"/>
                <w:lang w:val="en-US" w:eastAsia="zh-CN" w:bidi="ar"/>
              </w:rPr>
              <w:t>3</w:t>
            </w:r>
            <w:r>
              <w:rPr>
                <w:rFonts w:hint="eastAsia" w:ascii="宋体" w:hAnsi="Courier New" w:cs="宋体"/>
                <w:color w:val="auto"/>
                <w:szCs w:val="21"/>
                <w:highlight w:val="none"/>
                <w:lang w:bidi="ar"/>
              </w:rPr>
              <w:t>分；方案为良，得</w:t>
            </w:r>
            <w:r>
              <w:rPr>
                <w:rFonts w:hint="eastAsia" w:ascii="宋体" w:hAnsi="Courier New" w:cs="宋体"/>
                <w:color w:val="auto"/>
                <w:szCs w:val="21"/>
                <w:highlight w:val="none"/>
                <w:lang w:val="en-US" w:eastAsia="zh-CN" w:bidi="ar"/>
              </w:rPr>
              <w:t>2</w:t>
            </w:r>
            <w:r>
              <w:rPr>
                <w:rFonts w:hint="eastAsia" w:ascii="宋体" w:hAnsi="Courier New" w:cs="宋体"/>
                <w:color w:val="auto"/>
                <w:szCs w:val="21"/>
                <w:highlight w:val="none"/>
                <w:lang w:bidi="ar"/>
              </w:rPr>
              <w:t>分；方案为一般，得</w:t>
            </w:r>
            <w:r>
              <w:rPr>
                <w:rFonts w:hint="eastAsia" w:ascii="宋体" w:hAnsi="Courier New" w:cs="宋体"/>
                <w:color w:val="auto"/>
                <w:szCs w:val="21"/>
                <w:highlight w:val="none"/>
                <w:lang w:val="en-US" w:eastAsia="zh-CN" w:bidi="ar"/>
              </w:rPr>
              <w:t>1</w:t>
            </w:r>
            <w:r>
              <w:rPr>
                <w:rFonts w:hint="eastAsia" w:ascii="宋体" w:hAnsi="Courier New" w:cs="宋体"/>
                <w:color w:val="auto"/>
                <w:szCs w:val="21"/>
                <w:highlight w:val="none"/>
                <w:lang w:bidi="ar"/>
              </w:rPr>
              <w:t>分；方案为差，得0分；</w:t>
            </w:r>
          </w:p>
          <w:p w14:paraId="40F8E358">
            <w:pPr>
              <w:snapToGrid w:val="0"/>
              <w:spacing w:line="360" w:lineRule="auto"/>
              <w:rPr>
                <w:rFonts w:hint="eastAsia"/>
                <w:color w:val="auto"/>
                <w:highlight w:val="none"/>
              </w:rPr>
            </w:pPr>
            <w:r>
              <w:rPr>
                <w:rFonts w:hint="eastAsia" w:ascii="宋体" w:hAnsi="Courier New" w:cs="宋体"/>
                <w:color w:val="auto"/>
                <w:szCs w:val="21"/>
                <w:highlight w:val="none"/>
                <w:lang w:bidi="ar"/>
              </w:rPr>
              <w:t>3、安全、环保控制措施：安全、环保控制措施。方案为优，得</w:t>
            </w:r>
            <w:r>
              <w:rPr>
                <w:rFonts w:hint="eastAsia" w:ascii="宋体" w:hAnsi="Courier New" w:cs="宋体"/>
                <w:color w:val="auto"/>
                <w:szCs w:val="21"/>
                <w:highlight w:val="none"/>
                <w:lang w:val="en-US" w:eastAsia="zh-CN" w:bidi="ar"/>
              </w:rPr>
              <w:t>3</w:t>
            </w:r>
            <w:r>
              <w:rPr>
                <w:rFonts w:hint="eastAsia" w:ascii="宋体" w:hAnsi="Courier New" w:cs="宋体"/>
                <w:color w:val="auto"/>
                <w:szCs w:val="21"/>
                <w:highlight w:val="none"/>
                <w:lang w:bidi="ar"/>
              </w:rPr>
              <w:t>分；方案为良，得</w:t>
            </w:r>
            <w:r>
              <w:rPr>
                <w:rFonts w:hint="eastAsia" w:ascii="宋体" w:hAnsi="Courier New" w:cs="宋体"/>
                <w:color w:val="auto"/>
                <w:szCs w:val="21"/>
                <w:highlight w:val="none"/>
                <w:lang w:val="en-US" w:eastAsia="zh-CN" w:bidi="ar"/>
              </w:rPr>
              <w:t>2</w:t>
            </w:r>
            <w:r>
              <w:rPr>
                <w:rFonts w:hint="eastAsia" w:ascii="宋体" w:hAnsi="Courier New" w:cs="宋体"/>
                <w:color w:val="auto"/>
                <w:szCs w:val="21"/>
                <w:highlight w:val="none"/>
                <w:lang w:bidi="ar"/>
              </w:rPr>
              <w:t>分；方案为一般，得</w:t>
            </w:r>
            <w:r>
              <w:rPr>
                <w:rFonts w:hint="eastAsia" w:ascii="宋体" w:hAnsi="Courier New" w:cs="宋体"/>
                <w:color w:val="auto"/>
                <w:szCs w:val="21"/>
                <w:highlight w:val="none"/>
                <w:lang w:val="en-US" w:eastAsia="zh-CN" w:bidi="ar"/>
              </w:rPr>
              <w:t>1</w:t>
            </w:r>
            <w:r>
              <w:rPr>
                <w:rFonts w:hint="eastAsia" w:ascii="宋体" w:hAnsi="Courier New" w:cs="宋体"/>
                <w:color w:val="auto"/>
                <w:szCs w:val="21"/>
                <w:highlight w:val="none"/>
                <w:lang w:bidi="ar"/>
              </w:rPr>
              <w:t>分；方案为差，得0分。</w:t>
            </w:r>
          </w:p>
        </w:tc>
      </w:tr>
      <w:tr w14:paraId="79564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7E064414">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37E0F324">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83CA6F">
            <w:pPr>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宋体" w:hAnsi="Courier New" w:cs="宋体"/>
                <w:color w:val="auto"/>
                <w:szCs w:val="21"/>
                <w:highlight w:val="none"/>
                <w:lang w:bidi="ar"/>
              </w:rPr>
              <w:t>投资控制措施（</w:t>
            </w:r>
            <w:r>
              <w:rPr>
                <w:rFonts w:hint="eastAsia" w:ascii="宋体" w:hAnsi="Courier New" w:cs="宋体"/>
                <w:color w:val="auto"/>
                <w:szCs w:val="21"/>
                <w:highlight w:val="none"/>
                <w:lang w:val="en-US" w:eastAsia="zh-CN" w:bidi="ar"/>
              </w:rPr>
              <w:t>4</w:t>
            </w:r>
            <w:r>
              <w:rPr>
                <w:rFonts w:hint="eastAsia" w:ascii="宋体" w:hAnsi="Courier New" w:cs="宋体"/>
                <w:color w:val="auto"/>
                <w:szCs w:val="21"/>
                <w:highlight w:val="none"/>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top"/>
          </w:tcPr>
          <w:p w14:paraId="7177B761">
            <w:pPr>
              <w:spacing w:line="360" w:lineRule="auto"/>
              <w:jc w:val="left"/>
              <w:rPr>
                <w:rFonts w:ascii="Times New Roman" w:hAnsi="Times New Roman"/>
                <w:color w:val="auto"/>
                <w:highlight w:val="none"/>
              </w:rPr>
            </w:pPr>
            <w:r>
              <w:rPr>
                <w:rFonts w:hint="eastAsia" w:ascii="宋体" w:hAnsi="Courier New" w:cs="宋体"/>
                <w:color w:val="auto"/>
                <w:szCs w:val="21"/>
                <w:highlight w:val="none"/>
                <w:lang w:bidi="ar"/>
              </w:rPr>
              <w:t>投资控制措施：坚持估算控制概算、概算控制预算、预算控制结算的原则，要求目标明确、依据、方法合理可行、措施具体、针对性强。方案为优，得</w:t>
            </w:r>
            <w:r>
              <w:rPr>
                <w:rFonts w:hint="eastAsia" w:ascii="宋体" w:hAnsi="Courier New" w:cs="宋体"/>
                <w:color w:val="auto"/>
                <w:szCs w:val="21"/>
                <w:highlight w:val="none"/>
                <w:lang w:val="en-US" w:eastAsia="zh-CN" w:bidi="ar"/>
              </w:rPr>
              <w:t>4</w:t>
            </w:r>
            <w:r>
              <w:rPr>
                <w:rFonts w:hint="eastAsia" w:ascii="宋体" w:hAnsi="Courier New" w:cs="宋体"/>
                <w:color w:val="auto"/>
                <w:szCs w:val="21"/>
                <w:highlight w:val="none"/>
                <w:lang w:bidi="ar"/>
              </w:rPr>
              <w:t>分；方案为良，得</w:t>
            </w:r>
            <w:r>
              <w:rPr>
                <w:rFonts w:hint="eastAsia" w:ascii="宋体" w:hAnsi="Courier New" w:cs="宋体"/>
                <w:color w:val="auto"/>
                <w:szCs w:val="21"/>
                <w:highlight w:val="none"/>
                <w:lang w:val="en-US" w:eastAsia="zh-CN" w:bidi="ar"/>
              </w:rPr>
              <w:t>2</w:t>
            </w:r>
            <w:r>
              <w:rPr>
                <w:rFonts w:hint="eastAsia" w:ascii="宋体" w:hAnsi="Courier New" w:cs="宋体"/>
                <w:color w:val="auto"/>
                <w:szCs w:val="21"/>
                <w:highlight w:val="none"/>
                <w:lang w:bidi="ar"/>
              </w:rPr>
              <w:t>分；方案为一般，得</w:t>
            </w:r>
            <w:r>
              <w:rPr>
                <w:rFonts w:hint="eastAsia" w:ascii="宋体" w:hAnsi="Courier New" w:cs="宋体"/>
                <w:color w:val="auto"/>
                <w:szCs w:val="21"/>
                <w:highlight w:val="none"/>
                <w:lang w:val="en-US" w:eastAsia="zh-CN" w:bidi="ar"/>
              </w:rPr>
              <w:t>1</w:t>
            </w:r>
            <w:r>
              <w:rPr>
                <w:rFonts w:hint="eastAsia" w:ascii="宋体" w:hAnsi="Courier New" w:cs="宋体"/>
                <w:color w:val="auto"/>
                <w:szCs w:val="21"/>
                <w:highlight w:val="none"/>
                <w:lang w:bidi="ar"/>
              </w:rPr>
              <w:t>分；方案为差，得0分；</w:t>
            </w:r>
          </w:p>
        </w:tc>
      </w:tr>
      <w:tr w14:paraId="71610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17438FCB">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1A02BE67">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D571D6">
            <w:pPr>
              <w:snapToGrid w:val="0"/>
              <w:spacing w:line="360" w:lineRule="auto"/>
              <w:jc w:val="center"/>
              <w:rPr>
                <w:rFonts w:ascii="Times New Roman" w:hAnsi="Times New Roman"/>
                <w:color w:val="auto"/>
                <w:highlight w:val="none"/>
              </w:rPr>
            </w:pPr>
            <w:r>
              <w:rPr>
                <w:rFonts w:hint="eastAsia" w:ascii="Times New Roman" w:hAnsi="Times New Roman" w:cs="宋体"/>
                <w:color w:val="auto"/>
                <w:highlight w:val="none"/>
                <w:lang w:bidi="ar"/>
              </w:rPr>
              <w:t>合同、信息管理方案</w:t>
            </w:r>
          </w:p>
          <w:p w14:paraId="5D956963">
            <w:pPr>
              <w:snapToGrid w:val="0"/>
              <w:spacing w:line="360" w:lineRule="auto"/>
              <w:jc w:val="center"/>
              <w:rPr>
                <w:rFonts w:hint="eastAsia" w:ascii="Times New Roman" w:hAnsi="Times New Roman" w:eastAsia="宋体"/>
                <w:color w:val="auto"/>
                <w:highlight w:val="none"/>
                <w:lang w:eastAsia="zh-CN"/>
              </w:rPr>
            </w:pPr>
            <w:r>
              <w:rPr>
                <w:rFonts w:hint="eastAsia" w:ascii="Times New Roman" w:hAnsi="Times New Roman" w:cs="宋体"/>
                <w:color w:val="auto"/>
                <w:highlight w:val="none"/>
                <w:lang w:bidi="ar"/>
              </w:rPr>
              <w:t>（</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top"/>
          </w:tcPr>
          <w:p w14:paraId="5FAAE3AC">
            <w:pPr>
              <w:spacing w:line="360" w:lineRule="auto"/>
              <w:rPr>
                <w:rFonts w:ascii="Times New Roman" w:hAnsi="Times New Roman"/>
                <w:color w:val="auto"/>
                <w:highlight w:val="none"/>
              </w:rPr>
            </w:pPr>
            <w:r>
              <w:rPr>
                <w:rFonts w:hint="eastAsia" w:ascii="Times New Roman" w:hAnsi="Times New Roman" w:cs="宋体"/>
                <w:color w:val="auto"/>
                <w:highlight w:val="none"/>
                <w:lang w:bidi="ar"/>
              </w:rPr>
              <w:t>建立完善的合同信息管理制度、合同管理、信息管理方法、针对性强、措施具体、针对性强。</w:t>
            </w:r>
            <w:r>
              <w:rPr>
                <w:rFonts w:hint="eastAsia" w:ascii="宋体" w:hAnsi="Courier New" w:cs="宋体"/>
                <w:color w:val="auto"/>
                <w:szCs w:val="21"/>
                <w:highlight w:val="none"/>
                <w:lang w:bidi="ar"/>
              </w:rPr>
              <w:t>方案为优，得</w:t>
            </w:r>
            <w:r>
              <w:rPr>
                <w:rFonts w:hint="eastAsia" w:ascii="宋体" w:hAnsi="Courier New" w:cs="宋体"/>
                <w:color w:val="auto"/>
                <w:szCs w:val="21"/>
                <w:highlight w:val="none"/>
                <w:lang w:val="en-US" w:eastAsia="zh-CN" w:bidi="ar"/>
              </w:rPr>
              <w:t>4</w:t>
            </w:r>
            <w:r>
              <w:rPr>
                <w:rFonts w:hint="eastAsia" w:ascii="宋体" w:hAnsi="Courier New" w:cs="宋体"/>
                <w:color w:val="auto"/>
                <w:szCs w:val="21"/>
                <w:highlight w:val="none"/>
                <w:lang w:bidi="ar"/>
              </w:rPr>
              <w:t>分；方案为良，得</w:t>
            </w:r>
            <w:r>
              <w:rPr>
                <w:rFonts w:hint="eastAsia" w:ascii="宋体" w:hAnsi="Courier New" w:cs="宋体"/>
                <w:color w:val="auto"/>
                <w:szCs w:val="21"/>
                <w:highlight w:val="none"/>
                <w:lang w:val="en-US" w:eastAsia="zh-CN" w:bidi="ar"/>
              </w:rPr>
              <w:t>2</w:t>
            </w:r>
            <w:r>
              <w:rPr>
                <w:rFonts w:hint="eastAsia" w:ascii="宋体" w:hAnsi="Courier New" w:cs="宋体"/>
                <w:color w:val="auto"/>
                <w:szCs w:val="21"/>
                <w:highlight w:val="none"/>
                <w:lang w:bidi="ar"/>
              </w:rPr>
              <w:t>分；方案为一般，得</w:t>
            </w:r>
            <w:r>
              <w:rPr>
                <w:rFonts w:hint="eastAsia" w:ascii="宋体" w:hAnsi="Courier New" w:cs="宋体"/>
                <w:color w:val="auto"/>
                <w:szCs w:val="21"/>
                <w:highlight w:val="none"/>
                <w:lang w:val="en-US" w:eastAsia="zh-CN" w:bidi="ar"/>
              </w:rPr>
              <w:t>1</w:t>
            </w:r>
            <w:r>
              <w:rPr>
                <w:rFonts w:hint="eastAsia" w:ascii="宋体" w:hAnsi="Courier New" w:cs="宋体"/>
                <w:color w:val="auto"/>
                <w:szCs w:val="21"/>
                <w:highlight w:val="none"/>
                <w:lang w:bidi="ar"/>
              </w:rPr>
              <w:t>分；方案为差，得0分；</w:t>
            </w:r>
          </w:p>
        </w:tc>
      </w:tr>
      <w:tr w14:paraId="0725F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4F74263F">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41E2A87">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C279B1">
            <w:pPr>
              <w:snapToGrid w:val="0"/>
              <w:spacing w:line="360" w:lineRule="auto"/>
              <w:jc w:val="center"/>
              <w:rPr>
                <w:rFonts w:ascii="Times New Roman" w:hAnsi="Times New Roman"/>
                <w:color w:val="auto"/>
                <w:highlight w:val="none"/>
              </w:rPr>
            </w:pPr>
            <w:r>
              <w:rPr>
                <w:rFonts w:hint="eastAsia" w:ascii="Times New Roman" w:hAnsi="Times New Roman" w:cs="宋体"/>
                <w:color w:val="auto"/>
                <w:highlight w:val="none"/>
                <w:lang w:bidi="ar"/>
              </w:rPr>
              <w:t>监理组织协调内容及措施</w:t>
            </w:r>
          </w:p>
          <w:p w14:paraId="20E26E2D">
            <w:pPr>
              <w:snapToGrid w:val="0"/>
              <w:spacing w:line="360" w:lineRule="auto"/>
              <w:jc w:val="center"/>
              <w:rPr>
                <w:rFonts w:hint="eastAsia" w:ascii="Times New Roman" w:hAnsi="Times New Roman" w:eastAsia="宋体"/>
                <w:color w:val="auto"/>
                <w:szCs w:val="21"/>
                <w:highlight w:val="none"/>
                <w:lang w:eastAsia="zh-CN"/>
              </w:rPr>
            </w:pPr>
            <w:r>
              <w:rPr>
                <w:rFonts w:hint="eastAsia" w:ascii="Times New Roman" w:hAnsi="Times New Roman" w:cs="宋体"/>
                <w:color w:val="auto"/>
                <w:highlight w:val="none"/>
                <w:lang w:bidi="ar"/>
              </w:rPr>
              <w:t>（</w:t>
            </w:r>
            <w:r>
              <w:rPr>
                <w:rFonts w:hint="eastAsia" w:ascii="宋体" w:hAnsi="Courier New" w:cs="宋体"/>
                <w:color w:val="auto"/>
                <w:szCs w:val="21"/>
                <w:highlight w:val="none"/>
                <w:lang w:val="en-US" w:eastAsia="zh-CN" w:bidi="ar"/>
              </w:rPr>
              <w:t>4</w:t>
            </w:r>
            <w:r>
              <w:rPr>
                <w:rFonts w:hint="eastAsia" w:ascii="宋体" w:hAnsi="Courier New" w:cs="宋体"/>
                <w:color w:val="auto"/>
                <w:szCs w:val="21"/>
                <w:highlight w:val="none"/>
                <w:lang w:bidi="ar"/>
              </w:rPr>
              <w:t>分</w:t>
            </w:r>
            <w:r>
              <w:rPr>
                <w:rFonts w:hint="eastAsia" w:ascii="Times New Roman" w:hAnsi="Times New Roman" w:cs="宋体"/>
                <w:color w:val="auto"/>
                <w:highlight w:val="none"/>
                <w:lang w:bidi="ar"/>
              </w:rPr>
              <w:t>）</w:t>
            </w:r>
          </w:p>
        </w:tc>
        <w:tc>
          <w:tcPr>
            <w:tcW w:w="4523" w:type="dxa"/>
            <w:tcBorders>
              <w:top w:val="single" w:color="auto" w:sz="4" w:space="0"/>
              <w:left w:val="single" w:color="auto" w:sz="4" w:space="0"/>
              <w:bottom w:val="single" w:color="auto" w:sz="4" w:space="0"/>
            </w:tcBorders>
            <w:noWrap w:val="0"/>
            <w:tcMar>
              <w:left w:w="57" w:type="dxa"/>
              <w:right w:w="57" w:type="dxa"/>
            </w:tcMar>
            <w:vAlign w:val="top"/>
          </w:tcPr>
          <w:p w14:paraId="605E00A5">
            <w:pPr>
              <w:spacing w:line="360" w:lineRule="auto"/>
              <w:rPr>
                <w:rFonts w:ascii="Times New Roman" w:hAnsi="Times New Roman"/>
                <w:color w:val="auto"/>
                <w:highlight w:val="none"/>
              </w:rPr>
            </w:pPr>
            <w:r>
              <w:rPr>
                <w:rFonts w:hint="eastAsia" w:ascii="Times New Roman" w:hAnsi="Times New Roman" w:cs="宋体"/>
                <w:color w:val="auto"/>
                <w:highlight w:val="none"/>
                <w:lang w:bidi="ar"/>
              </w:rPr>
              <w:t>协调方法清晰合理，有具体措施。</w:t>
            </w:r>
            <w:r>
              <w:rPr>
                <w:rFonts w:hint="eastAsia" w:ascii="宋体" w:hAnsi="Courier New" w:cs="宋体"/>
                <w:color w:val="auto"/>
                <w:szCs w:val="21"/>
                <w:highlight w:val="none"/>
                <w:lang w:bidi="ar"/>
              </w:rPr>
              <w:t>方案为优，得</w:t>
            </w:r>
            <w:r>
              <w:rPr>
                <w:rFonts w:hint="eastAsia" w:ascii="宋体" w:hAnsi="Courier New" w:cs="宋体"/>
                <w:color w:val="auto"/>
                <w:szCs w:val="21"/>
                <w:highlight w:val="none"/>
                <w:lang w:val="en-US" w:eastAsia="zh-CN" w:bidi="ar"/>
              </w:rPr>
              <w:t>4</w:t>
            </w:r>
            <w:r>
              <w:rPr>
                <w:rFonts w:hint="eastAsia" w:ascii="宋体" w:hAnsi="Courier New" w:cs="宋体"/>
                <w:color w:val="auto"/>
                <w:szCs w:val="21"/>
                <w:highlight w:val="none"/>
                <w:lang w:bidi="ar"/>
              </w:rPr>
              <w:t xml:space="preserve">分；方案为良，得 </w:t>
            </w:r>
            <w:r>
              <w:rPr>
                <w:rFonts w:hint="eastAsia" w:ascii="宋体" w:hAnsi="Courier New" w:cs="宋体"/>
                <w:color w:val="auto"/>
                <w:szCs w:val="21"/>
                <w:highlight w:val="none"/>
                <w:lang w:val="en-US" w:eastAsia="zh-CN" w:bidi="ar"/>
              </w:rPr>
              <w:t>2</w:t>
            </w:r>
            <w:r>
              <w:rPr>
                <w:rFonts w:hint="eastAsia" w:ascii="宋体" w:hAnsi="Courier New" w:cs="宋体"/>
                <w:color w:val="auto"/>
                <w:szCs w:val="21"/>
                <w:highlight w:val="none"/>
                <w:lang w:bidi="ar"/>
              </w:rPr>
              <w:t>分；方案为一般，得</w:t>
            </w:r>
            <w:r>
              <w:rPr>
                <w:rFonts w:hint="eastAsia" w:ascii="宋体" w:hAnsi="Courier New" w:cs="宋体"/>
                <w:color w:val="auto"/>
                <w:szCs w:val="21"/>
                <w:highlight w:val="none"/>
                <w:lang w:val="en-US" w:eastAsia="zh-CN" w:bidi="ar"/>
              </w:rPr>
              <w:t>1</w:t>
            </w:r>
            <w:r>
              <w:rPr>
                <w:rFonts w:hint="eastAsia" w:ascii="宋体" w:hAnsi="Courier New" w:cs="宋体"/>
                <w:color w:val="auto"/>
                <w:szCs w:val="21"/>
                <w:highlight w:val="none"/>
                <w:lang w:bidi="ar"/>
              </w:rPr>
              <w:t>分；方案为差，得0分</w:t>
            </w:r>
            <w:r>
              <w:rPr>
                <w:rFonts w:hint="eastAsia" w:ascii="Times New Roman" w:hAnsi="Times New Roman" w:cs="宋体"/>
                <w:color w:val="auto"/>
                <w:highlight w:val="none"/>
                <w:lang w:bidi="ar"/>
              </w:rPr>
              <w:t>；</w:t>
            </w:r>
          </w:p>
        </w:tc>
      </w:tr>
      <w:tr w14:paraId="68A98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7EC5C83F">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C4834F9">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C3DCB3">
            <w:pPr>
              <w:snapToGrid w:val="0"/>
              <w:spacing w:line="360" w:lineRule="auto"/>
              <w:jc w:val="center"/>
              <w:rPr>
                <w:rFonts w:ascii="Times New Roman" w:hAnsi="Times New Roman"/>
                <w:color w:val="auto"/>
                <w:highlight w:val="none"/>
              </w:rPr>
            </w:pPr>
            <w:r>
              <w:rPr>
                <w:rFonts w:hint="eastAsia" w:ascii="Times New Roman" w:hAnsi="Times New Roman" w:cs="宋体"/>
                <w:color w:val="auto"/>
                <w:highlight w:val="none"/>
                <w:lang w:bidi="ar"/>
              </w:rPr>
              <w:t>监理工作重点、难点分析</w:t>
            </w:r>
          </w:p>
          <w:p w14:paraId="7BAA51D3">
            <w:pPr>
              <w:snapToGrid w:val="0"/>
              <w:spacing w:line="360" w:lineRule="auto"/>
              <w:jc w:val="center"/>
              <w:rPr>
                <w:rFonts w:hint="eastAsia" w:ascii="Times New Roman" w:hAnsi="Times New Roman" w:eastAsia="宋体"/>
                <w:color w:val="auto"/>
                <w:highlight w:val="none"/>
                <w:lang w:eastAsia="zh-CN"/>
              </w:rPr>
            </w:pPr>
            <w:r>
              <w:rPr>
                <w:rFonts w:hint="eastAsia" w:ascii="Times New Roman" w:hAnsi="Times New Roman" w:cs="宋体"/>
                <w:color w:val="auto"/>
                <w:highlight w:val="none"/>
                <w:lang w:bidi="ar"/>
              </w:rPr>
              <w:t>（</w:t>
            </w:r>
            <w:r>
              <w:rPr>
                <w:rFonts w:hint="eastAsia" w:ascii="宋体" w:hAnsi="Courier New" w:cs="宋体"/>
                <w:color w:val="auto"/>
                <w:szCs w:val="21"/>
                <w:highlight w:val="none"/>
                <w:lang w:val="en-US" w:eastAsia="zh-CN" w:bidi="ar"/>
              </w:rPr>
              <w:t>6</w:t>
            </w:r>
            <w:r>
              <w:rPr>
                <w:rFonts w:hint="eastAsia" w:ascii="宋体" w:hAnsi="Courier New" w:cs="宋体"/>
                <w:color w:val="auto"/>
                <w:szCs w:val="21"/>
                <w:highlight w:val="none"/>
                <w:lang w:bidi="ar"/>
              </w:rPr>
              <w:t>分</w:t>
            </w:r>
            <w:r>
              <w:rPr>
                <w:rFonts w:hint="eastAsia" w:ascii="Times New Roman" w:hAnsi="Times New Roman" w:cs="宋体"/>
                <w:color w:val="auto"/>
                <w:highlight w:val="none"/>
                <w:lang w:bidi="ar"/>
              </w:rPr>
              <w:t>）</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1E654234">
            <w:pPr>
              <w:spacing w:line="360" w:lineRule="auto"/>
              <w:rPr>
                <w:rFonts w:ascii="Times New Roman" w:hAnsi="Times New Roman"/>
                <w:color w:val="auto"/>
                <w:highlight w:val="none"/>
              </w:rPr>
            </w:pPr>
            <w:r>
              <w:rPr>
                <w:rFonts w:hint="eastAsia" w:ascii="Times New Roman" w:hAnsi="Times New Roman" w:cs="宋体"/>
                <w:color w:val="auto"/>
                <w:highlight w:val="none"/>
                <w:lang w:bidi="ar"/>
              </w:rPr>
              <w:t>针对本项目特点及招标内容，对项目实施</w:t>
            </w:r>
            <w:r>
              <w:rPr>
                <w:rFonts w:hint="eastAsia" w:ascii="宋体" w:hAnsi="宋体" w:cs="宋体"/>
                <w:color w:val="auto"/>
                <w:szCs w:val="21"/>
                <w:highlight w:val="none"/>
              </w:rPr>
              <w:t>（对于</w:t>
            </w:r>
            <w:r>
              <w:rPr>
                <w:rFonts w:hint="eastAsia" w:ascii="宋体" w:hAnsi="宋体" w:cs="宋体"/>
                <w:color w:val="auto"/>
                <w:szCs w:val="21"/>
                <w:highlight w:val="none"/>
                <w:lang w:eastAsia="zh-CN"/>
              </w:rPr>
              <w:t>道路工程、交通工程、排水工程、照明工程、电力管沟工程、绿化工程</w:t>
            </w:r>
            <w:r>
              <w:rPr>
                <w:rFonts w:hint="eastAsia" w:ascii="宋体" w:hAnsi="宋体" w:cs="宋体"/>
                <w:color w:val="auto"/>
                <w:szCs w:val="21"/>
                <w:highlight w:val="none"/>
              </w:rPr>
              <w:t>等)</w:t>
            </w:r>
            <w:r>
              <w:rPr>
                <w:rFonts w:hint="eastAsia" w:ascii="Times New Roman" w:hAnsi="Times New Roman" w:cs="宋体"/>
                <w:color w:val="auto"/>
                <w:highlight w:val="none"/>
                <w:lang w:bidi="ar"/>
              </w:rPr>
              <w:t>的重点、难点进行详细分析，并提出相应措施。</w:t>
            </w:r>
            <w:r>
              <w:rPr>
                <w:rFonts w:hint="eastAsia" w:ascii="宋体" w:hAnsi="Courier New" w:cs="宋体"/>
                <w:color w:val="auto"/>
                <w:szCs w:val="21"/>
                <w:highlight w:val="none"/>
                <w:lang w:bidi="ar"/>
              </w:rPr>
              <w:t>方案为优</w:t>
            </w:r>
            <w:r>
              <w:rPr>
                <w:rFonts w:hint="eastAsia" w:ascii="Times New Roman" w:hAnsi="Times New Roman" w:cs="宋体"/>
                <w:color w:val="auto"/>
                <w:highlight w:val="none"/>
                <w:lang w:bidi="ar"/>
              </w:rPr>
              <w:t>，得</w:t>
            </w:r>
            <w:r>
              <w:rPr>
                <w:rFonts w:hint="eastAsia" w:ascii="宋体" w:hAnsi="Courier New" w:cs="宋体"/>
                <w:color w:val="auto"/>
                <w:szCs w:val="21"/>
                <w:highlight w:val="none"/>
                <w:lang w:val="en-US" w:eastAsia="zh-CN" w:bidi="ar"/>
              </w:rPr>
              <w:t>6</w:t>
            </w:r>
            <w:r>
              <w:rPr>
                <w:rFonts w:hint="eastAsia" w:ascii="宋体" w:hAnsi="Courier New" w:cs="宋体"/>
                <w:color w:val="auto"/>
                <w:szCs w:val="21"/>
                <w:highlight w:val="none"/>
                <w:lang w:bidi="ar"/>
              </w:rPr>
              <w:t>分</w:t>
            </w:r>
            <w:r>
              <w:rPr>
                <w:rFonts w:hint="eastAsia" w:ascii="Times New Roman" w:hAnsi="Times New Roman" w:cs="宋体"/>
                <w:color w:val="auto"/>
                <w:highlight w:val="none"/>
                <w:lang w:bidi="ar"/>
              </w:rPr>
              <w:t>；</w:t>
            </w:r>
            <w:r>
              <w:rPr>
                <w:rFonts w:hint="eastAsia" w:ascii="宋体" w:hAnsi="Courier New" w:cs="宋体"/>
                <w:color w:val="auto"/>
                <w:szCs w:val="21"/>
                <w:highlight w:val="none"/>
                <w:lang w:bidi="ar"/>
              </w:rPr>
              <w:t>方案为</w:t>
            </w:r>
            <w:r>
              <w:rPr>
                <w:rFonts w:hint="eastAsia" w:ascii="Times New Roman" w:hAnsi="Times New Roman" w:cs="宋体"/>
                <w:color w:val="auto"/>
                <w:highlight w:val="none"/>
                <w:lang w:bidi="ar"/>
              </w:rPr>
              <w:t>良，得</w:t>
            </w:r>
            <w:r>
              <w:rPr>
                <w:rFonts w:ascii="Times New Roman" w:hAnsi="Times New Roman"/>
                <w:color w:val="auto"/>
                <w:highlight w:val="none"/>
                <w:lang w:bidi="ar"/>
              </w:rPr>
              <w:t xml:space="preserve"> </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w:t>
            </w:r>
            <w:r>
              <w:rPr>
                <w:rFonts w:hint="eastAsia" w:ascii="宋体" w:hAnsi="Courier New" w:cs="宋体"/>
                <w:color w:val="auto"/>
                <w:szCs w:val="21"/>
                <w:highlight w:val="none"/>
                <w:lang w:bidi="ar"/>
              </w:rPr>
              <w:t>方案为</w:t>
            </w:r>
            <w:r>
              <w:rPr>
                <w:rFonts w:hint="eastAsia" w:ascii="Times New Roman" w:hAnsi="Times New Roman" w:cs="宋体"/>
                <w:color w:val="auto"/>
                <w:highlight w:val="none"/>
                <w:lang w:bidi="ar"/>
              </w:rPr>
              <w:t>一般，得</w:t>
            </w:r>
            <w:r>
              <w:rPr>
                <w:rFonts w:ascii="Times New Roman" w:hAnsi="Times New Roman"/>
                <w:color w:val="auto"/>
                <w:highlight w:val="none"/>
                <w:lang w:bidi="ar"/>
              </w:rPr>
              <w:t>2</w:t>
            </w:r>
            <w:r>
              <w:rPr>
                <w:rFonts w:hint="eastAsia" w:ascii="Times New Roman" w:hAnsi="Times New Roman" w:cs="宋体"/>
                <w:color w:val="auto"/>
                <w:highlight w:val="none"/>
                <w:lang w:bidi="ar"/>
              </w:rPr>
              <w:t>分；</w:t>
            </w:r>
            <w:r>
              <w:rPr>
                <w:rFonts w:hint="eastAsia" w:ascii="宋体" w:hAnsi="Courier New" w:cs="宋体"/>
                <w:color w:val="auto"/>
                <w:szCs w:val="21"/>
                <w:highlight w:val="none"/>
                <w:lang w:bidi="ar"/>
              </w:rPr>
              <w:t>方案为</w:t>
            </w:r>
            <w:r>
              <w:rPr>
                <w:rFonts w:hint="eastAsia" w:ascii="Times New Roman" w:hAnsi="Times New Roman" w:cs="宋体"/>
                <w:color w:val="auto"/>
                <w:highlight w:val="none"/>
                <w:lang w:bidi="ar"/>
              </w:rPr>
              <w:t>差，得</w:t>
            </w:r>
            <w:r>
              <w:rPr>
                <w:rFonts w:ascii="Times New Roman" w:hAnsi="Times New Roman"/>
                <w:color w:val="auto"/>
                <w:highlight w:val="none"/>
                <w:lang w:bidi="ar"/>
              </w:rPr>
              <w:t>0</w:t>
            </w:r>
            <w:r>
              <w:rPr>
                <w:rFonts w:hint="eastAsia" w:ascii="Times New Roman" w:hAnsi="Times New Roman" w:cs="宋体"/>
                <w:color w:val="auto"/>
                <w:highlight w:val="none"/>
                <w:lang w:bidi="ar"/>
              </w:rPr>
              <w:t>分。</w:t>
            </w:r>
          </w:p>
        </w:tc>
      </w:tr>
      <w:tr w14:paraId="66F35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131B68D4">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D3302A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4CE8A8">
            <w:pPr>
              <w:snapToGrid w:val="0"/>
              <w:spacing w:line="360" w:lineRule="auto"/>
              <w:jc w:val="center"/>
              <w:rPr>
                <w:rFonts w:ascii="Times New Roman" w:hAnsi="Times New Roman"/>
                <w:color w:val="auto"/>
                <w:szCs w:val="21"/>
                <w:highlight w:val="none"/>
              </w:rPr>
            </w:pPr>
            <w:r>
              <w:rPr>
                <w:rFonts w:hint="eastAsia" w:ascii="Times New Roman" w:hAnsi="Times New Roman" w:cs="宋体"/>
                <w:color w:val="auto"/>
                <w:highlight w:val="none"/>
                <w:lang w:bidi="ar"/>
              </w:rPr>
              <w:t>工程进度款、工程结算的管理（</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1D26F61E">
            <w:pPr>
              <w:spacing w:line="360" w:lineRule="auto"/>
              <w:rPr>
                <w:rFonts w:ascii="Times New Roman" w:hAnsi="Times New Roman"/>
                <w:color w:val="auto"/>
                <w:highlight w:val="none"/>
              </w:rPr>
            </w:pPr>
            <w:r>
              <w:rPr>
                <w:rFonts w:hint="eastAsia" w:ascii="Times New Roman" w:hAnsi="Times New Roman" w:cs="宋体"/>
                <w:color w:val="auto"/>
                <w:highlight w:val="none"/>
                <w:lang w:bidi="ar"/>
              </w:rPr>
              <w:t>建立完善的工程进度款、工程结算管理制度、各岗位人员职责明确。管理方法合理有效、有具体措施，得</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分；一般、措施不具体，得</w:t>
            </w:r>
            <w:r>
              <w:rPr>
                <w:rFonts w:ascii="Times New Roman" w:hAnsi="Times New Roman"/>
                <w:color w:val="auto"/>
                <w:highlight w:val="none"/>
                <w:lang w:bidi="ar"/>
              </w:rPr>
              <w:t>2</w:t>
            </w:r>
            <w:r>
              <w:rPr>
                <w:rFonts w:hint="eastAsia" w:ascii="Times New Roman" w:hAnsi="Times New Roman" w:cs="宋体"/>
                <w:color w:val="auto"/>
                <w:highlight w:val="none"/>
                <w:lang w:bidi="ar"/>
              </w:rPr>
              <w:t>分；无管理的方法和措施，得</w:t>
            </w:r>
            <w:r>
              <w:rPr>
                <w:rFonts w:ascii="Times New Roman" w:hAnsi="Times New Roman"/>
                <w:color w:val="auto"/>
                <w:highlight w:val="none"/>
                <w:lang w:bidi="ar"/>
              </w:rPr>
              <w:t>0</w:t>
            </w:r>
            <w:r>
              <w:rPr>
                <w:rFonts w:hint="eastAsia" w:ascii="Times New Roman" w:hAnsi="Times New Roman" w:cs="宋体"/>
                <w:color w:val="auto"/>
                <w:highlight w:val="none"/>
                <w:lang w:bidi="ar"/>
              </w:rPr>
              <w:t>分。</w:t>
            </w:r>
          </w:p>
        </w:tc>
      </w:tr>
      <w:tr w14:paraId="51FBA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7B05B55F">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16E5D131">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6DDBF1">
            <w:pPr>
              <w:snapToGrid w:val="0"/>
              <w:spacing w:line="360" w:lineRule="auto"/>
              <w:jc w:val="center"/>
              <w:rPr>
                <w:rFonts w:hint="eastAsia" w:ascii="Times New Roman" w:hAnsi="Times New Roman"/>
                <w:color w:val="auto"/>
                <w:szCs w:val="21"/>
                <w:highlight w:val="none"/>
                <w:lang w:eastAsia="zh-CN"/>
              </w:rPr>
            </w:pPr>
            <w:r>
              <w:rPr>
                <w:rFonts w:hint="eastAsia" w:ascii="Times New Roman" w:hAnsi="Times New Roman" w:cs="宋体"/>
                <w:color w:val="auto"/>
                <w:highlight w:val="none"/>
                <w:lang w:bidi="ar"/>
              </w:rPr>
              <w:t>会议制度（</w:t>
            </w:r>
            <w:r>
              <w:rPr>
                <w:rFonts w:hint="eastAsia" w:ascii="Times New Roman" w:hAnsi="Times New Roman"/>
                <w:color w:val="auto"/>
                <w:highlight w:val="none"/>
                <w:lang w:val="en-US" w:eastAsia="zh-CN" w:bidi="ar"/>
              </w:rPr>
              <w:t>3</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681E76FE">
            <w:pPr>
              <w:spacing w:line="360" w:lineRule="auto"/>
              <w:rPr>
                <w:rFonts w:hint="eastAsia" w:ascii="宋体" w:hAnsi="Courier New"/>
                <w:color w:val="auto"/>
                <w:szCs w:val="21"/>
                <w:highlight w:val="none"/>
              </w:rPr>
            </w:pPr>
            <w:r>
              <w:rPr>
                <w:rFonts w:hint="eastAsia" w:ascii="Times New Roman" w:hAnsi="Times New Roman" w:cs="宋体"/>
                <w:color w:val="auto"/>
                <w:highlight w:val="none"/>
                <w:lang w:bidi="ar"/>
              </w:rPr>
              <w:t>建立完善的工地会议制度。满足要求，得</w:t>
            </w:r>
            <w:r>
              <w:rPr>
                <w:rFonts w:hint="eastAsia" w:ascii="Times New Roman" w:hAnsi="Times New Roman"/>
                <w:color w:val="auto"/>
                <w:highlight w:val="none"/>
                <w:lang w:val="en-US" w:eastAsia="zh-CN" w:bidi="ar"/>
              </w:rPr>
              <w:t>3</w:t>
            </w:r>
            <w:r>
              <w:rPr>
                <w:rFonts w:hint="eastAsia" w:ascii="Times New Roman" w:hAnsi="Times New Roman" w:cs="宋体"/>
                <w:color w:val="auto"/>
                <w:highlight w:val="none"/>
                <w:lang w:bidi="ar"/>
              </w:rPr>
              <w:t>分；基本满足要求，得</w:t>
            </w:r>
            <w:r>
              <w:rPr>
                <w:rFonts w:hint="eastAsia" w:ascii="Times New Roman" w:hAnsi="Times New Roman"/>
                <w:color w:val="auto"/>
                <w:highlight w:val="none"/>
                <w:lang w:val="en-US" w:eastAsia="zh-CN" w:bidi="ar"/>
              </w:rPr>
              <w:t>1</w:t>
            </w:r>
            <w:r>
              <w:rPr>
                <w:rFonts w:hint="eastAsia" w:ascii="Times New Roman" w:hAnsi="Times New Roman" w:cs="宋体"/>
                <w:color w:val="auto"/>
                <w:highlight w:val="none"/>
                <w:lang w:bidi="ar"/>
              </w:rPr>
              <w:t>分；不满足要求，得</w:t>
            </w:r>
            <w:r>
              <w:rPr>
                <w:rFonts w:ascii="Times New Roman" w:hAnsi="Times New Roman"/>
                <w:color w:val="auto"/>
                <w:highlight w:val="none"/>
                <w:lang w:bidi="ar"/>
              </w:rPr>
              <w:t>0</w:t>
            </w:r>
            <w:r>
              <w:rPr>
                <w:rFonts w:hint="eastAsia" w:ascii="Times New Roman" w:hAnsi="Times New Roman" w:cs="宋体"/>
                <w:color w:val="auto"/>
                <w:highlight w:val="none"/>
                <w:lang w:bidi="ar"/>
              </w:rPr>
              <w:t>分。</w:t>
            </w:r>
          </w:p>
        </w:tc>
      </w:tr>
      <w:tr w14:paraId="5288A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4" w:hRule="atLeast"/>
        </w:trPr>
        <w:tc>
          <w:tcPr>
            <w:tcW w:w="900" w:type="dxa"/>
            <w:vMerge w:val="continue"/>
            <w:tcBorders>
              <w:right w:val="single" w:color="auto" w:sz="4" w:space="0"/>
            </w:tcBorders>
            <w:noWrap w:val="0"/>
            <w:vAlign w:val="top"/>
          </w:tcPr>
          <w:p w14:paraId="1632EDAC">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6355CAD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2E139B">
            <w:pPr>
              <w:snapToGrid w:val="0"/>
              <w:spacing w:line="360" w:lineRule="auto"/>
              <w:jc w:val="center"/>
              <w:rPr>
                <w:rFonts w:hint="eastAsia" w:ascii="Times New Roman" w:hAnsi="Times New Roman"/>
                <w:color w:val="auto"/>
                <w:szCs w:val="21"/>
                <w:highlight w:val="none"/>
                <w:lang w:eastAsia="zh-CN"/>
              </w:rPr>
            </w:pPr>
            <w:r>
              <w:rPr>
                <w:rFonts w:hint="eastAsia" w:ascii="Times New Roman" w:hAnsi="Times New Roman" w:cs="宋体"/>
                <w:color w:val="auto"/>
                <w:highlight w:val="none"/>
                <w:lang w:bidi="ar"/>
              </w:rPr>
              <w:t>合理化建议（</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67588C2E">
            <w:pPr>
              <w:spacing w:line="360" w:lineRule="auto"/>
              <w:rPr>
                <w:rFonts w:hint="eastAsia" w:ascii="宋体" w:hAnsi="Courier New"/>
                <w:color w:val="auto"/>
                <w:szCs w:val="21"/>
                <w:highlight w:val="none"/>
              </w:rPr>
            </w:pPr>
            <w:r>
              <w:rPr>
                <w:rFonts w:hint="eastAsia" w:ascii="Times New Roman" w:hAnsi="Times New Roman" w:cs="宋体"/>
                <w:color w:val="auto"/>
                <w:highlight w:val="none"/>
                <w:lang w:bidi="ar"/>
              </w:rPr>
              <w:t>具有科学、合理、可行及具体措施的建议并经评委分析论证认同的。优，得</w:t>
            </w:r>
            <w:r>
              <w:rPr>
                <w:rFonts w:hint="eastAsia" w:ascii="Times New Roman" w:hAnsi="Times New Roman"/>
                <w:color w:val="auto"/>
                <w:highlight w:val="none"/>
                <w:lang w:val="en-US" w:eastAsia="zh-CN" w:bidi="ar"/>
              </w:rPr>
              <w:t>4</w:t>
            </w:r>
            <w:r>
              <w:rPr>
                <w:rFonts w:hint="eastAsia" w:ascii="Times New Roman" w:hAnsi="Times New Roman" w:cs="宋体"/>
                <w:color w:val="auto"/>
                <w:highlight w:val="none"/>
                <w:lang w:bidi="ar"/>
              </w:rPr>
              <w:t>分；良，得</w:t>
            </w:r>
            <w:r>
              <w:rPr>
                <w:rFonts w:hint="eastAsia" w:ascii="Times New Roman" w:hAnsi="Times New Roman"/>
                <w:color w:val="auto"/>
                <w:highlight w:val="none"/>
                <w:lang w:val="en-US" w:eastAsia="zh-CN" w:bidi="ar"/>
              </w:rPr>
              <w:t>2</w:t>
            </w:r>
            <w:r>
              <w:rPr>
                <w:rFonts w:hint="eastAsia" w:ascii="Times New Roman" w:hAnsi="Times New Roman" w:cs="宋体"/>
                <w:color w:val="auto"/>
                <w:highlight w:val="none"/>
                <w:lang w:bidi="ar"/>
              </w:rPr>
              <w:t>分；一般，得</w:t>
            </w:r>
            <w:r>
              <w:rPr>
                <w:rFonts w:hint="eastAsia" w:ascii="Times New Roman" w:hAnsi="Times New Roman"/>
                <w:color w:val="auto"/>
                <w:highlight w:val="none"/>
                <w:lang w:val="en-US" w:eastAsia="zh-CN" w:bidi="ar"/>
              </w:rPr>
              <w:t>1</w:t>
            </w:r>
            <w:r>
              <w:rPr>
                <w:rFonts w:hint="eastAsia" w:ascii="Times New Roman" w:hAnsi="Times New Roman" w:cs="宋体"/>
                <w:color w:val="auto"/>
                <w:highlight w:val="none"/>
                <w:lang w:bidi="ar"/>
              </w:rPr>
              <w:t>分；差，得</w:t>
            </w:r>
            <w:r>
              <w:rPr>
                <w:rFonts w:ascii="Times New Roman" w:hAnsi="Times New Roman"/>
                <w:color w:val="auto"/>
                <w:highlight w:val="none"/>
                <w:lang w:bidi="ar"/>
              </w:rPr>
              <w:t>0</w:t>
            </w:r>
            <w:r>
              <w:rPr>
                <w:rFonts w:hint="eastAsia" w:ascii="Times New Roman" w:hAnsi="Times New Roman" w:cs="宋体"/>
                <w:color w:val="auto"/>
                <w:highlight w:val="none"/>
                <w:lang w:bidi="ar"/>
              </w:rPr>
              <w:t>分。</w:t>
            </w:r>
          </w:p>
        </w:tc>
      </w:tr>
      <w:tr w14:paraId="56C44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atLeast"/>
        </w:trPr>
        <w:tc>
          <w:tcPr>
            <w:tcW w:w="900" w:type="dxa"/>
            <w:vMerge w:val="continue"/>
            <w:tcBorders>
              <w:right w:val="single" w:color="auto" w:sz="4" w:space="0"/>
            </w:tcBorders>
            <w:noWrap w:val="0"/>
            <w:vAlign w:val="top"/>
          </w:tcPr>
          <w:p w14:paraId="2AD3E48E">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3D81494A">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8DAB31">
            <w:pPr>
              <w:snapToGrid w:val="0"/>
              <w:spacing w:line="360" w:lineRule="auto"/>
              <w:jc w:val="center"/>
              <w:rPr>
                <w:rFonts w:ascii="Times New Roman" w:hAnsi="Times New Roman"/>
                <w:color w:val="auto"/>
                <w:szCs w:val="21"/>
                <w:highlight w:val="none"/>
              </w:rPr>
            </w:pPr>
            <w:r>
              <w:rPr>
                <w:rFonts w:hint="eastAsia" w:ascii="Times New Roman" w:hAnsi="Times New Roman" w:cs="宋体"/>
                <w:color w:val="auto"/>
                <w:highlight w:val="none"/>
                <w:lang w:bidi="ar"/>
              </w:rPr>
              <w:t>科学管理方法（</w:t>
            </w:r>
            <w:r>
              <w:rPr>
                <w:rFonts w:hint="eastAsia" w:ascii="Times New Roman" w:hAnsi="Times New Roman"/>
                <w:color w:val="auto"/>
                <w:highlight w:val="none"/>
                <w:lang w:val="en-US" w:eastAsia="zh-CN" w:bidi="ar"/>
              </w:rPr>
              <w:t>3</w:t>
            </w:r>
            <w:r>
              <w:rPr>
                <w:rFonts w:hint="eastAsia" w:ascii="Times New Roman" w:hAnsi="Times New Roman" w:cs="宋体"/>
                <w:color w:val="auto"/>
                <w:highlight w:val="none"/>
                <w:lang w:bidi="ar"/>
              </w:rPr>
              <w:t>分）</w:t>
            </w:r>
          </w:p>
        </w:tc>
        <w:tc>
          <w:tcPr>
            <w:tcW w:w="4523" w:type="dxa"/>
            <w:tcBorders>
              <w:top w:val="single" w:color="auto" w:sz="4" w:space="0"/>
              <w:left w:val="single" w:color="auto" w:sz="4" w:space="0"/>
            </w:tcBorders>
            <w:noWrap w:val="0"/>
            <w:tcMar>
              <w:left w:w="57" w:type="dxa"/>
              <w:right w:w="57" w:type="dxa"/>
            </w:tcMar>
            <w:vAlign w:val="center"/>
          </w:tcPr>
          <w:p w14:paraId="366E0FCA">
            <w:pPr>
              <w:spacing w:line="360" w:lineRule="auto"/>
              <w:rPr>
                <w:rFonts w:ascii="Times New Roman" w:hAnsi="Times New Roman"/>
                <w:color w:val="auto"/>
                <w:highlight w:val="none"/>
              </w:rPr>
            </w:pPr>
            <w:r>
              <w:rPr>
                <w:rFonts w:hint="eastAsia" w:ascii="Times New Roman" w:hAnsi="Times New Roman" w:cs="宋体"/>
                <w:color w:val="auto"/>
                <w:highlight w:val="none"/>
                <w:lang w:bidi="ar"/>
              </w:rPr>
              <w:t>具有新型或科技管理方法辅助工程管理的得</w:t>
            </w:r>
            <w:r>
              <w:rPr>
                <w:rFonts w:hint="eastAsia" w:ascii="Times New Roman" w:hAnsi="Times New Roman"/>
                <w:color w:val="auto"/>
                <w:highlight w:val="none"/>
                <w:lang w:val="en-US" w:eastAsia="zh-CN" w:bidi="ar"/>
              </w:rPr>
              <w:t>3</w:t>
            </w:r>
            <w:r>
              <w:rPr>
                <w:rFonts w:hint="eastAsia" w:ascii="Times New Roman" w:hAnsi="Times New Roman" w:cs="宋体"/>
                <w:color w:val="auto"/>
                <w:highlight w:val="none"/>
                <w:lang w:bidi="ar"/>
              </w:rPr>
              <w:t>分，没有的得</w:t>
            </w:r>
            <w:r>
              <w:rPr>
                <w:rFonts w:ascii="Times New Roman" w:hAnsi="Times New Roman"/>
                <w:color w:val="auto"/>
                <w:highlight w:val="none"/>
                <w:lang w:bidi="ar"/>
              </w:rPr>
              <w:t>0</w:t>
            </w:r>
            <w:r>
              <w:rPr>
                <w:rFonts w:hint="eastAsia" w:ascii="Times New Roman" w:hAnsi="Times New Roman" w:cs="宋体"/>
                <w:color w:val="auto"/>
                <w:highlight w:val="none"/>
                <w:lang w:bidi="ar"/>
              </w:rPr>
              <w:t>分</w:t>
            </w:r>
          </w:p>
        </w:tc>
      </w:tr>
      <w:tr w14:paraId="3EF75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2" w:hRule="atLeast"/>
        </w:trPr>
        <w:tc>
          <w:tcPr>
            <w:tcW w:w="900" w:type="dxa"/>
            <w:tcBorders>
              <w:top w:val="single" w:color="auto" w:sz="4" w:space="0"/>
              <w:bottom w:val="single" w:color="auto" w:sz="4" w:space="0"/>
              <w:right w:val="single" w:color="auto" w:sz="4" w:space="0"/>
            </w:tcBorders>
            <w:noWrap w:val="0"/>
            <w:vAlign w:val="center"/>
          </w:tcPr>
          <w:p w14:paraId="12CED680">
            <w:pPr>
              <w:spacing w:line="360" w:lineRule="auto"/>
              <w:jc w:val="center"/>
              <w:rPr>
                <w:rFonts w:ascii="Times New Roman" w:hAnsi="Times New Roman"/>
                <w:color w:val="auto"/>
                <w:highlight w:val="none"/>
              </w:rPr>
            </w:pP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B52824E">
            <w:pPr>
              <w:spacing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投标报价评分标准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20分</w:t>
            </w:r>
            <w:r>
              <w:rPr>
                <w:rFonts w:hint="eastAsia" w:ascii="Times New Roman" w:hAnsi="Times New Roman"/>
                <w:color w:val="auto"/>
                <w:highlight w:val="none"/>
                <w:lang w:eastAsia="zh-CN"/>
              </w:rPr>
              <w:t>）</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B88A9F9">
            <w:pPr>
              <w:spacing w:line="360" w:lineRule="auto"/>
              <w:jc w:val="center"/>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eastAsia="zh-CN"/>
              </w:rPr>
              <w:t>投标报价评审</w:t>
            </w:r>
          </w:p>
        </w:tc>
        <w:tc>
          <w:tcPr>
            <w:tcW w:w="4523" w:type="dxa"/>
            <w:tcBorders>
              <w:top w:val="single" w:color="auto" w:sz="4" w:space="0"/>
              <w:left w:val="single" w:color="auto" w:sz="4" w:space="0"/>
              <w:bottom w:val="single" w:color="auto" w:sz="4" w:space="0"/>
            </w:tcBorders>
            <w:noWrap w:val="0"/>
            <w:vAlign w:val="top"/>
          </w:tcPr>
          <w:p w14:paraId="58EAC696">
            <w:pPr>
              <w:spacing w:line="360" w:lineRule="auto"/>
              <w:jc w:val="both"/>
              <w:rPr>
                <w:rFonts w:ascii="Times New Roman" w:hAnsi="Times New Roman"/>
                <w:color w:val="auto"/>
                <w:highlight w:val="none"/>
              </w:rPr>
            </w:pPr>
            <w:r>
              <w:rPr>
                <w:rFonts w:hint="eastAsia" w:ascii="宋体" w:hAnsi="宋体" w:cs="楷体"/>
                <w:color w:val="auto"/>
                <w:szCs w:val="21"/>
                <w:highlight w:val="none"/>
              </w:rPr>
              <w:t>以评标基准价作为计算各有效投标价得分的基础，当有效投标报价等于评标基准价时得</w:t>
            </w:r>
            <w:r>
              <w:rPr>
                <w:rFonts w:hint="eastAsia" w:ascii="宋体" w:hAnsi="宋体" w:cs="楷体"/>
                <w:color w:val="auto"/>
                <w:szCs w:val="21"/>
                <w:highlight w:val="none"/>
                <w:lang w:val="en-US" w:eastAsia="zh-CN"/>
              </w:rPr>
              <w:t>2</w:t>
            </w:r>
            <w:r>
              <w:rPr>
                <w:rFonts w:hint="eastAsia" w:ascii="宋体" w:hAnsi="宋体" w:cs="楷体"/>
                <w:color w:val="auto"/>
                <w:szCs w:val="21"/>
                <w:highlight w:val="none"/>
              </w:rPr>
              <w:t>0分；投标报价偏差率，每上偏1%扣1</w:t>
            </w:r>
            <w:r>
              <w:rPr>
                <w:rFonts w:hint="eastAsia" w:ascii="宋体" w:hAnsi="宋体" w:cs="楷体"/>
                <w:color w:val="auto"/>
                <w:szCs w:val="21"/>
                <w:highlight w:val="none"/>
                <w:lang w:val="en-US" w:eastAsia="zh-CN"/>
              </w:rPr>
              <w:t>.5</w:t>
            </w:r>
            <w:r>
              <w:rPr>
                <w:rFonts w:hint="eastAsia" w:ascii="宋体" w:hAnsi="宋体" w:cs="楷体"/>
                <w:color w:val="auto"/>
                <w:szCs w:val="21"/>
                <w:highlight w:val="none"/>
              </w:rPr>
              <w:t>分，下偏1%扣</w:t>
            </w:r>
            <w:r>
              <w:rPr>
                <w:rFonts w:hint="eastAsia" w:ascii="宋体" w:hAnsi="宋体" w:cs="楷体"/>
                <w:color w:val="auto"/>
                <w:szCs w:val="21"/>
                <w:highlight w:val="none"/>
                <w:lang w:val="en-US" w:eastAsia="zh-CN"/>
              </w:rPr>
              <w:t>1.0</w:t>
            </w:r>
            <w:r>
              <w:rPr>
                <w:rFonts w:hint="eastAsia" w:ascii="宋体" w:hAnsi="宋体" w:cs="楷体"/>
                <w:color w:val="auto"/>
                <w:szCs w:val="21"/>
                <w:highlight w:val="none"/>
              </w:rPr>
              <w:t>分，最多扣</w:t>
            </w:r>
            <w:r>
              <w:rPr>
                <w:rFonts w:hint="eastAsia" w:ascii="宋体" w:hAnsi="宋体" w:cs="楷体"/>
                <w:color w:val="auto"/>
                <w:szCs w:val="21"/>
                <w:highlight w:val="none"/>
                <w:lang w:val="en-US" w:eastAsia="zh-CN"/>
              </w:rPr>
              <w:t>2</w:t>
            </w:r>
            <w:r>
              <w:rPr>
                <w:rFonts w:ascii="宋体" w:hAnsi="宋体" w:cs="楷体"/>
                <w:color w:val="auto"/>
                <w:szCs w:val="21"/>
                <w:highlight w:val="none"/>
              </w:rPr>
              <w:t>0</w:t>
            </w:r>
            <w:r>
              <w:rPr>
                <w:rFonts w:hint="eastAsia" w:ascii="宋体" w:hAnsi="宋体" w:cs="楷体"/>
                <w:color w:val="auto"/>
                <w:szCs w:val="21"/>
                <w:highlight w:val="none"/>
              </w:rPr>
              <w:t>分。</w:t>
            </w:r>
          </w:p>
        </w:tc>
      </w:tr>
    </w:tbl>
    <w:p w14:paraId="5D5259B9">
      <w:pPr>
        <w:spacing w:line="360" w:lineRule="auto"/>
        <w:rPr>
          <w:rFonts w:ascii="Times New Roman" w:hAnsi="Times New Roman"/>
          <w:color w:val="auto"/>
          <w:highlight w:val="none"/>
        </w:rPr>
      </w:pPr>
    </w:p>
    <w:p w14:paraId="67726454">
      <w:pPr>
        <w:snapToGrid w:val="0"/>
        <w:spacing w:line="360" w:lineRule="auto"/>
        <w:rPr>
          <w:rFonts w:ascii="宋体"/>
          <w:color w:val="auto"/>
          <w:highlight w:val="none"/>
        </w:rPr>
      </w:pPr>
      <w:r>
        <w:rPr>
          <w:rFonts w:hint="eastAsia" w:ascii="宋体" w:hAnsi="宋体"/>
          <w:color w:val="auto"/>
          <w:highlight w:val="none"/>
        </w:rPr>
        <w:t>说明：</w:t>
      </w:r>
    </w:p>
    <w:p w14:paraId="394EA5EB">
      <w:pPr>
        <w:numPr>
          <w:ilvl w:val="0"/>
          <w:numId w:val="1"/>
        </w:numPr>
        <w:tabs>
          <w:tab w:val="left" w:pos="540"/>
        </w:tabs>
        <w:snapToGrid w:val="0"/>
        <w:spacing w:line="360" w:lineRule="auto"/>
        <w:ind w:left="540" w:hanging="540"/>
        <w:rPr>
          <w:rFonts w:hint="eastAsia" w:ascii="宋体" w:cs="宋体"/>
          <w:color w:val="auto"/>
          <w:highlight w:val="none"/>
        </w:rPr>
      </w:pPr>
      <w:r>
        <w:rPr>
          <w:rFonts w:hint="eastAsia" w:ascii="宋体" w:hAnsi="宋体" w:cs="宋体"/>
          <w:color w:val="auto"/>
          <w:highlight w:val="none"/>
          <w:lang w:bidi="ar"/>
        </w:rPr>
        <w:t>类似工程：是指</w:t>
      </w:r>
      <w:r>
        <w:rPr>
          <w:rFonts w:hint="eastAsia" w:ascii="宋体" w:hAnsi="宋体" w:cs="宋体"/>
          <w:strike w:val="0"/>
          <w:dstrike w:val="0"/>
          <w:color w:val="auto"/>
          <w:highlight w:val="none"/>
          <w:lang w:bidi="ar"/>
        </w:rPr>
        <w:t>合同金额为100万</w:t>
      </w:r>
      <w:r>
        <w:rPr>
          <w:rFonts w:hint="eastAsia" w:ascii="宋体" w:hAnsi="宋体" w:cs="宋体"/>
          <w:strike w:val="0"/>
          <w:dstrike w:val="0"/>
          <w:color w:val="auto"/>
          <w:highlight w:val="none"/>
          <w:lang w:eastAsia="zh-CN" w:bidi="ar"/>
        </w:rPr>
        <w:t>元</w:t>
      </w:r>
      <w:r>
        <w:rPr>
          <w:rFonts w:hint="eastAsia" w:ascii="宋体" w:hAnsi="宋体" w:cs="宋体"/>
          <w:strike w:val="0"/>
          <w:dstrike w:val="0"/>
          <w:color w:val="auto"/>
          <w:highlight w:val="none"/>
          <w:lang w:bidi="ar"/>
        </w:rPr>
        <w:t>以上</w:t>
      </w:r>
      <w:r>
        <w:rPr>
          <w:rFonts w:hint="eastAsia" w:ascii="宋体" w:hAnsi="宋体" w:cs="宋体"/>
          <w:strike w:val="0"/>
          <w:dstrike w:val="0"/>
          <w:color w:val="auto"/>
          <w:highlight w:val="none"/>
          <w:lang w:eastAsia="zh-CN" w:bidi="ar"/>
        </w:rPr>
        <w:t>（含</w:t>
      </w:r>
      <w:r>
        <w:rPr>
          <w:rFonts w:hint="eastAsia" w:ascii="宋体" w:hAnsi="宋体" w:cs="宋体"/>
          <w:strike w:val="0"/>
          <w:dstrike w:val="0"/>
          <w:color w:val="auto"/>
          <w:highlight w:val="none"/>
          <w:lang w:val="en-US" w:eastAsia="zh-CN" w:bidi="ar"/>
        </w:rPr>
        <w:t>100万元</w:t>
      </w:r>
      <w:bookmarkStart w:id="1879" w:name="_GoBack"/>
      <w:bookmarkEnd w:id="1879"/>
      <w:r>
        <w:rPr>
          <w:rFonts w:hint="eastAsia" w:ascii="宋体" w:hAnsi="宋体" w:cs="宋体"/>
          <w:strike w:val="0"/>
          <w:dstrike w:val="0"/>
          <w:color w:val="auto"/>
          <w:highlight w:val="none"/>
          <w:lang w:eastAsia="zh-CN" w:bidi="ar"/>
        </w:rPr>
        <w:t>）</w:t>
      </w:r>
      <w:r>
        <w:rPr>
          <w:rFonts w:hint="eastAsia" w:ascii="宋体" w:hAnsi="宋体" w:cs="宋体"/>
          <w:strike w:val="0"/>
          <w:dstrike w:val="0"/>
          <w:color w:val="auto"/>
          <w:highlight w:val="none"/>
          <w:lang w:bidi="ar"/>
        </w:rPr>
        <w:t>市政工程类监理业绩</w:t>
      </w:r>
      <w:r>
        <w:rPr>
          <w:rFonts w:hint="eastAsia" w:ascii="宋体" w:hAnsi="宋体" w:cs="宋体"/>
          <w:color w:val="auto"/>
          <w:highlight w:val="none"/>
          <w:lang w:bidi="ar"/>
        </w:rPr>
        <w:t>，需同时提供中标通知书或免招标的相关证明、施工监理合同</w:t>
      </w:r>
      <w:r>
        <w:rPr>
          <w:rFonts w:hint="eastAsia" w:ascii="宋体" w:hAnsi="宋体" w:cs="宋体"/>
          <w:color w:val="auto"/>
          <w:highlight w:val="none"/>
          <w:lang w:eastAsia="zh-CN" w:bidi="ar"/>
        </w:rPr>
        <w:t>（不含补充合同）</w:t>
      </w:r>
      <w:r>
        <w:rPr>
          <w:rFonts w:hint="eastAsia" w:ascii="宋体" w:hAnsi="宋体" w:cs="宋体"/>
          <w:color w:val="auto"/>
          <w:highlight w:val="none"/>
          <w:lang w:bidi="ar"/>
        </w:rPr>
        <w:t>、竣工验收报告或竣工验收证明</w:t>
      </w:r>
      <w:r>
        <w:rPr>
          <w:rFonts w:hint="eastAsia" w:ascii="宋体" w:hAnsi="宋体"/>
          <w:color w:val="auto"/>
          <w:highlight w:val="none"/>
        </w:rPr>
        <w:t>（竣工验收报告或竣工验收证明材料至少包含建设单位、设计单位、施工单位、监理单位四方主体盖章，否则不予以认可）</w:t>
      </w:r>
      <w:r>
        <w:rPr>
          <w:rFonts w:hint="eastAsia" w:ascii="宋体" w:hAnsi="宋体" w:cs="宋体"/>
          <w:color w:val="auto"/>
          <w:szCs w:val="18"/>
          <w:highlight w:val="none"/>
          <w:lang w:bidi="ar"/>
        </w:rPr>
        <w:t>，业绩时间以</w:t>
      </w:r>
      <w:r>
        <w:rPr>
          <w:rFonts w:hint="eastAsia" w:ascii="宋体" w:hAnsi="宋体" w:cs="宋体"/>
          <w:color w:val="auto"/>
          <w:highlight w:val="none"/>
          <w:lang w:bidi="ar"/>
        </w:rPr>
        <w:t>竣工验收报告或竣工验收证明出具时间为准。</w:t>
      </w:r>
    </w:p>
    <w:p w14:paraId="732A6705">
      <w:pPr>
        <w:numPr>
          <w:ilvl w:val="0"/>
          <w:numId w:val="1"/>
        </w:numPr>
        <w:tabs>
          <w:tab w:val="left" w:pos="540"/>
        </w:tabs>
        <w:snapToGrid w:val="0"/>
        <w:spacing w:line="360" w:lineRule="auto"/>
        <w:ind w:left="540" w:hanging="540"/>
        <w:rPr>
          <w:rFonts w:hint="eastAsia" w:ascii="宋体" w:hAnsi="宋体" w:cs="宋体"/>
          <w:color w:val="auto"/>
          <w:highlight w:val="none"/>
        </w:rPr>
      </w:pPr>
      <w:r>
        <w:rPr>
          <w:rFonts w:hint="eastAsia" w:ascii="宋体" w:hAnsi="宋体" w:cs="宋体"/>
          <w:color w:val="auto"/>
          <w:highlight w:val="none"/>
          <w:lang w:bidi="ar"/>
        </w:rPr>
        <w:t>管理体系认证：需同时提供①有效期内的认证证书；②国家认证认可监督管理委员会信息中心认证认可业务信息统一查询平台（http://cx.cnca.cn/）证书有效性的查询结果截图。无查询结果截图或查询无效的均不得分。上述证明材料不提供或不齐全均不得分。</w:t>
      </w:r>
    </w:p>
    <w:p w14:paraId="4A8E7CB9">
      <w:pPr>
        <w:numPr>
          <w:ilvl w:val="0"/>
          <w:numId w:val="1"/>
        </w:numPr>
        <w:tabs>
          <w:tab w:val="left" w:pos="540"/>
        </w:tabs>
        <w:snapToGrid w:val="0"/>
        <w:spacing w:line="360" w:lineRule="auto"/>
        <w:ind w:left="540" w:hanging="540"/>
        <w:rPr>
          <w:rFonts w:hint="eastAsia" w:ascii="宋体" w:hAnsi="宋体" w:cs="宋体"/>
          <w:color w:val="auto"/>
          <w:highlight w:val="none"/>
        </w:rPr>
      </w:pPr>
      <w:r>
        <w:rPr>
          <w:rFonts w:hint="eastAsia" w:ascii="宋体" w:hAnsi="宋体" w:cs="宋体"/>
          <w:color w:val="auto"/>
          <w:highlight w:val="none"/>
          <w:lang w:bidi="ar"/>
        </w:rPr>
        <w:t>纳税信用等级情况：投标人（只计算投标人自身，不计算投标人的分公司、子公司和分支机构）须提供税务部门颁发的“纳税信用A级”电子证书或省级或以上税务局网站纳税信用信息查询结果的网页截图（省级或以上税务局官方网站须对公众可查询）并加盖投标人企业电子印章，时间以证书上</w:t>
      </w:r>
      <w:r>
        <w:rPr>
          <w:rFonts w:hint="eastAsia" w:ascii="宋体" w:hAnsi="宋体"/>
          <w:color w:val="auto"/>
          <w:highlight w:val="none"/>
        </w:rPr>
        <w:t>或查询结果网页上</w:t>
      </w:r>
      <w:r>
        <w:rPr>
          <w:rFonts w:hint="eastAsia" w:ascii="宋体" w:hAnsi="宋体" w:cs="宋体"/>
          <w:color w:val="auto"/>
          <w:highlight w:val="none"/>
          <w:lang w:bidi="ar"/>
        </w:rPr>
        <w:t>注明的公示评价（评定）年度为准。不符合条件或无提供电子证书或查询结果网页截图或无加盖投标人企业电子印章的不计分。</w:t>
      </w:r>
    </w:p>
    <w:p w14:paraId="0027BF16">
      <w:pPr>
        <w:numPr>
          <w:ilvl w:val="0"/>
          <w:numId w:val="1"/>
        </w:numPr>
        <w:tabs>
          <w:tab w:val="left" w:pos="540"/>
        </w:tabs>
        <w:snapToGrid w:val="0"/>
        <w:spacing w:line="360" w:lineRule="auto"/>
        <w:ind w:left="540" w:hanging="540"/>
        <w:rPr>
          <w:rFonts w:hint="eastAsia" w:ascii="宋体" w:hAnsi="宋体" w:cs="宋体"/>
          <w:color w:val="auto"/>
          <w:highlight w:val="none"/>
        </w:rPr>
      </w:pPr>
      <w:r>
        <w:rPr>
          <w:rFonts w:hint="eastAsia" w:ascii="宋体" w:hAnsi="宋体" w:cs="宋体"/>
          <w:color w:val="auto"/>
          <w:highlight w:val="none"/>
        </w:rPr>
        <w:t>总监理工程师业绩：需同时提供中标通知书或免招标的相关证明、</w:t>
      </w:r>
      <w:r>
        <w:rPr>
          <w:rFonts w:hint="eastAsia" w:ascii="宋体" w:hAnsi="宋体" w:cs="宋体"/>
          <w:color w:val="auto"/>
          <w:highlight w:val="none"/>
          <w:lang w:val="en-US" w:eastAsia="zh-CN"/>
        </w:rPr>
        <w:t>施工</w:t>
      </w:r>
      <w:r>
        <w:rPr>
          <w:rFonts w:hint="eastAsia" w:ascii="宋体" w:hAnsi="宋体" w:cs="宋体"/>
          <w:color w:val="auto"/>
          <w:highlight w:val="none"/>
        </w:rPr>
        <w:t>监理合同、竣工验收报告或竣工验收证明（竣工验收报告或竣工验收证明材料至少包含建设单位、设计单位、施工单位、监理单位四方主体盖章，否则不予以认可），</w:t>
      </w:r>
      <w:r>
        <w:rPr>
          <w:rFonts w:hint="eastAsia" w:ascii="宋体" w:hAnsi="宋体" w:cs="宋体"/>
          <w:color w:val="auto"/>
          <w:szCs w:val="18"/>
          <w:highlight w:val="none"/>
          <w:lang w:bidi="ar"/>
        </w:rPr>
        <w:t>业绩时间</w:t>
      </w:r>
      <w:r>
        <w:rPr>
          <w:rFonts w:hint="eastAsia" w:ascii="宋体" w:hAnsi="宋体" w:cs="宋体"/>
          <w:color w:val="auto"/>
          <w:highlight w:val="none"/>
        </w:rPr>
        <w:t>以竣工验收报告或竣工验收证明</w:t>
      </w:r>
      <w:r>
        <w:rPr>
          <w:rFonts w:hint="eastAsia" w:ascii="宋体" w:hAnsi="宋体" w:cs="宋体"/>
          <w:color w:val="auto"/>
          <w:highlight w:val="none"/>
          <w:lang w:val="en-US" w:eastAsia="zh-CN"/>
        </w:rPr>
        <w:t>出具时间</w:t>
      </w:r>
      <w:r>
        <w:rPr>
          <w:rFonts w:hint="eastAsia" w:ascii="宋体" w:hAnsi="宋体" w:cs="宋体"/>
          <w:color w:val="auto"/>
          <w:highlight w:val="none"/>
        </w:rPr>
        <w:t>为准。如果上述资料未能清晰反映总监理工程师信息的，需提供由业主出具的加盖业主单位公章的证明材料；如相关证明材料反映的总监理工程师信息不一致的，以竣工验收报告或竣工验收证明为准，还需提供由业主出具的加盖业主单位公章的证明材料。</w:t>
      </w:r>
    </w:p>
    <w:p w14:paraId="3E36B2BA">
      <w:pPr>
        <w:numPr>
          <w:ilvl w:val="0"/>
          <w:numId w:val="1"/>
        </w:numPr>
        <w:tabs>
          <w:tab w:val="left" w:pos="540"/>
        </w:tabs>
        <w:snapToGrid w:val="0"/>
        <w:spacing w:line="360" w:lineRule="auto"/>
        <w:ind w:left="540" w:hanging="540"/>
        <w:rPr>
          <w:rFonts w:hint="eastAsia" w:ascii="宋体" w:hAnsi="宋体" w:cs="宋体"/>
          <w:color w:val="auto"/>
          <w:highlight w:val="none"/>
        </w:rPr>
      </w:pPr>
      <w:r>
        <w:rPr>
          <w:rFonts w:hint="eastAsia" w:ascii="宋体" w:hAnsi="宋体" w:cs="宋体"/>
          <w:color w:val="auto"/>
          <w:highlight w:val="none"/>
        </w:rPr>
        <w:t>总监理工程师代表业绩：需同时提供中标通知书或免招标的相关证明、</w:t>
      </w:r>
      <w:r>
        <w:rPr>
          <w:rFonts w:hint="eastAsia" w:ascii="宋体" w:hAnsi="宋体" w:cs="宋体"/>
          <w:color w:val="auto"/>
          <w:highlight w:val="none"/>
          <w:lang w:val="en-US" w:eastAsia="zh-CN"/>
        </w:rPr>
        <w:t>施工</w:t>
      </w:r>
      <w:r>
        <w:rPr>
          <w:rFonts w:hint="eastAsia" w:ascii="宋体" w:hAnsi="宋体" w:cs="宋体"/>
          <w:color w:val="auto"/>
          <w:highlight w:val="none"/>
        </w:rPr>
        <w:t>监理合同、竣工验收报告或竣工验收证明（竣工验收报告或竣工验收证明材料至少包含建设单位、设计单位、施工单位、监理单位四方主体盖章，否则不予以认可），</w:t>
      </w:r>
      <w:r>
        <w:rPr>
          <w:rFonts w:hint="eastAsia" w:ascii="宋体" w:hAnsi="宋体" w:cs="宋体"/>
          <w:color w:val="auto"/>
          <w:szCs w:val="18"/>
          <w:highlight w:val="none"/>
          <w:lang w:bidi="ar"/>
        </w:rPr>
        <w:t>业绩时间</w:t>
      </w:r>
      <w:r>
        <w:rPr>
          <w:rFonts w:hint="eastAsia" w:ascii="宋体" w:hAnsi="宋体" w:cs="宋体"/>
          <w:color w:val="auto"/>
          <w:highlight w:val="none"/>
        </w:rPr>
        <w:t>以竣工验收报告或竣工验收证明</w:t>
      </w:r>
      <w:r>
        <w:rPr>
          <w:rFonts w:hint="eastAsia" w:ascii="宋体" w:hAnsi="宋体" w:cs="宋体"/>
          <w:color w:val="auto"/>
          <w:highlight w:val="none"/>
          <w:lang w:val="en-US" w:eastAsia="zh-CN"/>
        </w:rPr>
        <w:t>出具时间</w:t>
      </w:r>
      <w:r>
        <w:rPr>
          <w:rFonts w:hint="eastAsia" w:ascii="宋体" w:hAnsi="宋体" w:cs="宋体"/>
          <w:color w:val="auto"/>
          <w:highlight w:val="none"/>
        </w:rPr>
        <w:t>为准。如果上述资料未能清晰反映总监理工程师（或总监理工程师代表）信息的，需提供由业主出具的加盖业主单位公章的证明材料；如相关证明材料反映的总监理工程师（或总监理工程师代表）信息不一致的，以竣工验收报告或竣工验收证明为准，还需提供由业主出具的加盖业主单位公章的证明材料。</w:t>
      </w:r>
    </w:p>
    <w:p w14:paraId="65378E2B">
      <w:pPr>
        <w:numPr>
          <w:ilvl w:val="0"/>
          <w:numId w:val="1"/>
        </w:numPr>
        <w:tabs>
          <w:tab w:val="left" w:pos="540"/>
        </w:tabs>
        <w:snapToGrid w:val="0"/>
        <w:spacing w:line="360" w:lineRule="auto"/>
        <w:ind w:left="420" w:hanging="420"/>
        <w:rPr>
          <w:color w:val="auto"/>
          <w:highlight w:val="none"/>
        </w:rPr>
      </w:pPr>
      <w:r>
        <w:rPr>
          <w:rFonts w:hint="eastAsia" w:ascii="宋体" w:hAnsi="Courier New" w:eastAsia="宋体" w:cs="Times New Roman"/>
          <w:color w:val="auto"/>
          <w:kern w:val="2"/>
          <w:szCs w:val="21"/>
          <w:highlight w:val="none"/>
          <w:lang w:bidi="ar"/>
        </w:rPr>
        <w:t>《项目监理团队人员组成配置要求》</w:t>
      </w:r>
      <w:r>
        <w:rPr>
          <w:rFonts w:hint="eastAsia" w:cs="宋体"/>
          <w:color w:val="auto"/>
          <w:szCs w:val="21"/>
          <w:highlight w:val="none"/>
          <w:lang w:bidi="ar"/>
        </w:rPr>
        <w:t>详见</w:t>
      </w:r>
      <w:r>
        <w:rPr>
          <w:rFonts w:hint="eastAsia" w:ascii="宋体" w:hAnsi="Courier New" w:eastAsia="宋体" w:cs="Times New Roman"/>
          <w:color w:val="auto"/>
          <w:kern w:val="2"/>
          <w:szCs w:val="21"/>
          <w:highlight w:val="none"/>
          <w:lang w:val="en-US" w:eastAsia="zh-CN" w:bidi="ar"/>
        </w:rPr>
        <w:t>投标人须知前附表</w:t>
      </w:r>
      <w:r>
        <w:rPr>
          <w:rFonts w:hint="eastAsia" w:cs="宋体"/>
          <w:color w:val="auto"/>
          <w:szCs w:val="21"/>
          <w:highlight w:val="none"/>
          <w:lang w:bidi="ar"/>
        </w:rPr>
        <w:t>。总监理工程师及监理机构人员资格、证书及社保证明等方面内容必须提供相应的证明材料；所投入人员必须为投标人本单位人员，所有人员须提供近一个月（指</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月</w:t>
      </w:r>
      <w:r>
        <w:rPr>
          <w:rFonts w:hint="eastAsia" w:cs="宋体"/>
          <w:color w:val="auto"/>
          <w:szCs w:val="21"/>
          <w:highlight w:val="none"/>
          <w:lang w:bidi="ar"/>
        </w:rPr>
        <w:t>）在本投标单位购买社保缴纳证明材料，提供证明资料的清晰扫描件并加盖投标单位电子印章，否则不计分。</w:t>
      </w:r>
    </w:p>
    <w:p w14:paraId="10338CB0">
      <w:pPr>
        <w:numPr>
          <w:ilvl w:val="0"/>
          <w:numId w:val="1"/>
        </w:numPr>
        <w:tabs>
          <w:tab w:val="left" w:pos="540"/>
        </w:tabs>
        <w:snapToGrid w:val="0"/>
        <w:spacing w:line="360" w:lineRule="auto"/>
        <w:ind w:left="420" w:hanging="420"/>
        <w:rPr>
          <w:b/>
          <w:bCs/>
          <w:color w:val="auto"/>
          <w:highlight w:val="none"/>
        </w:rPr>
      </w:pPr>
      <w:r>
        <w:rPr>
          <w:rFonts w:hint="eastAsia" w:ascii="宋体" w:hAnsi="宋体"/>
          <w:b/>
          <w:bCs/>
          <w:color w:val="auto"/>
          <w:szCs w:val="24"/>
          <w:highlight w:val="none"/>
        </w:rPr>
        <w:t>如联合体投标的，信誉、类似工程业绩、总监理工程师资历、总监理工程师代表资历均以联合体主办方的资料为准，除上述两个人员外，其他人员可由联合体各方共同提供；拟投入的试验检测仪器设备可由联合体各方共同提供。</w:t>
      </w:r>
    </w:p>
    <w:p w14:paraId="4A26C5FA">
      <w:pPr>
        <w:spacing w:line="360" w:lineRule="auto"/>
        <w:rPr>
          <w:rFonts w:hint="eastAsia"/>
          <w:b/>
          <w:color w:val="auto"/>
          <w:sz w:val="32"/>
          <w:szCs w:val="32"/>
          <w:highlight w:val="none"/>
        </w:rPr>
      </w:pPr>
    </w:p>
    <w:p w14:paraId="65BFF36F">
      <w:pPr>
        <w:bidi w:val="0"/>
        <w:spacing w:line="360" w:lineRule="auto"/>
        <w:jc w:val="center"/>
        <w:rPr>
          <w:rFonts w:hint="default"/>
          <w:color w:val="auto"/>
          <w:sz w:val="32"/>
          <w:szCs w:val="24"/>
          <w:highlight w:val="none"/>
        </w:rPr>
      </w:pPr>
      <w:r>
        <w:rPr>
          <w:rFonts w:hint="eastAsia"/>
          <w:b/>
          <w:color w:val="auto"/>
          <w:sz w:val="32"/>
          <w:szCs w:val="32"/>
          <w:highlight w:val="none"/>
        </w:rPr>
        <w:br w:type="page"/>
      </w:r>
      <w:bookmarkStart w:id="1194" w:name="_Toc30563"/>
      <w:bookmarkStart w:id="1195" w:name="_Toc30060"/>
      <w:bookmarkStart w:id="1196" w:name="_Toc12072"/>
      <w:bookmarkStart w:id="1197" w:name="_Toc17823"/>
      <w:bookmarkStart w:id="1198" w:name="_Toc9805"/>
      <w:bookmarkStart w:id="1199" w:name="_Toc18099"/>
      <w:bookmarkStart w:id="1200" w:name="_Toc13647"/>
      <w:r>
        <w:rPr>
          <w:rFonts w:hint="eastAsia"/>
          <w:b/>
          <w:color w:val="auto"/>
          <w:sz w:val="32"/>
          <w:szCs w:val="32"/>
          <w:highlight w:val="none"/>
          <w:lang w:eastAsia="zh-CN"/>
        </w:rPr>
        <w:t>评标办法</w:t>
      </w:r>
      <w:r>
        <w:rPr>
          <w:rFonts w:hint="default"/>
          <w:b/>
          <w:bCs w:val="0"/>
          <w:color w:val="auto"/>
          <w:sz w:val="32"/>
          <w:szCs w:val="24"/>
          <w:highlight w:val="none"/>
        </w:rPr>
        <w:t>修改表</w:t>
      </w:r>
    </w:p>
    <w:p w14:paraId="3D77014E">
      <w:pPr>
        <w:pStyle w:val="28"/>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w:t>
      </w:r>
      <w:r>
        <w:rPr>
          <w:rFonts w:hint="eastAsia" w:ascii="宋体" w:hAnsi="宋体" w:eastAsia="宋体"/>
          <w:b/>
          <w:color w:val="auto"/>
          <w:sz w:val="24"/>
          <w:szCs w:val="24"/>
          <w:highlight w:val="none"/>
          <w:lang w:eastAsia="zh-CN"/>
        </w:rPr>
        <w:t>评标办法</w:t>
      </w:r>
      <w:r>
        <w:rPr>
          <w:rFonts w:hint="default" w:ascii="宋体" w:hAnsi="宋体" w:eastAsia="宋体"/>
          <w:b/>
          <w:color w:val="auto"/>
          <w:sz w:val="24"/>
          <w:szCs w:val="24"/>
          <w:highlight w:val="none"/>
        </w:rPr>
        <w:t>条款，与该条款不同之处，均在本表中列明，并以现文为准，原文不再有效。</w:t>
      </w:r>
      <w:r>
        <w:rPr>
          <w:rFonts w:hint="eastAsia" w:ascii="宋体" w:hAnsi="宋体"/>
          <w:b w:val="0"/>
          <w:bCs/>
          <w:color w:val="auto"/>
          <w:sz w:val="24"/>
          <w:szCs w:val="24"/>
          <w:highlight w:val="none"/>
          <w:lang w:eastAsia="zh-CN"/>
        </w:rPr>
        <w:t>（注：招标人按《评标办法修改表》修改的内容对应修改通用条款，属于删除的采用“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619182DB">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2.2.1</w:t>
      </w:r>
      <w:r>
        <w:rPr>
          <w:rFonts w:hint="default" w:ascii="宋体" w:hAnsi="宋体" w:eastAsia="宋体"/>
          <w:b/>
          <w:bCs/>
          <w:color w:val="auto"/>
          <w:sz w:val="21"/>
          <w:szCs w:val="21"/>
          <w:highlight w:val="none"/>
        </w:rPr>
        <w:t xml:space="preserve">             修改类型：修改</w:t>
      </w:r>
    </w:p>
    <w:p w14:paraId="63A718D8">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2.2</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分值构成</w:t>
      </w:r>
    </w:p>
    <w:p w14:paraId="58344A8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617D6DF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68AB6B9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662C6C32">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（4）其他评分因素：见评标办法前附表。</w:t>
      </w:r>
    </w:p>
    <w:p w14:paraId="119EA0F4">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现文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2.2</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分值构成</w:t>
      </w:r>
    </w:p>
    <w:p w14:paraId="0993FC6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4E6C967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3EE06E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7F72B130">
      <w:pPr>
        <w:spacing w:line="360" w:lineRule="auto"/>
        <w:ind w:firstLine="420" w:firstLineChars="200"/>
        <w:rPr>
          <w:strike/>
          <w:dstrike w:val="0"/>
          <w:color w:val="auto"/>
          <w:sz w:val="21"/>
          <w:szCs w:val="21"/>
          <w:highlight w:val="none"/>
        </w:rPr>
      </w:pPr>
      <w:r>
        <w:rPr>
          <w:rFonts w:hint="eastAsia" w:ascii="宋体" w:hAnsi="宋体" w:cs="宋体"/>
          <w:strike/>
          <w:dstrike w:val="0"/>
          <w:color w:val="auto"/>
          <w:sz w:val="21"/>
          <w:szCs w:val="21"/>
          <w:highlight w:val="none"/>
        </w:rPr>
        <w:t>（4）其他评分因素：见评标办法前附表。</w:t>
      </w:r>
    </w:p>
    <w:p w14:paraId="68138A19">
      <w:pPr>
        <w:spacing w:line="360" w:lineRule="auto"/>
        <w:rPr>
          <w:rFonts w:hint="default" w:ascii="宋体" w:hAnsi="宋体" w:eastAsia="宋体"/>
          <w:color w:val="auto"/>
          <w:sz w:val="21"/>
          <w:szCs w:val="21"/>
          <w:highlight w:val="none"/>
        </w:rPr>
      </w:pPr>
      <w:r>
        <w:rPr>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59055</wp:posOffset>
                </wp:positionV>
                <wp:extent cx="5360035" cy="635"/>
                <wp:effectExtent l="0" t="0" r="0" b="0"/>
                <wp:wrapNone/>
                <wp:docPr id="4" name="直线 7"/>
                <wp:cNvGraphicFramePr/>
                <a:graphic xmlns:a="http://schemas.openxmlformats.org/drawingml/2006/main">
                  <a:graphicData uri="http://schemas.microsoft.com/office/word/2010/wordprocessingShape">
                    <wps:wsp>
                      <wps:cNvCnPr/>
                      <wps:spPr>
                        <a:xfrm>
                          <a:off x="0" y="0"/>
                          <a:ext cx="53600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7pt;margin-top:4.65pt;height:0.05pt;width:422.05pt;z-index:251662336;mso-width-relative:page;mso-height-relative:page;" filled="f" stroked="t" coordsize="21600,21600" o:gfxdata="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eg45HUAAAA&#10;BgEAAA8AAAAAAAAAAQAgAAAAIgAAAGRycy9kb3ducmV2LnhtbFBLAQIUABQAAAAIAIdO4kC5E4MB&#10;6AEAAN0DAAAOAAAAAAAAAAEAIAAAACMBAABkcnMvZTJvRG9jLnhtbFBLBQYAAAAABgAGAFkBAAB9&#10;BQAAAAA=&#10;">
                <v:fill on="f" focussize="0,0"/>
                <v:stroke color="#000000" joinstyle="round"/>
                <v:imagedata o:title=""/>
                <o:lock v:ext="edit" aspectratio="f"/>
              </v:line>
            </w:pict>
          </mc:Fallback>
        </mc:AlternateContent>
      </w:r>
    </w:p>
    <w:p w14:paraId="73BED4AE">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2.2.4</w:t>
      </w:r>
      <w:r>
        <w:rPr>
          <w:rFonts w:hint="default" w:ascii="宋体" w:hAnsi="宋体" w:eastAsia="宋体"/>
          <w:b/>
          <w:bCs/>
          <w:color w:val="auto"/>
          <w:sz w:val="21"/>
          <w:szCs w:val="21"/>
          <w:highlight w:val="none"/>
        </w:rPr>
        <w:t xml:space="preserve">            修改类型：修改</w:t>
      </w:r>
    </w:p>
    <w:p w14:paraId="24852748">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3603EBD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0692506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47692BD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7ADB6CD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（4）其他因素评分标准：见评标办法前附表。</w:t>
      </w:r>
    </w:p>
    <w:p w14:paraId="5C2F183A">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现文：</w:t>
      </w: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100867C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290D8EA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6C3945E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78EBC778">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（4）其他因素评分标准：见评标办法前附表。</w:t>
      </w:r>
    </w:p>
    <w:p w14:paraId="4E6A1A58">
      <w:pPr>
        <w:spacing w:line="360" w:lineRule="auto"/>
        <w:rPr>
          <w:rFonts w:hint="default" w:ascii="宋体" w:hAnsi="宋体" w:eastAsia="宋体"/>
          <w:color w:val="auto"/>
          <w:sz w:val="21"/>
          <w:szCs w:val="21"/>
          <w:highlight w:val="none"/>
        </w:rPr>
      </w:pP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149860</wp:posOffset>
                </wp:positionH>
                <wp:positionV relativeFrom="paragraph">
                  <wp:posOffset>115570</wp:posOffset>
                </wp:positionV>
                <wp:extent cx="5386070" cy="635"/>
                <wp:effectExtent l="0" t="0" r="0" b="0"/>
                <wp:wrapNone/>
                <wp:docPr id="5" name="直线 8"/>
                <wp:cNvGraphicFramePr/>
                <a:graphic xmlns:a="http://schemas.openxmlformats.org/drawingml/2006/main">
                  <a:graphicData uri="http://schemas.microsoft.com/office/word/2010/wordprocessingShape">
                    <wps:wsp>
                      <wps:cNvCnPr/>
                      <wps:spPr>
                        <a:xfrm>
                          <a:off x="0" y="0"/>
                          <a:ext cx="53860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1.8pt;margin-top:9.1pt;height:0.05pt;width:424.1pt;z-index:251663360;mso-width-relative:page;mso-height-relative:page;" filled="f" stroked="t" coordsize="21600,21600" o:gfxdata="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gkceNUA&#10;AAAIAQAADwAAAAAAAAABACAAAAAiAAAAZHJzL2Rvd25yZXYueG1sUEsBAhQAFAAAAAgAh07iQF0V&#10;s7npAQAA3QMAAA4AAAAAAAAAAQAgAAAAJAEAAGRycy9lMm9Eb2MueG1sUEsFBgAAAAAGAAYAWQEA&#10;AH8FAAAAAA==&#10;">
                <v:fill on="f" focussize="0,0"/>
                <v:stroke color="#000000" joinstyle="round"/>
                <v:imagedata o:title=""/>
                <o:lock v:ext="edit" aspectratio="f"/>
              </v:line>
            </w:pict>
          </mc:Fallback>
        </mc:AlternateContent>
      </w:r>
    </w:p>
    <w:p w14:paraId="3CE38A0B">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3.2</w:t>
      </w:r>
      <w:r>
        <w:rPr>
          <w:rFonts w:hint="default" w:ascii="宋体" w:hAnsi="宋体" w:eastAsia="宋体"/>
          <w:b/>
          <w:bCs/>
          <w:color w:val="auto"/>
          <w:sz w:val="21"/>
          <w:szCs w:val="21"/>
          <w:highlight w:val="none"/>
        </w:rPr>
        <w:t xml:space="preserve">            修改类型：修改</w:t>
      </w:r>
    </w:p>
    <w:p w14:paraId="7AC7F679">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b/>
          <w:bCs/>
          <w:color w:val="auto"/>
          <w:sz w:val="21"/>
          <w:szCs w:val="21"/>
          <w:highlight w:val="none"/>
          <w:lang w:val="en-US" w:eastAsia="zh-CN"/>
        </w:rPr>
        <w:t>原文</w:t>
      </w:r>
      <w:r>
        <w:rPr>
          <w:rFonts w:hint="eastAsia" w:ascii="宋体" w:hAnsi="宋体" w:eastAsia="宋体"/>
          <w:color w:val="auto"/>
          <w:sz w:val="21"/>
          <w:szCs w:val="21"/>
          <w:highlight w:val="none"/>
          <w:lang w:val="en-US" w:eastAsia="zh-CN"/>
        </w:rPr>
        <w:t>：3.2</w:t>
      </w:r>
      <w:r>
        <w:rPr>
          <w:rFonts w:hint="eastAsia" w:ascii="宋体" w:hAnsi="宋体" w:eastAsia="宋体" w:cs="宋体"/>
          <w:color w:val="auto"/>
          <w:szCs w:val="24"/>
          <w:highlight w:val="none"/>
        </w:rPr>
        <w:t>详细评审</w:t>
      </w:r>
    </w:p>
    <w:p w14:paraId="48DD5D5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0883EF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资信业绩</w:t>
      </w:r>
      <w:r>
        <w:rPr>
          <w:rFonts w:hint="eastAsia" w:ascii="宋体" w:hAnsi="宋体" w:eastAsia="宋体" w:cs="宋体"/>
          <w:color w:val="auto"/>
          <w:sz w:val="21"/>
          <w:szCs w:val="21"/>
          <w:highlight w:val="none"/>
          <w:u w:val="single"/>
          <w:lang w:eastAsia="zh-CN"/>
        </w:rPr>
        <w:t>部分</w:t>
      </w:r>
      <w:r>
        <w:rPr>
          <w:rFonts w:hint="eastAsia" w:ascii="宋体" w:hAnsi="宋体" w:eastAsia="宋体" w:cs="宋体"/>
          <w:color w:val="auto"/>
          <w:sz w:val="21"/>
          <w:szCs w:val="21"/>
          <w:highlight w:val="none"/>
          <w:u w:val="single"/>
        </w:rPr>
        <w:t>评审得分A为</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由招标人自行设置）</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1033E6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（2）按本章第2.2.4（2）目规定的评审因素和分值对监理大纲部分计算出得分B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bidi="ar-SA"/>
        </w:rPr>
        <w:t>（以下两种方法招标人自行选择）</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1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监理大纲</w:t>
      </w:r>
      <w:r>
        <w:rPr>
          <w:rFonts w:hint="eastAsia" w:ascii="宋体" w:hAnsi="宋体" w:eastAsia="宋体" w:cs="宋体"/>
          <w:color w:val="auto"/>
          <w:sz w:val="21"/>
          <w:szCs w:val="21"/>
          <w:highlight w:val="none"/>
          <w:u w:val="single"/>
        </w:rPr>
        <w:t>部分评审得分B为从</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打分中去掉一个最高分和去掉一个最低分后的剩余</w:t>
      </w:r>
      <w:r>
        <w:rPr>
          <w:rFonts w:hint="eastAsia" w:ascii="宋体" w:hAnsi="宋体" w:eastAsia="宋体" w:cs="Times New Roman"/>
          <w:color w:val="auto"/>
          <w:sz w:val="21"/>
          <w:highlight w:val="none"/>
          <w:u w:val="single"/>
          <w:lang w:val="en-US" w:eastAsia="zh-CN" w:bidi="ar-SA"/>
        </w:rPr>
        <w:t>评标委员会成员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2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②</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监理大纲部分</w:t>
      </w:r>
      <w:r>
        <w:rPr>
          <w:rFonts w:hint="eastAsia" w:ascii="宋体" w:hAnsi="宋体" w:eastAsia="宋体" w:cs="宋体"/>
          <w:color w:val="auto"/>
          <w:sz w:val="21"/>
          <w:szCs w:val="21"/>
          <w:highlight w:val="none"/>
          <w:u w:val="single"/>
        </w:rPr>
        <w:t>评审得分B为</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B336100">
      <w:pPr>
        <w:spacing w:line="360" w:lineRule="auto"/>
        <w:ind w:firstLine="420" w:firstLineChars="200"/>
        <w:rPr>
          <w:rFonts w:ascii="宋体" w:hAnsi="宋体" w:cs="宋体"/>
          <w:strike w:val="0"/>
          <w:color w:val="auto"/>
          <w:sz w:val="21"/>
          <w:szCs w:val="21"/>
          <w:highlight w:val="none"/>
        </w:rPr>
      </w:pPr>
      <w:r>
        <w:rPr>
          <w:rFonts w:hint="eastAsia" w:ascii="宋体" w:hAnsi="宋体" w:cs="宋体"/>
          <w:color w:val="auto"/>
          <w:sz w:val="21"/>
          <w:szCs w:val="21"/>
          <w:highlight w:val="none"/>
        </w:rPr>
        <w:t>（3）按本章第2.2.4（3）目规定的评审因素和分值对投标报价计算出得分C</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F80527D">
      <w:pPr>
        <w:spacing w:line="360" w:lineRule="auto"/>
        <w:ind w:firstLine="420" w:firstLineChars="200"/>
        <w:rPr>
          <w:rFonts w:ascii="宋体" w:hAnsi="宋体" w:cs="宋体"/>
          <w:color w:val="auto"/>
          <w:sz w:val="21"/>
          <w:szCs w:val="21"/>
          <w:highlight w:val="none"/>
        </w:rPr>
      </w:pPr>
      <w:r>
        <w:rPr>
          <w:rFonts w:hint="eastAsia" w:ascii="宋体" w:hAnsi="宋体" w:cs="宋体"/>
          <w:strike w:val="0"/>
          <w:color w:val="auto"/>
          <w:sz w:val="21"/>
          <w:szCs w:val="21"/>
          <w:highlight w:val="none"/>
        </w:rPr>
        <w:t>（4）按本章第2.2.4（4）目规定的评审因素和分值对其他部分计算出得分D</w:t>
      </w:r>
      <w:r>
        <w:rPr>
          <w:rFonts w:hint="eastAsia" w:ascii="宋体" w:hAnsi="宋体" w:cs="宋体"/>
          <w:strike w:val="0"/>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r>
        <w:rPr>
          <w:rFonts w:hint="eastAsia" w:ascii="宋体" w:hAnsi="宋体" w:cs="宋体"/>
          <w:color w:val="auto"/>
          <w:sz w:val="21"/>
          <w:szCs w:val="21"/>
          <w:highlight w:val="none"/>
        </w:rPr>
        <w:t>。</w:t>
      </w:r>
    </w:p>
    <w:p w14:paraId="37A1691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05484BA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3.2.3 </w:t>
      </w:r>
      <w:r>
        <w:rPr>
          <w:rFonts w:hint="eastAsia" w:ascii="宋体" w:hAnsi="宋体" w:eastAsia="宋体" w:cs="Times New Roman"/>
          <w:color w:val="auto"/>
          <w:sz w:val="21"/>
          <w:szCs w:val="21"/>
          <w:highlight w:val="none"/>
          <w:lang w:val="en-US" w:eastAsia="zh-CN" w:bidi="ar-SA"/>
        </w:rPr>
        <w:t>投标人得分=A+B+C+D。</w:t>
      </w:r>
    </w:p>
    <w:p w14:paraId="0ECC455E">
      <w:pPr>
        <w:spacing w:line="360" w:lineRule="auto"/>
        <w:ind w:firstLine="420" w:firstLineChars="200"/>
        <w:rPr>
          <w:rFonts w:hint="default" w:ascii="宋体" w:hAnsi="宋体" w:eastAsia="宋体"/>
          <w:color w:val="auto"/>
          <w:sz w:val="21"/>
          <w:szCs w:val="21"/>
          <w:highlight w:val="none"/>
          <w:lang w:val="en-US" w:eastAsia="zh-CN"/>
        </w:rPr>
      </w:pPr>
      <w:r>
        <w:rPr>
          <w:rFonts w:ascii="宋体" w:hAnsi="宋体" w:cs="宋体"/>
          <w:color w:val="auto"/>
          <w:sz w:val="21"/>
          <w:szCs w:val="21"/>
          <w:highlight w:val="none"/>
        </w:rPr>
        <w:t xml:space="preserve">3.2.4 </w:t>
      </w:r>
      <w:r>
        <w:rPr>
          <w:rFonts w:hint="eastAsia" w:ascii="宋体" w:hAnsi="宋体" w:eastAsia="宋体" w:cs="Times New Roman"/>
          <w:color w:val="auto"/>
          <w:kern w:val="0"/>
          <w:sz w:val="21"/>
          <w:szCs w:val="20"/>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1"/>
          <w:szCs w:val="21"/>
          <w:highlight w:val="none"/>
        </w:rPr>
        <w:t>。</w:t>
      </w:r>
    </w:p>
    <w:p w14:paraId="20AE8B8D">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b/>
          <w:bCs/>
          <w:color w:val="auto"/>
          <w:sz w:val="21"/>
          <w:szCs w:val="21"/>
          <w:highlight w:val="none"/>
          <w:lang w:val="en-US" w:eastAsia="zh-CN"/>
        </w:rPr>
        <w:t>现文：</w:t>
      </w:r>
      <w:r>
        <w:rPr>
          <w:rFonts w:hint="eastAsia" w:ascii="宋体" w:hAnsi="宋体" w:eastAsia="宋体"/>
          <w:color w:val="auto"/>
          <w:sz w:val="21"/>
          <w:szCs w:val="21"/>
          <w:highlight w:val="none"/>
          <w:lang w:val="en-US" w:eastAsia="zh-CN"/>
        </w:rPr>
        <w:t>3.2</w:t>
      </w:r>
      <w:r>
        <w:rPr>
          <w:rFonts w:hint="eastAsia" w:ascii="宋体" w:hAnsi="宋体" w:eastAsia="宋体" w:cs="宋体"/>
          <w:color w:val="auto"/>
          <w:szCs w:val="24"/>
          <w:highlight w:val="none"/>
        </w:rPr>
        <w:t>详细评审</w:t>
      </w:r>
    </w:p>
    <w:p w14:paraId="41606D9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51EC42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资信业绩</w:t>
      </w:r>
      <w:r>
        <w:rPr>
          <w:rFonts w:hint="eastAsia" w:ascii="宋体" w:hAnsi="宋体" w:eastAsia="宋体" w:cs="宋体"/>
          <w:b/>
          <w:bCs/>
          <w:color w:val="auto"/>
          <w:sz w:val="21"/>
          <w:szCs w:val="21"/>
          <w:highlight w:val="none"/>
          <w:u w:val="single"/>
          <w:lang w:eastAsia="zh-CN"/>
        </w:rPr>
        <w:t>部分</w:t>
      </w:r>
      <w:r>
        <w:rPr>
          <w:rFonts w:hint="eastAsia" w:ascii="宋体" w:hAnsi="宋体" w:eastAsia="宋体" w:cs="宋体"/>
          <w:b/>
          <w:bCs/>
          <w:color w:val="auto"/>
          <w:sz w:val="21"/>
          <w:szCs w:val="21"/>
          <w:highlight w:val="none"/>
          <w:u w:val="single"/>
        </w:rPr>
        <w:t>评审得分A为</w:t>
      </w:r>
      <w:r>
        <w:rPr>
          <w:rFonts w:hint="eastAsia" w:ascii="宋体" w:hAnsi="宋体" w:eastAsia="宋体" w:cs="Times New Roman"/>
          <w:b/>
          <w:bCs/>
          <w:color w:val="auto"/>
          <w:sz w:val="21"/>
          <w:highlight w:val="none"/>
          <w:u w:val="single"/>
          <w:lang w:val="en-US" w:eastAsia="zh-CN" w:bidi="ar-SA"/>
        </w:rPr>
        <w:t>评标委员会各成员</w:t>
      </w:r>
      <w:r>
        <w:rPr>
          <w:rFonts w:hint="eastAsia" w:ascii="宋体" w:hAnsi="宋体" w:eastAsia="宋体" w:cs="宋体"/>
          <w:b/>
          <w:bCs/>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w:t>
      </w:r>
      <w:r>
        <w:rPr>
          <w:rFonts w:hint="eastAsia" w:ascii="宋体" w:hAnsi="宋体" w:eastAsia="宋体" w:cs="宋体"/>
          <w:strike/>
          <w:color w:val="auto"/>
          <w:sz w:val="21"/>
          <w:szCs w:val="21"/>
          <w:highlight w:val="none"/>
          <w:u w:val="single"/>
          <w:lang w:val="en-US" w:eastAsia="zh-CN"/>
        </w:rPr>
        <w:t>由招标人自行设置）</w:t>
      </w:r>
      <w:r>
        <w:rPr>
          <w:rFonts w:hint="eastAsia" w:ascii="宋体" w:hAnsi="宋体" w:eastAsia="宋体" w:cs="宋体"/>
          <w:b/>
          <w:bCs/>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7426BD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（2）按本章第2.2.4（2）目规定的评审因素和分值对监理大纲部分计算出得分B</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bidi="ar-SA"/>
        </w:rPr>
        <w:t>（以下两种方法招标人自行选择）</w:t>
      </w:r>
      <w:r>
        <w:rPr>
          <w:rFonts w:hint="eastAsia" w:ascii="宋体" w:hAnsi="宋体" w:eastAsia="宋体" w:cs="宋体"/>
          <w:b/>
          <w:bCs/>
          <w:color w:val="auto"/>
          <w:sz w:val="21"/>
          <w:szCs w:val="21"/>
          <w:highlight w:val="none"/>
          <w:u w:val="single"/>
          <w:lang w:eastAsia="zh-CN"/>
        </w:rPr>
        <w:fldChar w:fldCharType="begin"/>
      </w:r>
      <w:r>
        <w:rPr>
          <w:rFonts w:hint="eastAsia" w:ascii="宋体" w:hAnsi="宋体" w:eastAsia="宋体" w:cs="宋体"/>
          <w:b/>
          <w:bCs/>
          <w:color w:val="auto"/>
          <w:sz w:val="21"/>
          <w:szCs w:val="21"/>
          <w:highlight w:val="none"/>
          <w:u w:val="single"/>
          <w:lang w:eastAsia="zh-CN"/>
        </w:rPr>
        <w:instrText xml:space="preserve"> = 1 \* GB3 \* MERGEFORMAT </w:instrText>
      </w:r>
      <w:r>
        <w:rPr>
          <w:rFonts w:hint="eastAsia" w:ascii="宋体" w:hAnsi="宋体" w:eastAsia="宋体" w:cs="宋体"/>
          <w:b/>
          <w:bCs/>
          <w:color w:val="auto"/>
          <w:sz w:val="21"/>
          <w:szCs w:val="21"/>
          <w:highlight w:val="none"/>
          <w:u w:val="single"/>
          <w:lang w:eastAsia="zh-CN"/>
        </w:rPr>
        <w:fldChar w:fldCharType="separate"/>
      </w:r>
      <w:r>
        <w:rPr>
          <w:rFonts w:hint="eastAsia" w:ascii="宋体" w:hAnsi="宋体" w:eastAsia="宋体" w:cs="宋体"/>
          <w:b/>
          <w:bCs/>
          <w:color w:val="auto"/>
          <w:sz w:val="21"/>
          <w:szCs w:val="21"/>
          <w:highlight w:val="none"/>
          <w:u w:val="single"/>
        </w:rPr>
        <w:t>①</w:t>
      </w:r>
      <w:r>
        <w:rPr>
          <w:rFonts w:hint="eastAsia" w:ascii="宋体" w:hAnsi="宋体" w:eastAsia="宋体" w:cs="宋体"/>
          <w:b/>
          <w:bCs/>
          <w:color w:val="auto"/>
          <w:sz w:val="21"/>
          <w:szCs w:val="21"/>
          <w:highlight w:val="none"/>
          <w:u w:val="single"/>
        </w:rPr>
        <w:fldChar w:fldCharType="end"/>
      </w:r>
      <w:r>
        <w:rPr>
          <w:rFonts w:hint="eastAsia" w:ascii="宋体" w:hAnsi="宋体" w:eastAsia="宋体" w:cs="宋体"/>
          <w:b/>
          <w:bCs/>
          <w:color w:val="auto"/>
          <w:sz w:val="21"/>
          <w:szCs w:val="21"/>
          <w:highlight w:val="none"/>
          <w:u w:val="single"/>
          <w:lang w:eastAsia="zh-CN"/>
        </w:rPr>
        <w:t>监理大纲</w:t>
      </w:r>
      <w:r>
        <w:rPr>
          <w:rFonts w:hint="eastAsia" w:ascii="宋体" w:hAnsi="宋体" w:eastAsia="宋体" w:cs="宋体"/>
          <w:b/>
          <w:bCs/>
          <w:color w:val="auto"/>
          <w:sz w:val="21"/>
          <w:szCs w:val="21"/>
          <w:highlight w:val="none"/>
          <w:u w:val="single"/>
        </w:rPr>
        <w:t>部分评审得分B为从</w:t>
      </w:r>
      <w:r>
        <w:rPr>
          <w:rFonts w:hint="eastAsia" w:ascii="宋体" w:hAnsi="宋体" w:eastAsia="宋体" w:cs="Times New Roman"/>
          <w:b/>
          <w:bCs/>
          <w:color w:val="auto"/>
          <w:sz w:val="21"/>
          <w:highlight w:val="none"/>
          <w:u w:val="single"/>
          <w:lang w:val="en-US" w:eastAsia="zh-CN" w:bidi="ar-SA"/>
        </w:rPr>
        <w:t>评标委员会各成员</w:t>
      </w:r>
      <w:r>
        <w:rPr>
          <w:rFonts w:hint="eastAsia" w:ascii="宋体" w:hAnsi="宋体" w:eastAsia="宋体" w:cs="宋体"/>
          <w:b/>
          <w:bCs/>
          <w:color w:val="auto"/>
          <w:sz w:val="21"/>
          <w:szCs w:val="21"/>
          <w:highlight w:val="none"/>
          <w:u w:val="single"/>
        </w:rPr>
        <w:t>打分中去掉一个最高分和去掉一个最低分后的剩余</w:t>
      </w:r>
      <w:r>
        <w:rPr>
          <w:rFonts w:hint="eastAsia" w:ascii="宋体" w:hAnsi="宋体" w:eastAsia="宋体" w:cs="Times New Roman"/>
          <w:b/>
          <w:bCs/>
          <w:color w:val="auto"/>
          <w:sz w:val="21"/>
          <w:highlight w:val="none"/>
          <w:u w:val="single"/>
          <w:lang w:val="en-US" w:eastAsia="zh-CN" w:bidi="ar-SA"/>
        </w:rPr>
        <w:t>评标委员会成员</w:t>
      </w:r>
      <w:r>
        <w:rPr>
          <w:rFonts w:hint="eastAsia" w:ascii="宋体" w:hAnsi="宋体" w:eastAsia="宋体" w:cs="宋体"/>
          <w:b/>
          <w:bCs/>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或</w:t>
      </w:r>
      <w:r>
        <w:rPr>
          <w:rFonts w:hint="eastAsia" w:ascii="宋体" w:hAnsi="宋体" w:eastAsia="宋体" w:cs="宋体"/>
          <w:strike/>
          <w:color w:val="auto"/>
          <w:sz w:val="21"/>
          <w:szCs w:val="21"/>
          <w:highlight w:val="none"/>
          <w:u w:val="single"/>
          <w:lang w:eastAsia="zh-CN"/>
        </w:rPr>
        <w:fldChar w:fldCharType="begin"/>
      </w:r>
      <w:r>
        <w:rPr>
          <w:rFonts w:hint="eastAsia" w:ascii="宋体" w:hAnsi="宋体" w:eastAsia="宋体" w:cs="宋体"/>
          <w:strike/>
          <w:color w:val="auto"/>
          <w:sz w:val="21"/>
          <w:szCs w:val="21"/>
          <w:highlight w:val="none"/>
          <w:u w:val="single"/>
          <w:lang w:eastAsia="zh-CN"/>
        </w:rPr>
        <w:instrText xml:space="preserve"> = 2 \* GB3 \* MERGEFORMAT </w:instrText>
      </w:r>
      <w:r>
        <w:rPr>
          <w:rFonts w:hint="eastAsia" w:ascii="宋体" w:hAnsi="宋体" w:eastAsia="宋体" w:cs="宋体"/>
          <w:strike/>
          <w:color w:val="auto"/>
          <w:sz w:val="21"/>
          <w:szCs w:val="21"/>
          <w:highlight w:val="none"/>
          <w:u w:val="single"/>
          <w:lang w:eastAsia="zh-CN"/>
        </w:rPr>
        <w:fldChar w:fldCharType="separate"/>
      </w:r>
      <w:r>
        <w:rPr>
          <w:rFonts w:hint="eastAsia" w:ascii="宋体" w:hAnsi="宋体" w:eastAsia="宋体" w:cs="宋体"/>
          <w:strike/>
          <w:color w:val="auto"/>
          <w:sz w:val="21"/>
          <w:szCs w:val="21"/>
          <w:highlight w:val="none"/>
          <w:u w:val="single"/>
        </w:rPr>
        <w:t>②</w:t>
      </w:r>
      <w:r>
        <w:rPr>
          <w:rFonts w:hint="eastAsia" w:ascii="宋体" w:hAnsi="宋体" w:eastAsia="宋体" w:cs="宋体"/>
          <w:strike/>
          <w:color w:val="auto"/>
          <w:sz w:val="21"/>
          <w:szCs w:val="21"/>
          <w:highlight w:val="none"/>
          <w:u w:val="single"/>
        </w:rPr>
        <w:fldChar w:fldCharType="end"/>
      </w:r>
      <w:r>
        <w:rPr>
          <w:rFonts w:hint="eastAsia" w:ascii="宋体" w:hAnsi="宋体" w:eastAsia="宋体" w:cs="宋体"/>
          <w:strike/>
          <w:color w:val="auto"/>
          <w:sz w:val="21"/>
          <w:szCs w:val="21"/>
          <w:highlight w:val="none"/>
          <w:u w:val="single"/>
          <w:lang w:eastAsia="zh-CN"/>
        </w:rPr>
        <w:t>监理大纲部分</w:t>
      </w:r>
      <w:r>
        <w:rPr>
          <w:rFonts w:hint="eastAsia" w:ascii="宋体" w:hAnsi="宋体" w:eastAsia="宋体" w:cs="宋体"/>
          <w:strike/>
          <w:color w:val="auto"/>
          <w:sz w:val="21"/>
          <w:szCs w:val="21"/>
          <w:highlight w:val="none"/>
          <w:u w:val="single"/>
        </w:rPr>
        <w:t>评审得分B为</w:t>
      </w:r>
      <w:r>
        <w:rPr>
          <w:rFonts w:hint="eastAsia" w:ascii="宋体" w:hAnsi="宋体" w:eastAsia="宋体" w:cs="Times New Roman"/>
          <w:strike/>
          <w:color w:val="auto"/>
          <w:sz w:val="21"/>
          <w:highlight w:val="none"/>
          <w:u w:val="single"/>
          <w:lang w:val="en-US" w:eastAsia="zh-CN" w:bidi="ar-SA"/>
        </w:rPr>
        <w:t>评标委员会各成员</w:t>
      </w:r>
      <w:r>
        <w:rPr>
          <w:rFonts w:hint="eastAsia" w:ascii="宋体" w:hAnsi="宋体" w:eastAsia="宋体" w:cs="宋体"/>
          <w:strike/>
          <w:color w:val="auto"/>
          <w:sz w:val="21"/>
          <w:szCs w:val="21"/>
          <w:highlight w:val="none"/>
          <w:u w:val="single"/>
        </w:rPr>
        <w:t>打分的算术平均值</w:t>
      </w:r>
      <w:r>
        <w:rPr>
          <w:rFonts w:hint="eastAsia" w:ascii="宋体" w:hAnsi="宋体" w:eastAsia="宋体" w:cs="宋体"/>
          <w:b/>
          <w:bCs/>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515B74FD">
      <w:pPr>
        <w:spacing w:line="360"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cs="宋体"/>
          <w:color w:val="auto"/>
          <w:sz w:val="21"/>
          <w:szCs w:val="21"/>
          <w:highlight w:val="none"/>
        </w:rPr>
        <w:t>（3）按本章第2.2.4（3）目规定的评审因素和分值对投标报价计算出得分C</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66221BEB">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（4）按本章第2.2.4（4）目规定的评审因素和分值对其他部分计算出得分D</w:t>
      </w:r>
      <w:r>
        <w:rPr>
          <w:rFonts w:hint="eastAsia" w:ascii="宋体" w:hAnsi="宋体" w:cs="宋体"/>
          <w:strike/>
          <w:dstrike w:val="0"/>
          <w:color w:val="auto"/>
          <w:sz w:val="21"/>
          <w:szCs w:val="21"/>
          <w:highlight w:val="none"/>
          <w:lang w:eastAsia="zh-CN"/>
        </w:rPr>
        <w:t>，</w:t>
      </w:r>
      <w:r>
        <w:rPr>
          <w:rFonts w:hint="eastAsia" w:ascii="宋体" w:hAnsi="宋体" w:eastAsia="宋体" w:cs="Times New Roman"/>
          <w:strike/>
          <w:dstrike w:val="0"/>
          <w:color w:val="auto"/>
          <w:sz w:val="21"/>
          <w:highlight w:val="none"/>
          <w:lang w:val="en-US" w:eastAsia="zh-CN" w:bidi="ar-SA"/>
        </w:rPr>
        <w:t>分数出现小数点，保留小数点后二位，第三位小数四舍五入</w:t>
      </w:r>
      <w:r>
        <w:rPr>
          <w:rFonts w:hint="eastAsia" w:ascii="宋体" w:hAnsi="宋体" w:cs="宋体"/>
          <w:strike/>
          <w:dstrike w:val="0"/>
          <w:color w:val="auto"/>
          <w:sz w:val="21"/>
          <w:szCs w:val="21"/>
          <w:highlight w:val="none"/>
        </w:rPr>
        <w:t>。</w:t>
      </w:r>
    </w:p>
    <w:p w14:paraId="7B1EC1D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37CAF854">
      <w:pPr>
        <w:spacing w:line="360" w:lineRule="auto"/>
        <w:ind w:firstLine="420" w:firstLineChars="200"/>
        <w:rPr>
          <w:rFonts w:hint="eastAsia" w:ascii="宋体" w:hAnsi="宋体" w:eastAsia="宋体" w:cs="Times New Roman"/>
          <w:color w:val="auto"/>
          <w:sz w:val="21"/>
          <w:szCs w:val="21"/>
          <w:highlight w:val="none"/>
          <w:lang w:val="en-US" w:eastAsia="zh-CN" w:bidi="ar-SA"/>
        </w:rPr>
      </w:pPr>
      <w:r>
        <w:rPr>
          <w:rFonts w:ascii="宋体" w:hAnsi="宋体" w:cs="宋体"/>
          <w:color w:val="auto"/>
          <w:sz w:val="21"/>
          <w:szCs w:val="21"/>
          <w:highlight w:val="none"/>
        </w:rPr>
        <w:t>3.2.3</w:t>
      </w:r>
      <w:r>
        <w:rPr>
          <w:rFonts w:ascii="宋体" w:hAnsi="宋体" w:cs="宋体"/>
          <w:b/>
          <w:bCs/>
          <w:color w:val="auto"/>
          <w:sz w:val="21"/>
          <w:szCs w:val="21"/>
          <w:highlight w:val="none"/>
        </w:rPr>
        <w:t xml:space="preserve"> </w:t>
      </w:r>
      <w:r>
        <w:rPr>
          <w:rFonts w:hint="eastAsia" w:ascii="宋体" w:hAnsi="宋体" w:eastAsia="宋体" w:cs="Times New Roman"/>
          <w:b/>
          <w:bCs/>
          <w:color w:val="auto"/>
          <w:sz w:val="21"/>
          <w:szCs w:val="21"/>
          <w:highlight w:val="none"/>
          <w:lang w:val="en-US" w:eastAsia="zh-CN" w:bidi="ar-SA"/>
        </w:rPr>
        <w:t>投标人得分=</w:t>
      </w:r>
      <w:r>
        <w:rPr>
          <w:rFonts w:hint="eastAsia" w:ascii="宋体" w:hAnsi="宋体" w:eastAsia="宋体" w:cs="Times New Roman"/>
          <w:b/>
          <w:bCs/>
          <w:color w:val="auto"/>
          <w:sz w:val="21"/>
          <w:szCs w:val="21"/>
          <w:highlight w:val="none"/>
          <w:u w:val="single"/>
          <w:lang w:val="en-US" w:eastAsia="zh-CN" w:bidi="ar-SA"/>
        </w:rPr>
        <w:t>A+B+C</w:t>
      </w:r>
      <w:r>
        <w:rPr>
          <w:rFonts w:hint="eastAsia" w:ascii="宋体" w:hAnsi="宋体" w:eastAsia="宋体" w:cs="Times New Roman"/>
          <w:strike/>
          <w:dstrike w:val="0"/>
          <w:color w:val="auto"/>
          <w:sz w:val="21"/>
          <w:szCs w:val="21"/>
          <w:highlight w:val="none"/>
          <w:lang w:val="en-US" w:eastAsia="zh-CN" w:bidi="ar-SA"/>
        </w:rPr>
        <w:t>+D</w:t>
      </w:r>
      <w:r>
        <w:rPr>
          <w:rFonts w:hint="eastAsia" w:ascii="宋体" w:hAnsi="宋体" w:eastAsia="宋体" w:cs="Times New Roman"/>
          <w:color w:val="auto"/>
          <w:sz w:val="21"/>
          <w:szCs w:val="21"/>
          <w:highlight w:val="none"/>
          <w:lang w:val="en-US" w:eastAsia="zh-CN" w:bidi="ar-SA"/>
        </w:rPr>
        <w:t>。</w:t>
      </w:r>
    </w:p>
    <w:p w14:paraId="68CC5EF5">
      <w:pPr>
        <w:spacing w:line="360" w:lineRule="auto"/>
        <w:ind w:firstLine="420" w:firstLineChars="200"/>
        <w:rPr>
          <w:rFonts w:hint="default" w:ascii="宋体" w:hAnsi="宋体" w:eastAsia="宋体"/>
          <w:color w:val="auto"/>
          <w:sz w:val="21"/>
          <w:szCs w:val="21"/>
          <w:highlight w:val="none"/>
          <w:lang w:val="en-US" w:eastAsia="zh-CN"/>
        </w:rPr>
      </w:pPr>
      <w:r>
        <w:rPr>
          <w:rFonts w:ascii="宋体" w:hAnsi="宋体" w:cs="宋体"/>
          <w:color w:val="auto"/>
          <w:sz w:val="21"/>
          <w:szCs w:val="21"/>
          <w:highlight w:val="none"/>
        </w:rPr>
        <w:t xml:space="preserve">3.2.4 </w:t>
      </w:r>
      <w:r>
        <w:rPr>
          <w:rFonts w:hint="eastAsia" w:ascii="宋体" w:hAnsi="宋体" w:eastAsia="宋体" w:cs="Times New Roman"/>
          <w:color w:val="auto"/>
          <w:kern w:val="0"/>
          <w:sz w:val="21"/>
          <w:szCs w:val="20"/>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1"/>
          <w:szCs w:val="21"/>
          <w:highlight w:val="none"/>
        </w:rPr>
        <w:t>。</w:t>
      </w:r>
    </w:p>
    <w:p w14:paraId="5D22FF3B">
      <w:pPr>
        <w:spacing w:line="360" w:lineRule="auto"/>
        <w:rPr>
          <w:rFonts w:hint="default" w:ascii="宋体" w:hAnsi="宋体" w:eastAsia="宋体"/>
          <w:b/>
          <w:bCs/>
          <w:color w:val="auto"/>
          <w:sz w:val="21"/>
          <w:szCs w:val="21"/>
          <w:highlight w:val="none"/>
          <w:lang w:val="en-US" w:eastAsia="zh-CN"/>
        </w:rPr>
      </w:pP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60325</wp:posOffset>
                </wp:positionV>
                <wp:extent cx="5464175" cy="635"/>
                <wp:effectExtent l="0" t="0" r="0" b="0"/>
                <wp:wrapNone/>
                <wp:docPr id="6" name="直线 9"/>
                <wp:cNvGraphicFramePr/>
                <a:graphic xmlns:a="http://schemas.openxmlformats.org/drawingml/2006/main">
                  <a:graphicData uri="http://schemas.microsoft.com/office/word/2010/wordprocessingShape">
                    <wps:wsp>
                      <wps:cNvCnPr/>
                      <wps:spPr>
                        <a:xfrm>
                          <a:off x="0" y="0"/>
                          <a:ext cx="5464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7pt;margin-top:4.75pt;height:0.05pt;width:430.25pt;z-index:251664384;mso-width-relative:page;mso-height-relative:page;" filled="f" stroked="t" coordsize="21600,21600" o:gfxdata="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1C6xzUAAAA&#10;BgEAAA8AAAAAAAAAAQAgAAAAIgAAAGRycy9kb3ducmV2LnhtbFBLAQIUABQAAAAIAIdO4kCxV+Nd&#10;6AEAAN0DAAAOAAAAAAAAAAEAIAAAACMBAABkcnMvZTJvRG9jLnhtbFBLBQYAAAAABgAGAFkBAAB9&#10;BQAAAAA=&#10;">
                <v:fill on="f" focussize="0,0"/>
                <v:stroke color="#000000" joinstyle="round"/>
                <v:imagedata o:title=""/>
                <o:lock v:ext="edit" aspectratio="f"/>
              </v:line>
            </w:pict>
          </mc:Fallback>
        </mc:AlternateContent>
      </w:r>
    </w:p>
    <w:p w14:paraId="3518454C">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3.4</w:t>
      </w:r>
      <w:r>
        <w:rPr>
          <w:rFonts w:hint="default" w:ascii="宋体" w:hAnsi="宋体" w:eastAsia="宋体"/>
          <w:b/>
          <w:bCs/>
          <w:color w:val="auto"/>
          <w:sz w:val="21"/>
          <w:szCs w:val="21"/>
          <w:highlight w:val="none"/>
        </w:rPr>
        <w:t xml:space="preserve">             修改类型：修改</w:t>
      </w:r>
    </w:p>
    <w:p w14:paraId="798726C9">
      <w:pPr>
        <w:spacing w:line="360" w:lineRule="auto"/>
        <w:ind w:firstLine="422" w:firstLineChars="200"/>
        <w:rPr>
          <w:rFonts w:hint="eastAsia" w:ascii="宋体" w:hAnsi="宋体" w:eastAsia="宋体" w:cs="宋体"/>
          <w:color w:val="auto"/>
          <w:sz w:val="21"/>
          <w:szCs w:val="21"/>
          <w:highlight w:val="none"/>
        </w:rPr>
      </w:pPr>
      <w:r>
        <w:rPr>
          <w:rFonts w:hint="default" w:ascii="宋体" w:hAnsi="宋体" w:eastAsia="宋体"/>
          <w:b/>
          <w:bCs/>
          <w:color w:val="auto"/>
          <w:sz w:val="21"/>
          <w:szCs w:val="21"/>
          <w:highlight w:val="none"/>
        </w:rPr>
        <w:t>原文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3.4 评标结果</w:t>
      </w:r>
    </w:p>
    <w:p w14:paraId="7ED97D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除第二章“投标人须知”前附表授权直接确定中标人外，评标委员会按照得分由高到低的顺序推荐中标候选人，并标明排序。</w:t>
      </w:r>
    </w:p>
    <w:p w14:paraId="7C3312A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评标委员会完成评标后，应当向招标人提交书面评标报告和中标候选人名单。</w:t>
      </w:r>
    </w:p>
    <w:p w14:paraId="2D409998">
      <w:pPr>
        <w:spacing w:line="360" w:lineRule="auto"/>
        <w:ind w:firstLine="420" w:firstLineChars="200"/>
        <w:rPr>
          <w:color w:val="auto"/>
          <w:sz w:val="21"/>
          <w:szCs w:val="21"/>
          <w:highlight w:val="none"/>
        </w:rPr>
      </w:pPr>
      <w:r>
        <w:rPr>
          <w:rFonts w:hint="eastAsia" w:ascii="宋体" w:hAnsi="宋体" w:eastAsia="宋体" w:cs="宋体"/>
          <w:color w:val="auto"/>
          <w:sz w:val="21"/>
          <w:szCs w:val="21"/>
          <w:highlight w:val="none"/>
        </w:rPr>
        <w:t>3.4.3 如采用评标定标分离方法的，按相关规定执行</w:t>
      </w:r>
      <w:r>
        <w:rPr>
          <w:rFonts w:hint="eastAsia" w:ascii="宋体" w:hAnsi="宋体" w:cs="宋体"/>
          <w:color w:val="auto"/>
          <w:sz w:val="21"/>
          <w:szCs w:val="21"/>
          <w:highlight w:val="none"/>
        </w:rPr>
        <w:t>。</w:t>
      </w:r>
    </w:p>
    <w:p w14:paraId="2D16518F">
      <w:pPr>
        <w:spacing w:line="360" w:lineRule="auto"/>
        <w:ind w:firstLine="422" w:firstLineChars="200"/>
        <w:rPr>
          <w:rFonts w:hint="eastAsia" w:ascii="宋体" w:hAnsi="宋体" w:eastAsia="宋体" w:cs="宋体"/>
          <w:color w:val="auto"/>
          <w:sz w:val="21"/>
          <w:szCs w:val="21"/>
          <w:highlight w:val="none"/>
        </w:rPr>
      </w:pPr>
      <w:r>
        <w:rPr>
          <w:rFonts w:hint="default" w:ascii="宋体" w:hAnsi="宋体" w:eastAsia="宋体"/>
          <w:b/>
          <w:bCs/>
          <w:color w:val="auto"/>
          <w:sz w:val="21"/>
          <w:szCs w:val="21"/>
          <w:highlight w:val="none"/>
        </w:rPr>
        <w:t>现文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3.4 评标结果</w:t>
      </w:r>
    </w:p>
    <w:p w14:paraId="2C54FD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除第二章“投标人须知”前附表授权直接确定中标人外，评标委员会按照得分由高到低的顺序推荐中标候选人，并标明排序。</w:t>
      </w:r>
    </w:p>
    <w:p w14:paraId="1D43C1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评标委员会完成评标后，应当向招标人提交书面评标报告和中标候选人名单。</w:t>
      </w:r>
    </w:p>
    <w:p w14:paraId="41F5AA16">
      <w:pPr>
        <w:spacing w:line="360" w:lineRule="auto"/>
        <w:ind w:firstLine="420" w:firstLineChars="200"/>
        <w:rPr>
          <w:color w:val="auto"/>
          <w:sz w:val="21"/>
          <w:szCs w:val="21"/>
          <w:highlight w:val="none"/>
        </w:rPr>
      </w:pPr>
      <w:r>
        <w:rPr>
          <w:rFonts w:hint="eastAsia" w:ascii="宋体" w:hAnsi="宋体" w:eastAsia="宋体" w:cs="宋体"/>
          <w:strike/>
          <w:dstrike w:val="0"/>
          <w:color w:val="auto"/>
          <w:sz w:val="21"/>
          <w:szCs w:val="21"/>
          <w:highlight w:val="none"/>
        </w:rPr>
        <w:t>3.4.3 如采用评标定标分离方法的，按相关规定执行</w:t>
      </w:r>
      <w:r>
        <w:rPr>
          <w:rFonts w:hint="eastAsia" w:ascii="宋体" w:hAnsi="宋体" w:cs="宋体"/>
          <w:strike/>
          <w:dstrike w:val="0"/>
          <w:color w:val="auto"/>
          <w:sz w:val="21"/>
          <w:szCs w:val="21"/>
          <w:highlight w:val="none"/>
        </w:rPr>
        <w:t>。</w:t>
      </w:r>
    </w:p>
    <w:p w14:paraId="364A00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rPr>
      </w:pPr>
    </w:p>
    <w:p w14:paraId="08CBB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注：以上修改，仅限于本范本中有可供选择条款的情形。</w:t>
      </w:r>
    </w:p>
    <w:p w14:paraId="2622DF1D">
      <w:pPr>
        <w:spacing w:line="360" w:lineRule="auto"/>
        <w:rPr>
          <w:rFonts w:hint="default" w:cs="宋体"/>
          <w:color w:val="auto"/>
          <w:sz w:val="21"/>
          <w:szCs w:val="21"/>
          <w:highlight w:val="none"/>
        </w:rPr>
        <w:sectPr>
          <w:footerReference r:id="rId5" w:type="default"/>
          <w:type w:val="continuous"/>
          <w:pgSz w:w="11850"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r>
        <w:rPr>
          <w:rFonts w:hint="default" w:ascii="宋体" w:hAnsi="宋体" w:eastAsia="宋体"/>
          <w:color w:val="auto"/>
          <w:sz w:val="21"/>
          <w:szCs w:val="21"/>
          <w:highlight w:val="none"/>
        </w:rPr>
        <w:t>（以下无正文）</w:t>
      </w:r>
    </w:p>
    <w:p w14:paraId="08E1F94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ascii="宋体" w:hAnsi="宋体" w:eastAsia="宋体" w:cs="宋体"/>
          <w:color w:val="auto"/>
          <w:sz w:val="28"/>
          <w:szCs w:val="28"/>
          <w:highlight w:val="none"/>
        </w:rPr>
      </w:pPr>
      <w:bookmarkStart w:id="1201" w:name="_Toc25926"/>
      <w:bookmarkStart w:id="1202" w:name="_Toc14469"/>
      <w:r>
        <w:rPr>
          <w:rStyle w:val="45"/>
          <w:rFonts w:hint="eastAsia" w:ascii="宋体" w:hAnsi="宋体" w:eastAsia="宋体" w:cs="宋体"/>
          <w:b/>
          <w:bCs w:val="0"/>
          <w:color w:val="auto"/>
          <w:highlight w:val="none"/>
          <w:lang w:val="en-US" w:eastAsia="zh-CN"/>
        </w:rPr>
        <w:t>1. 评标方法</w:t>
      </w:r>
      <w:bookmarkEnd w:id="1194"/>
      <w:bookmarkEnd w:id="1195"/>
      <w:bookmarkEnd w:id="1196"/>
      <w:bookmarkEnd w:id="1197"/>
      <w:bookmarkEnd w:id="1198"/>
      <w:bookmarkEnd w:id="1199"/>
      <w:bookmarkEnd w:id="1200"/>
      <w:bookmarkEnd w:id="1201"/>
      <w:bookmarkEnd w:id="1202"/>
    </w:p>
    <w:p w14:paraId="41022964">
      <w:pPr>
        <w:spacing w:line="360" w:lineRule="auto"/>
        <w:ind w:firstLine="420" w:firstLineChars="200"/>
        <w:rPr>
          <w:rFonts w:hint="eastAsia" w:ascii="宋体" w:hAnsi="宋体" w:cs="宋体"/>
          <w:color w:val="auto"/>
          <w:sz w:val="21"/>
          <w:szCs w:val="21"/>
          <w:highlight w:val="none"/>
        </w:rPr>
      </w:pPr>
    </w:p>
    <w:p w14:paraId="5F6D05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1203" w:name="_Toc361508646"/>
      <w:bookmarkStart w:id="1204" w:name="_Toc384308272"/>
      <w:bookmarkStart w:id="1205" w:name="_Toc300835008"/>
      <w:bookmarkStart w:id="1206" w:name="_Toc144974565"/>
      <w:bookmarkStart w:id="1207" w:name="_Toc247527623"/>
      <w:bookmarkStart w:id="1208" w:name="_Toc152045598"/>
      <w:bookmarkStart w:id="1209" w:name="_Toc247514022"/>
      <w:bookmarkStart w:id="1210" w:name="_Toc152042375"/>
      <w:bookmarkStart w:id="1211" w:name="_Toc352691533"/>
      <w:bookmarkStart w:id="1212" w:name="_Toc369531577"/>
      <w:bookmarkStart w:id="1213" w:name="_Toc4497"/>
      <w:r>
        <w:rPr>
          <w:rFonts w:hint="eastAsia" w:ascii="宋体" w:hAnsi="宋体" w:cs="宋体"/>
          <w:color w:val="auto"/>
          <w:sz w:val="21"/>
          <w:szCs w:val="21"/>
          <w:highlight w:val="none"/>
        </w:rPr>
        <w:t>外。综合评分相等</w:t>
      </w:r>
      <w:bookmarkEnd w:id="1203"/>
      <w:bookmarkEnd w:id="1204"/>
      <w:bookmarkEnd w:id="1205"/>
      <w:bookmarkEnd w:id="1206"/>
      <w:bookmarkEnd w:id="1207"/>
      <w:bookmarkEnd w:id="1208"/>
      <w:bookmarkEnd w:id="1209"/>
      <w:bookmarkEnd w:id="1210"/>
      <w:r>
        <w:rPr>
          <w:rFonts w:hint="eastAsia" w:ascii="宋体" w:hAnsi="宋体" w:cs="宋体"/>
          <w:color w:val="auto"/>
          <w:sz w:val="21"/>
          <w:szCs w:val="21"/>
          <w:highlight w:val="none"/>
        </w:rPr>
        <w:t>时</w:t>
      </w:r>
      <w:bookmarkEnd w:id="1211"/>
      <w:bookmarkEnd w:id="1212"/>
      <w:bookmarkEnd w:id="1213"/>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以投标报价低的优先，投标报价也相等的，以监理大纲得分高的优先；如果监理大纲得分也相等，</w:t>
      </w:r>
      <w:r>
        <w:rPr>
          <w:rFonts w:hint="eastAsia" w:ascii="宋体" w:hAnsi="宋体" w:cs="宋体"/>
          <w:color w:val="auto"/>
          <w:sz w:val="21"/>
          <w:szCs w:val="21"/>
          <w:highlight w:val="none"/>
        </w:rPr>
        <w:t>按照评标办法前附表的规定确定中标候选人顺序。</w:t>
      </w:r>
    </w:p>
    <w:p w14:paraId="65F456D9">
      <w:pPr>
        <w:pStyle w:val="5"/>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val="0"/>
          <w:color w:val="auto"/>
          <w:highlight w:val="none"/>
        </w:rPr>
      </w:pPr>
      <w:bookmarkStart w:id="1214" w:name="_Toc9034"/>
      <w:bookmarkStart w:id="1215" w:name="_Toc692"/>
      <w:bookmarkStart w:id="1216" w:name="_Toc12628"/>
      <w:bookmarkStart w:id="1217" w:name="_Toc10518"/>
      <w:bookmarkStart w:id="1218" w:name="_Toc492300629"/>
      <w:bookmarkStart w:id="1219" w:name="_Toc6855"/>
      <w:bookmarkStart w:id="1220" w:name="_Toc27001"/>
      <w:bookmarkStart w:id="1221" w:name="_Toc24058"/>
      <w:bookmarkStart w:id="1222" w:name="_Toc894"/>
      <w:bookmarkStart w:id="1223" w:name="_Toc29935"/>
      <w:bookmarkStart w:id="1224" w:name="_Toc28600"/>
      <w:bookmarkStart w:id="1225" w:name="_Toc12366"/>
      <w:bookmarkStart w:id="1226" w:name="_Toc17872"/>
      <w:bookmarkStart w:id="1227" w:name="_Toc6332"/>
      <w:bookmarkStart w:id="1228" w:name="_Toc31541"/>
      <w:bookmarkStart w:id="1229" w:name="_Toc31168"/>
      <w:bookmarkStart w:id="1230" w:name="_Toc14303"/>
      <w:r>
        <w:rPr>
          <w:rFonts w:hint="eastAsia" w:ascii="宋体" w:hAnsi="宋体" w:eastAsia="宋体" w:cs="宋体"/>
          <w:b/>
          <w:bCs w:val="0"/>
          <w:color w:val="auto"/>
          <w:highlight w:val="none"/>
        </w:rPr>
        <w:t>2. 评审标准</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49FF211">
      <w:pPr>
        <w:pStyle w:val="5"/>
        <w:spacing w:line="360" w:lineRule="auto"/>
        <w:rPr>
          <w:rFonts w:ascii="宋体" w:hAnsi="宋体" w:eastAsia="宋体" w:cs="宋体"/>
          <w:color w:val="auto"/>
          <w:szCs w:val="24"/>
          <w:highlight w:val="none"/>
        </w:rPr>
      </w:pPr>
      <w:bookmarkStart w:id="1231" w:name="_Toc27190"/>
      <w:bookmarkStart w:id="1232" w:name="_Toc29115"/>
      <w:bookmarkStart w:id="1233" w:name="_Toc5443"/>
      <w:bookmarkStart w:id="1234" w:name="_Toc9525"/>
      <w:bookmarkStart w:id="1235" w:name="_Toc7900"/>
      <w:bookmarkStart w:id="1236" w:name="_Toc17301"/>
      <w:bookmarkStart w:id="1237" w:name="_Toc29468"/>
      <w:bookmarkStart w:id="1238" w:name="_Toc24422"/>
      <w:bookmarkStart w:id="1239" w:name="_Toc19668"/>
      <w:bookmarkStart w:id="1240" w:name="_Toc492300630"/>
      <w:bookmarkStart w:id="1241" w:name="_Toc9844"/>
      <w:bookmarkStart w:id="1242" w:name="_Toc15313"/>
      <w:bookmarkStart w:id="1243" w:name="_Toc31504"/>
      <w:bookmarkStart w:id="1244" w:name="_Toc3237"/>
      <w:bookmarkStart w:id="1245" w:name="_Toc9985"/>
      <w:bookmarkStart w:id="1246" w:name="_Toc26304"/>
      <w:bookmarkStart w:id="1247" w:name="_Toc1337"/>
      <w:bookmarkStart w:id="1248" w:name="_Toc10682"/>
      <w:bookmarkStart w:id="1249" w:name="_Toc1119"/>
      <w:r>
        <w:rPr>
          <w:rFonts w:ascii="宋体" w:hAnsi="宋体" w:eastAsia="宋体" w:cs="宋体"/>
          <w:color w:val="auto"/>
          <w:szCs w:val="24"/>
          <w:highlight w:val="none"/>
        </w:rPr>
        <w:t xml:space="preserve">2.1 </w:t>
      </w:r>
      <w:r>
        <w:rPr>
          <w:rFonts w:hint="eastAsia" w:ascii="宋体" w:hAnsi="宋体" w:eastAsia="宋体" w:cs="宋体"/>
          <w:color w:val="auto"/>
          <w:szCs w:val="24"/>
          <w:highlight w:val="none"/>
        </w:rPr>
        <w:t>初步评审标准</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51715FF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2.1.1 </w:t>
      </w:r>
      <w:r>
        <w:rPr>
          <w:rFonts w:hint="eastAsia" w:ascii="宋体" w:hAnsi="宋体" w:cs="宋体"/>
          <w:color w:val="auto"/>
          <w:sz w:val="21"/>
          <w:szCs w:val="21"/>
          <w:highlight w:val="none"/>
        </w:rPr>
        <w:t>形式评审标准：见评标办法前附表。</w:t>
      </w:r>
    </w:p>
    <w:p w14:paraId="67A51D8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2.1.2 </w:t>
      </w:r>
      <w:r>
        <w:rPr>
          <w:rFonts w:hint="eastAsia" w:ascii="宋体" w:hAnsi="宋体" w:cs="宋体"/>
          <w:color w:val="auto"/>
          <w:sz w:val="21"/>
          <w:szCs w:val="21"/>
          <w:highlight w:val="none"/>
        </w:rPr>
        <w:t>资格评审标准：见评标办法前附表。</w:t>
      </w:r>
    </w:p>
    <w:p w14:paraId="3291D53D">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2.1.3 </w:t>
      </w:r>
      <w:r>
        <w:rPr>
          <w:rFonts w:hint="eastAsia" w:ascii="宋体" w:hAnsi="宋体" w:cs="宋体"/>
          <w:color w:val="auto"/>
          <w:sz w:val="21"/>
          <w:szCs w:val="21"/>
          <w:highlight w:val="none"/>
        </w:rPr>
        <w:t>响应性评审标准：见评标办法前附表。</w:t>
      </w:r>
    </w:p>
    <w:p w14:paraId="7C8756C3">
      <w:pPr>
        <w:pStyle w:val="8"/>
        <w:spacing w:line="360" w:lineRule="auto"/>
        <w:rPr>
          <w:color w:val="auto"/>
          <w:highlight w:val="none"/>
        </w:rPr>
      </w:pPr>
    </w:p>
    <w:p w14:paraId="727A2E55">
      <w:pPr>
        <w:pStyle w:val="5"/>
        <w:spacing w:line="360" w:lineRule="auto"/>
        <w:rPr>
          <w:rFonts w:ascii="宋体" w:hAnsi="宋体" w:eastAsia="宋体" w:cs="宋体"/>
          <w:color w:val="auto"/>
          <w:szCs w:val="24"/>
          <w:highlight w:val="none"/>
        </w:rPr>
      </w:pPr>
      <w:bookmarkStart w:id="1250" w:name="_Toc25006"/>
      <w:bookmarkStart w:id="1251" w:name="_Toc12932"/>
      <w:bookmarkStart w:id="1252" w:name="_Toc2788"/>
      <w:bookmarkStart w:id="1253" w:name="_Toc9322"/>
      <w:bookmarkStart w:id="1254" w:name="_Toc14094"/>
      <w:bookmarkStart w:id="1255" w:name="_Toc14537"/>
      <w:bookmarkStart w:id="1256" w:name="_Toc12112"/>
      <w:bookmarkStart w:id="1257" w:name="_Toc9098"/>
      <w:bookmarkStart w:id="1258" w:name="_Toc15078"/>
      <w:bookmarkStart w:id="1259" w:name="_Toc847"/>
      <w:bookmarkStart w:id="1260" w:name="_Toc9111"/>
      <w:bookmarkStart w:id="1261" w:name="_Toc492300631"/>
      <w:bookmarkStart w:id="1262" w:name="_Toc2315"/>
      <w:bookmarkStart w:id="1263" w:name="_Toc21103"/>
      <w:bookmarkStart w:id="1264" w:name="_Toc21945"/>
      <w:bookmarkStart w:id="1265" w:name="_Toc7452"/>
      <w:bookmarkStart w:id="1266" w:name="_Toc29234"/>
      <w:bookmarkStart w:id="1267" w:name="_Toc8415"/>
      <w:bookmarkStart w:id="1268" w:name="_Toc20020"/>
      <w:r>
        <w:rPr>
          <w:rFonts w:ascii="宋体" w:hAnsi="宋体" w:eastAsia="宋体" w:cs="宋体"/>
          <w:color w:val="auto"/>
          <w:szCs w:val="24"/>
          <w:highlight w:val="none"/>
        </w:rPr>
        <w:t xml:space="preserve">2.2 </w:t>
      </w:r>
      <w:r>
        <w:rPr>
          <w:rFonts w:hint="eastAsia" w:ascii="宋体" w:hAnsi="宋体" w:eastAsia="宋体" w:cs="宋体"/>
          <w:color w:val="auto"/>
          <w:szCs w:val="24"/>
          <w:highlight w:val="none"/>
        </w:rPr>
        <w:t>分值构成与评分标准</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3113FE20">
      <w:pPr>
        <w:spacing w:line="360" w:lineRule="auto"/>
        <w:ind w:firstLine="420" w:firstLineChars="200"/>
        <w:rPr>
          <w:rFonts w:ascii="宋体" w:hAnsi="宋体" w:cs="宋体"/>
          <w:color w:val="auto"/>
          <w:sz w:val="21"/>
          <w:szCs w:val="21"/>
          <w:highlight w:val="none"/>
        </w:rPr>
      </w:pPr>
      <w:r>
        <w:rPr>
          <w:rFonts w:hint="eastAsia" w:ascii="宋体" w:hAnsi="宋体" w:eastAsia="宋体" w:cs="宋体"/>
          <w:color w:val="auto"/>
          <w:sz w:val="21"/>
          <w:szCs w:val="21"/>
          <w:highlight w:val="none"/>
        </w:rPr>
        <w:t>2.2</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分值构成</w:t>
      </w:r>
    </w:p>
    <w:p w14:paraId="107CCF2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4CBF9E6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086DC5A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1B17F816">
      <w:pPr>
        <w:spacing w:line="360" w:lineRule="auto"/>
        <w:ind w:firstLine="420" w:firstLineChars="200"/>
        <w:rPr>
          <w:strike/>
          <w:color w:val="auto"/>
          <w:highlight w:val="none"/>
        </w:rPr>
      </w:pPr>
      <w:r>
        <w:rPr>
          <w:rFonts w:hint="eastAsia" w:ascii="宋体" w:hAnsi="宋体" w:cs="宋体"/>
          <w:strike/>
          <w:color w:val="auto"/>
          <w:sz w:val="21"/>
          <w:szCs w:val="21"/>
          <w:highlight w:val="none"/>
        </w:rPr>
        <w:t>（4）其他评分因素：见评标办法前附表。</w:t>
      </w:r>
    </w:p>
    <w:p w14:paraId="298D2FB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2.2.2 </w:t>
      </w:r>
      <w:r>
        <w:rPr>
          <w:rFonts w:hint="eastAsia" w:ascii="宋体" w:hAnsi="宋体" w:cs="宋体"/>
          <w:color w:val="auto"/>
          <w:sz w:val="21"/>
          <w:szCs w:val="21"/>
          <w:highlight w:val="none"/>
        </w:rPr>
        <w:t>评标基准价计算</w:t>
      </w:r>
    </w:p>
    <w:p w14:paraId="3CDA15B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评标基准价计算方法：见评标办法前附表。</w:t>
      </w:r>
    </w:p>
    <w:p w14:paraId="270BA5B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2.2.3 </w:t>
      </w:r>
      <w:r>
        <w:rPr>
          <w:rFonts w:hint="eastAsia" w:ascii="宋体" w:hAnsi="宋体" w:cs="宋体"/>
          <w:color w:val="auto"/>
          <w:sz w:val="21"/>
          <w:szCs w:val="21"/>
          <w:highlight w:val="none"/>
        </w:rPr>
        <w:t>投标报价的偏差率计算</w:t>
      </w:r>
    </w:p>
    <w:p w14:paraId="1A48C98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投标报价的偏差率计算公式：见评标办法前附表。</w:t>
      </w:r>
    </w:p>
    <w:p w14:paraId="494FB64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33C5CFD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7064E16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5A2C7D5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6D8CB904">
      <w:pPr>
        <w:spacing w:line="360" w:lineRule="auto"/>
        <w:ind w:firstLine="420" w:firstLineChars="200"/>
        <w:rPr>
          <w:rFonts w:ascii="宋体" w:hAnsi="宋体" w:cs="宋体"/>
          <w:color w:val="auto"/>
          <w:sz w:val="21"/>
          <w:szCs w:val="21"/>
          <w:highlight w:val="none"/>
        </w:rPr>
      </w:pPr>
      <w:r>
        <w:rPr>
          <w:rFonts w:hint="eastAsia" w:ascii="宋体" w:hAnsi="宋体" w:cs="宋体"/>
          <w:strike/>
          <w:color w:val="auto"/>
          <w:sz w:val="21"/>
          <w:szCs w:val="21"/>
          <w:highlight w:val="none"/>
        </w:rPr>
        <w:t>（4）其他因素评分标准：见评标办法前附表。</w:t>
      </w:r>
    </w:p>
    <w:p w14:paraId="4EF55579">
      <w:pPr>
        <w:pStyle w:val="5"/>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val="0"/>
          <w:color w:val="auto"/>
          <w:highlight w:val="none"/>
        </w:rPr>
      </w:pPr>
      <w:bookmarkStart w:id="1269" w:name="_Toc30902"/>
      <w:bookmarkStart w:id="1270" w:name="_Toc20607"/>
      <w:bookmarkStart w:id="1271" w:name="_Toc9894"/>
      <w:bookmarkStart w:id="1272" w:name="_Toc26448"/>
      <w:bookmarkStart w:id="1273" w:name="_Toc19459"/>
      <w:bookmarkStart w:id="1274" w:name="_Toc13550"/>
      <w:bookmarkStart w:id="1275" w:name="_Toc27917"/>
      <w:bookmarkStart w:id="1276" w:name="_Toc11384"/>
      <w:bookmarkStart w:id="1277" w:name="_Toc29934"/>
      <w:bookmarkStart w:id="1278" w:name="_Toc6222"/>
      <w:bookmarkStart w:id="1279" w:name="_Toc492300632"/>
      <w:bookmarkStart w:id="1280" w:name="_Toc17377"/>
      <w:bookmarkStart w:id="1281" w:name="_Toc29701"/>
      <w:bookmarkStart w:id="1282" w:name="_Toc23773"/>
      <w:bookmarkStart w:id="1283" w:name="_Toc28689"/>
      <w:bookmarkStart w:id="1284" w:name="_Toc11727"/>
      <w:bookmarkStart w:id="1285" w:name="_Toc9234"/>
      <w:r>
        <w:rPr>
          <w:rFonts w:hint="eastAsia" w:ascii="宋体" w:hAnsi="宋体" w:eastAsia="宋体" w:cs="宋体"/>
          <w:b/>
          <w:bCs w:val="0"/>
          <w:color w:val="auto"/>
          <w:highlight w:val="none"/>
        </w:rPr>
        <w:t>3. 评标程序</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0DCA7E05">
      <w:pPr>
        <w:pStyle w:val="5"/>
        <w:spacing w:line="360" w:lineRule="auto"/>
        <w:rPr>
          <w:rFonts w:ascii="宋体" w:hAnsi="宋体" w:eastAsia="宋体" w:cs="宋体"/>
          <w:color w:val="auto"/>
          <w:szCs w:val="24"/>
          <w:highlight w:val="none"/>
        </w:rPr>
      </w:pPr>
      <w:bookmarkStart w:id="1286" w:name="_Toc11201"/>
      <w:bookmarkStart w:id="1287" w:name="_Toc5138"/>
      <w:bookmarkStart w:id="1288" w:name="_Toc28922"/>
      <w:bookmarkStart w:id="1289" w:name="_Toc32469"/>
      <w:bookmarkStart w:id="1290" w:name="_Toc24715"/>
      <w:bookmarkStart w:id="1291" w:name="_Toc29827"/>
      <w:bookmarkStart w:id="1292" w:name="_Toc28599"/>
      <w:bookmarkStart w:id="1293" w:name="_Toc22174"/>
      <w:bookmarkStart w:id="1294" w:name="_Toc1273"/>
      <w:bookmarkStart w:id="1295" w:name="_Toc311"/>
      <w:bookmarkStart w:id="1296" w:name="_Toc17805"/>
      <w:bookmarkStart w:id="1297" w:name="_Toc19504"/>
      <w:bookmarkStart w:id="1298" w:name="_Toc22519"/>
      <w:bookmarkStart w:id="1299" w:name="_Toc22881"/>
      <w:bookmarkStart w:id="1300" w:name="_Toc492300633"/>
      <w:bookmarkStart w:id="1301" w:name="_Toc13922"/>
      <w:bookmarkStart w:id="1302" w:name="_Toc23336"/>
      <w:bookmarkStart w:id="1303" w:name="_Toc11443"/>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初步评审</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00AEEB10">
      <w:pPr>
        <w:pStyle w:val="2"/>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default" w:eastAsia="宋体"/>
          <w:color w:val="auto"/>
          <w:spacing w:val="-2"/>
          <w:szCs w:val="21"/>
          <w:highlight w:val="none"/>
          <w:lang w:val="en-US" w:eastAsia="zh-CN"/>
        </w:rPr>
      </w:pPr>
      <w:r>
        <w:rPr>
          <w:color w:val="auto"/>
          <w:highlight w:val="none"/>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color w:val="auto"/>
          <w:highlight w:val="none"/>
          <w:lang w:eastAsia="zh-CN"/>
        </w:rPr>
        <w:t>若</w:t>
      </w:r>
      <w:r>
        <w:rPr>
          <w:color w:val="auto"/>
          <w:highlight w:val="none"/>
        </w:rPr>
        <w:t>有效投标不足</w:t>
      </w:r>
      <w:r>
        <w:rPr>
          <w:rFonts w:hint="eastAsia"/>
          <w:color w:val="auto"/>
          <w:highlight w:val="none"/>
          <w:lang w:val="en-US" w:eastAsia="zh-CN"/>
        </w:rPr>
        <w:t>3</w:t>
      </w:r>
      <w:r>
        <w:rPr>
          <w:color w:val="auto"/>
          <w:highlight w:val="none"/>
        </w:rPr>
        <w:t>个的，</w:t>
      </w:r>
      <w:r>
        <w:rPr>
          <w:rFonts w:hint="eastAsia"/>
          <w:strike/>
          <w:color w:val="auto"/>
          <w:highlight w:val="none"/>
          <w:lang w:eastAsia="zh-CN"/>
        </w:rPr>
        <w:t>或当</w:t>
      </w:r>
      <w:r>
        <w:rPr>
          <w:rFonts w:hint="eastAsia"/>
          <w:strike/>
          <w:color w:val="auto"/>
          <w:highlight w:val="none"/>
          <w:lang w:val="en-US" w:eastAsia="zh-CN"/>
        </w:rPr>
        <w:t>N个标段同时招标且不允许兼中时，有效投标人不足N+2家的</w:t>
      </w:r>
      <w:r>
        <w:rPr>
          <w:rFonts w:hint="eastAsia"/>
          <w:color w:val="auto"/>
          <w:highlight w:val="none"/>
          <w:lang w:val="en-US" w:eastAsia="zh-CN"/>
        </w:rPr>
        <w:t>，</w:t>
      </w:r>
      <w:r>
        <w:rPr>
          <w:color w:val="auto"/>
          <w:highlight w:val="none"/>
        </w:rPr>
        <w:t>应当对投标是否明显缺乏竞争和是否需要否决全部投标进行充分论证，并在评标报告中记载论证过程和结果</w:t>
      </w:r>
      <w:r>
        <w:rPr>
          <w:rFonts w:hint="eastAsia"/>
          <w:color w:val="auto"/>
          <w:highlight w:val="none"/>
        </w:rPr>
        <w:t>。</w:t>
      </w:r>
      <w:r>
        <w:rPr>
          <w:rFonts w:hint="eastAsia"/>
          <w:color w:val="auto"/>
          <w:highlight w:val="none"/>
          <w:lang w:eastAsia="zh-CN"/>
        </w:rPr>
        <w:t>如评标委员会成员的评审意见不一致时，以评标委员会过半数成员的意见作为评标委员会对该情形的认定结论。</w:t>
      </w:r>
      <w:r>
        <w:rPr>
          <w:rFonts w:hint="eastAsia" w:ascii="宋体" w:hAnsi="宋体" w:cs="宋体"/>
          <w:color w:val="auto"/>
          <w:sz w:val="21"/>
          <w:szCs w:val="21"/>
          <w:highlight w:val="none"/>
          <w:lang w:eastAsia="zh-CN"/>
        </w:rPr>
        <w:t>持不同意见的评标委员会成员应以书面形式阐述其意见和理由并记录在案。</w:t>
      </w:r>
    </w:p>
    <w:p w14:paraId="68B26151">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3.1.1.1 </w:t>
      </w:r>
      <w:r>
        <w:rPr>
          <w:rFonts w:hint="eastAsia" w:ascii="宋体" w:hAnsi="宋体" w:eastAsia="宋体" w:cs="Times New Roman"/>
          <w:color w:val="auto"/>
          <w:sz w:val="21"/>
          <w:highlight w:val="none"/>
          <w:lang w:val="en-US" w:eastAsia="zh-CN" w:bidi="ar-SA"/>
        </w:rPr>
        <w:t>形式评审：</w:t>
      </w:r>
    </w:p>
    <w:p w14:paraId="304D4AB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评标委员会根据评标办法前附表中规定的评审因素和评审标准，对投标人的文件进行形式评审。通过形式评审的投标文件方可参加下一阶段评审程序。</w:t>
      </w:r>
    </w:p>
    <w:p w14:paraId="3E4A9722">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3.1.1.2 </w:t>
      </w:r>
      <w:r>
        <w:rPr>
          <w:rFonts w:hint="eastAsia" w:ascii="宋体" w:hAnsi="宋体" w:eastAsia="宋体" w:cs="Times New Roman"/>
          <w:color w:val="auto"/>
          <w:sz w:val="21"/>
          <w:highlight w:val="none"/>
          <w:lang w:val="en-US" w:eastAsia="zh-CN" w:bidi="ar-SA"/>
        </w:rPr>
        <w:t>资格评审：</w:t>
      </w:r>
    </w:p>
    <w:p w14:paraId="6E70D5E4">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评标委员会根据评标办法前附表中的规定的评审因素和评审标准，对投标人的资格审查文件进行资格评审。通过资格评审的投标文件方可参加下一阶段评审程序。</w:t>
      </w:r>
    </w:p>
    <w:p w14:paraId="30EE071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3.1.1.3 </w:t>
      </w:r>
      <w:r>
        <w:rPr>
          <w:rFonts w:hint="eastAsia" w:ascii="宋体" w:hAnsi="宋体" w:eastAsia="宋体" w:cs="Times New Roman"/>
          <w:color w:val="auto"/>
          <w:sz w:val="21"/>
          <w:highlight w:val="none"/>
          <w:lang w:val="en-US" w:eastAsia="zh-CN" w:bidi="ar-SA"/>
        </w:rPr>
        <w:t>响应性评审：</w:t>
      </w:r>
    </w:p>
    <w:p w14:paraId="5FDA50A6">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评标委员会根据评标办法前附表中规定的评审因素和评审标准，对投标人的商务文件进行响应性评审。通过商务文件响应性评审的投标文件方可参加下一阶段评审程序。</w:t>
      </w:r>
    </w:p>
    <w:p w14:paraId="34BEC78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3.1.2 </w:t>
      </w:r>
      <w:r>
        <w:rPr>
          <w:rFonts w:hint="eastAsia" w:ascii="宋体" w:hAnsi="宋体" w:eastAsia="宋体" w:cs="Times New Roman"/>
          <w:color w:val="auto"/>
          <w:sz w:val="21"/>
          <w:highlight w:val="none"/>
          <w:lang w:val="en-US" w:eastAsia="zh-CN" w:bidi="ar-SA"/>
        </w:rPr>
        <w:t>投标人有以下情形之一的，评标委员会应当否决其投标：</w:t>
      </w:r>
      <w:r>
        <w:rPr>
          <w:rFonts w:ascii="宋体" w:hAnsi="宋体" w:eastAsia="宋体" w:cs="Times New Roman"/>
          <w:color w:val="auto"/>
          <w:sz w:val="21"/>
          <w:highlight w:val="none"/>
          <w:lang w:val="en-US" w:eastAsia="zh-CN" w:bidi="ar-SA"/>
        </w:rPr>
        <w:t xml:space="preserve"> </w:t>
      </w:r>
    </w:p>
    <w:p w14:paraId="0BAC2FAF">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1</w:t>
      </w:r>
      <w:r>
        <w:rPr>
          <w:rFonts w:hint="eastAsia" w:ascii="宋体" w:hAnsi="宋体" w:eastAsia="宋体" w:cs="Times New Roman"/>
          <w:color w:val="auto"/>
          <w:sz w:val="21"/>
          <w:highlight w:val="none"/>
          <w:lang w:val="en-US" w:eastAsia="zh-CN" w:bidi="ar-SA"/>
        </w:rPr>
        <w:t>）投标文件没有对招标文件的实质性要求和条件作出响应，或者对招标文件的偏差超出招标文件规定的偏差范围或最高项数；</w:t>
      </w:r>
    </w:p>
    <w:p w14:paraId="11F4F694">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）有串通投标、弄虚作假、行贿等违法行为。</w:t>
      </w:r>
    </w:p>
    <w:p w14:paraId="29BE84A5">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（3）招标人设置了</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的，对于低于</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20BAA718">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w:t>
      </w: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码一致的</w:t>
      </w:r>
      <w:r>
        <w:rPr>
          <w:rFonts w:hint="eastAsia" w:ascii="宋体" w:hAnsi="宋体" w:eastAsia="宋体" w:cs="Times New Roman"/>
          <w:color w:val="auto"/>
          <w:sz w:val="21"/>
          <w:highlight w:val="none"/>
          <w:lang w:val="en-US" w:eastAsia="zh-CN" w:bidi="ar-SA"/>
        </w:rPr>
        <w:t>。</w:t>
      </w:r>
    </w:p>
    <w:p w14:paraId="2DC55A70">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（5）评标办法规定的其他应当否决其投标的情形。</w:t>
      </w:r>
    </w:p>
    <w:p w14:paraId="50A0B5A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3.1.3 投标报价有算术错误及其他错误的，评标委员会按以下原则要求投标人对投标报价进行修正，并要求投标人书面澄清确认。投标人拒不澄清确认的，投标人拒不接受的，评标委员会应当否决其投标：</w:t>
      </w:r>
    </w:p>
    <w:p w14:paraId="09A78DFD">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1</w:t>
      </w:r>
      <w:r>
        <w:rPr>
          <w:rFonts w:hint="eastAsia" w:ascii="宋体" w:hAnsi="宋体" w:eastAsia="宋体" w:cs="Times New Roman"/>
          <w:color w:val="auto"/>
          <w:sz w:val="21"/>
          <w:highlight w:val="none"/>
          <w:lang w:val="en-US" w:eastAsia="zh-CN" w:bidi="ar-SA"/>
        </w:rPr>
        <w:t>）投标文件中的大写金额与小写金额不一致的，以大写金额为准；</w:t>
      </w:r>
    </w:p>
    <w:p w14:paraId="26AC3996">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F27B905">
      <w:pPr>
        <w:pStyle w:val="15"/>
        <w:keepNext w:val="0"/>
        <w:keepLines w:val="0"/>
        <w:pageBreakBefore w:val="0"/>
        <w:widowControl w:val="0"/>
        <w:wordWrap/>
        <w:topLinePunct w:val="0"/>
        <w:autoSpaceDE w:val="0"/>
        <w:autoSpaceDN w:val="0"/>
        <w:bidi w:val="0"/>
        <w:adjustRightInd/>
        <w:snapToGrid/>
        <w:spacing w:line="360" w:lineRule="auto"/>
        <w:ind w:firstLine="42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3.1.4评标委员会不得将文件顺序、明显文字错误等列为否决投标的情形，评标委员会发现投标文件含义不明确、对同类问题表述不一致、有明显</w:t>
      </w:r>
      <w:r>
        <w:rPr>
          <w:rFonts w:hint="eastAsia" w:hAnsi="宋体" w:cs="Times New Roman"/>
          <w:color w:val="auto"/>
          <w:sz w:val="21"/>
          <w:highlight w:val="none"/>
          <w:lang w:val="en-US" w:eastAsia="zh-CN" w:bidi="ar-SA"/>
        </w:rPr>
        <w:t>格式或</w:t>
      </w:r>
      <w:r>
        <w:rPr>
          <w:rFonts w:hint="eastAsia" w:ascii="宋体" w:hAnsi="宋体" w:eastAsia="宋体" w:cs="Times New Roman"/>
          <w:color w:val="auto"/>
          <w:sz w:val="21"/>
          <w:highlight w:val="none"/>
          <w:lang w:val="en-US" w:eastAsia="zh-CN" w:bidi="ar-SA"/>
        </w:rPr>
        <w:t>文字</w:t>
      </w:r>
      <w:r>
        <w:rPr>
          <w:rFonts w:hint="eastAsia" w:hAnsi="宋体" w:cs="Times New Roman"/>
          <w:color w:val="auto"/>
          <w:sz w:val="21"/>
          <w:highlight w:val="none"/>
          <w:lang w:val="en-US" w:eastAsia="zh-CN" w:bidi="ar-SA"/>
        </w:rPr>
        <w:t>、</w:t>
      </w:r>
      <w:r>
        <w:rPr>
          <w:rFonts w:hint="eastAsia" w:ascii="宋体" w:hAnsi="宋体" w:eastAsia="宋体" w:cs="Times New Roman"/>
          <w:color w:val="auto"/>
          <w:sz w:val="21"/>
          <w:highlight w:val="none"/>
          <w:lang w:val="en-US" w:eastAsia="zh-CN" w:bidi="ar-SA"/>
        </w:rPr>
        <w:t>计算错误、投标报价可能低于成本影响履约的，应当要求投标人作必要的澄清、说明或补正后再判定投标人是否通过审查，不得直接否决投标。评标委员会不接受投标人主动提出的澄清、说明或补正。</w:t>
      </w:r>
    </w:p>
    <w:p w14:paraId="0336FA6B">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3.1.5有效投标不足三个的，评标委员会应当对投标是否明显缺乏竞争和是否需要否决全部投标进行充分论证，并在评标报告中记载论证过程和结果。</w:t>
      </w:r>
    </w:p>
    <w:p w14:paraId="23536E15">
      <w:pPr>
        <w:spacing w:line="360" w:lineRule="auto"/>
        <w:ind w:firstLine="420" w:firstLineChars="200"/>
        <w:rPr>
          <w:rFonts w:hint="eastAsia" w:ascii="宋体" w:hAnsi="宋体" w:cs="宋体"/>
          <w:color w:val="auto"/>
          <w:sz w:val="21"/>
          <w:szCs w:val="21"/>
          <w:highlight w:val="none"/>
        </w:rPr>
      </w:pPr>
      <w:r>
        <w:rPr>
          <w:rFonts w:hint="eastAsia" w:ascii="宋体" w:hAnsi="宋体" w:eastAsia="宋体" w:cs="Times New Roman"/>
          <w:color w:val="auto"/>
          <w:sz w:val="21"/>
          <w:highlight w:val="none"/>
          <w:lang w:val="en-US" w:eastAsia="zh-CN" w:bidi="ar-SA"/>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r>
        <w:rPr>
          <w:rFonts w:hint="eastAsia" w:ascii="宋体" w:hAnsi="宋体" w:cs="宋体"/>
          <w:color w:val="auto"/>
          <w:sz w:val="21"/>
          <w:szCs w:val="21"/>
          <w:highlight w:val="none"/>
        </w:rPr>
        <w:t>。</w:t>
      </w:r>
    </w:p>
    <w:p w14:paraId="643774D1">
      <w:pPr>
        <w:pStyle w:val="5"/>
        <w:spacing w:line="360" w:lineRule="auto"/>
        <w:outlineLvl w:val="9"/>
        <w:rPr>
          <w:rFonts w:ascii="宋体" w:hAnsi="宋体" w:eastAsia="宋体" w:cs="宋体"/>
          <w:color w:val="auto"/>
          <w:szCs w:val="24"/>
          <w:highlight w:val="none"/>
        </w:rPr>
      </w:pPr>
      <w:bookmarkStart w:id="1304" w:name="_Toc29192"/>
      <w:bookmarkStart w:id="1305" w:name="_Toc32132"/>
      <w:bookmarkStart w:id="1306" w:name="_Toc9890"/>
      <w:bookmarkStart w:id="1307" w:name="_Toc32660"/>
      <w:bookmarkStart w:id="1308" w:name="_Toc31913"/>
      <w:bookmarkStart w:id="1309" w:name="_Toc20921"/>
      <w:bookmarkStart w:id="1310" w:name="_Toc5098"/>
      <w:bookmarkStart w:id="1311" w:name="_Toc492300634"/>
      <w:bookmarkStart w:id="1312" w:name="_Toc23182"/>
      <w:bookmarkStart w:id="1313" w:name="_Toc21128"/>
      <w:bookmarkStart w:id="1314" w:name="_Toc22611"/>
      <w:bookmarkStart w:id="1315" w:name="_Toc10170"/>
      <w:bookmarkStart w:id="1316" w:name="_Toc4881"/>
    </w:p>
    <w:p w14:paraId="2F347BBF">
      <w:pPr>
        <w:pStyle w:val="5"/>
        <w:spacing w:line="360" w:lineRule="auto"/>
        <w:rPr>
          <w:rFonts w:hint="eastAsia" w:ascii="宋体" w:hAnsi="宋体" w:eastAsia="宋体" w:cs="宋体"/>
          <w:color w:val="auto"/>
          <w:szCs w:val="24"/>
          <w:highlight w:val="none"/>
        </w:rPr>
      </w:pPr>
      <w:bookmarkStart w:id="1317" w:name="_Toc11746"/>
      <w:bookmarkStart w:id="1318" w:name="_Toc20734"/>
      <w:bookmarkStart w:id="1319" w:name="_Toc649"/>
      <w:bookmarkStart w:id="1320" w:name="_Toc15490"/>
      <w:bookmarkStart w:id="1321" w:name="_Toc18111"/>
      <w:r>
        <w:rPr>
          <w:rFonts w:ascii="宋体" w:hAnsi="宋体" w:eastAsia="宋体" w:cs="宋体"/>
          <w:color w:val="auto"/>
          <w:szCs w:val="24"/>
          <w:highlight w:val="none"/>
        </w:rPr>
        <w:t xml:space="preserve">3.2 </w:t>
      </w:r>
      <w:r>
        <w:rPr>
          <w:rFonts w:hint="eastAsia" w:ascii="宋体" w:hAnsi="宋体" w:eastAsia="宋体" w:cs="宋体"/>
          <w:color w:val="auto"/>
          <w:szCs w:val="24"/>
          <w:highlight w:val="none"/>
        </w:rPr>
        <w:t>详细评审</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0FDB3B7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741898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资信业绩</w:t>
      </w:r>
      <w:r>
        <w:rPr>
          <w:rFonts w:hint="eastAsia" w:ascii="宋体" w:hAnsi="宋体" w:eastAsia="宋体" w:cs="宋体"/>
          <w:color w:val="auto"/>
          <w:sz w:val="21"/>
          <w:szCs w:val="21"/>
          <w:highlight w:val="none"/>
          <w:u w:val="single"/>
          <w:lang w:eastAsia="zh-CN"/>
        </w:rPr>
        <w:t>部分</w:t>
      </w:r>
      <w:r>
        <w:rPr>
          <w:rFonts w:hint="eastAsia" w:ascii="宋体" w:hAnsi="宋体" w:eastAsia="宋体" w:cs="宋体"/>
          <w:color w:val="auto"/>
          <w:sz w:val="21"/>
          <w:szCs w:val="21"/>
          <w:highlight w:val="none"/>
          <w:u w:val="single"/>
        </w:rPr>
        <w:t>评审得分A为</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w:t>
      </w:r>
      <w:r>
        <w:rPr>
          <w:rFonts w:hint="eastAsia" w:ascii="宋体" w:hAnsi="宋体" w:eastAsia="宋体" w:cs="宋体"/>
          <w:strike/>
          <w:color w:val="auto"/>
          <w:sz w:val="21"/>
          <w:szCs w:val="21"/>
          <w:highlight w:val="none"/>
          <w:u w:val="single"/>
          <w:lang w:val="en-US" w:eastAsia="zh-CN"/>
        </w:rPr>
        <w:t>由招标人自行设置）</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0F3820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（2）按本章第2.2.4（2）目规定的评审因素和分值对监理大纲部分计算出得分B</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bidi="ar-SA"/>
        </w:rPr>
        <w:t>（以下两种方法招标人自行选择）</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1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监理大纲</w:t>
      </w:r>
      <w:r>
        <w:rPr>
          <w:rFonts w:hint="eastAsia" w:ascii="宋体" w:hAnsi="宋体" w:eastAsia="宋体" w:cs="宋体"/>
          <w:color w:val="auto"/>
          <w:sz w:val="21"/>
          <w:szCs w:val="21"/>
          <w:highlight w:val="none"/>
          <w:u w:val="single"/>
        </w:rPr>
        <w:t>部分评审得分B为从</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打分中去掉一个最高分和去掉一个最低分后的剩余</w:t>
      </w:r>
      <w:r>
        <w:rPr>
          <w:rFonts w:hint="eastAsia" w:ascii="宋体" w:hAnsi="宋体" w:eastAsia="宋体" w:cs="Times New Roman"/>
          <w:color w:val="auto"/>
          <w:sz w:val="21"/>
          <w:highlight w:val="none"/>
          <w:u w:val="single"/>
          <w:lang w:val="en-US" w:eastAsia="zh-CN" w:bidi="ar-SA"/>
        </w:rPr>
        <w:t>评标委员会成员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或</w:t>
      </w:r>
      <w:r>
        <w:rPr>
          <w:rFonts w:hint="eastAsia" w:ascii="宋体" w:hAnsi="宋体" w:eastAsia="宋体" w:cs="宋体"/>
          <w:strike/>
          <w:color w:val="auto"/>
          <w:sz w:val="21"/>
          <w:szCs w:val="21"/>
          <w:highlight w:val="none"/>
          <w:u w:val="single"/>
          <w:lang w:eastAsia="zh-CN"/>
        </w:rPr>
        <w:fldChar w:fldCharType="begin"/>
      </w:r>
      <w:r>
        <w:rPr>
          <w:rFonts w:hint="eastAsia" w:ascii="宋体" w:hAnsi="宋体" w:eastAsia="宋体" w:cs="宋体"/>
          <w:strike/>
          <w:color w:val="auto"/>
          <w:sz w:val="21"/>
          <w:szCs w:val="21"/>
          <w:highlight w:val="none"/>
          <w:u w:val="single"/>
          <w:lang w:eastAsia="zh-CN"/>
        </w:rPr>
        <w:instrText xml:space="preserve"> = 2 \* GB3 \* MERGEFORMAT </w:instrText>
      </w:r>
      <w:r>
        <w:rPr>
          <w:rFonts w:hint="eastAsia" w:ascii="宋体" w:hAnsi="宋体" w:eastAsia="宋体" w:cs="宋体"/>
          <w:strike/>
          <w:color w:val="auto"/>
          <w:sz w:val="21"/>
          <w:szCs w:val="21"/>
          <w:highlight w:val="none"/>
          <w:u w:val="single"/>
          <w:lang w:eastAsia="zh-CN"/>
        </w:rPr>
        <w:fldChar w:fldCharType="separate"/>
      </w:r>
      <w:r>
        <w:rPr>
          <w:rFonts w:hint="eastAsia" w:ascii="宋体" w:hAnsi="宋体" w:eastAsia="宋体" w:cs="宋体"/>
          <w:strike/>
          <w:color w:val="auto"/>
          <w:sz w:val="21"/>
          <w:szCs w:val="21"/>
          <w:highlight w:val="none"/>
          <w:u w:val="single"/>
        </w:rPr>
        <w:t>②</w:t>
      </w:r>
      <w:r>
        <w:rPr>
          <w:rFonts w:hint="eastAsia" w:ascii="宋体" w:hAnsi="宋体" w:eastAsia="宋体" w:cs="宋体"/>
          <w:strike/>
          <w:color w:val="auto"/>
          <w:sz w:val="21"/>
          <w:szCs w:val="21"/>
          <w:highlight w:val="none"/>
          <w:u w:val="single"/>
        </w:rPr>
        <w:fldChar w:fldCharType="end"/>
      </w:r>
      <w:r>
        <w:rPr>
          <w:rFonts w:hint="eastAsia" w:ascii="宋体" w:hAnsi="宋体" w:eastAsia="宋体" w:cs="宋体"/>
          <w:strike/>
          <w:color w:val="auto"/>
          <w:sz w:val="21"/>
          <w:szCs w:val="21"/>
          <w:highlight w:val="none"/>
          <w:u w:val="single"/>
          <w:lang w:eastAsia="zh-CN"/>
        </w:rPr>
        <w:t>监理大纲部分</w:t>
      </w:r>
      <w:r>
        <w:rPr>
          <w:rFonts w:hint="eastAsia" w:ascii="宋体" w:hAnsi="宋体" w:eastAsia="宋体" w:cs="宋体"/>
          <w:strike/>
          <w:color w:val="auto"/>
          <w:sz w:val="21"/>
          <w:szCs w:val="21"/>
          <w:highlight w:val="none"/>
          <w:u w:val="single"/>
        </w:rPr>
        <w:t>评审得分B为</w:t>
      </w:r>
      <w:r>
        <w:rPr>
          <w:rFonts w:hint="eastAsia" w:ascii="宋体" w:hAnsi="宋体" w:eastAsia="宋体" w:cs="Times New Roman"/>
          <w:strike/>
          <w:color w:val="auto"/>
          <w:sz w:val="21"/>
          <w:highlight w:val="none"/>
          <w:u w:val="single"/>
          <w:lang w:val="en-US" w:eastAsia="zh-CN" w:bidi="ar-SA"/>
        </w:rPr>
        <w:t>评标委员会各成员</w:t>
      </w:r>
      <w:r>
        <w:rPr>
          <w:rFonts w:hint="eastAsia" w:ascii="宋体" w:hAnsi="宋体" w:eastAsia="宋体" w:cs="宋体"/>
          <w:strike/>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74BA68C1">
      <w:pPr>
        <w:spacing w:line="360" w:lineRule="auto"/>
        <w:ind w:firstLine="420" w:firstLineChars="200"/>
        <w:rPr>
          <w:rFonts w:ascii="宋体" w:hAnsi="宋体" w:cs="宋体"/>
          <w:strike w:val="0"/>
          <w:color w:val="auto"/>
          <w:sz w:val="21"/>
          <w:szCs w:val="21"/>
          <w:highlight w:val="none"/>
        </w:rPr>
      </w:pPr>
      <w:r>
        <w:rPr>
          <w:rFonts w:hint="eastAsia" w:ascii="宋体" w:hAnsi="宋体" w:cs="宋体"/>
          <w:color w:val="auto"/>
          <w:sz w:val="21"/>
          <w:szCs w:val="21"/>
          <w:highlight w:val="none"/>
        </w:rPr>
        <w:t>（3）按本章第2.2.4（3）目规定的评审因素和</w:t>
      </w:r>
      <w:bookmarkStart w:id="1322" w:name="_Toc369531583"/>
      <w:bookmarkStart w:id="1323" w:name="_Toc247514028"/>
      <w:bookmarkStart w:id="1324" w:name="_Toc152045604"/>
      <w:bookmarkStart w:id="1325" w:name="_Toc24330"/>
      <w:bookmarkStart w:id="1326" w:name="_Toc352691539"/>
      <w:bookmarkStart w:id="1327" w:name="_Toc152042381"/>
      <w:bookmarkStart w:id="1328" w:name="_Toc300835014"/>
      <w:bookmarkStart w:id="1329" w:name="_Toc384308278"/>
      <w:bookmarkStart w:id="1330" w:name="_Toc144974571"/>
      <w:bookmarkStart w:id="1331" w:name="_Toc361508652"/>
      <w:bookmarkStart w:id="1332" w:name="_Toc247527629"/>
      <w:r>
        <w:rPr>
          <w:rFonts w:hint="eastAsia" w:ascii="宋体" w:hAnsi="宋体" w:cs="宋体"/>
          <w:color w:val="auto"/>
          <w:sz w:val="21"/>
          <w:szCs w:val="21"/>
          <w:highlight w:val="none"/>
        </w:rPr>
        <w:t>分值对投标报价</w:t>
      </w:r>
      <w:bookmarkEnd w:id="1322"/>
      <w:bookmarkEnd w:id="1323"/>
      <w:bookmarkEnd w:id="1324"/>
      <w:bookmarkEnd w:id="1325"/>
      <w:bookmarkEnd w:id="1326"/>
      <w:bookmarkEnd w:id="1327"/>
      <w:bookmarkEnd w:id="1328"/>
      <w:bookmarkEnd w:id="1329"/>
      <w:bookmarkEnd w:id="1330"/>
      <w:bookmarkEnd w:id="1331"/>
      <w:bookmarkEnd w:id="1332"/>
      <w:r>
        <w:rPr>
          <w:rFonts w:hint="eastAsia" w:ascii="宋体" w:hAnsi="宋体" w:cs="宋体"/>
          <w:color w:val="auto"/>
          <w:sz w:val="21"/>
          <w:szCs w:val="21"/>
          <w:highlight w:val="none"/>
        </w:rPr>
        <w:t>计</w:t>
      </w:r>
      <w:bookmarkStart w:id="1333" w:name="_Toc247527630"/>
      <w:bookmarkStart w:id="1334" w:name="_Toc352691540"/>
      <w:bookmarkStart w:id="1335" w:name="_Toc361508653"/>
      <w:bookmarkStart w:id="1336" w:name="_Toc247514029"/>
      <w:bookmarkStart w:id="1337" w:name="_Toc369531584"/>
      <w:bookmarkStart w:id="1338" w:name="_Toc18141"/>
      <w:bookmarkStart w:id="1339" w:name="_Toc152045605"/>
      <w:bookmarkStart w:id="1340" w:name="_Toc144974572"/>
      <w:bookmarkStart w:id="1341" w:name="_Toc384308279"/>
      <w:bookmarkStart w:id="1342" w:name="_Toc300835015"/>
      <w:bookmarkStart w:id="1343" w:name="_Toc152042382"/>
      <w:r>
        <w:rPr>
          <w:rFonts w:hint="eastAsia" w:ascii="宋体" w:hAnsi="宋体" w:cs="宋体"/>
          <w:color w:val="auto"/>
          <w:sz w:val="21"/>
          <w:szCs w:val="21"/>
          <w:highlight w:val="none"/>
        </w:rPr>
        <w:t>算出得分C</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2C121E68">
      <w:pPr>
        <w:spacing w:line="360" w:lineRule="auto"/>
        <w:ind w:firstLine="420" w:firstLineChars="200"/>
        <w:rPr>
          <w:rFonts w:ascii="宋体" w:hAnsi="宋体" w:cs="宋体"/>
          <w:strike/>
          <w:color w:val="auto"/>
          <w:sz w:val="21"/>
          <w:szCs w:val="21"/>
          <w:highlight w:val="none"/>
        </w:rPr>
      </w:pPr>
      <w:r>
        <w:rPr>
          <w:rFonts w:hint="eastAsia" w:ascii="宋体" w:hAnsi="宋体" w:cs="宋体"/>
          <w:strike/>
          <w:color w:val="auto"/>
          <w:sz w:val="21"/>
          <w:szCs w:val="21"/>
          <w:highlight w:val="none"/>
        </w:rPr>
        <w:t>（</w:t>
      </w:r>
      <w:bookmarkEnd w:id="1333"/>
      <w:bookmarkEnd w:id="1334"/>
      <w:bookmarkEnd w:id="1335"/>
      <w:bookmarkEnd w:id="1336"/>
      <w:bookmarkEnd w:id="1337"/>
      <w:bookmarkEnd w:id="1338"/>
      <w:bookmarkEnd w:id="1339"/>
      <w:bookmarkEnd w:id="1340"/>
      <w:bookmarkEnd w:id="1341"/>
      <w:bookmarkEnd w:id="1342"/>
      <w:bookmarkEnd w:id="1343"/>
      <w:r>
        <w:rPr>
          <w:rFonts w:hint="eastAsia" w:ascii="宋体" w:hAnsi="宋体" w:cs="宋体"/>
          <w:strike/>
          <w:color w:val="auto"/>
          <w:sz w:val="21"/>
          <w:szCs w:val="21"/>
          <w:highlight w:val="none"/>
        </w:rPr>
        <w:t>4）按本章第2.2.4（4）目规定的评审因素和分值对其他部分计算出得分D</w:t>
      </w:r>
      <w:r>
        <w:rPr>
          <w:rFonts w:hint="eastAsia" w:ascii="宋体" w:hAnsi="宋体" w:cs="宋体"/>
          <w:strike/>
          <w:color w:val="auto"/>
          <w:sz w:val="21"/>
          <w:szCs w:val="21"/>
          <w:highlight w:val="none"/>
          <w:lang w:eastAsia="zh-CN"/>
        </w:rPr>
        <w:t>，</w:t>
      </w:r>
      <w:r>
        <w:rPr>
          <w:rFonts w:hint="eastAsia" w:ascii="宋体" w:hAnsi="宋体" w:eastAsia="宋体" w:cs="Times New Roman"/>
          <w:strike/>
          <w:color w:val="auto"/>
          <w:sz w:val="21"/>
          <w:highlight w:val="none"/>
          <w:lang w:val="en-US" w:eastAsia="zh-CN" w:bidi="ar-SA"/>
        </w:rPr>
        <w:t>分数出现小数点，保留小数点后二位，第三位小数四舍五入</w:t>
      </w:r>
      <w:r>
        <w:rPr>
          <w:rFonts w:hint="eastAsia" w:ascii="宋体" w:hAnsi="宋体" w:cs="宋体"/>
          <w:strike/>
          <w:color w:val="auto"/>
          <w:sz w:val="21"/>
          <w:szCs w:val="21"/>
          <w:highlight w:val="none"/>
        </w:rPr>
        <w:t>。</w:t>
      </w:r>
    </w:p>
    <w:p w14:paraId="642089D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3A92991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3.2.3 </w:t>
      </w:r>
      <w:r>
        <w:rPr>
          <w:rFonts w:hint="eastAsia" w:ascii="宋体" w:hAnsi="宋体" w:eastAsia="宋体" w:cs="Times New Roman"/>
          <w:color w:val="auto"/>
          <w:sz w:val="21"/>
          <w:szCs w:val="21"/>
          <w:highlight w:val="none"/>
          <w:lang w:val="en-US" w:eastAsia="zh-CN" w:bidi="ar-SA"/>
        </w:rPr>
        <w:t>投标人得分=A+B+C</w:t>
      </w:r>
      <w:r>
        <w:rPr>
          <w:rFonts w:hint="eastAsia" w:ascii="宋体" w:hAnsi="宋体" w:eastAsia="宋体" w:cs="Times New Roman"/>
          <w:strike/>
          <w:color w:val="auto"/>
          <w:sz w:val="21"/>
          <w:szCs w:val="21"/>
          <w:highlight w:val="none"/>
          <w:lang w:val="en-US" w:eastAsia="zh-CN" w:bidi="ar-SA"/>
        </w:rPr>
        <w:t>+D</w:t>
      </w:r>
      <w:r>
        <w:rPr>
          <w:rFonts w:hint="eastAsia" w:ascii="宋体" w:hAnsi="宋体" w:eastAsia="宋体" w:cs="Times New Roman"/>
          <w:color w:val="auto"/>
          <w:sz w:val="21"/>
          <w:szCs w:val="21"/>
          <w:highlight w:val="none"/>
          <w:lang w:val="en-US" w:eastAsia="zh-CN" w:bidi="ar-SA"/>
        </w:rPr>
        <w:t>。</w:t>
      </w:r>
    </w:p>
    <w:p w14:paraId="7365B326">
      <w:pPr>
        <w:spacing w:line="360" w:lineRule="auto"/>
        <w:ind w:firstLine="420" w:firstLineChars="200"/>
        <w:rPr>
          <w:rFonts w:ascii="宋体" w:hAnsi="宋体" w:cs="宋体"/>
          <w:b w:val="0"/>
          <w:bCs w:val="0"/>
          <w:color w:val="auto"/>
          <w:sz w:val="21"/>
          <w:szCs w:val="21"/>
          <w:highlight w:val="none"/>
        </w:rPr>
      </w:pPr>
      <w:r>
        <w:rPr>
          <w:rFonts w:ascii="宋体" w:hAnsi="宋体" w:cs="宋体"/>
          <w:color w:val="auto"/>
          <w:sz w:val="21"/>
          <w:szCs w:val="21"/>
          <w:highlight w:val="none"/>
        </w:rPr>
        <w:t xml:space="preserve">3.2.4 </w:t>
      </w:r>
      <w:r>
        <w:rPr>
          <w:rFonts w:hint="eastAsia" w:ascii="宋体" w:hAnsi="宋体" w:eastAsia="宋体" w:cs="Times New Roman"/>
          <w:color w:val="auto"/>
          <w:kern w:val="0"/>
          <w:sz w:val="21"/>
          <w:szCs w:val="20"/>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1"/>
          <w:szCs w:val="21"/>
          <w:highlight w:val="none"/>
        </w:rPr>
        <w:t>。</w:t>
      </w:r>
    </w:p>
    <w:p w14:paraId="2A97D7D6">
      <w:pPr>
        <w:spacing w:line="360" w:lineRule="auto"/>
        <w:ind w:firstLine="420" w:firstLineChars="200"/>
        <w:rPr>
          <w:rFonts w:ascii="宋体" w:hAnsi="宋体" w:cs="宋体"/>
          <w:color w:val="auto"/>
          <w:sz w:val="21"/>
          <w:szCs w:val="21"/>
          <w:highlight w:val="none"/>
        </w:rPr>
      </w:pPr>
    </w:p>
    <w:p w14:paraId="01931F45">
      <w:pPr>
        <w:spacing w:line="360" w:lineRule="auto"/>
        <w:outlineLvl w:val="9"/>
        <w:rPr>
          <w:rFonts w:ascii="宋体" w:hAnsi="宋体" w:eastAsia="宋体" w:cs="宋体"/>
          <w:color w:val="auto"/>
          <w:szCs w:val="24"/>
          <w:highlight w:val="none"/>
        </w:rPr>
      </w:pPr>
      <w:bookmarkStart w:id="1344" w:name="_Toc32568"/>
      <w:bookmarkStart w:id="1345" w:name="_Toc8863"/>
      <w:bookmarkStart w:id="1346" w:name="_Toc3139"/>
      <w:bookmarkStart w:id="1347" w:name="_Toc7270"/>
      <w:bookmarkStart w:id="1348" w:name="_Toc6831"/>
      <w:bookmarkStart w:id="1349" w:name="_Toc11581"/>
      <w:bookmarkStart w:id="1350" w:name="_Toc492300635"/>
      <w:bookmarkStart w:id="1351" w:name="_Toc11566"/>
      <w:bookmarkStart w:id="1352" w:name="_Toc26520"/>
      <w:bookmarkStart w:id="1353" w:name="_Toc22787"/>
      <w:bookmarkStart w:id="1354" w:name="_Toc15694"/>
      <w:bookmarkStart w:id="1355" w:name="_Toc26446"/>
      <w:bookmarkStart w:id="1356" w:name="_Toc1935"/>
    </w:p>
    <w:p w14:paraId="2DD80224">
      <w:pPr>
        <w:pStyle w:val="5"/>
        <w:spacing w:line="360" w:lineRule="auto"/>
        <w:rPr>
          <w:rFonts w:ascii="宋体" w:hAnsi="宋体" w:eastAsia="宋体" w:cs="宋体"/>
          <w:color w:val="auto"/>
          <w:szCs w:val="24"/>
          <w:highlight w:val="none"/>
        </w:rPr>
      </w:pPr>
      <w:bookmarkStart w:id="1357" w:name="_Toc31378"/>
      <w:bookmarkStart w:id="1358" w:name="_Toc25099"/>
      <w:bookmarkStart w:id="1359" w:name="_Toc20795"/>
      <w:bookmarkStart w:id="1360" w:name="_Toc8861"/>
      <w:bookmarkStart w:id="1361" w:name="_Toc3717"/>
      <w:r>
        <w:rPr>
          <w:rFonts w:ascii="宋体" w:hAnsi="宋体" w:eastAsia="宋体" w:cs="宋体"/>
          <w:color w:val="auto"/>
          <w:szCs w:val="24"/>
          <w:highlight w:val="none"/>
        </w:rPr>
        <w:t xml:space="preserve">3.3 </w:t>
      </w:r>
      <w:r>
        <w:rPr>
          <w:rFonts w:hint="eastAsia" w:ascii="宋体" w:hAnsi="宋体" w:eastAsia="宋体" w:cs="宋体"/>
          <w:color w:val="auto"/>
          <w:szCs w:val="24"/>
          <w:highlight w:val="none"/>
        </w:rPr>
        <w:t>投标文件的澄清</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308664AC">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bookmarkStart w:id="1362" w:name="_Toc13255"/>
      <w:bookmarkStart w:id="1363" w:name="_Toc492300636"/>
      <w:bookmarkStart w:id="1364" w:name="_Toc818"/>
      <w:bookmarkStart w:id="1365" w:name="_Toc9096"/>
      <w:bookmarkStart w:id="1366" w:name="_Toc8203"/>
      <w:bookmarkStart w:id="1367" w:name="_Toc18866"/>
      <w:bookmarkStart w:id="1368" w:name="_Toc17214"/>
      <w:bookmarkStart w:id="1369" w:name="_Toc8913"/>
      <w:bookmarkStart w:id="1370" w:name="_Toc497"/>
      <w:bookmarkStart w:id="1371" w:name="_Toc21708"/>
      <w:bookmarkStart w:id="1372" w:name="_Toc23895"/>
      <w:bookmarkStart w:id="1373" w:name="_Toc21894"/>
      <w:bookmarkStart w:id="1374" w:name="_Toc20371"/>
      <w:r>
        <w:rPr>
          <w:rFonts w:hint="eastAsia" w:ascii="宋体" w:hAnsi="宋体" w:eastAsia="宋体" w:cs="Times New Roman"/>
          <w:color w:val="auto"/>
          <w:sz w:val="21"/>
          <w:highlight w:val="none"/>
          <w:lang w:val="en-US" w:eastAsia="zh-CN" w:bidi="ar-SA"/>
        </w:rPr>
        <w:t xml:space="preserve">3.4.1 </w:t>
      </w:r>
      <w:r>
        <w:rPr>
          <w:rFonts w:ascii="宋体" w:hAnsi="宋体" w:eastAsia="宋体" w:cs="宋体"/>
          <w:color w:val="auto"/>
          <w:spacing w:val="-4"/>
          <w:sz w:val="21"/>
          <w:szCs w:val="21"/>
          <w:highlight w:val="none"/>
        </w:rPr>
        <w:t>在评标过程中，</w:t>
      </w:r>
      <w:r>
        <w:rPr>
          <w:rFonts w:hint="eastAsia" w:ascii="宋体" w:hAnsi="宋体" w:eastAsia="宋体" w:cs="宋体"/>
          <w:color w:val="auto"/>
          <w:spacing w:val="-4"/>
          <w:sz w:val="21"/>
          <w:szCs w:val="21"/>
          <w:highlight w:val="none"/>
        </w:rPr>
        <w:t>经评标委员会中两人以上（含两人）以书面形式提出动议，评标委员会</w:t>
      </w:r>
      <w:r>
        <w:rPr>
          <w:rFonts w:ascii="宋体" w:hAnsi="宋体" w:eastAsia="宋体" w:cs="宋体"/>
          <w:color w:val="auto"/>
          <w:spacing w:val="-4"/>
          <w:sz w:val="21"/>
          <w:szCs w:val="21"/>
          <w:highlight w:val="none"/>
        </w:rPr>
        <w:t>可以书面形式要求投标人对投标文件中含义不明确、对同</w:t>
      </w:r>
      <w:r>
        <w:rPr>
          <w:rFonts w:ascii="宋体" w:hAnsi="宋体" w:eastAsia="宋体" w:cs="宋体"/>
          <w:color w:val="auto"/>
          <w:spacing w:val="1"/>
          <w:sz w:val="21"/>
          <w:szCs w:val="21"/>
          <w:highlight w:val="none"/>
        </w:rPr>
        <w:t>类问题表述不一致或者有明显文字</w:t>
      </w:r>
      <w:r>
        <w:rPr>
          <w:rFonts w:ascii="宋体" w:hAnsi="宋体" w:eastAsia="宋体" w:cs="宋体"/>
          <w:color w:val="auto"/>
          <w:sz w:val="21"/>
          <w:szCs w:val="21"/>
          <w:highlight w:val="none"/>
        </w:rPr>
        <w:t xml:space="preserve">和计算错误的内容作必要的澄清、说明或补正。澄清、说明 </w:t>
      </w:r>
      <w:r>
        <w:rPr>
          <w:rFonts w:ascii="宋体" w:hAnsi="宋体" w:eastAsia="宋体" w:cs="宋体"/>
          <w:color w:val="auto"/>
          <w:spacing w:val="-1"/>
          <w:sz w:val="21"/>
          <w:szCs w:val="21"/>
          <w:highlight w:val="none"/>
        </w:rPr>
        <w:t>或补正应以书面方式进行。评标委员会不接受投标人主动提出的澄清、说明或补正</w:t>
      </w:r>
      <w:r>
        <w:rPr>
          <w:rFonts w:hint="eastAsia" w:ascii="宋体" w:hAnsi="宋体" w:eastAsia="宋体" w:cs="Times New Roman"/>
          <w:color w:val="auto"/>
          <w:sz w:val="21"/>
          <w:highlight w:val="none"/>
          <w:lang w:val="en-US" w:eastAsia="zh-CN" w:bidi="ar-SA"/>
        </w:rPr>
        <w:t>。</w:t>
      </w:r>
    </w:p>
    <w:p w14:paraId="092DD629">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3.4.2澄清、说明或补正不得超出投标文件的范围且不得改变投标文件实质性内容，并构成投标文件的组成部分。</w:t>
      </w:r>
    </w:p>
    <w:p w14:paraId="105829D1">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3.4.3评标委员会对投标人提交的澄清、说明或补正有疑问的，可以要求投标人进一步澄清、说明或补正，直到满足评标委员会的要求。</w:t>
      </w:r>
    </w:p>
    <w:p w14:paraId="4C1CCEAF">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color w:val="auto"/>
          <w:highlight w:val="none"/>
        </w:rPr>
      </w:pPr>
      <w:r>
        <w:rPr>
          <w:rFonts w:hint="eastAsia" w:ascii="宋体" w:hAnsi="宋体" w:eastAsia="宋体" w:cs="Times New Roman"/>
          <w:color w:val="auto"/>
          <w:sz w:val="21"/>
          <w:highlight w:val="none"/>
          <w:lang w:val="en-US" w:eastAsia="zh-CN" w:bidi="ar-SA"/>
        </w:rPr>
        <w:t>3.4.4</w:t>
      </w:r>
      <w:r>
        <w:rPr>
          <w:rFonts w:hint="eastAsia" w:hAnsi="宋体" w:eastAsia="宋体" w:cs="Times New Roman"/>
          <w:color w:val="auto"/>
          <w:sz w:val="21"/>
          <w:highlight w:val="none"/>
          <w:lang w:val="en-US" w:eastAsia="zh-CN" w:bidi="ar-SA"/>
        </w:rPr>
        <w:t xml:space="preserve"> </w:t>
      </w:r>
      <w:r>
        <w:rPr>
          <w:rFonts w:ascii="宋体" w:hAnsi="宋体" w:eastAsia="宋体" w:cs="宋体"/>
          <w:color w:val="auto"/>
          <w:spacing w:val="-4"/>
          <w:sz w:val="21"/>
          <w:szCs w:val="21"/>
          <w:highlight w:val="none"/>
        </w:rPr>
        <w:t>评标委员会发现投标人的报价明显低于其他投标报价， 使得其投标报价可能低于其个</w:t>
      </w:r>
      <w:r>
        <w:rPr>
          <w:rFonts w:ascii="宋体" w:hAnsi="宋体" w:eastAsia="宋体" w:cs="宋体"/>
          <w:color w:val="auto"/>
          <w:spacing w:val="1"/>
          <w:sz w:val="21"/>
          <w:szCs w:val="21"/>
          <w:highlight w:val="none"/>
        </w:rPr>
        <w:t>别成本的，应当要求该投标人</w:t>
      </w:r>
      <w:r>
        <w:rPr>
          <w:rFonts w:ascii="宋体" w:hAnsi="宋体" w:eastAsia="宋体" w:cs="宋体"/>
          <w:color w:val="auto"/>
          <w:sz w:val="21"/>
          <w:szCs w:val="21"/>
          <w:highlight w:val="none"/>
        </w:rPr>
        <w:t xml:space="preserve">作出书面说明并提供相应的证明材料。投标人不能合理说明或者 </w:t>
      </w:r>
      <w:r>
        <w:rPr>
          <w:rFonts w:ascii="宋体" w:hAnsi="宋体" w:eastAsia="宋体" w:cs="宋体"/>
          <w:color w:val="auto"/>
          <w:spacing w:val="-14"/>
          <w:sz w:val="21"/>
          <w:szCs w:val="21"/>
          <w:highlight w:val="none"/>
        </w:rPr>
        <w:t>不能</w:t>
      </w:r>
      <w:r>
        <w:rPr>
          <w:rFonts w:ascii="宋体" w:hAnsi="宋体" w:eastAsia="宋体" w:cs="宋体"/>
          <w:color w:val="auto"/>
          <w:spacing w:val="-11"/>
          <w:sz w:val="21"/>
          <w:szCs w:val="21"/>
          <w:highlight w:val="none"/>
        </w:rPr>
        <w:t>提</w:t>
      </w:r>
      <w:r>
        <w:rPr>
          <w:rFonts w:ascii="宋体" w:hAnsi="宋体" w:eastAsia="宋体" w:cs="宋体"/>
          <w:color w:val="auto"/>
          <w:spacing w:val="-7"/>
          <w:sz w:val="21"/>
          <w:szCs w:val="21"/>
          <w:highlight w:val="none"/>
        </w:rPr>
        <w:t>供相应证明材料的，评标委员会应当认定该投标人以低于成本报价竞标，并否决其投标</w:t>
      </w:r>
      <w:r>
        <w:rPr>
          <w:rFonts w:hint="eastAsia" w:ascii="宋体" w:hAnsi="宋体" w:eastAsia="宋体" w:cs="宋体"/>
          <w:color w:val="auto"/>
          <w:spacing w:val="-7"/>
          <w:sz w:val="21"/>
          <w:szCs w:val="21"/>
          <w:highlight w:val="none"/>
          <w:lang w:eastAsia="zh-CN"/>
        </w:rPr>
        <w:t>。</w:t>
      </w:r>
    </w:p>
    <w:p w14:paraId="51644369">
      <w:pPr>
        <w:pStyle w:val="5"/>
        <w:spacing w:line="360" w:lineRule="auto"/>
        <w:outlineLvl w:val="9"/>
        <w:rPr>
          <w:rFonts w:ascii="宋体" w:hAnsi="宋体" w:eastAsia="宋体" w:cs="宋体"/>
          <w:color w:val="auto"/>
          <w:szCs w:val="24"/>
          <w:highlight w:val="none"/>
        </w:rPr>
      </w:pPr>
    </w:p>
    <w:p w14:paraId="5C0CD0C7">
      <w:pPr>
        <w:pStyle w:val="5"/>
        <w:spacing w:line="360" w:lineRule="auto"/>
        <w:rPr>
          <w:rFonts w:ascii="宋体" w:hAnsi="宋体" w:eastAsia="宋体" w:cs="宋体"/>
          <w:color w:val="auto"/>
          <w:szCs w:val="24"/>
          <w:highlight w:val="none"/>
        </w:rPr>
      </w:pPr>
      <w:bookmarkStart w:id="1375" w:name="_Toc19996"/>
      <w:bookmarkStart w:id="1376" w:name="_Toc5013"/>
      <w:bookmarkStart w:id="1377" w:name="_Toc3307"/>
      <w:bookmarkStart w:id="1378" w:name="_Toc17346"/>
      <w:bookmarkStart w:id="1379" w:name="_Toc2841"/>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评标结果</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5E1315A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3.4.1 </w:t>
      </w:r>
      <w:r>
        <w:rPr>
          <w:rFonts w:hint="eastAsia" w:ascii="宋体" w:hAnsi="宋体" w:cs="宋体"/>
          <w:color w:val="auto"/>
          <w:sz w:val="21"/>
          <w:szCs w:val="21"/>
          <w:highlight w:val="none"/>
        </w:rPr>
        <w:t>除第二章“投标人须知”前附表授权直接确定中标人外，评标委员会按照得分由高到低的顺序推荐中标候选人，并标明排序。</w:t>
      </w:r>
    </w:p>
    <w:p w14:paraId="4E35A0E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3.4.2 </w:t>
      </w:r>
      <w:r>
        <w:rPr>
          <w:rFonts w:hint="eastAsia" w:ascii="宋体" w:hAnsi="宋体" w:cs="宋体"/>
          <w:color w:val="auto"/>
          <w:sz w:val="21"/>
          <w:szCs w:val="21"/>
          <w:highlight w:val="none"/>
        </w:rPr>
        <w:t>评标委员会完成评标后，应当向招标人提交书面评标报告和中标候选人名单。</w:t>
      </w:r>
    </w:p>
    <w:p w14:paraId="7D583572">
      <w:pPr>
        <w:spacing w:line="360" w:lineRule="auto"/>
        <w:ind w:firstLine="420" w:firstLineChars="200"/>
        <w:rPr>
          <w:rFonts w:hint="eastAsia" w:ascii="宋体" w:hAnsi="宋体" w:eastAsia="宋体" w:cs="宋体"/>
          <w:strike/>
          <w:color w:val="auto"/>
          <w:sz w:val="21"/>
          <w:szCs w:val="21"/>
          <w:highlight w:val="none"/>
          <w:lang w:val="en-US" w:eastAsia="zh-CN"/>
        </w:rPr>
      </w:pPr>
      <w:r>
        <w:rPr>
          <w:rFonts w:hint="eastAsia" w:ascii="宋体" w:hAnsi="宋体" w:eastAsia="宋体" w:cs="宋体"/>
          <w:strike/>
          <w:color w:val="auto"/>
          <w:sz w:val="21"/>
          <w:szCs w:val="21"/>
          <w:highlight w:val="none"/>
          <w:lang w:val="en-US" w:eastAsia="zh-CN"/>
        </w:rPr>
        <w:t>3.4.3 如采用评标定标分离方法的，按相关规定执行。</w:t>
      </w:r>
    </w:p>
    <w:p w14:paraId="53CCE5E1">
      <w:pPr>
        <w:spacing w:line="360" w:lineRule="auto"/>
        <w:outlineLvl w:val="1"/>
        <w:rPr>
          <w:rFonts w:hint="eastAsia" w:ascii="宋体" w:hAnsi="宋体" w:eastAsia="宋体" w:cs="宋体"/>
          <w:color w:val="auto"/>
          <w:sz w:val="24"/>
          <w:szCs w:val="24"/>
          <w:highlight w:val="none"/>
          <w:u w:val="none"/>
        </w:rPr>
      </w:pPr>
    </w:p>
    <w:p w14:paraId="161B5099">
      <w:pPr>
        <w:bidi w:val="0"/>
        <w:spacing w:line="360" w:lineRule="auto"/>
        <w:rPr>
          <w:rFonts w:hint="eastAsia" w:ascii="宋体" w:hAnsi="宋体" w:eastAsia="宋体" w:cs="宋体"/>
          <w:color w:val="auto"/>
          <w:sz w:val="24"/>
          <w:szCs w:val="24"/>
          <w:highlight w:val="none"/>
          <w:u w:val="none"/>
        </w:rPr>
      </w:pPr>
    </w:p>
    <w:p w14:paraId="19DEEAF2">
      <w:pPr>
        <w:bidi w:val="0"/>
        <w:spacing w:line="360" w:lineRule="auto"/>
        <w:rPr>
          <w:rFonts w:hint="eastAsia" w:ascii="宋体" w:hAnsi="宋体" w:eastAsia="宋体" w:cs="宋体"/>
          <w:color w:val="auto"/>
          <w:sz w:val="24"/>
          <w:szCs w:val="24"/>
          <w:highlight w:val="none"/>
          <w:u w:val="none"/>
        </w:rPr>
      </w:pPr>
    </w:p>
    <w:p w14:paraId="6CEB707E">
      <w:pPr>
        <w:pStyle w:val="15"/>
        <w:spacing w:line="360" w:lineRule="auto"/>
        <w:jc w:val="left"/>
        <w:outlineLvl w:val="1"/>
        <w:rPr>
          <w:rStyle w:val="46"/>
          <w:rFonts w:hint="eastAsia"/>
          <w:color w:val="auto"/>
          <w:sz w:val="28"/>
          <w:szCs w:val="28"/>
          <w:highlight w:val="none"/>
          <w:lang w:eastAsia="zh-CN"/>
        </w:rPr>
      </w:pPr>
      <w:bookmarkStart w:id="1380" w:name="_Toc24462"/>
      <w:bookmarkStart w:id="1381" w:name="_Toc7424"/>
      <w:bookmarkStart w:id="1382" w:name="_Toc492300637"/>
    </w:p>
    <w:p w14:paraId="2E8812CA">
      <w:pPr>
        <w:pStyle w:val="15"/>
        <w:spacing w:line="360" w:lineRule="auto"/>
        <w:jc w:val="left"/>
        <w:outlineLvl w:val="1"/>
        <w:rPr>
          <w:rStyle w:val="46"/>
          <w:rFonts w:hint="eastAsia"/>
          <w:color w:val="auto"/>
          <w:sz w:val="28"/>
          <w:szCs w:val="28"/>
          <w:highlight w:val="none"/>
          <w:lang w:eastAsia="zh-CN"/>
        </w:rPr>
      </w:pPr>
    </w:p>
    <w:p w14:paraId="219E74D4">
      <w:pPr>
        <w:pStyle w:val="15"/>
        <w:spacing w:line="360" w:lineRule="auto"/>
        <w:jc w:val="left"/>
        <w:rPr>
          <w:rFonts w:hint="eastAsia" w:ascii="黑体" w:hAnsi="黑体" w:eastAsia="黑体" w:cs="黑体"/>
          <w:color w:val="auto"/>
          <w:sz w:val="32"/>
          <w:szCs w:val="32"/>
          <w:highlight w:val="none"/>
          <w:lang w:eastAsia="zh-CN"/>
        </w:rPr>
      </w:pPr>
      <w:r>
        <w:rPr>
          <w:rStyle w:val="46"/>
          <w:rFonts w:hint="eastAsia"/>
          <w:color w:val="auto"/>
          <w:sz w:val="24"/>
          <w:szCs w:val="24"/>
          <w:highlight w:val="none"/>
          <w:lang w:eastAsia="zh-CN"/>
        </w:rPr>
        <w:br w:type="page"/>
      </w:r>
      <w:bookmarkEnd w:id="1380"/>
      <w:bookmarkEnd w:id="1381"/>
    </w:p>
    <w:p w14:paraId="258806B7">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bookmarkStart w:id="1383" w:name="_Toc7573"/>
      <w:bookmarkStart w:id="1384" w:name="_Toc15305"/>
      <w:bookmarkStart w:id="1385" w:name="_Toc1772"/>
      <w:bookmarkStart w:id="1386" w:name="_Toc17217"/>
      <w:bookmarkStart w:id="1387" w:name="_Toc29256"/>
      <w:bookmarkStart w:id="1388" w:name="_Toc10446"/>
      <w:bookmarkStart w:id="1389" w:name="_Toc8628"/>
      <w:bookmarkStart w:id="1390" w:name="_Toc27477"/>
      <w:bookmarkStart w:id="1391" w:name="_Toc2977"/>
      <w:bookmarkStart w:id="1392" w:name="_Toc18176"/>
      <w:r>
        <w:rPr>
          <w:rFonts w:hint="eastAsia" w:ascii="宋体" w:hAnsi="宋体" w:eastAsia="宋体" w:cs="宋体"/>
          <w:color w:val="auto"/>
          <w:highlight w:val="none"/>
          <w:lang w:eastAsia="zh-CN"/>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合同条款及格式</w:t>
      </w:r>
      <w:bookmarkEnd w:id="1383"/>
      <w:bookmarkEnd w:id="1384"/>
      <w:bookmarkEnd w:id="1385"/>
      <w:bookmarkEnd w:id="1386"/>
      <w:bookmarkEnd w:id="1387"/>
      <w:bookmarkEnd w:id="1388"/>
      <w:bookmarkEnd w:id="1389"/>
      <w:bookmarkEnd w:id="1390"/>
      <w:bookmarkEnd w:id="1391"/>
      <w:bookmarkEnd w:id="1392"/>
    </w:p>
    <w:p w14:paraId="71CCF8D5">
      <w:pPr>
        <w:autoSpaceDE w:val="0"/>
        <w:autoSpaceDN w:val="0"/>
        <w:adjustRightInd w:val="0"/>
        <w:spacing w:line="360" w:lineRule="auto"/>
        <w:rPr>
          <w:rFonts w:hint="eastAsia" w:ascii="宋体" w:hAnsi="宋体" w:cs="宋体"/>
          <w:color w:val="auto"/>
          <w:sz w:val="24"/>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4"/>
          <w:highlight w:val="none"/>
        </w:rPr>
        <w:t>合 同 编 号：</w:t>
      </w:r>
    </w:p>
    <w:p w14:paraId="4E122CA5">
      <w:pPr>
        <w:pStyle w:val="2"/>
        <w:spacing w:line="360" w:lineRule="auto"/>
        <w:rPr>
          <w:rFonts w:hint="eastAsia"/>
          <w:color w:val="auto"/>
          <w:highlight w:val="none"/>
        </w:rPr>
      </w:pPr>
    </w:p>
    <w:p w14:paraId="21565045">
      <w:pPr>
        <w:autoSpaceDE w:val="0"/>
        <w:autoSpaceDN w:val="0"/>
        <w:adjustRightInd w:val="0"/>
        <w:spacing w:line="360" w:lineRule="auto"/>
        <w:jc w:val="center"/>
        <w:rPr>
          <w:rFonts w:hint="eastAsia" w:ascii="宋体" w:hAnsi="宋体" w:cs="宋体"/>
          <w:bCs/>
          <w:color w:val="auto"/>
          <w:spacing w:val="20"/>
          <w:sz w:val="44"/>
          <w:highlight w:val="none"/>
        </w:rPr>
      </w:pPr>
      <w:r>
        <w:rPr>
          <w:rFonts w:hint="eastAsia" w:ascii="宋体" w:hAnsi="宋体" w:cs="宋体"/>
          <w:bCs/>
          <w:color w:val="auto"/>
          <w:sz w:val="44"/>
          <w:highlight w:val="none"/>
        </w:rPr>
        <w:t>建 设 工 程 委 托 监 理 合 同</w:t>
      </w:r>
    </w:p>
    <w:p w14:paraId="1743580B">
      <w:pPr>
        <w:autoSpaceDE w:val="0"/>
        <w:autoSpaceDN w:val="0"/>
        <w:adjustRightInd w:val="0"/>
        <w:spacing w:line="360" w:lineRule="auto"/>
        <w:rPr>
          <w:rFonts w:hint="eastAsia" w:ascii="宋体" w:hAnsi="宋体" w:cs="宋体"/>
          <w:color w:val="auto"/>
          <w:spacing w:val="20"/>
          <w:sz w:val="24"/>
          <w:highlight w:val="none"/>
        </w:rPr>
      </w:pPr>
    </w:p>
    <w:p w14:paraId="579F4259">
      <w:pPr>
        <w:autoSpaceDE w:val="0"/>
        <w:autoSpaceDN w:val="0"/>
        <w:adjustRightInd w:val="0"/>
        <w:spacing w:line="360" w:lineRule="auto"/>
        <w:rPr>
          <w:rFonts w:hint="eastAsia" w:ascii="宋体" w:hAnsi="宋体" w:cs="宋体"/>
          <w:color w:val="auto"/>
          <w:spacing w:val="20"/>
          <w:sz w:val="24"/>
          <w:highlight w:val="none"/>
        </w:rPr>
      </w:pPr>
    </w:p>
    <w:p w14:paraId="72CF6CB9">
      <w:pPr>
        <w:autoSpaceDE w:val="0"/>
        <w:autoSpaceDN w:val="0"/>
        <w:adjustRightInd w:val="0"/>
        <w:spacing w:line="360" w:lineRule="auto"/>
        <w:jc w:val="center"/>
        <w:rPr>
          <w:rFonts w:hint="eastAsia" w:ascii="宋体" w:hAnsi="宋体" w:cs="宋体"/>
          <w:color w:val="auto"/>
          <w:spacing w:val="20"/>
          <w:sz w:val="24"/>
          <w:highlight w:val="none"/>
        </w:rPr>
      </w:pPr>
    </w:p>
    <w:p w14:paraId="24FBDEE0">
      <w:pPr>
        <w:autoSpaceDE w:val="0"/>
        <w:autoSpaceDN w:val="0"/>
        <w:adjustRightInd w:val="0"/>
        <w:spacing w:line="360" w:lineRule="auto"/>
        <w:rPr>
          <w:rFonts w:hint="eastAsia" w:ascii="宋体" w:hAnsi="宋体" w:cs="宋体"/>
          <w:color w:val="auto"/>
          <w:spacing w:val="20"/>
          <w:sz w:val="24"/>
          <w:highlight w:val="none"/>
        </w:rPr>
      </w:pPr>
    </w:p>
    <w:p w14:paraId="6458F627">
      <w:pPr>
        <w:autoSpaceDE w:val="0"/>
        <w:autoSpaceDN w:val="0"/>
        <w:adjustRightInd w:val="0"/>
        <w:spacing w:line="360" w:lineRule="auto"/>
        <w:rPr>
          <w:rFonts w:hint="eastAsia" w:ascii="宋体" w:hAnsi="宋体" w:cs="宋体"/>
          <w:color w:val="auto"/>
          <w:spacing w:val="20"/>
          <w:sz w:val="24"/>
          <w:highlight w:val="none"/>
        </w:rPr>
      </w:pPr>
    </w:p>
    <w:p w14:paraId="1C5C0CE2">
      <w:pPr>
        <w:autoSpaceDE w:val="0"/>
        <w:autoSpaceDN w:val="0"/>
        <w:adjustRightInd w:val="0"/>
        <w:spacing w:line="360" w:lineRule="auto"/>
        <w:rPr>
          <w:rFonts w:hint="eastAsia" w:ascii="宋体" w:hAnsi="宋体" w:cs="宋体"/>
          <w:color w:val="auto"/>
          <w:spacing w:val="20"/>
          <w:sz w:val="24"/>
          <w:highlight w:val="none"/>
        </w:rPr>
      </w:pPr>
    </w:p>
    <w:p w14:paraId="13CA0F19">
      <w:pPr>
        <w:autoSpaceDE w:val="0"/>
        <w:autoSpaceDN w:val="0"/>
        <w:adjustRightInd w:val="0"/>
        <w:spacing w:line="360" w:lineRule="auto"/>
        <w:rPr>
          <w:rFonts w:hint="eastAsia" w:ascii="宋体" w:hAnsi="宋体" w:cs="宋体"/>
          <w:color w:val="auto"/>
          <w:spacing w:val="20"/>
          <w:sz w:val="24"/>
          <w:highlight w:val="none"/>
        </w:rPr>
      </w:pPr>
    </w:p>
    <w:p w14:paraId="79020DF8">
      <w:pPr>
        <w:autoSpaceDE w:val="0"/>
        <w:autoSpaceDN w:val="0"/>
        <w:adjustRightInd w:val="0"/>
        <w:spacing w:line="360" w:lineRule="auto"/>
        <w:rPr>
          <w:rFonts w:hint="eastAsia" w:ascii="宋体" w:hAnsi="宋体" w:cs="宋体"/>
          <w:color w:val="auto"/>
          <w:spacing w:val="20"/>
          <w:sz w:val="24"/>
          <w:highlight w:val="none"/>
        </w:rPr>
      </w:pPr>
    </w:p>
    <w:p w14:paraId="3905F93E">
      <w:pPr>
        <w:spacing w:line="360" w:lineRule="auto"/>
        <w:ind w:left="2319" w:leftChars="590" w:hanging="1080" w:hangingChars="450"/>
        <w:rPr>
          <w:rFonts w:ascii="宋体" w:hAnsi="宋体" w:cs="宋体"/>
          <w:color w:val="auto"/>
          <w:sz w:val="24"/>
          <w:highlight w:val="none"/>
          <w:u w:val="single"/>
        </w:rPr>
      </w:pPr>
      <w:r>
        <w:rPr>
          <w:rFonts w:hint="eastAsia" w:ascii="宋体" w:hAnsi="宋体" w:cs="宋体"/>
          <w:color w:val="auto"/>
          <w:sz w:val="24"/>
          <w:highlight w:val="none"/>
        </w:rPr>
        <w:t>工程名称：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元岗北路建设工程监理</w:t>
      </w:r>
      <w:r>
        <w:rPr>
          <w:rFonts w:hint="eastAsia" w:ascii="宋体" w:hAnsi="宋体" w:cs="宋体"/>
          <w:color w:val="auto"/>
          <w:sz w:val="24"/>
          <w:highlight w:val="none"/>
          <w:u w:val="single"/>
        </w:rPr>
        <w:t xml:space="preserve"> </w:t>
      </w:r>
    </w:p>
    <w:p w14:paraId="1E01A3A2">
      <w:pPr>
        <w:spacing w:line="360" w:lineRule="auto"/>
        <w:ind w:left="2319" w:leftChars="590" w:hanging="1080" w:hangingChars="450"/>
        <w:rPr>
          <w:rFonts w:hint="eastAsia" w:ascii="宋体" w:hAnsi="宋体" w:cs="宋体"/>
          <w:color w:val="auto"/>
          <w:sz w:val="24"/>
          <w:highlight w:val="none"/>
          <w:u w:val="single"/>
        </w:rPr>
      </w:pPr>
      <w:r>
        <w:rPr>
          <w:rFonts w:hint="eastAsia" w:ascii="宋体" w:hAnsi="宋体" w:cs="宋体"/>
          <w:color w:val="auto"/>
          <w:sz w:val="24"/>
          <w:highlight w:val="none"/>
        </w:rPr>
        <w:t>工程地点：</w:t>
      </w:r>
      <w:r>
        <w:rPr>
          <w:rFonts w:hint="eastAsia" w:ascii="宋体" w:hAnsi="宋体" w:cs="宋体"/>
          <w:color w:val="auto"/>
          <w:sz w:val="24"/>
          <w:highlight w:val="none"/>
          <w:u w:val="single"/>
        </w:rPr>
        <w:t xml:space="preserve"> 广州市天河区  </w:t>
      </w:r>
    </w:p>
    <w:p w14:paraId="7AD31883">
      <w:pPr>
        <w:spacing w:line="360" w:lineRule="auto"/>
        <w:ind w:left="2319" w:leftChars="590" w:hanging="1080" w:hangingChars="450"/>
        <w:rPr>
          <w:rFonts w:ascii="宋体" w:hAnsi="宋体" w:cs="宋体"/>
          <w:color w:val="auto"/>
          <w:sz w:val="24"/>
          <w:highlight w:val="none"/>
        </w:rPr>
      </w:pPr>
      <w:r>
        <w:rPr>
          <w:rFonts w:hint="eastAsia" w:ascii="宋体" w:hAnsi="宋体" w:cs="宋体"/>
          <w:color w:val="auto"/>
          <w:sz w:val="24"/>
          <w:highlight w:val="none"/>
        </w:rPr>
        <w:t>委 托 人：</w:t>
      </w:r>
      <w:r>
        <w:rPr>
          <w:rFonts w:hint="eastAsia" w:ascii="宋体" w:hAnsi="宋体" w:cs="宋体"/>
          <w:color w:val="auto"/>
          <w:sz w:val="24"/>
          <w:highlight w:val="none"/>
          <w:u w:val="single"/>
        </w:rPr>
        <w:t xml:space="preserve">广州市天河区建设工程项目代建局          </w:t>
      </w:r>
    </w:p>
    <w:p w14:paraId="2C14B9CD">
      <w:pPr>
        <w:spacing w:line="360" w:lineRule="auto"/>
        <w:ind w:left="2319" w:leftChars="590" w:hanging="1080" w:hangingChars="450"/>
        <w:rPr>
          <w:rFonts w:hint="eastAsia" w:ascii="宋体" w:hAnsi="宋体" w:cs="宋体"/>
          <w:color w:val="auto"/>
          <w:sz w:val="24"/>
          <w:highlight w:val="none"/>
          <w:u w:val="single"/>
        </w:rPr>
      </w:pPr>
      <w:r>
        <w:rPr>
          <w:rFonts w:hint="eastAsia" w:ascii="宋体" w:hAnsi="宋体" w:cs="宋体"/>
          <w:color w:val="auto"/>
          <w:sz w:val="24"/>
          <w:highlight w:val="none"/>
        </w:rPr>
        <w:t>监 理 人：</w:t>
      </w:r>
      <w:r>
        <w:rPr>
          <w:rFonts w:hint="eastAsia" w:ascii="宋体" w:hAnsi="宋体" w:cs="宋体"/>
          <w:color w:val="auto"/>
          <w:sz w:val="24"/>
          <w:highlight w:val="none"/>
          <w:u w:val="single"/>
        </w:rPr>
        <w:t xml:space="preserve">                                        </w:t>
      </w:r>
    </w:p>
    <w:p w14:paraId="6EB24888">
      <w:pPr>
        <w:autoSpaceDE w:val="0"/>
        <w:autoSpaceDN w:val="0"/>
        <w:adjustRightInd w:val="0"/>
        <w:spacing w:line="360" w:lineRule="auto"/>
        <w:rPr>
          <w:rFonts w:hint="eastAsia" w:ascii="宋体" w:hAnsi="宋体" w:cs="宋体"/>
          <w:color w:val="auto"/>
          <w:spacing w:val="20"/>
          <w:sz w:val="24"/>
          <w:highlight w:val="none"/>
        </w:rPr>
      </w:pPr>
    </w:p>
    <w:p w14:paraId="4E82B3D1">
      <w:pPr>
        <w:autoSpaceDE w:val="0"/>
        <w:autoSpaceDN w:val="0"/>
        <w:adjustRightInd w:val="0"/>
        <w:spacing w:line="360" w:lineRule="auto"/>
        <w:rPr>
          <w:rFonts w:hint="eastAsia" w:ascii="宋体" w:hAnsi="宋体" w:cs="宋体"/>
          <w:color w:val="auto"/>
          <w:spacing w:val="20"/>
          <w:sz w:val="24"/>
          <w:highlight w:val="none"/>
        </w:rPr>
      </w:pPr>
    </w:p>
    <w:p w14:paraId="1E5871A9">
      <w:pPr>
        <w:autoSpaceDE w:val="0"/>
        <w:autoSpaceDN w:val="0"/>
        <w:adjustRightInd w:val="0"/>
        <w:spacing w:line="360" w:lineRule="auto"/>
        <w:rPr>
          <w:rFonts w:hint="eastAsia" w:ascii="宋体" w:hAnsi="宋体" w:cs="宋体"/>
          <w:color w:val="auto"/>
          <w:spacing w:val="20"/>
          <w:sz w:val="24"/>
          <w:highlight w:val="none"/>
        </w:rPr>
      </w:pPr>
    </w:p>
    <w:p w14:paraId="32B7E1A9">
      <w:pPr>
        <w:autoSpaceDE w:val="0"/>
        <w:autoSpaceDN w:val="0"/>
        <w:adjustRightInd w:val="0"/>
        <w:spacing w:line="360" w:lineRule="auto"/>
        <w:jc w:val="center"/>
        <w:rPr>
          <w:rFonts w:hint="eastAsia" w:ascii="宋体" w:hAnsi="宋体" w:cs="宋体"/>
          <w:color w:val="auto"/>
          <w:spacing w:val="20"/>
          <w:sz w:val="24"/>
          <w:highlight w:val="none"/>
        </w:rPr>
      </w:pPr>
      <w:r>
        <w:rPr>
          <w:rFonts w:hint="eastAsia" w:ascii="宋体" w:hAnsi="宋体" w:cs="宋体"/>
          <w:color w:val="auto"/>
          <w:sz w:val="24"/>
          <w:highlight w:val="none"/>
        </w:rPr>
        <w:t>住房和城乡建设部</w:t>
      </w:r>
    </w:p>
    <w:p w14:paraId="6616019E">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制定</w:t>
      </w:r>
    </w:p>
    <w:p w14:paraId="26460F2A">
      <w:pPr>
        <w:autoSpaceDE w:val="0"/>
        <w:autoSpaceDN w:val="0"/>
        <w:adjustRightInd w:val="0"/>
        <w:spacing w:line="360" w:lineRule="auto"/>
        <w:jc w:val="center"/>
        <w:rPr>
          <w:rFonts w:hint="eastAsia" w:ascii="宋体" w:hAnsi="宋体" w:cs="宋体"/>
          <w:color w:val="auto"/>
          <w:spacing w:val="20"/>
          <w:sz w:val="24"/>
          <w:highlight w:val="none"/>
        </w:rPr>
      </w:pPr>
      <w:r>
        <w:rPr>
          <w:rFonts w:hint="eastAsia" w:ascii="宋体" w:hAnsi="宋体" w:cs="宋体"/>
          <w:color w:val="auto"/>
          <w:sz w:val="24"/>
          <w:highlight w:val="none"/>
        </w:rPr>
        <w:t>国家工商行政管理局</w:t>
      </w:r>
    </w:p>
    <w:p w14:paraId="5D4913C7">
      <w:pPr>
        <w:autoSpaceDE w:val="0"/>
        <w:autoSpaceDN w:val="0"/>
        <w:adjustRightInd w:val="0"/>
        <w:spacing w:line="360" w:lineRule="auto"/>
        <w:rPr>
          <w:rFonts w:hint="eastAsia" w:ascii="宋体" w:hAnsi="宋体" w:cs="宋体"/>
          <w:color w:val="auto"/>
          <w:spacing w:val="20"/>
          <w:sz w:val="24"/>
          <w:highlight w:val="none"/>
        </w:rPr>
      </w:pPr>
    </w:p>
    <w:p w14:paraId="4678A83B">
      <w:pPr>
        <w:autoSpaceDE w:val="0"/>
        <w:autoSpaceDN w:val="0"/>
        <w:adjustRightInd w:val="0"/>
        <w:spacing w:line="360" w:lineRule="auto"/>
        <w:rPr>
          <w:rFonts w:hint="eastAsia" w:ascii="宋体" w:hAnsi="宋体" w:cs="宋体"/>
          <w:color w:val="auto"/>
          <w:spacing w:val="20"/>
          <w:sz w:val="24"/>
          <w:highlight w:val="none"/>
        </w:rPr>
      </w:pPr>
    </w:p>
    <w:p w14:paraId="2949E7EC">
      <w:pPr>
        <w:adjustRightInd w:val="0"/>
        <w:snapToGrid w:val="0"/>
        <w:spacing w:line="360" w:lineRule="auto"/>
        <w:ind w:right="11"/>
        <w:jc w:val="center"/>
        <w:rPr>
          <w:rFonts w:hint="eastAsia"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br w:type="page"/>
      </w:r>
      <w:r>
        <w:rPr>
          <w:rFonts w:hint="eastAsia" w:ascii="宋体" w:hAnsi="宋体" w:cs="宋体"/>
          <w:b/>
          <w:snapToGrid w:val="0"/>
          <w:color w:val="auto"/>
          <w:kern w:val="0"/>
          <w:sz w:val="32"/>
          <w:szCs w:val="32"/>
          <w:highlight w:val="none"/>
        </w:rPr>
        <w:t>使 用 说 明</w:t>
      </w:r>
    </w:p>
    <w:p w14:paraId="2D0DB827">
      <w:pPr>
        <w:adjustRightInd w:val="0"/>
        <w:snapToGrid w:val="0"/>
        <w:spacing w:line="360" w:lineRule="auto"/>
        <w:ind w:right="11"/>
        <w:rPr>
          <w:rFonts w:hint="eastAsia" w:ascii="宋体" w:hAnsi="宋体" w:cs="宋体"/>
          <w:snapToGrid w:val="0"/>
          <w:color w:val="auto"/>
          <w:kern w:val="0"/>
          <w:sz w:val="24"/>
          <w:highlight w:val="none"/>
        </w:rPr>
      </w:pPr>
    </w:p>
    <w:p w14:paraId="5AD1FE25">
      <w:pPr>
        <w:adjustRightInd w:val="0"/>
        <w:snapToGrid w:val="0"/>
        <w:spacing w:line="360" w:lineRule="auto"/>
        <w:ind w:right="11"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合同范本根据我局实际情况，以及参考《建设工程监理合同（示范文本）》（GF－2012－0202）编制，由《委托监理协议书》、《标准条件》、《专用条件》和《合同附件》四大部分组成。《委托监理协议书》中需要根据工程项目实际情况编写的内容按标准化模式设置可选项，采用“×”或“</w:t>
      </w:r>
      <w:r>
        <w:rPr>
          <w:rFonts w:ascii="Arial" w:hAnsi="Arial" w:cs="Arial"/>
          <w:snapToGrid w:val="0"/>
          <w:color w:val="auto"/>
          <w:kern w:val="0"/>
          <w:szCs w:val="21"/>
          <w:highlight w:val="none"/>
        </w:rPr>
        <w:t>√</w:t>
      </w:r>
      <w:r>
        <w:rPr>
          <w:rFonts w:hint="eastAsia" w:ascii="宋体" w:hAnsi="宋体" w:cs="宋体"/>
          <w:snapToGrid w:val="0"/>
          <w:color w:val="auto"/>
          <w:kern w:val="0"/>
          <w:szCs w:val="21"/>
          <w:highlight w:val="none"/>
        </w:rPr>
        <w:t>”予以选择。合同中此部分内容，标注“×”的选项即为本合同不采用，标注“</w:t>
      </w:r>
      <w:r>
        <w:rPr>
          <w:rFonts w:ascii="Arial" w:hAnsi="Arial" w:cs="Arial"/>
          <w:snapToGrid w:val="0"/>
          <w:color w:val="auto"/>
          <w:kern w:val="0"/>
          <w:szCs w:val="21"/>
          <w:highlight w:val="none"/>
        </w:rPr>
        <w:t>√</w:t>
      </w:r>
      <w:r>
        <w:rPr>
          <w:rFonts w:hint="eastAsia" w:ascii="宋体" w:hAnsi="宋体" w:cs="宋体"/>
          <w:snapToGrid w:val="0"/>
          <w:color w:val="auto"/>
          <w:kern w:val="0"/>
          <w:szCs w:val="21"/>
          <w:highlight w:val="none"/>
        </w:rPr>
        <w:t>”的选项为本合同采用。廉政合同作为本合同的附件，与合同正文一同签署、装订。</w:t>
      </w:r>
    </w:p>
    <w:p w14:paraId="03D3D387">
      <w:pPr>
        <w:adjustRightInd w:val="0"/>
        <w:snapToGrid w:val="0"/>
        <w:spacing w:line="360" w:lineRule="auto"/>
        <w:ind w:right="11" w:firstLine="883" w:firstLineChars="200"/>
        <w:outlineLvl w:val="1"/>
        <w:rPr>
          <w:rFonts w:hint="eastAsia"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br w:type="page"/>
      </w:r>
      <w:bookmarkStart w:id="1393" w:name="_Toc11136"/>
      <w:bookmarkStart w:id="1394" w:name="_Toc31355"/>
      <w:bookmarkStart w:id="1395" w:name="_Toc14364"/>
      <w:bookmarkStart w:id="1396" w:name="_Toc24949"/>
      <w:r>
        <w:rPr>
          <w:rFonts w:hint="eastAsia" w:ascii="宋体" w:hAnsi="宋体" w:cs="宋体"/>
          <w:b/>
          <w:snapToGrid w:val="0"/>
          <w:color w:val="auto"/>
          <w:kern w:val="0"/>
          <w:sz w:val="44"/>
          <w:szCs w:val="44"/>
          <w:highlight w:val="none"/>
          <w:lang w:bidi="ar"/>
        </w:rPr>
        <w:t>第一部分</w:t>
      </w:r>
      <w:r>
        <w:rPr>
          <w:rFonts w:hint="eastAsia" w:ascii="宋体" w:hAnsi="宋体" w:cs="宋体"/>
          <w:b/>
          <w:color w:val="auto"/>
          <w:kern w:val="0"/>
          <w:sz w:val="44"/>
          <w:szCs w:val="44"/>
          <w:highlight w:val="none"/>
          <w:lang w:bidi="ar"/>
        </w:rPr>
        <w:t xml:space="preserve">  </w:t>
      </w:r>
      <w:r>
        <w:rPr>
          <w:rFonts w:hint="eastAsia" w:ascii="宋体" w:hAnsi="宋体" w:cs="宋体"/>
          <w:b/>
          <w:snapToGrid w:val="0"/>
          <w:color w:val="auto"/>
          <w:kern w:val="0"/>
          <w:sz w:val="44"/>
          <w:szCs w:val="44"/>
          <w:highlight w:val="none"/>
          <w:lang w:bidi="ar"/>
        </w:rPr>
        <w:t>建设工程委托监理协议书</w:t>
      </w:r>
      <w:bookmarkEnd w:id="1393"/>
      <w:bookmarkEnd w:id="1394"/>
      <w:bookmarkEnd w:id="1395"/>
      <w:bookmarkEnd w:id="1396"/>
    </w:p>
    <w:p w14:paraId="7F31595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广州市天河区建设工程项目代建局（以下称委托人）与</w:t>
      </w:r>
      <w:r>
        <w:rPr>
          <w:rFonts w:hint="eastAsia" w:ascii="宋体" w:hAnsi="宋体" w:cs="宋体"/>
          <w:color w:val="auto"/>
          <w:sz w:val="24"/>
          <w:highlight w:val="none"/>
          <w:u w:val="single"/>
          <w:lang w:bidi="ar"/>
        </w:rPr>
        <w:t xml:space="preserve">                    </w:t>
      </w:r>
      <w:r>
        <w:rPr>
          <w:rFonts w:hint="eastAsia" w:ascii="宋体" w:hAnsi="宋体" w:cs="宋体"/>
          <w:snapToGrid w:val="0"/>
          <w:color w:val="auto"/>
          <w:kern w:val="0"/>
          <w:szCs w:val="21"/>
          <w:highlight w:val="none"/>
          <w:lang w:bidi="ar"/>
        </w:rPr>
        <w:t>（以下称监理人）依照《中华人民共和国民法典》、《中华人民共和国建筑法》和他有关法律、行政法规、部门规章、地方性法规、规章，以及国家和广东省、广州市、天河区的有关文件，遵循平等、自愿、公平和诚实信用的原则，双方就委托人委托监理人对</w:t>
      </w:r>
      <w:r>
        <w:rPr>
          <w:rFonts w:hint="eastAsia" w:ascii="宋体" w:hAnsi="宋体" w:cs="宋体"/>
          <w:snapToGrid w:val="0"/>
          <w:color w:val="auto"/>
          <w:kern w:val="0"/>
          <w:szCs w:val="21"/>
          <w:highlight w:val="none"/>
          <w:u w:val="single"/>
          <w:lang w:bidi="ar"/>
        </w:rPr>
        <w:t>元岗北路建设工程</w:t>
      </w:r>
      <w:r>
        <w:rPr>
          <w:rFonts w:hint="eastAsia" w:ascii="宋体" w:hAnsi="宋体" w:cs="宋体"/>
          <w:color w:val="auto"/>
          <w:szCs w:val="21"/>
          <w:highlight w:val="none"/>
          <w:lang w:bidi="ar"/>
        </w:rPr>
        <w:t>项目</w:t>
      </w:r>
      <w:r>
        <w:rPr>
          <w:rFonts w:hint="eastAsia" w:ascii="宋体" w:hAnsi="宋体" w:cs="宋体"/>
          <w:snapToGrid w:val="0"/>
          <w:color w:val="auto"/>
          <w:kern w:val="0"/>
          <w:szCs w:val="21"/>
          <w:highlight w:val="none"/>
          <w:lang w:bidi="ar"/>
        </w:rPr>
        <w:t>进行监理之事宜协商达成一致，订立本合同，以资双方共同遵守。</w:t>
      </w:r>
    </w:p>
    <w:p w14:paraId="089282AF">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一、</w:t>
      </w:r>
      <w:r>
        <w:rPr>
          <w:rFonts w:hint="eastAsia" w:ascii="宋体" w:hAnsi="宋体" w:cs="宋体"/>
          <w:snapToGrid w:val="0"/>
          <w:color w:val="auto"/>
          <w:kern w:val="0"/>
          <w:szCs w:val="21"/>
          <w:highlight w:val="none"/>
          <w:lang w:bidi="ar"/>
        </w:rPr>
        <w:t>监理工程概况</w:t>
      </w:r>
    </w:p>
    <w:p w14:paraId="10AE9E0D">
      <w:pPr>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）工程名称：</w:t>
      </w:r>
      <w:r>
        <w:rPr>
          <w:rFonts w:hint="eastAsia" w:ascii="宋体" w:hAnsi="宋体" w:cs="宋体"/>
          <w:snapToGrid w:val="0"/>
          <w:color w:val="auto"/>
          <w:kern w:val="0"/>
          <w:szCs w:val="21"/>
          <w:highlight w:val="none"/>
          <w:u w:val="single"/>
          <w:lang w:bidi="ar"/>
        </w:rPr>
        <w:t xml:space="preserve"> </w:t>
      </w:r>
      <w:r>
        <w:rPr>
          <w:rFonts w:hint="eastAsia" w:ascii="宋体" w:hAnsi="宋体" w:cs="宋体"/>
          <w:snapToGrid w:val="0"/>
          <w:color w:val="auto"/>
          <w:kern w:val="0"/>
          <w:szCs w:val="21"/>
          <w:highlight w:val="none"/>
          <w:u w:val="single"/>
          <w:lang w:eastAsia="zh-CN" w:bidi="ar"/>
        </w:rPr>
        <w:t>元岗北路建设工程监理</w:t>
      </w:r>
      <w:r>
        <w:rPr>
          <w:rFonts w:hint="eastAsia" w:ascii="宋体" w:hAnsi="宋体" w:cs="宋体"/>
          <w:color w:val="auto"/>
          <w:szCs w:val="21"/>
          <w:highlight w:val="none"/>
          <w:u w:val="single"/>
          <w:lang w:bidi="ar"/>
        </w:rPr>
        <w:t xml:space="preserve"> </w:t>
      </w:r>
    </w:p>
    <w:p w14:paraId="620EF171">
      <w:pPr>
        <w:adjustRightInd w:val="0"/>
        <w:snapToGri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）工程地点：</w:t>
      </w:r>
      <w:r>
        <w:rPr>
          <w:rFonts w:hint="eastAsia" w:ascii="宋体" w:hAnsi="宋体" w:cs="宋体"/>
          <w:snapToGrid w:val="0"/>
          <w:color w:val="auto"/>
          <w:kern w:val="0"/>
          <w:szCs w:val="21"/>
          <w:highlight w:val="none"/>
          <w:u w:val="single"/>
        </w:rPr>
        <w:t>本工程位于广州市天河区元岗街道，元岗北路呈南北走向，南起元岗横路，北至中成路以北酷车城内，由南至北穿越谷裕市场</w:t>
      </w:r>
      <w:r>
        <w:rPr>
          <w:rFonts w:hint="eastAsia" w:ascii="宋体" w:hAnsi="宋体" w:cs="宋体"/>
          <w:snapToGrid w:val="0"/>
          <w:color w:val="auto"/>
          <w:kern w:val="0"/>
          <w:szCs w:val="21"/>
          <w:highlight w:val="none"/>
          <w:u w:val="single"/>
          <w:lang w:bidi="ar"/>
        </w:rPr>
        <w:t>。</w:t>
      </w:r>
    </w:p>
    <w:p w14:paraId="7C68A63D">
      <w:pPr>
        <w:adjustRightInd w:val="0"/>
        <w:snapToGri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lang w:bidi="ar"/>
        </w:rPr>
        <w:t>（3）工程规模：</w:t>
      </w:r>
      <w:r>
        <w:rPr>
          <w:rFonts w:hint="eastAsia" w:ascii="宋体" w:hAnsi="宋体" w:cs="宋体"/>
          <w:snapToGrid w:val="0"/>
          <w:color w:val="auto"/>
          <w:kern w:val="0"/>
          <w:szCs w:val="21"/>
          <w:highlight w:val="none"/>
          <w:u w:val="single"/>
        </w:rPr>
        <w:t>元岗北路全长约1.123千米，道路等级为城市次干路，设计速度为50千米/小时，规划路宽40米，双向四车道。</w:t>
      </w:r>
    </w:p>
    <w:p w14:paraId="7818CD9D">
      <w:pPr>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u w:val="single"/>
          <w:lang w:val="en-US" w:eastAsia="zh-CN" w:bidi="ar-SA"/>
        </w:rPr>
      </w:pPr>
      <w:r>
        <w:rPr>
          <w:rFonts w:hint="eastAsia" w:ascii="宋体" w:hAnsi="宋体" w:cs="宋体"/>
          <w:snapToGrid w:val="0"/>
          <w:color w:val="auto"/>
          <w:kern w:val="0"/>
          <w:szCs w:val="21"/>
          <w:highlight w:val="none"/>
          <w:u w:val="single"/>
        </w:rPr>
        <w:t>建设内容包括：道路工程、交通工程、排水工程、照明工程、电力管沟工程、绿化工程等。</w:t>
      </w:r>
    </w:p>
    <w:p w14:paraId="5902BC5E">
      <w:pPr>
        <w:adjustRightInd w:val="0"/>
        <w:snapToGrid w:val="0"/>
        <w:spacing w:line="360" w:lineRule="auto"/>
        <w:ind w:firstLine="420" w:firstLineChars="200"/>
        <w:rPr>
          <w:rFonts w:hint="eastAsia" w:ascii="宋体" w:hAnsi="宋体" w:cs="宋体"/>
          <w:snapToGrid w:val="0"/>
          <w:color w:val="auto"/>
          <w:kern w:val="0"/>
          <w:szCs w:val="21"/>
          <w:highlight w:val="none"/>
          <w:lang w:bidi="ar"/>
        </w:rPr>
      </w:pPr>
      <w:r>
        <w:rPr>
          <w:rFonts w:hint="eastAsia" w:ascii="宋体" w:hAnsi="宋体" w:cs="宋体"/>
          <w:snapToGrid w:val="0"/>
          <w:color w:val="auto"/>
          <w:kern w:val="0"/>
          <w:szCs w:val="21"/>
          <w:highlight w:val="none"/>
          <w:lang w:bidi="ar"/>
        </w:rPr>
        <w:t>（4）</w:t>
      </w:r>
      <w:r>
        <w:rPr>
          <w:rFonts w:hint="default" w:ascii="宋体" w:hAnsi="宋体" w:eastAsia="宋体"/>
          <w:color w:val="auto"/>
          <w:sz w:val="21"/>
          <w:szCs w:val="21"/>
          <w:highlight w:val="none"/>
        </w:rPr>
        <w:t>项目估算总投资</w:t>
      </w:r>
      <w:r>
        <w:rPr>
          <w:rFonts w:hint="default" w:ascii="宋体" w:hAnsi="Times New Roman" w:eastAsia="宋体"/>
          <w:color w:val="auto"/>
          <w:sz w:val="21"/>
          <w:szCs w:val="21"/>
          <w:highlight w:val="none"/>
        </w:rPr>
        <w:t>：</w:t>
      </w:r>
      <w:r>
        <w:rPr>
          <w:rFonts w:hint="eastAsia" w:ascii="宋体" w:hAnsi="宋体"/>
          <w:color w:val="auto"/>
          <w:sz w:val="21"/>
          <w:szCs w:val="21"/>
          <w:highlight w:val="none"/>
          <w:u w:val="single"/>
        </w:rPr>
        <w:t>约11989万元，其中工程费用约8458.16万元</w:t>
      </w:r>
      <w:r>
        <w:rPr>
          <w:rFonts w:hint="eastAsia" w:ascii="宋体" w:hAnsi="宋体"/>
          <w:color w:val="auto"/>
          <w:sz w:val="21"/>
          <w:szCs w:val="21"/>
          <w:highlight w:val="none"/>
          <w:u w:val="single"/>
          <w:lang w:eastAsia="zh-CN"/>
        </w:rPr>
        <w:t>（含通讯迁改费</w:t>
      </w:r>
      <w:r>
        <w:rPr>
          <w:rFonts w:hint="eastAsia" w:ascii="宋体" w:hAnsi="宋体"/>
          <w:color w:val="auto"/>
          <w:sz w:val="21"/>
          <w:szCs w:val="21"/>
          <w:highlight w:val="none"/>
          <w:u w:val="single"/>
          <w:lang w:val="en-US" w:eastAsia="zh-CN"/>
        </w:rPr>
        <w:t>105.16万元</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，工程建设其他费约3356万元，预备费约280万元</w:t>
      </w:r>
      <w:r>
        <w:rPr>
          <w:rFonts w:hint="eastAsia" w:ascii="宋体" w:hAnsi="宋体" w:cs="宋体"/>
          <w:snapToGrid w:val="0"/>
          <w:color w:val="auto"/>
          <w:kern w:val="0"/>
          <w:szCs w:val="21"/>
          <w:highlight w:val="none"/>
          <w:lang w:bidi="ar"/>
        </w:rPr>
        <w:t>。</w:t>
      </w:r>
    </w:p>
    <w:p w14:paraId="6FAB146F">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）质量标准：</w:t>
      </w:r>
      <w:r>
        <w:rPr>
          <w:rFonts w:hint="eastAsia" w:ascii="宋体" w:hAnsi="宋体" w:cs="宋体"/>
          <w:bCs/>
          <w:color w:val="auto"/>
          <w:kern w:val="0"/>
          <w:szCs w:val="21"/>
          <w:highlight w:val="none"/>
          <w:lang w:bidi="ar"/>
        </w:rPr>
        <w:t>达到工程施工质量验收规范合格标准及国家现行相关专业有关施工质量验收规范标准，一次验收合格，且与施工单位承诺的质量目标一致，且：</w:t>
      </w:r>
    </w:p>
    <w:p w14:paraId="1511AD52">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 xml:space="preserve">  1</w:t>
      </w:r>
      <w:r>
        <w:rPr>
          <w:rFonts w:hint="eastAsia" w:ascii="宋体" w:hAnsi="宋体" w:cs="宋体"/>
          <w:bCs/>
          <w:snapToGrid w:val="0"/>
          <w:color w:val="auto"/>
          <w:kern w:val="0"/>
          <w:szCs w:val="21"/>
          <w:highlight w:val="none"/>
          <w:lang w:bidi="ar"/>
        </w:rPr>
        <w:t>）争创广州市优良样板工程。</w:t>
      </w:r>
    </w:p>
    <w:p w14:paraId="5E3B5A19">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 xml:space="preserve">  2</w:t>
      </w:r>
      <w:r>
        <w:rPr>
          <w:rFonts w:hint="eastAsia" w:ascii="宋体" w:hAnsi="宋体" w:cs="宋体"/>
          <w:bCs/>
          <w:snapToGrid w:val="0"/>
          <w:color w:val="auto"/>
          <w:kern w:val="0"/>
          <w:szCs w:val="21"/>
          <w:highlight w:val="none"/>
          <w:lang w:bidi="ar"/>
        </w:rPr>
        <w:t>）确保广州市优良样板工程，争创广东省优良样板工程。</w:t>
      </w:r>
    </w:p>
    <w:p w14:paraId="7BB53DDA">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 xml:space="preserve">  3</w:t>
      </w:r>
      <w:r>
        <w:rPr>
          <w:rFonts w:hint="eastAsia" w:ascii="宋体" w:hAnsi="宋体" w:cs="宋体"/>
          <w:bCs/>
          <w:snapToGrid w:val="0"/>
          <w:color w:val="auto"/>
          <w:kern w:val="0"/>
          <w:szCs w:val="21"/>
          <w:highlight w:val="none"/>
          <w:lang w:bidi="ar"/>
        </w:rPr>
        <w:t>）确保广东省优良样板工程，争创国家优质工程。</w:t>
      </w:r>
    </w:p>
    <w:p w14:paraId="6F9E2620">
      <w:pPr>
        <w:adjustRightInd w:val="0"/>
        <w:snapToGrid w:val="0"/>
        <w:spacing w:line="360" w:lineRule="auto"/>
        <w:ind w:firstLine="420" w:firstLineChars="200"/>
        <w:rPr>
          <w:rFonts w:hint="eastAsia" w:ascii="宋体" w:hAnsi="宋体" w:cs="宋体"/>
          <w:snapToGrid w:val="0"/>
          <w:color w:val="auto"/>
          <w:kern w:val="0"/>
          <w:szCs w:val="21"/>
          <w:highlight w:val="none"/>
          <w:lang w:val="zh-CN"/>
        </w:rPr>
      </w:pPr>
      <w:r>
        <w:rPr>
          <w:rFonts w:hint="eastAsia" w:ascii="宋体" w:hAnsi="宋体" w:cs="宋体"/>
          <w:bCs/>
          <w:snapToGrid w:val="0"/>
          <w:color w:val="auto"/>
          <w:kern w:val="0"/>
          <w:szCs w:val="21"/>
          <w:highlight w:val="none"/>
          <w:lang w:eastAsia="zh-CN" w:bidi="ar"/>
        </w:rPr>
        <w:t>□</w:t>
      </w:r>
      <w:r>
        <w:rPr>
          <w:rFonts w:hint="eastAsia" w:ascii="宋体" w:hAnsi="宋体" w:cs="宋体"/>
          <w:bCs/>
          <w:color w:val="auto"/>
          <w:kern w:val="0"/>
          <w:szCs w:val="21"/>
          <w:highlight w:val="none"/>
          <w:lang w:bidi="ar"/>
        </w:rPr>
        <w:t xml:space="preserve">  4</w:t>
      </w:r>
      <w:r>
        <w:rPr>
          <w:rFonts w:hint="eastAsia" w:ascii="宋体" w:hAnsi="宋体" w:cs="宋体"/>
          <w:bCs/>
          <w:snapToGrid w:val="0"/>
          <w:color w:val="auto"/>
          <w:kern w:val="0"/>
          <w:szCs w:val="21"/>
          <w:highlight w:val="none"/>
          <w:lang w:bidi="ar"/>
        </w:rPr>
        <w:t>）其他</w:t>
      </w:r>
      <w:r>
        <w:rPr>
          <w:rFonts w:hint="eastAsia" w:ascii="宋体" w:hAnsi="宋体" w:cs="宋体"/>
          <w:snapToGrid w:val="0"/>
          <w:color w:val="auto"/>
          <w:kern w:val="0"/>
          <w:szCs w:val="21"/>
          <w:highlight w:val="none"/>
          <w:lang w:val="zh-CN" w:bidi="ar"/>
        </w:rPr>
        <w:t>：</w:t>
      </w:r>
      <w:r>
        <w:rPr>
          <w:rFonts w:hint="eastAsia" w:ascii="宋体" w:hAnsi="宋体" w:cs="宋体"/>
          <w:snapToGrid w:val="0"/>
          <w:color w:val="auto"/>
          <w:kern w:val="0"/>
          <w:szCs w:val="21"/>
          <w:highlight w:val="none"/>
          <w:u w:val="single"/>
          <w:lang w:val="en-US" w:eastAsia="zh-CN" w:bidi="ar"/>
        </w:rPr>
        <w:t>/</w:t>
      </w:r>
      <w:r>
        <w:rPr>
          <w:rFonts w:hint="eastAsia" w:ascii="宋体" w:hAnsi="宋体" w:cs="宋体"/>
          <w:snapToGrid w:val="0"/>
          <w:color w:val="auto"/>
          <w:kern w:val="0"/>
          <w:szCs w:val="21"/>
          <w:highlight w:val="none"/>
          <w:u w:val="single"/>
          <w:lang w:val="zh-CN" w:bidi="ar"/>
        </w:rPr>
        <w:t xml:space="preserve"> </w:t>
      </w:r>
      <w:r>
        <w:rPr>
          <w:rFonts w:hint="eastAsia" w:ascii="宋体" w:hAnsi="宋体" w:cs="宋体"/>
          <w:snapToGrid w:val="0"/>
          <w:color w:val="auto"/>
          <w:kern w:val="0"/>
          <w:szCs w:val="21"/>
          <w:highlight w:val="none"/>
          <w:lang w:val="zh-CN" w:bidi="ar"/>
        </w:rPr>
        <w:t>。</w:t>
      </w:r>
    </w:p>
    <w:p w14:paraId="069D4BF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）合同工期：监理服务期自监理人收到中标通知书或签订监理合同（以时间最早发生的为准）之日起，至本合同工程保修期结束且本合同工程结算经政府终审部门审定之日止。</w:t>
      </w:r>
    </w:p>
    <w:p w14:paraId="54068079">
      <w:pPr>
        <w:pStyle w:val="26"/>
        <w:widowControl w:val="0"/>
        <w:spacing w:before="0" w:beforeAutospacing="0" w:after="120" w:afterAutospacing="0" w:line="360" w:lineRule="auto"/>
        <w:ind w:firstLine="420" w:firstLineChars="200"/>
        <w:jc w:val="both"/>
        <w:rPr>
          <w:color w:val="auto"/>
          <w:sz w:val="21"/>
          <w:szCs w:val="21"/>
          <w:highlight w:val="none"/>
        </w:rPr>
      </w:pPr>
      <w:r>
        <w:rPr>
          <w:rFonts w:hint="eastAsia"/>
          <w:snapToGrid w:val="0"/>
          <w:color w:val="auto"/>
          <w:sz w:val="21"/>
          <w:szCs w:val="21"/>
          <w:highlight w:val="none"/>
          <w:lang w:bidi="ar"/>
        </w:rPr>
        <w:t>（</w:t>
      </w:r>
      <w:r>
        <w:rPr>
          <w:rFonts w:hint="eastAsia"/>
          <w:color w:val="auto"/>
          <w:sz w:val="21"/>
          <w:szCs w:val="21"/>
          <w:highlight w:val="none"/>
          <w:lang w:bidi="ar"/>
        </w:rPr>
        <w:t>7</w:t>
      </w:r>
      <w:r>
        <w:rPr>
          <w:rFonts w:hint="eastAsia"/>
          <w:snapToGrid w:val="0"/>
          <w:color w:val="auto"/>
          <w:sz w:val="21"/>
          <w:szCs w:val="21"/>
          <w:highlight w:val="none"/>
          <w:lang w:bidi="ar"/>
        </w:rPr>
        <w:t>）投资控制目标：</w:t>
      </w:r>
      <w:r>
        <w:rPr>
          <w:rFonts w:hint="eastAsia"/>
          <w:bCs/>
          <w:snapToGrid w:val="0"/>
          <w:color w:val="auto"/>
          <w:sz w:val="20"/>
          <w:szCs w:val="21"/>
          <w:highlight w:val="none"/>
          <w:lang w:eastAsia="zh-CN" w:bidi="ar"/>
        </w:rPr>
        <w:t>□</w:t>
      </w:r>
      <w:r>
        <w:rPr>
          <w:rFonts w:hint="eastAsia"/>
          <w:bCs/>
          <w:snapToGrid w:val="0"/>
          <w:color w:val="auto"/>
          <w:sz w:val="20"/>
          <w:szCs w:val="21"/>
          <w:highlight w:val="none"/>
          <w:lang w:bidi="ar"/>
        </w:rPr>
        <w:t xml:space="preserve"> </w:t>
      </w:r>
      <w:r>
        <w:rPr>
          <w:rFonts w:hint="eastAsia"/>
          <w:snapToGrid w:val="0"/>
          <w:color w:val="auto"/>
          <w:sz w:val="21"/>
          <w:szCs w:val="21"/>
          <w:highlight w:val="none"/>
          <w:lang w:bidi="ar"/>
        </w:rPr>
        <w:t>设计和概预算阶段协助委托人做好按概算等投资控制工作。</w:t>
      </w:r>
      <w:r>
        <w:rPr>
          <w:rFonts w:hint="eastAsia"/>
          <w:bCs/>
          <w:color w:val="auto"/>
          <w:sz w:val="21"/>
          <w:szCs w:val="21"/>
          <w:highlight w:val="none"/>
          <w:lang w:bidi="ar"/>
        </w:rPr>
        <w:t>☑</w:t>
      </w:r>
      <w:r>
        <w:rPr>
          <w:rFonts w:hint="eastAsia"/>
          <w:snapToGrid w:val="0"/>
          <w:color w:val="auto"/>
          <w:sz w:val="21"/>
          <w:szCs w:val="21"/>
          <w:highlight w:val="none"/>
          <w:lang w:bidi="ar"/>
        </w:rPr>
        <w:t>施工阶段所监理项目的结算的建安工程费不超过该项目概算批复中对应的建安工程费。</w:t>
      </w:r>
    </w:p>
    <w:p w14:paraId="3B04583D">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二、</w:t>
      </w:r>
      <w:r>
        <w:rPr>
          <w:rFonts w:hint="eastAsia" w:ascii="宋体" w:hAnsi="宋体" w:cs="宋体"/>
          <w:snapToGrid w:val="0"/>
          <w:color w:val="auto"/>
          <w:kern w:val="0"/>
          <w:szCs w:val="21"/>
          <w:highlight w:val="none"/>
          <w:lang w:bidi="ar"/>
        </w:rPr>
        <w:t>监理服务范围及工作内容</w:t>
      </w:r>
    </w:p>
    <w:p w14:paraId="2510AA5B">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u w:val="single"/>
        </w:rPr>
        <w:t>负责本项目立项（含可研）范围内所有工程内容前期阶段[含前期建（构）筑物拆除、绿化及管线设施迁移（包含</w:t>
      </w:r>
      <w:r>
        <w:rPr>
          <w:rFonts w:hint="eastAsia" w:ascii="宋体" w:hAnsi="宋体" w:cs="宋体"/>
          <w:color w:val="auto"/>
          <w:kern w:val="0"/>
          <w:sz w:val="21"/>
          <w:szCs w:val="21"/>
          <w:highlight w:val="none"/>
          <w:u w:val="single"/>
        </w:rPr>
        <w:t>管线迁改</w:t>
      </w:r>
      <w:r>
        <w:rPr>
          <w:rFonts w:hint="eastAsia" w:ascii="宋体" w:hAnsi="宋体"/>
          <w:color w:val="auto"/>
          <w:sz w:val="21"/>
          <w:szCs w:val="21"/>
          <w:highlight w:val="none"/>
          <w:u w:val="single"/>
        </w:rPr>
        <w:t>）]、施工准备阶段（包含施工临时用水（如有）、施工临时用电（如有）等）、施工阶段(包含道路工程、交通工程、排水工程、照明工程、电力管沟工程、绿化工程等)、工程收尾阶段（包括竣工验收、整改、工程移交及工程结算）及工程质量保修期阶段的质量控制，安全生产监督管理、投资控制、进度控制、合同管理、信息收集管理、组织协调、工程创优（如有）等全过程监理工作，包括但不限于</w:t>
      </w:r>
      <w:r>
        <w:rPr>
          <w:rFonts w:hint="default" w:ascii="宋体" w:hAnsi="宋体" w:eastAsia="宋体"/>
          <w:color w:val="auto"/>
          <w:sz w:val="21"/>
          <w:szCs w:val="21"/>
          <w:highlight w:val="none"/>
          <w:u w:val="single"/>
          <w:lang w:val="en-US" w:eastAsia="zh-CN"/>
        </w:rPr>
        <w:t>：</w:t>
      </w:r>
    </w:p>
    <w:p w14:paraId="03FA2AD0">
      <w:pPr>
        <w:numPr>
          <w:ilvl w:val="0"/>
          <w:numId w:val="0"/>
        </w:num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s="Times New Roman"/>
          <w:color w:val="auto"/>
          <w:kern w:val="2"/>
          <w:sz w:val="21"/>
          <w:szCs w:val="21"/>
          <w:highlight w:val="none"/>
          <w:lang w:val="en-US" w:eastAsia="zh-CN" w:bidi="ar-SA"/>
        </w:rPr>
        <w:t>（1）</w:t>
      </w:r>
      <w:r>
        <w:rPr>
          <w:rFonts w:hint="default" w:ascii="宋体" w:hAnsi="宋体" w:eastAsia="宋体"/>
          <w:color w:val="auto"/>
          <w:sz w:val="21"/>
          <w:szCs w:val="21"/>
          <w:highlight w:val="none"/>
          <w:u w:val="single"/>
          <w:lang w:val="en-US" w:eastAsia="zh-CN"/>
        </w:rPr>
        <w:t>前期阶段：</w:t>
      </w:r>
      <w:r>
        <w:rPr>
          <w:rFonts w:hint="eastAsia" w:ascii="宋体" w:hAnsi="宋体" w:eastAsia="宋体"/>
          <w:color w:val="auto"/>
          <w:sz w:val="21"/>
          <w:szCs w:val="21"/>
          <w:highlight w:val="none"/>
          <w:u w:val="single"/>
        </w:rPr>
        <w:t>统筹及协调项目各层面、各参建单位、各项工作的关系；编制项目总控计划，经委托人审定后，跟踪项目总控计划实时情况，如计划出现偏差，分析偏差原因，提出解决方案报委托人审批</w:t>
      </w:r>
      <w:r>
        <w:rPr>
          <w:rFonts w:hint="default" w:ascii="宋体" w:hAnsi="宋体" w:eastAsia="宋体"/>
          <w:color w:val="auto"/>
          <w:sz w:val="21"/>
          <w:szCs w:val="21"/>
          <w:highlight w:val="none"/>
          <w:u w:val="single"/>
          <w:lang w:val="en-US" w:eastAsia="zh-CN"/>
        </w:rPr>
        <w:t>。</w:t>
      </w:r>
    </w:p>
    <w:p w14:paraId="11123DEE">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s="Times New Roman"/>
          <w:color w:val="auto"/>
          <w:kern w:val="2"/>
          <w:sz w:val="21"/>
          <w:szCs w:val="21"/>
          <w:highlight w:val="none"/>
          <w:lang w:val="en-US" w:eastAsia="zh-CN" w:bidi="ar-SA"/>
        </w:rPr>
        <w:t>（2）</w:t>
      </w:r>
      <w:r>
        <w:rPr>
          <w:rFonts w:hint="default" w:ascii="宋体" w:hAnsi="宋体" w:eastAsia="宋体"/>
          <w:color w:val="auto"/>
          <w:sz w:val="21"/>
          <w:szCs w:val="21"/>
          <w:highlight w:val="none"/>
          <w:u w:val="single"/>
          <w:lang w:val="en-US" w:eastAsia="zh-CN"/>
        </w:rPr>
        <w:t>施工监理：</w:t>
      </w:r>
      <w:r>
        <w:rPr>
          <w:rFonts w:hint="eastAsia" w:ascii="宋体" w:hAnsi="宋体"/>
          <w:color w:val="auto"/>
          <w:sz w:val="21"/>
          <w:szCs w:val="21"/>
          <w:highlight w:val="none"/>
          <w:u w:val="single"/>
        </w:rPr>
        <w:t>对工程建设各项内容提供监理服务，包括但不限于以下内容：前期阶段（含前期建（构）筑物拆除、绿化及管线设施迁移（包含</w:t>
      </w:r>
      <w:r>
        <w:rPr>
          <w:rFonts w:hint="eastAsia" w:ascii="宋体" w:hAnsi="宋体" w:cs="宋体"/>
          <w:color w:val="auto"/>
          <w:kern w:val="0"/>
          <w:sz w:val="21"/>
          <w:szCs w:val="21"/>
          <w:highlight w:val="none"/>
          <w:u w:val="single"/>
        </w:rPr>
        <w:t>管线迁改</w:t>
      </w:r>
      <w:r>
        <w:rPr>
          <w:rFonts w:hint="eastAsia" w:ascii="宋体" w:hAnsi="宋体"/>
          <w:color w:val="auto"/>
          <w:sz w:val="21"/>
          <w:szCs w:val="21"/>
          <w:highlight w:val="none"/>
          <w:u w:val="single"/>
        </w:rPr>
        <w:t>）），施工准备阶段（包含施工临时用水（如有）、施工临时用电（如有）等）、施工阶段(包含道路工程、交通工程、排水工程、照明工程、电力管沟工程、绿化工程等)、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r>
        <w:rPr>
          <w:rFonts w:hint="default" w:ascii="宋体" w:hAnsi="宋体" w:eastAsia="宋体"/>
          <w:color w:val="auto"/>
          <w:sz w:val="21"/>
          <w:szCs w:val="21"/>
          <w:highlight w:val="none"/>
          <w:u w:val="single"/>
          <w:lang w:val="en-US" w:eastAsia="zh-CN"/>
        </w:rPr>
        <w:t>。</w:t>
      </w:r>
    </w:p>
    <w:p w14:paraId="4245B03B">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3</w:t>
      </w: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合同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r>
        <w:rPr>
          <w:rFonts w:hint="default" w:ascii="宋体" w:hAnsi="宋体" w:eastAsia="宋体"/>
          <w:color w:val="auto"/>
          <w:sz w:val="21"/>
          <w:szCs w:val="21"/>
          <w:highlight w:val="none"/>
          <w:u w:val="single"/>
          <w:lang w:val="en-US" w:eastAsia="zh-CN"/>
        </w:rPr>
        <w:t>。</w:t>
      </w:r>
    </w:p>
    <w:p w14:paraId="264E1BFC">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4</w:t>
      </w: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rPr>
        <w:t>监理人应负责编制第三方检测及监测清单（含专家论证），并出具报告。在委托人下发施工图纸☑10日、□60日内编制本项目相关具体检测（监测）项目清单及费用估算的工作方案，报委托人审核。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r>
        <w:rPr>
          <w:rFonts w:hint="default" w:ascii="宋体" w:hAnsi="宋体" w:eastAsia="宋体"/>
          <w:color w:val="auto"/>
          <w:sz w:val="21"/>
          <w:szCs w:val="21"/>
          <w:highlight w:val="none"/>
          <w:u w:val="single"/>
          <w:lang w:val="en-US" w:eastAsia="zh-CN"/>
        </w:rPr>
        <w:t>。</w:t>
      </w:r>
    </w:p>
    <w:p w14:paraId="714C7758">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5</w:t>
      </w:r>
      <w:r>
        <w:rPr>
          <w:rFonts w:hint="default" w:ascii="宋体" w:hAnsi="宋体" w:eastAsia="宋体"/>
          <w:color w:val="auto"/>
          <w:sz w:val="21"/>
          <w:szCs w:val="21"/>
          <w:highlight w:val="none"/>
          <w:u w:val="single"/>
          <w:lang w:val="en-US" w:eastAsia="zh-CN"/>
        </w:rPr>
        <w:t>）</w:t>
      </w:r>
      <w:r>
        <w:rPr>
          <w:rFonts w:hint="eastAsia" w:ascii="宋体" w:hAnsi="宋体"/>
          <w:color w:val="auto"/>
          <w:sz w:val="21"/>
          <w:szCs w:val="21"/>
          <w:highlight w:val="none"/>
          <w:u w:val="single"/>
        </w:rPr>
        <w:t>监理人需根据服务范围及项目的实际情况，严格落实合同附件2中各阶段工作成果文件的要求。监理人如未根据合同及现场实际情况及时提供给委托人，委托人有权拒绝支付监理费</w:t>
      </w:r>
      <w:r>
        <w:rPr>
          <w:rFonts w:hint="default" w:ascii="宋体" w:hAnsi="宋体" w:eastAsia="宋体"/>
          <w:color w:val="auto"/>
          <w:sz w:val="21"/>
          <w:szCs w:val="21"/>
          <w:highlight w:val="none"/>
          <w:u w:val="single"/>
          <w:lang w:val="en-US" w:eastAsia="zh-CN"/>
        </w:rPr>
        <w:t>。</w:t>
      </w:r>
    </w:p>
    <w:p w14:paraId="7E39BD92">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）监理人按照委托人要求对项目资金进行工程资金监管，具体监管方式和流程以委托人相关规定为准。</w:t>
      </w:r>
      <w:r>
        <w:rPr>
          <w:rFonts w:ascii="宋体" w:hAnsi="宋体"/>
          <w:color w:val="auto"/>
          <w:sz w:val="21"/>
          <w:szCs w:val="21"/>
          <w:highlight w:val="none"/>
        </w:rPr>
        <w:t xml:space="preserve"> </w:t>
      </w:r>
    </w:p>
    <w:p w14:paraId="6CCCA318">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三、</w:t>
      </w:r>
      <w:r>
        <w:rPr>
          <w:rFonts w:hint="eastAsia" w:ascii="宋体" w:hAnsi="宋体" w:cs="宋体"/>
          <w:snapToGrid w:val="0"/>
          <w:color w:val="auto"/>
          <w:kern w:val="0"/>
          <w:szCs w:val="21"/>
          <w:highlight w:val="none"/>
          <w:lang w:bidi="ar"/>
        </w:rPr>
        <w:t>监理酬金及其支付方式</w:t>
      </w:r>
    </w:p>
    <w:p w14:paraId="7777D077">
      <w:pPr>
        <w:tabs>
          <w:tab w:val="left" w:pos="0"/>
        </w:tabs>
        <w:adjustRightInd w:val="0"/>
        <w:snapToGrid w:val="0"/>
        <w:spacing w:line="360" w:lineRule="auto"/>
        <w:ind w:left="901" w:leftChars="229" w:hanging="420" w:hanging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3.1</w:t>
      </w:r>
      <w:r>
        <w:rPr>
          <w:rFonts w:hint="eastAsia" w:ascii="宋体" w:hAnsi="宋体" w:cs="宋体"/>
          <w:snapToGrid w:val="0"/>
          <w:color w:val="auto"/>
          <w:kern w:val="0"/>
          <w:szCs w:val="21"/>
          <w:highlight w:val="none"/>
          <w:lang w:bidi="ar"/>
        </w:rPr>
        <w:t>监理酬金</w:t>
      </w:r>
      <w:r>
        <w:rPr>
          <w:rFonts w:hint="eastAsia" w:ascii="宋体" w:hAnsi="宋体" w:cs="宋体"/>
          <w:bCs/>
          <w:color w:val="auto"/>
          <w:kern w:val="0"/>
          <w:szCs w:val="21"/>
          <w:highlight w:val="none"/>
          <w:lang w:bidi="ar"/>
        </w:rPr>
        <w:t>的计取</w:t>
      </w:r>
    </w:p>
    <w:p w14:paraId="22D49F6E">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3.1.1</w:t>
      </w:r>
      <w:r>
        <w:rPr>
          <w:rFonts w:hint="eastAsia" w:ascii="宋体" w:hAnsi="宋体" w:cs="宋体"/>
          <w:bCs/>
          <w:snapToGrid w:val="0"/>
          <w:color w:val="auto"/>
          <w:kern w:val="0"/>
          <w:szCs w:val="21"/>
          <w:highlight w:val="none"/>
          <w:lang w:bidi="ar"/>
        </w:rPr>
        <w:t>结合本合同工程的特点，委托人、监理人一致同意按如下约定计取监理酬金：参照《国家发展改革委、建设部关于印发</w:t>
      </w:r>
      <w:r>
        <w:rPr>
          <w:rFonts w:hint="eastAsia" w:ascii="宋体" w:hAnsi="宋体" w:cs="宋体"/>
          <w:bCs/>
          <w:color w:val="auto"/>
          <w:kern w:val="0"/>
          <w:szCs w:val="21"/>
          <w:highlight w:val="none"/>
          <w:lang w:bidi="ar"/>
        </w:rPr>
        <w:t>&lt;</w:t>
      </w:r>
      <w:r>
        <w:rPr>
          <w:rFonts w:hint="eastAsia" w:ascii="宋体" w:hAnsi="宋体" w:cs="宋体"/>
          <w:bCs/>
          <w:snapToGrid w:val="0"/>
          <w:color w:val="auto"/>
          <w:kern w:val="0"/>
          <w:szCs w:val="21"/>
          <w:highlight w:val="none"/>
          <w:lang w:bidi="ar"/>
        </w:rPr>
        <w:t>建设工程监理与相关服务收费管理规定</w:t>
      </w:r>
      <w:r>
        <w:rPr>
          <w:rFonts w:hint="eastAsia" w:ascii="宋体" w:hAnsi="宋体" w:cs="宋体"/>
          <w:bCs/>
          <w:color w:val="auto"/>
          <w:kern w:val="0"/>
          <w:szCs w:val="21"/>
          <w:highlight w:val="none"/>
          <w:lang w:bidi="ar"/>
        </w:rPr>
        <w:t>&gt;</w:t>
      </w:r>
      <w:r>
        <w:rPr>
          <w:rFonts w:hint="eastAsia" w:ascii="宋体" w:hAnsi="宋体" w:cs="宋体"/>
          <w:bCs/>
          <w:snapToGrid w:val="0"/>
          <w:color w:val="auto"/>
          <w:kern w:val="0"/>
          <w:szCs w:val="21"/>
          <w:highlight w:val="none"/>
          <w:lang w:bidi="ar"/>
        </w:rPr>
        <w:t>的通知》（发改价格〔</w:t>
      </w:r>
      <w:r>
        <w:rPr>
          <w:rFonts w:hint="eastAsia" w:ascii="宋体" w:hAnsi="宋体" w:cs="宋体"/>
          <w:bCs/>
          <w:color w:val="auto"/>
          <w:kern w:val="0"/>
          <w:szCs w:val="21"/>
          <w:highlight w:val="none"/>
          <w:lang w:bidi="ar"/>
        </w:rPr>
        <w:t>2007</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670</w:t>
      </w:r>
      <w:r>
        <w:rPr>
          <w:rFonts w:hint="eastAsia" w:ascii="宋体" w:hAnsi="宋体" w:cs="宋体"/>
          <w:bCs/>
          <w:snapToGrid w:val="0"/>
          <w:color w:val="auto"/>
          <w:kern w:val="0"/>
          <w:szCs w:val="21"/>
          <w:highlight w:val="none"/>
          <w:lang w:bidi="ar"/>
        </w:rPr>
        <w:t>号）的有关规定，经双方协商一致，具体按以下约定计算：</w:t>
      </w:r>
    </w:p>
    <w:p w14:paraId="6F467436">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①监理酬金</w:t>
      </w:r>
      <w:r>
        <w:rPr>
          <w:rFonts w:hint="eastAsia" w:ascii="宋体" w:hAnsi="宋体" w:cs="宋体"/>
          <w:bCs/>
          <w:color w:val="auto"/>
          <w:kern w:val="0"/>
          <w:szCs w:val="21"/>
          <w:highlight w:val="none"/>
          <w:lang w:bidi="ar"/>
        </w:rPr>
        <w:t>=</w:t>
      </w:r>
      <w:r>
        <w:rPr>
          <w:rFonts w:hint="eastAsia" w:ascii="宋体" w:hAnsi="宋体" w:cs="宋体"/>
          <w:bCs/>
          <w:snapToGrid w:val="0"/>
          <w:color w:val="auto"/>
          <w:kern w:val="0"/>
          <w:szCs w:val="21"/>
          <w:highlight w:val="none"/>
          <w:lang w:bidi="ar"/>
        </w:rPr>
        <w:t>施工监理服务收费基准价×（</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浮动幅度值）×（</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投标下浮率</w:t>
      </w:r>
      <w:r>
        <w:rPr>
          <w:rFonts w:hint="eastAsia" w:ascii="宋体" w:hAnsi="宋体" w:cs="宋体"/>
          <w:bCs/>
          <w:color w:val="auto"/>
          <w:kern w:val="0"/>
          <w:szCs w:val="21"/>
          <w:highlight w:val="none"/>
          <w:lang w:bidi="ar"/>
        </w:rPr>
        <w:t>|</w:t>
      </w:r>
      <w:r>
        <w:rPr>
          <w:rFonts w:hint="eastAsia" w:ascii="宋体" w:hAnsi="宋体" w:cs="宋体"/>
          <w:bCs/>
          <w:snapToGrid w:val="0"/>
          <w:color w:val="auto"/>
          <w:kern w:val="0"/>
          <w:szCs w:val="21"/>
          <w:highlight w:val="none"/>
          <w:lang w:bidi="ar"/>
        </w:rPr>
        <w:t>）。</w:t>
      </w:r>
    </w:p>
    <w:p w14:paraId="6D6E79B7">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②施工监理服务收费基准价</w:t>
      </w:r>
      <w:r>
        <w:rPr>
          <w:rFonts w:hint="eastAsia" w:ascii="宋体" w:hAnsi="宋体" w:cs="宋体"/>
          <w:bCs/>
          <w:color w:val="auto"/>
          <w:kern w:val="0"/>
          <w:szCs w:val="21"/>
          <w:highlight w:val="none"/>
          <w:lang w:bidi="ar"/>
        </w:rPr>
        <w:t>=</w:t>
      </w:r>
      <w:r>
        <w:rPr>
          <w:rFonts w:hint="eastAsia" w:ascii="宋体" w:hAnsi="宋体" w:cs="宋体"/>
          <w:bCs/>
          <w:snapToGrid w:val="0"/>
          <w:color w:val="auto"/>
          <w:kern w:val="0"/>
          <w:szCs w:val="21"/>
          <w:highlight w:val="none"/>
          <w:lang w:bidi="ar"/>
        </w:rPr>
        <w:t>施工监理服务收费基价×专业调整系数×工程复杂程度调整系数×高程调整系数。</w:t>
      </w:r>
    </w:p>
    <w:p w14:paraId="3224287D">
      <w:pPr>
        <w:adjustRightInd w:val="0"/>
        <w:snapToGrid w:val="0"/>
        <w:spacing w:line="360" w:lineRule="auto"/>
        <w:ind w:left="687" w:leftChars="227" w:right="11" w:hanging="210" w:hangingChars="1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其中：</w:t>
      </w:r>
      <w:r>
        <w:rPr>
          <w:rFonts w:hint="eastAsia" w:ascii="宋体" w:hAnsi="宋体" w:cs="宋体"/>
          <w:bCs/>
          <w:color w:val="auto"/>
          <w:kern w:val="0"/>
          <w:szCs w:val="21"/>
          <w:highlight w:val="none"/>
          <w:lang w:bidi="ar"/>
        </w:rPr>
        <w:t xml:space="preserve">a) </w:t>
      </w:r>
      <w:r>
        <w:rPr>
          <w:rFonts w:hint="eastAsia" w:ascii="宋体" w:hAnsi="宋体" w:cs="宋体"/>
          <w:bCs/>
          <w:snapToGrid w:val="0"/>
          <w:color w:val="auto"/>
          <w:kern w:val="0"/>
          <w:szCs w:val="21"/>
          <w:highlight w:val="none"/>
          <w:lang w:bidi="ar"/>
        </w:rPr>
        <w:t>专业调整系数为</w:t>
      </w:r>
      <w:r>
        <w:rPr>
          <w:rFonts w:hint="eastAsia" w:ascii="宋体" w:hAnsi="宋体" w:cs="宋体"/>
          <w:bCs/>
          <w:color w:val="auto"/>
          <w:kern w:val="0"/>
          <w:szCs w:val="21"/>
          <w:highlight w:val="none"/>
          <w:u w:val="single"/>
          <w:lang w:bidi="ar"/>
        </w:rPr>
        <w:t xml:space="preserve">1.0 </w:t>
      </w:r>
      <w:r>
        <w:rPr>
          <w:rFonts w:hint="eastAsia" w:ascii="宋体" w:hAnsi="宋体" w:cs="宋体"/>
          <w:bCs/>
          <w:snapToGrid w:val="0"/>
          <w:color w:val="auto"/>
          <w:kern w:val="0"/>
          <w:szCs w:val="21"/>
          <w:highlight w:val="none"/>
          <w:lang w:bidi="ar"/>
        </w:rPr>
        <w:t>、工程复杂程度调整系数</w:t>
      </w:r>
      <w:r>
        <w:rPr>
          <w:rFonts w:hint="eastAsia" w:ascii="宋体" w:hAnsi="宋体" w:cs="宋体"/>
          <w:bCs/>
          <w:color w:val="auto"/>
          <w:kern w:val="0"/>
          <w:szCs w:val="21"/>
          <w:highlight w:val="none"/>
          <w:u w:val="single"/>
          <w:lang w:bidi="ar"/>
        </w:rPr>
        <w:t xml:space="preserve">1.0 </w:t>
      </w:r>
      <w:r>
        <w:rPr>
          <w:rFonts w:hint="eastAsia" w:ascii="宋体" w:hAnsi="宋体" w:cs="宋体"/>
          <w:bCs/>
          <w:snapToGrid w:val="0"/>
          <w:color w:val="auto"/>
          <w:kern w:val="0"/>
          <w:szCs w:val="21"/>
          <w:highlight w:val="none"/>
          <w:lang w:bidi="ar"/>
        </w:rPr>
        <w:t>、高程调整系数为</w:t>
      </w:r>
      <w:r>
        <w:rPr>
          <w:rFonts w:hint="eastAsia" w:ascii="宋体" w:hAnsi="宋体" w:cs="宋体"/>
          <w:bCs/>
          <w:color w:val="auto"/>
          <w:kern w:val="0"/>
          <w:szCs w:val="21"/>
          <w:highlight w:val="none"/>
          <w:u w:val="single"/>
          <w:lang w:bidi="ar"/>
        </w:rPr>
        <w:t>1.0</w:t>
      </w:r>
      <w:r>
        <w:rPr>
          <w:rFonts w:hint="eastAsia" w:ascii="宋体" w:hAnsi="宋体" w:cs="宋体"/>
          <w:bCs/>
          <w:snapToGrid w:val="0"/>
          <w:color w:val="auto"/>
          <w:kern w:val="0"/>
          <w:szCs w:val="21"/>
          <w:highlight w:val="none"/>
          <w:u w:val="single"/>
          <w:lang w:bidi="ar"/>
        </w:rPr>
        <w:t>。</w:t>
      </w:r>
    </w:p>
    <w:p w14:paraId="415DE843">
      <w:pPr>
        <w:adjustRightInd w:val="0"/>
        <w:snapToGrid w:val="0"/>
        <w:spacing w:line="360" w:lineRule="auto"/>
        <w:ind w:left="718" w:leftChars="342"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b) 施工监理服务收费的计费额指有权审核部门审定的本合同监理人实际监理范围内所有概算中的建筑安装工程费之和。</w:t>
      </w:r>
    </w:p>
    <w:p w14:paraId="7CC447FB">
      <w:pPr>
        <w:adjustRightInd w:val="0"/>
        <w:snapToGrid w:val="0"/>
        <w:spacing w:line="360" w:lineRule="auto"/>
        <w:ind w:left="718" w:leftChars="342"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c) 施工监理服务收费的计费额处于两个数值区间的，采用直线内插法确定施工监理服务收费基价。</w:t>
      </w:r>
    </w:p>
    <w:p w14:paraId="51DBB5CF">
      <w:pPr>
        <w:adjustRightInd w:val="0"/>
        <w:snapToGrid w:val="0"/>
        <w:spacing w:line="360" w:lineRule="auto"/>
        <w:ind w:left="718" w:leftChars="342"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d) 本合同浮动幅度值为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color w:val="auto"/>
          <w:kern w:val="0"/>
          <w:szCs w:val="21"/>
          <w:highlight w:val="none"/>
          <w:u w:val="single"/>
          <w:lang w:bidi="ar"/>
        </w:rPr>
        <w:t xml:space="preserve">-20%   </w:t>
      </w:r>
      <w:r>
        <w:rPr>
          <w:rFonts w:hint="eastAsia" w:ascii="宋体" w:hAnsi="宋体" w:cs="宋体"/>
          <w:bCs/>
          <w:snapToGrid w:val="0"/>
          <w:color w:val="auto"/>
          <w:kern w:val="0"/>
          <w:szCs w:val="21"/>
          <w:highlight w:val="none"/>
          <w:lang w:bidi="ar"/>
        </w:rPr>
        <w:t>。</w:t>
      </w:r>
    </w:p>
    <w:p w14:paraId="6F463418">
      <w:pPr>
        <w:adjustRightInd w:val="0"/>
        <w:snapToGrid w:val="0"/>
        <w:spacing w:line="360" w:lineRule="auto"/>
        <w:ind w:left="718" w:leftChars="342" w:right="11" w:firstLine="420" w:firstLineChars="200"/>
        <w:rPr>
          <w:color w:val="auto"/>
          <w:highlight w:val="none"/>
        </w:rPr>
      </w:pPr>
      <w:r>
        <w:rPr>
          <w:rFonts w:hint="eastAsia" w:ascii="宋体" w:hAnsi="宋体" w:cs="宋体"/>
          <w:bCs/>
          <w:snapToGrid w:val="0"/>
          <w:color w:val="auto"/>
          <w:kern w:val="0"/>
          <w:szCs w:val="21"/>
          <w:highlight w:val="none"/>
          <w:lang w:bidi="ar"/>
        </w:rPr>
        <w:t>e) 投标下浮率为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w:t>
      </w:r>
    </w:p>
    <w:p w14:paraId="4DA763A4">
      <w:pPr>
        <w:adjustRightInd w:val="0"/>
        <w:snapToGrid w:val="0"/>
        <w:spacing w:line="360" w:lineRule="auto"/>
        <w:ind w:left="420" w:leftChars="200" w:right="11"/>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③以本工程建安工程费</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 xml:space="preserve">万计费基数计算，本工程监理酬金暂定合同总价为 </w:t>
      </w:r>
      <w:r>
        <w:rPr>
          <w:rFonts w:hint="eastAsia" w:ascii="宋体" w:hAnsi="宋体" w:cs="宋体"/>
          <w:bCs/>
          <w:snapToGrid w:val="0"/>
          <w:color w:val="auto"/>
          <w:kern w:val="0"/>
          <w:szCs w:val="21"/>
          <w:highlight w:val="none"/>
          <w:u w:val="single"/>
          <w:lang w:bidi="ar"/>
        </w:rPr>
        <w:t>￥</w:t>
      </w:r>
      <w:r>
        <w:rPr>
          <w:rFonts w:hint="eastAsia" w:ascii="宋体" w:hAnsi="宋体" w:cs="宋体"/>
          <w:bCs/>
          <w:color w:val="auto"/>
          <w:kern w:val="0"/>
          <w:szCs w:val="21"/>
          <w:highlight w:val="none"/>
          <w:u w:val="single"/>
          <w:lang w:bidi="ar"/>
        </w:rPr>
        <w:t xml:space="preserve">         </w:t>
      </w:r>
      <w:r>
        <w:rPr>
          <w:rFonts w:hint="eastAsia" w:ascii="宋体" w:hAnsi="宋体" w:cs="宋体"/>
          <w:color w:val="auto"/>
          <w:szCs w:val="21"/>
          <w:highlight w:val="none"/>
          <w:u w:val="single"/>
          <w:lang w:bidi="ar"/>
        </w:rPr>
        <w:t>万</w:t>
      </w:r>
      <w:r>
        <w:rPr>
          <w:rFonts w:hint="eastAsia" w:ascii="宋体" w:hAnsi="宋体" w:cs="宋体"/>
          <w:bCs/>
          <w:snapToGrid w:val="0"/>
          <w:color w:val="auto"/>
          <w:kern w:val="0"/>
          <w:szCs w:val="21"/>
          <w:highlight w:val="none"/>
          <w:lang w:bidi="ar"/>
        </w:rPr>
        <w:t>（人民币</w:t>
      </w:r>
      <w:r>
        <w:rPr>
          <w:rFonts w:hint="eastAsia" w:ascii="宋体" w:hAnsi="宋体" w:cs="宋体"/>
          <w:bCs/>
          <w:snapToGrid w:val="0"/>
          <w:color w:val="auto"/>
          <w:kern w:val="0"/>
          <w:szCs w:val="21"/>
          <w:highlight w:val="none"/>
          <w:u w:val="single"/>
          <w:lang w:bidi="ar"/>
        </w:rPr>
        <w:t xml:space="preserve">大写： </w:t>
      </w:r>
      <w:r>
        <w:rPr>
          <w:rFonts w:hint="eastAsia" w:ascii="宋体" w:hAnsi="宋体" w:cs="宋体"/>
          <w:bCs/>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），其中并以此作为各阶段监理酬金支付的依据。</w:t>
      </w:r>
    </w:p>
    <w:p w14:paraId="55144D8F">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 xml:space="preserve">3.1.2 </w:t>
      </w:r>
      <w:r>
        <w:rPr>
          <w:rFonts w:hint="eastAsia" w:ascii="宋体" w:hAnsi="宋体" w:cs="宋体"/>
          <w:snapToGrid w:val="0"/>
          <w:color w:val="auto"/>
          <w:kern w:val="0"/>
          <w:szCs w:val="21"/>
          <w:highlight w:val="none"/>
          <w:lang w:bidi="ar"/>
        </w:rPr>
        <w:t>由于财政投资项目施工过程的特殊性，委托人有调整局部服务范围的权利，即部分解除或部分增加服务范围。</w:t>
      </w:r>
      <w:r>
        <w:rPr>
          <w:rFonts w:hint="eastAsia" w:ascii="宋体" w:hAnsi="宋体" w:cs="宋体"/>
          <w:bCs/>
          <w:color w:val="auto"/>
          <w:kern w:val="0"/>
          <w:szCs w:val="21"/>
          <w:highlight w:val="none"/>
          <w:lang w:bidi="ar"/>
        </w:rPr>
        <w:t>监理费最终按财政评审后的监理范围内的所有建筑安装工程费结算价为施工监理服务收费的计费额进行结算，但浮动幅度值不调整，且最终监理费结算</w:t>
      </w:r>
      <w:r>
        <w:rPr>
          <w:rFonts w:hint="eastAsia" w:ascii="宋体" w:hAnsi="宋体" w:cs="宋体"/>
          <w:bCs/>
          <w:snapToGrid w:val="0"/>
          <w:color w:val="auto"/>
          <w:kern w:val="0"/>
          <w:szCs w:val="21"/>
          <w:highlight w:val="none"/>
          <w:lang w:bidi="ar"/>
        </w:rPr>
        <w:t>总价不超过本工程监理酬金暂定合同总价</w:t>
      </w:r>
      <w:r>
        <w:rPr>
          <w:rFonts w:hint="eastAsia" w:ascii="宋体" w:hAnsi="宋体" w:cs="宋体"/>
          <w:snapToGrid w:val="0"/>
          <w:color w:val="auto"/>
          <w:kern w:val="0"/>
          <w:szCs w:val="21"/>
          <w:highlight w:val="none"/>
          <w:lang w:bidi="ar"/>
        </w:rPr>
        <w:t>。</w:t>
      </w:r>
    </w:p>
    <w:p w14:paraId="31ABF487">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3.1.3本合同约定的监理服务期间，其各种费率和费用不因物价变动导致监理酬金的增减而给予弥补或调整，双方另有约定的除外。</w:t>
      </w:r>
    </w:p>
    <w:p w14:paraId="65B57D5D">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3.1.4在本合同约定的监理范围内，非因监理人原因造成工程延期，致使监理服务期出现延长，监理人的责任期也应相应延长，本合同监理酬金总额不为此作调整，双方另有约定的除外。</w:t>
      </w:r>
    </w:p>
    <w:p w14:paraId="489A3086">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3.1.5如在工程实施期间，因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64F4C971">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3.1.6如在工程实施期间，因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因此作调整。</w:t>
      </w:r>
    </w:p>
    <w:p w14:paraId="128BC1D2">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3.2</w:t>
      </w:r>
      <w:r>
        <w:rPr>
          <w:rFonts w:hint="eastAsia" w:ascii="宋体" w:hAnsi="宋体" w:cs="宋体"/>
          <w:snapToGrid w:val="0"/>
          <w:color w:val="auto"/>
          <w:kern w:val="0"/>
          <w:szCs w:val="21"/>
          <w:highlight w:val="none"/>
          <w:lang w:bidi="ar"/>
        </w:rPr>
        <w:t>监理酬金</w:t>
      </w:r>
      <w:r>
        <w:rPr>
          <w:rFonts w:hint="eastAsia" w:ascii="宋体" w:hAnsi="宋体" w:cs="宋体"/>
          <w:bCs/>
          <w:color w:val="auto"/>
          <w:kern w:val="0"/>
          <w:szCs w:val="21"/>
          <w:highlight w:val="none"/>
          <w:lang w:bidi="ar"/>
        </w:rPr>
        <w:t>的支付</w:t>
      </w:r>
    </w:p>
    <w:p w14:paraId="4D2729E8">
      <w:pPr>
        <w:tabs>
          <w:tab w:val="left" w:pos="3060"/>
        </w:tabs>
        <w:adjustRightInd w:val="0"/>
        <w:snapToGrid w:val="0"/>
        <w:spacing w:line="360" w:lineRule="auto"/>
        <w:ind w:right="11"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3.2.1 本合同价款的拨付按照广东省、广州市和天河区财政投资项目资金管理的有关规定执行。</w:t>
      </w:r>
    </w:p>
    <w:p w14:paraId="58C21A1C">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3.2.2监理人向委托人承诺，将按照本合同的约定完成本合同监理服务的工作内容且相关的监理服务须达到令委托人满意的程度。监理人如未能</w:t>
      </w:r>
      <w:r>
        <w:rPr>
          <w:rFonts w:hint="eastAsia" w:ascii="宋体" w:hAnsi="宋体" w:cs="宋体"/>
          <w:bCs/>
          <w:color w:val="auto"/>
          <w:kern w:val="0"/>
          <w:szCs w:val="21"/>
          <w:highlight w:val="none"/>
          <w:lang w:bidi="ar"/>
        </w:rPr>
        <w:t>按</w:t>
      </w:r>
      <w:r>
        <w:rPr>
          <w:rFonts w:hint="eastAsia" w:ascii="宋体" w:hAnsi="宋体" w:cs="宋体"/>
          <w:snapToGrid w:val="0"/>
          <w:color w:val="auto"/>
          <w:kern w:val="0"/>
          <w:szCs w:val="21"/>
          <w:highlight w:val="none"/>
          <w:lang w:bidi="ar"/>
        </w:rPr>
        <w:t>合同</w:t>
      </w:r>
      <w:r>
        <w:rPr>
          <w:rFonts w:hint="eastAsia" w:ascii="宋体" w:hAnsi="宋体" w:cs="宋体"/>
          <w:bCs/>
          <w:color w:val="auto"/>
          <w:kern w:val="0"/>
          <w:szCs w:val="21"/>
          <w:highlight w:val="none"/>
          <w:lang w:bidi="ar"/>
        </w:rPr>
        <w:t>约定完成相关工作内容的工作成果，或完成的工作成果未能达到约定的支付审核标准，或委托人对监理工作情况的检查结果未能达到约定的令人满意的程度，均视为监理人对该承诺的违反，委托人将在合同监理酬金总额中扣减相关监理服务项目的酬金。监理人对于履行监理职责方面的违约责任按照本合同专用条件第二十六条的相关约定执行。</w:t>
      </w:r>
    </w:p>
    <w:p w14:paraId="2A2BF1E2">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3.2.3各阶段监理酬金的支付</w:t>
      </w:r>
    </w:p>
    <w:p w14:paraId="1AC39420">
      <w:pPr>
        <w:tabs>
          <w:tab w:val="left" w:pos="900"/>
        </w:tabs>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color w:val="auto"/>
          <w:szCs w:val="21"/>
          <w:highlight w:val="none"/>
          <w:lang w:bidi="ar"/>
        </w:rPr>
        <w:t>3.2.3.1 根据监理的服务范围，分阶段、按节点支付监理酬金。</w:t>
      </w:r>
      <w:r>
        <w:rPr>
          <w:rFonts w:hint="eastAsia" w:ascii="宋体" w:hAnsi="宋体" w:cs="宋体"/>
          <w:bCs/>
          <w:snapToGrid w:val="0"/>
          <w:color w:val="auto"/>
          <w:kern w:val="0"/>
          <w:szCs w:val="21"/>
          <w:highlight w:val="none"/>
          <w:lang w:bidi="ar"/>
        </w:rPr>
        <w:t>□</w:t>
      </w:r>
      <w:r>
        <w:rPr>
          <w:rFonts w:hint="eastAsia" w:ascii="宋体" w:hAnsi="宋体" w:cs="宋体"/>
          <w:color w:val="auto"/>
          <w:szCs w:val="21"/>
          <w:highlight w:val="none"/>
          <w:lang w:bidi="ar"/>
        </w:rPr>
        <w:t>前期阶段：可研经相关部门批复，支付2%的监理酬金暂定合同价。</w:t>
      </w:r>
      <w:r>
        <w:rPr>
          <w:rFonts w:hint="eastAsia" w:ascii="宋体" w:hAnsi="宋体" w:cs="宋体"/>
          <w:bCs/>
          <w:snapToGrid w:val="0"/>
          <w:color w:val="auto"/>
          <w:kern w:val="0"/>
          <w:szCs w:val="21"/>
          <w:highlight w:val="none"/>
          <w:lang w:bidi="ar"/>
        </w:rPr>
        <w:t>□</w:t>
      </w:r>
      <w:r>
        <w:rPr>
          <w:rFonts w:hint="eastAsia" w:ascii="宋体" w:hAnsi="宋体" w:cs="宋体"/>
          <w:color w:val="auto"/>
          <w:szCs w:val="21"/>
          <w:highlight w:val="none"/>
          <w:lang w:bidi="ar"/>
        </w:rPr>
        <w:t>勘察阶段：勘查单位提供勘查报告，支付1%的监理酬金暂定合同价。</w:t>
      </w:r>
      <w:r>
        <w:rPr>
          <w:rFonts w:hint="eastAsia" w:ascii="宋体" w:hAnsi="宋体" w:cs="宋体"/>
          <w:bCs/>
          <w:snapToGrid w:val="0"/>
          <w:color w:val="auto"/>
          <w:kern w:val="0"/>
          <w:szCs w:val="21"/>
          <w:highlight w:val="none"/>
          <w:lang w:bidi="ar"/>
        </w:rPr>
        <w:t>□</w:t>
      </w:r>
      <w:r>
        <w:rPr>
          <w:rFonts w:hint="eastAsia" w:ascii="宋体" w:hAnsi="宋体" w:cs="宋体"/>
          <w:color w:val="auto"/>
          <w:szCs w:val="21"/>
          <w:highlight w:val="none"/>
          <w:lang w:bidi="ar"/>
        </w:rPr>
        <w:t>设计阶段：施工图经审查合格，支付4%的监理酬金暂定合同价。</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概算、预算阶段</w:t>
      </w:r>
      <w:r>
        <w:rPr>
          <w:rFonts w:hint="eastAsia" w:ascii="宋体" w:hAnsi="宋体" w:cs="宋体"/>
          <w:color w:val="auto"/>
          <w:szCs w:val="21"/>
          <w:highlight w:val="none"/>
          <w:lang w:bidi="ar"/>
        </w:rPr>
        <w:t>：概预算经相关部门审定，支付3%的监理酬金暂定合同价。其余监理酬金由委托人按施工进度计付，公式为：施工进度款×监理费率（监理费率=投标监理报价×90%÷施工合同价）。到工程完工时，委托人最多支付至本工程监理酬金暂定总金额的85％。</w:t>
      </w:r>
    </w:p>
    <w:p w14:paraId="1D154BE1">
      <w:pPr>
        <w:tabs>
          <w:tab w:val="left" w:pos="900"/>
        </w:tabs>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 xml:space="preserve">3.2.3.2 </w:t>
      </w:r>
      <w:r>
        <w:rPr>
          <w:rFonts w:hint="eastAsia" w:ascii="宋体" w:hAnsi="宋体" w:cs="宋体"/>
          <w:bCs/>
          <w:snapToGrid w:val="0"/>
          <w:color w:val="auto"/>
          <w:kern w:val="0"/>
          <w:szCs w:val="21"/>
          <w:highlight w:val="none"/>
          <w:lang w:bidi="ar"/>
        </w:rPr>
        <w:t>□ 无监理酬金预付款。☑ 有监理酬金预付款，</w:t>
      </w:r>
      <w:r>
        <w:rPr>
          <w:rFonts w:hint="eastAsia" w:ascii="宋体" w:hAnsi="宋体" w:cs="宋体"/>
          <w:color w:val="auto"/>
          <w:szCs w:val="21"/>
          <w:highlight w:val="none"/>
          <w:lang w:bidi="ar"/>
        </w:rPr>
        <w:t>自本监理合同生效之日起</w:t>
      </w:r>
      <w:r>
        <w:rPr>
          <w:rFonts w:hint="eastAsia" w:ascii="宋体" w:hAnsi="宋体" w:cs="宋体"/>
          <w:bCs/>
          <w:snapToGrid w:val="0"/>
          <w:color w:val="auto"/>
          <w:kern w:val="0"/>
          <w:szCs w:val="21"/>
          <w:highlight w:val="none"/>
          <w:lang w:bidi="ar"/>
        </w:rPr>
        <w:t>的</w:t>
      </w:r>
      <w:r>
        <w:rPr>
          <w:rFonts w:hint="eastAsia" w:ascii="宋体" w:hAnsi="宋体" w:cs="宋体"/>
          <w:bCs/>
          <w:color w:val="auto"/>
          <w:kern w:val="0"/>
          <w:szCs w:val="21"/>
          <w:highlight w:val="none"/>
          <w:lang w:bidi="ar"/>
        </w:rPr>
        <w:t>15</w:t>
      </w:r>
      <w:r>
        <w:rPr>
          <w:rFonts w:hint="eastAsia" w:ascii="宋体" w:hAnsi="宋体" w:cs="宋体"/>
          <w:bCs/>
          <w:snapToGrid w:val="0"/>
          <w:color w:val="auto"/>
          <w:kern w:val="0"/>
          <w:szCs w:val="21"/>
          <w:highlight w:val="none"/>
          <w:lang w:bidi="ar"/>
        </w:rPr>
        <w:t>日内，监理人提出书面申请，委托人办理财政集中支付手续通过银行转账或支票方式向监理人预付施</w:t>
      </w:r>
      <w:r>
        <w:rPr>
          <w:rFonts w:hint="eastAsia" w:ascii="宋体" w:hAnsi="宋体" w:cs="宋体"/>
          <w:color w:val="auto"/>
          <w:szCs w:val="21"/>
          <w:highlight w:val="none"/>
          <w:lang w:bidi="ar"/>
        </w:rPr>
        <w:t>工阶段监理酬金的10</w:t>
      </w:r>
      <w:r>
        <w:rPr>
          <w:rFonts w:hint="eastAsia" w:ascii="宋体" w:hAnsi="宋体" w:cs="宋体"/>
          <w:bCs/>
          <w:snapToGrid w:val="0"/>
          <w:color w:val="auto"/>
          <w:kern w:val="0"/>
          <w:szCs w:val="21"/>
          <w:highlight w:val="none"/>
          <w:lang w:bidi="ar"/>
        </w:rPr>
        <w:t>％即￥</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（人民币大写：</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）作为预付款，其余监理酬金由委托人按施工进度计付，公式为：施工</w:t>
      </w:r>
      <w:r>
        <w:rPr>
          <w:rFonts w:hint="eastAsia" w:ascii="宋体" w:hAnsi="宋体" w:cs="宋体"/>
          <w:color w:val="auto"/>
          <w:szCs w:val="21"/>
          <w:highlight w:val="none"/>
          <w:lang w:bidi="ar"/>
        </w:rPr>
        <w:t>进度款×监理费率（监理费率=投标监理报价÷施工合同价）。到工程完工时，委托人最多支付至</w:t>
      </w:r>
      <w:r>
        <w:rPr>
          <w:rFonts w:hint="eastAsia" w:ascii="宋体" w:hAnsi="宋体" w:cs="宋体"/>
          <w:bCs/>
          <w:color w:val="auto"/>
          <w:szCs w:val="21"/>
          <w:highlight w:val="none"/>
          <w:lang w:bidi="ar"/>
        </w:rPr>
        <w:t>本工程</w:t>
      </w:r>
      <w:r>
        <w:rPr>
          <w:rFonts w:hint="eastAsia" w:ascii="宋体" w:hAnsi="宋体" w:cs="宋体"/>
          <w:color w:val="auto"/>
          <w:szCs w:val="21"/>
          <w:highlight w:val="none"/>
          <w:lang w:bidi="ar"/>
        </w:rPr>
        <w:t>监理酬金</w:t>
      </w:r>
      <w:r>
        <w:rPr>
          <w:rFonts w:hint="eastAsia" w:ascii="宋体" w:hAnsi="宋体" w:cs="宋体"/>
          <w:bCs/>
          <w:color w:val="auto"/>
          <w:szCs w:val="21"/>
          <w:highlight w:val="none"/>
          <w:lang w:bidi="ar"/>
        </w:rPr>
        <w:t>暂定总金额</w:t>
      </w:r>
      <w:r>
        <w:rPr>
          <w:rFonts w:hint="eastAsia" w:ascii="宋体" w:hAnsi="宋体" w:cs="宋体"/>
          <w:color w:val="auto"/>
          <w:szCs w:val="21"/>
          <w:highlight w:val="none"/>
          <w:lang w:bidi="ar"/>
        </w:rPr>
        <w:t>的</w:t>
      </w:r>
      <w:r>
        <w:rPr>
          <w:rFonts w:hint="eastAsia" w:ascii="宋体" w:hAnsi="宋体" w:cs="宋体"/>
          <w:bCs/>
          <w:snapToGrid w:val="0"/>
          <w:color w:val="auto"/>
          <w:kern w:val="0"/>
          <w:szCs w:val="21"/>
          <w:highlight w:val="none"/>
          <w:lang w:bidi="ar"/>
        </w:rPr>
        <w:t>85％</w:t>
      </w:r>
      <w:r>
        <w:rPr>
          <w:rFonts w:hint="eastAsia" w:ascii="宋体" w:hAnsi="宋体" w:cs="宋体"/>
          <w:color w:val="auto"/>
          <w:szCs w:val="21"/>
          <w:highlight w:val="none"/>
          <w:lang w:bidi="ar"/>
        </w:rPr>
        <w:t>。</w:t>
      </w:r>
    </w:p>
    <w:p w14:paraId="59FA1E66">
      <w:pPr>
        <w:tabs>
          <w:tab w:val="left" w:pos="3060"/>
        </w:tabs>
        <w:adjustRightInd w:val="0"/>
        <w:snapToGrid w:val="0"/>
        <w:spacing w:line="360" w:lineRule="auto"/>
        <w:ind w:right="11"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3.2.3.3当委托人累计支付的金额达到</w:t>
      </w:r>
      <w:r>
        <w:rPr>
          <w:rFonts w:hint="eastAsia" w:ascii="宋体" w:hAnsi="宋体" w:cs="宋体"/>
          <w:bCs/>
          <w:color w:val="auto"/>
          <w:kern w:val="0"/>
          <w:szCs w:val="21"/>
          <w:highlight w:val="none"/>
          <w:lang w:bidi="ar"/>
        </w:rPr>
        <w:t>本合同监理酬金暂定总金额的85%时</w:t>
      </w:r>
      <w:r>
        <w:rPr>
          <w:rFonts w:hint="eastAsia" w:ascii="宋体" w:hAnsi="宋体" w:cs="宋体"/>
          <w:snapToGrid w:val="0"/>
          <w:color w:val="auto"/>
          <w:kern w:val="0"/>
          <w:szCs w:val="21"/>
          <w:highlight w:val="none"/>
          <w:lang w:bidi="ar"/>
        </w:rPr>
        <w:t>，委托人暂停本合同任何款项的申请审核及支付，余下监理酬金的支付按本条第</w:t>
      </w:r>
      <w:r>
        <w:rPr>
          <w:rFonts w:hint="eastAsia" w:ascii="宋体" w:hAnsi="宋体" w:cs="宋体"/>
          <w:color w:val="auto"/>
          <w:kern w:val="0"/>
          <w:szCs w:val="21"/>
          <w:highlight w:val="none"/>
          <w:lang w:bidi="ar"/>
        </w:rPr>
        <w:t>3.2.3.4</w:t>
      </w:r>
      <w:r>
        <w:rPr>
          <w:rFonts w:hint="eastAsia" w:ascii="宋体" w:hAnsi="宋体" w:cs="宋体"/>
          <w:snapToGrid w:val="0"/>
          <w:color w:val="auto"/>
          <w:kern w:val="0"/>
          <w:szCs w:val="21"/>
          <w:highlight w:val="none"/>
          <w:lang w:bidi="ar"/>
        </w:rPr>
        <w:t>款的约定执行。</w:t>
      </w:r>
    </w:p>
    <w:p w14:paraId="52667A4B">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3.2.3.4监理人完成本合同约定的全部监理工作且本工程整体竣工结算（含本合同结算）被政府终审部门确认，监理人督促承包人按时完整移交工程竣工档案后，委托人累计支付至本工程监理酬金结算总价的</w:t>
      </w:r>
      <w:r>
        <w:rPr>
          <w:rFonts w:hint="eastAsia" w:ascii="宋体" w:hAnsi="宋体" w:cs="宋体"/>
          <w:bCs/>
          <w:color w:val="auto"/>
          <w:kern w:val="0"/>
          <w:szCs w:val="21"/>
          <w:highlight w:val="none"/>
          <w:lang w:bidi="ar"/>
        </w:rPr>
        <w:t>97%</w:t>
      </w:r>
      <w:r>
        <w:rPr>
          <w:rFonts w:hint="eastAsia" w:ascii="宋体" w:hAnsi="宋体" w:cs="宋体"/>
          <w:bCs/>
          <w:snapToGrid w:val="0"/>
          <w:color w:val="auto"/>
          <w:kern w:val="0"/>
          <w:szCs w:val="21"/>
          <w:highlight w:val="none"/>
          <w:lang w:bidi="ar"/>
        </w:rPr>
        <w:t>，留下本工程监理酬金结算总价的</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作为质量保修阶段的酬金。在工程竣工验收合格后满两年且本合同工程整体竣工结算被确认，若监理人未出现违约情形，委托人应在收到监理人的款项申请手续后</w:t>
      </w:r>
      <w:r>
        <w:rPr>
          <w:rFonts w:hint="eastAsia" w:ascii="宋体" w:hAnsi="宋体" w:cs="宋体"/>
          <w:bCs/>
          <w:color w:val="auto"/>
          <w:kern w:val="0"/>
          <w:szCs w:val="21"/>
          <w:highlight w:val="none"/>
          <w:lang w:bidi="ar"/>
        </w:rPr>
        <w:t>14</w:t>
      </w:r>
      <w:r>
        <w:rPr>
          <w:rFonts w:hint="eastAsia" w:ascii="宋体" w:hAnsi="宋体" w:cs="宋体"/>
          <w:bCs/>
          <w:snapToGrid w:val="0"/>
          <w:color w:val="auto"/>
          <w:kern w:val="0"/>
          <w:szCs w:val="21"/>
          <w:highlight w:val="none"/>
          <w:lang w:bidi="ar"/>
        </w:rPr>
        <w:t>日内将质量保修阶段的酬金即本工程监理酬金结算总价的</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支付给监理人。</w:t>
      </w:r>
    </w:p>
    <w:p w14:paraId="243809A7">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3.2.4本合同结算监理酬金审定后，委托人发现监理酬金超付的，则监理人必须在</w:t>
      </w:r>
      <w:r>
        <w:rPr>
          <w:rFonts w:hint="eastAsia" w:ascii="宋体" w:hAnsi="宋体" w:cs="宋体"/>
          <w:bCs/>
          <w:color w:val="auto"/>
          <w:kern w:val="0"/>
          <w:szCs w:val="21"/>
          <w:highlight w:val="none"/>
          <w:lang w:bidi="ar"/>
        </w:rPr>
        <w:t>14</w:t>
      </w:r>
      <w:r>
        <w:rPr>
          <w:rFonts w:hint="eastAsia" w:ascii="宋体" w:hAnsi="宋体" w:cs="宋体"/>
          <w:bCs/>
          <w:snapToGrid w:val="0"/>
          <w:color w:val="auto"/>
          <w:kern w:val="0"/>
          <w:szCs w:val="21"/>
          <w:highlight w:val="none"/>
          <w:lang w:bidi="ar"/>
        </w:rPr>
        <w:t>日内无条件退还委托人；若监理人迟延退还超付的监理酬金，除须继续向委托人退还超付的监理酬金外，还应每天向委托人支付该超付监理酬金</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‰的违约金。</w:t>
      </w:r>
    </w:p>
    <w:p w14:paraId="0F200860">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eastAsia="zh-TW" w:bidi="ar"/>
        </w:rPr>
        <w:t>3.2.5</w:t>
      </w:r>
      <w:r>
        <w:rPr>
          <w:rFonts w:hint="eastAsia" w:ascii="宋体" w:hAnsi="宋体" w:cs="宋体"/>
          <w:bCs/>
          <w:snapToGrid w:val="0"/>
          <w:color w:val="auto"/>
          <w:kern w:val="0"/>
          <w:szCs w:val="21"/>
          <w:highlight w:val="none"/>
          <w:lang w:val="zh-TW" w:bidi="ar"/>
        </w:rPr>
        <w:t>监理人应在委托人每期办理财政集中支付手续前【</w:t>
      </w:r>
      <w:r>
        <w:rPr>
          <w:rFonts w:hint="eastAsia" w:ascii="宋体" w:hAnsi="宋体" w:cs="宋体"/>
          <w:bCs/>
          <w:snapToGrid w:val="0"/>
          <w:color w:val="auto"/>
          <w:kern w:val="0"/>
          <w:szCs w:val="21"/>
          <w:highlight w:val="none"/>
          <w:lang w:bidi="ar"/>
        </w:rPr>
        <w:t>7</w:t>
      </w:r>
      <w:r>
        <w:rPr>
          <w:rFonts w:hint="eastAsia" w:ascii="宋体" w:hAnsi="宋体" w:cs="宋体"/>
          <w:bCs/>
          <w:snapToGrid w:val="0"/>
          <w:color w:val="auto"/>
          <w:kern w:val="0"/>
          <w:szCs w:val="21"/>
          <w:highlight w:val="none"/>
          <w:lang w:val="zh-TW" w:bidi="ar"/>
        </w:rPr>
        <w:t>】个工作日向委托人提供与当期应付款项等额的合法有效的国家正式发票（□增值税专用发票；□增值税普通发票）及书面付款申请（一式四份），供委托人审核确认后办理财政集中支付手续。</w:t>
      </w:r>
    </w:p>
    <w:p w14:paraId="7180C07E">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委托人指定开具发票的基本信息如下：</w:t>
      </w:r>
    </w:p>
    <w:p w14:paraId="7B609951">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名</w:t>
      </w:r>
      <w:r>
        <w:rPr>
          <w:rFonts w:hint="eastAsia" w:ascii="宋体" w:hAnsi="宋体" w:cs="宋体"/>
          <w:bCs/>
          <w:color w:val="auto"/>
          <w:kern w:val="0"/>
          <w:szCs w:val="21"/>
          <w:highlight w:val="none"/>
          <w:lang w:val="zh-TW" w:eastAsia="zh-TW" w:bidi="ar"/>
        </w:rPr>
        <w:t xml:space="preserve">        </w:t>
      </w:r>
      <w:r>
        <w:rPr>
          <w:rFonts w:hint="eastAsia" w:ascii="宋体" w:hAnsi="宋体" w:cs="宋体"/>
          <w:bCs/>
          <w:snapToGrid w:val="0"/>
          <w:color w:val="auto"/>
          <w:kern w:val="0"/>
          <w:szCs w:val="21"/>
          <w:highlight w:val="none"/>
          <w:lang w:val="zh-TW" w:bidi="ar"/>
        </w:rPr>
        <w:t>称： 广州市天河区建设工程项目代建局</w:t>
      </w:r>
    </w:p>
    <w:p w14:paraId="023DABDD">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 xml:space="preserve">纳税人识别号： </w:t>
      </w:r>
      <w:r>
        <w:rPr>
          <w:rFonts w:hint="eastAsia" w:ascii="宋体" w:hAnsi="宋体" w:cs="宋体"/>
          <w:bCs/>
          <w:color w:val="auto"/>
          <w:kern w:val="0"/>
          <w:szCs w:val="21"/>
          <w:highlight w:val="none"/>
          <w:lang w:val="zh-TW" w:eastAsia="zh-TW" w:bidi="ar"/>
        </w:rPr>
        <w:t>124401066852360589</w:t>
      </w:r>
    </w:p>
    <w:p w14:paraId="57702CE5">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地址、电话： 广州市天河区黄埔大道</w:t>
      </w:r>
      <w:r>
        <w:rPr>
          <w:rFonts w:hint="eastAsia" w:ascii="宋体" w:hAnsi="宋体" w:cs="宋体"/>
          <w:bCs/>
          <w:snapToGrid w:val="0"/>
          <w:color w:val="auto"/>
          <w:kern w:val="0"/>
          <w:szCs w:val="21"/>
          <w:highlight w:val="none"/>
          <w:lang w:bidi="ar"/>
        </w:rPr>
        <w:t>中</w:t>
      </w:r>
      <w:r>
        <w:rPr>
          <w:rFonts w:hint="eastAsia" w:ascii="宋体" w:hAnsi="宋体" w:cs="宋体"/>
          <w:bCs/>
          <w:snapToGrid w:val="0"/>
          <w:color w:val="auto"/>
          <w:kern w:val="0"/>
          <w:szCs w:val="21"/>
          <w:highlight w:val="none"/>
          <w:lang w:val="zh-TW" w:eastAsia="zh-TW" w:bidi="ar"/>
        </w:rPr>
        <w:t>300</w:t>
      </w:r>
      <w:r>
        <w:rPr>
          <w:rFonts w:hint="eastAsia" w:ascii="宋体" w:hAnsi="宋体" w:cs="宋体"/>
          <w:bCs/>
          <w:snapToGrid w:val="0"/>
          <w:color w:val="auto"/>
          <w:kern w:val="0"/>
          <w:szCs w:val="21"/>
          <w:highlight w:val="none"/>
          <w:lang w:val="zh-TW" w:bidi="ar"/>
        </w:rPr>
        <w:t>号润都大厦</w:t>
      </w:r>
      <w:r>
        <w:rPr>
          <w:rFonts w:hint="eastAsia" w:ascii="宋体" w:hAnsi="宋体" w:cs="宋体"/>
          <w:bCs/>
          <w:color w:val="auto"/>
          <w:kern w:val="0"/>
          <w:szCs w:val="21"/>
          <w:highlight w:val="none"/>
          <w:lang w:val="zh-TW" w:eastAsia="zh-TW" w:bidi="ar"/>
        </w:rPr>
        <w:t>15</w:t>
      </w:r>
      <w:r>
        <w:rPr>
          <w:rFonts w:hint="eastAsia" w:ascii="宋体" w:hAnsi="宋体" w:cs="宋体"/>
          <w:bCs/>
          <w:snapToGrid w:val="0"/>
          <w:color w:val="auto"/>
          <w:kern w:val="0"/>
          <w:szCs w:val="21"/>
          <w:highlight w:val="none"/>
          <w:lang w:val="zh-TW" w:bidi="ar"/>
        </w:rPr>
        <w:t>楼</w:t>
      </w:r>
    </w:p>
    <w:p w14:paraId="240D7A04">
      <w:pPr>
        <w:tabs>
          <w:tab w:val="left" w:pos="3060"/>
        </w:tabs>
        <w:adjustRightInd w:val="0"/>
        <w:snapToGrid w:val="0"/>
        <w:spacing w:line="360" w:lineRule="auto"/>
        <w:ind w:right="11" w:firstLine="420" w:firstLineChars="200"/>
        <w:rPr>
          <w:rFonts w:hint="eastAsia" w:ascii="宋体" w:hAnsi="宋体" w:cs="宋体"/>
          <w:bCs/>
          <w:snapToGrid w:val="0"/>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开户行： 工商银行广州员村支行</w:t>
      </w:r>
      <w:r>
        <w:rPr>
          <w:rFonts w:hint="eastAsia" w:ascii="宋体" w:hAnsi="宋体" w:cs="宋体"/>
          <w:bCs/>
          <w:color w:val="auto"/>
          <w:kern w:val="0"/>
          <w:szCs w:val="21"/>
          <w:highlight w:val="none"/>
          <w:lang w:bidi="ar"/>
        </w:rPr>
        <w:t xml:space="preserve">  </w:t>
      </w:r>
      <w:r>
        <w:rPr>
          <w:rFonts w:hint="eastAsia" w:ascii="宋体" w:hAnsi="宋体" w:cs="宋体"/>
          <w:bCs/>
          <w:snapToGrid w:val="0"/>
          <w:color w:val="auto"/>
          <w:kern w:val="0"/>
          <w:szCs w:val="21"/>
          <w:highlight w:val="none"/>
          <w:lang w:bidi="ar"/>
        </w:rPr>
        <w:t>账号：</w:t>
      </w:r>
      <w:r>
        <w:rPr>
          <w:rFonts w:hint="eastAsia" w:ascii="宋体" w:hAnsi="宋体" w:cs="宋体"/>
          <w:bCs/>
          <w:snapToGrid w:val="0"/>
          <w:color w:val="auto"/>
          <w:kern w:val="0"/>
          <w:szCs w:val="21"/>
          <w:highlight w:val="none"/>
          <w:lang w:val="zh-TW" w:eastAsia="zh-TW" w:bidi="ar"/>
        </w:rPr>
        <w:t>3602005309200186668</w:t>
      </w:r>
    </w:p>
    <w:p w14:paraId="4CAF6B11">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货物或应税劳务、服务名称：</w:t>
      </w:r>
    </w:p>
    <w:p w14:paraId="55288CE2">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eastAsia="zh-TW" w:bidi="ar"/>
        </w:rPr>
        <w:t>3.2.6</w:t>
      </w:r>
      <w:r>
        <w:rPr>
          <w:rFonts w:hint="eastAsia" w:ascii="宋体" w:hAnsi="宋体" w:cs="宋体"/>
          <w:bCs/>
          <w:snapToGrid w:val="0"/>
          <w:color w:val="auto"/>
          <w:kern w:val="0"/>
          <w:szCs w:val="21"/>
          <w:highlight w:val="none"/>
          <w:lang w:val="zh-TW" w:bidi="ar"/>
        </w:rPr>
        <w:t>监理人确认本合同落款盖章处载明的银行账户为其指定的唯一的收款账户。如监理人需更改银行账户信息须于委托人办理财政集中支付手续</w:t>
      </w:r>
      <w:r>
        <w:rPr>
          <w:rFonts w:hint="eastAsia" w:ascii="宋体" w:hAnsi="宋体" w:cs="宋体"/>
          <w:bCs/>
          <w:color w:val="auto"/>
          <w:kern w:val="0"/>
          <w:szCs w:val="21"/>
          <w:highlight w:val="none"/>
          <w:lang w:val="zh-TW" w:eastAsia="zh-TW" w:bidi="ar"/>
        </w:rPr>
        <w:t>3</w:t>
      </w:r>
      <w:r>
        <w:rPr>
          <w:rFonts w:hint="eastAsia" w:ascii="宋体" w:hAnsi="宋体" w:cs="宋体"/>
          <w:bCs/>
          <w:snapToGrid w:val="0"/>
          <w:color w:val="auto"/>
          <w:kern w:val="0"/>
          <w:szCs w:val="21"/>
          <w:highlight w:val="none"/>
          <w:lang w:val="zh-TW" w:bidi="ar"/>
        </w:rPr>
        <w:t>个工作日前以书面方式通知委托人，否则，委托人向前述账户支付款项到账后，视为已支付款项，监理人自行承担怠于通知的不利后果。</w:t>
      </w:r>
    </w:p>
    <w:p w14:paraId="2C5AAFAF">
      <w:pPr>
        <w:tabs>
          <w:tab w:val="left" w:pos="3060"/>
        </w:tabs>
        <w:adjustRightInd w:val="0"/>
        <w:snapToGrid w:val="0"/>
        <w:spacing w:line="360" w:lineRule="auto"/>
        <w:ind w:right="11" w:firstLine="420" w:firstLineChars="200"/>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eastAsia="zh-TW" w:bidi="ar"/>
        </w:rPr>
        <w:t>3.2.7</w:t>
      </w:r>
      <w:r>
        <w:rPr>
          <w:rFonts w:hint="eastAsia" w:ascii="宋体" w:hAnsi="宋体" w:cs="宋体"/>
          <w:bCs/>
          <w:snapToGrid w:val="0"/>
          <w:color w:val="auto"/>
          <w:kern w:val="0"/>
          <w:szCs w:val="21"/>
          <w:highlight w:val="none"/>
          <w:lang w:val="zh-TW" w:bidi="ar"/>
        </w:rPr>
        <w:t>鉴于委托人使用的是财政资金，委托人在第</w:t>
      </w:r>
      <w:r>
        <w:rPr>
          <w:rFonts w:hint="eastAsia" w:ascii="宋体" w:hAnsi="宋体" w:cs="宋体"/>
          <w:bCs/>
          <w:color w:val="auto"/>
          <w:kern w:val="0"/>
          <w:szCs w:val="21"/>
          <w:highlight w:val="none"/>
          <w:lang w:val="zh-TW" w:eastAsia="zh-TW" w:bidi="ar"/>
        </w:rPr>
        <w:t>3.2.3</w:t>
      </w:r>
      <w:r>
        <w:rPr>
          <w:rFonts w:hint="eastAsia" w:ascii="宋体" w:hAnsi="宋体" w:cs="宋体"/>
          <w:bCs/>
          <w:snapToGrid w:val="0"/>
          <w:color w:val="auto"/>
          <w:kern w:val="0"/>
          <w:szCs w:val="21"/>
          <w:highlight w:val="none"/>
          <w:lang w:val="zh-TW" w:bidi="ar"/>
        </w:rPr>
        <w:t>款约定的时间内办理财政集中支付手续的（不含政府财政支付部门审核的时间），视为委托人已按约支付。由于财政拨款不到位、监理人未及时提供合法有效的发票或不可抗力原因导致监理人收款延误的，委托人不承担延迟付款的责任，并且此情况不能成为监理人中止或拒绝履行本合同项下义务的理由。</w:t>
      </w:r>
    </w:p>
    <w:p w14:paraId="27F7AB34">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四、</w:t>
      </w:r>
      <w:r>
        <w:rPr>
          <w:rFonts w:hint="eastAsia" w:ascii="宋体" w:hAnsi="宋体" w:cs="宋体"/>
          <w:snapToGrid w:val="0"/>
          <w:color w:val="auto"/>
          <w:kern w:val="0"/>
          <w:szCs w:val="21"/>
          <w:highlight w:val="none"/>
          <w:lang w:bidi="ar"/>
        </w:rPr>
        <w:t>本协议书中的有关词语含义与本合同《专用条件》、《标准条件》中赋予它们的定义相同。</w:t>
      </w:r>
    </w:p>
    <w:p w14:paraId="11EF73E6">
      <w:pPr>
        <w:adjustRightInd w:val="0"/>
        <w:snapToGrid w:val="0"/>
        <w:spacing w:line="360" w:lineRule="auto"/>
        <w:ind w:right="11" w:firstLine="422" w:firstLineChars="200"/>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五、</w:t>
      </w:r>
      <w:r>
        <w:rPr>
          <w:rFonts w:hint="eastAsia" w:ascii="宋体" w:hAnsi="宋体" w:cs="宋体"/>
          <w:bCs/>
          <w:snapToGrid w:val="0"/>
          <w:color w:val="auto"/>
          <w:kern w:val="0"/>
          <w:szCs w:val="21"/>
          <w:highlight w:val="none"/>
          <w:lang w:bidi="ar"/>
        </w:rPr>
        <w:t>下列文件应被认为是组成本合同的一部分，并互为补充和解释，如各文件存在冲突之处，以如下排列次序在前者优先适用：</w:t>
      </w:r>
    </w:p>
    <w:p w14:paraId="5A0670EC">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）本合同履行期间委托人与监理人双方签订的补充合同（协议）或修正文件；</w:t>
      </w:r>
    </w:p>
    <w:p w14:paraId="5B3431A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）本协议书；</w:t>
      </w:r>
    </w:p>
    <w:p w14:paraId="28D513A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）中标通知书（如有）；</w:t>
      </w:r>
    </w:p>
    <w:p w14:paraId="48DBAF4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）本合同专用条件；</w:t>
      </w:r>
    </w:p>
    <w:p w14:paraId="0C64B95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）委托人制定的各项制度、规定；</w:t>
      </w:r>
    </w:p>
    <w:p w14:paraId="098E6CD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）本合同附件；</w:t>
      </w:r>
    </w:p>
    <w:p w14:paraId="415ECDE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）本合同标准条件；</w:t>
      </w:r>
    </w:p>
    <w:p w14:paraId="75E4A58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）本合同工程监理招标文件</w:t>
      </w:r>
      <w:r>
        <w:rPr>
          <w:rFonts w:hint="eastAsia" w:ascii="宋体" w:hAnsi="宋体" w:cs="宋体"/>
          <w:bCs/>
          <w:color w:val="auto"/>
          <w:kern w:val="0"/>
          <w:szCs w:val="21"/>
          <w:highlight w:val="none"/>
          <w:lang w:bidi="ar"/>
        </w:rPr>
        <w:t>（含招标文件补充文件、澄清文件、答疑文件等，属本条第7项内容的除外）</w:t>
      </w:r>
      <w:r>
        <w:rPr>
          <w:rFonts w:hint="eastAsia" w:ascii="宋体" w:hAnsi="宋体" w:cs="宋体"/>
          <w:snapToGrid w:val="0"/>
          <w:color w:val="auto"/>
          <w:kern w:val="0"/>
          <w:szCs w:val="21"/>
          <w:highlight w:val="none"/>
          <w:lang w:bidi="ar"/>
        </w:rPr>
        <w:t>；</w:t>
      </w:r>
    </w:p>
    <w:p w14:paraId="1BDDE9F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）本合同工程监理投标文件</w:t>
      </w:r>
      <w:r>
        <w:rPr>
          <w:rFonts w:hint="eastAsia" w:ascii="宋体" w:hAnsi="宋体" w:cs="宋体"/>
          <w:bCs/>
          <w:color w:val="auto"/>
          <w:kern w:val="0"/>
          <w:szCs w:val="21"/>
          <w:highlight w:val="none"/>
          <w:lang w:bidi="ar"/>
        </w:rPr>
        <w:t>（含投标文件澄清等，属本条第(7)项内容的除外）</w:t>
      </w:r>
      <w:r>
        <w:rPr>
          <w:rFonts w:hint="eastAsia" w:ascii="宋体" w:hAnsi="宋体" w:cs="宋体"/>
          <w:snapToGrid w:val="0"/>
          <w:color w:val="auto"/>
          <w:kern w:val="0"/>
          <w:szCs w:val="21"/>
          <w:highlight w:val="none"/>
          <w:lang w:bidi="ar"/>
        </w:rPr>
        <w:t>；</w:t>
      </w:r>
    </w:p>
    <w:p w14:paraId="0EA3735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）组成本合同的其他文件。</w:t>
      </w:r>
    </w:p>
    <w:p w14:paraId="33E84FCB">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通过上述顺序解释仍无法明确的事项，由委托人与监理人协商解决；如协商不成，由委托人按照公平合理和有利于本合同工程建设的原则作出决定，监理人应无条件执行。如监理人认为因此给其造成了损失，可按</w:t>
      </w:r>
      <w:r>
        <w:rPr>
          <w:rFonts w:hint="eastAsia" w:ascii="宋体" w:hAnsi="宋体" w:cs="宋体"/>
          <w:bCs/>
          <w:color w:val="auto"/>
          <w:kern w:val="0"/>
          <w:szCs w:val="21"/>
          <w:highlight w:val="none"/>
          <w:lang w:bidi="ar"/>
        </w:rPr>
        <w:t>本合同专用条件第四十九条的约定处理。</w:t>
      </w:r>
    </w:p>
    <w:p w14:paraId="2F55E99D">
      <w:pPr>
        <w:adjustRightInd w:val="0"/>
        <w:snapToGrid w:val="0"/>
        <w:spacing w:line="360" w:lineRule="auto"/>
        <w:ind w:firstLine="413" w:firstLineChars="196"/>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六、</w:t>
      </w:r>
      <w:r>
        <w:rPr>
          <w:rFonts w:hint="eastAsia" w:ascii="宋体" w:hAnsi="宋体" w:cs="宋体"/>
          <w:bCs/>
          <w:snapToGrid w:val="0"/>
          <w:color w:val="auto"/>
          <w:kern w:val="0"/>
          <w:szCs w:val="21"/>
          <w:highlight w:val="none"/>
          <w:lang w:bidi="ar"/>
        </w:rPr>
        <w:t>监理人承诺遵守委托人所制订的针对本合同工程建设管理的各项制度、规定，这些管理制度、规定必须符合下列原则：</w:t>
      </w:r>
    </w:p>
    <w:p w14:paraId="22E2B0F3">
      <w:pPr>
        <w:adjustRightInd w:val="0"/>
        <w:snapToGrid w:val="0"/>
        <w:spacing w:line="360" w:lineRule="auto"/>
        <w:ind w:left="405"/>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）符合国家、广东省、广州市的有关政策、法规、规范和标准；</w:t>
      </w:r>
    </w:p>
    <w:p w14:paraId="4E6873C8">
      <w:pPr>
        <w:adjustRightInd w:val="0"/>
        <w:snapToGrid w:val="0"/>
        <w:spacing w:line="360" w:lineRule="auto"/>
        <w:ind w:left="405"/>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）符合对本合同工程进行有效管理的基本精神和要求；</w:t>
      </w:r>
    </w:p>
    <w:p w14:paraId="16C545BC">
      <w:pPr>
        <w:adjustRightInd w:val="0"/>
        <w:snapToGrid w:val="0"/>
        <w:spacing w:line="360" w:lineRule="auto"/>
        <w:ind w:left="405"/>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）为确保工程质量、进度、安全文明及职业健康管理所必须；</w:t>
      </w:r>
    </w:p>
    <w:p w14:paraId="1B10A93B">
      <w:pPr>
        <w:adjustRightInd w:val="0"/>
        <w:snapToGrid w:val="0"/>
        <w:spacing w:line="360" w:lineRule="auto"/>
        <w:ind w:left="405"/>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）不是针对某一特定的监理人或承包人。</w:t>
      </w:r>
    </w:p>
    <w:p w14:paraId="222DC724">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七、</w:t>
      </w:r>
      <w:r>
        <w:rPr>
          <w:rFonts w:hint="eastAsia" w:ascii="宋体" w:hAnsi="宋体" w:cs="宋体"/>
          <w:snapToGrid w:val="0"/>
          <w:color w:val="auto"/>
          <w:kern w:val="0"/>
          <w:szCs w:val="21"/>
          <w:highlight w:val="none"/>
          <w:lang w:bidi="ar"/>
        </w:rPr>
        <w:t>监理人应投入足够的合格人员确保及时准确地按委托人要求进行信息报送。</w:t>
      </w:r>
    </w:p>
    <w:p w14:paraId="7A846E30">
      <w:pPr>
        <w:adjustRightInd w:val="0"/>
        <w:snapToGrid w:val="0"/>
        <w:spacing w:line="360" w:lineRule="auto"/>
        <w:ind w:right="11" w:firstLine="422" w:firstLineChars="200"/>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八、</w:t>
      </w:r>
      <w:r>
        <w:rPr>
          <w:rFonts w:hint="eastAsia" w:ascii="宋体" w:hAnsi="宋体" w:cs="宋体"/>
          <w:bCs/>
          <w:snapToGrid w:val="0"/>
          <w:color w:val="auto"/>
          <w:kern w:val="0"/>
          <w:szCs w:val="21"/>
          <w:highlight w:val="none"/>
          <w:lang w:bidi="ar"/>
        </w:rPr>
        <w:t>本合同自</w:t>
      </w:r>
      <w:r>
        <w:rPr>
          <w:rFonts w:hint="eastAsia" w:ascii="宋体" w:hAnsi="宋体" w:cs="宋体"/>
          <w:snapToGrid w:val="0"/>
          <w:color w:val="auto"/>
          <w:kern w:val="0"/>
          <w:szCs w:val="21"/>
          <w:highlight w:val="none"/>
          <w:lang w:bidi="ar"/>
        </w:rPr>
        <w:t>委托人</w:t>
      </w:r>
      <w:r>
        <w:rPr>
          <w:rFonts w:hint="eastAsia" w:ascii="宋体" w:hAnsi="宋体" w:cs="宋体"/>
          <w:bCs/>
          <w:color w:val="auto"/>
          <w:kern w:val="0"/>
          <w:szCs w:val="21"/>
          <w:highlight w:val="none"/>
          <w:lang w:bidi="ar"/>
        </w:rPr>
        <w:t>、</w:t>
      </w:r>
      <w:r>
        <w:rPr>
          <w:rFonts w:hint="eastAsia" w:ascii="宋体" w:hAnsi="宋体" w:cs="宋体"/>
          <w:snapToGrid w:val="0"/>
          <w:color w:val="auto"/>
          <w:kern w:val="0"/>
          <w:szCs w:val="21"/>
          <w:highlight w:val="none"/>
          <w:lang w:bidi="ar"/>
        </w:rPr>
        <w:t>监理人</w:t>
      </w:r>
      <w:r>
        <w:rPr>
          <w:rFonts w:hint="eastAsia" w:ascii="宋体" w:hAnsi="宋体" w:cs="宋体"/>
          <w:bCs/>
          <w:color w:val="auto"/>
          <w:kern w:val="0"/>
          <w:szCs w:val="21"/>
          <w:highlight w:val="none"/>
          <w:lang w:bidi="ar"/>
        </w:rPr>
        <w:t>双方</w:t>
      </w:r>
      <w:r>
        <w:rPr>
          <w:rFonts w:hint="eastAsia" w:ascii="宋体" w:hAnsi="宋体" w:cs="宋体"/>
          <w:snapToGrid w:val="0"/>
          <w:color w:val="auto"/>
          <w:kern w:val="0"/>
          <w:szCs w:val="21"/>
          <w:highlight w:val="none"/>
          <w:lang w:bidi="ar"/>
        </w:rPr>
        <w:t>法定代表人（或其委托代理人）签名</w:t>
      </w:r>
      <w:r>
        <w:rPr>
          <w:rFonts w:hint="eastAsia" w:ascii="宋体" w:hAnsi="宋体" w:cs="宋体"/>
          <w:snapToGrid w:val="0"/>
          <w:color w:val="auto"/>
          <w:kern w:val="0"/>
          <w:szCs w:val="21"/>
          <w:highlight w:val="none"/>
          <w:lang w:val="en-US" w:eastAsia="zh-CN" w:bidi="ar"/>
        </w:rPr>
        <w:t>并</w:t>
      </w:r>
      <w:r>
        <w:rPr>
          <w:rFonts w:hint="eastAsia" w:ascii="宋体" w:hAnsi="宋体" w:cs="宋体"/>
          <w:snapToGrid w:val="0"/>
          <w:color w:val="auto"/>
          <w:kern w:val="0"/>
          <w:szCs w:val="21"/>
          <w:highlight w:val="none"/>
          <w:lang w:bidi="ar"/>
        </w:rPr>
        <w:t>加盖公章</w:t>
      </w:r>
      <w:r>
        <w:rPr>
          <w:rFonts w:hint="eastAsia" w:ascii="宋体" w:hAnsi="宋体" w:cs="宋体"/>
          <w:bCs/>
          <w:color w:val="auto"/>
          <w:kern w:val="0"/>
          <w:szCs w:val="21"/>
          <w:highlight w:val="none"/>
          <w:lang w:bidi="ar"/>
        </w:rPr>
        <w:t>之日起生效，生效时间以在后一方签署的日期为据。若由委托代理人签署的，须提供授权委托书、委托代理人身份证明及工作证明材料作为本合同的附件。本合同至本合同工程质量保修期满、竣工结算完成、本合同工程竣工结算经政府终审部门审定满60日且同时双方的责任、义务履行完毕时终止。</w:t>
      </w:r>
    </w:p>
    <w:p w14:paraId="2926AA3E">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九、</w:t>
      </w:r>
      <w:r>
        <w:rPr>
          <w:rFonts w:hint="eastAsia" w:ascii="宋体" w:hAnsi="宋体" w:cs="宋体"/>
          <w:bCs/>
          <w:snapToGrid w:val="0"/>
          <w:color w:val="auto"/>
          <w:kern w:val="0"/>
          <w:szCs w:val="21"/>
          <w:highlight w:val="none"/>
          <w:lang w:bidi="ar"/>
        </w:rPr>
        <w:t>本合同正本一式两份，委托人、监理人各执一份；副本八份，委托人执六份，监理人执二份。</w:t>
      </w:r>
      <w:r>
        <w:rPr>
          <w:rFonts w:hint="eastAsia" w:ascii="宋体" w:hAnsi="宋体" w:cs="宋体"/>
          <w:snapToGrid w:val="0"/>
          <w:color w:val="auto"/>
          <w:kern w:val="0"/>
          <w:szCs w:val="21"/>
          <w:highlight w:val="none"/>
          <w:lang w:bidi="ar"/>
        </w:rPr>
        <w:t>合同正、副本具有同等效力，但当合同正本与副本的表述不一致时，以合同正本为准。</w:t>
      </w:r>
    </w:p>
    <w:p w14:paraId="25AEC85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 xml:space="preserve">十、其他约定事项： </w:t>
      </w:r>
    </w:p>
    <w:p w14:paraId="7D1F7F6B">
      <w:pPr>
        <w:adjustRightInd w:val="0"/>
        <w:snapToGrid w:val="0"/>
        <w:spacing w:line="360" w:lineRule="auto"/>
        <w:ind w:firstLine="420" w:firstLineChars="200"/>
        <w:rPr>
          <w:rFonts w:hint="eastAsia" w:ascii="宋体" w:hAnsi="宋体" w:cs="宋体"/>
          <w:snapToGrid w:val="0"/>
          <w:color w:val="auto"/>
          <w:kern w:val="0"/>
          <w:szCs w:val="21"/>
          <w:highlight w:val="none"/>
          <w:lang w:val="zh-TW" w:eastAsia="zh-TW"/>
        </w:rPr>
      </w:pPr>
      <w:r>
        <w:rPr>
          <w:rFonts w:hint="eastAsia" w:ascii="宋体" w:hAnsi="宋体" w:cs="宋体"/>
          <w:snapToGrid w:val="0"/>
          <w:color w:val="auto"/>
          <w:kern w:val="0"/>
          <w:szCs w:val="21"/>
          <w:highlight w:val="none"/>
          <w:lang w:val="zh-TW" w:eastAsia="zh-TW" w:bidi="ar"/>
        </w:rPr>
        <w:t>10.1</w:t>
      </w:r>
      <w:r>
        <w:rPr>
          <w:rFonts w:hint="eastAsia" w:ascii="宋体" w:hAnsi="宋体" w:cs="宋体"/>
          <w:snapToGrid w:val="0"/>
          <w:color w:val="auto"/>
          <w:kern w:val="0"/>
          <w:szCs w:val="21"/>
          <w:highlight w:val="none"/>
          <w:lang w:bidi="ar"/>
        </w:rPr>
        <w:t>本合同未尽事宜，由双方友好协商并签订书面补充协议予以确定，补充协议与本合同具有同等法律效力。若补充协议与本协议就同一事项约定不一致的，除双方另有约定外， 以补充协议为准。</w:t>
      </w:r>
    </w:p>
    <w:p w14:paraId="7976720D">
      <w:pPr>
        <w:adjustRightInd w:val="0"/>
        <w:snapToGrid w:val="0"/>
        <w:spacing w:line="360" w:lineRule="auto"/>
        <w:ind w:firstLine="420" w:firstLineChars="200"/>
        <w:rPr>
          <w:rFonts w:hint="eastAsia" w:ascii="宋体" w:hAnsi="宋体" w:cs="宋体"/>
          <w:snapToGrid w:val="0"/>
          <w:color w:val="auto"/>
          <w:kern w:val="0"/>
          <w:szCs w:val="21"/>
          <w:highlight w:val="none"/>
          <w:lang w:val="zh-TW" w:eastAsia="zh-TW"/>
        </w:rPr>
      </w:pPr>
      <w:r>
        <w:rPr>
          <w:rFonts w:hint="eastAsia" w:ascii="宋体" w:hAnsi="宋体" w:cs="宋体"/>
          <w:snapToGrid w:val="0"/>
          <w:color w:val="auto"/>
          <w:kern w:val="0"/>
          <w:szCs w:val="21"/>
          <w:highlight w:val="none"/>
          <w:lang w:val="zh-TW" w:eastAsia="zh-TW" w:bidi="ar"/>
        </w:rPr>
        <w:t>10.2</w:t>
      </w:r>
      <w:r>
        <w:rPr>
          <w:rFonts w:hint="eastAsia" w:ascii="宋体" w:hAnsi="宋体" w:cs="宋体"/>
          <w:snapToGrid w:val="0"/>
          <w:color w:val="auto"/>
          <w:kern w:val="0"/>
          <w:szCs w:val="21"/>
          <w:highlight w:val="none"/>
          <w:lang w:bidi="ar"/>
        </w:rPr>
        <w:t>在执行本合同的过程中，所有经双方共同签署确认的文件（包括但不限于会议纪要、补充协议、往来信函、传真等）即成为本合同的有效组成部分，其生效日期为双方签署确认日期。前述文件与本合同之间内容应认为是互为补充和解释，但如有就同一事项（内容）约定存在互相矛盾之处</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除双方另有约定外，以形成时间在后的文件准。</w:t>
      </w:r>
    </w:p>
    <w:p w14:paraId="25E653E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val="zh-TW" w:eastAsia="zh-TW" w:bidi="ar"/>
        </w:rPr>
        <w:t>10.3</w:t>
      </w:r>
      <w:r>
        <w:rPr>
          <w:rFonts w:hint="eastAsia" w:ascii="宋体" w:hAnsi="宋体" w:cs="宋体"/>
          <w:snapToGrid w:val="0"/>
          <w:color w:val="auto"/>
          <w:kern w:val="0"/>
          <w:szCs w:val="21"/>
          <w:highlight w:val="none"/>
          <w:lang w:bidi="ar"/>
        </w:rPr>
        <w:t>任何与本合同有关的由双方当事人发出的文件、通知及其他通讯往来，必须采取书面形式，并送达至本合同落款盖章处载明的通讯地址或双方书面通知的其他地址，任一方变更通讯地址未在变更当日按照本合同约定书面通知对方的，对方按照前述联络方式送达的，视为有效送达，怠于通知一方自行承担送达不能的不利后果。双方确认，本合同项下的所有通知和其他联系均须采取书面形式，各类通知送达的时间分别定为：</w:t>
      </w:r>
    </w:p>
    <w:p w14:paraId="3AD5EFA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）专人递交以收件时为准；</w:t>
      </w:r>
    </w:p>
    <w:p w14:paraId="0A54310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）要求回执的挂号邮件以投寄后满七日为准；</w:t>
      </w:r>
    </w:p>
    <w:p w14:paraId="621EAE7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）传真以收到对方确认时为准。</w:t>
      </w:r>
    </w:p>
    <w:p w14:paraId="765F4EED">
      <w:pPr>
        <w:adjustRightInd w:val="0"/>
        <w:snapToGrid w:val="0"/>
        <w:spacing w:line="360" w:lineRule="auto"/>
        <w:ind w:firstLine="420" w:firstLineChars="200"/>
        <w:rPr>
          <w:rFonts w:hint="eastAsia" w:ascii="宋体" w:hAnsi="宋体" w:cs="宋体"/>
          <w:snapToGrid w:val="0"/>
          <w:color w:val="auto"/>
          <w:kern w:val="0"/>
          <w:szCs w:val="21"/>
          <w:highlight w:val="none"/>
          <w:lang w:val="zh-TW" w:eastAsia="zh-TW"/>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）电子邮件以进入对方当事人指定的邮箱并且能够检索识别为准。</w:t>
      </w:r>
    </w:p>
    <w:p w14:paraId="6EE184D0">
      <w:pPr>
        <w:adjustRightInd w:val="0"/>
        <w:snapToGrid w:val="0"/>
        <w:spacing w:line="360" w:lineRule="auto"/>
        <w:ind w:firstLine="420" w:firstLineChars="200"/>
        <w:rPr>
          <w:rFonts w:hint="eastAsia" w:ascii="宋体" w:hAnsi="宋体" w:cs="宋体"/>
          <w:snapToGrid w:val="0"/>
          <w:color w:val="auto"/>
          <w:kern w:val="0"/>
          <w:szCs w:val="21"/>
          <w:highlight w:val="none"/>
          <w:lang w:val="zh-TW" w:eastAsia="zh-TW"/>
        </w:rPr>
      </w:pPr>
      <w:r>
        <w:rPr>
          <w:rFonts w:hint="eastAsia" w:ascii="宋体" w:hAnsi="宋体" w:cs="宋体"/>
          <w:snapToGrid w:val="0"/>
          <w:color w:val="auto"/>
          <w:kern w:val="0"/>
          <w:szCs w:val="21"/>
          <w:highlight w:val="none"/>
          <w:lang w:val="zh-TW" w:eastAsia="zh-TW" w:bidi="ar"/>
        </w:rPr>
        <w:t>10.4</w:t>
      </w:r>
      <w:r>
        <w:rPr>
          <w:rFonts w:hint="eastAsia" w:ascii="宋体" w:hAnsi="宋体" w:cs="宋体"/>
          <w:snapToGrid w:val="0"/>
          <w:color w:val="auto"/>
          <w:kern w:val="0"/>
          <w:szCs w:val="21"/>
          <w:highlight w:val="none"/>
          <w:lang w:bidi="ar"/>
        </w:rPr>
        <w:t>未经委托人事先书面同意，监理人不得擅自将本合同项下委托监理事项转委托或分包委托给任何第三方。</w:t>
      </w:r>
    </w:p>
    <w:p w14:paraId="1157F06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val="zh-TW" w:eastAsia="zh-TW" w:bidi="ar"/>
        </w:rPr>
        <w:t>10.5</w:t>
      </w:r>
      <w:r>
        <w:rPr>
          <w:rFonts w:hint="eastAsia" w:ascii="宋体" w:hAnsi="宋体" w:cs="宋体"/>
          <w:snapToGrid w:val="0"/>
          <w:color w:val="auto"/>
          <w:kern w:val="0"/>
          <w:szCs w:val="21"/>
          <w:highlight w:val="none"/>
          <w:lang w:bidi="ar"/>
        </w:rPr>
        <w:t>以下文件作为附件，是本合同不可或缺的重要组成部分，与本合同具有同等法律效力：</w:t>
      </w:r>
    </w:p>
    <w:p w14:paraId="7BDF5582">
      <w:pPr>
        <w:adjustRightInd w:val="0"/>
        <w:snapToGrid w:val="0"/>
        <w:spacing w:line="360" w:lineRule="auto"/>
        <w:ind w:firstLine="420" w:firstLineChars="200"/>
        <w:rPr>
          <w:rFonts w:hint="eastAsia" w:ascii="宋体" w:hAnsi="宋体" w:cs="宋体"/>
          <w:color w:val="auto"/>
          <w:kern w:val="0"/>
          <w:szCs w:val="21"/>
          <w:highlight w:val="none"/>
          <w:lang w:val="zh-TW" w:eastAsia="zh-TW"/>
        </w:rPr>
      </w:pP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val="zh-TW" w:eastAsia="zh-TW" w:bidi="ar"/>
        </w:rPr>
        <w:t xml:space="preserve">  </w:t>
      </w:r>
      <w:r>
        <w:rPr>
          <w:rFonts w:hint="eastAsia" w:ascii="宋体" w:hAnsi="宋体" w:cs="宋体"/>
          <w:snapToGrid w:val="0"/>
          <w:color w:val="auto"/>
          <w:kern w:val="0"/>
          <w:szCs w:val="21"/>
          <w:highlight w:val="none"/>
          <w:lang w:val="zh-TW" w:bidi="ar"/>
        </w:rPr>
        <w:t>附件</w:t>
      </w:r>
      <w:r>
        <w:rPr>
          <w:rFonts w:hint="eastAsia" w:ascii="宋体" w:hAnsi="宋体" w:cs="宋体"/>
          <w:color w:val="auto"/>
          <w:kern w:val="0"/>
          <w:szCs w:val="21"/>
          <w:highlight w:val="none"/>
          <w:lang w:val="zh-TW" w:eastAsia="zh-TW" w:bidi="ar"/>
        </w:rPr>
        <w:t>1</w:t>
      </w:r>
      <w:r>
        <w:rPr>
          <w:rFonts w:hint="eastAsia" w:ascii="宋体" w:hAnsi="宋体" w:cs="宋体"/>
          <w:snapToGrid w:val="0"/>
          <w:color w:val="auto"/>
          <w:kern w:val="0"/>
          <w:szCs w:val="21"/>
          <w:highlight w:val="none"/>
          <w:lang w:val="zh-TW" w:bidi="ar"/>
        </w:rPr>
        <w:t>：《廉政合同》</w:t>
      </w:r>
    </w:p>
    <w:p w14:paraId="22FEAFD2">
      <w:pPr>
        <w:adjustRightInd w:val="0"/>
        <w:snapToGrid w:val="0"/>
        <w:spacing w:line="360" w:lineRule="auto"/>
        <w:ind w:firstLine="420" w:firstLineChars="200"/>
        <w:rPr>
          <w:rFonts w:hint="eastAsia"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bidi="ar"/>
        </w:rPr>
        <w:t xml:space="preserve">    </w:t>
      </w:r>
      <w:r>
        <w:rPr>
          <w:rFonts w:hint="eastAsia" w:ascii="宋体" w:hAnsi="宋体" w:cs="宋体"/>
          <w:snapToGrid w:val="0"/>
          <w:color w:val="auto"/>
          <w:kern w:val="0"/>
          <w:szCs w:val="21"/>
          <w:highlight w:val="none"/>
          <w:lang w:val="zh-TW" w:bidi="ar"/>
        </w:rPr>
        <w:t>附件</w:t>
      </w:r>
      <w:r>
        <w:rPr>
          <w:rFonts w:hint="eastAsia" w:ascii="宋体" w:hAnsi="宋体" w:cs="宋体"/>
          <w:color w:val="auto"/>
          <w:kern w:val="0"/>
          <w:szCs w:val="21"/>
          <w:highlight w:val="none"/>
          <w:lang w:val="zh-TW" w:eastAsia="zh-TW" w:bidi="ar"/>
        </w:rPr>
        <w:t>2</w:t>
      </w:r>
      <w:r>
        <w:rPr>
          <w:rFonts w:hint="eastAsia" w:ascii="宋体" w:hAnsi="宋体" w:cs="宋体"/>
          <w:snapToGrid w:val="0"/>
          <w:color w:val="auto"/>
          <w:kern w:val="0"/>
          <w:szCs w:val="21"/>
          <w:highlight w:val="none"/>
          <w:lang w:val="zh-TW" w:bidi="ar"/>
        </w:rPr>
        <w:t>：《各阶段工作成果文件的要求》</w:t>
      </w:r>
    </w:p>
    <w:p w14:paraId="0245A7D9">
      <w:pPr>
        <w:adjustRightInd w:val="0"/>
        <w:snapToGrid w:val="0"/>
        <w:spacing w:line="360" w:lineRule="auto"/>
        <w:ind w:firstLine="840" w:firstLineChars="400"/>
        <w:rPr>
          <w:rFonts w:hint="eastAsia" w:ascii="宋体" w:hAnsi="宋体" w:cs="宋体"/>
          <w:snapToGrid w:val="0"/>
          <w:color w:val="auto"/>
          <w:kern w:val="0"/>
          <w:szCs w:val="21"/>
          <w:highlight w:val="none"/>
          <w:lang w:val="zh-TW" w:bidi="ar"/>
        </w:rPr>
      </w:pPr>
      <w:r>
        <w:rPr>
          <w:rFonts w:hint="eastAsia" w:ascii="宋体" w:hAnsi="宋体" w:cs="宋体"/>
          <w:snapToGrid w:val="0"/>
          <w:color w:val="auto"/>
          <w:kern w:val="0"/>
          <w:szCs w:val="21"/>
          <w:highlight w:val="none"/>
          <w:lang w:val="zh-TW" w:bidi="ar"/>
        </w:rPr>
        <w:t>附件</w:t>
      </w:r>
      <w:r>
        <w:rPr>
          <w:rFonts w:hint="eastAsia" w:ascii="宋体" w:hAnsi="宋体" w:cs="宋体"/>
          <w:color w:val="auto"/>
          <w:kern w:val="0"/>
          <w:szCs w:val="21"/>
          <w:highlight w:val="none"/>
          <w:lang w:val="zh-TW" w:eastAsia="zh-TW" w:bidi="ar"/>
        </w:rPr>
        <w:t>3</w:t>
      </w:r>
      <w:r>
        <w:rPr>
          <w:rFonts w:hint="eastAsia" w:ascii="宋体" w:hAnsi="宋体" w:cs="宋体"/>
          <w:snapToGrid w:val="0"/>
          <w:color w:val="auto"/>
          <w:kern w:val="0"/>
          <w:szCs w:val="21"/>
          <w:highlight w:val="none"/>
          <w:lang w:val="zh-TW" w:bidi="ar"/>
        </w:rPr>
        <w:t>：《结算审核工作质量情况考评细则》</w:t>
      </w:r>
    </w:p>
    <w:p w14:paraId="45339B69">
      <w:pPr>
        <w:adjustRightInd w:val="0"/>
        <w:snapToGrid w:val="0"/>
        <w:spacing w:line="360" w:lineRule="auto"/>
        <w:ind w:firstLine="840" w:firstLineChars="400"/>
        <w:rPr>
          <w:rFonts w:hint="eastAsia" w:ascii="宋体" w:hAnsi="宋体" w:cs="宋体"/>
          <w:snapToGrid w:val="0"/>
          <w:color w:val="auto"/>
          <w:kern w:val="0"/>
          <w:szCs w:val="21"/>
          <w:highlight w:val="none"/>
          <w:lang w:val="zh-TW" w:eastAsia="zh-TW" w:bidi="ar"/>
        </w:rPr>
      </w:pPr>
      <w:r>
        <w:rPr>
          <w:rFonts w:hint="eastAsia" w:ascii="宋体" w:hAnsi="宋体" w:cs="宋体"/>
          <w:snapToGrid w:val="0"/>
          <w:color w:val="auto"/>
          <w:kern w:val="0"/>
          <w:szCs w:val="21"/>
          <w:highlight w:val="none"/>
          <w:lang w:val="en-US" w:eastAsia="zh-CN"/>
        </w:rPr>
        <w:t>附件4：《项目监理机构驻场监理人员通知书》</w:t>
      </w:r>
    </w:p>
    <w:p w14:paraId="6B7A6E09">
      <w:pPr>
        <w:adjustRightInd w:val="0"/>
        <w:snapToGrid w:val="0"/>
        <w:spacing w:line="360" w:lineRule="auto"/>
        <w:ind w:firstLine="420" w:firstLineChars="200"/>
        <w:rPr>
          <w:rFonts w:hint="eastAsia" w:ascii="宋体" w:hAnsi="宋体" w:cs="宋体"/>
          <w:color w:val="auto"/>
          <w:kern w:val="0"/>
          <w:szCs w:val="21"/>
          <w:highlight w:val="none"/>
          <w:lang w:val="zh-TW" w:eastAsia="zh-TW"/>
        </w:rPr>
      </w:pPr>
      <w:r>
        <w:rPr>
          <w:rFonts w:hint="eastAsia" w:ascii="宋体" w:hAnsi="宋体" w:cs="宋体"/>
          <w:snapToGrid w:val="0"/>
          <w:color w:val="auto"/>
          <w:kern w:val="0"/>
          <w:szCs w:val="21"/>
          <w:highlight w:val="none"/>
          <w:lang w:val="zh-TW" w:bidi="ar"/>
        </w:rPr>
        <w:t>（以下</w:t>
      </w:r>
      <w:r>
        <w:rPr>
          <w:rFonts w:hint="eastAsia" w:ascii="宋体" w:hAnsi="宋体" w:cs="宋体"/>
          <w:snapToGrid w:val="0"/>
          <w:color w:val="auto"/>
          <w:kern w:val="0"/>
          <w:szCs w:val="21"/>
          <w:highlight w:val="none"/>
          <w:lang w:bidi="ar"/>
        </w:rPr>
        <w:t>部分</w:t>
      </w:r>
      <w:r>
        <w:rPr>
          <w:rFonts w:hint="eastAsia" w:ascii="宋体" w:hAnsi="宋体" w:cs="宋体"/>
          <w:snapToGrid w:val="0"/>
          <w:color w:val="auto"/>
          <w:kern w:val="0"/>
          <w:szCs w:val="21"/>
          <w:highlight w:val="none"/>
          <w:lang w:val="zh-TW" w:bidi="ar"/>
        </w:rPr>
        <w:t>无《建设工程委托监理合同》第一部分《建设工程委托监理协议书》正文内容，为签章处）</w:t>
      </w:r>
    </w:p>
    <w:p w14:paraId="1B8DC1EA">
      <w:pPr>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lang w:eastAsia="zh-TW" w:bidi="ar"/>
        </w:rPr>
        <w:t xml:space="preserve"> </w:t>
      </w:r>
    </w:p>
    <w:p w14:paraId="514E817C">
      <w:pPr>
        <w:adjustRightInd w:val="0"/>
        <w:snapToGrid w:val="0"/>
        <w:spacing w:line="360" w:lineRule="auto"/>
        <w:ind w:right="1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（本页无《建设工程委托监理合同》第一部分《建设工程委托监理协议书》正文内容，为签章页）</w:t>
      </w:r>
      <w:r>
        <w:rPr>
          <w:rFonts w:hint="eastAsia" w:ascii="宋体" w:hAnsi="宋体" w:cs="宋体"/>
          <w:color w:val="auto"/>
          <w:kern w:val="0"/>
          <w:szCs w:val="21"/>
          <w:highlight w:val="none"/>
          <w:lang w:bidi="ar"/>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gridCol w:w="3837"/>
      </w:tblGrid>
      <w:tr w14:paraId="10A8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679" w:type="dxa"/>
            <w:tcBorders>
              <w:top w:val="single" w:color="auto" w:sz="4" w:space="0"/>
              <w:left w:val="single" w:color="auto" w:sz="4" w:space="0"/>
              <w:bottom w:val="single" w:color="auto" w:sz="4" w:space="0"/>
              <w:right w:val="single" w:color="auto" w:sz="4" w:space="0"/>
            </w:tcBorders>
            <w:noWrap w:val="0"/>
            <w:vAlign w:val="top"/>
          </w:tcPr>
          <w:p w14:paraId="2241F061">
            <w:pPr>
              <w:adjustRightInd w:val="0"/>
              <w:snapToGrid w:val="0"/>
              <w:spacing w:line="360" w:lineRule="auto"/>
              <w:outlineLvl w:val="1"/>
              <w:rPr>
                <w:rFonts w:hint="eastAsia" w:ascii="宋体" w:hAnsi="宋体" w:cs="宋体"/>
                <w:b/>
                <w:snapToGrid w:val="0"/>
                <w:color w:val="auto"/>
                <w:kern w:val="0"/>
                <w:szCs w:val="21"/>
                <w:highlight w:val="none"/>
              </w:rPr>
            </w:pPr>
            <w:bookmarkStart w:id="1397" w:name="_Toc20216"/>
            <w:r>
              <w:rPr>
                <w:rFonts w:hint="eastAsia" w:ascii="宋体" w:hAnsi="宋体" w:cs="宋体"/>
                <w:snapToGrid w:val="0"/>
                <w:color w:val="auto"/>
                <w:spacing w:val="-20"/>
                <w:kern w:val="0"/>
                <w:szCs w:val="21"/>
                <w:highlight w:val="none"/>
                <w:lang w:bidi="ar"/>
              </w:rPr>
              <w:t>委托人</w:t>
            </w:r>
            <w:r>
              <w:rPr>
                <w:rFonts w:hint="eastAsia" w:ascii="宋体" w:hAnsi="宋体" w:cs="宋体"/>
                <w:snapToGrid w:val="0"/>
                <w:color w:val="auto"/>
                <w:kern w:val="0"/>
                <w:szCs w:val="21"/>
                <w:highlight w:val="none"/>
                <w:lang w:bidi="ar"/>
              </w:rPr>
              <w:t>盖章）</w:t>
            </w:r>
            <w:r>
              <w:rPr>
                <w:rFonts w:hint="eastAsia" w:ascii="宋体" w:hAnsi="宋体" w:cs="宋体"/>
                <w:color w:val="auto"/>
                <w:spacing w:val="-20"/>
                <w:kern w:val="0"/>
                <w:szCs w:val="21"/>
                <w:highlight w:val="none"/>
                <w:lang w:bidi="ar"/>
              </w:rPr>
              <w:t>：</w:t>
            </w:r>
            <w:r>
              <w:rPr>
                <w:rFonts w:hint="eastAsia" w:ascii="宋体" w:hAnsi="宋体" w:cs="宋体"/>
                <w:color w:val="auto"/>
                <w:szCs w:val="21"/>
                <w:highlight w:val="none"/>
                <w:u w:val="single"/>
                <w:lang w:bidi="ar"/>
              </w:rPr>
              <w:t>广州市天河区建设工程项目代建局</w:t>
            </w:r>
            <w:bookmarkEnd w:id="1397"/>
          </w:p>
        </w:tc>
        <w:tc>
          <w:tcPr>
            <w:tcW w:w="3837" w:type="dxa"/>
            <w:tcBorders>
              <w:top w:val="single" w:color="auto" w:sz="4" w:space="0"/>
              <w:left w:val="single" w:color="auto" w:sz="4" w:space="0"/>
              <w:bottom w:val="single" w:color="auto" w:sz="4" w:space="0"/>
              <w:right w:val="single" w:color="auto" w:sz="4" w:space="0"/>
            </w:tcBorders>
            <w:noWrap w:val="0"/>
            <w:vAlign w:val="top"/>
          </w:tcPr>
          <w:p w14:paraId="6EA38F9A">
            <w:pPr>
              <w:adjustRightInd w:val="0"/>
              <w:snapToGrid w:val="0"/>
              <w:spacing w:line="360" w:lineRule="auto"/>
              <w:ind w:right="11"/>
              <w:rPr>
                <w:rFonts w:hint="eastAsia" w:ascii="宋体" w:hAnsi="宋体" w:cs="宋体"/>
                <w:bCs/>
                <w:snapToGrid w:val="0"/>
                <w:color w:val="auto"/>
                <w:kern w:val="0"/>
                <w:szCs w:val="21"/>
                <w:highlight w:val="none"/>
              </w:rPr>
            </w:pPr>
            <w:r>
              <w:rPr>
                <w:rFonts w:hint="eastAsia" w:ascii="宋体" w:hAnsi="宋体" w:cs="宋体"/>
                <w:color w:val="auto"/>
                <w:spacing w:val="-20"/>
                <w:kern w:val="0"/>
                <w:szCs w:val="21"/>
                <w:highlight w:val="none"/>
                <w:lang w:bidi="ar"/>
              </w:rPr>
              <w:t xml:space="preserve">  </w:t>
            </w:r>
            <w:r>
              <w:rPr>
                <w:rFonts w:hint="eastAsia" w:ascii="宋体" w:hAnsi="宋体" w:cs="宋体"/>
                <w:snapToGrid w:val="0"/>
                <w:color w:val="auto"/>
                <w:spacing w:val="-20"/>
                <w:kern w:val="0"/>
                <w:szCs w:val="21"/>
                <w:highlight w:val="none"/>
                <w:lang w:bidi="ar"/>
              </w:rPr>
              <w:t xml:space="preserve">监理人 </w:t>
            </w:r>
            <w:r>
              <w:rPr>
                <w:rFonts w:hint="eastAsia" w:ascii="宋体" w:hAnsi="宋体" w:cs="宋体"/>
                <w:snapToGrid w:val="0"/>
                <w:color w:val="auto"/>
                <w:kern w:val="0"/>
                <w:szCs w:val="21"/>
                <w:highlight w:val="none"/>
                <w:lang w:bidi="ar"/>
              </w:rPr>
              <w:t>（盖章）</w:t>
            </w:r>
            <w:r>
              <w:rPr>
                <w:rFonts w:hint="eastAsia" w:ascii="宋体" w:hAnsi="宋体" w:cs="宋体"/>
                <w:color w:val="auto"/>
                <w:spacing w:val="-20"/>
                <w:kern w:val="0"/>
                <w:szCs w:val="21"/>
                <w:highlight w:val="none"/>
                <w:lang w:bidi="ar"/>
              </w:rPr>
              <w:t>：</w:t>
            </w:r>
            <w:r>
              <w:rPr>
                <w:rFonts w:hint="eastAsia" w:ascii="宋体" w:hAnsi="宋体" w:cs="宋体"/>
                <w:color w:val="auto"/>
                <w:szCs w:val="21"/>
                <w:highlight w:val="none"/>
                <w:u w:val="single"/>
                <w:lang w:bidi="ar"/>
              </w:rPr>
              <w:t xml:space="preserve">                    </w:t>
            </w:r>
          </w:p>
          <w:p w14:paraId="6332057F">
            <w:pPr>
              <w:adjustRightInd w:val="0"/>
              <w:snapToGrid w:val="0"/>
              <w:spacing w:line="360" w:lineRule="auto"/>
              <w:jc w:val="center"/>
              <w:outlineLvl w:val="1"/>
              <w:rPr>
                <w:rFonts w:hint="eastAsia" w:ascii="宋体" w:hAnsi="宋体" w:cs="宋体"/>
                <w:b/>
                <w:snapToGrid w:val="0"/>
                <w:color w:val="auto"/>
                <w:kern w:val="0"/>
                <w:szCs w:val="21"/>
                <w:highlight w:val="none"/>
              </w:rPr>
            </w:pPr>
          </w:p>
        </w:tc>
      </w:tr>
      <w:tr w14:paraId="0D7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44904B4C">
            <w:pPr>
              <w:adjustRightInd w:val="0"/>
              <w:snapToGrid w:val="0"/>
              <w:spacing w:line="360" w:lineRule="auto"/>
              <w:outlineLvl w:val="1"/>
              <w:rPr>
                <w:rFonts w:hint="eastAsia" w:ascii="宋体" w:hAnsi="宋体" w:cs="宋体"/>
                <w:b/>
                <w:color w:val="auto"/>
                <w:kern w:val="0"/>
                <w:szCs w:val="21"/>
                <w:highlight w:val="none"/>
              </w:rPr>
            </w:pPr>
            <w:bookmarkStart w:id="1398" w:name="_Toc18318"/>
            <w:r>
              <w:rPr>
                <w:rFonts w:hint="eastAsia" w:ascii="宋体" w:hAnsi="宋体" w:cs="宋体"/>
                <w:snapToGrid w:val="0"/>
                <w:color w:val="auto"/>
                <w:kern w:val="0"/>
                <w:szCs w:val="21"/>
                <w:highlight w:val="none"/>
                <w:lang w:bidi="ar"/>
              </w:rPr>
              <w:t>法定代表人（签名）：</w:t>
            </w:r>
            <w:bookmarkEnd w:id="1398"/>
          </w:p>
        </w:tc>
        <w:tc>
          <w:tcPr>
            <w:tcW w:w="3837" w:type="dxa"/>
            <w:tcBorders>
              <w:top w:val="single" w:color="auto" w:sz="4" w:space="0"/>
              <w:left w:val="single" w:color="auto" w:sz="4" w:space="0"/>
              <w:bottom w:val="single" w:color="auto" w:sz="4" w:space="0"/>
              <w:right w:val="single" w:color="auto" w:sz="4" w:space="0"/>
            </w:tcBorders>
            <w:noWrap w:val="0"/>
            <w:vAlign w:val="top"/>
          </w:tcPr>
          <w:p w14:paraId="27D97A26">
            <w:pPr>
              <w:adjustRightInd w:val="0"/>
              <w:snapToGrid w:val="0"/>
              <w:spacing w:line="360" w:lineRule="auto"/>
              <w:outlineLvl w:val="1"/>
              <w:rPr>
                <w:rFonts w:hint="eastAsia" w:ascii="宋体" w:hAnsi="宋体" w:cs="宋体"/>
                <w:b/>
                <w:color w:val="auto"/>
                <w:kern w:val="0"/>
                <w:szCs w:val="21"/>
                <w:highlight w:val="none"/>
              </w:rPr>
            </w:pPr>
            <w:bookmarkStart w:id="1399" w:name="_Toc25403"/>
            <w:r>
              <w:rPr>
                <w:rFonts w:hint="eastAsia" w:ascii="宋体" w:hAnsi="宋体" w:cs="宋体"/>
                <w:snapToGrid w:val="0"/>
                <w:color w:val="auto"/>
                <w:kern w:val="0"/>
                <w:szCs w:val="21"/>
                <w:highlight w:val="none"/>
                <w:lang w:bidi="ar"/>
              </w:rPr>
              <w:t>法定代表人（签名）：</w:t>
            </w:r>
            <w:bookmarkEnd w:id="1399"/>
          </w:p>
        </w:tc>
      </w:tr>
      <w:tr w14:paraId="1740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0A30CFED">
            <w:pPr>
              <w:adjustRightInd w:val="0"/>
              <w:snapToGrid w:val="0"/>
              <w:spacing w:line="360" w:lineRule="auto"/>
              <w:outlineLvl w:val="1"/>
              <w:rPr>
                <w:rFonts w:hint="eastAsia" w:ascii="宋体" w:hAnsi="宋体" w:cs="宋体"/>
                <w:b/>
                <w:color w:val="auto"/>
                <w:kern w:val="0"/>
                <w:szCs w:val="21"/>
                <w:highlight w:val="none"/>
              </w:rPr>
            </w:pPr>
            <w:bookmarkStart w:id="1400" w:name="_Toc2324"/>
            <w:r>
              <w:rPr>
                <w:rFonts w:hint="eastAsia" w:ascii="宋体" w:hAnsi="宋体" w:cs="宋体"/>
                <w:snapToGrid w:val="0"/>
                <w:color w:val="auto"/>
                <w:kern w:val="0"/>
                <w:szCs w:val="21"/>
                <w:highlight w:val="none"/>
                <w:lang w:bidi="ar"/>
              </w:rPr>
              <w:t>或委托代理人（签名）：</w:t>
            </w:r>
            <w:bookmarkEnd w:id="1400"/>
          </w:p>
        </w:tc>
        <w:tc>
          <w:tcPr>
            <w:tcW w:w="3837" w:type="dxa"/>
            <w:tcBorders>
              <w:top w:val="single" w:color="auto" w:sz="4" w:space="0"/>
              <w:left w:val="single" w:color="auto" w:sz="4" w:space="0"/>
              <w:bottom w:val="single" w:color="auto" w:sz="4" w:space="0"/>
              <w:right w:val="single" w:color="auto" w:sz="4" w:space="0"/>
            </w:tcBorders>
            <w:noWrap w:val="0"/>
            <w:vAlign w:val="top"/>
          </w:tcPr>
          <w:p w14:paraId="2F7ABB54">
            <w:pPr>
              <w:adjustRightInd w:val="0"/>
              <w:snapToGrid w:val="0"/>
              <w:spacing w:line="360" w:lineRule="auto"/>
              <w:outlineLvl w:val="1"/>
              <w:rPr>
                <w:rFonts w:hint="eastAsia" w:ascii="宋体" w:hAnsi="宋体" w:cs="宋体"/>
                <w:b/>
                <w:color w:val="auto"/>
                <w:kern w:val="0"/>
                <w:szCs w:val="21"/>
                <w:highlight w:val="none"/>
              </w:rPr>
            </w:pPr>
            <w:bookmarkStart w:id="1401" w:name="_Toc20830"/>
            <w:r>
              <w:rPr>
                <w:rFonts w:hint="eastAsia" w:ascii="宋体" w:hAnsi="宋体" w:cs="宋体"/>
                <w:snapToGrid w:val="0"/>
                <w:color w:val="auto"/>
                <w:kern w:val="0"/>
                <w:szCs w:val="21"/>
                <w:highlight w:val="none"/>
                <w:lang w:bidi="ar"/>
              </w:rPr>
              <w:t>或委托代理人（签名）</w:t>
            </w:r>
            <w:bookmarkEnd w:id="1401"/>
          </w:p>
        </w:tc>
      </w:tr>
      <w:tr w14:paraId="5CA7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0A8B5BBC">
            <w:pPr>
              <w:adjustRightInd w:val="0"/>
              <w:snapToGrid w:val="0"/>
              <w:spacing w:line="360" w:lineRule="auto"/>
              <w:outlineLvl w:val="1"/>
              <w:rPr>
                <w:rFonts w:hint="eastAsia" w:ascii="宋体" w:hAnsi="宋体" w:cs="宋体"/>
                <w:b/>
                <w:color w:val="auto"/>
                <w:kern w:val="0"/>
                <w:szCs w:val="21"/>
                <w:highlight w:val="none"/>
              </w:rPr>
            </w:pPr>
            <w:bookmarkStart w:id="1402" w:name="_Toc4377"/>
            <w:r>
              <w:rPr>
                <w:rFonts w:hint="eastAsia" w:ascii="宋体" w:hAnsi="宋体" w:cs="宋体"/>
                <w:snapToGrid w:val="0"/>
                <w:color w:val="auto"/>
                <w:kern w:val="0"/>
                <w:szCs w:val="21"/>
                <w:highlight w:val="none"/>
                <w:lang w:bidi="ar"/>
              </w:rPr>
              <w:t>住所：广州市天河区黄埔大道中</w:t>
            </w:r>
            <w:r>
              <w:rPr>
                <w:rFonts w:hint="eastAsia" w:ascii="宋体" w:hAnsi="宋体" w:cs="宋体"/>
                <w:color w:val="auto"/>
                <w:kern w:val="0"/>
                <w:szCs w:val="21"/>
                <w:highlight w:val="none"/>
                <w:lang w:bidi="ar"/>
              </w:rPr>
              <w:t>300</w:t>
            </w:r>
            <w:r>
              <w:rPr>
                <w:rFonts w:hint="eastAsia" w:ascii="宋体" w:hAnsi="宋体" w:cs="宋体"/>
                <w:snapToGrid w:val="0"/>
                <w:color w:val="auto"/>
                <w:kern w:val="0"/>
                <w:szCs w:val="21"/>
                <w:highlight w:val="none"/>
                <w:lang w:bidi="ar"/>
              </w:rPr>
              <w:t>号</w:t>
            </w:r>
            <w:bookmarkEnd w:id="1402"/>
          </w:p>
        </w:tc>
        <w:tc>
          <w:tcPr>
            <w:tcW w:w="3837" w:type="dxa"/>
            <w:tcBorders>
              <w:top w:val="single" w:color="auto" w:sz="4" w:space="0"/>
              <w:left w:val="single" w:color="auto" w:sz="4" w:space="0"/>
              <w:bottom w:val="single" w:color="auto" w:sz="4" w:space="0"/>
              <w:right w:val="single" w:color="auto" w:sz="4" w:space="0"/>
            </w:tcBorders>
            <w:noWrap w:val="0"/>
            <w:vAlign w:val="top"/>
          </w:tcPr>
          <w:p w14:paraId="35AF9208">
            <w:pPr>
              <w:adjustRightInd w:val="0"/>
              <w:snapToGrid w:val="0"/>
              <w:spacing w:line="360" w:lineRule="auto"/>
              <w:outlineLvl w:val="1"/>
              <w:rPr>
                <w:rFonts w:hint="eastAsia" w:ascii="宋体" w:hAnsi="宋体" w:cs="宋体"/>
                <w:b/>
                <w:color w:val="auto"/>
                <w:kern w:val="0"/>
                <w:szCs w:val="21"/>
                <w:highlight w:val="none"/>
              </w:rPr>
            </w:pPr>
            <w:bookmarkStart w:id="1403" w:name="_Toc5624"/>
            <w:r>
              <w:rPr>
                <w:rFonts w:hint="eastAsia" w:ascii="宋体" w:hAnsi="宋体" w:cs="宋体"/>
                <w:snapToGrid w:val="0"/>
                <w:color w:val="auto"/>
                <w:kern w:val="0"/>
                <w:szCs w:val="21"/>
                <w:highlight w:val="none"/>
                <w:lang w:bidi="ar"/>
              </w:rPr>
              <w:t>住所：</w:t>
            </w:r>
            <w:bookmarkEnd w:id="1403"/>
            <w:r>
              <w:rPr>
                <w:rFonts w:hint="eastAsia" w:ascii="宋体" w:hAnsi="宋体" w:cs="宋体"/>
                <w:snapToGrid w:val="0"/>
                <w:color w:val="auto"/>
                <w:kern w:val="0"/>
                <w:szCs w:val="21"/>
                <w:highlight w:val="none"/>
                <w:lang w:bidi="ar"/>
              </w:rPr>
              <w:t xml:space="preserve"> </w:t>
            </w:r>
            <w:r>
              <w:rPr>
                <w:rFonts w:hint="eastAsia" w:ascii="宋体" w:hAnsi="宋体" w:cs="宋体"/>
                <w:color w:val="auto"/>
                <w:kern w:val="0"/>
                <w:szCs w:val="21"/>
                <w:highlight w:val="none"/>
                <w:lang w:bidi="ar"/>
              </w:rPr>
              <w:t xml:space="preserve">         </w:t>
            </w:r>
          </w:p>
        </w:tc>
      </w:tr>
      <w:tr w14:paraId="7A0F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0BE66C78">
            <w:pPr>
              <w:adjustRightInd w:val="0"/>
              <w:snapToGrid w:val="0"/>
              <w:spacing w:line="360" w:lineRule="auto"/>
              <w:outlineLvl w:val="1"/>
              <w:rPr>
                <w:rFonts w:hint="eastAsia" w:ascii="宋体" w:hAnsi="宋体" w:cs="宋体"/>
                <w:b/>
                <w:color w:val="auto"/>
                <w:kern w:val="0"/>
                <w:szCs w:val="21"/>
                <w:highlight w:val="none"/>
              </w:rPr>
            </w:pPr>
            <w:bookmarkStart w:id="1404" w:name="_Toc29050"/>
            <w:r>
              <w:rPr>
                <w:rFonts w:hint="eastAsia" w:ascii="宋体" w:hAnsi="宋体" w:cs="宋体"/>
                <w:snapToGrid w:val="0"/>
                <w:color w:val="auto"/>
                <w:kern w:val="0"/>
                <w:szCs w:val="21"/>
                <w:highlight w:val="none"/>
                <w:lang w:bidi="ar"/>
              </w:rPr>
              <w:t>电话：</w:t>
            </w:r>
            <w:r>
              <w:rPr>
                <w:rFonts w:hint="eastAsia" w:ascii="宋体" w:hAnsi="宋体" w:cs="宋体"/>
                <w:color w:val="auto"/>
                <w:kern w:val="0"/>
                <w:szCs w:val="21"/>
                <w:highlight w:val="none"/>
                <w:lang w:bidi="ar"/>
              </w:rPr>
              <w:t>020-38085152</w:t>
            </w:r>
            <w:bookmarkEnd w:id="1404"/>
            <w:r>
              <w:rPr>
                <w:rFonts w:hint="eastAsia" w:ascii="宋体" w:hAnsi="宋体" w:cs="宋体"/>
                <w:color w:val="auto"/>
                <w:kern w:val="0"/>
                <w:szCs w:val="21"/>
                <w:highlight w:val="none"/>
                <w:lang w:bidi="ar"/>
              </w:rPr>
              <w:t xml:space="preserve">    </w:t>
            </w:r>
          </w:p>
        </w:tc>
        <w:tc>
          <w:tcPr>
            <w:tcW w:w="3837" w:type="dxa"/>
            <w:tcBorders>
              <w:top w:val="single" w:color="auto" w:sz="4" w:space="0"/>
              <w:left w:val="single" w:color="auto" w:sz="4" w:space="0"/>
              <w:bottom w:val="single" w:color="auto" w:sz="4" w:space="0"/>
              <w:right w:val="single" w:color="auto" w:sz="4" w:space="0"/>
            </w:tcBorders>
            <w:noWrap w:val="0"/>
            <w:vAlign w:val="top"/>
          </w:tcPr>
          <w:p w14:paraId="57896B61">
            <w:pPr>
              <w:adjustRightInd w:val="0"/>
              <w:snapToGrid w:val="0"/>
              <w:spacing w:line="360" w:lineRule="auto"/>
              <w:outlineLvl w:val="1"/>
              <w:rPr>
                <w:rFonts w:hint="eastAsia" w:ascii="宋体" w:hAnsi="宋体" w:cs="宋体"/>
                <w:b/>
                <w:color w:val="auto"/>
                <w:kern w:val="0"/>
                <w:szCs w:val="21"/>
                <w:highlight w:val="none"/>
              </w:rPr>
            </w:pPr>
            <w:bookmarkStart w:id="1405" w:name="_Toc19015"/>
            <w:r>
              <w:rPr>
                <w:rFonts w:hint="eastAsia" w:ascii="宋体" w:hAnsi="宋体" w:cs="宋体"/>
                <w:snapToGrid w:val="0"/>
                <w:color w:val="auto"/>
                <w:kern w:val="0"/>
                <w:szCs w:val="21"/>
                <w:highlight w:val="none"/>
                <w:lang w:bidi="ar"/>
              </w:rPr>
              <w:t>电话：</w:t>
            </w:r>
            <w:bookmarkEnd w:id="1405"/>
            <w:r>
              <w:rPr>
                <w:rFonts w:hint="eastAsia" w:ascii="宋体" w:hAnsi="宋体" w:cs="宋体"/>
                <w:snapToGrid w:val="0"/>
                <w:color w:val="auto"/>
                <w:kern w:val="0"/>
                <w:szCs w:val="21"/>
                <w:highlight w:val="none"/>
                <w:lang w:bidi="ar"/>
              </w:rPr>
              <w:t xml:space="preserve"> </w:t>
            </w:r>
          </w:p>
        </w:tc>
      </w:tr>
      <w:tr w14:paraId="493C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7F62A669">
            <w:pPr>
              <w:adjustRightInd w:val="0"/>
              <w:snapToGrid w:val="0"/>
              <w:spacing w:line="360" w:lineRule="auto"/>
              <w:outlineLvl w:val="1"/>
              <w:rPr>
                <w:rFonts w:hint="eastAsia" w:ascii="宋体" w:hAnsi="宋体" w:cs="宋体"/>
                <w:b/>
                <w:snapToGrid w:val="0"/>
                <w:color w:val="auto"/>
                <w:kern w:val="0"/>
                <w:szCs w:val="21"/>
                <w:highlight w:val="none"/>
              </w:rPr>
            </w:pPr>
            <w:bookmarkStart w:id="1406" w:name="_Toc20863"/>
            <w:r>
              <w:rPr>
                <w:rFonts w:hint="eastAsia" w:ascii="宋体" w:hAnsi="宋体" w:cs="宋体"/>
                <w:snapToGrid w:val="0"/>
                <w:color w:val="auto"/>
                <w:kern w:val="0"/>
                <w:szCs w:val="21"/>
                <w:highlight w:val="none"/>
                <w:lang w:bidi="ar"/>
              </w:rPr>
              <w:t>传真：</w:t>
            </w:r>
            <w:bookmarkEnd w:id="1406"/>
            <w:r>
              <w:rPr>
                <w:rFonts w:hint="eastAsia" w:ascii="宋体" w:hAnsi="宋体" w:cs="宋体"/>
                <w:snapToGrid w:val="0"/>
                <w:color w:val="auto"/>
                <w:kern w:val="0"/>
                <w:szCs w:val="21"/>
                <w:highlight w:val="none"/>
                <w:lang w:bidi="ar"/>
              </w:rPr>
              <w:t xml:space="preserve"> </w:t>
            </w:r>
          </w:p>
        </w:tc>
        <w:tc>
          <w:tcPr>
            <w:tcW w:w="3837" w:type="dxa"/>
            <w:tcBorders>
              <w:top w:val="single" w:color="auto" w:sz="4" w:space="0"/>
              <w:left w:val="single" w:color="auto" w:sz="4" w:space="0"/>
              <w:bottom w:val="single" w:color="auto" w:sz="4" w:space="0"/>
              <w:right w:val="single" w:color="auto" w:sz="4" w:space="0"/>
            </w:tcBorders>
            <w:noWrap w:val="0"/>
            <w:vAlign w:val="top"/>
          </w:tcPr>
          <w:p w14:paraId="457054FA">
            <w:pPr>
              <w:adjustRightInd w:val="0"/>
              <w:snapToGrid w:val="0"/>
              <w:spacing w:line="360" w:lineRule="auto"/>
              <w:outlineLvl w:val="1"/>
              <w:rPr>
                <w:rFonts w:hint="eastAsia" w:ascii="宋体" w:hAnsi="宋体" w:cs="宋体"/>
                <w:b/>
                <w:snapToGrid w:val="0"/>
                <w:color w:val="auto"/>
                <w:kern w:val="0"/>
                <w:szCs w:val="21"/>
                <w:highlight w:val="none"/>
              </w:rPr>
            </w:pPr>
            <w:bookmarkStart w:id="1407" w:name="_Toc7413"/>
            <w:r>
              <w:rPr>
                <w:rFonts w:hint="eastAsia" w:ascii="宋体" w:hAnsi="宋体" w:cs="宋体"/>
                <w:snapToGrid w:val="0"/>
                <w:color w:val="auto"/>
                <w:kern w:val="0"/>
                <w:szCs w:val="21"/>
                <w:highlight w:val="none"/>
                <w:lang w:bidi="ar"/>
              </w:rPr>
              <w:t>传真：</w:t>
            </w:r>
            <w:bookmarkEnd w:id="1407"/>
            <w:r>
              <w:rPr>
                <w:rFonts w:hint="eastAsia" w:ascii="宋体" w:hAnsi="宋体" w:cs="宋体"/>
                <w:bCs/>
                <w:color w:val="auto"/>
                <w:szCs w:val="21"/>
                <w:highlight w:val="none"/>
                <w:lang w:eastAsia="en-US" w:bidi="ar"/>
              </w:rPr>
              <w:t xml:space="preserve"> </w:t>
            </w:r>
          </w:p>
        </w:tc>
      </w:tr>
      <w:tr w14:paraId="798D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071E4AC9">
            <w:pPr>
              <w:adjustRightInd w:val="0"/>
              <w:snapToGrid w:val="0"/>
              <w:spacing w:line="360" w:lineRule="auto"/>
              <w:outlineLvl w:val="1"/>
              <w:rPr>
                <w:rFonts w:hint="eastAsia" w:ascii="宋体" w:hAnsi="宋体" w:cs="宋体"/>
                <w:snapToGrid w:val="0"/>
                <w:color w:val="auto"/>
                <w:kern w:val="0"/>
                <w:szCs w:val="21"/>
                <w:highlight w:val="none"/>
              </w:rPr>
            </w:pPr>
            <w:bookmarkStart w:id="1408" w:name="_Toc29413"/>
            <w:r>
              <w:rPr>
                <w:rFonts w:hint="eastAsia" w:ascii="宋体" w:hAnsi="宋体" w:cs="宋体"/>
                <w:snapToGrid w:val="0"/>
                <w:color w:val="auto"/>
                <w:kern w:val="0"/>
                <w:szCs w:val="21"/>
                <w:highlight w:val="none"/>
                <w:lang w:bidi="ar"/>
              </w:rPr>
              <w:t>开户银行：工行广州员村支行</w:t>
            </w:r>
            <w:bookmarkEnd w:id="1408"/>
            <w:r>
              <w:rPr>
                <w:rFonts w:hint="eastAsia" w:ascii="宋体" w:hAnsi="宋体" w:cs="宋体"/>
                <w:color w:val="auto"/>
                <w:kern w:val="0"/>
                <w:szCs w:val="21"/>
                <w:highlight w:val="none"/>
                <w:lang w:bidi="ar"/>
              </w:rPr>
              <w:t xml:space="preserve">  </w:t>
            </w:r>
          </w:p>
        </w:tc>
        <w:tc>
          <w:tcPr>
            <w:tcW w:w="3837" w:type="dxa"/>
            <w:tcBorders>
              <w:top w:val="single" w:color="auto" w:sz="4" w:space="0"/>
              <w:left w:val="single" w:color="auto" w:sz="4" w:space="0"/>
              <w:bottom w:val="single" w:color="auto" w:sz="4" w:space="0"/>
              <w:right w:val="single" w:color="auto" w:sz="4" w:space="0"/>
            </w:tcBorders>
            <w:noWrap w:val="0"/>
            <w:vAlign w:val="top"/>
          </w:tcPr>
          <w:p w14:paraId="67674DDA">
            <w:pPr>
              <w:adjustRightInd w:val="0"/>
              <w:snapToGrid w:val="0"/>
              <w:spacing w:line="360" w:lineRule="auto"/>
              <w:outlineLvl w:val="1"/>
              <w:rPr>
                <w:rFonts w:hint="eastAsia" w:ascii="宋体" w:hAnsi="宋体" w:cs="宋体"/>
                <w:snapToGrid w:val="0"/>
                <w:color w:val="auto"/>
                <w:kern w:val="0"/>
                <w:szCs w:val="21"/>
                <w:highlight w:val="none"/>
              </w:rPr>
            </w:pPr>
            <w:bookmarkStart w:id="1409" w:name="_Toc30220"/>
            <w:r>
              <w:rPr>
                <w:rFonts w:hint="eastAsia" w:ascii="宋体" w:hAnsi="宋体" w:cs="宋体"/>
                <w:snapToGrid w:val="0"/>
                <w:color w:val="auto"/>
                <w:kern w:val="0"/>
                <w:szCs w:val="21"/>
                <w:highlight w:val="none"/>
                <w:lang w:bidi="ar"/>
              </w:rPr>
              <w:t>开户银行：</w:t>
            </w:r>
            <w:bookmarkEnd w:id="1409"/>
            <w:r>
              <w:rPr>
                <w:rFonts w:hint="eastAsia" w:ascii="宋体" w:hAnsi="宋体" w:cs="宋体"/>
                <w:color w:val="auto"/>
                <w:szCs w:val="21"/>
                <w:highlight w:val="none"/>
                <w:lang w:bidi="ar"/>
              </w:rPr>
              <w:t xml:space="preserve"> </w:t>
            </w:r>
          </w:p>
        </w:tc>
      </w:tr>
      <w:tr w14:paraId="5A3D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Borders>
              <w:top w:val="single" w:color="auto" w:sz="4" w:space="0"/>
              <w:left w:val="single" w:color="auto" w:sz="4" w:space="0"/>
              <w:bottom w:val="single" w:color="auto" w:sz="4" w:space="0"/>
              <w:right w:val="single" w:color="auto" w:sz="4" w:space="0"/>
            </w:tcBorders>
            <w:noWrap w:val="0"/>
            <w:vAlign w:val="top"/>
          </w:tcPr>
          <w:p w14:paraId="3954DB8A">
            <w:pPr>
              <w:adjustRightInd w:val="0"/>
              <w:snapToGrid w:val="0"/>
              <w:spacing w:line="360" w:lineRule="auto"/>
              <w:outlineLvl w:val="1"/>
              <w:rPr>
                <w:rFonts w:hint="eastAsia" w:ascii="宋体" w:hAnsi="宋体" w:cs="宋体"/>
                <w:color w:val="auto"/>
                <w:kern w:val="0"/>
                <w:szCs w:val="21"/>
                <w:highlight w:val="none"/>
              </w:rPr>
            </w:pPr>
            <w:bookmarkStart w:id="1410" w:name="_Toc5089"/>
            <w:r>
              <w:rPr>
                <w:rFonts w:hint="eastAsia" w:ascii="宋体" w:hAnsi="宋体" w:cs="宋体"/>
                <w:snapToGrid w:val="0"/>
                <w:color w:val="auto"/>
                <w:kern w:val="0"/>
                <w:szCs w:val="21"/>
                <w:highlight w:val="none"/>
                <w:lang w:bidi="ar"/>
              </w:rPr>
              <w:t>账号：</w:t>
            </w:r>
            <w:r>
              <w:rPr>
                <w:rFonts w:hint="eastAsia" w:ascii="宋体" w:hAnsi="宋体" w:cs="宋体"/>
                <w:color w:val="auto"/>
                <w:kern w:val="0"/>
                <w:szCs w:val="21"/>
                <w:highlight w:val="none"/>
                <w:lang w:bidi="ar"/>
              </w:rPr>
              <w:t>3602005309200186668</w:t>
            </w:r>
            <w:bookmarkEnd w:id="1410"/>
          </w:p>
        </w:tc>
        <w:tc>
          <w:tcPr>
            <w:tcW w:w="3837" w:type="dxa"/>
            <w:tcBorders>
              <w:top w:val="single" w:color="auto" w:sz="4" w:space="0"/>
              <w:left w:val="single" w:color="auto" w:sz="4" w:space="0"/>
              <w:bottom w:val="single" w:color="auto" w:sz="4" w:space="0"/>
              <w:right w:val="single" w:color="auto" w:sz="4" w:space="0"/>
            </w:tcBorders>
            <w:noWrap w:val="0"/>
            <w:vAlign w:val="top"/>
          </w:tcPr>
          <w:p w14:paraId="411B45D0">
            <w:pPr>
              <w:adjustRightInd w:val="0"/>
              <w:snapToGrid w:val="0"/>
              <w:spacing w:line="360" w:lineRule="auto"/>
              <w:outlineLvl w:val="1"/>
              <w:rPr>
                <w:rFonts w:hint="eastAsia" w:ascii="宋体" w:hAnsi="宋体" w:cs="宋体"/>
                <w:snapToGrid w:val="0"/>
                <w:color w:val="auto"/>
                <w:kern w:val="0"/>
                <w:szCs w:val="21"/>
                <w:highlight w:val="none"/>
              </w:rPr>
            </w:pPr>
            <w:bookmarkStart w:id="1411" w:name="_Toc25081"/>
            <w:r>
              <w:rPr>
                <w:rFonts w:hint="eastAsia" w:ascii="宋体" w:hAnsi="宋体" w:cs="宋体"/>
                <w:snapToGrid w:val="0"/>
                <w:color w:val="auto"/>
                <w:kern w:val="0"/>
                <w:szCs w:val="21"/>
                <w:highlight w:val="none"/>
                <w:lang w:bidi="ar"/>
              </w:rPr>
              <w:t>账号：</w:t>
            </w:r>
            <w:bookmarkEnd w:id="1411"/>
            <w:r>
              <w:rPr>
                <w:rFonts w:hint="eastAsia" w:ascii="宋体" w:hAnsi="宋体" w:cs="宋体"/>
                <w:color w:val="auto"/>
                <w:szCs w:val="21"/>
                <w:highlight w:val="none"/>
                <w:lang w:bidi="ar"/>
              </w:rPr>
              <w:t xml:space="preserve"> </w:t>
            </w:r>
          </w:p>
        </w:tc>
      </w:tr>
      <w:tr w14:paraId="2F5B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679" w:type="dxa"/>
            <w:tcBorders>
              <w:top w:val="single" w:color="auto" w:sz="4" w:space="0"/>
              <w:left w:val="single" w:color="auto" w:sz="4" w:space="0"/>
              <w:bottom w:val="single" w:color="auto" w:sz="4" w:space="0"/>
              <w:right w:val="single" w:color="auto" w:sz="4" w:space="0"/>
            </w:tcBorders>
            <w:noWrap w:val="0"/>
            <w:vAlign w:val="top"/>
          </w:tcPr>
          <w:p w14:paraId="795EAAE1">
            <w:pPr>
              <w:adjustRightInd w:val="0"/>
              <w:snapToGrid w:val="0"/>
              <w:spacing w:line="360" w:lineRule="auto"/>
              <w:outlineLvl w:val="1"/>
              <w:rPr>
                <w:rFonts w:hint="eastAsia" w:ascii="宋体" w:hAnsi="宋体" w:cs="宋体"/>
                <w:color w:val="auto"/>
                <w:kern w:val="0"/>
                <w:szCs w:val="21"/>
                <w:highlight w:val="none"/>
              </w:rPr>
            </w:pPr>
            <w:bookmarkStart w:id="1412" w:name="_Toc26782"/>
            <w:r>
              <w:rPr>
                <w:rFonts w:hint="eastAsia" w:ascii="宋体" w:hAnsi="宋体" w:cs="宋体"/>
                <w:snapToGrid w:val="0"/>
                <w:color w:val="auto"/>
                <w:kern w:val="0"/>
                <w:szCs w:val="21"/>
                <w:highlight w:val="none"/>
                <w:lang w:bidi="ar"/>
              </w:rPr>
              <w:t>签约日期：</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年</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月</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日</w:t>
            </w:r>
            <w:bookmarkEnd w:id="1412"/>
          </w:p>
        </w:tc>
        <w:tc>
          <w:tcPr>
            <w:tcW w:w="3837" w:type="dxa"/>
            <w:tcBorders>
              <w:top w:val="single" w:color="auto" w:sz="4" w:space="0"/>
              <w:left w:val="single" w:color="auto" w:sz="4" w:space="0"/>
              <w:bottom w:val="single" w:color="auto" w:sz="4" w:space="0"/>
              <w:right w:val="single" w:color="auto" w:sz="4" w:space="0"/>
            </w:tcBorders>
            <w:noWrap w:val="0"/>
            <w:vAlign w:val="top"/>
          </w:tcPr>
          <w:p w14:paraId="58C2C2F1">
            <w:pPr>
              <w:adjustRightInd w:val="0"/>
              <w:snapToGrid w:val="0"/>
              <w:spacing w:line="360" w:lineRule="auto"/>
              <w:outlineLvl w:val="1"/>
              <w:rPr>
                <w:rFonts w:hint="eastAsia" w:ascii="宋体" w:hAnsi="宋体" w:cs="宋体"/>
                <w:color w:val="auto"/>
                <w:kern w:val="0"/>
                <w:szCs w:val="21"/>
                <w:highlight w:val="none"/>
              </w:rPr>
            </w:pPr>
            <w:bookmarkStart w:id="1413" w:name="_Toc2773"/>
            <w:r>
              <w:rPr>
                <w:rFonts w:hint="eastAsia" w:ascii="宋体" w:hAnsi="宋体" w:cs="宋体"/>
                <w:snapToGrid w:val="0"/>
                <w:color w:val="auto"/>
                <w:kern w:val="0"/>
                <w:szCs w:val="21"/>
                <w:highlight w:val="none"/>
                <w:lang w:bidi="ar"/>
              </w:rPr>
              <w:t>签约日期：</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年</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月</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日</w:t>
            </w:r>
            <w:bookmarkEnd w:id="1413"/>
          </w:p>
          <w:p w14:paraId="2041A6C7">
            <w:pPr>
              <w:adjustRightInd w:val="0"/>
              <w:snapToGrid w:val="0"/>
              <w:spacing w:line="360" w:lineRule="auto"/>
              <w:outlineLvl w:val="1"/>
              <w:rPr>
                <w:rFonts w:hint="eastAsia" w:ascii="宋体" w:hAnsi="宋体" w:cs="宋体"/>
                <w:snapToGrid w:val="0"/>
                <w:color w:val="auto"/>
                <w:kern w:val="0"/>
                <w:szCs w:val="21"/>
                <w:highlight w:val="none"/>
              </w:rPr>
            </w:pPr>
          </w:p>
        </w:tc>
      </w:tr>
      <w:tr w14:paraId="59C3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16" w:type="dxa"/>
            <w:gridSpan w:val="2"/>
            <w:tcBorders>
              <w:top w:val="single" w:color="auto" w:sz="4" w:space="0"/>
              <w:left w:val="single" w:color="auto" w:sz="4" w:space="0"/>
              <w:bottom w:val="single" w:color="auto" w:sz="4" w:space="0"/>
              <w:right w:val="single" w:color="auto" w:sz="4" w:space="0"/>
            </w:tcBorders>
            <w:noWrap w:val="0"/>
            <w:vAlign w:val="top"/>
          </w:tcPr>
          <w:p w14:paraId="680A2F63">
            <w:pPr>
              <w:adjustRightInd w:val="0"/>
              <w:snapToGrid w:val="0"/>
              <w:spacing w:line="360" w:lineRule="auto"/>
              <w:ind w:firstLine="2310" w:firstLineChars="1100"/>
              <w:jc w:val="left"/>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签订地点：广州市天河区</w:t>
            </w:r>
          </w:p>
        </w:tc>
      </w:tr>
    </w:tbl>
    <w:p w14:paraId="69C59DC2">
      <w:pPr>
        <w:adjustRightInd w:val="0"/>
        <w:snapToGrid w:val="0"/>
        <w:spacing w:line="360" w:lineRule="auto"/>
        <w:jc w:val="center"/>
        <w:rPr>
          <w:rFonts w:hint="eastAsia" w:ascii="宋体" w:hAnsi="宋体" w:cs="宋体"/>
          <w:b/>
          <w:snapToGrid w:val="0"/>
          <w:color w:val="auto"/>
          <w:kern w:val="0"/>
          <w:szCs w:val="21"/>
          <w:highlight w:val="none"/>
        </w:rPr>
      </w:pPr>
    </w:p>
    <w:p w14:paraId="55121840">
      <w:pPr>
        <w:adjustRightInd w:val="0"/>
        <w:snapToGrid w:val="0"/>
        <w:spacing w:line="360" w:lineRule="auto"/>
        <w:jc w:val="center"/>
        <w:rPr>
          <w:rFonts w:hint="eastAsia" w:ascii="宋体" w:hAnsi="宋体" w:cs="宋体"/>
          <w:b/>
          <w:snapToGrid w:val="0"/>
          <w:color w:val="auto"/>
          <w:kern w:val="0"/>
          <w:szCs w:val="21"/>
          <w:highlight w:val="none"/>
        </w:rPr>
      </w:pPr>
    </w:p>
    <w:p w14:paraId="2B3903FE">
      <w:pPr>
        <w:adjustRightInd w:val="0"/>
        <w:snapToGrid w:val="0"/>
        <w:spacing w:line="360" w:lineRule="auto"/>
        <w:jc w:val="center"/>
        <w:outlineLvl w:val="1"/>
        <w:rPr>
          <w:rFonts w:hint="eastAsia" w:ascii="宋体" w:hAnsi="宋体" w:cs="宋体"/>
          <w:b/>
          <w:snapToGrid w:val="0"/>
          <w:color w:val="auto"/>
          <w:kern w:val="0"/>
          <w:szCs w:val="21"/>
          <w:highlight w:val="none"/>
        </w:rPr>
      </w:pPr>
      <w:r>
        <w:rPr>
          <w:rFonts w:hint="eastAsia" w:ascii="宋体" w:hAnsi="宋体" w:cs="宋体"/>
          <w:b/>
          <w:snapToGrid w:val="0"/>
          <w:color w:val="auto"/>
          <w:szCs w:val="21"/>
          <w:highlight w:val="none"/>
          <w:lang w:bidi="ar"/>
        </w:rPr>
        <w:br w:type="page"/>
      </w:r>
      <w:bookmarkStart w:id="1414" w:name="_Toc6546"/>
      <w:bookmarkStart w:id="1415" w:name="_Toc13926"/>
      <w:bookmarkStart w:id="1416" w:name="_Toc22870"/>
      <w:bookmarkStart w:id="1417" w:name="_Toc9961"/>
      <w:r>
        <w:rPr>
          <w:rFonts w:hint="eastAsia" w:ascii="宋体" w:hAnsi="宋体" w:cs="宋体"/>
          <w:b/>
          <w:snapToGrid w:val="0"/>
          <w:color w:val="auto"/>
          <w:kern w:val="0"/>
          <w:szCs w:val="21"/>
          <w:highlight w:val="none"/>
          <w:lang w:bidi="ar"/>
        </w:rPr>
        <w:t>第二部分</w:t>
      </w:r>
      <w:r>
        <w:rPr>
          <w:rFonts w:hint="eastAsia" w:ascii="宋体" w:hAnsi="宋体" w:cs="宋体"/>
          <w:b/>
          <w:color w:val="auto"/>
          <w:kern w:val="0"/>
          <w:szCs w:val="21"/>
          <w:highlight w:val="none"/>
          <w:lang w:bidi="ar"/>
        </w:rPr>
        <w:t xml:space="preserve">  </w:t>
      </w:r>
      <w:r>
        <w:rPr>
          <w:rFonts w:hint="eastAsia" w:ascii="宋体" w:hAnsi="宋体" w:cs="宋体"/>
          <w:b/>
          <w:snapToGrid w:val="0"/>
          <w:color w:val="auto"/>
          <w:kern w:val="0"/>
          <w:szCs w:val="21"/>
          <w:highlight w:val="none"/>
          <w:lang w:bidi="ar"/>
        </w:rPr>
        <w:t>标准条件</w:t>
      </w:r>
      <w:bookmarkEnd w:id="1414"/>
      <w:bookmarkEnd w:id="1415"/>
      <w:bookmarkEnd w:id="1416"/>
      <w:bookmarkEnd w:id="1417"/>
    </w:p>
    <w:p w14:paraId="36F08B06">
      <w:pPr>
        <w:adjustRightInd w:val="0"/>
        <w:snapToGrid w:val="0"/>
        <w:spacing w:line="360" w:lineRule="auto"/>
        <w:rPr>
          <w:rFonts w:hint="eastAsia" w:ascii="宋体" w:hAnsi="宋体" w:cs="宋体"/>
          <w:snapToGrid w:val="0"/>
          <w:color w:val="auto"/>
          <w:kern w:val="0"/>
          <w:szCs w:val="21"/>
          <w:highlight w:val="none"/>
        </w:rPr>
      </w:pPr>
    </w:p>
    <w:p w14:paraId="44C86E37">
      <w:pPr>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b/>
          <w:snapToGrid w:val="0"/>
          <w:color w:val="auto"/>
          <w:kern w:val="0"/>
          <w:szCs w:val="21"/>
          <w:highlight w:val="none"/>
          <w:lang w:bidi="ar"/>
        </w:rPr>
        <w:t>词语定义、适用范围和法规</w:t>
      </w:r>
    </w:p>
    <w:p w14:paraId="5950A86E">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第一条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下列名词和用语，除上下文另有规定外，有如下含义：</w:t>
      </w:r>
    </w:p>
    <w:p w14:paraId="3809846C">
      <w:pPr>
        <w:adjustRightInd w:val="0"/>
        <w:snapToGrid w:val="0"/>
        <w:spacing w:line="360" w:lineRule="auto"/>
        <w:ind w:firstLine="42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）“工程”是指</w:t>
      </w:r>
      <w:r>
        <w:rPr>
          <w:rFonts w:hint="eastAsia" w:ascii="宋体" w:hAnsi="宋体" w:cs="宋体"/>
          <w:bCs/>
          <w:color w:val="auto"/>
          <w:kern w:val="0"/>
          <w:szCs w:val="21"/>
          <w:highlight w:val="none"/>
          <w:lang w:bidi="ar"/>
        </w:rPr>
        <w:t>按照本合同约定实施监理与相关服务的建设工程。</w:t>
      </w:r>
    </w:p>
    <w:p w14:paraId="4C7BFC11">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）“委托人”是指</w:t>
      </w:r>
      <w:r>
        <w:rPr>
          <w:rFonts w:hint="eastAsia" w:ascii="宋体" w:hAnsi="宋体" w:cs="宋体"/>
          <w:bCs/>
          <w:color w:val="auto"/>
          <w:kern w:val="0"/>
          <w:szCs w:val="21"/>
          <w:highlight w:val="none"/>
          <w:lang w:bidi="ar"/>
        </w:rPr>
        <w:t>本合同中委托监理与相关服务</w:t>
      </w:r>
      <w:r>
        <w:rPr>
          <w:rFonts w:hint="eastAsia" w:ascii="宋体" w:hAnsi="宋体" w:cs="宋体"/>
          <w:snapToGrid w:val="0"/>
          <w:color w:val="auto"/>
          <w:kern w:val="0"/>
          <w:szCs w:val="21"/>
          <w:highlight w:val="none"/>
          <w:lang w:bidi="ar"/>
        </w:rPr>
        <w:t>的一方以及其合法继承人。</w:t>
      </w:r>
    </w:p>
    <w:p w14:paraId="71118632">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）“监理人”是指承担监理业务和监理责任的一方以及其合法继承人。</w:t>
      </w:r>
    </w:p>
    <w:p w14:paraId="3704AB6D">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）“项目监理机构”是指监理人派驻本合同工程现场实施监理业务的组织。</w:t>
      </w:r>
    </w:p>
    <w:p w14:paraId="21834DA7">
      <w:pPr>
        <w:adjustRightInd w:val="0"/>
        <w:snapToGrid w:val="0"/>
        <w:spacing w:line="360" w:lineRule="auto"/>
        <w:ind w:firstLine="42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）“总监理工程师”是指</w:t>
      </w:r>
      <w:r>
        <w:rPr>
          <w:rFonts w:hint="eastAsia" w:ascii="宋体" w:hAnsi="宋体" w:cs="宋体"/>
          <w:bCs/>
          <w:color w:val="auto"/>
          <w:kern w:val="0"/>
          <w:szCs w:val="21"/>
          <w:highlight w:val="none"/>
          <w:lang w:bidi="ar"/>
        </w:rPr>
        <w:t>由监理人的法定代表人书面授权，经委托人同意，全面负责履行本合同、主持项目监理机构工作的注册监理工程师。</w:t>
      </w:r>
    </w:p>
    <w:p w14:paraId="71E32BA7">
      <w:pPr>
        <w:adjustRightInd w:val="0"/>
        <w:snapToGrid w:val="0"/>
        <w:spacing w:line="360" w:lineRule="auto"/>
        <w:ind w:firstLine="42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）“承包人”是指在</w:t>
      </w:r>
      <w:r>
        <w:rPr>
          <w:rFonts w:hint="eastAsia" w:ascii="宋体" w:hAnsi="宋体" w:cs="宋体"/>
          <w:bCs/>
          <w:color w:val="auto"/>
          <w:kern w:val="0"/>
          <w:szCs w:val="21"/>
          <w:highlight w:val="none"/>
          <w:lang w:bidi="ar"/>
        </w:rPr>
        <w:t>工程范围内与委托人签订勘察、设计、施工等有关合同的当事人，及其合法的继承人。</w:t>
      </w:r>
    </w:p>
    <w:p w14:paraId="7DEEFDEC">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）“工程监理的正常工作”是指双方在专用条件中约定，委托人委托的监理工作范围和内容。</w:t>
      </w:r>
    </w:p>
    <w:p w14:paraId="20CE055B">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）“工程监理的附加工作”是指：①委托人委托监理范围以外，通过双方书面协议另外增加的工作内容；②由于委托人或承包人原因，使监理工作受到阻碍或延误，因增加工作量或持续时间而增加的工作。</w:t>
      </w:r>
    </w:p>
    <w:p w14:paraId="5A4B1C34">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）“工程监理的额外工作”是指正常工作和附加工作以外，根据第三十八条规定监理人必须完成的工作，或非监理人自己的原因而暂停或终止监理业务，其善后工作及恢复监理业务的工作。</w:t>
      </w:r>
    </w:p>
    <w:p w14:paraId="2E46636E">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）“日”是指任何一日零时至第二日零时的时间段。</w:t>
      </w:r>
    </w:p>
    <w:p w14:paraId="30E3FC56">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11</w:t>
      </w:r>
      <w:r>
        <w:rPr>
          <w:rFonts w:hint="eastAsia" w:ascii="宋体" w:hAnsi="宋体" w:cs="宋体"/>
          <w:snapToGrid w:val="0"/>
          <w:color w:val="auto"/>
          <w:kern w:val="0"/>
          <w:szCs w:val="21"/>
          <w:highlight w:val="none"/>
          <w:lang w:bidi="ar"/>
        </w:rPr>
        <w:t>）“月”是指根据公历从一个月份中任何一日开始到下一个月相应日期的前一日的时间段。</w:t>
      </w:r>
    </w:p>
    <w:p w14:paraId="616ECF77">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第二条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建设工程施工监理合同适用的法律是指国家的法律、行政法规，以及专用条件中议定的部门规章或工程所在地的地方法规、地方规章。</w:t>
      </w:r>
    </w:p>
    <w:p w14:paraId="3FDEF4ED">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本合同文件使用汉语语言文字书写、解释和说明。如专用条件约定使用两种以上（含两种）语言文字时，汉语应为解释和说明本合同的标准语言文字。</w:t>
      </w:r>
    </w:p>
    <w:p w14:paraId="03FAC560">
      <w:pPr>
        <w:adjustRightInd w:val="0"/>
        <w:snapToGrid w:val="0"/>
        <w:spacing w:line="360" w:lineRule="auto"/>
        <w:rPr>
          <w:rFonts w:hint="eastAsia" w:ascii="宋体" w:hAnsi="宋体" w:cs="宋体"/>
          <w:snapToGrid w:val="0"/>
          <w:color w:val="auto"/>
          <w:kern w:val="0"/>
          <w:szCs w:val="21"/>
          <w:highlight w:val="none"/>
        </w:rPr>
      </w:pPr>
    </w:p>
    <w:p w14:paraId="7A0BB82C">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监理人义务</w:t>
      </w:r>
    </w:p>
    <w:p w14:paraId="4850A1F4">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第四条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183749D1">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监理人在履行本合同的义务期间，应认真、勤奋地工作，为委托人提供与其水平相适应的咨询意见，公正维护各方面的合法权益。</w:t>
      </w:r>
    </w:p>
    <w:p w14:paraId="2ACFF5FC">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监理人使用委托人提供的设施和物品属委托人的财产。在监理工作完成或中止时，应将其设施和剩余的物品按合同约定的时间和方式移交给委托人。</w:t>
      </w:r>
    </w:p>
    <w:p w14:paraId="43E49B87">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第七条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在合同期内或合同终止后，未征得有关方同意，不得泄露与本合同工程、本合同业务有关的保密资料。</w:t>
      </w:r>
    </w:p>
    <w:p w14:paraId="6168DE1C">
      <w:pPr>
        <w:adjustRightInd w:val="0"/>
        <w:snapToGrid w:val="0"/>
        <w:spacing w:line="360" w:lineRule="auto"/>
        <w:rPr>
          <w:rFonts w:hint="eastAsia" w:ascii="宋体" w:hAnsi="宋体" w:cs="宋体"/>
          <w:b/>
          <w:snapToGrid w:val="0"/>
          <w:color w:val="auto"/>
          <w:kern w:val="0"/>
          <w:szCs w:val="21"/>
          <w:highlight w:val="none"/>
        </w:rPr>
      </w:pPr>
    </w:p>
    <w:p w14:paraId="28946096">
      <w:pPr>
        <w:adjustRightInd w:val="0"/>
        <w:snapToGrid w:val="0"/>
        <w:spacing w:line="360" w:lineRule="auto"/>
        <w:rPr>
          <w:rFonts w:hint="eastAsia" w:ascii="宋体" w:hAnsi="宋体" w:cs="宋体"/>
          <w:b/>
          <w:snapToGrid w:val="0"/>
          <w:color w:val="auto"/>
          <w:kern w:val="0"/>
          <w:szCs w:val="21"/>
          <w:highlight w:val="none"/>
        </w:rPr>
      </w:pPr>
    </w:p>
    <w:p w14:paraId="19214ED5">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委托人义务</w:t>
      </w:r>
    </w:p>
    <w:p w14:paraId="5E0FAA66">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第八条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委托人在监理人开展监理业务之前应向监理人支付预付款。</w:t>
      </w:r>
    </w:p>
    <w:p w14:paraId="6B513ACF">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第九条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委托人应当负责工程建设的所有外部关系的协调，为监理工作提供外部条件。根据需要，如将部分或全部协调工作委托监理人承担，则应在专用条件中明确委托的工作和相应的酬金。</w:t>
      </w:r>
    </w:p>
    <w:p w14:paraId="5274732B">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第十条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委托人应当在双方约定的时间内免费向监理人提供与工程有关的为监理工作所需要的工程资料。</w:t>
      </w:r>
    </w:p>
    <w:p w14:paraId="56D22EFE">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第十一条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委托人应当在专用条件约定的时间内就监理人书面提交并要求做出决定的一切事宜作出书面决定。</w:t>
      </w:r>
    </w:p>
    <w:p w14:paraId="2A61C2E7">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第十二条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委托人应当授权一名熟悉工程情况、能在规定时间内做出决定的常驻代表（在专用条件中约定），负责与监理人联系。更换常驻代表，要提前通知监理人。</w:t>
      </w:r>
    </w:p>
    <w:p w14:paraId="2521222B">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第十三条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委托人应当将授予监理人的监理权利，以及监理人主要成员的职能分工、监理权限及时书面通知已选定的承包合同的承包人，并在与第三人签订的合同中予以明确。</w:t>
      </w:r>
    </w:p>
    <w:p w14:paraId="1B7D779A">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第十四条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委托人应在不影响监理人开展监理工作的时间内提供如下资料：</w:t>
      </w:r>
    </w:p>
    <w:p w14:paraId="32B7FCC3">
      <w:pPr>
        <w:adjustRightInd w:val="0"/>
        <w:snapToGrid w:val="0"/>
        <w:spacing w:line="360" w:lineRule="auto"/>
        <w:ind w:left="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）与本合同工程合作的原材料、构配件、设备等生产厂家名录。</w:t>
      </w:r>
    </w:p>
    <w:p w14:paraId="5F4E5DEB">
      <w:pPr>
        <w:adjustRightInd w:val="0"/>
        <w:snapToGrid w:val="0"/>
        <w:spacing w:line="360" w:lineRule="auto"/>
        <w:ind w:left="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）提供与本合同工程有关的协作单位、配合单位的名录。</w:t>
      </w:r>
    </w:p>
    <w:p w14:paraId="4409CF60">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委托人免费向监理人提供办公用房、通讯设施、监理人员工地住房及合同专用条件约定的设施，对监理人自备的设施给予合理的经济补偿（补偿金额</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设施在工程使用时间占折旧年限的比例×设施原值</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管理费）。</w:t>
      </w:r>
    </w:p>
    <w:p w14:paraId="2F10D8E4">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根据情况需要，如果双方约定，由委托人免费向监理人提供其他人员，应在监理合同专用条件中予以明确。</w:t>
      </w:r>
    </w:p>
    <w:p w14:paraId="1E50EEAC">
      <w:pPr>
        <w:adjustRightInd w:val="0"/>
        <w:snapToGrid w:val="0"/>
        <w:spacing w:line="360" w:lineRule="auto"/>
        <w:rPr>
          <w:rFonts w:hint="eastAsia" w:ascii="宋体" w:hAnsi="宋体" w:cs="宋体"/>
          <w:b/>
          <w:snapToGrid w:val="0"/>
          <w:color w:val="auto"/>
          <w:kern w:val="0"/>
          <w:szCs w:val="21"/>
          <w:highlight w:val="none"/>
        </w:rPr>
      </w:pPr>
    </w:p>
    <w:p w14:paraId="3DE12456">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监理人权利</w:t>
      </w:r>
    </w:p>
    <w:p w14:paraId="3FCE709E">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第十七条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监理人在委托人委托的工程范围内，享有以下权利：</w:t>
      </w:r>
    </w:p>
    <w:p w14:paraId="6212F3AF">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）选择工程总承包人的建议权。</w:t>
      </w:r>
    </w:p>
    <w:p w14:paraId="0D67A659">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）选择工程分包人的认可权。</w:t>
      </w:r>
    </w:p>
    <w:p w14:paraId="632927E5">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）对工程建设有关事项包括工程规模、设计标准、规划设计、生产工艺设计和使用功能要求，向委托人的建议权。</w:t>
      </w:r>
    </w:p>
    <w:p w14:paraId="013D6108">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76DEF4D2">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）审批工程施工组织设计和技术方案，按照保质量、保工期和降低成本的原则，向承包人提出建议，并向委托人提出书面报告。</w:t>
      </w:r>
    </w:p>
    <w:p w14:paraId="18A4EB3E">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）主持工程建设有关协作单位的组织协调，重要协调事项应当事先向委托人报告。</w:t>
      </w:r>
    </w:p>
    <w:p w14:paraId="73C28418">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）征得委托人同意，监理人有权发布开工令、停工令、复工令，但应当事先向委托人报告。如在紧急情况下未能事先报告时，则应在</w:t>
      </w:r>
      <w:r>
        <w:rPr>
          <w:rFonts w:hint="eastAsia" w:ascii="宋体" w:hAnsi="宋体" w:cs="宋体"/>
          <w:color w:val="auto"/>
          <w:kern w:val="0"/>
          <w:szCs w:val="21"/>
          <w:highlight w:val="none"/>
          <w:lang w:bidi="ar"/>
        </w:rPr>
        <w:t>24</w:t>
      </w:r>
      <w:r>
        <w:rPr>
          <w:rFonts w:hint="eastAsia" w:ascii="宋体" w:hAnsi="宋体" w:cs="宋体"/>
          <w:snapToGrid w:val="0"/>
          <w:color w:val="auto"/>
          <w:kern w:val="0"/>
          <w:szCs w:val="21"/>
          <w:highlight w:val="none"/>
          <w:lang w:bidi="ar"/>
        </w:rPr>
        <w:t>小时内向委托人做出书面报告。</w:t>
      </w:r>
    </w:p>
    <w:p w14:paraId="251CED9E">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07AD1410">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）工程施工进度的检查、监督权，以及工程实际竣工日期提前或超过工程施工合同规定的竣工期限的签认权。</w:t>
      </w:r>
    </w:p>
    <w:p w14:paraId="18EAF0D5">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）在工程施工合同约定的工程价格范围内，工程款支付的审核和签认权，以及工程结算的复核确认权与否决权。未经总监理工程师签名确认，委托人不支付工程款。</w:t>
      </w:r>
    </w:p>
    <w:p w14:paraId="3DF8366B">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第十八条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4E187714">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第十九条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仲裁机关仲裁时，监理人应当提供作证的事实材料。</w:t>
      </w:r>
    </w:p>
    <w:p w14:paraId="700F17C3">
      <w:pPr>
        <w:adjustRightInd w:val="0"/>
        <w:snapToGrid w:val="0"/>
        <w:spacing w:line="360" w:lineRule="auto"/>
        <w:rPr>
          <w:rFonts w:hint="eastAsia" w:ascii="宋体" w:hAnsi="宋体" w:cs="宋体"/>
          <w:b/>
          <w:snapToGrid w:val="0"/>
          <w:color w:val="auto"/>
          <w:kern w:val="0"/>
          <w:szCs w:val="21"/>
          <w:highlight w:val="none"/>
        </w:rPr>
      </w:pPr>
    </w:p>
    <w:p w14:paraId="0007FE51">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委托人权利</w:t>
      </w:r>
    </w:p>
    <w:p w14:paraId="5671B51D">
      <w:pPr>
        <w:adjustRightInd w:val="0"/>
        <w:snapToGrid w:val="0"/>
        <w:spacing w:line="360" w:lineRule="auto"/>
        <w:ind w:left="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委托人有选定工程总承包人，以及与其订立合同的权利。</w:t>
      </w:r>
    </w:p>
    <w:p w14:paraId="6CA246B0">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第二十一条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委托人有对工程规模、设计标准、规划设计、生产工艺设计和设计使用功能要求的认定权，以及对工程设计变更的审批权。</w:t>
      </w:r>
    </w:p>
    <w:p w14:paraId="54C1CCAD">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第二十二条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监理人调换总监理工程师须事先经委托人同意。</w:t>
      </w:r>
    </w:p>
    <w:p w14:paraId="1291CCA2">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第二十三条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委托人有权要求监理人提交监理工作月报及监理业务范围内的专项报告。</w:t>
      </w:r>
    </w:p>
    <w:p w14:paraId="6ED16556">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第二十四条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63C24092">
      <w:pPr>
        <w:adjustRightInd w:val="0"/>
        <w:snapToGrid w:val="0"/>
        <w:spacing w:line="360" w:lineRule="auto"/>
        <w:rPr>
          <w:rFonts w:hint="eastAsia" w:ascii="宋体" w:hAnsi="宋体" w:cs="宋体"/>
          <w:b/>
          <w:snapToGrid w:val="0"/>
          <w:color w:val="auto"/>
          <w:kern w:val="0"/>
          <w:szCs w:val="21"/>
          <w:highlight w:val="none"/>
        </w:rPr>
      </w:pPr>
    </w:p>
    <w:p w14:paraId="73CCDA84">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监理人责任</w:t>
      </w:r>
    </w:p>
    <w:p w14:paraId="1C370EE5">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监理人的责任期即本施工监理合同有效期。在监理过程中，如果因工程建设进度的推迟或延误而超过书面约定的日期，双方应进一步约定相应延长的合同期。</w:t>
      </w:r>
    </w:p>
    <w:p w14:paraId="30409252">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监理人在责任期内，应当履行约定的义务，如果因监理人过失而造成了委托人的经济损失，应当向委托人赔偿。累计赔偿总额（除本合同第二十四条规定以外）不应超过监理酬金总额（除去税金）。</w:t>
      </w:r>
    </w:p>
    <w:p w14:paraId="4A0EFDD6">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第二十七条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320B2157">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第二十八条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监理人向委托人提出赔偿要求不能成立时，监理人应当补偿由于该索赔所导致委托人的各种费用支出。</w:t>
      </w:r>
    </w:p>
    <w:p w14:paraId="6C4749D4">
      <w:pPr>
        <w:adjustRightInd w:val="0"/>
        <w:snapToGrid w:val="0"/>
        <w:spacing w:line="360" w:lineRule="auto"/>
        <w:rPr>
          <w:rFonts w:hint="eastAsia" w:ascii="宋体" w:hAnsi="宋体" w:cs="宋体"/>
          <w:b/>
          <w:snapToGrid w:val="0"/>
          <w:color w:val="auto"/>
          <w:kern w:val="0"/>
          <w:szCs w:val="21"/>
          <w:highlight w:val="none"/>
        </w:rPr>
      </w:pPr>
    </w:p>
    <w:p w14:paraId="74C7CA58">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委托人责任</w:t>
      </w:r>
    </w:p>
    <w:p w14:paraId="26A2E8BB">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第二十九条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委托人应当履行本合同约定的义务，如有违反则应当承担违约责任，赔偿给监理人造成的经济损失。</w:t>
      </w:r>
    </w:p>
    <w:p w14:paraId="1F6B1FF9">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snapToGrid w:val="0"/>
          <w:color w:val="auto"/>
          <w:kern w:val="0"/>
          <w:szCs w:val="21"/>
          <w:highlight w:val="none"/>
          <w:lang w:bidi="ar"/>
        </w:rPr>
        <w:t>监理人处理委托业务时，因非监理人原因的事由受到损失的，可以向委托人要求补偿损失。</w:t>
      </w:r>
    </w:p>
    <w:p w14:paraId="398FBCD8">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委托人如果向监理人提出赔偿的要求不能成立，则应当补偿由该索赔所引起的监理人的各种费用支出。</w:t>
      </w:r>
    </w:p>
    <w:p w14:paraId="7E68E8FE">
      <w:pPr>
        <w:adjustRightInd w:val="0"/>
        <w:snapToGrid w:val="0"/>
        <w:spacing w:line="360" w:lineRule="auto"/>
        <w:rPr>
          <w:rFonts w:hint="eastAsia" w:ascii="宋体" w:hAnsi="宋体" w:cs="宋体"/>
          <w:b/>
          <w:snapToGrid w:val="0"/>
          <w:color w:val="auto"/>
          <w:kern w:val="0"/>
          <w:szCs w:val="21"/>
          <w:highlight w:val="none"/>
        </w:rPr>
      </w:pPr>
    </w:p>
    <w:p w14:paraId="4EC9FD51">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合同生效、变更与终止</w:t>
      </w:r>
    </w:p>
    <w:p w14:paraId="29DCDCEE">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第三十一条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467805F7">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第三十二条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在本合同签订后，实际情况发生变化，使得监理人不能全部或部分执行监理业务时，监理人应当立即通知委托人。该监理业务的完成时间应予延长。当恢复执行监理业务时，应当增加不超过</w:t>
      </w:r>
      <w:r>
        <w:rPr>
          <w:rFonts w:hint="eastAsia" w:ascii="宋体" w:hAnsi="宋体" w:cs="宋体"/>
          <w:color w:val="auto"/>
          <w:kern w:val="0"/>
          <w:szCs w:val="21"/>
          <w:highlight w:val="none"/>
          <w:lang w:bidi="ar"/>
        </w:rPr>
        <w:t>42</w:t>
      </w:r>
      <w:r>
        <w:rPr>
          <w:rFonts w:hint="eastAsia" w:ascii="宋体" w:hAnsi="宋体" w:cs="宋体"/>
          <w:snapToGrid w:val="0"/>
          <w:color w:val="auto"/>
          <w:kern w:val="0"/>
          <w:szCs w:val="21"/>
          <w:highlight w:val="none"/>
          <w:lang w:bidi="ar"/>
        </w:rPr>
        <w:t>日的时间用于恢复执行监理业务，并按双方约定的数量支付监理酬金。</w:t>
      </w:r>
    </w:p>
    <w:p w14:paraId="49FD8B92">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第三十三条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监理人向委托人办理完竣工验收或工程移交手续，承包人和委托人已签订工程保修责任书，监理人收到监理酬金尾款，本合同即终止。保修期间的责任，双方在专用条件中约定。</w:t>
      </w:r>
    </w:p>
    <w:p w14:paraId="4B3A5020">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第三十四条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当事人一方要求变更或解除合同时，应当在</w:t>
      </w:r>
      <w:r>
        <w:rPr>
          <w:rFonts w:hint="eastAsia" w:ascii="宋体" w:hAnsi="宋体" w:cs="宋体"/>
          <w:color w:val="auto"/>
          <w:kern w:val="0"/>
          <w:szCs w:val="21"/>
          <w:highlight w:val="none"/>
          <w:lang w:bidi="ar"/>
        </w:rPr>
        <w:t>42</w:t>
      </w:r>
      <w:r>
        <w:rPr>
          <w:rFonts w:hint="eastAsia" w:ascii="宋体" w:hAnsi="宋体" w:cs="宋体"/>
          <w:snapToGrid w:val="0"/>
          <w:color w:val="auto"/>
          <w:kern w:val="0"/>
          <w:szCs w:val="21"/>
          <w:highlight w:val="none"/>
          <w:lang w:bidi="ar"/>
        </w:rPr>
        <w:t>日前通知对方，因解除合同使一方遭受损失的，除依法可以免除责任的外，应由责任方负责赔偿。</w:t>
      </w:r>
    </w:p>
    <w:p w14:paraId="3CD604B6">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变更或解除合同的通知或协议必须采取书面形式，协议未达成之前，原合同仍然有效。</w:t>
      </w:r>
    </w:p>
    <w:p w14:paraId="7404013F">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第三十五条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监理人在应当获得监理酬金之日起</w:t>
      </w:r>
      <w:r>
        <w:rPr>
          <w:rFonts w:hint="eastAsia" w:ascii="宋体" w:hAnsi="宋体" w:cs="宋体"/>
          <w:color w:val="auto"/>
          <w:kern w:val="0"/>
          <w:szCs w:val="21"/>
          <w:highlight w:val="none"/>
          <w:lang w:bidi="ar"/>
        </w:rPr>
        <w:t>30</w:t>
      </w:r>
      <w:r>
        <w:rPr>
          <w:rFonts w:hint="eastAsia" w:ascii="宋体" w:hAnsi="宋体" w:cs="宋体"/>
          <w:snapToGrid w:val="0"/>
          <w:color w:val="auto"/>
          <w:kern w:val="0"/>
          <w:szCs w:val="21"/>
          <w:highlight w:val="none"/>
          <w:lang w:bidi="ar"/>
        </w:rPr>
        <w:t>日内仍未收到支付单据，而委托人又未对监理人提出任何书面解释时，或根据第三十三条及第三十四条已暂停执行监理业务时限超过六个月的，监理人可向委托人发出终止合同的通知，发出通知后</w:t>
      </w:r>
      <w:r>
        <w:rPr>
          <w:rFonts w:hint="eastAsia" w:ascii="宋体" w:hAnsi="宋体" w:cs="宋体"/>
          <w:color w:val="auto"/>
          <w:kern w:val="0"/>
          <w:szCs w:val="21"/>
          <w:highlight w:val="none"/>
          <w:lang w:bidi="ar"/>
        </w:rPr>
        <w:t>14</w:t>
      </w:r>
      <w:r>
        <w:rPr>
          <w:rFonts w:hint="eastAsia" w:ascii="宋体" w:hAnsi="宋体" w:cs="宋体"/>
          <w:snapToGrid w:val="0"/>
          <w:color w:val="auto"/>
          <w:kern w:val="0"/>
          <w:szCs w:val="21"/>
          <w:highlight w:val="none"/>
          <w:lang w:bidi="ar"/>
        </w:rPr>
        <w:t>日内仍未得到委托人答复，可进一步发出终止合同的通知，如果第二份通知发出后</w:t>
      </w:r>
      <w:r>
        <w:rPr>
          <w:rFonts w:hint="eastAsia" w:ascii="宋体" w:hAnsi="宋体" w:cs="宋体"/>
          <w:color w:val="auto"/>
          <w:kern w:val="0"/>
          <w:szCs w:val="21"/>
          <w:highlight w:val="none"/>
          <w:lang w:bidi="ar"/>
        </w:rPr>
        <w:t>42</w:t>
      </w:r>
      <w:r>
        <w:rPr>
          <w:rFonts w:hint="eastAsia" w:ascii="宋体" w:hAnsi="宋体" w:cs="宋体"/>
          <w:snapToGrid w:val="0"/>
          <w:color w:val="auto"/>
          <w:kern w:val="0"/>
          <w:szCs w:val="21"/>
          <w:highlight w:val="none"/>
          <w:lang w:bidi="ar"/>
        </w:rPr>
        <w:t>日内仍未得到委托人答复，可终止合同或自行暂停或继续暂停执行全部或部分监理业务。委托人承担违约责任。</w:t>
      </w:r>
    </w:p>
    <w:p w14:paraId="7BB4E717">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第三十六条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监理人由于非自己的原因而暂停或终止执行监理业务，其善后工作以及恢复执行监理业务的工作，应当视为额外工作，有权得到额外的酬金。</w:t>
      </w:r>
    </w:p>
    <w:p w14:paraId="44E92F41">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第三十七条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当委托人认为监理人无正当理由而又未履行监理义务时，可向监理人发出指明其未履行义务的通知。若委托人发出通知后</w:t>
      </w:r>
      <w:r>
        <w:rPr>
          <w:rFonts w:hint="eastAsia" w:ascii="宋体" w:hAnsi="宋体" w:cs="宋体"/>
          <w:color w:val="auto"/>
          <w:kern w:val="0"/>
          <w:szCs w:val="21"/>
          <w:highlight w:val="none"/>
          <w:lang w:bidi="ar"/>
        </w:rPr>
        <w:t>21</w:t>
      </w:r>
      <w:r>
        <w:rPr>
          <w:rFonts w:hint="eastAsia" w:ascii="宋体" w:hAnsi="宋体" w:cs="宋体"/>
          <w:snapToGrid w:val="0"/>
          <w:color w:val="auto"/>
          <w:kern w:val="0"/>
          <w:szCs w:val="21"/>
          <w:highlight w:val="none"/>
          <w:lang w:bidi="ar"/>
        </w:rPr>
        <w:t>日内没有收到答复，可在第一个通知发出后</w:t>
      </w:r>
      <w:r>
        <w:rPr>
          <w:rFonts w:hint="eastAsia" w:ascii="宋体" w:hAnsi="宋体" w:cs="宋体"/>
          <w:color w:val="auto"/>
          <w:kern w:val="0"/>
          <w:szCs w:val="21"/>
          <w:highlight w:val="none"/>
          <w:lang w:bidi="ar"/>
        </w:rPr>
        <w:t>35</w:t>
      </w:r>
      <w:r>
        <w:rPr>
          <w:rFonts w:hint="eastAsia" w:ascii="宋体" w:hAnsi="宋体" w:cs="宋体"/>
          <w:snapToGrid w:val="0"/>
          <w:color w:val="auto"/>
          <w:kern w:val="0"/>
          <w:szCs w:val="21"/>
          <w:highlight w:val="none"/>
          <w:lang w:bidi="ar"/>
        </w:rPr>
        <w:t>日内发出终止委托监理合同的通知，合同即行终止。监理人承担违约责任。</w:t>
      </w:r>
    </w:p>
    <w:p w14:paraId="142F2F5E">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第三十八条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合同协议的终止并不影响各方应有的权利和应当承担的责任。</w:t>
      </w:r>
    </w:p>
    <w:p w14:paraId="49643C93">
      <w:pPr>
        <w:adjustRightInd w:val="0"/>
        <w:snapToGrid w:val="0"/>
        <w:spacing w:line="360" w:lineRule="auto"/>
        <w:rPr>
          <w:rFonts w:hint="eastAsia" w:ascii="宋体" w:hAnsi="宋体" w:cs="宋体"/>
          <w:b/>
          <w:snapToGrid w:val="0"/>
          <w:color w:val="auto"/>
          <w:kern w:val="0"/>
          <w:szCs w:val="21"/>
          <w:highlight w:val="none"/>
        </w:rPr>
      </w:pPr>
    </w:p>
    <w:p w14:paraId="2C85CA5E">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监理酬金</w:t>
      </w:r>
    </w:p>
    <w:p w14:paraId="7A36E9E7">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 xml:space="preserve">第三十九条 </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正常的监理工作、附加工作和额外工作的酬金，按照监理合同专用条件中第三十九条的方法计算，并按约定的时间和数额支付。</w:t>
      </w:r>
    </w:p>
    <w:p w14:paraId="3116AE40">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如果委托人在规定的支付期限内未支付监理酬金，自规定之日起，还应向监理人支付滞纳金。滞纳金从规定支付期限最后一日起计算。</w:t>
      </w:r>
    </w:p>
    <w:p w14:paraId="628F2BA7">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第四十一条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支付监理酬金所采取的货币币种、汇率由合同专用条件约定。</w:t>
      </w:r>
    </w:p>
    <w:p w14:paraId="40AAFC92">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第四十二条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如果委托人对监理人提交的支付通知中酬金或部分酬金项目提出异议，应当在收到支付通知书</w:t>
      </w:r>
      <w:r>
        <w:rPr>
          <w:rFonts w:hint="eastAsia" w:ascii="宋体" w:hAnsi="宋体" w:cs="宋体"/>
          <w:color w:val="auto"/>
          <w:kern w:val="0"/>
          <w:szCs w:val="21"/>
          <w:highlight w:val="none"/>
          <w:lang w:bidi="ar"/>
        </w:rPr>
        <w:t>24</w:t>
      </w:r>
      <w:r>
        <w:rPr>
          <w:rFonts w:hint="eastAsia" w:ascii="宋体" w:hAnsi="宋体" w:cs="宋体"/>
          <w:snapToGrid w:val="0"/>
          <w:color w:val="auto"/>
          <w:kern w:val="0"/>
          <w:szCs w:val="21"/>
          <w:highlight w:val="none"/>
          <w:lang w:bidi="ar"/>
        </w:rPr>
        <w:t>小时内向监理人发出表示异议的通知，但委托人不得拖延其他无异议酬金项目的支付。</w:t>
      </w:r>
    </w:p>
    <w:p w14:paraId="5F7D51B2">
      <w:pPr>
        <w:adjustRightInd w:val="0"/>
        <w:snapToGrid w:val="0"/>
        <w:spacing w:line="360" w:lineRule="auto"/>
        <w:rPr>
          <w:rFonts w:hint="eastAsia" w:ascii="宋体" w:hAnsi="宋体" w:cs="宋体"/>
          <w:b/>
          <w:snapToGrid w:val="0"/>
          <w:color w:val="auto"/>
          <w:kern w:val="0"/>
          <w:szCs w:val="21"/>
          <w:highlight w:val="none"/>
        </w:rPr>
      </w:pPr>
    </w:p>
    <w:p w14:paraId="3102D56D">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其他</w:t>
      </w:r>
    </w:p>
    <w:p w14:paraId="4E5B52B5">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第四十三条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委托的建设工程监理所必要的监理人员出外考察、材料设备复试，其费用支出经委托人同意的，在预算范围内向委托人实报实销。</w:t>
      </w:r>
    </w:p>
    <w:p w14:paraId="6CA84BBC">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第四十四条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在监理业务范围内，如需聘用专家咨询或协助，由监理人聘用的，其费用由监理人承担；由委托人聘用的，其费用由委托人承担。</w:t>
      </w:r>
    </w:p>
    <w:p w14:paraId="3A71A346">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监理人在监理工作过程中提出的合理化建议，使委托人得到了经济效益，委托人应按专用条件中的约定给予经济奖励。</w:t>
      </w:r>
    </w:p>
    <w:p w14:paraId="4770BFD2">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监理人驻地项目监理机构及其职员不得接受监理工程项目承包人的任何酬金或者经济利益。</w:t>
      </w:r>
    </w:p>
    <w:p w14:paraId="1575B131">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snapToGrid w:val="0"/>
          <w:color w:val="auto"/>
          <w:kern w:val="0"/>
          <w:szCs w:val="21"/>
          <w:highlight w:val="none"/>
          <w:lang w:bidi="ar"/>
        </w:rPr>
        <w:t>监理人不得参与可能与合同规定的与委托人的利益相冲突的任何活动。</w:t>
      </w:r>
    </w:p>
    <w:p w14:paraId="3DA4B3AA">
      <w:pPr>
        <w:adjustRightInd w:val="0"/>
        <w:snapToGrid w:val="0"/>
        <w:spacing w:line="360" w:lineRule="auto"/>
        <w:ind w:firstLine="42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第四十七条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监理人在监理过程中，不得泄露委托人申明的秘密，监理人亦不得泄露设计人、承包人等提供并申明的秘密。</w:t>
      </w:r>
    </w:p>
    <w:p w14:paraId="5352BFC9">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第四十八条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监理人对于由其编制的所有文件拥有版权，委托人仅有权为本合同工程使用或复制此类文件。</w:t>
      </w:r>
    </w:p>
    <w:p w14:paraId="0F328024">
      <w:pPr>
        <w:adjustRightInd w:val="0"/>
        <w:snapToGrid w:val="0"/>
        <w:spacing w:line="360" w:lineRule="auto"/>
        <w:rPr>
          <w:rFonts w:hint="eastAsia" w:ascii="宋体" w:hAnsi="宋体" w:cs="宋体"/>
          <w:b/>
          <w:snapToGrid w:val="0"/>
          <w:color w:val="auto"/>
          <w:kern w:val="0"/>
          <w:szCs w:val="21"/>
          <w:highlight w:val="none"/>
        </w:rPr>
      </w:pPr>
    </w:p>
    <w:p w14:paraId="0040C601">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争议的解决</w:t>
      </w:r>
    </w:p>
    <w:p w14:paraId="5379CD6C">
      <w:pPr>
        <w:adjustRightInd w:val="0"/>
        <w:snapToGrid w:val="0"/>
        <w:spacing w:line="360" w:lineRule="auto"/>
        <w:ind w:firstLine="413" w:firstLineChars="196"/>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第四十九条</w:t>
      </w:r>
      <w:r>
        <w:rPr>
          <w:rFonts w:hint="eastAsia" w:ascii="宋体" w:hAnsi="宋体" w:cs="宋体"/>
          <w:b/>
          <w:color w:val="auto"/>
          <w:kern w:val="0"/>
          <w:szCs w:val="21"/>
          <w:highlight w:val="none"/>
          <w:lang w:bidi="ar"/>
        </w:rPr>
        <w:t xml:space="preserve">  </w:t>
      </w:r>
      <w:r>
        <w:rPr>
          <w:rFonts w:hint="eastAsia" w:ascii="宋体" w:hAnsi="宋体" w:cs="宋体"/>
          <w:bCs/>
          <w:snapToGrid w:val="0"/>
          <w:color w:val="auto"/>
          <w:kern w:val="0"/>
          <w:szCs w:val="21"/>
          <w:highlight w:val="none"/>
          <w:lang w:bidi="ar"/>
        </w:rPr>
        <w:t>因违反或终止合同而引起的对对方损失和损害的赔偿，双方应当协商解决，如未能达成一致，可提交主管部门协调，如仍未能达成一致时，根据双方约定提交仲裁机关仲裁，或向人民法院起诉。</w:t>
      </w:r>
    </w:p>
    <w:p w14:paraId="3C1AA22A">
      <w:pPr>
        <w:pStyle w:val="26"/>
        <w:widowControl w:val="0"/>
        <w:spacing w:before="0" w:beforeAutospacing="0" w:after="0" w:afterAutospacing="0" w:line="360" w:lineRule="auto"/>
        <w:jc w:val="both"/>
        <w:rPr>
          <w:color w:val="auto"/>
          <w:highlight w:val="none"/>
        </w:rPr>
      </w:pPr>
      <w:r>
        <w:rPr>
          <w:rFonts w:hint="eastAsia"/>
          <w:snapToGrid w:val="0"/>
          <w:color w:val="auto"/>
          <w:sz w:val="21"/>
          <w:szCs w:val="21"/>
          <w:highlight w:val="none"/>
          <w:lang w:bidi="ar"/>
        </w:rPr>
        <w:t>（以下部分无《建设工程委托监理合同》第二部分标准条件正文内容）</w:t>
      </w:r>
    </w:p>
    <w:p w14:paraId="68AAC479">
      <w:pPr>
        <w:tabs>
          <w:tab w:val="left" w:pos="5460"/>
        </w:tabs>
        <w:adjustRightInd w:val="0"/>
        <w:snapToGrid w:val="0"/>
        <w:spacing w:line="360" w:lineRule="auto"/>
        <w:ind w:right="11"/>
        <w:jc w:val="center"/>
        <w:outlineLvl w:val="1"/>
        <w:rPr>
          <w:rFonts w:hint="eastAsia" w:ascii="宋体" w:hAnsi="宋体" w:cs="宋体"/>
          <w:b/>
          <w:snapToGrid w:val="0"/>
          <w:color w:val="auto"/>
          <w:kern w:val="0"/>
          <w:szCs w:val="21"/>
          <w:highlight w:val="none"/>
        </w:rPr>
      </w:pPr>
      <w:r>
        <w:rPr>
          <w:rFonts w:hint="eastAsia" w:ascii="宋体" w:hAnsi="宋体" w:cs="宋体"/>
          <w:snapToGrid w:val="0"/>
          <w:color w:val="auto"/>
          <w:szCs w:val="21"/>
          <w:highlight w:val="none"/>
          <w:lang w:bidi="ar"/>
        </w:rPr>
        <w:br w:type="page"/>
      </w:r>
      <w:bookmarkStart w:id="1418" w:name="_Toc15643"/>
      <w:bookmarkStart w:id="1419" w:name="_Toc4110"/>
      <w:bookmarkStart w:id="1420" w:name="_Toc6898"/>
      <w:bookmarkStart w:id="1421" w:name="_Toc32182"/>
      <w:r>
        <w:rPr>
          <w:rFonts w:hint="eastAsia" w:ascii="宋体" w:hAnsi="宋体" w:cs="宋体"/>
          <w:b/>
          <w:snapToGrid w:val="0"/>
          <w:color w:val="auto"/>
          <w:kern w:val="0"/>
          <w:szCs w:val="21"/>
          <w:highlight w:val="none"/>
          <w:lang w:bidi="ar"/>
        </w:rPr>
        <w:t>第三部分</w:t>
      </w:r>
      <w:r>
        <w:rPr>
          <w:rFonts w:hint="eastAsia" w:ascii="宋体" w:hAnsi="宋体" w:cs="宋体"/>
          <w:b/>
          <w:color w:val="auto"/>
          <w:kern w:val="0"/>
          <w:szCs w:val="21"/>
          <w:highlight w:val="none"/>
          <w:lang w:bidi="ar"/>
        </w:rPr>
        <w:t xml:space="preserve">  </w:t>
      </w:r>
      <w:r>
        <w:rPr>
          <w:rFonts w:hint="eastAsia" w:ascii="宋体" w:hAnsi="宋体" w:cs="宋体"/>
          <w:b/>
          <w:snapToGrid w:val="0"/>
          <w:color w:val="auto"/>
          <w:kern w:val="0"/>
          <w:szCs w:val="21"/>
          <w:highlight w:val="none"/>
          <w:lang w:bidi="ar"/>
        </w:rPr>
        <w:t>专用条件</w:t>
      </w:r>
      <w:bookmarkEnd w:id="1418"/>
      <w:bookmarkEnd w:id="1419"/>
      <w:bookmarkEnd w:id="1420"/>
      <w:bookmarkEnd w:id="1421"/>
    </w:p>
    <w:p w14:paraId="32DB845D">
      <w:pPr>
        <w:adjustRightInd w:val="0"/>
        <w:snapToGrid w:val="0"/>
        <w:spacing w:line="360" w:lineRule="auto"/>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本部分条款的编号与标准条件的编号相对应，是根据本合同工程的实际情况对标准条件中相对应条款进行修改、补充或否定，其适用顺序优先于标准条件。本部分条款未阐明的内容，则按标准条件的有关约定执行）</w:t>
      </w:r>
    </w:p>
    <w:p w14:paraId="6141247F">
      <w:pPr>
        <w:adjustRightInd w:val="0"/>
        <w:snapToGrid w:val="0"/>
        <w:spacing w:line="360" w:lineRule="auto"/>
        <w:rPr>
          <w:rFonts w:hint="eastAsia" w:ascii="宋体" w:hAnsi="宋体" w:cs="宋体"/>
          <w:bCs/>
          <w:snapToGrid w:val="0"/>
          <w:color w:val="auto"/>
          <w:kern w:val="0"/>
          <w:szCs w:val="21"/>
          <w:highlight w:val="none"/>
        </w:rPr>
      </w:pPr>
    </w:p>
    <w:p w14:paraId="1DABD662">
      <w:pPr>
        <w:adjustRightInd w:val="0"/>
        <w:snapToGrid w:val="0"/>
        <w:spacing w:line="360" w:lineRule="auto"/>
        <w:ind w:firstLine="413" w:firstLineChars="196"/>
        <w:rPr>
          <w:rFonts w:hint="eastAsia" w:ascii="宋体" w:hAnsi="宋体" w:cs="宋体"/>
          <w:snapToGrid w:val="0"/>
          <w:color w:val="auto"/>
          <w:kern w:val="0"/>
          <w:szCs w:val="21"/>
          <w:highlight w:val="none"/>
        </w:rPr>
      </w:pPr>
      <w:r>
        <w:rPr>
          <w:rFonts w:hint="eastAsia" w:ascii="宋体" w:hAnsi="宋体" w:cs="宋体"/>
          <w:b/>
          <w:snapToGrid w:val="0"/>
          <w:color w:val="auto"/>
          <w:kern w:val="0"/>
          <w:szCs w:val="21"/>
          <w:highlight w:val="none"/>
          <w:lang w:bidi="ar"/>
        </w:rPr>
        <w:t>第一条</w:t>
      </w:r>
      <w:r>
        <w:rPr>
          <w:rFonts w:hint="eastAsia" w:ascii="宋体" w:hAnsi="宋体" w:cs="宋体"/>
          <w:color w:val="auto"/>
          <w:kern w:val="0"/>
          <w:szCs w:val="21"/>
          <w:highlight w:val="none"/>
          <w:lang w:bidi="ar"/>
        </w:rPr>
        <w:t xml:space="preserve">  </w:t>
      </w:r>
      <w:r>
        <w:rPr>
          <w:rFonts w:hint="eastAsia" w:ascii="宋体" w:hAnsi="宋体" w:cs="宋体"/>
          <w:b/>
          <w:snapToGrid w:val="0"/>
          <w:color w:val="auto"/>
          <w:kern w:val="0"/>
          <w:szCs w:val="21"/>
          <w:highlight w:val="none"/>
          <w:lang w:bidi="ar"/>
        </w:rPr>
        <w:t>词语定义</w:t>
      </w:r>
    </w:p>
    <w:p w14:paraId="3C57ACFB">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）“本合同工程”指委托人委托监理人监理的工程。</w:t>
      </w:r>
    </w:p>
    <w:p w14:paraId="01028D0F">
      <w:pPr>
        <w:adjustRightInd w:val="0"/>
        <w:snapToGrid w:val="0"/>
        <w:spacing w:line="360" w:lineRule="auto"/>
        <w:ind w:firstLine="42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）委托人</w:t>
      </w:r>
    </w:p>
    <w:p w14:paraId="51C7F32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1）</w:t>
      </w:r>
      <w:r>
        <w:rPr>
          <w:rFonts w:hint="eastAsia" w:ascii="宋体" w:hAnsi="宋体" w:cs="宋体"/>
          <w:snapToGrid w:val="0"/>
          <w:color w:val="auto"/>
          <w:kern w:val="0"/>
          <w:szCs w:val="21"/>
          <w:highlight w:val="none"/>
          <w:lang w:bidi="ar"/>
        </w:rPr>
        <w:t>“委托人”在本合同中特指</w:t>
      </w:r>
      <w:r>
        <w:rPr>
          <w:rFonts w:hint="eastAsia" w:ascii="宋体" w:hAnsi="宋体" w:cs="宋体"/>
          <w:color w:val="auto"/>
          <w:szCs w:val="21"/>
          <w:highlight w:val="none"/>
          <w:u w:val="single"/>
          <w:lang w:bidi="ar"/>
        </w:rPr>
        <w:t>广州市天河区建设工程项目代建局</w:t>
      </w:r>
      <w:r>
        <w:rPr>
          <w:rFonts w:hint="eastAsia" w:ascii="宋体" w:hAnsi="宋体" w:cs="宋体"/>
          <w:snapToGrid w:val="0"/>
          <w:color w:val="auto"/>
          <w:kern w:val="0"/>
          <w:szCs w:val="21"/>
          <w:highlight w:val="none"/>
          <w:lang w:bidi="ar"/>
        </w:rPr>
        <w:t>。</w:t>
      </w:r>
    </w:p>
    <w:p w14:paraId="30891DA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2）“</w:t>
      </w:r>
      <w:r>
        <w:rPr>
          <w:rFonts w:hint="eastAsia" w:ascii="宋体" w:hAnsi="宋体" w:cs="宋体"/>
          <w:snapToGrid w:val="0"/>
          <w:color w:val="auto"/>
          <w:kern w:val="0"/>
          <w:szCs w:val="21"/>
          <w:highlight w:val="none"/>
          <w:lang w:bidi="ar"/>
        </w:rPr>
        <w:t>合法继承人”指工程竣工验收合格后，委托人依据政府部门的规定，将工程移交给其承接使用的产权管理单位。在继承生效后，合法继承人享有委托人在本合同中的一切权利及承担相应的义务。</w:t>
      </w:r>
    </w:p>
    <w:p w14:paraId="31869FE5">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）“总监理工程师代表”指经监理人法定代表人同意，由总监理工程师书面授权，代表总监理工程师行使其部分职责和权力的项目监理机构中的监理工程师。</w:t>
      </w:r>
    </w:p>
    <w:p w14:paraId="1BCDDBD3">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12</w:t>
      </w:r>
      <w:r>
        <w:rPr>
          <w:rFonts w:hint="eastAsia" w:ascii="宋体" w:hAnsi="宋体" w:cs="宋体"/>
          <w:snapToGrid w:val="0"/>
          <w:color w:val="auto"/>
          <w:kern w:val="0"/>
          <w:szCs w:val="21"/>
          <w:highlight w:val="none"/>
          <w:lang w:bidi="ar"/>
        </w:rPr>
        <w:t>）“临时延期批准”是指当发生非承包人原因造成的持续性影响工期的事件，总监理工程师所作出暂时延长合同工期的批准。</w:t>
      </w:r>
    </w:p>
    <w:p w14:paraId="39691F3E">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13</w:t>
      </w:r>
      <w:r>
        <w:rPr>
          <w:rFonts w:hint="eastAsia" w:ascii="宋体" w:hAnsi="宋体" w:cs="宋体"/>
          <w:snapToGrid w:val="0"/>
          <w:color w:val="auto"/>
          <w:kern w:val="0"/>
          <w:szCs w:val="21"/>
          <w:highlight w:val="none"/>
          <w:lang w:bidi="ar"/>
        </w:rPr>
        <w:t>）“延期批准”指当发生非承包人原因造成的持续性影响工期事件，总监理工程师所作出的最终延长合同工期的批准。</w:t>
      </w:r>
    </w:p>
    <w:p w14:paraId="4D7D03AC">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14</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149FBC7">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15</w:t>
      </w:r>
      <w:r>
        <w:rPr>
          <w:rFonts w:hint="eastAsia" w:ascii="宋体" w:hAnsi="宋体" w:cs="宋体"/>
          <w:bCs/>
          <w:snapToGrid w:val="0"/>
          <w:color w:val="auto"/>
          <w:kern w:val="0"/>
          <w:szCs w:val="21"/>
          <w:highlight w:val="none"/>
          <w:lang w:bidi="ar"/>
        </w:rPr>
        <w:t>）“通知”指合同中所提及的各方之间传达意思表示的方式，包括但不限于申请、报告、同意、答复、批准、指令、证书、决定，等等。除本合同专用条件有特别约定外，只有采用书面形式的通知才有效。</w:t>
      </w:r>
    </w:p>
    <w:p w14:paraId="1709BBF3">
      <w:pPr>
        <w:adjustRightInd w:val="0"/>
        <w:snapToGrid w:val="0"/>
        <w:spacing w:line="360" w:lineRule="auto"/>
        <w:ind w:firstLine="420" w:firstLineChars="200"/>
        <w:rPr>
          <w:rFonts w:hint="eastAsia" w:ascii="宋体" w:hAnsi="宋体" w:cs="宋体"/>
          <w:bCs/>
          <w:strike/>
          <w:color w:val="auto"/>
          <w:kern w:val="0"/>
          <w:szCs w:val="21"/>
          <w:highlight w:val="none"/>
          <w:u w:val="singl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16</w:t>
      </w:r>
      <w:r>
        <w:rPr>
          <w:rFonts w:hint="eastAsia" w:ascii="宋体" w:hAnsi="宋体" w:cs="宋体"/>
          <w:bCs/>
          <w:snapToGrid w:val="0"/>
          <w:color w:val="auto"/>
          <w:kern w:val="0"/>
          <w:szCs w:val="21"/>
          <w:highlight w:val="none"/>
          <w:lang w:bidi="ar"/>
        </w:rPr>
        <w:t>）“重大事故”指在工程建设过程中由于责任过失造成工程倒塌或报废、机械设备毁坏和安全设施失当等原因造成人身伤亡或者重大经济损失的事故。</w:t>
      </w:r>
    </w:p>
    <w:p w14:paraId="6B02D3A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1）“一级重大事故”指死亡</w:t>
      </w:r>
      <w:r>
        <w:rPr>
          <w:rFonts w:hint="eastAsia" w:ascii="宋体" w:hAnsi="宋体" w:cs="宋体"/>
          <w:bCs/>
          <w:color w:val="auto"/>
          <w:kern w:val="0"/>
          <w:szCs w:val="21"/>
          <w:highlight w:val="none"/>
          <w:lang w:bidi="ar"/>
        </w:rPr>
        <w:t>30</w:t>
      </w:r>
      <w:r>
        <w:rPr>
          <w:rFonts w:hint="eastAsia" w:ascii="宋体" w:hAnsi="宋体" w:cs="宋体"/>
          <w:bCs/>
          <w:snapToGrid w:val="0"/>
          <w:color w:val="auto"/>
          <w:kern w:val="0"/>
          <w:szCs w:val="21"/>
          <w:highlight w:val="none"/>
          <w:lang w:bidi="ar"/>
        </w:rPr>
        <w:t>人以上或直接经济损失达</w:t>
      </w:r>
      <w:r>
        <w:rPr>
          <w:rFonts w:hint="eastAsia" w:ascii="宋体" w:hAnsi="宋体" w:cs="宋体"/>
          <w:bCs/>
          <w:color w:val="auto"/>
          <w:kern w:val="0"/>
          <w:szCs w:val="21"/>
          <w:highlight w:val="none"/>
          <w:lang w:bidi="ar"/>
        </w:rPr>
        <w:t>300</w:t>
      </w:r>
      <w:r>
        <w:rPr>
          <w:rFonts w:hint="eastAsia" w:ascii="宋体" w:hAnsi="宋体" w:cs="宋体"/>
          <w:bCs/>
          <w:snapToGrid w:val="0"/>
          <w:color w:val="auto"/>
          <w:kern w:val="0"/>
          <w:szCs w:val="21"/>
          <w:highlight w:val="none"/>
          <w:lang w:bidi="ar"/>
        </w:rPr>
        <w:t>万元以上的事故。</w:t>
      </w:r>
    </w:p>
    <w:p w14:paraId="49BD8BD3">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2）“二级重大事故”指死亡</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人以上</w:t>
      </w:r>
      <w:r>
        <w:rPr>
          <w:rFonts w:hint="eastAsia" w:ascii="宋体" w:hAnsi="宋体" w:cs="宋体"/>
          <w:bCs/>
          <w:color w:val="auto"/>
          <w:kern w:val="0"/>
          <w:szCs w:val="21"/>
          <w:highlight w:val="none"/>
          <w:lang w:bidi="ar"/>
        </w:rPr>
        <w:t>29</w:t>
      </w:r>
      <w:r>
        <w:rPr>
          <w:rFonts w:hint="eastAsia" w:ascii="宋体" w:hAnsi="宋体" w:cs="宋体"/>
          <w:bCs/>
          <w:snapToGrid w:val="0"/>
          <w:color w:val="auto"/>
          <w:kern w:val="0"/>
          <w:szCs w:val="21"/>
          <w:highlight w:val="none"/>
          <w:lang w:bidi="ar"/>
        </w:rPr>
        <w:t>人以下或直接经济损失达</w:t>
      </w:r>
      <w:r>
        <w:rPr>
          <w:rFonts w:hint="eastAsia" w:ascii="宋体" w:hAnsi="宋体" w:cs="宋体"/>
          <w:bCs/>
          <w:color w:val="auto"/>
          <w:kern w:val="0"/>
          <w:szCs w:val="21"/>
          <w:highlight w:val="none"/>
          <w:lang w:bidi="ar"/>
        </w:rPr>
        <w:t>100</w:t>
      </w:r>
      <w:r>
        <w:rPr>
          <w:rFonts w:hint="eastAsia" w:ascii="宋体" w:hAnsi="宋体" w:cs="宋体"/>
          <w:bCs/>
          <w:snapToGrid w:val="0"/>
          <w:color w:val="auto"/>
          <w:kern w:val="0"/>
          <w:szCs w:val="21"/>
          <w:highlight w:val="none"/>
          <w:lang w:bidi="ar"/>
        </w:rPr>
        <w:t>万元以上不满</w:t>
      </w:r>
      <w:r>
        <w:rPr>
          <w:rFonts w:hint="eastAsia" w:ascii="宋体" w:hAnsi="宋体" w:cs="宋体"/>
          <w:bCs/>
          <w:color w:val="auto"/>
          <w:kern w:val="0"/>
          <w:szCs w:val="21"/>
          <w:highlight w:val="none"/>
          <w:lang w:bidi="ar"/>
        </w:rPr>
        <w:t>300</w:t>
      </w:r>
      <w:r>
        <w:rPr>
          <w:rFonts w:hint="eastAsia" w:ascii="宋体" w:hAnsi="宋体" w:cs="宋体"/>
          <w:bCs/>
          <w:snapToGrid w:val="0"/>
          <w:color w:val="auto"/>
          <w:kern w:val="0"/>
          <w:szCs w:val="21"/>
          <w:highlight w:val="none"/>
          <w:lang w:bidi="ar"/>
        </w:rPr>
        <w:t>万元的事故。</w:t>
      </w:r>
    </w:p>
    <w:p w14:paraId="3E8CEFC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3）“三级重大事故”指死亡</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人以上</w:t>
      </w:r>
      <w:r>
        <w:rPr>
          <w:rFonts w:hint="eastAsia" w:ascii="宋体" w:hAnsi="宋体" w:cs="宋体"/>
          <w:bCs/>
          <w:color w:val="auto"/>
          <w:kern w:val="0"/>
          <w:szCs w:val="21"/>
          <w:highlight w:val="none"/>
          <w:lang w:bidi="ar"/>
        </w:rPr>
        <w:t>9</w:t>
      </w:r>
      <w:r>
        <w:rPr>
          <w:rFonts w:hint="eastAsia" w:ascii="宋体" w:hAnsi="宋体" w:cs="宋体"/>
          <w:bCs/>
          <w:snapToGrid w:val="0"/>
          <w:color w:val="auto"/>
          <w:kern w:val="0"/>
          <w:szCs w:val="21"/>
          <w:highlight w:val="none"/>
          <w:lang w:bidi="ar"/>
        </w:rPr>
        <w:t>人以下，或者重伤</w:t>
      </w:r>
      <w:r>
        <w:rPr>
          <w:rFonts w:hint="eastAsia" w:ascii="宋体" w:hAnsi="宋体" w:cs="宋体"/>
          <w:bCs/>
          <w:color w:val="auto"/>
          <w:kern w:val="0"/>
          <w:szCs w:val="21"/>
          <w:highlight w:val="none"/>
          <w:lang w:bidi="ar"/>
        </w:rPr>
        <w:t>20</w:t>
      </w:r>
      <w:r>
        <w:rPr>
          <w:rFonts w:hint="eastAsia" w:ascii="宋体" w:hAnsi="宋体" w:cs="宋体"/>
          <w:bCs/>
          <w:snapToGrid w:val="0"/>
          <w:color w:val="auto"/>
          <w:kern w:val="0"/>
          <w:szCs w:val="21"/>
          <w:highlight w:val="none"/>
          <w:lang w:bidi="ar"/>
        </w:rPr>
        <w:t>人以上，或直接经济损失达</w:t>
      </w:r>
      <w:r>
        <w:rPr>
          <w:rFonts w:hint="eastAsia" w:ascii="宋体" w:hAnsi="宋体" w:cs="宋体"/>
          <w:bCs/>
          <w:color w:val="auto"/>
          <w:kern w:val="0"/>
          <w:szCs w:val="21"/>
          <w:highlight w:val="none"/>
          <w:lang w:bidi="ar"/>
        </w:rPr>
        <w:t>30</w:t>
      </w:r>
      <w:r>
        <w:rPr>
          <w:rFonts w:hint="eastAsia" w:ascii="宋体" w:hAnsi="宋体" w:cs="宋体"/>
          <w:bCs/>
          <w:snapToGrid w:val="0"/>
          <w:color w:val="auto"/>
          <w:kern w:val="0"/>
          <w:szCs w:val="21"/>
          <w:highlight w:val="none"/>
          <w:lang w:bidi="ar"/>
        </w:rPr>
        <w:t>万元以上不满</w:t>
      </w:r>
      <w:r>
        <w:rPr>
          <w:rFonts w:hint="eastAsia" w:ascii="宋体" w:hAnsi="宋体" w:cs="宋体"/>
          <w:bCs/>
          <w:color w:val="auto"/>
          <w:kern w:val="0"/>
          <w:szCs w:val="21"/>
          <w:highlight w:val="none"/>
          <w:lang w:bidi="ar"/>
        </w:rPr>
        <w:t>100</w:t>
      </w:r>
      <w:r>
        <w:rPr>
          <w:rFonts w:hint="eastAsia" w:ascii="宋体" w:hAnsi="宋体" w:cs="宋体"/>
          <w:bCs/>
          <w:snapToGrid w:val="0"/>
          <w:color w:val="auto"/>
          <w:kern w:val="0"/>
          <w:szCs w:val="21"/>
          <w:highlight w:val="none"/>
          <w:lang w:bidi="ar"/>
        </w:rPr>
        <w:t>万元的事故。</w:t>
      </w:r>
    </w:p>
    <w:p w14:paraId="17BE85FA">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4）“四级重大事故”指死亡</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人，或重伤</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人以上</w:t>
      </w:r>
      <w:r>
        <w:rPr>
          <w:rFonts w:hint="eastAsia" w:ascii="宋体" w:hAnsi="宋体" w:cs="宋体"/>
          <w:bCs/>
          <w:color w:val="auto"/>
          <w:kern w:val="0"/>
          <w:szCs w:val="21"/>
          <w:highlight w:val="none"/>
          <w:lang w:bidi="ar"/>
        </w:rPr>
        <w:t>19</w:t>
      </w:r>
      <w:r>
        <w:rPr>
          <w:rFonts w:hint="eastAsia" w:ascii="宋体" w:hAnsi="宋体" w:cs="宋体"/>
          <w:bCs/>
          <w:snapToGrid w:val="0"/>
          <w:color w:val="auto"/>
          <w:kern w:val="0"/>
          <w:szCs w:val="21"/>
          <w:highlight w:val="none"/>
          <w:lang w:bidi="ar"/>
        </w:rPr>
        <w:t>人以下，或直接经济损失达</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万元以上不满</w:t>
      </w:r>
      <w:r>
        <w:rPr>
          <w:rFonts w:hint="eastAsia" w:ascii="宋体" w:hAnsi="宋体" w:cs="宋体"/>
          <w:bCs/>
          <w:color w:val="auto"/>
          <w:kern w:val="0"/>
          <w:szCs w:val="21"/>
          <w:highlight w:val="none"/>
          <w:lang w:bidi="ar"/>
        </w:rPr>
        <w:t>30</w:t>
      </w:r>
      <w:r>
        <w:rPr>
          <w:rFonts w:hint="eastAsia" w:ascii="宋体" w:hAnsi="宋体" w:cs="宋体"/>
          <w:bCs/>
          <w:snapToGrid w:val="0"/>
          <w:color w:val="auto"/>
          <w:kern w:val="0"/>
          <w:szCs w:val="21"/>
          <w:highlight w:val="none"/>
          <w:lang w:bidi="ar"/>
        </w:rPr>
        <w:t>万元的事故。</w:t>
      </w:r>
    </w:p>
    <w:p w14:paraId="6B7398AE">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17</w:t>
      </w:r>
      <w:r>
        <w:rPr>
          <w:rFonts w:hint="eastAsia" w:ascii="宋体" w:hAnsi="宋体" w:cs="宋体"/>
          <w:bCs/>
          <w:snapToGrid w:val="0"/>
          <w:color w:val="auto"/>
          <w:kern w:val="0"/>
          <w:szCs w:val="21"/>
          <w:highlight w:val="none"/>
          <w:lang w:bidi="ar"/>
        </w:rPr>
        <w:t>）“质量事故”指因质量原因导致损失或造成人身伤亡的事故，包括“一般质量事故”、“严重质量事故”及“重大质量事故”。</w:t>
      </w:r>
    </w:p>
    <w:p w14:paraId="433E878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1)“一般质量事故”指直接经济损失达</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千元以上不满</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万元，或影响适用功能和工程结构安全造成永久质量缺陷的事故；</w:t>
      </w:r>
    </w:p>
    <w:p w14:paraId="03819A9A">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2)“重大质量事故”指直接经济损失达</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万元以上不满</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万元，或事故性质恶劣，或造成</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人以下重伤，或严重影响适用功能或工程结构安全的事故；</w:t>
      </w:r>
    </w:p>
    <w:p w14:paraId="27EE923A">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3)“重大质量事故”指工程倒塌或报废，或造成人员死亡或重伤</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人以上，或直接经济损失</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万元以上的事故。</w:t>
      </w:r>
    </w:p>
    <w:p w14:paraId="47C8D79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18</w:t>
      </w:r>
      <w:r>
        <w:rPr>
          <w:rFonts w:hint="eastAsia" w:ascii="宋体" w:hAnsi="宋体" w:cs="宋体"/>
          <w:bCs/>
          <w:snapToGrid w:val="0"/>
          <w:color w:val="auto"/>
          <w:kern w:val="0"/>
          <w:szCs w:val="21"/>
          <w:highlight w:val="none"/>
          <w:lang w:bidi="ar"/>
        </w:rPr>
        <w:t>）“委托管理单位”指受委托人委托对本合同工程建设进行管理的单位，包括监理人和技术督导单位、</w:t>
      </w:r>
      <w:r>
        <w:rPr>
          <w:rFonts w:hint="eastAsia" w:ascii="宋体" w:hAnsi="宋体" w:cs="宋体"/>
          <w:snapToGrid w:val="0"/>
          <w:color w:val="auto"/>
          <w:kern w:val="0"/>
          <w:szCs w:val="21"/>
          <w:highlight w:val="none"/>
          <w:lang w:bidi="ar"/>
        </w:rPr>
        <w:t>材料设备管理服务单位</w:t>
      </w:r>
      <w:r>
        <w:rPr>
          <w:rFonts w:hint="eastAsia" w:ascii="宋体" w:hAnsi="宋体" w:cs="宋体"/>
          <w:bCs/>
          <w:color w:val="auto"/>
          <w:kern w:val="0"/>
          <w:szCs w:val="21"/>
          <w:highlight w:val="none"/>
          <w:lang w:bidi="ar"/>
        </w:rPr>
        <w:t>等。</w:t>
      </w:r>
    </w:p>
    <w:p w14:paraId="3792CDEC">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第二条</w:t>
      </w:r>
      <w:r>
        <w:rPr>
          <w:rFonts w:hint="eastAsia" w:ascii="宋体" w:hAnsi="宋体" w:cs="宋体"/>
          <w:b/>
          <w:color w:val="auto"/>
          <w:kern w:val="0"/>
          <w:szCs w:val="21"/>
          <w:highlight w:val="none"/>
          <w:lang w:bidi="ar"/>
        </w:rPr>
        <w:t xml:space="preserve">  </w:t>
      </w:r>
      <w:r>
        <w:rPr>
          <w:rFonts w:hint="eastAsia" w:ascii="宋体" w:hAnsi="宋体" w:cs="宋体"/>
          <w:b/>
          <w:snapToGrid w:val="0"/>
          <w:color w:val="auto"/>
          <w:kern w:val="0"/>
          <w:szCs w:val="21"/>
          <w:highlight w:val="none"/>
          <w:lang w:bidi="ar"/>
        </w:rPr>
        <w:t>本合同适用的法律法规及监理依据</w:t>
      </w:r>
    </w:p>
    <w:p w14:paraId="2F0DAE78">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）中华人民共和国的法律、法规、合同约定的部门规章及工程所在地的地方法规；</w:t>
      </w:r>
    </w:p>
    <w:p w14:paraId="5BFFF044">
      <w:pPr>
        <w:adjustRightInd w:val="0"/>
        <w:snapToGrid w:val="0"/>
        <w:spacing w:line="360" w:lineRule="auto"/>
        <w:ind w:left="428"/>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）《建设工程监理规范》（</w:t>
      </w:r>
      <w:r>
        <w:rPr>
          <w:rFonts w:hint="eastAsia" w:ascii="宋体" w:hAnsi="宋体" w:cs="宋体"/>
          <w:color w:val="auto"/>
          <w:kern w:val="0"/>
          <w:szCs w:val="21"/>
          <w:highlight w:val="none"/>
          <w:lang w:bidi="ar"/>
        </w:rPr>
        <w:t>GB/T50319-2013</w:t>
      </w:r>
      <w:r>
        <w:rPr>
          <w:rFonts w:hint="eastAsia" w:ascii="宋体" w:hAnsi="宋体" w:cs="宋体"/>
          <w:snapToGrid w:val="0"/>
          <w:color w:val="auto"/>
          <w:kern w:val="0"/>
          <w:szCs w:val="21"/>
          <w:highlight w:val="none"/>
          <w:lang w:bidi="ar"/>
        </w:rPr>
        <w:t>）；</w:t>
      </w:r>
    </w:p>
    <w:p w14:paraId="40A14F3F">
      <w:pPr>
        <w:adjustRightInd w:val="0"/>
        <w:snapToGrid w:val="0"/>
        <w:spacing w:line="360" w:lineRule="auto"/>
        <w:ind w:left="428"/>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）国家和地方现行的建设工程质量评定标准、设计及施工验收规范；</w:t>
      </w:r>
    </w:p>
    <w:p w14:paraId="27FCE069">
      <w:pPr>
        <w:adjustRightInd w:val="0"/>
        <w:snapToGrid w:val="0"/>
        <w:spacing w:line="360" w:lineRule="auto"/>
        <w:ind w:left="428"/>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）经批准的施工图纸及说明，以及经图纸会审确定的修改设计通知书；</w:t>
      </w:r>
    </w:p>
    <w:p w14:paraId="5B1DE105">
      <w:pPr>
        <w:adjustRightInd w:val="0"/>
        <w:snapToGrid w:val="0"/>
        <w:spacing w:line="360" w:lineRule="auto"/>
        <w:ind w:left="428"/>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）本合同工程的设计、施工、安装、招投标文件及合同；</w:t>
      </w:r>
    </w:p>
    <w:p w14:paraId="0DFF1316">
      <w:pPr>
        <w:adjustRightInd w:val="0"/>
        <w:snapToGrid w:val="0"/>
        <w:spacing w:line="360" w:lineRule="auto"/>
        <w:ind w:left="428"/>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）委托人发出的有关本合同工程建设的指令；</w:t>
      </w:r>
    </w:p>
    <w:p w14:paraId="657DD07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）委托人制定的有关本合同工程建设的管理制度。</w:t>
      </w:r>
    </w:p>
    <w:p w14:paraId="23A674A1">
      <w:pPr>
        <w:adjustRightInd w:val="0"/>
        <w:snapToGrid w:val="0"/>
        <w:spacing w:line="360" w:lineRule="auto"/>
        <w:ind w:firstLine="480"/>
        <w:rPr>
          <w:rFonts w:hint="eastAsia" w:ascii="宋体" w:hAnsi="宋体" w:cs="宋体"/>
          <w:snapToGrid w:val="0"/>
          <w:color w:val="auto"/>
          <w:kern w:val="0"/>
          <w:szCs w:val="21"/>
          <w:highlight w:val="none"/>
        </w:rPr>
      </w:pPr>
      <w:r>
        <w:rPr>
          <w:rFonts w:hint="eastAsia" w:ascii="宋体" w:hAnsi="宋体" w:cs="宋体"/>
          <w:b/>
          <w:snapToGrid w:val="0"/>
          <w:color w:val="auto"/>
          <w:kern w:val="0"/>
          <w:szCs w:val="21"/>
          <w:highlight w:val="none"/>
          <w:lang w:bidi="ar"/>
        </w:rPr>
        <w:t>第四条</w:t>
      </w:r>
      <w:r>
        <w:rPr>
          <w:rFonts w:hint="eastAsia" w:ascii="宋体" w:hAnsi="宋体" w:cs="宋体"/>
          <w:b/>
          <w:color w:val="auto"/>
          <w:kern w:val="0"/>
          <w:szCs w:val="21"/>
          <w:highlight w:val="none"/>
          <w:lang w:bidi="ar"/>
        </w:rPr>
        <w:t xml:space="preserve">  </w:t>
      </w:r>
      <w:r>
        <w:rPr>
          <w:rFonts w:hint="eastAsia" w:ascii="宋体" w:hAnsi="宋体" w:cs="宋体"/>
          <w:b/>
          <w:snapToGrid w:val="0"/>
          <w:color w:val="auto"/>
          <w:kern w:val="0"/>
          <w:szCs w:val="21"/>
          <w:highlight w:val="none"/>
          <w:lang w:bidi="ar"/>
        </w:rPr>
        <w:t>监理工作内容、项目监理机构及监理人员</w:t>
      </w:r>
    </w:p>
    <w:p w14:paraId="7CD1C3DE">
      <w:pPr>
        <w:adjustRightInd w:val="0"/>
        <w:snapToGrid w:val="0"/>
        <w:spacing w:line="360" w:lineRule="auto"/>
        <w:ind w:firstLine="413" w:firstLineChars="196"/>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4.1监理服务工作内容</w:t>
      </w:r>
      <w:r>
        <w:rPr>
          <w:rFonts w:hint="eastAsia" w:ascii="宋体" w:hAnsi="宋体" w:cs="宋体"/>
          <w:bCs/>
          <w:snapToGrid w:val="0"/>
          <w:color w:val="auto"/>
          <w:kern w:val="0"/>
          <w:szCs w:val="21"/>
          <w:highlight w:val="none"/>
          <w:lang w:bidi="ar"/>
        </w:rPr>
        <w:t>（根据监理的服务范围，负责各阶段的监理工作）</w:t>
      </w:r>
    </w:p>
    <w:p w14:paraId="15C752D6">
      <w:pPr>
        <w:adjustRightInd w:val="0"/>
        <w:snapToGrid w:val="0"/>
        <w:spacing w:line="360" w:lineRule="auto"/>
        <w:ind w:firstLine="413" w:firstLineChars="196"/>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4.1.1建设工程监理一般规定</w:t>
      </w:r>
    </w:p>
    <w:p w14:paraId="0D291F8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）实行总监理工程师负责制。</w:t>
      </w:r>
    </w:p>
    <w:p w14:paraId="7AD21EB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）监理人应公正、独立、自主地开展监理工作，维护委托人和承包人的合法权益。</w:t>
      </w:r>
    </w:p>
    <w:p w14:paraId="25CEF470">
      <w:pPr>
        <w:adjustRightInd w:val="0"/>
        <w:snapToGrid w:val="0"/>
        <w:spacing w:line="360" w:lineRule="auto"/>
        <w:ind w:firstLine="420" w:firstLineChars="200"/>
        <w:rPr>
          <w:rFonts w:hint="eastAsia" w:ascii="宋体" w:hAnsi="宋体" w:cs="宋体"/>
          <w:b/>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）建设工程监理除应符合《建设工程监理规范》（</w:t>
      </w:r>
      <w:r>
        <w:rPr>
          <w:rFonts w:hint="eastAsia" w:ascii="宋体" w:hAnsi="宋体" w:cs="宋体"/>
          <w:color w:val="auto"/>
          <w:kern w:val="0"/>
          <w:szCs w:val="21"/>
          <w:highlight w:val="none"/>
          <w:lang w:bidi="ar"/>
        </w:rPr>
        <w:t>GB/T50319-2013</w:t>
      </w:r>
      <w:r>
        <w:rPr>
          <w:rFonts w:hint="eastAsia" w:ascii="宋体" w:hAnsi="宋体" w:cs="宋体"/>
          <w:snapToGrid w:val="0"/>
          <w:color w:val="auto"/>
          <w:kern w:val="0"/>
          <w:szCs w:val="21"/>
          <w:highlight w:val="none"/>
          <w:lang w:bidi="ar"/>
        </w:rPr>
        <w:t>）外，还应符合国家现行的有关强制性标准、规范的规定。</w:t>
      </w:r>
    </w:p>
    <w:p w14:paraId="03CFDAFD">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4.1.2前期阶段的监理工作（包括但不限于以下内容）</w:t>
      </w:r>
    </w:p>
    <w:p w14:paraId="6418A6CA">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）含前期建（构）筑物拆除、绿化及管线设施迁移、超前钻（如有）工程的监理工作等。</w:t>
      </w:r>
    </w:p>
    <w:p w14:paraId="6F773793">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）计划及统筹管理：统筹及协调项目各层面、各参建单位、各项工作的关系；编制项目总控计划，经委托人审定后，跟踪项目总控计划实时情况，如计划出现偏差，分析偏差原因，提出解决方案报委托人审批。</w:t>
      </w:r>
    </w:p>
    <w:p w14:paraId="4A91F91B">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3</w:t>
      </w:r>
      <w:r>
        <w:rPr>
          <w:rFonts w:hint="eastAsia" w:ascii="宋体" w:hAnsi="宋体" w:cs="宋体"/>
          <w:b/>
          <w:snapToGrid w:val="0"/>
          <w:color w:val="auto"/>
          <w:kern w:val="0"/>
          <w:szCs w:val="21"/>
          <w:highlight w:val="none"/>
          <w:lang w:bidi="ar"/>
        </w:rPr>
        <w:t>施工准备阶段的监理工作（包括但不限于以下内容）</w:t>
      </w:r>
    </w:p>
    <w:p w14:paraId="7939F48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）在设计交底前，总监理工程师应组织监理人员熟悉设计文件，并对图纸中存在的问题通过委托人向设计单位提出书面意见和建议。</w:t>
      </w:r>
    </w:p>
    <w:p w14:paraId="7A93B98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）项目监理人员应参加由委托人组织的设计技术交底会，总监理工程师应组织人员编写设计技术交底会议纪要并提交给委托人。</w:t>
      </w:r>
    </w:p>
    <w:p w14:paraId="3294F58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）图纸会审由委托人组织，总监理工程师应组织人员做好图纸会审记录并提交给委托人。</w:t>
      </w:r>
    </w:p>
    <w:p w14:paraId="59C9629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）工程项目开工前，总监理工程师应组织专业监理工程师审查承包人报送的施工组织设计</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方案</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报审表，提出审查意见，并经总监理工程师审核、签认后报委托人。</w:t>
      </w:r>
    </w:p>
    <w:p w14:paraId="36E7469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工程项目开工前，总监理工程师应审查承包人现场项目管理机构的质量管理体系、环境管理体系和安全管理体系，确能保证工程项目施工质量时予以确认。对质量管理体系、环境管理体系和安全管理体系应审核以下内容：</w:t>
      </w:r>
    </w:p>
    <w:p w14:paraId="2FA1B3B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1）质量管理体系、环境管理体系和安全管理体系的组织及职责；</w:t>
      </w:r>
    </w:p>
    <w:p w14:paraId="6478068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2）质量管理体系、环境管理体系和安全管理体系各过程的识别与管理；</w:t>
      </w:r>
    </w:p>
    <w:p w14:paraId="5B66587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3）质量管理体系、环境管理体系和安全管理体系的持续改进措施。</w:t>
      </w:r>
    </w:p>
    <w:p w14:paraId="4BB9645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）分包工程开工前，专业监理工程师应审查承包人报送的分包单位资格报审表和分包单位有关资质资料，符合有关规定后，由总监理工程师予以签认。对分包单位资格应审核以下内容：</w:t>
      </w:r>
    </w:p>
    <w:p w14:paraId="548160D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1）分包单位的营业执照、企业资质等级证书、特殊行业施工许可证、国外</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境外</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企业在国内承包工程许可证；</w:t>
      </w:r>
    </w:p>
    <w:p w14:paraId="3DDB27F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2）分包单位的业绩，尤其是类似工程施工的经验；</w:t>
      </w:r>
    </w:p>
    <w:p w14:paraId="7B57A6A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3）拟分包工程的内容和范围；</w:t>
      </w:r>
    </w:p>
    <w:p w14:paraId="2EE0EA1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4）专职管理人员和特种作业人员的资格证、上岗证。</w:t>
      </w:r>
    </w:p>
    <w:p w14:paraId="3358D67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）专业监理工程师应按以下要求对承包人报送的测量放线控制方案成果及保护措施进行检查，符合要求时，专业监理工程师对承包人报送的施工测量资料予以签认：</w:t>
      </w:r>
    </w:p>
    <w:p w14:paraId="30A5F59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1）检查承包人专职测量人员的岗位证书及测量设备检定证书；</w:t>
      </w:r>
    </w:p>
    <w:p w14:paraId="29114BB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2）审核承包人提交的控制测量方案；</w:t>
      </w:r>
    </w:p>
    <w:p w14:paraId="2637D91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3）复核控制桩的校核成果、控制桩的保护措施以及平面控制网、高程控制网和临时水准点的测量成果。</w:t>
      </w:r>
    </w:p>
    <w:p w14:paraId="673F63A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）专业监理工程师应审查承包人报送的工程开工报审表及相关资料，具备以下开工条件时，由总监理工程师签发，并报委托人：</w:t>
      </w:r>
    </w:p>
    <w:p w14:paraId="079E9BC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1）施工许可证已获政府主管部门批准；</w:t>
      </w:r>
    </w:p>
    <w:p w14:paraId="49B0063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2）征地拆迁工作能满足工程进度的需要；</w:t>
      </w:r>
    </w:p>
    <w:p w14:paraId="5BA39FD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3）施工组织设计已获总监理工程师批准；</w:t>
      </w:r>
    </w:p>
    <w:p w14:paraId="264051C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4）承包人现场管理人员已到位，机具、施工人员已进场，主要工程材料已落实；</w:t>
      </w:r>
    </w:p>
    <w:p w14:paraId="5E191B0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5）进场道路及水、电、通讯等已满足开工要求；</w:t>
      </w:r>
    </w:p>
    <w:p w14:paraId="69F705A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6）施工测量、技术交底、作业指导书等各项技术准备工作是否已经完成。</w:t>
      </w:r>
    </w:p>
    <w:p w14:paraId="51B5E99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）工程项目开工前，监理人员应参加由委托人主持召开的第一次工地会议。工地会议应包括以下主要内容：</w:t>
      </w:r>
    </w:p>
    <w:p w14:paraId="4E42A57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1）委托人、承包人和监理人分别介绍各自驻现场的组织机构、人员及其分工；</w:t>
      </w:r>
    </w:p>
    <w:p w14:paraId="2AAAB55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2）委托人根据委托监理合同宣布对总监理工程师的授权；</w:t>
      </w:r>
    </w:p>
    <w:p w14:paraId="22FE8E4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3）委托人介绍工程开工准备情况；</w:t>
      </w:r>
    </w:p>
    <w:p w14:paraId="13F53C1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4）承包人介绍施工准备情况；</w:t>
      </w:r>
    </w:p>
    <w:p w14:paraId="213E1D0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5）委托人和总监理工程师对施工准备情况提出意见和要求；</w:t>
      </w:r>
    </w:p>
    <w:p w14:paraId="2E048E0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6）总监理工程师介绍监理规划的主要内容；</w:t>
      </w:r>
    </w:p>
    <w:p w14:paraId="1559465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7）研究确定各方在施工过程中参加工地例会的主要人员，召开工地例会周期、地点及主要议题。</w:t>
      </w:r>
    </w:p>
    <w:p w14:paraId="44340A4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第一次工地会议纪要应由项目监理机构负责起草，并经与会各方代表会签。</w:t>
      </w:r>
    </w:p>
    <w:p w14:paraId="467E9B0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）制定监理规划</w:t>
      </w:r>
    </w:p>
    <w:p w14:paraId="5E2D8A4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1）监理规划的编制应针对项目的实际情况，明确项目监理机构的工作目标，确定具体的监理工作制度、程序、方法和措施，并应具有可操作性。</w:t>
      </w:r>
    </w:p>
    <w:p w14:paraId="29D12BC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2）监理规划编制的程序与依据应符合下列规定：</w:t>
      </w:r>
    </w:p>
    <w:p w14:paraId="14CC974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a.监理规划应在签订委托监理合同及收到设计文件后开始编制，完成后必须经监理人技术负责人审核批准，并应在召开第一次工地会议前报送委托人；</w:t>
      </w:r>
    </w:p>
    <w:p w14:paraId="7FD2E48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b.监理规划应由总监理工程师主持、专业监理工程师参加编制；</w:t>
      </w:r>
    </w:p>
    <w:p w14:paraId="1B2A266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c.编制监理规划应依据：</w:t>
      </w:r>
    </w:p>
    <w:p w14:paraId="328E0D3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——建设工程的相关法律、法规及项目审批文件；</w:t>
      </w:r>
    </w:p>
    <w:p w14:paraId="6AFCDC5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——与建设工程项目有关的标准、设计文件、技术资料；</w:t>
      </w:r>
    </w:p>
    <w:p w14:paraId="0F9D903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——监理大纲、委托监理合同文件以及与建设工程项目相关的合同文件。</w:t>
      </w:r>
    </w:p>
    <w:p w14:paraId="01CFD6C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——委托人制定的有关本合同工程建设的管理制度。</w:t>
      </w:r>
    </w:p>
    <w:p w14:paraId="79ADC39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3）监理规划应包括以下主要内容：</w:t>
      </w:r>
    </w:p>
    <w:p w14:paraId="396DCC2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a.工程项目概况；</w:t>
      </w:r>
    </w:p>
    <w:p w14:paraId="1E52DA6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b.监理工作范围；</w:t>
      </w:r>
    </w:p>
    <w:p w14:paraId="2065C40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c.监理工作内容；</w:t>
      </w:r>
    </w:p>
    <w:p w14:paraId="2FEB533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d.监理工作目标；</w:t>
      </w:r>
    </w:p>
    <w:p w14:paraId="4C39B5A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e.监理工作依据；</w:t>
      </w:r>
    </w:p>
    <w:p w14:paraId="18EA0B7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f.项目监理机构的组织形式；</w:t>
      </w:r>
    </w:p>
    <w:p w14:paraId="755F21D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g.项目监理机构的人员配备计划；</w:t>
      </w:r>
    </w:p>
    <w:p w14:paraId="1EDCA52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h.项目监理机构的人员岗位职责；</w:t>
      </w:r>
    </w:p>
    <w:p w14:paraId="4BD9996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i.监理工作程序；</w:t>
      </w:r>
    </w:p>
    <w:p w14:paraId="407954D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j.监理工作方法及措施；</w:t>
      </w:r>
    </w:p>
    <w:p w14:paraId="52171A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k.监理工作制度；</w:t>
      </w:r>
    </w:p>
    <w:p w14:paraId="597A3AB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l.监理设施。</w:t>
      </w:r>
    </w:p>
    <w:p w14:paraId="4DC80A0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4）在监理工作实施过程中，如实际情况或条件发生重大变化而需要调整监理规划时，应由总监理工程师组织专业监理工程师研究修改，按原报审程序经过批准后报委托人。</w:t>
      </w:r>
    </w:p>
    <w:p w14:paraId="08EC038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11</w:t>
      </w:r>
      <w:r>
        <w:rPr>
          <w:rFonts w:hint="eastAsia" w:ascii="宋体" w:hAnsi="宋体" w:cs="宋体"/>
          <w:snapToGrid w:val="0"/>
          <w:color w:val="auto"/>
          <w:kern w:val="0"/>
          <w:szCs w:val="21"/>
          <w:highlight w:val="none"/>
          <w:lang w:bidi="ar"/>
        </w:rPr>
        <w:t>）制定监理实施细则</w:t>
      </w:r>
    </w:p>
    <w:p w14:paraId="10FFD87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1）项目监理机构应编制监理实施细则。监理实施细则应符合监理规划的要求，并应结合工程项目的专业特点，做到详细具体、具有可操作性。</w:t>
      </w:r>
    </w:p>
    <w:p w14:paraId="311CD83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2）监理实施细则的编制程序与依据应符合下列规定：</w:t>
      </w:r>
    </w:p>
    <w:p w14:paraId="251E317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a.监理实施细则应在相应工程施工开始前编制完成，并必须经总监理工程师批准；</w:t>
      </w:r>
    </w:p>
    <w:p w14:paraId="6C81874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b.监理实施细则应由专业监理工程师编制；</w:t>
      </w:r>
    </w:p>
    <w:p w14:paraId="6263C45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c.编制监理实施细则的依据：</w:t>
      </w:r>
    </w:p>
    <w:p w14:paraId="7DDFED3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——已批准的监理规划；</w:t>
      </w:r>
    </w:p>
    <w:p w14:paraId="7578ECD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——与专业工程相关的标准、设计文件和技术资料；</w:t>
      </w:r>
    </w:p>
    <w:p w14:paraId="1127EAB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——施工组织设计。</w:t>
      </w:r>
    </w:p>
    <w:p w14:paraId="5E072EA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——本合同工程的设计、施工、安装招投标文件及合同。</w:t>
      </w:r>
    </w:p>
    <w:p w14:paraId="7973C96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——委托人制定的有关本合同工程建设的管理制度。</w:t>
      </w:r>
    </w:p>
    <w:p w14:paraId="377808B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3）监理实施细则应包括下列主要内容：</w:t>
      </w:r>
    </w:p>
    <w:p w14:paraId="3141C1E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a.专业工程的特点；</w:t>
      </w:r>
    </w:p>
    <w:p w14:paraId="3385441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b.监理工作的流程；</w:t>
      </w:r>
    </w:p>
    <w:p w14:paraId="7695800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c.监理工作的控制要点及目标值；</w:t>
      </w:r>
    </w:p>
    <w:p w14:paraId="366CC3B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d.监理工作的方法及措施。</w:t>
      </w:r>
    </w:p>
    <w:p w14:paraId="692DE66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4）在监理工作实施过程中，监理实施细则应根据实际情况进行补充、修改和完善。</w:t>
      </w:r>
    </w:p>
    <w:p w14:paraId="4DBA778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12</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33F84031">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施工阶段</w:t>
      </w:r>
      <w:r>
        <w:rPr>
          <w:rFonts w:hint="eastAsia" w:ascii="宋体" w:hAnsi="宋体" w:cs="宋体"/>
          <w:b/>
          <w:color w:val="auto"/>
          <w:kern w:val="0"/>
          <w:szCs w:val="21"/>
          <w:highlight w:val="none"/>
          <w:lang w:bidi="ar"/>
        </w:rPr>
        <w:t>(</w:t>
      </w:r>
      <w:r>
        <w:rPr>
          <w:rFonts w:hint="eastAsia" w:ascii="宋体" w:hAnsi="宋体" w:cs="宋体"/>
          <w:b/>
          <w:snapToGrid w:val="0"/>
          <w:color w:val="auto"/>
          <w:kern w:val="0"/>
          <w:szCs w:val="21"/>
          <w:highlight w:val="none"/>
          <w:lang w:bidi="ar"/>
        </w:rPr>
        <w:t>包含永久用水、永久用电（如有）</w:t>
      </w:r>
      <w:r>
        <w:rPr>
          <w:rFonts w:hint="eastAsia" w:ascii="宋体" w:hAnsi="宋体" w:cs="宋体"/>
          <w:b/>
          <w:color w:val="auto"/>
          <w:kern w:val="0"/>
          <w:szCs w:val="21"/>
          <w:highlight w:val="none"/>
          <w:lang w:bidi="ar"/>
        </w:rPr>
        <w:t>)</w:t>
      </w:r>
      <w:r>
        <w:rPr>
          <w:rFonts w:hint="eastAsia" w:ascii="宋体" w:hAnsi="宋体" w:cs="宋体"/>
          <w:b/>
          <w:snapToGrid w:val="0"/>
          <w:color w:val="auto"/>
          <w:kern w:val="0"/>
          <w:szCs w:val="21"/>
          <w:highlight w:val="none"/>
          <w:lang w:bidi="ar"/>
        </w:rPr>
        <w:t>的监理工作（包括但不限于以下内容）</w:t>
      </w:r>
    </w:p>
    <w:p w14:paraId="5A80A4B8">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.1工程质量控制工作</w:t>
      </w:r>
    </w:p>
    <w:p w14:paraId="1176F44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）在施工过程中，当承包人对已批准的施工组织设计进行调整、补充或变动时，应经专业监理工程师审查，并应由总监理工程师签认。</w:t>
      </w:r>
    </w:p>
    <w:p w14:paraId="0D94010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）专业监理工程师应要求承包人报送重点部位、关键工序的施工方案或作业指导和确保工程质量的措施，审核同意后予以签认。</w:t>
      </w:r>
    </w:p>
    <w:p w14:paraId="56CCECB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）当承包人采用新材料、新工艺、新技术、新设备时，专业监理工程师应要求承包人报送相应的施工工艺措施和证明材料，组织专题论证，经审定后予以签认。</w:t>
      </w:r>
    </w:p>
    <w:p w14:paraId="3EFF063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）项目监理机构应对承包人在施工过程中报送的施工测量放线成果进行复验和确认。</w:t>
      </w:r>
    </w:p>
    <w:p w14:paraId="68D4970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）专业监理工程师应对承包人报送的拟进场工程材料、构配件和设备的工程材料</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构配件</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设备报审表及其质量证明资料进行审核，并对进场的实物按照委托监理合同约定或有关工程质量管理文件规定的比例采用平行检验或见证取样方式进行抽检。</w:t>
      </w:r>
    </w:p>
    <w:p w14:paraId="36B8B6E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对未经监理人员验收或验收不合格的工程材料、构配件、设备，监理人员应拒绝签认，并应签发监理工程师通知单，书面通知承包人限期将不合格的工程材料、构配件、设备撤出现场。</w:t>
      </w:r>
    </w:p>
    <w:p w14:paraId="0AB67C7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）项目监理机构应定期检查承包人的直接影响工程质量的计量设备的技术状况。</w:t>
      </w:r>
    </w:p>
    <w:p w14:paraId="63958CA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总监理工程师应安排监理人员对建筑材料设备的进场检验的全过程进行见证，对施工过程进行巡视和检查（包括重点检查、抽查及专项检查）。对工程中土方开挖回填，混凝土灌注桩浇筑，结构混凝土、防水混凝土浇筑，卷材防水层细部构造处理，钢结构安装和主体结构工程中梁柱节点钢筋隐蔽过程，混凝土浇筑，预应力张拉，装配式结构安装，钢结构安装，网架结构安装，索膜安装及业主要求的其它旁站工作等，专业监理工程师应安排监理员进行旁站，主要职责是：</w:t>
      </w:r>
    </w:p>
    <w:p w14:paraId="5CFD9C9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1）检查施工企业现场质检人员到岗、特殊工种人员持证上岗以及施工机械、建筑材料准备情况；</w:t>
      </w:r>
    </w:p>
    <w:p w14:paraId="5EF5A3D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2）在现场跟班监督关键部位、关键工序的施工执行施工方案以及工程建设强制性标准情况；</w:t>
      </w:r>
    </w:p>
    <w:p w14:paraId="2EDE5AD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3）核查进场建筑材料、建筑构配件、设备和商品混凝土的质量检验报告等，并可在现场监督施工企业进行检验或者委托具有资格的第三方进行复验；</w:t>
      </w:r>
    </w:p>
    <w:p w14:paraId="1DF6FBC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4）做好旁站监理记录和监理日记，保存旁站监理原始资料。</w:t>
      </w:r>
    </w:p>
    <w:p w14:paraId="3E38D8C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名的，不得进行下一道工序施工。</w:t>
      </w:r>
    </w:p>
    <w:p w14:paraId="0259487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08761F6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旁站监理记录是监理工程师或者总监理工程师依法行使有关签名权的重要依据。对于需要旁站监理的关键部位、关键工序施工，凡没有实施旁站监理或者没有旁站监理记录的，监理工程师或者总监理工程师不得在相应文件上签名。在工程竣工验收后，监理企业应当将旁站监理记录存档备查。</w:t>
      </w:r>
    </w:p>
    <w:p w14:paraId="525B2A2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）专业监理工程师应根据承包人报送的隐蔽工程报验申请表和自检结果进行现场检查，符合要求予以签认。</w:t>
      </w:r>
    </w:p>
    <w:p w14:paraId="64841A2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对未经监理人员验收或验收不合格的工序，监理人员应拒绝签认，并要求承包人严禁进行下一道工序的施工。</w:t>
      </w:r>
    </w:p>
    <w:p w14:paraId="4E0C0E8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75C1C65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）施工阶段的工程质量控制中的其他监理工作</w:t>
      </w:r>
    </w:p>
    <w:p w14:paraId="6AF266F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1）对施工过程中出现的质量缺陷，专业监理工程师应及时下达监理工程师通知，要求承包人整改，并检查整改结果。</w:t>
      </w:r>
    </w:p>
    <w:p w14:paraId="0761194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3495C97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447964A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4）总监理工程师应及时向委托人及本监理单位提交有关质量事故的书面报告，并应将完整的质量事故处理记录整理归档。</w:t>
      </w:r>
    </w:p>
    <w:p w14:paraId="7DE864C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5）对承包人的试验室进行考核</w:t>
      </w:r>
    </w:p>
    <w:p w14:paraId="32CE19F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专业监理工程师应从以下五个方面进行考核：</w:t>
      </w:r>
    </w:p>
    <w:p w14:paraId="60EE3B6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a.试验室的资质等级及其试验范围；</w:t>
      </w:r>
    </w:p>
    <w:p w14:paraId="55CDC2F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b.法定计量部门对试验设备出具的计量检定证明；</w:t>
      </w:r>
    </w:p>
    <w:p w14:paraId="3F75BEE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c.试验室的管理制度；</w:t>
      </w:r>
    </w:p>
    <w:p w14:paraId="121F979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d.试验人员的资格证书；</w:t>
      </w:r>
    </w:p>
    <w:p w14:paraId="6CDBA9E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e.本工程的试验项目及其要求。</w:t>
      </w:r>
    </w:p>
    <w:p w14:paraId="4C9CC3A6">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.2工程造价控制工作</w:t>
      </w:r>
    </w:p>
    <w:p w14:paraId="3C518A0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）项目监理机构应按下列程序进行工程计量和工程款支付工作：</w:t>
      </w:r>
    </w:p>
    <w:p w14:paraId="6676817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1）监理人应每日统计承包人实际完成的工程量，并记录于监理日志中。</w:t>
      </w:r>
    </w:p>
    <w:p w14:paraId="103A36B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2）专业监理工程师进行现场计量，复核当期验收合格的工程量，按施工合同的约定审核承包人提交的工程量清单和工程款支付申请表，并报总监理工程师审定。</w:t>
      </w:r>
    </w:p>
    <w:p w14:paraId="6B0D68C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3）总监理工程师对工程量清单和工程款支付申请表进行复核，并报委托人。</w:t>
      </w:r>
    </w:p>
    <w:p w14:paraId="25E73F1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4）提交月度分包工程支付建议书给委托人。</w:t>
      </w:r>
    </w:p>
    <w:p w14:paraId="1BF31A4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）项目监理机构应依据施工合同有关条款、施工图，对工程项目造价目标进行风险分析，并应制定防范性对策。</w:t>
      </w:r>
    </w:p>
    <w:p w14:paraId="3D91C69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）项目监理机构应按施工合同约定的工程量计算规则和支付条款进行工程量计算和工程款支付。</w:t>
      </w:r>
    </w:p>
    <w:p w14:paraId="5934D6A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）专业监理工程师应及时建立月完成工程量和工作量统计表，对实际完成量与计划完成量进行比较、分析，制定调整措施，并应在监理月报中向委托人报告。</w:t>
      </w:r>
    </w:p>
    <w:p w14:paraId="1222684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）未经监理人员质量验收合格的工程量，或不符合施工合同规定的工程量，监理人员应拒绝计量和该部分的工程款支付申请。</w:t>
      </w:r>
    </w:p>
    <w:p w14:paraId="6D7904D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）工程变更的管理</w:t>
      </w:r>
    </w:p>
    <w:p w14:paraId="5AE4C0F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总监理工程师应从造价、项目的功能要求、质量和工期等方面审查工程变更的方案，并在工程变更实施前与委托人、承包人协商确定工程变更的价款。</w:t>
      </w:r>
    </w:p>
    <w:p w14:paraId="0DFE345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1）项目监理机构应按下列程序处理工程变更：</w:t>
      </w:r>
    </w:p>
    <w:p w14:paraId="581D392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08D52E9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项目监理机构应了解实际情况和收集与工程变更有关的资料。</w:t>
      </w:r>
    </w:p>
    <w:p w14:paraId="34A0AB3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总监理工程师必须根据实际情况、设计变更文件和其他有关资料，按照施工合同的有关条款，在指定专业监理工程师完成下列工作后，对工程变更的费用和工期作出评估：</w:t>
      </w:r>
    </w:p>
    <w:p w14:paraId="334EA41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a.审核工程变更项目与原工程项目之间的类似程度和难易程度；</w:t>
      </w:r>
    </w:p>
    <w:p w14:paraId="1AF7BF4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b.审核工程变更项目的工程量；</w:t>
      </w:r>
    </w:p>
    <w:p w14:paraId="320B584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c.审核工程变更的单价和总价；</w:t>
      </w:r>
    </w:p>
    <w:p w14:paraId="1056819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d.审核工程变更所引起的工期变化。</w:t>
      </w:r>
    </w:p>
    <w:p w14:paraId="73C3BB2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总监理工程师应就工程变更费用及工期的评估情况与承包人和委托人进行协调。</w:t>
      </w:r>
    </w:p>
    <w:p w14:paraId="4654F88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工程变更单应包括工程变更要求、工程变更说明、工程变更费用和工期、必要的附件等内容，有设计变更文件的工程变更应附设计变更文件。</w:t>
      </w:r>
    </w:p>
    <w:p w14:paraId="2B72923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⑥ 项目监理机构应根据工程变更单监督承包人实施。</w:t>
      </w:r>
    </w:p>
    <w:p w14:paraId="69772B1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2）项目监理机构处理工程变更应符合下列要求：</w:t>
      </w:r>
    </w:p>
    <w:p w14:paraId="79CE42C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项目监理机构在工程变更的质量、费用和工期方面取得委托人授权后，应按施工合同规定与承包人进行协商，经协商达成一致后，总监理工程师应将协商结果向委托人通报，并由委托人与承包人在变更文件上签名；</w:t>
      </w:r>
    </w:p>
    <w:p w14:paraId="07E7A01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在项目监理机构未能就工程变更的质量、费用和工期方面取得委托人授权时，总监理工程师应协助委托人和承包人进行协商，并达成一致；</w:t>
      </w:r>
    </w:p>
    <w:p w14:paraId="110FB01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3）在</w:t>
      </w:r>
      <w:r>
        <w:rPr>
          <w:rFonts w:hint="eastAsia" w:ascii="宋体" w:hAnsi="宋体" w:cs="宋体"/>
          <w:bCs/>
          <w:color w:val="auto"/>
          <w:kern w:val="0"/>
          <w:szCs w:val="21"/>
          <w:highlight w:val="none"/>
          <w:lang w:bidi="ar"/>
        </w:rPr>
        <w:t>委托人</w:t>
      </w:r>
      <w:r>
        <w:rPr>
          <w:rFonts w:hint="eastAsia" w:ascii="宋体" w:hAnsi="宋体" w:cs="宋体"/>
          <w:snapToGrid w:val="0"/>
          <w:color w:val="auto"/>
          <w:kern w:val="0"/>
          <w:szCs w:val="21"/>
          <w:highlight w:val="none"/>
          <w:lang w:bidi="ar"/>
        </w:rPr>
        <w:t>签发工程变更单之前，承包人不得实施工程变更。</w:t>
      </w:r>
    </w:p>
    <w:p w14:paraId="6A83EB9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4）未经总监理工程师审查同意而实施的工程变更，项目监理机构不得予以计量。</w:t>
      </w:r>
    </w:p>
    <w:p w14:paraId="2CB6A2B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 监理人必须按月度提交项目造价变更统计表给委托人。</w:t>
      </w:r>
    </w:p>
    <w:p w14:paraId="4D31FE7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）工程签证的管理</w:t>
      </w:r>
    </w:p>
    <w:p w14:paraId="45068A0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按委托人工程签证管理的相关规定对工程的现场签证进行管理，因监理人把关不严，致使该部分工程签证所发生的费用超过合理费用的（以政府主管部门审定价对照为准），由监理人按本合同专用条件第二十六条的有关约定承担违约责任。</w:t>
      </w:r>
    </w:p>
    <w:p w14:paraId="57277ACC">
      <w:pPr>
        <w:adjustRightInd w:val="0"/>
        <w:snapToGrid w:val="0"/>
        <w:spacing w:line="360" w:lineRule="auto"/>
        <w:ind w:firstLine="413" w:firstLineChars="196"/>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.3工程进度控制工作</w:t>
      </w:r>
    </w:p>
    <w:p w14:paraId="60F1F7C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）项目监理机构应按下列程序进行工程进度控制：</w:t>
      </w:r>
    </w:p>
    <w:p w14:paraId="695C75A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1）总监理工程师审批承包人报送的施工总进度计划；</w:t>
      </w:r>
    </w:p>
    <w:p w14:paraId="1BD1FBC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2）总监理工程师审批承包人编制的年、季、月度施工进度计划；</w:t>
      </w:r>
    </w:p>
    <w:p w14:paraId="0FEDFCE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3）专业监理工程师对进度计划实施情况检查、分析；</w:t>
      </w:r>
    </w:p>
    <w:p w14:paraId="2E1ACF7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4）当实际进度符合计划进度时，应要求承包人编制下一期进度计划；当实际进度滞后于计划进度时，专业监理工程师应书面通知承包人采取纠偏措施并监督实施。</w:t>
      </w:r>
    </w:p>
    <w:p w14:paraId="121216A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）专业监理工程师应依据施工合同有关条款、施工图及经过批准的施工组织设计制定进度控制方案，对进度目标进行风险分析，制定防范性对策，经总监理工程师审定后报送委托人。</w:t>
      </w:r>
    </w:p>
    <w:p w14:paraId="4CA331A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）专业监理工程师应检查进度计划的实施，并记录实际进度及其相关情况。</w:t>
      </w:r>
    </w:p>
    <w:p w14:paraId="1472FF8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）施工阶段的工程进度控制中的其他监理工作</w:t>
      </w:r>
    </w:p>
    <w:p w14:paraId="20D7C7E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当发现实际进度滞后于计划进度时，应签发监理工程师通知单指令承包人采取调整措施。当实际进度严重滞后于计划进度时应及时报总监理工程师，由总监理工程师与委托人商定采取进一步措施。</w:t>
      </w:r>
    </w:p>
    <w:p w14:paraId="10B01F1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总监理工程师应在监理月报中向委托人报告工程进度和所采取进度控制措施的执行情况，并提出合理预防由委托人原因导致的工程延期及其相关费用索赔的建议。</w:t>
      </w:r>
    </w:p>
    <w:p w14:paraId="00B9C5BB">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.4工程安全控制工作</w:t>
      </w:r>
    </w:p>
    <w:p w14:paraId="067840C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）工程安全控制应遵循下列程序：</w:t>
      </w:r>
    </w:p>
    <w:p w14:paraId="0B65396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1）确定施工安全目标。</w:t>
      </w:r>
    </w:p>
    <w:p w14:paraId="3A7F547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2）编制工程安全保证计划。</w:t>
      </w:r>
    </w:p>
    <w:p w14:paraId="4D7CEDB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3）实施工程安全计划。</w:t>
      </w:r>
    </w:p>
    <w:p w14:paraId="4DECEC6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4）工程安全保证计划验证。</w:t>
      </w:r>
    </w:p>
    <w:p w14:paraId="49AA774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5）持续改进。</w:t>
      </w:r>
    </w:p>
    <w:p w14:paraId="729B6F9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）编制安全监理实施细则，对施工中人的不安全行为，物的不安全状态，作业环境的不安全因素和管理缺陷进行相应的安全控制。</w:t>
      </w:r>
    </w:p>
    <w:p w14:paraId="13A85CF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）检查项目施工安全目标的要求配置的资源是否满足需要。</w:t>
      </w:r>
    </w:p>
    <w:p w14:paraId="747768E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）要求承包人对结构复杂、施工难度大、专业性强的项目和达到一定规模的危险性较大的分部分项工程编制专项施工方案，必要时，组织专家进行论证、审查：</w:t>
      </w:r>
    </w:p>
    <w:p w14:paraId="75345EC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1）基坑支护及降水工程；</w:t>
      </w:r>
    </w:p>
    <w:p w14:paraId="5764E9B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2）土方开挖工程；</w:t>
      </w:r>
    </w:p>
    <w:p w14:paraId="264EF8A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3）模板工程；</w:t>
      </w:r>
    </w:p>
    <w:p w14:paraId="75DD14D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4）起重吊装工程；</w:t>
      </w:r>
    </w:p>
    <w:p w14:paraId="3125613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5）脚手架工程；</w:t>
      </w:r>
    </w:p>
    <w:p w14:paraId="1194FA0F">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6）拆除、爆破工程；</w:t>
      </w:r>
    </w:p>
    <w:p w14:paraId="7795E9A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7）其他危险性较大的工程。</w:t>
      </w:r>
    </w:p>
    <w:p w14:paraId="2011C07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）定期组织安全控制计划的执行情况并进行检查考核和评价，对施工中存在的不安全行为和隐患，分析原因并制定相应整改防范措施。</w:t>
      </w:r>
    </w:p>
    <w:p w14:paraId="55ABA38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）采取随机抽样、现场观察、实地检测相结合的方法进行安全检查，并记录检测结果。对现场管理人员的违章指挥和操作人员的违章作业行为应进行纠正。</w:t>
      </w:r>
    </w:p>
    <w:p w14:paraId="139E94C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）对检查结果进行分析，找出安全隐患部位，确定危险程度。</w:t>
      </w:r>
    </w:p>
    <w:p w14:paraId="7A5B70A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）对检查出的隐患立即发出安全隐患整改通知单。受检单位应对安全隐患原因进行分析，制定和落实纠正和预防措施。</w:t>
      </w:r>
    </w:p>
    <w:p w14:paraId="4C60AC0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）对纠正预防措施的实施过程和实施效果应进行跟踪检查，保存验证记录。</w:t>
      </w:r>
    </w:p>
    <w:p w14:paraId="7183074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）安全质量事故的处理</w:t>
      </w:r>
    </w:p>
    <w:p w14:paraId="5985908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对于发生的安全质量事故，监理人及时的向委托人及政府相关部门报告，同时应积极保护事故现场，收集相关的原始资料。监理人在调查事故情况并分析原因、责任后，应</w:t>
      </w:r>
      <w:r>
        <w:rPr>
          <w:rFonts w:hint="eastAsia" w:ascii="宋体" w:hAnsi="宋体" w:cs="宋体"/>
          <w:snapToGrid w:val="0"/>
          <w:color w:val="auto"/>
          <w:kern w:val="0"/>
          <w:szCs w:val="21"/>
          <w:highlight w:val="none"/>
          <w:u w:val="single"/>
          <w:lang w:bidi="ar"/>
        </w:rPr>
        <w:t>提交</w:t>
      </w:r>
      <w:r>
        <w:rPr>
          <w:rFonts w:hint="eastAsia" w:ascii="宋体" w:hAnsi="宋体" w:cs="宋体"/>
          <w:snapToGrid w:val="0"/>
          <w:color w:val="auto"/>
          <w:kern w:val="0"/>
          <w:szCs w:val="21"/>
          <w:highlight w:val="none"/>
          <w:lang w:bidi="ar"/>
        </w:rPr>
        <w:t>事故调查</w:t>
      </w:r>
      <w:r>
        <w:rPr>
          <w:rFonts w:hint="eastAsia" w:ascii="宋体" w:hAnsi="宋体" w:cs="宋体"/>
          <w:snapToGrid w:val="0"/>
          <w:color w:val="auto"/>
          <w:kern w:val="0"/>
          <w:szCs w:val="21"/>
          <w:highlight w:val="none"/>
          <w:u w:val="single"/>
          <w:lang w:bidi="ar"/>
        </w:rPr>
        <w:t>分析</w:t>
      </w:r>
      <w:r>
        <w:rPr>
          <w:rFonts w:hint="eastAsia" w:ascii="宋体" w:hAnsi="宋体" w:cs="宋体"/>
          <w:snapToGrid w:val="0"/>
          <w:color w:val="auto"/>
          <w:kern w:val="0"/>
          <w:szCs w:val="21"/>
          <w:highlight w:val="none"/>
          <w:lang w:bidi="ar"/>
        </w:rPr>
        <w:t>报告提交委托人及政府相关部门。监理人同时应提交相应的防范措施以防止同类事故再次发生。</w:t>
      </w:r>
    </w:p>
    <w:p w14:paraId="5719A40E">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.5工程材料设备控制工作</w:t>
      </w:r>
    </w:p>
    <w:p w14:paraId="66F325A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）甲供材料设备的管理</w:t>
      </w:r>
    </w:p>
    <w:p w14:paraId="78EEAE4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1）审核施工单位编制的机电设备安装、调试、验收计划。</w:t>
      </w:r>
    </w:p>
    <w:p w14:paraId="1FA7A15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2）主持施工图交底审查会。</w:t>
      </w:r>
    </w:p>
    <w:p w14:paraId="5A6F8C9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3）检查施工单位为设备提供运输所需通道和卸货作业场地及设备仓库或符合要求的材料堆放场地的落实情况。</w:t>
      </w:r>
    </w:p>
    <w:p w14:paraId="0FB2784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4）参加设备的到货验收、开箱检验，并签署相关文件。</w:t>
      </w:r>
    </w:p>
    <w:p w14:paraId="66AC834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5）负责机电设备安装、调试、验收过程中的质量、安全、进度控制。</w:t>
      </w:r>
    </w:p>
    <w:p w14:paraId="35728F1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）甲招乙供材料设备的管理</w:t>
      </w:r>
    </w:p>
    <w:p w14:paraId="54A7927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1）协助委托人针对甲招乙供材料设备开展的公开招标活动。</w:t>
      </w:r>
    </w:p>
    <w:p w14:paraId="3C18004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2）督促并审核施工单位签订材料设备供货合同及合同款的支付情况。</w:t>
      </w:r>
    </w:p>
    <w:p w14:paraId="1D2DFB1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3）审核并批准施工单位编制的材料设备生产和到货进度计划。</w:t>
      </w:r>
    </w:p>
    <w:p w14:paraId="531675A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4）审核施工单位编制的机电设备安装、调试、验收计划。</w:t>
      </w:r>
    </w:p>
    <w:p w14:paraId="7F6D250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5）检查施工单位为设备提供运输所需通道和卸货作业场地及设备仓库或符合要求的材料堆放场地的落实情况。</w:t>
      </w:r>
    </w:p>
    <w:p w14:paraId="7BAE960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6）参加设备的到货验收、开箱检验，并签署相关文件。</w:t>
      </w:r>
    </w:p>
    <w:p w14:paraId="6C221F6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7）负责机电设备安装、调试、验收过程中的投资、质量、进度控制。</w:t>
      </w:r>
    </w:p>
    <w:p w14:paraId="2EF1597E">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8）审核施工单位提供的材料设备的结算资料。</w:t>
      </w:r>
    </w:p>
    <w:p w14:paraId="58BB81D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）甲管乙供材料设备的管理</w:t>
      </w:r>
    </w:p>
    <w:p w14:paraId="2B82815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1)协助委托人针对甲管乙供材料设备的公开择优竞价活动。</w:t>
      </w:r>
    </w:p>
    <w:p w14:paraId="0A79BEF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2）督促并审核施工单位签订材料设备供货合同及合同款的支付情况。</w:t>
      </w:r>
    </w:p>
    <w:p w14:paraId="3B98006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3）审核施工单位提供的材料设备数量。</w:t>
      </w:r>
    </w:p>
    <w:p w14:paraId="61CE573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4）审核并批准施工单位编制的材料设备生产和到货进度计划。</w:t>
      </w:r>
    </w:p>
    <w:p w14:paraId="0133311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5）监督检查施工单位对材料设备生产的质量控制。</w:t>
      </w:r>
    </w:p>
    <w:p w14:paraId="078BF3F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6）参加出厂验收。</w:t>
      </w:r>
    </w:p>
    <w:p w14:paraId="439CEC4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7）审核施工单位编制的材料设备安装、调试、验收计划。</w:t>
      </w:r>
    </w:p>
    <w:p w14:paraId="17F34E9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8）主持施工图交底审查会。</w:t>
      </w:r>
    </w:p>
    <w:p w14:paraId="6A46D94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9）检查施工单位为材料设备提供运输所需通道和卸货作业场地及材料设备仓库或符合要求的材料堆放场地的落实情况。</w:t>
      </w:r>
    </w:p>
    <w:p w14:paraId="0BEC766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10）参加材料设备的到货验收、开箱检验，并签署相关文件。</w:t>
      </w:r>
    </w:p>
    <w:p w14:paraId="3706354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11）负责材料设备安装、调试、验收过程中的投资、质量、进度控制。</w:t>
      </w:r>
    </w:p>
    <w:p w14:paraId="3AD2A6F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12）审核施工单位提供的材料设备的结算资料。</w:t>
      </w:r>
    </w:p>
    <w:p w14:paraId="6DAC7CA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13）检查质量保证期工作。</w:t>
      </w:r>
    </w:p>
    <w:p w14:paraId="3CFB093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）乙供材料设备的管理</w:t>
      </w:r>
    </w:p>
    <w:p w14:paraId="76A2A36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1）审核工程总体材料设备使用计划和月度材料设备分批使用计划。</w:t>
      </w:r>
    </w:p>
    <w:p w14:paraId="72631BC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2）审核施工单位选定的材料设备合格供货商并对样品进行封存。</w:t>
      </w:r>
    </w:p>
    <w:p w14:paraId="0896962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3）督促并审核施工单位签订材料设备供货合同。</w:t>
      </w:r>
    </w:p>
    <w:p w14:paraId="3C7A3DD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4）组织施工单位拟定准确的材料设备进场计划，及时进行材料设备的采购及供货。</w:t>
      </w:r>
    </w:p>
    <w:p w14:paraId="6C714D4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5）组织施工单位认真清点到货材料设备，在安装材料设备过程中及安装后应进行监督、检验，把好质量关。</w:t>
      </w:r>
    </w:p>
    <w:p w14:paraId="574605C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6）对施工单位所定材料设备规格、型号、数量、质量必须严格把关，发现货不对板情况应及时向委托人汇报。</w:t>
      </w:r>
    </w:p>
    <w:p w14:paraId="00AFDF7F">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7）负责材料设备安装、调试、验收过程中的投资、质量、进度控制。</w:t>
      </w:r>
    </w:p>
    <w:p w14:paraId="608ED28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8）审核施工单位提供的材料设备的结算资料。</w:t>
      </w:r>
    </w:p>
    <w:p w14:paraId="4604059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9）检查质量保证期工作。</w:t>
      </w:r>
    </w:p>
    <w:p w14:paraId="3B91E01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）建筑装饰材料的管理</w:t>
      </w:r>
    </w:p>
    <w:p w14:paraId="1BFEDD1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1）协助委托人进行材料管理及采购策划。</w:t>
      </w:r>
    </w:p>
    <w:p w14:paraId="6BA8DB6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2）协助委托人选定合格材料供货商。</w:t>
      </w:r>
    </w:p>
    <w:p w14:paraId="10B3F9B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3）协助并督促施工单位签订材料供货合同。</w:t>
      </w:r>
    </w:p>
    <w:p w14:paraId="43AB5B7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4）督促施工单位拟定准确的分批次订货计划，及时进行材料的采购及供货。</w:t>
      </w:r>
    </w:p>
    <w:p w14:paraId="76EFD71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5）对材料到货、施工过程中及施工后进行监督、检验，把好材料质量关。</w:t>
      </w:r>
    </w:p>
    <w:p w14:paraId="2ACF64A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6）对材料变更费用进行预测及审核，提出专业意见及建议。</w:t>
      </w:r>
    </w:p>
    <w:p w14:paraId="6692BE3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7）负责供货单位与施工单位的协调。</w:t>
      </w:r>
    </w:p>
    <w:p w14:paraId="7A53365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材料设备采购监理资料</w:t>
      </w:r>
    </w:p>
    <w:p w14:paraId="6228296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应包括以下内容：</w:t>
      </w:r>
    </w:p>
    <w:p w14:paraId="14C6B1F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a.委托监理合同；</w:t>
      </w:r>
    </w:p>
    <w:p w14:paraId="1918EBE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b.设备采购方案计划；</w:t>
      </w:r>
    </w:p>
    <w:p w14:paraId="0D97D26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c.设计图纸和文件；</w:t>
      </w:r>
    </w:p>
    <w:p w14:paraId="1838FA2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d.市场调查、考察报告；</w:t>
      </w:r>
    </w:p>
    <w:p w14:paraId="5207560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e.设备采购招投标文件；</w:t>
      </w:r>
    </w:p>
    <w:p w14:paraId="2259D74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f.设备采购订货合同；</w:t>
      </w:r>
    </w:p>
    <w:p w14:paraId="3556BBC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g.设备采购监理工作总结。</w:t>
      </w:r>
    </w:p>
    <w:p w14:paraId="327DD3E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）施工阶段材料设备控制中的其它监理工作</w:t>
      </w:r>
    </w:p>
    <w:p w14:paraId="19D7198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1）根据委托人的委托实施设备监造工作。</w:t>
      </w:r>
    </w:p>
    <w:p w14:paraId="60BA911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a）监理人应根据设备监造阶段的监理工作内容，成立由总监理工程师和专业监理工程师组成的项目监理机构。项目监理机构应进驻设备制造现场。</w:t>
      </w:r>
    </w:p>
    <w:p w14:paraId="1A10F0B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3475D64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c）总监理工程师应组织专业监理工程师编制设备监造规划，经监理人技术负责人审核批准后，在设备制造开始前十日内报送委托人。</w:t>
      </w:r>
    </w:p>
    <w:p w14:paraId="583619D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d）总监理工程师应审查设备制造单位报送的设备制造生产计划和工艺方案，提出审查意见，符合要求后予以批准，并报委托人。</w:t>
      </w:r>
    </w:p>
    <w:p w14:paraId="4BD7AE4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e）总监理工程师应审核设备制造分包单位的资质情况、实际生产能力和质量保证体系，符合要求后予以确认。</w:t>
      </w:r>
    </w:p>
    <w:p w14:paraId="750F5D6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f）专业监理工程师应审查设备制造的检验计划和检验要求，确认各阶段的检验时间、内容、方法、标准以及检测手段、检测设备和仪器。</w:t>
      </w:r>
    </w:p>
    <w:p w14:paraId="4F30004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g）专业监理工程师必须对设备制造过程中拟采用的新技术、新材料、新工艺的鉴定书和试验报告进行审核，并签署意见。</w:t>
      </w:r>
    </w:p>
    <w:p w14:paraId="07AAEEB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h）专业监理工程师应审查主要及关键零件的生产工艺设备、操作规程和相关生产人员的上岗资格，并对设备制造和装配场所的环境进行检查。</w:t>
      </w:r>
    </w:p>
    <w:p w14:paraId="2A3C597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i）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F8B305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j）专业监理工程师应对设备制造过程进行监督和检查，对主要及关键零部件的制造工序应进行抽检或检验。</w:t>
      </w:r>
    </w:p>
    <w:p w14:paraId="46257D0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k）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636EB43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l）专业监理工程师应检查和监督设备的装配过程，符合要求后予以签认。</w:t>
      </w:r>
    </w:p>
    <w:p w14:paraId="09A8400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m）在设备制造过程中如需要对设备的原设计进行变更，专业监理工程师应审核设计变更，并审查因变更引起的费用增减和制造工期的变化。</w:t>
      </w:r>
    </w:p>
    <w:p w14:paraId="13A0207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n）总监理工程师应组织专业监理工程师参加设备制造过程中的调试、整机性能检测和验证，符合要求后予以签认。</w:t>
      </w:r>
    </w:p>
    <w:p w14:paraId="1133A21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o）在设备运往现场前，专业监理工程师应检查设备制造单位对待运设备采取的防护和包装措施，并应检查是否符合运输、装卸、储存、安装的要求，以及相关的随机文件、装箱单和附件是否齐全。</w:t>
      </w:r>
    </w:p>
    <w:p w14:paraId="3091AAC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p）设备全部运到现场后，总监理工程师应组织专业监理工程师参加由设备制造单位按合同规定与安装单位的交接工作，开箱清点、检查、验收、移交。</w:t>
      </w:r>
    </w:p>
    <w:p w14:paraId="73D4D7A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q）专业监理工程师应按设备采购合同的规定审核设备制造单位提交的进度付款单，提出审核意见，由总监理工程师复核后报委托人。</w:t>
      </w:r>
    </w:p>
    <w:p w14:paraId="73CB048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r）专业监理工程师应审查委托人或设备制造单位提出的索赔文件，提出意见后报总监理工程师，由总监理工程师与委托人、设备制造单位进行协商，并提出审核报告。</w:t>
      </w:r>
    </w:p>
    <w:p w14:paraId="064D285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s）专业监理工程师应审核设备制造单位报送的设备制造结算文件，并提出审核意见，报总监理工程师审核，由总监理工程师与委托人、设备制造单位进行协商，并提出审核报告。</w:t>
      </w:r>
    </w:p>
    <w:p w14:paraId="62F1CE2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t）在设备监造工作结束后，总监理工程师应组织编写设备监造工作总结。</w:t>
      </w:r>
    </w:p>
    <w:p w14:paraId="71572A8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2）根据委托人委托的设备监造工作提交相关的监理资料</w:t>
      </w:r>
    </w:p>
    <w:p w14:paraId="0B0F595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应包括以下内容：</w:t>
      </w:r>
    </w:p>
    <w:p w14:paraId="3A67A64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a.设备采购合同及委托监理合同；</w:t>
      </w:r>
    </w:p>
    <w:p w14:paraId="6AF330C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b.设备监造规划；</w:t>
      </w:r>
    </w:p>
    <w:p w14:paraId="6B53453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c.设备制造的生产计划和工艺方案；</w:t>
      </w:r>
    </w:p>
    <w:p w14:paraId="7F8C78F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d.设备制造的检验计划和检验要求；</w:t>
      </w:r>
    </w:p>
    <w:p w14:paraId="01EBFF3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e.分包单位资格报审表；</w:t>
      </w:r>
    </w:p>
    <w:p w14:paraId="1ECC0C1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f.原材料、零配件等的质量证明文件和检验报告；</w:t>
      </w:r>
    </w:p>
    <w:p w14:paraId="4CA249C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g.开工／复工报审表、暂停令；</w:t>
      </w:r>
    </w:p>
    <w:p w14:paraId="63B0D20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h.检验记录及试验报告；</w:t>
      </w:r>
    </w:p>
    <w:p w14:paraId="39554B5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i.报验申请表；</w:t>
      </w:r>
    </w:p>
    <w:p w14:paraId="3A46DE1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j.设计变更文件；</w:t>
      </w:r>
    </w:p>
    <w:p w14:paraId="00273E5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k.会议纪要；</w:t>
      </w:r>
    </w:p>
    <w:p w14:paraId="04C68C8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l.来往文件；</w:t>
      </w:r>
    </w:p>
    <w:p w14:paraId="7EB1E51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m.监理日记；</w:t>
      </w:r>
    </w:p>
    <w:p w14:paraId="5744715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n.监理工程师通知单；</w:t>
      </w:r>
    </w:p>
    <w:p w14:paraId="362BBF9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o.监理工作联系单；</w:t>
      </w:r>
    </w:p>
    <w:p w14:paraId="66D53EE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p.监理月报；</w:t>
      </w:r>
    </w:p>
    <w:p w14:paraId="753CF7B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q.质量事故处理文件；</w:t>
      </w:r>
    </w:p>
    <w:p w14:paraId="23F5EDA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r.设备制造索赔文件；</w:t>
      </w:r>
    </w:p>
    <w:p w14:paraId="57247E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s.设备验收文件；</w:t>
      </w:r>
    </w:p>
    <w:p w14:paraId="2B23D84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t.设备交接文件；</w:t>
      </w:r>
    </w:p>
    <w:p w14:paraId="301BC15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u.支付证书和设备制造结算审核文件；</w:t>
      </w:r>
    </w:p>
    <w:p w14:paraId="0D70BD4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v.设备监造工作总结。</w:t>
      </w:r>
    </w:p>
    <w:p w14:paraId="2B5F7344">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.6工程</w:t>
      </w:r>
      <w:r>
        <w:rPr>
          <w:rFonts w:hint="eastAsia" w:ascii="宋体" w:hAnsi="宋体" w:cs="宋体"/>
          <w:b/>
          <w:bCs/>
          <w:color w:val="auto"/>
          <w:kern w:val="0"/>
          <w:szCs w:val="21"/>
          <w:highlight w:val="none"/>
          <w:lang w:bidi="ar"/>
        </w:rPr>
        <w:t>合同管理工作</w:t>
      </w:r>
    </w:p>
    <w:p w14:paraId="0786285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）建立合同实施的保证体系，使工程项目的全部合同事件处于控制中，保证合同目标的实现。</w:t>
      </w:r>
    </w:p>
    <w:p w14:paraId="79503CE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建立合同管理文档系统。应建立与相适应的编码系统和文档系统，将各种合同资料能方便的进行保存与查询。</w:t>
      </w:r>
      <w:r>
        <w:rPr>
          <w:rFonts w:hint="eastAsia" w:ascii="宋体" w:hAnsi="宋体" w:cs="宋体"/>
          <w:color w:val="auto"/>
          <w:kern w:val="0"/>
          <w:szCs w:val="21"/>
          <w:highlight w:val="none"/>
          <w:lang w:bidi="ar"/>
        </w:rPr>
        <w:t xml:space="preserve"> </w:t>
      </w:r>
    </w:p>
    <w:p w14:paraId="36352E0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建立合同文件沟通方式。承包人和委托人、监理工程师、分包人之间的有关合同的文件沟通都应以书面形式进行。</w:t>
      </w:r>
    </w:p>
    <w:p w14:paraId="61C040E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合同实施监督：监督总承包人、分包人严格执行合同，并做好各分包人的协调和管理工作。同时也应督促委托人执行其合同责任，以保证工程顺利进行。</w:t>
      </w:r>
    </w:p>
    <w:p w14:paraId="5522701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合同跟踪和诊断</w:t>
      </w:r>
    </w:p>
    <w:p w14:paraId="5402CF0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1）全面收集并分析合同实施的信息与工程资料，将合同实施情况与合同分析资料进行对比分析，找出其中的偏离。</w:t>
      </w:r>
    </w:p>
    <w:p w14:paraId="6AA5672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2）对合同履行情况做出诊断。合同诊断包括：合同执行差异的原因分析、合同差异责任分析、合同实施趋向预测。及时通报合同实施情况及问题，提出合同实施方面的意见、建议、甚至警告。</w:t>
      </w:r>
    </w:p>
    <w:p w14:paraId="14C9850E">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3）对于发现的问题，及时采取对应的管理措施，防止问题的扩大和重复发生。</w:t>
      </w:r>
    </w:p>
    <w:p w14:paraId="580AB87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）严格合同变更管理，包括变更谈判、变更的处理程序，落实变更的措施，修改变更相关的资料，检查变更措施的落实情况。</w:t>
      </w:r>
      <w:r>
        <w:rPr>
          <w:rFonts w:hint="eastAsia" w:ascii="宋体" w:hAnsi="宋体" w:cs="宋体"/>
          <w:color w:val="auto"/>
          <w:kern w:val="0"/>
          <w:szCs w:val="21"/>
          <w:highlight w:val="none"/>
          <w:lang w:bidi="ar"/>
        </w:rPr>
        <w:t xml:space="preserve"> </w:t>
      </w:r>
    </w:p>
    <w:p w14:paraId="148FE58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1975700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8</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合同终止和后评价：合同按约定履行结束后，合同即告终止。及时进行合同后评价，总结合同签订和执行过程中的利弊得失、经验教训，作为改进以后工程合同管理工作的借鉴。</w:t>
      </w:r>
    </w:p>
    <w:p w14:paraId="34CBBE0E">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9</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合同后评估应包括如下内容：</w:t>
      </w:r>
    </w:p>
    <w:p w14:paraId="6DBD32C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1）合同签订情况评价。</w:t>
      </w:r>
    </w:p>
    <w:p w14:paraId="6ACA82F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2）合同执行情况评价。</w:t>
      </w:r>
    </w:p>
    <w:p w14:paraId="083C970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3）合同管理工作评价。</w:t>
      </w:r>
    </w:p>
    <w:p w14:paraId="7936459F">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4）对本项目有重大影响的合同条款的评价。</w:t>
      </w:r>
    </w:p>
    <w:p w14:paraId="111E209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）合同管理中的其他监理工作</w:t>
      </w:r>
    </w:p>
    <w:p w14:paraId="0545957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1）费用索赔的处理</w:t>
      </w:r>
    </w:p>
    <w:p w14:paraId="0D712FF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专业监理工程师应及时收集、整理有关的施工和监理资料，为处理可能发生的费用索赔提供证据。</w:t>
      </w:r>
    </w:p>
    <w:p w14:paraId="447D7D8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a）项目监理机构处理费用索赔应依据下列内容：</w:t>
      </w:r>
    </w:p>
    <w:p w14:paraId="6374380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国家有关的法律、法规和工程项目所在地的地方法规；</w:t>
      </w:r>
    </w:p>
    <w:p w14:paraId="1C774DE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本工程的施工合同文件；</w:t>
      </w:r>
    </w:p>
    <w:p w14:paraId="7E69351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国家、部门和地方有关的标准、规范和定额；</w:t>
      </w:r>
    </w:p>
    <w:p w14:paraId="67BF542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施工合同履行过程中与索赔事件有关的凭证。</w:t>
      </w:r>
    </w:p>
    <w:p w14:paraId="494C60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b）当承包人提出费用索赔的理由同时满足以下条件时，项目监理机构应予以受理：</w:t>
      </w:r>
    </w:p>
    <w:p w14:paraId="60A879E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索赔事件造成了承包人直接经济损失；</w:t>
      </w:r>
    </w:p>
    <w:p w14:paraId="20ED1F3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索赔事件是由于非承包人的责任发生的；</w:t>
      </w:r>
    </w:p>
    <w:p w14:paraId="07B165E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承包人已按照施工合同规定的期限和程序提出费用索赔申请表，并附有索赔凭证材料。</w:t>
      </w:r>
    </w:p>
    <w:p w14:paraId="5F52E78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c）承包人向委托人提出费用索赔，项目监理机构应按下列程序处理：</w:t>
      </w:r>
    </w:p>
    <w:p w14:paraId="5BB3BEC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承包人在施工合同规定的期限内向项目监理机构提交对委托人的费用索赔意向通知书；</w:t>
      </w:r>
    </w:p>
    <w:p w14:paraId="54642E2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总监理工程师指定专业监理工程师收集与索赔有关的资料；</w:t>
      </w:r>
    </w:p>
    <w:p w14:paraId="55B25F3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承包人在承包合同规定的期限内向项目监理机构提交对委托人的费用索赔申请表；</w:t>
      </w:r>
    </w:p>
    <w:p w14:paraId="482C860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总监理工程师初步审查费用索赔申请表，符合上述</w:t>
      </w:r>
      <w:r>
        <w:rPr>
          <w:rFonts w:hint="eastAsia" w:ascii="宋体" w:hAnsi="宋体" w:cs="宋体"/>
          <w:color w:val="auto"/>
          <w:kern w:val="0"/>
          <w:szCs w:val="21"/>
          <w:highlight w:val="none"/>
          <w:lang w:bidi="ar"/>
        </w:rPr>
        <w:t>b</w:t>
      </w:r>
      <w:r>
        <w:rPr>
          <w:rFonts w:hint="eastAsia" w:ascii="宋体" w:hAnsi="宋体" w:cs="宋体"/>
          <w:snapToGrid w:val="0"/>
          <w:color w:val="auto"/>
          <w:kern w:val="0"/>
          <w:szCs w:val="21"/>
          <w:highlight w:val="none"/>
          <w:lang w:bidi="ar"/>
        </w:rPr>
        <w:t>）款规定的条件时予以受理；</w:t>
      </w:r>
    </w:p>
    <w:p w14:paraId="7D13179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总监理工程师进行费用索赔审查，并在初步确定一个额度后，与承包人和委托人进行协商；</w:t>
      </w:r>
    </w:p>
    <w:p w14:paraId="6D2780A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⑥ 总监理工程师应在施工合同规定的期限内签署费用索赔审批表，或在施工合同规定的期限内发出要求承包人提交有关索赔报告的进一步详细资料的通知，待收到承包人提交的详细资料后，按上述的第④、⑤、⑥款的程序进行。</w:t>
      </w:r>
    </w:p>
    <w:p w14:paraId="3AFE74D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d）当承包人的费用索赔要求与工程延期要求相关联时，总监理工程师在作出费用索赔的批准决定时，应与工程延期的批准联系起来，综合作出费用索赔和工程延期的决定。</w:t>
      </w:r>
    </w:p>
    <w:p w14:paraId="229BC80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e）由于承包人的原因造成委托人的额外损失，委托人向承包人提出费用索赔时，总监理工程师在审查索赔报告后，应公正地与委托人和承包人进行协商，并及时作出答复。</w:t>
      </w:r>
    </w:p>
    <w:p w14:paraId="2BA4F42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2）合同争议的调解</w:t>
      </w:r>
    </w:p>
    <w:p w14:paraId="0B19D0D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a）项目监理机构接到合同争议的调解要求后应进行以下工作：</w:t>
      </w:r>
    </w:p>
    <w:p w14:paraId="341662F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及时了解合同争议的全部情况，包括进行调查和取证；</w:t>
      </w:r>
    </w:p>
    <w:p w14:paraId="6B4EED8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及时与合同争议的双方进行磋商；</w:t>
      </w:r>
    </w:p>
    <w:p w14:paraId="036B490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在项目监理机构提出调解方案后，由总监理工程师进行争议调解；</w:t>
      </w:r>
    </w:p>
    <w:p w14:paraId="5129F16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当调解未能达成一致时，总监理工程师应在施工合同规定的期限内提出处理该合同争议的意见；</w:t>
      </w:r>
    </w:p>
    <w:p w14:paraId="0191B82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在争议调解过程中，除已达到了施工合同规定的暂停履行合同的条件之外，项目监理机构应要求施工合同的双方继续履行施工合同。</w:t>
      </w:r>
    </w:p>
    <w:p w14:paraId="19E1F65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b）在总监理工程师签发合同争议处理意见后，委托人或承包人在施工合同规定的期限内未对合同争议处理决定提出异议，在符合施工合同的前提下，此意见应成为最后的决定，双方必须执行。</w:t>
      </w:r>
    </w:p>
    <w:p w14:paraId="5D500B6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c）在合同争议的仲裁或诉讼过程中，项目监理机构接到仲裁机关或法院要求提供有关证据的通知后，应公正地向仲裁机关或法院提供与争议有关的证据。</w:t>
      </w:r>
    </w:p>
    <w:p w14:paraId="5C5B364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3）合同解除的相关工作</w:t>
      </w:r>
    </w:p>
    <w:p w14:paraId="368C430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a）施工合同的解除必须符合法律程序。</w:t>
      </w:r>
    </w:p>
    <w:p w14:paraId="786E56E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b）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06ADF14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承包人已完成的工程量表中所列的各项工作所应得的款项；</w:t>
      </w:r>
    </w:p>
    <w:p w14:paraId="6B4396E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按批准的采购计划订购工程材料、设备、构配件的款项；</w:t>
      </w:r>
    </w:p>
    <w:p w14:paraId="577DAC9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承包人撤离施工设备至原基地或其他目的地的合理费用；</w:t>
      </w:r>
    </w:p>
    <w:p w14:paraId="03A7E1C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承包人所有人员的合理遣返费用；</w:t>
      </w:r>
    </w:p>
    <w:p w14:paraId="1F3C94B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合理的利润补偿；</w:t>
      </w:r>
    </w:p>
    <w:p w14:paraId="649A859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⑥ 施工合同规定的委托人应支付的违约金。</w:t>
      </w:r>
    </w:p>
    <w:p w14:paraId="63F6F5B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c）由于承包人违约导致施工合同终止后，项目监理机构应按下列程序清理承包人的应得款项，或偿还委托人的相关款项，并书面通知委托人和承包人：</w:t>
      </w:r>
    </w:p>
    <w:p w14:paraId="7E953D8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施工合同终止时，清理承包人已按施工合同规定实际完成的工作所应得的款项和已经得到支付的款项；</w:t>
      </w:r>
    </w:p>
    <w:p w14:paraId="1D5686E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施工现场余留的材料、设备及临时工程的价值；</w:t>
      </w:r>
    </w:p>
    <w:p w14:paraId="601A4CF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对已完工程进行检查和验收、移交工程资料、该部分工程的清理、质量缺陷修复等所需的费用；</w:t>
      </w:r>
    </w:p>
    <w:p w14:paraId="601A72B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施工合同规定的承包人应支付的违约金；</w:t>
      </w:r>
    </w:p>
    <w:p w14:paraId="0E1B736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总监理工程师按照施工合同的规定，在与委托人和承包人协商后，书面提交承包人应得款项或偿还委托人款项的证明。</w:t>
      </w:r>
    </w:p>
    <w:p w14:paraId="48B7F40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d）由于不可抗力或非委托人、承包人原因导致施工合同终止时，项目监理机构应按施工合同规定处理合同解除后的有关事宜。</w:t>
      </w:r>
    </w:p>
    <w:p w14:paraId="4179F8CD">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.7工程</w:t>
      </w:r>
      <w:r>
        <w:rPr>
          <w:rFonts w:hint="eastAsia" w:ascii="宋体" w:hAnsi="宋体" w:cs="宋体"/>
          <w:b/>
          <w:bCs/>
          <w:color w:val="auto"/>
          <w:kern w:val="0"/>
          <w:szCs w:val="21"/>
          <w:highlight w:val="none"/>
          <w:lang w:bidi="ar"/>
        </w:rPr>
        <w:t>信息管理工作</w:t>
      </w:r>
    </w:p>
    <w:p w14:paraId="2C83414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2CD4660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1）有关政策文件、法规、技术规范、质量标准等。</w:t>
      </w:r>
    </w:p>
    <w:p w14:paraId="565111A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2）设计及有关批准文件、图纸会审记录、设计变更设计文件等。</w:t>
      </w:r>
    </w:p>
    <w:p w14:paraId="4F73782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3）招投标文件、工程建设合同、协议、补充协议等。</w:t>
      </w:r>
    </w:p>
    <w:p w14:paraId="144853F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4）与委托人、承包人及工程有关单位之间的往来文件。</w:t>
      </w:r>
    </w:p>
    <w:p w14:paraId="335BC49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5）承包人施工组织设计、临时工程设计、方案等资料。</w:t>
      </w:r>
    </w:p>
    <w:p w14:paraId="3BD134A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6）各种材料报验、材料、构配件、机械设备的技术资料、检测、试验报告等资料。</w:t>
      </w:r>
    </w:p>
    <w:p w14:paraId="27F40BD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7）各种报验、验收、报告、报表、计量、支付、施工记录、现场签证、质量、进度状况记录等资料。</w:t>
      </w:r>
    </w:p>
    <w:p w14:paraId="1CFA83A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8）监理日记、巡查、旁站记录、工程照片、事故处理资料、关键的检查资料。</w:t>
      </w:r>
    </w:p>
    <w:p w14:paraId="0AEA588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9）监理通知、会议记要、备忘录、合同执行情况、监理月报、监理报告、总结、评估等。</w:t>
      </w:r>
    </w:p>
    <w:p w14:paraId="2FB792FB">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10）工序验收、检验批验收、分项验收、分部（或子分部）验收、中间验收、竣工验收资料。</w:t>
      </w:r>
    </w:p>
    <w:p w14:paraId="4805AFD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11）消防验收、防疫验收、环保验收、装修室内辐射</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空气等专项验收资料。</w:t>
      </w:r>
    </w:p>
    <w:p w14:paraId="1137E42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12）监理制度、规定与管理办法等内部文件。</w:t>
      </w:r>
    </w:p>
    <w:p w14:paraId="36FD275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13）安全、文明生产控制资料等。</w:t>
      </w:r>
    </w:p>
    <w:p w14:paraId="0474CFD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建立信息管理制度，严格信息采集、编排、查阅、归档保存的管理办法，由专人实施。监理资料的管理必须满足以下要求：</w:t>
      </w:r>
    </w:p>
    <w:p w14:paraId="5E86BFF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1）监理资料必须及时整理、真实完整、分类有序。</w:t>
      </w:r>
    </w:p>
    <w:p w14:paraId="3F44C8D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2）监理资料的管理应由总监理工程师负责，并指定专人具体实施。</w:t>
      </w:r>
    </w:p>
    <w:p w14:paraId="32B69B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3）监理资料应在各阶段监理工作结束后及时整理归档。</w:t>
      </w:r>
    </w:p>
    <w:p w14:paraId="70455A6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4）监理档案的编制及保存应按有关规定执行。</w:t>
      </w:r>
    </w:p>
    <w:p w14:paraId="077B17E4">
      <w:pPr>
        <w:keepNext/>
        <w:keepLines/>
        <w:tabs>
          <w:tab w:val="left" w:pos="540"/>
        </w:tabs>
        <w:spacing w:before="60" w:after="60" w:line="360" w:lineRule="auto"/>
        <w:ind w:left="1304" w:hanging="737"/>
        <w:jc w:val="left"/>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）计算机信息管理</w:t>
      </w:r>
    </w:p>
    <w:p w14:paraId="7C36AD1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6DEB25D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）对所收集的信息必须进行分析，确保其准确、全面、来源可靠，且要求为正式资料。</w:t>
      </w:r>
    </w:p>
    <w:p w14:paraId="1300A81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及时将采集到的信息进行筛选分类，分别通报给有关领导、职能部门和有关人员审阅和签署意见。</w:t>
      </w:r>
    </w:p>
    <w:p w14:paraId="1B0875A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建立主体数据库系统结构，及时对信息分类保存、要求列名事件、题目、来源、概要、经办人或其他基本情况。</w:t>
      </w:r>
    </w:p>
    <w:p w14:paraId="7D624C8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对信息资料收集和反馈进行跟踪，对信息进行动态管理。</w:t>
      </w:r>
    </w:p>
    <w:p w14:paraId="66366AB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8</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涉及国家机密或各单位商业秘密的信息资料保管工作应制订保密管理细则，防止机密泄漏，避免造成经济损失和政治影响。</w:t>
      </w:r>
    </w:p>
    <w:p w14:paraId="202CEF0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9</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有保留价值的信息，经请示有关领导后可以消除，但应做好登记。</w:t>
      </w:r>
    </w:p>
    <w:p w14:paraId="2DD5E0A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工程结束后，信息的保管与处理按有关规定进行整理存档、移交，并办理好移交签收手续。</w:t>
      </w:r>
    </w:p>
    <w:p w14:paraId="0A5F5CD5">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.8工程</w:t>
      </w:r>
      <w:r>
        <w:rPr>
          <w:rFonts w:hint="eastAsia" w:ascii="宋体" w:hAnsi="宋体" w:cs="宋体"/>
          <w:b/>
          <w:bCs/>
          <w:color w:val="auto"/>
          <w:kern w:val="0"/>
          <w:szCs w:val="21"/>
          <w:highlight w:val="none"/>
          <w:lang w:bidi="ar"/>
        </w:rPr>
        <w:t>项目沟通与协调</w:t>
      </w:r>
    </w:p>
    <w:p w14:paraId="06A893F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建立项目沟通与协调管理系统，健全各项制度，并本着“严格守法、遵守公德”的原则，以维护各相关方的利益为前提，应用先进、实用的方法和手段，有效解决项目实施过程中的问题。</w:t>
      </w:r>
    </w:p>
    <w:p w14:paraId="5A7260E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14:paraId="7ECBF7A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项目沟通管理计划明确沟通的具体内容、对象、方式、目标、责任人、完成时间、奖罚措施等，并定期或不定期地进行检查、考核和评价，确保沟通计划落到实处。</w:t>
      </w:r>
    </w:p>
    <w:p w14:paraId="3356E8F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056B510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定期组织召开建设单位、设计、监理、质监站、安监站、承包人参加的工地现场会，协调施工过程中出现的各种矛盾和问题，会前一日，就质量、安全</w:t>
      </w:r>
      <w:r>
        <w:rPr>
          <w:rFonts w:hint="eastAsia" w:ascii="宋体" w:hAnsi="宋体" w:cs="宋体"/>
          <w:snapToGrid w:val="0"/>
          <w:color w:val="auto"/>
          <w:kern w:val="0"/>
          <w:szCs w:val="21"/>
          <w:highlight w:val="none"/>
          <w:u w:val="single"/>
          <w:lang w:bidi="ar"/>
        </w:rPr>
        <w:t>、</w:t>
      </w:r>
      <w:r>
        <w:rPr>
          <w:rFonts w:hint="eastAsia" w:ascii="宋体" w:hAnsi="宋体" w:cs="宋体"/>
          <w:snapToGrid w:val="0"/>
          <w:color w:val="auto"/>
          <w:kern w:val="0"/>
          <w:szCs w:val="21"/>
          <w:highlight w:val="none"/>
          <w:lang w:bidi="ar"/>
        </w:rPr>
        <w:t>进度、资金、技术、材料等需要协调的问题等议题征求意见，分送有关单位，以便会前做好充分准备，会后写出会议纪要发与会各单位，并督促执行。</w:t>
      </w:r>
    </w:p>
    <w:p w14:paraId="2BC16A1E">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妥善处理各分项工程之间的施工配合，要求各承包人提出需要配合的问题，如施工场地的要求、施工用水、用电、交叉作业的相互影响，施工收口处理、建筑成品保护要求及需要采取的配合措施等。</w:t>
      </w:r>
    </w:p>
    <w:p w14:paraId="5310EB4F">
      <w:pPr>
        <w:adjustRightInd w:val="0"/>
        <w:snapToGrid w:val="0"/>
        <w:spacing w:line="360" w:lineRule="auto"/>
        <w:ind w:firstLine="413" w:firstLineChars="196"/>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.9 环境管理工作</w:t>
      </w:r>
    </w:p>
    <w:p w14:paraId="31C7C26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监理人应对施工过程中影响环境的活动进行监督管理，以满足相关的法律法规对环境保护的要求。监理人环境管理工作的主要工作内容如下：</w:t>
      </w:r>
    </w:p>
    <w:p w14:paraId="09365340">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）制定相关的监督检查工作的程序及制度提交委托人及政府相关部门核准；</w:t>
      </w:r>
    </w:p>
    <w:p w14:paraId="120F2769">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　　（</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）根据相关的法律、法规、制度及程序等，对工程建设过程中污染环境、破坏生态的行为进行监督管理，如噪声、废气、污水等污染物排放应达标、减少水土流失和生态环境破坏；</w:t>
      </w:r>
    </w:p>
    <w:p w14:paraId="1917A1A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）对配套的环保工程进行施工监理，如对水处理设施、声屏障、绿化工程、水源保护区的保护等进行监理。</w:t>
      </w:r>
    </w:p>
    <w:p w14:paraId="4807E3E9">
      <w:pPr>
        <w:adjustRightInd w:val="0"/>
        <w:snapToGrid w:val="0"/>
        <w:spacing w:line="360" w:lineRule="auto"/>
        <w:ind w:firstLine="422" w:firstLineChars="200"/>
        <w:rPr>
          <w:rFonts w:hint="eastAsia" w:ascii="宋体" w:hAnsi="宋体" w:cs="宋体"/>
          <w:bCs/>
          <w:snapToGrid w:val="0"/>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.10提交监理周报、月报</w:t>
      </w:r>
    </w:p>
    <w:p w14:paraId="5284502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月报应包括以下内容：</w:t>
      </w:r>
    </w:p>
    <w:p w14:paraId="6638B49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月工程概况；</w:t>
      </w:r>
    </w:p>
    <w:p w14:paraId="3699FC2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月工程形象进度；</w:t>
      </w:r>
    </w:p>
    <w:p w14:paraId="1E0B369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）工程进度：</w:t>
      </w:r>
    </w:p>
    <w:p w14:paraId="184A57F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月实际完成情况与计划进度比较；</w:t>
      </w:r>
    </w:p>
    <w:p w14:paraId="7CAA6A8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2)对进度完成情况及采取措施效果的分析。</w:t>
      </w:r>
    </w:p>
    <w:p w14:paraId="637048F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）工程质量：</w:t>
      </w:r>
    </w:p>
    <w:p w14:paraId="67032A3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月工程质量情况分析；</w:t>
      </w:r>
    </w:p>
    <w:p w14:paraId="58A219C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月采取的工程质量措施及效果。</w:t>
      </w:r>
    </w:p>
    <w:p w14:paraId="39B41AB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）工程计量与工程款支付：</w:t>
      </w:r>
    </w:p>
    <w:p w14:paraId="2B40E6D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1)工程量审核情况；</w:t>
      </w:r>
    </w:p>
    <w:p w14:paraId="7E4C933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2)工程款审批情况及支付情况；</w:t>
      </w:r>
    </w:p>
    <w:p w14:paraId="008BABD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3)工程款支付情况分析；</w:t>
      </w:r>
    </w:p>
    <w:p w14:paraId="7B43722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月采取的措施及效果。</w:t>
      </w:r>
    </w:p>
    <w:p w14:paraId="0304BF4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）合同其他事项的处理情况：</w:t>
      </w:r>
    </w:p>
    <w:p w14:paraId="4D19059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1)工程变更；</w:t>
      </w:r>
    </w:p>
    <w:p w14:paraId="5FC8305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2)工程延期；</w:t>
      </w:r>
    </w:p>
    <w:p w14:paraId="1E05727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3)费用索赔。</w:t>
      </w:r>
    </w:p>
    <w:p w14:paraId="260CF4C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月职业健康安全及环境等情况的综合评价及相关意见或建议。</w:t>
      </w:r>
    </w:p>
    <w:p w14:paraId="59DB7C9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月监理工作小结：</w:t>
      </w:r>
    </w:p>
    <w:p w14:paraId="2B09FEF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1)对本周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月进度、质量、工程款支付、安全文明施工等方面情况的综合评价；</w:t>
      </w:r>
    </w:p>
    <w:p w14:paraId="30D8C4A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2)本周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月监理工作情况；</w:t>
      </w:r>
    </w:p>
    <w:p w14:paraId="25A77E4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3)有关本工程的意见和建议；</w:t>
      </w:r>
    </w:p>
    <w:p w14:paraId="2701160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4)下周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月监理工作的重点。</w:t>
      </w:r>
    </w:p>
    <w:p w14:paraId="3AEF9EF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监理周</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月报应由总监理工程师组织编制及签认，签认后报委托人和本监理人总部。</w:t>
      </w:r>
    </w:p>
    <w:p w14:paraId="2249D4C6">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4</w:t>
      </w:r>
      <w:r>
        <w:rPr>
          <w:rFonts w:hint="eastAsia" w:ascii="宋体" w:hAnsi="宋体" w:cs="宋体"/>
          <w:b/>
          <w:snapToGrid w:val="0"/>
          <w:color w:val="auto"/>
          <w:kern w:val="0"/>
          <w:szCs w:val="21"/>
          <w:highlight w:val="none"/>
          <w:lang w:bidi="ar"/>
        </w:rPr>
        <w:t>.11施工阶段的其他监理工作</w:t>
      </w:r>
    </w:p>
    <w:p w14:paraId="76C8565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）工地例会</w:t>
      </w:r>
    </w:p>
    <w:p w14:paraId="0A85A2A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1）在施工过程中，总监理工程师应定期主持召开工地例会。工地例会应按委托人提供的例会细则执行。会议纪要应由项目监理机构负责起草，并经与会各方代表会签。</w:t>
      </w:r>
    </w:p>
    <w:p w14:paraId="7C8E636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2）工地例会应包括以下主要内容：</w:t>
      </w:r>
    </w:p>
    <w:p w14:paraId="77F0BB3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检查上次例会议定事项的落实情况，分析未完事项原因；</w:t>
      </w:r>
    </w:p>
    <w:p w14:paraId="1CB11F3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检查分析工程项目进度计划完成情况，提出下一阶段进度目标及其落实措施；</w:t>
      </w:r>
    </w:p>
    <w:p w14:paraId="4BD1A33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检查分析工程项目质量状况，针对存在的质量问题提出改进措施；</w:t>
      </w:r>
    </w:p>
    <w:p w14:paraId="4769E60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检查工程量核定及工程款支付情况；</w:t>
      </w:r>
    </w:p>
    <w:p w14:paraId="437C9EE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检讨工作联系单的相关内容的执行情况，解决需要协调的有关事项；</w:t>
      </w:r>
    </w:p>
    <w:p w14:paraId="1D299D3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⑥ 本周职业健康安全及环境、文明施工等方面的综合情况，解决需要协调的有关事项。</w:t>
      </w:r>
    </w:p>
    <w:p w14:paraId="210771D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⑦ 其他有关事宜。</w:t>
      </w:r>
    </w:p>
    <w:p w14:paraId="6C11EE7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3）总监理工程师或专业监理工程师应根据需要及时组织专题会议，解决施工过程中的各种专项问题。</w:t>
      </w:r>
    </w:p>
    <w:p w14:paraId="4B9B1EF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4）对于工地例会上提出的有关设计问题，监理人应积极把关控制，不应随意对相关问题做出定论。工地例会上的相关结论必须以设计变更的方式确定后方可实施。</w:t>
      </w:r>
    </w:p>
    <w:p w14:paraId="7793834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）工程暂停及复工的相关工作</w:t>
      </w:r>
    </w:p>
    <w:p w14:paraId="545591F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1）总监理工程师在签发工程暂停令时，应根据暂停工程的影响范围和影响程度，按照施工合同和委托监理合同的约定签发。</w:t>
      </w:r>
    </w:p>
    <w:p w14:paraId="5ED3BD4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2）在发生下列情况之一时，总监理工程师可签发工程暂停令：</w:t>
      </w:r>
    </w:p>
    <w:p w14:paraId="7C581FC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委托人要求暂停施工且工程需要暂停施工；</w:t>
      </w:r>
    </w:p>
    <w:p w14:paraId="589CAEB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为了保证工程质量而需要进行停工处理；</w:t>
      </w:r>
    </w:p>
    <w:p w14:paraId="42AB64F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施工出现了安全隐患，总监理工程师认为有必要停工以消除隐患；</w:t>
      </w:r>
    </w:p>
    <w:p w14:paraId="577BC8A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④ 发生了必须暂时停止施工的紧急事件；</w:t>
      </w:r>
    </w:p>
    <w:p w14:paraId="75DC4A9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⑤ 承包人未经许可擅自施工或拒绝项目监理机构管理。</w:t>
      </w:r>
    </w:p>
    <w:p w14:paraId="58920D1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3）总监理工程师在签发工程暂停令时，应根据停工原因的影响范围和影响程度，确定工程项目停工范围。</w:t>
      </w:r>
    </w:p>
    <w:p w14:paraId="567AC68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4）由于非承包人且非上述</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）项中②、③、④、⑤款原因时，总监理工程师在签发工程暂停令之前，应就有关工期和费用等事宜与承包人进行协商。</w:t>
      </w:r>
    </w:p>
    <w:p w14:paraId="6C0FA13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1355E15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6）由于承包人原因导致工程暂停，在具备恢复施工条件时，项目监理机构应审查承包人报送的复工申请及有关材料，同意后由总监理工程师签署工程复工报审表，指令承包人继续施工。</w:t>
      </w:r>
    </w:p>
    <w:p w14:paraId="2C6EA96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7）总监理工程师在签发工程暂停令到签发工程复工报审表之间的时间内，应会同有关各方按照施工合同的约定，处理因工程暂停引起的与工期、费用等有关的问题。</w:t>
      </w:r>
    </w:p>
    <w:p w14:paraId="60D242D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）工程延期及工程延误的处理工作</w:t>
      </w:r>
    </w:p>
    <w:p w14:paraId="17324E0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1）当承包人提出工程延期要求符合施工合同文件的规定条件时，项目监理机构应予以受理。</w:t>
      </w:r>
    </w:p>
    <w:p w14:paraId="6F924E7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6C2875C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3）项目监理机构在作出临时工程延期批准或最终的工程延期批准之前，均应与委托人和承包人进行协商。</w:t>
      </w:r>
    </w:p>
    <w:p w14:paraId="291D864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4）项目监理机构在审查工程延期时，应依下列情况确定批准工程延期的时间：</w:t>
      </w:r>
    </w:p>
    <w:p w14:paraId="6FE17CD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① 施工合同中有关工程延期的约定；</w:t>
      </w:r>
    </w:p>
    <w:p w14:paraId="4C37C96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② 工期拖延和影响工期事件的事实和程度；</w:t>
      </w:r>
    </w:p>
    <w:p w14:paraId="5E5D293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③ 影响工期事件对工期影响的量化程度。</w:t>
      </w:r>
    </w:p>
    <w:p w14:paraId="15BD557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5）工程延期造成承包人提出费用索赔时，项目监理机构应按本条</w:t>
      </w:r>
      <w:r>
        <w:rPr>
          <w:rFonts w:hint="eastAsia" w:ascii="宋体" w:hAnsi="宋体" w:cs="宋体"/>
          <w:color w:val="auto"/>
          <w:kern w:val="0"/>
          <w:szCs w:val="21"/>
          <w:highlight w:val="none"/>
          <w:lang w:bidi="ar"/>
        </w:rPr>
        <w:t>4.1.</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）款的约定处理。</w:t>
      </w:r>
    </w:p>
    <w:p w14:paraId="7022E67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6）当承包人未能按照施工合同要求的工期竣工交付造成工期延误时，项目监理机构应按施工合同规定从承包人应得款项中扣除误期损害赔偿费。</w:t>
      </w:r>
    </w:p>
    <w:p w14:paraId="0773122A">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5</w:t>
      </w:r>
      <w:r>
        <w:rPr>
          <w:rFonts w:hint="eastAsia" w:ascii="宋体" w:hAnsi="宋体" w:cs="宋体"/>
          <w:b/>
          <w:snapToGrid w:val="0"/>
          <w:color w:val="auto"/>
          <w:kern w:val="0"/>
          <w:szCs w:val="21"/>
          <w:highlight w:val="none"/>
          <w:lang w:bidi="ar"/>
        </w:rPr>
        <w:t>工程收尾阶段的监理工作（包括但不限于以下内容）</w:t>
      </w:r>
    </w:p>
    <w:p w14:paraId="7ED55BB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4.1.</w:t>
      </w:r>
      <w:r>
        <w:rPr>
          <w:rFonts w:hint="eastAsia" w:ascii="宋体" w:hAnsi="宋体" w:cs="宋体"/>
          <w:snapToGrid w:val="0"/>
          <w:color w:val="auto"/>
          <w:kern w:val="0"/>
          <w:szCs w:val="21"/>
          <w:highlight w:val="none"/>
          <w:lang w:val="en-US" w:eastAsia="zh-CN" w:bidi="ar"/>
        </w:rPr>
        <w:t>5</w:t>
      </w:r>
      <w:r>
        <w:rPr>
          <w:rFonts w:hint="eastAsia" w:ascii="宋体" w:hAnsi="宋体" w:cs="宋体"/>
          <w:snapToGrid w:val="0"/>
          <w:color w:val="auto"/>
          <w:kern w:val="0"/>
          <w:szCs w:val="21"/>
          <w:highlight w:val="none"/>
          <w:lang w:bidi="ar"/>
        </w:rPr>
        <w:t>.1工程收尾阶段包括竣工扫尾、验收、整改、移交、结算、考核评价等方面的管理。监理人应制定工作计划，提出各项管理要求。项目结束阶段管理应包括以下内容：</w:t>
      </w:r>
    </w:p>
    <w:p w14:paraId="2D447C8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项目的竣工扫尾；</w:t>
      </w:r>
    </w:p>
    <w:p w14:paraId="1DEF79C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项目的竣工验收、整改及移交；</w:t>
      </w:r>
    </w:p>
    <w:p w14:paraId="145F932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项目的竣工结算；</w:t>
      </w:r>
    </w:p>
    <w:p w14:paraId="508B9B7E">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项目的回访保修；</w:t>
      </w:r>
    </w:p>
    <w:p w14:paraId="53A8497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w:t>
      </w:r>
      <w:r>
        <w:rPr>
          <w:rFonts w:hint="eastAsia" w:ascii="宋体" w:hAnsi="宋体" w:cs="宋体"/>
          <w:snapToGrid w:val="0"/>
          <w:color w:val="auto"/>
          <w:kern w:val="0"/>
          <w:szCs w:val="21"/>
          <w:highlight w:val="none"/>
          <w:lang w:bidi="ar"/>
        </w:rPr>
        <w:t>项目的考核评价。</w:t>
      </w:r>
    </w:p>
    <w:p w14:paraId="712F5E0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4.1.</w:t>
      </w:r>
      <w:r>
        <w:rPr>
          <w:rFonts w:hint="eastAsia" w:ascii="宋体" w:hAnsi="宋体" w:cs="宋体"/>
          <w:snapToGrid w:val="0"/>
          <w:color w:val="auto"/>
          <w:kern w:val="0"/>
          <w:szCs w:val="21"/>
          <w:highlight w:val="none"/>
          <w:lang w:val="en-US" w:eastAsia="zh-CN" w:bidi="ar"/>
        </w:rPr>
        <w:t>5</w:t>
      </w:r>
      <w:r>
        <w:rPr>
          <w:rFonts w:hint="eastAsia" w:ascii="宋体" w:hAnsi="宋体" w:cs="宋体"/>
          <w:snapToGrid w:val="0"/>
          <w:color w:val="auto"/>
          <w:kern w:val="0"/>
          <w:szCs w:val="21"/>
          <w:highlight w:val="none"/>
          <w:lang w:bidi="ar"/>
        </w:rPr>
        <w:t>.2竣工验收</w:t>
      </w:r>
    </w:p>
    <w:p w14:paraId="132B264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名。</w:t>
      </w:r>
    </w:p>
    <w:p w14:paraId="538B81A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794DDC3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）组织或协助委托人、承包人和产权管理单位对项目进行移交。</w:t>
      </w:r>
    </w:p>
    <w:p w14:paraId="49806C4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）根据现场的实际竣工情况对承包人提交的竣工图纸（包括设备移交资料等）进行复核确认。</w:t>
      </w:r>
    </w:p>
    <w:p w14:paraId="4D70B37C">
      <w:pPr>
        <w:adjustRightInd w:val="0"/>
        <w:snapToGrid w:val="0"/>
        <w:spacing w:line="360" w:lineRule="auto"/>
        <w:ind w:firstLine="420" w:firstLineChars="200"/>
        <w:rPr>
          <w:rFonts w:hint="eastAsia" w:ascii="宋体" w:hAnsi="宋体" w:cs="宋体"/>
          <w:b/>
          <w:color w:val="auto"/>
          <w:kern w:val="0"/>
          <w:szCs w:val="21"/>
          <w:highlight w:val="none"/>
        </w:rPr>
      </w:pPr>
      <w:r>
        <w:rPr>
          <w:rFonts w:hint="eastAsia" w:ascii="宋体" w:hAnsi="宋体" w:cs="宋体"/>
          <w:snapToGrid w:val="0"/>
          <w:color w:val="auto"/>
          <w:kern w:val="0"/>
          <w:szCs w:val="21"/>
          <w:highlight w:val="none"/>
          <w:lang w:bidi="ar"/>
        </w:rPr>
        <w:t>4.1.</w:t>
      </w:r>
      <w:r>
        <w:rPr>
          <w:rFonts w:hint="eastAsia" w:ascii="宋体" w:hAnsi="宋体" w:cs="宋体"/>
          <w:snapToGrid w:val="0"/>
          <w:color w:val="auto"/>
          <w:kern w:val="0"/>
          <w:szCs w:val="21"/>
          <w:highlight w:val="none"/>
          <w:lang w:val="en-US" w:eastAsia="zh-CN" w:bidi="ar"/>
        </w:rPr>
        <w:t>5</w:t>
      </w:r>
      <w:r>
        <w:rPr>
          <w:rFonts w:hint="eastAsia" w:ascii="宋体" w:hAnsi="宋体" w:cs="宋体"/>
          <w:snapToGrid w:val="0"/>
          <w:color w:val="auto"/>
          <w:kern w:val="0"/>
          <w:szCs w:val="21"/>
          <w:highlight w:val="none"/>
          <w:lang w:bidi="ar"/>
        </w:rPr>
        <w:t>.3审核竣工结算</w:t>
      </w:r>
    </w:p>
    <w:p w14:paraId="69E12C4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）结算的总体要求</w:t>
      </w:r>
    </w:p>
    <w:p w14:paraId="2E1B427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监理人应根据有关合同约定及工程进展的实际情况，于竣工后</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周内编制工程竣工结算计划报委托人批准后实施。监理人负责组织有关单位按核准的结算计划中的时间要求提交竣工结算书及竣工结算资料。</w:t>
      </w:r>
    </w:p>
    <w:p w14:paraId="5296708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）工程结算资料必须实事求是、完整、真实准确，并按财政评审部门的要求及时提交。</w:t>
      </w:r>
    </w:p>
    <w:p w14:paraId="48E2DC6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）财政评审部门结算审核过程中的相关工作</w:t>
      </w:r>
    </w:p>
    <w:p w14:paraId="028676C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1）监理人应积极组织并督促承包人配合政府主管部门对本合同工程结算书（结算资料）的审核工作，以推动结算工作的顺利进行。</w:t>
      </w:r>
    </w:p>
    <w:p w14:paraId="1A71284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2）监理人应按委托人要求，派出相关人员参加政府主管部门组织的针对本合同工程结算审核工作的相关会议（如结算工作会议、结算工程量核对会议等）。</w:t>
      </w:r>
    </w:p>
    <w:p w14:paraId="7FFD7ED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3）监理人应根据政府主管部门对本合同工程结算提出的意见，向委托人提出解决本合同工程结算争议的合理建议。</w:t>
      </w:r>
    </w:p>
    <w:p w14:paraId="437101F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4.1.</w:t>
      </w:r>
      <w:r>
        <w:rPr>
          <w:rFonts w:hint="eastAsia" w:ascii="宋体" w:hAnsi="宋体" w:cs="宋体"/>
          <w:snapToGrid w:val="0"/>
          <w:color w:val="auto"/>
          <w:kern w:val="0"/>
          <w:szCs w:val="21"/>
          <w:highlight w:val="none"/>
          <w:lang w:val="en-US" w:eastAsia="zh-CN" w:bidi="ar"/>
        </w:rPr>
        <w:t>5</w:t>
      </w:r>
      <w:r>
        <w:rPr>
          <w:rFonts w:hint="eastAsia" w:ascii="宋体" w:hAnsi="宋体" w:cs="宋体"/>
          <w:snapToGrid w:val="0"/>
          <w:color w:val="auto"/>
          <w:kern w:val="0"/>
          <w:szCs w:val="21"/>
          <w:highlight w:val="none"/>
          <w:lang w:bidi="ar"/>
        </w:rPr>
        <w:t>.4提交监理工作总结</w:t>
      </w:r>
    </w:p>
    <w:p w14:paraId="7D06E4E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监理工作结束时，监理人应向委托人提交监理工作总结。监理工作总结包括但不限于以下内容：</w:t>
      </w:r>
    </w:p>
    <w:p w14:paraId="0104B19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）工程概况；</w:t>
      </w:r>
    </w:p>
    <w:p w14:paraId="65256CB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）监理组织机构、监理人员和投入的监理设施；</w:t>
      </w:r>
    </w:p>
    <w:p w14:paraId="557B4CA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）监理合同履行情况；</w:t>
      </w:r>
    </w:p>
    <w:p w14:paraId="5AD11A6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）监理工作成效；</w:t>
      </w:r>
    </w:p>
    <w:p w14:paraId="023847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）施工过程中出现的问题及其处理情况和建议；</w:t>
      </w:r>
    </w:p>
    <w:p w14:paraId="2D681B7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）工程照片</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有必要时</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w:t>
      </w:r>
    </w:p>
    <w:p w14:paraId="70CD77F8">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4.1.</w:t>
      </w:r>
      <w:r>
        <w:rPr>
          <w:rFonts w:hint="eastAsia" w:ascii="宋体" w:hAnsi="宋体" w:cs="宋体"/>
          <w:b/>
          <w:snapToGrid w:val="0"/>
          <w:color w:val="auto"/>
          <w:kern w:val="0"/>
          <w:szCs w:val="21"/>
          <w:highlight w:val="none"/>
          <w:lang w:val="en-US" w:eastAsia="zh-CN" w:bidi="ar"/>
        </w:rPr>
        <w:t>6</w:t>
      </w:r>
      <w:r>
        <w:rPr>
          <w:rFonts w:hint="eastAsia" w:ascii="宋体" w:hAnsi="宋体" w:cs="宋体"/>
          <w:b/>
          <w:snapToGrid w:val="0"/>
          <w:color w:val="auto"/>
          <w:kern w:val="0"/>
          <w:szCs w:val="21"/>
          <w:highlight w:val="none"/>
          <w:lang w:bidi="ar"/>
        </w:rPr>
        <w:t>工程质量保修期的监理工作</w:t>
      </w:r>
    </w:p>
    <w:p w14:paraId="25BB504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）监理人应依据委托监理合同约定的工程质量保修期监理工作的时间、范围和内容开展工作。</w:t>
      </w:r>
    </w:p>
    <w:p w14:paraId="5C8C40B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）承担质量保修期监理工作时，监理人应安排监理人员对委托人提出的工程质量缺陷进行检查和记录，对承包人进行修复的工程质量进行验收，合格后予以签认。</w:t>
      </w:r>
    </w:p>
    <w:p w14:paraId="5CA8FDB0">
      <w:pPr>
        <w:adjustRightInd w:val="0"/>
        <w:snapToGrid w:val="0"/>
        <w:spacing w:line="360" w:lineRule="auto"/>
        <w:ind w:firstLine="420" w:firstLineChars="200"/>
        <w:rPr>
          <w:color w:val="auto"/>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）监理人员应对工程质量缺陷原因进行调查分析并确定责任归属，对非承包人原因造成的工程质量缺陷，监理人员应核实修复工程的费用和签署工程款支付证书，并报委托人。</w:t>
      </w:r>
    </w:p>
    <w:p w14:paraId="339C1F9D">
      <w:pPr>
        <w:autoSpaceDE w:val="0"/>
        <w:autoSpaceDN w:val="0"/>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4.2项目监理机构</w:t>
      </w:r>
    </w:p>
    <w:p w14:paraId="703B22BA">
      <w:pPr>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4.2.1项目监理机构</w:t>
      </w:r>
    </w:p>
    <w:p w14:paraId="51B8F92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）监理人必须在施工现场建立项目监理机构。项目监理机构在完成委托监理合同约定的监理工作后可撤离施工现场。</w:t>
      </w:r>
    </w:p>
    <w:p w14:paraId="7B03602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）监理人必须在委托人发出进场通知后，按委托人具体的要求进场，并立即开始履行本合同约定的服务。监理人必须按照其投标文件和监理规划的承诺，足额、按时派驻监理人员和投入设备。</w:t>
      </w:r>
    </w:p>
    <w:p w14:paraId="0D8EADE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）监理人员应包括总监理工程师、专业监理工程师和监理员，必要时可配备总监理工程师代表。</w:t>
      </w:r>
    </w:p>
    <w:p w14:paraId="4DFB5CB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2A518B4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）监理人派驻到项目所在地履行监理服务的监理人员，必须常驻现场。</w:t>
      </w:r>
    </w:p>
    <w:p w14:paraId="42A8E2B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4962F93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1D3B3D8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8</w:t>
      </w:r>
      <w:r>
        <w:rPr>
          <w:rFonts w:hint="eastAsia" w:ascii="宋体" w:hAnsi="宋体" w:cs="宋体"/>
          <w:snapToGrid w:val="0"/>
          <w:color w:val="auto"/>
          <w:kern w:val="0"/>
          <w:szCs w:val="21"/>
          <w:highlight w:val="none"/>
          <w:lang w:bidi="ar"/>
        </w:rPr>
        <w:t>）委托人有权以书面形式要求监理人更换不能按照本合同约定履行监理服务的派驻人员。</w:t>
      </w:r>
    </w:p>
    <w:p w14:paraId="23A66CC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9</w:t>
      </w:r>
      <w:r>
        <w:rPr>
          <w:rFonts w:hint="eastAsia" w:ascii="宋体" w:hAnsi="宋体" w:cs="宋体"/>
          <w:snapToGrid w:val="0"/>
          <w:color w:val="auto"/>
          <w:kern w:val="0"/>
          <w:szCs w:val="21"/>
          <w:highlight w:val="none"/>
          <w:lang w:bidi="ar"/>
        </w:rPr>
        <w:t>）即使是委托人要求或同意更换的监理人员，其替代人员的资质仍应得到委托人的认可。由于更换人员引起的费用由监理人承担。</w:t>
      </w:r>
    </w:p>
    <w:p w14:paraId="1ED6076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10</w:t>
      </w:r>
      <w:r>
        <w:rPr>
          <w:rFonts w:hint="eastAsia" w:ascii="宋体" w:hAnsi="宋体" w:cs="宋体"/>
          <w:snapToGrid w:val="0"/>
          <w:color w:val="auto"/>
          <w:kern w:val="0"/>
          <w:szCs w:val="21"/>
          <w:highlight w:val="none"/>
          <w:lang w:bidi="ar"/>
        </w:rPr>
        <w:t>）监理工程师在本监理合同授权范围内行使合同规定的权利，履行相应的职责。</w:t>
      </w:r>
    </w:p>
    <w:p w14:paraId="1D9F8CA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12</w:t>
      </w:r>
      <w:r>
        <w:rPr>
          <w:rFonts w:hint="eastAsia" w:ascii="宋体" w:hAnsi="宋体" w:cs="宋体"/>
          <w:snapToGrid w:val="0"/>
          <w:color w:val="auto"/>
          <w:kern w:val="0"/>
          <w:szCs w:val="21"/>
          <w:highlight w:val="none"/>
          <w:lang w:bidi="ar"/>
        </w:rPr>
        <w:t>）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45C9A76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13</w:t>
      </w:r>
      <w:r>
        <w:rPr>
          <w:rFonts w:hint="eastAsia" w:ascii="宋体" w:hAnsi="宋体" w:cs="宋体"/>
          <w:snapToGrid w:val="0"/>
          <w:color w:val="auto"/>
          <w:kern w:val="0"/>
          <w:szCs w:val="21"/>
          <w:highlight w:val="none"/>
          <w:lang w:bidi="ar"/>
        </w:rPr>
        <w:t>）委托人根据工程推进实际情况，有权要求监理人的项目负责人必须调用其资源保证落实本项目监理工作。</w:t>
      </w:r>
    </w:p>
    <w:p w14:paraId="48EA8BD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14</w:t>
      </w:r>
      <w:r>
        <w:rPr>
          <w:rFonts w:hint="eastAsia" w:ascii="宋体" w:hAnsi="宋体" w:cs="宋体"/>
          <w:snapToGrid w:val="0"/>
          <w:color w:val="auto"/>
          <w:kern w:val="0"/>
          <w:szCs w:val="21"/>
          <w:highlight w:val="none"/>
          <w:lang w:bidi="ar"/>
        </w:rPr>
        <w:t>）监理人应对其驻地监理人员的人身安全承担责任。</w:t>
      </w:r>
    </w:p>
    <w:p w14:paraId="7198D31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15</w:t>
      </w:r>
      <w:r>
        <w:rPr>
          <w:rFonts w:hint="eastAsia" w:ascii="宋体" w:hAnsi="宋体" w:cs="宋体"/>
          <w:snapToGrid w:val="0"/>
          <w:color w:val="auto"/>
          <w:kern w:val="0"/>
          <w:szCs w:val="21"/>
          <w:highlight w:val="none"/>
          <w:lang w:bidi="ar"/>
        </w:rPr>
        <w:t>）监理人应于委托监理合同签订后十日内将项目监理机构的组织形式、人员构成及对总监理工程师的任命书面通知委托人。当总监理工程师需要调整时，监理人应征事先书面征得委托人的同意；当专业监理工程师需要调整时，总监理工程师应书面通知委托人和承包人。</w:t>
      </w:r>
    </w:p>
    <w:p w14:paraId="72B316FC">
      <w:pPr>
        <w:adjustRightInd w:val="0"/>
        <w:snapToGrid w:val="0"/>
        <w:spacing w:line="360" w:lineRule="auto"/>
        <w:ind w:right="11" w:firstLine="422" w:firstLineChars="200"/>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4.2.2总监理工程师的委派和指令</w:t>
      </w:r>
    </w:p>
    <w:p w14:paraId="1175F963">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5C04A966">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29A6D58C">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总监理工程师应按相关合同的约定向承包人发出指令，总监理工程师的指令应盖有监理人授权的施工场地机构章，并由总监理工程师或总监理工程师按上述（1）项约定授权的监理人员签名。</w:t>
      </w:r>
    </w:p>
    <w:p w14:paraId="00E45F01">
      <w:pPr>
        <w:adjustRightInd w:val="0"/>
        <w:snapToGrid w:val="0"/>
        <w:spacing w:line="360" w:lineRule="auto"/>
        <w:ind w:right="11" w:firstLine="403" w:firstLineChars="192"/>
        <w:rPr>
          <w:rFonts w:hint="eastAsia" w:ascii="宋体" w:hAnsi="宋体" w:cs="宋体"/>
          <w:bCs/>
          <w:strike/>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64034ED6">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在紧急情况下，总监理工程师或被授权的监理人员可以当场发出口头指令，承包人应遵照执行。监理人应在发出口头指令后24小时内发出书面指令予以确认。</w:t>
      </w:r>
    </w:p>
    <w:p w14:paraId="02906BE6">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除合同另有约定外，承包人只从总监理工程师或按上述（1）项被授权的监理人员处取得指令。</w:t>
      </w:r>
    </w:p>
    <w:p w14:paraId="43BA9001">
      <w:pPr>
        <w:adjustRightInd w:val="0"/>
        <w:snapToGrid w:val="0"/>
        <w:spacing w:line="360" w:lineRule="auto"/>
        <w:ind w:right="11" w:firstLine="403" w:firstLineChars="192"/>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w:t>
      </w:r>
      <w:r>
        <w:rPr>
          <w:rFonts w:hint="eastAsia" w:ascii="宋体" w:hAnsi="宋体" w:cs="宋体"/>
          <w:bCs/>
          <w:color w:val="auto"/>
          <w:kern w:val="0"/>
          <w:szCs w:val="21"/>
          <w:highlight w:val="none"/>
          <w:lang w:bidi="ar"/>
        </w:rPr>
        <w:t>由于总监理工程师未能按合同约定履行职责或总监理工程师指令错误而延误工期的，工期顺延情形只适用于一般节点工期。</w:t>
      </w:r>
    </w:p>
    <w:p w14:paraId="59C6C21C">
      <w:pPr>
        <w:adjustRightInd w:val="0"/>
        <w:snapToGrid w:val="0"/>
        <w:spacing w:line="360" w:lineRule="auto"/>
        <w:ind w:firstLine="480"/>
        <w:rPr>
          <w:rFonts w:hint="eastAsia" w:ascii="宋体" w:hAnsi="宋体" w:cs="宋体"/>
          <w:snapToGrid w:val="0"/>
          <w:color w:val="auto"/>
          <w:kern w:val="0"/>
          <w:szCs w:val="21"/>
          <w:highlight w:val="none"/>
        </w:rPr>
      </w:pPr>
      <w:r>
        <w:rPr>
          <w:rFonts w:hint="eastAsia" w:ascii="宋体" w:hAnsi="宋体" w:cs="宋体"/>
          <w:b/>
          <w:snapToGrid w:val="0"/>
          <w:color w:val="auto"/>
          <w:kern w:val="0"/>
          <w:szCs w:val="21"/>
          <w:highlight w:val="none"/>
          <w:lang w:bidi="ar"/>
        </w:rPr>
        <w:t>第五条　监理人义务</w:t>
      </w:r>
    </w:p>
    <w:p w14:paraId="27D8262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5.1监理人应对其派驻的项目监理机构在监理业务范围内的工作全面负责，并提供一切必要的支持。</w:t>
      </w:r>
    </w:p>
    <w:p w14:paraId="733EA22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5.2监理人在本合同履行期内必须接受委托人有关项目管理机构职权规定的约束，监理人应对提供给本项目服务的人员经常进行检查、指导、管理及后方支持，对他们完成的服务承担责任。</w:t>
      </w:r>
    </w:p>
    <w:p w14:paraId="7B825F5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5.3监理人必须在收到图纸、勘察资料等技术文件后</w:t>
      </w:r>
      <w:r>
        <w:rPr>
          <w:rFonts w:hint="eastAsia" w:ascii="宋体" w:hAnsi="宋体" w:cs="宋体"/>
          <w:color w:val="auto"/>
          <w:kern w:val="0"/>
          <w:szCs w:val="21"/>
          <w:highlight w:val="none"/>
          <w:lang w:bidi="ar"/>
        </w:rPr>
        <w:t>14</w:t>
      </w:r>
      <w:r>
        <w:rPr>
          <w:rFonts w:hint="eastAsia" w:ascii="宋体" w:hAnsi="宋体" w:cs="宋体"/>
          <w:snapToGrid w:val="0"/>
          <w:color w:val="auto"/>
          <w:kern w:val="0"/>
          <w:szCs w:val="21"/>
          <w:highlight w:val="none"/>
          <w:lang w:bidi="ar"/>
        </w:rPr>
        <w:t>日内向委托人提供针对本合同工程特点、重点、难点的《监理规划》、相应的《监理实施细则》，经委托人审核批准后执行，委托人以此具体考核监理人的监理工作。如委托人要求监理人对《监理规划》等进行调整，监理人必须在</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个日内完成调整并报委托人审批。</w:t>
      </w:r>
    </w:p>
    <w:p w14:paraId="662EFE6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5.4委托人委托监理人代表委托人组织施工前期手续的办理工作，直至具备施工条件。委托人委托监理人承担本合同工程范围内的协调管理工作，包括工程施工的进场、设计、退场、质量、进度及其他相关工作。</w:t>
      </w:r>
    </w:p>
    <w:p w14:paraId="7378243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5.5监理工程师在本合同工程中，对工程质量、投资与进度进行控制，办理合同约定的各项手续。监理工程师在办理各种手续时，不得扣压和延误。</w:t>
      </w:r>
    </w:p>
    <w:p w14:paraId="6FC883A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5.6在任何情况下（包括合同另有约定的情况），凡涉及工程变更、工程量增减、议价、索赔、处理事故、改变工期、改变技术标准、改变重大施工方案等及一切有关费用的问题，均需与委托人共同商定，报委托人批准。</w:t>
      </w:r>
    </w:p>
    <w:p w14:paraId="2CCE52A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5.7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200E6D3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5.8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797388D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5.9监理人必须不折不扣地履行其工作职责，不得推托或耽误，不能有不履行或不完全履行职务的行为，否则，必须承担相应的违约责任。</w:t>
      </w:r>
    </w:p>
    <w:p w14:paraId="60CB532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5.10对于委托人及承包人书面提交并要求作出决定的事宜，监理人应在</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日内作出书面答复，对影响施工现场进度的事项应在</w:t>
      </w:r>
      <w:r>
        <w:rPr>
          <w:rFonts w:hint="eastAsia" w:ascii="宋体" w:hAnsi="宋体" w:cs="宋体"/>
          <w:color w:val="auto"/>
          <w:kern w:val="0"/>
          <w:szCs w:val="21"/>
          <w:highlight w:val="none"/>
          <w:lang w:bidi="ar"/>
        </w:rPr>
        <w:t>24</w:t>
      </w:r>
      <w:r>
        <w:rPr>
          <w:rFonts w:hint="eastAsia" w:ascii="宋体" w:hAnsi="宋体" w:cs="宋体"/>
          <w:snapToGrid w:val="0"/>
          <w:color w:val="auto"/>
          <w:kern w:val="0"/>
          <w:szCs w:val="21"/>
          <w:highlight w:val="none"/>
          <w:lang w:bidi="ar"/>
        </w:rPr>
        <w:t>小时内作出具有明确处理意见的书面答复。</w:t>
      </w:r>
    </w:p>
    <w:p w14:paraId="063040F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5.11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5B000FA1">
      <w:pPr>
        <w:adjustRightInd w:val="0"/>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第九条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委托人根据需要有权指令监理人协调部分外部关系，委托人对此无需支付任何酬金。</w:t>
      </w:r>
    </w:p>
    <w:p w14:paraId="1748E895">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委托人在本合同生效后</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日内向监理人免费提供下述文件、资料：</w:t>
      </w:r>
    </w:p>
    <w:p w14:paraId="39667197">
      <w:pPr>
        <w:tabs>
          <w:tab w:val="left" w:pos="0"/>
        </w:tabs>
        <w:autoSpaceDE w:val="0"/>
        <w:autoSpaceDN w:val="0"/>
        <w:adjustRightInd w:val="0"/>
        <w:snapToGrid w:val="0"/>
        <w:spacing w:line="360" w:lineRule="auto"/>
        <w:ind w:firstLine="54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）委托人与承包人签订的合同文件</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份；</w:t>
      </w:r>
    </w:p>
    <w:p w14:paraId="281DC938">
      <w:pPr>
        <w:tabs>
          <w:tab w:val="left" w:pos="0"/>
        </w:tabs>
        <w:autoSpaceDE w:val="0"/>
        <w:autoSpaceDN w:val="0"/>
        <w:adjustRightInd w:val="0"/>
        <w:snapToGrid w:val="0"/>
        <w:spacing w:line="360" w:lineRule="auto"/>
        <w:ind w:firstLine="54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）施工图纸及说明</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套；</w:t>
      </w:r>
    </w:p>
    <w:p w14:paraId="06E9CD71">
      <w:pPr>
        <w:tabs>
          <w:tab w:val="left" w:pos="0"/>
        </w:tabs>
        <w:autoSpaceDE w:val="0"/>
        <w:autoSpaceDN w:val="0"/>
        <w:adjustRightInd w:val="0"/>
        <w:snapToGrid w:val="0"/>
        <w:spacing w:line="360" w:lineRule="auto"/>
        <w:ind w:firstLine="54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）委托人结合本项目实际编写的技术规范</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套；</w:t>
      </w:r>
    </w:p>
    <w:p w14:paraId="326FBEF8">
      <w:pPr>
        <w:tabs>
          <w:tab w:val="left" w:pos="0"/>
        </w:tabs>
        <w:autoSpaceDE w:val="0"/>
        <w:autoSpaceDN w:val="0"/>
        <w:adjustRightInd w:val="0"/>
        <w:snapToGrid w:val="0"/>
        <w:spacing w:line="360" w:lineRule="auto"/>
        <w:ind w:firstLine="54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）监理人完成本合同监理工作所必须的其他文件和资料。</w:t>
      </w:r>
    </w:p>
    <w:p w14:paraId="04DA1ED5">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第十一条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委托人应在</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日内对监理人书面提交并要求作出决定的事宜作出书面答复</w:t>
      </w:r>
      <w:r>
        <w:rPr>
          <w:rFonts w:hint="eastAsia" w:ascii="宋体" w:hAnsi="宋体" w:cs="宋体"/>
          <w:color w:val="auto"/>
          <w:szCs w:val="21"/>
          <w:highlight w:val="none"/>
          <w:lang w:bidi="ar"/>
        </w:rPr>
        <w:t>，重大事件回复时间可以适当延长</w:t>
      </w:r>
      <w:r>
        <w:rPr>
          <w:rFonts w:hint="eastAsia" w:ascii="宋体" w:hAnsi="宋体" w:cs="宋体"/>
          <w:snapToGrid w:val="0"/>
          <w:color w:val="auto"/>
          <w:kern w:val="0"/>
          <w:szCs w:val="21"/>
          <w:highlight w:val="none"/>
          <w:lang w:bidi="ar"/>
        </w:rPr>
        <w:t>。</w:t>
      </w:r>
    </w:p>
    <w:p w14:paraId="07B1728D">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第十二条</w:t>
      </w:r>
      <w:r>
        <w:rPr>
          <w:rFonts w:hint="eastAsia" w:ascii="宋体" w:hAnsi="宋体" w:cs="宋体"/>
          <w:snapToGrid w:val="0"/>
          <w:color w:val="auto"/>
          <w:kern w:val="0"/>
          <w:szCs w:val="21"/>
          <w:highlight w:val="none"/>
          <w:lang w:bidi="ar"/>
        </w:rPr>
        <w:t>委托人的常驻代表为</w:t>
      </w:r>
      <w:r>
        <w:rPr>
          <w:rFonts w:hint="eastAsia" w:ascii="宋体" w:hAnsi="宋体" w:cs="宋体"/>
          <w:color w:val="auto"/>
          <w:kern w:val="0"/>
          <w:szCs w:val="21"/>
          <w:highlight w:val="none"/>
          <w:u w:val="single"/>
          <w:lang w:bidi="ar"/>
        </w:rPr>
        <w:t xml:space="preserve">                       </w:t>
      </w:r>
      <w:r>
        <w:rPr>
          <w:rFonts w:hint="eastAsia" w:ascii="宋体" w:hAnsi="宋体" w:cs="宋体"/>
          <w:snapToGrid w:val="0"/>
          <w:color w:val="auto"/>
          <w:kern w:val="0"/>
          <w:szCs w:val="21"/>
          <w:highlight w:val="none"/>
          <w:u w:val="single"/>
          <w:lang w:bidi="ar"/>
        </w:rPr>
        <w:t>，联系电话</w:t>
      </w:r>
      <w:r>
        <w:rPr>
          <w:rFonts w:hint="eastAsia" w:ascii="宋体" w:hAnsi="宋体" w:cs="宋体"/>
          <w:color w:val="auto"/>
          <w:kern w:val="0"/>
          <w:szCs w:val="21"/>
          <w:highlight w:val="none"/>
          <w:u w:val="single"/>
          <w:lang w:bidi="ar"/>
        </w:rPr>
        <w:t xml:space="preserve">           </w:t>
      </w:r>
      <w:r>
        <w:rPr>
          <w:rFonts w:hint="eastAsia" w:ascii="宋体" w:hAnsi="宋体" w:cs="宋体"/>
          <w:snapToGrid w:val="0"/>
          <w:color w:val="auto"/>
          <w:kern w:val="0"/>
          <w:szCs w:val="21"/>
          <w:highlight w:val="none"/>
          <w:lang w:bidi="ar"/>
        </w:rPr>
        <w:t>。</w:t>
      </w:r>
    </w:p>
    <w:p w14:paraId="173F35A3">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第十五条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40C6E84A">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对监理人自备的设施，双方一致同意不适用本合同标准条件第十五条的约定，监理人不得向委托人索取任何经济补偿。</w:t>
      </w:r>
    </w:p>
    <w:p w14:paraId="44364BA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项目监理机构应根据工程项目类别、规模、技术复杂程度、工程项目所在地的环境条件，按委托监理合同的约定，配备满足监理工作需要的常规检测设备和工具。</w:t>
      </w:r>
    </w:p>
    <w:p w14:paraId="4A8B796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项目监理机构应配备足够实施监理工作的计算机辅助管理。</w:t>
      </w:r>
    </w:p>
    <w:p w14:paraId="1AD8EE72">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在监理服务期间，委托人不免费向监理人提供工作人员和服务人员。</w:t>
      </w:r>
    </w:p>
    <w:p w14:paraId="30DE0B1A">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第十七条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除选择工程分包单位的认可权由委托人行使外，监理人可以行使本合同标准条件第十七条约定的权利及下列权利：</w:t>
      </w:r>
    </w:p>
    <w:p w14:paraId="0CE6FC7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）工程质量与分项分部工程（含隐蔽工程）质量的检验权。未经监理工程师现场检验确认质量的工程，委托人有权拒绝支付工程款。</w:t>
      </w:r>
    </w:p>
    <w:p w14:paraId="785A652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）对完工的分项分部工程的计量权。承包人已完工且要求支付工程款的项目，应首先由监理工程师与承包人共同到现场进行计量。未经监理工程师计量的工程，委托人不予支付工程款。</w:t>
      </w:r>
    </w:p>
    <w:p w14:paraId="5EEE3A7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）工程质量事故的调查权和处理建议权。当工程出现质量事故时，监理工程师应组织质量听证会，结合现场调查的结果，提出调查报告和处理建议。</w:t>
      </w:r>
    </w:p>
    <w:p w14:paraId="13B9333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4</w:t>
      </w:r>
      <w:r>
        <w:rPr>
          <w:rFonts w:hint="eastAsia" w:ascii="宋体" w:hAnsi="宋体" w:cs="宋体"/>
          <w:snapToGrid w:val="0"/>
          <w:color w:val="auto"/>
          <w:kern w:val="0"/>
          <w:szCs w:val="21"/>
          <w:highlight w:val="none"/>
          <w:lang w:bidi="ar"/>
        </w:rPr>
        <w:t>）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14:paraId="29B29FF4">
      <w:pPr>
        <w:adjustRightInd w:val="0"/>
        <w:snapToGrid w:val="0"/>
        <w:spacing w:line="360" w:lineRule="auto"/>
        <w:ind w:left="210" w:leftChars="100" w:right="10" w:rightChars="5"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1）同意本合同工程任何部分的分包合同；</w:t>
      </w:r>
    </w:p>
    <w:p w14:paraId="383D10AC">
      <w:pPr>
        <w:adjustRightInd w:val="0"/>
        <w:snapToGrid w:val="0"/>
        <w:spacing w:line="360" w:lineRule="auto"/>
        <w:ind w:left="210" w:leftChars="100" w:right="10" w:rightChars="5"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2）工程款、材料款以及其他费用的支付；</w:t>
      </w:r>
    </w:p>
    <w:p w14:paraId="2F9D6263">
      <w:pPr>
        <w:adjustRightInd w:val="0"/>
        <w:snapToGrid w:val="0"/>
        <w:spacing w:line="360" w:lineRule="auto"/>
        <w:ind w:left="210" w:leftChars="100" w:right="10" w:rightChars="5"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3）施工进度更改或对工程延期的决定；</w:t>
      </w:r>
    </w:p>
    <w:p w14:paraId="503956F9">
      <w:pPr>
        <w:adjustRightInd w:val="0"/>
        <w:snapToGrid w:val="0"/>
        <w:spacing w:line="360" w:lineRule="auto"/>
        <w:ind w:left="210" w:leftChars="100" w:right="10" w:rightChars="5"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4）发布变更指令及签发现场签证；</w:t>
      </w:r>
    </w:p>
    <w:p w14:paraId="077969AA">
      <w:pPr>
        <w:adjustRightInd w:val="0"/>
        <w:snapToGrid w:val="0"/>
        <w:spacing w:line="360" w:lineRule="auto"/>
        <w:ind w:left="210" w:leftChars="100" w:right="10" w:rightChars="5"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5）确定变更工程和新增工程的单价、费率、价格；</w:t>
      </w:r>
    </w:p>
    <w:p w14:paraId="697098C8">
      <w:pPr>
        <w:adjustRightInd w:val="0"/>
        <w:snapToGrid w:val="0"/>
        <w:spacing w:line="360" w:lineRule="auto"/>
        <w:ind w:left="210" w:leftChars="100" w:right="10" w:rightChars="5"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6）承包人提出合理化建议或提出采用新工艺、新材料、新技术，涉及重大设计变更或施工方案调整的（这些变更或调整将改变原设计的基本功能或工期或投资等）；</w:t>
      </w:r>
    </w:p>
    <w:p w14:paraId="42063B2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5</w:t>
      </w:r>
      <w:r>
        <w:rPr>
          <w:rFonts w:hint="eastAsia" w:ascii="宋体" w:hAnsi="宋体" w:cs="宋体"/>
          <w:snapToGrid w:val="0"/>
          <w:color w:val="auto"/>
          <w:kern w:val="0"/>
          <w:szCs w:val="21"/>
          <w:highlight w:val="none"/>
          <w:lang w:bidi="ar"/>
        </w:rPr>
        <w:t>）监理人根据委托人的相关规定（制度、实施细则等）对所本合同工程范围内的技术督导单位、材料设备管理服务单位进行协调管理。</w:t>
      </w:r>
    </w:p>
    <w:p w14:paraId="23CAB989">
      <w:pPr>
        <w:adjustRightInd w:val="0"/>
        <w:snapToGrid w:val="0"/>
        <w:spacing w:line="360" w:lineRule="auto"/>
        <w:ind w:right="11"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6</w:t>
      </w:r>
      <w:r>
        <w:rPr>
          <w:rFonts w:hint="eastAsia" w:ascii="宋体" w:hAnsi="宋体" w:cs="宋体"/>
          <w:snapToGrid w:val="0"/>
          <w:color w:val="auto"/>
          <w:kern w:val="0"/>
          <w:szCs w:val="21"/>
          <w:highlight w:val="none"/>
          <w:lang w:bidi="ar"/>
        </w:rPr>
        <w:t>）委托人授权监理人行使的其他职权。</w:t>
      </w:r>
    </w:p>
    <w:p w14:paraId="4A7C7CD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监理人对工程款支付的审核必须在承包人申报计量后</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日内完成。</w:t>
      </w:r>
    </w:p>
    <w:p w14:paraId="0C0361B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本合同中约定的监理人的权利应当理解为委托人赋予监理人的职权，监理人必须履行，委托人另有要求的除外。</w:t>
      </w:r>
    </w:p>
    <w:p w14:paraId="1A1DDDF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监理人对委托人有关人员（包括委托人授权代表）违规干扰其正常监理工作和吃拿卡要等行为，有权向委托人纪检监察部门投诉或举报。</w:t>
      </w:r>
    </w:p>
    <w:p w14:paraId="087FA541">
      <w:pPr>
        <w:adjustRightInd w:val="0"/>
        <w:snapToGrid w:val="0"/>
        <w:spacing w:line="360" w:lineRule="auto"/>
        <w:ind w:firstLine="413" w:firstLineChars="196"/>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第二十五条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监理服务的期限自委托人通知进场工作之日起，至本合同工程项目结束且办理完竣工验收手续并双方同时履行完本合同的责任和义务时止。</w:t>
      </w:r>
    </w:p>
    <w:p w14:paraId="325FC61C">
      <w:pPr>
        <w:adjustRightInd w:val="0"/>
        <w:snapToGrid w:val="0"/>
        <w:spacing w:line="360" w:lineRule="auto"/>
        <w:ind w:left="43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第二十六条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监理人的违约责任：</w:t>
      </w:r>
    </w:p>
    <w:p w14:paraId="3B194B8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26.1监理人违反本合同的约定，应当按约定向委托人承担相应的违约责任，承担违约责任方式包括但不限于：</w:t>
      </w:r>
    </w:p>
    <w:p w14:paraId="754B1C1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）书面警告。监理人未履行或未按时履行或未按质履行义务或不执行委托人（含主管人员）的指令时，委托人有权向监理人发出书面警告。监理人必须在书面警告限定的时间内履行义务，否则应承担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164F61B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一般违约责任。监理人按本合同约定应当承担一般违约责任时，第一次应向委托人交纳违约金，具体违约金见下表。同一违约性质的一般违约责任为第二次时，监理人应向委托人交纳的违约金为第一次交纳金额的</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倍；第三次时，监理人应向委托人交纳的违约金为第一次交纳金额的</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倍；以此类推，最高不超过第一次交纳违约金金额的</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倍。</w:t>
      </w:r>
    </w:p>
    <w:p w14:paraId="28BEA37F">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）严重违约责任。监理人按本合同约定应当承担严重违约责任时，应向委托人交纳违约金，具体违约金见下表。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236"/>
        <w:gridCol w:w="2330"/>
        <w:gridCol w:w="2377"/>
      </w:tblGrid>
      <w:tr w14:paraId="2513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2F74A94">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序号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7290978">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施工合同价</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3662A8D2">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一般违约</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元/次）</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5682AB4C">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严重违约</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元/次）</w:t>
            </w:r>
          </w:p>
        </w:tc>
      </w:tr>
      <w:tr w14:paraId="2D32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1B58675">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B777F0C">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亿</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6160770E">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1000</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4CE0DFF8">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5000</w:t>
            </w:r>
          </w:p>
        </w:tc>
      </w:tr>
      <w:tr w14:paraId="2275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4334E37">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2</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28E0242">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1亿</w:t>
            </w:r>
            <w:r>
              <w:rPr>
                <w:rFonts w:hint="eastAsia" w:ascii="宋体" w:hAnsi="宋体" w:cs="宋体"/>
                <w:bCs/>
                <w:color w:val="auto"/>
                <w:kern w:val="0"/>
                <w:szCs w:val="21"/>
                <w:highlight w:val="none"/>
                <w:lang w:bidi="ar"/>
              </w:rPr>
              <w:t>&lt;</w:t>
            </w:r>
            <w:r>
              <w:rPr>
                <w:rFonts w:hint="eastAsia" w:ascii="宋体" w:hAnsi="宋体" w:cs="宋体"/>
                <w:bCs/>
                <w:snapToGrid w:val="0"/>
                <w:color w:val="auto"/>
                <w:kern w:val="0"/>
                <w:szCs w:val="21"/>
                <w:highlight w:val="none"/>
                <w:lang w:bidi="ar"/>
              </w:rPr>
              <w:t>且≤</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亿</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AD9258E">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2000</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33561AB5">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10000</w:t>
            </w:r>
          </w:p>
        </w:tc>
      </w:tr>
      <w:tr w14:paraId="389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65A1367">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3</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354B134">
            <w:pPr>
              <w:adjustRightInd w:val="0"/>
              <w:snapToGrid w:val="0"/>
              <w:spacing w:line="360" w:lineRule="auto"/>
              <w:ind w:right="11"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&gt;5亿</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5AE72548">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3000</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4CC7CCA4">
            <w:pPr>
              <w:adjustRightInd w:val="0"/>
              <w:snapToGrid w:val="0"/>
              <w:spacing w:line="360" w:lineRule="auto"/>
              <w:ind w:right="11"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bidi="ar"/>
              </w:rPr>
              <w:t>15000</w:t>
            </w:r>
          </w:p>
        </w:tc>
      </w:tr>
    </w:tbl>
    <w:p w14:paraId="0D504E7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）部分解除合同。委托人向监理人发出部分解除合同的通知后，本合同部分解除即生效，监理人必须在</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日内停止被解除部分的工作，</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要求监理人按</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的20%支付违约金</w:t>
      </w:r>
      <w:r>
        <w:rPr>
          <w:rFonts w:hint="eastAsia" w:ascii="宋体" w:hAnsi="宋体" w:cs="宋体"/>
          <w:bCs/>
          <w:snapToGrid w:val="0"/>
          <w:color w:val="auto"/>
          <w:kern w:val="0"/>
          <w:szCs w:val="21"/>
          <w:highlight w:val="none"/>
          <w:lang w:bidi="ar"/>
        </w:rPr>
        <w:t>。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1F4EEBE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）解除合同。委托人向监理人发出解除合同的通知后，本合同即解除，</w:t>
      </w:r>
      <w:r>
        <w:rPr>
          <w:rFonts w:hint="eastAsia" w:ascii="宋体" w:hAnsi="宋体" w:cs="宋体"/>
          <w:bCs/>
          <w:snapToGrid w:val="0"/>
          <w:color w:val="auto"/>
          <w:kern w:val="0"/>
          <w:szCs w:val="21"/>
          <w:highlight w:val="none"/>
          <w:lang w:val="en-US" w:eastAsia="zh-CN"/>
        </w:rPr>
        <w:t>委托人有权要求监理人按</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的20%支付违约金。</w:t>
      </w:r>
      <w:r>
        <w:rPr>
          <w:rFonts w:hint="eastAsia" w:ascii="宋体" w:hAnsi="宋体" w:cs="宋体"/>
          <w:bCs/>
          <w:snapToGrid w:val="0"/>
          <w:color w:val="auto"/>
          <w:kern w:val="0"/>
          <w:szCs w:val="21"/>
          <w:highlight w:val="none"/>
          <w:lang w:bidi="ar"/>
        </w:rPr>
        <w:t>监理人必须在</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日内停止全部工作，</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由此造成的一切损失。委托人在发出解除合同的通知后，委托人即可委托新的监理人承接该工程，监理人不得影响或阻碍新的监理人办理进场手续和相关工作。</w:t>
      </w:r>
    </w:p>
    <w:p w14:paraId="051449BF">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赔偿损失。因监理人违约或工作失误给委托人造成损失的，监理人应向委托人赔偿与违约有直接或间接因果关系的所有损失，但损失赔偿总额不应超过本工程监理酬金总额。如果损失是由于监理人故意或严重渎职造成的，监理人应承担全部赔偿责任且损失赔偿总额不受本工程监理酬金总额的限制。</w:t>
      </w:r>
    </w:p>
    <w:p w14:paraId="0148FF0D">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26.2三次书面警告则另行追加一次一般违约责任，三次一般违约责任则另行追加一次严重违约责任。当累计出现三次严重违约或者工程进度严重滞后时，委托人有权要求监理人的法定代表人驻场办公代行项目总监职责，直至其监理工作达到委托人满意时方可离场。</w:t>
      </w:r>
    </w:p>
    <w:p w14:paraId="0FDBA4E6">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26.3当监理人违约需向委托人支付违约金或赔偿金时，委托人将书面通知监理人交纳，监理人拒绝交纳的，委托人将从应支付给监理人的监理酬金中直接扣除，扣除款项计入累计监理酬金进度款，结算时不予退还，监理人不得有异议。同时，委托人保留进一步依法追究监理人及其保证人有关责任的权利。</w:t>
      </w:r>
    </w:p>
    <w:p w14:paraId="1125042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26.4当监理人无正当理由而不履行或没有充分履行其相关承诺及监理义务时，委托人有权书面通知监理人，指明其未能履约的内容和委托人要求其承担违约责任的等级。</w:t>
      </w:r>
    </w:p>
    <w:p w14:paraId="7FC9CAD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26.4.1监理组织管理方面的违约责任：</w:t>
      </w:r>
    </w:p>
    <w:p w14:paraId="1CCE789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监理人承诺主动支持委托人的工作，对委托人的指令和书面通知，若无正当理由又未提前报告、得到认可，而公开或变相拒不执行的，第一次按一般违约处理；第二次以后，每违反一次按一次严重违约处理；同时，监理人须承担由此造成的一切经济损失。情节较轻的，可给予书面警告；情节特别严重的，委托人有权单方面部分解除合同或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w:t>
      </w:r>
    </w:p>
    <w:p w14:paraId="26CDA96D">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）监理人不遵守委托人依据本合同协议书第六条约定所制订的各项制度、规定的，由监理人按所违反制度、规定的有关规定承担违约责任。所触犯制度、规定没有明确规定的，由委托人参照本条第</w:t>
      </w:r>
      <w:r>
        <w:rPr>
          <w:rFonts w:hint="eastAsia" w:ascii="宋体" w:hAnsi="宋体" w:cs="宋体"/>
          <w:bCs/>
          <w:color w:val="auto"/>
          <w:kern w:val="0"/>
          <w:szCs w:val="21"/>
          <w:highlight w:val="none"/>
          <w:lang w:bidi="ar"/>
        </w:rPr>
        <w:t>26.4.1-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）款的约定处理。</w:t>
      </w:r>
    </w:p>
    <w:p w14:paraId="7D35D765">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）监理人未按承诺建立组织架构、派驻监理人员和投入设备，监理人必须按委托人要求限期整改，并承担相应违约责任。具体约定为：</w:t>
      </w:r>
    </w:p>
    <w:p w14:paraId="365F006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1）在委托人书面通知监理人进场后</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日内，监理人承诺的项目总监不到位，或到位后又离开，造成该岗位空缺。委托人一旦发现，将要求监理人做出书面解释并保证人员限期到位，同时将要求监理人承担一般违约责任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次；如果监理人拒不配合，未在委托人提出限期改正的期限内进行整改的，监理人应承担严重违约责任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次，委托人有权单方面提出解除合同，并要求监理人承担由此造成的委托人损失</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w:t>
      </w:r>
    </w:p>
    <w:p w14:paraId="3E4B047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2）在委托人书面通知监理人进场后</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监理人在投标文件中承诺的主要监理人员（指专业监理工程师、造价工程师及同等级别以上的监理人员）未能足额到位，或到位后又离开，造成该岗位空缺，或未按承诺依时、足额投入有关设备，委托人一旦发现将要求监理人做出书面解释并保证人员、设备限期到位；如果监理人拒不配合，未在委托人提出限期改正的期限内进行整改的，监理人应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次，直至解除合同，</w:t>
      </w:r>
      <w:r>
        <w:rPr>
          <w:rFonts w:hint="eastAsia" w:ascii="宋体" w:hAnsi="宋体" w:cs="宋体"/>
          <w:bCs/>
          <w:snapToGrid w:val="0"/>
          <w:color w:val="auto"/>
          <w:kern w:val="0"/>
          <w:szCs w:val="21"/>
          <w:highlight w:val="none"/>
          <w:lang w:val="en-US" w:eastAsia="zh-CN"/>
        </w:rPr>
        <w:t>并按本合同专用条件26.1条的约定承担违约责任</w:t>
      </w:r>
      <w:r>
        <w:rPr>
          <w:rFonts w:hint="eastAsia" w:ascii="宋体" w:hAnsi="宋体" w:cs="宋体"/>
          <w:bCs/>
          <w:snapToGrid w:val="0"/>
          <w:color w:val="auto"/>
          <w:kern w:val="0"/>
          <w:szCs w:val="21"/>
          <w:highlight w:val="none"/>
          <w:lang w:bidi="ar"/>
        </w:rPr>
        <w:t>。</w:t>
      </w:r>
    </w:p>
    <w:p w14:paraId="01419D8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监理人必须严格按照投标承诺投入监理人员，调换监理人员必须提出书面报告并附上替代人员的所有证明资料，经委托人审核书面同意后才能调换。委托人要求监理人更换个别监理人员时，监理人在接到委托人通知后三日内安排更换到位，否则，委托人将有权延期支付监理酬金，并由委托人直接聘请，聘请人员所需费用按本合同专用条件第</w:t>
      </w:r>
      <w:r>
        <w:rPr>
          <w:rFonts w:hint="eastAsia" w:ascii="宋体" w:hAnsi="宋体" w:cs="宋体"/>
          <w:bCs/>
          <w:color w:val="auto"/>
          <w:kern w:val="0"/>
          <w:szCs w:val="21"/>
          <w:highlight w:val="none"/>
          <w:lang w:bidi="ar"/>
        </w:rPr>
        <w:t>4.2.1-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12</w:t>
      </w:r>
      <w:r>
        <w:rPr>
          <w:rFonts w:hint="eastAsia" w:ascii="宋体" w:hAnsi="宋体" w:cs="宋体"/>
          <w:bCs/>
          <w:snapToGrid w:val="0"/>
          <w:color w:val="auto"/>
          <w:kern w:val="0"/>
          <w:szCs w:val="21"/>
          <w:highlight w:val="none"/>
          <w:lang w:bidi="ar"/>
        </w:rPr>
        <w:t>）款的约定执行。同时，监理人应按下表的约定承担违约责任；情节严重的，委托人有权单方面解除合同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500"/>
        <w:gridCol w:w="4433"/>
      </w:tblGrid>
      <w:tr w14:paraId="25EF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075A634D">
            <w:pPr>
              <w:tabs>
                <w:tab w:val="left" w:pos="360"/>
              </w:tabs>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序号</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50D6716">
            <w:pPr>
              <w:tabs>
                <w:tab w:val="left" w:pos="360"/>
              </w:tabs>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违约项目</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3C2F096C">
            <w:pPr>
              <w:tabs>
                <w:tab w:val="left" w:pos="360"/>
              </w:tabs>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违约金</w:t>
            </w:r>
          </w:p>
          <w:p w14:paraId="5D85F93B">
            <w:pPr>
              <w:tabs>
                <w:tab w:val="left" w:pos="360"/>
              </w:tabs>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（元</w:t>
            </w:r>
            <w:r>
              <w:rPr>
                <w:rFonts w:hint="eastAsia" w:ascii="宋体" w:hAnsi="宋体" w:cs="宋体"/>
                <w:color w:val="auto"/>
                <w:kern w:val="0"/>
                <w:szCs w:val="21"/>
                <w:highlight w:val="none"/>
                <w:lang w:bidi="ar"/>
              </w:rPr>
              <w:t>/</w:t>
            </w:r>
            <w:r>
              <w:rPr>
                <w:rFonts w:hint="eastAsia" w:ascii="宋体" w:hAnsi="宋体" w:cs="宋体"/>
                <w:snapToGrid w:val="0"/>
                <w:color w:val="auto"/>
                <w:kern w:val="0"/>
                <w:szCs w:val="21"/>
                <w:highlight w:val="none"/>
                <w:lang w:bidi="ar"/>
              </w:rPr>
              <w:t>人·次）</w:t>
            </w:r>
          </w:p>
        </w:tc>
      </w:tr>
      <w:tr w14:paraId="7C66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0E0D9B10">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1DDB104">
            <w:pPr>
              <w:tabs>
                <w:tab w:val="left" w:pos="360"/>
              </w:tabs>
              <w:adjustRightInd w:val="0"/>
              <w:snapToGrid w:val="0"/>
              <w:spacing w:line="360" w:lineRule="auto"/>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监理人自行调换或未按照委托人要求及时更换项目总监</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2E222B86">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bCs/>
                <w:snapToGrid w:val="0"/>
                <w:color w:val="auto"/>
                <w:kern w:val="0"/>
                <w:szCs w:val="21"/>
                <w:highlight w:val="none"/>
                <w:lang w:bidi="ar"/>
              </w:rPr>
              <w:t>本合同监理酬金总额的</w:t>
            </w:r>
            <w:r>
              <w:rPr>
                <w:rFonts w:hint="eastAsia" w:ascii="宋体" w:hAnsi="宋体" w:cs="宋体"/>
                <w:bCs/>
                <w:color w:val="auto"/>
                <w:kern w:val="0"/>
                <w:szCs w:val="21"/>
                <w:highlight w:val="none"/>
                <w:lang w:bidi="ar"/>
              </w:rPr>
              <w:t>2%</w:t>
            </w:r>
          </w:p>
        </w:tc>
      </w:tr>
      <w:tr w14:paraId="10E4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45964DD2">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2</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70B9794">
            <w:pPr>
              <w:tabs>
                <w:tab w:val="left" w:pos="360"/>
              </w:tabs>
              <w:adjustRightInd w:val="0"/>
              <w:snapToGrid w:val="0"/>
              <w:spacing w:line="360" w:lineRule="auto"/>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监理人自行调换或未按照委托人要求及时更换项目副总监、项目总工或总监代表</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05505D00">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bCs/>
                <w:snapToGrid w:val="0"/>
                <w:color w:val="auto"/>
                <w:kern w:val="0"/>
                <w:szCs w:val="21"/>
                <w:highlight w:val="none"/>
                <w:lang w:bidi="ar"/>
              </w:rPr>
              <w:t>本合同监理酬金总额的</w:t>
            </w:r>
            <w:r>
              <w:rPr>
                <w:rFonts w:hint="eastAsia" w:ascii="宋体" w:hAnsi="宋体" w:cs="宋体"/>
                <w:bCs/>
                <w:color w:val="auto"/>
                <w:kern w:val="0"/>
                <w:szCs w:val="21"/>
                <w:highlight w:val="none"/>
                <w:lang w:bidi="ar"/>
              </w:rPr>
              <w:t>1%</w:t>
            </w:r>
          </w:p>
        </w:tc>
      </w:tr>
      <w:tr w14:paraId="0757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2FE47CDC">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3</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8789E7F">
            <w:pPr>
              <w:tabs>
                <w:tab w:val="left" w:pos="360"/>
              </w:tabs>
              <w:adjustRightInd w:val="0"/>
              <w:snapToGrid w:val="0"/>
              <w:spacing w:line="360" w:lineRule="auto"/>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监理人自行调换或未按照委托人要求及时更换专业监理工程师</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48D29F05">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bCs/>
                <w:snapToGrid w:val="0"/>
                <w:color w:val="auto"/>
                <w:kern w:val="0"/>
                <w:szCs w:val="21"/>
                <w:highlight w:val="none"/>
                <w:lang w:bidi="ar"/>
              </w:rPr>
              <w:t>本合同监理酬金总额的</w:t>
            </w:r>
            <w:r>
              <w:rPr>
                <w:rFonts w:hint="eastAsia" w:ascii="宋体" w:hAnsi="宋体" w:cs="宋体"/>
                <w:bCs/>
                <w:color w:val="auto"/>
                <w:kern w:val="0"/>
                <w:szCs w:val="21"/>
                <w:highlight w:val="none"/>
                <w:lang w:bidi="ar"/>
              </w:rPr>
              <w:t>0.5%</w:t>
            </w:r>
          </w:p>
        </w:tc>
      </w:tr>
      <w:tr w14:paraId="7C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2B87FD5">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4</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287B379">
            <w:pPr>
              <w:tabs>
                <w:tab w:val="left" w:pos="360"/>
              </w:tabs>
              <w:adjustRightInd w:val="0"/>
              <w:snapToGrid w:val="0"/>
              <w:spacing w:line="360" w:lineRule="auto"/>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监理人自行调换或未按照委托人要求及时更换造价工程师</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2C42EB79">
            <w:pPr>
              <w:tabs>
                <w:tab w:val="left" w:pos="360"/>
              </w:tabs>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bCs/>
                <w:snapToGrid w:val="0"/>
                <w:color w:val="auto"/>
                <w:kern w:val="0"/>
                <w:szCs w:val="21"/>
                <w:highlight w:val="none"/>
                <w:lang w:bidi="ar"/>
              </w:rPr>
              <w:t>本合同监理酬金总额的</w:t>
            </w:r>
            <w:r>
              <w:rPr>
                <w:rFonts w:hint="eastAsia" w:ascii="宋体" w:hAnsi="宋体" w:cs="宋体"/>
                <w:bCs/>
                <w:color w:val="auto"/>
                <w:kern w:val="0"/>
                <w:szCs w:val="21"/>
                <w:highlight w:val="none"/>
                <w:lang w:bidi="ar"/>
              </w:rPr>
              <w:t>0.5%</w:t>
            </w:r>
          </w:p>
        </w:tc>
      </w:tr>
    </w:tbl>
    <w:p w14:paraId="608DA5A5">
      <w:pPr>
        <w:adjustRightInd w:val="0"/>
        <w:snapToGrid w:val="0"/>
        <w:spacing w:line="360" w:lineRule="auto"/>
        <w:ind w:firstLine="420" w:firstLineChars="200"/>
        <w:rPr>
          <w:rFonts w:hint="eastAsia" w:ascii="宋体" w:hAnsi="宋体" w:cs="宋体"/>
          <w:bCs/>
          <w:snapToGrid w:val="0"/>
          <w:color w:val="auto"/>
          <w:kern w:val="0"/>
          <w:szCs w:val="21"/>
          <w:highlight w:val="none"/>
        </w:rPr>
      </w:pPr>
    </w:p>
    <w:p w14:paraId="13E7182B">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）项目总监若需离开施工现场需报委托人批准，在其请假离开的时间段内应书面委托其他驻场监理工程师（需具有相应资质和能力）全权代表其行使职权；否则每违约一次，委托人将要求监理人承担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318435A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）其他监理人员需离开施工现场</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日以上需报委托人批准，在其请假离开的时间段内应书面委托其他驻场监理代表全权代表其行使相应职权；否则，每违约一次，委托人将要求监理人承担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4432BF2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）委托人将对驻场监理人员进行考勤，如项目总监每月请假日数累计超过</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日，监理人必须承担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次一般违约责任；如其他监理人员每月请假日数累计超过</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日，且请假总人数全月累计超过监理人数的</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，监理人必须承担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779E3437">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8</w:t>
      </w:r>
      <w:r>
        <w:rPr>
          <w:rFonts w:hint="eastAsia" w:ascii="宋体" w:hAnsi="宋体" w:cs="宋体"/>
          <w:bCs/>
          <w:snapToGrid w:val="0"/>
          <w:color w:val="auto"/>
          <w:kern w:val="0"/>
          <w:szCs w:val="21"/>
          <w:highlight w:val="none"/>
          <w:lang w:bidi="ar"/>
        </w:rPr>
        <w:t>）委托人要求项目总监、项目副总监等主要监理人员必须参加的会议，项目总监、项目副总监等主要监理人员必须到会。未经委托人同意不到会或不按期到会的，应向委托人说明理由，拒不说明理由的，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5C7604E7">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9</w:t>
      </w:r>
      <w:r>
        <w:rPr>
          <w:rFonts w:hint="eastAsia" w:ascii="宋体" w:hAnsi="宋体" w:cs="宋体"/>
          <w:bCs/>
          <w:snapToGrid w:val="0"/>
          <w:color w:val="auto"/>
          <w:kern w:val="0"/>
          <w:szCs w:val="21"/>
          <w:highlight w:val="none"/>
          <w:lang w:bidi="ar"/>
        </w:rPr>
        <w:t>）监理人应该定期或不定期组织、主持召开工地例会及各种技术专题会，以及监理大纲、监理规划、监理实施细则和委托人要求必须召开的会议，如有违反，监理人应当承担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r>
        <w:rPr>
          <w:rFonts w:hint="eastAsia" w:ascii="宋体" w:hAnsi="宋体" w:cs="宋体"/>
          <w:bCs/>
          <w:color w:val="auto"/>
          <w:kern w:val="0"/>
          <w:szCs w:val="21"/>
          <w:highlight w:val="none"/>
          <w:lang w:bidi="ar"/>
        </w:rPr>
        <w:t>/</w:t>
      </w:r>
      <w:r>
        <w:rPr>
          <w:rFonts w:hint="eastAsia" w:ascii="宋体" w:hAnsi="宋体" w:cs="宋体"/>
          <w:bCs/>
          <w:snapToGrid w:val="0"/>
          <w:color w:val="auto"/>
          <w:kern w:val="0"/>
          <w:szCs w:val="21"/>
          <w:highlight w:val="none"/>
          <w:lang w:bidi="ar"/>
        </w:rPr>
        <w:t>次。</w:t>
      </w:r>
    </w:p>
    <w:p w14:paraId="5E9C9E0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26.4.2履行监理职责方面的违约责任：</w:t>
      </w:r>
    </w:p>
    <w:p w14:paraId="633C555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）监理人在自己职责范围内应当作出决定的事项故意拖延或者不作出明确的处理意见，委托人发出书面警告后监理人在整改期限内仍不加以改正的，委托人有权要求监理人承担一般违约责任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次，造成损失的监理人应承担相应的责任，并赔偿由此造成委托人的损失。</w:t>
      </w:r>
    </w:p>
    <w:p w14:paraId="1AF9599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对于承包人现场的管理机构人员不到位、擅自离场，管理人员工作能力存在严重不足，监理人不进行检查、督促、处理，不向委托人报告，被委托人发现后，委托人有权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1A06690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）承包人未按投标文件所作的承诺投入机械、设备、材料等，监理人对此不进行有效检查、督促、处理，不向委托人报告，被委托人发现后，委托人有权给予书面警告并限期改正，监理人拒不限期改正的，应承担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1B218B8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4</w:t>
      </w:r>
      <w:r>
        <w:rPr>
          <w:rFonts w:hint="eastAsia" w:ascii="宋体" w:hAnsi="宋体" w:cs="宋体"/>
          <w:bCs/>
          <w:snapToGrid w:val="0"/>
          <w:color w:val="auto"/>
          <w:kern w:val="0"/>
          <w:szCs w:val="21"/>
          <w:highlight w:val="none"/>
          <w:lang w:bidi="ar"/>
        </w:rPr>
        <w:t>）对于承包人每次进场材料，监理人不进行检查和登记；对已进场的材料，监理人不按有关规定及时进行抽查、送检，监理人承担一般违约责任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次。如由此出现不合格材料使用于工程上并造成质量缺陷，监理人必须承担一般违约责任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次。若出现质量事故或经济损失一次</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万元以上的，监理人必须承担严重违约责任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次。造成重大质量安全事故（按国家规定界定），委托人视情况的严重程度有权部分或全部解除合同，</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同时，不免除追究承包人和监理人的法律责任。</w:t>
      </w:r>
    </w:p>
    <w:p w14:paraId="1F6E860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被委托人发现后，委托人有权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3037AE6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）监理人不按本合同专用条件第</w:t>
      </w:r>
      <w:r>
        <w:rPr>
          <w:rFonts w:hint="eastAsia" w:ascii="宋体" w:hAnsi="宋体" w:cs="宋体"/>
          <w:bCs/>
          <w:color w:val="auto"/>
          <w:kern w:val="0"/>
          <w:szCs w:val="21"/>
          <w:highlight w:val="none"/>
          <w:lang w:bidi="ar"/>
        </w:rPr>
        <w:t>5.11</w:t>
      </w:r>
      <w:r>
        <w:rPr>
          <w:rFonts w:hint="eastAsia" w:ascii="宋体" w:hAnsi="宋体" w:cs="宋体"/>
          <w:bCs/>
          <w:snapToGrid w:val="0"/>
          <w:color w:val="auto"/>
          <w:kern w:val="0"/>
          <w:szCs w:val="21"/>
          <w:highlight w:val="none"/>
          <w:lang w:bidi="ar"/>
        </w:rPr>
        <w:t>款的约定办理有关保险事宜的，委托人有权给予书面警告并限期改正，监理人拒不限期改正的，应承担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次严重违约责任并承担由此产生的一切后果。</w:t>
      </w:r>
    </w:p>
    <w:p w14:paraId="223A717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次，情节严重的承担严重违约责任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次，同时，承包人和监理人应赔偿委托人的经济损失。</w:t>
      </w:r>
    </w:p>
    <w:p w14:paraId="7753799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8</w:t>
      </w:r>
      <w:r>
        <w:rPr>
          <w:rFonts w:hint="eastAsia" w:ascii="宋体" w:hAnsi="宋体" w:cs="宋体"/>
          <w:bCs/>
          <w:snapToGrid w:val="0"/>
          <w:color w:val="auto"/>
          <w:kern w:val="0"/>
          <w:szCs w:val="21"/>
          <w:highlight w:val="none"/>
          <w:lang w:bidi="ar"/>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日以上（含</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日）的，监理人必须承担一般违约责任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次；出现关键工期滞后</w:t>
      </w:r>
      <w:r>
        <w:rPr>
          <w:rFonts w:hint="eastAsia" w:ascii="宋体" w:hAnsi="宋体" w:cs="宋体"/>
          <w:bCs/>
          <w:color w:val="auto"/>
          <w:kern w:val="0"/>
          <w:szCs w:val="21"/>
          <w:highlight w:val="none"/>
          <w:lang w:bidi="ar"/>
        </w:rPr>
        <w:t>14</w:t>
      </w:r>
      <w:r>
        <w:rPr>
          <w:rFonts w:hint="eastAsia" w:ascii="宋体" w:hAnsi="宋体" w:cs="宋体"/>
          <w:bCs/>
          <w:snapToGrid w:val="0"/>
          <w:color w:val="auto"/>
          <w:kern w:val="0"/>
          <w:szCs w:val="21"/>
          <w:highlight w:val="none"/>
          <w:lang w:bidi="ar"/>
        </w:rPr>
        <w:t>日以上（含</w:t>
      </w:r>
      <w:r>
        <w:rPr>
          <w:rFonts w:hint="eastAsia" w:ascii="宋体" w:hAnsi="宋体" w:cs="宋体"/>
          <w:bCs/>
          <w:color w:val="auto"/>
          <w:kern w:val="0"/>
          <w:szCs w:val="21"/>
          <w:highlight w:val="none"/>
          <w:lang w:bidi="ar"/>
        </w:rPr>
        <w:t>14</w:t>
      </w:r>
      <w:r>
        <w:rPr>
          <w:rFonts w:hint="eastAsia" w:ascii="宋体" w:hAnsi="宋体" w:cs="宋体"/>
          <w:bCs/>
          <w:snapToGrid w:val="0"/>
          <w:color w:val="auto"/>
          <w:kern w:val="0"/>
          <w:szCs w:val="21"/>
          <w:highlight w:val="none"/>
          <w:lang w:bidi="ar"/>
        </w:rPr>
        <w:t>日）的，监理人必须承担严重违约责任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次；出现关键线路工期滞后</w:t>
      </w:r>
      <w:r>
        <w:rPr>
          <w:rFonts w:hint="eastAsia" w:ascii="宋体" w:hAnsi="宋体" w:cs="宋体"/>
          <w:bCs/>
          <w:color w:val="auto"/>
          <w:kern w:val="0"/>
          <w:szCs w:val="21"/>
          <w:highlight w:val="none"/>
          <w:lang w:bidi="ar"/>
        </w:rPr>
        <w:t>21</w:t>
      </w:r>
      <w:r>
        <w:rPr>
          <w:rFonts w:hint="eastAsia" w:ascii="宋体" w:hAnsi="宋体" w:cs="宋体"/>
          <w:bCs/>
          <w:snapToGrid w:val="0"/>
          <w:color w:val="auto"/>
          <w:kern w:val="0"/>
          <w:szCs w:val="21"/>
          <w:highlight w:val="none"/>
          <w:lang w:bidi="ar"/>
        </w:rPr>
        <w:t>日以上（含</w:t>
      </w:r>
      <w:r>
        <w:rPr>
          <w:rFonts w:hint="eastAsia" w:ascii="宋体" w:hAnsi="宋体" w:cs="宋体"/>
          <w:bCs/>
          <w:color w:val="auto"/>
          <w:kern w:val="0"/>
          <w:szCs w:val="21"/>
          <w:highlight w:val="none"/>
          <w:lang w:bidi="ar"/>
        </w:rPr>
        <w:t>21</w:t>
      </w:r>
      <w:r>
        <w:rPr>
          <w:rFonts w:hint="eastAsia" w:ascii="宋体" w:hAnsi="宋体" w:cs="宋体"/>
          <w:bCs/>
          <w:snapToGrid w:val="0"/>
          <w:color w:val="auto"/>
          <w:kern w:val="0"/>
          <w:szCs w:val="21"/>
          <w:highlight w:val="none"/>
          <w:lang w:bidi="ar"/>
        </w:rPr>
        <w:t>日）的，委托人有权部分或全部解除合同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w:t>
      </w:r>
    </w:p>
    <w:p w14:paraId="02BBE25E">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9</w:t>
      </w:r>
      <w:r>
        <w:rPr>
          <w:rFonts w:hint="eastAsia" w:ascii="宋体" w:hAnsi="宋体" w:cs="宋体"/>
          <w:bCs/>
          <w:snapToGrid w:val="0"/>
          <w:color w:val="auto"/>
          <w:kern w:val="0"/>
          <w:szCs w:val="21"/>
          <w:highlight w:val="none"/>
          <w:lang w:bidi="ar"/>
        </w:rPr>
        <w:t>）对于承包人提交的现场签证资料，监理人未有准确、真实的现场原始记录或不进行现场复核就给予签认，经委托人检查，发现签认的文件有误的，除必须立即改正外，监理人必须承担一般违约责任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次；对签证错误有可能给委托人造成直接经济损失</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万元（含</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万元）以上的按严重违约</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次处理，如因监理人故意造成的则按本合同专用条件第</w:t>
      </w:r>
      <w:r>
        <w:rPr>
          <w:rFonts w:hint="eastAsia" w:ascii="宋体" w:hAnsi="宋体" w:cs="宋体"/>
          <w:bCs/>
          <w:color w:val="auto"/>
          <w:kern w:val="0"/>
          <w:szCs w:val="21"/>
          <w:highlight w:val="none"/>
          <w:lang w:bidi="ar"/>
        </w:rPr>
        <w:t>26.1-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）款执行；对于现场签证（含工程数量、单价等）未经过注册造价工程师审核、或经过注册造价工程师审核但未在规定时间内报送委托人，除必须立即改正外，每累计出现</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次监理人必须承担一般违约责任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w:t>
      </w:r>
    </w:p>
    <w:p w14:paraId="45A7D280">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对承包人提交的施工方案、设计变更等技术文件，监理人对其中明显不符合现场实际的部分，或者与招投标文件不符、会引起委托人投资增加和工期延误的部分，不进行认真审核、不进行优化就给予同意，经审查发现后，除必须限期改正外，监理人必须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次一般违约责任，情节严重的应承担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次严重违约责任。对承包人提交的施工方案、设计变更等技术文件，监理人应当在</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日内予以批复，因监理人未及时批复而影响工程进度、质量的，监理人必须承担严重违约责任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次；须转报委托人审批的，监理人应在</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日内出具审核意见报委托人，监理人未在</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日内报委托人或未出具审核意见的，监理人除必须限期改正外，监理人必须承担一般违约责任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2E36EA97">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11</w:t>
      </w:r>
      <w:r>
        <w:rPr>
          <w:rFonts w:hint="eastAsia" w:ascii="宋体" w:hAnsi="宋体" w:cs="宋体"/>
          <w:bCs/>
          <w:snapToGrid w:val="0"/>
          <w:color w:val="auto"/>
          <w:kern w:val="0"/>
          <w:szCs w:val="21"/>
          <w:highlight w:val="none"/>
          <w:lang w:bidi="ar"/>
        </w:rPr>
        <w:t>）监理人应当按时对承包人（含施工、防雷、检测、监测、白蚁防治等单位）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次，情节严重的应承担严重违约责任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次，给委托人造成损失的，应当赔偿损失。</w:t>
      </w:r>
    </w:p>
    <w:p w14:paraId="7D1A55EB">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12</w:t>
      </w:r>
      <w:r>
        <w:rPr>
          <w:rFonts w:hint="eastAsia" w:ascii="宋体" w:hAnsi="宋体" w:cs="宋体"/>
          <w:bCs/>
          <w:snapToGrid w:val="0"/>
          <w:color w:val="auto"/>
          <w:kern w:val="0"/>
          <w:szCs w:val="21"/>
          <w:highlight w:val="none"/>
          <w:lang w:bidi="ar"/>
        </w:rPr>
        <w:t>）对于承包人（含施工、防雷、检测、监测、白蚁防治等单位）提交的请款报告，监理人不按实际完成的工作量进行审核，或不按本合同要求签署拨款意见，经审查发现后，除必须限期改正外，每出现</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次，监理人必须承担一般违约责任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次；如造成委托人超形象进度、超合同支付工程款</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万元以上，或监理人审核的当期支付金额与经过复核的实际应付金额存在正负</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％以上误差的，监理人必须承担一般违约责任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次，情节严重的应承担严重违约责任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次。若由此给委托人造成</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万元以上（含</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万元）损失的，监理人除必须承担相应的经济赔偿外，委托人将视情况部分或全部解除合同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w:t>
      </w:r>
    </w:p>
    <w:p w14:paraId="062252A3">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13</w:t>
      </w:r>
      <w:r>
        <w:rPr>
          <w:rFonts w:hint="eastAsia" w:ascii="宋体" w:hAnsi="宋体" w:cs="宋体"/>
          <w:bCs/>
          <w:snapToGrid w:val="0"/>
          <w:color w:val="auto"/>
          <w:kern w:val="0"/>
          <w:szCs w:val="21"/>
          <w:highlight w:val="none"/>
          <w:lang w:bidi="ar"/>
        </w:rPr>
        <w:t>）监理人同时发生本合同专用条件第</w:t>
      </w:r>
      <w:r>
        <w:rPr>
          <w:rFonts w:hint="eastAsia" w:ascii="宋体" w:hAnsi="宋体" w:cs="宋体"/>
          <w:bCs/>
          <w:color w:val="auto"/>
          <w:kern w:val="0"/>
          <w:szCs w:val="21"/>
          <w:highlight w:val="none"/>
          <w:lang w:bidi="ar"/>
        </w:rPr>
        <w:t>26.4.2-</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9</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12</w:t>
      </w:r>
      <w:r>
        <w:rPr>
          <w:rFonts w:hint="eastAsia" w:ascii="宋体" w:hAnsi="宋体" w:cs="宋体"/>
          <w:bCs/>
          <w:snapToGrid w:val="0"/>
          <w:color w:val="auto"/>
          <w:kern w:val="0"/>
          <w:szCs w:val="21"/>
          <w:highlight w:val="none"/>
          <w:lang w:bidi="ar"/>
        </w:rPr>
        <w:t>）款约定的违约行为且情节严重的，视同监理人和承包人串通作假，委托人有权单方解除合同，</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w:t>
      </w:r>
    </w:p>
    <w:p w14:paraId="6522FCC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14</w:t>
      </w:r>
      <w:r>
        <w:rPr>
          <w:rFonts w:hint="eastAsia" w:ascii="宋体" w:hAnsi="宋体" w:cs="宋体"/>
          <w:bCs/>
          <w:snapToGrid w:val="0"/>
          <w:color w:val="auto"/>
          <w:kern w:val="0"/>
          <w:szCs w:val="21"/>
          <w:highlight w:val="none"/>
          <w:lang w:bidi="ar"/>
        </w:rPr>
        <w:t>）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承包人没有按投标承诺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次一般违约责任。由此而发生安全生产事故，或被上级主管部门通报批评、被新闻媒体曝光的，监理人应承担严重违约责任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次。情节严重的，委托人有权部分或全部解除合同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highlight w:val="none"/>
          <w:lang w:bidi="ar"/>
        </w:rPr>
        <w:t>。所监理的工程发生重大安全质量事故（按国家及本合同有关规定界定）的，委托人有权要求监理人承担违约赔偿责任，赔偿金为本合同监理酬金总额的</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w:t>
      </w:r>
    </w:p>
    <w:p w14:paraId="6CF7F85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15</w:t>
      </w:r>
      <w:r>
        <w:rPr>
          <w:rFonts w:hint="eastAsia" w:ascii="宋体" w:hAnsi="宋体" w:cs="宋体"/>
          <w:bCs/>
          <w:snapToGrid w:val="0"/>
          <w:color w:val="auto"/>
          <w:kern w:val="0"/>
          <w:szCs w:val="21"/>
          <w:highlight w:val="none"/>
          <w:lang w:bidi="ar"/>
        </w:rPr>
        <w:t>）监理人因下列原因：</w:t>
      </w:r>
    </w:p>
    <w:p w14:paraId="571AB80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1）在施工过程中，监理人发出错误指令；</w:t>
      </w:r>
    </w:p>
    <w:p w14:paraId="445FFA77">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2）监理人越权审批设计变更；</w:t>
      </w:r>
    </w:p>
    <w:p w14:paraId="21A7627F">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3）其他因监理人自身失误或失职。</w:t>
      </w:r>
    </w:p>
    <w:p w14:paraId="7999EC2B">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使本合同工程在投资、工期、质量等方面给委托人造成损失的，委托人将要求监理人进行赔偿，累计赔偿总额不应超过监理酬金总额（除去税金）。具体约定为：</w:t>
      </w:r>
    </w:p>
    <w:p w14:paraId="3B0753C0">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① 因监理人原因造成工程投资增加的，委托人将根据工程投资的增加额与原计划投资额的比例，按相应比例双倍扣减监理酬金；若增加工程投资比例超过原计划投资额的</w:t>
      </w:r>
      <w:r>
        <w:rPr>
          <w:rFonts w:hint="eastAsia" w:ascii="宋体" w:hAnsi="宋体" w:cs="宋体"/>
          <w:bCs/>
          <w:color w:val="auto"/>
          <w:kern w:val="0"/>
          <w:szCs w:val="21"/>
          <w:highlight w:val="none"/>
          <w:lang w:bidi="ar"/>
        </w:rPr>
        <w:t>20%</w:t>
      </w:r>
      <w:r>
        <w:rPr>
          <w:rFonts w:hint="eastAsia" w:ascii="宋体" w:hAnsi="宋体" w:cs="宋体"/>
          <w:bCs/>
          <w:snapToGrid w:val="0"/>
          <w:color w:val="auto"/>
          <w:kern w:val="0"/>
          <w:szCs w:val="21"/>
          <w:highlight w:val="none"/>
          <w:lang w:bidi="ar"/>
        </w:rPr>
        <w:t>时，委托人有权单方解除本合同，并要求监理人</w:t>
      </w:r>
      <w:r>
        <w:rPr>
          <w:rFonts w:hint="eastAsia" w:ascii="宋体" w:hAnsi="宋体" w:cs="宋体"/>
          <w:bCs/>
          <w:snapToGrid w:val="0"/>
          <w:color w:val="auto"/>
          <w:kern w:val="0"/>
          <w:szCs w:val="21"/>
          <w:highlight w:val="none"/>
          <w:lang w:val="en-US" w:eastAsia="zh-CN"/>
        </w:rPr>
        <w:t>按本合同专用条件26.1条的约定承担违约责任</w:t>
      </w:r>
      <w:r>
        <w:rPr>
          <w:rFonts w:hint="eastAsia" w:ascii="宋体" w:hAnsi="宋体" w:cs="宋体"/>
          <w:bCs/>
          <w:snapToGrid w:val="0"/>
          <w:color w:val="auto"/>
          <w:kern w:val="0"/>
          <w:szCs w:val="21"/>
          <w:highlight w:val="none"/>
          <w:lang w:bidi="ar"/>
        </w:rPr>
        <w:t>。</w:t>
      </w:r>
    </w:p>
    <w:p w14:paraId="205C9CC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② 因监理人责任导致工期延误，其中分段工期延误日数占该段总工期的</w:t>
      </w:r>
      <w:r>
        <w:rPr>
          <w:rFonts w:hint="eastAsia" w:ascii="宋体" w:hAnsi="宋体" w:cs="宋体"/>
          <w:bCs/>
          <w:color w:val="auto"/>
          <w:kern w:val="0"/>
          <w:szCs w:val="21"/>
          <w:highlight w:val="none"/>
          <w:lang w:bidi="ar"/>
        </w:rPr>
        <w:t>30%</w:t>
      </w:r>
      <w:r>
        <w:rPr>
          <w:rFonts w:hint="eastAsia" w:ascii="宋体" w:hAnsi="宋体" w:cs="宋体"/>
          <w:bCs/>
          <w:snapToGrid w:val="0"/>
          <w:color w:val="auto"/>
          <w:kern w:val="0"/>
          <w:szCs w:val="21"/>
          <w:highlight w:val="none"/>
          <w:lang w:bidi="ar"/>
        </w:rPr>
        <w:t>时，则委托人有权扣除该分段工程监理酬金的</w:t>
      </w:r>
      <w:r>
        <w:rPr>
          <w:rFonts w:hint="eastAsia" w:ascii="宋体" w:hAnsi="宋体" w:cs="宋体"/>
          <w:bCs/>
          <w:color w:val="auto"/>
          <w:kern w:val="0"/>
          <w:szCs w:val="21"/>
          <w:highlight w:val="none"/>
          <w:lang w:bidi="ar"/>
        </w:rPr>
        <w:t>60%</w:t>
      </w:r>
      <w:r>
        <w:rPr>
          <w:rFonts w:hint="eastAsia" w:ascii="宋体" w:hAnsi="宋体" w:cs="宋体"/>
          <w:bCs/>
          <w:snapToGrid w:val="0"/>
          <w:color w:val="auto"/>
          <w:kern w:val="0"/>
          <w:szCs w:val="21"/>
          <w:highlight w:val="none"/>
          <w:lang w:bidi="ar"/>
        </w:rPr>
        <w:t>；分段工期延误日数达到该段总工期的</w:t>
      </w:r>
      <w:r>
        <w:rPr>
          <w:rFonts w:hint="eastAsia" w:ascii="宋体" w:hAnsi="宋体" w:cs="宋体"/>
          <w:bCs/>
          <w:color w:val="auto"/>
          <w:kern w:val="0"/>
          <w:szCs w:val="21"/>
          <w:highlight w:val="none"/>
          <w:lang w:bidi="ar"/>
        </w:rPr>
        <w:t>50%</w:t>
      </w:r>
      <w:r>
        <w:rPr>
          <w:rFonts w:hint="eastAsia" w:ascii="宋体" w:hAnsi="宋体" w:cs="宋体"/>
          <w:bCs/>
          <w:snapToGrid w:val="0"/>
          <w:color w:val="auto"/>
          <w:kern w:val="0"/>
          <w:szCs w:val="21"/>
          <w:highlight w:val="none"/>
          <w:lang w:bidi="ar"/>
        </w:rPr>
        <w:t>时，则委托人有权单方解除本合同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并要求监理人</w:t>
      </w:r>
      <w:r>
        <w:rPr>
          <w:rFonts w:hint="eastAsia" w:ascii="宋体" w:hAnsi="宋体" w:cs="宋体"/>
          <w:bCs/>
          <w:snapToGrid w:val="0"/>
          <w:color w:val="auto"/>
          <w:kern w:val="0"/>
          <w:szCs w:val="21"/>
          <w:highlight w:val="none"/>
          <w:lang w:val="en-US" w:eastAsia="zh-CN"/>
        </w:rPr>
        <w:t>按本合同专用条件26.1条的约定承担违约责任</w:t>
      </w:r>
      <w:r>
        <w:rPr>
          <w:rFonts w:hint="eastAsia" w:ascii="宋体" w:hAnsi="宋体" w:cs="宋体"/>
          <w:bCs/>
          <w:snapToGrid w:val="0"/>
          <w:color w:val="auto"/>
          <w:kern w:val="0"/>
          <w:szCs w:val="21"/>
          <w:highlight w:val="none"/>
          <w:lang w:bidi="ar"/>
        </w:rPr>
        <w:t>。因监理人责任导致工程竣工拖延的，依据拖延的日数，监理人应每日按监理酬金总额的</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向委托人支付违约金。由于监理人责任导致工期延误，致使委托人要承担赔偿第三方责任的，监理人必须承担赔偿委托人由此遭受的</w:t>
      </w:r>
      <w:r>
        <w:rPr>
          <w:rFonts w:hint="eastAsia" w:ascii="宋体" w:hAnsi="宋体" w:cs="宋体"/>
          <w:bCs/>
          <w:snapToGrid w:val="0"/>
          <w:color w:val="auto"/>
          <w:kern w:val="0"/>
          <w:szCs w:val="21"/>
          <w:highlight w:val="none"/>
          <w:lang w:val="en-US" w:eastAsia="zh-CN"/>
        </w:rPr>
        <w:t>全部损失，</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highlight w:val="none"/>
          <w:lang w:bidi="ar"/>
        </w:rPr>
        <w:t>。</w:t>
      </w:r>
    </w:p>
    <w:p w14:paraId="1F5B78C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③ 因监理人责任造成质量事故，需要返工的，监理人应承担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次严重违约责任并双倍扣减该部分的监理酬金，同时监理人应赔偿委托人的实际损失；情节严重的，委托人有权单方面解除合同，并有权要求</w:t>
      </w:r>
      <w:r>
        <w:rPr>
          <w:rFonts w:hint="eastAsia" w:ascii="宋体" w:hAnsi="宋体" w:cs="宋体"/>
          <w:bCs/>
          <w:snapToGrid w:val="0"/>
          <w:color w:val="auto"/>
          <w:kern w:val="0"/>
          <w:szCs w:val="21"/>
          <w:highlight w:val="none"/>
          <w:lang w:val="en-US" w:eastAsia="zh-CN"/>
        </w:rPr>
        <w:t>监理人按本合同专用条件26.1条的约定承担违约责任</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lang w:val="en-US" w:eastAsia="zh-CN"/>
        </w:rPr>
        <w:t>监理人的</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highlight w:val="none"/>
          <w:lang w:bidi="ar"/>
        </w:rPr>
        <w:t>。</w:t>
      </w:r>
    </w:p>
    <w:p w14:paraId="4B94405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④ 因监理人责任导致工程（含各分部、单位及整体工程，下同）质量一次性验收不符合质量目标时，按相应工程占总工程的比例扣除监理人监理酬金；若导致工程质量一次性验收不合格而造成委托人的直接损失达</w:t>
      </w:r>
      <w:r>
        <w:rPr>
          <w:rFonts w:hint="eastAsia" w:ascii="宋体" w:hAnsi="宋体" w:cs="宋体"/>
          <w:bCs/>
          <w:color w:val="auto"/>
          <w:kern w:val="0"/>
          <w:szCs w:val="21"/>
          <w:highlight w:val="none"/>
          <w:lang w:bidi="ar"/>
        </w:rPr>
        <w:t>100</w:t>
      </w:r>
      <w:r>
        <w:rPr>
          <w:rFonts w:hint="eastAsia" w:ascii="宋体" w:hAnsi="宋体" w:cs="宋体"/>
          <w:bCs/>
          <w:snapToGrid w:val="0"/>
          <w:color w:val="auto"/>
          <w:kern w:val="0"/>
          <w:szCs w:val="21"/>
          <w:highlight w:val="none"/>
          <w:lang w:bidi="ar"/>
        </w:rPr>
        <w:t>万元以上时，委托人有权单方解除本合同</w:t>
      </w:r>
      <w:r>
        <w:rPr>
          <w:rFonts w:hint="eastAsia" w:ascii="宋体" w:hAnsi="宋体" w:cs="宋体"/>
          <w:bCs/>
          <w:snapToGrid w:val="0"/>
          <w:color w:val="auto"/>
          <w:kern w:val="0"/>
          <w:szCs w:val="21"/>
          <w:highlight w:val="none"/>
        </w:rPr>
        <w:t>并要求监理人</w:t>
      </w:r>
      <w:r>
        <w:rPr>
          <w:rFonts w:hint="eastAsia" w:ascii="宋体" w:hAnsi="宋体" w:cs="宋体"/>
          <w:bCs/>
          <w:snapToGrid w:val="0"/>
          <w:color w:val="auto"/>
          <w:kern w:val="0"/>
          <w:szCs w:val="21"/>
          <w:highlight w:val="none"/>
          <w:lang w:val="en-US" w:eastAsia="zh-CN"/>
        </w:rPr>
        <w:t>按本合同专用条件26.1条的约定承担违约责任</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lang w:val="en-US" w:eastAsia="zh-CN"/>
        </w:rPr>
        <w:t>监理人的</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highlight w:val="none"/>
        </w:rPr>
        <w:t>。</w:t>
      </w:r>
    </w:p>
    <w:p w14:paraId="7E16905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16</w:t>
      </w:r>
      <w:r>
        <w:rPr>
          <w:rFonts w:hint="eastAsia" w:ascii="宋体" w:hAnsi="宋体" w:cs="宋体"/>
          <w:bCs/>
          <w:snapToGrid w:val="0"/>
          <w:color w:val="auto"/>
          <w:kern w:val="0"/>
          <w:szCs w:val="21"/>
          <w:highlight w:val="none"/>
          <w:lang w:bidi="ar"/>
        </w:rPr>
        <w:t>）监理人提供的《监理规划》和相应的《监理实施细则》，经委托人审核认为未能针对本合同工程特点、难点和重点，需要退回修改的，若连续两次修改后仍未能达到委托人要求的，监理人应承担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w:t>
      </w:r>
    </w:p>
    <w:p w14:paraId="23FF057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17</w:t>
      </w:r>
      <w:r>
        <w:rPr>
          <w:rFonts w:hint="eastAsia" w:ascii="宋体" w:hAnsi="宋体" w:cs="宋体"/>
          <w:bCs/>
          <w:snapToGrid w:val="0"/>
          <w:color w:val="auto"/>
          <w:kern w:val="0"/>
          <w:szCs w:val="21"/>
          <w:highlight w:val="none"/>
          <w:lang w:bidi="ar"/>
        </w:rPr>
        <w:t>）如果监理人在服务期内未能按要求提供本合同约定的监理服务（包括监理人员缺额、监理深度不足及监理资料不齐等），委托人有权酌情扣减监理酬金。</w:t>
      </w:r>
    </w:p>
    <w:p w14:paraId="7E5B5CD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(18)由委托人确定的工程变更、现场签证的总价较监理人审定的总价的差值大于正负</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以上的情况累计出现</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宗以上，监理人应当承担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次一般违约责任。当监理人未在设计变更和现场签证管理办法的时限内完成设计变更和现场签证审批工作，每累计出现</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宗，监理人需提交书面的整改报告，采取有效的整改措施，委托人有权追究监理人承担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次一般违约责任。当增加的总造价超过</w:t>
      </w:r>
      <w:r>
        <w:rPr>
          <w:rFonts w:hint="eastAsia" w:ascii="宋体" w:hAnsi="宋体" w:cs="宋体"/>
          <w:bCs/>
          <w:color w:val="auto"/>
          <w:kern w:val="0"/>
          <w:szCs w:val="21"/>
          <w:highlight w:val="none"/>
          <w:lang w:bidi="ar"/>
        </w:rPr>
        <w:t>50%</w:t>
      </w:r>
      <w:r>
        <w:rPr>
          <w:rFonts w:hint="eastAsia" w:ascii="宋体" w:hAnsi="宋体" w:cs="宋体"/>
          <w:bCs/>
          <w:snapToGrid w:val="0"/>
          <w:color w:val="auto"/>
          <w:kern w:val="0"/>
          <w:szCs w:val="21"/>
          <w:highlight w:val="none"/>
          <w:lang w:bidi="ar"/>
        </w:rPr>
        <w:t>暂列金时，监理人未根据工程实际情况按时提交造价控制预警报告，监理人应当承担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次一般违约责任；当增加的总造价超过暂列金时，监理人未根据工程实际情况按时提交资金使用情况说明，监理人应当承担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次严重违约责任；未按时提交投标清单复核（清标）报告，监理人应当承担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次一般违约责任；未按时提交结算审核报告，监理人应当承担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次严重违约责任。针对以上时限违约，监理人除了承担违约责任，还需在委托人的要求时限内进行整改。</w:t>
      </w:r>
    </w:p>
    <w:p w14:paraId="7B39662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19</w:t>
      </w:r>
      <w:r>
        <w:rPr>
          <w:rFonts w:hint="eastAsia" w:ascii="宋体" w:hAnsi="宋体" w:cs="宋体"/>
          <w:bCs/>
          <w:snapToGrid w:val="0"/>
          <w:color w:val="auto"/>
          <w:kern w:val="0"/>
          <w:szCs w:val="21"/>
          <w:highlight w:val="none"/>
          <w:lang w:bidi="ar"/>
        </w:rPr>
        <w:t>）因监理人原因，造成竣工图纸（包括设备移交资料等）与竣工时现场的实际情况不符，导致相关的工程结算出现偏差，监理人必须承担一般违约责任</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次；如由此可能给委托人造成直接经济损失</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万元（含</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万元）以上的，按严重违约</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次处理；如因监理人故意造成的，则按本合同专用条件第</w:t>
      </w:r>
      <w:r>
        <w:rPr>
          <w:rFonts w:hint="eastAsia" w:ascii="宋体" w:hAnsi="宋体" w:cs="宋体"/>
          <w:bCs/>
          <w:color w:val="auto"/>
          <w:kern w:val="0"/>
          <w:szCs w:val="21"/>
          <w:highlight w:val="none"/>
          <w:lang w:bidi="ar"/>
        </w:rPr>
        <w:t>26.1-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6</w:t>
      </w:r>
      <w:r>
        <w:rPr>
          <w:rFonts w:hint="eastAsia" w:ascii="宋体" w:hAnsi="宋体" w:cs="宋体"/>
          <w:bCs/>
          <w:snapToGrid w:val="0"/>
          <w:color w:val="auto"/>
          <w:kern w:val="0"/>
          <w:szCs w:val="21"/>
          <w:highlight w:val="none"/>
          <w:lang w:bidi="ar"/>
        </w:rPr>
        <w:t>）款执行。</w:t>
      </w:r>
    </w:p>
    <w:p w14:paraId="7CF30CBA">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20</w:t>
      </w:r>
      <w:r>
        <w:rPr>
          <w:rFonts w:hint="eastAsia" w:ascii="宋体" w:hAnsi="宋体" w:cs="宋体"/>
          <w:bCs/>
          <w:snapToGrid w:val="0"/>
          <w:color w:val="auto"/>
          <w:kern w:val="0"/>
          <w:szCs w:val="21"/>
          <w:highlight w:val="none"/>
          <w:lang w:bidi="ar"/>
        </w:rPr>
        <w:t>）监理人根据合同约定对承包人提交的工程结算书（结算资料）进行审核，如最终由监理人审定的结算金额较由政府终审部门或有权审核部门审定的结算金额的偏差率绝对值大于</w:t>
      </w:r>
      <w:r>
        <w:rPr>
          <w:rFonts w:hint="eastAsia" w:ascii="宋体" w:hAnsi="宋体" w:cs="宋体"/>
          <w:bCs/>
          <w:color w:val="auto"/>
          <w:kern w:val="0"/>
          <w:szCs w:val="21"/>
          <w:highlight w:val="none"/>
          <w:lang w:bidi="ar"/>
        </w:rPr>
        <w:t>5%</w:t>
      </w:r>
      <w:r>
        <w:rPr>
          <w:rFonts w:hint="eastAsia" w:ascii="宋体" w:hAnsi="宋体" w:cs="宋体"/>
          <w:bCs/>
          <w:snapToGrid w:val="0"/>
          <w:color w:val="auto"/>
          <w:kern w:val="0"/>
          <w:szCs w:val="21"/>
          <w:highlight w:val="none"/>
          <w:lang w:bidi="ar"/>
        </w:rPr>
        <w:t>，且小于或等于</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，监理人应承担一般违约</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次。如最终由监理人审定的结算金额较由政府终审部门或有权审核部门审定的结算金额的偏差率绝对值大于</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，则由监理人按下列计算方法向委托人支付违约金，最多不超过本合同监理酬金总额的</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w:t>
      </w:r>
    </w:p>
    <w:p w14:paraId="48D691F1">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违约金</w:t>
      </w:r>
      <w:r>
        <w:rPr>
          <w:rFonts w:hint="eastAsia" w:ascii="宋体" w:hAnsi="宋体" w:cs="宋体"/>
          <w:bCs/>
          <w:color w:val="auto"/>
          <w:kern w:val="0"/>
          <w:szCs w:val="21"/>
          <w:highlight w:val="none"/>
          <w:lang w:bidi="ar"/>
        </w:rPr>
        <w:t>=[</w:t>
      </w:r>
      <w:r>
        <w:rPr>
          <w:rFonts w:hint="eastAsia" w:ascii="宋体" w:hAnsi="宋体" w:cs="宋体"/>
          <w:bCs/>
          <w:snapToGrid w:val="0"/>
          <w:color w:val="auto"/>
          <w:kern w:val="0"/>
          <w:szCs w:val="21"/>
          <w:highlight w:val="none"/>
          <w:lang w:bidi="ar"/>
        </w:rPr>
        <w:t>（〡</w:t>
      </w:r>
      <w:r>
        <w:rPr>
          <w:rFonts w:hint="eastAsia" w:ascii="宋体" w:hAnsi="宋体" w:cs="宋体"/>
          <w:bCs/>
          <w:color w:val="auto"/>
          <w:kern w:val="0"/>
          <w:szCs w:val="21"/>
          <w:highlight w:val="none"/>
          <w:lang w:bidi="ar"/>
        </w:rPr>
        <w:t>A</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B</w:t>
      </w:r>
      <w:r>
        <w:rPr>
          <w:rFonts w:hint="eastAsia" w:ascii="宋体" w:hAnsi="宋体" w:cs="宋体"/>
          <w:bCs/>
          <w:snapToGrid w:val="0"/>
          <w:color w:val="auto"/>
          <w:kern w:val="0"/>
          <w:szCs w:val="21"/>
          <w:highlight w:val="none"/>
          <w:lang w:bidi="ar"/>
        </w:rPr>
        <w:t>〡</w:t>
      </w:r>
      <w:r>
        <w:rPr>
          <w:rFonts w:hint="eastAsia" w:ascii="宋体" w:hAnsi="宋体" w:cs="宋体"/>
          <w:bCs/>
          <w:color w:val="auto"/>
          <w:kern w:val="0"/>
          <w:szCs w:val="21"/>
          <w:highlight w:val="none"/>
          <w:lang w:bidi="ar"/>
        </w:rPr>
        <w:t>/B</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%-10%]</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C</w:t>
      </w:r>
    </w:p>
    <w:p w14:paraId="34D03263">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其中：</w:t>
      </w:r>
      <w:r>
        <w:rPr>
          <w:rFonts w:hint="eastAsia" w:ascii="宋体" w:hAnsi="宋体" w:cs="宋体"/>
          <w:bCs/>
          <w:color w:val="auto"/>
          <w:kern w:val="0"/>
          <w:szCs w:val="21"/>
          <w:highlight w:val="none"/>
          <w:lang w:bidi="ar"/>
        </w:rPr>
        <w:t>A-</w:t>
      </w:r>
      <w:r>
        <w:rPr>
          <w:rFonts w:hint="eastAsia" w:ascii="宋体" w:hAnsi="宋体" w:cs="宋体"/>
          <w:bCs/>
          <w:snapToGrid w:val="0"/>
          <w:color w:val="auto"/>
          <w:kern w:val="0"/>
          <w:szCs w:val="21"/>
          <w:highlight w:val="none"/>
          <w:lang w:bidi="ar"/>
        </w:rPr>
        <w:t>监理人审定的工程结算金额；</w:t>
      </w:r>
    </w:p>
    <w:p w14:paraId="724E83A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B-政府结算终审部门（或有权审核部门）审定的工程结算金额；</w:t>
      </w:r>
    </w:p>
    <w:p w14:paraId="720AB04E">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C-监理合同酬金总额。</w:t>
      </w:r>
    </w:p>
    <w:p w14:paraId="688BA69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26.4.3其他方面的违约责任：</w:t>
      </w:r>
    </w:p>
    <w:p w14:paraId="2E2C26F0">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）监理人必须加强对监理人员职业操守、廉政建设的培训和教育，本项目监理人员需共同遵守监理人员职业道德守则，并严格遵守以下规定：</w:t>
      </w:r>
    </w:p>
    <w:p w14:paraId="0D7FB4B6">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1）禁止向委托人及承包人推销材料、设备，或以倾向性、排他性变相推销；</w:t>
      </w:r>
    </w:p>
    <w:p w14:paraId="6B9C1D64">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2）禁止与承包人串通，对不合格材料、产品、工程进行包庇及验收；</w:t>
      </w:r>
    </w:p>
    <w:p w14:paraId="166170B8">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3）禁止与承包人串通，对材料用量、工程量进行虚假签认；</w:t>
      </w:r>
    </w:p>
    <w:p w14:paraId="4C93F21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4）禁止与承包人串通，不合理提高施工难度及增加材料用量，以增大施工费用，获取不正当收益。</w:t>
      </w:r>
    </w:p>
    <w:p w14:paraId="7A8F044C">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5）禁止接受承包人的请吃送礼或变相受礼；</w:t>
      </w:r>
    </w:p>
    <w:p w14:paraId="0614DC9B">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6）禁止向承包人介绍分包或推销材料、设备等；</w:t>
      </w:r>
    </w:p>
    <w:p w14:paraId="2F07952A">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7）禁止故意刁难承包人以谋取私利，损害委托人的合法利益。</w:t>
      </w:r>
    </w:p>
    <w:p w14:paraId="48037082">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凡违反以上任一规定者，一经查实，监理人应立即清退该监理人员，并按</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次严重违约处理，情节严重的，委托人有权部分或全部解除合同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要求监理人按本合同专用条件26.1条的约定承担违约责任，</w:t>
      </w:r>
      <w:r>
        <w:rPr>
          <w:rFonts w:hint="eastAsia" w:ascii="宋体" w:hAnsi="宋体" w:cs="宋体"/>
          <w:bCs/>
          <w:snapToGrid w:val="0"/>
          <w:color w:val="auto"/>
          <w:kern w:val="0"/>
          <w:szCs w:val="21"/>
          <w:highlight w:val="none"/>
          <w:lang w:bidi="ar"/>
        </w:rPr>
        <w:t>并有权向有关部门反映情况，追究监理人及有关责任人相关责任，要求赔偿相应损失，同时将上述违反职业道德的行为通过新闻媒体公诸于众，情节严重者移交司法机关追究法律责任</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监理人的</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highlight w:val="none"/>
          <w:lang w:bidi="ar"/>
        </w:rPr>
        <w:t>。</w:t>
      </w:r>
    </w:p>
    <w:p w14:paraId="4660954A">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2</w:t>
      </w:r>
      <w:r>
        <w:rPr>
          <w:rFonts w:hint="eastAsia" w:ascii="宋体" w:hAnsi="宋体" w:cs="宋体"/>
          <w:bCs/>
          <w:snapToGrid w:val="0"/>
          <w:color w:val="auto"/>
          <w:kern w:val="0"/>
          <w:szCs w:val="21"/>
          <w:highlight w:val="none"/>
          <w:lang w:bidi="ar"/>
        </w:rPr>
        <w:t>）监理人违约行为的直接责任人，其违约行为达到严重违约（或相当于严重违约）</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次，主管人员因其下属的严重违约（或相当于严重违约）累计次数达到</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次，则委托人有权认为该直接责任人或主管人员已不适于继续担任本合同工程的监理工作，并有权要求监理人限期更换该人员，监理人必须无条件接受，并承担由此引起的后果及费用；如监理人拒不执行，则自收到委托人的更换要求</w:t>
      </w:r>
      <w:r>
        <w:rPr>
          <w:rFonts w:hint="eastAsia" w:ascii="宋体" w:hAnsi="宋体" w:cs="宋体"/>
          <w:bCs/>
          <w:color w:val="auto"/>
          <w:kern w:val="0"/>
          <w:szCs w:val="21"/>
          <w:highlight w:val="none"/>
          <w:lang w:bidi="ar"/>
        </w:rPr>
        <w:t>7</w:t>
      </w:r>
      <w:r>
        <w:rPr>
          <w:rFonts w:hint="eastAsia" w:ascii="宋体" w:hAnsi="宋体" w:cs="宋体"/>
          <w:bCs/>
          <w:snapToGrid w:val="0"/>
          <w:color w:val="auto"/>
          <w:kern w:val="0"/>
          <w:szCs w:val="21"/>
          <w:highlight w:val="none"/>
          <w:lang w:bidi="ar"/>
        </w:rPr>
        <w:t>日后，委托人可认为该岗位已空缺，并按本合同专用条件第</w:t>
      </w:r>
      <w:r>
        <w:rPr>
          <w:rFonts w:hint="eastAsia" w:ascii="宋体" w:hAnsi="宋体" w:cs="宋体"/>
          <w:bCs/>
          <w:color w:val="auto"/>
          <w:kern w:val="0"/>
          <w:szCs w:val="21"/>
          <w:highlight w:val="none"/>
          <w:lang w:bidi="ar"/>
        </w:rPr>
        <w:t>26.4.1-</w:t>
      </w: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）款的约定处理。</w:t>
      </w:r>
    </w:p>
    <w:p w14:paraId="087CE24E">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w:t>
      </w:r>
      <w:r>
        <w:rPr>
          <w:rFonts w:hint="eastAsia" w:ascii="宋体" w:hAnsi="宋体" w:cs="宋体"/>
          <w:bCs/>
          <w:color w:val="auto"/>
          <w:kern w:val="0"/>
          <w:szCs w:val="21"/>
          <w:highlight w:val="none"/>
          <w:lang w:bidi="ar"/>
        </w:rPr>
        <w:t>3</w:t>
      </w:r>
      <w:r>
        <w:rPr>
          <w:rFonts w:hint="eastAsia" w:ascii="宋体" w:hAnsi="宋体" w:cs="宋体"/>
          <w:bCs/>
          <w:snapToGrid w:val="0"/>
          <w:color w:val="auto"/>
          <w:kern w:val="0"/>
          <w:szCs w:val="21"/>
          <w:highlight w:val="none"/>
          <w:lang w:bidi="ar"/>
        </w:rPr>
        <w:t>）除上述约定之外，监理人有违反合同约定的其他义务的，均构成违约，委托人有权视具体情况给予书面警告并限期改正，监理人拒不限期改正的，应承担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次一般违约责任，情节严重的，应承担</w:t>
      </w:r>
      <w:r>
        <w:rPr>
          <w:rFonts w:hint="eastAsia" w:ascii="宋体" w:hAnsi="宋体" w:cs="宋体"/>
          <w:bCs/>
          <w:color w:val="auto"/>
          <w:kern w:val="0"/>
          <w:szCs w:val="21"/>
          <w:highlight w:val="none"/>
          <w:lang w:bidi="ar"/>
        </w:rPr>
        <w:t>1</w:t>
      </w:r>
      <w:r>
        <w:rPr>
          <w:rFonts w:hint="eastAsia" w:ascii="宋体" w:hAnsi="宋体" w:cs="宋体"/>
          <w:bCs/>
          <w:snapToGrid w:val="0"/>
          <w:color w:val="auto"/>
          <w:kern w:val="0"/>
          <w:szCs w:val="21"/>
          <w:highlight w:val="none"/>
          <w:lang w:bidi="ar"/>
        </w:rPr>
        <w:t>次严重违约责任。</w:t>
      </w:r>
    </w:p>
    <w:p w14:paraId="572C83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26.5监理人违约责任的认定方式及送达程序：</w:t>
      </w:r>
    </w:p>
    <w:p w14:paraId="15DEEB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26.5.1认定方式：以委托人发出的通知、通报、会议纪要等书面文件确定的内容为准。</w:t>
      </w:r>
    </w:p>
    <w:p w14:paraId="1531FB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26.5.2送达程序：委托人以下列方式之一将书面违约处理决定送达监理人：</w:t>
      </w:r>
    </w:p>
    <w:p w14:paraId="446728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w:t>
      </w:r>
      <w:r>
        <w:rPr>
          <w:rFonts w:hint="eastAsia" w:ascii="宋体" w:hAnsi="宋体" w:cs="宋体"/>
          <w:color w:val="auto"/>
          <w:szCs w:val="21"/>
          <w:highlight w:val="none"/>
          <w:lang w:bidi="ar"/>
        </w:rPr>
        <w:t>1</w:t>
      </w:r>
      <w:r>
        <w:rPr>
          <w:rFonts w:hint="eastAsia" w:ascii="宋体" w:hAnsi="宋体" w:cs="宋体"/>
          <w:snapToGrid w:val="0"/>
          <w:color w:val="auto"/>
          <w:szCs w:val="21"/>
          <w:highlight w:val="none"/>
          <w:lang w:bidi="ar"/>
        </w:rPr>
        <w:t>）监理人现场管理机构工作人员签收。</w:t>
      </w:r>
    </w:p>
    <w:p w14:paraId="12BEF2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w:t>
      </w:r>
      <w:r>
        <w:rPr>
          <w:rFonts w:hint="eastAsia" w:ascii="宋体" w:hAnsi="宋体" w:cs="宋体"/>
          <w:color w:val="auto"/>
          <w:szCs w:val="21"/>
          <w:highlight w:val="none"/>
          <w:lang w:bidi="ar"/>
        </w:rPr>
        <w:t>2</w:t>
      </w:r>
      <w:r>
        <w:rPr>
          <w:rFonts w:hint="eastAsia" w:ascii="宋体" w:hAnsi="宋体" w:cs="宋体"/>
          <w:snapToGrid w:val="0"/>
          <w:color w:val="auto"/>
          <w:szCs w:val="21"/>
          <w:highlight w:val="none"/>
          <w:lang w:bidi="ar"/>
        </w:rPr>
        <w:t>）监理人其他工作人员签收。</w:t>
      </w:r>
    </w:p>
    <w:p w14:paraId="4AFBDE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w:t>
      </w:r>
      <w:r>
        <w:rPr>
          <w:rFonts w:hint="eastAsia" w:ascii="宋体" w:hAnsi="宋体" w:cs="宋体"/>
          <w:color w:val="auto"/>
          <w:szCs w:val="21"/>
          <w:highlight w:val="none"/>
          <w:lang w:bidi="ar"/>
        </w:rPr>
        <w:t>3</w:t>
      </w:r>
      <w:r>
        <w:rPr>
          <w:rFonts w:hint="eastAsia" w:ascii="宋体" w:hAnsi="宋体" w:cs="宋体"/>
          <w:snapToGrid w:val="0"/>
          <w:color w:val="auto"/>
          <w:szCs w:val="21"/>
          <w:highlight w:val="none"/>
          <w:lang w:bidi="ar"/>
        </w:rPr>
        <w:t>）委托人邮寄送达。</w:t>
      </w:r>
    </w:p>
    <w:p w14:paraId="05DD514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26.5.3委托人以书面形式作出的违约处理决定一经送达监理人立即生效。监理人如有足够证据证明不应由其承担违约责任的，应在收到违约处理决定后</w:t>
      </w:r>
      <w:r>
        <w:rPr>
          <w:rFonts w:hint="eastAsia" w:ascii="宋体" w:hAnsi="宋体" w:cs="宋体"/>
          <w:color w:val="auto"/>
          <w:szCs w:val="21"/>
          <w:highlight w:val="none"/>
          <w:lang w:bidi="ar"/>
        </w:rPr>
        <w:t>3</w:t>
      </w:r>
      <w:r>
        <w:rPr>
          <w:rFonts w:hint="eastAsia" w:ascii="宋体" w:hAnsi="宋体" w:cs="宋体"/>
          <w:snapToGrid w:val="0"/>
          <w:color w:val="auto"/>
          <w:szCs w:val="21"/>
          <w:highlight w:val="none"/>
          <w:lang w:bidi="ar"/>
        </w:rPr>
        <w:t>日内以书面形式向委托人提出异议并附上有关证据；委托人在收到监理人的异议后</w:t>
      </w:r>
      <w:r>
        <w:rPr>
          <w:rFonts w:hint="eastAsia" w:ascii="宋体" w:hAnsi="宋体" w:cs="宋体"/>
          <w:color w:val="auto"/>
          <w:szCs w:val="21"/>
          <w:highlight w:val="none"/>
          <w:lang w:bidi="ar"/>
        </w:rPr>
        <w:t>15</w:t>
      </w:r>
      <w:r>
        <w:rPr>
          <w:rFonts w:hint="eastAsia" w:ascii="宋体" w:hAnsi="宋体" w:cs="宋体"/>
          <w:snapToGrid w:val="0"/>
          <w:color w:val="auto"/>
          <w:szCs w:val="21"/>
          <w:highlight w:val="none"/>
          <w:lang w:bidi="ar"/>
        </w:rPr>
        <w:t>日内审核完毕且作出书面决定并通知监理人。</w:t>
      </w:r>
    </w:p>
    <w:p w14:paraId="01DFDDF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szCs w:val="21"/>
          <w:highlight w:val="none"/>
          <w:lang w:bidi="ar"/>
        </w:rPr>
        <w:t>26.5.4监理人承诺严格按照合同和招投标文件规定履行义务，并同意委托人将其执行国家强制性规范、标准和履行合同、招投标文件义务的情况（包括但不限于由委托人组织的考核、考评通报、违约责任处理决定等）在委托人网站或其他媒体上公开披露。</w:t>
      </w:r>
    </w:p>
    <w:p w14:paraId="4D6CB7A0">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26.6监理人违约罚款的扣除方式</w:t>
      </w:r>
    </w:p>
    <w:p w14:paraId="7C38A3DE">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监理人违约罚款一经生效，委托人可以在下期的监理费中予以扣除，或者在监理费结算时一并扣减。</w:t>
      </w:r>
    </w:p>
    <w:p w14:paraId="64FF653A">
      <w:pPr>
        <w:adjustRightInd w:val="0"/>
        <w:snapToGrid w:val="0"/>
        <w:spacing w:line="360" w:lineRule="auto"/>
        <w:ind w:firstLine="413" w:firstLineChars="196"/>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第二十七条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27</w:t>
      </w:r>
      <w:r>
        <w:rPr>
          <w:rFonts w:hint="eastAsia" w:ascii="宋体" w:hAnsi="宋体" w:cs="宋体"/>
          <w:snapToGrid w:val="0"/>
          <w:color w:val="auto"/>
          <w:kern w:val="0"/>
          <w:szCs w:val="21"/>
          <w:highlight w:val="none"/>
          <w:lang w:bidi="ar"/>
        </w:rPr>
        <w:t>条的约定，监理人对承包人违反合同约定的质量、安全、文明施工等方面的要求时，监理人应按照本合同专用条件第</w:t>
      </w:r>
      <w:r>
        <w:rPr>
          <w:rFonts w:hint="eastAsia" w:ascii="宋体" w:hAnsi="宋体" w:cs="宋体"/>
          <w:color w:val="auto"/>
          <w:kern w:val="0"/>
          <w:szCs w:val="21"/>
          <w:highlight w:val="none"/>
          <w:lang w:bidi="ar"/>
        </w:rPr>
        <w:t>26.4.2-</w:t>
      </w: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7</w:t>
      </w:r>
      <w:r>
        <w:rPr>
          <w:rFonts w:hint="eastAsia" w:ascii="宋体" w:hAnsi="宋体" w:cs="宋体"/>
          <w:snapToGrid w:val="0"/>
          <w:color w:val="auto"/>
          <w:kern w:val="0"/>
          <w:szCs w:val="21"/>
          <w:highlight w:val="none"/>
          <w:lang w:bidi="ar"/>
        </w:rPr>
        <w:t>）、（</w:t>
      </w:r>
      <w:r>
        <w:rPr>
          <w:rFonts w:hint="eastAsia" w:ascii="宋体" w:hAnsi="宋体" w:cs="宋体"/>
          <w:color w:val="auto"/>
          <w:kern w:val="0"/>
          <w:szCs w:val="21"/>
          <w:highlight w:val="none"/>
          <w:lang w:bidi="ar"/>
        </w:rPr>
        <w:t>14</w:t>
      </w:r>
      <w:r>
        <w:rPr>
          <w:rFonts w:hint="eastAsia" w:ascii="宋体" w:hAnsi="宋体" w:cs="宋体"/>
          <w:snapToGrid w:val="0"/>
          <w:color w:val="auto"/>
          <w:kern w:val="0"/>
          <w:szCs w:val="21"/>
          <w:highlight w:val="none"/>
          <w:lang w:bidi="ar"/>
        </w:rPr>
        <w:t>）款的有关约定承担违约责任，除非有充分的证据证明监理人严格履行了本合同的责任和义务且上述问题的发生仅为承包人自身原因所致。</w:t>
      </w:r>
    </w:p>
    <w:p w14:paraId="09D84363">
      <w:pPr>
        <w:adjustRightInd w:val="0"/>
        <w:snapToGrid w:val="0"/>
        <w:spacing w:line="360" w:lineRule="auto"/>
        <w:ind w:left="43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第二十九条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委托人的违约责任：</w:t>
      </w:r>
    </w:p>
    <w:p w14:paraId="7659ACA1">
      <w:pPr>
        <w:adjustRightInd w:val="0"/>
        <w:snapToGrid w:val="0"/>
        <w:spacing w:line="360" w:lineRule="auto"/>
        <w:ind w:right="11" w:firstLine="403" w:firstLineChars="192"/>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29.1监理人充分理解财政资金的拨付规定，委托人已按约定向财政部门递交监理酬金支付证明资料的，则监理人不得以监理酬金未及时到账的原因追究委托人违约责任。</w:t>
      </w:r>
    </w:p>
    <w:p w14:paraId="1F3FE0D7">
      <w:pPr>
        <w:adjustRightInd w:val="0"/>
        <w:snapToGrid w:val="0"/>
        <w:spacing w:line="360" w:lineRule="auto"/>
        <w:ind w:right="11" w:firstLine="403" w:firstLineChars="192"/>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29.2因委托人原因给监理人造成损失的，在监理人能够提交足够证据并经查证属实的情况下，委托人应赔偿其直接经济损失。</w:t>
      </w:r>
    </w:p>
    <w:p w14:paraId="78D273E2">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第三十一条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31</w:t>
      </w:r>
      <w:r>
        <w:rPr>
          <w:rFonts w:hint="eastAsia" w:ascii="宋体" w:hAnsi="宋体" w:cs="宋体"/>
          <w:snapToGrid w:val="0"/>
          <w:color w:val="auto"/>
          <w:kern w:val="0"/>
          <w:szCs w:val="21"/>
          <w:highlight w:val="none"/>
          <w:lang w:bidi="ar"/>
        </w:rPr>
        <w:t>条的约定，由于委托人或承包人的原因使监理工作受到阻碍或延误，则监理人应当将此情况与可能产生的影响及时通知委托人，完成监理业务的时间相应延长，监理人的酬金不变。</w:t>
      </w:r>
    </w:p>
    <w:p w14:paraId="2484CFAB">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第三十二条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32</w:t>
      </w:r>
      <w:r>
        <w:rPr>
          <w:rFonts w:hint="eastAsia" w:ascii="宋体" w:hAnsi="宋体" w:cs="宋体"/>
          <w:snapToGrid w:val="0"/>
          <w:color w:val="auto"/>
          <w:kern w:val="0"/>
          <w:szCs w:val="21"/>
          <w:highlight w:val="none"/>
          <w:lang w:bidi="ar"/>
        </w:rPr>
        <w:t>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14:paraId="2DCAEDF3">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第三十三条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33</w:t>
      </w:r>
      <w:r>
        <w:rPr>
          <w:rFonts w:hint="eastAsia" w:ascii="宋体" w:hAnsi="宋体" w:cs="宋体"/>
          <w:snapToGrid w:val="0"/>
          <w:color w:val="auto"/>
          <w:kern w:val="0"/>
          <w:szCs w:val="21"/>
          <w:highlight w:val="none"/>
          <w:lang w:bidi="ar"/>
        </w:rPr>
        <w:t>条的约定，本合同的有效期一直至本合同工程保修期间届满、竣工结算完成且双方的责任、义务履行完毕时才终止。本合同工程保修期间，监理人仍须承担监理责任。</w:t>
      </w:r>
    </w:p>
    <w:p w14:paraId="38CADE5C">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第三十四条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34</w:t>
      </w:r>
      <w:r>
        <w:rPr>
          <w:rFonts w:hint="eastAsia" w:ascii="宋体" w:hAnsi="宋体" w:cs="宋体"/>
          <w:snapToGrid w:val="0"/>
          <w:color w:val="auto"/>
          <w:kern w:val="0"/>
          <w:szCs w:val="21"/>
          <w:highlight w:val="none"/>
          <w:lang w:bidi="ar"/>
        </w:rPr>
        <w:t>条的约定，本合同未经双方协商一致，不得变更或解除。委托人根据本合同的约定单方面部分或全部解除本合同的，自委托人书面通知监理人时起部分或全部解除本合同即生效。</w:t>
      </w:r>
    </w:p>
    <w:p w14:paraId="14FA330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本合同的修改（包括服务范围的修改），只能以双方书面同意的方式进行。由于财政投资项目施工过程的特殊性，委托人有调整局部服务范围的权利，即部分解除或部分增加服务范围。监理费最终按财政评审后的监理范围内的施工合同结算总价为施工监理服务收费的计费额进行结算，但浮动幅度值不调整，且最终监理费总价不超过本工程监理酬金暂定合同总价。</w:t>
      </w:r>
    </w:p>
    <w:p w14:paraId="35456F0F">
      <w:pPr>
        <w:adjustRightInd w:val="0"/>
        <w:snapToGrid w:val="0"/>
        <w:spacing w:line="360" w:lineRule="auto"/>
        <w:ind w:left="43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第三十五条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35</w:t>
      </w:r>
      <w:r>
        <w:rPr>
          <w:rFonts w:hint="eastAsia" w:ascii="宋体" w:hAnsi="宋体" w:cs="宋体"/>
          <w:snapToGrid w:val="0"/>
          <w:color w:val="auto"/>
          <w:kern w:val="0"/>
          <w:szCs w:val="21"/>
          <w:highlight w:val="none"/>
          <w:lang w:bidi="ar"/>
        </w:rPr>
        <w:t>条的约定。</w:t>
      </w:r>
    </w:p>
    <w:p w14:paraId="6AEF83AB">
      <w:pPr>
        <w:adjustRightInd w:val="0"/>
        <w:snapToGrid w:val="0"/>
        <w:spacing w:line="360" w:lineRule="auto"/>
        <w:ind w:left="430"/>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第三十六条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36</w:t>
      </w:r>
      <w:r>
        <w:rPr>
          <w:rFonts w:hint="eastAsia" w:ascii="宋体" w:hAnsi="宋体" w:cs="宋体"/>
          <w:snapToGrid w:val="0"/>
          <w:color w:val="auto"/>
          <w:kern w:val="0"/>
          <w:szCs w:val="21"/>
          <w:highlight w:val="none"/>
          <w:lang w:bidi="ar"/>
        </w:rPr>
        <w:t>条的约定。</w:t>
      </w:r>
    </w:p>
    <w:p w14:paraId="4D8EE884">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napToGrid w:val="0"/>
          <w:color w:val="auto"/>
          <w:kern w:val="0"/>
          <w:szCs w:val="21"/>
          <w:highlight w:val="none"/>
          <w:lang w:bidi="ar"/>
        </w:rPr>
        <w:t>第三十七条</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37</w:t>
      </w:r>
      <w:r>
        <w:rPr>
          <w:rFonts w:hint="eastAsia" w:ascii="宋体" w:hAnsi="宋体" w:cs="宋体"/>
          <w:snapToGrid w:val="0"/>
          <w:color w:val="auto"/>
          <w:kern w:val="0"/>
          <w:szCs w:val="21"/>
          <w:highlight w:val="none"/>
          <w:lang w:bidi="ar"/>
        </w:rPr>
        <w:t>条的约定，当委托人认为监理人无正当理由而又未履行监理义务时，按本合同专用条件第</w:t>
      </w:r>
      <w:r>
        <w:rPr>
          <w:rFonts w:hint="eastAsia" w:ascii="宋体" w:hAnsi="宋体" w:cs="宋体"/>
          <w:color w:val="auto"/>
          <w:kern w:val="0"/>
          <w:szCs w:val="21"/>
          <w:highlight w:val="none"/>
          <w:lang w:bidi="ar"/>
        </w:rPr>
        <w:t>26</w:t>
      </w:r>
      <w:r>
        <w:rPr>
          <w:rFonts w:hint="eastAsia" w:ascii="宋体" w:hAnsi="宋体" w:cs="宋体"/>
          <w:snapToGrid w:val="0"/>
          <w:color w:val="auto"/>
          <w:kern w:val="0"/>
          <w:szCs w:val="21"/>
          <w:highlight w:val="none"/>
          <w:lang w:bidi="ar"/>
        </w:rPr>
        <w:t>条的约定处理。</w:t>
      </w:r>
    </w:p>
    <w:p w14:paraId="32CAE8D4">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第三十九条</w:t>
      </w:r>
      <w:r>
        <w:rPr>
          <w:rFonts w:hint="eastAsia" w:ascii="宋体" w:hAnsi="宋体" w:cs="宋体"/>
          <w:b/>
          <w:color w:val="auto"/>
          <w:kern w:val="0"/>
          <w:szCs w:val="21"/>
          <w:highlight w:val="none"/>
          <w:lang w:bidi="ar"/>
        </w:rPr>
        <w:t xml:space="preserve">  </w:t>
      </w:r>
      <w:r>
        <w:rPr>
          <w:rFonts w:hint="eastAsia" w:ascii="宋体" w:hAnsi="宋体" w:cs="宋体"/>
          <w:bCs/>
          <w:snapToGrid w:val="0"/>
          <w:color w:val="auto"/>
          <w:kern w:val="0"/>
          <w:szCs w:val="21"/>
          <w:highlight w:val="none"/>
          <w:lang w:bidi="ar"/>
        </w:rPr>
        <w:t>双方一致同意不适用本合同标准条件第</w:t>
      </w:r>
      <w:r>
        <w:rPr>
          <w:rFonts w:hint="eastAsia" w:ascii="宋体" w:hAnsi="宋体" w:cs="宋体"/>
          <w:bCs/>
          <w:color w:val="auto"/>
          <w:kern w:val="0"/>
          <w:szCs w:val="21"/>
          <w:highlight w:val="none"/>
          <w:lang w:bidi="ar"/>
        </w:rPr>
        <w:t>39</w:t>
      </w:r>
      <w:r>
        <w:rPr>
          <w:rFonts w:hint="eastAsia" w:ascii="宋体" w:hAnsi="宋体" w:cs="宋体"/>
          <w:bCs/>
          <w:snapToGrid w:val="0"/>
          <w:color w:val="auto"/>
          <w:kern w:val="0"/>
          <w:szCs w:val="21"/>
          <w:highlight w:val="none"/>
          <w:lang w:bidi="ar"/>
        </w:rPr>
        <w:t>条的约定，监理酬金的计算方法、支付时间与金额按委托监理协议书第三条的约定执行。</w:t>
      </w:r>
    </w:p>
    <w:p w14:paraId="3F4DE230">
      <w:pPr>
        <w:adjustRightInd w:val="0"/>
        <w:snapToGrid w:val="0"/>
        <w:spacing w:line="360" w:lineRule="auto"/>
        <w:ind w:firstLine="413" w:firstLineChars="196"/>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bidi="ar"/>
        </w:rPr>
        <w:t>第四十一条</w:t>
      </w:r>
      <w:r>
        <w:rPr>
          <w:rFonts w:hint="eastAsia" w:ascii="宋体" w:hAnsi="宋体" w:cs="宋体"/>
          <w:bCs/>
          <w:color w:val="auto"/>
          <w:kern w:val="0"/>
          <w:szCs w:val="21"/>
          <w:highlight w:val="none"/>
          <w:lang w:bidi="ar"/>
        </w:rPr>
        <w:t xml:space="preserve">  </w:t>
      </w:r>
      <w:r>
        <w:rPr>
          <w:rFonts w:hint="eastAsia" w:ascii="宋体" w:hAnsi="宋体" w:cs="宋体"/>
          <w:bCs/>
          <w:snapToGrid w:val="0"/>
          <w:color w:val="auto"/>
          <w:spacing w:val="-4"/>
          <w:kern w:val="0"/>
          <w:szCs w:val="21"/>
          <w:highlight w:val="none"/>
          <w:lang w:bidi="ar"/>
        </w:rPr>
        <w:t>委托人与监理人双方同意用人民币支付本合同涉及的相关款项。</w:t>
      </w:r>
    </w:p>
    <w:p w14:paraId="267E33B2">
      <w:pPr>
        <w:tabs>
          <w:tab w:val="left" w:pos="1800"/>
        </w:tabs>
        <w:adjustRightInd w:val="0"/>
        <w:snapToGrid w:val="0"/>
        <w:spacing w:line="360" w:lineRule="auto"/>
        <w:ind w:firstLine="413" w:firstLineChars="196"/>
        <w:rPr>
          <w:rFonts w:hint="eastAsia" w:ascii="宋体" w:hAnsi="宋体" w:cs="宋体"/>
          <w:b/>
          <w:color w:val="auto"/>
          <w:kern w:val="0"/>
          <w:szCs w:val="21"/>
          <w:highlight w:val="none"/>
        </w:rPr>
      </w:pPr>
      <w:r>
        <w:rPr>
          <w:rFonts w:hint="eastAsia" w:ascii="宋体" w:hAnsi="宋体" w:cs="宋体"/>
          <w:b/>
          <w:snapToGrid w:val="0"/>
          <w:color w:val="auto"/>
          <w:kern w:val="0"/>
          <w:szCs w:val="21"/>
          <w:highlight w:val="none"/>
          <w:lang w:bidi="ar"/>
        </w:rPr>
        <w:t>第四十二条</w:t>
      </w:r>
      <w:r>
        <w:rPr>
          <w:rFonts w:hint="eastAsia" w:ascii="宋体" w:hAnsi="宋体" w:cs="宋体"/>
          <w:b/>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42</w:t>
      </w:r>
      <w:r>
        <w:rPr>
          <w:rFonts w:hint="eastAsia" w:ascii="宋体" w:hAnsi="宋体" w:cs="宋体"/>
          <w:snapToGrid w:val="0"/>
          <w:color w:val="auto"/>
          <w:kern w:val="0"/>
          <w:szCs w:val="21"/>
          <w:highlight w:val="none"/>
          <w:lang w:bidi="ar"/>
        </w:rPr>
        <w:t>条的约定。监理人应在委托人每期办理财政集中支付手续前【 】个工作日向委托人提供与当期应付款项等额的合法有效的国家</w:t>
      </w:r>
      <w:r>
        <w:rPr>
          <w:rFonts w:hint="eastAsia" w:ascii="宋体" w:hAnsi="宋体" w:cs="宋体"/>
          <w:snapToGrid w:val="0"/>
          <w:color w:val="auto"/>
          <w:kern w:val="0"/>
          <w:szCs w:val="21"/>
          <w:highlight w:val="none"/>
          <w:lang w:val="en-US" w:eastAsia="zh-CN" w:bidi="ar"/>
        </w:rPr>
        <w:t>增值税</w:t>
      </w:r>
      <w:r>
        <w:rPr>
          <w:rFonts w:hint="eastAsia" w:ascii="宋体" w:hAnsi="宋体" w:cs="宋体"/>
          <w:snapToGrid w:val="0"/>
          <w:color w:val="auto"/>
          <w:kern w:val="0"/>
          <w:szCs w:val="21"/>
          <w:highlight w:val="none"/>
          <w:lang w:bidi="ar"/>
        </w:rPr>
        <w:t>发票及书面付款申请（一式四份），以供委托人审核确认后办理财政集中支付手续。委托人在收到监理人附有证明材料的付款申请并经委托人审核确认后</w:t>
      </w:r>
      <w:r>
        <w:rPr>
          <w:rFonts w:hint="eastAsia" w:ascii="宋体" w:hAnsi="宋体" w:cs="宋体"/>
          <w:color w:val="auto"/>
          <w:kern w:val="0"/>
          <w:szCs w:val="21"/>
          <w:highlight w:val="none"/>
          <w:lang w:bidi="ar"/>
        </w:rPr>
        <w:t>30</w:t>
      </w:r>
      <w:r>
        <w:rPr>
          <w:rFonts w:hint="eastAsia" w:ascii="宋体" w:hAnsi="宋体" w:cs="宋体"/>
          <w:snapToGrid w:val="0"/>
          <w:color w:val="auto"/>
          <w:kern w:val="0"/>
          <w:szCs w:val="21"/>
          <w:highlight w:val="none"/>
          <w:lang w:bidi="ar"/>
        </w:rPr>
        <w:t>日内进行支付。</w:t>
      </w:r>
    </w:p>
    <w:p w14:paraId="2419A1FF">
      <w:pPr>
        <w:adjustRightInd w:val="0"/>
        <w:snapToGrid w:val="0"/>
        <w:spacing w:line="360" w:lineRule="auto"/>
        <w:ind w:firstLine="413" w:firstLineChars="196"/>
        <w:rPr>
          <w:rFonts w:hint="eastAsia" w:ascii="宋体" w:hAnsi="宋体" w:cs="宋体"/>
          <w:color w:val="auto"/>
          <w:kern w:val="0"/>
          <w:szCs w:val="21"/>
          <w:highlight w:val="none"/>
        </w:rPr>
      </w:pPr>
      <w:r>
        <w:rPr>
          <w:rFonts w:hint="eastAsia" w:ascii="宋体" w:hAnsi="宋体" w:cs="宋体"/>
          <w:b/>
          <w:smallCaps/>
          <w:snapToGrid w:val="0"/>
          <w:color w:val="auto"/>
          <w:kern w:val="0"/>
          <w:szCs w:val="21"/>
          <w:highlight w:val="none"/>
          <w:lang w:bidi="ar"/>
        </w:rPr>
        <w:t>第四十三条</w:t>
      </w:r>
      <w:r>
        <w:rPr>
          <w:rFonts w:hint="eastAsia" w:ascii="宋体" w:hAnsi="宋体" w:cs="宋体"/>
          <w:b/>
          <w:smallCaps/>
          <w:color w:val="auto"/>
          <w:kern w:val="0"/>
          <w:szCs w:val="21"/>
          <w:highlight w:val="none"/>
          <w:lang w:bidi="ar"/>
        </w:rPr>
        <w:t xml:space="preserve">  </w:t>
      </w:r>
      <w:r>
        <w:rPr>
          <w:rFonts w:hint="eastAsia" w:ascii="宋体" w:hAnsi="宋体" w:cs="宋体"/>
          <w:snapToGrid w:val="0"/>
          <w:color w:val="auto"/>
          <w:kern w:val="0"/>
          <w:szCs w:val="21"/>
          <w:highlight w:val="none"/>
          <w:lang w:bidi="ar"/>
        </w:rPr>
        <w:t>双方一致同意不适用本合同标准条件第</w:t>
      </w:r>
      <w:r>
        <w:rPr>
          <w:rFonts w:hint="eastAsia" w:ascii="宋体" w:hAnsi="宋体" w:cs="宋体"/>
          <w:color w:val="auto"/>
          <w:kern w:val="0"/>
          <w:szCs w:val="21"/>
          <w:highlight w:val="none"/>
          <w:lang w:bidi="ar"/>
        </w:rPr>
        <w:t>43</w:t>
      </w:r>
      <w:r>
        <w:rPr>
          <w:rFonts w:hint="eastAsia" w:ascii="宋体" w:hAnsi="宋体" w:cs="宋体"/>
          <w:snapToGrid w:val="0"/>
          <w:color w:val="auto"/>
          <w:kern w:val="0"/>
          <w:szCs w:val="21"/>
          <w:highlight w:val="none"/>
          <w:lang w:bidi="ar"/>
        </w:rPr>
        <w:t>条的约定，委托的建设工程监理所必要的监理人员出外考察、材料设备复试、监造，其费用支出由监理人负责解决。</w:t>
      </w:r>
    </w:p>
    <w:p w14:paraId="2E2D2BE4">
      <w:pPr>
        <w:adjustRightInd w:val="0"/>
        <w:snapToGrid w:val="0"/>
        <w:spacing w:line="360" w:lineRule="auto"/>
        <w:ind w:firstLine="413" w:firstLineChars="196"/>
        <w:rPr>
          <w:rFonts w:hint="eastAsia" w:ascii="宋体" w:hAnsi="宋体" w:cs="宋体"/>
          <w:b/>
          <w:bCs/>
          <w:color w:val="auto"/>
          <w:kern w:val="0"/>
          <w:szCs w:val="21"/>
          <w:highlight w:val="none"/>
        </w:rPr>
      </w:pPr>
      <w:r>
        <w:rPr>
          <w:rFonts w:hint="eastAsia" w:ascii="宋体" w:hAnsi="宋体" w:cs="宋体"/>
          <w:b/>
          <w:snapToGrid w:val="0"/>
          <w:color w:val="auto"/>
          <w:kern w:val="0"/>
          <w:szCs w:val="21"/>
          <w:highlight w:val="none"/>
          <w:lang w:bidi="ar"/>
        </w:rPr>
        <w:t>第四十四条</w:t>
      </w:r>
      <w:r>
        <w:rPr>
          <w:rFonts w:hint="eastAsia" w:ascii="宋体" w:hAnsi="宋体" w:cs="宋体"/>
          <w:b/>
          <w:color w:val="auto"/>
          <w:kern w:val="0"/>
          <w:szCs w:val="21"/>
          <w:highlight w:val="none"/>
          <w:lang w:bidi="ar"/>
        </w:rPr>
        <w:t xml:space="preserve">  </w:t>
      </w:r>
      <w:r>
        <w:rPr>
          <w:rFonts w:hint="eastAsia" w:ascii="宋体" w:hAnsi="宋体" w:cs="宋体"/>
          <w:bCs/>
          <w:snapToGrid w:val="0"/>
          <w:color w:val="auto"/>
          <w:kern w:val="0"/>
          <w:szCs w:val="21"/>
          <w:highlight w:val="none"/>
          <w:lang w:bidi="ar"/>
        </w:rPr>
        <w:t>为了使本工程施工监理工作更合理、有序地进行，委托人有权对本合同约定的监理范围、监理内容作适当的调整，特别是对本合同监理范围内专业性较强的、有特殊要求的施工内容，委托人将视监理人能力、水平等实际情况，保留另行选择专业技术管理服务队伍的权利，但不因此免除原监理人应有的责任。监理人必须严格地按照《建设工程监理规范》</w:t>
      </w:r>
      <w:r>
        <w:rPr>
          <w:rFonts w:hint="eastAsia" w:ascii="宋体" w:hAnsi="宋体" w:cs="宋体"/>
          <w:bCs/>
          <w:snapToGrid w:val="0"/>
          <w:color w:val="auto"/>
          <w:kern w:val="0"/>
          <w:szCs w:val="21"/>
          <w:highlight w:val="none"/>
          <w:lang w:val="zh-TW" w:bidi="ar"/>
        </w:rPr>
        <w:t>（</w:t>
      </w:r>
      <w:r>
        <w:rPr>
          <w:rFonts w:hint="eastAsia" w:ascii="宋体" w:hAnsi="宋体" w:cs="宋体"/>
          <w:snapToGrid w:val="0"/>
          <w:color w:val="auto"/>
          <w:kern w:val="0"/>
          <w:szCs w:val="21"/>
          <w:highlight w:val="none"/>
          <w:lang w:bidi="ar"/>
        </w:rPr>
        <w:t>GB/T50319-2013</w:t>
      </w:r>
      <w:r>
        <w:rPr>
          <w:rFonts w:hint="eastAsia" w:ascii="宋体" w:hAnsi="宋体" w:cs="宋体"/>
          <w:bCs/>
          <w:snapToGrid w:val="0"/>
          <w:color w:val="auto"/>
          <w:kern w:val="0"/>
          <w:szCs w:val="21"/>
          <w:highlight w:val="none"/>
          <w:lang w:val="zh-TW" w:bidi="ar"/>
        </w:rPr>
        <w:t>）</w:t>
      </w:r>
      <w:r>
        <w:rPr>
          <w:rFonts w:hint="eastAsia" w:ascii="宋体" w:hAnsi="宋体" w:cs="宋体"/>
          <w:bCs/>
          <w:snapToGrid w:val="0"/>
          <w:color w:val="auto"/>
          <w:kern w:val="0"/>
          <w:szCs w:val="21"/>
          <w:highlight w:val="none"/>
          <w:lang w:bidi="ar"/>
        </w:rPr>
        <w:t>的规定对本合同工程实施全过程监理，不因委托人另行委托了技术督导等技术管理服务单位而减轻或免除监理人的任何责任及义务，并由其负责技术督导等技术管理服务单位的协调管理工作。</w:t>
      </w:r>
    </w:p>
    <w:p w14:paraId="485E293A">
      <w:pPr>
        <w:adjustRightInd w:val="0"/>
        <w:snapToGrid w:val="0"/>
        <w:spacing w:line="360" w:lineRule="auto"/>
        <w:ind w:firstLine="413" w:firstLineChars="196"/>
        <w:rPr>
          <w:rFonts w:hint="eastAsia" w:ascii="宋体" w:hAnsi="宋体" w:cs="宋体"/>
          <w:bCs/>
          <w:color w:val="auto"/>
          <w:kern w:val="0"/>
          <w:szCs w:val="21"/>
          <w:highlight w:val="none"/>
        </w:rPr>
      </w:pPr>
      <w:r>
        <w:rPr>
          <w:rFonts w:hint="eastAsia" w:ascii="宋体" w:hAnsi="宋体" w:cs="宋体"/>
          <w:b/>
          <w:snapToGrid w:val="0"/>
          <w:color w:val="auto"/>
          <w:kern w:val="0"/>
          <w:szCs w:val="21"/>
          <w:highlight w:val="none"/>
          <w:lang w:bidi="ar"/>
        </w:rPr>
        <w:t>第四十九条</w:t>
      </w:r>
      <w:r>
        <w:rPr>
          <w:rFonts w:hint="eastAsia" w:ascii="宋体" w:hAnsi="宋体" w:cs="宋体"/>
          <w:b/>
          <w:color w:val="auto"/>
          <w:kern w:val="0"/>
          <w:szCs w:val="21"/>
          <w:highlight w:val="none"/>
          <w:lang w:bidi="ar"/>
        </w:rPr>
        <w:t xml:space="preserve">  </w:t>
      </w:r>
      <w:r>
        <w:rPr>
          <w:rFonts w:hint="eastAsia" w:ascii="宋体" w:hAnsi="宋体" w:cs="宋体"/>
          <w:bCs/>
          <w:snapToGrid w:val="0"/>
          <w:color w:val="auto"/>
          <w:kern w:val="0"/>
          <w:szCs w:val="21"/>
          <w:highlight w:val="none"/>
          <w:lang w:bidi="ar"/>
        </w:rPr>
        <w:t>因履行本合同发生或与本合同有关的争议，双方当事人应友好协商解决。如在一周内未能解决，委托人可先行单方面作出处理决定，任何一方均可向广州市天河区人民法院提起诉讼，但诉讼不影响委托人同其他监理单位另行签订监理合同。在诉讼期间，除有争议部分的事项外，合同其他部分仍应继续履行。</w:t>
      </w:r>
    </w:p>
    <w:p w14:paraId="235F5DEB">
      <w:pPr>
        <w:adjustRightInd w:val="0"/>
        <w:snapToGrid w:val="0"/>
        <w:spacing w:line="360" w:lineRule="auto"/>
        <w:ind w:firstLine="411" w:firstLineChars="196"/>
        <w:rPr>
          <w:rFonts w:hint="eastAsia" w:ascii="宋体" w:hAnsi="宋体" w:cs="宋体"/>
          <w:bCs/>
          <w:snapToGrid w:val="0"/>
          <w:color w:val="auto"/>
          <w:kern w:val="0"/>
          <w:szCs w:val="21"/>
          <w:highlight w:val="none"/>
          <w:lang w:val="zh-TW" w:eastAsia="zh-TW"/>
        </w:rPr>
      </w:pPr>
      <w:r>
        <w:rPr>
          <w:rFonts w:hint="eastAsia" w:ascii="宋体" w:hAnsi="宋体" w:cs="宋体"/>
          <w:bCs/>
          <w:snapToGrid w:val="0"/>
          <w:color w:val="auto"/>
          <w:kern w:val="0"/>
          <w:szCs w:val="21"/>
          <w:highlight w:val="none"/>
          <w:lang w:bidi="ar"/>
        </w:rPr>
        <w:t>（以下部分无</w:t>
      </w:r>
      <w:r>
        <w:rPr>
          <w:rFonts w:hint="eastAsia" w:ascii="宋体" w:hAnsi="宋体" w:cs="宋体"/>
          <w:snapToGrid w:val="0"/>
          <w:color w:val="auto"/>
          <w:kern w:val="0"/>
          <w:szCs w:val="21"/>
          <w:highlight w:val="none"/>
          <w:lang w:bidi="ar"/>
        </w:rPr>
        <w:t>《建设工程委托监理合同》</w:t>
      </w:r>
      <w:r>
        <w:rPr>
          <w:rFonts w:hint="eastAsia" w:ascii="宋体" w:hAnsi="宋体" w:cs="宋体"/>
          <w:bCs/>
          <w:color w:val="auto"/>
          <w:kern w:val="0"/>
          <w:szCs w:val="21"/>
          <w:highlight w:val="none"/>
          <w:lang w:bidi="ar"/>
        </w:rPr>
        <w:t>第三部分专用条件正文内容）</w:t>
      </w:r>
    </w:p>
    <w:p w14:paraId="1283135D">
      <w:pPr>
        <w:adjustRightInd w:val="0"/>
        <w:snapToGrid w:val="0"/>
        <w:spacing w:line="360" w:lineRule="auto"/>
        <w:ind w:firstLine="411" w:firstLineChars="196"/>
        <w:rPr>
          <w:rFonts w:hint="eastAsia" w:ascii="宋体" w:hAnsi="宋体" w:cs="宋体"/>
          <w:bCs/>
          <w:snapToGrid w:val="0"/>
          <w:color w:val="auto"/>
          <w:kern w:val="0"/>
          <w:szCs w:val="21"/>
          <w:highlight w:val="none"/>
          <w:lang w:eastAsia="zh-TW"/>
        </w:rPr>
      </w:pPr>
    </w:p>
    <w:p w14:paraId="4F57AF45">
      <w:pPr>
        <w:spacing w:after="360" w:afterLines="150" w:line="360" w:lineRule="auto"/>
        <w:jc w:val="center"/>
        <w:rPr>
          <w:rFonts w:hint="eastAsia" w:ascii="宋体" w:hAnsi="宋体" w:cs="宋体"/>
          <w:b/>
          <w:color w:val="auto"/>
          <w:szCs w:val="21"/>
          <w:highlight w:val="none"/>
        </w:rPr>
      </w:pPr>
    </w:p>
    <w:p w14:paraId="3AE26E93">
      <w:pPr>
        <w:pStyle w:val="26"/>
        <w:widowControl w:val="0"/>
        <w:spacing w:before="0" w:beforeAutospacing="0" w:after="120" w:afterAutospacing="0" w:line="360" w:lineRule="auto"/>
        <w:jc w:val="both"/>
        <w:rPr>
          <w:b/>
          <w:color w:val="auto"/>
          <w:kern w:val="2"/>
          <w:sz w:val="28"/>
          <w:szCs w:val="28"/>
          <w:highlight w:val="none"/>
        </w:rPr>
      </w:pPr>
      <w:r>
        <w:rPr>
          <w:rFonts w:hint="eastAsia"/>
          <w:b/>
          <w:color w:val="auto"/>
          <w:sz w:val="20"/>
          <w:szCs w:val="21"/>
          <w:highlight w:val="none"/>
          <w:lang w:bidi="ar"/>
        </w:rPr>
        <w:br w:type="page"/>
      </w:r>
      <w:r>
        <w:rPr>
          <w:rFonts w:hint="eastAsia" w:ascii="Calibri" w:hAnsi="Calibri"/>
          <w:b/>
          <w:color w:val="auto"/>
          <w:kern w:val="2"/>
          <w:sz w:val="28"/>
          <w:szCs w:val="28"/>
          <w:highlight w:val="none"/>
          <w:lang w:bidi="ar"/>
        </w:rPr>
        <w:t>附件</w:t>
      </w:r>
      <w:r>
        <w:rPr>
          <w:rFonts w:ascii="Calibri" w:hAnsi="Calibri" w:cs="Times New Roman"/>
          <w:b/>
          <w:color w:val="auto"/>
          <w:kern w:val="2"/>
          <w:sz w:val="28"/>
          <w:szCs w:val="28"/>
          <w:highlight w:val="none"/>
          <w:lang w:bidi="ar"/>
        </w:rPr>
        <w:t xml:space="preserve">1                                    </w:t>
      </w:r>
    </w:p>
    <w:p w14:paraId="66350132">
      <w:pPr>
        <w:pStyle w:val="26"/>
        <w:widowControl w:val="0"/>
        <w:spacing w:before="0" w:beforeAutospacing="0" w:after="120" w:afterAutospacing="0" w:line="360" w:lineRule="auto"/>
        <w:jc w:val="center"/>
        <w:rPr>
          <w:rFonts w:hint="eastAsia"/>
          <w:b/>
          <w:color w:val="auto"/>
          <w:szCs w:val="21"/>
          <w:highlight w:val="none"/>
        </w:rPr>
      </w:pPr>
      <w:r>
        <w:rPr>
          <w:rFonts w:hint="eastAsia" w:ascii="Calibri" w:hAnsi="Calibri"/>
          <w:b/>
          <w:color w:val="auto"/>
          <w:kern w:val="2"/>
          <w:sz w:val="28"/>
          <w:szCs w:val="28"/>
          <w:highlight w:val="none"/>
          <w:lang w:bidi="ar"/>
        </w:rPr>
        <w:t>廉政合同</w:t>
      </w:r>
    </w:p>
    <w:p w14:paraId="306B96FC">
      <w:pPr>
        <w:spacing w:line="360" w:lineRule="auto"/>
        <w:rPr>
          <w:rFonts w:hint="eastAsia" w:ascii="宋体" w:hAnsi="宋体" w:cs="宋体"/>
          <w:color w:val="auto"/>
          <w:szCs w:val="21"/>
          <w:highlight w:val="none"/>
          <w:u w:val="single" w:color="000000"/>
        </w:rPr>
      </w:pPr>
      <w:r>
        <w:rPr>
          <w:rFonts w:hint="eastAsia" w:ascii="宋体" w:hAnsi="宋体" w:cs="宋体"/>
          <w:color w:val="auto"/>
          <w:szCs w:val="21"/>
          <w:highlight w:val="none"/>
          <w:lang w:bidi="ar"/>
        </w:rPr>
        <w:t>委托人：（全称）</w:t>
      </w:r>
      <w:r>
        <w:rPr>
          <w:rFonts w:hint="eastAsia" w:ascii="宋体" w:hAnsi="宋体" w:cs="宋体"/>
          <w:color w:val="auto"/>
          <w:szCs w:val="21"/>
          <w:highlight w:val="none"/>
          <w:u w:val="single" w:color="000000"/>
          <w:lang w:bidi="ar"/>
        </w:rPr>
        <w:t>广州市天河区建设工程项目代建局</w:t>
      </w:r>
    </w:p>
    <w:p w14:paraId="55054B93">
      <w:pPr>
        <w:spacing w:line="360" w:lineRule="auto"/>
        <w:rPr>
          <w:rFonts w:hint="eastAsia" w:ascii="宋体" w:hAnsi="宋体" w:cs="宋体"/>
          <w:color w:val="auto"/>
          <w:szCs w:val="21"/>
          <w:highlight w:val="none"/>
          <w:u w:val="single" w:color="000000"/>
        </w:rPr>
      </w:pPr>
      <w:r>
        <w:rPr>
          <w:rFonts w:hint="eastAsia" w:ascii="宋体" w:hAnsi="宋体" w:cs="宋体"/>
          <w:color w:val="auto"/>
          <w:szCs w:val="21"/>
          <w:highlight w:val="none"/>
          <w:lang w:bidi="ar"/>
        </w:rPr>
        <w:t>监理人：（全称）</w:t>
      </w:r>
      <w:r>
        <w:rPr>
          <w:rFonts w:hint="eastAsia" w:ascii="宋体" w:hAnsi="宋体" w:cs="宋体"/>
          <w:color w:val="auto"/>
          <w:szCs w:val="21"/>
          <w:highlight w:val="none"/>
          <w:u w:val="single" w:color="000000"/>
          <w:lang w:bidi="ar"/>
        </w:rPr>
        <w:t xml:space="preserve">                              </w:t>
      </w:r>
    </w:p>
    <w:p w14:paraId="1F74EEE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根据国家、省工程建设和廉政建设的有关规定，为做好</w:t>
      </w:r>
      <w:r>
        <w:rPr>
          <w:rFonts w:hint="eastAsia" w:ascii="宋体" w:hAnsi="宋体" w:cs="宋体"/>
          <w:snapToGrid w:val="0"/>
          <w:color w:val="auto"/>
          <w:kern w:val="0"/>
          <w:szCs w:val="21"/>
          <w:highlight w:val="none"/>
          <w:u w:val="single"/>
          <w:lang w:bidi="ar"/>
        </w:rPr>
        <w:t xml:space="preserve"> </w:t>
      </w:r>
      <w:r>
        <w:rPr>
          <w:rFonts w:hint="eastAsia" w:ascii="宋体" w:hAnsi="宋体" w:cs="宋体"/>
          <w:snapToGrid w:val="0"/>
          <w:color w:val="auto"/>
          <w:kern w:val="0"/>
          <w:szCs w:val="21"/>
          <w:highlight w:val="none"/>
          <w:u w:val="single"/>
          <w:lang w:eastAsia="zh-CN" w:bidi="ar"/>
        </w:rPr>
        <w:t>元岗北路建设工程监理</w:t>
      </w:r>
      <w:r>
        <w:rPr>
          <w:rFonts w:hint="eastAsia" w:ascii="宋体" w:hAnsi="宋体" w:cs="宋体"/>
          <w:snapToGrid w:val="0"/>
          <w:color w:val="auto"/>
          <w:kern w:val="0"/>
          <w:szCs w:val="21"/>
          <w:highlight w:val="none"/>
          <w:u w:val="single"/>
          <w:lang w:bidi="ar"/>
        </w:rPr>
        <w:t xml:space="preserve"> </w:t>
      </w:r>
      <w:r>
        <w:rPr>
          <w:rFonts w:hint="eastAsia" w:ascii="宋体" w:hAnsi="宋体" w:cs="宋体"/>
          <w:snapToGrid w:val="0"/>
          <w:color w:val="auto"/>
          <w:kern w:val="0"/>
          <w:szCs w:val="21"/>
          <w:highlight w:val="none"/>
          <w:lang w:bidi="ar"/>
        </w:rPr>
        <w:t>工程的廉政建设，保证工程质量与施工安全，提高建设资金的有效使用和投资效益，委托人与监理人就加强</w:t>
      </w:r>
      <w:r>
        <w:rPr>
          <w:rFonts w:hint="eastAsia" w:ascii="宋体" w:hAnsi="宋体" w:cs="宋体"/>
          <w:snapToGrid w:val="0"/>
          <w:color w:val="auto"/>
          <w:kern w:val="0"/>
          <w:szCs w:val="21"/>
          <w:highlight w:val="none"/>
          <w:u w:val="single"/>
          <w:lang w:bidi="ar"/>
        </w:rPr>
        <w:t xml:space="preserve"> </w:t>
      </w:r>
      <w:r>
        <w:rPr>
          <w:rFonts w:hint="eastAsia" w:ascii="宋体" w:hAnsi="宋体" w:cs="宋体"/>
          <w:snapToGrid w:val="0"/>
          <w:color w:val="auto"/>
          <w:kern w:val="0"/>
          <w:szCs w:val="21"/>
          <w:highlight w:val="none"/>
          <w:u w:val="single"/>
          <w:lang w:eastAsia="zh-CN" w:bidi="ar"/>
        </w:rPr>
        <w:t>元岗北路建设工程监理</w:t>
      </w:r>
      <w:r>
        <w:rPr>
          <w:rFonts w:hint="eastAsia" w:ascii="宋体" w:hAnsi="宋体" w:cs="宋体"/>
          <w:snapToGrid w:val="0"/>
          <w:color w:val="auto"/>
          <w:kern w:val="0"/>
          <w:szCs w:val="21"/>
          <w:highlight w:val="none"/>
          <w:u w:val="single"/>
          <w:lang w:bidi="ar"/>
        </w:rPr>
        <w:t xml:space="preserve"> </w:t>
      </w:r>
      <w:r>
        <w:rPr>
          <w:rFonts w:hint="eastAsia" w:ascii="宋体" w:hAnsi="宋体" w:cs="宋体"/>
          <w:snapToGrid w:val="0"/>
          <w:color w:val="auto"/>
          <w:kern w:val="0"/>
          <w:szCs w:val="21"/>
          <w:highlight w:val="none"/>
          <w:lang w:bidi="ar"/>
        </w:rPr>
        <w:t>工程的廉政建设，订立本合同，以资双方共同遵守。</w:t>
      </w:r>
    </w:p>
    <w:p w14:paraId="2E34ABD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 双方的权利和义务</w:t>
      </w:r>
    </w:p>
    <w:p w14:paraId="3EC4885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1.1 严格遵守国家有关法律法规的规定。</w:t>
      </w:r>
    </w:p>
    <w:p w14:paraId="36387C2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1.2 严格执行一切合同文件，自觉按合同办事。</w:t>
      </w:r>
    </w:p>
    <w:p w14:paraId="70B0D25F">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1.3 双方的业务活动坚持公平、公开、公正和诚信的原则（法律认定的商业秘密和合同文件另有规定除外），不得损害国家和集体利益，不得违反工程建设管理规章制度。</w:t>
      </w:r>
    </w:p>
    <w:p w14:paraId="255E78A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1.4 建立健全廉政制度，开展廉政教育，设立廉政告示牌，公布举报电话，监督并认真查处违法违纪行为。</w:t>
      </w:r>
    </w:p>
    <w:p w14:paraId="5F5F692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1.5 发现对方在业务活动中有违反廉政建设规定的行为，应及时给予提醒和纠正。</w:t>
      </w:r>
    </w:p>
    <w:p w14:paraId="0ACEF33D">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1.6 发现对方严重违反合同的行为，有向其上级部门举报、建议给予处理并要求告知处理结果的权利。没有上级部门的，可按施工合同通用条款第</w:t>
      </w:r>
      <w:r>
        <w:rPr>
          <w:rFonts w:hint="eastAsia" w:ascii="宋体" w:hAnsi="宋体" w:cs="宋体"/>
          <w:color w:val="auto"/>
          <w:kern w:val="0"/>
          <w:szCs w:val="21"/>
          <w:highlight w:val="none"/>
          <w:lang w:bidi="ar"/>
        </w:rPr>
        <w:t>70</w:t>
      </w:r>
      <w:r>
        <w:rPr>
          <w:rFonts w:hint="eastAsia" w:ascii="宋体" w:hAnsi="宋体" w:cs="宋体"/>
          <w:snapToGrid w:val="0"/>
          <w:color w:val="auto"/>
          <w:kern w:val="0"/>
          <w:szCs w:val="21"/>
          <w:highlight w:val="none"/>
          <w:lang w:bidi="ar"/>
        </w:rPr>
        <w:t>条规定处理。</w:t>
      </w:r>
    </w:p>
    <w:p w14:paraId="3FD1197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 委托人义务</w:t>
      </w:r>
    </w:p>
    <w:p w14:paraId="3F347EC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2.1 委托人及其工作人员不得索要或接受监理人的礼金、有价证券和贵重物品，不得在承包人报销任何应由委托人或工作人员个人支付的费用等。</w:t>
      </w:r>
    </w:p>
    <w:p w14:paraId="54EFA27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2.2 委托人及其工作人员不得参加监理人安排的宴请（工作餐除外）和娱乐活动；不得接受监理人提供的通讯工具、交通工具和高档办公用品等。</w:t>
      </w:r>
    </w:p>
    <w:p w14:paraId="67FB3956">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2.3 委托人及其工作人员不得要求或者接受监理人为其住房装修、婚丧嫁娶活动、配偶子女的工作安排以及出国出境、旅游等提供方便等。</w:t>
      </w:r>
    </w:p>
    <w:p w14:paraId="0F055307">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2.4 委托人及其工作人员及其配偶、子女不得从事与委托人有关的工程材料设备供应、工程分包、劳务等经济活动。</w:t>
      </w:r>
    </w:p>
    <w:p w14:paraId="45C98BF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2.5 委托人及其工作人员不得以任何理由向监理人推荐分包单位或推销材料，不得要求承包人购买合同约定外的材料和设备。</w:t>
      </w:r>
    </w:p>
    <w:p w14:paraId="21152BF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2.6 委托人及其工作人员要秉公办事，不准营私舞弊，不准利用职权从事各种个人有偿中介活动和安排个人施工队伍。</w:t>
      </w:r>
    </w:p>
    <w:p w14:paraId="7B379661">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 监理人义务</w:t>
      </w:r>
    </w:p>
    <w:p w14:paraId="7DAD9B5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3.1 监理人不得以任何理由向委托人及其工作人员行贿或馈赠礼金、有价证券、贵重礼品。</w:t>
      </w:r>
    </w:p>
    <w:p w14:paraId="4BBF8B98">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3.2 监理人不得以任何名义为委托人及其工作人员报销应由委托人或工作人员个人支付的任何费用。</w:t>
      </w:r>
    </w:p>
    <w:p w14:paraId="530B7F6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3.3 监理人不得以任何理由安排委托人及其工作人员参加宴请（工作餐除外）及娱乐活动。</w:t>
      </w:r>
    </w:p>
    <w:p w14:paraId="67EBEBA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3.4监理人不得为委托人和个人购置或提供通讯工具、交通工具和高档办公用品等。</w:t>
      </w:r>
    </w:p>
    <w:p w14:paraId="01601CF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 违约责任</w:t>
      </w:r>
    </w:p>
    <w:p w14:paraId="59EB14FC">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4.1 委托人及其工作人员违反本合同第</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条和第</w:t>
      </w:r>
      <w:r>
        <w:rPr>
          <w:rFonts w:hint="eastAsia" w:ascii="宋体" w:hAnsi="宋体" w:cs="宋体"/>
          <w:color w:val="auto"/>
          <w:kern w:val="0"/>
          <w:szCs w:val="21"/>
          <w:highlight w:val="none"/>
          <w:lang w:bidi="ar"/>
        </w:rPr>
        <w:t>2</w:t>
      </w:r>
      <w:r>
        <w:rPr>
          <w:rFonts w:hint="eastAsia" w:ascii="宋体" w:hAnsi="宋体" w:cs="宋体"/>
          <w:snapToGrid w:val="0"/>
          <w:color w:val="auto"/>
          <w:kern w:val="0"/>
          <w:szCs w:val="21"/>
          <w:highlight w:val="none"/>
          <w:lang w:bidi="ar"/>
        </w:rPr>
        <w:t>条规定，应依据有关规定给予廉政建设规定的处分；涉嫌犯罪的，移交司法机关追究刑事责任；给监理人造成经济损失的，应予赔偿。</w:t>
      </w:r>
    </w:p>
    <w:p w14:paraId="7CC475E4">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4.2 监理人及其工作人员违反本合同第</w:t>
      </w:r>
      <w:r>
        <w:rPr>
          <w:rFonts w:hint="eastAsia" w:ascii="宋体" w:hAnsi="宋体" w:cs="宋体"/>
          <w:color w:val="auto"/>
          <w:kern w:val="0"/>
          <w:szCs w:val="21"/>
          <w:highlight w:val="none"/>
          <w:lang w:bidi="ar"/>
        </w:rPr>
        <w:t>1</w:t>
      </w:r>
      <w:r>
        <w:rPr>
          <w:rFonts w:hint="eastAsia" w:ascii="宋体" w:hAnsi="宋体" w:cs="宋体"/>
          <w:snapToGrid w:val="0"/>
          <w:color w:val="auto"/>
          <w:kern w:val="0"/>
          <w:szCs w:val="21"/>
          <w:highlight w:val="none"/>
          <w:lang w:bidi="ar"/>
        </w:rPr>
        <w:t>条和第</w:t>
      </w:r>
      <w:r>
        <w:rPr>
          <w:rFonts w:hint="eastAsia" w:ascii="宋体" w:hAnsi="宋体" w:cs="宋体"/>
          <w:color w:val="auto"/>
          <w:kern w:val="0"/>
          <w:szCs w:val="21"/>
          <w:highlight w:val="none"/>
          <w:lang w:bidi="ar"/>
        </w:rPr>
        <w:t>3</w:t>
      </w:r>
      <w:r>
        <w:rPr>
          <w:rFonts w:hint="eastAsia" w:ascii="宋体" w:hAnsi="宋体" w:cs="宋体"/>
          <w:snapToGrid w:val="0"/>
          <w:color w:val="auto"/>
          <w:kern w:val="0"/>
          <w:szCs w:val="21"/>
          <w:highlight w:val="none"/>
          <w:lang w:bidi="ar"/>
        </w:rPr>
        <w:t>条规定，应依据有关规定给予廉政建设规定的处分；给委托人造成经济损失的，应予赔偿；情节严重的，给予监理人一至三年内不得进入工程建设市场的处罚。</w:t>
      </w:r>
    </w:p>
    <w:p w14:paraId="3A4E505A">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5. 双方约定</w:t>
      </w:r>
    </w:p>
    <w:p w14:paraId="1882D772">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本合同由双方或其上级部门负责监督执行，并由双方或其上级部门相互约请对本合同执行情况进行检查。</w:t>
      </w:r>
    </w:p>
    <w:p w14:paraId="2B471DA3">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6. 合同生效</w:t>
      </w:r>
    </w:p>
    <w:p w14:paraId="052EB269">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snapToGrid w:val="0"/>
          <w:color w:val="auto"/>
          <w:kern w:val="0"/>
          <w:szCs w:val="21"/>
          <w:highlight w:val="none"/>
          <w:lang w:bidi="ar"/>
        </w:rPr>
        <w:t>本合同自双方法定代表人或委托代理人签名</w:t>
      </w:r>
      <w:r>
        <w:rPr>
          <w:rFonts w:hint="eastAsia" w:ascii="宋体" w:hAnsi="宋体" w:cs="宋体"/>
          <w:bCs/>
          <w:snapToGrid w:val="0"/>
          <w:color w:val="auto"/>
          <w:kern w:val="0"/>
          <w:szCs w:val="21"/>
          <w:highlight w:val="none"/>
          <w:lang w:val="en-US" w:eastAsia="zh-CN" w:bidi="ar"/>
        </w:rPr>
        <w:t>并</w:t>
      </w:r>
      <w:r>
        <w:rPr>
          <w:rFonts w:hint="eastAsia" w:ascii="宋体" w:hAnsi="宋体" w:cs="宋体"/>
          <w:bCs/>
          <w:snapToGrid w:val="0"/>
          <w:color w:val="auto"/>
          <w:kern w:val="0"/>
          <w:szCs w:val="21"/>
          <w:highlight w:val="none"/>
          <w:lang w:bidi="ar"/>
        </w:rPr>
        <w:t>加盖公章之日起长期有效。</w:t>
      </w:r>
    </w:p>
    <w:p w14:paraId="25B67565">
      <w:pPr>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7. 合同法律效力</w:t>
      </w:r>
    </w:p>
    <w:p w14:paraId="71F5DA69">
      <w:pPr>
        <w:spacing w:line="360" w:lineRule="auto"/>
        <w:ind w:left="-105" w:leftChars="-50" w:right="-44" w:rightChars="-21" w:firstLine="525" w:firstLineChars="25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本合同作为</w:t>
      </w:r>
      <w:r>
        <w:rPr>
          <w:rFonts w:hint="eastAsia" w:ascii="宋体" w:hAnsi="宋体" w:cs="宋体"/>
          <w:snapToGrid w:val="0"/>
          <w:color w:val="auto"/>
          <w:kern w:val="0"/>
          <w:szCs w:val="21"/>
          <w:highlight w:val="none"/>
          <w:u w:val="single"/>
          <w:lang w:bidi="ar"/>
        </w:rPr>
        <w:t xml:space="preserve"> </w:t>
      </w:r>
      <w:r>
        <w:rPr>
          <w:rFonts w:hint="eastAsia" w:ascii="宋体" w:hAnsi="宋体" w:cs="宋体"/>
          <w:snapToGrid w:val="0"/>
          <w:color w:val="auto"/>
          <w:kern w:val="0"/>
          <w:szCs w:val="21"/>
          <w:highlight w:val="none"/>
          <w:u w:val="single"/>
          <w:lang w:eastAsia="zh-CN" w:bidi="ar"/>
        </w:rPr>
        <w:t>元岗北路建设工程监理</w:t>
      </w:r>
      <w:r>
        <w:rPr>
          <w:rFonts w:hint="eastAsia" w:ascii="宋体" w:hAnsi="宋体" w:cs="宋体"/>
          <w:snapToGrid w:val="0"/>
          <w:color w:val="auto"/>
          <w:kern w:val="0"/>
          <w:szCs w:val="21"/>
          <w:highlight w:val="none"/>
          <w:u w:val="single"/>
          <w:lang w:bidi="ar"/>
        </w:rPr>
        <w:t xml:space="preserve"> 项目</w:t>
      </w:r>
      <w:r>
        <w:rPr>
          <w:rFonts w:hint="eastAsia" w:ascii="宋体" w:hAnsi="宋体" w:cs="宋体"/>
          <w:snapToGrid w:val="0"/>
          <w:color w:val="auto"/>
          <w:kern w:val="0"/>
          <w:szCs w:val="21"/>
          <w:highlight w:val="none"/>
          <w:lang w:bidi="ar"/>
        </w:rPr>
        <w:t xml:space="preserve"> 《建设工程委托监理合同》的附件，与《建设工程委托监理合同》具有同等的法律效力。</w:t>
      </w:r>
    </w:p>
    <w:p w14:paraId="144421FD">
      <w:pPr>
        <w:adjustRightInd w:val="0"/>
        <w:snapToGrid w:val="0"/>
        <w:spacing w:line="360" w:lineRule="auto"/>
        <w:ind w:firstLine="411" w:firstLineChars="196"/>
        <w:rPr>
          <w:rFonts w:hint="eastAsia" w:ascii="宋体" w:hAnsi="宋体" w:cs="宋体"/>
          <w:bCs/>
          <w:color w:val="auto"/>
          <w:kern w:val="0"/>
          <w:szCs w:val="21"/>
          <w:highlight w:val="none"/>
          <w:lang w:val="zh-TW" w:eastAsia="zh-TW"/>
        </w:rPr>
      </w:pPr>
      <w:r>
        <w:rPr>
          <w:rFonts w:hint="eastAsia" w:ascii="宋体" w:hAnsi="宋体" w:cs="宋体"/>
          <w:bCs/>
          <w:snapToGrid w:val="0"/>
          <w:color w:val="auto"/>
          <w:kern w:val="0"/>
          <w:szCs w:val="21"/>
          <w:highlight w:val="none"/>
          <w:lang w:val="zh-TW" w:bidi="ar"/>
        </w:rPr>
        <w:t>（以下部分无廉政合同正文内容，为签章处）</w:t>
      </w:r>
    </w:p>
    <w:p w14:paraId="49696A0E">
      <w:pPr>
        <w:adjustRightInd w:val="0"/>
        <w:snapToGrid w:val="0"/>
        <w:spacing w:line="360" w:lineRule="auto"/>
        <w:rPr>
          <w:rFonts w:hint="eastAsia" w:ascii="宋体" w:hAnsi="宋体" w:cs="宋体"/>
          <w:bCs/>
          <w:snapToGrid w:val="0"/>
          <w:color w:val="auto"/>
          <w:kern w:val="0"/>
          <w:szCs w:val="21"/>
          <w:highlight w:val="none"/>
        </w:rPr>
      </w:pPr>
    </w:p>
    <w:p w14:paraId="274F0312">
      <w:pPr>
        <w:adjustRightInd w:val="0"/>
        <w:snapToGrid w:val="0"/>
        <w:spacing w:line="360" w:lineRule="auto"/>
        <w:rPr>
          <w:rFonts w:hint="eastAsia" w:ascii="宋体" w:hAnsi="宋体" w:cs="宋体"/>
          <w:bCs/>
          <w:snapToGrid w:val="0"/>
          <w:color w:val="auto"/>
          <w:kern w:val="0"/>
          <w:szCs w:val="21"/>
          <w:highlight w:val="none"/>
        </w:rPr>
      </w:pPr>
      <w:r>
        <w:rPr>
          <w:rFonts w:hint="eastAsia" w:ascii="宋体" w:hAnsi="宋体" w:cs="宋体"/>
          <w:snapToGrid w:val="0"/>
          <w:color w:val="auto"/>
          <w:spacing w:val="-20"/>
          <w:kern w:val="0"/>
          <w:szCs w:val="21"/>
          <w:highlight w:val="none"/>
          <w:lang w:bidi="ar"/>
        </w:rPr>
        <w:t>委托人：</w:t>
      </w:r>
      <w:r>
        <w:rPr>
          <w:rFonts w:hint="eastAsia" w:ascii="宋体" w:hAnsi="宋体" w:cs="宋体"/>
          <w:color w:val="auto"/>
          <w:szCs w:val="21"/>
          <w:highlight w:val="none"/>
          <w:u w:val="single"/>
          <w:lang w:bidi="ar"/>
        </w:rPr>
        <w:t>广州市天河区建设工程项目代建局</w:t>
      </w:r>
      <w:r>
        <w:rPr>
          <w:rFonts w:hint="eastAsia" w:ascii="宋体" w:hAnsi="宋体" w:cs="宋体"/>
          <w:bCs/>
          <w:snapToGrid w:val="0"/>
          <w:color w:val="auto"/>
          <w:kern w:val="0"/>
          <w:szCs w:val="21"/>
          <w:highlight w:val="none"/>
          <w:lang w:bidi="ar"/>
        </w:rPr>
        <w:t xml:space="preserve"> </w:t>
      </w:r>
      <w:r>
        <w:rPr>
          <w:rFonts w:hint="eastAsia" w:ascii="宋体" w:hAnsi="宋体" w:cs="宋体"/>
          <w:color w:val="auto"/>
          <w:spacing w:val="-20"/>
          <w:kern w:val="0"/>
          <w:szCs w:val="21"/>
          <w:highlight w:val="none"/>
          <w:lang w:bidi="ar"/>
        </w:rPr>
        <w:t xml:space="preserve">    </w:t>
      </w:r>
      <w:r>
        <w:rPr>
          <w:rFonts w:hint="eastAsia" w:ascii="宋体" w:hAnsi="宋体" w:cs="宋体"/>
          <w:snapToGrid w:val="0"/>
          <w:color w:val="auto"/>
          <w:spacing w:val="-20"/>
          <w:kern w:val="0"/>
          <w:szCs w:val="21"/>
          <w:highlight w:val="none"/>
          <w:lang w:bidi="ar"/>
        </w:rPr>
        <w:t>监理人：</w:t>
      </w:r>
      <w:r>
        <w:rPr>
          <w:rFonts w:hint="eastAsia" w:ascii="宋体" w:hAnsi="宋体" w:cs="宋体"/>
          <w:color w:val="auto"/>
          <w:szCs w:val="21"/>
          <w:highlight w:val="none"/>
          <w:u w:val="single"/>
          <w:lang w:bidi="ar"/>
        </w:rPr>
        <w:t xml:space="preserve">                                   </w:t>
      </w:r>
    </w:p>
    <w:p w14:paraId="278C88F6">
      <w:pPr>
        <w:adjustRightInd w:val="0"/>
        <w:snapToGrid w:val="0"/>
        <w:spacing w:line="360" w:lineRule="auto"/>
        <w:ind w:right="11"/>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（盖章）</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（盖章）</w:t>
      </w:r>
    </w:p>
    <w:p w14:paraId="2CD40315">
      <w:pPr>
        <w:adjustRightInd w:val="0"/>
        <w:snapToGrid w:val="0"/>
        <w:spacing w:line="360" w:lineRule="auto"/>
        <w:ind w:right="11"/>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法定代表人（签名）：</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法定代表人（签名）：</w:t>
      </w:r>
    </w:p>
    <w:p w14:paraId="48B07E44">
      <w:pPr>
        <w:tabs>
          <w:tab w:val="left" w:pos="5460"/>
        </w:tabs>
        <w:adjustRightInd w:val="0"/>
        <w:snapToGrid w:val="0"/>
        <w:spacing w:line="360" w:lineRule="auto"/>
        <w:ind w:left="-2" w:leftChars="-1" w:right="11"/>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或委托代理人（签名）：</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或 委托代理人（签名）：</w:t>
      </w:r>
    </w:p>
    <w:p w14:paraId="5597BA48">
      <w:pPr>
        <w:adjustRightInd w:val="0"/>
        <w:snapToGrid w:val="0"/>
        <w:spacing w:line="360" w:lineRule="auto"/>
        <w:ind w:right="11"/>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住所：广州市天河区黄埔大道中</w:t>
      </w:r>
      <w:r>
        <w:rPr>
          <w:rFonts w:hint="eastAsia" w:ascii="宋体" w:hAnsi="宋体" w:cs="宋体"/>
          <w:color w:val="auto"/>
          <w:kern w:val="0"/>
          <w:szCs w:val="21"/>
          <w:highlight w:val="none"/>
          <w:lang w:bidi="ar"/>
        </w:rPr>
        <w:t>300</w:t>
      </w:r>
      <w:r>
        <w:rPr>
          <w:rFonts w:hint="eastAsia" w:ascii="宋体" w:hAnsi="宋体" w:cs="宋体"/>
          <w:snapToGrid w:val="0"/>
          <w:color w:val="auto"/>
          <w:kern w:val="0"/>
          <w:szCs w:val="21"/>
          <w:highlight w:val="none"/>
          <w:lang w:bidi="ar"/>
        </w:rPr>
        <w:t>号</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 xml:space="preserve">住所： </w:t>
      </w:r>
    </w:p>
    <w:p w14:paraId="2CF78C60">
      <w:pPr>
        <w:pStyle w:val="26"/>
        <w:widowControl w:val="0"/>
        <w:spacing w:before="0" w:beforeAutospacing="0" w:after="120" w:afterAutospacing="0" w:line="360" w:lineRule="auto"/>
        <w:jc w:val="both"/>
        <w:rPr>
          <w:rFonts w:hint="eastAsia"/>
          <w:color w:val="auto"/>
          <w:szCs w:val="21"/>
          <w:highlight w:val="none"/>
        </w:rPr>
      </w:pPr>
      <w:r>
        <w:rPr>
          <w:rFonts w:hint="eastAsia"/>
          <w:color w:val="auto"/>
          <w:sz w:val="20"/>
          <w:szCs w:val="21"/>
          <w:highlight w:val="none"/>
          <w:lang w:bidi="ar"/>
        </w:rPr>
        <w:t xml:space="preserve">      </w:t>
      </w:r>
      <w:r>
        <w:rPr>
          <w:rFonts w:hint="eastAsia"/>
          <w:snapToGrid w:val="0"/>
          <w:color w:val="auto"/>
          <w:sz w:val="20"/>
          <w:szCs w:val="21"/>
          <w:highlight w:val="none"/>
          <w:lang w:bidi="ar"/>
        </w:rPr>
        <w:t>润都大厦</w:t>
      </w:r>
    </w:p>
    <w:p w14:paraId="7DD4309B">
      <w:pPr>
        <w:adjustRightInd w:val="0"/>
        <w:snapToGrid w:val="0"/>
        <w:spacing w:line="360" w:lineRule="auto"/>
        <w:ind w:right="11"/>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电话：</w:t>
      </w:r>
      <w:r>
        <w:rPr>
          <w:rFonts w:hint="eastAsia" w:ascii="宋体" w:hAnsi="宋体" w:cs="宋体"/>
          <w:color w:val="auto"/>
          <w:kern w:val="0"/>
          <w:szCs w:val="21"/>
          <w:highlight w:val="none"/>
          <w:lang w:bidi="ar"/>
        </w:rPr>
        <w:t xml:space="preserve">020-38085152                     </w:t>
      </w:r>
      <w:r>
        <w:rPr>
          <w:rFonts w:hint="eastAsia" w:ascii="宋体" w:hAnsi="宋体" w:cs="宋体"/>
          <w:snapToGrid w:val="0"/>
          <w:color w:val="auto"/>
          <w:kern w:val="0"/>
          <w:szCs w:val="21"/>
          <w:highlight w:val="none"/>
          <w:lang w:bidi="ar"/>
        </w:rPr>
        <w:t xml:space="preserve">电话： </w:t>
      </w:r>
    </w:p>
    <w:p w14:paraId="63F921A2">
      <w:pPr>
        <w:adjustRightInd w:val="0"/>
        <w:snapToGrid w:val="0"/>
        <w:spacing w:line="360" w:lineRule="auto"/>
        <w:ind w:right="1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传真：</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传真：</w:t>
      </w:r>
      <w:r>
        <w:rPr>
          <w:rFonts w:hint="eastAsia" w:ascii="宋体" w:hAnsi="宋体" w:cs="宋体"/>
          <w:bCs/>
          <w:color w:val="auto"/>
          <w:szCs w:val="21"/>
          <w:highlight w:val="none"/>
          <w:lang w:bidi="ar"/>
        </w:rPr>
        <w:t xml:space="preserve"> </w:t>
      </w:r>
    </w:p>
    <w:p w14:paraId="5886FEC3">
      <w:pPr>
        <w:tabs>
          <w:tab w:val="left" w:pos="5460"/>
        </w:tabs>
        <w:adjustRightInd w:val="0"/>
        <w:snapToGrid w:val="0"/>
        <w:spacing w:line="360" w:lineRule="auto"/>
        <w:ind w:left="-2" w:leftChars="-1" w:right="1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开户银行：工行广州员村支行</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 w:val="18"/>
          <w:szCs w:val="18"/>
          <w:highlight w:val="none"/>
          <w:lang w:bidi="ar"/>
        </w:rPr>
        <w:t>开户银行：</w:t>
      </w:r>
      <w:r>
        <w:rPr>
          <w:rFonts w:hint="eastAsia" w:ascii="宋体" w:hAnsi="宋体" w:cs="宋体"/>
          <w:color w:val="auto"/>
          <w:sz w:val="18"/>
          <w:szCs w:val="18"/>
          <w:highlight w:val="none"/>
          <w:lang w:bidi="ar"/>
        </w:rPr>
        <w:t xml:space="preserve"> </w:t>
      </w:r>
    </w:p>
    <w:p w14:paraId="43C5173F">
      <w:pPr>
        <w:tabs>
          <w:tab w:val="left" w:pos="5460"/>
        </w:tabs>
        <w:adjustRightInd w:val="0"/>
        <w:snapToGrid w:val="0"/>
        <w:spacing w:line="360" w:lineRule="auto"/>
        <w:ind w:left="-2" w:leftChars="-1" w:right="1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bidi="ar"/>
        </w:rPr>
        <w:t>帐号：</w:t>
      </w:r>
      <w:r>
        <w:rPr>
          <w:rFonts w:hint="eastAsia" w:ascii="宋体" w:hAnsi="宋体" w:cs="宋体"/>
          <w:color w:val="auto"/>
          <w:kern w:val="0"/>
          <w:szCs w:val="21"/>
          <w:highlight w:val="none"/>
          <w:lang w:bidi="ar"/>
        </w:rPr>
        <w:t xml:space="preserve">3602005309200186668              </w:t>
      </w:r>
      <w:r>
        <w:rPr>
          <w:rFonts w:hint="eastAsia" w:ascii="宋体" w:hAnsi="宋体" w:cs="宋体"/>
          <w:snapToGrid w:val="0"/>
          <w:color w:val="auto"/>
          <w:kern w:val="0"/>
          <w:szCs w:val="21"/>
          <w:highlight w:val="none"/>
          <w:lang w:bidi="ar"/>
        </w:rPr>
        <w:t>帐号：</w:t>
      </w:r>
      <w:r>
        <w:rPr>
          <w:rFonts w:hint="eastAsia" w:ascii="宋体" w:hAnsi="宋体" w:cs="宋体"/>
          <w:color w:val="auto"/>
          <w:szCs w:val="21"/>
          <w:highlight w:val="none"/>
          <w:lang w:bidi="ar"/>
        </w:rPr>
        <w:t xml:space="preserve"> </w:t>
      </w:r>
    </w:p>
    <w:p w14:paraId="542D51CD">
      <w:pPr>
        <w:tabs>
          <w:tab w:val="left" w:pos="5460"/>
        </w:tabs>
        <w:adjustRightInd w:val="0"/>
        <w:snapToGrid w:val="0"/>
        <w:spacing w:line="360" w:lineRule="auto"/>
        <w:ind w:left="-2" w:leftChars="-1" w:right="11"/>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签约日期：</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年</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月</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日</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签约日期：</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年</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月</w:t>
      </w:r>
      <w:r>
        <w:rPr>
          <w:rFonts w:hint="eastAsia" w:ascii="宋体" w:hAnsi="宋体" w:cs="宋体"/>
          <w:color w:val="auto"/>
          <w:kern w:val="0"/>
          <w:szCs w:val="21"/>
          <w:highlight w:val="none"/>
          <w:lang w:bidi="ar"/>
        </w:rPr>
        <w:t xml:space="preserve">   </w:t>
      </w:r>
      <w:r>
        <w:rPr>
          <w:rFonts w:hint="eastAsia" w:ascii="宋体" w:hAnsi="宋体" w:cs="宋体"/>
          <w:snapToGrid w:val="0"/>
          <w:color w:val="auto"/>
          <w:kern w:val="0"/>
          <w:szCs w:val="21"/>
          <w:highlight w:val="none"/>
          <w:lang w:bidi="ar"/>
        </w:rPr>
        <w:t>日</w:t>
      </w:r>
    </w:p>
    <w:p w14:paraId="52269346">
      <w:pPr>
        <w:spacing w:line="360" w:lineRule="auto"/>
        <w:jc w:val="center"/>
        <w:rPr>
          <w:rFonts w:hint="eastAsia" w:ascii="宋体" w:hAnsi="宋体" w:cs="宋体"/>
          <w:snapToGrid w:val="0"/>
          <w:color w:val="auto"/>
          <w:kern w:val="0"/>
          <w:szCs w:val="21"/>
          <w:highlight w:val="none"/>
        </w:rPr>
      </w:pPr>
    </w:p>
    <w:p w14:paraId="2696A721">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bidi="ar"/>
        </w:rPr>
        <w:t>签订地点：广州市天河区</w:t>
      </w:r>
    </w:p>
    <w:p w14:paraId="62376594">
      <w:pPr>
        <w:spacing w:line="360" w:lineRule="auto"/>
        <w:jc w:val="left"/>
        <w:rPr>
          <w:b/>
          <w:color w:val="auto"/>
          <w:sz w:val="28"/>
          <w:szCs w:val="28"/>
          <w:highlight w:val="none"/>
        </w:rPr>
      </w:pPr>
    </w:p>
    <w:p w14:paraId="57CA8662">
      <w:pPr>
        <w:spacing w:line="360" w:lineRule="auto"/>
        <w:jc w:val="left"/>
        <w:rPr>
          <w:b/>
          <w:color w:val="auto"/>
          <w:sz w:val="28"/>
          <w:szCs w:val="28"/>
          <w:highlight w:val="none"/>
        </w:rPr>
      </w:pPr>
      <w:r>
        <w:rPr>
          <w:rFonts w:hint="eastAsia" w:cs="宋体"/>
          <w:b/>
          <w:color w:val="auto"/>
          <w:sz w:val="28"/>
          <w:szCs w:val="28"/>
          <w:highlight w:val="none"/>
          <w:lang w:bidi="ar"/>
        </w:rPr>
        <w:t>附件</w:t>
      </w:r>
      <w:r>
        <w:rPr>
          <w:b/>
          <w:color w:val="auto"/>
          <w:sz w:val="28"/>
          <w:szCs w:val="28"/>
          <w:highlight w:val="none"/>
          <w:lang w:bidi="ar"/>
        </w:rPr>
        <w:t>2</w:t>
      </w:r>
    </w:p>
    <w:p w14:paraId="202CBC34">
      <w:pPr>
        <w:spacing w:line="360" w:lineRule="auto"/>
        <w:jc w:val="center"/>
        <w:rPr>
          <w:b/>
          <w:color w:val="auto"/>
          <w:sz w:val="28"/>
          <w:szCs w:val="28"/>
          <w:highlight w:val="none"/>
        </w:rPr>
      </w:pPr>
      <w:r>
        <w:rPr>
          <w:rFonts w:hint="eastAsia" w:cs="宋体"/>
          <w:b/>
          <w:color w:val="auto"/>
          <w:sz w:val="28"/>
          <w:szCs w:val="28"/>
          <w:highlight w:val="none"/>
          <w:lang w:bidi="ar"/>
        </w:rPr>
        <w:t>各阶段工作成果文件</w:t>
      </w:r>
    </w:p>
    <w:tbl>
      <w:tblPr>
        <w:tblStyle w:val="30"/>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212"/>
        <w:gridCol w:w="670"/>
      </w:tblGrid>
      <w:tr w14:paraId="0A1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1C0783D">
            <w:pPr>
              <w:spacing w:line="360" w:lineRule="auto"/>
              <w:jc w:val="center"/>
              <w:rPr>
                <w:b/>
                <w:color w:val="auto"/>
                <w:szCs w:val="21"/>
                <w:highlight w:val="none"/>
              </w:rPr>
            </w:pPr>
            <w:r>
              <w:rPr>
                <w:rFonts w:hint="eastAsia" w:cs="宋体"/>
                <w:b/>
                <w:color w:val="auto"/>
                <w:szCs w:val="21"/>
                <w:highlight w:val="none"/>
                <w:lang w:bidi="ar"/>
              </w:rPr>
              <w:t>序号</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19DA2D4">
            <w:pPr>
              <w:spacing w:line="360" w:lineRule="auto"/>
              <w:jc w:val="center"/>
              <w:rPr>
                <w:b/>
                <w:color w:val="auto"/>
                <w:szCs w:val="21"/>
                <w:highlight w:val="none"/>
              </w:rPr>
            </w:pPr>
            <w:r>
              <w:rPr>
                <w:rFonts w:hint="eastAsia" w:cs="宋体"/>
                <w:b/>
                <w:color w:val="auto"/>
                <w:szCs w:val="21"/>
                <w:highlight w:val="none"/>
                <w:lang w:bidi="ar"/>
              </w:rPr>
              <w:t>工作成果</w:t>
            </w:r>
          </w:p>
          <w:p w14:paraId="728475D2">
            <w:pPr>
              <w:spacing w:line="360" w:lineRule="auto"/>
              <w:jc w:val="center"/>
              <w:rPr>
                <w:b/>
                <w:color w:val="auto"/>
                <w:szCs w:val="21"/>
                <w:highlight w:val="none"/>
              </w:rPr>
            </w:pPr>
            <w:r>
              <w:rPr>
                <w:rFonts w:hint="eastAsia" w:cs="宋体"/>
                <w:b/>
                <w:color w:val="auto"/>
                <w:szCs w:val="21"/>
                <w:highlight w:val="none"/>
                <w:lang w:bidi="ar"/>
              </w:rPr>
              <w:t>（报告、记录、计算书、审核书等）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59108A5">
            <w:pPr>
              <w:spacing w:line="360" w:lineRule="auto"/>
              <w:jc w:val="center"/>
              <w:rPr>
                <w:b/>
                <w:color w:val="auto"/>
                <w:szCs w:val="21"/>
                <w:highlight w:val="none"/>
              </w:rPr>
            </w:pPr>
            <w:r>
              <w:rPr>
                <w:rFonts w:hint="eastAsia" w:cs="宋体"/>
                <w:b/>
                <w:color w:val="auto"/>
                <w:szCs w:val="21"/>
                <w:highlight w:val="none"/>
                <w:lang w:bidi="ar"/>
              </w:rPr>
              <w:t>备注</w:t>
            </w:r>
          </w:p>
        </w:tc>
      </w:tr>
      <w:tr w14:paraId="3E6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CC56BD9">
            <w:pPr>
              <w:spacing w:line="360" w:lineRule="auto"/>
              <w:jc w:val="center"/>
              <w:rPr>
                <w:b/>
                <w:color w:val="auto"/>
                <w:szCs w:val="21"/>
                <w:highlight w:val="none"/>
              </w:rPr>
            </w:pPr>
            <w:r>
              <w:rPr>
                <w:rFonts w:hint="eastAsia" w:cs="宋体"/>
                <w:b/>
                <w:color w:val="auto"/>
                <w:szCs w:val="21"/>
                <w:highlight w:val="none"/>
                <w:lang w:bidi="ar"/>
              </w:rPr>
              <w:t>一</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7A4C69AE">
            <w:pPr>
              <w:spacing w:line="360" w:lineRule="auto"/>
              <w:jc w:val="center"/>
              <w:rPr>
                <w:b/>
                <w:color w:val="auto"/>
                <w:szCs w:val="21"/>
                <w:highlight w:val="none"/>
              </w:rPr>
            </w:pPr>
            <w:r>
              <w:rPr>
                <w:rFonts w:hint="eastAsia" w:cs="宋体"/>
                <w:b/>
                <w:color w:val="auto"/>
                <w:szCs w:val="21"/>
                <w:highlight w:val="none"/>
                <w:lang w:bidi="ar"/>
              </w:rPr>
              <w:t>前期阶段</w:t>
            </w:r>
          </w:p>
        </w:tc>
      </w:tr>
      <w:tr w14:paraId="5FAD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62205E9">
            <w:pPr>
              <w:spacing w:line="360" w:lineRule="auto"/>
              <w:jc w:val="center"/>
              <w:rPr>
                <w:b/>
                <w:color w:val="auto"/>
                <w:szCs w:val="21"/>
                <w:highlight w:val="none"/>
              </w:rPr>
            </w:pPr>
            <w:r>
              <w:rPr>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B05BD83">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提交项目总体管理方案及各阶段目标计划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56F6850">
            <w:pPr>
              <w:spacing w:line="360" w:lineRule="auto"/>
              <w:jc w:val="center"/>
              <w:rPr>
                <w:b/>
                <w:color w:val="auto"/>
                <w:szCs w:val="21"/>
                <w:highlight w:val="none"/>
              </w:rPr>
            </w:pPr>
          </w:p>
        </w:tc>
      </w:tr>
      <w:tr w14:paraId="1218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05EF96F">
            <w:pPr>
              <w:spacing w:line="360" w:lineRule="auto"/>
              <w:jc w:val="center"/>
              <w:rPr>
                <w:b/>
                <w:color w:val="auto"/>
                <w:szCs w:val="21"/>
                <w:highlight w:val="none"/>
              </w:rPr>
            </w:pPr>
            <w:r>
              <w:rPr>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A81948B">
            <w:pPr>
              <w:spacing w:line="360" w:lineRule="auto"/>
              <w:jc w:val="center"/>
              <w:rPr>
                <w:b/>
                <w:color w:val="auto"/>
                <w:szCs w:val="21"/>
                <w:highlight w:val="none"/>
              </w:rPr>
            </w:pPr>
            <w:r>
              <w:rPr>
                <w:rFonts w:hint="eastAsia" w:ascii="宋体" w:hAnsi="宋体" w:cs="宋体"/>
                <w:color w:val="auto"/>
                <w:kern w:val="0"/>
                <w:sz w:val="18"/>
                <w:szCs w:val="18"/>
                <w:highlight w:val="none"/>
                <w:lang w:bidi="ar"/>
              </w:rPr>
              <w:t>负责审核承包单位提交的既有建筑物（构筑物）拆除方案，配合完成拆除手续的办理；对拆除工程的进度、安全文明施工进行全过程旁站监理；完成拆除工作的计量计价审核工作。（如需）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6926B9A">
            <w:pPr>
              <w:spacing w:line="360" w:lineRule="auto"/>
              <w:jc w:val="center"/>
              <w:rPr>
                <w:b/>
                <w:color w:val="auto"/>
                <w:szCs w:val="21"/>
                <w:highlight w:val="none"/>
              </w:rPr>
            </w:pPr>
          </w:p>
        </w:tc>
      </w:tr>
      <w:tr w14:paraId="562E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59DAFD9">
            <w:pPr>
              <w:spacing w:line="360" w:lineRule="auto"/>
              <w:jc w:val="center"/>
              <w:rPr>
                <w:b/>
                <w:color w:val="auto"/>
                <w:szCs w:val="21"/>
                <w:highlight w:val="none"/>
              </w:rPr>
            </w:pPr>
            <w:r>
              <w:rPr>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5839EAF">
            <w:pPr>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提供可行性研究报告的优化意见（如需）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0504E6F">
            <w:pPr>
              <w:spacing w:line="360" w:lineRule="auto"/>
              <w:jc w:val="center"/>
              <w:rPr>
                <w:b/>
                <w:color w:val="auto"/>
                <w:szCs w:val="21"/>
                <w:highlight w:val="none"/>
              </w:rPr>
            </w:pPr>
          </w:p>
        </w:tc>
      </w:tr>
      <w:tr w14:paraId="54A2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1DEC730">
            <w:pPr>
              <w:spacing w:line="360" w:lineRule="auto"/>
              <w:jc w:val="center"/>
              <w:rPr>
                <w:b/>
                <w:color w:val="auto"/>
                <w:szCs w:val="21"/>
                <w:highlight w:val="none"/>
              </w:rPr>
            </w:pPr>
            <w:r>
              <w:rPr>
                <w:rFonts w:hint="eastAsia" w:cs="宋体"/>
                <w:b/>
                <w:color w:val="auto"/>
                <w:szCs w:val="21"/>
                <w:highlight w:val="none"/>
                <w:lang w:bidi="ar"/>
              </w:rPr>
              <w:t>二</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06F7887B">
            <w:pPr>
              <w:spacing w:line="360" w:lineRule="auto"/>
              <w:jc w:val="center"/>
              <w:rPr>
                <w:b/>
                <w:color w:val="auto"/>
                <w:szCs w:val="21"/>
                <w:highlight w:val="none"/>
              </w:rPr>
            </w:pPr>
            <w:r>
              <w:rPr>
                <w:rFonts w:hint="eastAsia" w:cs="宋体"/>
                <w:b/>
                <w:color w:val="auto"/>
                <w:szCs w:val="21"/>
                <w:highlight w:val="none"/>
                <w:lang w:bidi="ar"/>
              </w:rPr>
              <w:t>工程施工准备阶段</w:t>
            </w:r>
          </w:p>
        </w:tc>
      </w:tr>
      <w:tr w14:paraId="4B02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A26B745">
            <w:pPr>
              <w:spacing w:line="360" w:lineRule="auto"/>
              <w:jc w:val="center"/>
              <w:rPr>
                <w:b/>
                <w:color w:val="auto"/>
                <w:szCs w:val="21"/>
                <w:highlight w:val="none"/>
              </w:rPr>
            </w:pPr>
            <w:r>
              <w:rPr>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4C9AB22">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提交《（各专业）设计技术交底会议纪要》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EFF771B">
            <w:pPr>
              <w:spacing w:line="360" w:lineRule="auto"/>
              <w:jc w:val="center"/>
              <w:rPr>
                <w:b/>
                <w:color w:val="auto"/>
                <w:szCs w:val="21"/>
                <w:highlight w:val="none"/>
              </w:rPr>
            </w:pPr>
          </w:p>
        </w:tc>
      </w:tr>
      <w:tr w14:paraId="6A0E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B01F2AA">
            <w:pPr>
              <w:spacing w:line="360" w:lineRule="auto"/>
              <w:jc w:val="center"/>
              <w:rPr>
                <w:b/>
                <w:color w:val="auto"/>
                <w:szCs w:val="21"/>
                <w:highlight w:val="none"/>
              </w:rPr>
            </w:pPr>
            <w:r>
              <w:rPr>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5049BEC">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提交《（各专业）施工图会审记录》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CC45E73">
            <w:pPr>
              <w:spacing w:line="360" w:lineRule="auto"/>
              <w:jc w:val="center"/>
              <w:rPr>
                <w:b/>
                <w:color w:val="auto"/>
                <w:szCs w:val="21"/>
                <w:highlight w:val="none"/>
              </w:rPr>
            </w:pPr>
          </w:p>
        </w:tc>
      </w:tr>
      <w:tr w14:paraId="37D0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020665D">
            <w:pPr>
              <w:spacing w:line="360" w:lineRule="auto"/>
              <w:jc w:val="center"/>
              <w:rPr>
                <w:b/>
                <w:color w:val="auto"/>
                <w:szCs w:val="21"/>
                <w:highlight w:val="none"/>
              </w:rPr>
            </w:pPr>
            <w:r>
              <w:rPr>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0710F7B">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提交《对承包人提交的施工组织设计方案的审查报告》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2DCA90A">
            <w:pPr>
              <w:spacing w:line="360" w:lineRule="auto"/>
              <w:jc w:val="center"/>
              <w:rPr>
                <w:b/>
                <w:color w:val="auto"/>
                <w:szCs w:val="21"/>
                <w:highlight w:val="none"/>
              </w:rPr>
            </w:pPr>
          </w:p>
        </w:tc>
      </w:tr>
      <w:tr w14:paraId="1D1B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C552671">
            <w:pPr>
              <w:spacing w:line="360" w:lineRule="auto"/>
              <w:jc w:val="center"/>
              <w:rPr>
                <w:b/>
                <w:color w:val="auto"/>
                <w:szCs w:val="21"/>
                <w:highlight w:val="none"/>
              </w:rPr>
            </w:pPr>
            <w:r>
              <w:rPr>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1D3BF53">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提交《对承包人提交的质量管理体系、环境管理体系及安全管理体系的检查审核报告》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2767C25">
            <w:pPr>
              <w:spacing w:line="360" w:lineRule="auto"/>
              <w:jc w:val="center"/>
              <w:rPr>
                <w:b/>
                <w:color w:val="auto"/>
                <w:szCs w:val="21"/>
                <w:highlight w:val="none"/>
              </w:rPr>
            </w:pPr>
          </w:p>
        </w:tc>
      </w:tr>
      <w:tr w14:paraId="3E64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285E99C">
            <w:pPr>
              <w:spacing w:line="360" w:lineRule="auto"/>
              <w:jc w:val="center"/>
              <w:rPr>
                <w:b/>
                <w:color w:val="auto"/>
                <w:szCs w:val="21"/>
                <w:highlight w:val="none"/>
              </w:rPr>
            </w:pPr>
            <w:r>
              <w:rPr>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1C45BE0">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提交《承包人的资格（资质）报审表》、《专业分包的资格（资质）报审表》的审核资料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B86106A">
            <w:pPr>
              <w:spacing w:line="360" w:lineRule="auto"/>
              <w:jc w:val="center"/>
              <w:rPr>
                <w:b/>
                <w:color w:val="auto"/>
                <w:szCs w:val="21"/>
                <w:highlight w:val="none"/>
              </w:rPr>
            </w:pPr>
          </w:p>
        </w:tc>
      </w:tr>
      <w:tr w14:paraId="79CC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8E6047A">
            <w:pPr>
              <w:spacing w:line="360" w:lineRule="auto"/>
              <w:jc w:val="center"/>
              <w:rPr>
                <w:b/>
                <w:color w:val="auto"/>
                <w:szCs w:val="21"/>
                <w:highlight w:val="none"/>
              </w:rPr>
            </w:pPr>
            <w:r>
              <w:rPr>
                <w:b/>
                <w:color w:val="auto"/>
                <w:szCs w:val="21"/>
                <w:highlight w:val="none"/>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66AA4D1">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提交对承包人提交的《进场施工测量成果报验申请表》的审核报告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F1F99BD">
            <w:pPr>
              <w:spacing w:line="360" w:lineRule="auto"/>
              <w:jc w:val="center"/>
              <w:rPr>
                <w:b/>
                <w:color w:val="auto"/>
                <w:szCs w:val="21"/>
                <w:highlight w:val="none"/>
              </w:rPr>
            </w:pPr>
          </w:p>
        </w:tc>
      </w:tr>
      <w:tr w14:paraId="0002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029A4C2">
            <w:pPr>
              <w:spacing w:line="360" w:lineRule="auto"/>
              <w:jc w:val="center"/>
              <w:rPr>
                <w:b/>
                <w:color w:val="auto"/>
                <w:szCs w:val="21"/>
                <w:highlight w:val="none"/>
              </w:rPr>
            </w:pPr>
            <w:r>
              <w:rPr>
                <w:b/>
                <w:color w:val="auto"/>
                <w:szCs w:val="21"/>
                <w:highlight w:val="none"/>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D48FCBF">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提交经过批核的《工程开工报审表》</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E7AC886">
            <w:pPr>
              <w:spacing w:line="360" w:lineRule="auto"/>
              <w:jc w:val="center"/>
              <w:rPr>
                <w:b/>
                <w:color w:val="auto"/>
                <w:szCs w:val="21"/>
                <w:highlight w:val="none"/>
              </w:rPr>
            </w:pPr>
          </w:p>
        </w:tc>
      </w:tr>
      <w:tr w14:paraId="64B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B731487">
            <w:pPr>
              <w:spacing w:line="360" w:lineRule="auto"/>
              <w:jc w:val="center"/>
              <w:rPr>
                <w:b/>
                <w:color w:val="auto"/>
                <w:szCs w:val="21"/>
                <w:highlight w:val="none"/>
              </w:rPr>
            </w:pPr>
            <w:r>
              <w:rPr>
                <w:b/>
                <w:color w:val="auto"/>
                <w:szCs w:val="21"/>
                <w:highlight w:val="none"/>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6753F23">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提交首次工地会议的会议记录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1EB75BD">
            <w:pPr>
              <w:spacing w:line="360" w:lineRule="auto"/>
              <w:jc w:val="center"/>
              <w:rPr>
                <w:b/>
                <w:color w:val="auto"/>
                <w:szCs w:val="21"/>
                <w:highlight w:val="none"/>
              </w:rPr>
            </w:pPr>
          </w:p>
        </w:tc>
      </w:tr>
      <w:tr w14:paraId="32BA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83A8D93">
            <w:pPr>
              <w:spacing w:line="360" w:lineRule="auto"/>
              <w:jc w:val="center"/>
              <w:rPr>
                <w:b/>
                <w:color w:val="auto"/>
                <w:szCs w:val="21"/>
                <w:highlight w:val="none"/>
              </w:rPr>
            </w:pPr>
            <w:r>
              <w:rPr>
                <w:b/>
                <w:color w:val="auto"/>
                <w:szCs w:val="21"/>
                <w:highlight w:val="none"/>
                <w:lang w:bidi="ar"/>
              </w:rPr>
              <w:t>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8CF417C">
            <w:pPr>
              <w:widowControl/>
              <w:spacing w:line="360" w:lineRule="auto"/>
              <w:jc w:val="left"/>
              <w:rPr>
                <w:b/>
                <w:color w:val="auto"/>
                <w:szCs w:val="21"/>
                <w:highlight w:val="none"/>
              </w:rPr>
            </w:pPr>
            <w:r>
              <w:rPr>
                <w:rFonts w:hint="eastAsia" w:ascii="宋体" w:hAnsi="宋体" w:cs="宋体"/>
                <w:color w:val="auto"/>
                <w:kern w:val="0"/>
                <w:sz w:val="18"/>
                <w:szCs w:val="18"/>
                <w:highlight w:val="none"/>
                <w:lang w:bidi="ar"/>
              </w:rPr>
              <w:t>提交《监理规划》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BBDB01B">
            <w:pPr>
              <w:spacing w:line="360" w:lineRule="auto"/>
              <w:jc w:val="center"/>
              <w:rPr>
                <w:b/>
                <w:color w:val="auto"/>
                <w:szCs w:val="21"/>
                <w:highlight w:val="none"/>
              </w:rPr>
            </w:pPr>
          </w:p>
        </w:tc>
      </w:tr>
      <w:tr w14:paraId="176D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F5E6927">
            <w:pPr>
              <w:spacing w:line="360" w:lineRule="auto"/>
              <w:jc w:val="center"/>
              <w:rPr>
                <w:b/>
                <w:color w:val="auto"/>
                <w:szCs w:val="21"/>
                <w:highlight w:val="none"/>
              </w:rPr>
            </w:pPr>
            <w:r>
              <w:rPr>
                <w:b/>
                <w:color w:val="auto"/>
                <w:szCs w:val="21"/>
                <w:highlight w:val="none"/>
                <w:lang w:bidi="ar"/>
              </w:rPr>
              <w:t>10</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5050108">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提交《监理实施细则》（含安全监理实施细则）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8BCD511">
            <w:pPr>
              <w:spacing w:line="360" w:lineRule="auto"/>
              <w:jc w:val="center"/>
              <w:rPr>
                <w:b/>
                <w:color w:val="auto"/>
                <w:szCs w:val="21"/>
                <w:highlight w:val="none"/>
              </w:rPr>
            </w:pPr>
          </w:p>
        </w:tc>
      </w:tr>
      <w:tr w14:paraId="090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717B6A">
            <w:pPr>
              <w:spacing w:line="360" w:lineRule="auto"/>
              <w:jc w:val="center"/>
              <w:rPr>
                <w:b/>
                <w:color w:val="auto"/>
                <w:szCs w:val="21"/>
                <w:highlight w:val="none"/>
              </w:rPr>
            </w:pPr>
            <w:r>
              <w:rPr>
                <w:b/>
                <w:color w:val="auto"/>
                <w:szCs w:val="21"/>
                <w:highlight w:val="none"/>
                <w:lang w:bidi="ar"/>
              </w:rPr>
              <w:t>11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8BF5B2D">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项目监理机构驻场监理人员通知书（至少含一名造价工程师，详见附件4）</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3CB6399">
            <w:pPr>
              <w:spacing w:line="360" w:lineRule="auto"/>
              <w:jc w:val="center"/>
              <w:rPr>
                <w:b/>
                <w:color w:val="auto"/>
                <w:szCs w:val="21"/>
                <w:highlight w:val="none"/>
              </w:rPr>
            </w:pPr>
          </w:p>
        </w:tc>
      </w:tr>
      <w:tr w14:paraId="7236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BDE8EE">
            <w:pPr>
              <w:spacing w:line="360" w:lineRule="auto"/>
              <w:jc w:val="center"/>
              <w:rPr>
                <w:b/>
                <w:color w:val="auto"/>
                <w:szCs w:val="21"/>
                <w:highlight w:val="none"/>
              </w:rPr>
            </w:pPr>
            <w:r>
              <w:rPr>
                <w:b/>
                <w:color w:val="auto"/>
                <w:szCs w:val="21"/>
                <w:highlight w:val="none"/>
                <w:lang w:bidi="ar"/>
              </w:rPr>
              <w:t>12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B1D2BB5">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提交投标清单复核（清标）报告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2BCED77">
            <w:pPr>
              <w:spacing w:line="360" w:lineRule="auto"/>
              <w:jc w:val="center"/>
              <w:rPr>
                <w:b/>
                <w:color w:val="auto"/>
                <w:szCs w:val="21"/>
                <w:highlight w:val="none"/>
              </w:rPr>
            </w:pPr>
          </w:p>
        </w:tc>
      </w:tr>
      <w:tr w14:paraId="2C75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AC2A88F">
            <w:pPr>
              <w:spacing w:line="360" w:lineRule="auto"/>
              <w:jc w:val="center"/>
              <w:rPr>
                <w:b/>
                <w:color w:val="auto"/>
                <w:szCs w:val="21"/>
                <w:highlight w:val="none"/>
              </w:rPr>
            </w:pPr>
            <w:r>
              <w:rPr>
                <w:b/>
                <w:color w:val="auto"/>
                <w:szCs w:val="21"/>
                <w:highlight w:val="none"/>
                <w:lang w:bidi="ar"/>
              </w:rPr>
              <w:t>13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505CE62">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提交材料定版计划、样板引路计划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A276A0C">
            <w:pPr>
              <w:spacing w:line="360" w:lineRule="auto"/>
              <w:jc w:val="center"/>
              <w:rPr>
                <w:b/>
                <w:color w:val="auto"/>
                <w:szCs w:val="21"/>
                <w:highlight w:val="none"/>
              </w:rPr>
            </w:pPr>
          </w:p>
        </w:tc>
      </w:tr>
      <w:tr w14:paraId="6DD5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0638E4E">
            <w:pPr>
              <w:spacing w:line="360" w:lineRule="auto"/>
              <w:jc w:val="center"/>
              <w:rPr>
                <w:b/>
                <w:color w:val="auto"/>
                <w:szCs w:val="21"/>
                <w:highlight w:val="none"/>
              </w:rPr>
            </w:pPr>
            <w:r>
              <w:rPr>
                <w:rFonts w:hint="eastAsia" w:cs="宋体"/>
                <w:b/>
                <w:color w:val="auto"/>
                <w:szCs w:val="21"/>
                <w:highlight w:val="none"/>
                <w:lang w:bidi="ar"/>
              </w:rPr>
              <w:t>三</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06DEA618">
            <w:pPr>
              <w:spacing w:line="360" w:lineRule="auto"/>
              <w:jc w:val="center"/>
              <w:rPr>
                <w:b/>
                <w:color w:val="auto"/>
                <w:szCs w:val="21"/>
                <w:highlight w:val="none"/>
              </w:rPr>
            </w:pPr>
            <w:r>
              <w:rPr>
                <w:rFonts w:hint="eastAsia" w:cs="宋体"/>
                <w:b/>
                <w:color w:val="auto"/>
                <w:szCs w:val="21"/>
                <w:highlight w:val="none"/>
                <w:lang w:bidi="ar"/>
              </w:rPr>
              <w:t>工程施工阶段</w:t>
            </w:r>
          </w:p>
        </w:tc>
      </w:tr>
      <w:tr w14:paraId="41DF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FCAEA3C">
            <w:pPr>
              <w:spacing w:line="360" w:lineRule="auto"/>
              <w:jc w:val="center"/>
              <w:rPr>
                <w:b/>
                <w:color w:val="auto"/>
                <w:szCs w:val="21"/>
                <w:highlight w:val="none"/>
              </w:rPr>
            </w:pPr>
            <w:r>
              <w:rPr>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AC257A7">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 xml:space="preserve">提交经审批的施工组织设计方案 </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65D7D4C">
            <w:pPr>
              <w:spacing w:line="360" w:lineRule="auto"/>
              <w:jc w:val="center"/>
              <w:rPr>
                <w:b/>
                <w:color w:val="auto"/>
                <w:szCs w:val="21"/>
                <w:highlight w:val="none"/>
              </w:rPr>
            </w:pPr>
          </w:p>
        </w:tc>
      </w:tr>
      <w:tr w14:paraId="49C7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B619C87">
            <w:pPr>
              <w:spacing w:line="360" w:lineRule="auto"/>
              <w:jc w:val="center"/>
              <w:rPr>
                <w:b/>
                <w:color w:val="auto"/>
                <w:szCs w:val="21"/>
                <w:highlight w:val="none"/>
              </w:rPr>
            </w:pPr>
            <w:r>
              <w:rPr>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9C70369">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提交材料进场审核资料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6E009A9">
            <w:pPr>
              <w:spacing w:line="360" w:lineRule="auto"/>
              <w:jc w:val="center"/>
              <w:rPr>
                <w:b/>
                <w:color w:val="auto"/>
                <w:szCs w:val="21"/>
                <w:highlight w:val="none"/>
              </w:rPr>
            </w:pPr>
          </w:p>
        </w:tc>
      </w:tr>
      <w:tr w14:paraId="699A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8F1B2EC">
            <w:pPr>
              <w:spacing w:line="360" w:lineRule="auto"/>
              <w:jc w:val="center"/>
              <w:rPr>
                <w:b/>
                <w:color w:val="auto"/>
                <w:szCs w:val="21"/>
                <w:highlight w:val="none"/>
              </w:rPr>
            </w:pPr>
            <w:r>
              <w:rPr>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F7FC5CF">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《旁站监理记录》、《监理日记》</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7A5A51A">
            <w:pPr>
              <w:spacing w:line="360" w:lineRule="auto"/>
              <w:jc w:val="center"/>
              <w:rPr>
                <w:b/>
                <w:color w:val="auto"/>
                <w:szCs w:val="21"/>
                <w:highlight w:val="none"/>
              </w:rPr>
            </w:pPr>
          </w:p>
        </w:tc>
      </w:tr>
      <w:tr w14:paraId="2C89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361882D">
            <w:pPr>
              <w:spacing w:line="360" w:lineRule="auto"/>
              <w:jc w:val="center"/>
              <w:rPr>
                <w:b/>
                <w:color w:val="auto"/>
                <w:szCs w:val="21"/>
                <w:highlight w:val="none"/>
              </w:rPr>
            </w:pPr>
            <w:r>
              <w:rPr>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55972CB">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提交经审批的《隐蔽工程报验申请表》</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4D7B8F8">
            <w:pPr>
              <w:spacing w:line="360" w:lineRule="auto"/>
              <w:jc w:val="center"/>
              <w:rPr>
                <w:b/>
                <w:color w:val="auto"/>
                <w:szCs w:val="21"/>
                <w:highlight w:val="none"/>
              </w:rPr>
            </w:pPr>
          </w:p>
        </w:tc>
      </w:tr>
      <w:tr w14:paraId="0EF7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BE67AA9">
            <w:pPr>
              <w:spacing w:line="360" w:lineRule="auto"/>
              <w:jc w:val="center"/>
              <w:rPr>
                <w:b/>
                <w:color w:val="auto"/>
                <w:szCs w:val="21"/>
                <w:highlight w:val="none"/>
              </w:rPr>
            </w:pPr>
            <w:r>
              <w:rPr>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98F79A1">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分部验收、分部归档（含施工日记）资料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67F83B1">
            <w:pPr>
              <w:spacing w:line="360" w:lineRule="auto"/>
              <w:jc w:val="center"/>
              <w:rPr>
                <w:b/>
                <w:color w:val="auto"/>
                <w:szCs w:val="21"/>
                <w:highlight w:val="none"/>
              </w:rPr>
            </w:pPr>
          </w:p>
        </w:tc>
      </w:tr>
      <w:tr w14:paraId="5A6E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D86FA3B">
            <w:pPr>
              <w:spacing w:line="360" w:lineRule="auto"/>
              <w:jc w:val="center"/>
              <w:rPr>
                <w:b/>
                <w:color w:val="auto"/>
                <w:szCs w:val="21"/>
                <w:highlight w:val="none"/>
              </w:rPr>
            </w:pPr>
            <w:r>
              <w:rPr>
                <w:b/>
                <w:color w:val="auto"/>
                <w:szCs w:val="21"/>
                <w:highlight w:val="none"/>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C36AFBC">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对承包人编制的机电设备安装、调试、验收计划的审核报告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1732E8B">
            <w:pPr>
              <w:spacing w:line="360" w:lineRule="auto"/>
              <w:jc w:val="center"/>
              <w:rPr>
                <w:b/>
                <w:color w:val="auto"/>
                <w:szCs w:val="21"/>
                <w:highlight w:val="none"/>
              </w:rPr>
            </w:pPr>
          </w:p>
        </w:tc>
      </w:tr>
      <w:tr w14:paraId="1B09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A0EA1EA">
            <w:pPr>
              <w:spacing w:line="360" w:lineRule="auto"/>
              <w:jc w:val="center"/>
              <w:rPr>
                <w:b/>
                <w:color w:val="auto"/>
                <w:szCs w:val="21"/>
                <w:highlight w:val="none"/>
              </w:rPr>
            </w:pPr>
            <w:r>
              <w:rPr>
                <w:b/>
                <w:color w:val="auto"/>
                <w:szCs w:val="21"/>
                <w:highlight w:val="none"/>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7F1DEED">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提交设备监造规划；设备制造的生产计划及工艺方案；设备制造的检验计划和检验要求；设备监造工作总结报告（如有）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528E15E">
            <w:pPr>
              <w:spacing w:line="360" w:lineRule="auto"/>
              <w:jc w:val="center"/>
              <w:rPr>
                <w:b/>
                <w:color w:val="auto"/>
                <w:szCs w:val="21"/>
                <w:highlight w:val="none"/>
              </w:rPr>
            </w:pPr>
          </w:p>
        </w:tc>
      </w:tr>
      <w:tr w14:paraId="601D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7C8FD14">
            <w:pPr>
              <w:spacing w:line="360" w:lineRule="auto"/>
              <w:jc w:val="center"/>
              <w:rPr>
                <w:b/>
                <w:color w:val="auto"/>
                <w:szCs w:val="21"/>
                <w:highlight w:val="none"/>
              </w:rPr>
            </w:pPr>
            <w:r>
              <w:rPr>
                <w:b/>
                <w:color w:val="auto"/>
                <w:szCs w:val="21"/>
                <w:highlight w:val="none"/>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CD07264">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提交工地例会的会议纪要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E7EAA16">
            <w:pPr>
              <w:spacing w:line="360" w:lineRule="auto"/>
              <w:jc w:val="center"/>
              <w:rPr>
                <w:b/>
                <w:color w:val="auto"/>
                <w:szCs w:val="21"/>
                <w:highlight w:val="none"/>
              </w:rPr>
            </w:pPr>
          </w:p>
        </w:tc>
      </w:tr>
      <w:tr w14:paraId="436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149188">
            <w:pPr>
              <w:spacing w:line="360" w:lineRule="auto"/>
              <w:jc w:val="center"/>
              <w:rPr>
                <w:b/>
                <w:color w:val="auto"/>
                <w:szCs w:val="21"/>
                <w:highlight w:val="none"/>
              </w:rPr>
            </w:pPr>
            <w:r>
              <w:rPr>
                <w:b/>
                <w:color w:val="auto"/>
                <w:szCs w:val="21"/>
                <w:highlight w:val="none"/>
                <w:lang w:bidi="ar"/>
              </w:rPr>
              <w:t>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CBC9331">
            <w:pPr>
              <w:pStyle w:val="26"/>
              <w:widowControl w:val="0"/>
              <w:spacing w:before="0" w:beforeAutospacing="0" w:after="120" w:afterAutospacing="0" w:line="360" w:lineRule="auto"/>
              <w:jc w:val="both"/>
              <w:rPr>
                <w:color w:val="auto"/>
                <w:highlight w:val="none"/>
              </w:rPr>
            </w:pPr>
            <w:r>
              <w:rPr>
                <w:rFonts w:hint="eastAsia"/>
                <w:color w:val="auto"/>
                <w:sz w:val="18"/>
                <w:szCs w:val="18"/>
                <w:highlight w:val="none"/>
                <w:lang w:bidi="ar"/>
              </w:rPr>
              <w:t>提交监理周报和月报（包括但不限于进度、造价、质量、安全控制等方面的报告）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6218A45">
            <w:pPr>
              <w:spacing w:line="360" w:lineRule="auto"/>
              <w:jc w:val="center"/>
              <w:rPr>
                <w:b/>
                <w:color w:val="auto"/>
                <w:szCs w:val="21"/>
                <w:highlight w:val="none"/>
              </w:rPr>
            </w:pPr>
          </w:p>
        </w:tc>
      </w:tr>
      <w:tr w14:paraId="4C80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19EA316">
            <w:pPr>
              <w:spacing w:line="360" w:lineRule="auto"/>
              <w:jc w:val="center"/>
              <w:rPr>
                <w:b/>
                <w:color w:val="auto"/>
                <w:szCs w:val="21"/>
                <w:highlight w:val="none"/>
              </w:rPr>
            </w:pPr>
            <w:r>
              <w:rPr>
                <w:b/>
                <w:color w:val="auto"/>
                <w:szCs w:val="21"/>
                <w:highlight w:val="none"/>
                <w:lang w:bidi="ar"/>
              </w:rPr>
              <w:t>10</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B6DECFC">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工期延误纠偏措施建议（如有）、工期顺延确认单（如有）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B50F4D8">
            <w:pPr>
              <w:spacing w:line="360" w:lineRule="auto"/>
              <w:jc w:val="center"/>
              <w:rPr>
                <w:b/>
                <w:color w:val="auto"/>
                <w:szCs w:val="21"/>
                <w:highlight w:val="none"/>
              </w:rPr>
            </w:pPr>
          </w:p>
        </w:tc>
      </w:tr>
      <w:tr w14:paraId="6034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70A39EE">
            <w:pPr>
              <w:spacing w:line="360" w:lineRule="auto"/>
              <w:jc w:val="center"/>
              <w:rPr>
                <w:b/>
                <w:color w:val="auto"/>
                <w:szCs w:val="21"/>
                <w:highlight w:val="none"/>
              </w:rPr>
            </w:pPr>
            <w:r>
              <w:rPr>
                <w:b/>
                <w:color w:val="auto"/>
                <w:szCs w:val="21"/>
                <w:highlight w:val="none"/>
                <w:lang w:bidi="ar"/>
              </w:rPr>
              <w:t>11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D750CEE">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批核工程请款资料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1E9AD45">
            <w:pPr>
              <w:spacing w:line="360" w:lineRule="auto"/>
              <w:jc w:val="center"/>
              <w:rPr>
                <w:b/>
                <w:color w:val="auto"/>
                <w:szCs w:val="21"/>
                <w:highlight w:val="none"/>
              </w:rPr>
            </w:pPr>
          </w:p>
        </w:tc>
      </w:tr>
      <w:tr w14:paraId="57EB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02C768">
            <w:pPr>
              <w:spacing w:line="360" w:lineRule="auto"/>
              <w:jc w:val="center"/>
              <w:rPr>
                <w:b/>
                <w:color w:val="auto"/>
                <w:szCs w:val="21"/>
                <w:highlight w:val="none"/>
              </w:rPr>
            </w:pPr>
            <w:r>
              <w:rPr>
                <w:b/>
                <w:color w:val="auto"/>
                <w:szCs w:val="21"/>
                <w:highlight w:val="none"/>
                <w:lang w:bidi="ar"/>
              </w:rPr>
              <w:t>12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49B5D98">
            <w:pPr>
              <w:widowControl/>
              <w:spacing w:line="360" w:lineRule="auto"/>
              <w:jc w:val="left"/>
              <w:rPr>
                <w:rFonts w:hint="eastAsia" w:ascii="宋体" w:hAnsi="宋体" w:cs="宋体"/>
                <w:strike/>
                <w:color w:val="auto"/>
                <w:kern w:val="0"/>
                <w:sz w:val="18"/>
                <w:szCs w:val="18"/>
                <w:highlight w:val="none"/>
                <w:lang w:bidi="ar"/>
              </w:rPr>
            </w:pPr>
            <w:r>
              <w:rPr>
                <w:rFonts w:hint="eastAsia" w:ascii="宋体" w:hAnsi="宋体" w:cs="宋体"/>
                <w:color w:val="auto"/>
                <w:kern w:val="0"/>
                <w:sz w:val="18"/>
                <w:szCs w:val="18"/>
                <w:highlight w:val="none"/>
                <w:lang w:bidi="ar"/>
              </w:rPr>
              <w:t>提交月度设计变更、现场签证的台账</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B2BB160">
            <w:pPr>
              <w:spacing w:line="360" w:lineRule="auto"/>
              <w:jc w:val="center"/>
              <w:rPr>
                <w:b/>
                <w:color w:val="auto"/>
                <w:szCs w:val="21"/>
                <w:highlight w:val="none"/>
              </w:rPr>
            </w:pPr>
          </w:p>
        </w:tc>
      </w:tr>
      <w:tr w14:paraId="719A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997A5F1">
            <w:pPr>
              <w:spacing w:line="360" w:lineRule="auto"/>
              <w:jc w:val="center"/>
              <w:rPr>
                <w:b/>
                <w:color w:val="auto"/>
                <w:szCs w:val="21"/>
                <w:highlight w:val="none"/>
              </w:rPr>
            </w:pPr>
            <w:r>
              <w:rPr>
                <w:b/>
                <w:color w:val="auto"/>
                <w:szCs w:val="21"/>
                <w:highlight w:val="none"/>
                <w:lang w:bidi="ar"/>
              </w:rPr>
              <w:t>13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874A614">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提交经过审核的由承包人提出的费用索赔申请（如有）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5508C22">
            <w:pPr>
              <w:spacing w:line="360" w:lineRule="auto"/>
              <w:jc w:val="center"/>
              <w:rPr>
                <w:b/>
                <w:color w:val="auto"/>
                <w:szCs w:val="21"/>
                <w:highlight w:val="none"/>
              </w:rPr>
            </w:pPr>
          </w:p>
        </w:tc>
      </w:tr>
      <w:tr w14:paraId="3E01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6AB70E4">
            <w:pPr>
              <w:spacing w:line="360" w:lineRule="auto"/>
              <w:jc w:val="center"/>
              <w:rPr>
                <w:b/>
                <w:color w:val="auto"/>
                <w:szCs w:val="21"/>
                <w:highlight w:val="none"/>
              </w:rPr>
            </w:pPr>
            <w:r>
              <w:rPr>
                <w:b/>
                <w:color w:val="auto"/>
                <w:szCs w:val="21"/>
                <w:highlight w:val="none"/>
                <w:lang w:bidi="ar"/>
              </w:rPr>
              <w:t>14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19C7754">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提交《合同争议调解方案》（如有）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B1E0075">
            <w:pPr>
              <w:spacing w:line="360" w:lineRule="auto"/>
              <w:jc w:val="center"/>
              <w:rPr>
                <w:b/>
                <w:color w:val="auto"/>
                <w:szCs w:val="21"/>
                <w:highlight w:val="none"/>
              </w:rPr>
            </w:pPr>
          </w:p>
        </w:tc>
      </w:tr>
      <w:tr w14:paraId="07A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DF9BFE3">
            <w:pPr>
              <w:spacing w:line="360" w:lineRule="auto"/>
              <w:jc w:val="center"/>
              <w:rPr>
                <w:b/>
                <w:color w:val="auto"/>
                <w:szCs w:val="21"/>
                <w:highlight w:val="none"/>
              </w:rPr>
            </w:pPr>
            <w:r>
              <w:rPr>
                <w:b/>
                <w:color w:val="auto"/>
                <w:szCs w:val="21"/>
                <w:highlight w:val="none"/>
                <w:lang w:bidi="ar"/>
              </w:rPr>
              <w:t>15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95E707A">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提交《合同解除（终止）处理方案书》（如有）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106A3B0">
            <w:pPr>
              <w:spacing w:line="360" w:lineRule="auto"/>
              <w:jc w:val="center"/>
              <w:rPr>
                <w:b/>
                <w:color w:val="auto"/>
                <w:szCs w:val="21"/>
                <w:highlight w:val="none"/>
              </w:rPr>
            </w:pPr>
          </w:p>
        </w:tc>
      </w:tr>
      <w:tr w14:paraId="699A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B97BEEC">
            <w:pPr>
              <w:spacing w:line="360" w:lineRule="auto"/>
              <w:jc w:val="center"/>
              <w:rPr>
                <w:b/>
                <w:color w:val="auto"/>
                <w:szCs w:val="21"/>
                <w:highlight w:val="none"/>
              </w:rPr>
            </w:pPr>
            <w:r>
              <w:rPr>
                <w:b/>
                <w:color w:val="auto"/>
                <w:szCs w:val="21"/>
                <w:highlight w:val="none"/>
                <w:lang w:bidi="ar"/>
              </w:rPr>
              <w:t>16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FB0868B">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工人实名制及工人工资发放的监管报告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59E1A8E">
            <w:pPr>
              <w:spacing w:line="360" w:lineRule="auto"/>
              <w:jc w:val="center"/>
              <w:rPr>
                <w:b/>
                <w:color w:val="auto"/>
                <w:szCs w:val="21"/>
                <w:highlight w:val="none"/>
              </w:rPr>
            </w:pPr>
          </w:p>
        </w:tc>
      </w:tr>
      <w:tr w14:paraId="7F20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FF72339">
            <w:pPr>
              <w:spacing w:line="360" w:lineRule="auto"/>
              <w:jc w:val="center"/>
              <w:rPr>
                <w:color w:val="auto"/>
                <w:szCs w:val="21"/>
                <w:highlight w:val="none"/>
              </w:rPr>
            </w:pPr>
            <w:r>
              <w:rPr>
                <w:b/>
                <w:color w:val="auto"/>
                <w:szCs w:val="21"/>
                <w:highlight w:val="none"/>
                <w:lang w:bidi="ar"/>
              </w:rPr>
              <w:t>17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DEC040F">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各分部工程实际完成量造价偏差分析报告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7399669">
            <w:pPr>
              <w:spacing w:line="360" w:lineRule="auto"/>
              <w:jc w:val="center"/>
              <w:rPr>
                <w:b/>
                <w:color w:val="auto"/>
                <w:szCs w:val="21"/>
                <w:highlight w:val="none"/>
              </w:rPr>
            </w:pPr>
          </w:p>
        </w:tc>
      </w:tr>
      <w:tr w14:paraId="1176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B6204C1">
            <w:pPr>
              <w:spacing w:line="360" w:lineRule="auto"/>
              <w:jc w:val="center"/>
              <w:rPr>
                <w:b/>
                <w:color w:val="auto"/>
                <w:szCs w:val="21"/>
                <w:highlight w:val="none"/>
              </w:rPr>
            </w:pPr>
            <w:r>
              <w:rPr>
                <w:b/>
                <w:color w:val="auto"/>
                <w:szCs w:val="21"/>
                <w:highlight w:val="none"/>
                <w:lang w:bidi="ar"/>
              </w:rPr>
              <w:t>18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D1ADE21">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提交质量、安全整改单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D94CD9B">
            <w:pPr>
              <w:spacing w:line="360" w:lineRule="auto"/>
              <w:jc w:val="center"/>
              <w:rPr>
                <w:b/>
                <w:color w:val="auto"/>
                <w:szCs w:val="21"/>
                <w:highlight w:val="none"/>
              </w:rPr>
            </w:pPr>
          </w:p>
        </w:tc>
      </w:tr>
      <w:tr w14:paraId="5AD6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51E3A00">
            <w:pPr>
              <w:spacing w:line="360" w:lineRule="auto"/>
              <w:jc w:val="center"/>
              <w:rPr>
                <w:b/>
                <w:color w:val="auto"/>
                <w:szCs w:val="21"/>
                <w:highlight w:val="none"/>
              </w:rPr>
            </w:pPr>
            <w:r>
              <w:rPr>
                <w:b/>
                <w:color w:val="auto"/>
                <w:szCs w:val="21"/>
                <w:highlight w:val="none"/>
                <w:lang w:bidi="ar"/>
              </w:rPr>
              <w:t>19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3946D73">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当增加的总造价超过50%暂列金时，监理人需向委托方提交造价控制预警报告；当增加的总造价超过暂列金时，监理人需书面向委托方报告资金使用情况。</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07C6868">
            <w:pPr>
              <w:spacing w:line="360" w:lineRule="auto"/>
              <w:jc w:val="center"/>
              <w:rPr>
                <w:b/>
                <w:color w:val="auto"/>
                <w:szCs w:val="21"/>
                <w:highlight w:val="none"/>
              </w:rPr>
            </w:pPr>
          </w:p>
        </w:tc>
      </w:tr>
      <w:tr w14:paraId="568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5FE971">
            <w:pPr>
              <w:spacing w:line="360" w:lineRule="auto"/>
              <w:jc w:val="center"/>
              <w:rPr>
                <w:b/>
                <w:color w:val="auto"/>
                <w:szCs w:val="21"/>
                <w:highlight w:val="none"/>
              </w:rPr>
            </w:pPr>
            <w:r>
              <w:rPr>
                <w:rFonts w:hint="eastAsia" w:cs="宋体"/>
                <w:b/>
                <w:color w:val="auto"/>
                <w:szCs w:val="21"/>
                <w:highlight w:val="none"/>
                <w:lang w:bidi="ar"/>
              </w:rPr>
              <w:t>四</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43C2ACB2">
            <w:pPr>
              <w:spacing w:line="360" w:lineRule="auto"/>
              <w:jc w:val="center"/>
              <w:rPr>
                <w:b/>
                <w:color w:val="auto"/>
                <w:szCs w:val="21"/>
                <w:highlight w:val="none"/>
              </w:rPr>
            </w:pPr>
            <w:r>
              <w:rPr>
                <w:rFonts w:hint="eastAsia" w:cs="宋体"/>
                <w:b/>
                <w:color w:val="auto"/>
                <w:szCs w:val="21"/>
                <w:highlight w:val="none"/>
                <w:lang w:bidi="ar"/>
              </w:rPr>
              <w:t>收尾阶段</w:t>
            </w:r>
          </w:p>
        </w:tc>
      </w:tr>
      <w:tr w14:paraId="2ADE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E87218">
            <w:pPr>
              <w:spacing w:line="360" w:lineRule="auto"/>
              <w:jc w:val="center"/>
              <w:rPr>
                <w:b/>
                <w:color w:val="auto"/>
                <w:szCs w:val="21"/>
                <w:highlight w:val="none"/>
              </w:rPr>
            </w:pPr>
            <w:r>
              <w:rPr>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FC3A4B2">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提交《工程验收监理工作计划》及《工程结算审核计划》、审批安全评价申请、竣工验收报告等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3DE1702">
            <w:pPr>
              <w:spacing w:line="360" w:lineRule="auto"/>
              <w:jc w:val="center"/>
              <w:rPr>
                <w:b/>
                <w:color w:val="auto"/>
                <w:szCs w:val="21"/>
                <w:highlight w:val="none"/>
              </w:rPr>
            </w:pPr>
          </w:p>
        </w:tc>
      </w:tr>
      <w:tr w14:paraId="4D67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D912B6C">
            <w:pPr>
              <w:spacing w:line="360" w:lineRule="auto"/>
              <w:jc w:val="center"/>
              <w:rPr>
                <w:b/>
                <w:color w:val="auto"/>
                <w:szCs w:val="21"/>
                <w:highlight w:val="none"/>
              </w:rPr>
            </w:pPr>
            <w:r>
              <w:rPr>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0786080">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提交竣工图修订记录、设计变更索引记录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2E3BEA3">
            <w:pPr>
              <w:spacing w:line="360" w:lineRule="auto"/>
              <w:jc w:val="center"/>
              <w:rPr>
                <w:b/>
                <w:color w:val="auto"/>
                <w:szCs w:val="21"/>
                <w:highlight w:val="none"/>
              </w:rPr>
            </w:pPr>
          </w:p>
        </w:tc>
      </w:tr>
      <w:tr w14:paraId="209A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ACCD048">
            <w:pPr>
              <w:spacing w:line="360" w:lineRule="auto"/>
              <w:jc w:val="center"/>
              <w:rPr>
                <w:b/>
                <w:color w:val="auto"/>
                <w:szCs w:val="21"/>
                <w:highlight w:val="none"/>
              </w:rPr>
            </w:pPr>
            <w:r>
              <w:rPr>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634FD36">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提交《工程质量评估报告》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74BBE9F">
            <w:pPr>
              <w:spacing w:line="360" w:lineRule="auto"/>
              <w:jc w:val="center"/>
              <w:rPr>
                <w:b/>
                <w:color w:val="auto"/>
                <w:szCs w:val="21"/>
                <w:highlight w:val="none"/>
              </w:rPr>
            </w:pPr>
          </w:p>
        </w:tc>
      </w:tr>
      <w:tr w14:paraId="19A1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5E0093B">
            <w:pPr>
              <w:spacing w:line="360" w:lineRule="auto"/>
              <w:jc w:val="center"/>
              <w:rPr>
                <w:b/>
                <w:color w:val="auto"/>
                <w:szCs w:val="21"/>
                <w:highlight w:val="none"/>
              </w:rPr>
            </w:pPr>
            <w:r>
              <w:rPr>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F86DE19">
            <w:pPr>
              <w:widowControl/>
              <w:spacing w:line="360" w:lineRule="auto"/>
              <w:jc w:val="left"/>
              <w:rPr>
                <w:rFonts w:hint="eastAsia" w:ascii="宋体" w:hAnsi="宋体" w:cs="宋体"/>
                <w:strike/>
                <w:color w:val="auto"/>
                <w:kern w:val="0"/>
                <w:sz w:val="18"/>
                <w:szCs w:val="18"/>
                <w:highlight w:val="none"/>
                <w:lang w:bidi="ar"/>
              </w:rPr>
            </w:pPr>
            <w:r>
              <w:rPr>
                <w:rFonts w:hint="eastAsia" w:ascii="宋体" w:hAnsi="宋体" w:cs="宋体"/>
                <w:color w:val="auto"/>
                <w:kern w:val="0"/>
                <w:sz w:val="18"/>
                <w:szCs w:val="18"/>
                <w:highlight w:val="none"/>
                <w:lang w:bidi="ar"/>
              </w:rPr>
              <w:t>提交结算审核计划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418649E">
            <w:pPr>
              <w:spacing w:line="360" w:lineRule="auto"/>
              <w:jc w:val="center"/>
              <w:rPr>
                <w:b/>
                <w:color w:val="auto"/>
                <w:szCs w:val="21"/>
                <w:highlight w:val="none"/>
              </w:rPr>
            </w:pPr>
          </w:p>
        </w:tc>
      </w:tr>
      <w:tr w14:paraId="0D3A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08EBBB3">
            <w:pPr>
              <w:spacing w:line="360" w:lineRule="auto"/>
              <w:jc w:val="center"/>
              <w:rPr>
                <w:b/>
                <w:color w:val="auto"/>
                <w:szCs w:val="21"/>
                <w:highlight w:val="none"/>
              </w:rPr>
            </w:pPr>
            <w:r>
              <w:rPr>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698D6F9">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提交竣工结算审核报告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CA1EAA5">
            <w:pPr>
              <w:spacing w:line="360" w:lineRule="auto"/>
              <w:jc w:val="center"/>
              <w:rPr>
                <w:b/>
                <w:color w:val="auto"/>
                <w:szCs w:val="21"/>
                <w:highlight w:val="none"/>
              </w:rPr>
            </w:pPr>
          </w:p>
        </w:tc>
      </w:tr>
      <w:tr w14:paraId="2EE5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297A6FA">
            <w:pPr>
              <w:spacing w:line="360" w:lineRule="auto"/>
              <w:jc w:val="center"/>
              <w:rPr>
                <w:b/>
                <w:color w:val="auto"/>
                <w:szCs w:val="21"/>
                <w:highlight w:val="none"/>
              </w:rPr>
            </w:pPr>
            <w:r>
              <w:rPr>
                <w:b/>
                <w:color w:val="auto"/>
                <w:szCs w:val="21"/>
                <w:highlight w:val="none"/>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FD91D3B">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配合有关部门的结算审核工作，向委托人提出解决工程结算争议的合理建议</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3701C48">
            <w:pPr>
              <w:spacing w:line="360" w:lineRule="auto"/>
              <w:jc w:val="center"/>
              <w:rPr>
                <w:b/>
                <w:color w:val="auto"/>
                <w:szCs w:val="21"/>
                <w:highlight w:val="none"/>
              </w:rPr>
            </w:pPr>
          </w:p>
        </w:tc>
      </w:tr>
      <w:tr w14:paraId="0271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D478FB5">
            <w:pPr>
              <w:spacing w:line="360" w:lineRule="auto"/>
              <w:jc w:val="center"/>
              <w:rPr>
                <w:b/>
                <w:color w:val="auto"/>
                <w:szCs w:val="21"/>
                <w:highlight w:val="none"/>
              </w:rPr>
            </w:pPr>
            <w:r>
              <w:rPr>
                <w:b/>
                <w:color w:val="auto"/>
                <w:szCs w:val="21"/>
                <w:highlight w:val="none"/>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4992E6E">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提交《监理工作项目总结》</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7EB20AA">
            <w:pPr>
              <w:spacing w:line="360" w:lineRule="auto"/>
              <w:jc w:val="center"/>
              <w:rPr>
                <w:b/>
                <w:color w:val="auto"/>
                <w:szCs w:val="21"/>
                <w:highlight w:val="none"/>
              </w:rPr>
            </w:pPr>
          </w:p>
        </w:tc>
      </w:tr>
      <w:tr w14:paraId="5824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70C4F7C">
            <w:pPr>
              <w:spacing w:line="360" w:lineRule="auto"/>
              <w:jc w:val="center"/>
              <w:rPr>
                <w:b/>
                <w:color w:val="auto"/>
                <w:szCs w:val="21"/>
                <w:highlight w:val="none"/>
              </w:rPr>
            </w:pPr>
            <w:r>
              <w:rPr>
                <w:b/>
                <w:color w:val="auto"/>
                <w:szCs w:val="21"/>
                <w:highlight w:val="none"/>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6EA6F3E">
            <w:pPr>
              <w:widowControl/>
              <w:spacing w:line="360" w:lineRule="auto"/>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提交《质保期间的维保工作方案》</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D79510B">
            <w:pPr>
              <w:spacing w:line="360" w:lineRule="auto"/>
              <w:jc w:val="center"/>
              <w:rPr>
                <w:b/>
                <w:color w:val="auto"/>
                <w:szCs w:val="21"/>
                <w:highlight w:val="none"/>
              </w:rPr>
            </w:pPr>
          </w:p>
        </w:tc>
      </w:tr>
    </w:tbl>
    <w:p w14:paraId="6EED67D9">
      <w:pPr>
        <w:pStyle w:val="26"/>
        <w:widowControl w:val="0"/>
        <w:spacing w:before="0" w:beforeAutospacing="0" w:after="120" w:afterAutospacing="0" w:line="360" w:lineRule="auto"/>
        <w:jc w:val="both"/>
        <w:rPr>
          <w:b/>
          <w:color w:val="auto"/>
          <w:sz w:val="30"/>
          <w:szCs w:val="30"/>
          <w:highlight w:val="none"/>
        </w:rPr>
      </w:pPr>
    </w:p>
    <w:p w14:paraId="59DAFA1D">
      <w:pPr>
        <w:pStyle w:val="26"/>
        <w:widowControl w:val="0"/>
        <w:spacing w:before="0" w:beforeAutospacing="0" w:after="120" w:afterAutospacing="0" w:line="360" w:lineRule="auto"/>
        <w:jc w:val="both"/>
        <w:rPr>
          <w:b/>
          <w:color w:val="auto"/>
          <w:sz w:val="30"/>
          <w:szCs w:val="30"/>
          <w:highlight w:val="none"/>
        </w:rPr>
      </w:pPr>
    </w:p>
    <w:p w14:paraId="3D696DB2">
      <w:pPr>
        <w:pStyle w:val="26"/>
        <w:widowControl w:val="0"/>
        <w:spacing w:before="0" w:beforeAutospacing="0" w:after="120" w:afterAutospacing="0" w:line="360" w:lineRule="auto"/>
        <w:jc w:val="both"/>
        <w:rPr>
          <w:b/>
          <w:color w:val="auto"/>
          <w:sz w:val="28"/>
          <w:szCs w:val="28"/>
          <w:highlight w:val="none"/>
        </w:rPr>
      </w:pPr>
      <w:r>
        <w:rPr>
          <w:rFonts w:ascii="Calibri" w:hAnsi="Calibri" w:cs="Times New Roman"/>
          <w:b/>
          <w:color w:val="auto"/>
          <w:sz w:val="28"/>
          <w:szCs w:val="28"/>
          <w:highlight w:val="none"/>
          <w:lang w:bidi="ar"/>
        </w:rPr>
        <w:br w:type="page"/>
      </w:r>
      <w:r>
        <w:rPr>
          <w:rFonts w:hint="eastAsia" w:ascii="Calibri" w:hAnsi="Calibri"/>
          <w:b/>
          <w:color w:val="auto"/>
          <w:sz w:val="28"/>
          <w:szCs w:val="28"/>
          <w:highlight w:val="none"/>
          <w:lang w:bidi="ar"/>
        </w:rPr>
        <w:t>附件</w:t>
      </w:r>
      <w:r>
        <w:rPr>
          <w:rFonts w:ascii="Calibri" w:hAnsi="Calibri" w:cs="Times New Roman"/>
          <w:b/>
          <w:color w:val="auto"/>
          <w:sz w:val="28"/>
          <w:szCs w:val="28"/>
          <w:highlight w:val="none"/>
          <w:lang w:bidi="ar"/>
        </w:rPr>
        <w:t>3</w:t>
      </w:r>
    </w:p>
    <w:p w14:paraId="3D911C13">
      <w:pPr>
        <w:widowControl/>
        <w:spacing w:line="360" w:lineRule="auto"/>
        <w:jc w:val="center"/>
        <w:rPr>
          <w:rFonts w:hint="eastAsia" w:ascii="宋体" w:hAnsi="宋体" w:cs="宋体"/>
          <w:b/>
          <w:color w:val="auto"/>
          <w:kern w:val="0"/>
          <w:sz w:val="28"/>
          <w:szCs w:val="28"/>
          <w:highlight w:val="none"/>
          <w:lang w:bidi="ar"/>
        </w:rPr>
      </w:pPr>
      <w:r>
        <w:rPr>
          <w:rFonts w:hint="eastAsia" w:ascii="宋体" w:hAnsi="宋体" w:cs="宋体"/>
          <w:b/>
          <w:color w:val="auto"/>
          <w:kern w:val="0"/>
          <w:sz w:val="28"/>
          <w:szCs w:val="28"/>
          <w:highlight w:val="none"/>
          <w:lang w:bidi="ar"/>
        </w:rPr>
        <w:t>结算审核工作质量情况考评细则</w:t>
      </w:r>
    </w:p>
    <w:p w14:paraId="067EEB46">
      <w:pPr>
        <w:widowControl/>
        <w:spacing w:line="360" w:lineRule="auto"/>
        <w:ind w:firstLine="632" w:firstLineChars="300"/>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项目名称：                            监理人：               考评日期：</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3009"/>
        <w:gridCol w:w="1808"/>
        <w:gridCol w:w="825"/>
        <w:gridCol w:w="682"/>
        <w:gridCol w:w="986"/>
        <w:gridCol w:w="805"/>
      </w:tblGrid>
      <w:tr w14:paraId="1E33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63EED228">
            <w:pPr>
              <w:spacing w:line="360" w:lineRule="auto"/>
              <w:jc w:val="center"/>
              <w:rPr>
                <w:b/>
                <w:color w:val="auto"/>
                <w:szCs w:val="21"/>
                <w:highlight w:val="none"/>
              </w:rPr>
            </w:pPr>
            <w:r>
              <w:rPr>
                <w:rFonts w:hint="eastAsia" w:cs="宋体"/>
                <w:b/>
                <w:color w:val="auto"/>
                <w:szCs w:val="21"/>
                <w:highlight w:val="none"/>
                <w:lang w:bidi="ar"/>
              </w:rPr>
              <w:t>序号</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7652BA47">
            <w:pPr>
              <w:spacing w:line="360" w:lineRule="auto"/>
              <w:jc w:val="center"/>
              <w:rPr>
                <w:b/>
                <w:color w:val="auto"/>
                <w:szCs w:val="21"/>
                <w:highlight w:val="none"/>
              </w:rPr>
            </w:pPr>
            <w:r>
              <w:rPr>
                <w:rFonts w:hint="eastAsia" w:cs="宋体"/>
                <w:b/>
                <w:color w:val="auto"/>
                <w:szCs w:val="21"/>
                <w:highlight w:val="none"/>
                <w:lang w:bidi="ar"/>
              </w:rPr>
              <w:t>考评分项</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4EE960DD">
            <w:pPr>
              <w:spacing w:line="360" w:lineRule="auto"/>
              <w:jc w:val="center"/>
              <w:rPr>
                <w:b/>
                <w:color w:val="auto"/>
                <w:szCs w:val="21"/>
                <w:highlight w:val="none"/>
              </w:rPr>
            </w:pPr>
            <w:r>
              <w:rPr>
                <w:rFonts w:hint="eastAsia" w:cs="宋体"/>
                <w:b/>
                <w:color w:val="auto"/>
                <w:szCs w:val="21"/>
                <w:highlight w:val="none"/>
                <w:lang w:bidi="ar"/>
              </w:rPr>
              <w:t>考评标准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85D705">
            <w:pPr>
              <w:spacing w:line="360" w:lineRule="auto"/>
              <w:jc w:val="center"/>
              <w:rPr>
                <w:b/>
                <w:color w:val="auto"/>
                <w:szCs w:val="21"/>
                <w:highlight w:val="none"/>
              </w:rPr>
            </w:pPr>
            <w:r>
              <w:rPr>
                <w:rFonts w:hint="eastAsia" w:cs="宋体"/>
                <w:b/>
                <w:color w:val="auto"/>
                <w:szCs w:val="21"/>
                <w:highlight w:val="none"/>
                <w:lang w:bidi="ar"/>
              </w:rPr>
              <w:t>分值标准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AA9CB91">
            <w:pPr>
              <w:spacing w:line="360" w:lineRule="auto"/>
              <w:jc w:val="center"/>
              <w:rPr>
                <w:b/>
                <w:color w:val="auto"/>
                <w:szCs w:val="21"/>
                <w:highlight w:val="none"/>
              </w:rPr>
            </w:pPr>
            <w:r>
              <w:rPr>
                <w:rFonts w:hint="eastAsia" w:cs="宋体"/>
                <w:b/>
                <w:color w:val="auto"/>
                <w:szCs w:val="21"/>
                <w:highlight w:val="none"/>
                <w:lang w:bidi="ar"/>
              </w:rPr>
              <w:t>监理人自评分</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D75D5BB">
            <w:pPr>
              <w:spacing w:line="360" w:lineRule="auto"/>
              <w:jc w:val="center"/>
              <w:rPr>
                <w:b/>
                <w:color w:val="auto"/>
                <w:szCs w:val="21"/>
                <w:highlight w:val="none"/>
              </w:rPr>
            </w:pPr>
            <w:r>
              <w:rPr>
                <w:rFonts w:hint="eastAsia" w:cs="宋体"/>
                <w:b/>
                <w:color w:val="auto"/>
                <w:szCs w:val="21"/>
                <w:highlight w:val="none"/>
                <w:lang w:bidi="ar"/>
              </w:rPr>
              <w:t>委托人复核情况评价</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684345A8">
            <w:pPr>
              <w:spacing w:line="360" w:lineRule="auto"/>
              <w:jc w:val="center"/>
              <w:rPr>
                <w:b/>
                <w:color w:val="auto"/>
                <w:szCs w:val="21"/>
                <w:highlight w:val="none"/>
              </w:rPr>
            </w:pPr>
            <w:r>
              <w:rPr>
                <w:rFonts w:hint="eastAsia" w:cs="宋体"/>
                <w:b/>
                <w:color w:val="auto"/>
                <w:szCs w:val="21"/>
                <w:highlight w:val="none"/>
                <w:lang w:bidi="ar"/>
              </w:rPr>
              <w:t>备注</w:t>
            </w:r>
          </w:p>
        </w:tc>
      </w:tr>
      <w:tr w14:paraId="3FB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8EFBF60">
            <w:pPr>
              <w:spacing w:line="360" w:lineRule="auto"/>
              <w:jc w:val="center"/>
              <w:rPr>
                <w:b/>
                <w:color w:val="auto"/>
                <w:szCs w:val="21"/>
                <w:highlight w:val="none"/>
              </w:rPr>
            </w:pPr>
            <w:r>
              <w:rPr>
                <w:rFonts w:hint="eastAsia" w:cs="宋体"/>
                <w:b/>
                <w:color w:val="auto"/>
                <w:szCs w:val="21"/>
                <w:highlight w:val="none"/>
                <w:lang w:bidi="ar"/>
              </w:rPr>
              <w:t>一</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5556B589">
            <w:pPr>
              <w:widowControl/>
              <w:spacing w:line="360" w:lineRule="auto"/>
              <w:jc w:val="left"/>
              <w:rPr>
                <w:b/>
                <w:color w:val="auto"/>
                <w:szCs w:val="21"/>
                <w:highlight w:val="none"/>
              </w:rPr>
            </w:pPr>
            <w:r>
              <w:rPr>
                <w:rFonts w:hint="eastAsia" w:ascii="宋体" w:hAnsi="宋体" w:cs="宋体"/>
                <w:b/>
                <w:color w:val="auto"/>
                <w:kern w:val="0"/>
                <w:szCs w:val="21"/>
                <w:highlight w:val="none"/>
                <w:lang w:bidi="ar"/>
              </w:rPr>
              <w:t>经监理审核后的竣工图纸（包括设备移交资料等）与现场的实际竣工情况不一致。</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438C241C">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 xml:space="preserve">每发现一处不一致情况扣 </w:t>
            </w:r>
            <w:r>
              <w:rPr>
                <w:rFonts w:ascii="Times New Roman" w:hAnsi="Times New Roman"/>
                <w:color w:val="auto"/>
                <w:kern w:val="0"/>
                <w:szCs w:val="21"/>
                <w:highlight w:val="none"/>
                <w:lang w:bidi="ar"/>
              </w:rPr>
              <w:t xml:space="preserve">2 </w:t>
            </w:r>
            <w:r>
              <w:rPr>
                <w:rFonts w:hint="eastAsia" w:ascii="宋体" w:hAnsi="宋体" w:cs="宋体"/>
                <w:color w:val="auto"/>
                <w:kern w:val="0"/>
                <w:szCs w:val="21"/>
                <w:highlight w:val="none"/>
                <w:lang w:bidi="ar"/>
              </w:rPr>
              <w:t>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558405C">
            <w:pPr>
              <w:spacing w:line="360" w:lineRule="auto"/>
              <w:jc w:val="center"/>
              <w:rPr>
                <w:b/>
                <w:color w:val="auto"/>
                <w:szCs w:val="21"/>
                <w:highlight w:val="none"/>
              </w:rPr>
            </w:pPr>
            <w:r>
              <w:rPr>
                <w:b/>
                <w:color w:val="auto"/>
                <w:szCs w:val="21"/>
                <w:highlight w:val="none"/>
                <w:lang w:bidi="ar"/>
              </w:rPr>
              <w:t>20</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4C0C2D0">
            <w:pPr>
              <w:spacing w:line="360" w:lineRule="auto"/>
              <w:jc w:val="center"/>
              <w:rPr>
                <w:b/>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0A87E4A8">
            <w:pPr>
              <w:spacing w:line="360" w:lineRule="auto"/>
              <w:jc w:val="center"/>
              <w:rPr>
                <w:b/>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08E4D1D">
            <w:pPr>
              <w:spacing w:line="360" w:lineRule="auto"/>
              <w:jc w:val="center"/>
              <w:rPr>
                <w:b/>
                <w:color w:val="auto"/>
                <w:szCs w:val="21"/>
                <w:highlight w:val="none"/>
              </w:rPr>
            </w:pPr>
          </w:p>
        </w:tc>
      </w:tr>
      <w:tr w14:paraId="17A5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3E72BE6">
            <w:pPr>
              <w:spacing w:line="360" w:lineRule="auto"/>
              <w:jc w:val="center"/>
              <w:rPr>
                <w:b/>
                <w:color w:val="auto"/>
                <w:szCs w:val="21"/>
                <w:highlight w:val="none"/>
              </w:rPr>
            </w:pPr>
            <w:r>
              <w:rPr>
                <w:rFonts w:hint="eastAsia" w:cs="宋体"/>
                <w:b/>
                <w:color w:val="auto"/>
                <w:szCs w:val="21"/>
                <w:highlight w:val="none"/>
                <w:lang w:bidi="ar"/>
              </w:rPr>
              <w:t>二</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12013EEF">
            <w:pPr>
              <w:widowControl/>
              <w:spacing w:line="360" w:lineRule="auto"/>
              <w:jc w:val="left"/>
              <w:rPr>
                <w:b/>
                <w:color w:val="auto"/>
                <w:szCs w:val="21"/>
                <w:highlight w:val="none"/>
              </w:rPr>
            </w:pPr>
            <w:r>
              <w:rPr>
                <w:rFonts w:hint="eastAsia" w:ascii="宋体" w:hAnsi="宋体" w:cs="宋体"/>
                <w:b/>
                <w:color w:val="auto"/>
                <w:kern w:val="0"/>
                <w:szCs w:val="21"/>
                <w:highlight w:val="none"/>
                <w:lang w:bidi="ar"/>
              </w:rPr>
              <w:t>工程结算资料不齐备，经委托人或政府有权审核部门审核后被退回的。</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37E22D6E">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 xml:space="preserve">每退回一次扣 </w:t>
            </w:r>
            <w:r>
              <w:rPr>
                <w:rFonts w:ascii="Times New Roman" w:hAnsi="Times New Roman"/>
                <w:color w:val="auto"/>
                <w:kern w:val="0"/>
                <w:szCs w:val="21"/>
                <w:highlight w:val="none"/>
                <w:lang w:bidi="ar"/>
              </w:rPr>
              <w:t xml:space="preserve">5 </w:t>
            </w:r>
            <w:r>
              <w:rPr>
                <w:rFonts w:hint="eastAsia" w:ascii="宋体" w:hAnsi="宋体" w:cs="宋体"/>
                <w:color w:val="auto"/>
                <w:kern w:val="0"/>
                <w:szCs w:val="21"/>
                <w:highlight w:val="none"/>
                <w:lang w:bidi="ar"/>
              </w:rPr>
              <w:t>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C47E057">
            <w:pPr>
              <w:spacing w:line="360" w:lineRule="auto"/>
              <w:jc w:val="center"/>
              <w:rPr>
                <w:b/>
                <w:color w:val="auto"/>
                <w:szCs w:val="21"/>
                <w:highlight w:val="none"/>
              </w:rPr>
            </w:pPr>
            <w:r>
              <w:rPr>
                <w:b/>
                <w:color w:val="auto"/>
                <w:szCs w:val="21"/>
                <w:highlight w:val="none"/>
                <w:lang w:bidi="ar"/>
              </w:rPr>
              <w:t>25</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F8525F6">
            <w:pPr>
              <w:spacing w:line="360" w:lineRule="auto"/>
              <w:jc w:val="center"/>
              <w:rPr>
                <w:b/>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74193974">
            <w:pPr>
              <w:spacing w:line="360" w:lineRule="auto"/>
              <w:jc w:val="center"/>
              <w:rPr>
                <w:b/>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6666C350">
            <w:pPr>
              <w:spacing w:line="360" w:lineRule="auto"/>
              <w:jc w:val="center"/>
              <w:rPr>
                <w:b/>
                <w:color w:val="auto"/>
                <w:szCs w:val="21"/>
                <w:highlight w:val="none"/>
              </w:rPr>
            </w:pPr>
          </w:p>
        </w:tc>
      </w:tr>
      <w:tr w14:paraId="4853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7DE0825">
            <w:pPr>
              <w:spacing w:line="360" w:lineRule="auto"/>
              <w:jc w:val="center"/>
              <w:rPr>
                <w:b/>
                <w:color w:val="auto"/>
                <w:szCs w:val="21"/>
                <w:highlight w:val="none"/>
              </w:rPr>
            </w:pPr>
            <w:r>
              <w:rPr>
                <w:rFonts w:hint="eastAsia" w:cs="宋体"/>
                <w:b/>
                <w:color w:val="auto"/>
                <w:szCs w:val="21"/>
                <w:highlight w:val="none"/>
                <w:lang w:bidi="ar"/>
              </w:rPr>
              <w:t>三</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7B36C75D">
            <w:pPr>
              <w:widowControl/>
              <w:spacing w:line="360" w:lineRule="auto"/>
              <w:jc w:val="left"/>
              <w:rPr>
                <w:b/>
                <w:color w:val="auto"/>
                <w:szCs w:val="21"/>
                <w:highlight w:val="none"/>
              </w:rPr>
            </w:pPr>
            <w:r>
              <w:rPr>
                <w:rFonts w:hint="eastAsia" w:ascii="宋体" w:hAnsi="宋体" w:cs="宋体"/>
                <w:b/>
                <w:color w:val="auto"/>
                <w:kern w:val="0"/>
                <w:szCs w:val="21"/>
                <w:highlight w:val="none"/>
                <w:lang w:bidi="ar"/>
              </w:rPr>
              <w:t>对委托人指令拒绝响应或不及时响应，且在委托人要求的时间节点前未完成本项目工程竣工结算审核工作。</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3DC453AE">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 xml:space="preserve">对委托人指令每拒绝响应或不及时响应一次扣 </w:t>
            </w:r>
            <w:r>
              <w:rPr>
                <w:rFonts w:ascii="Times New Roman" w:hAnsi="Times New Roman"/>
                <w:color w:val="auto"/>
                <w:kern w:val="0"/>
                <w:szCs w:val="21"/>
                <w:highlight w:val="none"/>
                <w:lang w:bidi="ar"/>
              </w:rPr>
              <w:t>5</w:t>
            </w:r>
            <w:r>
              <w:rPr>
                <w:rFonts w:hint="eastAsia" w:ascii="宋体" w:hAnsi="宋体" w:cs="宋体"/>
                <w:color w:val="auto"/>
                <w:kern w:val="0"/>
                <w:szCs w:val="21"/>
                <w:highlight w:val="none"/>
                <w:lang w:bidi="ar"/>
              </w:rPr>
              <w:t xml:space="preserve">分，每延迟一个日历天扣 </w:t>
            </w:r>
            <w:r>
              <w:rPr>
                <w:rFonts w:ascii="Times New Roman" w:hAnsi="Times New Roman"/>
                <w:color w:val="auto"/>
                <w:kern w:val="0"/>
                <w:szCs w:val="21"/>
                <w:highlight w:val="none"/>
                <w:lang w:bidi="ar"/>
              </w:rPr>
              <w:t xml:space="preserve">1 </w:t>
            </w:r>
            <w:r>
              <w:rPr>
                <w:rFonts w:hint="eastAsia" w:ascii="宋体" w:hAnsi="宋体" w:cs="宋体"/>
                <w:color w:val="auto"/>
                <w:kern w:val="0"/>
                <w:szCs w:val="21"/>
                <w:highlight w:val="none"/>
                <w:lang w:bidi="ar"/>
              </w:rPr>
              <w:t>分，不封顶。</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972960C">
            <w:pPr>
              <w:spacing w:line="360" w:lineRule="auto"/>
              <w:jc w:val="center"/>
              <w:rPr>
                <w:b/>
                <w:color w:val="auto"/>
                <w:szCs w:val="21"/>
                <w:highlight w:val="none"/>
              </w:rPr>
            </w:pPr>
            <w:r>
              <w:rPr>
                <w:b/>
                <w:color w:val="auto"/>
                <w:szCs w:val="21"/>
                <w:highlight w:val="none"/>
                <w:lang w:bidi="ar"/>
              </w:rPr>
              <w:t>25</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39E3FD">
            <w:pPr>
              <w:spacing w:line="360" w:lineRule="auto"/>
              <w:jc w:val="center"/>
              <w:rPr>
                <w:b/>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11DDF987">
            <w:pPr>
              <w:spacing w:line="360" w:lineRule="auto"/>
              <w:jc w:val="center"/>
              <w:rPr>
                <w:b/>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236CBEA">
            <w:pPr>
              <w:spacing w:line="360" w:lineRule="auto"/>
              <w:jc w:val="center"/>
              <w:rPr>
                <w:b/>
                <w:color w:val="auto"/>
                <w:szCs w:val="21"/>
                <w:highlight w:val="none"/>
              </w:rPr>
            </w:pPr>
          </w:p>
        </w:tc>
      </w:tr>
      <w:tr w14:paraId="74B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1B8A1DE">
            <w:pPr>
              <w:spacing w:line="360" w:lineRule="auto"/>
              <w:jc w:val="center"/>
              <w:rPr>
                <w:b/>
                <w:color w:val="auto"/>
                <w:szCs w:val="21"/>
                <w:highlight w:val="none"/>
              </w:rPr>
            </w:pPr>
            <w:r>
              <w:rPr>
                <w:rFonts w:hint="eastAsia" w:cs="宋体"/>
                <w:b/>
                <w:color w:val="auto"/>
                <w:szCs w:val="21"/>
                <w:highlight w:val="none"/>
                <w:lang w:bidi="ar"/>
              </w:rPr>
              <w:t>四</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63FF3C00">
            <w:pPr>
              <w:widowControl/>
              <w:spacing w:line="360" w:lineRule="auto"/>
              <w:jc w:val="left"/>
              <w:rPr>
                <w:b/>
                <w:color w:val="auto"/>
                <w:szCs w:val="21"/>
                <w:highlight w:val="none"/>
              </w:rPr>
            </w:pPr>
            <w:r>
              <w:rPr>
                <w:rFonts w:hint="eastAsia" w:ascii="宋体" w:hAnsi="宋体" w:cs="宋体"/>
                <w:b/>
                <w:color w:val="auto"/>
                <w:kern w:val="0"/>
                <w:szCs w:val="21"/>
                <w:highlight w:val="none"/>
                <w:lang w:bidi="ar"/>
              </w:rPr>
              <w:t>结算审核工作不专业，结果不准确；工程结算资料出现计价错误、计价无依据或增项、漏项等情况。</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7FE39B78">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若监理人审核的结算金额与有权审核部门审定的结算金额的偏差率绝对值大于5%，每增加1%，扣6分，不足1%按1%计算，上不封顶。</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6727612">
            <w:pPr>
              <w:spacing w:line="360" w:lineRule="auto"/>
              <w:jc w:val="center"/>
              <w:rPr>
                <w:b/>
                <w:color w:val="auto"/>
                <w:szCs w:val="21"/>
                <w:highlight w:val="none"/>
              </w:rPr>
            </w:pPr>
            <w:r>
              <w:rPr>
                <w:b/>
                <w:color w:val="auto"/>
                <w:szCs w:val="21"/>
                <w:highlight w:val="none"/>
                <w:lang w:bidi="ar"/>
              </w:rPr>
              <w:t>30</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7480500">
            <w:pPr>
              <w:spacing w:line="360" w:lineRule="auto"/>
              <w:jc w:val="center"/>
              <w:rPr>
                <w:b/>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7B2970B0">
            <w:pPr>
              <w:spacing w:line="360" w:lineRule="auto"/>
              <w:jc w:val="center"/>
              <w:rPr>
                <w:b/>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0A80773">
            <w:pPr>
              <w:spacing w:line="360" w:lineRule="auto"/>
              <w:jc w:val="center"/>
              <w:rPr>
                <w:b/>
                <w:color w:val="auto"/>
                <w:szCs w:val="21"/>
                <w:highlight w:val="none"/>
              </w:rPr>
            </w:pPr>
          </w:p>
        </w:tc>
      </w:tr>
      <w:tr w14:paraId="4435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2185FD3">
            <w:pPr>
              <w:spacing w:line="360" w:lineRule="auto"/>
              <w:jc w:val="center"/>
              <w:rPr>
                <w:b/>
                <w:color w:val="auto"/>
                <w:szCs w:val="21"/>
                <w:highlight w:val="none"/>
              </w:rPr>
            </w:pPr>
          </w:p>
        </w:tc>
        <w:tc>
          <w:tcPr>
            <w:tcW w:w="3009" w:type="dxa"/>
            <w:tcBorders>
              <w:top w:val="single" w:color="auto" w:sz="4" w:space="0"/>
              <w:left w:val="single" w:color="auto" w:sz="4" w:space="0"/>
              <w:bottom w:val="single" w:color="auto" w:sz="4" w:space="0"/>
              <w:right w:val="single" w:color="auto" w:sz="4" w:space="0"/>
            </w:tcBorders>
            <w:noWrap w:val="0"/>
            <w:vAlign w:val="center"/>
          </w:tcPr>
          <w:p w14:paraId="74A6D474">
            <w:pPr>
              <w:widowControl/>
              <w:spacing w:line="360" w:lineRule="auto"/>
              <w:jc w:val="left"/>
              <w:rPr>
                <w:b/>
                <w:color w:val="auto"/>
                <w:szCs w:val="21"/>
                <w:highlight w:val="none"/>
              </w:rPr>
            </w:pPr>
            <w:r>
              <w:rPr>
                <w:rFonts w:hint="eastAsia" w:ascii="宋体" w:hAnsi="宋体" w:cs="宋体"/>
                <w:b/>
                <w:color w:val="auto"/>
                <w:kern w:val="0"/>
                <w:szCs w:val="21"/>
                <w:highlight w:val="none"/>
                <w:lang w:bidi="ar"/>
              </w:rPr>
              <w:t>监理人自评分总分</w:t>
            </w:r>
          </w:p>
        </w:tc>
        <w:tc>
          <w:tcPr>
            <w:tcW w:w="4301" w:type="dxa"/>
            <w:gridSpan w:val="4"/>
            <w:tcBorders>
              <w:top w:val="single" w:color="auto" w:sz="4" w:space="0"/>
              <w:left w:val="single" w:color="auto" w:sz="4" w:space="0"/>
              <w:bottom w:val="single" w:color="auto" w:sz="4" w:space="0"/>
              <w:right w:val="single" w:color="auto" w:sz="4" w:space="0"/>
            </w:tcBorders>
            <w:noWrap w:val="0"/>
            <w:vAlign w:val="center"/>
          </w:tcPr>
          <w:p w14:paraId="555D1B15">
            <w:pPr>
              <w:spacing w:line="360" w:lineRule="auto"/>
              <w:jc w:val="center"/>
              <w:rPr>
                <w:b/>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515E9F2">
            <w:pPr>
              <w:spacing w:line="360" w:lineRule="auto"/>
              <w:jc w:val="center"/>
              <w:rPr>
                <w:b/>
                <w:color w:val="auto"/>
                <w:szCs w:val="21"/>
                <w:highlight w:val="none"/>
              </w:rPr>
            </w:pPr>
          </w:p>
        </w:tc>
      </w:tr>
      <w:tr w14:paraId="7845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8DFE81E">
            <w:pPr>
              <w:spacing w:line="360" w:lineRule="auto"/>
              <w:jc w:val="center"/>
              <w:rPr>
                <w:b/>
                <w:color w:val="auto"/>
                <w:szCs w:val="21"/>
                <w:highlight w:val="none"/>
              </w:rPr>
            </w:pPr>
          </w:p>
        </w:tc>
        <w:tc>
          <w:tcPr>
            <w:tcW w:w="3009" w:type="dxa"/>
            <w:tcBorders>
              <w:top w:val="single" w:color="auto" w:sz="4" w:space="0"/>
              <w:left w:val="single" w:color="auto" w:sz="4" w:space="0"/>
              <w:bottom w:val="single" w:color="auto" w:sz="4" w:space="0"/>
              <w:right w:val="single" w:color="auto" w:sz="4" w:space="0"/>
            </w:tcBorders>
            <w:noWrap w:val="0"/>
            <w:vAlign w:val="center"/>
          </w:tcPr>
          <w:p w14:paraId="14343D7B">
            <w:pPr>
              <w:widowControl/>
              <w:spacing w:line="360" w:lineRule="auto"/>
              <w:jc w:val="left"/>
              <w:rPr>
                <w:b/>
                <w:color w:val="auto"/>
                <w:szCs w:val="21"/>
                <w:highlight w:val="none"/>
              </w:rPr>
            </w:pPr>
            <w:r>
              <w:rPr>
                <w:rFonts w:hint="eastAsia" w:ascii="宋体" w:hAnsi="宋体" w:cs="宋体"/>
                <w:b/>
                <w:color w:val="auto"/>
                <w:kern w:val="0"/>
                <w:szCs w:val="21"/>
                <w:highlight w:val="none"/>
                <w:lang w:bidi="ar"/>
              </w:rPr>
              <w:t>结算审核工作质量最终总得分</w:t>
            </w:r>
          </w:p>
        </w:tc>
        <w:tc>
          <w:tcPr>
            <w:tcW w:w="4301" w:type="dxa"/>
            <w:gridSpan w:val="4"/>
            <w:tcBorders>
              <w:top w:val="single" w:color="auto" w:sz="4" w:space="0"/>
              <w:left w:val="single" w:color="auto" w:sz="4" w:space="0"/>
              <w:bottom w:val="single" w:color="auto" w:sz="4" w:space="0"/>
              <w:right w:val="single" w:color="auto" w:sz="4" w:space="0"/>
            </w:tcBorders>
            <w:noWrap w:val="0"/>
            <w:vAlign w:val="center"/>
          </w:tcPr>
          <w:p w14:paraId="7E7041CE">
            <w:pPr>
              <w:spacing w:line="360" w:lineRule="auto"/>
              <w:jc w:val="center"/>
              <w:rPr>
                <w:b/>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5232C02">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以委托人复核得分为最终得分</w:t>
            </w:r>
          </w:p>
        </w:tc>
      </w:tr>
      <w:tr w14:paraId="1E89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1FCD19B">
            <w:pPr>
              <w:spacing w:line="360" w:lineRule="auto"/>
              <w:jc w:val="center"/>
              <w:rPr>
                <w:b/>
                <w:color w:val="auto"/>
                <w:szCs w:val="21"/>
                <w:highlight w:val="none"/>
              </w:rPr>
            </w:pPr>
          </w:p>
        </w:tc>
        <w:tc>
          <w:tcPr>
            <w:tcW w:w="3009" w:type="dxa"/>
            <w:tcBorders>
              <w:top w:val="single" w:color="auto" w:sz="4" w:space="0"/>
              <w:left w:val="single" w:color="auto" w:sz="4" w:space="0"/>
              <w:bottom w:val="single" w:color="auto" w:sz="4" w:space="0"/>
              <w:right w:val="single" w:color="auto" w:sz="4" w:space="0"/>
            </w:tcBorders>
            <w:noWrap w:val="0"/>
            <w:vAlign w:val="center"/>
          </w:tcPr>
          <w:p w14:paraId="7BC4C3B0">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监理人确认（盖章）</w:t>
            </w:r>
          </w:p>
        </w:tc>
        <w:tc>
          <w:tcPr>
            <w:tcW w:w="5106" w:type="dxa"/>
            <w:gridSpan w:val="5"/>
            <w:tcBorders>
              <w:top w:val="single" w:color="auto" w:sz="4" w:space="0"/>
              <w:left w:val="single" w:color="auto" w:sz="4" w:space="0"/>
              <w:bottom w:val="single" w:color="auto" w:sz="4" w:space="0"/>
              <w:right w:val="single" w:color="auto" w:sz="4" w:space="0"/>
            </w:tcBorders>
            <w:noWrap w:val="0"/>
            <w:vAlign w:val="center"/>
          </w:tcPr>
          <w:p w14:paraId="7F3345C3">
            <w:pPr>
              <w:spacing w:line="360" w:lineRule="auto"/>
              <w:jc w:val="center"/>
              <w:rPr>
                <w:b/>
                <w:color w:val="auto"/>
                <w:szCs w:val="21"/>
                <w:highlight w:val="none"/>
              </w:rPr>
            </w:pPr>
          </w:p>
        </w:tc>
      </w:tr>
      <w:tr w14:paraId="6ADB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B9796B8">
            <w:pPr>
              <w:spacing w:line="360" w:lineRule="auto"/>
              <w:jc w:val="center"/>
              <w:rPr>
                <w:b/>
                <w:color w:val="auto"/>
                <w:szCs w:val="21"/>
                <w:highlight w:val="none"/>
              </w:rPr>
            </w:pPr>
          </w:p>
        </w:tc>
        <w:tc>
          <w:tcPr>
            <w:tcW w:w="3009" w:type="dxa"/>
            <w:tcBorders>
              <w:top w:val="single" w:color="auto" w:sz="4" w:space="0"/>
              <w:left w:val="single" w:color="auto" w:sz="4" w:space="0"/>
              <w:bottom w:val="single" w:color="auto" w:sz="4" w:space="0"/>
              <w:right w:val="single" w:color="auto" w:sz="4" w:space="0"/>
            </w:tcBorders>
            <w:noWrap w:val="0"/>
            <w:vAlign w:val="center"/>
          </w:tcPr>
          <w:p w14:paraId="46B0276B">
            <w:pPr>
              <w:widowControl/>
              <w:spacing w:line="360" w:lineRule="auto"/>
              <w:jc w:val="left"/>
              <w:rPr>
                <w:b/>
                <w:color w:val="auto"/>
                <w:szCs w:val="21"/>
                <w:highlight w:val="none"/>
              </w:rPr>
            </w:pPr>
            <w:r>
              <w:rPr>
                <w:rFonts w:hint="eastAsia" w:ascii="宋体" w:hAnsi="宋体" w:cs="宋体"/>
                <w:color w:val="auto"/>
                <w:kern w:val="0"/>
                <w:szCs w:val="21"/>
                <w:highlight w:val="none"/>
                <w:lang w:bidi="ar"/>
              </w:rPr>
              <w:t>委托人确认（盖章）</w:t>
            </w:r>
          </w:p>
        </w:tc>
        <w:tc>
          <w:tcPr>
            <w:tcW w:w="5106" w:type="dxa"/>
            <w:gridSpan w:val="5"/>
            <w:tcBorders>
              <w:top w:val="single" w:color="auto" w:sz="4" w:space="0"/>
              <w:left w:val="single" w:color="auto" w:sz="4" w:space="0"/>
              <w:bottom w:val="single" w:color="auto" w:sz="4" w:space="0"/>
              <w:right w:val="single" w:color="auto" w:sz="4" w:space="0"/>
            </w:tcBorders>
            <w:noWrap w:val="0"/>
            <w:vAlign w:val="center"/>
          </w:tcPr>
          <w:p w14:paraId="64350DC4">
            <w:pPr>
              <w:spacing w:line="360" w:lineRule="auto"/>
              <w:jc w:val="center"/>
              <w:rPr>
                <w:b/>
                <w:color w:val="auto"/>
                <w:szCs w:val="21"/>
                <w:highlight w:val="none"/>
              </w:rPr>
            </w:pPr>
          </w:p>
        </w:tc>
      </w:tr>
    </w:tbl>
    <w:p w14:paraId="0679ECC9">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注：满分为 </w:t>
      </w:r>
      <w:r>
        <w:rPr>
          <w:rFonts w:ascii="Times New Roman" w:hAnsi="Times New Roman"/>
          <w:color w:val="auto"/>
          <w:kern w:val="0"/>
          <w:sz w:val="24"/>
          <w:szCs w:val="24"/>
          <w:highlight w:val="none"/>
          <w:lang w:bidi="ar"/>
        </w:rPr>
        <w:t xml:space="preserve">100 </w:t>
      </w:r>
      <w:r>
        <w:rPr>
          <w:rFonts w:hint="eastAsia" w:ascii="宋体" w:hAnsi="宋体" w:cs="宋体"/>
          <w:color w:val="auto"/>
          <w:kern w:val="0"/>
          <w:sz w:val="24"/>
          <w:szCs w:val="24"/>
          <w:highlight w:val="none"/>
          <w:lang w:bidi="ar"/>
        </w:rPr>
        <w:t>分，按照各考评分项，根据监理人竣工结算审核工作完成程度给予打分。</w:t>
      </w:r>
    </w:p>
    <w:p w14:paraId="1F3C6D7C">
      <w:pPr>
        <w:pStyle w:val="26"/>
        <w:widowControl w:val="0"/>
        <w:spacing w:before="0" w:beforeAutospacing="0" w:after="120" w:afterAutospacing="0" w:line="360" w:lineRule="auto"/>
        <w:jc w:val="both"/>
        <w:rPr>
          <w:b/>
          <w:color w:val="auto"/>
          <w:sz w:val="28"/>
          <w:szCs w:val="28"/>
          <w:highlight w:val="none"/>
        </w:rPr>
      </w:pPr>
      <w:r>
        <w:rPr>
          <w:rFonts w:ascii="Calibri" w:hAnsi="Calibri" w:cs="Times New Roman"/>
          <w:b/>
          <w:color w:val="auto"/>
          <w:sz w:val="28"/>
          <w:szCs w:val="28"/>
          <w:highlight w:val="none"/>
          <w:lang w:bidi="ar"/>
        </w:rPr>
        <w:br w:type="page"/>
      </w:r>
      <w:r>
        <w:rPr>
          <w:rFonts w:hint="eastAsia" w:ascii="Calibri" w:hAnsi="Calibri"/>
          <w:b/>
          <w:color w:val="auto"/>
          <w:sz w:val="28"/>
          <w:szCs w:val="28"/>
          <w:highlight w:val="none"/>
          <w:lang w:bidi="ar"/>
        </w:rPr>
        <w:t>附件</w:t>
      </w:r>
      <w:r>
        <w:rPr>
          <w:rFonts w:ascii="Calibri" w:hAnsi="Calibri" w:cs="Times New Roman"/>
          <w:b/>
          <w:color w:val="auto"/>
          <w:sz w:val="28"/>
          <w:szCs w:val="28"/>
          <w:highlight w:val="none"/>
          <w:lang w:bidi="ar"/>
        </w:rPr>
        <w:t>4</w:t>
      </w:r>
    </w:p>
    <w:p w14:paraId="10DE14D9">
      <w:pPr>
        <w:widowControl/>
        <w:spacing w:line="360" w:lineRule="auto"/>
        <w:jc w:val="left"/>
        <w:rPr>
          <w:color w:val="auto"/>
          <w:highlight w:val="none"/>
        </w:rPr>
      </w:pPr>
      <w:r>
        <w:rPr>
          <w:color w:val="auto"/>
          <w:highlight w:val="none"/>
          <w:lang w:bidi="ar"/>
        </w:rPr>
        <w:drawing>
          <wp:inline distT="0" distB="0" distL="114300" distR="114300">
            <wp:extent cx="5191125" cy="7658100"/>
            <wp:effectExtent l="0" t="0" r="3810" b="57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3"/>
                    <a:stretch>
                      <a:fillRect/>
                    </a:stretch>
                  </pic:blipFill>
                  <pic:spPr>
                    <a:xfrm>
                      <a:off x="0" y="0"/>
                      <a:ext cx="5191125" cy="7658100"/>
                    </a:xfrm>
                    <a:prstGeom prst="rect">
                      <a:avLst/>
                    </a:prstGeom>
                    <a:noFill/>
                    <a:ln>
                      <a:noFill/>
                    </a:ln>
                  </pic:spPr>
                </pic:pic>
              </a:graphicData>
            </a:graphic>
          </wp:inline>
        </w:drawing>
      </w:r>
    </w:p>
    <w:p w14:paraId="1E33C95A">
      <w:pPr>
        <w:pStyle w:val="2"/>
        <w:spacing w:line="360" w:lineRule="auto"/>
        <w:jc w:val="center"/>
        <w:rPr>
          <w:rFonts w:hint="eastAsia" w:ascii="宋体" w:hAnsi="宋体" w:cs="宋体"/>
          <w:color w:val="auto"/>
          <w:sz w:val="24"/>
          <w:szCs w:val="24"/>
          <w:highlight w:val="none"/>
          <w:lang w:bidi="ar"/>
        </w:rPr>
      </w:pPr>
    </w:p>
    <w:p w14:paraId="647FC85C">
      <w:pPr>
        <w:pStyle w:val="2"/>
        <w:tabs>
          <w:tab w:val="left" w:pos="6643"/>
          <w:tab w:val="left" w:pos="7589"/>
          <w:tab w:val="left" w:pos="8533"/>
        </w:tabs>
        <w:kinsoku w:val="0"/>
        <w:overflowPunct w:val="0"/>
        <w:spacing w:before="1" w:beforeLines="0" w:afterLines="0" w:line="360" w:lineRule="auto"/>
        <w:ind w:left="0" w:firstLine="0" w:firstLineChars="0"/>
        <w:jc w:val="left"/>
        <w:rPr>
          <w:rFonts w:hint="eastAsia" w:ascii="宋体" w:hAnsi="宋体" w:eastAsia="宋体" w:cs="宋体"/>
          <w:color w:val="auto"/>
          <w:sz w:val="32"/>
          <w:szCs w:val="32"/>
          <w:highlight w:val="none"/>
        </w:rPr>
        <w:sectPr>
          <w:footerReference r:id="rId6" w:type="default"/>
          <w:type w:val="continuous"/>
          <w:pgSz w:w="11850" w:h="16840"/>
          <w:pgMar w:top="1480" w:right="1580" w:bottom="1417" w:left="1700" w:header="720" w:footer="720" w:gutter="0"/>
          <w:pgBorders>
            <w:top w:val="none" w:sz="0" w:space="0"/>
            <w:left w:val="none" w:sz="0" w:space="0"/>
            <w:bottom w:val="none" w:sz="0" w:space="0"/>
            <w:right w:val="none" w:sz="0" w:space="0"/>
          </w:pgBorders>
          <w:lnNumType w:countBy="0" w:distance="360"/>
          <w:pgNumType w:fmt="decimal"/>
          <w:cols w:space="720" w:num="1"/>
        </w:sectPr>
      </w:pPr>
    </w:p>
    <w:p w14:paraId="0E8C6401">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rPr>
      </w:pPr>
      <w:bookmarkStart w:id="1422" w:name="_Toc20038"/>
      <w:bookmarkStart w:id="1423" w:name="_Toc28819"/>
      <w:bookmarkStart w:id="1424" w:name="_Toc25963"/>
      <w:bookmarkStart w:id="1425" w:name="_Toc682"/>
      <w:bookmarkStart w:id="1426" w:name="_Toc28614"/>
      <w:bookmarkStart w:id="1427" w:name="_Toc15759"/>
      <w:bookmarkStart w:id="1428" w:name="_Toc16782"/>
      <w:bookmarkStart w:id="1429" w:name="_Toc2707"/>
      <w:bookmarkStart w:id="1430" w:name="_Toc25600"/>
      <w:bookmarkStart w:id="1431" w:name="_Toc16157"/>
      <w:r>
        <w:rPr>
          <w:rFonts w:hint="eastAsia"/>
          <w:color w:val="auto"/>
          <w:highlight w:val="none"/>
        </w:rPr>
        <w:t>第二卷</w:t>
      </w:r>
      <w:bookmarkEnd w:id="1422"/>
      <w:bookmarkEnd w:id="1423"/>
      <w:bookmarkEnd w:id="1424"/>
      <w:bookmarkEnd w:id="1425"/>
      <w:bookmarkEnd w:id="1426"/>
      <w:bookmarkEnd w:id="1427"/>
      <w:bookmarkEnd w:id="1428"/>
      <w:bookmarkEnd w:id="1429"/>
      <w:bookmarkEnd w:id="1430"/>
      <w:bookmarkEnd w:id="1431"/>
    </w:p>
    <w:p w14:paraId="53582693">
      <w:pPr>
        <w:pStyle w:val="69"/>
        <w:kinsoku w:val="0"/>
        <w:overflowPunct w:val="0"/>
        <w:spacing w:beforeLines="0" w:afterLines="0" w:line="360" w:lineRule="auto"/>
        <w:ind w:left="3177" w:right="3177"/>
        <w:jc w:val="center"/>
        <w:outlineLvl w:val="9"/>
        <w:rPr>
          <w:rFonts w:hint="eastAsia"/>
          <w:color w:val="auto"/>
          <w:sz w:val="44"/>
          <w:highlight w:val="none"/>
        </w:rPr>
        <w:sectPr>
          <w:footerReference r:id="rId7" w:type="default"/>
          <w:pgSz w:w="11850" w:h="16840"/>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5892786B">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6"/>
          <w:szCs w:val="36"/>
          <w:highlight w:val="none"/>
        </w:rPr>
      </w:pPr>
      <w:bookmarkStart w:id="1432" w:name="_Toc24424"/>
      <w:bookmarkStart w:id="1433" w:name="_Toc9824"/>
      <w:bookmarkStart w:id="1434" w:name="_Toc18281"/>
      <w:bookmarkStart w:id="1435" w:name="_Toc22643"/>
      <w:bookmarkStart w:id="1436" w:name="_Toc3345"/>
      <w:bookmarkStart w:id="1437" w:name="_Toc5997"/>
      <w:bookmarkStart w:id="1438" w:name="_Toc28744"/>
      <w:bookmarkStart w:id="1439" w:name="_Toc10250"/>
      <w:bookmarkStart w:id="1440" w:name="_Toc19291"/>
      <w:bookmarkStart w:id="1441" w:name="_Toc17455"/>
      <w:r>
        <w:rPr>
          <w:rFonts w:hint="eastAsia" w:ascii="宋体" w:hAnsi="宋体" w:eastAsia="宋体" w:cs="宋体"/>
          <w:color w:val="auto"/>
          <w:sz w:val="36"/>
          <w:szCs w:val="36"/>
          <w:highlight w:val="none"/>
        </w:rPr>
        <w:t>第五章 委托人要求</w:t>
      </w:r>
      <w:bookmarkEnd w:id="1432"/>
      <w:bookmarkEnd w:id="1433"/>
      <w:bookmarkEnd w:id="1434"/>
      <w:bookmarkEnd w:id="1435"/>
      <w:bookmarkEnd w:id="1436"/>
      <w:bookmarkEnd w:id="1437"/>
      <w:bookmarkEnd w:id="1438"/>
      <w:bookmarkEnd w:id="1439"/>
      <w:bookmarkEnd w:id="1440"/>
      <w:bookmarkEnd w:id="1441"/>
    </w:p>
    <w:p w14:paraId="79608E39">
      <w:pPr>
        <w:spacing w:line="360" w:lineRule="auto"/>
        <w:jc w:val="left"/>
        <w:rPr>
          <w:b/>
          <w:color w:val="auto"/>
          <w:sz w:val="24"/>
          <w:szCs w:val="24"/>
          <w:highlight w:val="none"/>
        </w:rPr>
      </w:pPr>
      <w:bookmarkStart w:id="1442" w:name="bookmark166"/>
      <w:bookmarkEnd w:id="1442"/>
      <w:bookmarkStart w:id="1443" w:name="_Toc30156"/>
      <w:bookmarkStart w:id="1444" w:name="_Toc7475"/>
      <w:bookmarkStart w:id="1445" w:name="_Toc851"/>
      <w:bookmarkStart w:id="1446" w:name="_Toc20744"/>
      <w:bookmarkStart w:id="1447" w:name="_Toc29275"/>
      <w:bookmarkStart w:id="1448" w:name="_Toc8049"/>
      <w:bookmarkStart w:id="1449" w:name="_Toc26280"/>
      <w:bookmarkStart w:id="1450" w:name="_Toc14256"/>
      <w:bookmarkStart w:id="1451" w:name="_Toc23804"/>
      <w:r>
        <w:rPr>
          <w:rFonts w:hint="eastAsia"/>
          <w:b/>
          <w:color w:val="auto"/>
          <w:sz w:val="24"/>
          <w:szCs w:val="24"/>
          <w:highlight w:val="none"/>
        </w:rPr>
        <w:t>委托人要求通常包括但不限于以下内容：</w:t>
      </w:r>
    </w:p>
    <w:p w14:paraId="2A455C38">
      <w:pPr>
        <w:pStyle w:val="4"/>
        <w:keepNext w:val="0"/>
        <w:keepLines w:val="0"/>
        <w:pageBreakBefore w:val="0"/>
        <w:widowControl w:val="0"/>
        <w:kinsoku/>
        <w:wordWrap/>
        <w:overflowPunct/>
        <w:topLinePunct w:val="0"/>
        <w:autoSpaceDE/>
        <w:autoSpaceDN/>
        <w:bidi w:val="0"/>
        <w:adjustRightInd/>
        <w:snapToGrid/>
        <w:spacing w:before="20" w:after="20" w:line="360" w:lineRule="auto"/>
        <w:textAlignment w:val="auto"/>
        <w:rPr>
          <w:rFonts w:ascii="Times New Roman" w:hAnsi="Times New Roman"/>
          <w:b w:val="0"/>
          <w:color w:val="auto"/>
          <w:sz w:val="28"/>
          <w:szCs w:val="28"/>
          <w:highlight w:val="none"/>
        </w:rPr>
      </w:pPr>
      <w:bookmarkStart w:id="1452" w:name="_Toc28853"/>
      <w:bookmarkStart w:id="1453" w:name="_Toc7356"/>
      <w:bookmarkStart w:id="1454" w:name="_Toc25581"/>
      <w:bookmarkStart w:id="1455" w:name="_Toc482188637"/>
      <w:bookmarkStart w:id="1456" w:name="_Toc14966893"/>
      <w:bookmarkStart w:id="1457" w:name="_Toc30965"/>
      <w:bookmarkStart w:id="1458" w:name="_Toc1942"/>
      <w:bookmarkStart w:id="1459" w:name="_Toc24590"/>
      <w:bookmarkStart w:id="1460" w:name="_Toc7613"/>
      <w:bookmarkStart w:id="1461" w:name="_Toc749"/>
      <w:bookmarkStart w:id="1462" w:name="_Toc3926"/>
      <w:bookmarkStart w:id="1463" w:name="_Toc6588"/>
      <w:bookmarkStart w:id="1464" w:name="_Toc17306"/>
      <w:bookmarkStart w:id="1465" w:name="_Toc511557110"/>
      <w:bookmarkStart w:id="1466" w:name="_Toc24178"/>
      <w:bookmarkStart w:id="1467" w:name="_Toc1249"/>
      <w:bookmarkStart w:id="1468" w:name="_Toc17024"/>
      <w:bookmarkStart w:id="1469" w:name="_Toc13824"/>
      <w:r>
        <w:rPr>
          <w:rFonts w:hint="eastAsia" w:ascii="Times New Roman" w:hAnsi="Times New Roman"/>
          <w:b w:val="0"/>
          <w:color w:val="auto"/>
          <w:sz w:val="28"/>
          <w:szCs w:val="28"/>
          <w:highlight w:val="none"/>
        </w:rPr>
        <w:t>一、监理要求</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799BDDD6">
      <w:pPr>
        <w:spacing w:line="360" w:lineRule="auto"/>
        <w:ind w:firstLine="359" w:firstLineChars="17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1.项目概况：</w:t>
      </w:r>
      <w:r>
        <w:rPr>
          <w:rFonts w:hint="eastAsia" w:ascii="宋体" w:hAnsi="宋体" w:eastAsia="宋体" w:cs="Times New Roman"/>
          <w:color w:val="auto"/>
          <w:szCs w:val="21"/>
          <w:highlight w:val="none"/>
          <w:u w:val="single"/>
        </w:rPr>
        <w:t>见招标公告</w:t>
      </w:r>
      <w:r>
        <w:rPr>
          <w:rFonts w:hint="eastAsia" w:ascii="宋体" w:hAnsi="宋体" w:eastAsia="宋体" w:cs="Times New Roman"/>
          <w:color w:val="auto"/>
          <w:szCs w:val="21"/>
          <w:highlight w:val="none"/>
        </w:rPr>
        <w:t>。</w:t>
      </w:r>
    </w:p>
    <w:p w14:paraId="38EE7596">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监理范围及内容</w:t>
      </w:r>
    </w:p>
    <w:p w14:paraId="3164F4A9">
      <w:pPr>
        <w:spacing w:line="360" w:lineRule="auto"/>
        <w:ind w:firstLine="359" w:firstLineChars="17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监理范围：</w:t>
      </w:r>
      <w:r>
        <w:rPr>
          <w:rFonts w:hint="eastAsia" w:ascii="宋体" w:hAnsi="宋体" w:eastAsia="宋体" w:cs="Times New Roman"/>
          <w:color w:val="auto"/>
          <w:szCs w:val="21"/>
          <w:highlight w:val="none"/>
          <w:u w:val="single"/>
        </w:rPr>
        <w:t>见招标公告</w:t>
      </w:r>
      <w:r>
        <w:rPr>
          <w:rFonts w:hint="eastAsia" w:ascii="宋体" w:hAnsi="宋体" w:eastAsia="宋体" w:cs="Times New Roman"/>
          <w:color w:val="auto"/>
          <w:szCs w:val="21"/>
          <w:highlight w:val="none"/>
        </w:rPr>
        <w:t>。</w:t>
      </w:r>
    </w:p>
    <w:p w14:paraId="0F24D3F0">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监理服务期：</w:t>
      </w:r>
      <w:r>
        <w:rPr>
          <w:rFonts w:hint="eastAsia" w:ascii="宋体" w:hAnsi="宋体" w:eastAsia="宋体" w:cs="Times New Roman"/>
          <w:color w:val="auto"/>
          <w:szCs w:val="21"/>
          <w:highlight w:val="none"/>
          <w:u w:val="single"/>
        </w:rPr>
        <w:t>见招标公告</w:t>
      </w:r>
      <w:r>
        <w:rPr>
          <w:rFonts w:hint="eastAsia" w:ascii="宋体" w:hAnsi="宋体" w:eastAsia="宋体" w:cs="Times New Roman"/>
          <w:color w:val="auto"/>
          <w:szCs w:val="21"/>
          <w:highlight w:val="none"/>
        </w:rPr>
        <w:t>。</w:t>
      </w:r>
    </w:p>
    <w:p w14:paraId="7DCFE7EF">
      <w:pPr>
        <w:spacing w:line="360" w:lineRule="auto"/>
        <w:ind w:firstLine="359" w:firstLineChars="171"/>
        <w:rPr>
          <w:rFonts w:ascii="宋体" w:hAnsi="宋体" w:eastAsia="宋体" w:cs="Times New Roman"/>
          <w:color w:val="auto"/>
          <w:szCs w:val="21"/>
          <w:highlight w:val="none"/>
        </w:rPr>
      </w:pPr>
      <w:r>
        <w:rPr>
          <w:rFonts w:ascii="宋体" w:hAnsi="宋体" w:eastAsia="宋体" w:cs="Times New Roman"/>
          <w:color w:val="auto"/>
          <w:szCs w:val="21"/>
          <w:highlight w:val="none"/>
        </w:rPr>
        <w:t>3. 监理依据：</w:t>
      </w:r>
    </w:p>
    <w:p w14:paraId="2AAC3C22">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）适用的法律、行政法规及部门规章；</w:t>
      </w:r>
    </w:p>
    <w:p w14:paraId="546811D9">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）与工程有关的规范、标准、规程；</w:t>
      </w:r>
    </w:p>
    <w:p w14:paraId="45C194AF">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）工程勘察文件、设计文件及其他文件；</w:t>
      </w:r>
    </w:p>
    <w:p w14:paraId="29895A64">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）本工程监理的委托合同及补充合同；</w:t>
      </w:r>
    </w:p>
    <w:p w14:paraId="5C420858">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）委托人签订的勘察、设计和施工承包合同；</w:t>
      </w:r>
    </w:p>
    <w:p w14:paraId="7B15B4DC">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）合同履行中与监理服务有关的来往函件；</w:t>
      </w:r>
    </w:p>
    <w:p w14:paraId="7D15EA8B">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）其他监理依据。</w:t>
      </w:r>
    </w:p>
    <w:p w14:paraId="4DDB5A12">
      <w:pPr>
        <w:spacing w:line="360" w:lineRule="auto"/>
        <w:ind w:firstLine="359" w:firstLineChars="171"/>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监理的技术要求：</w:t>
      </w:r>
    </w:p>
    <w:p w14:paraId="6D453880">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）符合法律、行政法规及部门规章；</w:t>
      </w:r>
    </w:p>
    <w:p w14:paraId="719B4F8F">
      <w:pPr>
        <w:spacing w:line="360" w:lineRule="auto"/>
        <w:ind w:firstLine="359" w:firstLineChars="17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）符合本工程有关的规范、标准、规程；</w:t>
      </w:r>
    </w:p>
    <w:p w14:paraId="0E003704">
      <w:pPr>
        <w:spacing w:line="360" w:lineRule="auto"/>
        <w:ind w:firstLine="361" w:firstLineChars="171"/>
        <w:rPr>
          <w:rFonts w:ascii="宋体" w:hAnsi="宋体" w:eastAsia="宋体" w:cs="Times New Roman"/>
          <w:b/>
          <w:color w:val="auto"/>
          <w:szCs w:val="21"/>
          <w:highlight w:val="none"/>
        </w:rPr>
      </w:pPr>
      <w:r>
        <w:rPr>
          <w:rFonts w:ascii="宋体" w:hAnsi="宋体" w:eastAsia="宋体" w:cs="Times New Roman"/>
          <w:b/>
          <w:color w:val="auto"/>
          <w:szCs w:val="21"/>
          <w:highlight w:val="none"/>
        </w:rPr>
        <w:t>5.</w:t>
      </w:r>
      <w:r>
        <w:rPr>
          <w:rFonts w:hint="eastAsia" w:ascii="宋体" w:hAnsi="宋体" w:eastAsia="宋体" w:cs="Times New Roman"/>
          <w:b/>
          <w:color w:val="auto"/>
          <w:szCs w:val="21"/>
          <w:highlight w:val="none"/>
        </w:rPr>
        <w:t>监理人员：</w:t>
      </w:r>
    </w:p>
    <w:p w14:paraId="1FFDABF8">
      <w:pPr>
        <w:tabs>
          <w:tab w:val="left" w:pos="105"/>
        </w:tabs>
        <w:spacing w:line="360" w:lineRule="auto"/>
        <w:ind w:left="3150" w:hanging="3150" w:hangingChars="1500"/>
        <w:jc w:val="both"/>
        <w:rPr>
          <w:rFonts w:ascii="宋体" w:hAnsi="宋体" w:cs="宋体"/>
          <w:b/>
          <w:color w:val="auto"/>
          <w:szCs w:val="21"/>
          <w:highlight w:val="none"/>
        </w:rPr>
      </w:pPr>
      <w:r>
        <w:rPr>
          <w:rFonts w:hint="eastAsia" w:ascii="Times New Roman" w:hAnsi="Times New Roman"/>
          <w:color w:val="auto"/>
          <w:highlight w:val="none"/>
        </w:rPr>
        <w:t>配备的监理机构人员须满足下表要求（最低要求）</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rPr>
        <w:br w:type="textWrapping"/>
      </w:r>
      <w:r>
        <w:rPr>
          <w:rFonts w:hint="eastAsia" w:ascii="宋体" w:hAnsi="宋体" w:cs="宋体"/>
          <w:b/>
          <w:color w:val="auto"/>
          <w:szCs w:val="21"/>
          <w:highlight w:val="none"/>
        </w:rPr>
        <w:t>监理机构人员配备要求表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39"/>
        <w:gridCol w:w="1027"/>
        <w:gridCol w:w="3054"/>
        <w:gridCol w:w="2300"/>
      </w:tblGrid>
      <w:tr w14:paraId="2754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B9578D2">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1CAC484">
            <w:pPr>
              <w:adjustRightInd w:val="0"/>
              <w:snapToGrid w:val="0"/>
              <w:jc w:val="center"/>
              <w:rPr>
                <w:rFonts w:ascii="宋体" w:hAnsi="宋体"/>
                <w:b/>
                <w:color w:val="auto"/>
                <w:szCs w:val="21"/>
                <w:highlight w:val="none"/>
              </w:rPr>
            </w:pPr>
            <w:r>
              <w:rPr>
                <w:rFonts w:hint="eastAsia" w:ascii="宋体" w:hAnsi="宋体"/>
                <w:b/>
                <w:color w:val="auto"/>
                <w:szCs w:val="21"/>
                <w:highlight w:val="none"/>
              </w:rPr>
              <w:t>岗位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19BED70">
            <w:pPr>
              <w:adjustRightInd w:val="0"/>
              <w:snapToGrid w:val="0"/>
              <w:jc w:val="center"/>
              <w:rPr>
                <w:rFonts w:ascii="宋体" w:hAnsi="宋体"/>
                <w:b/>
                <w:color w:val="auto"/>
                <w:szCs w:val="21"/>
                <w:highlight w:val="none"/>
              </w:rPr>
            </w:pPr>
            <w:r>
              <w:rPr>
                <w:rFonts w:hint="eastAsia" w:ascii="宋体" w:hAnsi="宋体"/>
                <w:b/>
                <w:color w:val="auto"/>
                <w:szCs w:val="21"/>
                <w:highlight w:val="none"/>
              </w:rPr>
              <w:t>最低要求数量</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C603F61">
            <w:pPr>
              <w:adjustRightInd w:val="0"/>
              <w:snapToGrid w:val="0"/>
              <w:jc w:val="center"/>
              <w:rPr>
                <w:rFonts w:ascii="宋体" w:hAnsi="宋体"/>
                <w:b/>
                <w:color w:val="auto"/>
                <w:szCs w:val="21"/>
                <w:highlight w:val="none"/>
              </w:rPr>
            </w:pPr>
            <w:r>
              <w:rPr>
                <w:rFonts w:hint="eastAsia" w:ascii="宋体" w:hAnsi="宋体"/>
                <w:b/>
                <w:color w:val="auto"/>
                <w:szCs w:val="21"/>
                <w:highlight w:val="none"/>
              </w:rPr>
              <w:t>基本要求</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6239BF5A">
            <w:pPr>
              <w:adjustRightInd w:val="0"/>
              <w:snapToGrid w:val="0"/>
              <w:jc w:val="center"/>
              <w:rPr>
                <w:rFonts w:ascii="宋体" w:hAnsi="宋体"/>
                <w:b/>
                <w:color w:val="auto"/>
                <w:szCs w:val="21"/>
                <w:highlight w:val="none"/>
              </w:rPr>
            </w:pPr>
            <w:r>
              <w:rPr>
                <w:rFonts w:hint="eastAsia" w:ascii="宋体" w:hAnsi="宋体"/>
                <w:b/>
                <w:color w:val="auto"/>
                <w:szCs w:val="21"/>
                <w:highlight w:val="none"/>
              </w:rPr>
              <w:t>备注（包括但不限于提供如下证明材料等）</w:t>
            </w:r>
          </w:p>
        </w:tc>
      </w:tr>
      <w:tr w14:paraId="39A0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6931951">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E3E2FF4">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CBD2E22">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5573AB9A">
            <w:pPr>
              <w:adjustRightInd w:val="0"/>
              <w:snapToGrid w:val="0"/>
              <w:spacing w:line="360" w:lineRule="auto"/>
              <w:jc w:val="center"/>
              <w:rPr>
                <w:color w:val="auto"/>
                <w:highlight w:val="none"/>
              </w:rPr>
            </w:pPr>
            <w:r>
              <w:rPr>
                <w:rFonts w:hint="eastAsia" w:ascii="宋体" w:hAnsi="宋体"/>
                <w:color w:val="auto"/>
                <w:szCs w:val="21"/>
                <w:highlight w:val="none"/>
              </w:rPr>
              <w:t>资格要求与招标公告要求一致；</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E9AC3A3">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注册监理工程师执业证书、职称证书</w:t>
            </w:r>
          </w:p>
        </w:tc>
      </w:tr>
      <w:tr w14:paraId="1728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C146F1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21CBBA22">
            <w:pPr>
              <w:spacing w:line="360" w:lineRule="auto"/>
              <w:jc w:val="center"/>
              <w:rPr>
                <w:rFonts w:hint="eastAsia"/>
                <w:color w:val="auto"/>
                <w:highlight w:val="none"/>
              </w:rPr>
            </w:pPr>
            <w:r>
              <w:rPr>
                <w:rFonts w:hint="eastAsia"/>
                <w:color w:val="auto"/>
                <w:highlight w:val="none"/>
              </w:rPr>
              <w:t>总监理工程师代表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C05398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52AA1173">
            <w:pPr>
              <w:pStyle w:val="2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1、中级</w:t>
            </w:r>
            <w:r>
              <w:rPr>
                <w:rFonts w:ascii="宋体" w:hAnsi="宋体"/>
                <w:color w:val="auto"/>
                <w:szCs w:val="21"/>
                <w:highlight w:val="none"/>
                <w:lang w:eastAsia="zh-CN"/>
              </w:rPr>
              <w:t>或以上职称</w:t>
            </w:r>
            <w:r>
              <w:rPr>
                <w:rFonts w:hint="eastAsia" w:ascii="宋体" w:hAnsi="宋体"/>
                <w:color w:val="auto"/>
                <w:szCs w:val="21"/>
                <w:highlight w:val="none"/>
                <w:lang w:eastAsia="zh-CN"/>
              </w:rPr>
              <w:t>；</w:t>
            </w:r>
          </w:p>
          <w:p w14:paraId="49E22D35">
            <w:pPr>
              <w:pStyle w:val="2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kern w:val="0"/>
                <w:szCs w:val="21"/>
                <w:highlight w:val="none"/>
                <w:lang w:eastAsia="zh-CN"/>
              </w:rPr>
              <w:t>2、持有</w:t>
            </w:r>
            <w:r>
              <w:rPr>
                <w:rFonts w:hint="eastAsia" w:ascii="宋体" w:hAnsi="宋体"/>
                <w:color w:val="auto"/>
                <w:szCs w:val="21"/>
                <w:highlight w:val="none"/>
                <w:lang w:eastAsia="zh-CN"/>
              </w:rPr>
              <w:t>省级或以上专业监理工程师上岗证或</w:t>
            </w:r>
            <w:r>
              <w:rPr>
                <w:rFonts w:hint="eastAsia" w:ascii="宋体" w:hAnsi="宋体"/>
                <w:color w:val="auto"/>
                <w:kern w:val="0"/>
                <w:szCs w:val="21"/>
                <w:highlight w:val="none"/>
                <w:lang w:eastAsia="zh-CN"/>
              </w:rPr>
              <w:t>持有注册监理工程师证书，</w:t>
            </w:r>
            <w:r>
              <w:rPr>
                <w:rFonts w:ascii="宋体" w:hAnsi="宋体"/>
                <w:color w:val="auto"/>
                <w:kern w:val="0"/>
                <w:szCs w:val="21"/>
                <w:highlight w:val="none"/>
                <w:lang w:eastAsia="zh-CN"/>
              </w:rPr>
              <w:t>专业为</w:t>
            </w:r>
            <w:r>
              <w:rPr>
                <w:rFonts w:hint="eastAsia" w:ascii="宋体" w:hAnsi="宋体"/>
                <w:color w:val="auto"/>
                <w:szCs w:val="21"/>
                <w:highlight w:val="none"/>
                <w:lang w:eastAsia="zh-CN"/>
              </w:rPr>
              <w:t>市政公用工程相关专业。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EDF1FBC">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职称证书、上岗证或注册监理工程师执业证书</w:t>
            </w:r>
          </w:p>
        </w:tc>
      </w:tr>
      <w:tr w14:paraId="4F56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9C83F6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215705BA">
            <w:pPr>
              <w:adjustRightInd w:val="0"/>
              <w:snapToGrid w:val="0"/>
              <w:spacing w:line="360" w:lineRule="auto"/>
              <w:jc w:val="center"/>
              <w:rPr>
                <w:rFonts w:ascii="宋体" w:hAnsi="宋体"/>
                <w:color w:val="auto"/>
                <w:szCs w:val="21"/>
                <w:highlight w:val="none"/>
              </w:rPr>
            </w:pPr>
            <w:r>
              <w:rPr>
                <w:rFonts w:hint="eastAsia" w:ascii="宋体" w:hAnsi="Courier New"/>
                <w:color w:val="auto"/>
                <w:szCs w:val="21"/>
                <w:highlight w:val="none"/>
              </w:rPr>
              <w:t>市政专业监理工程师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792C08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6A3E0A0C">
            <w:pPr>
              <w:adjustRightInd w:val="0"/>
              <w:snapToGrid w:val="0"/>
              <w:spacing w:line="360" w:lineRule="auto"/>
              <w:jc w:val="center"/>
              <w:rPr>
                <w:rFonts w:hint="eastAsia"/>
                <w:color w:val="auto"/>
                <w:szCs w:val="24"/>
                <w:highlight w:val="none"/>
              </w:rPr>
            </w:pPr>
            <w:r>
              <w:rPr>
                <w:rFonts w:hint="eastAsia" w:ascii="宋体" w:hAnsi="宋体"/>
                <w:color w:val="auto"/>
                <w:kern w:val="0"/>
                <w:szCs w:val="21"/>
                <w:highlight w:val="none"/>
              </w:rPr>
              <w:t>持有</w:t>
            </w:r>
            <w:r>
              <w:rPr>
                <w:rFonts w:hint="eastAsia" w:ascii="宋体" w:hAnsi="宋体"/>
                <w:color w:val="auto"/>
                <w:szCs w:val="21"/>
                <w:highlight w:val="none"/>
              </w:rPr>
              <w:t>省级或以上专业监理工程师上岗证或培训证或</w:t>
            </w:r>
            <w:r>
              <w:rPr>
                <w:rFonts w:hint="eastAsia" w:ascii="宋体" w:hAnsi="宋体"/>
                <w:color w:val="auto"/>
                <w:kern w:val="0"/>
                <w:szCs w:val="21"/>
                <w:highlight w:val="none"/>
              </w:rPr>
              <w:t>持有注册监理工程师证书，</w:t>
            </w:r>
            <w:r>
              <w:rPr>
                <w:rFonts w:ascii="宋体" w:hAnsi="宋体"/>
                <w:color w:val="auto"/>
                <w:kern w:val="0"/>
                <w:szCs w:val="21"/>
                <w:highlight w:val="none"/>
              </w:rPr>
              <w:t>专业为</w:t>
            </w:r>
            <w:r>
              <w:rPr>
                <w:rFonts w:hint="eastAsia" w:ascii="宋体" w:hAnsi="宋体"/>
                <w:color w:val="auto"/>
                <w:szCs w:val="21"/>
                <w:highlight w:val="none"/>
              </w:rPr>
              <w:t>市政公用工程相关专业。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718D23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上岗证或培训证或注册监理工程师执业证书</w:t>
            </w:r>
          </w:p>
        </w:tc>
      </w:tr>
      <w:tr w14:paraId="328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BE6007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4</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F9F5C">
            <w:pPr>
              <w:adjustRightInd w:val="0"/>
              <w:snapToGrid w:val="0"/>
              <w:jc w:val="center"/>
              <w:rPr>
                <w:rFonts w:ascii="宋体" w:hAnsi="Courier New" w:eastAsia="宋体" w:cs="宋体"/>
                <w:color w:val="auto"/>
                <w:kern w:val="2"/>
                <w:sz w:val="21"/>
                <w:szCs w:val="21"/>
                <w:highlight w:val="none"/>
                <w:lang w:val="en-US" w:eastAsia="zh-CN" w:bidi="ar"/>
              </w:rPr>
            </w:pPr>
            <w:r>
              <w:rPr>
                <w:rFonts w:hint="eastAsia" w:ascii="宋体" w:hAnsi="Courier New" w:cs="宋体"/>
                <w:color w:val="auto"/>
                <w:szCs w:val="21"/>
                <w:highlight w:val="none"/>
                <w:lang w:eastAsia="zh-CN" w:bidi="ar"/>
              </w:rPr>
              <w:t>机电安装</w:t>
            </w:r>
            <w:r>
              <w:rPr>
                <w:rFonts w:hint="eastAsia" w:ascii="宋体" w:hAnsi="Courier New" w:cs="宋体"/>
                <w:color w:val="auto"/>
                <w:szCs w:val="21"/>
                <w:highlight w:val="none"/>
                <w:lang w:bidi="ar"/>
              </w:rPr>
              <w:t>工程专业监理工程师</w:t>
            </w:r>
          </w:p>
        </w:tc>
        <w:tc>
          <w:tcPr>
            <w:tcW w:w="10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7F808">
            <w:pPr>
              <w:adjustRightInd w:val="0"/>
              <w:snapToGrid w:val="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bidi="ar"/>
              </w:rPr>
              <w:t>1名</w:t>
            </w:r>
          </w:p>
        </w:tc>
        <w:tc>
          <w:tcPr>
            <w:tcW w:w="30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0BAE4">
            <w:pPr>
              <w:adjustRightInd w:val="0"/>
              <w:snapToGrid w:val="0"/>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持有</w:t>
            </w:r>
            <w:r>
              <w:rPr>
                <w:rFonts w:hint="eastAsia" w:ascii="宋体" w:hAnsi="宋体" w:cs="宋体"/>
                <w:color w:val="auto"/>
                <w:szCs w:val="21"/>
                <w:highlight w:val="none"/>
                <w:lang w:bidi="ar"/>
              </w:rPr>
              <w:t>省级或以上专业监理工程师上岗证或培训证或</w:t>
            </w:r>
            <w:r>
              <w:rPr>
                <w:rFonts w:hint="eastAsia" w:ascii="宋体" w:hAnsi="宋体" w:cs="宋体"/>
                <w:color w:val="auto"/>
                <w:kern w:val="0"/>
                <w:szCs w:val="21"/>
                <w:highlight w:val="none"/>
                <w:lang w:bidi="ar"/>
              </w:rPr>
              <w:t>持有注册监理工程师证书，</w:t>
            </w:r>
            <w:r>
              <w:rPr>
                <w:rFonts w:hint="eastAsia" w:ascii="宋体" w:hAnsi="宋体" w:cs="宋体"/>
                <w:color w:val="auto"/>
                <w:szCs w:val="21"/>
                <w:highlight w:val="none"/>
                <w:lang w:bidi="ar"/>
              </w:rPr>
              <w:t>专业为</w:t>
            </w:r>
            <w:r>
              <w:rPr>
                <w:rFonts w:hint="eastAsia" w:ascii="宋体" w:hAnsi="Courier New" w:cs="宋体"/>
                <w:color w:val="auto"/>
                <w:szCs w:val="21"/>
                <w:highlight w:val="none"/>
                <w:lang w:eastAsia="zh-CN" w:bidi="ar"/>
              </w:rPr>
              <w:t>机电安装</w:t>
            </w:r>
            <w:r>
              <w:rPr>
                <w:rFonts w:hint="eastAsia" w:ascii="宋体" w:hAnsi="宋体" w:cs="宋体"/>
                <w:color w:val="auto"/>
                <w:szCs w:val="21"/>
                <w:highlight w:val="none"/>
                <w:lang w:bidi="ar"/>
              </w:rPr>
              <w:t>工程相关专业。</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4AFB2">
            <w:pPr>
              <w:adjustRightInd w:val="0"/>
              <w:snapToGrid w:val="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bidi="ar"/>
              </w:rPr>
              <w:t>上岗证或培训证或注册监理工程师执业证书</w:t>
            </w:r>
          </w:p>
        </w:tc>
      </w:tr>
      <w:tr w14:paraId="78D4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B95E12D">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72ECE">
            <w:pPr>
              <w:adjustRightInd w:val="0"/>
              <w:snapToGrid w:val="0"/>
              <w:spacing w:line="360" w:lineRule="auto"/>
              <w:jc w:val="center"/>
              <w:rPr>
                <w:rFonts w:hint="eastAsia" w:ascii="宋体" w:hAnsi="Courier New" w:eastAsia="宋体" w:cs="Times New Roman"/>
                <w:color w:val="auto"/>
                <w:kern w:val="2"/>
                <w:sz w:val="21"/>
                <w:szCs w:val="21"/>
                <w:highlight w:val="none"/>
                <w:lang w:val="en-US" w:eastAsia="zh-CN" w:bidi="ar-SA"/>
              </w:rPr>
            </w:pPr>
            <w:r>
              <w:rPr>
                <w:rFonts w:hint="eastAsia" w:ascii="宋体" w:hAnsi="Courier New" w:cs="宋体"/>
                <w:color w:val="auto"/>
                <w:szCs w:val="21"/>
                <w:highlight w:val="none"/>
                <w:lang w:bidi="ar"/>
              </w:rPr>
              <w:t>造价负责人</w:t>
            </w:r>
          </w:p>
        </w:tc>
        <w:tc>
          <w:tcPr>
            <w:tcW w:w="10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3EB30">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bidi="ar"/>
              </w:rPr>
              <w:t>1名</w:t>
            </w:r>
          </w:p>
        </w:tc>
        <w:tc>
          <w:tcPr>
            <w:tcW w:w="30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9FCFC">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lang w:bidi="ar"/>
              </w:rPr>
              <w:t>持有</w:t>
            </w:r>
            <w:r>
              <w:rPr>
                <w:rFonts w:hint="eastAsia" w:ascii="宋体" w:hAnsi="宋体" w:cs="宋体"/>
                <w:color w:val="auto"/>
                <w:szCs w:val="21"/>
                <w:highlight w:val="none"/>
                <w:lang w:bidi="ar"/>
              </w:rPr>
              <w:t>国家注册造价工程师或</w:t>
            </w:r>
            <w:r>
              <w:rPr>
                <w:rFonts w:hint="eastAsia" w:ascii="宋体" w:hAnsi="Courier New" w:cs="宋体"/>
                <w:color w:val="auto"/>
                <w:szCs w:val="21"/>
                <w:highlight w:val="none"/>
                <w:lang w:bidi="ar"/>
              </w:rPr>
              <w:t>一级注册造价工程师。</w:t>
            </w:r>
            <w:r>
              <w:rPr>
                <w:rFonts w:hint="eastAsia" w:ascii="宋体" w:hAnsi="宋体" w:cs="宋体"/>
                <w:color w:val="auto"/>
                <w:szCs w:val="21"/>
                <w:highlight w:val="none"/>
                <w:lang w:bidi="ar"/>
              </w:rPr>
              <w:t>专业为土木建筑工程相关专业。</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86C00">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bidi="ar"/>
              </w:rPr>
              <w:t>国家注册造价工程师注册证书或注册一级造价工程师注册证书</w:t>
            </w:r>
          </w:p>
        </w:tc>
      </w:tr>
      <w:tr w14:paraId="753B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B28353E">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B4079A">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监理员</w:t>
            </w:r>
          </w:p>
        </w:tc>
        <w:tc>
          <w:tcPr>
            <w:tcW w:w="10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1E6F0">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r>
              <w:rPr>
                <w:rFonts w:hint="eastAsia" w:ascii="宋体" w:hAnsi="宋体"/>
                <w:color w:val="auto"/>
                <w:szCs w:val="21"/>
                <w:highlight w:val="none"/>
              </w:rPr>
              <w:t>名</w:t>
            </w:r>
          </w:p>
        </w:tc>
        <w:tc>
          <w:tcPr>
            <w:tcW w:w="30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0FE2A">
            <w:pPr>
              <w:pStyle w:val="15"/>
              <w:spacing w:line="360" w:lineRule="auto"/>
              <w:jc w:val="center"/>
              <w:rPr>
                <w:rFonts w:hint="eastAsia" w:ascii="宋体" w:hAnsi="Courier New" w:eastAsia="宋体" w:cs="Courier New"/>
                <w:color w:val="auto"/>
                <w:kern w:val="2"/>
                <w:sz w:val="21"/>
                <w:szCs w:val="21"/>
                <w:highlight w:val="none"/>
                <w:lang w:val="en-US" w:eastAsia="zh-CN" w:bidi="ar-SA"/>
              </w:rPr>
            </w:pPr>
            <w:r>
              <w:rPr>
                <w:rFonts w:hint="eastAsia"/>
                <w:color w:val="auto"/>
                <w:highlight w:val="none"/>
              </w:rPr>
              <w:t>持有监理员上岗证或培训证，</w:t>
            </w:r>
            <w:r>
              <w:rPr>
                <w:rFonts w:hAnsi="宋体"/>
                <w:color w:val="auto"/>
                <w:highlight w:val="none"/>
              </w:rPr>
              <w:t>专业为</w:t>
            </w:r>
            <w:r>
              <w:rPr>
                <w:rFonts w:hint="eastAsia" w:hAnsi="宋体"/>
                <w:color w:val="auto"/>
                <w:highlight w:val="none"/>
              </w:rPr>
              <w:t>市政公用工程相关专业。</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232AF">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上岗证或培训证</w:t>
            </w:r>
          </w:p>
        </w:tc>
      </w:tr>
    </w:tbl>
    <w:p w14:paraId="069F76F4">
      <w:pPr>
        <w:spacing w:line="360" w:lineRule="auto"/>
        <w:ind w:firstLine="359" w:firstLineChars="171"/>
        <w:rPr>
          <w:rFonts w:hint="eastAsia" w:ascii="宋体" w:hAnsi="宋体" w:eastAsia="宋体" w:cs="Times New Roman"/>
          <w:color w:val="auto"/>
          <w:sz w:val="21"/>
          <w:szCs w:val="21"/>
          <w:highlight w:val="none"/>
        </w:rPr>
      </w:pPr>
    </w:p>
    <w:p w14:paraId="0248A5E7">
      <w:pPr>
        <w:spacing w:line="360" w:lineRule="auto"/>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w:t>
      </w:r>
      <w:r>
        <w:rPr>
          <w:rFonts w:ascii="宋体" w:hAnsi="宋体" w:cs="宋体"/>
          <w:color w:val="auto"/>
          <w:szCs w:val="21"/>
          <w:highlight w:val="none"/>
        </w:rPr>
        <w:t>20</w:t>
      </w:r>
      <w:r>
        <w:rPr>
          <w:rFonts w:hint="eastAsia" w:ascii="宋体" w:hAnsi="宋体" w:cs="宋体"/>
          <w:color w:val="auto"/>
          <w:szCs w:val="21"/>
          <w:highlight w:val="none"/>
        </w:rPr>
        <w:t>〕1号）确定]，可承担相应专业监理工程师岗位。</w:t>
      </w:r>
    </w:p>
    <w:p w14:paraId="7429EF2F">
      <w:pPr>
        <w:spacing w:line="360" w:lineRule="auto"/>
        <w:rPr>
          <w:rFonts w:ascii="宋体" w:hAnsi="宋体" w:cs="宋体"/>
          <w:color w:val="auto"/>
          <w:szCs w:val="21"/>
          <w:highlight w:val="none"/>
        </w:rPr>
      </w:pPr>
      <w:r>
        <w:rPr>
          <w:rFonts w:hint="eastAsia" w:ascii="宋体" w:hAnsi="宋体" w:cs="宋体"/>
          <w:color w:val="auto"/>
          <w:szCs w:val="21"/>
          <w:highlight w:val="none"/>
        </w:rPr>
        <w:t>②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63DFC7EC">
      <w:pPr>
        <w:spacing w:line="360" w:lineRule="auto"/>
        <w:rPr>
          <w:rFonts w:ascii="宋体" w:hAnsi="宋体" w:cs="宋体"/>
          <w:color w:val="auto"/>
          <w:szCs w:val="21"/>
          <w:highlight w:val="none"/>
        </w:rPr>
      </w:pPr>
      <w:r>
        <w:rPr>
          <w:rFonts w:hint="eastAsia" w:ascii="宋体" w:hAnsi="宋体" w:cs="宋体"/>
          <w:color w:val="auto"/>
          <w:szCs w:val="21"/>
          <w:highlight w:val="none"/>
        </w:rPr>
        <w:t>③总监理工程师及监理机构人员资格、证书及社保证明等方面内容必须提供相应的证明材料；</w:t>
      </w:r>
      <w:r>
        <w:rPr>
          <w:rFonts w:ascii="宋体" w:hAnsi="宋体" w:cs="宋体"/>
          <w:color w:val="auto"/>
          <w:szCs w:val="21"/>
          <w:highlight w:val="none"/>
        </w:rPr>
        <w:t>所投入人员必须为投标人本单位人员，所有人员须提供近一个月（指</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月</w:t>
      </w:r>
      <w:r>
        <w:rPr>
          <w:rFonts w:ascii="宋体" w:hAnsi="宋体" w:cs="宋体"/>
          <w:color w:val="auto"/>
          <w:szCs w:val="21"/>
          <w:highlight w:val="none"/>
        </w:rPr>
        <w:t>）在本投标单位购买社保缴纳证明材料，提供证明资料的清晰扫描件并加盖投标单位电子印章，否则不计分</w:t>
      </w:r>
      <w:r>
        <w:rPr>
          <w:rFonts w:hint="eastAsia" w:ascii="宋体" w:hAnsi="宋体" w:cs="宋体"/>
          <w:color w:val="auto"/>
          <w:szCs w:val="21"/>
          <w:highlight w:val="none"/>
        </w:rPr>
        <w:t>；专业以上岗证或培训证或注册证所列专业为准，若相关证书没有显示专业的，则需提供可证明专业的其他证明材料</w:t>
      </w:r>
      <w:r>
        <w:rPr>
          <w:rFonts w:ascii="宋体" w:hAnsi="宋体" w:cs="宋体"/>
          <w:color w:val="auto"/>
          <w:szCs w:val="21"/>
          <w:highlight w:val="none"/>
        </w:rPr>
        <w:t>。</w:t>
      </w:r>
    </w:p>
    <w:p w14:paraId="6D412683">
      <w:pPr>
        <w:spacing w:line="360" w:lineRule="auto"/>
        <w:rPr>
          <w:rFonts w:ascii="宋体" w:hAnsi="宋体" w:cs="宋体"/>
          <w:color w:val="auto"/>
          <w:szCs w:val="21"/>
          <w:highlight w:val="none"/>
        </w:rPr>
      </w:pPr>
      <w:r>
        <w:rPr>
          <w:rFonts w:hint="eastAsia" w:ascii="宋体" w:hAnsi="宋体" w:cs="宋体"/>
          <w:color w:val="auto"/>
          <w:szCs w:val="21"/>
          <w:highlight w:val="none"/>
        </w:rPr>
        <w:t>④除总监理工程师外，上述人员要求不作为形式评审、资格评审、响应性评审的审查依据，只作为综合评分表中的评审依据。</w:t>
      </w:r>
    </w:p>
    <w:p w14:paraId="04B8B45E">
      <w:pPr>
        <w:spacing w:line="360" w:lineRule="auto"/>
        <w:ind w:firstLine="410" w:firstLineChars="171"/>
        <w:rPr>
          <w:rFonts w:ascii="宋体" w:hAnsi="宋体" w:eastAsia="宋体" w:cs="Times New Roman"/>
          <w:color w:val="auto"/>
          <w:szCs w:val="21"/>
          <w:highlight w:val="none"/>
        </w:rPr>
      </w:pP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监理文件要求：</w:t>
      </w:r>
      <w:r>
        <w:rPr>
          <w:rFonts w:hint="eastAsia" w:ascii="Times New Roman" w:hAnsi="Times New Roman"/>
          <w:color w:val="auto"/>
          <w:highlight w:val="none"/>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r>
        <w:rPr>
          <w:rFonts w:hint="eastAsia" w:ascii="宋体" w:hAnsi="宋体" w:eastAsia="宋体" w:cs="Times New Roman"/>
          <w:color w:val="auto"/>
          <w:szCs w:val="21"/>
          <w:highlight w:val="none"/>
        </w:rPr>
        <w:t>。</w:t>
      </w:r>
    </w:p>
    <w:p w14:paraId="6DED178E">
      <w:pPr>
        <w:spacing w:line="360" w:lineRule="auto"/>
        <w:ind w:firstLine="410" w:firstLineChars="171"/>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监理工作目标要求</w:t>
      </w:r>
    </w:p>
    <w:p w14:paraId="059A738D">
      <w:pPr>
        <w:spacing w:line="440" w:lineRule="exact"/>
        <w:ind w:firstLine="359" w:firstLineChars="171"/>
        <w:rPr>
          <w:rFonts w:ascii="宋体"/>
          <w:color w:val="auto"/>
          <w:szCs w:val="21"/>
          <w:highlight w:val="none"/>
        </w:rPr>
      </w:pPr>
      <w:r>
        <w:rPr>
          <w:rFonts w:hint="eastAsia" w:ascii="Times New Roman" w:hAnsi="Times New Roman"/>
          <w:color w:val="auto"/>
          <w:highlight w:val="none"/>
        </w:rPr>
        <w:t>①质量控制目标</w:t>
      </w:r>
      <w:r>
        <w:rPr>
          <w:rFonts w:hint="eastAsia" w:ascii="Times New Roman" w:hAnsi="Times New Roman"/>
          <w:color w:val="auto"/>
          <w:szCs w:val="21"/>
          <w:highlight w:val="none"/>
        </w:rPr>
        <w:t>：</w:t>
      </w:r>
      <w:r>
        <w:rPr>
          <w:rFonts w:hint="eastAsia" w:ascii="宋体" w:hAnsi="宋体"/>
          <w:color w:val="auto"/>
          <w:szCs w:val="21"/>
          <w:highlight w:val="none"/>
          <w:u w:val="single"/>
        </w:rPr>
        <w:t>工程质量达到工程施工质量验收规范合格标准及国家现行相关专业有关施工质量验收规范标准，一次验收合格</w:t>
      </w:r>
      <w:r>
        <w:rPr>
          <w:rFonts w:hint="eastAsia" w:ascii="宋体" w:hAnsi="宋体"/>
          <w:color w:val="auto"/>
          <w:szCs w:val="21"/>
          <w:highlight w:val="none"/>
          <w:u w:val="single"/>
          <w:lang w:val="en-US" w:eastAsia="zh-CN"/>
        </w:rPr>
        <w:t>并且</w:t>
      </w:r>
      <w:r>
        <w:rPr>
          <w:rFonts w:hint="eastAsia" w:ascii="宋体" w:hAnsi="宋体"/>
          <w:color w:val="auto"/>
          <w:szCs w:val="21"/>
          <w:highlight w:val="none"/>
          <w:u w:val="single"/>
        </w:rPr>
        <w:t>与施工单位承诺的质量目标一致。</w:t>
      </w:r>
    </w:p>
    <w:p w14:paraId="2AACFC7C">
      <w:pPr>
        <w:spacing w:line="440" w:lineRule="exact"/>
        <w:ind w:left="315" w:leftChars="150" w:firstLine="44" w:firstLineChars="21"/>
        <w:rPr>
          <w:rFonts w:ascii="宋体"/>
          <w:color w:val="auto"/>
          <w:szCs w:val="21"/>
          <w:highlight w:val="none"/>
        </w:rPr>
      </w:pPr>
      <w:r>
        <w:rPr>
          <w:rFonts w:hint="eastAsia" w:ascii="宋体"/>
          <w:color w:val="auto"/>
          <w:szCs w:val="21"/>
          <w:highlight w:val="none"/>
        </w:rPr>
        <w:t>②进度控制目标：</w:t>
      </w:r>
      <w:r>
        <w:rPr>
          <w:rFonts w:hint="eastAsia" w:ascii="宋体" w:hAnsi="宋体"/>
          <w:color w:val="auto"/>
          <w:szCs w:val="21"/>
          <w:highlight w:val="none"/>
          <w:u w:val="single"/>
        </w:rPr>
        <w:t>按委托人对工期的要求进行进度目标控制。</w:t>
      </w:r>
    </w:p>
    <w:p w14:paraId="0634F17F">
      <w:pPr>
        <w:spacing w:line="440" w:lineRule="exact"/>
        <w:ind w:firstLine="357" w:firstLineChars="170"/>
        <w:rPr>
          <w:rFonts w:ascii="宋体"/>
          <w:color w:val="auto"/>
          <w:szCs w:val="21"/>
          <w:highlight w:val="none"/>
        </w:rPr>
      </w:pPr>
      <w:r>
        <w:rPr>
          <w:rFonts w:hint="eastAsia" w:ascii="宋体"/>
          <w:color w:val="auto"/>
          <w:szCs w:val="21"/>
          <w:highlight w:val="none"/>
        </w:rPr>
        <w:t>③投资控制目标：</w:t>
      </w:r>
      <w:r>
        <w:rPr>
          <w:rFonts w:hint="eastAsia" w:ascii="宋体" w:hAnsi="宋体"/>
          <w:color w:val="auto"/>
          <w:szCs w:val="21"/>
          <w:highlight w:val="none"/>
          <w:u w:val="single"/>
        </w:rPr>
        <w:t>施工阶段所监理项目的结算的建安工程费不超过该项目概算批复中对应的建安工程费。</w:t>
      </w:r>
    </w:p>
    <w:p w14:paraId="0E6C6A3E">
      <w:pPr>
        <w:spacing w:line="440" w:lineRule="exact"/>
        <w:ind w:firstLine="357" w:firstLineChars="170"/>
        <w:rPr>
          <w:rFonts w:ascii="宋体"/>
          <w:color w:val="auto"/>
          <w:szCs w:val="21"/>
          <w:highlight w:val="none"/>
          <w:u w:val="single"/>
        </w:rPr>
      </w:pPr>
      <w:r>
        <w:rPr>
          <w:rFonts w:hint="eastAsia" w:ascii="宋体"/>
          <w:color w:val="auto"/>
          <w:szCs w:val="21"/>
          <w:highlight w:val="none"/>
        </w:rPr>
        <w:t>④安全生产文明施工控制目标：</w:t>
      </w:r>
      <w:r>
        <w:rPr>
          <w:rFonts w:hint="eastAsia" w:ascii="宋体" w:hAnsi="宋体"/>
          <w:color w:val="auto"/>
          <w:szCs w:val="21"/>
          <w:highlight w:val="none"/>
          <w:u w:val="single"/>
        </w:rPr>
        <w:t>安全生产文明施工控制目标：确保工程无人员死亡事故；确保实施期内有关建设人员不违反委托人安全监管规定；现场安全文明施工管理达到国家、广东省、广州市以及天河区相关规定要求。</w:t>
      </w:r>
    </w:p>
    <w:p w14:paraId="1A74BBEB">
      <w:pPr>
        <w:spacing w:line="440" w:lineRule="exact"/>
        <w:ind w:firstLine="357" w:firstLineChars="170"/>
        <w:rPr>
          <w:rFonts w:ascii="宋体"/>
          <w:color w:val="auto"/>
          <w:szCs w:val="21"/>
          <w:highlight w:val="none"/>
          <w:u w:val="single"/>
        </w:rPr>
      </w:pPr>
      <w:r>
        <w:rPr>
          <w:rFonts w:hint="eastAsia" w:ascii="宋体"/>
          <w:color w:val="auto"/>
          <w:szCs w:val="21"/>
          <w:highlight w:val="none"/>
        </w:rPr>
        <w:t>⑤</w:t>
      </w:r>
      <w:r>
        <w:rPr>
          <w:rFonts w:hint="eastAsia" w:ascii="宋体"/>
          <w:color w:val="auto"/>
          <w:szCs w:val="21"/>
          <w:highlight w:val="none"/>
          <w:u w:val="single"/>
        </w:rPr>
        <w:t>职业健康安全管理目标：</w:t>
      </w:r>
      <w:r>
        <w:rPr>
          <w:rFonts w:hint="eastAsia" w:ascii="宋体" w:hAnsi="宋体"/>
          <w:color w:val="auto"/>
          <w:szCs w:val="21"/>
          <w:highlight w:val="none"/>
          <w:u w:val="single"/>
        </w:rPr>
        <w:t>杜绝一般事故等级以上的伤亡事故且工伤责任事故死亡人数为零。</w:t>
      </w:r>
    </w:p>
    <w:p w14:paraId="234B70A6">
      <w:pPr>
        <w:spacing w:line="440" w:lineRule="exact"/>
        <w:ind w:left="315" w:leftChars="150" w:firstLine="44" w:firstLineChars="21"/>
        <w:rPr>
          <w:rFonts w:ascii="宋体"/>
          <w:color w:val="auto"/>
          <w:szCs w:val="21"/>
          <w:highlight w:val="none"/>
        </w:rPr>
      </w:pPr>
      <w:r>
        <w:rPr>
          <w:rFonts w:hint="eastAsia" w:ascii="宋体"/>
          <w:color w:val="auto"/>
          <w:szCs w:val="21"/>
          <w:highlight w:val="none"/>
        </w:rPr>
        <w:t>⑥合同管理目标：</w:t>
      </w:r>
      <w:r>
        <w:rPr>
          <w:rFonts w:ascii="宋体"/>
          <w:color w:val="auto"/>
          <w:szCs w:val="21"/>
          <w:highlight w:val="none"/>
        </w:rPr>
        <w:t>/</w:t>
      </w:r>
    </w:p>
    <w:p w14:paraId="40062A2B">
      <w:pPr>
        <w:spacing w:line="440" w:lineRule="exact"/>
        <w:ind w:left="315" w:leftChars="150" w:firstLine="44" w:firstLineChars="21"/>
        <w:rPr>
          <w:rFonts w:ascii="宋体"/>
          <w:color w:val="auto"/>
          <w:szCs w:val="21"/>
          <w:highlight w:val="none"/>
        </w:rPr>
      </w:pPr>
      <w:r>
        <w:rPr>
          <w:rFonts w:hint="eastAsia" w:ascii="宋体"/>
          <w:color w:val="auto"/>
          <w:szCs w:val="21"/>
          <w:highlight w:val="none"/>
        </w:rPr>
        <w:t>⑦信息管理目标：</w:t>
      </w:r>
      <w:r>
        <w:rPr>
          <w:rFonts w:ascii="宋体"/>
          <w:color w:val="auto"/>
          <w:szCs w:val="21"/>
          <w:highlight w:val="none"/>
        </w:rPr>
        <w:t>/</w:t>
      </w:r>
    </w:p>
    <w:p w14:paraId="1AC24EB9">
      <w:pPr>
        <w:keepNext w:val="0"/>
        <w:keepLines w:val="0"/>
        <w:pageBreakBefore w:val="0"/>
        <w:widowControl w:val="0"/>
        <w:kinsoku/>
        <w:wordWrap/>
        <w:overflowPunct/>
        <w:topLinePunct w:val="0"/>
        <w:autoSpaceDE/>
        <w:autoSpaceDN/>
        <w:bidi w:val="0"/>
        <w:adjustRightInd/>
        <w:snapToGrid/>
        <w:spacing w:after="0" w:afterLines="50" w:line="440" w:lineRule="exact"/>
        <w:ind w:left="315" w:leftChars="150" w:firstLine="44" w:firstLineChars="21"/>
        <w:textAlignment w:val="auto"/>
        <w:rPr>
          <w:rFonts w:ascii="Times New Roman" w:hAnsi="Times New Roman"/>
          <w:color w:val="auto"/>
          <w:szCs w:val="21"/>
          <w:highlight w:val="none"/>
        </w:rPr>
      </w:pPr>
      <w:r>
        <w:rPr>
          <w:rFonts w:hint="eastAsia" w:ascii="宋体" w:hAnsi="宋体" w:cs="宋体"/>
          <w:color w:val="auto"/>
          <w:szCs w:val="21"/>
          <w:highlight w:val="none"/>
        </w:rPr>
        <w:t>⑧</w:t>
      </w:r>
      <w:r>
        <w:rPr>
          <w:rFonts w:hint="eastAsia" w:ascii="宋体"/>
          <w:color w:val="auto"/>
          <w:szCs w:val="21"/>
          <w:highlight w:val="none"/>
        </w:rPr>
        <w:t>建筑节能目标：</w:t>
      </w:r>
      <w:r>
        <w:rPr>
          <w:rFonts w:ascii="宋体"/>
          <w:color w:val="auto"/>
          <w:szCs w:val="21"/>
          <w:highlight w:val="none"/>
        </w:rPr>
        <w:t>/</w:t>
      </w:r>
    </w:p>
    <w:p w14:paraId="1C4661AD">
      <w:pPr>
        <w:spacing w:line="360" w:lineRule="auto"/>
        <w:ind w:firstLine="410" w:firstLineChars="17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其他要求</w:t>
      </w:r>
    </w:p>
    <w:p w14:paraId="59742D84">
      <w:pPr>
        <w:rPr>
          <w:rFonts w:ascii="宋体" w:hAnsi="宋体" w:eastAsia="宋体" w:cs="Times New Roman"/>
          <w:color w:val="auto"/>
          <w:szCs w:val="21"/>
          <w:highlight w:val="none"/>
        </w:rPr>
      </w:pPr>
    </w:p>
    <w:p w14:paraId="1960877A">
      <w:pPr>
        <w:keepNext w:val="0"/>
        <w:keepLines w:val="0"/>
        <w:widowControl w:val="0"/>
        <w:spacing w:line="360" w:lineRule="auto"/>
        <w:jc w:val="both"/>
        <w:outlineLvl w:val="1"/>
        <w:rPr>
          <w:rFonts w:ascii="黑体" w:hAnsi="黑体" w:eastAsia="黑体" w:cs="Times New Roman"/>
          <w:b w:val="0"/>
          <w:color w:val="auto"/>
          <w:kern w:val="2"/>
          <w:sz w:val="24"/>
          <w:szCs w:val="24"/>
          <w:highlight w:val="none"/>
          <w:lang w:val="en-US" w:eastAsia="zh-CN" w:bidi="ar-SA"/>
        </w:rPr>
      </w:pPr>
      <w:bookmarkStart w:id="1470" w:name="_Toc482188638"/>
      <w:bookmarkStart w:id="1471" w:name="_Toc526786495"/>
      <w:bookmarkStart w:id="1472" w:name="_Toc29342"/>
      <w:bookmarkStart w:id="1473" w:name="_Toc20101"/>
      <w:bookmarkStart w:id="1474" w:name="_Toc511557111"/>
      <w:r>
        <w:rPr>
          <w:rFonts w:ascii="黑体" w:hAnsi="黑体" w:eastAsia="黑体" w:cs="Times New Roman"/>
          <w:b w:val="0"/>
          <w:color w:val="auto"/>
          <w:kern w:val="2"/>
          <w:sz w:val="24"/>
          <w:szCs w:val="24"/>
          <w:highlight w:val="none"/>
          <w:lang w:val="en-US" w:eastAsia="zh-CN" w:bidi="ar-SA"/>
        </w:rPr>
        <w:t>二、适用规范标准</w:t>
      </w:r>
      <w:bookmarkEnd w:id="1470"/>
      <w:bookmarkEnd w:id="1471"/>
      <w:bookmarkEnd w:id="1472"/>
      <w:bookmarkEnd w:id="1473"/>
      <w:bookmarkEnd w:id="1474"/>
    </w:p>
    <w:p w14:paraId="06933563">
      <w:pPr>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1. 国家、行业、项目所在地规范名录</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《建设工程监理规范》</w:t>
      </w:r>
      <w:r>
        <w:rPr>
          <w:rFonts w:ascii="宋体" w:hAnsi="宋体" w:eastAsia="宋体" w:cs="Times New Roman"/>
          <w:color w:val="auto"/>
          <w:szCs w:val="21"/>
          <w:highlight w:val="none"/>
          <w:u w:val="single"/>
        </w:rPr>
        <w:t>GB/T50319-2013</w:t>
      </w:r>
      <w:r>
        <w:rPr>
          <w:rFonts w:hint="eastAsia" w:ascii="宋体" w:hAnsi="宋体" w:eastAsia="宋体" w:cs="Times New Roman"/>
          <w:color w:val="auto"/>
          <w:szCs w:val="21"/>
          <w:highlight w:val="none"/>
          <w:u w:val="single"/>
        </w:rPr>
        <w:t>，按国家、行业、项目所在地规范名录执行。</w:t>
      </w:r>
    </w:p>
    <w:p w14:paraId="3A53E7CD">
      <w:pPr>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 国家、行业、项目所在地标准名录</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按国家、行业、项目所在地规范标准执行。</w:t>
      </w:r>
    </w:p>
    <w:p w14:paraId="2336226A">
      <w:pPr>
        <w:spacing w:line="360" w:lineRule="auto"/>
        <w:ind w:firstLine="420" w:firstLineChars="200"/>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rPr>
        <w:t>3. 国家、行业、项目所在地规程名录</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按国家、行业、项目所在地规范规程执行。</w:t>
      </w:r>
    </w:p>
    <w:p w14:paraId="65E30A56">
      <w:pPr>
        <w:rPr>
          <w:rFonts w:ascii="宋体" w:hAnsi="宋体" w:eastAsia="宋体" w:cs="Times New Roman"/>
          <w:color w:val="auto"/>
          <w:szCs w:val="21"/>
          <w:highlight w:val="none"/>
        </w:rPr>
      </w:pPr>
    </w:p>
    <w:p w14:paraId="5BA9848E">
      <w:pPr>
        <w:keepNext w:val="0"/>
        <w:keepLines w:val="0"/>
        <w:widowControl w:val="0"/>
        <w:spacing w:line="360" w:lineRule="auto"/>
        <w:jc w:val="both"/>
        <w:outlineLvl w:val="1"/>
        <w:rPr>
          <w:rFonts w:ascii="黑体" w:hAnsi="黑体" w:eastAsia="黑体" w:cs="Times New Roman"/>
          <w:b w:val="0"/>
          <w:color w:val="auto"/>
          <w:kern w:val="2"/>
          <w:sz w:val="24"/>
          <w:szCs w:val="24"/>
          <w:highlight w:val="none"/>
          <w:lang w:val="en-US" w:eastAsia="zh-CN" w:bidi="ar-SA"/>
        </w:rPr>
      </w:pPr>
      <w:bookmarkStart w:id="1475" w:name="_Toc20396"/>
      <w:bookmarkStart w:id="1476" w:name="_Toc18226"/>
      <w:bookmarkStart w:id="1477" w:name="_Toc482188639"/>
      <w:bookmarkStart w:id="1478" w:name="_Toc526786496"/>
      <w:bookmarkStart w:id="1479" w:name="_Toc511557112"/>
      <w:r>
        <w:rPr>
          <w:rFonts w:ascii="黑体" w:hAnsi="黑体" w:eastAsia="黑体" w:cs="Times New Roman"/>
          <w:b w:val="0"/>
          <w:color w:val="auto"/>
          <w:kern w:val="2"/>
          <w:sz w:val="24"/>
          <w:szCs w:val="24"/>
          <w:highlight w:val="none"/>
          <w:lang w:val="en-US" w:eastAsia="zh-CN" w:bidi="ar-SA"/>
        </w:rPr>
        <w:t>三、成果文件要求</w:t>
      </w:r>
      <w:bookmarkEnd w:id="1475"/>
      <w:bookmarkEnd w:id="1476"/>
      <w:bookmarkEnd w:id="1477"/>
      <w:bookmarkEnd w:id="1478"/>
      <w:bookmarkEnd w:id="1479"/>
    </w:p>
    <w:p w14:paraId="5575B6E7">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按《建设工程监理规范》（</w:t>
      </w:r>
      <w:r>
        <w:rPr>
          <w:rFonts w:ascii="宋体" w:hAnsi="宋体" w:eastAsia="宋体" w:cs="Times New Roman"/>
          <w:color w:val="auto"/>
          <w:szCs w:val="21"/>
          <w:highlight w:val="none"/>
        </w:rPr>
        <w:t>GB/T50319-2013</w:t>
      </w:r>
      <w:r>
        <w:rPr>
          <w:rFonts w:hint="eastAsia" w:ascii="宋体" w:hAnsi="宋体" w:eastAsia="宋体" w:cs="Times New Roman"/>
          <w:color w:val="auto"/>
          <w:szCs w:val="21"/>
          <w:highlight w:val="none"/>
        </w:rPr>
        <w:t>）和招标人要求</w:t>
      </w:r>
    </w:p>
    <w:p w14:paraId="3AA3AF05">
      <w:pPr>
        <w:spacing w:line="360" w:lineRule="auto"/>
        <w:ind w:firstLine="420" w:firstLineChars="200"/>
        <w:rPr>
          <w:rFonts w:hint="eastAsia"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Times New Roman"/>
          <w:color w:val="auto"/>
          <w:szCs w:val="21"/>
          <w:highlight w:val="none"/>
        </w:rPr>
        <w:t>成果文件的组成：详见</w:t>
      </w:r>
      <w:r>
        <w:rPr>
          <w:rFonts w:hint="eastAsia"/>
          <w:color w:val="auto"/>
          <w:highlight w:val="none"/>
        </w:rPr>
        <w:t>第四章合同条款及格式</w:t>
      </w:r>
      <w:r>
        <w:rPr>
          <w:rFonts w:hint="eastAsia" w:ascii="Times New Roman" w:hAnsi="Times New Roman"/>
          <w:color w:val="auto"/>
          <w:szCs w:val="21"/>
          <w:highlight w:val="none"/>
        </w:rPr>
        <w:t>监理合同附件2各阶段工作成果文件</w:t>
      </w:r>
    </w:p>
    <w:p w14:paraId="6C084F66">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2. </w:t>
      </w:r>
      <w:r>
        <w:rPr>
          <w:rFonts w:hint="eastAsia" w:ascii="Times New Roman" w:hAnsi="Times New Roman"/>
          <w:color w:val="auto"/>
          <w:highlight w:val="none"/>
        </w:rPr>
        <w:t>成果文件的深度</w:t>
      </w:r>
      <w:r>
        <w:rPr>
          <w:rFonts w:hint="eastAsia" w:ascii="Times New Roman" w:hAnsi="Times New Roman"/>
          <w:color w:val="auto"/>
          <w:szCs w:val="21"/>
          <w:highlight w:val="none"/>
        </w:rPr>
        <w:t>：</w:t>
      </w:r>
      <w:r>
        <w:rPr>
          <w:rFonts w:hint="eastAsia" w:ascii="宋体" w:hAnsi="宋体"/>
          <w:color w:val="auto"/>
          <w:szCs w:val="21"/>
          <w:highlight w:val="none"/>
          <w:u w:val="single"/>
        </w:rPr>
        <w:t>满足本项目监理服务要求。</w:t>
      </w:r>
    </w:p>
    <w:p w14:paraId="339AA7D3">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3. </w:t>
      </w:r>
      <w:r>
        <w:rPr>
          <w:rFonts w:hint="eastAsia" w:ascii="Times New Roman" w:hAnsi="Times New Roman"/>
          <w:color w:val="auto"/>
          <w:highlight w:val="none"/>
        </w:rPr>
        <w:t>成果文件的格式要求</w:t>
      </w:r>
      <w:r>
        <w:rPr>
          <w:rFonts w:hint="eastAsia" w:ascii="Times New Roman" w:hAnsi="Times New Roman"/>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满足本项目监理服务要求。</w:t>
      </w:r>
    </w:p>
    <w:p w14:paraId="36471C00">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4. </w:t>
      </w:r>
      <w:r>
        <w:rPr>
          <w:rFonts w:hint="eastAsia" w:ascii="Times New Roman" w:hAnsi="Times New Roman"/>
          <w:color w:val="auto"/>
          <w:highlight w:val="none"/>
        </w:rPr>
        <w:t>成果文件的份数要求</w:t>
      </w:r>
      <w:r>
        <w:rPr>
          <w:rFonts w:hint="eastAsia" w:ascii="Times New Roman" w:hAnsi="Times New Roman"/>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一式六份，</w:t>
      </w:r>
    </w:p>
    <w:p w14:paraId="3DD8D575">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5. </w:t>
      </w:r>
      <w:r>
        <w:rPr>
          <w:rFonts w:hint="eastAsia" w:ascii="Times New Roman" w:hAnsi="Times New Roman"/>
          <w:color w:val="auto"/>
          <w:highlight w:val="none"/>
        </w:rPr>
        <w:t>成果文件的载体要求</w:t>
      </w:r>
    </w:p>
    <w:p w14:paraId="4B6BD546">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）纸质版的要求：</w:t>
      </w:r>
      <w:r>
        <w:rPr>
          <w:rFonts w:ascii="宋体" w:hAnsi="宋体"/>
          <w:color w:val="auto"/>
          <w:szCs w:val="21"/>
          <w:highlight w:val="none"/>
          <w:u w:val="single"/>
        </w:rPr>
        <w:t xml:space="preserve"> </w:t>
      </w:r>
      <w:r>
        <w:rPr>
          <w:rFonts w:hint="eastAsia" w:ascii="宋体" w:hAnsi="宋体"/>
          <w:color w:val="auto"/>
          <w:szCs w:val="21"/>
          <w:highlight w:val="none"/>
          <w:u w:val="single"/>
        </w:rPr>
        <w:t>一式六份，</w:t>
      </w:r>
    </w:p>
    <w:p w14:paraId="5EF0E3DD">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）电子版的要求：</w:t>
      </w:r>
      <w:r>
        <w:rPr>
          <w:rFonts w:ascii="宋体" w:hAnsi="宋体"/>
          <w:color w:val="auto"/>
          <w:szCs w:val="21"/>
          <w:highlight w:val="none"/>
          <w:u w:val="single"/>
        </w:rPr>
        <w:t xml:space="preserve"> </w:t>
      </w:r>
      <w:r>
        <w:rPr>
          <w:rFonts w:hint="eastAsia" w:ascii="宋体" w:hAnsi="宋体"/>
          <w:color w:val="auto"/>
          <w:szCs w:val="21"/>
          <w:highlight w:val="none"/>
          <w:u w:val="single"/>
        </w:rPr>
        <w:t>与纸质版一致的电子版文件</w:t>
      </w:r>
    </w:p>
    <w:p w14:paraId="391BEC83">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）其他要求。</w:t>
      </w:r>
    </w:p>
    <w:p w14:paraId="00DE13EF">
      <w:pPr>
        <w:spacing w:line="360" w:lineRule="auto"/>
        <w:ind w:firstLine="420" w:firstLineChars="200"/>
        <w:rPr>
          <w:rFonts w:hint="eastAsia" w:ascii="宋体" w:hAnsi="宋体" w:eastAsia="宋体" w:cs="Times New Roman"/>
          <w:color w:val="auto"/>
          <w:szCs w:val="21"/>
          <w:highlight w:val="none"/>
          <w:u w:val="single"/>
        </w:rPr>
      </w:pPr>
      <w:r>
        <w:rPr>
          <w:rFonts w:ascii="Times New Roman" w:hAnsi="Times New Roman"/>
          <w:color w:val="auto"/>
          <w:highlight w:val="none"/>
        </w:rPr>
        <w:t xml:space="preserve">6. </w:t>
      </w:r>
      <w:r>
        <w:rPr>
          <w:rFonts w:hint="eastAsia" w:ascii="Times New Roman" w:hAnsi="Times New Roman"/>
          <w:color w:val="auto"/>
          <w:highlight w:val="none"/>
        </w:rPr>
        <w:t>成果文件的其他要求</w:t>
      </w:r>
      <w:r>
        <w:rPr>
          <w:rFonts w:ascii="Times New Roman" w:hAnsi="Times New Roman"/>
          <w:color w:val="auto"/>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满足本项目监理服务要求。</w:t>
      </w:r>
    </w:p>
    <w:p w14:paraId="6B440B08">
      <w:pPr>
        <w:rPr>
          <w:rFonts w:ascii="宋体" w:hAnsi="宋体" w:eastAsia="宋体" w:cs="Times New Roman"/>
          <w:color w:val="auto"/>
          <w:szCs w:val="21"/>
          <w:highlight w:val="none"/>
        </w:rPr>
      </w:pPr>
    </w:p>
    <w:p w14:paraId="0E0B8D31">
      <w:pPr>
        <w:keepNext w:val="0"/>
        <w:keepLines w:val="0"/>
        <w:widowControl w:val="0"/>
        <w:spacing w:line="360" w:lineRule="auto"/>
        <w:jc w:val="both"/>
        <w:outlineLvl w:val="1"/>
        <w:rPr>
          <w:rFonts w:ascii="黑体" w:hAnsi="黑体" w:eastAsia="黑体" w:cs="Times New Roman"/>
          <w:b w:val="0"/>
          <w:color w:val="auto"/>
          <w:kern w:val="2"/>
          <w:sz w:val="24"/>
          <w:szCs w:val="24"/>
          <w:highlight w:val="none"/>
          <w:lang w:val="en-US" w:eastAsia="zh-CN" w:bidi="ar-SA"/>
        </w:rPr>
      </w:pPr>
      <w:bookmarkStart w:id="1480" w:name="_Toc5376"/>
      <w:bookmarkStart w:id="1481" w:name="_Toc10498"/>
      <w:bookmarkStart w:id="1482" w:name="_Toc482188640"/>
      <w:bookmarkStart w:id="1483" w:name="_Toc526786497"/>
      <w:bookmarkStart w:id="1484" w:name="_Toc511557113"/>
      <w:r>
        <w:rPr>
          <w:rFonts w:ascii="黑体" w:hAnsi="黑体" w:eastAsia="黑体" w:cs="Times New Roman"/>
          <w:b w:val="0"/>
          <w:color w:val="auto"/>
          <w:kern w:val="2"/>
          <w:sz w:val="24"/>
          <w:szCs w:val="24"/>
          <w:highlight w:val="none"/>
          <w:lang w:val="en-US" w:eastAsia="zh-CN" w:bidi="ar-SA"/>
        </w:rPr>
        <w:t>四、委托人财产清单</w:t>
      </w:r>
      <w:bookmarkEnd w:id="1480"/>
      <w:bookmarkEnd w:id="1481"/>
      <w:bookmarkEnd w:id="1482"/>
      <w:bookmarkEnd w:id="1483"/>
      <w:bookmarkEnd w:id="1484"/>
    </w:p>
    <w:p w14:paraId="4A6DB6CF">
      <w:pPr>
        <w:keepNext w:val="0"/>
        <w:keepLines w:val="0"/>
        <w:widowControl w:val="0"/>
        <w:spacing w:line="360" w:lineRule="auto"/>
        <w:ind w:firstLine="117" w:firstLineChars="49"/>
        <w:jc w:val="both"/>
        <w:outlineLvl w:val="2"/>
        <w:rPr>
          <w:rFonts w:ascii="宋体" w:hAnsi="宋体" w:eastAsia="宋体" w:cs="Times New Roman"/>
          <w:color w:val="auto"/>
          <w:kern w:val="2"/>
          <w:sz w:val="24"/>
          <w:szCs w:val="24"/>
          <w:highlight w:val="none"/>
          <w:lang w:val="en-US" w:eastAsia="zh-CN" w:bidi="ar-SA"/>
        </w:rPr>
      </w:pPr>
      <w:bookmarkStart w:id="1485" w:name="_Toc482188641"/>
      <w:bookmarkStart w:id="1486" w:name="_Toc27514"/>
      <w:bookmarkStart w:id="1487" w:name="_Toc526786498"/>
      <w:bookmarkStart w:id="1488" w:name="_Toc27392"/>
      <w:bookmarkStart w:id="1489" w:name="_Toc511557114"/>
      <w:r>
        <w:rPr>
          <w:rFonts w:ascii="宋体" w:hAnsi="宋体" w:eastAsia="宋体" w:cs="Times New Roman"/>
          <w:color w:val="auto"/>
          <w:kern w:val="2"/>
          <w:sz w:val="24"/>
          <w:szCs w:val="24"/>
          <w:highlight w:val="none"/>
          <w:lang w:val="en-US" w:eastAsia="zh-CN" w:bidi="ar-SA"/>
        </w:rPr>
        <w:t>（一）委托人提供的设备、设施</w:t>
      </w:r>
      <w:bookmarkEnd w:id="1485"/>
      <w:bookmarkEnd w:id="1486"/>
      <w:bookmarkEnd w:id="1487"/>
      <w:bookmarkEnd w:id="1488"/>
      <w:bookmarkEnd w:id="1489"/>
    </w:p>
    <w:p w14:paraId="1B35BA0F">
      <w:pPr>
        <w:spacing w:line="360" w:lineRule="auto"/>
        <w:ind w:firstLine="420" w:firstLineChars="200"/>
        <w:rPr>
          <w:rFonts w:ascii="宋体" w:hAnsi="宋体" w:eastAsia="宋体" w:cs="Times New Roman"/>
          <w:color w:val="auto"/>
          <w:szCs w:val="21"/>
          <w:highlight w:val="none"/>
          <w:u w:val="single"/>
        </w:rPr>
      </w:pPr>
      <w:r>
        <w:rPr>
          <w:rFonts w:ascii="宋体" w:hAnsi="宋体" w:eastAsia="宋体" w:cs="Times New Roman"/>
          <w:color w:val="auto"/>
          <w:szCs w:val="21"/>
          <w:highlight w:val="none"/>
        </w:rPr>
        <w:t>1. 委托人提供的办公房屋及冷暖设施：</w:t>
      </w:r>
      <w:r>
        <w:rPr>
          <w:rFonts w:hint="eastAsia" w:ascii="宋体" w:hAnsi="宋体" w:eastAsia="宋体" w:cs="Times New Roman"/>
          <w:color w:val="auto"/>
          <w:szCs w:val="21"/>
          <w:highlight w:val="none"/>
          <w:u w:val="single"/>
        </w:rPr>
        <w:t>无；</w:t>
      </w:r>
    </w:p>
    <w:p w14:paraId="68A851A8">
      <w:pPr>
        <w:spacing w:line="360" w:lineRule="auto"/>
        <w:ind w:firstLine="420" w:firstLineChars="200"/>
        <w:rPr>
          <w:rFonts w:ascii="宋体" w:hAnsi="宋体" w:eastAsia="宋体" w:cs="Times New Roman"/>
          <w:color w:val="auto"/>
          <w:szCs w:val="21"/>
          <w:highlight w:val="none"/>
          <w:u w:val="single"/>
        </w:rPr>
      </w:pPr>
      <w:r>
        <w:rPr>
          <w:rFonts w:ascii="宋体" w:hAnsi="宋体" w:eastAsia="宋体" w:cs="Times New Roman"/>
          <w:color w:val="auto"/>
          <w:szCs w:val="21"/>
          <w:highlight w:val="none"/>
        </w:rPr>
        <w:t>2. 委托人提供的设备清单：</w:t>
      </w:r>
      <w:r>
        <w:rPr>
          <w:rFonts w:hint="eastAsia" w:ascii="宋体" w:hAnsi="宋体" w:eastAsia="宋体" w:cs="Times New Roman"/>
          <w:color w:val="auto"/>
          <w:szCs w:val="21"/>
          <w:highlight w:val="none"/>
          <w:u w:val="single"/>
        </w:rPr>
        <w:t>无；</w:t>
      </w:r>
    </w:p>
    <w:p w14:paraId="4AC2C9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rPr>
        <w:t>3. 委托人提供的设施清单：</w:t>
      </w:r>
      <w:r>
        <w:rPr>
          <w:rFonts w:hint="eastAsia" w:ascii="宋体" w:hAnsi="宋体" w:eastAsia="宋体" w:cs="Times New Roman"/>
          <w:color w:val="auto"/>
          <w:szCs w:val="21"/>
          <w:highlight w:val="none"/>
          <w:u w:val="single"/>
        </w:rPr>
        <w:t>无；</w:t>
      </w:r>
    </w:p>
    <w:p w14:paraId="1AA771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color w:val="auto"/>
          <w:szCs w:val="21"/>
          <w:highlight w:val="none"/>
        </w:rPr>
      </w:pPr>
    </w:p>
    <w:p w14:paraId="4C3955B6">
      <w:pPr>
        <w:keepNext w:val="0"/>
        <w:keepLines w:val="0"/>
        <w:pageBreakBefore w:val="0"/>
        <w:widowControl w:val="0"/>
        <w:kinsoku/>
        <w:wordWrap/>
        <w:overflowPunct/>
        <w:topLinePunct w:val="0"/>
        <w:autoSpaceDE/>
        <w:autoSpaceDN/>
        <w:bidi w:val="0"/>
        <w:adjustRightInd/>
        <w:snapToGrid/>
        <w:spacing w:line="400" w:lineRule="exact"/>
        <w:ind w:firstLine="40" w:firstLineChars="17"/>
        <w:jc w:val="both"/>
        <w:textAlignment w:val="auto"/>
        <w:outlineLvl w:val="2"/>
        <w:rPr>
          <w:rFonts w:ascii="宋体" w:hAnsi="宋体" w:eastAsia="宋体" w:cs="Times New Roman"/>
          <w:color w:val="auto"/>
          <w:kern w:val="2"/>
          <w:sz w:val="24"/>
          <w:szCs w:val="24"/>
          <w:highlight w:val="none"/>
          <w:lang w:val="en-US" w:eastAsia="zh-CN" w:bidi="ar-SA"/>
        </w:rPr>
      </w:pPr>
      <w:bookmarkStart w:id="1490" w:name="_Toc219"/>
      <w:bookmarkStart w:id="1491" w:name="_Toc526786499"/>
      <w:bookmarkStart w:id="1492" w:name="_Toc482188642"/>
      <w:bookmarkStart w:id="1493" w:name="_Toc19948"/>
      <w:bookmarkStart w:id="1494" w:name="_Toc511557115"/>
      <w:r>
        <w:rPr>
          <w:rFonts w:ascii="宋体" w:hAnsi="宋体" w:eastAsia="宋体" w:cs="Times New Roman"/>
          <w:color w:val="auto"/>
          <w:kern w:val="2"/>
          <w:sz w:val="24"/>
          <w:szCs w:val="24"/>
          <w:highlight w:val="none"/>
          <w:lang w:val="en-US" w:eastAsia="zh-CN" w:bidi="ar-SA"/>
        </w:rPr>
        <w:t>（二）委托人提供的资料</w:t>
      </w:r>
      <w:bookmarkEnd w:id="1490"/>
      <w:bookmarkEnd w:id="1491"/>
      <w:bookmarkEnd w:id="1492"/>
      <w:bookmarkEnd w:id="1493"/>
      <w:bookmarkEnd w:id="1494"/>
    </w:p>
    <w:p w14:paraId="4E8AFC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29E344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 定位放线的基准点、基准线和基准标高</w:t>
      </w:r>
    </w:p>
    <w:p w14:paraId="2E5202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3. 委托人取得的有关审批、核准和备案材料</w:t>
      </w:r>
    </w:p>
    <w:p w14:paraId="68833C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4. 勘察文件、设计文件等资料</w:t>
      </w:r>
    </w:p>
    <w:p w14:paraId="341601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5. 技术标准、规范</w:t>
      </w:r>
    </w:p>
    <w:p w14:paraId="32E7B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6. 工程承包合同及其他相关合同</w:t>
      </w:r>
    </w:p>
    <w:p w14:paraId="0894F6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7. 其他资料</w:t>
      </w:r>
    </w:p>
    <w:p w14:paraId="676F0A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bookmarkStart w:id="1495" w:name="_Toc482188643"/>
      <w:r>
        <w:rPr>
          <w:rFonts w:ascii="宋体" w:hAnsi="宋体" w:eastAsia="宋体" w:cs="Times New Roman"/>
          <w:color w:val="auto"/>
          <w:szCs w:val="21"/>
          <w:highlight w:val="none"/>
        </w:rPr>
        <w:t>……</w:t>
      </w:r>
    </w:p>
    <w:p w14:paraId="0ABE6725">
      <w:pPr>
        <w:keepNext w:val="0"/>
        <w:keepLines w:val="0"/>
        <w:pageBreakBefore w:val="0"/>
        <w:widowControl w:val="0"/>
        <w:kinsoku/>
        <w:wordWrap/>
        <w:overflowPunct/>
        <w:topLinePunct w:val="0"/>
        <w:autoSpaceDE/>
        <w:autoSpaceDN/>
        <w:bidi w:val="0"/>
        <w:adjustRightInd/>
        <w:snapToGrid/>
        <w:spacing w:line="400" w:lineRule="exact"/>
        <w:ind w:firstLine="117" w:firstLineChars="49"/>
        <w:jc w:val="both"/>
        <w:textAlignment w:val="auto"/>
        <w:outlineLvl w:val="2"/>
        <w:rPr>
          <w:rFonts w:ascii="宋体" w:hAnsi="宋体" w:eastAsia="宋体" w:cs="Times New Roman"/>
          <w:color w:val="auto"/>
          <w:kern w:val="2"/>
          <w:sz w:val="24"/>
          <w:szCs w:val="24"/>
          <w:highlight w:val="none"/>
          <w:lang w:val="en-US" w:eastAsia="zh-CN" w:bidi="ar-SA"/>
        </w:rPr>
      </w:pPr>
      <w:bookmarkStart w:id="1496" w:name="_Toc4536"/>
      <w:bookmarkStart w:id="1497" w:name="_Toc511557116"/>
      <w:bookmarkStart w:id="1498" w:name="_Toc19686"/>
      <w:bookmarkStart w:id="1499" w:name="_Toc526786500"/>
      <w:r>
        <w:rPr>
          <w:rFonts w:ascii="宋体" w:hAnsi="宋体" w:eastAsia="宋体" w:cs="Times New Roman"/>
          <w:color w:val="auto"/>
          <w:kern w:val="2"/>
          <w:sz w:val="24"/>
          <w:szCs w:val="24"/>
          <w:highlight w:val="none"/>
          <w:lang w:val="en-US" w:eastAsia="zh-CN" w:bidi="ar-SA"/>
        </w:rPr>
        <w:t>（三）委托人财产使用要求及退还要求</w:t>
      </w:r>
      <w:bookmarkEnd w:id="1495"/>
      <w:bookmarkEnd w:id="1496"/>
      <w:bookmarkEnd w:id="1497"/>
      <w:bookmarkEnd w:id="1498"/>
      <w:bookmarkEnd w:id="1499"/>
    </w:p>
    <w:p w14:paraId="15003A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1. 委托人财产使用要求</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监理人对委托人财产保存完好，避免有损坏或丢失等情况发生；</w:t>
      </w:r>
    </w:p>
    <w:p w14:paraId="6EB67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 委托人财产退还要求</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工程完工后监理人将委托人财产全数完好地退还给委托人。</w:t>
      </w:r>
    </w:p>
    <w:p w14:paraId="6D3D0F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bookmarkStart w:id="1500" w:name="_Toc482188644"/>
      <w:r>
        <w:rPr>
          <w:rFonts w:ascii="宋体" w:hAnsi="宋体" w:eastAsia="宋体" w:cs="Times New Roman"/>
          <w:color w:val="auto"/>
          <w:szCs w:val="21"/>
          <w:highlight w:val="none"/>
        </w:rPr>
        <w:t>……</w:t>
      </w:r>
    </w:p>
    <w:p w14:paraId="5E217532">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ascii="黑体" w:hAnsi="黑体" w:eastAsia="黑体" w:cs="Times New Roman"/>
          <w:b w:val="0"/>
          <w:color w:val="auto"/>
          <w:kern w:val="2"/>
          <w:sz w:val="24"/>
          <w:szCs w:val="24"/>
          <w:highlight w:val="none"/>
          <w:lang w:val="en-US" w:eastAsia="zh-CN" w:bidi="ar-SA"/>
        </w:rPr>
      </w:pPr>
      <w:bookmarkStart w:id="1501" w:name="_Toc526786501"/>
      <w:bookmarkStart w:id="1502" w:name="_Toc511557117"/>
      <w:bookmarkStart w:id="1503" w:name="_Toc12652"/>
      <w:bookmarkStart w:id="1504" w:name="_Toc22995"/>
      <w:r>
        <w:rPr>
          <w:rFonts w:ascii="黑体" w:hAnsi="黑体" w:eastAsia="黑体" w:cs="Times New Roman"/>
          <w:b w:val="0"/>
          <w:color w:val="auto"/>
          <w:kern w:val="2"/>
          <w:sz w:val="24"/>
          <w:szCs w:val="24"/>
          <w:highlight w:val="none"/>
          <w:lang w:val="en-US" w:eastAsia="zh-CN" w:bidi="ar-SA"/>
        </w:rPr>
        <w:t>五、委托人提供的便利条件</w:t>
      </w:r>
      <w:bookmarkEnd w:id="1500"/>
      <w:bookmarkEnd w:id="1501"/>
      <w:bookmarkEnd w:id="1502"/>
      <w:bookmarkEnd w:id="1503"/>
      <w:bookmarkEnd w:id="1504"/>
    </w:p>
    <w:p w14:paraId="6A170F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1. 委托人提供的生活条件</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无；</w:t>
      </w:r>
    </w:p>
    <w:p w14:paraId="369A23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 委托人提供的交通条件</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无</w:t>
      </w:r>
    </w:p>
    <w:p w14:paraId="046BF9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3. 委托人提供的网络、通讯条件</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无</w:t>
      </w:r>
    </w:p>
    <w:p w14:paraId="7F0FE8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u w:val="single"/>
        </w:rPr>
      </w:pPr>
      <w:r>
        <w:rPr>
          <w:rFonts w:ascii="宋体" w:hAnsi="宋体" w:eastAsia="宋体" w:cs="Times New Roman"/>
          <w:color w:val="auto"/>
          <w:szCs w:val="21"/>
          <w:highlight w:val="none"/>
        </w:rPr>
        <w:t>4. 委托人提供的协助人员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无</w:t>
      </w:r>
      <w:bookmarkStart w:id="1505" w:name="_Toc482188645"/>
    </w:p>
    <w:p w14:paraId="21A284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w:t>
      </w:r>
    </w:p>
    <w:p w14:paraId="407A0E6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ascii="黑体" w:hAnsi="黑体" w:eastAsia="黑体" w:cs="Times New Roman"/>
          <w:b w:val="0"/>
          <w:color w:val="auto"/>
          <w:kern w:val="2"/>
          <w:sz w:val="24"/>
          <w:szCs w:val="24"/>
          <w:highlight w:val="none"/>
          <w:lang w:val="en-US" w:eastAsia="zh-CN" w:bidi="ar-SA"/>
        </w:rPr>
      </w:pPr>
      <w:bookmarkStart w:id="1506" w:name="_Toc5482"/>
      <w:bookmarkStart w:id="1507" w:name="_Toc2143"/>
      <w:bookmarkStart w:id="1508" w:name="_Toc526786502"/>
      <w:bookmarkStart w:id="1509" w:name="_Toc511557118"/>
      <w:r>
        <w:rPr>
          <w:rFonts w:ascii="黑体" w:hAnsi="黑体" w:eastAsia="黑体" w:cs="Times New Roman"/>
          <w:b w:val="0"/>
          <w:color w:val="auto"/>
          <w:kern w:val="2"/>
          <w:sz w:val="24"/>
          <w:szCs w:val="24"/>
          <w:highlight w:val="none"/>
          <w:lang w:val="en-US" w:eastAsia="zh-CN" w:bidi="ar-SA"/>
        </w:rPr>
        <w:t>六、监理人需要自备的工作条件</w:t>
      </w:r>
      <w:bookmarkEnd w:id="1505"/>
      <w:bookmarkEnd w:id="1506"/>
      <w:bookmarkEnd w:id="1507"/>
      <w:bookmarkEnd w:id="1508"/>
      <w:bookmarkEnd w:id="1509"/>
    </w:p>
    <w:p w14:paraId="074DC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1. 监理人自备的工作手册：</w:t>
      </w:r>
      <w:r>
        <w:rPr>
          <w:rFonts w:hint="eastAsia" w:ascii="宋体" w:hAnsi="宋体" w:eastAsia="宋体" w:cs="Times New Roman"/>
          <w:color w:val="auto"/>
          <w:szCs w:val="21"/>
          <w:highlight w:val="none"/>
          <w:u w:val="single"/>
        </w:rPr>
        <w:t>本项目必备的规范标准、图集等。</w:t>
      </w:r>
    </w:p>
    <w:p w14:paraId="2B15A7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 监理人自备的办公设备：</w:t>
      </w:r>
      <w:r>
        <w:rPr>
          <w:rFonts w:hint="eastAsia" w:ascii="宋体" w:hAnsi="宋体" w:eastAsia="宋体" w:cs="Times New Roman"/>
          <w:color w:val="auto"/>
          <w:szCs w:val="21"/>
          <w:highlight w:val="none"/>
          <w:u w:val="single"/>
        </w:rPr>
        <w:t>电脑、软件、投影、打印机、复印机、照相机等。</w:t>
      </w:r>
    </w:p>
    <w:p w14:paraId="29F715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3. 监理人自备的交通工具：</w:t>
      </w:r>
      <w:r>
        <w:rPr>
          <w:rFonts w:hint="eastAsia" w:ascii="宋体" w:hAnsi="宋体" w:eastAsia="宋体" w:cs="Times New Roman"/>
          <w:color w:val="auto"/>
          <w:szCs w:val="21"/>
          <w:highlight w:val="none"/>
          <w:u w:val="single"/>
        </w:rPr>
        <w:t>出行车辆等。</w:t>
      </w:r>
    </w:p>
    <w:p w14:paraId="107C97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4. 监理人自备的现场办公设施：</w:t>
      </w:r>
      <w:r>
        <w:rPr>
          <w:rFonts w:hint="eastAsia" w:ascii="宋体" w:hAnsi="宋体" w:eastAsia="宋体" w:cs="Times New Roman"/>
          <w:color w:val="auto"/>
          <w:szCs w:val="21"/>
          <w:highlight w:val="none"/>
          <w:u w:val="single"/>
        </w:rPr>
        <w:t>与本项目监理人员规模相匹配的办公用房、办公桌椅、文件柜等。</w:t>
      </w:r>
    </w:p>
    <w:p w14:paraId="54D27C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5. 监理人自备的安全设施：</w:t>
      </w:r>
      <w:r>
        <w:rPr>
          <w:rFonts w:hint="eastAsia" w:ascii="宋体" w:hAnsi="宋体" w:eastAsia="宋体" w:cs="Times New Roman"/>
          <w:color w:val="auto"/>
          <w:szCs w:val="21"/>
          <w:highlight w:val="none"/>
          <w:u w:val="single"/>
        </w:rPr>
        <w:t>安全帽、安全鞋、手电筒等。</w:t>
      </w:r>
    </w:p>
    <w:p w14:paraId="692EA5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6. 监理人自备的试验检测仪器、设备、工具</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满足本项目监理服务要求。</w:t>
      </w:r>
    </w:p>
    <w:p w14:paraId="2D8542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7. 监理人自备的试验用房、样品用房</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监理人根据现场实际情况自行准备。</w:t>
      </w:r>
    </w:p>
    <w:p w14:paraId="2C2B6B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bookmarkStart w:id="1510" w:name="_Toc482188646"/>
      <w:r>
        <w:rPr>
          <w:rFonts w:ascii="宋体" w:hAnsi="宋体" w:eastAsia="宋体" w:cs="Times New Roman"/>
          <w:color w:val="auto"/>
          <w:szCs w:val="21"/>
          <w:highlight w:val="none"/>
        </w:rPr>
        <w:t>……</w:t>
      </w:r>
    </w:p>
    <w:p w14:paraId="613B037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ascii="黑体" w:hAnsi="黑体" w:eastAsia="黑体" w:cs="Times New Roman"/>
          <w:b w:val="0"/>
          <w:color w:val="auto"/>
          <w:kern w:val="2"/>
          <w:sz w:val="24"/>
          <w:szCs w:val="24"/>
          <w:highlight w:val="none"/>
          <w:lang w:val="en-US" w:eastAsia="zh-CN" w:bidi="ar-SA"/>
        </w:rPr>
      </w:pPr>
      <w:bookmarkStart w:id="1511" w:name="_Toc17236"/>
      <w:bookmarkStart w:id="1512" w:name="_Toc511557119"/>
      <w:bookmarkStart w:id="1513" w:name="_Toc21228"/>
      <w:bookmarkStart w:id="1514" w:name="_Toc526786503"/>
      <w:r>
        <w:rPr>
          <w:rFonts w:ascii="黑体" w:hAnsi="黑体" w:eastAsia="黑体" w:cs="Times New Roman"/>
          <w:b w:val="0"/>
          <w:color w:val="auto"/>
          <w:kern w:val="2"/>
          <w:sz w:val="24"/>
          <w:szCs w:val="24"/>
          <w:highlight w:val="none"/>
          <w:lang w:val="en-US" w:eastAsia="zh-CN" w:bidi="ar-SA"/>
        </w:rPr>
        <w:t>七、委托人的其他要求</w:t>
      </w:r>
      <w:bookmarkEnd w:id="1510"/>
      <w:bookmarkEnd w:id="1511"/>
      <w:bookmarkEnd w:id="1512"/>
      <w:bookmarkEnd w:id="1513"/>
      <w:bookmarkEnd w:id="1514"/>
    </w:p>
    <w:p w14:paraId="40BEE5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委托人的其他要求</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其他要求详见监理合同。</w:t>
      </w:r>
    </w:p>
    <w:p w14:paraId="183FE8D4">
      <w:pPr>
        <w:pStyle w:val="69"/>
        <w:kinsoku w:val="0"/>
        <w:overflowPunct w:val="0"/>
        <w:spacing w:beforeLines="0" w:afterLines="0" w:line="360" w:lineRule="auto"/>
        <w:ind w:right="3177"/>
        <w:jc w:val="center"/>
        <w:rPr>
          <w:rFonts w:hint="eastAsia"/>
          <w:color w:val="auto"/>
          <w:sz w:val="44"/>
          <w:highlight w:val="none"/>
        </w:rPr>
      </w:pPr>
      <w:r>
        <w:rPr>
          <w:rStyle w:val="44"/>
          <w:rFonts w:hint="eastAsia"/>
          <w:color w:val="auto"/>
          <w:highlight w:val="none"/>
          <w:lang w:val="en-US"/>
        </w:rPr>
        <w:t xml:space="preserve">        </w:t>
      </w:r>
      <w:bookmarkEnd w:id="1443"/>
      <w:bookmarkEnd w:id="1444"/>
      <w:bookmarkEnd w:id="1445"/>
      <w:bookmarkEnd w:id="1446"/>
      <w:bookmarkEnd w:id="1447"/>
      <w:bookmarkEnd w:id="1448"/>
      <w:bookmarkEnd w:id="1449"/>
      <w:bookmarkEnd w:id="1450"/>
      <w:bookmarkEnd w:id="1451"/>
    </w:p>
    <w:p w14:paraId="55DFA9BB">
      <w:pPr>
        <w:pStyle w:val="69"/>
        <w:kinsoku w:val="0"/>
        <w:overflowPunct w:val="0"/>
        <w:spacing w:beforeLines="0" w:afterLines="0" w:line="360" w:lineRule="auto"/>
        <w:ind w:left="3177" w:right="3177"/>
        <w:jc w:val="center"/>
        <w:outlineLvl w:val="9"/>
        <w:rPr>
          <w:rFonts w:hint="eastAsia"/>
          <w:color w:val="auto"/>
          <w:sz w:val="44"/>
          <w:highlight w:val="none"/>
        </w:rPr>
        <w:sectPr>
          <w:pgSz w:w="11850" w:h="16840"/>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1DF4DB30">
      <w:pPr>
        <w:pStyle w:val="4"/>
        <w:bidi w:val="0"/>
        <w:spacing w:line="360" w:lineRule="auto"/>
        <w:jc w:val="center"/>
        <w:outlineLvl w:val="0"/>
        <w:rPr>
          <w:rFonts w:hint="eastAsia"/>
          <w:color w:val="auto"/>
          <w:highlight w:val="none"/>
        </w:rPr>
      </w:pPr>
      <w:bookmarkStart w:id="1515" w:name="_Toc18073"/>
      <w:bookmarkStart w:id="1516" w:name="_Toc4008"/>
      <w:bookmarkStart w:id="1517" w:name="_Toc852"/>
      <w:bookmarkStart w:id="1518" w:name="_Toc14309"/>
      <w:bookmarkStart w:id="1519" w:name="_Toc1211"/>
      <w:bookmarkStart w:id="1520" w:name="_Toc26115"/>
      <w:bookmarkStart w:id="1521" w:name="_Toc4945"/>
      <w:bookmarkStart w:id="1522" w:name="_Toc1878"/>
      <w:bookmarkStart w:id="1523" w:name="_Toc5108"/>
      <w:bookmarkStart w:id="1524" w:name="_Toc19946"/>
      <w:r>
        <w:rPr>
          <w:rFonts w:hint="eastAsia" w:ascii="宋体" w:hAnsi="宋体" w:eastAsia="宋体" w:cs="宋体"/>
          <w:color w:val="auto"/>
          <w:sz w:val="36"/>
          <w:szCs w:val="36"/>
          <w:highlight w:val="none"/>
        </w:rPr>
        <w:t>第六章 投标文件格式</w:t>
      </w:r>
      <w:bookmarkEnd w:id="1515"/>
      <w:bookmarkEnd w:id="1516"/>
      <w:bookmarkEnd w:id="1517"/>
      <w:bookmarkEnd w:id="1518"/>
      <w:bookmarkEnd w:id="1519"/>
      <w:bookmarkEnd w:id="1520"/>
      <w:bookmarkEnd w:id="1521"/>
      <w:bookmarkEnd w:id="1522"/>
      <w:bookmarkEnd w:id="1523"/>
      <w:bookmarkEnd w:id="1524"/>
    </w:p>
    <w:p w14:paraId="01B7DBAF">
      <w:pPr>
        <w:pStyle w:val="15"/>
        <w:spacing w:line="360" w:lineRule="auto"/>
        <w:jc w:val="center"/>
        <w:rPr>
          <w:rFonts w:hint="eastAsia" w:ascii="宋体" w:hAnsi="宋体" w:eastAsia="宋体"/>
          <w:color w:val="auto"/>
          <w:sz w:val="22"/>
          <w:szCs w:val="11"/>
          <w:highlight w:val="none"/>
          <w:lang w:eastAsia="zh-CN"/>
        </w:rPr>
      </w:pPr>
      <w:r>
        <w:rPr>
          <w:rFonts w:hint="eastAsia" w:ascii="宋体" w:hAnsi="宋体"/>
          <w:color w:val="auto"/>
          <w:sz w:val="22"/>
          <w:szCs w:val="11"/>
          <w:highlight w:val="none"/>
        </w:rPr>
        <w:t>(由招标人结合项目实际情况</w:t>
      </w:r>
      <w:r>
        <w:rPr>
          <w:rFonts w:hint="eastAsia" w:ascii="宋体" w:hAnsi="宋体"/>
          <w:color w:val="auto"/>
          <w:sz w:val="22"/>
          <w:szCs w:val="11"/>
          <w:highlight w:val="none"/>
          <w:lang w:eastAsia="zh-CN"/>
        </w:rPr>
        <w:t>进行编写，以下格式供参考）</w:t>
      </w:r>
    </w:p>
    <w:p w14:paraId="5CB7723A">
      <w:pPr>
        <w:spacing w:line="360" w:lineRule="auto"/>
        <w:jc w:val="center"/>
        <w:rPr>
          <w:rFonts w:ascii="宋体" w:hAnsi="宋体" w:cs="宋体"/>
          <w:b w:val="0"/>
          <w:bCs w:val="0"/>
          <w:color w:val="auto"/>
          <w:sz w:val="36"/>
          <w:szCs w:val="36"/>
          <w:highlight w:val="none"/>
          <w:u w:val="none"/>
        </w:rPr>
      </w:pPr>
      <w:r>
        <w:rPr>
          <w:rFonts w:hint="eastAsia" w:ascii="宋体" w:hAnsi="宋体" w:cs="宋体"/>
          <w:b/>
          <w:bCs/>
          <w:color w:val="auto"/>
          <w:sz w:val="36"/>
          <w:szCs w:val="36"/>
          <w:highlight w:val="none"/>
          <w:u w:val="single"/>
        </w:rPr>
        <w:br w:type="page"/>
      </w:r>
      <w:r>
        <w:rPr>
          <w:rFonts w:hint="eastAsia" w:ascii="宋体" w:hAnsi="宋体" w:cs="宋体"/>
          <w:b w:val="0"/>
          <w:bCs w:val="0"/>
          <w:color w:val="auto"/>
          <w:sz w:val="36"/>
          <w:szCs w:val="36"/>
          <w:highlight w:val="none"/>
          <w:u w:val="none"/>
          <w:lang w:eastAsia="zh-CN"/>
        </w:rPr>
        <w:t>元岗北路建设工程监理</w:t>
      </w:r>
      <w:r>
        <w:rPr>
          <w:rFonts w:hint="eastAsia" w:ascii="宋体" w:hAnsi="宋体" w:cs="宋体"/>
          <w:b w:val="0"/>
          <w:bCs w:val="0"/>
          <w:color w:val="auto"/>
          <w:sz w:val="36"/>
          <w:szCs w:val="36"/>
          <w:highlight w:val="none"/>
          <w:u w:val="none"/>
        </w:rPr>
        <w:t xml:space="preserve">  </w:t>
      </w:r>
    </w:p>
    <w:p w14:paraId="06BA87B2">
      <w:pPr>
        <w:spacing w:line="360" w:lineRule="auto"/>
        <w:rPr>
          <w:rFonts w:ascii="宋体" w:hAnsi="宋体" w:cs="宋体"/>
          <w:b w:val="0"/>
          <w:bCs w:val="0"/>
          <w:color w:val="auto"/>
          <w:sz w:val="20"/>
          <w:highlight w:val="none"/>
        </w:rPr>
      </w:pPr>
    </w:p>
    <w:p w14:paraId="23DC98B4">
      <w:pPr>
        <w:spacing w:line="360" w:lineRule="auto"/>
        <w:rPr>
          <w:rFonts w:ascii="宋体" w:hAnsi="宋体" w:cs="宋体"/>
          <w:b w:val="0"/>
          <w:bCs w:val="0"/>
          <w:color w:val="auto"/>
          <w:sz w:val="20"/>
          <w:highlight w:val="none"/>
        </w:rPr>
      </w:pPr>
    </w:p>
    <w:p w14:paraId="2E548A9A">
      <w:pPr>
        <w:spacing w:line="360" w:lineRule="auto"/>
        <w:jc w:val="center"/>
        <w:rPr>
          <w:rFonts w:ascii="宋体" w:hAnsi="宋体" w:cs="宋体"/>
          <w:b w:val="0"/>
          <w:bCs w:val="0"/>
          <w:color w:val="auto"/>
          <w:sz w:val="44"/>
          <w:highlight w:val="none"/>
        </w:rPr>
      </w:pPr>
    </w:p>
    <w:p w14:paraId="4C64702B">
      <w:pPr>
        <w:spacing w:line="360" w:lineRule="auto"/>
        <w:jc w:val="center"/>
        <w:rPr>
          <w:rFonts w:ascii="宋体" w:hAnsi="宋体" w:cs="宋体"/>
          <w:b w:val="0"/>
          <w:bCs w:val="0"/>
          <w:color w:val="auto"/>
          <w:sz w:val="44"/>
          <w:highlight w:val="none"/>
        </w:rPr>
      </w:pPr>
    </w:p>
    <w:p w14:paraId="58D4A367">
      <w:pPr>
        <w:spacing w:line="360" w:lineRule="auto"/>
        <w:jc w:val="center"/>
        <w:rPr>
          <w:rFonts w:ascii="宋体" w:hAnsi="宋体" w:cs="宋体"/>
          <w:b w:val="0"/>
          <w:bCs w:val="0"/>
          <w:color w:val="auto"/>
          <w:sz w:val="44"/>
          <w:highlight w:val="none"/>
        </w:rPr>
      </w:pPr>
    </w:p>
    <w:p w14:paraId="3289C823">
      <w:pPr>
        <w:spacing w:line="360" w:lineRule="auto"/>
        <w:jc w:val="center"/>
        <w:rPr>
          <w:rFonts w:ascii="宋体" w:hAnsi="宋体" w:cs="宋体"/>
          <w:b w:val="0"/>
          <w:bCs w:val="0"/>
          <w:color w:val="auto"/>
          <w:sz w:val="44"/>
          <w:highlight w:val="none"/>
        </w:rPr>
      </w:pPr>
    </w:p>
    <w:p w14:paraId="11A7AE16">
      <w:pPr>
        <w:spacing w:line="360" w:lineRule="auto"/>
        <w:jc w:val="center"/>
        <w:rPr>
          <w:rFonts w:ascii="宋体" w:hAnsi="宋体" w:cs="宋体"/>
          <w:b w:val="0"/>
          <w:bCs w:val="0"/>
          <w:color w:val="auto"/>
          <w:sz w:val="84"/>
          <w:szCs w:val="84"/>
          <w:highlight w:val="none"/>
        </w:rPr>
      </w:pPr>
      <w:r>
        <w:rPr>
          <w:rFonts w:hint="eastAsia" w:ascii="宋体" w:hAnsi="宋体" w:cs="宋体"/>
          <w:b w:val="0"/>
          <w:bCs w:val="0"/>
          <w:color w:val="auto"/>
          <w:sz w:val="72"/>
          <w:szCs w:val="72"/>
          <w:highlight w:val="none"/>
        </w:rPr>
        <w:t>投标文件</w:t>
      </w:r>
    </w:p>
    <w:p w14:paraId="1756F82A">
      <w:pPr>
        <w:spacing w:line="360" w:lineRule="auto"/>
        <w:jc w:val="center"/>
        <w:rPr>
          <w:rFonts w:ascii="宋体" w:hAnsi="宋体" w:cs="宋体"/>
          <w:b w:val="0"/>
          <w:bCs w:val="0"/>
          <w:color w:val="auto"/>
          <w:sz w:val="44"/>
          <w:highlight w:val="none"/>
        </w:rPr>
      </w:pPr>
    </w:p>
    <w:p w14:paraId="7EDEFCD2">
      <w:pPr>
        <w:spacing w:line="360" w:lineRule="auto"/>
        <w:rPr>
          <w:rFonts w:ascii="宋体" w:hAnsi="宋体" w:cs="宋体"/>
          <w:b w:val="0"/>
          <w:bCs w:val="0"/>
          <w:color w:val="auto"/>
          <w:sz w:val="28"/>
          <w:highlight w:val="none"/>
        </w:rPr>
      </w:pPr>
    </w:p>
    <w:p w14:paraId="380342A9">
      <w:pPr>
        <w:spacing w:line="360" w:lineRule="auto"/>
        <w:rPr>
          <w:rFonts w:ascii="宋体" w:hAnsi="宋体" w:cs="宋体"/>
          <w:b w:val="0"/>
          <w:bCs w:val="0"/>
          <w:color w:val="auto"/>
          <w:sz w:val="28"/>
          <w:highlight w:val="none"/>
        </w:rPr>
      </w:pPr>
    </w:p>
    <w:p w14:paraId="0BC940D1">
      <w:pPr>
        <w:spacing w:line="360" w:lineRule="auto"/>
        <w:rPr>
          <w:rFonts w:ascii="宋体" w:hAnsi="宋体" w:cs="宋体"/>
          <w:b w:val="0"/>
          <w:bCs w:val="0"/>
          <w:color w:val="auto"/>
          <w:sz w:val="28"/>
          <w:highlight w:val="none"/>
        </w:rPr>
      </w:pPr>
    </w:p>
    <w:p w14:paraId="409E0E05">
      <w:pPr>
        <w:spacing w:line="360" w:lineRule="auto"/>
        <w:rPr>
          <w:rFonts w:ascii="宋体" w:hAnsi="宋体" w:cs="宋体"/>
          <w:b w:val="0"/>
          <w:bCs w:val="0"/>
          <w:color w:val="auto"/>
          <w:sz w:val="28"/>
          <w:highlight w:val="none"/>
        </w:rPr>
      </w:pPr>
    </w:p>
    <w:p w14:paraId="17582000">
      <w:pPr>
        <w:spacing w:line="360" w:lineRule="auto"/>
        <w:rPr>
          <w:rFonts w:ascii="宋体" w:hAnsi="宋体" w:cs="宋体"/>
          <w:b w:val="0"/>
          <w:bCs w:val="0"/>
          <w:color w:val="auto"/>
          <w:sz w:val="28"/>
          <w:highlight w:val="none"/>
        </w:rPr>
      </w:pPr>
    </w:p>
    <w:p w14:paraId="07EFFA65">
      <w:pPr>
        <w:spacing w:line="360" w:lineRule="auto"/>
        <w:rPr>
          <w:rFonts w:ascii="宋体" w:hAnsi="宋体" w:cs="宋体"/>
          <w:b w:val="0"/>
          <w:bCs w:val="0"/>
          <w:color w:val="auto"/>
          <w:sz w:val="28"/>
          <w:highlight w:val="none"/>
        </w:rPr>
      </w:pPr>
    </w:p>
    <w:p w14:paraId="029E7586">
      <w:pPr>
        <w:spacing w:line="360" w:lineRule="auto"/>
        <w:rPr>
          <w:rFonts w:ascii="宋体" w:hAnsi="宋体" w:cs="宋体"/>
          <w:b w:val="0"/>
          <w:bCs w:val="0"/>
          <w:color w:val="auto"/>
          <w:sz w:val="28"/>
          <w:highlight w:val="none"/>
        </w:rPr>
      </w:pPr>
    </w:p>
    <w:p w14:paraId="7C45DCF8">
      <w:pPr>
        <w:spacing w:line="360" w:lineRule="auto"/>
        <w:ind w:firstLine="1120" w:firstLineChars="400"/>
        <w:rPr>
          <w:rFonts w:ascii="宋体" w:hAnsi="宋体" w:cs="宋体"/>
          <w:b w:val="0"/>
          <w:bCs w:val="0"/>
          <w:color w:val="auto"/>
          <w:sz w:val="24"/>
          <w:szCs w:val="21"/>
          <w:highlight w:val="none"/>
          <w:u w:val="single"/>
        </w:rPr>
      </w:pPr>
      <w:r>
        <w:rPr>
          <w:rFonts w:hint="eastAsia" w:ascii="宋体" w:hAnsi="宋体" w:cs="宋体"/>
          <w:b w:val="0"/>
          <w:bCs w:val="0"/>
          <w:color w:val="auto"/>
          <w:sz w:val="28"/>
          <w:szCs w:val="28"/>
          <w:highlight w:val="none"/>
        </w:rPr>
        <w:t>投标人</w:t>
      </w:r>
      <w:r>
        <w:rPr>
          <w:rFonts w:hint="eastAsia" w:ascii="宋体" w:hAnsi="宋体" w:cs="宋体"/>
          <w:b w:val="0"/>
          <w:bCs w:val="0"/>
          <w:color w:val="auto"/>
          <w:sz w:val="24"/>
          <w:szCs w:val="21"/>
          <w:highlight w:val="none"/>
        </w:rPr>
        <w:t>：</w:t>
      </w:r>
      <w:r>
        <w:rPr>
          <w:rFonts w:hint="eastAsia" w:ascii="宋体" w:hAnsi="宋体" w:cs="宋体"/>
          <w:b w:val="0"/>
          <w:bCs w:val="0"/>
          <w:color w:val="auto"/>
          <w:sz w:val="24"/>
          <w:szCs w:val="21"/>
          <w:highlight w:val="none"/>
          <w:u w:val="single"/>
          <w:lang w:val="en-US" w:eastAsia="zh-CN"/>
        </w:rPr>
        <w:t xml:space="preserve">                                 </w:t>
      </w:r>
      <w:r>
        <w:rPr>
          <w:rFonts w:hint="eastAsia" w:ascii="宋体" w:hAnsi="宋体" w:cs="宋体"/>
          <w:b w:val="0"/>
          <w:bCs w:val="0"/>
          <w:color w:val="auto"/>
          <w:sz w:val="28"/>
          <w:szCs w:val="28"/>
          <w:highlight w:val="none"/>
        </w:rPr>
        <w:t>（盖单位章）</w:t>
      </w:r>
    </w:p>
    <w:p w14:paraId="4A20AC16">
      <w:pPr>
        <w:spacing w:line="360" w:lineRule="auto"/>
        <w:ind w:firstLine="1120" w:firstLineChars="400"/>
        <w:jc w:val="left"/>
        <w:rPr>
          <w:rFonts w:ascii="宋体" w:hAnsi="宋体" w:cs="宋体"/>
          <w:b w:val="0"/>
          <w:bCs w:val="0"/>
          <w:color w:val="auto"/>
          <w:sz w:val="24"/>
          <w:szCs w:val="21"/>
          <w:highlight w:val="none"/>
        </w:rPr>
      </w:pPr>
      <w:r>
        <w:rPr>
          <w:rFonts w:hint="eastAsia" w:ascii="宋体" w:hAnsi="宋体" w:cs="宋体"/>
          <w:b w:val="0"/>
          <w:bCs w:val="0"/>
          <w:color w:val="auto"/>
          <w:sz w:val="28"/>
          <w:szCs w:val="28"/>
          <w:highlight w:val="none"/>
        </w:rPr>
        <w:t>法定代表人或其委托代理人：</w:t>
      </w:r>
      <w:r>
        <w:rPr>
          <w:rFonts w:hint="eastAsia" w:ascii="宋体" w:hAnsi="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rPr>
        <w:t>（签字或盖章）</w:t>
      </w:r>
    </w:p>
    <w:p w14:paraId="37F2298B">
      <w:pPr>
        <w:spacing w:line="360" w:lineRule="auto"/>
        <w:jc w:val="center"/>
        <w:rPr>
          <w:rFonts w:ascii="宋体" w:hAnsi="宋体" w:cs="宋体"/>
          <w:b w:val="0"/>
          <w:bCs w:val="0"/>
          <w:color w:val="auto"/>
          <w:sz w:val="24"/>
          <w:szCs w:val="21"/>
          <w:highlight w:val="none"/>
        </w:rPr>
      </w:pPr>
    </w:p>
    <w:p w14:paraId="1F502833">
      <w:pPr>
        <w:spacing w:line="360" w:lineRule="auto"/>
        <w:jc w:val="center"/>
        <w:rPr>
          <w:rFonts w:ascii="宋体" w:hAnsi="宋体"/>
          <w:color w:val="auto"/>
          <w:sz w:val="24"/>
          <w:highlight w:val="none"/>
        </w:rPr>
      </w:pPr>
      <w:r>
        <w:rPr>
          <w:rFonts w:hint="eastAsia" w:ascii="宋体" w:hAnsi="宋体" w:cs="宋体"/>
          <w:b w:val="0"/>
          <w:bCs w:val="0"/>
          <w:color w:val="auto"/>
          <w:sz w:val="28"/>
          <w:szCs w:val="28"/>
          <w:highlight w:val="none"/>
        </w:rPr>
        <w:t>年   月   日</w:t>
      </w:r>
      <w:r>
        <w:rPr>
          <w:rFonts w:ascii="宋体" w:hAnsi="宋体" w:cs="宋体"/>
          <w:b w:val="0"/>
          <w:bCs w:val="0"/>
          <w:color w:val="auto"/>
          <w:highlight w:val="none"/>
        </w:rPr>
        <w:br w:type="page"/>
      </w:r>
      <w:bookmarkStart w:id="1525" w:name="_Toc369531691"/>
      <w:bookmarkStart w:id="1526" w:name="_Toc352691655"/>
      <w:bookmarkStart w:id="1527" w:name="_Toc7039"/>
    </w:p>
    <w:bookmarkEnd w:id="1525"/>
    <w:bookmarkEnd w:id="1526"/>
    <w:bookmarkEnd w:id="1527"/>
    <w:p w14:paraId="6ACA561C">
      <w:pPr>
        <w:keepNext w:val="0"/>
        <w:keepLines w:val="0"/>
        <w:spacing w:line="360" w:lineRule="auto"/>
        <w:jc w:val="center"/>
        <w:outlineLvl w:val="9"/>
        <w:rPr>
          <w:rFonts w:ascii="Times New Roman" w:hAnsi="Times New Roman"/>
          <w:b/>
          <w:bCs/>
          <w:color w:val="auto"/>
          <w:sz w:val="28"/>
          <w:szCs w:val="32"/>
          <w:highlight w:val="none"/>
        </w:rPr>
      </w:pPr>
      <w:bookmarkStart w:id="1528" w:name="_Toc31426"/>
      <w:bookmarkStart w:id="1529" w:name="_Toc8751"/>
      <w:bookmarkStart w:id="1530" w:name="_Toc17946"/>
      <w:bookmarkStart w:id="1531" w:name="_Toc24852"/>
      <w:bookmarkStart w:id="1532" w:name="_Toc59200709"/>
      <w:bookmarkStart w:id="1533" w:name="_Toc4037"/>
      <w:bookmarkStart w:id="1534" w:name="_Toc526786506"/>
      <w:bookmarkStart w:id="1535" w:name="_Toc29526"/>
      <w:bookmarkStart w:id="1536" w:name="_Toc21829"/>
      <w:bookmarkStart w:id="1537" w:name="_Toc20964"/>
      <w:bookmarkStart w:id="1538" w:name="_Toc15270"/>
      <w:bookmarkStart w:id="1539" w:name="_Toc18950"/>
      <w:r>
        <w:rPr>
          <w:rFonts w:hint="eastAsia" w:ascii="Times New Roman" w:hAnsi="Times New Roman"/>
          <w:b/>
          <w:bCs/>
          <w:color w:val="auto"/>
          <w:sz w:val="28"/>
          <w:szCs w:val="32"/>
          <w:highlight w:val="none"/>
        </w:rPr>
        <w:t>目</w:t>
      </w:r>
      <w:r>
        <w:rPr>
          <w:rFonts w:ascii="Times New Roman" w:hAnsi="Times New Roman"/>
          <w:b/>
          <w:bCs/>
          <w:color w:val="auto"/>
          <w:sz w:val="28"/>
          <w:szCs w:val="32"/>
          <w:highlight w:val="none"/>
        </w:rPr>
        <w:t xml:space="preserve"> </w:t>
      </w:r>
      <w:r>
        <w:rPr>
          <w:rFonts w:hint="eastAsia" w:ascii="Times New Roman" w:hAnsi="Times New Roman"/>
          <w:b/>
          <w:bCs/>
          <w:color w:val="auto"/>
          <w:sz w:val="28"/>
          <w:szCs w:val="32"/>
          <w:highlight w:val="none"/>
        </w:rPr>
        <w:t>录</w:t>
      </w:r>
      <w:bookmarkEnd w:id="1528"/>
      <w:bookmarkEnd w:id="1529"/>
      <w:bookmarkEnd w:id="1530"/>
      <w:bookmarkEnd w:id="1531"/>
      <w:bookmarkEnd w:id="1532"/>
      <w:bookmarkEnd w:id="1533"/>
      <w:bookmarkEnd w:id="1534"/>
      <w:bookmarkEnd w:id="1535"/>
      <w:bookmarkEnd w:id="1536"/>
      <w:bookmarkEnd w:id="1537"/>
      <w:bookmarkEnd w:id="1538"/>
      <w:bookmarkEnd w:id="1539"/>
    </w:p>
    <w:p w14:paraId="1D6194E1">
      <w:pPr>
        <w:spacing w:line="360" w:lineRule="auto"/>
        <w:rPr>
          <w:color w:val="auto"/>
          <w:sz w:val="24"/>
          <w:szCs w:val="28"/>
          <w:highlight w:val="none"/>
        </w:rPr>
      </w:pPr>
      <w:r>
        <w:rPr>
          <w:rFonts w:hint="eastAsia"/>
          <w:color w:val="auto"/>
          <w:sz w:val="24"/>
          <w:szCs w:val="28"/>
          <w:highlight w:val="none"/>
        </w:rPr>
        <w:t>一、投标函及投标函附录</w:t>
      </w:r>
    </w:p>
    <w:p w14:paraId="19E6B5A8">
      <w:pPr>
        <w:spacing w:line="360" w:lineRule="auto"/>
        <w:rPr>
          <w:rFonts w:hint="eastAsia" w:eastAsia="宋体"/>
          <w:color w:val="auto"/>
          <w:sz w:val="24"/>
          <w:szCs w:val="28"/>
          <w:highlight w:val="none"/>
          <w:lang w:eastAsia="zh-CN"/>
        </w:rPr>
      </w:pPr>
      <w:r>
        <w:rPr>
          <w:rFonts w:hint="eastAsia"/>
          <w:color w:val="auto"/>
          <w:sz w:val="24"/>
          <w:szCs w:val="28"/>
          <w:highlight w:val="none"/>
        </w:rPr>
        <w:t>二、法定代表人身份证明</w:t>
      </w:r>
      <w:r>
        <w:rPr>
          <w:rFonts w:hint="eastAsia"/>
          <w:color w:val="auto"/>
          <w:sz w:val="24"/>
          <w:szCs w:val="28"/>
          <w:highlight w:val="none"/>
          <w:lang w:eastAsia="zh-CN"/>
        </w:rPr>
        <w:t>书</w:t>
      </w:r>
      <w:r>
        <w:rPr>
          <w:rFonts w:hint="eastAsia"/>
          <w:color w:val="auto"/>
          <w:sz w:val="24"/>
          <w:szCs w:val="28"/>
          <w:highlight w:val="none"/>
        </w:rPr>
        <w:t xml:space="preserve"> </w:t>
      </w:r>
    </w:p>
    <w:p w14:paraId="60004516">
      <w:pPr>
        <w:spacing w:line="360" w:lineRule="auto"/>
        <w:rPr>
          <w:rFonts w:hint="eastAsia"/>
          <w:color w:val="auto"/>
          <w:sz w:val="24"/>
          <w:szCs w:val="28"/>
          <w:highlight w:val="none"/>
        </w:rPr>
      </w:pPr>
      <w:r>
        <w:rPr>
          <w:rFonts w:hint="eastAsia"/>
          <w:color w:val="auto"/>
          <w:sz w:val="24"/>
          <w:szCs w:val="28"/>
          <w:highlight w:val="none"/>
          <w:lang w:eastAsia="zh-CN"/>
        </w:rPr>
        <w:t>二</w:t>
      </w:r>
      <w:r>
        <w:rPr>
          <w:rFonts w:hint="eastAsia"/>
          <w:color w:val="auto"/>
          <w:sz w:val="24"/>
          <w:szCs w:val="28"/>
          <w:highlight w:val="none"/>
        </w:rPr>
        <w:t>、授权委托书（适用于有委托代理人的情况）</w:t>
      </w:r>
    </w:p>
    <w:p w14:paraId="505D4BE2">
      <w:pPr>
        <w:spacing w:line="360" w:lineRule="auto"/>
        <w:rPr>
          <w:rFonts w:hint="eastAsia"/>
          <w:strike w:val="0"/>
          <w:color w:val="auto"/>
          <w:sz w:val="24"/>
          <w:szCs w:val="28"/>
          <w:highlight w:val="none"/>
          <w:lang w:val="en-US" w:eastAsia="zh-CN"/>
        </w:rPr>
      </w:pPr>
      <w:r>
        <w:rPr>
          <w:rFonts w:hint="eastAsia"/>
          <w:strike w:val="0"/>
          <w:color w:val="auto"/>
          <w:sz w:val="24"/>
          <w:szCs w:val="28"/>
          <w:highlight w:val="none"/>
          <w:lang w:val="en-US" w:eastAsia="zh-CN"/>
        </w:rPr>
        <w:t>三、联合体协议书（如有）</w:t>
      </w:r>
    </w:p>
    <w:p w14:paraId="3DA8996B">
      <w:pPr>
        <w:spacing w:line="360" w:lineRule="auto"/>
        <w:rPr>
          <w:rFonts w:hint="eastAsia" w:eastAsia="宋体"/>
          <w:color w:val="auto"/>
          <w:sz w:val="24"/>
          <w:szCs w:val="28"/>
          <w:highlight w:val="none"/>
          <w:lang w:val="en-US" w:eastAsia="zh-CN"/>
        </w:rPr>
      </w:pPr>
      <w:r>
        <w:rPr>
          <w:rFonts w:hint="eastAsia"/>
          <w:color w:val="auto"/>
          <w:sz w:val="24"/>
          <w:szCs w:val="28"/>
          <w:highlight w:val="none"/>
          <w:lang w:val="en-US" w:eastAsia="zh-CN"/>
        </w:rPr>
        <w:t>四、投标人声明</w:t>
      </w:r>
    </w:p>
    <w:p w14:paraId="0DFB75E3">
      <w:pPr>
        <w:spacing w:line="360" w:lineRule="auto"/>
        <w:rPr>
          <w:rFonts w:hint="eastAsia" w:eastAsia="宋体"/>
          <w:strike/>
          <w:color w:val="auto"/>
          <w:sz w:val="24"/>
          <w:szCs w:val="28"/>
          <w:highlight w:val="none"/>
          <w:lang w:eastAsia="zh-CN"/>
        </w:rPr>
      </w:pPr>
      <w:r>
        <w:rPr>
          <w:rFonts w:hint="eastAsia"/>
          <w:strike/>
          <w:color w:val="auto"/>
          <w:sz w:val="24"/>
          <w:szCs w:val="28"/>
          <w:highlight w:val="none"/>
          <w:lang w:val="en-US" w:eastAsia="zh-CN"/>
        </w:rPr>
        <w:t>五</w:t>
      </w:r>
      <w:r>
        <w:rPr>
          <w:rFonts w:hint="eastAsia"/>
          <w:strike/>
          <w:color w:val="auto"/>
          <w:sz w:val="24"/>
          <w:szCs w:val="28"/>
          <w:highlight w:val="none"/>
        </w:rPr>
        <w:t>、投标保证金</w:t>
      </w:r>
      <w:r>
        <w:rPr>
          <w:rFonts w:hint="eastAsia"/>
          <w:strike/>
          <w:color w:val="auto"/>
          <w:sz w:val="24"/>
          <w:szCs w:val="28"/>
          <w:highlight w:val="none"/>
          <w:lang w:eastAsia="zh-CN"/>
        </w:rPr>
        <w:t>（如有）</w:t>
      </w:r>
    </w:p>
    <w:p w14:paraId="24B8ED69">
      <w:pPr>
        <w:spacing w:line="360" w:lineRule="auto"/>
        <w:rPr>
          <w:color w:val="auto"/>
          <w:sz w:val="24"/>
          <w:szCs w:val="28"/>
          <w:highlight w:val="none"/>
        </w:rPr>
      </w:pPr>
      <w:r>
        <w:rPr>
          <w:rFonts w:hint="eastAsia"/>
          <w:color w:val="auto"/>
          <w:sz w:val="24"/>
          <w:szCs w:val="28"/>
          <w:highlight w:val="none"/>
          <w:lang w:val="en-US" w:eastAsia="zh-CN"/>
        </w:rPr>
        <w:t>六</w:t>
      </w:r>
      <w:r>
        <w:rPr>
          <w:rFonts w:hint="eastAsia"/>
          <w:color w:val="auto"/>
          <w:sz w:val="24"/>
          <w:szCs w:val="28"/>
          <w:highlight w:val="none"/>
        </w:rPr>
        <w:t>、监理报酬清单</w:t>
      </w:r>
    </w:p>
    <w:p w14:paraId="4061AF09">
      <w:pPr>
        <w:spacing w:line="360" w:lineRule="auto"/>
        <w:rPr>
          <w:color w:val="auto"/>
          <w:sz w:val="24"/>
          <w:szCs w:val="28"/>
          <w:highlight w:val="none"/>
        </w:rPr>
      </w:pPr>
      <w:r>
        <w:rPr>
          <w:rFonts w:hint="eastAsia"/>
          <w:color w:val="auto"/>
          <w:sz w:val="24"/>
          <w:szCs w:val="28"/>
          <w:highlight w:val="none"/>
          <w:lang w:val="en-US" w:eastAsia="zh-CN"/>
        </w:rPr>
        <w:t>七</w:t>
      </w:r>
      <w:r>
        <w:rPr>
          <w:rFonts w:hint="eastAsia"/>
          <w:color w:val="auto"/>
          <w:sz w:val="24"/>
          <w:szCs w:val="28"/>
          <w:highlight w:val="none"/>
        </w:rPr>
        <w:t>、资格审查</w:t>
      </w:r>
      <w:r>
        <w:rPr>
          <w:rFonts w:hint="eastAsia"/>
          <w:b/>
          <w:bCs/>
          <w:color w:val="auto"/>
          <w:sz w:val="24"/>
          <w:szCs w:val="28"/>
          <w:highlight w:val="none"/>
          <w:u w:val="single"/>
          <w:lang w:eastAsia="zh-CN"/>
        </w:rPr>
        <w:t>（</w:t>
      </w:r>
      <w:r>
        <w:rPr>
          <w:rFonts w:hint="eastAsia"/>
          <w:b/>
          <w:bCs/>
          <w:color w:val="auto"/>
          <w:sz w:val="24"/>
          <w:szCs w:val="28"/>
          <w:highlight w:val="none"/>
          <w:u w:val="single"/>
          <w:lang w:val="en-US" w:eastAsia="zh-CN"/>
        </w:rPr>
        <w:t>含资信业绩</w:t>
      </w:r>
      <w:r>
        <w:rPr>
          <w:rFonts w:hint="eastAsia"/>
          <w:b/>
          <w:bCs/>
          <w:color w:val="auto"/>
          <w:sz w:val="24"/>
          <w:szCs w:val="28"/>
          <w:highlight w:val="none"/>
          <w:u w:val="single"/>
          <w:lang w:eastAsia="zh-CN"/>
        </w:rPr>
        <w:t>）</w:t>
      </w:r>
      <w:r>
        <w:rPr>
          <w:rFonts w:hint="eastAsia"/>
          <w:color w:val="auto"/>
          <w:sz w:val="24"/>
          <w:szCs w:val="28"/>
          <w:highlight w:val="none"/>
        </w:rPr>
        <w:t>资料</w:t>
      </w:r>
    </w:p>
    <w:p w14:paraId="4CBC3ACB">
      <w:pPr>
        <w:spacing w:line="360" w:lineRule="auto"/>
        <w:rPr>
          <w:color w:val="auto"/>
          <w:sz w:val="24"/>
          <w:szCs w:val="28"/>
          <w:highlight w:val="none"/>
        </w:rPr>
      </w:pPr>
      <w:r>
        <w:rPr>
          <w:rFonts w:hint="eastAsia"/>
          <w:color w:val="auto"/>
          <w:sz w:val="24"/>
          <w:szCs w:val="28"/>
          <w:highlight w:val="none"/>
          <w:lang w:val="en-US" w:eastAsia="zh-CN"/>
        </w:rPr>
        <w:t>八</w:t>
      </w:r>
      <w:r>
        <w:rPr>
          <w:rFonts w:hint="eastAsia"/>
          <w:color w:val="auto"/>
          <w:sz w:val="24"/>
          <w:szCs w:val="28"/>
          <w:highlight w:val="none"/>
        </w:rPr>
        <w:t>、监理大纲</w:t>
      </w:r>
    </w:p>
    <w:p w14:paraId="75C96981">
      <w:pPr>
        <w:spacing w:line="360" w:lineRule="auto"/>
        <w:rPr>
          <w:rFonts w:hint="eastAsia"/>
          <w:color w:val="auto"/>
          <w:sz w:val="24"/>
          <w:szCs w:val="28"/>
          <w:highlight w:val="none"/>
          <w:lang w:eastAsia="zh-CN"/>
        </w:rPr>
      </w:pPr>
      <w:r>
        <w:rPr>
          <w:rFonts w:hint="eastAsia"/>
          <w:color w:val="auto"/>
          <w:sz w:val="24"/>
          <w:szCs w:val="28"/>
          <w:highlight w:val="none"/>
          <w:lang w:val="en-US" w:eastAsia="zh-CN"/>
        </w:rPr>
        <w:t>九</w:t>
      </w:r>
      <w:r>
        <w:rPr>
          <w:rFonts w:hint="eastAsia"/>
          <w:color w:val="auto"/>
          <w:sz w:val="24"/>
          <w:szCs w:val="28"/>
          <w:highlight w:val="none"/>
        </w:rPr>
        <w:t>、</w:t>
      </w:r>
      <w:r>
        <w:rPr>
          <w:rFonts w:hint="eastAsia"/>
          <w:color w:val="auto"/>
          <w:sz w:val="24"/>
          <w:szCs w:val="28"/>
          <w:highlight w:val="none"/>
          <w:lang w:eastAsia="zh-CN"/>
        </w:rPr>
        <w:t>中小企业声明函（如有）</w:t>
      </w:r>
    </w:p>
    <w:p w14:paraId="67FF05E5">
      <w:pPr>
        <w:spacing w:line="360" w:lineRule="auto"/>
        <w:rPr>
          <w:rFonts w:hint="eastAsia"/>
          <w:strike/>
          <w:color w:val="auto"/>
          <w:sz w:val="24"/>
          <w:szCs w:val="28"/>
          <w:highlight w:val="none"/>
          <w:lang w:eastAsia="zh-CN"/>
        </w:rPr>
      </w:pPr>
      <w:r>
        <w:rPr>
          <w:rFonts w:hint="eastAsia"/>
          <w:strike/>
          <w:color w:val="auto"/>
          <w:sz w:val="24"/>
          <w:szCs w:val="28"/>
          <w:highlight w:val="none"/>
          <w:lang w:eastAsia="zh-CN"/>
        </w:rPr>
        <w:t>十、关于投标保证金的承诺（如有）</w:t>
      </w:r>
    </w:p>
    <w:p w14:paraId="2C745758">
      <w:pPr>
        <w:spacing w:line="360" w:lineRule="auto"/>
        <w:rPr>
          <w:color w:val="auto"/>
          <w:sz w:val="24"/>
          <w:szCs w:val="28"/>
          <w:highlight w:val="none"/>
        </w:rPr>
      </w:pPr>
      <w:r>
        <w:rPr>
          <w:rFonts w:hint="eastAsia"/>
          <w:color w:val="auto"/>
          <w:sz w:val="24"/>
          <w:szCs w:val="28"/>
          <w:highlight w:val="none"/>
          <w:lang w:eastAsia="zh-CN"/>
        </w:rPr>
        <w:t>十一、</w:t>
      </w:r>
      <w:r>
        <w:rPr>
          <w:rFonts w:hint="eastAsia"/>
          <w:color w:val="auto"/>
          <w:sz w:val="24"/>
          <w:szCs w:val="28"/>
          <w:highlight w:val="none"/>
        </w:rPr>
        <w:t>其他资料</w:t>
      </w:r>
    </w:p>
    <w:p w14:paraId="1BAF7246">
      <w:pPr>
        <w:spacing w:line="360" w:lineRule="auto"/>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注：格式内容由招标人根据实际需要进行调整。</w:t>
      </w:r>
    </w:p>
    <w:p w14:paraId="3CDED0A9">
      <w:pPr>
        <w:spacing w:line="360" w:lineRule="auto"/>
        <w:rPr>
          <w:rFonts w:eastAsia="黑体"/>
          <w:color w:val="auto"/>
          <w:sz w:val="20"/>
          <w:highlight w:val="none"/>
        </w:rPr>
      </w:pPr>
    </w:p>
    <w:p w14:paraId="2702DB0D">
      <w:pPr>
        <w:spacing w:line="360" w:lineRule="auto"/>
        <w:rPr>
          <w:rFonts w:eastAsia="黑体"/>
          <w:color w:val="auto"/>
          <w:sz w:val="20"/>
          <w:highlight w:val="none"/>
        </w:rPr>
      </w:pPr>
    </w:p>
    <w:p w14:paraId="0F603E06">
      <w:pPr>
        <w:spacing w:line="360" w:lineRule="auto"/>
        <w:rPr>
          <w:rFonts w:eastAsia="黑体"/>
          <w:color w:val="auto"/>
          <w:sz w:val="20"/>
          <w:highlight w:val="none"/>
        </w:rPr>
      </w:pPr>
    </w:p>
    <w:p w14:paraId="49F1B566">
      <w:pPr>
        <w:spacing w:line="360" w:lineRule="auto"/>
        <w:rPr>
          <w:rFonts w:eastAsia="黑体"/>
          <w:color w:val="auto"/>
          <w:sz w:val="20"/>
          <w:highlight w:val="none"/>
        </w:rPr>
      </w:pPr>
    </w:p>
    <w:p w14:paraId="3BB6C16B">
      <w:pPr>
        <w:spacing w:line="360" w:lineRule="auto"/>
        <w:rPr>
          <w:rFonts w:eastAsia="黑体"/>
          <w:color w:val="auto"/>
          <w:sz w:val="20"/>
          <w:highlight w:val="none"/>
        </w:rPr>
      </w:pPr>
    </w:p>
    <w:p w14:paraId="6B5CCFF9">
      <w:pPr>
        <w:spacing w:line="360" w:lineRule="auto"/>
        <w:rPr>
          <w:color w:val="auto"/>
          <w:highlight w:val="none"/>
        </w:rPr>
      </w:pPr>
      <w:r>
        <w:rPr>
          <w:color w:val="auto"/>
          <w:highlight w:val="none"/>
        </w:rPr>
        <w:br w:type="page"/>
      </w:r>
    </w:p>
    <w:p w14:paraId="50675E31">
      <w:pPr>
        <w:pStyle w:val="5"/>
        <w:bidi w:val="0"/>
        <w:spacing w:line="360" w:lineRule="auto"/>
        <w:jc w:val="center"/>
        <w:rPr>
          <w:rFonts w:hint="eastAsia" w:ascii="宋体" w:hAnsi="宋体" w:eastAsia="宋体" w:cs="宋体"/>
          <w:b/>
          <w:bCs w:val="0"/>
          <w:color w:val="auto"/>
          <w:sz w:val="28"/>
          <w:szCs w:val="28"/>
          <w:highlight w:val="none"/>
        </w:rPr>
      </w:pPr>
      <w:bookmarkStart w:id="1540" w:name="_Toc12602"/>
      <w:bookmarkStart w:id="1541" w:name="_Toc24004"/>
      <w:bookmarkStart w:id="1542" w:name="_Toc22776"/>
      <w:bookmarkStart w:id="1543" w:name="_Toc21909"/>
      <w:bookmarkStart w:id="1544" w:name="_Toc11469"/>
      <w:bookmarkStart w:id="1545" w:name="_Toc20246"/>
      <w:bookmarkStart w:id="1546" w:name="_Toc21296"/>
      <w:bookmarkStart w:id="1547" w:name="_Toc16424"/>
      <w:bookmarkStart w:id="1548" w:name="_Toc22780"/>
      <w:bookmarkStart w:id="1549" w:name="_Toc59200710"/>
      <w:bookmarkStart w:id="1550" w:name="_Toc6243"/>
      <w:bookmarkStart w:id="1551" w:name="_Toc526786507"/>
      <w:bookmarkStart w:id="1552" w:name="_Toc25733"/>
      <w:bookmarkStart w:id="1553" w:name="_Toc28018"/>
      <w:r>
        <w:rPr>
          <w:rFonts w:hint="eastAsia" w:ascii="宋体" w:hAnsi="宋体" w:eastAsia="宋体" w:cs="宋体"/>
          <w:b/>
          <w:bCs w:val="0"/>
          <w:color w:val="auto"/>
          <w:sz w:val="28"/>
          <w:szCs w:val="28"/>
          <w:highlight w:val="none"/>
        </w:rPr>
        <w:t>一、投标</w:t>
      </w:r>
      <w:bookmarkStart w:id="1554" w:name="_Toc6931"/>
      <w:bookmarkStart w:id="1555" w:name="_Toc369531692"/>
      <w:bookmarkStart w:id="1556" w:name="_Toc352691656"/>
      <w:r>
        <w:rPr>
          <w:rFonts w:hint="eastAsia" w:ascii="宋体" w:hAnsi="宋体" w:eastAsia="宋体" w:cs="宋体"/>
          <w:b/>
          <w:bCs w:val="0"/>
          <w:color w:val="auto"/>
          <w:sz w:val="28"/>
          <w:szCs w:val="28"/>
          <w:highlight w:val="none"/>
        </w:rPr>
        <w:t>函及投标函附录</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bookmarkEnd w:id="1554"/>
    <w:bookmarkEnd w:id="1555"/>
    <w:bookmarkEnd w:id="1556"/>
    <w:p w14:paraId="2DF420E7">
      <w:pPr>
        <w:bidi w:val="0"/>
        <w:spacing w:line="360" w:lineRule="auto"/>
        <w:outlineLvl w:val="9"/>
        <w:rPr>
          <w:rFonts w:ascii="楷体" w:hAnsi="楷体" w:eastAsia="楷体"/>
          <w:color w:val="auto"/>
          <w:sz w:val="24"/>
          <w:szCs w:val="28"/>
          <w:highlight w:val="none"/>
        </w:rPr>
      </w:pPr>
      <w:bookmarkStart w:id="1557" w:name="_Toc4664"/>
      <w:bookmarkStart w:id="1558" w:name="_Toc482188651"/>
      <w:bookmarkStart w:id="1559" w:name="_Toc13962"/>
      <w:bookmarkStart w:id="1560" w:name="_Toc1199"/>
      <w:bookmarkStart w:id="1561" w:name="_Toc59200711"/>
      <w:bookmarkStart w:id="1562" w:name="_Toc370676426"/>
      <w:bookmarkStart w:id="1563" w:name="_Toc391394111"/>
      <w:bookmarkStart w:id="1564" w:name="_Toc9088"/>
      <w:bookmarkStart w:id="1565" w:name="_Toc16482"/>
      <w:bookmarkStart w:id="1566" w:name="_Toc28989"/>
      <w:bookmarkStart w:id="1567" w:name="_Toc385943065"/>
      <w:bookmarkStart w:id="1568" w:name="_Toc30766"/>
      <w:bookmarkStart w:id="1569" w:name="_Toc359594235"/>
      <w:bookmarkStart w:id="1570" w:name="_Toc8229"/>
      <w:bookmarkStart w:id="1571" w:name="_Toc14291"/>
      <w:bookmarkStart w:id="1572" w:name="_Toc24571"/>
      <w:bookmarkStart w:id="1573" w:name="_Toc526786508"/>
      <w:r>
        <w:rPr>
          <w:rFonts w:hint="eastAsia"/>
          <w:color w:val="auto"/>
          <w:sz w:val="24"/>
          <w:szCs w:val="28"/>
          <w:highlight w:val="none"/>
        </w:rPr>
        <w:t>（一）投标函</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427939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广州市天河区建设工程项目代建局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14:paraId="3B2F50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rPr>
        <w:t>监理招标项目招标文件的全部内容，愿意以人民币（大写）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元</w:t>
      </w:r>
      <w:r>
        <w:rPr>
          <w:rFonts w:hint="eastAsia" w:ascii="宋体" w:hAnsi="宋体" w:eastAsia="宋体" w:cs="宋体"/>
          <w:color w:val="auto"/>
          <w:sz w:val="21"/>
          <w:szCs w:val="21"/>
          <w:highlight w:val="none"/>
        </w:rPr>
        <w:t>）的投标总报价（</w:t>
      </w:r>
      <w:r>
        <w:rPr>
          <w:rFonts w:hint="eastAsia" w:ascii="宋体" w:hAnsi="宋体" w:eastAsia="宋体" w:cs="宋体"/>
          <w:color w:val="auto"/>
          <w:sz w:val="21"/>
          <w:szCs w:val="21"/>
          <w:highlight w:val="none"/>
          <w:u w:val="single"/>
        </w:rPr>
        <w:t xml:space="preserve">监理费率为      </w:t>
      </w:r>
      <w:r>
        <w:rPr>
          <w:rFonts w:hint="eastAsia" w:ascii="宋体" w:hAnsi="宋体" w:eastAsia="宋体" w:cs="宋体"/>
          <w:color w:val="auto"/>
          <w:sz w:val="21"/>
          <w:szCs w:val="21"/>
          <w:highlight w:val="none"/>
        </w:rPr>
        <w:t>），监理服务期限：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，按合同约定完成监理工作。</w:t>
      </w:r>
    </w:p>
    <w:p w14:paraId="58347B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我方的投标文件包括下列内容：</w:t>
      </w:r>
    </w:p>
    <w:p w14:paraId="49AB5A74">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217A7818">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（2）法定代表人身份证明或授权委托书；</w:t>
      </w:r>
    </w:p>
    <w:p w14:paraId="422F0533">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3）联合体协议书（如有）</w:t>
      </w:r>
      <w:r>
        <w:rPr>
          <w:rFonts w:hint="eastAsia" w:ascii="宋体" w:hAnsi="宋体" w:eastAsia="宋体" w:cs="宋体"/>
          <w:color w:val="auto"/>
          <w:sz w:val="21"/>
          <w:szCs w:val="21"/>
          <w:highlight w:val="none"/>
          <w:lang w:val="en-US" w:eastAsia="zh-CN"/>
        </w:rPr>
        <w:t>；</w:t>
      </w:r>
    </w:p>
    <w:p w14:paraId="07B21C16">
      <w:pPr>
        <w:spacing w:line="360" w:lineRule="auto"/>
        <w:ind w:firstLine="40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投标人声明</w:t>
      </w:r>
    </w:p>
    <w:p w14:paraId="071CC25F">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5）</w:t>
      </w:r>
      <w:r>
        <w:rPr>
          <w:rFonts w:hint="eastAsia" w:ascii="宋体" w:hAnsi="宋体" w:eastAsia="宋体" w:cs="宋体"/>
          <w:strike/>
          <w:color w:val="auto"/>
          <w:sz w:val="21"/>
          <w:szCs w:val="21"/>
          <w:highlight w:val="none"/>
        </w:rPr>
        <w:t>投标保证金</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如有）</w:t>
      </w:r>
      <w:r>
        <w:rPr>
          <w:rFonts w:hint="eastAsia" w:ascii="宋体" w:hAnsi="宋体" w:eastAsia="宋体" w:cs="宋体"/>
          <w:color w:val="auto"/>
          <w:sz w:val="21"/>
          <w:szCs w:val="21"/>
          <w:highlight w:val="none"/>
        </w:rPr>
        <w:t>；</w:t>
      </w:r>
    </w:p>
    <w:p w14:paraId="193C6D80">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）监理报酬清单；</w:t>
      </w:r>
    </w:p>
    <w:p w14:paraId="10E15E46">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含资信业绩</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rPr>
        <w:t>资料；</w:t>
      </w:r>
    </w:p>
    <w:p w14:paraId="2DFA53F3">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）监理大纲；</w:t>
      </w:r>
    </w:p>
    <w:p w14:paraId="3ACAAF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）其他资料。投标文件的上述组成部分如存在内容不一致的，以投标函为准。</w:t>
      </w:r>
    </w:p>
    <w:p w14:paraId="6A269C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3．我方承诺在招标文件规定的投标有效期内不撤销投标文件。</w:t>
      </w:r>
    </w:p>
    <w:p w14:paraId="6DCED1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4．如我方中标，我方承诺：</w:t>
      </w:r>
    </w:p>
    <w:p w14:paraId="1996962E">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（1）在收到中标通知书后，在中标通知书规定的期限内与你方签订合同；</w:t>
      </w:r>
    </w:p>
    <w:p w14:paraId="0644A5D9">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14:paraId="4F20C240">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（3）按照招标文件要求提交履约保证金；</w:t>
      </w:r>
      <w:bookmarkStart w:id="1574" w:name="_Toc352691658"/>
      <w:bookmarkStart w:id="1575" w:name="_Toc369531694"/>
      <w:bookmarkStart w:id="1576" w:name="_Toc1187"/>
    </w:p>
    <w:p w14:paraId="0E43AD09">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w:t>
      </w:r>
      <w:bookmarkEnd w:id="1574"/>
      <w:bookmarkEnd w:id="1575"/>
      <w:bookmarkEnd w:id="1576"/>
      <w:r>
        <w:rPr>
          <w:rFonts w:hint="eastAsia" w:ascii="宋体" w:hAnsi="宋体" w:eastAsia="宋体" w:cs="宋体"/>
          <w:color w:val="auto"/>
          <w:sz w:val="21"/>
          <w:szCs w:val="21"/>
          <w:highlight w:val="none"/>
        </w:rPr>
        <w:t>同约定的期限内完成合同规定的全部义务</w:t>
      </w:r>
      <w:r>
        <w:rPr>
          <w:rFonts w:hint="eastAsia" w:ascii="宋体" w:hAnsi="宋体" w:eastAsia="宋体" w:cs="宋体"/>
          <w:color w:val="auto"/>
          <w:sz w:val="21"/>
          <w:szCs w:val="21"/>
          <w:highlight w:val="none"/>
          <w:lang w:eastAsia="zh-CN"/>
        </w:rPr>
        <w:t>；</w:t>
      </w:r>
    </w:p>
    <w:p w14:paraId="2B4C4DA0">
      <w:pPr>
        <w:pStyle w:val="15"/>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（5）承诺本项目拟投入的人员为本单位人员，并已按规定购买社保。</w:t>
      </w:r>
    </w:p>
    <w:p w14:paraId="40F35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5．我方在此声明，所递交的投标文件及有关资料内容完整、真实和准确，且不存在第二章“投标人须知”第1.4.3项规定的任何一种情形。</w:t>
      </w:r>
    </w:p>
    <w:p w14:paraId="34B4EF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4E982007">
      <w:pPr>
        <w:spacing w:line="360" w:lineRule="auto"/>
        <w:ind w:firstLine="2520" w:firstLineChars="1200"/>
        <w:jc w:val="left"/>
        <w:rPr>
          <w:rFonts w:hint="eastAsia" w:ascii="宋体" w:hAnsi="宋体" w:eastAsia="宋体" w:cs="宋体"/>
          <w:color w:val="auto"/>
          <w:sz w:val="21"/>
          <w:szCs w:val="21"/>
          <w:highlight w:val="none"/>
        </w:rPr>
      </w:pPr>
      <w:bookmarkStart w:id="1577" w:name="_Toc352691659"/>
      <w:bookmarkEnd w:id="1577"/>
      <w:bookmarkStart w:id="1578" w:name="_Toc16568"/>
      <w:bookmarkEnd w:id="1578"/>
      <w:bookmarkStart w:id="1579" w:name="_Toc16824"/>
      <w:bookmarkEnd w:id="1579"/>
      <w:bookmarkStart w:id="1580" w:name="_Toc369531695"/>
      <w:bookmarkEnd w:id="1580"/>
      <w:bookmarkStart w:id="1581" w:name="_Toc369531696"/>
      <w:bookmarkEnd w:id="1581"/>
      <w:bookmarkStart w:id="1582" w:name="_Toc352691660"/>
      <w:bookmarkEnd w:id="1582"/>
    </w:p>
    <w:p w14:paraId="485DC46C">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14:paraId="476E212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（签字或盖章）</w:t>
      </w:r>
    </w:p>
    <w:p w14:paraId="0AE80269">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14:paraId="581B84C2">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10CFD8B1">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5F316567">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698434CA">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3F717E6D">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65DBB024">
      <w:pPr>
        <w:spacing w:line="360" w:lineRule="auto"/>
        <w:ind w:firstLine="4725" w:firstLineChars="22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D947003">
      <w:pPr>
        <w:spacing w:line="360" w:lineRule="auto"/>
        <w:rPr>
          <w:rFonts w:eastAsia="黑体"/>
          <w:color w:val="auto"/>
          <w:sz w:val="20"/>
          <w:highlight w:val="none"/>
        </w:rPr>
      </w:pPr>
      <w:bookmarkStart w:id="1583" w:name="_Toc384308375"/>
      <w:bookmarkStart w:id="1584" w:name="_Toc152042576"/>
      <w:bookmarkStart w:id="1585" w:name="_Toc152045787"/>
      <w:bookmarkStart w:id="1586" w:name="_Toc352691661"/>
      <w:bookmarkStart w:id="1587" w:name="_Toc300835209"/>
      <w:bookmarkStart w:id="1588" w:name="_Toc361508752"/>
      <w:bookmarkStart w:id="1589" w:name="_Toc369531697"/>
      <w:bookmarkStart w:id="1590" w:name="_Toc247514246"/>
      <w:bookmarkStart w:id="1591" w:name="_Toc17960"/>
      <w:bookmarkStart w:id="1592" w:name="_Toc144974856"/>
      <w:bookmarkStart w:id="1593" w:name="_Toc247527827"/>
    </w:p>
    <w:p w14:paraId="5A4CE175">
      <w:pPr>
        <w:spacing w:line="360" w:lineRule="auto"/>
        <w:rPr>
          <w:rFonts w:eastAsia="黑体"/>
          <w:color w:val="auto"/>
          <w:sz w:val="20"/>
          <w:highlight w:val="none"/>
        </w:rPr>
      </w:pPr>
    </w:p>
    <w:p w14:paraId="7AE7B87E">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w:t>
      </w:r>
      <w:r>
        <w:rPr>
          <w:rFonts w:hint="eastAsia" w:ascii="楷体_GB2312" w:hAnsi="楷体_GB2312" w:eastAsia="楷体_GB2312" w:cs="楷体_GB2312"/>
          <w:strike/>
          <w:color w:val="auto"/>
          <w:kern w:val="2"/>
          <w:sz w:val="21"/>
          <w:szCs w:val="24"/>
          <w:highlight w:val="none"/>
          <w:lang w:val="en-US" w:eastAsia="zh-CN" w:bidi="ar-SA"/>
        </w:rPr>
        <w:t>招标人可约定</w:t>
      </w:r>
      <w:r>
        <w:rPr>
          <w:rFonts w:hint="eastAsia" w:ascii="楷体_GB2312" w:hAnsi="楷体_GB2312" w:eastAsia="楷体_GB2312" w:cs="楷体_GB2312"/>
          <w:strike w:val="0"/>
          <w:color w:val="auto"/>
          <w:kern w:val="2"/>
          <w:sz w:val="21"/>
          <w:szCs w:val="24"/>
          <w:highlight w:val="none"/>
          <w:lang w:val="en-US" w:eastAsia="zh-CN" w:bidi="ar-SA"/>
        </w:rPr>
        <w:t>由投标牵头人出具即可。</w:t>
      </w:r>
    </w:p>
    <w:p w14:paraId="3EB34616">
      <w:pPr>
        <w:pStyle w:val="5"/>
        <w:keepNext w:val="0"/>
        <w:keepLines w:val="0"/>
        <w:spacing w:line="360" w:lineRule="auto"/>
        <w:ind w:firstLine="137"/>
        <w:outlineLvl w:val="9"/>
        <w:rPr>
          <w:rFonts w:hint="eastAsia"/>
          <w:color w:val="auto"/>
          <w:highlight w:val="none"/>
        </w:rPr>
      </w:pPr>
      <w:bookmarkStart w:id="1594" w:name="_Toc30886"/>
      <w:bookmarkStart w:id="1595" w:name="_Toc59200712"/>
      <w:bookmarkStart w:id="1596" w:name="_Toc526786509"/>
      <w:bookmarkStart w:id="1597" w:name="_Toc4306"/>
      <w:bookmarkStart w:id="1598" w:name="_Toc12051"/>
      <w:bookmarkStart w:id="1599" w:name="_Toc6106"/>
      <w:bookmarkStart w:id="1600" w:name="_Toc391394112"/>
      <w:bookmarkStart w:id="1601" w:name="_Toc359594236"/>
      <w:bookmarkStart w:id="1602" w:name="_Toc27307"/>
      <w:bookmarkStart w:id="1603" w:name="_Toc482188652"/>
      <w:bookmarkStart w:id="1604" w:name="_Toc20301"/>
      <w:bookmarkStart w:id="1605" w:name="_Toc370676427"/>
      <w:bookmarkStart w:id="1606" w:name="_Toc29652"/>
      <w:bookmarkStart w:id="1607" w:name="_Toc385943066"/>
      <w:bookmarkStart w:id="1608" w:name="_Toc19781"/>
      <w:bookmarkStart w:id="1609" w:name="_Toc28127"/>
    </w:p>
    <w:p w14:paraId="6E102D0F">
      <w:pPr>
        <w:numPr>
          <w:ilvl w:val="0"/>
          <w:numId w:val="0"/>
        </w:numPr>
        <w:spacing w:line="360" w:lineRule="auto"/>
        <w:ind w:left="0" w:leftChars="0" w:firstLine="0" w:firstLineChars="0"/>
        <w:jc w:val="left"/>
        <w:rPr>
          <w:rFonts w:hint="eastAsia"/>
          <w:color w:val="auto"/>
          <w:sz w:val="24"/>
          <w:szCs w:val="28"/>
          <w:highlight w:val="none"/>
          <w:lang w:eastAsia="zh-CN"/>
        </w:rPr>
      </w:pPr>
      <w:bookmarkStart w:id="1610" w:name="_Toc14797"/>
      <w:bookmarkStart w:id="1611" w:name="_Toc15566"/>
      <w:r>
        <w:rPr>
          <w:rFonts w:hint="eastAsia"/>
          <w:color w:val="auto"/>
          <w:highlight w:val="none"/>
        </w:rPr>
        <w:br w:type="page"/>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hint="eastAsia"/>
          <w:color w:val="auto"/>
          <w:sz w:val="24"/>
          <w:szCs w:val="28"/>
          <w:highlight w:val="none"/>
          <w:lang w:eastAsia="zh-CN"/>
        </w:rPr>
        <w:t>（</w:t>
      </w:r>
      <w:r>
        <w:rPr>
          <w:rFonts w:hint="eastAsia"/>
          <w:color w:val="auto"/>
          <w:sz w:val="24"/>
          <w:szCs w:val="28"/>
          <w:highlight w:val="none"/>
          <w:lang w:val="en-US" w:eastAsia="zh-CN"/>
        </w:rPr>
        <w:t>二）</w:t>
      </w:r>
      <w:r>
        <w:rPr>
          <w:rFonts w:hint="eastAsia"/>
          <w:color w:val="auto"/>
          <w:sz w:val="24"/>
          <w:szCs w:val="28"/>
          <w:highlight w:val="none"/>
        </w:rPr>
        <w:t>投标函附录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61"/>
        <w:gridCol w:w="4228"/>
        <w:gridCol w:w="1117"/>
      </w:tblGrid>
      <w:tr w14:paraId="1817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38E240F3">
            <w:pPr>
              <w:spacing w:line="360"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2161" w:type="dxa"/>
            <w:noWrap w:val="0"/>
            <w:vAlign w:val="center"/>
          </w:tcPr>
          <w:p w14:paraId="2F1BAF86">
            <w:pPr>
              <w:spacing w:line="360" w:lineRule="auto"/>
              <w:jc w:val="center"/>
              <w:rPr>
                <w:rFonts w:ascii="宋体" w:cs="宋体"/>
                <w:b/>
                <w:color w:val="auto"/>
                <w:szCs w:val="21"/>
                <w:highlight w:val="none"/>
              </w:rPr>
            </w:pPr>
            <w:r>
              <w:rPr>
                <w:rFonts w:hint="eastAsia" w:ascii="宋体" w:hAnsi="宋体" w:cs="宋体"/>
                <w:b/>
                <w:color w:val="auto"/>
                <w:szCs w:val="21"/>
                <w:highlight w:val="none"/>
              </w:rPr>
              <w:t>条款名称</w:t>
            </w:r>
          </w:p>
        </w:tc>
        <w:tc>
          <w:tcPr>
            <w:tcW w:w="4228" w:type="dxa"/>
            <w:noWrap w:val="0"/>
            <w:vAlign w:val="center"/>
          </w:tcPr>
          <w:p w14:paraId="3D914AF8">
            <w:pPr>
              <w:spacing w:line="360" w:lineRule="auto"/>
              <w:jc w:val="center"/>
              <w:rPr>
                <w:rFonts w:ascii="宋体" w:cs="宋体"/>
                <w:b/>
                <w:color w:val="auto"/>
                <w:szCs w:val="21"/>
                <w:highlight w:val="none"/>
              </w:rPr>
            </w:pPr>
            <w:r>
              <w:rPr>
                <w:rFonts w:hint="eastAsia" w:ascii="宋体" w:hAnsi="宋体" w:cs="宋体"/>
                <w:b/>
                <w:color w:val="auto"/>
                <w:szCs w:val="21"/>
                <w:highlight w:val="none"/>
              </w:rPr>
              <w:t>约定内容</w:t>
            </w:r>
          </w:p>
        </w:tc>
        <w:tc>
          <w:tcPr>
            <w:tcW w:w="1117" w:type="dxa"/>
            <w:noWrap w:val="0"/>
            <w:vAlign w:val="center"/>
          </w:tcPr>
          <w:p w14:paraId="6DF2163F">
            <w:pPr>
              <w:spacing w:line="360" w:lineRule="auto"/>
              <w:jc w:val="center"/>
              <w:rPr>
                <w:rFonts w:ascii="宋体" w:cs="宋体"/>
                <w:b/>
                <w:color w:val="auto"/>
                <w:szCs w:val="21"/>
                <w:highlight w:val="none"/>
              </w:rPr>
            </w:pPr>
            <w:r>
              <w:rPr>
                <w:rFonts w:hint="eastAsia" w:ascii="宋体" w:hAnsi="宋体" w:cs="宋体"/>
                <w:b/>
                <w:color w:val="auto"/>
                <w:szCs w:val="21"/>
                <w:highlight w:val="none"/>
              </w:rPr>
              <w:t>备注</w:t>
            </w:r>
          </w:p>
        </w:tc>
      </w:tr>
      <w:tr w14:paraId="29B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3EE00739">
            <w:pPr>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2161" w:type="dxa"/>
            <w:noWrap w:val="0"/>
            <w:vAlign w:val="center"/>
          </w:tcPr>
          <w:p w14:paraId="0073C837">
            <w:pPr>
              <w:spacing w:line="360" w:lineRule="auto"/>
              <w:jc w:val="left"/>
              <w:rPr>
                <w:rFonts w:ascii="宋体" w:cs="宋体"/>
                <w:color w:val="auto"/>
                <w:szCs w:val="21"/>
                <w:highlight w:val="none"/>
              </w:rPr>
            </w:pPr>
            <w:r>
              <w:rPr>
                <w:rFonts w:hint="eastAsia" w:ascii="宋体" w:hAnsi="宋体" w:cs="宋体"/>
                <w:color w:val="auto"/>
                <w:szCs w:val="21"/>
                <w:highlight w:val="none"/>
              </w:rPr>
              <w:t>总监理工程师</w:t>
            </w:r>
          </w:p>
        </w:tc>
        <w:tc>
          <w:tcPr>
            <w:tcW w:w="4228" w:type="dxa"/>
            <w:noWrap w:val="0"/>
            <w:vAlign w:val="center"/>
          </w:tcPr>
          <w:p w14:paraId="0EC4E1BB">
            <w:pPr>
              <w:spacing w:line="360" w:lineRule="auto"/>
              <w:jc w:val="left"/>
              <w:rPr>
                <w:rFonts w:ascii="宋体" w:cs="宋体"/>
                <w:color w:val="auto"/>
                <w:szCs w:val="21"/>
                <w:highlight w:val="none"/>
              </w:rPr>
            </w:pPr>
            <w:r>
              <w:rPr>
                <w:rFonts w:hint="eastAsia" w:ascii="宋体" w:hAnsi="宋体" w:cs="宋体"/>
                <w:color w:val="auto"/>
                <w:szCs w:val="21"/>
                <w:highlight w:val="none"/>
              </w:rPr>
              <w:t>姓名：</w:t>
            </w:r>
            <w:r>
              <w:rPr>
                <w:rFonts w:ascii="宋体" w:hAnsi="宋体" w:cs="宋体"/>
                <w:color w:val="auto"/>
                <w:szCs w:val="21"/>
                <w:highlight w:val="none"/>
              </w:rPr>
              <w:t xml:space="preserve">                         </w:t>
            </w:r>
          </w:p>
          <w:p w14:paraId="100BAC44">
            <w:pPr>
              <w:spacing w:line="360" w:lineRule="auto"/>
              <w:jc w:val="left"/>
              <w:rPr>
                <w:rFonts w:ascii="宋体" w:cs="宋体"/>
                <w:color w:val="auto"/>
                <w:szCs w:val="21"/>
                <w:highlight w:val="none"/>
              </w:rPr>
            </w:pPr>
            <w:r>
              <w:rPr>
                <w:rFonts w:hint="eastAsia" w:ascii="宋体" w:hAnsi="宋体" w:cs="宋体"/>
                <w:color w:val="auto"/>
                <w:szCs w:val="21"/>
                <w:highlight w:val="none"/>
              </w:rPr>
              <w:t>技术职称</w:t>
            </w: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27AADDC4">
            <w:pPr>
              <w:spacing w:line="360" w:lineRule="auto"/>
              <w:jc w:val="left"/>
              <w:rPr>
                <w:rFonts w:ascii="宋体" w:cs="宋体"/>
                <w:color w:val="auto"/>
                <w:szCs w:val="21"/>
                <w:highlight w:val="none"/>
              </w:rPr>
            </w:pPr>
            <w:r>
              <w:rPr>
                <w:rFonts w:hint="eastAsia" w:ascii="宋体" w:hAnsi="宋体" w:cs="宋体"/>
                <w:color w:val="auto"/>
                <w:szCs w:val="21"/>
                <w:highlight w:val="none"/>
              </w:rPr>
              <w:t>注册证号：</w:t>
            </w:r>
            <w:r>
              <w:rPr>
                <w:rFonts w:ascii="宋体" w:hAnsi="宋体" w:cs="宋体"/>
                <w:color w:val="auto"/>
                <w:szCs w:val="21"/>
                <w:highlight w:val="none"/>
              </w:rPr>
              <w:t xml:space="preserve">                    </w:t>
            </w:r>
          </w:p>
        </w:tc>
        <w:tc>
          <w:tcPr>
            <w:tcW w:w="1117" w:type="dxa"/>
            <w:noWrap w:val="0"/>
            <w:vAlign w:val="center"/>
          </w:tcPr>
          <w:p w14:paraId="15842283">
            <w:pPr>
              <w:spacing w:line="360" w:lineRule="auto"/>
              <w:jc w:val="left"/>
              <w:rPr>
                <w:rFonts w:ascii="宋体" w:cs="宋体"/>
                <w:color w:val="auto"/>
                <w:szCs w:val="21"/>
                <w:highlight w:val="none"/>
              </w:rPr>
            </w:pPr>
          </w:p>
        </w:tc>
      </w:tr>
      <w:tr w14:paraId="56B7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22AF5CA4">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161" w:type="dxa"/>
            <w:noWrap w:val="0"/>
            <w:vAlign w:val="center"/>
          </w:tcPr>
          <w:p w14:paraId="4AE1A16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合同价款确定方式</w:t>
            </w:r>
          </w:p>
        </w:tc>
        <w:tc>
          <w:tcPr>
            <w:tcW w:w="4228" w:type="dxa"/>
            <w:noWrap w:val="0"/>
            <w:vAlign w:val="center"/>
          </w:tcPr>
          <w:p w14:paraId="5522BCB5">
            <w:pPr>
              <w:spacing w:line="360" w:lineRule="auto"/>
              <w:jc w:val="left"/>
              <w:rPr>
                <w:rFonts w:ascii="宋体" w:cs="宋体"/>
                <w:b w:val="0"/>
                <w:bCs/>
                <w:color w:val="auto"/>
                <w:szCs w:val="21"/>
                <w:highlight w:val="none"/>
              </w:rPr>
            </w:pPr>
            <w:r>
              <w:rPr>
                <w:rFonts w:hint="eastAsia" w:ascii="宋体" w:hAnsi="宋体" w:cs="宋体"/>
                <w:b w:val="0"/>
                <w:bCs/>
                <w:color w:val="auto"/>
                <w:highlight w:val="none"/>
              </w:rPr>
              <w:t>响应</w:t>
            </w:r>
            <w:r>
              <w:rPr>
                <w:rFonts w:hint="eastAsia"/>
                <w:b w:val="0"/>
                <w:bCs/>
                <w:color w:val="auto"/>
                <w:highlight w:val="none"/>
              </w:rPr>
              <w:t>暂定价格合同</w:t>
            </w:r>
          </w:p>
        </w:tc>
        <w:tc>
          <w:tcPr>
            <w:tcW w:w="1117" w:type="dxa"/>
            <w:noWrap w:val="0"/>
            <w:vAlign w:val="center"/>
          </w:tcPr>
          <w:p w14:paraId="3BD8C8DD">
            <w:pPr>
              <w:spacing w:line="360" w:lineRule="auto"/>
              <w:jc w:val="left"/>
              <w:rPr>
                <w:rFonts w:ascii="宋体" w:cs="宋体"/>
                <w:color w:val="auto"/>
                <w:szCs w:val="21"/>
                <w:highlight w:val="none"/>
              </w:rPr>
            </w:pPr>
          </w:p>
        </w:tc>
      </w:tr>
      <w:tr w14:paraId="7A97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5241BD9D">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2161" w:type="dxa"/>
            <w:noWrap w:val="0"/>
            <w:vAlign w:val="center"/>
          </w:tcPr>
          <w:p w14:paraId="0FDD8F2C">
            <w:pPr>
              <w:spacing w:line="360" w:lineRule="auto"/>
              <w:jc w:val="left"/>
              <w:rPr>
                <w:rFonts w:ascii="宋体" w:hAnsi="宋体" w:cs="宋体"/>
                <w:color w:val="auto"/>
                <w:szCs w:val="21"/>
                <w:highlight w:val="none"/>
              </w:rPr>
            </w:pPr>
            <w:r>
              <w:rPr>
                <w:rFonts w:hint="eastAsia"/>
                <w:b/>
                <w:color w:val="auto"/>
                <w:highlight w:val="none"/>
                <w:u w:val="single"/>
                <w:lang w:val="en-US" w:eastAsia="zh-CN"/>
              </w:rPr>
              <w:t>监理目标</w:t>
            </w:r>
          </w:p>
        </w:tc>
        <w:tc>
          <w:tcPr>
            <w:tcW w:w="4228" w:type="dxa"/>
            <w:noWrap w:val="0"/>
            <w:vAlign w:val="center"/>
          </w:tcPr>
          <w:p w14:paraId="679835FF">
            <w:pPr>
              <w:spacing w:line="360" w:lineRule="auto"/>
              <w:jc w:val="left"/>
              <w:rPr>
                <w:rFonts w:ascii="宋体" w:cs="宋体"/>
                <w:b w:val="0"/>
                <w:bCs/>
                <w:color w:val="auto"/>
                <w:szCs w:val="21"/>
                <w:highlight w:val="none"/>
              </w:rPr>
            </w:pPr>
            <w:r>
              <w:rPr>
                <w:rFonts w:hint="eastAsia"/>
                <w:b w:val="0"/>
                <w:bCs/>
                <w:color w:val="auto"/>
                <w:highlight w:val="none"/>
              </w:rPr>
              <w:t>按招标文件要求</w:t>
            </w:r>
          </w:p>
        </w:tc>
        <w:tc>
          <w:tcPr>
            <w:tcW w:w="1117" w:type="dxa"/>
            <w:noWrap w:val="0"/>
            <w:vAlign w:val="center"/>
          </w:tcPr>
          <w:p w14:paraId="42AC748D">
            <w:pPr>
              <w:spacing w:line="360" w:lineRule="auto"/>
              <w:jc w:val="left"/>
              <w:rPr>
                <w:rFonts w:ascii="宋体" w:cs="宋体"/>
                <w:color w:val="auto"/>
                <w:szCs w:val="21"/>
                <w:highlight w:val="none"/>
              </w:rPr>
            </w:pPr>
          </w:p>
        </w:tc>
      </w:tr>
      <w:tr w14:paraId="33CE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3" w:type="dxa"/>
            <w:noWrap w:val="0"/>
            <w:vAlign w:val="center"/>
          </w:tcPr>
          <w:p w14:paraId="6BB4FCC1">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2161" w:type="dxa"/>
            <w:noWrap w:val="0"/>
            <w:vAlign w:val="center"/>
          </w:tcPr>
          <w:p w14:paraId="618F165F">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监理</w:t>
            </w:r>
            <w:r>
              <w:rPr>
                <w:rFonts w:hint="eastAsia" w:ascii="宋体" w:hAnsi="宋体" w:cs="宋体"/>
                <w:color w:val="auto"/>
                <w:szCs w:val="21"/>
                <w:highlight w:val="none"/>
                <w:lang w:eastAsia="zh-CN"/>
              </w:rPr>
              <w:t>服务期限</w:t>
            </w:r>
          </w:p>
        </w:tc>
        <w:tc>
          <w:tcPr>
            <w:tcW w:w="4228" w:type="dxa"/>
            <w:noWrap w:val="0"/>
            <w:vAlign w:val="center"/>
          </w:tcPr>
          <w:p w14:paraId="77A54DDA">
            <w:pPr>
              <w:spacing w:line="360" w:lineRule="auto"/>
              <w:jc w:val="left"/>
              <w:rPr>
                <w:rFonts w:ascii="宋体" w:cs="宋体"/>
                <w:b w:val="0"/>
                <w:bCs/>
                <w:color w:val="auto"/>
                <w:szCs w:val="21"/>
                <w:highlight w:val="none"/>
              </w:rPr>
            </w:pPr>
            <w:r>
              <w:rPr>
                <w:rFonts w:hint="eastAsia"/>
                <w:b w:val="0"/>
                <w:bCs/>
                <w:color w:val="auto"/>
                <w:highlight w:val="none"/>
              </w:rPr>
              <w:t>按招标文件要求</w:t>
            </w:r>
          </w:p>
        </w:tc>
        <w:tc>
          <w:tcPr>
            <w:tcW w:w="1117" w:type="dxa"/>
            <w:noWrap w:val="0"/>
            <w:vAlign w:val="center"/>
          </w:tcPr>
          <w:p w14:paraId="2202540F">
            <w:pPr>
              <w:spacing w:line="360" w:lineRule="auto"/>
              <w:jc w:val="left"/>
              <w:rPr>
                <w:rFonts w:ascii="宋体" w:cs="宋体"/>
                <w:color w:val="auto"/>
                <w:szCs w:val="21"/>
                <w:highlight w:val="none"/>
              </w:rPr>
            </w:pPr>
          </w:p>
        </w:tc>
      </w:tr>
      <w:tr w14:paraId="4789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noWrap w:val="0"/>
            <w:vAlign w:val="center"/>
          </w:tcPr>
          <w:p w14:paraId="00B63A93">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161" w:type="dxa"/>
            <w:noWrap w:val="0"/>
            <w:vAlign w:val="center"/>
          </w:tcPr>
          <w:p w14:paraId="3C08741C">
            <w:pPr>
              <w:spacing w:line="360" w:lineRule="auto"/>
              <w:jc w:val="both"/>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建筑安装工程费</w:t>
            </w:r>
          </w:p>
        </w:tc>
        <w:tc>
          <w:tcPr>
            <w:tcW w:w="4228" w:type="dxa"/>
            <w:noWrap w:val="0"/>
            <w:vAlign w:val="center"/>
          </w:tcPr>
          <w:p w14:paraId="6A0B63BC">
            <w:pPr>
              <w:spacing w:line="360" w:lineRule="auto"/>
              <w:jc w:val="left"/>
              <w:rPr>
                <w:rFonts w:hint="eastAsia" w:ascii="宋体" w:hAnsi="宋体" w:eastAsia="宋体" w:cs="宋体"/>
                <w:color w:val="auto"/>
                <w:szCs w:val="21"/>
                <w:highlight w:val="none"/>
                <w:u w:val="single"/>
                <w:lang w:eastAsia="zh-CN"/>
              </w:rPr>
            </w:pPr>
            <w:r>
              <w:rPr>
                <w:rFonts w:hint="eastAsia" w:ascii="宋体" w:hAnsi="宋体" w:eastAsia="宋体" w:cs="宋体"/>
                <w:b/>
                <w:bCs/>
                <w:color w:val="auto"/>
                <w:szCs w:val="21"/>
                <w:highlight w:val="none"/>
                <w:u w:val="single"/>
              </w:rPr>
              <w:t>工程费用约8458.16万元</w:t>
            </w:r>
            <w:r>
              <w:rPr>
                <w:rFonts w:hint="eastAsia" w:ascii="宋体" w:hAnsi="宋体" w:cs="宋体"/>
                <w:b/>
                <w:bCs/>
                <w:color w:val="auto"/>
                <w:szCs w:val="21"/>
                <w:highlight w:val="none"/>
                <w:u w:val="single"/>
                <w:lang w:eastAsia="zh-CN"/>
              </w:rPr>
              <w:t>（含通讯迁改费</w:t>
            </w:r>
            <w:r>
              <w:rPr>
                <w:rFonts w:hint="eastAsia" w:ascii="宋体" w:hAnsi="宋体" w:cs="宋体"/>
                <w:b/>
                <w:bCs/>
                <w:color w:val="auto"/>
                <w:szCs w:val="21"/>
                <w:highlight w:val="none"/>
                <w:u w:val="single"/>
                <w:lang w:val="en-US" w:eastAsia="zh-CN"/>
              </w:rPr>
              <w:t>105.16万元</w:t>
            </w:r>
            <w:r>
              <w:rPr>
                <w:rFonts w:hint="eastAsia" w:ascii="宋体" w:hAnsi="宋体" w:cs="宋体"/>
                <w:b/>
                <w:bCs/>
                <w:color w:val="auto"/>
                <w:szCs w:val="21"/>
                <w:highlight w:val="none"/>
                <w:u w:val="single"/>
                <w:lang w:eastAsia="zh-CN"/>
              </w:rPr>
              <w:t>）</w:t>
            </w:r>
          </w:p>
        </w:tc>
        <w:tc>
          <w:tcPr>
            <w:tcW w:w="1117" w:type="dxa"/>
            <w:noWrap w:val="0"/>
            <w:vAlign w:val="center"/>
          </w:tcPr>
          <w:p w14:paraId="3183B7F9">
            <w:pPr>
              <w:spacing w:line="360" w:lineRule="auto"/>
              <w:jc w:val="left"/>
              <w:rPr>
                <w:rFonts w:ascii="宋体" w:cs="宋体"/>
                <w:color w:val="auto"/>
                <w:szCs w:val="21"/>
                <w:highlight w:val="none"/>
              </w:rPr>
            </w:pPr>
          </w:p>
        </w:tc>
      </w:tr>
      <w:tr w14:paraId="36B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14:paraId="2139A7D8">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161" w:type="dxa"/>
            <w:noWrap w:val="0"/>
            <w:vAlign w:val="center"/>
          </w:tcPr>
          <w:p w14:paraId="7D5978FB">
            <w:pPr>
              <w:spacing w:line="360" w:lineRule="auto"/>
              <w:jc w:val="both"/>
              <w:rPr>
                <w:rFonts w:hint="eastAsia" w:ascii="宋体" w:hAnsi="宋体"/>
                <w:b/>
                <w:color w:val="auto"/>
                <w:szCs w:val="21"/>
                <w:highlight w:val="none"/>
                <w:u w:val="single"/>
              </w:rPr>
            </w:pPr>
            <w:r>
              <w:rPr>
                <w:rFonts w:hint="eastAsia" w:ascii="宋体" w:hAnsi="宋体"/>
                <w:b/>
                <w:color w:val="auto"/>
                <w:szCs w:val="21"/>
                <w:highlight w:val="none"/>
              </w:rPr>
              <w:t>监理报价计费额</w:t>
            </w:r>
          </w:p>
        </w:tc>
        <w:tc>
          <w:tcPr>
            <w:tcW w:w="4228" w:type="dxa"/>
            <w:noWrap w:val="0"/>
            <w:vAlign w:val="center"/>
          </w:tcPr>
          <w:p w14:paraId="054A57D5">
            <w:pPr>
              <w:spacing w:line="360" w:lineRule="auto"/>
              <w:jc w:val="both"/>
              <w:rPr>
                <w:rFonts w:hint="eastAsia" w:ascii="宋体" w:hAnsi="宋体" w:eastAsia="宋体" w:cs="宋体"/>
                <w:b/>
                <w:color w:val="auto"/>
                <w:szCs w:val="21"/>
                <w:highlight w:val="none"/>
                <w:lang w:eastAsia="zh-CN"/>
              </w:rPr>
            </w:pPr>
            <w:r>
              <w:rPr>
                <w:rFonts w:hint="eastAsia" w:ascii="宋体" w:hAnsi="宋体" w:cs="宋体"/>
                <w:b/>
                <w:color w:val="auto"/>
                <w:highlight w:val="none"/>
                <w:lang w:val="en-US" w:eastAsia="zh-CN"/>
              </w:rPr>
              <w:t xml:space="preserve"> </w:t>
            </w:r>
            <w:r>
              <w:rPr>
                <w:rFonts w:hint="eastAsia" w:ascii="宋体" w:hAnsi="宋体" w:cs="宋体"/>
                <w:b/>
                <w:color w:val="auto"/>
                <w:highlight w:val="none"/>
                <w:u w:val="single"/>
                <w:lang w:val="en-US" w:eastAsia="zh-CN"/>
              </w:rPr>
              <w:t xml:space="preserve">       </w:t>
            </w:r>
            <w:r>
              <w:rPr>
                <w:rFonts w:hint="eastAsia" w:ascii="宋体" w:hAnsi="宋体" w:cs="宋体"/>
                <w:b/>
                <w:color w:val="auto"/>
                <w:highlight w:val="none"/>
              </w:rPr>
              <w:t>万元</w:t>
            </w:r>
          </w:p>
        </w:tc>
        <w:tc>
          <w:tcPr>
            <w:tcW w:w="1117" w:type="dxa"/>
            <w:noWrap w:val="0"/>
            <w:vAlign w:val="center"/>
          </w:tcPr>
          <w:p w14:paraId="61DE52EC">
            <w:pPr>
              <w:spacing w:line="360" w:lineRule="auto"/>
              <w:jc w:val="left"/>
              <w:rPr>
                <w:rFonts w:ascii="宋体" w:cs="宋体"/>
                <w:color w:val="auto"/>
                <w:szCs w:val="21"/>
                <w:highlight w:val="none"/>
              </w:rPr>
            </w:pPr>
          </w:p>
        </w:tc>
      </w:tr>
      <w:tr w14:paraId="7319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481707CE">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161" w:type="dxa"/>
            <w:noWrap w:val="0"/>
            <w:vAlign w:val="center"/>
          </w:tcPr>
          <w:p w14:paraId="35E26E1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投标总报价（元）</w:t>
            </w:r>
          </w:p>
        </w:tc>
        <w:tc>
          <w:tcPr>
            <w:tcW w:w="4228" w:type="dxa"/>
            <w:noWrap w:val="0"/>
            <w:vAlign w:val="center"/>
          </w:tcPr>
          <w:p w14:paraId="6091E2EC">
            <w:pPr>
              <w:spacing w:line="360" w:lineRule="auto"/>
              <w:jc w:val="left"/>
              <w:rPr>
                <w:rFonts w:ascii="宋体" w:cs="宋体"/>
                <w:color w:val="auto"/>
                <w:szCs w:val="21"/>
                <w:highlight w:val="none"/>
              </w:rPr>
            </w:pPr>
          </w:p>
        </w:tc>
        <w:tc>
          <w:tcPr>
            <w:tcW w:w="1117" w:type="dxa"/>
            <w:noWrap w:val="0"/>
            <w:vAlign w:val="center"/>
          </w:tcPr>
          <w:p w14:paraId="1E5DCEB2">
            <w:pPr>
              <w:spacing w:line="360" w:lineRule="auto"/>
              <w:jc w:val="left"/>
              <w:rPr>
                <w:rFonts w:ascii="宋体" w:cs="宋体"/>
                <w:color w:val="auto"/>
                <w:szCs w:val="21"/>
                <w:highlight w:val="none"/>
              </w:rPr>
            </w:pPr>
          </w:p>
        </w:tc>
      </w:tr>
      <w:tr w14:paraId="7EBB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66276C83">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161" w:type="dxa"/>
            <w:noWrap w:val="0"/>
            <w:vAlign w:val="center"/>
          </w:tcPr>
          <w:p w14:paraId="3EC0D34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法人营业执照证号</w:t>
            </w:r>
          </w:p>
        </w:tc>
        <w:tc>
          <w:tcPr>
            <w:tcW w:w="4228" w:type="dxa"/>
            <w:noWrap w:val="0"/>
            <w:vAlign w:val="center"/>
          </w:tcPr>
          <w:p w14:paraId="0F4F60A8">
            <w:pPr>
              <w:spacing w:line="360" w:lineRule="auto"/>
              <w:jc w:val="left"/>
              <w:rPr>
                <w:rFonts w:ascii="宋体" w:cs="宋体"/>
                <w:color w:val="auto"/>
                <w:szCs w:val="21"/>
                <w:highlight w:val="none"/>
              </w:rPr>
            </w:pPr>
          </w:p>
        </w:tc>
        <w:tc>
          <w:tcPr>
            <w:tcW w:w="1117" w:type="dxa"/>
            <w:noWrap w:val="0"/>
            <w:vAlign w:val="center"/>
          </w:tcPr>
          <w:p w14:paraId="0138563A">
            <w:pPr>
              <w:spacing w:line="360" w:lineRule="auto"/>
              <w:jc w:val="left"/>
              <w:rPr>
                <w:rFonts w:ascii="宋体" w:cs="宋体"/>
                <w:color w:val="auto"/>
                <w:szCs w:val="21"/>
                <w:highlight w:val="none"/>
              </w:rPr>
            </w:pPr>
          </w:p>
        </w:tc>
      </w:tr>
      <w:tr w14:paraId="3338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12219A36">
            <w:pPr>
              <w:spacing w:line="360" w:lineRule="auto"/>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161" w:type="dxa"/>
            <w:noWrap w:val="0"/>
            <w:vAlign w:val="center"/>
          </w:tcPr>
          <w:p w14:paraId="2845424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资质等级及证书号</w:t>
            </w:r>
          </w:p>
        </w:tc>
        <w:tc>
          <w:tcPr>
            <w:tcW w:w="4228" w:type="dxa"/>
            <w:noWrap w:val="0"/>
            <w:vAlign w:val="center"/>
          </w:tcPr>
          <w:p w14:paraId="0CDC87FD">
            <w:pPr>
              <w:spacing w:line="360" w:lineRule="auto"/>
              <w:jc w:val="left"/>
              <w:rPr>
                <w:rFonts w:ascii="宋体" w:cs="宋体"/>
                <w:color w:val="auto"/>
                <w:szCs w:val="21"/>
                <w:highlight w:val="none"/>
              </w:rPr>
            </w:pPr>
          </w:p>
        </w:tc>
        <w:tc>
          <w:tcPr>
            <w:tcW w:w="1117" w:type="dxa"/>
            <w:noWrap w:val="0"/>
            <w:vAlign w:val="center"/>
          </w:tcPr>
          <w:p w14:paraId="001D2369">
            <w:pPr>
              <w:spacing w:line="360" w:lineRule="auto"/>
              <w:jc w:val="left"/>
              <w:rPr>
                <w:rFonts w:ascii="宋体" w:cs="宋体"/>
                <w:color w:val="auto"/>
                <w:szCs w:val="21"/>
                <w:highlight w:val="none"/>
              </w:rPr>
            </w:pPr>
          </w:p>
        </w:tc>
      </w:tr>
      <w:tr w14:paraId="053A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786ACDAE">
            <w:pPr>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161" w:type="dxa"/>
            <w:noWrap w:val="0"/>
            <w:vAlign w:val="center"/>
          </w:tcPr>
          <w:p w14:paraId="3F5531D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投标有效期</w:t>
            </w:r>
          </w:p>
        </w:tc>
        <w:tc>
          <w:tcPr>
            <w:tcW w:w="4228" w:type="dxa"/>
            <w:noWrap w:val="0"/>
            <w:vAlign w:val="center"/>
          </w:tcPr>
          <w:p w14:paraId="2C1B6AA9">
            <w:pPr>
              <w:spacing w:line="360" w:lineRule="auto"/>
              <w:jc w:val="left"/>
              <w:rPr>
                <w:rFonts w:ascii="宋体" w:cs="宋体"/>
                <w:color w:val="auto"/>
                <w:szCs w:val="21"/>
                <w:highlight w:val="none"/>
              </w:rPr>
            </w:pPr>
          </w:p>
        </w:tc>
        <w:tc>
          <w:tcPr>
            <w:tcW w:w="1117" w:type="dxa"/>
            <w:noWrap w:val="0"/>
            <w:vAlign w:val="center"/>
          </w:tcPr>
          <w:p w14:paraId="5C719DA4">
            <w:pPr>
              <w:spacing w:line="360" w:lineRule="auto"/>
              <w:jc w:val="left"/>
              <w:rPr>
                <w:rFonts w:ascii="宋体" w:cs="宋体"/>
                <w:color w:val="auto"/>
                <w:szCs w:val="21"/>
                <w:highlight w:val="none"/>
              </w:rPr>
            </w:pPr>
          </w:p>
        </w:tc>
      </w:tr>
    </w:tbl>
    <w:p w14:paraId="094514D0">
      <w:pPr>
        <w:pStyle w:val="8"/>
        <w:spacing w:line="360" w:lineRule="auto"/>
        <w:rPr>
          <w:rFonts w:hint="eastAsia"/>
          <w:color w:val="auto"/>
          <w:highlight w:val="none"/>
          <w:lang w:eastAsia="zh-CN"/>
        </w:rPr>
      </w:pPr>
    </w:p>
    <w:p w14:paraId="084D0D83">
      <w:pPr>
        <w:spacing w:line="360" w:lineRule="auto"/>
        <w:rPr>
          <w:rFonts w:hint="eastAsia"/>
          <w:color w:val="auto"/>
          <w:highlight w:val="none"/>
          <w:lang w:eastAsia="zh-CN"/>
        </w:rPr>
      </w:pPr>
      <w:r>
        <w:rPr>
          <w:rFonts w:hint="eastAsia"/>
          <w:color w:val="auto"/>
          <w:highlight w:val="none"/>
          <w:lang w:eastAsia="zh-CN"/>
        </w:rPr>
        <w:t>注：1、监理报价只保留小数点后两位，小数点后第三位及第三位数后做舍弃。</w:t>
      </w:r>
    </w:p>
    <w:p w14:paraId="48F29C5C">
      <w:pPr>
        <w:spacing w:line="360" w:lineRule="auto"/>
        <w:rPr>
          <w:rFonts w:hint="eastAsia"/>
          <w:color w:val="auto"/>
          <w:highlight w:val="none"/>
          <w:lang w:eastAsia="zh-CN"/>
        </w:rPr>
      </w:pPr>
      <w:r>
        <w:rPr>
          <w:rFonts w:hint="eastAsia"/>
          <w:color w:val="auto"/>
          <w:highlight w:val="none"/>
          <w:lang w:eastAsia="zh-CN"/>
        </w:rPr>
        <w:t>2、监理费的具体结算原则详见合同条款的约定。</w:t>
      </w:r>
    </w:p>
    <w:p w14:paraId="0ED38850">
      <w:pPr>
        <w:spacing w:line="360" w:lineRule="auto"/>
        <w:rPr>
          <w:rFonts w:hint="eastAsia"/>
          <w:color w:val="auto"/>
          <w:highlight w:val="none"/>
          <w:lang w:eastAsia="zh-CN"/>
        </w:rPr>
      </w:pPr>
      <w:r>
        <w:rPr>
          <w:rFonts w:hint="eastAsia"/>
          <w:color w:val="auto"/>
          <w:highlight w:val="none"/>
          <w:lang w:eastAsia="zh-CN"/>
        </w:rPr>
        <w:t>3、经算术复核的投标人报价与其投标报价不一致时，按就低不就高原则确定其最终报价。如修正后的投标报价超出相应的最高投标限价，则由评标委员作废标处理。</w:t>
      </w:r>
    </w:p>
    <w:p w14:paraId="50D02282">
      <w:pPr>
        <w:spacing w:line="360" w:lineRule="auto"/>
        <w:rPr>
          <w:rFonts w:hint="eastAsia"/>
          <w:color w:val="auto"/>
          <w:highlight w:val="none"/>
          <w:lang w:eastAsia="zh-CN"/>
        </w:rPr>
      </w:pPr>
      <w:r>
        <w:rPr>
          <w:rFonts w:hint="eastAsia"/>
          <w:color w:val="auto"/>
          <w:highlight w:val="none"/>
          <w:lang w:eastAsia="zh-CN"/>
        </w:rPr>
        <w:t>4、按上述修正错误的原则及方法调整或修正投标文件的投标报价，调整后的投标报价对投标人起约束作用。如果投标人不接受修正后的报价，则取消其中标资格。</w:t>
      </w:r>
    </w:p>
    <w:p w14:paraId="2CD703C6">
      <w:pPr>
        <w:spacing w:line="360" w:lineRule="auto"/>
        <w:rPr>
          <w:rFonts w:hint="eastAsia"/>
          <w:color w:val="auto"/>
          <w:highlight w:val="none"/>
          <w:lang w:eastAsia="zh-CN"/>
        </w:rPr>
      </w:pPr>
    </w:p>
    <w:p w14:paraId="78D977E9">
      <w:pPr>
        <w:pStyle w:val="8"/>
        <w:spacing w:line="360" w:lineRule="auto"/>
        <w:rPr>
          <w:rFonts w:hint="eastAsia"/>
          <w:color w:val="auto"/>
          <w:highlight w:val="none"/>
          <w:lang w:eastAsia="zh-CN"/>
        </w:rPr>
      </w:pPr>
    </w:p>
    <w:p w14:paraId="6271BE42">
      <w:pPr>
        <w:spacing w:line="360" w:lineRule="auto"/>
        <w:ind w:firstLine="2880" w:firstLineChars="1200"/>
        <w:jc w:val="left"/>
        <w:rPr>
          <w:color w:val="auto"/>
          <w:sz w:val="24"/>
          <w:szCs w:val="24"/>
          <w:highlight w:val="none"/>
        </w:rPr>
      </w:pPr>
      <w:r>
        <w:rPr>
          <w:rFonts w:hint="eastAsia" w:ascii="宋体" w:hAnsi="宋体" w:cs="宋体"/>
          <w:color w:val="auto"/>
          <w:sz w:val="24"/>
          <w:szCs w:val="24"/>
          <w:highlight w:val="none"/>
        </w:rPr>
        <w:t>投标人：</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29C08E19">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rPr>
        <w:t>法定代表人或其委托代理人：</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rPr>
        <w:t>（签字或盖章）</w:t>
      </w:r>
    </w:p>
    <w:p w14:paraId="294EC8DF">
      <w:pPr>
        <w:spacing w:line="360" w:lineRule="auto"/>
        <w:ind w:firstLine="5400" w:firstLineChars="2250"/>
        <w:jc w:val="right"/>
        <w:rPr>
          <w:color w:val="auto"/>
          <w:szCs w:val="21"/>
          <w:highlight w:val="none"/>
        </w:rPr>
      </w:pP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14:paraId="189CC20B">
      <w:pPr>
        <w:spacing w:line="360" w:lineRule="auto"/>
        <w:rPr>
          <w:rFonts w:hint="eastAsia"/>
          <w:color w:val="auto"/>
          <w:highlight w:val="none"/>
          <w:lang w:eastAsia="zh-CN"/>
        </w:rPr>
      </w:pPr>
    </w:p>
    <w:p w14:paraId="7373EA80">
      <w:pPr>
        <w:pStyle w:val="8"/>
        <w:spacing w:line="360" w:lineRule="auto"/>
        <w:rPr>
          <w:rFonts w:hint="eastAsia"/>
          <w:color w:val="auto"/>
          <w:highlight w:val="none"/>
          <w:lang w:eastAsia="zh-CN"/>
        </w:rPr>
      </w:pPr>
    </w:p>
    <w:p w14:paraId="332D1E9D">
      <w:pPr>
        <w:spacing w:line="360" w:lineRule="auto"/>
        <w:rPr>
          <w:rFonts w:hint="eastAsia"/>
          <w:color w:val="auto"/>
          <w:highlight w:val="none"/>
          <w:lang w:eastAsia="zh-CN"/>
        </w:rPr>
      </w:pPr>
    </w:p>
    <w:p w14:paraId="5A268F0F">
      <w:pPr>
        <w:pStyle w:val="8"/>
        <w:numPr>
          <w:ilvl w:val="0"/>
          <w:numId w:val="0"/>
        </w:numPr>
        <w:spacing w:line="360" w:lineRule="auto"/>
        <w:ind w:leftChars="0"/>
        <w:rPr>
          <w:color w:val="auto"/>
          <w:highlight w:val="none"/>
        </w:rPr>
      </w:pPr>
    </w:p>
    <w:p w14:paraId="66F70096">
      <w:pPr>
        <w:pStyle w:val="5"/>
        <w:bidi w:val="0"/>
        <w:spacing w:line="360" w:lineRule="auto"/>
        <w:jc w:val="center"/>
        <w:rPr>
          <w:rFonts w:hint="eastAsia" w:ascii="黑体" w:hAnsi="黑体" w:eastAsia="黑体" w:cs="黑体"/>
          <w:color w:val="auto"/>
          <w:sz w:val="28"/>
          <w:szCs w:val="28"/>
          <w:highlight w:val="none"/>
          <w:lang w:eastAsia="zh-CN"/>
        </w:rPr>
      </w:pPr>
      <w:bookmarkStart w:id="1612" w:name="_Toc27319"/>
      <w:bookmarkStart w:id="1613" w:name="_Toc25883"/>
      <w:bookmarkStart w:id="1614" w:name="_Toc9548"/>
      <w:bookmarkStart w:id="1615" w:name="_Toc15678"/>
      <w:bookmarkStart w:id="1616" w:name="_Toc526786510"/>
      <w:bookmarkStart w:id="1617" w:name="_Toc2333"/>
      <w:bookmarkStart w:id="1618" w:name="_Toc21346"/>
      <w:bookmarkStart w:id="1619" w:name="_Toc8404"/>
      <w:bookmarkStart w:id="1620" w:name="_Toc59200713"/>
      <w:bookmarkStart w:id="1621" w:name="_Toc7094"/>
      <w:bookmarkStart w:id="1622" w:name="_Toc16034"/>
      <w:bookmarkStart w:id="1623" w:name="_Toc3420"/>
      <w:bookmarkStart w:id="1624" w:name="_Toc23566"/>
      <w:bookmarkStart w:id="1625" w:name="_Toc26602"/>
      <w:r>
        <w:rPr>
          <w:rFonts w:hint="eastAsia" w:ascii="宋体" w:hAnsi="宋体" w:eastAsia="宋体" w:cs="宋体"/>
          <w:b/>
          <w:bCs w:val="0"/>
          <w:color w:val="auto"/>
          <w:sz w:val="28"/>
          <w:szCs w:val="28"/>
          <w:highlight w:val="none"/>
        </w:rPr>
        <w:t>二</w:t>
      </w:r>
      <w:bookmarkEnd w:id="1583"/>
      <w:bookmarkEnd w:id="1584"/>
      <w:bookmarkEnd w:id="1585"/>
      <w:bookmarkEnd w:id="1586"/>
      <w:bookmarkEnd w:id="1587"/>
      <w:bookmarkEnd w:id="1588"/>
      <w:bookmarkEnd w:id="1589"/>
      <w:bookmarkEnd w:id="1590"/>
      <w:bookmarkEnd w:id="1591"/>
      <w:bookmarkEnd w:id="1592"/>
      <w:bookmarkEnd w:id="1593"/>
      <w:r>
        <w:rPr>
          <w:rFonts w:hint="eastAsia" w:ascii="宋体" w:hAnsi="宋体" w:eastAsia="宋体" w:cs="宋体"/>
          <w:b/>
          <w:bCs w:val="0"/>
          <w:color w:val="auto"/>
          <w:sz w:val="28"/>
          <w:szCs w:val="28"/>
          <w:highlight w:val="none"/>
        </w:rPr>
        <w:t>、法定代表人身份证明</w:t>
      </w:r>
      <w:bookmarkEnd w:id="1612"/>
      <w:bookmarkEnd w:id="1613"/>
      <w:bookmarkEnd w:id="1614"/>
      <w:bookmarkEnd w:id="1615"/>
      <w:bookmarkEnd w:id="1616"/>
      <w:bookmarkEnd w:id="1617"/>
      <w:bookmarkEnd w:id="1618"/>
      <w:bookmarkEnd w:id="1619"/>
      <w:bookmarkEnd w:id="1620"/>
      <w:bookmarkEnd w:id="1621"/>
      <w:r>
        <w:rPr>
          <w:rFonts w:hint="eastAsia" w:ascii="宋体" w:hAnsi="宋体" w:eastAsia="宋体" w:cs="宋体"/>
          <w:b/>
          <w:bCs w:val="0"/>
          <w:color w:val="auto"/>
          <w:sz w:val="28"/>
          <w:szCs w:val="28"/>
          <w:highlight w:val="none"/>
          <w:lang w:eastAsia="zh-CN"/>
        </w:rPr>
        <w:t>书</w:t>
      </w:r>
      <w:bookmarkEnd w:id="1622"/>
      <w:bookmarkEnd w:id="1623"/>
      <w:bookmarkEnd w:id="1624"/>
      <w:bookmarkEnd w:id="1625"/>
    </w:p>
    <w:p w14:paraId="79184084">
      <w:pPr>
        <w:spacing w:line="360" w:lineRule="auto"/>
        <w:rPr>
          <w:color w:val="auto"/>
          <w:sz w:val="20"/>
          <w:highlight w:val="none"/>
        </w:rPr>
      </w:pPr>
    </w:p>
    <w:p w14:paraId="1BC685BF">
      <w:pPr>
        <w:spacing w:line="360" w:lineRule="auto"/>
        <w:rPr>
          <w:color w:val="auto"/>
          <w:highlight w:val="none"/>
        </w:rPr>
      </w:pPr>
    </w:p>
    <w:p w14:paraId="14D50D19">
      <w:pPr>
        <w:spacing w:line="360" w:lineRule="auto"/>
        <w:rPr>
          <w:color w:val="auto"/>
          <w:sz w:val="21"/>
          <w:szCs w:val="21"/>
          <w:highlight w:val="none"/>
        </w:rPr>
      </w:pPr>
      <w:r>
        <w:rPr>
          <w:rFonts w:hint="eastAsia"/>
          <w:color w:val="auto"/>
          <w:sz w:val="21"/>
          <w:szCs w:val="21"/>
          <w:highlight w:val="none"/>
        </w:rPr>
        <w:t>投标人名称：</w:t>
      </w:r>
      <w:r>
        <w:rPr>
          <w:color w:val="auto"/>
          <w:sz w:val="21"/>
          <w:szCs w:val="21"/>
          <w:highlight w:val="none"/>
          <w:u w:val="single"/>
        </w:rPr>
        <w:t xml:space="preserve">                        </w:t>
      </w:r>
    </w:p>
    <w:p w14:paraId="792C970F">
      <w:pPr>
        <w:spacing w:line="360" w:lineRule="auto"/>
        <w:rPr>
          <w:color w:val="auto"/>
          <w:sz w:val="21"/>
          <w:szCs w:val="21"/>
          <w:highlight w:val="none"/>
        </w:rPr>
      </w:pPr>
      <w:r>
        <w:rPr>
          <w:rFonts w:hint="eastAsia"/>
          <w:color w:val="auto"/>
          <w:sz w:val="21"/>
          <w:szCs w:val="21"/>
          <w:highlight w:val="none"/>
        </w:rPr>
        <w:t>姓名：</w:t>
      </w:r>
      <w:r>
        <w:rPr>
          <w:color w:val="auto"/>
          <w:sz w:val="21"/>
          <w:szCs w:val="21"/>
          <w:highlight w:val="none"/>
          <w:u w:val="single"/>
        </w:rPr>
        <w:t xml:space="preserve">                </w:t>
      </w:r>
      <w:r>
        <w:rPr>
          <w:rFonts w:hint="eastAsia"/>
          <w:color w:val="auto"/>
          <w:sz w:val="21"/>
          <w:szCs w:val="21"/>
          <w:highlight w:val="none"/>
        </w:rPr>
        <w:t>性别：</w:t>
      </w:r>
      <w:bookmarkStart w:id="1626" w:name="_Toc27897"/>
      <w:bookmarkStart w:id="1627" w:name="_Toc352691662"/>
      <w:bookmarkStart w:id="1628" w:name="_Toc369531698"/>
      <w:r>
        <w:rPr>
          <w:color w:val="auto"/>
          <w:sz w:val="21"/>
          <w:szCs w:val="21"/>
          <w:highlight w:val="none"/>
          <w:u w:val="single"/>
        </w:rPr>
        <w:t xml:space="preserve">        </w:t>
      </w:r>
      <w:r>
        <w:rPr>
          <w:rFonts w:hint="eastAsia"/>
          <w:color w:val="auto"/>
          <w:sz w:val="21"/>
          <w:szCs w:val="21"/>
          <w:highlight w:val="none"/>
        </w:rPr>
        <w:t>年</w:t>
      </w:r>
      <w:bookmarkEnd w:id="1626"/>
      <w:bookmarkEnd w:id="1627"/>
      <w:bookmarkEnd w:id="1628"/>
      <w:r>
        <w:rPr>
          <w:rFonts w:hint="eastAsia"/>
          <w:color w:val="auto"/>
          <w:sz w:val="21"/>
          <w:szCs w:val="21"/>
          <w:highlight w:val="none"/>
        </w:rPr>
        <w:t>龄</w:t>
      </w:r>
      <w:bookmarkStart w:id="1629" w:name="_Toc247514248"/>
      <w:bookmarkStart w:id="1630" w:name="_Toc361508754"/>
      <w:bookmarkStart w:id="1631" w:name="_Toc144974858"/>
      <w:bookmarkStart w:id="1632" w:name="_Toc152042578"/>
      <w:bookmarkStart w:id="1633" w:name="_Toc300835211"/>
      <w:bookmarkStart w:id="1634" w:name="_Toc384308377"/>
      <w:bookmarkStart w:id="1635" w:name="_Toc15573"/>
      <w:bookmarkStart w:id="1636" w:name="_Toc352691663"/>
      <w:bookmarkStart w:id="1637" w:name="_Toc152045789"/>
      <w:bookmarkStart w:id="1638" w:name="_Toc247527829"/>
      <w:bookmarkStart w:id="1639" w:name="_Toc369531699"/>
      <w:r>
        <w:rPr>
          <w:rFonts w:hint="eastAsia"/>
          <w:color w:val="auto"/>
          <w:sz w:val="21"/>
          <w:szCs w:val="21"/>
          <w:highlight w:val="none"/>
        </w:rPr>
        <w:t>：</w:t>
      </w:r>
      <w:bookmarkEnd w:id="1629"/>
      <w:bookmarkEnd w:id="1630"/>
      <w:bookmarkEnd w:id="1631"/>
      <w:bookmarkEnd w:id="1632"/>
      <w:bookmarkEnd w:id="1633"/>
      <w:bookmarkEnd w:id="1634"/>
      <w:bookmarkEnd w:id="1635"/>
      <w:bookmarkEnd w:id="1636"/>
      <w:bookmarkEnd w:id="1637"/>
      <w:bookmarkEnd w:id="1638"/>
      <w:bookmarkEnd w:id="1639"/>
      <w:r>
        <w:rPr>
          <w:color w:val="auto"/>
          <w:sz w:val="21"/>
          <w:szCs w:val="21"/>
          <w:highlight w:val="none"/>
          <w:u w:val="single"/>
        </w:rPr>
        <w:t xml:space="preserve">        </w:t>
      </w:r>
      <w:r>
        <w:rPr>
          <w:rFonts w:hint="eastAsia"/>
          <w:color w:val="auto"/>
          <w:sz w:val="21"/>
          <w:szCs w:val="21"/>
          <w:highlight w:val="none"/>
        </w:rPr>
        <w:t>职务：</w:t>
      </w:r>
      <w:r>
        <w:rPr>
          <w:color w:val="auto"/>
          <w:sz w:val="21"/>
          <w:szCs w:val="21"/>
          <w:highlight w:val="none"/>
          <w:u w:val="single"/>
        </w:rPr>
        <w:t xml:space="preserve">        </w:t>
      </w:r>
    </w:p>
    <w:p w14:paraId="12134F40">
      <w:pPr>
        <w:spacing w:line="360" w:lineRule="auto"/>
        <w:rPr>
          <w:color w:val="auto"/>
          <w:sz w:val="21"/>
          <w:szCs w:val="21"/>
          <w:highlight w:val="none"/>
        </w:rPr>
      </w:pPr>
      <w:r>
        <w:rPr>
          <w:rFonts w:hint="eastAsia"/>
          <w:color w:val="auto"/>
          <w:sz w:val="21"/>
          <w:szCs w:val="21"/>
          <w:highlight w:val="none"/>
        </w:rPr>
        <w:t>系</w:t>
      </w:r>
      <w:r>
        <w:rPr>
          <w:color w:val="auto"/>
          <w:sz w:val="21"/>
          <w:szCs w:val="21"/>
          <w:highlight w:val="none"/>
          <w:u w:val="single"/>
        </w:rPr>
        <w:t xml:space="preserve">                        </w:t>
      </w:r>
      <w:r>
        <w:rPr>
          <w:rFonts w:hint="eastAsia"/>
          <w:color w:val="auto"/>
          <w:sz w:val="21"/>
          <w:szCs w:val="21"/>
          <w:highlight w:val="none"/>
        </w:rPr>
        <w:t>（投标人名称）的法定代表人。</w:t>
      </w:r>
    </w:p>
    <w:p w14:paraId="50987342">
      <w:pPr>
        <w:spacing w:line="360" w:lineRule="auto"/>
        <w:ind w:firstLine="420" w:firstLineChars="200"/>
        <w:rPr>
          <w:color w:val="auto"/>
          <w:sz w:val="21"/>
          <w:szCs w:val="21"/>
          <w:highlight w:val="none"/>
        </w:rPr>
      </w:pPr>
      <w:r>
        <w:rPr>
          <w:rFonts w:hint="eastAsia"/>
          <w:color w:val="auto"/>
          <w:sz w:val="21"/>
          <w:szCs w:val="21"/>
          <w:highlight w:val="none"/>
        </w:rPr>
        <w:t>特此证明。</w:t>
      </w:r>
    </w:p>
    <w:p w14:paraId="4BF4BF55">
      <w:pPr>
        <w:spacing w:line="360" w:lineRule="auto"/>
        <w:rPr>
          <w:color w:val="auto"/>
          <w:sz w:val="21"/>
          <w:szCs w:val="21"/>
          <w:highlight w:val="none"/>
        </w:rPr>
      </w:pPr>
    </w:p>
    <w:p w14:paraId="1942CEE6">
      <w:pPr>
        <w:spacing w:line="360" w:lineRule="auto"/>
        <w:rPr>
          <w:color w:val="auto"/>
          <w:sz w:val="21"/>
          <w:szCs w:val="21"/>
          <w:highlight w:val="none"/>
        </w:rPr>
      </w:pPr>
      <w:r>
        <w:rPr>
          <w:rFonts w:hint="eastAsia"/>
          <w:color w:val="auto"/>
          <w:sz w:val="21"/>
          <w:szCs w:val="21"/>
          <w:highlight w:val="none"/>
        </w:rPr>
        <w:t>附：法定代表人身份证</w:t>
      </w:r>
      <w:r>
        <w:rPr>
          <w:rFonts w:hint="eastAsia"/>
          <w:color w:val="auto"/>
          <w:spacing w:val="-3"/>
          <w:highlight w:val="none"/>
        </w:rPr>
        <w:t>扫描件</w:t>
      </w:r>
      <w:r>
        <w:rPr>
          <w:rFonts w:hint="eastAsia"/>
          <w:color w:val="auto"/>
          <w:sz w:val="21"/>
          <w:szCs w:val="21"/>
          <w:highlight w:val="none"/>
        </w:rPr>
        <w:t>。</w:t>
      </w:r>
    </w:p>
    <w:p w14:paraId="706A9E47">
      <w:pPr>
        <w:spacing w:line="360" w:lineRule="auto"/>
        <w:rPr>
          <w:color w:val="auto"/>
          <w:sz w:val="21"/>
          <w:szCs w:val="21"/>
          <w:highlight w:val="none"/>
        </w:rPr>
      </w:pPr>
    </w:p>
    <w:p w14:paraId="6AC89AA4">
      <w:pPr>
        <w:spacing w:line="360" w:lineRule="auto"/>
        <w:rPr>
          <w:color w:val="auto"/>
          <w:sz w:val="21"/>
          <w:szCs w:val="21"/>
          <w:highlight w:val="none"/>
        </w:rPr>
      </w:pPr>
    </w:p>
    <w:p w14:paraId="498BB94C">
      <w:pPr>
        <w:spacing w:line="360" w:lineRule="auto"/>
        <w:rPr>
          <w:color w:val="auto"/>
          <w:sz w:val="21"/>
          <w:szCs w:val="21"/>
          <w:highlight w:val="none"/>
        </w:rPr>
      </w:pPr>
    </w:p>
    <w:p w14:paraId="397E9477">
      <w:pPr>
        <w:spacing w:line="360" w:lineRule="auto"/>
        <w:jc w:val="center"/>
        <w:rPr>
          <w:color w:val="auto"/>
          <w:sz w:val="21"/>
          <w:szCs w:val="21"/>
          <w:highlight w:val="none"/>
        </w:rPr>
      </w:pPr>
      <w:r>
        <w:rPr>
          <w:color w:val="auto"/>
          <w:sz w:val="21"/>
          <w:szCs w:val="21"/>
          <w:highlight w:val="none"/>
        </w:rPr>
        <w:t xml:space="preserve">                              </w:t>
      </w:r>
      <w:r>
        <w:rPr>
          <w:rFonts w:hint="eastAsia"/>
          <w:color w:val="auto"/>
          <w:sz w:val="21"/>
          <w:szCs w:val="21"/>
          <w:highlight w:val="none"/>
        </w:rPr>
        <w:t>投标人：</w:t>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（盖单位章）</w:t>
      </w:r>
    </w:p>
    <w:p w14:paraId="0E285B4E">
      <w:pPr>
        <w:spacing w:line="360" w:lineRule="auto"/>
        <w:rPr>
          <w:color w:val="auto"/>
          <w:sz w:val="21"/>
          <w:szCs w:val="21"/>
          <w:highlight w:val="none"/>
        </w:rPr>
      </w:pPr>
    </w:p>
    <w:p w14:paraId="6F48EE4C">
      <w:pPr>
        <w:spacing w:line="360" w:lineRule="auto"/>
        <w:ind w:firstLine="4620" w:firstLineChars="2200"/>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14:paraId="29085D37">
      <w:pPr>
        <w:spacing w:line="360" w:lineRule="auto"/>
        <w:rPr>
          <w:rFonts w:eastAsia="黑体"/>
          <w:color w:val="auto"/>
          <w:sz w:val="20"/>
          <w:highlight w:val="none"/>
        </w:rPr>
      </w:pPr>
    </w:p>
    <w:p w14:paraId="3631D22C">
      <w:pPr>
        <w:spacing w:line="360" w:lineRule="auto"/>
        <w:rPr>
          <w:rFonts w:eastAsia="黑体"/>
          <w:color w:val="auto"/>
          <w:sz w:val="20"/>
          <w:highlight w:val="none"/>
        </w:rPr>
      </w:pPr>
    </w:p>
    <w:p w14:paraId="155936F6">
      <w:pPr>
        <w:spacing w:line="360" w:lineRule="auto"/>
        <w:rPr>
          <w:rFonts w:eastAsia="黑体"/>
          <w:color w:val="auto"/>
          <w:sz w:val="20"/>
          <w:highlight w:val="none"/>
        </w:rPr>
      </w:pPr>
    </w:p>
    <w:p w14:paraId="6A07E778">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568F6779">
      <w:pPr>
        <w:spacing w:line="360" w:lineRule="auto"/>
        <w:rPr>
          <w:rFonts w:eastAsia="黑体"/>
          <w:color w:val="auto"/>
          <w:sz w:val="20"/>
          <w:highlight w:val="none"/>
        </w:rPr>
      </w:pPr>
    </w:p>
    <w:p w14:paraId="5E85B73C">
      <w:pPr>
        <w:spacing w:line="360" w:lineRule="auto"/>
        <w:rPr>
          <w:rFonts w:eastAsia="黑体"/>
          <w:color w:val="auto"/>
          <w:sz w:val="20"/>
          <w:highlight w:val="none"/>
        </w:rPr>
      </w:pPr>
    </w:p>
    <w:p w14:paraId="2EB2A5D9">
      <w:pPr>
        <w:spacing w:line="360" w:lineRule="auto"/>
        <w:rPr>
          <w:rFonts w:eastAsia="黑体"/>
          <w:color w:val="auto"/>
          <w:sz w:val="20"/>
          <w:highlight w:val="none"/>
        </w:rPr>
      </w:pPr>
    </w:p>
    <w:p w14:paraId="6907A1CC">
      <w:pPr>
        <w:spacing w:line="360" w:lineRule="auto"/>
        <w:rPr>
          <w:rFonts w:eastAsia="黑体"/>
          <w:color w:val="auto"/>
          <w:sz w:val="20"/>
          <w:highlight w:val="none"/>
        </w:rPr>
      </w:pPr>
      <w:r>
        <w:rPr>
          <w:rFonts w:eastAsia="黑体"/>
          <w:color w:val="auto"/>
          <w:sz w:val="20"/>
          <w:highlight w:val="none"/>
        </w:rPr>
        <w:br w:type="page"/>
      </w:r>
    </w:p>
    <w:p w14:paraId="0AA6CD12">
      <w:pPr>
        <w:pStyle w:val="5"/>
        <w:bidi w:val="0"/>
        <w:spacing w:line="360" w:lineRule="auto"/>
        <w:jc w:val="center"/>
        <w:rPr>
          <w:rFonts w:hint="eastAsia" w:ascii="宋体" w:hAnsi="宋体" w:eastAsia="宋体" w:cs="宋体"/>
          <w:b/>
          <w:bCs w:val="0"/>
          <w:color w:val="auto"/>
          <w:sz w:val="28"/>
          <w:szCs w:val="28"/>
          <w:highlight w:val="none"/>
        </w:rPr>
      </w:pPr>
      <w:bookmarkStart w:id="1640" w:name="_Toc590"/>
      <w:bookmarkStart w:id="1641" w:name="_Toc19251"/>
      <w:bookmarkStart w:id="1642" w:name="_Toc28983"/>
      <w:bookmarkStart w:id="1643" w:name="_Toc14764"/>
      <w:bookmarkStart w:id="1644" w:name="_Toc526786511"/>
      <w:bookmarkStart w:id="1645" w:name="_Toc30587"/>
      <w:bookmarkStart w:id="1646" w:name="_Toc59200714"/>
      <w:bookmarkStart w:id="1647" w:name="_Toc30480"/>
      <w:bookmarkStart w:id="1648" w:name="_Toc11358"/>
      <w:bookmarkStart w:id="1649" w:name="_Toc6211"/>
      <w:bookmarkStart w:id="1650" w:name="_Toc7033"/>
      <w:bookmarkStart w:id="1651" w:name="_Toc21219"/>
      <w:bookmarkStart w:id="1652" w:name="_Toc4555"/>
      <w:bookmarkStart w:id="1653" w:name="_Toc26957"/>
      <w:r>
        <w:rPr>
          <w:rFonts w:hint="eastAsia" w:ascii="宋体" w:hAnsi="宋体" w:eastAsia="宋体" w:cs="宋体"/>
          <w:b/>
          <w:bCs w:val="0"/>
          <w:color w:val="auto"/>
          <w:sz w:val="28"/>
          <w:szCs w:val="28"/>
          <w:highlight w:val="none"/>
          <w:lang w:eastAsia="zh-CN"/>
        </w:rPr>
        <w:t>二</w:t>
      </w:r>
      <w:r>
        <w:rPr>
          <w:rFonts w:hint="eastAsia" w:ascii="宋体" w:hAnsi="宋体" w:eastAsia="宋体" w:cs="宋体"/>
          <w:b/>
          <w:bCs w:val="0"/>
          <w:color w:val="auto"/>
          <w:sz w:val="28"/>
          <w:szCs w:val="28"/>
          <w:highlight w:val="none"/>
        </w:rPr>
        <w:t>、授权委托书</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626F2E87">
      <w:pPr>
        <w:spacing w:line="360" w:lineRule="auto"/>
        <w:rPr>
          <w:rFonts w:eastAsia="黑体"/>
          <w:color w:val="auto"/>
          <w:highlight w:val="none"/>
        </w:rPr>
      </w:pPr>
    </w:p>
    <w:p w14:paraId="5D4049CF">
      <w:pPr>
        <w:topLinePunct/>
        <w:spacing w:line="360" w:lineRule="auto"/>
        <w:ind w:firstLine="420" w:firstLineChars="200"/>
        <w:rPr>
          <w:color w:val="auto"/>
          <w:sz w:val="21"/>
          <w:szCs w:val="21"/>
          <w:highlight w:val="none"/>
        </w:rPr>
      </w:pPr>
      <w:r>
        <w:rPr>
          <w:rFonts w:hint="eastAsia"/>
          <w:color w:val="auto"/>
          <w:sz w:val="21"/>
          <w:szCs w:val="21"/>
          <w:highlight w:val="none"/>
        </w:rPr>
        <w:t>本人</w:t>
      </w:r>
      <w:r>
        <w:rPr>
          <w:color w:val="auto"/>
          <w:sz w:val="21"/>
          <w:szCs w:val="21"/>
          <w:highlight w:val="none"/>
          <w:u w:val="single"/>
        </w:rPr>
        <w:t xml:space="preserve">          </w:t>
      </w:r>
      <w:r>
        <w:rPr>
          <w:rFonts w:hint="eastAsia"/>
          <w:color w:val="auto"/>
          <w:sz w:val="21"/>
          <w:szCs w:val="21"/>
          <w:highlight w:val="none"/>
        </w:rPr>
        <w:t>（姓名）系</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（投标人名称）的法定代表人，现委托</w:t>
      </w:r>
      <w:r>
        <w:rPr>
          <w:color w:val="auto"/>
          <w:sz w:val="21"/>
          <w:szCs w:val="21"/>
          <w:highlight w:val="none"/>
          <w:u w:val="single"/>
        </w:rPr>
        <w:t xml:space="preserve">            </w:t>
      </w:r>
      <w:r>
        <w:rPr>
          <w:rFonts w:hint="eastAsia"/>
          <w:color w:val="auto"/>
          <w:sz w:val="21"/>
          <w:szCs w:val="21"/>
          <w:highlight w:val="none"/>
        </w:rPr>
        <w:t>（姓名）为我方代理人。代理人根据授权，以我方名义签署、澄清确认、递交、撤回、修改监理招标项目投标文件、签订合同和处理有关事宜，其法律后果由我方承担。</w:t>
      </w:r>
    </w:p>
    <w:p w14:paraId="0C3E0A15">
      <w:pPr>
        <w:spacing w:line="360" w:lineRule="auto"/>
        <w:rPr>
          <w:color w:val="auto"/>
          <w:sz w:val="21"/>
          <w:szCs w:val="21"/>
          <w:highlight w:val="none"/>
        </w:rPr>
      </w:pPr>
      <w:r>
        <w:rPr>
          <w:rFonts w:hint="eastAsia"/>
          <w:color w:val="auto"/>
          <w:sz w:val="21"/>
          <w:szCs w:val="21"/>
          <w:highlight w:val="none"/>
        </w:rPr>
        <w:t>委托期限：</w:t>
      </w:r>
      <w:r>
        <w:rPr>
          <w:color w:val="auto"/>
          <w:sz w:val="21"/>
          <w:szCs w:val="21"/>
          <w:highlight w:val="none"/>
          <w:u w:val="single"/>
        </w:rPr>
        <w:t xml:space="preserve">                       </w:t>
      </w:r>
      <w:r>
        <w:rPr>
          <w:rFonts w:hint="eastAsia"/>
          <w:color w:val="auto"/>
          <w:sz w:val="21"/>
          <w:szCs w:val="21"/>
          <w:highlight w:val="none"/>
        </w:rPr>
        <w:t>。</w:t>
      </w:r>
    </w:p>
    <w:p w14:paraId="47A9910A">
      <w:pPr>
        <w:spacing w:line="360" w:lineRule="auto"/>
        <w:ind w:firstLine="420" w:firstLineChars="200"/>
        <w:rPr>
          <w:color w:val="auto"/>
          <w:sz w:val="21"/>
          <w:szCs w:val="21"/>
          <w:highlight w:val="none"/>
        </w:rPr>
      </w:pPr>
      <w:r>
        <w:rPr>
          <w:rFonts w:hint="eastAsia"/>
          <w:color w:val="auto"/>
          <w:sz w:val="21"/>
          <w:szCs w:val="21"/>
          <w:highlight w:val="none"/>
        </w:rPr>
        <w:t>代理人无转委托权</w:t>
      </w:r>
      <w:r>
        <w:rPr>
          <w:rFonts w:hint="eastAsia" w:eastAsia="宋体" w:cs="Times New Roman"/>
          <w:color w:val="auto"/>
          <w:sz w:val="21"/>
          <w:szCs w:val="21"/>
          <w:highlight w:val="none"/>
        </w:rPr>
        <w:t>。</w:t>
      </w:r>
      <w:r>
        <w:rPr>
          <w:rFonts w:hint="default" w:eastAsia="宋体" w:cs="Times New Roman"/>
          <w:color w:val="auto"/>
          <w:sz w:val="21"/>
          <w:szCs w:val="21"/>
          <w:highlight w:val="none"/>
        </w:rPr>
        <w:t>代理人为投标人正式职工</w:t>
      </w:r>
      <w:r>
        <w:rPr>
          <w:rFonts w:hint="eastAsia" w:eastAsia="宋体" w:cs="Times New Roman"/>
          <w:color w:val="auto"/>
          <w:sz w:val="21"/>
          <w:szCs w:val="21"/>
          <w:highlight w:val="none"/>
          <w:lang w:eastAsia="zh-CN"/>
        </w:rPr>
        <w:t>，必须具有离投标截止时间最近的至少1个月</w:t>
      </w:r>
      <w:r>
        <w:rPr>
          <w:rFonts w:hint="eastAsia" w:ascii="宋体" w:hAnsi="宋体" w:eastAsia="宋体" w:cs="宋体"/>
          <w:b/>
          <w:bCs/>
          <w:color w:val="auto"/>
          <w:sz w:val="21"/>
          <w:szCs w:val="21"/>
          <w:highlight w:val="none"/>
          <w:u w:val="single"/>
          <w:lang w:eastAsia="zh-CN"/>
        </w:rPr>
        <w:t>（202</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eastAsia="zh-CN"/>
        </w:rPr>
        <w:t>年</w:t>
      </w:r>
      <w:r>
        <w:rPr>
          <w:rFonts w:hint="eastAsia" w:ascii="宋体" w:hAnsi="宋体" w:cs="宋体"/>
          <w:b/>
          <w:bCs/>
          <w:color w:val="auto"/>
          <w:sz w:val="21"/>
          <w:szCs w:val="21"/>
          <w:highlight w:val="none"/>
          <w:u w:val="single"/>
          <w:lang w:val="en-US" w:eastAsia="zh-CN"/>
        </w:rPr>
        <w:t>01</w:t>
      </w:r>
      <w:r>
        <w:rPr>
          <w:rFonts w:hint="eastAsia" w:ascii="宋体" w:hAnsi="宋体" w:eastAsia="宋体" w:cs="宋体"/>
          <w:b/>
          <w:bCs/>
          <w:color w:val="auto"/>
          <w:sz w:val="21"/>
          <w:szCs w:val="21"/>
          <w:highlight w:val="none"/>
          <w:u w:val="single"/>
          <w:lang w:eastAsia="zh-CN"/>
        </w:rPr>
        <w:t>月）</w:t>
      </w:r>
      <w:r>
        <w:rPr>
          <w:rFonts w:hint="eastAsia" w:eastAsia="宋体" w:cs="Times New Roman"/>
          <w:color w:val="auto"/>
          <w:sz w:val="21"/>
          <w:szCs w:val="21"/>
          <w:highlight w:val="none"/>
          <w:lang w:eastAsia="zh-CN"/>
        </w:rPr>
        <w:t>在本单位缴纳的社保证明文件。</w:t>
      </w:r>
    </w:p>
    <w:p w14:paraId="7C622072">
      <w:pPr>
        <w:spacing w:line="360" w:lineRule="auto"/>
        <w:ind w:firstLine="420" w:firstLineChars="200"/>
        <w:rPr>
          <w:color w:val="auto"/>
          <w:sz w:val="21"/>
          <w:szCs w:val="21"/>
          <w:highlight w:val="none"/>
        </w:rPr>
      </w:pPr>
    </w:p>
    <w:p w14:paraId="04289BD8">
      <w:pPr>
        <w:spacing w:line="360" w:lineRule="auto"/>
        <w:rPr>
          <w:rFonts w:hint="eastAsia" w:eastAsia="宋体"/>
          <w:color w:val="auto"/>
          <w:sz w:val="21"/>
          <w:szCs w:val="21"/>
          <w:highlight w:val="none"/>
          <w:lang w:val="en-US" w:eastAsia="zh-CN"/>
        </w:rPr>
      </w:pPr>
      <w:r>
        <w:rPr>
          <w:rFonts w:hint="eastAsia"/>
          <w:color w:val="auto"/>
          <w:sz w:val="21"/>
          <w:szCs w:val="21"/>
          <w:highlight w:val="none"/>
        </w:rPr>
        <w:t>附：法定代表人身份证</w:t>
      </w:r>
      <w:r>
        <w:rPr>
          <w:rFonts w:hint="eastAsia"/>
          <w:color w:val="auto"/>
          <w:sz w:val="21"/>
          <w:szCs w:val="21"/>
          <w:highlight w:val="none"/>
          <w:lang w:val="en-US" w:eastAsia="zh-CN"/>
        </w:rPr>
        <w:t>扫描件</w:t>
      </w:r>
      <w:r>
        <w:rPr>
          <w:rFonts w:hint="eastAsia"/>
          <w:color w:val="auto"/>
          <w:sz w:val="21"/>
          <w:szCs w:val="21"/>
          <w:highlight w:val="none"/>
        </w:rPr>
        <w:t>及委托代理人身份证</w:t>
      </w:r>
      <w:r>
        <w:rPr>
          <w:rFonts w:hint="eastAsia"/>
          <w:color w:val="auto"/>
          <w:sz w:val="21"/>
          <w:szCs w:val="21"/>
          <w:highlight w:val="none"/>
          <w:lang w:val="en-US" w:eastAsia="zh-CN"/>
        </w:rPr>
        <w:t>扫描件</w:t>
      </w:r>
    </w:p>
    <w:p w14:paraId="794676E3">
      <w:pPr>
        <w:spacing w:line="360" w:lineRule="auto"/>
        <w:rPr>
          <w:color w:val="auto"/>
          <w:sz w:val="21"/>
          <w:szCs w:val="21"/>
          <w:highlight w:val="none"/>
        </w:rPr>
      </w:pPr>
    </w:p>
    <w:p w14:paraId="53486FF4">
      <w:pPr>
        <w:pStyle w:val="13"/>
        <w:spacing w:line="360" w:lineRule="auto"/>
        <w:rPr>
          <w:rFonts w:hint="eastAsia" w:ascii="方正楷体_GB2312" w:hAnsi="方正楷体_GB2312" w:eastAsia="方正楷体_GB2312" w:cs="方正楷体_GB2312"/>
          <w:color w:val="auto"/>
          <w:sz w:val="21"/>
          <w:szCs w:val="21"/>
          <w:highlight w:val="none"/>
        </w:rPr>
      </w:pPr>
    </w:p>
    <w:p w14:paraId="4E38D98D">
      <w:pPr>
        <w:spacing w:line="360" w:lineRule="auto"/>
        <w:rPr>
          <w:color w:val="auto"/>
          <w:highlight w:val="none"/>
        </w:rPr>
      </w:pPr>
    </w:p>
    <w:p w14:paraId="615EE8D8">
      <w:pPr>
        <w:spacing w:line="360" w:lineRule="auto"/>
        <w:ind w:firstLine="2692" w:firstLineChars="1282"/>
        <w:rPr>
          <w:color w:val="auto"/>
          <w:sz w:val="21"/>
          <w:szCs w:val="21"/>
          <w:highlight w:val="none"/>
        </w:rPr>
      </w:pPr>
      <w:r>
        <w:rPr>
          <w:rFonts w:hint="eastAsia"/>
          <w:color w:val="auto"/>
          <w:sz w:val="21"/>
          <w:szCs w:val="21"/>
          <w:highlight w:val="none"/>
        </w:rPr>
        <w:t>投</w:t>
      </w:r>
      <w:r>
        <w:rPr>
          <w:color w:val="auto"/>
          <w:sz w:val="21"/>
          <w:szCs w:val="21"/>
          <w:highlight w:val="none"/>
        </w:rPr>
        <w:t xml:space="preserve">  </w:t>
      </w:r>
      <w:r>
        <w:rPr>
          <w:rFonts w:hint="eastAsia"/>
          <w:color w:val="auto"/>
          <w:sz w:val="21"/>
          <w:szCs w:val="21"/>
          <w:highlight w:val="none"/>
        </w:rPr>
        <w:t>标</w:t>
      </w:r>
      <w:r>
        <w:rPr>
          <w:color w:val="auto"/>
          <w:sz w:val="21"/>
          <w:szCs w:val="21"/>
          <w:highlight w:val="none"/>
        </w:rPr>
        <w:t xml:space="preserve">  </w:t>
      </w:r>
      <w:r>
        <w:rPr>
          <w:rFonts w:hint="eastAsia"/>
          <w:color w:val="auto"/>
          <w:sz w:val="21"/>
          <w:szCs w:val="21"/>
          <w:highlight w:val="none"/>
        </w:rPr>
        <w:t>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（盖单位章）</w:t>
      </w:r>
    </w:p>
    <w:p w14:paraId="04E99969">
      <w:pPr>
        <w:spacing w:line="360" w:lineRule="auto"/>
        <w:ind w:firstLine="2692" w:firstLineChars="1282"/>
        <w:rPr>
          <w:color w:val="auto"/>
          <w:sz w:val="21"/>
          <w:szCs w:val="21"/>
          <w:highlight w:val="none"/>
        </w:rPr>
      </w:pPr>
    </w:p>
    <w:p w14:paraId="555DEEF9">
      <w:pPr>
        <w:spacing w:line="360" w:lineRule="auto"/>
        <w:ind w:firstLine="2690" w:firstLineChars="1281"/>
        <w:jc w:val="left"/>
        <w:rPr>
          <w:color w:val="auto"/>
          <w:sz w:val="21"/>
          <w:szCs w:val="21"/>
          <w:highlight w:val="none"/>
        </w:rPr>
      </w:pPr>
      <w:r>
        <w:rPr>
          <w:rFonts w:hint="eastAsia"/>
          <w:color w:val="auto"/>
          <w:sz w:val="21"/>
          <w:szCs w:val="21"/>
          <w:highlight w:val="none"/>
        </w:rPr>
        <w:t>法定代表人：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（签字或盖章）</w:t>
      </w:r>
    </w:p>
    <w:p w14:paraId="13521136">
      <w:pPr>
        <w:spacing w:line="360" w:lineRule="auto"/>
        <w:ind w:firstLine="2692" w:firstLineChars="1282"/>
        <w:rPr>
          <w:color w:val="auto"/>
          <w:sz w:val="21"/>
          <w:szCs w:val="21"/>
          <w:highlight w:val="none"/>
        </w:rPr>
      </w:pPr>
    </w:p>
    <w:p w14:paraId="1AF016C7">
      <w:pPr>
        <w:spacing w:line="360" w:lineRule="auto"/>
        <w:ind w:firstLine="2692" w:firstLineChars="1282"/>
        <w:rPr>
          <w:color w:val="auto"/>
          <w:sz w:val="21"/>
          <w:szCs w:val="21"/>
          <w:highlight w:val="none"/>
        </w:rPr>
      </w:pPr>
      <w:r>
        <w:rPr>
          <w:rFonts w:hint="eastAsia"/>
          <w:color w:val="auto"/>
          <w:sz w:val="21"/>
          <w:szCs w:val="21"/>
          <w:highlight w:val="none"/>
        </w:rPr>
        <w:t>身份证号码：</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p>
    <w:p w14:paraId="16048129">
      <w:pPr>
        <w:spacing w:line="360" w:lineRule="auto"/>
        <w:ind w:firstLine="2692" w:firstLineChars="1282"/>
        <w:rPr>
          <w:color w:val="auto"/>
          <w:sz w:val="21"/>
          <w:szCs w:val="21"/>
          <w:highlight w:val="none"/>
        </w:rPr>
      </w:pPr>
    </w:p>
    <w:p w14:paraId="5689C18B">
      <w:pPr>
        <w:spacing w:line="360" w:lineRule="auto"/>
        <w:ind w:firstLine="2692" w:firstLineChars="1282"/>
        <w:rPr>
          <w:color w:val="auto"/>
          <w:sz w:val="21"/>
          <w:szCs w:val="21"/>
          <w:highlight w:val="none"/>
        </w:rPr>
      </w:pPr>
      <w:r>
        <w:rPr>
          <w:rFonts w:hint="eastAsia"/>
          <w:color w:val="auto"/>
          <w:sz w:val="21"/>
          <w:szCs w:val="21"/>
          <w:highlight w:val="none"/>
        </w:rPr>
        <w:t>委托代理人：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（签字或盖章）</w:t>
      </w:r>
    </w:p>
    <w:p w14:paraId="7522F036">
      <w:pPr>
        <w:spacing w:line="360" w:lineRule="auto"/>
        <w:ind w:firstLine="2692" w:firstLineChars="1282"/>
        <w:rPr>
          <w:color w:val="auto"/>
          <w:sz w:val="21"/>
          <w:szCs w:val="21"/>
          <w:highlight w:val="none"/>
        </w:rPr>
      </w:pPr>
    </w:p>
    <w:p w14:paraId="28FBFD57">
      <w:pPr>
        <w:spacing w:line="360" w:lineRule="auto"/>
        <w:ind w:firstLine="2692" w:firstLineChars="1282"/>
        <w:rPr>
          <w:color w:val="auto"/>
          <w:sz w:val="21"/>
          <w:szCs w:val="21"/>
          <w:highlight w:val="none"/>
        </w:rPr>
      </w:pPr>
      <w:r>
        <w:rPr>
          <w:rFonts w:hint="eastAsia"/>
          <w:color w:val="auto"/>
          <w:sz w:val="21"/>
          <w:szCs w:val="21"/>
          <w:highlight w:val="none"/>
        </w:rPr>
        <w:t>身份证号码：</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p>
    <w:p w14:paraId="1DB939E9">
      <w:pPr>
        <w:spacing w:line="360" w:lineRule="auto"/>
        <w:rPr>
          <w:color w:val="auto"/>
          <w:sz w:val="21"/>
          <w:szCs w:val="21"/>
          <w:highlight w:val="none"/>
        </w:rPr>
      </w:pPr>
    </w:p>
    <w:p w14:paraId="223DF84F">
      <w:pPr>
        <w:spacing w:line="360" w:lineRule="auto"/>
        <w:ind w:firstLine="4057" w:firstLineChars="1932"/>
        <w:jc w:val="right"/>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14:paraId="381AC286">
      <w:pPr>
        <w:spacing w:line="360" w:lineRule="auto"/>
        <w:ind w:firstLine="4057" w:firstLineChars="1932"/>
        <w:jc w:val="right"/>
        <w:rPr>
          <w:color w:val="auto"/>
          <w:highlight w:val="none"/>
        </w:rPr>
      </w:pPr>
    </w:p>
    <w:p w14:paraId="632D61C4">
      <w:pPr>
        <w:spacing w:line="360" w:lineRule="auto"/>
        <w:rPr>
          <w:color w:val="auto"/>
          <w:highlight w:val="none"/>
        </w:rPr>
      </w:pPr>
    </w:p>
    <w:p w14:paraId="5E82AA54">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bookmarkStart w:id="1654" w:name="_Toc4912"/>
      <w:bookmarkStart w:id="1655" w:name="_Toc7407"/>
      <w:bookmarkStart w:id="1656" w:name="_Toc5181"/>
      <w:bookmarkStart w:id="1657" w:name="_Toc12943"/>
      <w:bookmarkStart w:id="1658" w:name="_Toc3886"/>
      <w:bookmarkStart w:id="1659" w:name="_Toc718"/>
      <w:bookmarkStart w:id="1660" w:name="_Toc28697"/>
      <w:bookmarkStart w:id="1661" w:name="_Toc59200715"/>
      <w:bookmarkStart w:id="1662" w:name="_Toc526786512"/>
      <w:bookmarkStart w:id="1663" w:name="_Toc30880"/>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68CA20EB">
      <w:pPr>
        <w:pStyle w:val="67"/>
        <w:kinsoku w:val="0"/>
        <w:overflowPunct w:val="0"/>
        <w:spacing w:beforeLines="0" w:afterLines="0" w:line="360" w:lineRule="auto"/>
        <w:ind w:right="223"/>
        <w:jc w:val="center"/>
        <w:outlineLvl w:val="9"/>
        <w:rPr>
          <w:rFonts w:hint="eastAsia"/>
          <w:color w:val="auto"/>
          <w:spacing w:val="2"/>
          <w:sz w:val="32"/>
          <w:highlight w:val="none"/>
        </w:rPr>
      </w:pPr>
    </w:p>
    <w:p w14:paraId="4F15ADD4">
      <w:pPr>
        <w:pStyle w:val="67"/>
        <w:kinsoku w:val="0"/>
        <w:overflowPunct w:val="0"/>
        <w:spacing w:beforeLines="0" w:afterLines="0" w:line="360" w:lineRule="auto"/>
        <w:ind w:right="223"/>
        <w:jc w:val="center"/>
        <w:outlineLvl w:val="9"/>
        <w:rPr>
          <w:rFonts w:hint="eastAsia"/>
          <w:color w:val="auto"/>
          <w:spacing w:val="2"/>
          <w:sz w:val="32"/>
          <w:highlight w:val="none"/>
        </w:rPr>
      </w:pPr>
    </w:p>
    <w:p w14:paraId="327ACAD9">
      <w:pPr>
        <w:pStyle w:val="67"/>
        <w:kinsoku w:val="0"/>
        <w:overflowPunct w:val="0"/>
        <w:spacing w:beforeLines="0" w:afterLines="0" w:line="360" w:lineRule="auto"/>
        <w:ind w:right="223"/>
        <w:jc w:val="both"/>
        <w:outlineLvl w:val="9"/>
        <w:rPr>
          <w:rFonts w:hint="eastAsia"/>
          <w:color w:val="auto"/>
          <w:spacing w:val="2"/>
          <w:sz w:val="32"/>
          <w:highlight w:val="none"/>
        </w:rPr>
      </w:pPr>
    </w:p>
    <w:bookmarkEnd w:id="1654"/>
    <w:bookmarkEnd w:id="1655"/>
    <w:bookmarkEnd w:id="1656"/>
    <w:bookmarkEnd w:id="1657"/>
    <w:bookmarkEnd w:id="1658"/>
    <w:bookmarkEnd w:id="1659"/>
    <w:bookmarkEnd w:id="1660"/>
    <w:p w14:paraId="33A19429">
      <w:pPr>
        <w:pStyle w:val="5"/>
        <w:bidi w:val="0"/>
        <w:jc w:val="center"/>
        <w:rPr>
          <w:rFonts w:hint="eastAsia" w:ascii="黑体" w:hAnsi="黑体" w:eastAsia="黑体" w:cs="黑体"/>
          <w:color w:val="auto"/>
          <w:sz w:val="28"/>
          <w:szCs w:val="28"/>
          <w:highlight w:val="none"/>
          <w:lang w:val="en-US" w:eastAsia="zh-CN"/>
        </w:rPr>
      </w:pPr>
      <w:bookmarkStart w:id="1664" w:name="_Toc13182"/>
      <w:bookmarkStart w:id="1665" w:name="_Toc10729"/>
      <w:r>
        <w:rPr>
          <w:rFonts w:hint="eastAsia" w:ascii="宋体" w:hAnsi="宋体" w:eastAsia="宋体" w:cs="宋体"/>
          <w:b/>
          <w:bCs w:val="0"/>
          <w:color w:val="auto"/>
          <w:sz w:val="28"/>
          <w:szCs w:val="28"/>
          <w:highlight w:val="none"/>
          <w:lang w:eastAsia="zh-CN"/>
        </w:rPr>
        <w:br w:type="page"/>
      </w:r>
      <w:bookmarkEnd w:id="1664"/>
      <w:bookmarkEnd w:id="1665"/>
      <w:bookmarkStart w:id="1666" w:name="_Toc7930"/>
      <w:bookmarkStart w:id="1667" w:name="_Toc15501"/>
      <w:bookmarkStart w:id="1668" w:name="_Toc3518"/>
      <w:bookmarkStart w:id="1669" w:name="_Toc32111"/>
      <w:bookmarkStart w:id="1670" w:name="_Toc29467"/>
      <w:bookmarkStart w:id="1671" w:name="_Toc14767"/>
      <w:bookmarkStart w:id="1672" w:name="_Toc32687"/>
      <w:bookmarkStart w:id="1673" w:name="_Toc1653"/>
      <w:bookmarkStart w:id="1674" w:name="_Toc31381"/>
      <w:bookmarkStart w:id="1675" w:name="_Toc28038"/>
      <w:bookmarkStart w:id="1676" w:name="_Toc7546"/>
      <w:bookmarkStart w:id="1677" w:name="_Toc32158"/>
      <w:r>
        <w:rPr>
          <w:rFonts w:hint="eastAsia" w:ascii="宋体" w:hAnsi="宋体" w:eastAsia="宋体" w:cs="宋体"/>
          <w:b/>
          <w:bCs w:val="0"/>
          <w:color w:val="auto"/>
          <w:sz w:val="28"/>
          <w:szCs w:val="28"/>
          <w:highlight w:val="none"/>
          <w:lang w:eastAsia="zh-CN"/>
        </w:rPr>
        <w:t>三、联合体协议书</w:t>
      </w:r>
      <w:bookmarkEnd w:id="1666"/>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如有</w:t>
      </w:r>
      <w:r>
        <w:rPr>
          <w:rFonts w:hint="eastAsia" w:ascii="宋体" w:hAnsi="宋体" w:eastAsia="宋体" w:cs="宋体"/>
          <w:b/>
          <w:bCs w:val="0"/>
          <w:color w:val="auto"/>
          <w:sz w:val="28"/>
          <w:szCs w:val="28"/>
          <w:highlight w:val="none"/>
          <w:lang w:eastAsia="zh-CN"/>
        </w:rPr>
        <w:t>）</w:t>
      </w:r>
    </w:p>
    <w:p w14:paraId="6CD666C0">
      <w:pPr>
        <w:rPr>
          <w:rFonts w:hint="default"/>
          <w:color w:val="auto"/>
          <w:highlight w:val="none"/>
        </w:rPr>
      </w:pPr>
    </w:p>
    <w:p w14:paraId="79151C26">
      <w:pPr>
        <w:pStyle w:val="2"/>
        <w:tabs>
          <w:tab w:val="left" w:pos="2202"/>
          <w:tab w:val="left" w:pos="6000"/>
        </w:tabs>
        <w:kinsoku w:val="0"/>
        <w:overflowPunct w:val="0"/>
        <w:ind w:left="0" w:leftChars="0" w:firstLine="0" w:firstLineChars="0"/>
        <w:jc w:val="both"/>
        <w:rPr>
          <w:rFonts w:hint="eastAsia"/>
          <w:color w:val="auto"/>
          <w:highlight w:val="none"/>
          <w:u w:val="single"/>
          <w:lang w:val="en-US" w:eastAsia="zh-CN"/>
        </w:rPr>
      </w:pPr>
      <w:r>
        <w:rPr>
          <w:rFonts w:hint="eastAsia"/>
          <w:color w:val="auto"/>
          <w:highlight w:val="none"/>
          <w:u w:val="none"/>
          <w:lang w:eastAsia="zh-CN"/>
        </w:rPr>
        <w:t>投标项目名称：</w:t>
      </w:r>
      <w:r>
        <w:rPr>
          <w:rFonts w:hint="eastAsia"/>
          <w:color w:val="auto"/>
          <w:highlight w:val="none"/>
          <w:u w:val="single"/>
          <w:lang w:val="en-US" w:eastAsia="zh-CN"/>
        </w:rPr>
        <w:t xml:space="preserve">                                       </w:t>
      </w:r>
    </w:p>
    <w:p w14:paraId="22582FAE">
      <w:pPr>
        <w:pStyle w:val="2"/>
        <w:tabs>
          <w:tab w:val="left" w:pos="2202"/>
          <w:tab w:val="left" w:pos="6000"/>
        </w:tabs>
        <w:kinsoku w:val="0"/>
        <w:overflowPunct w:val="0"/>
        <w:ind w:left="0" w:leftChars="0" w:firstLine="0" w:firstLineChars="0"/>
        <w:jc w:val="both"/>
        <w:rPr>
          <w:rFonts w:hint="eastAsia"/>
          <w:color w:val="auto"/>
          <w:highlight w:val="none"/>
          <w:u w:val="single"/>
          <w:lang w:val="en-US" w:eastAsia="zh-CN"/>
        </w:rPr>
      </w:pPr>
    </w:p>
    <w:p w14:paraId="6519E530">
      <w:pPr>
        <w:pStyle w:val="2"/>
        <w:tabs>
          <w:tab w:val="left" w:pos="2202"/>
          <w:tab w:val="left" w:pos="6000"/>
        </w:tabs>
        <w:kinsoku w:val="0"/>
        <w:overflowPunct w:val="0"/>
        <w:ind w:left="0" w:leftChars="0" w:firstLine="0" w:firstLineChars="0"/>
        <w:jc w:val="both"/>
        <w:rPr>
          <w:rFonts w:hint="default"/>
          <w:color w:val="auto"/>
          <w:highlight w:val="none"/>
          <w:u w:val="single"/>
          <w:lang w:val="en-US" w:eastAsia="zh-CN"/>
        </w:rPr>
      </w:pPr>
      <w:r>
        <w:rPr>
          <w:rFonts w:hint="eastAsia"/>
          <w:color w:val="auto"/>
          <w:highlight w:val="none"/>
          <w:u w:val="single"/>
          <w:lang w:val="en-US" w:eastAsia="zh-CN"/>
        </w:rPr>
        <w:t xml:space="preserve">致：                                                 </w:t>
      </w:r>
      <w:r>
        <w:rPr>
          <w:rFonts w:hint="eastAsia"/>
          <w:color w:val="auto"/>
          <w:highlight w:val="none"/>
          <w:u w:val="none"/>
          <w:lang w:val="en-US" w:eastAsia="zh-CN"/>
        </w:rPr>
        <w:t>（招标人、招标代理机构名称）</w:t>
      </w:r>
    </w:p>
    <w:p w14:paraId="6FAD2CE2">
      <w:pPr>
        <w:pStyle w:val="2"/>
        <w:tabs>
          <w:tab w:val="left" w:pos="2202"/>
          <w:tab w:val="left" w:pos="6000"/>
        </w:tabs>
        <w:kinsoku w:val="0"/>
        <w:overflowPunct w:val="0"/>
        <w:jc w:val="both"/>
        <w:rPr>
          <w:color w:val="auto"/>
          <w:highlight w:val="none"/>
          <w:u w:val="single"/>
        </w:rPr>
      </w:pPr>
    </w:p>
    <w:p w14:paraId="26F4F62C">
      <w:pPr>
        <w:pStyle w:val="2"/>
        <w:tabs>
          <w:tab w:val="left" w:pos="2202"/>
          <w:tab w:val="left" w:pos="6000"/>
        </w:tabs>
        <w:kinsoku w:val="0"/>
        <w:overflowPunct w:val="0"/>
        <w:spacing w:line="360" w:lineRule="auto"/>
        <w:ind w:left="0" w:leftChars="0" w:firstLine="420" w:firstLineChars="200"/>
        <w:jc w:val="both"/>
        <w:rPr>
          <w:color w:val="auto"/>
          <w:highlight w:val="none"/>
        </w:rPr>
      </w:pPr>
      <w:r>
        <w:rPr>
          <w:color w:val="auto"/>
          <w:highlight w:val="none"/>
          <w:u w:val="single"/>
        </w:rPr>
        <w:t xml:space="preserve"> </w:t>
      </w:r>
      <w:r>
        <w:rPr>
          <w:color w:val="auto"/>
          <w:highlight w:val="none"/>
          <w:u w:val="single"/>
        </w:rPr>
        <w:tab/>
      </w:r>
      <w:r>
        <w:rPr>
          <w:color w:val="auto"/>
          <w:highlight w:val="none"/>
        </w:rPr>
        <w:t>（所</w:t>
      </w:r>
      <w:r>
        <w:rPr>
          <w:color w:val="auto"/>
          <w:spacing w:val="-3"/>
          <w:highlight w:val="none"/>
        </w:rPr>
        <w:t>有</w:t>
      </w:r>
      <w:r>
        <w:rPr>
          <w:color w:val="auto"/>
          <w:highlight w:val="none"/>
        </w:rPr>
        <w:t>成员单位名称）自愿组成</w:t>
      </w:r>
      <w:r>
        <w:rPr>
          <w:color w:val="auto"/>
          <w:highlight w:val="none"/>
          <w:u w:val="single"/>
        </w:rPr>
        <w:tab/>
      </w:r>
      <w:r>
        <w:rPr>
          <w:color w:val="auto"/>
          <w:highlight w:val="none"/>
        </w:rPr>
        <w:t>（联合体名称）联合体，共同参</w:t>
      </w:r>
      <w:r>
        <w:rPr>
          <w:color w:val="auto"/>
          <w:spacing w:val="-1"/>
          <w:highlight w:val="none"/>
        </w:rPr>
        <w:t>加</w:t>
      </w:r>
      <w:r>
        <w:rPr>
          <w:color w:val="auto"/>
          <w:spacing w:val="-1"/>
          <w:highlight w:val="none"/>
          <w:u w:val="single"/>
        </w:rPr>
        <w:tab/>
      </w:r>
      <w:r>
        <w:rPr>
          <w:color w:val="auto"/>
          <w:spacing w:val="-3"/>
          <w:highlight w:val="none"/>
        </w:rPr>
        <w:t>（</w:t>
      </w:r>
      <w:r>
        <w:rPr>
          <w:color w:val="auto"/>
          <w:highlight w:val="none"/>
        </w:rPr>
        <w:t>项目</w:t>
      </w:r>
      <w:r>
        <w:rPr>
          <w:color w:val="auto"/>
          <w:spacing w:val="-3"/>
          <w:highlight w:val="none"/>
        </w:rPr>
        <w:t>名</w:t>
      </w:r>
      <w:r>
        <w:rPr>
          <w:color w:val="auto"/>
          <w:highlight w:val="none"/>
        </w:rPr>
        <w:t>称</w:t>
      </w:r>
      <w:r>
        <w:rPr>
          <w:color w:val="auto"/>
          <w:spacing w:val="-2"/>
          <w:highlight w:val="none"/>
        </w:rPr>
        <w:t>）</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投标</w:t>
      </w:r>
      <w:r>
        <w:rPr>
          <w:color w:val="auto"/>
          <w:spacing w:val="-3"/>
          <w:highlight w:val="none"/>
        </w:rPr>
        <w:t>。</w:t>
      </w:r>
      <w:r>
        <w:rPr>
          <w:color w:val="auto"/>
          <w:highlight w:val="none"/>
        </w:rPr>
        <w:t>现</w:t>
      </w:r>
      <w:r>
        <w:rPr>
          <w:color w:val="auto"/>
          <w:spacing w:val="-3"/>
          <w:highlight w:val="none"/>
        </w:rPr>
        <w:t>就</w:t>
      </w:r>
      <w:r>
        <w:rPr>
          <w:color w:val="auto"/>
          <w:highlight w:val="none"/>
        </w:rPr>
        <w:t>联</w:t>
      </w:r>
      <w:r>
        <w:rPr>
          <w:color w:val="auto"/>
          <w:spacing w:val="-3"/>
          <w:highlight w:val="none"/>
        </w:rPr>
        <w:t>合</w:t>
      </w:r>
      <w:r>
        <w:rPr>
          <w:color w:val="auto"/>
          <w:spacing w:val="2"/>
          <w:highlight w:val="none"/>
        </w:rPr>
        <w:t>体</w:t>
      </w:r>
      <w:r>
        <w:rPr>
          <w:color w:val="auto"/>
          <w:highlight w:val="none"/>
        </w:rPr>
        <w:t>投</w:t>
      </w:r>
      <w:r>
        <w:rPr>
          <w:color w:val="auto"/>
          <w:spacing w:val="2"/>
          <w:highlight w:val="none"/>
        </w:rPr>
        <w:t>标</w:t>
      </w:r>
      <w:r>
        <w:rPr>
          <w:color w:val="auto"/>
          <w:highlight w:val="none"/>
        </w:rPr>
        <w:t>事</w:t>
      </w:r>
      <w:r>
        <w:rPr>
          <w:color w:val="auto"/>
          <w:spacing w:val="2"/>
          <w:highlight w:val="none"/>
        </w:rPr>
        <w:t>宜订</w:t>
      </w:r>
      <w:r>
        <w:rPr>
          <w:color w:val="auto"/>
          <w:highlight w:val="none"/>
        </w:rPr>
        <w:t>立</w:t>
      </w:r>
      <w:r>
        <w:rPr>
          <w:color w:val="auto"/>
          <w:spacing w:val="2"/>
          <w:highlight w:val="none"/>
        </w:rPr>
        <w:t>如</w:t>
      </w:r>
      <w:r>
        <w:rPr>
          <w:color w:val="auto"/>
          <w:highlight w:val="none"/>
        </w:rPr>
        <w:t>下</w:t>
      </w:r>
      <w:r>
        <w:rPr>
          <w:color w:val="auto"/>
          <w:spacing w:val="2"/>
          <w:highlight w:val="none"/>
        </w:rPr>
        <w:t>协</w:t>
      </w:r>
      <w:r>
        <w:rPr>
          <w:color w:val="auto"/>
          <w:highlight w:val="none"/>
        </w:rPr>
        <w:t>议。</w:t>
      </w:r>
    </w:p>
    <w:p w14:paraId="52A5B175">
      <w:pPr>
        <w:kinsoku w:val="0"/>
        <w:overflowPunct w:val="0"/>
        <w:spacing w:before="8" w:line="360" w:lineRule="auto"/>
        <w:jc w:val="both"/>
        <w:rPr>
          <w:color w:val="auto"/>
          <w:sz w:val="12"/>
          <w:highlight w:val="none"/>
        </w:rPr>
      </w:pPr>
    </w:p>
    <w:p w14:paraId="189B205F">
      <w:pPr>
        <w:pStyle w:val="2"/>
        <w:keepNext w:val="0"/>
        <w:keepLines w:val="0"/>
        <w:pageBreakBefore w:val="0"/>
        <w:widowControl w:val="0"/>
        <w:numPr>
          <w:ilvl w:val="0"/>
          <w:numId w:val="2"/>
        </w:numPr>
        <w:tabs>
          <w:tab w:val="left" w:pos="2673"/>
          <w:tab w:val="left" w:pos="5614"/>
        </w:tabs>
        <w:kinsoku w:val="0"/>
        <w:wordWrap/>
        <w:overflowPunct w:val="0"/>
        <w:topLinePunct w:val="0"/>
        <w:autoSpaceDE/>
        <w:autoSpaceDN/>
        <w:bidi w:val="0"/>
        <w:adjustRightInd/>
        <w:snapToGrid/>
        <w:spacing w:before="1" w:after="0" w:line="360" w:lineRule="auto"/>
        <w:ind w:left="0" w:leftChars="0" w:firstLine="408" w:firstLineChars="200"/>
        <w:jc w:val="both"/>
        <w:textAlignment w:val="auto"/>
        <w:rPr>
          <w:color w:val="auto"/>
          <w:highlight w:val="none"/>
        </w:rPr>
      </w:pPr>
      <w:r>
        <w:rPr>
          <w:color w:val="auto"/>
          <w:spacing w:val="-3"/>
          <w:highlight w:val="none"/>
          <w:u w:val="single"/>
        </w:rPr>
        <w:t>（</w:t>
      </w:r>
      <w:r>
        <w:rPr>
          <w:color w:val="auto"/>
          <w:highlight w:val="none"/>
          <w:u w:val="single"/>
        </w:rPr>
        <w:t>某成</w:t>
      </w:r>
      <w:r>
        <w:rPr>
          <w:color w:val="auto"/>
          <w:spacing w:val="-3"/>
          <w:highlight w:val="none"/>
          <w:u w:val="single"/>
        </w:rPr>
        <w:t>员</w:t>
      </w:r>
      <w:r>
        <w:rPr>
          <w:color w:val="auto"/>
          <w:highlight w:val="none"/>
          <w:u w:val="single"/>
        </w:rPr>
        <w:t>单</w:t>
      </w:r>
      <w:r>
        <w:rPr>
          <w:color w:val="auto"/>
          <w:spacing w:val="-3"/>
          <w:highlight w:val="none"/>
          <w:u w:val="single"/>
        </w:rPr>
        <w:t>位</w:t>
      </w:r>
      <w:r>
        <w:rPr>
          <w:color w:val="auto"/>
          <w:highlight w:val="none"/>
          <w:u w:val="single"/>
        </w:rPr>
        <w:t>名</w:t>
      </w:r>
      <w:r>
        <w:rPr>
          <w:color w:val="auto"/>
          <w:spacing w:val="-3"/>
          <w:highlight w:val="none"/>
          <w:u w:val="single"/>
        </w:rPr>
        <w:t>称</w:t>
      </w:r>
      <w:r>
        <w:rPr>
          <w:color w:val="auto"/>
          <w:highlight w:val="none"/>
          <w:u w:val="single"/>
        </w:rPr>
        <w:t>）</w:t>
      </w:r>
      <w:r>
        <w:rPr>
          <w:color w:val="auto"/>
          <w:spacing w:val="-3"/>
          <w:highlight w:val="none"/>
        </w:rPr>
        <w:t>为</w:t>
      </w:r>
      <w:r>
        <w:rPr>
          <w:color w:val="auto"/>
          <w:spacing w:val="-3"/>
          <w:highlight w:val="none"/>
          <w:u w:val="single"/>
        </w:rPr>
        <w:t>（</w:t>
      </w:r>
      <w:r>
        <w:rPr>
          <w:color w:val="auto"/>
          <w:highlight w:val="none"/>
          <w:u w:val="single"/>
        </w:rPr>
        <w:t>联</w:t>
      </w:r>
      <w:r>
        <w:rPr>
          <w:color w:val="auto"/>
          <w:spacing w:val="-3"/>
          <w:highlight w:val="none"/>
          <w:u w:val="single"/>
        </w:rPr>
        <w:t>合</w:t>
      </w:r>
      <w:r>
        <w:rPr>
          <w:color w:val="auto"/>
          <w:highlight w:val="none"/>
          <w:u w:val="single"/>
        </w:rPr>
        <w:t>体</w:t>
      </w:r>
      <w:r>
        <w:rPr>
          <w:color w:val="auto"/>
          <w:spacing w:val="-3"/>
          <w:highlight w:val="none"/>
          <w:u w:val="single"/>
        </w:rPr>
        <w:t>名</w:t>
      </w:r>
      <w:r>
        <w:rPr>
          <w:color w:val="auto"/>
          <w:highlight w:val="none"/>
          <w:u w:val="single"/>
        </w:rPr>
        <w:t>称</w:t>
      </w:r>
      <w:r>
        <w:rPr>
          <w:color w:val="auto"/>
          <w:spacing w:val="-3"/>
          <w:highlight w:val="none"/>
          <w:u w:val="single"/>
        </w:rPr>
        <w:t>）</w:t>
      </w:r>
      <w:r>
        <w:rPr>
          <w:rFonts w:hint="eastAsia"/>
          <w:color w:val="auto"/>
          <w:spacing w:val="-3"/>
          <w:highlight w:val="none"/>
          <w:lang w:eastAsia="zh-CN"/>
        </w:rPr>
        <w:t>主办方</w:t>
      </w:r>
      <w:r>
        <w:rPr>
          <w:color w:val="auto"/>
          <w:highlight w:val="none"/>
        </w:rPr>
        <w:t>。</w:t>
      </w:r>
    </w:p>
    <w:p w14:paraId="6331C7ED">
      <w:pPr>
        <w:kinsoku w:val="0"/>
        <w:overflowPunct w:val="0"/>
        <w:spacing w:before="4" w:line="360" w:lineRule="auto"/>
        <w:jc w:val="both"/>
        <w:rPr>
          <w:color w:val="auto"/>
          <w:sz w:val="11"/>
          <w:highlight w:val="none"/>
        </w:rPr>
      </w:pPr>
    </w:p>
    <w:p w14:paraId="739CDFBD">
      <w:pPr>
        <w:pStyle w:val="2"/>
        <w:keepNext w:val="0"/>
        <w:keepLines w:val="0"/>
        <w:pageBreakBefore w:val="0"/>
        <w:widowControl w:val="0"/>
        <w:kinsoku w:val="0"/>
        <w:wordWrap/>
        <w:overflowPunct w:val="0"/>
        <w:topLinePunct w:val="0"/>
        <w:autoSpaceDE/>
        <w:autoSpaceDN/>
        <w:bidi w:val="0"/>
        <w:adjustRightInd/>
        <w:snapToGrid/>
        <w:spacing w:after="0" w:line="360" w:lineRule="auto"/>
        <w:ind w:left="0" w:leftChars="0" w:right="210" w:firstLine="420" w:firstLineChars="200"/>
        <w:jc w:val="both"/>
        <w:textAlignment w:val="auto"/>
        <w:rPr>
          <w:color w:val="auto"/>
          <w:highlight w:val="none"/>
        </w:rPr>
      </w:pPr>
      <w:r>
        <w:rPr>
          <w:rFonts w:ascii="Times New Roman" w:hAnsi="Times New Roman" w:eastAsia="Times New Roman"/>
          <w:color w:val="auto"/>
          <w:highlight w:val="none"/>
        </w:rPr>
        <w:t xml:space="preserve">2.  </w:t>
      </w:r>
      <w:r>
        <w:rPr>
          <w:color w:val="auto"/>
          <w:spacing w:val="-3"/>
          <w:highlight w:val="none"/>
        </w:rPr>
        <w:t>联</w:t>
      </w:r>
      <w:r>
        <w:rPr>
          <w:color w:val="auto"/>
          <w:highlight w:val="none"/>
        </w:rPr>
        <w:t>合</w:t>
      </w:r>
      <w:r>
        <w:rPr>
          <w:color w:val="auto"/>
          <w:spacing w:val="-3"/>
          <w:highlight w:val="none"/>
        </w:rPr>
        <w:t>体</w:t>
      </w:r>
      <w:r>
        <w:rPr>
          <w:color w:val="auto"/>
          <w:highlight w:val="none"/>
        </w:rPr>
        <w:t>各</w:t>
      </w:r>
      <w:r>
        <w:rPr>
          <w:color w:val="auto"/>
          <w:spacing w:val="-3"/>
          <w:highlight w:val="none"/>
        </w:rPr>
        <w:t>成</w:t>
      </w:r>
      <w:r>
        <w:rPr>
          <w:color w:val="auto"/>
          <w:highlight w:val="none"/>
        </w:rPr>
        <w:t>员</w:t>
      </w:r>
      <w:r>
        <w:rPr>
          <w:color w:val="auto"/>
          <w:spacing w:val="-3"/>
          <w:highlight w:val="none"/>
        </w:rPr>
        <w:t>授</w:t>
      </w:r>
      <w:r>
        <w:rPr>
          <w:color w:val="auto"/>
          <w:highlight w:val="none"/>
        </w:rPr>
        <w:t>权</w:t>
      </w:r>
      <w:r>
        <w:rPr>
          <w:rFonts w:hint="eastAsia"/>
          <w:color w:val="auto"/>
          <w:spacing w:val="-3"/>
          <w:highlight w:val="none"/>
          <w:lang w:eastAsia="zh-CN"/>
        </w:rPr>
        <w:t>主办方</w:t>
      </w:r>
      <w:r>
        <w:rPr>
          <w:color w:val="auto"/>
          <w:highlight w:val="none"/>
        </w:rPr>
        <w:t>代</w:t>
      </w:r>
      <w:r>
        <w:rPr>
          <w:color w:val="auto"/>
          <w:spacing w:val="-3"/>
          <w:highlight w:val="none"/>
        </w:rPr>
        <w:t>表</w:t>
      </w:r>
      <w:r>
        <w:rPr>
          <w:color w:val="auto"/>
          <w:highlight w:val="none"/>
        </w:rPr>
        <w:t>联</w:t>
      </w:r>
      <w:r>
        <w:rPr>
          <w:color w:val="auto"/>
          <w:spacing w:val="-3"/>
          <w:highlight w:val="none"/>
        </w:rPr>
        <w:t>合</w:t>
      </w:r>
      <w:r>
        <w:rPr>
          <w:color w:val="auto"/>
          <w:highlight w:val="none"/>
        </w:rPr>
        <w:t>体</w:t>
      </w:r>
      <w:r>
        <w:rPr>
          <w:color w:val="auto"/>
          <w:spacing w:val="-3"/>
          <w:highlight w:val="none"/>
        </w:rPr>
        <w:t>参</w:t>
      </w:r>
      <w:r>
        <w:rPr>
          <w:color w:val="auto"/>
          <w:highlight w:val="none"/>
        </w:rPr>
        <w:t>加</w:t>
      </w:r>
      <w:r>
        <w:rPr>
          <w:color w:val="auto"/>
          <w:spacing w:val="-3"/>
          <w:highlight w:val="none"/>
        </w:rPr>
        <w:t>投</w:t>
      </w:r>
      <w:r>
        <w:rPr>
          <w:color w:val="auto"/>
          <w:highlight w:val="none"/>
        </w:rPr>
        <w:t>标</w:t>
      </w:r>
      <w:r>
        <w:rPr>
          <w:color w:val="auto"/>
          <w:spacing w:val="-3"/>
          <w:highlight w:val="none"/>
        </w:rPr>
        <w:t>活</w:t>
      </w:r>
      <w:r>
        <w:rPr>
          <w:color w:val="auto"/>
          <w:highlight w:val="none"/>
        </w:rPr>
        <w:t>动</w:t>
      </w:r>
      <w:r>
        <w:rPr>
          <w:color w:val="auto"/>
          <w:spacing w:val="-65"/>
          <w:highlight w:val="none"/>
        </w:rPr>
        <w:t>，</w:t>
      </w:r>
      <w:r>
        <w:rPr>
          <w:color w:val="auto"/>
          <w:spacing w:val="-3"/>
          <w:highlight w:val="none"/>
        </w:rPr>
        <w:t>签</w:t>
      </w:r>
      <w:r>
        <w:rPr>
          <w:color w:val="auto"/>
          <w:highlight w:val="none"/>
        </w:rPr>
        <w:t>署</w:t>
      </w:r>
      <w:r>
        <w:rPr>
          <w:color w:val="auto"/>
          <w:spacing w:val="-3"/>
          <w:highlight w:val="none"/>
        </w:rPr>
        <w:t>文</w:t>
      </w:r>
      <w:r>
        <w:rPr>
          <w:color w:val="auto"/>
          <w:highlight w:val="none"/>
        </w:rPr>
        <w:t>件</w:t>
      </w:r>
      <w:r>
        <w:rPr>
          <w:color w:val="auto"/>
          <w:spacing w:val="-65"/>
          <w:highlight w:val="none"/>
        </w:rPr>
        <w:t>，</w:t>
      </w:r>
      <w:r>
        <w:rPr>
          <w:color w:val="auto"/>
          <w:spacing w:val="-3"/>
          <w:highlight w:val="none"/>
        </w:rPr>
        <w:t>提</w:t>
      </w:r>
      <w:r>
        <w:rPr>
          <w:color w:val="auto"/>
          <w:highlight w:val="none"/>
        </w:rPr>
        <w:t>交</w:t>
      </w:r>
      <w:r>
        <w:rPr>
          <w:color w:val="auto"/>
          <w:spacing w:val="-3"/>
          <w:highlight w:val="none"/>
        </w:rPr>
        <w:t>和</w:t>
      </w:r>
      <w:r>
        <w:rPr>
          <w:color w:val="auto"/>
          <w:highlight w:val="none"/>
        </w:rPr>
        <w:t>接</w:t>
      </w:r>
      <w:r>
        <w:rPr>
          <w:color w:val="auto"/>
          <w:spacing w:val="-3"/>
          <w:highlight w:val="none"/>
        </w:rPr>
        <w:t>收</w:t>
      </w:r>
      <w:r>
        <w:rPr>
          <w:color w:val="auto"/>
          <w:highlight w:val="none"/>
        </w:rPr>
        <w:t>相关</w:t>
      </w:r>
      <w:r>
        <w:rPr>
          <w:color w:val="auto"/>
          <w:spacing w:val="-3"/>
          <w:highlight w:val="none"/>
        </w:rPr>
        <w:t>的</w:t>
      </w:r>
      <w:r>
        <w:rPr>
          <w:color w:val="auto"/>
          <w:highlight w:val="none"/>
        </w:rPr>
        <w:t>资</w:t>
      </w:r>
      <w:r>
        <w:rPr>
          <w:color w:val="auto"/>
          <w:spacing w:val="-3"/>
          <w:highlight w:val="none"/>
        </w:rPr>
        <w:t>料</w:t>
      </w:r>
      <w:r>
        <w:rPr>
          <w:color w:val="auto"/>
          <w:highlight w:val="none"/>
        </w:rPr>
        <w:t>、 信息及指示，进</w:t>
      </w:r>
      <w:r>
        <w:rPr>
          <w:color w:val="auto"/>
          <w:spacing w:val="-3"/>
          <w:highlight w:val="none"/>
        </w:rPr>
        <w:t>行</w:t>
      </w:r>
      <w:r>
        <w:rPr>
          <w:color w:val="auto"/>
          <w:highlight w:val="none"/>
        </w:rPr>
        <w:t>合同</w:t>
      </w:r>
      <w:r>
        <w:rPr>
          <w:color w:val="auto"/>
          <w:spacing w:val="-3"/>
          <w:highlight w:val="none"/>
        </w:rPr>
        <w:t>谈</w:t>
      </w:r>
      <w:r>
        <w:rPr>
          <w:color w:val="auto"/>
          <w:highlight w:val="none"/>
        </w:rPr>
        <w:t>判活动，负责合</w:t>
      </w:r>
      <w:r>
        <w:rPr>
          <w:color w:val="auto"/>
          <w:spacing w:val="-3"/>
          <w:highlight w:val="none"/>
        </w:rPr>
        <w:t>同</w:t>
      </w:r>
      <w:r>
        <w:rPr>
          <w:color w:val="auto"/>
          <w:highlight w:val="none"/>
        </w:rPr>
        <w:t>实施</w:t>
      </w:r>
      <w:r>
        <w:rPr>
          <w:color w:val="auto"/>
          <w:spacing w:val="-3"/>
          <w:highlight w:val="none"/>
        </w:rPr>
        <w:t>阶</w:t>
      </w:r>
      <w:r>
        <w:rPr>
          <w:color w:val="auto"/>
          <w:highlight w:val="none"/>
        </w:rPr>
        <w:t>段的组织和协调</w:t>
      </w:r>
      <w:r>
        <w:rPr>
          <w:color w:val="auto"/>
          <w:spacing w:val="-3"/>
          <w:highlight w:val="none"/>
        </w:rPr>
        <w:t>工</w:t>
      </w:r>
      <w:r>
        <w:rPr>
          <w:color w:val="auto"/>
          <w:highlight w:val="none"/>
        </w:rPr>
        <w:t>作，</w:t>
      </w:r>
      <w:r>
        <w:rPr>
          <w:color w:val="auto"/>
          <w:spacing w:val="-3"/>
          <w:highlight w:val="none"/>
        </w:rPr>
        <w:t>以</w:t>
      </w:r>
      <w:r>
        <w:rPr>
          <w:color w:val="auto"/>
          <w:highlight w:val="none"/>
        </w:rPr>
        <w:t>及处理与本招</w:t>
      </w:r>
      <w:r>
        <w:rPr>
          <w:color w:val="auto"/>
          <w:spacing w:val="-3"/>
          <w:highlight w:val="none"/>
        </w:rPr>
        <w:t>标</w:t>
      </w:r>
      <w:r>
        <w:rPr>
          <w:color w:val="auto"/>
          <w:highlight w:val="none"/>
        </w:rPr>
        <w:t>项目有</w:t>
      </w:r>
      <w:r>
        <w:rPr>
          <w:color w:val="auto"/>
          <w:spacing w:val="-3"/>
          <w:highlight w:val="none"/>
        </w:rPr>
        <w:t>关</w:t>
      </w:r>
      <w:r>
        <w:rPr>
          <w:color w:val="auto"/>
          <w:highlight w:val="none"/>
        </w:rPr>
        <w:t>的</w:t>
      </w:r>
      <w:r>
        <w:rPr>
          <w:color w:val="auto"/>
          <w:spacing w:val="-3"/>
          <w:highlight w:val="none"/>
        </w:rPr>
        <w:t>一</w:t>
      </w:r>
      <w:r>
        <w:rPr>
          <w:color w:val="auto"/>
          <w:highlight w:val="none"/>
        </w:rPr>
        <w:t>切</w:t>
      </w:r>
      <w:r>
        <w:rPr>
          <w:color w:val="auto"/>
          <w:spacing w:val="-3"/>
          <w:highlight w:val="none"/>
        </w:rPr>
        <w:t>事</w:t>
      </w:r>
      <w:r>
        <w:rPr>
          <w:color w:val="auto"/>
          <w:highlight w:val="none"/>
        </w:rPr>
        <w:t>宜。</w:t>
      </w:r>
    </w:p>
    <w:p w14:paraId="62556CAF">
      <w:pPr>
        <w:pStyle w:val="2"/>
        <w:kinsoku w:val="0"/>
        <w:overflowPunct w:val="0"/>
        <w:spacing w:before="48" w:line="360" w:lineRule="auto"/>
        <w:ind w:left="100" w:right="104" w:firstLine="419"/>
        <w:jc w:val="both"/>
        <w:rPr>
          <w:color w:val="auto"/>
          <w:highlight w:val="none"/>
        </w:rPr>
      </w:pPr>
      <w:r>
        <w:rPr>
          <w:rFonts w:ascii="Times New Roman" w:hAnsi="Times New Roman" w:eastAsia="Times New Roman"/>
          <w:color w:val="auto"/>
          <w:highlight w:val="none"/>
        </w:rPr>
        <w:t xml:space="preserve">3.  </w:t>
      </w:r>
      <w:r>
        <w:rPr>
          <w:rFonts w:hint="eastAsia"/>
          <w:color w:val="auto"/>
          <w:spacing w:val="-3"/>
          <w:sz w:val="21"/>
          <w:highlight w:val="none"/>
        </w:rPr>
        <w:t>联</w:t>
      </w:r>
      <w:r>
        <w:rPr>
          <w:rFonts w:hint="eastAsia"/>
          <w:color w:val="auto"/>
          <w:sz w:val="21"/>
          <w:highlight w:val="none"/>
        </w:rPr>
        <w:t>合</w:t>
      </w:r>
      <w:r>
        <w:rPr>
          <w:rFonts w:hint="eastAsia"/>
          <w:color w:val="auto"/>
          <w:spacing w:val="-3"/>
          <w:sz w:val="21"/>
          <w:highlight w:val="none"/>
        </w:rPr>
        <w:t>体</w:t>
      </w:r>
      <w:r>
        <w:rPr>
          <w:rFonts w:hint="eastAsia"/>
          <w:color w:val="auto"/>
          <w:sz w:val="21"/>
          <w:highlight w:val="none"/>
          <w:lang w:eastAsia="zh-CN"/>
        </w:rPr>
        <w:t>主办方及联合体成员单位单方签署、盖章确认的</w:t>
      </w:r>
      <w:r>
        <w:rPr>
          <w:rFonts w:hint="eastAsia"/>
          <w:color w:val="auto"/>
          <w:sz w:val="21"/>
          <w:highlight w:val="none"/>
        </w:rPr>
        <w:t>本</w:t>
      </w:r>
      <w:r>
        <w:rPr>
          <w:rFonts w:hint="eastAsia"/>
          <w:color w:val="auto"/>
          <w:spacing w:val="-3"/>
          <w:sz w:val="21"/>
          <w:highlight w:val="none"/>
        </w:rPr>
        <w:t>项目一</w:t>
      </w:r>
      <w:r>
        <w:rPr>
          <w:rFonts w:hint="eastAsia"/>
          <w:color w:val="auto"/>
          <w:sz w:val="21"/>
          <w:highlight w:val="none"/>
        </w:rPr>
        <w:t>切</w:t>
      </w:r>
      <w:r>
        <w:rPr>
          <w:rFonts w:hint="eastAsia"/>
          <w:color w:val="auto"/>
          <w:spacing w:val="-3"/>
          <w:sz w:val="21"/>
          <w:highlight w:val="none"/>
        </w:rPr>
        <w:t>文</w:t>
      </w:r>
      <w:r>
        <w:rPr>
          <w:rFonts w:hint="eastAsia"/>
          <w:color w:val="auto"/>
          <w:sz w:val="21"/>
          <w:highlight w:val="none"/>
        </w:rPr>
        <w:t>件</w:t>
      </w:r>
      <w:r>
        <w:rPr>
          <w:rFonts w:hint="eastAsia"/>
          <w:color w:val="auto"/>
          <w:spacing w:val="-3"/>
          <w:sz w:val="21"/>
          <w:highlight w:val="none"/>
        </w:rPr>
        <w:t>和</w:t>
      </w:r>
      <w:r>
        <w:rPr>
          <w:rFonts w:hint="eastAsia"/>
          <w:color w:val="auto"/>
          <w:sz w:val="21"/>
          <w:highlight w:val="none"/>
        </w:rPr>
        <w:t>处</w:t>
      </w:r>
      <w:r>
        <w:rPr>
          <w:rFonts w:hint="eastAsia"/>
          <w:color w:val="auto"/>
          <w:spacing w:val="-3"/>
          <w:sz w:val="21"/>
          <w:highlight w:val="none"/>
        </w:rPr>
        <w:t>理</w:t>
      </w:r>
      <w:r>
        <w:rPr>
          <w:rFonts w:hint="eastAsia"/>
          <w:color w:val="auto"/>
          <w:sz w:val="21"/>
          <w:highlight w:val="none"/>
        </w:rPr>
        <w:t>的一</w:t>
      </w:r>
      <w:r>
        <w:rPr>
          <w:rFonts w:hint="eastAsia"/>
          <w:color w:val="auto"/>
          <w:spacing w:val="-3"/>
          <w:sz w:val="21"/>
          <w:highlight w:val="none"/>
        </w:rPr>
        <w:t>切</w:t>
      </w:r>
      <w:r>
        <w:rPr>
          <w:rFonts w:hint="eastAsia"/>
          <w:color w:val="auto"/>
          <w:sz w:val="21"/>
          <w:highlight w:val="none"/>
        </w:rPr>
        <w:t>事</w:t>
      </w:r>
      <w:r>
        <w:rPr>
          <w:rFonts w:hint="eastAsia"/>
          <w:color w:val="auto"/>
          <w:spacing w:val="-3"/>
          <w:sz w:val="21"/>
          <w:highlight w:val="none"/>
        </w:rPr>
        <w:t>宜</w:t>
      </w:r>
      <w:r>
        <w:rPr>
          <w:rFonts w:hint="eastAsia"/>
          <w:color w:val="auto"/>
          <w:spacing w:val="-25"/>
          <w:sz w:val="21"/>
          <w:highlight w:val="none"/>
        </w:rPr>
        <w:t>，</w:t>
      </w:r>
      <w:r>
        <w:rPr>
          <w:rFonts w:hint="eastAsia"/>
          <w:color w:val="auto"/>
          <w:spacing w:val="-25"/>
          <w:sz w:val="21"/>
          <w:highlight w:val="none"/>
          <w:lang w:eastAsia="zh-CN"/>
        </w:rPr>
        <w:t>均视为</w:t>
      </w:r>
      <w:r>
        <w:rPr>
          <w:rFonts w:hint="eastAsia"/>
          <w:color w:val="auto"/>
          <w:sz w:val="21"/>
          <w:highlight w:val="none"/>
        </w:rPr>
        <w:t>联</w:t>
      </w:r>
      <w:r>
        <w:rPr>
          <w:rFonts w:hint="eastAsia"/>
          <w:color w:val="auto"/>
          <w:spacing w:val="-3"/>
          <w:sz w:val="21"/>
          <w:highlight w:val="none"/>
        </w:rPr>
        <w:t>合</w:t>
      </w:r>
      <w:r>
        <w:rPr>
          <w:rFonts w:hint="eastAsia"/>
          <w:color w:val="auto"/>
          <w:sz w:val="21"/>
          <w:highlight w:val="none"/>
        </w:rPr>
        <w:t>体</w:t>
      </w:r>
      <w:r>
        <w:rPr>
          <w:rFonts w:hint="eastAsia"/>
          <w:color w:val="auto"/>
          <w:spacing w:val="-3"/>
          <w:sz w:val="21"/>
          <w:highlight w:val="none"/>
        </w:rPr>
        <w:t>各成</w:t>
      </w:r>
      <w:r>
        <w:rPr>
          <w:rFonts w:hint="eastAsia"/>
          <w:color w:val="auto"/>
          <w:sz w:val="21"/>
          <w:highlight w:val="none"/>
        </w:rPr>
        <w:t>员</w:t>
      </w:r>
      <w:r>
        <w:rPr>
          <w:rFonts w:hint="eastAsia"/>
          <w:color w:val="auto"/>
          <w:sz w:val="21"/>
          <w:highlight w:val="none"/>
          <w:lang w:eastAsia="zh-CN"/>
        </w:rPr>
        <w:t>共同编制，联合体各成员均承认其法律效力，并共同对投标文件内容的真实性、合法性和完整性承担民事、行政、刑事相关责任</w:t>
      </w:r>
      <w:r>
        <w:rPr>
          <w:rFonts w:hint="eastAsia"/>
          <w:color w:val="auto"/>
          <w:sz w:val="21"/>
          <w:highlight w:val="none"/>
        </w:rPr>
        <w:t>。 联合体各成员将</w:t>
      </w:r>
      <w:r>
        <w:rPr>
          <w:rFonts w:hint="eastAsia"/>
          <w:color w:val="auto"/>
          <w:spacing w:val="-3"/>
          <w:sz w:val="21"/>
          <w:highlight w:val="none"/>
        </w:rPr>
        <w:t>严</w:t>
      </w:r>
      <w:r>
        <w:rPr>
          <w:rFonts w:hint="eastAsia"/>
          <w:color w:val="auto"/>
          <w:sz w:val="21"/>
          <w:highlight w:val="none"/>
        </w:rPr>
        <w:t>格按</w:t>
      </w:r>
      <w:r>
        <w:rPr>
          <w:rFonts w:hint="eastAsia"/>
          <w:color w:val="auto"/>
          <w:spacing w:val="-3"/>
          <w:sz w:val="21"/>
          <w:highlight w:val="none"/>
        </w:rPr>
        <w:t>照</w:t>
      </w:r>
      <w:r>
        <w:rPr>
          <w:rFonts w:hint="eastAsia"/>
          <w:color w:val="auto"/>
          <w:sz w:val="21"/>
          <w:highlight w:val="none"/>
        </w:rPr>
        <w:t>招标文件、投标</w:t>
      </w:r>
      <w:r>
        <w:rPr>
          <w:rFonts w:hint="eastAsia"/>
          <w:color w:val="auto"/>
          <w:spacing w:val="-3"/>
          <w:sz w:val="21"/>
          <w:highlight w:val="none"/>
        </w:rPr>
        <w:t>文</w:t>
      </w:r>
      <w:r>
        <w:rPr>
          <w:rFonts w:hint="eastAsia"/>
          <w:color w:val="auto"/>
          <w:sz w:val="21"/>
          <w:highlight w:val="none"/>
        </w:rPr>
        <w:t>件和</w:t>
      </w:r>
      <w:r>
        <w:rPr>
          <w:rFonts w:hint="eastAsia"/>
          <w:color w:val="auto"/>
          <w:spacing w:val="-3"/>
          <w:sz w:val="21"/>
          <w:highlight w:val="none"/>
        </w:rPr>
        <w:t>合</w:t>
      </w:r>
      <w:r>
        <w:rPr>
          <w:rFonts w:hint="eastAsia"/>
          <w:color w:val="auto"/>
          <w:sz w:val="21"/>
          <w:highlight w:val="none"/>
        </w:rPr>
        <w:t>同的要求全面履</w:t>
      </w:r>
      <w:r>
        <w:rPr>
          <w:rFonts w:hint="eastAsia"/>
          <w:color w:val="auto"/>
          <w:spacing w:val="-3"/>
          <w:sz w:val="21"/>
          <w:highlight w:val="none"/>
        </w:rPr>
        <w:t>行</w:t>
      </w:r>
      <w:r>
        <w:rPr>
          <w:rFonts w:hint="eastAsia"/>
          <w:color w:val="auto"/>
          <w:sz w:val="21"/>
          <w:highlight w:val="none"/>
        </w:rPr>
        <w:t>义务</w:t>
      </w:r>
      <w:r>
        <w:rPr>
          <w:rFonts w:hint="eastAsia"/>
          <w:color w:val="auto"/>
          <w:spacing w:val="-3"/>
          <w:sz w:val="21"/>
          <w:highlight w:val="none"/>
        </w:rPr>
        <w:t>，</w:t>
      </w:r>
      <w:r>
        <w:rPr>
          <w:rFonts w:hint="eastAsia"/>
          <w:color w:val="auto"/>
          <w:sz w:val="21"/>
          <w:highlight w:val="none"/>
        </w:rPr>
        <w:t>并向招标人承</w:t>
      </w:r>
      <w:r>
        <w:rPr>
          <w:rFonts w:hint="eastAsia"/>
          <w:color w:val="auto"/>
          <w:spacing w:val="-3"/>
          <w:sz w:val="21"/>
          <w:highlight w:val="none"/>
        </w:rPr>
        <w:t>担</w:t>
      </w:r>
      <w:r>
        <w:rPr>
          <w:rFonts w:hint="eastAsia"/>
          <w:color w:val="auto"/>
          <w:sz w:val="21"/>
          <w:highlight w:val="none"/>
        </w:rPr>
        <w:t>连带责</w:t>
      </w:r>
      <w:r>
        <w:rPr>
          <w:rFonts w:hint="eastAsia"/>
          <w:color w:val="auto"/>
          <w:spacing w:val="-3"/>
          <w:sz w:val="21"/>
          <w:highlight w:val="none"/>
        </w:rPr>
        <w:t>任</w:t>
      </w:r>
      <w:r>
        <w:rPr>
          <w:rFonts w:hint="eastAsia"/>
          <w:color w:val="auto"/>
          <w:sz w:val="21"/>
          <w:highlight w:val="none"/>
        </w:rPr>
        <w:t>。</w:t>
      </w:r>
    </w:p>
    <w:p w14:paraId="6655CD27">
      <w:pPr>
        <w:keepNext w:val="0"/>
        <w:keepLines w:val="0"/>
        <w:pageBreakBefore w:val="0"/>
        <w:widowControl w:val="0"/>
        <w:shd w:val="clear" w:color="auto" w:fill="FFFFFF"/>
        <w:kinsoku/>
        <w:wordWrap/>
        <w:overflowPunct/>
        <w:topLinePunct/>
        <w:autoSpaceDE/>
        <w:autoSpaceDN/>
        <w:bidi w:val="0"/>
        <w:adjustRightInd/>
        <w:snapToGrid/>
        <w:spacing w:line="360" w:lineRule="auto"/>
        <w:ind w:firstLine="482"/>
        <w:textAlignment w:val="auto"/>
        <w:rPr>
          <w:color w:val="auto"/>
          <w:spacing w:val="-25"/>
          <w:highlight w:val="none"/>
        </w:rPr>
      </w:pPr>
      <w:r>
        <w:rPr>
          <w:rFonts w:ascii="Times New Roman" w:hAnsi="Times New Roman" w:eastAsia="Times New Roman"/>
          <w:color w:val="auto"/>
          <w:highlight w:val="none"/>
        </w:rPr>
        <w:t xml:space="preserve">4.  </w:t>
      </w:r>
      <w:r>
        <w:rPr>
          <w:color w:val="auto"/>
          <w:spacing w:val="-3"/>
          <w:highlight w:val="none"/>
        </w:rPr>
        <w:t>联</w:t>
      </w:r>
      <w:r>
        <w:rPr>
          <w:color w:val="auto"/>
          <w:highlight w:val="none"/>
        </w:rPr>
        <w:t>合</w:t>
      </w:r>
      <w:r>
        <w:rPr>
          <w:color w:val="auto"/>
          <w:spacing w:val="-3"/>
          <w:highlight w:val="none"/>
        </w:rPr>
        <w:t>体</w:t>
      </w:r>
      <w:r>
        <w:rPr>
          <w:color w:val="auto"/>
          <w:highlight w:val="none"/>
        </w:rPr>
        <w:t>各</w:t>
      </w:r>
      <w:r>
        <w:rPr>
          <w:color w:val="auto"/>
          <w:spacing w:val="-3"/>
          <w:highlight w:val="none"/>
        </w:rPr>
        <w:t>成</w:t>
      </w:r>
      <w:r>
        <w:rPr>
          <w:color w:val="auto"/>
          <w:highlight w:val="none"/>
        </w:rPr>
        <w:t>员</w:t>
      </w:r>
      <w:r>
        <w:rPr>
          <w:color w:val="auto"/>
          <w:spacing w:val="-3"/>
          <w:highlight w:val="none"/>
        </w:rPr>
        <w:t>单</w:t>
      </w:r>
      <w:r>
        <w:rPr>
          <w:color w:val="auto"/>
          <w:highlight w:val="none"/>
        </w:rPr>
        <w:t>位</w:t>
      </w:r>
      <w:r>
        <w:rPr>
          <w:color w:val="auto"/>
          <w:spacing w:val="-3"/>
          <w:highlight w:val="none"/>
        </w:rPr>
        <w:t>内部</w:t>
      </w:r>
      <w:r>
        <w:rPr>
          <w:color w:val="auto"/>
          <w:highlight w:val="none"/>
        </w:rPr>
        <w:t>的职</w:t>
      </w:r>
      <w:r>
        <w:rPr>
          <w:color w:val="auto"/>
          <w:spacing w:val="-3"/>
          <w:highlight w:val="none"/>
        </w:rPr>
        <w:t>责</w:t>
      </w:r>
      <w:r>
        <w:rPr>
          <w:color w:val="auto"/>
          <w:highlight w:val="none"/>
        </w:rPr>
        <w:t>分</w:t>
      </w:r>
      <w:r>
        <w:rPr>
          <w:color w:val="auto"/>
          <w:spacing w:val="-3"/>
          <w:highlight w:val="none"/>
        </w:rPr>
        <w:t>工</w:t>
      </w:r>
      <w:r>
        <w:rPr>
          <w:color w:val="auto"/>
          <w:highlight w:val="none"/>
        </w:rPr>
        <w:t>如</w:t>
      </w:r>
      <w:r>
        <w:rPr>
          <w:color w:val="auto"/>
          <w:spacing w:val="-3"/>
          <w:highlight w:val="none"/>
        </w:rPr>
        <w:t>下</w:t>
      </w:r>
      <w:r>
        <w:rPr>
          <w:color w:val="auto"/>
          <w:spacing w:val="-25"/>
          <w:highlight w:val="none"/>
        </w:rPr>
        <w:t>：</w:t>
      </w:r>
    </w:p>
    <w:p w14:paraId="16CEE71E">
      <w:pPr>
        <w:keepNext w:val="0"/>
        <w:keepLines w:val="0"/>
        <w:pageBreakBefore w:val="0"/>
        <w:widowControl w:val="0"/>
        <w:shd w:val="clear" w:color="auto" w:fill="FFFFFF"/>
        <w:kinsoku/>
        <w:wordWrap/>
        <w:overflowPunct/>
        <w:topLinePunct/>
        <w:autoSpaceDE/>
        <w:autoSpaceDN/>
        <w:bidi w:val="0"/>
        <w:adjustRightInd/>
        <w:snapToGrid/>
        <w:spacing w:line="360" w:lineRule="auto"/>
        <w:ind w:firstLine="482"/>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w:t>
      </w:r>
      <w:r>
        <w:rPr>
          <w:rFonts w:ascii="宋体" w:hAnsi="宋体" w:cs="宋体"/>
          <w:color w:val="auto"/>
          <w:sz w:val="21"/>
          <w:szCs w:val="21"/>
          <w:highlight w:val="none"/>
        </w:rPr>
        <w:t>（</w:t>
      </w:r>
      <w:r>
        <w:rPr>
          <w:rFonts w:hint="eastAsia" w:ascii="宋体" w:hAnsi="宋体" w:cs="宋体"/>
          <w:color w:val="auto"/>
          <w:sz w:val="21"/>
          <w:szCs w:val="21"/>
          <w:highlight w:val="none"/>
        </w:rPr>
        <w:t>联合体主办方</w:t>
      </w:r>
      <w:r>
        <w:rPr>
          <w:rFonts w:ascii="宋体" w:hAnsi="宋体" w:cs="宋体"/>
          <w:color w:val="auto"/>
          <w:sz w:val="21"/>
          <w:szCs w:val="21"/>
          <w:highlight w:val="none"/>
        </w:rPr>
        <w:t>）</w:t>
      </w:r>
      <w:r>
        <w:rPr>
          <w:rFonts w:hint="eastAsia" w:ascii="宋体" w:hAnsi="宋体"/>
          <w:b/>
          <w:bCs/>
          <w:color w:val="auto"/>
          <w:sz w:val="21"/>
          <w:szCs w:val="21"/>
          <w:highlight w:val="none"/>
          <w:u w:val="single"/>
        </w:rPr>
        <w:t>(请填写</w:t>
      </w:r>
      <w:r>
        <w:rPr>
          <w:rFonts w:hint="eastAsia" w:ascii="宋体" w:hAnsi="宋体"/>
          <w:b/>
          <w:bCs/>
          <w:color w:val="auto"/>
          <w:sz w:val="21"/>
          <w:szCs w:val="21"/>
          <w:highlight w:val="none"/>
          <w:u w:val="single"/>
          <w:lang w:val="en-US" w:eastAsia="zh-CN"/>
        </w:rPr>
        <w:t>企业类型</w:t>
      </w:r>
      <w:r>
        <w:rPr>
          <w:rFonts w:hint="eastAsia" w:ascii="宋体" w:hAnsi="宋体"/>
          <w:b/>
          <w:bCs/>
          <w:color w:val="auto"/>
          <w:sz w:val="21"/>
          <w:szCs w:val="21"/>
          <w:highlight w:val="none"/>
          <w:u w:val="single"/>
        </w:rPr>
        <w:t>:</w:t>
      </w:r>
      <w:r>
        <w:rPr>
          <w:rFonts w:hint="eastAsia" w:ascii="宋体" w:hAnsi="宋体"/>
          <w:b/>
          <w:bCs/>
          <w:color w:val="auto"/>
          <w:sz w:val="21"/>
          <w:szCs w:val="21"/>
          <w:highlight w:val="none"/>
          <w:u w:val="single"/>
          <w:lang w:val="en-US" w:eastAsia="zh-CN"/>
        </w:rPr>
        <w:t>如中型企业、小型企业、微型企业等</w:t>
      </w:r>
      <w:r>
        <w:rPr>
          <w:rFonts w:hint="eastAsia" w:ascii="宋体" w:hAnsi="宋体"/>
          <w:b/>
          <w:bCs/>
          <w:color w:val="auto"/>
          <w:sz w:val="21"/>
          <w:szCs w:val="21"/>
          <w:highlight w:val="none"/>
          <w:u w:val="single"/>
        </w:rPr>
        <w:t>)企业</w:t>
      </w:r>
      <w:r>
        <w:rPr>
          <w:rFonts w:ascii="宋体" w:hAnsi="宋体" w:cs="宋体"/>
          <w:color w:val="auto"/>
          <w:sz w:val="21"/>
          <w:szCs w:val="21"/>
          <w:highlight w:val="none"/>
        </w:rPr>
        <w:t>：主要负责</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rPr>
        <w:t>，联合体其他相关方违约时，主办方应承担连带责任，具体按合同要求。</w:t>
      </w:r>
    </w:p>
    <w:p w14:paraId="2DDDD787">
      <w:pPr>
        <w:keepNext w:val="0"/>
        <w:keepLines w:val="0"/>
        <w:pageBreakBefore w:val="0"/>
        <w:widowControl w:val="0"/>
        <w:shd w:val="clear" w:color="auto" w:fill="FFFFFF"/>
        <w:kinsoku/>
        <w:wordWrap/>
        <w:overflowPunct/>
        <w:topLinePunct/>
        <w:autoSpaceDE/>
        <w:autoSpaceDN/>
        <w:bidi w:val="0"/>
        <w:adjustRightInd/>
        <w:snapToGrid/>
        <w:spacing w:line="360" w:lineRule="auto"/>
        <w:ind w:firstLine="48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             </w:t>
      </w:r>
      <w:r>
        <w:rPr>
          <w:rFonts w:ascii="宋体" w:hAnsi="宋体" w:cs="宋体"/>
          <w:color w:val="auto"/>
          <w:sz w:val="21"/>
          <w:szCs w:val="21"/>
          <w:highlight w:val="none"/>
        </w:rPr>
        <w:t>（</w:t>
      </w:r>
      <w:r>
        <w:rPr>
          <w:rFonts w:hint="eastAsia" w:ascii="宋体" w:hAnsi="宋体" w:cs="宋体"/>
          <w:color w:val="auto"/>
          <w:sz w:val="21"/>
          <w:szCs w:val="21"/>
          <w:highlight w:val="none"/>
        </w:rPr>
        <w:t>联合体成员</w:t>
      </w:r>
      <w:r>
        <w:rPr>
          <w:rFonts w:ascii="宋体" w:hAnsi="宋体" w:cs="宋体"/>
          <w:color w:val="auto"/>
          <w:sz w:val="21"/>
          <w:szCs w:val="21"/>
          <w:highlight w:val="none"/>
        </w:rPr>
        <w:t>）</w:t>
      </w:r>
      <w:r>
        <w:rPr>
          <w:rFonts w:hint="eastAsia" w:ascii="宋体" w:hAnsi="宋体"/>
          <w:b/>
          <w:bCs/>
          <w:color w:val="auto"/>
          <w:sz w:val="21"/>
          <w:szCs w:val="21"/>
          <w:highlight w:val="none"/>
          <w:u w:val="single"/>
        </w:rPr>
        <w:t>(请填写</w:t>
      </w:r>
      <w:r>
        <w:rPr>
          <w:rFonts w:hint="eastAsia" w:ascii="宋体" w:hAnsi="宋体"/>
          <w:b/>
          <w:bCs/>
          <w:color w:val="auto"/>
          <w:sz w:val="21"/>
          <w:szCs w:val="21"/>
          <w:highlight w:val="none"/>
          <w:u w:val="single"/>
          <w:lang w:val="en-US" w:eastAsia="zh-CN"/>
        </w:rPr>
        <w:t>企业类型</w:t>
      </w:r>
      <w:r>
        <w:rPr>
          <w:rFonts w:hint="eastAsia" w:ascii="宋体" w:hAnsi="宋体"/>
          <w:b/>
          <w:bCs/>
          <w:color w:val="auto"/>
          <w:sz w:val="21"/>
          <w:szCs w:val="21"/>
          <w:highlight w:val="none"/>
          <w:u w:val="single"/>
        </w:rPr>
        <w:t>:</w:t>
      </w:r>
      <w:r>
        <w:rPr>
          <w:rFonts w:hint="eastAsia" w:ascii="宋体" w:hAnsi="宋体"/>
          <w:b/>
          <w:bCs/>
          <w:color w:val="auto"/>
          <w:sz w:val="21"/>
          <w:szCs w:val="21"/>
          <w:highlight w:val="none"/>
          <w:u w:val="single"/>
          <w:lang w:val="en-US" w:eastAsia="zh-CN"/>
        </w:rPr>
        <w:t>如中型企业、小型企业、微型企业等</w:t>
      </w:r>
      <w:r>
        <w:rPr>
          <w:rFonts w:hint="eastAsia" w:ascii="宋体" w:hAnsi="宋体"/>
          <w:b/>
          <w:bCs/>
          <w:color w:val="auto"/>
          <w:sz w:val="21"/>
          <w:szCs w:val="21"/>
          <w:highlight w:val="none"/>
          <w:u w:val="single"/>
        </w:rPr>
        <w:t>)企业</w:t>
      </w:r>
      <w:r>
        <w:rPr>
          <w:rFonts w:ascii="宋体" w:hAnsi="宋体" w:cs="宋体"/>
          <w:color w:val="auto"/>
          <w:sz w:val="21"/>
          <w:szCs w:val="21"/>
          <w:highlight w:val="none"/>
        </w:rPr>
        <w:t>：主要负责</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rPr>
        <w:t>，具体按合同要求。</w:t>
      </w:r>
    </w:p>
    <w:p w14:paraId="1BEE07A4">
      <w:pPr>
        <w:keepNext w:val="0"/>
        <w:keepLines w:val="0"/>
        <w:pageBreakBefore w:val="0"/>
        <w:widowControl w:val="0"/>
        <w:shd w:val="clear" w:color="auto" w:fill="FFFFFF"/>
        <w:kinsoku/>
        <w:wordWrap/>
        <w:overflowPunct/>
        <w:topLinePunct/>
        <w:autoSpaceDE/>
        <w:autoSpaceDN/>
        <w:bidi w:val="0"/>
        <w:adjustRightInd/>
        <w:snapToGrid/>
        <w:spacing w:line="360" w:lineRule="auto"/>
        <w:ind w:firstLine="482"/>
        <w:textAlignment w:val="auto"/>
        <w:rPr>
          <w:color w:val="auto"/>
          <w:szCs w:val="21"/>
          <w:highlight w:val="none"/>
        </w:rPr>
      </w:pPr>
      <w:r>
        <w:rPr>
          <w:rFonts w:hint="eastAsia" w:ascii="宋体" w:hAnsi="宋体"/>
          <w:b/>
          <w:bCs/>
          <w:color w:val="auto"/>
          <w:sz w:val="21"/>
          <w:szCs w:val="21"/>
          <w:highlight w:val="none"/>
          <w:u w:val="single"/>
        </w:rPr>
        <w:t>注：联合体各成员单位职责分工内容为：市政公用工程监理</w:t>
      </w:r>
      <w:r>
        <w:rPr>
          <w:rFonts w:hint="eastAsia" w:ascii="宋体" w:hAnsi="宋体"/>
          <w:b/>
          <w:bCs/>
          <w:color w:val="auto"/>
          <w:sz w:val="21"/>
          <w:szCs w:val="21"/>
          <w:highlight w:val="none"/>
          <w:u w:val="single"/>
          <w:lang w:val="en-US" w:eastAsia="zh-CN"/>
        </w:rPr>
        <w:t>、</w:t>
      </w:r>
      <w:r>
        <w:rPr>
          <w:rFonts w:hint="eastAsia" w:ascii="宋体" w:hAnsi="宋体"/>
          <w:b/>
          <w:bCs/>
          <w:color w:val="auto"/>
          <w:sz w:val="21"/>
          <w:szCs w:val="21"/>
          <w:highlight w:val="none"/>
          <w:u w:val="single"/>
        </w:rPr>
        <w:t>通信工程监理，投标人应按职责分工对应填写主要负责内容。</w:t>
      </w:r>
    </w:p>
    <w:p w14:paraId="0A675628">
      <w:pPr>
        <w:kinsoku w:val="0"/>
        <w:overflowPunct w:val="0"/>
        <w:spacing w:before="6" w:line="360" w:lineRule="auto"/>
        <w:jc w:val="both"/>
        <w:rPr>
          <w:color w:val="auto"/>
          <w:sz w:val="11"/>
          <w:highlight w:val="none"/>
        </w:rPr>
      </w:pPr>
    </w:p>
    <w:p w14:paraId="5B77159D">
      <w:pPr>
        <w:pStyle w:val="2"/>
        <w:kinsoku w:val="0"/>
        <w:overflowPunct w:val="0"/>
        <w:spacing w:line="360" w:lineRule="auto"/>
        <w:ind w:right="313" w:firstLine="420" w:firstLineChars="200"/>
        <w:jc w:val="both"/>
        <w:rPr>
          <w:color w:val="auto"/>
          <w:highlight w:val="none"/>
        </w:rPr>
      </w:pPr>
      <w:r>
        <w:rPr>
          <w:rFonts w:ascii="Times New Roman" w:hAnsi="Times New Roman" w:eastAsia="Times New Roman"/>
          <w:color w:val="auto"/>
          <w:highlight w:val="none"/>
        </w:rPr>
        <w:t xml:space="preserve">5.  </w:t>
      </w:r>
      <w:r>
        <w:rPr>
          <w:color w:val="auto"/>
          <w:spacing w:val="-3"/>
          <w:highlight w:val="none"/>
        </w:rPr>
        <w:t>本</w:t>
      </w:r>
      <w:r>
        <w:rPr>
          <w:color w:val="auto"/>
          <w:highlight w:val="none"/>
        </w:rPr>
        <w:t>协</w:t>
      </w:r>
      <w:r>
        <w:rPr>
          <w:color w:val="auto"/>
          <w:spacing w:val="-3"/>
          <w:highlight w:val="none"/>
        </w:rPr>
        <w:t>议</w:t>
      </w:r>
      <w:r>
        <w:rPr>
          <w:color w:val="auto"/>
          <w:highlight w:val="none"/>
        </w:rPr>
        <w:t>书</w:t>
      </w:r>
      <w:r>
        <w:rPr>
          <w:color w:val="auto"/>
          <w:spacing w:val="-3"/>
          <w:highlight w:val="none"/>
        </w:rPr>
        <w:t>自</w:t>
      </w:r>
      <w:r>
        <w:rPr>
          <w:color w:val="auto"/>
          <w:highlight w:val="none"/>
        </w:rPr>
        <w:t>所</w:t>
      </w:r>
      <w:r>
        <w:rPr>
          <w:color w:val="auto"/>
          <w:spacing w:val="-3"/>
          <w:highlight w:val="none"/>
        </w:rPr>
        <w:t>有</w:t>
      </w:r>
      <w:r>
        <w:rPr>
          <w:color w:val="auto"/>
          <w:highlight w:val="none"/>
        </w:rPr>
        <w:t>成</w:t>
      </w:r>
      <w:r>
        <w:rPr>
          <w:color w:val="auto"/>
          <w:spacing w:val="-3"/>
          <w:highlight w:val="none"/>
        </w:rPr>
        <w:t>员单</w:t>
      </w:r>
      <w:r>
        <w:rPr>
          <w:color w:val="auto"/>
          <w:highlight w:val="none"/>
        </w:rPr>
        <w:t>位法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r>
        <w:rPr>
          <w:color w:val="auto"/>
          <w:spacing w:val="-3"/>
          <w:highlight w:val="none"/>
        </w:rPr>
        <w:t>或</w:t>
      </w:r>
      <w:r>
        <w:rPr>
          <w:color w:val="auto"/>
          <w:highlight w:val="none"/>
        </w:rPr>
        <w:t>其</w:t>
      </w:r>
      <w:r>
        <w:rPr>
          <w:color w:val="auto"/>
          <w:spacing w:val="-3"/>
          <w:highlight w:val="none"/>
        </w:rPr>
        <w:t>委</w:t>
      </w:r>
      <w:r>
        <w:rPr>
          <w:color w:val="auto"/>
          <w:highlight w:val="none"/>
        </w:rPr>
        <w:t>托</w:t>
      </w:r>
      <w:r>
        <w:rPr>
          <w:color w:val="auto"/>
          <w:spacing w:val="-3"/>
          <w:highlight w:val="none"/>
        </w:rPr>
        <w:t>代</w:t>
      </w:r>
      <w:r>
        <w:rPr>
          <w:color w:val="auto"/>
          <w:highlight w:val="none"/>
        </w:rPr>
        <w:t>理人</w:t>
      </w:r>
      <w:r>
        <w:rPr>
          <w:color w:val="auto"/>
          <w:spacing w:val="-3"/>
          <w:highlight w:val="none"/>
        </w:rPr>
        <w:t>签</w:t>
      </w:r>
      <w:r>
        <w:rPr>
          <w:color w:val="auto"/>
          <w:highlight w:val="none"/>
        </w:rPr>
        <w:t>字</w:t>
      </w:r>
      <w:r>
        <w:rPr>
          <w:color w:val="auto"/>
          <w:spacing w:val="-3"/>
          <w:highlight w:val="none"/>
        </w:rPr>
        <w:t>或</w:t>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之</w:t>
      </w:r>
      <w:r>
        <w:rPr>
          <w:color w:val="auto"/>
          <w:spacing w:val="-3"/>
          <w:highlight w:val="none"/>
        </w:rPr>
        <w:t>日</w:t>
      </w:r>
      <w:r>
        <w:rPr>
          <w:color w:val="auto"/>
          <w:highlight w:val="none"/>
        </w:rPr>
        <w:t>起生</w:t>
      </w:r>
      <w:r>
        <w:rPr>
          <w:color w:val="auto"/>
          <w:spacing w:val="-3"/>
          <w:highlight w:val="none"/>
        </w:rPr>
        <w:t>效</w:t>
      </w:r>
      <w:r>
        <w:rPr>
          <w:color w:val="auto"/>
          <w:spacing w:val="-24"/>
          <w:highlight w:val="none"/>
        </w:rPr>
        <w:t>，</w:t>
      </w:r>
      <w:r>
        <w:rPr>
          <w:color w:val="auto"/>
          <w:highlight w:val="none"/>
        </w:rPr>
        <w:t>合同履行</w:t>
      </w:r>
      <w:r>
        <w:rPr>
          <w:color w:val="auto"/>
          <w:spacing w:val="-3"/>
          <w:highlight w:val="none"/>
        </w:rPr>
        <w:t>完</w:t>
      </w:r>
      <w:r>
        <w:rPr>
          <w:color w:val="auto"/>
          <w:highlight w:val="none"/>
        </w:rPr>
        <w:t>毕</w:t>
      </w:r>
      <w:r>
        <w:rPr>
          <w:color w:val="auto"/>
          <w:spacing w:val="-3"/>
          <w:highlight w:val="none"/>
        </w:rPr>
        <w:t>后</w:t>
      </w:r>
      <w:r>
        <w:rPr>
          <w:color w:val="auto"/>
          <w:highlight w:val="none"/>
        </w:rPr>
        <w:t>自</w:t>
      </w:r>
      <w:r>
        <w:rPr>
          <w:color w:val="auto"/>
          <w:spacing w:val="-3"/>
          <w:highlight w:val="none"/>
        </w:rPr>
        <w:t>动</w:t>
      </w:r>
      <w:r>
        <w:rPr>
          <w:color w:val="auto"/>
          <w:highlight w:val="none"/>
        </w:rPr>
        <w:t>失</w:t>
      </w:r>
      <w:r>
        <w:rPr>
          <w:color w:val="auto"/>
          <w:spacing w:val="-3"/>
          <w:highlight w:val="none"/>
        </w:rPr>
        <w:t>效</w:t>
      </w:r>
      <w:r>
        <w:rPr>
          <w:color w:val="auto"/>
          <w:highlight w:val="none"/>
        </w:rPr>
        <w:t>。</w:t>
      </w:r>
    </w:p>
    <w:p w14:paraId="1F52428C">
      <w:pPr>
        <w:pStyle w:val="2"/>
        <w:tabs>
          <w:tab w:val="left" w:pos="2464"/>
        </w:tabs>
        <w:kinsoku w:val="0"/>
        <w:overflowPunct w:val="0"/>
        <w:spacing w:before="56" w:line="360" w:lineRule="auto"/>
        <w:ind w:firstLine="420" w:firstLineChars="200"/>
        <w:jc w:val="both"/>
        <w:rPr>
          <w:color w:val="auto"/>
          <w:sz w:val="15"/>
          <w:highlight w:val="none"/>
        </w:rPr>
      </w:pPr>
      <w:r>
        <w:rPr>
          <w:rFonts w:ascii="Times New Roman" w:hAnsi="Times New Roman" w:eastAsia="Times New Roman"/>
          <w:color w:val="auto"/>
          <w:highlight w:val="none"/>
        </w:rPr>
        <w:t xml:space="preserve">6.  </w:t>
      </w:r>
      <w:r>
        <w:rPr>
          <w:color w:val="auto"/>
          <w:spacing w:val="-3"/>
          <w:highlight w:val="none"/>
        </w:rPr>
        <w:t>本</w:t>
      </w:r>
      <w:r>
        <w:rPr>
          <w:color w:val="auto"/>
          <w:highlight w:val="none"/>
        </w:rPr>
        <w:t>协</w:t>
      </w:r>
      <w:r>
        <w:rPr>
          <w:color w:val="auto"/>
          <w:spacing w:val="-3"/>
          <w:highlight w:val="none"/>
        </w:rPr>
        <w:t>议</w:t>
      </w:r>
      <w:r>
        <w:rPr>
          <w:color w:val="auto"/>
          <w:highlight w:val="none"/>
        </w:rPr>
        <w:t>书</w:t>
      </w:r>
      <w:r>
        <w:rPr>
          <w:color w:val="auto"/>
          <w:spacing w:val="-3"/>
          <w:highlight w:val="none"/>
        </w:rPr>
        <w:t>一</w:t>
      </w:r>
      <w:r>
        <w:rPr>
          <w:color w:val="auto"/>
          <w:spacing w:val="-1"/>
          <w:highlight w:val="none"/>
        </w:rPr>
        <w:t>式</w:t>
      </w:r>
      <w:r>
        <w:rPr>
          <w:color w:val="auto"/>
          <w:spacing w:val="-1"/>
          <w:highlight w:val="none"/>
          <w:u w:val="single"/>
        </w:rPr>
        <w:tab/>
      </w:r>
      <w:r>
        <w:rPr>
          <w:color w:val="auto"/>
          <w:spacing w:val="-3"/>
          <w:highlight w:val="none"/>
        </w:rPr>
        <w:t>份，</w:t>
      </w:r>
      <w:r>
        <w:rPr>
          <w:color w:val="auto"/>
          <w:highlight w:val="none"/>
        </w:rPr>
        <w:t>联合</w:t>
      </w:r>
      <w:r>
        <w:rPr>
          <w:color w:val="auto"/>
          <w:spacing w:val="-3"/>
          <w:highlight w:val="none"/>
        </w:rPr>
        <w:t>体</w:t>
      </w:r>
      <w:r>
        <w:rPr>
          <w:color w:val="auto"/>
          <w:highlight w:val="none"/>
        </w:rPr>
        <w:t>成</w:t>
      </w:r>
      <w:r>
        <w:rPr>
          <w:color w:val="auto"/>
          <w:spacing w:val="-3"/>
          <w:highlight w:val="none"/>
        </w:rPr>
        <w:t>员</w:t>
      </w:r>
      <w:r>
        <w:rPr>
          <w:color w:val="auto"/>
          <w:highlight w:val="none"/>
        </w:rPr>
        <w:t>和</w:t>
      </w:r>
      <w:r>
        <w:rPr>
          <w:color w:val="auto"/>
          <w:spacing w:val="-3"/>
          <w:highlight w:val="none"/>
        </w:rPr>
        <w:t>招</w:t>
      </w:r>
      <w:r>
        <w:rPr>
          <w:color w:val="auto"/>
          <w:highlight w:val="none"/>
        </w:rPr>
        <w:t>标</w:t>
      </w:r>
      <w:r>
        <w:rPr>
          <w:color w:val="auto"/>
          <w:spacing w:val="-3"/>
          <w:highlight w:val="none"/>
        </w:rPr>
        <w:t>人</w:t>
      </w:r>
      <w:r>
        <w:rPr>
          <w:color w:val="auto"/>
          <w:highlight w:val="none"/>
        </w:rPr>
        <w:t>各</w:t>
      </w:r>
      <w:r>
        <w:rPr>
          <w:color w:val="auto"/>
          <w:spacing w:val="-3"/>
          <w:highlight w:val="none"/>
        </w:rPr>
        <w:t>执</w:t>
      </w:r>
      <w:r>
        <w:rPr>
          <w:color w:val="auto"/>
          <w:highlight w:val="none"/>
        </w:rPr>
        <w:t>一份。</w:t>
      </w:r>
    </w:p>
    <w:p w14:paraId="4154B4AC">
      <w:pPr>
        <w:pStyle w:val="2"/>
        <w:kinsoku w:val="0"/>
        <w:overflowPunct w:val="0"/>
        <w:spacing w:before="1" w:line="340" w:lineRule="auto"/>
        <w:ind w:left="100" w:right="316" w:firstLine="419"/>
        <w:jc w:val="both"/>
        <w:rPr>
          <w:rFonts w:hint="eastAsia" w:ascii="楷体" w:hAnsi="楷体" w:eastAsia="楷体" w:cs="楷体"/>
          <w:color w:val="auto"/>
          <w:sz w:val="28"/>
          <w:highlight w:val="none"/>
        </w:rPr>
      </w:pPr>
      <w:r>
        <w:rPr>
          <w:rFonts w:hint="eastAsia" w:ascii="楷体" w:hAnsi="楷体" w:eastAsia="楷体" w:cs="楷体"/>
          <w:color w:val="auto"/>
          <w:highlight w:val="none"/>
        </w:rPr>
        <w:t>注：本协议书由法</w:t>
      </w:r>
      <w:r>
        <w:rPr>
          <w:rFonts w:hint="eastAsia" w:ascii="楷体" w:hAnsi="楷体" w:eastAsia="楷体" w:cs="楷体"/>
          <w:color w:val="auto"/>
          <w:spacing w:val="-3"/>
          <w:highlight w:val="none"/>
        </w:rPr>
        <w:t>定</w:t>
      </w:r>
      <w:r>
        <w:rPr>
          <w:rFonts w:hint="eastAsia" w:ascii="楷体" w:hAnsi="楷体" w:eastAsia="楷体" w:cs="楷体"/>
          <w:color w:val="auto"/>
          <w:highlight w:val="none"/>
        </w:rPr>
        <w:t>代</w:t>
      </w:r>
      <w:r>
        <w:rPr>
          <w:rFonts w:hint="eastAsia" w:ascii="楷体" w:hAnsi="楷体" w:eastAsia="楷体" w:cs="楷体"/>
          <w:color w:val="auto"/>
          <w:spacing w:val="-3"/>
          <w:highlight w:val="none"/>
        </w:rPr>
        <w:t>表</w:t>
      </w:r>
      <w:r>
        <w:rPr>
          <w:rFonts w:hint="eastAsia" w:ascii="楷体" w:hAnsi="楷体" w:eastAsia="楷体" w:cs="楷体"/>
          <w:color w:val="auto"/>
          <w:highlight w:val="none"/>
        </w:rPr>
        <w:t>人签字</w:t>
      </w:r>
      <w:r>
        <w:rPr>
          <w:rFonts w:hint="eastAsia" w:ascii="楷体" w:hAnsi="楷体" w:eastAsia="楷体" w:cs="楷体"/>
          <w:color w:val="auto"/>
          <w:highlight w:val="none"/>
          <w:lang w:val="en-US" w:eastAsia="zh-CN"/>
        </w:rPr>
        <w:t>或盖章</w:t>
      </w:r>
      <w:r>
        <w:rPr>
          <w:rFonts w:hint="eastAsia" w:ascii="楷体" w:hAnsi="楷体" w:eastAsia="楷体" w:cs="楷体"/>
          <w:color w:val="auto"/>
          <w:highlight w:val="none"/>
        </w:rPr>
        <w:t>的，应附法</w:t>
      </w:r>
      <w:r>
        <w:rPr>
          <w:rFonts w:hint="eastAsia" w:ascii="楷体" w:hAnsi="楷体" w:eastAsia="楷体" w:cs="楷体"/>
          <w:color w:val="auto"/>
          <w:spacing w:val="-3"/>
          <w:highlight w:val="none"/>
        </w:rPr>
        <w:t>定</w:t>
      </w:r>
      <w:r>
        <w:rPr>
          <w:rFonts w:hint="eastAsia" w:ascii="楷体" w:hAnsi="楷体" w:eastAsia="楷体" w:cs="楷体"/>
          <w:color w:val="auto"/>
          <w:highlight w:val="none"/>
        </w:rPr>
        <w:t>代</w:t>
      </w:r>
      <w:r>
        <w:rPr>
          <w:rFonts w:hint="eastAsia" w:ascii="楷体" w:hAnsi="楷体" w:eastAsia="楷体" w:cs="楷体"/>
          <w:color w:val="auto"/>
          <w:spacing w:val="-3"/>
          <w:highlight w:val="none"/>
        </w:rPr>
        <w:t>表</w:t>
      </w:r>
      <w:r>
        <w:rPr>
          <w:rFonts w:hint="eastAsia" w:ascii="楷体" w:hAnsi="楷体" w:eastAsia="楷体" w:cs="楷体"/>
          <w:color w:val="auto"/>
          <w:highlight w:val="none"/>
        </w:rPr>
        <w:t>人身份证明；由委</w:t>
      </w:r>
      <w:r>
        <w:rPr>
          <w:rFonts w:hint="eastAsia" w:ascii="楷体" w:hAnsi="楷体" w:eastAsia="楷体" w:cs="楷体"/>
          <w:color w:val="auto"/>
          <w:spacing w:val="-3"/>
          <w:highlight w:val="none"/>
        </w:rPr>
        <w:t>托</w:t>
      </w:r>
      <w:r>
        <w:rPr>
          <w:rFonts w:hint="eastAsia" w:ascii="楷体" w:hAnsi="楷体" w:eastAsia="楷体" w:cs="楷体"/>
          <w:color w:val="auto"/>
          <w:highlight w:val="none"/>
        </w:rPr>
        <w:t>代</w:t>
      </w:r>
      <w:r>
        <w:rPr>
          <w:rFonts w:hint="eastAsia" w:ascii="楷体" w:hAnsi="楷体" w:eastAsia="楷体" w:cs="楷体"/>
          <w:color w:val="auto"/>
          <w:spacing w:val="-3"/>
          <w:highlight w:val="none"/>
        </w:rPr>
        <w:t>理</w:t>
      </w:r>
      <w:r>
        <w:rPr>
          <w:rFonts w:hint="eastAsia" w:ascii="楷体" w:hAnsi="楷体" w:eastAsia="楷体" w:cs="楷体"/>
          <w:color w:val="auto"/>
          <w:highlight w:val="none"/>
        </w:rPr>
        <w:t>人签字</w:t>
      </w:r>
      <w:r>
        <w:rPr>
          <w:rFonts w:hint="eastAsia" w:ascii="楷体" w:hAnsi="楷体" w:eastAsia="楷体" w:cs="楷体"/>
          <w:color w:val="auto"/>
          <w:highlight w:val="none"/>
          <w:lang w:val="en-US" w:eastAsia="zh-CN"/>
        </w:rPr>
        <w:t>或盖章</w:t>
      </w:r>
      <w:r>
        <w:rPr>
          <w:rFonts w:hint="eastAsia" w:ascii="楷体" w:hAnsi="楷体" w:eastAsia="楷体" w:cs="楷体"/>
          <w:color w:val="auto"/>
          <w:highlight w:val="none"/>
        </w:rPr>
        <w:t>的，应附授</w:t>
      </w:r>
      <w:r>
        <w:rPr>
          <w:rFonts w:hint="eastAsia" w:ascii="楷体" w:hAnsi="楷体" w:eastAsia="楷体" w:cs="楷体"/>
          <w:color w:val="auto"/>
          <w:spacing w:val="-3"/>
          <w:highlight w:val="none"/>
        </w:rPr>
        <w:t>权</w:t>
      </w:r>
      <w:r>
        <w:rPr>
          <w:rFonts w:hint="eastAsia" w:ascii="楷体" w:hAnsi="楷体" w:eastAsia="楷体" w:cs="楷体"/>
          <w:color w:val="auto"/>
          <w:highlight w:val="none"/>
        </w:rPr>
        <w:t>委</w:t>
      </w:r>
      <w:r>
        <w:rPr>
          <w:rFonts w:hint="eastAsia" w:ascii="楷体" w:hAnsi="楷体" w:eastAsia="楷体" w:cs="楷体"/>
          <w:color w:val="auto"/>
          <w:spacing w:val="-3"/>
          <w:highlight w:val="none"/>
        </w:rPr>
        <w:t>托</w:t>
      </w:r>
      <w:r>
        <w:rPr>
          <w:rFonts w:hint="eastAsia" w:ascii="楷体" w:hAnsi="楷体" w:eastAsia="楷体" w:cs="楷体"/>
          <w:color w:val="auto"/>
          <w:highlight w:val="none"/>
        </w:rPr>
        <w:t>书。</w:t>
      </w:r>
    </w:p>
    <w:p w14:paraId="0E47AA5C">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pacing w:val="-4"/>
          <w:sz w:val="21"/>
          <w:szCs w:val="21"/>
          <w:highlight w:val="none"/>
        </w:rPr>
      </w:pPr>
      <w:bookmarkStart w:id="1678" w:name="bookmark202"/>
      <w:bookmarkEnd w:id="1678"/>
      <w:bookmarkStart w:id="1679" w:name="bookmark201"/>
      <w:bookmarkEnd w:id="1679"/>
      <w:r>
        <w:rPr>
          <w:rFonts w:hint="eastAsia" w:ascii="宋体" w:hAnsi="宋体" w:eastAsia="宋体" w:cs="宋体"/>
          <w:color w:val="auto"/>
          <w:spacing w:val="-4"/>
          <w:sz w:val="21"/>
          <w:szCs w:val="21"/>
          <w:highlight w:val="none"/>
        </w:rPr>
        <w:t>联合体</w:t>
      </w:r>
      <w:r>
        <w:rPr>
          <w:rFonts w:hint="eastAsia" w:ascii="宋体" w:hAnsi="宋体" w:eastAsia="宋体" w:cs="宋体"/>
          <w:color w:val="auto"/>
          <w:spacing w:val="-4"/>
          <w:sz w:val="21"/>
          <w:szCs w:val="21"/>
          <w:highlight w:val="none"/>
          <w:lang w:eastAsia="zh-CN"/>
        </w:rPr>
        <w:t>主办方</w:t>
      </w:r>
      <w:r>
        <w:rPr>
          <w:rFonts w:hint="eastAsia" w:ascii="宋体" w:hAnsi="宋体" w:eastAsia="宋体" w:cs="宋体"/>
          <w:color w:val="auto"/>
          <w:spacing w:val="-4"/>
          <w:sz w:val="21"/>
          <w:szCs w:val="21"/>
          <w:highlight w:val="none"/>
        </w:rPr>
        <w:t>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1"/>
          <w:sz w:val="21"/>
          <w:szCs w:val="21"/>
          <w:highlight w:val="none"/>
        </w:rPr>
        <w:t>)</w:t>
      </w:r>
    </w:p>
    <w:p w14:paraId="62A47F26">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pacing w:val="-4"/>
          <w:sz w:val="21"/>
          <w:szCs w:val="21"/>
          <w:highlight w:val="none"/>
        </w:rPr>
      </w:pPr>
    </w:p>
    <w:p w14:paraId="4CAB04BA">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142AFC05">
      <w:pPr>
        <w:keepNext w:val="0"/>
        <w:keepLines w:val="0"/>
        <w:pageBreakBefore w:val="0"/>
        <w:widowControl/>
        <w:tabs>
          <w:tab w:val="left" w:pos="4407"/>
        </w:tabs>
        <w:kinsoku w:val="0"/>
        <w:wordWrap/>
        <w:overflowPunct/>
        <w:topLinePunct w:val="0"/>
        <w:autoSpaceDE w:val="0"/>
        <w:autoSpaceDN w:val="0"/>
        <w:bidi w:val="0"/>
        <w:adjustRightInd w:val="0"/>
        <w:snapToGrid w:val="0"/>
        <w:spacing w:line="360" w:lineRule="auto"/>
        <w:ind w:left="366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46BF75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sectPr>
          <w:footerReference r:id="rId8" w:type="default"/>
          <w:pgSz w:w="12240" w:h="15840"/>
          <w:pgMar w:top="1346" w:right="1836" w:bottom="1104" w:left="1836" w:header="0" w:footer="940" w:gutter="0"/>
          <w:pgNumType w:fmt="decimal"/>
          <w:cols w:space="720" w:num="1"/>
        </w:sectPr>
      </w:pPr>
    </w:p>
    <w:p w14:paraId="4BAA0B50">
      <w:pPr>
        <w:pStyle w:val="5"/>
        <w:bidi w:val="0"/>
        <w:spacing w:line="360" w:lineRule="auto"/>
        <w:jc w:val="center"/>
        <w:rPr>
          <w:rFonts w:hint="eastAsia" w:ascii="宋体" w:hAnsi="宋体" w:cs="宋体"/>
          <w:color w:val="auto"/>
          <w:kern w:val="0"/>
          <w:szCs w:val="36"/>
          <w:highlight w:val="none"/>
        </w:rPr>
      </w:pPr>
      <w:r>
        <w:rPr>
          <w:rFonts w:hint="eastAsia" w:ascii="宋体" w:hAnsi="宋体" w:eastAsia="宋体" w:cs="宋体"/>
          <w:b/>
          <w:bCs w:val="0"/>
          <w:color w:val="auto"/>
          <w:sz w:val="28"/>
          <w:szCs w:val="28"/>
          <w:highlight w:val="none"/>
          <w:lang w:eastAsia="zh-CN"/>
        </w:rPr>
        <w:t>四、</w:t>
      </w:r>
      <w:r>
        <w:rPr>
          <w:rFonts w:hint="eastAsia" w:ascii="宋体" w:hAnsi="宋体" w:eastAsia="宋体" w:cs="宋体"/>
          <w:b/>
          <w:bCs w:val="0"/>
          <w:color w:val="auto"/>
          <w:sz w:val="28"/>
          <w:szCs w:val="28"/>
          <w:highlight w:val="none"/>
        </w:rPr>
        <w:t>投标人声明</w:t>
      </w:r>
      <w:bookmarkEnd w:id="1667"/>
      <w:bookmarkEnd w:id="1668"/>
      <w:bookmarkEnd w:id="1669"/>
      <w:bookmarkEnd w:id="1670"/>
      <w:bookmarkEnd w:id="1671"/>
      <w:bookmarkEnd w:id="1672"/>
      <w:bookmarkEnd w:id="1673"/>
      <w:bookmarkEnd w:id="1674"/>
      <w:bookmarkEnd w:id="1675"/>
      <w:bookmarkEnd w:id="1676"/>
      <w:bookmarkEnd w:id="1677"/>
    </w:p>
    <w:p w14:paraId="50BB76F3">
      <w:pPr>
        <w:snapToGrid w:val="0"/>
        <w:spacing w:line="360" w:lineRule="auto"/>
        <w:ind w:firstLine="420" w:firstLineChars="200"/>
        <w:rPr>
          <w:rFonts w:hint="eastAsia" w:ascii="宋体" w:hAnsi="宋体" w:cs="宋体"/>
          <w:color w:val="auto"/>
          <w:kern w:val="0"/>
          <w:szCs w:val="21"/>
          <w:highlight w:val="none"/>
        </w:rPr>
      </w:pPr>
    </w:p>
    <w:p w14:paraId="738E580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56031855">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w:t>
      </w:r>
      <w:r>
        <w:rPr>
          <w:rFonts w:hint="eastAsia" w:ascii="宋体" w:hAnsi="宋体" w:eastAsia="宋体" w:cs="宋体"/>
          <w:color w:val="auto"/>
          <w:kern w:val="0"/>
          <w:szCs w:val="21"/>
          <w:highlight w:val="none"/>
        </w:rPr>
        <w:t>参加</w:t>
      </w:r>
      <w:r>
        <w:rPr>
          <w:rFonts w:hint="eastAsia" w:ascii="宋体" w:hAnsi="宋体" w:cs="宋体"/>
          <w:color w:val="auto"/>
          <w:kern w:val="0"/>
          <w:szCs w:val="21"/>
          <w:highlight w:val="none"/>
          <w:u w:val="single"/>
          <w:lang w:eastAsia="zh-CN"/>
        </w:rPr>
        <w:t>元岗北路建设工程监理</w:t>
      </w:r>
      <w:r>
        <w:rPr>
          <w:rFonts w:hint="eastAsia" w:ascii="宋体" w:hAnsi="宋体" w:eastAsia="宋体" w:cs="宋体"/>
          <w:color w:val="auto"/>
          <w:kern w:val="0"/>
          <w:szCs w:val="21"/>
          <w:highlight w:val="none"/>
          <w:u w:val="single"/>
        </w:rPr>
        <w:t>项目</w:t>
      </w:r>
      <w:r>
        <w:rPr>
          <w:rFonts w:hint="eastAsia" w:ascii="宋体" w:hAnsi="宋体" w:eastAsia="宋体" w:cs="宋体"/>
          <w:color w:val="auto"/>
          <w:kern w:val="0"/>
          <w:szCs w:val="21"/>
          <w:highlight w:val="none"/>
        </w:rPr>
        <w:t>投标工</w:t>
      </w:r>
      <w:r>
        <w:rPr>
          <w:rFonts w:ascii="宋体" w:hAnsi="宋体" w:cs="宋体"/>
          <w:color w:val="auto"/>
          <w:kern w:val="0"/>
          <w:szCs w:val="21"/>
          <w:highlight w:val="none"/>
        </w:rPr>
        <w:t>作，作出郑重声明：</w:t>
      </w:r>
    </w:p>
    <w:p w14:paraId="14B064F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56F5EAE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6F1D289E">
      <w:pPr>
        <w:pStyle w:val="2"/>
        <w:kinsoku w:val="0"/>
        <w:overflowPunct w:val="0"/>
        <w:spacing w:before="75"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495D8C7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16EB7EE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105FEEA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71F920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7DD1B46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53159D4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6028412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16D1A38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3740501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cs="宋体"/>
          <w:color w:val="auto"/>
          <w:kern w:val="0"/>
          <w:szCs w:val="21"/>
          <w:highlight w:val="none"/>
        </w:rPr>
        <w:t>；</w:t>
      </w:r>
    </w:p>
    <w:p w14:paraId="4DA8A6C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61383AD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7ED67A8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77B4440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）在最近三年内有发生重大</w:t>
      </w:r>
      <w:r>
        <w:rPr>
          <w:rFonts w:hint="eastAsia" w:ascii="宋体" w:hAnsi="宋体" w:cs="宋体"/>
          <w:color w:val="auto"/>
          <w:kern w:val="0"/>
          <w:szCs w:val="21"/>
          <w:highlight w:val="none"/>
          <w:lang w:eastAsia="zh-CN"/>
        </w:rPr>
        <w:t>监理</w:t>
      </w:r>
      <w:r>
        <w:rPr>
          <w:rFonts w:hint="eastAsia" w:ascii="宋体" w:hAnsi="宋体" w:cs="宋体"/>
          <w:color w:val="auto"/>
          <w:kern w:val="0"/>
          <w:szCs w:val="21"/>
          <w:highlight w:val="none"/>
        </w:rPr>
        <w:t>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4EC8AEB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3CD67D0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79EEC376">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59C1D7BF">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。（注：本条由投标人如实填写，如有，应列出全部满足招标公告资质要求的相关单位的名称；如无，则填写“无”。）</w:t>
      </w:r>
    </w:p>
    <w:p w14:paraId="45C0EC46">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0B67EB2F">
      <w:pPr>
        <w:pStyle w:val="74"/>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2A4F2144">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6326B3A8">
      <w:pPr>
        <w:pStyle w:val="13"/>
        <w:spacing w:line="360" w:lineRule="auto"/>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76C5EB6F">
      <w:pPr>
        <w:spacing w:line="360" w:lineRule="auto"/>
        <w:ind w:firstLine="420"/>
        <w:rPr>
          <w:rFonts w:hint="default"/>
          <w:color w:val="auto"/>
          <w:highlight w:val="none"/>
          <w:lang w:val="en-US" w:eastAsia="zh-CN"/>
        </w:rPr>
      </w:pPr>
    </w:p>
    <w:p w14:paraId="33633CD7">
      <w:pPr>
        <w:pStyle w:val="13"/>
        <w:spacing w:line="360" w:lineRule="auto"/>
        <w:rPr>
          <w:rFonts w:hint="default"/>
          <w:color w:val="auto"/>
          <w:highlight w:val="none"/>
          <w:lang w:val="en-US" w:eastAsia="zh-CN"/>
        </w:rPr>
      </w:pPr>
    </w:p>
    <w:p w14:paraId="446617B2">
      <w:pPr>
        <w:spacing w:line="360" w:lineRule="auto"/>
        <w:rPr>
          <w:rFonts w:hint="default"/>
          <w:color w:val="auto"/>
          <w:highlight w:val="none"/>
          <w:lang w:val="en-US" w:eastAsia="zh-CN"/>
        </w:rPr>
      </w:pPr>
    </w:p>
    <w:p w14:paraId="6C920214">
      <w:pPr>
        <w:snapToGrid w:val="0"/>
        <w:spacing w:line="360" w:lineRule="auto"/>
        <w:ind w:firstLine="3990" w:firstLineChars="1900"/>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0E99BDC8">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 w:val="21"/>
          <w:szCs w:val="21"/>
          <w:highlight w:val="none"/>
        </w:rPr>
        <w:t>签字（</w:t>
      </w:r>
      <w:r>
        <w:rPr>
          <w:rFonts w:hint="eastAsia" w:ascii="宋体" w:hAnsi="宋体" w:cs="宋体"/>
          <w:color w:val="auto"/>
          <w:spacing w:val="0"/>
          <w:kern w:val="0"/>
          <w:sz w:val="21"/>
          <w:szCs w:val="21"/>
          <w:highlight w:val="none"/>
        </w:rPr>
        <w:t>或盖章</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14:paraId="189F6119">
      <w:pPr>
        <w:snapToGrid w:val="0"/>
        <w:spacing w:line="360" w:lineRule="auto"/>
        <w:ind w:firstLine="3990" w:firstLineChars="19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总监理工程师签字（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64B93F88">
      <w:pPr>
        <w:pStyle w:val="8"/>
        <w:spacing w:line="360" w:lineRule="auto"/>
        <w:rPr>
          <w:rFonts w:hint="default" w:eastAsia="宋体"/>
          <w:color w:val="auto"/>
          <w:highlight w:val="none"/>
          <w:lang w:val="en-US" w:eastAsia="zh-CN"/>
        </w:rPr>
      </w:pPr>
      <w:r>
        <w:rPr>
          <w:rFonts w:hint="eastAsia" w:ascii="宋体" w:hAnsi="宋体" w:cs="宋体"/>
          <w:color w:val="auto"/>
          <w:kern w:val="0"/>
          <w:sz w:val="21"/>
          <w:szCs w:val="21"/>
          <w:highlight w:val="none"/>
          <w:lang w:val="en-US" w:eastAsia="zh-CN"/>
        </w:rPr>
        <w:t xml:space="preserve">                                  项目技术负责人签字（或盖章）：</w:t>
      </w:r>
    </w:p>
    <w:p w14:paraId="62149A17">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Cs w:val="21"/>
          <w:highlight w:val="none"/>
        </w:rPr>
        <w:t>年   月   日</w:t>
      </w:r>
    </w:p>
    <w:p w14:paraId="51E4A8A0">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注：如联合体投标人，由联合体牵头方签字、盖章即可。</w:t>
      </w:r>
    </w:p>
    <w:p w14:paraId="44E0D430">
      <w:pPr>
        <w:pStyle w:val="5"/>
        <w:bidi w:val="0"/>
        <w:spacing w:line="360" w:lineRule="auto"/>
        <w:jc w:val="center"/>
        <w:rPr>
          <w:rFonts w:hint="eastAsia" w:ascii="黑体" w:hAnsi="黑体" w:eastAsia="黑体" w:cs="黑体"/>
          <w:color w:val="auto"/>
          <w:sz w:val="28"/>
          <w:szCs w:val="28"/>
          <w:highlight w:val="none"/>
          <w:lang w:eastAsia="zh-CN"/>
        </w:rPr>
      </w:pPr>
      <w:r>
        <w:rPr>
          <w:color w:val="auto"/>
          <w:highlight w:val="none"/>
        </w:rPr>
        <w:br w:type="page"/>
      </w:r>
      <w:bookmarkStart w:id="1680" w:name="_Toc680"/>
      <w:bookmarkStart w:id="1681" w:name="_Toc5902"/>
      <w:bookmarkStart w:id="1682" w:name="_Toc19759"/>
      <w:bookmarkStart w:id="1683" w:name="_Toc15797"/>
      <w:r>
        <w:rPr>
          <w:rFonts w:hint="eastAsia" w:ascii="宋体" w:hAnsi="宋体" w:eastAsia="宋体" w:cs="宋体"/>
          <w:b/>
          <w:bCs w:val="0"/>
          <w:color w:val="auto"/>
          <w:sz w:val="28"/>
          <w:szCs w:val="28"/>
          <w:highlight w:val="none"/>
          <w:lang w:eastAsia="zh-CN"/>
        </w:rPr>
        <w:t>五</w:t>
      </w:r>
      <w:r>
        <w:rPr>
          <w:rFonts w:hint="eastAsia" w:ascii="宋体" w:hAnsi="宋体" w:eastAsia="宋体" w:cs="宋体"/>
          <w:b/>
          <w:bCs w:val="0"/>
          <w:color w:val="auto"/>
          <w:sz w:val="28"/>
          <w:szCs w:val="28"/>
          <w:highlight w:val="none"/>
        </w:rPr>
        <w:t>、</w:t>
      </w:r>
      <w:bookmarkStart w:id="1684" w:name="_Toc144974861"/>
      <w:bookmarkStart w:id="1685" w:name="_Toc361508757"/>
      <w:bookmarkStart w:id="1686" w:name="_Toc384308381"/>
      <w:bookmarkStart w:id="1687" w:name="_Toc247527832"/>
      <w:bookmarkStart w:id="1688" w:name="_Toc152042581"/>
      <w:bookmarkStart w:id="1689" w:name="_Toc300835214"/>
      <w:bookmarkStart w:id="1690" w:name="_Toc13469"/>
      <w:bookmarkStart w:id="1691" w:name="_Toc352691666"/>
      <w:bookmarkStart w:id="1692" w:name="_Toc369531702"/>
      <w:bookmarkStart w:id="1693" w:name="_Toc247514284"/>
      <w:bookmarkStart w:id="1694" w:name="_Toc152045792"/>
      <w:r>
        <w:rPr>
          <w:rFonts w:hint="eastAsia" w:ascii="宋体" w:hAnsi="宋体" w:eastAsia="宋体" w:cs="宋体"/>
          <w:b/>
          <w:bCs w:val="0"/>
          <w:color w:val="auto"/>
          <w:sz w:val="28"/>
          <w:szCs w:val="28"/>
          <w:highlight w:val="none"/>
        </w:rPr>
        <w:t>投标保证金</w:t>
      </w:r>
      <w:bookmarkEnd w:id="1661"/>
      <w:bookmarkEnd w:id="1662"/>
      <w:bookmarkEnd w:id="1663"/>
      <w:bookmarkEnd w:id="1680"/>
      <w:bookmarkEnd w:id="1681"/>
      <w:bookmarkEnd w:id="1682"/>
      <w:bookmarkEnd w:id="1683"/>
    </w:p>
    <w:bookmarkEnd w:id="1684"/>
    <w:bookmarkEnd w:id="1685"/>
    <w:bookmarkEnd w:id="1686"/>
    <w:bookmarkEnd w:id="1687"/>
    <w:bookmarkEnd w:id="1688"/>
    <w:bookmarkEnd w:id="1689"/>
    <w:bookmarkEnd w:id="1690"/>
    <w:bookmarkEnd w:id="1691"/>
    <w:bookmarkEnd w:id="1692"/>
    <w:bookmarkEnd w:id="1693"/>
    <w:bookmarkEnd w:id="1694"/>
    <w:p w14:paraId="5C37D00B">
      <w:pPr>
        <w:spacing w:line="360" w:lineRule="auto"/>
        <w:jc w:val="center"/>
        <w:rPr>
          <w:b/>
          <w:bCs/>
          <w:color w:val="auto"/>
          <w:szCs w:val="21"/>
          <w:highlight w:val="none"/>
          <w:u w:val="single"/>
        </w:rPr>
      </w:pPr>
      <w:r>
        <w:rPr>
          <w:rFonts w:hint="eastAsia" w:ascii="宋体" w:hAnsi="宋体" w:cs="宋体"/>
          <w:b/>
          <w:bCs/>
          <w:color w:val="auto"/>
          <w:sz w:val="24"/>
          <w:szCs w:val="24"/>
          <w:highlight w:val="none"/>
          <w:u w:val="single"/>
        </w:rPr>
        <w:t>（本项目无需提供）</w:t>
      </w:r>
    </w:p>
    <w:p w14:paraId="2FE1050C">
      <w:pPr>
        <w:pStyle w:val="2"/>
        <w:tabs>
          <w:tab w:val="left" w:pos="6434"/>
          <w:tab w:val="left" w:pos="7483"/>
          <w:tab w:val="left" w:pos="8533"/>
        </w:tabs>
        <w:kinsoku w:val="0"/>
        <w:overflowPunct w:val="0"/>
        <w:spacing w:before="1" w:beforeLines="0" w:afterLines="0" w:line="360" w:lineRule="auto"/>
        <w:ind w:left="5592"/>
        <w:rPr>
          <w:rFonts w:hint="eastAsia"/>
          <w:strike w:val="0"/>
          <w:color w:val="auto"/>
          <w:sz w:val="21"/>
          <w:highlight w:val="none"/>
        </w:rPr>
      </w:pPr>
    </w:p>
    <w:p w14:paraId="3FFAC4A6">
      <w:pPr>
        <w:pStyle w:val="2"/>
        <w:tabs>
          <w:tab w:val="left" w:pos="6434"/>
          <w:tab w:val="left" w:pos="7483"/>
          <w:tab w:val="left" w:pos="8533"/>
        </w:tabs>
        <w:kinsoku w:val="0"/>
        <w:overflowPunct w:val="0"/>
        <w:spacing w:before="1" w:beforeLines="0" w:afterLines="0" w:line="360" w:lineRule="auto"/>
        <w:ind w:left="5592"/>
        <w:rPr>
          <w:rFonts w:hint="eastAsia"/>
          <w:strike w:val="0"/>
          <w:color w:val="auto"/>
          <w:sz w:val="21"/>
          <w:highlight w:val="none"/>
        </w:rPr>
        <w:sectPr>
          <w:footerReference r:id="rId9" w:type="default"/>
          <w:pgSz w:w="11850" w:h="16840"/>
          <w:pgMar w:top="1380" w:right="168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p>
    <w:p w14:paraId="0AB0E9B4">
      <w:pPr>
        <w:spacing w:line="360" w:lineRule="auto"/>
        <w:rPr>
          <w:color w:val="auto"/>
          <w:highlight w:val="none"/>
        </w:rPr>
      </w:pPr>
    </w:p>
    <w:p w14:paraId="0E5D5FB1">
      <w:pPr>
        <w:pStyle w:val="5"/>
        <w:bidi w:val="0"/>
        <w:spacing w:line="360" w:lineRule="auto"/>
        <w:jc w:val="center"/>
        <w:rPr>
          <w:rFonts w:hint="eastAsia" w:ascii="Times New Roman" w:hAnsi="Times New Roman" w:eastAsia="宋体"/>
          <w:color w:val="auto"/>
          <w:highlight w:val="none"/>
          <w:lang w:eastAsia="zh-CN"/>
        </w:rPr>
      </w:pPr>
      <w:bookmarkStart w:id="1695" w:name="_Toc5141"/>
      <w:bookmarkStart w:id="1696" w:name="_Toc29820"/>
      <w:bookmarkStart w:id="1697" w:name="_Toc5061"/>
      <w:bookmarkStart w:id="1698" w:name="_Toc32433"/>
      <w:bookmarkStart w:id="1699" w:name="_Toc27959"/>
      <w:bookmarkStart w:id="1700" w:name="_Toc19611"/>
      <w:bookmarkStart w:id="1701" w:name="_Toc15855"/>
      <w:bookmarkStart w:id="1702" w:name="_Toc10439"/>
      <w:bookmarkStart w:id="1703" w:name="_Toc59200716"/>
      <w:bookmarkStart w:id="1704" w:name="_Toc23399"/>
      <w:bookmarkStart w:id="1705" w:name="_Toc526786513"/>
      <w:bookmarkStart w:id="1706" w:name="_Toc12506"/>
      <w:bookmarkStart w:id="1707" w:name="_Toc8136"/>
      <w:bookmarkStart w:id="1708" w:name="_Toc4826"/>
      <w:r>
        <w:rPr>
          <w:rFonts w:hint="eastAsia" w:ascii="宋体" w:hAnsi="宋体" w:eastAsia="宋体" w:cs="宋体"/>
          <w:b/>
          <w:bCs w:val="0"/>
          <w:color w:val="auto"/>
          <w:sz w:val="28"/>
          <w:szCs w:val="28"/>
          <w:highlight w:val="none"/>
          <w:lang w:eastAsia="zh-CN"/>
        </w:rPr>
        <w:t>六</w:t>
      </w:r>
      <w:r>
        <w:rPr>
          <w:rFonts w:hint="eastAsia" w:ascii="宋体" w:hAnsi="宋体" w:eastAsia="宋体" w:cs="宋体"/>
          <w:b/>
          <w:bCs w:val="0"/>
          <w:color w:val="auto"/>
          <w:sz w:val="28"/>
          <w:szCs w:val="28"/>
          <w:highlight w:val="none"/>
        </w:rPr>
        <w:t>、监理报酬清单</w:t>
      </w:r>
      <w:bookmarkEnd w:id="1695"/>
      <w:bookmarkEnd w:id="1696"/>
      <w:bookmarkEnd w:id="1697"/>
      <w:bookmarkEnd w:id="1698"/>
      <w:bookmarkEnd w:id="1699"/>
      <w:bookmarkEnd w:id="1700"/>
      <w:bookmarkEnd w:id="1701"/>
      <w:bookmarkEnd w:id="1702"/>
      <w:bookmarkEnd w:id="1703"/>
      <w:bookmarkEnd w:id="1704"/>
      <w:bookmarkEnd w:id="1705"/>
      <w:bookmarkEnd w:id="1706"/>
      <w:r>
        <w:rPr>
          <w:rFonts w:hint="eastAsia" w:ascii="宋体" w:hAnsi="宋体" w:eastAsia="宋体" w:cs="宋体"/>
          <w:bCs/>
          <w:color w:val="auto"/>
          <w:kern w:val="0"/>
          <w:sz w:val="30"/>
          <w:szCs w:val="30"/>
          <w:highlight w:val="none"/>
        </w:rPr>
        <w:t>（格式</w:t>
      </w:r>
      <w:r>
        <w:rPr>
          <w:rFonts w:hint="eastAsia" w:ascii="宋体" w:hAnsi="宋体" w:eastAsia="宋体" w:cs="宋体"/>
          <w:bCs/>
          <w:color w:val="auto"/>
          <w:kern w:val="0"/>
          <w:sz w:val="30"/>
          <w:szCs w:val="30"/>
          <w:highlight w:val="none"/>
          <w:lang w:val="en-US" w:eastAsia="zh-CN"/>
        </w:rPr>
        <w:t>一</w:t>
      </w:r>
      <w:r>
        <w:rPr>
          <w:rFonts w:hint="eastAsia" w:ascii="宋体" w:hAnsi="宋体" w:eastAsia="宋体" w:cs="宋体"/>
          <w:bCs/>
          <w:color w:val="auto"/>
          <w:kern w:val="0"/>
          <w:sz w:val="30"/>
          <w:szCs w:val="30"/>
          <w:highlight w:val="none"/>
        </w:rPr>
        <w:t>）</w:t>
      </w:r>
      <w:bookmarkEnd w:id="1707"/>
      <w:bookmarkEnd w:id="1708"/>
    </w:p>
    <w:p w14:paraId="5156E8E4">
      <w:pPr>
        <w:spacing w:line="360" w:lineRule="auto"/>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监理报酬清单说明</w:t>
      </w:r>
    </w:p>
    <w:p w14:paraId="2D208C35">
      <w:pPr>
        <w:spacing w:line="360" w:lineRule="auto"/>
        <w:rPr>
          <w:rFonts w:asci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监理报酬清单</w:t>
      </w:r>
    </w:p>
    <w:p w14:paraId="186986AF">
      <w:pPr>
        <w:spacing w:line="360" w:lineRule="auto"/>
        <w:jc w:val="right"/>
        <w:rPr>
          <w:color w:val="auto"/>
          <w:szCs w:val="21"/>
          <w:highlight w:val="none"/>
        </w:rPr>
      </w:pPr>
      <w:r>
        <w:rPr>
          <w:rFonts w:hint="eastAsia" w:ascii="宋体" w:hAnsi="宋体"/>
          <w:color w:val="auto"/>
          <w:szCs w:val="21"/>
          <w:highlight w:val="none"/>
        </w:rPr>
        <w:t>单位：人民币元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835"/>
        <w:gridCol w:w="1322"/>
        <w:gridCol w:w="1938"/>
      </w:tblGrid>
      <w:tr w14:paraId="4259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76A7F6D5">
            <w:pPr>
              <w:spacing w:line="360" w:lineRule="auto"/>
              <w:jc w:val="center"/>
              <w:rPr>
                <w:b/>
                <w:color w:val="auto"/>
                <w:kern w:val="0"/>
                <w:szCs w:val="21"/>
                <w:highlight w:val="none"/>
              </w:rPr>
            </w:pPr>
            <w:bookmarkStart w:id="1709" w:name="_Toc361508760"/>
            <w:r>
              <w:rPr>
                <w:rFonts w:hint="eastAsia"/>
                <w:b/>
                <w:color w:val="auto"/>
                <w:kern w:val="0"/>
                <w:szCs w:val="21"/>
                <w:highlight w:val="none"/>
              </w:rPr>
              <w:t>序号</w:t>
            </w:r>
          </w:p>
        </w:tc>
        <w:tc>
          <w:tcPr>
            <w:tcW w:w="2410" w:type="dxa"/>
            <w:noWrap w:val="0"/>
            <w:vAlign w:val="center"/>
          </w:tcPr>
          <w:p w14:paraId="43AE5083">
            <w:pPr>
              <w:spacing w:line="360" w:lineRule="auto"/>
              <w:jc w:val="center"/>
              <w:rPr>
                <w:b/>
                <w:color w:val="auto"/>
                <w:kern w:val="0"/>
                <w:szCs w:val="21"/>
                <w:highlight w:val="none"/>
              </w:rPr>
            </w:pPr>
            <w:r>
              <w:rPr>
                <w:rFonts w:hint="eastAsia"/>
                <w:b/>
                <w:color w:val="auto"/>
                <w:kern w:val="0"/>
                <w:szCs w:val="21"/>
                <w:highlight w:val="none"/>
              </w:rPr>
              <w:t>监理报酬分项名称</w:t>
            </w:r>
          </w:p>
        </w:tc>
        <w:tc>
          <w:tcPr>
            <w:tcW w:w="2835" w:type="dxa"/>
            <w:noWrap w:val="0"/>
            <w:vAlign w:val="center"/>
          </w:tcPr>
          <w:p w14:paraId="7E00E08A">
            <w:pPr>
              <w:spacing w:line="360" w:lineRule="auto"/>
              <w:jc w:val="center"/>
              <w:rPr>
                <w:b/>
                <w:color w:val="auto"/>
                <w:kern w:val="0"/>
                <w:szCs w:val="21"/>
                <w:highlight w:val="none"/>
              </w:rPr>
            </w:pPr>
            <w:r>
              <w:rPr>
                <w:rFonts w:hint="eastAsia"/>
                <w:b/>
                <w:color w:val="auto"/>
                <w:kern w:val="0"/>
                <w:szCs w:val="21"/>
                <w:highlight w:val="none"/>
              </w:rPr>
              <w:t>计算依据、过程和公式</w:t>
            </w:r>
          </w:p>
        </w:tc>
        <w:tc>
          <w:tcPr>
            <w:tcW w:w="1322" w:type="dxa"/>
            <w:noWrap w:val="0"/>
            <w:vAlign w:val="center"/>
          </w:tcPr>
          <w:p w14:paraId="655B4933">
            <w:pPr>
              <w:spacing w:line="360" w:lineRule="auto"/>
              <w:jc w:val="center"/>
              <w:rPr>
                <w:b/>
                <w:color w:val="auto"/>
                <w:kern w:val="0"/>
                <w:szCs w:val="21"/>
                <w:highlight w:val="none"/>
              </w:rPr>
            </w:pPr>
            <w:r>
              <w:rPr>
                <w:rFonts w:hint="eastAsia"/>
                <w:b/>
                <w:color w:val="auto"/>
                <w:kern w:val="0"/>
                <w:szCs w:val="21"/>
                <w:highlight w:val="none"/>
              </w:rPr>
              <w:t>金额（元）</w:t>
            </w:r>
          </w:p>
        </w:tc>
        <w:tc>
          <w:tcPr>
            <w:tcW w:w="1938" w:type="dxa"/>
            <w:noWrap w:val="0"/>
            <w:vAlign w:val="center"/>
          </w:tcPr>
          <w:p w14:paraId="39A12753">
            <w:pPr>
              <w:spacing w:line="360" w:lineRule="auto"/>
              <w:jc w:val="center"/>
              <w:rPr>
                <w:b/>
                <w:color w:val="auto"/>
                <w:kern w:val="0"/>
                <w:szCs w:val="21"/>
                <w:highlight w:val="none"/>
              </w:rPr>
            </w:pPr>
            <w:r>
              <w:rPr>
                <w:rFonts w:hint="eastAsia"/>
                <w:b/>
                <w:color w:val="auto"/>
                <w:kern w:val="0"/>
                <w:szCs w:val="21"/>
                <w:highlight w:val="none"/>
              </w:rPr>
              <w:t>备注</w:t>
            </w:r>
          </w:p>
        </w:tc>
      </w:tr>
      <w:tr w14:paraId="56E3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4D99CF4">
            <w:pPr>
              <w:spacing w:line="360" w:lineRule="auto"/>
              <w:jc w:val="center"/>
              <w:rPr>
                <w:rFonts w:ascii="宋体" w:hAnsi="宋体"/>
                <w:color w:val="auto"/>
                <w:highlight w:val="none"/>
              </w:rPr>
            </w:pPr>
            <w:r>
              <w:rPr>
                <w:rFonts w:ascii="宋体" w:hAnsi="宋体"/>
                <w:color w:val="auto"/>
                <w:highlight w:val="none"/>
              </w:rPr>
              <w:t>1</w:t>
            </w:r>
          </w:p>
        </w:tc>
        <w:tc>
          <w:tcPr>
            <w:tcW w:w="2410" w:type="dxa"/>
            <w:noWrap w:val="0"/>
            <w:vAlign w:val="center"/>
          </w:tcPr>
          <w:p w14:paraId="49642DAD">
            <w:pPr>
              <w:spacing w:line="360" w:lineRule="auto"/>
              <w:jc w:val="center"/>
              <w:rPr>
                <w:color w:val="auto"/>
                <w:highlight w:val="none"/>
              </w:rPr>
            </w:pPr>
          </w:p>
        </w:tc>
        <w:tc>
          <w:tcPr>
            <w:tcW w:w="2835" w:type="dxa"/>
            <w:noWrap w:val="0"/>
            <w:vAlign w:val="center"/>
          </w:tcPr>
          <w:p w14:paraId="49A6D432">
            <w:pPr>
              <w:spacing w:line="360" w:lineRule="auto"/>
              <w:jc w:val="center"/>
              <w:rPr>
                <w:color w:val="auto"/>
                <w:highlight w:val="none"/>
              </w:rPr>
            </w:pPr>
          </w:p>
        </w:tc>
        <w:tc>
          <w:tcPr>
            <w:tcW w:w="1322" w:type="dxa"/>
            <w:noWrap w:val="0"/>
            <w:vAlign w:val="center"/>
          </w:tcPr>
          <w:p w14:paraId="59E61E27">
            <w:pPr>
              <w:spacing w:line="360" w:lineRule="auto"/>
              <w:jc w:val="center"/>
              <w:rPr>
                <w:color w:val="auto"/>
                <w:highlight w:val="none"/>
              </w:rPr>
            </w:pPr>
          </w:p>
        </w:tc>
        <w:tc>
          <w:tcPr>
            <w:tcW w:w="1938" w:type="dxa"/>
            <w:noWrap w:val="0"/>
            <w:vAlign w:val="center"/>
          </w:tcPr>
          <w:p w14:paraId="10EC30B5">
            <w:pPr>
              <w:spacing w:line="360" w:lineRule="auto"/>
              <w:jc w:val="center"/>
              <w:rPr>
                <w:color w:val="auto"/>
                <w:highlight w:val="none"/>
              </w:rPr>
            </w:pPr>
          </w:p>
        </w:tc>
      </w:tr>
      <w:tr w14:paraId="78EE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B6AEA0">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2</w:t>
            </w:r>
          </w:p>
        </w:tc>
        <w:tc>
          <w:tcPr>
            <w:tcW w:w="2410" w:type="dxa"/>
            <w:noWrap w:val="0"/>
            <w:vAlign w:val="center"/>
          </w:tcPr>
          <w:p w14:paraId="7C78619B">
            <w:pPr>
              <w:spacing w:line="360" w:lineRule="auto"/>
              <w:jc w:val="center"/>
              <w:rPr>
                <w:color w:val="auto"/>
                <w:highlight w:val="none"/>
              </w:rPr>
            </w:pPr>
          </w:p>
        </w:tc>
        <w:tc>
          <w:tcPr>
            <w:tcW w:w="2835" w:type="dxa"/>
            <w:noWrap w:val="0"/>
            <w:vAlign w:val="center"/>
          </w:tcPr>
          <w:p w14:paraId="4CF42F35">
            <w:pPr>
              <w:spacing w:line="360" w:lineRule="auto"/>
              <w:jc w:val="center"/>
              <w:rPr>
                <w:color w:val="auto"/>
                <w:highlight w:val="none"/>
              </w:rPr>
            </w:pPr>
          </w:p>
        </w:tc>
        <w:tc>
          <w:tcPr>
            <w:tcW w:w="1322" w:type="dxa"/>
            <w:noWrap w:val="0"/>
            <w:vAlign w:val="center"/>
          </w:tcPr>
          <w:p w14:paraId="25AD3300">
            <w:pPr>
              <w:spacing w:line="360" w:lineRule="auto"/>
              <w:jc w:val="center"/>
              <w:rPr>
                <w:color w:val="auto"/>
                <w:highlight w:val="none"/>
              </w:rPr>
            </w:pPr>
          </w:p>
        </w:tc>
        <w:tc>
          <w:tcPr>
            <w:tcW w:w="1938" w:type="dxa"/>
            <w:noWrap w:val="0"/>
            <w:vAlign w:val="center"/>
          </w:tcPr>
          <w:p w14:paraId="09072A35">
            <w:pPr>
              <w:spacing w:line="360" w:lineRule="auto"/>
              <w:jc w:val="center"/>
              <w:rPr>
                <w:color w:val="auto"/>
                <w:highlight w:val="none"/>
              </w:rPr>
            </w:pPr>
          </w:p>
        </w:tc>
      </w:tr>
      <w:tr w14:paraId="7D77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7632C2E">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3</w:t>
            </w:r>
          </w:p>
        </w:tc>
        <w:tc>
          <w:tcPr>
            <w:tcW w:w="2410" w:type="dxa"/>
            <w:noWrap w:val="0"/>
            <w:vAlign w:val="center"/>
          </w:tcPr>
          <w:p w14:paraId="1B97CD39">
            <w:pPr>
              <w:spacing w:line="360" w:lineRule="auto"/>
              <w:jc w:val="center"/>
              <w:rPr>
                <w:color w:val="auto"/>
                <w:highlight w:val="none"/>
              </w:rPr>
            </w:pPr>
          </w:p>
        </w:tc>
        <w:tc>
          <w:tcPr>
            <w:tcW w:w="2835" w:type="dxa"/>
            <w:noWrap w:val="0"/>
            <w:vAlign w:val="center"/>
          </w:tcPr>
          <w:p w14:paraId="14DE4C43">
            <w:pPr>
              <w:spacing w:line="360" w:lineRule="auto"/>
              <w:jc w:val="center"/>
              <w:rPr>
                <w:color w:val="auto"/>
                <w:highlight w:val="none"/>
              </w:rPr>
            </w:pPr>
          </w:p>
        </w:tc>
        <w:tc>
          <w:tcPr>
            <w:tcW w:w="1322" w:type="dxa"/>
            <w:noWrap w:val="0"/>
            <w:vAlign w:val="center"/>
          </w:tcPr>
          <w:p w14:paraId="359EAB16">
            <w:pPr>
              <w:spacing w:line="360" w:lineRule="auto"/>
              <w:jc w:val="center"/>
              <w:rPr>
                <w:color w:val="auto"/>
                <w:highlight w:val="none"/>
              </w:rPr>
            </w:pPr>
          </w:p>
        </w:tc>
        <w:tc>
          <w:tcPr>
            <w:tcW w:w="1938" w:type="dxa"/>
            <w:noWrap w:val="0"/>
            <w:vAlign w:val="center"/>
          </w:tcPr>
          <w:p w14:paraId="51504AA3">
            <w:pPr>
              <w:spacing w:line="360" w:lineRule="auto"/>
              <w:jc w:val="center"/>
              <w:rPr>
                <w:color w:val="auto"/>
                <w:highlight w:val="none"/>
              </w:rPr>
            </w:pPr>
          </w:p>
        </w:tc>
      </w:tr>
      <w:tr w14:paraId="05EE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137D7AC">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4</w:t>
            </w:r>
          </w:p>
        </w:tc>
        <w:tc>
          <w:tcPr>
            <w:tcW w:w="2410" w:type="dxa"/>
            <w:noWrap w:val="0"/>
            <w:vAlign w:val="center"/>
          </w:tcPr>
          <w:p w14:paraId="75FD770E">
            <w:pPr>
              <w:spacing w:line="360" w:lineRule="auto"/>
              <w:jc w:val="center"/>
              <w:rPr>
                <w:color w:val="auto"/>
                <w:highlight w:val="none"/>
              </w:rPr>
            </w:pPr>
          </w:p>
        </w:tc>
        <w:tc>
          <w:tcPr>
            <w:tcW w:w="2835" w:type="dxa"/>
            <w:noWrap w:val="0"/>
            <w:vAlign w:val="center"/>
          </w:tcPr>
          <w:p w14:paraId="5DC02B59">
            <w:pPr>
              <w:spacing w:line="360" w:lineRule="auto"/>
              <w:jc w:val="center"/>
              <w:rPr>
                <w:color w:val="auto"/>
                <w:highlight w:val="none"/>
              </w:rPr>
            </w:pPr>
          </w:p>
        </w:tc>
        <w:tc>
          <w:tcPr>
            <w:tcW w:w="1322" w:type="dxa"/>
            <w:noWrap w:val="0"/>
            <w:vAlign w:val="center"/>
          </w:tcPr>
          <w:p w14:paraId="4F0DCB79">
            <w:pPr>
              <w:spacing w:line="360" w:lineRule="auto"/>
              <w:jc w:val="center"/>
              <w:rPr>
                <w:color w:val="auto"/>
                <w:highlight w:val="none"/>
              </w:rPr>
            </w:pPr>
          </w:p>
        </w:tc>
        <w:tc>
          <w:tcPr>
            <w:tcW w:w="1938" w:type="dxa"/>
            <w:noWrap w:val="0"/>
            <w:vAlign w:val="center"/>
          </w:tcPr>
          <w:p w14:paraId="6C821471">
            <w:pPr>
              <w:spacing w:line="360" w:lineRule="auto"/>
              <w:jc w:val="center"/>
              <w:rPr>
                <w:color w:val="auto"/>
                <w:highlight w:val="none"/>
              </w:rPr>
            </w:pPr>
          </w:p>
        </w:tc>
      </w:tr>
      <w:tr w14:paraId="22D6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0E15BA">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5</w:t>
            </w:r>
          </w:p>
        </w:tc>
        <w:tc>
          <w:tcPr>
            <w:tcW w:w="2410" w:type="dxa"/>
            <w:noWrap w:val="0"/>
            <w:vAlign w:val="center"/>
          </w:tcPr>
          <w:p w14:paraId="6DF9DC45">
            <w:pPr>
              <w:spacing w:line="360" w:lineRule="auto"/>
              <w:jc w:val="center"/>
              <w:rPr>
                <w:color w:val="auto"/>
                <w:highlight w:val="none"/>
              </w:rPr>
            </w:pPr>
          </w:p>
        </w:tc>
        <w:tc>
          <w:tcPr>
            <w:tcW w:w="2835" w:type="dxa"/>
            <w:noWrap w:val="0"/>
            <w:vAlign w:val="center"/>
          </w:tcPr>
          <w:p w14:paraId="67CD0091">
            <w:pPr>
              <w:spacing w:line="360" w:lineRule="auto"/>
              <w:jc w:val="center"/>
              <w:rPr>
                <w:color w:val="auto"/>
                <w:highlight w:val="none"/>
              </w:rPr>
            </w:pPr>
          </w:p>
        </w:tc>
        <w:tc>
          <w:tcPr>
            <w:tcW w:w="1322" w:type="dxa"/>
            <w:noWrap w:val="0"/>
            <w:vAlign w:val="center"/>
          </w:tcPr>
          <w:p w14:paraId="3264E48E">
            <w:pPr>
              <w:spacing w:line="360" w:lineRule="auto"/>
              <w:jc w:val="center"/>
              <w:rPr>
                <w:color w:val="auto"/>
                <w:highlight w:val="none"/>
              </w:rPr>
            </w:pPr>
          </w:p>
        </w:tc>
        <w:tc>
          <w:tcPr>
            <w:tcW w:w="1938" w:type="dxa"/>
            <w:noWrap w:val="0"/>
            <w:vAlign w:val="center"/>
          </w:tcPr>
          <w:p w14:paraId="104C3EE0">
            <w:pPr>
              <w:spacing w:line="360" w:lineRule="auto"/>
              <w:jc w:val="center"/>
              <w:rPr>
                <w:color w:val="auto"/>
                <w:highlight w:val="none"/>
              </w:rPr>
            </w:pPr>
          </w:p>
        </w:tc>
      </w:tr>
      <w:tr w14:paraId="18AE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2BAF8BC">
            <w:pPr>
              <w:spacing w:line="360" w:lineRule="auto"/>
              <w:jc w:val="center"/>
              <w:rPr>
                <w:color w:val="auto"/>
                <w:kern w:val="0"/>
                <w:szCs w:val="21"/>
                <w:highlight w:val="none"/>
              </w:rPr>
            </w:pPr>
            <w:r>
              <w:rPr>
                <w:color w:val="auto"/>
                <w:kern w:val="0"/>
                <w:szCs w:val="21"/>
                <w:highlight w:val="none"/>
              </w:rPr>
              <w:t>……</w:t>
            </w:r>
          </w:p>
        </w:tc>
        <w:tc>
          <w:tcPr>
            <w:tcW w:w="2410" w:type="dxa"/>
            <w:noWrap w:val="0"/>
            <w:vAlign w:val="center"/>
          </w:tcPr>
          <w:p w14:paraId="7A24B85F">
            <w:pPr>
              <w:spacing w:line="360" w:lineRule="auto"/>
              <w:jc w:val="center"/>
              <w:rPr>
                <w:color w:val="auto"/>
                <w:kern w:val="0"/>
                <w:szCs w:val="21"/>
                <w:highlight w:val="none"/>
              </w:rPr>
            </w:pPr>
            <w:r>
              <w:rPr>
                <w:color w:val="auto"/>
                <w:kern w:val="0"/>
                <w:szCs w:val="21"/>
                <w:highlight w:val="none"/>
              </w:rPr>
              <w:t>……</w:t>
            </w:r>
          </w:p>
        </w:tc>
        <w:tc>
          <w:tcPr>
            <w:tcW w:w="2835" w:type="dxa"/>
            <w:noWrap w:val="0"/>
            <w:vAlign w:val="center"/>
          </w:tcPr>
          <w:p w14:paraId="37654EA8">
            <w:pPr>
              <w:spacing w:line="360" w:lineRule="auto"/>
              <w:jc w:val="center"/>
              <w:rPr>
                <w:color w:val="auto"/>
                <w:highlight w:val="none"/>
              </w:rPr>
            </w:pPr>
          </w:p>
        </w:tc>
        <w:tc>
          <w:tcPr>
            <w:tcW w:w="1322" w:type="dxa"/>
            <w:noWrap w:val="0"/>
            <w:vAlign w:val="center"/>
          </w:tcPr>
          <w:p w14:paraId="78F3845E">
            <w:pPr>
              <w:spacing w:line="360" w:lineRule="auto"/>
              <w:jc w:val="center"/>
              <w:rPr>
                <w:color w:val="auto"/>
                <w:highlight w:val="none"/>
              </w:rPr>
            </w:pPr>
          </w:p>
        </w:tc>
        <w:tc>
          <w:tcPr>
            <w:tcW w:w="1938" w:type="dxa"/>
            <w:noWrap w:val="0"/>
            <w:vAlign w:val="center"/>
          </w:tcPr>
          <w:p w14:paraId="04305170">
            <w:pPr>
              <w:spacing w:line="360" w:lineRule="auto"/>
              <w:jc w:val="center"/>
              <w:rPr>
                <w:color w:val="auto"/>
                <w:highlight w:val="none"/>
              </w:rPr>
            </w:pPr>
          </w:p>
        </w:tc>
      </w:tr>
      <w:tr w14:paraId="1D8E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2749E88F">
            <w:pPr>
              <w:spacing w:line="360" w:lineRule="auto"/>
              <w:jc w:val="center"/>
              <w:rPr>
                <w:b/>
                <w:color w:val="auto"/>
                <w:kern w:val="0"/>
                <w:szCs w:val="21"/>
                <w:highlight w:val="none"/>
              </w:rPr>
            </w:pPr>
            <w:r>
              <w:rPr>
                <w:rFonts w:hint="eastAsia"/>
                <w:b/>
                <w:color w:val="auto"/>
                <w:kern w:val="0"/>
                <w:szCs w:val="21"/>
                <w:highlight w:val="none"/>
              </w:rPr>
              <w:t>合计报价</w:t>
            </w:r>
          </w:p>
        </w:tc>
        <w:tc>
          <w:tcPr>
            <w:tcW w:w="1322" w:type="dxa"/>
            <w:noWrap w:val="0"/>
            <w:vAlign w:val="center"/>
          </w:tcPr>
          <w:p w14:paraId="174C0FA6">
            <w:pPr>
              <w:spacing w:line="360" w:lineRule="auto"/>
              <w:jc w:val="center"/>
              <w:rPr>
                <w:color w:val="auto"/>
                <w:highlight w:val="none"/>
              </w:rPr>
            </w:pPr>
          </w:p>
        </w:tc>
        <w:tc>
          <w:tcPr>
            <w:tcW w:w="1938" w:type="dxa"/>
            <w:noWrap w:val="0"/>
            <w:vAlign w:val="center"/>
          </w:tcPr>
          <w:p w14:paraId="48F807B5">
            <w:pPr>
              <w:spacing w:line="360" w:lineRule="auto"/>
              <w:jc w:val="center"/>
              <w:rPr>
                <w:color w:val="auto"/>
                <w:highlight w:val="none"/>
              </w:rPr>
            </w:pPr>
          </w:p>
        </w:tc>
      </w:tr>
      <w:tr w14:paraId="6BF1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0D6E3B6D">
            <w:pPr>
              <w:spacing w:line="360" w:lineRule="auto"/>
              <w:jc w:val="center"/>
              <w:rPr>
                <w:b/>
                <w:color w:val="auto"/>
                <w:kern w:val="0"/>
                <w:szCs w:val="21"/>
                <w:highlight w:val="none"/>
              </w:rPr>
            </w:pPr>
            <w:r>
              <w:rPr>
                <w:rFonts w:hint="eastAsia" w:ascii="宋体" w:hAnsi="宋体"/>
                <w:color w:val="auto"/>
                <w:szCs w:val="21"/>
                <w:highlight w:val="none"/>
              </w:rPr>
              <w:t>监理费率</w:t>
            </w:r>
          </w:p>
        </w:tc>
        <w:tc>
          <w:tcPr>
            <w:tcW w:w="3260" w:type="dxa"/>
            <w:gridSpan w:val="2"/>
            <w:noWrap w:val="0"/>
            <w:vAlign w:val="center"/>
          </w:tcPr>
          <w:p w14:paraId="1AAFE06A">
            <w:pPr>
              <w:spacing w:line="360" w:lineRule="auto"/>
              <w:jc w:val="center"/>
              <w:rPr>
                <w:color w:val="auto"/>
                <w:highlight w:val="none"/>
              </w:rPr>
            </w:pPr>
          </w:p>
        </w:tc>
      </w:tr>
    </w:tbl>
    <w:p w14:paraId="389485EA">
      <w:pPr>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备注：</w:t>
      </w:r>
    </w:p>
    <w:p w14:paraId="3B9D88B8">
      <w:pPr>
        <w:spacing w:line="360" w:lineRule="auto"/>
        <w:rPr>
          <w:rFonts w:ascii="宋体" w:hAnsi="宋体" w:cs="宋体"/>
          <w:color w:val="auto"/>
          <w:highlight w:val="none"/>
        </w:rPr>
      </w:pPr>
      <w:r>
        <w:rPr>
          <w:rFonts w:hint="eastAsia" w:ascii="宋体" w:hAnsi="宋体" w:cs="宋体"/>
          <w:snapToGrid w:val="0"/>
          <w:color w:val="auto"/>
          <w:spacing w:val="4"/>
          <w:kern w:val="0"/>
          <w:sz w:val="24"/>
          <w:szCs w:val="24"/>
          <w:highlight w:val="none"/>
        </w:rPr>
        <w:t>1.监理报酬报价总金额不能超过最高投标限总价，并按此计算监理费率[监理费率=（监理总报价/暂定工程费）×100%]，监理费率在监理费结算时不予调整。</w:t>
      </w:r>
    </w:p>
    <w:p w14:paraId="6A0C7261">
      <w:pPr>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2.监理费投标报价：包括但不限于监理设备、劳务、管理、交通、维护、保险、利润、税金、政策性文件规定及合同包含的所有风险、责任等各项所有费用；</w:t>
      </w:r>
    </w:p>
    <w:p w14:paraId="5BE23E1E">
      <w:pPr>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3.投标人报价应包含监理单位在监理服务实施中应缴纳的一切税费。如果政府出台新的税费政策，则按照新政策执行；</w:t>
      </w:r>
    </w:p>
    <w:p w14:paraId="3F7A6DAD">
      <w:pPr>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4.报价以元为单位，报价和监理费率均保留两位小数，第三位小数四舍五入。</w:t>
      </w:r>
    </w:p>
    <w:p w14:paraId="15543F54">
      <w:pPr>
        <w:spacing w:line="360" w:lineRule="auto"/>
        <w:rPr>
          <w:rFonts w:hint="eastAsia" w:ascii="宋体" w:hAnsi="宋体" w:cs="宋体"/>
          <w:snapToGrid w:val="0"/>
          <w:color w:val="auto"/>
          <w:spacing w:val="4"/>
          <w:kern w:val="0"/>
          <w:sz w:val="24"/>
          <w:szCs w:val="24"/>
          <w:highlight w:val="none"/>
        </w:rPr>
      </w:pPr>
    </w:p>
    <w:p w14:paraId="42A3E55C">
      <w:pPr>
        <w:spacing w:line="360" w:lineRule="auto"/>
        <w:ind w:firstLine="2520" w:firstLineChars="1200"/>
        <w:jc w:val="left"/>
        <w:rPr>
          <w:rFonts w:ascii="宋体" w:hAnsi="宋体" w:cs="宋体"/>
          <w:color w:val="auto"/>
          <w:szCs w:val="21"/>
          <w:highlight w:val="none"/>
        </w:rPr>
      </w:pPr>
      <w:bookmarkStart w:id="1710" w:name="_Toc22758"/>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（盖单位章）</w:t>
      </w:r>
    </w:p>
    <w:p w14:paraId="110F2C58">
      <w:pPr>
        <w:spacing w:line="360" w:lineRule="auto"/>
        <w:jc w:val="left"/>
        <w:rPr>
          <w:rFonts w:ascii="宋体" w:hAnsi="宋体" w:cs="宋体"/>
          <w:color w:val="auto"/>
          <w:szCs w:val="21"/>
          <w:highlight w:val="none"/>
        </w:rPr>
      </w:pPr>
      <w:r>
        <w:rPr>
          <w:rFonts w:hint="eastAsia" w:ascii="宋体" w:hAnsi="宋体" w:cs="宋体"/>
          <w:color w:val="auto"/>
          <w:highlight w:val="none"/>
        </w:rPr>
        <w:t xml:space="preserve">                        法定代表人</w:t>
      </w:r>
      <w:r>
        <w:rPr>
          <w:rFonts w:hint="eastAsia" w:ascii="宋体" w:hAnsi="宋体" w:cs="宋体"/>
          <w:color w:val="auto"/>
          <w:szCs w:val="21"/>
          <w:highlight w:val="none"/>
        </w:rPr>
        <w:t>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（签名或盖章）</w:t>
      </w:r>
    </w:p>
    <w:p w14:paraId="3AA3C666">
      <w:pPr>
        <w:spacing w:line="360" w:lineRule="auto"/>
        <w:ind w:firstLine="4725" w:firstLineChars="2250"/>
        <w:jc w:val="right"/>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14:paraId="1E609A78">
      <w:pPr>
        <w:spacing w:line="360" w:lineRule="auto"/>
        <w:ind w:firstLine="4725" w:firstLineChars="2250"/>
        <w:jc w:val="right"/>
        <w:rPr>
          <w:rFonts w:hint="eastAsia" w:ascii="宋体" w:hAnsi="宋体" w:cs="宋体"/>
          <w:color w:val="auto"/>
          <w:szCs w:val="21"/>
          <w:highlight w:val="none"/>
        </w:rPr>
      </w:pPr>
    </w:p>
    <w:p w14:paraId="4620D33B">
      <w:pPr>
        <w:pStyle w:val="5"/>
        <w:jc w:val="center"/>
        <w:outlineLvl w:val="1"/>
        <w:rPr>
          <w:rFonts w:hint="eastAsia" w:eastAsia="宋体"/>
          <w:color w:val="auto"/>
          <w:sz w:val="28"/>
          <w:szCs w:val="24"/>
          <w:highlight w:val="none"/>
          <w:lang w:eastAsia="zh-CN"/>
        </w:rPr>
      </w:pPr>
      <w:bookmarkStart w:id="1711" w:name="_Toc20116"/>
      <w:r>
        <w:rPr>
          <w:rFonts w:hint="eastAsia" w:ascii="宋体" w:hAnsi="宋体" w:eastAsia="宋体" w:cs="宋体"/>
          <w:b/>
          <w:bCs w:val="0"/>
          <w:color w:val="auto"/>
          <w:sz w:val="28"/>
          <w:szCs w:val="28"/>
          <w:highlight w:val="none"/>
          <w:lang w:eastAsia="zh-CN"/>
        </w:rPr>
        <w:t>六</w:t>
      </w:r>
      <w:r>
        <w:rPr>
          <w:rFonts w:hint="default" w:ascii="宋体" w:hAnsi="宋体" w:eastAsia="宋体" w:cs="宋体"/>
          <w:b/>
          <w:bCs w:val="0"/>
          <w:color w:val="auto"/>
          <w:sz w:val="28"/>
          <w:szCs w:val="28"/>
          <w:highlight w:val="none"/>
        </w:rPr>
        <w:t>、监理报酬清单</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格式二</w:t>
      </w:r>
      <w:r>
        <w:rPr>
          <w:rFonts w:hint="eastAsia" w:ascii="宋体" w:hAnsi="宋体" w:eastAsia="宋体" w:cs="宋体"/>
          <w:b/>
          <w:bCs w:val="0"/>
          <w:color w:val="auto"/>
          <w:sz w:val="28"/>
          <w:szCs w:val="28"/>
          <w:highlight w:val="none"/>
          <w:lang w:eastAsia="zh-CN"/>
        </w:rPr>
        <w:t>）</w:t>
      </w:r>
      <w:bookmarkEnd w:id="1711"/>
    </w:p>
    <w:p w14:paraId="3442F321">
      <w:pPr>
        <w:pStyle w:val="2"/>
        <w:kinsoku w:val="0"/>
        <w:overflowPunct w:val="0"/>
        <w:ind w:left="0"/>
        <w:rPr>
          <w:rFonts w:hint="default"/>
          <w:color w:val="auto"/>
          <w:sz w:val="20"/>
          <w:szCs w:val="24"/>
          <w:highlight w:val="none"/>
        </w:rPr>
      </w:pPr>
    </w:p>
    <w:p w14:paraId="63FE030E">
      <w:pPr>
        <w:spacing w:line="44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项目名称</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 xml:space="preserve"> </w:t>
      </w:r>
    </w:p>
    <w:tbl>
      <w:tblPr>
        <w:tblStyle w:val="30"/>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0187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D389E">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BDBF3">
            <w:pPr>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518CB">
            <w:pPr>
              <w:jc w:val="center"/>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D2C58">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eastAsia="zh-CN"/>
              </w:rPr>
              <w:t>投标报价</w:t>
            </w:r>
            <w:r>
              <w:rPr>
                <w:rFonts w:hint="default" w:ascii="宋体" w:hAnsi="宋体" w:eastAsia="宋体" w:cs="宋体"/>
                <w:b/>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2A430">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备注</w:t>
            </w:r>
          </w:p>
        </w:tc>
      </w:tr>
      <w:tr w14:paraId="739C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4281F">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02804">
            <w:pPr>
              <w:rPr>
                <w:rFonts w:hint="default" w:ascii="宋体" w:hAnsi="宋体" w:eastAsia="宋体" w:cs="宋体"/>
                <w:color w:val="auto"/>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3B282B">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FF2F3">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41C5E">
            <w:pPr>
              <w:spacing w:line="360" w:lineRule="auto"/>
              <w:jc w:val="center"/>
              <w:rPr>
                <w:rFonts w:hint="default" w:ascii="宋体" w:hAnsi="宋体" w:eastAsia="宋体" w:cs="宋体"/>
                <w:color w:val="auto"/>
                <w:sz w:val="21"/>
                <w:szCs w:val="21"/>
                <w:highlight w:val="none"/>
              </w:rPr>
            </w:pPr>
          </w:p>
        </w:tc>
      </w:tr>
      <w:tr w14:paraId="1504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3EAF7">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F415D">
            <w:pPr>
              <w:rPr>
                <w:rFonts w:hint="default" w:ascii="宋体" w:hAnsi="宋体" w:eastAsia="宋体" w:cs="宋体"/>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E0EB8D">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AAD72">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85880">
            <w:pPr>
              <w:spacing w:line="360" w:lineRule="auto"/>
              <w:jc w:val="center"/>
              <w:rPr>
                <w:rFonts w:hint="default" w:ascii="宋体" w:hAnsi="宋体" w:eastAsia="宋体" w:cs="宋体"/>
                <w:color w:val="auto"/>
                <w:sz w:val="21"/>
                <w:szCs w:val="21"/>
                <w:highlight w:val="none"/>
              </w:rPr>
            </w:pPr>
          </w:p>
        </w:tc>
      </w:tr>
      <w:tr w14:paraId="7A8D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B4654C">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7F38D">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0A85B">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890BC">
            <w:pPr>
              <w:spacing w:line="360" w:lineRule="auto"/>
              <w:jc w:val="center"/>
              <w:rPr>
                <w:rFonts w:hint="default" w:ascii="宋体" w:hAnsi="宋体" w:eastAsia="宋体" w:cs="宋体"/>
                <w:color w:val="auto"/>
                <w:sz w:val="21"/>
                <w:szCs w:val="21"/>
                <w:highlight w:val="none"/>
              </w:rPr>
            </w:pPr>
          </w:p>
        </w:tc>
      </w:tr>
    </w:tbl>
    <w:p w14:paraId="368E209A">
      <w:pPr>
        <w:pStyle w:val="75"/>
        <w:spacing w:line="240" w:lineRule="auto"/>
        <w:ind w:firstLine="0" w:firstLineChars="0"/>
        <w:rPr>
          <w:rFonts w:hint="default" w:ascii="宋体" w:hAnsi="宋体" w:cs="宋体"/>
          <w:color w:val="auto"/>
          <w:sz w:val="21"/>
          <w:szCs w:val="21"/>
          <w:highlight w:val="none"/>
        </w:rPr>
      </w:pPr>
    </w:p>
    <w:p w14:paraId="10AA5850">
      <w:pPr>
        <w:pStyle w:val="75"/>
        <w:spacing w:line="240" w:lineRule="auto"/>
        <w:ind w:firstLine="0" w:firstLineChars="0"/>
        <w:rPr>
          <w:rFonts w:hint="default" w:ascii="楷体_GB2312" w:hAnsi="楷体_GB2312" w:eastAsia="楷体_GB2312" w:cs="楷体_GB2312"/>
          <w:snapToGrid/>
          <w:color w:val="auto"/>
          <w:spacing w:val="0"/>
          <w:kern w:val="2"/>
          <w:sz w:val="21"/>
          <w:szCs w:val="24"/>
          <w:highlight w:val="none"/>
          <w:lang w:val="en-US" w:eastAsia="zh-CN" w:bidi="ar-SA"/>
        </w:rPr>
      </w:pPr>
      <w:r>
        <w:rPr>
          <w:rFonts w:hint="default" w:ascii="楷体_GB2312" w:hAnsi="楷体_GB2312" w:eastAsia="楷体_GB2312" w:cs="楷体_GB2312"/>
          <w:snapToGrid/>
          <w:color w:val="auto"/>
          <w:spacing w:val="0"/>
          <w:kern w:val="2"/>
          <w:sz w:val="21"/>
          <w:szCs w:val="24"/>
          <w:highlight w:val="none"/>
          <w:lang w:val="en-US" w:eastAsia="zh-CN" w:bidi="ar-SA"/>
        </w:rPr>
        <w:t>注：</w:t>
      </w:r>
    </w:p>
    <w:p w14:paraId="1BC521D4">
      <w:pPr>
        <w:pStyle w:val="75"/>
        <w:ind w:firstLine="436"/>
        <w:rPr>
          <w:rFonts w:hint="default" w:ascii="楷体_GB2312" w:hAnsi="楷体_GB2312" w:eastAsia="楷体_GB2312" w:cs="楷体_GB2312"/>
          <w:snapToGrid/>
          <w:color w:val="auto"/>
          <w:spacing w:val="0"/>
          <w:kern w:val="2"/>
          <w:sz w:val="21"/>
          <w:szCs w:val="24"/>
          <w:highlight w:val="none"/>
          <w:lang w:val="en-US" w:eastAsia="zh-CN" w:bidi="ar-SA"/>
        </w:rPr>
      </w:pPr>
      <w:r>
        <w:rPr>
          <w:rFonts w:hint="default" w:ascii="楷体_GB2312" w:hAnsi="楷体_GB2312" w:eastAsia="楷体_GB2312" w:cs="楷体_GB2312"/>
          <w:snapToGrid/>
          <w:color w:val="auto"/>
          <w:spacing w:val="0"/>
          <w:kern w:val="2"/>
          <w:sz w:val="21"/>
          <w:szCs w:val="24"/>
          <w:highlight w:val="none"/>
          <w:lang w:val="en-US" w:eastAsia="zh-CN" w:bidi="ar-SA"/>
        </w:rPr>
        <w:t>1、</w:t>
      </w:r>
      <w:r>
        <w:rPr>
          <w:rFonts w:hint="default" w:ascii="楷体_GB2312" w:hAnsi="楷体_GB2312" w:eastAsia="楷体_GB2312" w:cs="楷体_GB2312"/>
          <w:snapToGrid/>
          <w:color w:val="auto"/>
          <w:spacing w:val="0"/>
          <w:kern w:val="2"/>
          <w:sz w:val="21"/>
          <w:szCs w:val="24"/>
          <w:highlight w:val="none"/>
          <w:lang w:val="zh-CN" w:eastAsia="zh-CN" w:bidi="ar-SA"/>
        </w:rPr>
        <w:t>投标下浮率以百分比为单位，保留到小数点后</w:t>
      </w:r>
      <w:r>
        <w:rPr>
          <w:rFonts w:hint="default" w:ascii="楷体_GB2312" w:hAnsi="楷体_GB2312" w:eastAsia="楷体_GB2312" w:cs="楷体_GB2312"/>
          <w:snapToGrid/>
          <w:color w:val="auto"/>
          <w:spacing w:val="0"/>
          <w:kern w:val="2"/>
          <w:sz w:val="21"/>
          <w:szCs w:val="24"/>
          <w:highlight w:val="none"/>
        </w:rPr>
        <w:t>两</w:t>
      </w:r>
      <w:r>
        <w:rPr>
          <w:rFonts w:hint="default" w:ascii="楷体_GB2312" w:hAnsi="楷体_GB2312" w:eastAsia="楷体_GB2312" w:cs="楷体_GB2312"/>
          <w:snapToGrid/>
          <w:color w:val="auto"/>
          <w:spacing w:val="0"/>
          <w:kern w:val="2"/>
          <w:sz w:val="21"/>
          <w:szCs w:val="24"/>
          <w:highlight w:val="none"/>
          <w:lang w:val="zh-CN" w:eastAsia="zh-CN" w:bidi="ar-SA"/>
        </w:rPr>
        <w:t>位</w:t>
      </w:r>
      <w:r>
        <w:rPr>
          <w:rFonts w:hint="default" w:ascii="楷体_GB2312" w:hAnsi="楷体_GB2312" w:eastAsia="楷体_GB2312" w:cs="楷体_GB2312"/>
          <w:snapToGrid/>
          <w:color w:val="auto"/>
          <w:spacing w:val="0"/>
          <w:kern w:val="2"/>
          <w:sz w:val="21"/>
          <w:szCs w:val="24"/>
          <w:highlight w:val="none"/>
          <w:lang w:val="en-US" w:eastAsia="zh-CN" w:bidi="ar-SA"/>
        </w:rPr>
        <w:t>，投标报价填报保留小数点后两  位。</w:t>
      </w:r>
    </w:p>
    <w:p w14:paraId="1895ED5D">
      <w:pPr>
        <w:pStyle w:val="75"/>
        <w:ind w:firstLine="436"/>
        <w:rPr>
          <w:rFonts w:hint="default" w:ascii="楷体_GB2312" w:hAnsi="楷体_GB2312" w:eastAsia="楷体_GB2312" w:cs="楷体_GB2312"/>
          <w:snapToGrid/>
          <w:color w:val="auto"/>
          <w:spacing w:val="0"/>
          <w:kern w:val="2"/>
          <w:sz w:val="21"/>
          <w:szCs w:val="24"/>
          <w:highlight w:val="none"/>
          <w:lang w:val="en-US" w:eastAsia="zh-CN" w:bidi="ar-SA"/>
        </w:rPr>
      </w:pPr>
      <w:r>
        <w:rPr>
          <w:rFonts w:hint="default" w:ascii="楷体_GB2312" w:hAnsi="楷体_GB2312" w:eastAsia="楷体_GB2312" w:cs="楷体_GB2312"/>
          <w:snapToGrid/>
          <w:color w:val="auto"/>
          <w:spacing w:val="0"/>
          <w:kern w:val="2"/>
          <w:sz w:val="21"/>
          <w:szCs w:val="24"/>
          <w:highlight w:val="none"/>
          <w:lang w:val="en-US" w:eastAsia="zh-CN" w:bidi="ar-SA"/>
        </w:rPr>
        <w:t>2、监理费投标下浮率=（监理费最高投标限价-监理费投标报价）/监理费最高投标限价*100%。</w:t>
      </w:r>
    </w:p>
    <w:p w14:paraId="54A62A84">
      <w:pPr>
        <w:pStyle w:val="75"/>
        <w:spacing w:line="240" w:lineRule="auto"/>
        <w:ind w:firstLine="420" w:firstLineChars="200"/>
        <w:rPr>
          <w:rFonts w:hint="eastAsia" w:ascii="楷体_GB2312" w:hAnsi="楷体_GB2312" w:eastAsia="楷体_GB2312" w:cs="楷体_GB2312"/>
          <w:snapToGrid/>
          <w:color w:val="auto"/>
          <w:spacing w:val="0"/>
          <w:kern w:val="2"/>
          <w:sz w:val="21"/>
          <w:szCs w:val="24"/>
          <w:highlight w:val="none"/>
          <w:lang w:val="en-US" w:eastAsia="zh-CN" w:bidi="ar-SA"/>
        </w:rPr>
      </w:pPr>
      <w:bookmarkStart w:id="1712" w:name="_Toc6894"/>
      <w:r>
        <w:rPr>
          <w:rFonts w:hint="default" w:ascii="楷体_GB2312" w:hAnsi="楷体_GB2312" w:eastAsia="楷体_GB2312" w:cs="楷体_GB2312"/>
          <w:snapToGrid/>
          <w:color w:val="auto"/>
          <w:spacing w:val="0"/>
          <w:kern w:val="2"/>
          <w:sz w:val="21"/>
          <w:szCs w:val="24"/>
          <w:highlight w:val="none"/>
          <w:lang w:val="en-US" w:eastAsia="zh-CN" w:bidi="ar-SA"/>
        </w:rPr>
        <w:t>3、投标报价与投标下浮率不符时，以投标下浮率为准修正总价。</w:t>
      </w:r>
      <w:bookmarkEnd w:id="1712"/>
    </w:p>
    <w:p w14:paraId="5432E154">
      <w:pPr>
        <w:pStyle w:val="43"/>
        <w:rPr>
          <w:rFonts w:hint="eastAsia"/>
          <w:color w:val="auto"/>
          <w:highlight w:val="none"/>
        </w:rPr>
      </w:pPr>
    </w:p>
    <w:p w14:paraId="30FF346C">
      <w:pPr>
        <w:spacing w:line="360" w:lineRule="auto"/>
        <w:ind w:firstLine="4725" w:firstLineChars="2250"/>
        <w:jc w:val="right"/>
        <w:rPr>
          <w:rFonts w:hint="eastAsia" w:ascii="宋体" w:hAnsi="宋体" w:cs="宋体"/>
          <w:color w:val="auto"/>
          <w:szCs w:val="21"/>
          <w:highlight w:val="none"/>
        </w:rPr>
      </w:pPr>
    </w:p>
    <w:p w14:paraId="5ADEC657">
      <w:pPr>
        <w:spacing w:line="360" w:lineRule="auto"/>
        <w:ind w:firstLine="2520" w:firstLineChars="1200"/>
        <w:jc w:val="left"/>
        <w:rPr>
          <w:rFonts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（盖单位章）</w:t>
      </w:r>
    </w:p>
    <w:p w14:paraId="35EA652D">
      <w:pPr>
        <w:spacing w:line="360" w:lineRule="auto"/>
        <w:jc w:val="left"/>
        <w:rPr>
          <w:rFonts w:ascii="宋体" w:hAnsi="宋体" w:cs="宋体"/>
          <w:color w:val="auto"/>
          <w:szCs w:val="21"/>
          <w:highlight w:val="none"/>
        </w:rPr>
      </w:pPr>
      <w:r>
        <w:rPr>
          <w:rFonts w:hint="eastAsia" w:ascii="宋体" w:hAnsi="宋体" w:cs="宋体"/>
          <w:color w:val="auto"/>
          <w:highlight w:val="none"/>
        </w:rPr>
        <w:t xml:space="preserve">                        法定代表人</w:t>
      </w:r>
      <w:r>
        <w:rPr>
          <w:rFonts w:hint="eastAsia" w:ascii="宋体" w:hAnsi="宋体" w:cs="宋体"/>
          <w:color w:val="auto"/>
          <w:szCs w:val="21"/>
          <w:highlight w:val="none"/>
        </w:rPr>
        <w:t>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（签名或盖章）</w:t>
      </w:r>
    </w:p>
    <w:p w14:paraId="66D21404">
      <w:pPr>
        <w:spacing w:line="360" w:lineRule="auto"/>
        <w:ind w:firstLine="4725" w:firstLineChars="2250"/>
        <w:jc w:val="right"/>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14:paraId="210425A5">
      <w:pPr>
        <w:pStyle w:val="5"/>
        <w:spacing w:line="360" w:lineRule="auto"/>
        <w:jc w:val="center"/>
        <w:outlineLvl w:val="1"/>
        <w:rPr>
          <w:rFonts w:hint="eastAsia" w:ascii="宋体" w:hAnsi="宋体" w:eastAsia="宋体" w:cs="宋体"/>
          <w:b/>
          <w:bCs w:val="0"/>
          <w:color w:val="auto"/>
          <w:sz w:val="28"/>
          <w:szCs w:val="28"/>
          <w:highlight w:val="none"/>
          <w:lang w:eastAsia="zh-CN"/>
        </w:rPr>
      </w:pPr>
    </w:p>
    <w:p w14:paraId="2B705860">
      <w:pPr>
        <w:rPr>
          <w:rFonts w:hint="eastAsia" w:ascii="宋体" w:hAnsi="宋体" w:eastAsia="宋体" w:cs="宋体"/>
          <w:b/>
          <w:bCs w:val="0"/>
          <w:color w:val="auto"/>
          <w:sz w:val="28"/>
          <w:szCs w:val="28"/>
          <w:highlight w:val="none"/>
          <w:lang w:eastAsia="zh-CN"/>
        </w:rPr>
      </w:pPr>
    </w:p>
    <w:p w14:paraId="6DD9DF8E">
      <w:pPr>
        <w:rPr>
          <w:rFonts w:hint="eastAsia" w:ascii="宋体" w:hAnsi="宋体" w:eastAsia="宋体" w:cs="宋体"/>
          <w:b/>
          <w:bCs w:val="0"/>
          <w:color w:val="auto"/>
          <w:sz w:val="28"/>
          <w:szCs w:val="28"/>
          <w:highlight w:val="none"/>
          <w:lang w:eastAsia="zh-CN"/>
        </w:rPr>
      </w:pPr>
    </w:p>
    <w:p w14:paraId="1B14C277">
      <w:pPr>
        <w:rPr>
          <w:rFonts w:hint="eastAsia" w:ascii="宋体" w:hAnsi="宋体" w:eastAsia="宋体" w:cs="宋体"/>
          <w:b/>
          <w:bCs w:val="0"/>
          <w:color w:val="auto"/>
          <w:sz w:val="28"/>
          <w:szCs w:val="28"/>
          <w:highlight w:val="none"/>
          <w:lang w:eastAsia="zh-CN"/>
        </w:rPr>
      </w:pPr>
    </w:p>
    <w:p w14:paraId="349B3170">
      <w:pPr>
        <w:rPr>
          <w:rFonts w:hint="eastAsia" w:ascii="宋体" w:hAnsi="宋体" w:eastAsia="宋体" w:cs="宋体"/>
          <w:b/>
          <w:bCs w:val="0"/>
          <w:color w:val="auto"/>
          <w:sz w:val="28"/>
          <w:szCs w:val="28"/>
          <w:highlight w:val="none"/>
          <w:lang w:eastAsia="zh-CN"/>
        </w:rPr>
      </w:pPr>
    </w:p>
    <w:p w14:paraId="5A19AFE8">
      <w:pPr>
        <w:rPr>
          <w:rFonts w:hint="eastAsia" w:ascii="宋体" w:hAnsi="宋体" w:eastAsia="宋体" w:cs="宋体"/>
          <w:b/>
          <w:bCs w:val="0"/>
          <w:color w:val="auto"/>
          <w:sz w:val="28"/>
          <w:szCs w:val="28"/>
          <w:highlight w:val="none"/>
          <w:lang w:eastAsia="zh-CN"/>
        </w:rPr>
      </w:pPr>
    </w:p>
    <w:p w14:paraId="6847E5D8">
      <w:pPr>
        <w:rPr>
          <w:rFonts w:hint="eastAsia" w:ascii="宋体" w:hAnsi="宋体" w:eastAsia="宋体" w:cs="宋体"/>
          <w:b/>
          <w:bCs w:val="0"/>
          <w:color w:val="auto"/>
          <w:sz w:val="28"/>
          <w:szCs w:val="28"/>
          <w:highlight w:val="none"/>
          <w:lang w:eastAsia="zh-CN"/>
        </w:rPr>
      </w:pPr>
    </w:p>
    <w:p w14:paraId="62117C69">
      <w:pPr>
        <w:rPr>
          <w:rFonts w:hint="eastAsia" w:ascii="宋体" w:hAnsi="宋体" w:eastAsia="宋体" w:cs="宋体"/>
          <w:b/>
          <w:bCs w:val="0"/>
          <w:color w:val="auto"/>
          <w:sz w:val="28"/>
          <w:szCs w:val="28"/>
          <w:highlight w:val="none"/>
          <w:lang w:eastAsia="zh-CN"/>
        </w:rPr>
      </w:pPr>
    </w:p>
    <w:bookmarkEnd w:id="1710"/>
    <w:p w14:paraId="0A1BDAAF">
      <w:pPr>
        <w:pStyle w:val="5"/>
        <w:bidi w:val="0"/>
        <w:spacing w:line="360" w:lineRule="auto"/>
        <w:jc w:val="center"/>
        <w:rPr>
          <w:rFonts w:hint="eastAsia" w:ascii="黑体" w:hAnsi="黑体" w:eastAsia="黑体" w:cs="黑体"/>
          <w:color w:val="auto"/>
          <w:sz w:val="28"/>
          <w:szCs w:val="28"/>
          <w:highlight w:val="none"/>
        </w:rPr>
      </w:pPr>
      <w:bookmarkStart w:id="1713" w:name="_Toc15817"/>
      <w:bookmarkStart w:id="1714" w:name="_Toc22909"/>
      <w:bookmarkStart w:id="1715" w:name="_Toc526786514"/>
      <w:bookmarkStart w:id="1716" w:name="_Toc30420"/>
      <w:bookmarkStart w:id="1717" w:name="_Toc14264"/>
      <w:bookmarkStart w:id="1718" w:name="_Toc59200717"/>
      <w:bookmarkStart w:id="1719" w:name="_Toc4834"/>
      <w:bookmarkStart w:id="1720" w:name="_Toc4450"/>
      <w:bookmarkStart w:id="1721" w:name="_Toc27044"/>
      <w:bookmarkStart w:id="1722" w:name="_Toc19706"/>
      <w:bookmarkStart w:id="1723" w:name="_Toc22086"/>
      <w:bookmarkStart w:id="1724" w:name="_Toc22505"/>
      <w:bookmarkStart w:id="1725" w:name="_Toc151"/>
      <w:bookmarkStart w:id="1726" w:name="_Toc23869"/>
      <w:r>
        <w:rPr>
          <w:rFonts w:hint="eastAsia" w:ascii="宋体" w:hAnsi="宋体" w:eastAsia="宋体" w:cs="宋体"/>
          <w:b/>
          <w:bCs w:val="0"/>
          <w:color w:val="auto"/>
          <w:sz w:val="28"/>
          <w:szCs w:val="28"/>
          <w:highlight w:val="none"/>
          <w:lang w:eastAsia="zh-CN"/>
        </w:rPr>
        <w:t>七</w:t>
      </w:r>
      <w:r>
        <w:rPr>
          <w:rFonts w:hint="eastAsia" w:ascii="宋体" w:hAnsi="宋体" w:eastAsia="宋体" w:cs="宋体"/>
          <w:b/>
          <w:bCs w:val="0"/>
          <w:color w:val="auto"/>
          <w:sz w:val="28"/>
          <w:szCs w:val="28"/>
          <w:highlight w:val="none"/>
        </w:rPr>
        <w:t>、资格审查</w:t>
      </w:r>
      <w:r>
        <w:rPr>
          <w:rFonts w:hint="eastAsia" w:ascii="宋体" w:hAnsi="宋体" w:cs="宋体"/>
          <w:b/>
          <w:bCs w:val="0"/>
          <w:color w:val="auto"/>
          <w:sz w:val="28"/>
          <w:szCs w:val="28"/>
          <w:highlight w:val="none"/>
          <w:u w:val="single"/>
          <w:lang w:eastAsia="zh-CN"/>
        </w:rPr>
        <w:t>（</w:t>
      </w:r>
      <w:r>
        <w:rPr>
          <w:rFonts w:hint="eastAsia" w:ascii="宋体" w:hAnsi="宋体" w:cs="宋体"/>
          <w:b/>
          <w:bCs w:val="0"/>
          <w:color w:val="auto"/>
          <w:sz w:val="28"/>
          <w:szCs w:val="28"/>
          <w:highlight w:val="none"/>
          <w:u w:val="single"/>
          <w:lang w:val="en-US" w:eastAsia="zh-CN"/>
        </w:rPr>
        <w:t>含资信业绩</w:t>
      </w:r>
      <w:r>
        <w:rPr>
          <w:rFonts w:hint="eastAsia" w:ascii="宋体" w:hAnsi="宋体" w:cs="宋体"/>
          <w:b/>
          <w:bCs w:val="0"/>
          <w:color w:val="auto"/>
          <w:sz w:val="28"/>
          <w:szCs w:val="28"/>
          <w:highlight w:val="none"/>
          <w:u w:val="single"/>
          <w:lang w:eastAsia="zh-CN"/>
        </w:rPr>
        <w:t>）</w:t>
      </w:r>
      <w:r>
        <w:rPr>
          <w:rFonts w:hint="eastAsia" w:ascii="宋体" w:hAnsi="宋体" w:eastAsia="宋体" w:cs="宋体"/>
          <w:b/>
          <w:bCs w:val="0"/>
          <w:color w:val="auto"/>
          <w:sz w:val="28"/>
          <w:szCs w:val="28"/>
          <w:highlight w:val="none"/>
        </w:rPr>
        <w:t>资料</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317813B0">
      <w:pPr>
        <w:pStyle w:val="5"/>
        <w:bidi w:val="0"/>
        <w:spacing w:line="360" w:lineRule="auto"/>
        <w:rPr>
          <w:color w:val="auto"/>
          <w:highlight w:val="none"/>
        </w:rPr>
      </w:pPr>
      <w:bookmarkStart w:id="1727" w:name="_Toc18652"/>
      <w:bookmarkStart w:id="1728" w:name="_Toc9436"/>
      <w:bookmarkStart w:id="1729" w:name="_Toc31838"/>
      <w:bookmarkStart w:id="1730" w:name="_Toc29064"/>
      <w:bookmarkStart w:id="1731" w:name="_Toc32344"/>
      <w:bookmarkStart w:id="1732" w:name="_Toc31437"/>
      <w:bookmarkStart w:id="1733" w:name="_Toc16550"/>
      <w:bookmarkStart w:id="1734" w:name="_Toc27200"/>
      <w:bookmarkStart w:id="1735" w:name="_Toc59200718"/>
      <w:bookmarkStart w:id="1736" w:name="_Toc4257"/>
      <w:bookmarkStart w:id="1737" w:name="_Toc30686"/>
      <w:bookmarkStart w:id="1738" w:name="_Toc26640"/>
      <w:bookmarkStart w:id="1739" w:name="_Toc32629"/>
      <w:bookmarkStart w:id="1740" w:name="_Toc526786515"/>
      <w:bookmarkStart w:id="1741" w:name="_Toc27615"/>
      <w:r>
        <w:rPr>
          <w:rFonts w:hint="eastAsia"/>
          <w:color w:val="auto"/>
          <w:highlight w:val="none"/>
        </w:rPr>
        <w:t>（一）基本情况表</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859C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16FF5D2">
            <w:pPr>
              <w:topLinePunct/>
              <w:spacing w:line="360" w:lineRule="auto"/>
              <w:jc w:val="center"/>
              <w:rPr>
                <w:color w:val="auto"/>
                <w:highlight w:val="none"/>
              </w:rPr>
            </w:pPr>
            <w:r>
              <w:rPr>
                <w:rFonts w:hint="eastAsia"/>
                <w:color w:val="auto"/>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14:paraId="079B4C27">
            <w:pPr>
              <w:topLinePunct/>
              <w:spacing w:line="360" w:lineRule="auto"/>
              <w:jc w:val="center"/>
              <w:rPr>
                <w:color w:val="auto"/>
                <w:highlight w:val="none"/>
              </w:rPr>
            </w:pPr>
          </w:p>
        </w:tc>
      </w:tr>
      <w:tr w14:paraId="22861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698549C5">
            <w:pPr>
              <w:topLinePunct/>
              <w:spacing w:line="360" w:lineRule="auto"/>
              <w:jc w:val="center"/>
              <w:rPr>
                <w:color w:val="auto"/>
                <w:highlight w:val="none"/>
              </w:rPr>
            </w:pPr>
            <w:r>
              <w:rPr>
                <w:rFonts w:hint="eastAsia"/>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F59DF5A">
            <w:pPr>
              <w:topLinePunct/>
              <w:spacing w:line="360" w:lineRule="auto"/>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8357684">
            <w:pPr>
              <w:topLinePunct/>
              <w:spacing w:before="100" w:beforeAutospacing="1" w:after="100" w:afterAutospacing="1" w:line="360" w:lineRule="auto"/>
              <w:jc w:val="center"/>
              <w:rPr>
                <w:color w:val="auto"/>
                <w:highlight w:val="none"/>
              </w:rPr>
            </w:pPr>
            <w:r>
              <w:rPr>
                <w:rFonts w:hint="eastAsia"/>
                <w:color w:val="auto"/>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558B972C">
            <w:pPr>
              <w:topLinePunct/>
              <w:spacing w:line="360" w:lineRule="auto"/>
              <w:jc w:val="center"/>
              <w:rPr>
                <w:color w:val="auto"/>
                <w:highlight w:val="none"/>
              </w:rPr>
            </w:pPr>
          </w:p>
        </w:tc>
      </w:tr>
      <w:tr w14:paraId="16C49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14:paraId="07440F4B">
            <w:pPr>
              <w:topLinePunct/>
              <w:spacing w:line="360" w:lineRule="auto"/>
              <w:jc w:val="center"/>
              <w:rPr>
                <w:color w:val="auto"/>
                <w:highlight w:val="none"/>
              </w:rPr>
            </w:pPr>
            <w:r>
              <w:rPr>
                <w:rFonts w:hint="eastAsia"/>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7067D2E">
            <w:pPr>
              <w:topLinePunct/>
              <w:spacing w:before="100" w:beforeAutospacing="1" w:after="100" w:afterAutospacing="1" w:line="360" w:lineRule="auto"/>
              <w:jc w:val="center"/>
              <w:rPr>
                <w:color w:val="auto"/>
                <w:highlight w:val="none"/>
              </w:rPr>
            </w:pPr>
            <w:r>
              <w:rPr>
                <w:rFonts w:hint="eastAsia"/>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056D4AEC">
            <w:pPr>
              <w:topLinePunct/>
              <w:spacing w:line="360" w:lineRule="auto"/>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A87A06C">
            <w:pPr>
              <w:topLinePunct/>
              <w:spacing w:before="100" w:beforeAutospacing="1" w:after="100" w:afterAutospacing="1" w:line="360" w:lineRule="auto"/>
              <w:jc w:val="center"/>
              <w:rPr>
                <w:color w:val="auto"/>
                <w:highlight w:val="none"/>
              </w:rPr>
            </w:pPr>
            <w:r>
              <w:rPr>
                <w:rFonts w:hint="eastAsia"/>
                <w:color w:val="auto"/>
                <w:highlight w:val="none"/>
              </w:rPr>
              <w:t>电</w:t>
            </w:r>
            <w:r>
              <w:rPr>
                <w:color w:val="auto"/>
                <w:highlight w:val="none"/>
              </w:rPr>
              <w:t xml:space="preserve"> </w:t>
            </w:r>
            <w:r>
              <w:rPr>
                <w:rFonts w:hint="eastAsia"/>
                <w:color w:val="auto"/>
                <w:highlight w:val="none"/>
              </w:rPr>
              <w:t>话</w:t>
            </w:r>
          </w:p>
        </w:tc>
        <w:tc>
          <w:tcPr>
            <w:tcW w:w="2342" w:type="dxa"/>
            <w:gridSpan w:val="3"/>
            <w:tcBorders>
              <w:top w:val="single" w:color="auto" w:sz="4" w:space="0"/>
              <w:left w:val="single" w:color="auto" w:sz="4" w:space="0"/>
              <w:bottom w:val="single" w:color="auto" w:sz="4" w:space="0"/>
            </w:tcBorders>
            <w:noWrap w:val="0"/>
            <w:vAlign w:val="center"/>
          </w:tcPr>
          <w:p w14:paraId="3827EED3">
            <w:pPr>
              <w:topLinePunct/>
              <w:spacing w:line="360" w:lineRule="auto"/>
              <w:jc w:val="center"/>
              <w:rPr>
                <w:color w:val="auto"/>
                <w:highlight w:val="none"/>
              </w:rPr>
            </w:pPr>
          </w:p>
        </w:tc>
      </w:tr>
      <w:tr w14:paraId="53AAC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14:paraId="4E4865CB">
            <w:pPr>
              <w:spacing w:line="360" w:lineRule="auto"/>
              <w:jc w:val="center"/>
              <w:rPr>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E48BE48">
            <w:pPr>
              <w:topLinePunct/>
              <w:spacing w:before="100" w:beforeAutospacing="1" w:after="100" w:afterAutospacing="1" w:line="360" w:lineRule="auto"/>
              <w:jc w:val="center"/>
              <w:rPr>
                <w:color w:val="auto"/>
                <w:highlight w:val="none"/>
              </w:rPr>
            </w:pPr>
            <w:r>
              <w:rPr>
                <w:rFonts w:hint="eastAsia"/>
                <w:color w:val="auto"/>
                <w:highlight w:val="none"/>
              </w:rPr>
              <w:t>传</w:t>
            </w:r>
            <w:r>
              <w:rPr>
                <w:color w:val="auto"/>
                <w:highlight w:val="none"/>
              </w:rPr>
              <w:t xml:space="preserve">  </w:t>
            </w:r>
            <w:r>
              <w:rPr>
                <w:rFonts w:hint="eastAsia"/>
                <w:color w:val="auto"/>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299CB6F6">
            <w:pPr>
              <w:topLinePunct/>
              <w:spacing w:line="360" w:lineRule="auto"/>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D281A32">
            <w:pPr>
              <w:topLinePunct/>
              <w:spacing w:before="100" w:beforeAutospacing="1" w:after="100" w:afterAutospacing="1" w:line="360" w:lineRule="auto"/>
              <w:jc w:val="center"/>
              <w:rPr>
                <w:color w:val="auto"/>
                <w:highlight w:val="none"/>
              </w:rPr>
            </w:pPr>
            <w:r>
              <w:rPr>
                <w:rFonts w:hint="eastAsia"/>
                <w:color w:val="auto"/>
                <w:highlight w:val="none"/>
              </w:rPr>
              <w:t>网</w:t>
            </w:r>
            <w:r>
              <w:rPr>
                <w:color w:val="auto"/>
                <w:highlight w:val="none"/>
              </w:rPr>
              <w:t xml:space="preserve"> </w:t>
            </w:r>
            <w:r>
              <w:rPr>
                <w:rFonts w:hint="eastAsia"/>
                <w:color w:val="auto"/>
                <w:highlight w:val="none"/>
              </w:rPr>
              <w:t>址</w:t>
            </w:r>
          </w:p>
        </w:tc>
        <w:tc>
          <w:tcPr>
            <w:tcW w:w="2342" w:type="dxa"/>
            <w:gridSpan w:val="3"/>
            <w:tcBorders>
              <w:top w:val="single" w:color="auto" w:sz="4" w:space="0"/>
              <w:left w:val="single" w:color="auto" w:sz="4" w:space="0"/>
              <w:bottom w:val="single" w:color="auto" w:sz="4" w:space="0"/>
            </w:tcBorders>
            <w:noWrap w:val="0"/>
            <w:vAlign w:val="center"/>
          </w:tcPr>
          <w:p w14:paraId="202789FD">
            <w:pPr>
              <w:topLinePunct/>
              <w:spacing w:line="360" w:lineRule="auto"/>
              <w:jc w:val="center"/>
              <w:rPr>
                <w:color w:val="auto"/>
                <w:highlight w:val="none"/>
              </w:rPr>
            </w:pPr>
          </w:p>
        </w:tc>
      </w:tr>
      <w:tr w14:paraId="321E7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E27E6DD">
            <w:pPr>
              <w:topLinePunct/>
              <w:spacing w:before="100" w:beforeAutospacing="1" w:after="100" w:afterAutospacing="1" w:line="360" w:lineRule="auto"/>
              <w:jc w:val="center"/>
              <w:rPr>
                <w:color w:val="auto"/>
                <w:highlight w:val="none"/>
              </w:rPr>
            </w:pPr>
            <w:r>
              <w:rPr>
                <w:rFonts w:hint="eastAsia"/>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33D6DB">
            <w:pPr>
              <w:topLinePunct/>
              <w:spacing w:before="100" w:beforeAutospacing="1" w:after="100" w:afterAutospacing="1" w:line="360" w:lineRule="auto"/>
              <w:jc w:val="center"/>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D9219B2">
            <w:pPr>
              <w:topLinePunct/>
              <w:spacing w:line="360" w:lineRule="auto"/>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C82E359">
            <w:pPr>
              <w:topLinePunct/>
              <w:spacing w:before="100" w:beforeAutospacing="1" w:after="100" w:afterAutospacing="1" w:line="360" w:lineRule="auto"/>
              <w:jc w:val="center"/>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BFF9522">
            <w:pPr>
              <w:topLinePunct/>
              <w:spacing w:line="360" w:lineRule="auto"/>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022FB8E8">
            <w:pPr>
              <w:topLinePunct/>
              <w:spacing w:before="100" w:beforeAutospacing="1" w:after="100" w:afterAutospacing="1" w:line="360" w:lineRule="auto"/>
              <w:jc w:val="center"/>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78EF4042">
            <w:pPr>
              <w:topLinePunct/>
              <w:spacing w:line="360" w:lineRule="auto"/>
              <w:jc w:val="center"/>
              <w:rPr>
                <w:color w:val="auto"/>
                <w:highlight w:val="none"/>
              </w:rPr>
            </w:pPr>
          </w:p>
        </w:tc>
      </w:tr>
      <w:tr w14:paraId="4633D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4E617AB">
            <w:pPr>
              <w:topLinePunct/>
              <w:spacing w:line="360" w:lineRule="auto"/>
              <w:jc w:val="center"/>
              <w:rPr>
                <w:color w:val="auto"/>
                <w:highlight w:val="none"/>
              </w:rPr>
            </w:pPr>
            <w:r>
              <w:rPr>
                <w:rFonts w:hint="eastAsia"/>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525D31">
            <w:pPr>
              <w:topLinePunct/>
              <w:spacing w:before="100" w:beforeAutospacing="1" w:after="100" w:afterAutospacing="1" w:line="360" w:lineRule="auto"/>
              <w:jc w:val="center"/>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EEF6AE5">
            <w:pPr>
              <w:topLinePunct/>
              <w:spacing w:line="360" w:lineRule="auto"/>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524B014">
            <w:pPr>
              <w:topLinePunct/>
              <w:spacing w:before="100" w:beforeAutospacing="1" w:after="100" w:afterAutospacing="1" w:line="360" w:lineRule="auto"/>
              <w:jc w:val="center"/>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7CAEB45">
            <w:pPr>
              <w:topLinePunct/>
              <w:spacing w:line="360" w:lineRule="auto"/>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57E7F5AC">
            <w:pPr>
              <w:topLinePunct/>
              <w:spacing w:before="100" w:beforeAutospacing="1" w:after="100" w:afterAutospacing="1" w:line="360" w:lineRule="auto"/>
              <w:jc w:val="center"/>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3976C789">
            <w:pPr>
              <w:topLinePunct/>
              <w:spacing w:line="360" w:lineRule="auto"/>
              <w:jc w:val="center"/>
              <w:rPr>
                <w:color w:val="auto"/>
                <w:highlight w:val="none"/>
              </w:rPr>
            </w:pPr>
          </w:p>
        </w:tc>
      </w:tr>
      <w:tr w14:paraId="23013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BC23DA3">
            <w:pPr>
              <w:topLinePunct/>
              <w:spacing w:before="100" w:beforeAutospacing="1" w:after="100" w:afterAutospacing="1" w:line="360" w:lineRule="auto"/>
              <w:jc w:val="center"/>
              <w:rPr>
                <w:color w:val="auto"/>
                <w:highlight w:val="none"/>
              </w:rPr>
            </w:pPr>
            <w:r>
              <w:rPr>
                <w:rFonts w:hint="eastAsia"/>
                <w:color w:val="auto"/>
                <w:highlight w:val="none"/>
              </w:rPr>
              <w:t>企业</w:t>
            </w:r>
            <w:r>
              <w:rPr>
                <w:rFonts w:hint="eastAsia"/>
                <w:color w:val="auto"/>
                <w:szCs w:val="21"/>
                <w:highlight w:val="none"/>
              </w:rPr>
              <w:t>监理</w:t>
            </w:r>
            <w:r>
              <w:rPr>
                <w:rFonts w:hint="eastAsia"/>
                <w:color w:val="auto"/>
                <w:highlight w:val="none"/>
              </w:rPr>
              <w:t>资质证书</w:t>
            </w:r>
          </w:p>
        </w:tc>
        <w:tc>
          <w:tcPr>
            <w:tcW w:w="6840" w:type="dxa"/>
            <w:gridSpan w:val="8"/>
            <w:tcBorders>
              <w:top w:val="single" w:color="auto" w:sz="4" w:space="0"/>
              <w:left w:val="single" w:color="auto" w:sz="4" w:space="0"/>
              <w:bottom w:val="single" w:color="auto" w:sz="4" w:space="0"/>
            </w:tcBorders>
            <w:noWrap w:val="0"/>
            <w:vAlign w:val="center"/>
          </w:tcPr>
          <w:p w14:paraId="4834A288">
            <w:pPr>
              <w:topLinePunct/>
              <w:spacing w:before="100" w:beforeAutospacing="1" w:after="100" w:afterAutospacing="1" w:line="360" w:lineRule="auto"/>
              <w:ind w:firstLine="105" w:firstLineChars="50"/>
              <w:jc w:val="center"/>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3790C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7CD336F">
            <w:pPr>
              <w:topLinePunct/>
              <w:spacing w:before="100" w:beforeAutospacing="1" w:after="100" w:afterAutospacing="1" w:line="360" w:lineRule="auto"/>
              <w:jc w:val="center"/>
              <w:rPr>
                <w:color w:val="auto"/>
                <w:highlight w:val="none"/>
              </w:rPr>
            </w:pPr>
            <w:r>
              <w:rPr>
                <w:rFonts w:hint="eastAsia"/>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14:paraId="37D99F1F">
            <w:pPr>
              <w:topLinePunct/>
              <w:spacing w:before="100" w:beforeAutospacing="1" w:after="100" w:afterAutospacing="1" w:line="360" w:lineRule="auto"/>
              <w:ind w:firstLine="105" w:firstLineChars="50"/>
              <w:jc w:val="center"/>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47C5B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536D55A">
            <w:pPr>
              <w:topLinePunct/>
              <w:spacing w:before="100" w:beforeAutospacing="1" w:after="100" w:afterAutospacing="1" w:line="360" w:lineRule="auto"/>
              <w:jc w:val="center"/>
              <w:rPr>
                <w:color w:val="auto"/>
                <w:highlight w:val="none"/>
              </w:rPr>
            </w:pPr>
            <w:r>
              <w:rPr>
                <w:rFonts w:hint="eastAsia"/>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8D0B1AD">
            <w:pPr>
              <w:topLinePunct/>
              <w:spacing w:line="360" w:lineRule="auto"/>
              <w:jc w:val="center"/>
              <w:rPr>
                <w:color w:val="auto"/>
                <w:highlight w:val="none"/>
              </w:rPr>
            </w:pPr>
          </w:p>
        </w:tc>
        <w:tc>
          <w:tcPr>
            <w:tcW w:w="3629" w:type="dxa"/>
            <w:gridSpan w:val="5"/>
            <w:tcBorders>
              <w:top w:val="single" w:color="auto" w:sz="4" w:space="0"/>
              <w:left w:val="single" w:color="auto" w:sz="4" w:space="0"/>
              <w:bottom w:val="single" w:color="auto" w:sz="4" w:space="0"/>
            </w:tcBorders>
            <w:noWrap w:val="0"/>
            <w:vAlign w:val="center"/>
          </w:tcPr>
          <w:p w14:paraId="11B0485D">
            <w:pPr>
              <w:topLinePunct/>
              <w:spacing w:before="100" w:beforeAutospacing="1" w:after="100" w:afterAutospacing="1" w:line="360" w:lineRule="auto"/>
              <w:jc w:val="center"/>
              <w:rPr>
                <w:color w:val="auto"/>
                <w:highlight w:val="none"/>
              </w:rPr>
            </w:pPr>
            <w:r>
              <w:rPr>
                <w:rFonts w:hint="eastAsia"/>
                <w:color w:val="auto"/>
                <w:highlight w:val="none"/>
              </w:rPr>
              <w:t>员工总人数：</w:t>
            </w:r>
          </w:p>
        </w:tc>
      </w:tr>
      <w:tr w14:paraId="4920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1B76CE2">
            <w:pPr>
              <w:topLinePunct/>
              <w:spacing w:before="100" w:beforeAutospacing="1" w:after="100" w:afterAutospacing="1" w:line="360" w:lineRule="auto"/>
              <w:jc w:val="center"/>
              <w:rPr>
                <w:color w:val="auto"/>
                <w:highlight w:val="none"/>
              </w:rPr>
            </w:pPr>
            <w:r>
              <w:rPr>
                <w:rFonts w:hint="eastAsia"/>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AD62D6B">
            <w:pPr>
              <w:topLinePunct/>
              <w:spacing w:line="360" w:lineRule="auto"/>
              <w:jc w:val="center"/>
              <w:rPr>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4DEB0E42">
            <w:pPr>
              <w:topLinePunct/>
              <w:spacing w:before="100" w:beforeAutospacing="1" w:after="100" w:afterAutospacing="1" w:line="360" w:lineRule="auto"/>
              <w:jc w:val="center"/>
              <w:rPr>
                <w:color w:val="auto"/>
                <w:highlight w:val="none"/>
              </w:rPr>
            </w:pPr>
            <w:r>
              <w:rPr>
                <w:rFonts w:hint="eastAsia"/>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417DD54">
            <w:pPr>
              <w:topLinePunct/>
              <w:spacing w:before="100" w:beforeAutospacing="1" w:after="100" w:afterAutospacing="1" w:line="360" w:lineRule="auto"/>
              <w:jc w:val="center"/>
              <w:rPr>
                <w:color w:val="auto"/>
                <w:highlight w:val="none"/>
              </w:rPr>
            </w:pPr>
            <w:r>
              <w:rPr>
                <w:rFonts w:hint="eastAsia"/>
                <w:color w:val="auto"/>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14:paraId="184D3471">
            <w:pPr>
              <w:topLinePunct/>
              <w:spacing w:line="360" w:lineRule="auto"/>
              <w:jc w:val="center"/>
              <w:rPr>
                <w:color w:val="auto"/>
                <w:highlight w:val="none"/>
              </w:rPr>
            </w:pPr>
          </w:p>
        </w:tc>
      </w:tr>
      <w:tr w14:paraId="3EE69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3AC7615">
            <w:pPr>
              <w:topLinePunct/>
              <w:spacing w:before="100" w:beforeAutospacing="1" w:after="100" w:afterAutospacing="1" w:line="360" w:lineRule="auto"/>
              <w:jc w:val="center"/>
              <w:rPr>
                <w:color w:val="auto"/>
                <w:highlight w:val="none"/>
              </w:rPr>
            </w:pPr>
            <w:r>
              <w:rPr>
                <w:rFonts w:hint="eastAsia"/>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62A5A38">
            <w:pPr>
              <w:topLinePunct/>
              <w:spacing w:line="360" w:lineRule="auto"/>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65B90C35">
            <w:pPr>
              <w:spacing w:line="360" w:lineRule="auto"/>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34A842B">
            <w:pPr>
              <w:topLinePunct/>
              <w:spacing w:before="100" w:beforeAutospacing="1" w:after="100" w:afterAutospacing="1" w:line="360" w:lineRule="auto"/>
              <w:jc w:val="center"/>
              <w:rPr>
                <w:color w:val="auto"/>
                <w:highlight w:val="none"/>
              </w:rPr>
            </w:pPr>
            <w:r>
              <w:rPr>
                <w:rFonts w:hint="eastAsia"/>
                <w:color w:val="auto"/>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14:paraId="446A461A">
            <w:pPr>
              <w:topLinePunct/>
              <w:spacing w:line="360" w:lineRule="auto"/>
              <w:jc w:val="center"/>
              <w:rPr>
                <w:color w:val="auto"/>
                <w:highlight w:val="none"/>
              </w:rPr>
            </w:pPr>
          </w:p>
        </w:tc>
      </w:tr>
      <w:tr w14:paraId="5B2E8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0AD13F6">
            <w:pPr>
              <w:topLinePunct/>
              <w:spacing w:before="100" w:beforeAutospacing="1" w:after="100" w:afterAutospacing="1" w:line="360" w:lineRule="auto"/>
              <w:jc w:val="center"/>
              <w:rPr>
                <w:color w:val="auto"/>
                <w:highlight w:val="none"/>
              </w:rPr>
            </w:pPr>
            <w:r>
              <w:rPr>
                <w:rFonts w:hint="eastAsia"/>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8D82D98">
            <w:pPr>
              <w:topLinePunct/>
              <w:spacing w:line="360" w:lineRule="auto"/>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012229B0">
            <w:pPr>
              <w:spacing w:line="360" w:lineRule="auto"/>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B18FAEC">
            <w:pPr>
              <w:topLinePunct/>
              <w:spacing w:before="100" w:beforeAutospacing="1" w:after="100" w:afterAutospacing="1" w:line="360" w:lineRule="auto"/>
              <w:jc w:val="center"/>
              <w:rPr>
                <w:color w:val="auto"/>
                <w:highlight w:val="none"/>
              </w:rPr>
            </w:pPr>
            <w:r>
              <w:rPr>
                <w:rFonts w:hint="eastAsia"/>
                <w:color w:val="auto"/>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14:paraId="4972C991">
            <w:pPr>
              <w:topLinePunct/>
              <w:spacing w:line="360" w:lineRule="auto"/>
              <w:jc w:val="center"/>
              <w:rPr>
                <w:color w:val="auto"/>
                <w:highlight w:val="none"/>
              </w:rPr>
            </w:pPr>
          </w:p>
        </w:tc>
      </w:tr>
      <w:tr w14:paraId="2A94B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1757D653">
            <w:pPr>
              <w:topLinePunct/>
              <w:spacing w:before="100" w:beforeAutospacing="1" w:after="100" w:afterAutospacing="1" w:line="360" w:lineRule="auto"/>
              <w:jc w:val="center"/>
              <w:rPr>
                <w:color w:val="auto"/>
                <w:highlight w:val="none"/>
              </w:rPr>
            </w:pPr>
            <w:r>
              <w:rPr>
                <w:rFonts w:hint="eastAsia"/>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FBE8E9C">
            <w:pPr>
              <w:topLinePunct/>
              <w:spacing w:line="360" w:lineRule="auto"/>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731D8C7A">
            <w:pPr>
              <w:spacing w:line="360" w:lineRule="auto"/>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D270EBD">
            <w:pPr>
              <w:topLinePunct/>
              <w:spacing w:before="100" w:beforeAutospacing="1" w:after="100" w:afterAutospacing="1" w:line="360" w:lineRule="auto"/>
              <w:jc w:val="center"/>
              <w:rPr>
                <w:color w:val="auto"/>
                <w:highlight w:val="none"/>
              </w:rPr>
            </w:pPr>
            <w:r>
              <w:rPr>
                <w:rFonts w:hint="eastAsia"/>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14:paraId="68781B8A">
            <w:pPr>
              <w:topLinePunct/>
              <w:spacing w:line="360" w:lineRule="auto"/>
              <w:jc w:val="center"/>
              <w:rPr>
                <w:color w:val="auto"/>
                <w:highlight w:val="none"/>
              </w:rPr>
            </w:pPr>
          </w:p>
        </w:tc>
      </w:tr>
      <w:tr w14:paraId="42E3F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75C3C769">
            <w:pPr>
              <w:topLinePunct/>
              <w:spacing w:before="100" w:beforeAutospacing="1" w:after="100" w:afterAutospacing="1" w:line="360" w:lineRule="auto"/>
              <w:ind w:firstLine="210" w:firstLineChars="100"/>
              <w:jc w:val="center"/>
              <w:rPr>
                <w:color w:val="auto"/>
                <w:highlight w:val="none"/>
              </w:rPr>
            </w:pPr>
            <w:r>
              <w:rPr>
                <w:rFonts w:hint="eastAsia"/>
                <w:color w:val="auto"/>
                <w:highlight w:val="none"/>
              </w:rPr>
              <w:t>经营范围</w:t>
            </w:r>
          </w:p>
        </w:tc>
        <w:tc>
          <w:tcPr>
            <w:tcW w:w="6840" w:type="dxa"/>
            <w:gridSpan w:val="8"/>
            <w:tcBorders>
              <w:top w:val="single" w:color="auto" w:sz="4" w:space="0"/>
              <w:left w:val="single" w:color="auto" w:sz="4" w:space="0"/>
            </w:tcBorders>
            <w:noWrap w:val="0"/>
            <w:vAlign w:val="center"/>
          </w:tcPr>
          <w:p w14:paraId="236C4578">
            <w:pPr>
              <w:topLinePunct/>
              <w:spacing w:line="360" w:lineRule="auto"/>
              <w:jc w:val="center"/>
              <w:rPr>
                <w:color w:val="auto"/>
                <w:highlight w:val="none"/>
              </w:rPr>
            </w:pPr>
          </w:p>
        </w:tc>
      </w:tr>
      <w:tr w14:paraId="642EC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62F7B79B">
            <w:pPr>
              <w:topLinePunct/>
              <w:spacing w:before="100" w:beforeAutospacing="1" w:after="100" w:afterAutospacing="1" w:line="360" w:lineRule="auto"/>
              <w:jc w:val="center"/>
              <w:rPr>
                <w:color w:val="auto"/>
                <w:highlight w:val="none"/>
              </w:rPr>
            </w:pPr>
            <w:r>
              <w:rPr>
                <w:rFonts w:hint="eastAsia"/>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14:paraId="5221E07D">
            <w:pPr>
              <w:topLinePunct/>
              <w:spacing w:line="360" w:lineRule="auto"/>
              <w:jc w:val="center"/>
              <w:rPr>
                <w:color w:val="auto"/>
                <w:highlight w:val="none"/>
              </w:rPr>
            </w:pPr>
          </w:p>
        </w:tc>
      </w:tr>
      <w:tr w14:paraId="1B3AF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14:paraId="4CE42F92">
            <w:pPr>
              <w:topLinePunct/>
              <w:spacing w:before="100" w:beforeAutospacing="1" w:after="100" w:afterAutospacing="1" w:line="360" w:lineRule="auto"/>
              <w:jc w:val="center"/>
              <w:rPr>
                <w:color w:val="auto"/>
                <w:highlight w:val="none"/>
              </w:rPr>
            </w:pPr>
            <w:r>
              <w:rPr>
                <w:rFonts w:hint="eastAsia"/>
                <w:color w:val="auto"/>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14:paraId="3980EA2E">
            <w:pPr>
              <w:topLinePunct/>
              <w:spacing w:line="360" w:lineRule="auto"/>
              <w:jc w:val="center"/>
              <w:rPr>
                <w:color w:val="auto"/>
                <w:highlight w:val="none"/>
              </w:rPr>
            </w:pPr>
          </w:p>
        </w:tc>
      </w:tr>
    </w:tbl>
    <w:p w14:paraId="5DDE7B02">
      <w:pPr>
        <w:pStyle w:val="5"/>
        <w:bidi w:val="0"/>
        <w:spacing w:line="360" w:lineRule="auto"/>
        <w:rPr>
          <w:strike w:val="0"/>
          <w:color w:val="auto"/>
          <w:highlight w:val="none"/>
        </w:rPr>
      </w:pPr>
      <w:bookmarkStart w:id="1742" w:name="_Toc32085"/>
      <w:bookmarkStart w:id="1743" w:name="_Toc59200720"/>
      <w:bookmarkStart w:id="1744" w:name="_Toc4509"/>
      <w:bookmarkStart w:id="1745" w:name="_Toc29237"/>
      <w:bookmarkStart w:id="1746" w:name="_Toc16205"/>
      <w:bookmarkStart w:id="1747" w:name="_Toc14113"/>
      <w:bookmarkStart w:id="1748" w:name="_Toc1272"/>
      <w:bookmarkStart w:id="1749" w:name="_Toc26653"/>
      <w:bookmarkStart w:id="1750" w:name="_Toc10421"/>
      <w:bookmarkStart w:id="1751" w:name="_Toc526786517"/>
      <w:bookmarkStart w:id="1752" w:name="_Toc14105"/>
      <w:bookmarkStart w:id="1753" w:name="_Toc32764"/>
      <w:bookmarkStart w:id="1754" w:name="_Toc21629"/>
      <w:bookmarkStart w:id="1755" w:name="_Toc23514"/>
      <w:r>
        <w:rPr>
          <w:rFonts w:hint="eastAsia"/>
          <w:color w:val="auto"/>
          <w:highlight w:val="none"/>
        </w:rPr>
        <w:br w:type="page"/>
      </w:r>
      <w:bookmarkStart w:id="1756" w:name="_Toc27172"/>
      <w:r>
        <w:rPr>
          <w:rFonts w:hint="eastAsia"/>
          <w:strike w:val="0"/>
          <w:color w:val="auto"/>
          <w:highlight w:val="none"/>
        </w:rPr>
        <w:t>（</w:t>
      </w:r>
      <w:r>
        <w:rPr>
          <w:rFonts w:hint="eastAsia"/>
          <w:strike w:val="0"/>
          <w:color w:val="auto"/>
          <w:highlight w:val="none"/>
          <w:lang w:eastAsia="zh-CN"/>
        </w:rPr>
        <w:t>二</w:t>
      </w:r>
      <w:r>
        <w:rPr>
          <w:rFonts w:hint="eastAsia"/>
          <w:strike w:val="0"/>
          <w:color w:val="auto"/>
          <w:highlight w:val="none"/>
        </w:rPr>
        <w:t>）近年完成的类似项目情况表</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055"/>
      </w:tblGrid>
      <w:tr w14:paraId="7D3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4B1807AD">
            <w:pPr>
              <w:topLinePunct/>
              <w:spacing w:line="360" w:lineRule="auto"/>
              <w:jc w:val="center"/>
              <w:rPr>
                <w:strike w:val="0"/>
                <w:color w:val="auto"/>
                <w:highlight w:val="none"/>
              </w:rPr>
            </w:pPr>
            <w:r>
              <w:rPr>
                <w:rFonts w:hint="eastAsia"/>
                <w:strike w:val="0"/>
                <w:color w:val="auto"/>
                <w:highlight w:val="none"/>
              </w:rPr>
              <w:t>项目名称</w:t>
            </w:r>
          </w:p>
        </w:tc>
        <w:tc>
          <w:tcPr>
            <w:tcW w:w="6055" w:type="dxa"/>
            <w:noWrap w:val="0"/>
            <w:vAlign w:val="top"/>
          </w:tcPr>
          <w:p w14:paraId="78D2C862">
            <w:pPr>
              <w:topLinePunct/>
              <w:spacing w:line="360" w:lineRule="auto"/>
              <w:rPr>
                <w:strike w:val="0"/>
                <w:color w:val="auto"/>
                <w:highlight w:val="none"/>
              </w:rPr>
            </w:pPr>
          </w:p>
        </w:tc>
      </w:tr>
      <w:tr w14:paraId="74E3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20400847">
            <w:pPr>
              <w:topLinePunct/>
              <w:spacing w:line="360" w:lineRule="auto"/>
              <w:jc w:val="center"/>
              <w:rPr>
                <w:strike w:val="0"/>
                <w:color w:val="auto"/>
                <w:highlight w:val="none"/>
              </w:rPr>
            </w:pPr>
            <w:r>
              <w:rPr>
                <w:rFonts w:hint="eastAsia"/>
                <w:strike w:val="0"/>
                <w:color w:val="auto"/>
                <w:highlight w:val="none"/>
              </w:rPr>
              <w:t>项目所在地</w:t>
            </w:r>
          </w:p>
        </w:tc>
        <w:tc>
          <w:tcPr>
            <w:tcW w:w="6055" w:type="dxa"/>
            <w:noWrap w:val="0"/>
            <w:vAlign w:val="top"/>
          </w:tcPr>
          <w:p w14:paraId="20DD225A">
            <w:pPr>
              <w:topLinePunct/>
              <w:spacing w:line="360" w:lineRule="auto"/>
              <w:rPr>
                <w:strike w:val="0"/>
                <w:color w:val="auto"/>
                <w:highlight w:val="none"/>
              </w:rPr>
            </w:pPr>
          </w:p>
        </w:tc>
      </w:tr>
      <w:tr w14:paraId="2436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3612DDD0">
            <w:pPr>
              <w:topLinePunct/>
              <w:spacing w:line="360" w:lineRule="auto"/>
              <w:jc w:val="center"/>
              <w:rPr>
                <w:rFonts w:hint="eastAsia" w:eastAsia="宋体" w:cs="Times New Roman"/>
                <w:strike w:val="0"/>
                <w:color w:val="auto"/>
                <w:highlight w:val="none"/>
              </w:rPr>
            </w:pPr>
            <w:r>
              <w:rPr>
                <w:rFonts w:hint="eastAsia" w:ascii="Calibri" w:hAnsi="Calibri" w:eastAsia="宋体" w:cs="Times New Roman"/>
                <w:strike w:val="0"/>
                <w:color w:val="auto"/>
                <w:sz w:val="21"/>
                <w:highlight w:val="none"/>
              </w:rPr>
              <w:t>委托人</w:t>
            </w:r>
            <w:r>
              <w:rPr>
                <w:rFonts w:hint="eastAsia" w:ascii="Calibri" w:hAnsi="Calibri" w:eastAsia="宋体" w:cs="Times New Roman"/>
                <w:strike w:val="0"/>
                <w:color w:val="auto"/>
                <w:sz w:val="21"/>
                <w:highlight w:val="none"/>
                <w:lang w:eastAsia="zh-CN"/>
              </w:rPr>
              <w:t>（或发包人）</w:t>
            </w:r>
            <w:r>
              <w:rPr>
                <w:rFonts w:hint="eastAsia" w:ascii="Calibri" w:hAnsi="Calibri" w:eastAsia="宋体" w:cs="Times New Roman"/>
                <w:strike w:val="0"/>
                <w:color w:val="auto"/>
                <w:sz w:val="21"/>
                <w:highlight w:val="none"/>
              </w:rPr>
              <w:t>名称</w:t>
            </w:r>
          </w:p>
        </w:tc>
        <w:tc>
          <w:tcPr>
            <w:tcW w:w="6055" w:type="dxa"/>
            <w:noWrap w:val="0"/>
            <w:vAlign w:val="top"/>
          </w:tcPr>
          <w:p w14:paraId="7B2F5255">
            <w:pPr>
              <w:topLinePunct/>
              <w:spacing w:line="360" w:lineRule="auto"/>
              <w:rPr>
                <w:strike w:val="0"/>
                <w:color w:val="auto"/>
                <w:highlight w:val="none"/>
              </w:rPr>
            </w:pPr>
          </w:p>
        </w:tc>
      </w:tr>
      <w:tr w14:paraId="0539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38B7ABDB">
            <w:pPr>
              <w:topLinePunct/>
              <w:spacing w:line="360" w:lineRule="auto"/>
              <w:jc w:val="center"/>
              <w:rPr>
                <w:rFonts w:hint="eastAsia" w:eastAsia="宋体" w:cs="Times New Roman"/>
                <w:strike w:val="0"/>
                <w:color w:val="auto"/>
                <w:highlight w:val="none"/>
              </w:rPr>
            </w:pPr>
            <w:r>
              <w:rPr>
                <w:rFonts w:hint="eastAsia" w:ascii="Calibri" w:hAnsi="Calibri" w:eastAsia="宋体" w:cs="Times New Roman"/>
                <w:strike w:val="0"/>
                <w:color w:val="auto"/>
                <w:sz w:val="21"/>
                <w:highlight w:val="none"/>
              </w:rPr>
              <w:t>委托人</w:t>
            </w:r>
            <w:r>
              <w:rPr>
                <w:rFonts w:hint="eastAsia" w:ascii="Calibri" w:hAnsi="Calibri" w:eastAsia="宋体" w:cs="Times New Roman"/>
                <w:strike w:val="0"/>
                <w:color w:val="auto"/>
                <w:sz w:val="21"/>
                <w:highlight w:val="none"/>
                <w:lang w:eastAsia="zh-CN"/>
              </w:rPr>
              <w:t>（或发包人）</w:t>
            </w:r>
            <w:r>
              <w:rPr>
                <w:rFonts w:hint="eastAsia" w:ascii="Calibri" w:hAnsi="Calibri" w:eastAsia="宋体" w:cs="Times New Roman"/>
                <w:strike w:val="0"/>
                <w:color w:val="auto"/>
                <w:sz w:val="21"/>
                <w:highlight w:val="none"/>
              </w:rPr>
              <w:t>地址</w:t>
            </w:r>
          </w:p>
        </w:tc>
        <w:tc>
          <w:tcPr>
            <w:tcW w:w="6055" w:type="dxa"/>
            <w:noWrap w:val="0"/>
            <w:vAlign w:val="top"/>
          </w:tcPr>
          <w:p w14:paraId="335DC5E5">
            <w:pPr>
              <w:topLinePunct/>
              <w:spacing w:line="360" w:lineRule="auto"/>
              <w:rPr>
                <w:strike w:val="0"/>
                <w:color w:val="auto"/>
                <w:highlight w:val="none"/>
              </w:rPr>
            </w:pPr>
          </w:p>
        </w:tc>
      </w:tr>
      <w:tr w14:paraId="11F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13F36905">
            <w:pPr>
              <w:topLinePunct/>
              <w:spacing w:line="360" w:lineRule="auto"/>
              <w:jc w:val="center"/>
              <w:rPr>
                <w:rFonts w:hint="eastAsia" w:eastAsia="宋体" w:cs="Times New Roman"/>
                <w:strike w:val="0"/>
                <w:color w:val="auto"/>
                <w:highlight w:val="none"/>
              </w:rPr>
            </w:pPr>
            <w:r>
              <w:rPr>
                <w:rFonts w:hint="eastAsia" w:ascii="Calibri" w:hAnsi="Calibri" w:eastAsia="宋体" w:cs="Times New Roman"/>
                <w:strike w:val="0"/>
                <w:color w:val="auto"/>
                <w:sz w:val="21"/>
                <w:highlight w:val="none"/>
              </w:rPr>
              <w:t>委托人</w:t>
            </w:r>
            <w:r>
              <w:rPr>
                <w:rFonts w:hint="eastAsia" w:ascii="Calibri" w:hAnsi="Calibri" w:eastAsia="宋体" w:cs="Times New Roman"/>
                <w:strike w:val="0"/>
                <w:color w:val="auto"/>
                <w:sz w:val="21"/>
                <w:highlight w:val="none"/>
                <w:lang w:eastAsia="zh-CN"/>
              </w:rPr>
              <w:t>（或发包人）</w:t>
            </w:r>
            <w:r>
              <w:rPr>
                <w:rFonts w:hint="eastAsia" w:ascii="Calibri" w:hAnsi="Calibri" w:eastAsia="宋体" w:cs="Times New Roman"/>
                <w:strike w:val="0"/>
                <w:color w:val="auto"/>
                <w:sz w:val="21"/>
                <w:highlight w:val="none"/>
              </w:rPr>
              <w:t>电话</w:t>
            </w:r>
          </w:p>
        </w:tc>
        <w:tc>
          <w:tcPr>
            <w:tcW w:w="6055" w:type="dxa"/>
            <w:noWrap w:val="0"/>
            <w:vAlign w:val="top"/>
          </w:tcPr>
          <w:p w14:paraId="01AB74E8">
            <w:pPr>
              <w:topLinePunct/>
              <w:spacing w:line="360" w:lineRule="auto"/>
              <w:rPr>
                <w:strike w:val="0"/>
                <w:color w:val="auto"/>
                <w:highlight w:val="none"/>
              </w:rPr>
            </w:pPr>
          </w:p>
        </w:tc>
      </w:tr>
      <w:tr w14:paraId="788E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1C3ABDB2">
            <w:pPr>
              <w:topLinePunct/>
              <w:spacing w:line="360" w:lineRule="auto"/>
              <w:jc w:val="center"/>
              <w:rPr>
                <w:strike w:val="0"/>
                <w:color w:val="auto"/>
                <w:highlight w:val="none"/>
              </w:rPr>
            </w:pPr>
            <w:r>
              <w:rPr>
                <w:rFonts w:hint="eastAsia"/>
                <w:strike w:val="0"/>
                <w:color w:val="auto"/>
                <w:highlight w:val="none"/>
              </w:rPr>
              <w:t>合同价格</w:t>
            </w:r>
          </w:p>
        </w:tc>
        <w:tc>
          <w:tcPr>
            <w:tcW w:w="6055" w:type="dxa"/>
            <w:noWrap w:val="0"/>
            <w:vAlign w:val="top"/>
          </w:tcPr>
          <w:p w14:paraId="09B15571">
            <w:pPr>
              <w:topLinePunct/>
              <w:spacing w:line="360" w:lineRule="auto"/>
              <w:rPr>
                <w:strike w:val="0"/>
                <w:color w:val="auto"/>
                <w:highlight w:val="none"/>
              </w:rPr>
            </w:pPr>
          </w:p>
        </w:tc>
      </w:tr>
      <w:tr w14:paraId="6F06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372061D2">
            <w:pPr>
              <w:topLinePunct/>
              <w:spacing w:line="360" w:lineRule="auto"/>
              <w:jc w:val="center"/>
              <w:rPr>
                <w:strike w:val="0"/>
                <w:color w:val="auto"/>
                <w:highlight w:val="none"/>
              </w:rPr>
            </w:pPr>
            <w:r>
              <w:rPr>
                <w:rFonts w:hint="eastAsia"/>
                <w:strike w:val="0"/>
                <w:color w:val="auto"/>
                <w:highlight w:val="none"/>
              </w:rPr>
              <w:t>监理服务期限</w:t>
            </w:r>
          </w:p>
        </w:tc>
        <w:tc>
          <w:tcPr>
            <w:tcW w:w="6055" w:type="dxa"/>
            <w:noWrap w:val="0"/>
            <w:vAlign w:val="top"/>
          </w:tcPr>
          <w:p w14:paraId="1929F7DB">
            <w:pPr>
              <w:topLinePunct/>
              <w:spacing w:line="360" w:lineRule="auto"/>
              <w:rPr>
                <w:strike w:val="0"/>
                <w:color w:val="auto"/>
                <w:highlight w:val="none"/>
              </w:rPr>
            </w:pPr>
          </w:p>
        </w:tc>
      </w:tr>
      <w:tr w14:paraId="69B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6FB56224">
            <w:pPr>
              <w:topLinePunct/>
              <w:spacing w:line="360" w:lineRule="auto"/>
              <w:jc w:val="center"/>
              <w:rPr>
                <w:strike w:val="0"/>
                <w:color w:val="auto"/>
                <w:highlight w:val="none"/>
              </w:rPr>
            </w:pPr>
            <w:r>
              <w:rPr>
                <w:rFonts w:hint="eastAsia"/>
                <w:strike w:val="0"/>
                <w:color w:val="auto"/>
                <w:highlight w:val="none"/>
              </w:rPr>
              <w:t>监理内容</w:t>
            </w:r>
          </w:p>
        </w:tc>
        <w:tc>
          <w:tcPr>
            <w:tcW w:w="6055" w:type="dxa"/>
            <w:noWrap w:val="0"/>
            <w:vAlign w:val="top"/>
          </w:tcPr>
          <w:p w14:paraId="7F7E9B68">
            <w:pPr>
              <w:topLinePunct/>
              <w:spacing w:line="360" w:lineRule="auto"/>
              <w:rPr>
                <w:strike w:val="0"/>
                <w:color w:val="auto"/>
                <w:highlight w:val="none"/>
              </w:rPr>
            </w:pPr>
          </w:p>
        </w:tc>
      </w:tr>
      <w:tr w14:paraId="0265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53900465">
            <w:pPr>
              <w:topLinePunct/>
              <w:spacing w:line="360" w:lineRule="auto"/>
              <w:jc w:val="center"/>
              <w:rPr>
                <w:strike w:val="0"/>
                <w:color w:val="auto"/>
                <w:highlight w:val="none"/>
              </w:rPr>
            </w:pPr>
            <w:r>
              <w:rPr>
                <w:rFonts w:hint="eastAsia"/>
                <w:strike w:val="0"/>
                <w:color w:val="auto"/>
                <w:highlight w:val="none"/>
              </w:rPr>
              <w:t>总监理工程师</w:t>
            </w:r>
          </w:p>
        </w:tc>
        <w:tc>
          <w:tcPr>
            <w:tcW w:w="6055" w:type="dxa"/>
            <w:noWrap w:val="0"/>
            <w:vAlign w:val="top"/>
          </w:tcPr>
          <w:p w14:paraId="2CAA9BA7">
            <w:pPr>
              <w:topLinePunct/>
              <w:spacing w:line="360" w:lineRule="auto"/>
              <w:rPr>
                <w:strike w:val="0"/>
                <w:color w:val="auto"/>
                <w:highlight w:val="none"/>
              </w:rPr>
            </w:pPr>
          </w:p>
        </w:tc>
      </w:tr>
      <w:tr w14:paraId="3D09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2467" w:type="dxa"/>
            <w:noWrap w:val="0"/>
            <w:vAlign w:val="center"/>
          </w:tcPr>
          <w:p w14:paraId="0EF1D091">
            <w:pPr>
              <w:topLinePunct/>
              <w:spacing w:line="360" w:lineRule="auto"/>
              <w:jc w:val="center"/>
              <w:rPr>
                <w:strike w:val="0"/>
                <w:color w:val="auto"/>
                <w:highlight w:val="none"/>
              </w:rPr>
            </w:pPr>
            <w:r>
              <w:rPr>
                <w:rFonts w:hint="eastAsia"/>
                <w:strike w:val="0"/>
                <w:color w:val="auto"/>
                <w:highlight w:val="none"/>
              </w:rPr>
              <w:t>项目描述</w:t>
            </w:r>
          </w:p>
        </w:tc>
        <w:tc>
          <w:tcPr>
            <w:tcW w:w="6055" w:type="dxa"/>
            <w:noWrap w:val="0"/>
            <w:vAlign w:val="top"/>
          </w:tcPr>
          <w:p w14:paraId="62F80FAB">
            <w:pPr>
              <w:topLinePunct/>
              <w:spacing w:line="360" w:lineRule="auto"/>
              <w:rPr>
                <w:strike w:val="0"/>
                <w:color w:val="auto"/>
                <w:highlight w:val="none"/>
              </w:rPr>
            </w:pPr>
          </w:p>
          <w:p w14:paraId="5A816B8A">
            <w:pPr>
              <w:topLinePunct/>
              <w:spacing w:line="360" w:lineRule="auto"/>
              <w:rPr>
                <w:strike w:val="0"/>
                <w:color w:val="auto"/>
                <w:highlight w:val="none"/>
              </w:rPr>
            </w:pPr>
          </w:p>
          <w:p w14:paraId="569E88CE">
            <w:pPr>
              <w:topLinePunct/>
              <w:spacing w:line="360" w:lineRule="auto"/>
              <w:rPr>
                <w:strike w:val="0"/>
                <w:color w:val="auto"/>
                <w:highlight w:val="none"/>
              </w:rPr>
            </w:pPr>
          </w:p>
          <w:p w14:paraId="1E9CE277">
            <w:pPr>
              <w:topLinePunct/>
              <w:spacing w:line="360" w:lineRule="auto"/>
              <w:rPr>
                <w:strike w:val="0"/>
                <w:color w:val="auto"/>
                <w:highlight w:val="none"/>
              </w:rPr>
            </w:pPr>
          </w:p>
          <w:p w14:paraId="71CD31B3">
            <w:pPr>
              <w:topLinePunct/>
              <w:spacing w:line="360" w:lineRule="auto"/>
              <w:rPr>
                <w:strike w:val="0"/>
                <w:color w:val="auto"/>
                <w:highlight w:val="none"/>
              </w:rPr>
            </w:pPr>
          </w:p>
          <w:p w14:paraId="5B9D22C1">
            <w:pPr>
              <w:topLinePunct/>
              <w:spacing w:line="360" w:lineRule="auto"/>
              <w:rPr>
                <w:strike w:val="0"/>
                <w:color w:val="auto"/>
                <w:highlight w:val="none"/>
              </w:rPr>
            </w:pPr>
          </w:p>
          <w:p w14:paraId="64F84BEB">
            <w:pPr>
              <w:topLinePunct/>
              <w:spacing w:line="360" w:lineRule="auto"/>
              <w:rPr>
                <w:strike w:val="0"/>
                <w:color w:val="auto"/>
                <w:highlight w:val="none"/>
              </w:rPr>
            </w:pPr>
          </w:p>
        </w:tc>
      </w:tr>
      <w:tr w14:paraId="6609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06206071">
            <w:pPr>
              <w:topLinePunct/>
              <w:spacing w:line="360" w:lineRule="auto"/>
              <w:jc w:val="center"/>
              <w:rPr>
                <w:strike w:val="0"/>
                <w:color w:val="auto"/>
                <w:highlight w:val="none"/>
              </w:rPr>
            </w:pPr>
            <w:r>
              <w:rPr>
                <w:rFonts w:hint="eastAsia"/>
                <w:strike w:val="0"/>
                <w:color w:val="auto"/>
                <w:highlight w:val="none"/>
              </w:rPr>
              <w:t>备注</w:t>
            </w:r>
          </w:p>
        </w:tc>
        <w:tc>
          <w:tcPr>
            <w:tcW w:w="6055" w:type="dxa"/>
            <w:noWrap w:val="0"/>
            <w:vAlign w:val="top"/>
          </w:tcPr>
          <w:p w14:paraId="7C0567F2">
            <w:pPr>
              <w:topLinePunct/>
              <w:spacing w:line="360" w:lineRule="auto"/>
              <w:rPr>
                <w:strike w:val="0"/>
                <w:color w:val="auto"/>
                <w:highlight w:val="none"/>
              </w:rPr>
            </w:pPr>
          </w:p>
        </w:tc>
      </w:tr>
    </w:tbl>
    <w:p w14:paraId="609DEFBC">
      <w:pPr>
        <w:spacing w:line="360" w:lineRule="auto"/>
        <w:rPr>
          <w:strike/>
          <w:color w:val="auto"/>
          <w:highlight w:val="none"/>
        </w:rPr>
      </w:pPr>
      <w:r>
        <w:rPr>
          <w:strike/>
          <w:color w:val="auto"/>
          <w:highlight w:val="none"/>
        </w:rPr>
        <w:br w:type="page"/>
      </w:r>
    </w:p>
    <w:p w14:paraId="1BAB2E5A">
      <w:pPr>
        <w:pStyle w:val="5"/>
        <w:bidi w:val="0"/>
        <w:spacing w:line="360" w:lineRule="auto"/>
        <w:rPr>
          <w:rFonts w:hint="eastAsia"/>
          <w:strike/>
          <w:color w:val="auto"/>
          <w:highlight w:val="none"/>
          <w:lang w:eastAsia="zh-CN"/>
        </w:rPr>
      </w:pPr>
      <w:bookmarkStart w:id="1757" w:name="_Toc152042599"/>
      <w:bookmarkStart w:id="1758" w:name="_Toc300835226"/>
      <w:bookmarkStart w:id="1759" w:name="_Toc247527850"/>
      <w:bookmarkStart w:id="1760" w:name="_Toc152045810"/>
      <w:bookmarkStart w:id="1761" w:name="_Toc18765"/>
      <w:bookmarkStart w:id="1762" w:name="_Toc12851"/>
      <w:bookmarkStart w:id="1763" w:name="_Toc247514302"/>
      <w:bookmarkStart w:id="1764" w:name="_Toc19114"/>
      <w:bookmarkStart w:id="1765" w:name="_Toc526786518"/>
      <w:bookmarkStart w:id="1766" w:name="_Toc144974878"/>
      <w:bookmarkStart w:id="1767" w:name="_Toc25840"/>
      <w:bookmarkStart w:id="1768" w:name="_Toc22465"/>
      <w:bookmarkStart w:id="1769" w:name="_Toc361508766"/>
      <w:bookmarkStart w:id="1770" w:name="_Toc25794"/>
      <w:bookmarkStart w:id="1771" w:name="_Toc59200721"/>
      <w:bookmarkStart w:id="1772" w:name="_Toc370676438"/>
      <w:bookmarkStart w:id="1773" w:name="_Toc384308388"/>
      <w:bookmarkStart w:id="1774" w:name="_Toc184"/>
      <w:bookmarkStart w:id="1775" w:name="_Toc359594247"/>
      <w:bookmarkStart w:id="1776" w:name="_Toc9008"/>
      <w:bookmarkStart w:id="1777" w:name="_Toc15632"/>
      <w:bookmarkStart w:id="1778" w:name="_Toc19819"/>
      <w:bookmarkStart w:id="1779" w:name="_Toc4414"/>
      <w:bookmarkStart w:id="1780" w:name="_Toc24570"/>
      <w:bookmarkStart w:id="1781" w:name="_Toc15748"/>
      <w:bookmarkStart w:id="1782" w:name="_Toc144974879"/>
      <w:bookmarkStart w:id="1783" w:name="_Toc152045811"/>
      <w:bookmarkStart w:id="1784" w:name="_Toc152042600"/>
      <w:bookmarkStart w:id="1785" w:name="_Toc247514303"/>
      <w:bookmarkStart w:id="1786" w:name="_Toc247527851"/>
      <w:r>
        <w:rPr>
          <w:rFonts w:hint="eastAsia"/>
          <w:strike/>
          <w:color w:val="auto"/>
          <w:highlight w:val="none"/>
        </w:rPr>
        <w:t>（</w:t>
      </w:r>
      <w:r>
        <w:rPr>
          <w:rFonts w:hint="eastAsia"/>
          <w:strike/>
          <w:color w:val="auto"/>
          <w:highlight w:val="none"/>
          <w:lang w:eastAsia="zh-CN"/>
        </w:rPr>
        <w:t>三</w:t>
      </w:r>
      <w:r>
        <w:rPr>
          <w:rFonts w:hint="eastAsia"/>
          <w:strike/>
          <w:color w:val="auto"/>
          <w:highlight w:val="none"/>
        </w:rPr>
        <w:t>）正在监理和新承接的项目情况表</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Pr>
          <w:rFonts w:hint="eastAsia"/>
          <w:strike/>
          <w:color w:val="auto"/>
          <w:highlight w:val="none"/>
          <w:lang w:eastAsia="zh-CN"/>
        </w:rPr>
        <w:t>（如有）</w:t>
      </w:r>
      <w:bookmarkEnd w:id="1778"/>
      <w:bookmarkEnd w:id="1779"/>
      <w:bookmarkEnd w:id="1780"/>
      <w:bookmarkEnd w:id="178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5972"/>
      </w:tblGrid>
      <w:tr w14:paraId="004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34720E63">
            <w:pPr>
              <w:topLinePunct/>
              <w:spacing w:line="360" w:lineRule="auto"/>
              <w:jc w:val="center"/>
              <w:rPr>
                <w:strike/>
                <w:color w:val="auto"/>
                <w:szCs w:val="21"/>
                <w:highlight w:val="none"/>
              </w:rPr>
            </w:pPr>
            <w:r>
              <w:rPr>
                <w:rFonts w:hint="eastAsia"/>
                <w:strike/>
                <w:color w:val="auto"/>
                <w:szCs w:val="21"/>
                <w:highlight w:val="none"/>
              </w:rPr>
              <w:t>项目名称</w:t>
            </w:r>
          </w:p>
        </w:tc>
        <w:tc>
          <w:tcPr>
            <w:tcW w:w="5972" w:type="dxa"/>
            <w:noWrap w:val="0"/>
            <w:vAlign w:val="top"/>
          </w:tcPr>
          <w:p w14:paraId="1F367F43">
            <w:pPr>
              <w:topLinePunct/>
              <w:spacing w:line="360" w:lineRule="auto"/>
              <w:rPr>
                <w:strike/>
                <w:color w:val="auto"/>
                <w:highlight w:val="none"/>
              </w:rPr>
            </w:pPr>
          </w:p>
        </w:tc>
      </w:tr>
      <w:tr w14:paraId="331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198EEA97">
            <w:pPr>
              <w:topLinePunct/>
              <w:spacing w:line="360" w:lineRule="auto"/>
              <w:jc w:val="center"/>
              <w:rPr>
                <w:strike/>
                <w:color w:val="auto"/>
                <w:szCs w:val="21"/>
                <w:highlight w:val="none"/>
              </w:rPr>
            </w:pPr>
            <w:r>
              <w:rPr>
                <w:rFonts w:hint="eastAsia"/>
                <w:strike/>
                <w:color w:val="auto"/>
                <w:szCs w:val="21"/>
                <w:highlight w:val="none"/>
              </w:rPr>
              <w:t>项目所在地</w:t>
            </w:r>
          </w:p>
        </w:tc>
        <w:tc>
          <w:tcPr>
            <w:tcW w:w="5972" w:type="dxa"/>
            <w:noWrap w:val="0"/>
            <w:vAlign w:val="top"/>
          </w:tcPr>
          <w:p w14:paraId="45B76808">
            <w:pPr>
              <w:topLinePunct/>
              <w:spacing w:line="360" w:lineRule="auto"/>
              <w:rPr>
                <w:strike/>
                <w:color w:val="auto"/>
                <w:highlight w:val="none"/>
              </w:rPr>
            </w:pPr>
          </w:p>
        </w:tc>
      </w:tr>
      <w:tr w14:paraId="26FF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4B61163C">
            <w:pPr>
              <w:topLinePunct/>
              <w:spacing w:line="360" w:lineRule="auto"/>
              <w:jc w:val="center"/>
              <w:rPr>
                <w:rFonts w:hint="eastAsia" w:eastAsia="宋体" w:cs="Times New Roman"/>
                <w:strike/>
                <w:color w:val="auto"/>
                <w:szCs w:val="21"/>
                <w:highlight w:val="none"/>
              </w:rPr>
            </w:pPr>
            <w:r>
              <w:rPr>
                <w:rFonts w:hint="eastAsia" w:ascii="Calibri" w:hAnsi="Calibri" w:eastAsia="宋体" w:cs="Times New Roman"/>
                <w:strike/>
                <w:color w:val="auto"/>
                <w:sz w:val="21"/>
                <w:szCs w:val="21"/>
                <w:highlight w:val="none"/>
              </w:rPr>
              <w:t>委托人</w:t>
            </w:r>
            <w:r>
              <w:rPr>
                <w:rFonts w:hint="eastAsia" w:ascii="Calibri" w:hAnsi="Calibri" w:eastAsia="宋体" w:cs="Times New Roman"/>
                <w:strike/>
                <w:color w:val="auto"/>
                <w:sz w:val="21"/>
                <w:szCs w:val="21"/>
                <w:highlight w:val="none"/>
                <w:lang w:eastAsia="zh-CN"/>
              </w:rPr>
              <w:t>（或发包人）</w:t>
            </w:r>
            <w:r>
              <w:rPr>
                <w:rFonts w:hint="eastAsia" w:ascii="Calibri" w:hAnsi="Calibri" w:eastAsia="宋体" w:cs="Times New Roman"/>
                <w:strike/>
                <w:color w:val="auto"/>
                <w:sz w:val="21"/>
                <w:szCs w:val="21"/>
                <w:highlight w:val="none"/>
              </w:rPr>
              <w:t>名称</w:t>
            </w:r>
          </w:p>
        </w:tc>
        <w:tc>
          <w:tcPr>
            <w:tcW w:w="5972" w:type="dxa"/>
            <w:noWrap w:val="0"/>
            <w:vAlign w:val="top"/>
          </w:tcPr>
          <w:p w14:paraId="0CD5DB65">
            <w:pPr>
              <w:topLinePunct/>
              <w:spacing w:line="360" w:lineRule="auto"/>
              <w:rPr>
                <w:strike/>
                <w:color w:val="auto"/>
                <w:highlight w:val="none"/>
              </w:rPr>
            </w:pPr>
          </w:p>
        </w:tc>
      </w:tr>
      <w:tr w14:paraId="2A3C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5402783D">
            <w:pPr>
              <w:topLinePunct/>
              <w:spacing w:line="360" w:lineRule="auto"/>
              <w:jc w:val="center"/>
              <w:rPr>
                <w:rFonts w:hint="eastAsia" w:eastAsia="宋体" w:cs="Times New Roman"/>
                <w:strike/>
                <w:color w:val="auto"/>
                <w:szCs w:val="21"/>
                <w:highlight w:val="none"/>
              </w:rPr>
            </w:pPr>
            <w:r>
              <w:rPr>
                <w:rFonts w:hint="eastAsia" w:ascii="Calibri" w:hAnsi="Calibri" w:eastAsia="宋体" w:cs="Times New Roman"/>
                <w:strike/>
                <w:color w:val="auto"/>
                <w:sz w:val="21"/>
                <w:szCs w:val="21"/>
                <w:highlight w:val="none"/>
              </w:rPr>
              <w:t>委托人</w:t>
            </w:r>
            <w:r>
              <w:rPr>
                <w:rFonts w:hint="eastAsia" w:ascii="Calibri" w:hAnsi="Calibri" w:eastAsia="宋体" w:cs="Times New Roman"/>
                <w:strike/>
                <w:color w:val="auto"/>
                <w:sz w:val="21"/>
                <w:szCs w:val="21"/>
                <w:highlight w:val="none"/>
                <w:lang w:eastAsia="zh-CN"/>
              </w:rPr>
              <w:t>（或发包人）</w:t>
            </w:r>
            <w:r>
              <w:rPr>
                <w:rFonts w:hint="eastAsia" w:ascii="Calibri" w:hAnsi="Calibri" w:eastAsia="宋体" w:cs="Times New Roman"/>
                <w:strike/>
                <w:color w:val="auto"/>
                <w:sz w:val="21"/>
                <w:szCs w:val="21"/>
                <w:highlight w:val="none"/>
              </w:rPr>
              <w:t>地址</w:t>
            </w:r>
          </w:p>
        </w:tc>
        <w:tc>
          <w:tcPr>
            <w:tcW w:w="5972" w:type="dxa"/>
            <w:noWrap w:val="0"/>
            <w:vAlign w:val="top"/>
          </w:tcPr>
          <w:p w14:paraId="4F345000">
            <w:pPr>
              <w:topLinePunct/>
              <w:spacing w:line="360" w:lineRule="auto"/>
              <w:rPr>
                <w:strike/>
                <w:color w:val="auto"/>
                <w:highlight w:val="none"/>
              </w:rPr>
            </w:pPr>
          </w:p>
        </w:tc>
      </w:tr>
      <w:tr w14:paraId="66EF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38CBA84C">
            <w:pPr>
              <w:topLinePunct/>
              <w:spacing w:line="360" w:lineRule="auto"/>
              <w:jc w:val="center"/>
              <w:rPr>
                <w:rFonts w:hint="eastAsia" w:eastAsia="宋体" w:cs="Times New Roman"/>
                <w:strike/>
                <w:color w:val="auto"/>
                <w:szCs w:val="21"/>
                <w:highlight w:val="none"/>
              </w:rPr>
            </w:pPr>
            <w:r>
              <w:rPr>
                <w:rFonts w:hint="eastAsia" w:ascii="Calibri" w:hAnsi="Calibri" w:eastAsia="宋体" w:cs="Times New Roman"/>
                <w:strike/>
                <w:color w:val="auto"/>
                <w:sz w:val="21"/>
                <w:szCs w:val="21"/>
                <w:highlight w:val="none"/>
              </w:rPr>
              <w:t>委托人</w:t>
            </w:r>
            <w:r>
              <w:rPr>
                <w:rFonts w:hint="eastAsia" w:ascii="Calibri" w:hAnsi="Calibri" w:eastAsia="宋体" w:cs="Times New Roman"/>
                <w:strike/>
                <w:color w:val="auto"/>
                <w:sz w:val="21"/>
                <w:szCs w:val="21"/>
                <w:highlight w:val="none"/>
                <w:lang w:eastAsia="zh-CN"/>
              </w:rPr>
              <w:t>（或发包人）</w:t>
            </w:r>
            <w:r>
              <w:rPr>
                <w:rFonts w:hint="eastAsia" w:ascii="Calibri" w:hAnsi="Calibri" w:eastAsia="宋体" w:cs="Times New Roman"/>
                <w:strike/>
                <w:color w:val="auto"/>
                <w:sz w:val="21"/>
                <w:szCs w:val="21"/>
                <w:highlight w:val="none"/>
              </w:rPr>
              <w:t>电话</w:t>
            </w:r>
          </w:p>
        </w:tc>
        <w:tc>
          <w:tcPr>
            <w:tcW w:w="5972" w:type="dxa"/>
            <w:noWrap w:val="0"/>
            <w:vAlign w:val="top"/>
          </w:tcPr>
          <w:p w14:paraId="6593549C">
            <w:pPr>
              <w:topLinePunct/>
              <w:spacing w:line="360" w:lineRule="auto"/>
              <w:rPr>
                <w:strike/>
                <w:color w:val="auto"/>
                <w:highlight w:val="none"/>
              </w:rPr>
            </w:pPr>
          </w:p>
        </w:tc>
      </w:tr>
      <w:tr w14:paraId="2BAD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79FD0C29">
            <w:pPr>
              <w:topLinePunct/>
              <w:spacing w:line="360" w:lineRule="auto"/>
              <w:jc w:val="center"/>
              <w:rPr>
                <w:strike/>
                <w:color w:val="auto"/>
                <w:szCs w:val="21"/>
                <w:highlight w:val="none"/>
              </w:rPr>
            </w:pPr>
            <w:r>
              <w:rPr>
                <w:rFonts w:hint="eastAsia"/>
                <w:strike/>
                <w:color w:val="auto"/>
                <w:szCs w:val="21"/>
                <w:highlight w:val="none"/>
              </w:rPr>
              <w:t>签约合同价</w:t>
            </w:r>
          </w:p>
        </w:tc>
        <w:tc>
          <w:tcPr>
            <w:tcW w:w="5972" w:type="dxa"/>
            <w:noWrap w:val="0"/>
            <w:vAlign w:val="top"/>
          </w:tcPr>
          <w:p w14:paraId="5652BFD7">
            <w:pPr>
              <w:topLinePunct/>
              <w:spacing w:line="360" w:lineRule="auto"/>
              <w:rPr>
                <w:strike/>
                <w:color w:val="auto"/>
                <w:highlight w:val="none"/>
              </w:rPr>
            </w:pPr>
          </w:p>
        </w:tc>
      </w:tr>
      <w:tr w14:paraId="2643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7B69826">
            <w:pPr>
              <w:topLinePunct/>
              <w:spacing w:line="360" w:lineRule="auto"/>
              <w:jc w:val="center"/>
              <w:rPr>
                <w:strike/>
                <w:color w:val="auto"/>
                <w:szCs w:val="21"/>
                <w:highlight w:val="none"/>
              </w:rPr>
            </w:pPr>
            <w:r>
              <w:rPr>
                <w:rFonts w:hint="eastAsia"/>
                <w:strike/>
                <w:color w:val="auto"/>
                <w:szCs w:val="21"/>
                <w:highlight w:val="none"/>
              </w:rPr>
              <w:t>监理服务期限</w:t>
            </w:r>
          </w:p>
        </w:tc>
        <w:tc>
          <w:tcPr>
            <w:tcW w:w="5972" w:type="dxa"/>
            <w:noWrap w:val="0"/>
            <w:vAlign w:val="top"/>
          </w:tcPr>
          <w:p w14:paraId="09BF5DA8">
            <w:pPr>
              <w:topLinePunct/>
              <w:spacing w:line="360" w:lineRule="auto"/>
              <w:rPr>
                <w:strike/>
                <w:color w:val="auto"/>
                <w:highlight w:val="none"/>
              </w:rPr>
            </w:pPr>
          </w:p>
        </w:tc>
      </w:tr>
      <w:tr w14:paraId="18D9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02BDEED5">
            <w:pPr>
              <w:topLinePunct/>
              <w:spacing w:line="360" w:lineRule="auto"/>
              <w:jc w:val="center"/>
              <w:rPr>
                <w:strike/>
                <w:color w:val="auto"/>
                <w:szCs w:val="21"/>
                <w:highlight w:val="none"/>
              </w:rPr>
            </w:pPr>
            <w:r>
              <w:rPr>
                <w:rFonts w:hint="eastAsia"/>
                <w:strike/>
                <w:color w:val="auto"/>
                <w:szCs w:val="21"/>
                <w:highlight w:val="none"/>
              </w:rPr>
              <w:t>监理内容</w:t>
            </w:r>
          </w:p>
        </w:tc>
        <w:tc>
          <w:tcPr>
            <w:tcW w:w="5972" w:type="dxa"/>
            <w:noWrap w:val="0"/>
            <w:vAlign w:val="top"/>
          </w:tcPr>
          <w:p w14:paraId="1676A637">
            <w:pPr>
              <w:topLinePunct/>
              <w:spacing w:line="360" w:lineRule="auto"/>
              <w:rPr>
                <w:strike/>
                <w:color w:val="auto"/>
                <w:highlight w:val="none"/>
              </w:rPr>
            </w:pPr>
          </w:p>
        </w:tc>
      </w:tr>
      <w:tr w14:paraId="39DC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7AB387C">
            <w:pPr>
              <w:topLinePunct/>
              <w:spacing w:line="360" w:lineRule="auto"/>
              <w:jc w:val="center"/>
              <w:rPr>
                <w:strike/>
                <w:color w:val="auto"/>
                <w:szCs w:val="21"/>
                <w:highlight w:val="none"/>
              </w:rPr>
            </w:pPr>
            <w:r>
              <w:rPr>
                <w:rFonts w:hint="eastAsia"/>
                <w:strike/>
                <w:color w:val="auto"/>
                <w:szCs w:val="21"/>
                <w:highlight w:val="none"/>
              </w:rPr>
              <w:t>总监理工程师</w:t>
            </w:r>
          </w:p>
        </w:tc>
        <w:tc>
          <w:tcPr>
            <w:tcW w:w="5972" w:type="dxa"/>
            <w:noWrap w:val="0"/>
            <w:vAlign w:val="top"/>
          </w:tcPr>
          <w:p w14:paraId="39D03E8A">
            <w:pPr>
              <w:topLinePunct/>
              <w:spacing w:line="360" w:lineRule="auto"/>
              <w:rPr>
                <w:strike/>
                <w:color w:val="auto"/>
                <w:highlight w:val="none"/>
              </w:rPr>
            </w:pPr>
          </w:p>
        </w:tc>
      </w:tr>
      <w:tr w14:paraId="7E21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950CD74">
            <w:pPr>
              <w:topLinePunct/>
              <w:spacing w:line="360" w:lineRule="auto"/>
              <w:jc w:val="center"/>
              <w:rPr>
                <w:strike/>
                <w:color w:val="auto"/>
                <w:szCs w:val="21"/>
                <w:highlight w:val="none"/>
              </w:rPr>
            </w:pPr>
            <w:r>
              <w:rPr>
                <w:rFonts w:hint="eastAsia"/>
                <w:strike/>
                <w:color w:val="auto"/>
                <w:szCs w:val="21"/>
                <w:highlight w:val="none"/>
              </w:rPr>
              <w:t>项目描述</w:t>
            </w:r>
          </w:p>
        </w:tc>
        <w:tc>
          <w:tcPr>
            <w:tcW w:w="5972" w:type="dxa"/>
            <w:noWrap w:val="0"/>
            <w:vAlign w:val="top"/>
          </w:tcPr>
          <w:p w14:paraId="19E22C50">
            <w:pPr>
              <w:topLinePunct/>
              <w:spacing w:line="360" w:lineRule="auto"/>
              <w:rPr>
                <w:strike/>
                <w:color w:val="auto"/>
                <w:highlight w:val="none"/>
              </w:rPr>
            </w:pPr>
          </w:p>
          <w:p w14:paraId="299115EE">
            <w:pPr>
              <w:topLinePunct/>
              <w:spacing w:line="360" w:lineRule="auto"/>
              <w:rPr>
                <w:strike/>
                <w:color w:val="auto"/>
                <w:highlight w:val="none"/>
              </w:rPr>
            </w:pPr>
          </w:p>
          <w:p w14:paraId="60652B17">
            <w:pPr>
              <w:topLinePunct/>
              <w:spacing w:line="360" w:lineRule="auto"/>
              <w:rPr>
                <w:strike/>
                <w:color w:val="auto"/>
                <w:highlight w:val="none"/>
              </w:rPr>
            </w:pPr>
          </w:p>
          <w:p w14:paraId="3C8F9B15">
            <w:pPr>
              <w:topLinePunct/>
              <w:spacing w:line="360" w:lineRule="auto"/>
              <w:rPr>
                <w:strike/>
                <w:color w:val="auto"/>
                <w:highlight w:val="none"/>
              </w:rPr>
            </w:pPr>
          </w:p>
          <w:p w14:paraId="11DCE8FD">
            <w:pPr>
              <w:topLinePunct/>
              <w:spacing w:line="360" w:lineRule="auto"/>
              <w:rPr>
                <w:strike/>
                <w:color w:val="auto"/>
                <w:highlight w:val="none"/>
              </w:rPr>
            </w:pPr>
          </w:p>
        </w:tc>
      </w:tr>
      <w:tr w14:paraId="424A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795C1C3F">
            <w:pPr>
              <w:topLinePunct/>
              <w:spacing w:line="360" w:lineRule="auto"/>
              <w:jc w:val="center"/>
              <w:rPr>
                <w:strike/>
                <w:color w:val="auto"/>
                <w:szCs w:val="21"/>
                <w:highlight w:val="none"/>
              </w:rPr>
            </w:pPr>
            <w:r>
              <w:rPr>
                <w:rFonts w:hint="eastAsia"/>
                <w:strike/>
                <w:color w:val="auto"/>
                <w:szCs w:val="21"/>
                <w:highlight w:val="none"/>
              </w:rPr>
              <w:t>备注</w:t>
            </w:r>
          </w:p>
        </w:tc>
        <w:tc>
          <w:tcPr>
            <w:tcW w:w="5972" w:type="dxa"/>
            <w:noWrap w:val="0"/>
            <w:vAlign w:val="top"/>
          </w:tcPr>
          <w:p w14:paraId="14B257B9">
            <w:pPr>
              <w:topLinePunct/>
              <w:spacing w:line="360" w:lineRule="auto"/>
              <w:rPr>
                <w:strike/>
                <w:color w:val="auto"/>
                <w:highlight w:val="none"/>
              </w:rPr>
            </w:pPr>
          </w:p>
          <w:bookmarkEnd w:id="1782"/>
          <w:bookmarkEnd w:id="1783"/>
          <w:bookmarkEnd w:id="1784"/>
          <w:bookmarkEnd w:id="1785"/>
          <w:bookmarkEnd w:id="1786"/>
        </w:tc>
      </w:tr>
    </w:tbl>
    <w:p w14:paraId="70171684">
      <w:pPr>
        <w:spacing w:line="360" w:lineRule="auto"/>
        <w:ind w:firstLine="420" w:firstLineChars="200"/>
        <w:rPr>
          <w:rFonts w:hint="eastAsia" w:ascii="宋体" w:hAnsi="宋体" w:eastAsia="宋体" w:cs="Times New Roman"/>
          <w:strike/>
          <w:color w:val="auto"/>
          <w:highlight w:val="none"/>
          <w:u w:val="single"/>
        </w:rPr>
      </w:pPr>
    </w:p>
    <w:p w14:paraId="2F15F169">
      <w:pPr>
        <w:spacing w:line="360" w:lineRule="auto"/>
        <w:rPr>
          <w:strike/>
          <w:color w:val="auto"/>
          <w:highlight w:val="none"/>
        </w:rPr>
      </w:pPr>
    </w:p>
    <w:p w14:paraId="37C5EBB4">
      <w:pPr>
        <w:spacing w:line="360" w:lineRule="auto"/>
        <w:rPr>
          <w:color w:val="auto"/>
          <w:highlight w:val="none"/>
        </w:rPr>
      </w:pPr>
    </w:p>
    <w:p w14:paraId="3952144F">
      <w:pPr>
        <w:pStyle w:val="43"/>
        <w:spacing w:line="360" w:lineRule="auto"/>
        <w:rPr>
          <w:rFonts w:hint="eastAsia"/>
          <w:color w:val="auto"/>
          <w:highlight w:val="none"/>
        </w:rPr>
      </w:pPr>
    </w:p>
    <w:p w14:paraId="4670A723">
      <w:pPr>
        <w:pStyle w:val="43"/>
        <w:spacing w:line="360" w:lineRule="auto"/>
        <w:rPr>
          <w:rFonts w:hint="eastAsia"/>
          <w:color w:val="auto"/>
          <w:highlight w:val="none"/>
        </w:rPr>
      </w:pPr>
    </w:p>
    <w:p w14:paraId="3EE3096A">
      <w:pPr>
        <w:pStyle w:val="43"/>
        <w:spacing w:line="360" w:lineRule="auto"/>
        <w:rPr>
          <w:rFonts w:hint="eastAsia"/>
          <w:color w:val="auto"/>
          <w:highlight w:val="none"/>
        </w:rPr>
      </w:pPr>
    </w:p>
    <w:p w14:paraId="7FA5BB61">
      <w:pPr>
        <w:pStyle w:val="43"/>
        <w:spacing w:line="360" w:lineRule="auto"/>
        <w:rPr>
          <w:rFonts w:hint="eastAsia"/>
          <w:color w:val="auto"/>
          <w:highlight w:val="none"/>
        </w:rPr>
      </w:pPr>
    </w:p>
    <w:p w14:paraId="7FAF5BDF">
      <w:pPr>
        <w:pStyle w:val="43"/>
        <w:spacing w:line="360" w:lineRule="auto"/>
        <w:rPr>
          <w:rFonts w:hint="eastAsia"/>
          <w:color w:val="auto"/>
          <w:highlight w:val="none"/>
        </w:rPr>
      </w:pPr>
    </w:p>
    <w:p w14:paraId="7FE281F0">
      <w:pPr>
        <w:pStyle w:val="43"/>
        <w:spacing w:line="360" w:lineRule="auto"/>
        <w:rPr>
          <w:color w:val="auto"/>
          <w:highlight w:val="none"/>
        </w:rPr>
      </w:pPr>
    </w:p>
    <w:bookmarkEnd w:id="1709"/>
    <w:p w14:paraId="559BFC36">
      <w:pPr>
        <w:spacing w:line="360" w:lineRule="auto"/>
        <w:rPr>
          <w:color w:val="auto"/>
          <w:highlight w:val="none"/>
        </w:rPr>
      </w:pPr>
    </w:p>
    <w:p w14:paraId="1765764B">
      <w:pPr>
        <w:pStyle w:val="5"/>
        <w:bidi w:val="0"/>
        <w:spacing w:line="360" w:lineRule="auto"/>
        <w:rPr>
          <w:color w:val="auto"/>
          <w:highlight w:val="none"/>
        </w:rPr>
      </w:pPr>
      <w:bookmarkStart w:id="1787" w:name="_Toc17080"/>
      <w:bookmarkStart w:id="1788" w:name="_Toc30452"/>
      <w:bookmarkStart w:id="1789" w:name="_Toc5361"/>
      <w:bookmarkStart w:id="1790" w:name="_Toc625"/>
      <w:bookmarkStart w:id="1791" w:name="_Toc526786520"/>
      <w:bookmarkStart w:id="1792" w:name="_Toc21542"/>
      <w:bookmarkStart w:id="1793" w:name="_Toc31393"/>
      <w:bookmarkStart w:id="1794" w:name="_Toc482188667"/>
      <w:bookmarkStart w:id="1795" w:name="_Toc24889"/>
      <w:bookmarkStart w:id="1796" w:name="_Toc5834"/>
      <w:bookmarkStart w:id="1797" w:name="_Toc59200723"/>
      <w:bookmarkStart w:id="1798" w:name="_Toc26786"/>
      <w:bookmarkStart w:id="1799" w:name="_Toc9502"/>
      <w:bookmarkStart w:id="1800" w:name="_Toc1477"/>
      <w:bookmarkStart w:id="1801" w:name="_Toc16858"/>
      <w:bookmarkStart w:id="1802" w:name="_Toc27258"/>
      <w:r>
        <w:rPr>
          <w:rFonts w:hint="eastAsia"/>
          <w:color w:val="auto"/>
          <w:highlight w:val="none"/>
        </w:rPr>
        <w:t>（</w:t>
      </w:r>
      <w:r>
        <w:rPr>
          <w:rFonts w:hint="eastAsia"/>
          <w:color w:val="auto"/>
          <w:highlight w:val="none"/>
          <w:lang w:eastAsia="zh-CN"/>
        </w:rPr>
        <w:t>四</w:t>
      </w:r>
      <w:r>
        <w:rPr>
          <w:rFonts w:hint="eastAsia"/>
          <w:color w:val="auto"/>
          <w:highlight w:val="none"/>
        </w:rPr>
        <w:t>）拟委任的主要人员汇总表</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14:paraId="236B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499ED4FE">
            <w:pPr>
              <w:spacing w:line="360" w:lineRule="auto"/>
              <w:jc w:val="center"/>
              <w:rPr>
                <w:color w:val="auto"/>
                <w:highlight w:val="none"/>
              </w:rPr>
            </w:pPr>
            <w:r>
              <w:rPr>
                <w:rFonts w:hint="eastAsia"/>
                <w:color w:val="auto"/>
                <w:highlight w:val="none"/>
              </w:rPr>
              <w:t>序号</w:t>
            </w:r>
          </w:p>
        </w:tc>
        <w:tc>
          <w:tcPr>
            <w:tcW w:w="1275" w:type="dxa"/>
            <w:vMerge w:val="restart"/>
            <w:noWrap w:val="0"/>
            <w:vAlign w:val="center"/>
          </w:tcPr>
          <w:p w14:paraId="25223CE5">
            <w:pPr>
              <w:spacing w:line="360" w:lineRule="auto"/>
              <w:jc w:val="center"/>
              <w:rPr>
                <w:color w:val="auto"/>
                <w:highlight w:val="none"/>
              </w:rPr>
            </w:pPr>
            <w:r>
              <w:rPr>
                <w:rFonts w:hint="eastAsia"/>
                <w:color w:val="auto"/>
                <w:highlight w:val="none"/>
              </w:rPr>
              <w:t>本项目任职</w:t>
            </w:r>
          </w:p>
        </w:tc>
        <w:tc>
          <w:tcPr>
            <w:tcW w:w="992" w:type="dxa"/>
            <w:vMerge w:val="restart"/>
            <w:noWrap w:val="0"/>
            <w:vAlign w:val="center"/>
          </w:tcPr>
          <w:p w14:paraId="41852207">
            <w:pPr>
              <w:spacing w:line="360" w:lineRule="auto"/>
              <w:jc w:val="center"/>
              <w:rPr>
                <w:color w:val="auto"/>
                <w:highlight w:val="none"/>
              </w:rPr>
            </w:pPr>
            <w:r>
              <w:rPr>
                <w:rFonts w:hint="eastAsia"/>
                <w:color w:val="auto"/>
                <w:highlight w:val="none"/>
              </w:rPr>
              <w:t>姓名</w:t>
            </w:r>
          </w:p>
        </w:tc>
        <w:tc>
          <w:tcPr>
            <w:tcW w:w="603" w:type="dxa"/>
            <w:vMerge w:val="restart"/>
            <w:noWrap w:val="0"/>
            <w:vAlign w:val="center"/>
          </w:tcPr>
          <w:p w14:paraId="0B6F54E6">
            <w:pPr>
              <w:spacing w:line="360" w:lineRule="auto"/>
              <w:jc w:val="center"/>
              <w:rPr>
                <w:color w:val="auto"/>
                <w:highlight w:val="none"/>
              </w:rPr>
            </w:pPr>
            <w:r>
              <w:rPr>
                <w:rFonts w:hint="eastAsia"/>
                <w:color w:val="auto"/>
                <w:highlight w:val="none"/>
              </w:rPr>
              <w:t>职称</w:t>
            </w:r>
          </w:p>
        </w:tc>
        <w:tc>
          <w:tcPr>
            <w:tcW w:w="488" w:type="dxa"/>
            <w:vMerge w:val="restart"/>
            <w:noWrap w:val="0"/>
            <w:vAlign w:val="center"/>
          </w:tcPr>
          <w:p w14:paraId="44E7893D">
            <w:pPr>
              <w:spacing w:line="360" w:lineRule="auto"/>
              <w:jc w:val="center"/>
              <w:rPr>
                <w:color w:val="auto"/>
                <w:highlight w:val="none"/>
              </w:rPr>
            </w:pPr>
            <w:r>
              <w:rPr>
                <w:rFonts w:hint="eastAsia"/>
                <w:color w:val="auto"/>
                <w:highlight w:val="none"/>
              </w:rPr>
              <w:t>专业</w:t>
            </w:r>
          </w:p>
        </w:tc>
        <w:tc>
          <w:tcPr>
            <w:tcW w:w="2714" w:type="dxa"/>
            <w:gridSpan w:val="3"/>
            <w:noWrap w:val="0"/>
            <w:vAlign w:val="center"/>
          </w:tcPr>
          <w:p w14:paraId="06559F22">
            <w:pPr>
              <w:spacing w:line="360" w:lineRule="auto"/>
              <w:jc w:val="center"/>
              <w:rPr>
                <w:color w:val="auto"/>
                <w:highlight w:val="none"/>
              </w:rPr>
            </w:pPr>
            <w:r>
              <w:rPr>
                <w:rFonts w:hint="eastAsia"/>
                <w:color w:val="auto"/>
                <w:highlight w:val="none"/>
              </w:rPr>
              <w:t>执业或职业资格证明</w:t>
            </w:r>
          </w:p>
        </w:tc>
        <w:tc>
          <w:tcPr>
            <w:tcW w:w="1134" w:type="dxa"/>
            <w:noWrap w:val="0"/>
            <w:vAlign w:val="center"/>
          </w:tcPr>
          <w:p w14:paraId="4F226BFF">
            <w:pPr>
              <w:spacing w:line="360" w:lineRule="auto"/>
              <w:jc w:val="center"/>
              <w:rPr>
                <w:color w:val="auto"/>
                <w:highlight w:val="none"/>
              </w:rPr>
            </w:pPr>
            <w:r>
              <w:rPr>
                <w:rFonts w:hint="eastAsia"/>
                <w:color w:val="auto"/>
                <w:highlight w:val="none"/>
              </w:rPr>
              <w:t>备注</w:t>
            </w:r>
          </w:p>
        </w:tc>
      </w:tr>
      <w:tr w14:paraId="13F4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18477105">
            <w:pPr>
              <w:spacing w:line="360" w:lineRule="auto"/>
              <w:rPr>
                <w:color w:val="auto"/>
                <w:highlight w:val="none"/>
              </w:rPr>
            </w:pPr>
          </w:p>
        </w:tc>
        <w:tc>
          <w:tcPr>
            <w:tcW w:w="1275" w:type="dxa"/>
            <w:vMerge w:val="continue"/>
            <w:noWrap w:val="0"/>
            <w:vAlign w:val="top"/>
          </w:tcPr>
          <w:p w14:paraId="6137D6A3">
            <w:pPr>
              <w:spacing w:line="360" w:lineRule="auto"/>
              <w:rPr>
                <w:color w:val="auto"/>
                <w:highlight w:val="none"/>
              </w:rPr>
            </w:pPr>
          </w:p>
        </w:tc>
        <w:tc>
          <w:tcPr>
            <w:tcW w:w="992" w:type="dxa"/>
            <w:vMerge w:val="continue"/>
            <w:noWrap w:val="0"/>
            <w:vAlign w:val="center"/>
          </w:tcPr>
          <w:p w14:paraId="79B69D01">
            <w:pPr>
              <w:spacing w:line="360" w:lineRule="auto"/>
              <w:rPr>
                <w:color w:val="auto"/>
                <w:highlight w:val="none"/>
              </w:rPr>
            </w:pPr>
          </w:p>
        </w:tc>
        <w:tc>
          <w:tcPr>
            <w:tcW w:w="603" w:type="dxa"/>
            <w:vMerge w:val="continue"/>
            <w:noWrap w:val="0"/>
            <w:vAlign w:val="center"/>
          </w:tcPr>
          <w:p w14:paraId="50923E94">
            <w:pPr>
              <w:spacing w:line="360" w:lineRule="auto"/>
              <w:rPr>
                <w:color w:val="auto"/>
                <w:highlight w:val="none"/>
              </w:rPr>
            </w:pPr>
          </w:p>
        </w:tc>
        <w:tc>
          <w:tcPr>
            <w:tcW w:w="488" w:type="dxa"/>
            <w:vMerge w:val="continue"/>
            <w:noWrap w:val="0"/>
            <w:vAlign w:val="center"/>
          </w:tcPr>
          <w:p w14:paraId="4DA341C4">
            <w:pPr>
              <w:spacing w:line="360" w:lineRule="auto"/>
              <w:jc w:val="center"/>
              <w:rPr>
                <w:color w:val="auto"/>
                <w:highlight w:val="none"/>
              </w:rPr>
            </w:pPr>
          </w:p>
        </w:tc>
        <w:tc>
          <w:tcPr>
            <w:tcW w:w="1134" w:type="dxa"/>
            <w:noWrap w:val="0"/>
            <w:vAlign w:val="center"/>
          </w:tcPr>
          <w:p w14:paraId="54B36666">
            <w:pPr>
              <w:spacing w:before="100" w:beforeAutospacing="1" w:after="100" w:afterAutospacing="1" w:line="360" w:lineRule="auto"/>
              <w:jc w:val="center"/>
              <w:rPr>
                <w:color w:val="auto"/>
                <w:highlight w:val="none"/>
              </w:rPr>
            </w:pPr>
            <w:r>
              <w:rPr>
                <w:rFonts w:hint="eastAsia"/>
                <w:color w:val="auto"/>
                <w:highlight w:val="none"/>
              </w:rPr>
              <w:t>证书名称</w:t>
            </w:r>
          </w:p>
        </w:tc>
        <w:tc>
          <w:tcPr>
            <w:tcW w:w="709" w:type="dxa"/>
            <w:noWrap w:val="0"/>
            <w:vAlign w:val="center"/>
          </w:tcPr>
          <w:p w14:paraId="7CA16E1C">
            <w:pPr>
              <w:spacing w:before="100" w:beforeAutospacing="1" w:after="100" w:afterAutospacing="1" w:line="360" w:lineRule="auto"/>
              <w:jc w:val="center"/>
              <w:rPr>
                <w:color w:val="auto"/>
                <w:highlight w:val="none"/>
              </w:rPr>
            </w:pPr>
            <w:r>
              <w:rPr>
                <w:rFonts w:hint="eastAsia"/>
                <w:color w:val="auto"/>
                <w:highlight w:val="none"/>
              </w:rPr>
              <w:t>级别</w:t>
            </w:r>
          </w:p>
        </w:tc>
        <w:tc>
          <w:tcPr>
            <w:tcW w:w="871" w:type="dxa"/>
            <w:noWrap w:val="0"/>
            <w:vAlign w:val="center"/>
          </w:tcPr>
          <w:p w14:paraId="1B11AA5E">
            <w:pPr>
              <w:spacing w:before="100" w:beforeAutospacing="1" w:after="100" w:afterAutospacing="1" w:line="360" w:lineRule="auto"/>
              <w:jc w:val="center"/>
              <w:rPr>
                <w:color w:val="auto"/>
                <w:highlight w:val="none"/>
              </w:rPr>
            </w:pPr>
            <w:r>
              <w:rPr>
                <w:rFonts w:hint="eastAsia"/>
                <w:color w:val="auto"/>
                <w:highlight w:val="none"/>
              </w:rPr>
              <w:t>证号</w:t>
            </w:r>
          </w:p>
        </w:tc>
        <w:tc>
          <w:tcPr>
            <w:tcW w:w="1134" w:type="dxa"/>
            <w:noWrap w:val="0"/>
            <w:vAlign w:val="center"/>
          </w:tcPr>
          <w:p w14:paraId="0F2E7AF8">
            <w:pPr>
              <w:spacing w:line="360" w:lineRule="auto"/>
              <w:jc w:val="center"/>
              <w:rPr>
                <w:color w:val="auto"/>
                <w:highlight w:val="none"/>
              </w:rPr>
            </w:pPr>
          </w:p>
        </w:tc>
      </w:tr>
      <w:tr w14:paraId="3BB8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3855D3AA">
            <w:pPr>
              <w:spacing w:line="360" w:lineRule="auto"/>
              <w:jc w:val="center"/>
              <w:rPr>
                <w:color w:val="auto"/>
                <w:highlight w:val="none"/>
              </w:rPr>
            </w:pPr>
          </w:p>
        </w:tc>
        <w:tc>
          <w:tcPr>
            <w:tcW w:w="1275" w:type="dxa"/>
            <w:noWrap w:val="0"/>
            <w:vAlign w:val="top"/>
          </w:tcPr>
          <w:p w14:paraId="1AF23367">
            <w:pPr>
              <w:spacing w:line="360" w:lineRule="auto"/>
              <w:jc w:val="center"/>
              <w:rPr>
                <w:color w:val="auto"/>
                <w:highlight w:val="none"/>
              </w:rPr>
            </w:pPr>
          </w:p>
        </w:tc>
        <w:tc>
          <w:tcPr>
            <w:tcW w:w="992" w:type="dxa"/>
            <w:noWrap w:val="0"/>
            <w:vAlign w:val="center"/>
          </w:tcPr>
          <w:p w14:paraId="768B32BA">
            <w:pPr>
              <w:spacing w:line="360" w:lineRule="auto"/>
              <w:jc w:val="center"/>
              <w:rPr>
                <w:color w:val="auto"/>
                <w:highlight w:val="none"/>
              </w:rPr>
            </w:pPr>
          </w:p>
        </w:tc>
        <w:tc>
          <w:tcPr>
            <w:tcW w:w="603" w:type="dxa"/>
            <w:noWrap w:val="0"/>
            <w:vAlign w:val="center"/>
          </w:tcPr>
          <w:p w14:paraId="6976BA05">
            <w:pPr>
              <w:spacing w:line="360" w:lineRule="auto"/>
              <w:jc w:val="center"/>
              <w:rPr>
                <w:color w:val="auto"/>
                <w:highlight w:val="none"/>
              </w:rPr>
            </w:pPr>
          </w:p>
        </w:tc>
        <w:tc>
          <w:tcPr>
            <w:tcW w:w="488" w:type="dxa"/>
            <w:noWrap w:val="0"/>
            <w:vAlign w:val="center"/>
          </w:tcPr>
          <w:p w14:paraId="2EEF2B73">
            <w:pPr>
              <w:spacing w:line="360" w:lineRule="auto"/>
              <w:jc w:val="center"/>
              <w:rPr>
                <w:color w:val="auto"/>
                <w:highlight w:val="none"/>
              </w:rPr>
            </w:pPr>
          </w:p>
        </w:tc>
        <w:tc>
          <w:tcPr>
            <w:tcW w:w="1134" w:type="dxa"/>
            <w:noWrap w:val="0"/>
            <w:vAlign w:val="center"/>
          </w:tcPr>
          <w:p w14:paraId="6187D300">
            <w:pPr>
              <w:spacing w:line="360" w:lineRule="auto"/>
              <w:jc w:val="center"/>
              <w:rPr>
                <w:color w:val="auto"/>
                <w:highlight w:val="none"/>
              </w:rPr>
            </w:pPr>
          </w:p>
        </w:tc>
        <w:tc>
          <w:tcPr>
            <w:tcW w:w="709" w:type="dxa"/>
            <w:noWrap w:val="0"/>
            <w:vAlign w:val="center"/>
          </w:tcPr>
          <w:p w14:paraId="3A8C3943">
            <w:pPr>
              <w:spacing w:line="360" w:lineRule="auto"/>
              <w:jc w:val="center"/>
              <w:rPr>
                <w:color w:val="auto"/>
                <w:highlight w:val="none"/>
              </w:rPr>
            </w:pPr>
          </w:p>
        </w:tc>
        <w:tc>
          <w:tcPr>
            <w:tcW w:w="871" w:type="dxa"/>
            <w:noWrap w:val="0"/>
            <w:vAlign w:val="center"/>
          </w:tcPr>
          <w:p w14:paraId="5E72A488">
            <w:pPr>
              <w:spacing w:line="360" w:lineRule="auto"/>
              <w:jc w:val="center"/>
              <w:rPr>
                <w:color w:val="auto"/>
                <w:highlight w:val="none"/>
              </w:rPr>
            </w:pPr>
          </w:p>
        </w:tc>
        <w:tc>
          <w:tcPr>
            <w:tcW w:w="1134" w:type="dxa"/>
            <w:noWrap w:val="0"/>
            <w:vAlign w:val="center"/>
          </w:tcPr>
          <w:p w14:paraId="04956C01">
            <w:pPr>
              <w:spacing w:line="360" w:lineRule="auto"/>
              <w:jc w:val="center"/>
              <w:rPr>
                <w:color w:val="auto"/>
                <w:highlight w:val="none"/>
              </w:rPr>
            </w:pPr>
          </w:p>
        </w:tc>
      </w:tr>
      <w:tr w14:paraId="280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82AF552">
            <w:pPr>
              <w:spacing w:line="360" w:lineRule="auto"/>
              <w:jc w:val="center"/>
              <w:rPr>
                <w:color w:val="auto"/>
                <w:highlight w:val="none"/>
              </w:rPr>
            </w:pPr>
          </w:p>
        </w:tc>
        <w:tc>
          <w:tcPr>
            <w:tcW w:w="1275" w:type="dxa"/>
            <w:noWrap w:val="0"/>
            <w:vAlign w:val="top"/>
          </w:tcPr>
          <w:p w14:paraId="151FB8B4">
            <w:pPr>
              <w:spacing w:line="360" w:lineRule="auto"/>
              <w:jc w:val="center"/>
              <w:rPr>
                <w:color w:val="auto"/>
                <w:highlight w:val="none"/>
              </w:rPr>
            </w:pPr>
          </w:p>
        </w:tc>
        <w:tc>
          <w:tcPr>
            <w:tcW w:w="992" w:type="dxa"/>
            <w:noWrap w:val="0"/>
            <w:vAlign w:val="top"/>
          </w:tcPr>
          <w:p w14:paraId="332BA185">
            <w:pPr>
              <w:spacing w:line="360" w:lineRule="auto"/>
              <w:jc w:val="center"/>
              <w:rPr>
                <w:color w:val="auto"/>
                <w:highlight w:val="none"/>
              </w:rPr>
            </w:pPr>
          </w:p>
        </w:tc>
        <w:tc>
          <w:tcPr>
            <w:tcW w:w="603" w:type="dxa"/>
            <w:noWrap w:val="0"/>
            <w:vAlign w:val="top"/>
          </w:tcPr>
          <w:p w14:paraId="190C76BE">
            <w:pPr>
              <w:spacing w:line="360" w:lineRule="auto"/>
              <w:jc w:val="center"/>
              <w:rPr>
                <w:color w:val="auto"/>
                <w:highlight w:val="none"/>
              </w:rPr>
            </w:pPr>
          </w:p>
        </w:tc>
        <w:tc>
          <w:tcPr>
            <w:tcW w:w="488" w:type="dxa"/>
            <w:noWrap w:val="0"/>
            <w:vAlign w:val="top"/>
          </w:tcPr>
          <w:p w14:paraId="15ABDAF4">
            <w:pPr>
              <w:spacing w:line="360" w:lineRule="auto"/>
              <w:jc w:val="center"/>
              <w:rPr>
                <w:color w:val="auto"/>
                <w:highlight w:val="none"/>
              </w:rPr>
            </w:pPr>
          </w:p>
        </w:tc>
        <w:tc>
          <w:tcPr>
            <w:tcW w:w="1134" w:type="dxa"/>
            <w:noWrap w:val="0"/>
            <w:vAlign w:val="top"/>
          </w:tcPr>
          <w:p w14:paraId="18BBD7CA">
            <w:pPr>
              <w:spacing w:line="360" w:lineRule="auto"/>
              <w:jc w:val="center"/>
              <w:rPr>
                <w:color w:val="auto"/>
                <w:highlight w:val="none"/>
              </w:rPr>
            </w:pPr>
          </w:p>
        </w:tc>
        <w:tc>
          <w:tcPr>
            <w:tcW w:w="709" w:type="dxa"/>
            <w:noWrap w:val="0"/>
            <w:vAlign w:val="top"/>
          </w:tcPr>
          <w:p w14:paraId="48E9433C">
            <w:pPr>
              <w:spacing w:line="360" w:lineRule="auto"/>
              <w:jc w:val="center"/>
              <w:rPr>
                <w:color w:val="auto"/>
                <w:highlight w:val="none"/>
              </w:rPr>
            </w:pPr>
          </w:p>
        </w:tc>
        <w:tc>
          <w:tcPr>
            <w:tcW w:w="871" w:type="dxa"/>
            <w:noWrap w:val="0"/>
            <w:vAlign w:val="top"/>
          </w:tcPr>
          <w:p w14:paraId="2406211A">
            <w:pPr>
              <w:spacing w:line="360" w:lineRule="auto"/>
              <w:jc w:val="center"/>
              <w:rPr>
                <w:color w:val="auto"/>
                <w:highlight w:val="none"/>
              </w:rPr>
            </w:pPr>
          </w:p>
        </w:tc>
        <w:tc>
          <w:tcPr>
            <w:tcW w:w="1134" w:type="dxa"/>
            <w:noWrap w:val="0"/>
            <w:vAlign w:val="top"/>
          </w:tcPr>
          <w:p w14:paraId="16F6F650">
            <w:pPr>
              <w:spacing w:line="360" w:lineRule="auto"/>
              <w:jc w:val="center"/>
              <w:rPr>
                <w:color w:val="auto"/>
                <w:highlight w:val="none"/>
              </w:rPr>
            </w:pPr>
          </w:p>
        </w:tc>
      </w:tr>
      <w:tr w14:paraId="13B2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E9CF9A7">
            <w:pPr>
              <w:spacing w:line="360" w:lineRule="auto"/>
              <w:jc w:val="center"/>
              <w:rPr>
                <w:color w:val="auto"/>
                <w:highlight w:val="none"/>
              </w:rPr>
            </w:pPr>
          </w:p>
        </w:tc>
        <w:tc>
          <w:tcPr>
            <w:tcW w:w="1275" w:type="dxa"/>
            <w:noWrap w:val="0"/>
            <w:vAlign w:val="top"/>
          </w:tcPr>
          <w:p w14:paraId="29452573">
            <w:pPr>
              <w:spacing w:line="360" w:lineRule="auto"/>
              <w:jc w:val="center"/>
              <w:rPr>
                <w:color w:val="auto"/>
                <w:highlight w:val="none"/>
              </w:rPr>
            </w:pPr>
          </w:p>
        </w:tc>
        <w:tc>
          <w:tcPr>
            <w:tcW w:w="992" w:type="dxa"/>
            <w:noWrap w:val="0"/>
            <w:vAlign w:val="top"/>
          </w:tcPr>
          <w:p w14:paraId="1E607A36">
            <w:pPr>
              <w:spacing w:line="360" w:lineRule="auto"/>
              <w:jc w:val="center"/>
              <w:rPr>
                <w:color w:val="auto"/>
                <w:highlight w:val="none"/>
              </w:rPr>
            </w:pPr>
          </w:p>
        </w:tc>
        <w:tc>
          <w:tcPr>
            <w:tcW w:w="603" w:type="dxa"/>
            <w:noWrap w:val="0"/>
            <w:vAlign w:val="top"/>
          </w:tcPr>
          <w:p w14:paraId="2C1EE52E">
            <w:pPr>
              <w:spacing w:line="360" w:lineRule="auto"/>
              <w:jc w:val="center"/>
              <w:rPr>
                <w:color w:val="auto"/>
                <w:highlight w:val="none"/>
              </w:rPr>
            </w:pPr>
          </w:p>
        </w:tc>
        <w:tc>
          <w:tcPr>
            <w:tcW w:w="488" w:type="dxa"/>
            <w:noWrap w:val="0"/>
            <w:vAlign w:val="top"/>
          </w:tcPr>
          <w:p w14:paraId="22D9C8D5">
            <w:pPr>
              <w:spacing w:line="360" w:lineRule="auto"/>
              <w:jc w:val="center"/>
              <w:rPr>
                <w:color w:val="auto"/>
                <w:highlight w:val="none"/>
              </w:rPr>
            </w:pPr>
          </w:p>
        </w:tc>
        <w:tc>
          <w:tcPr>
            <w:tcW w:w="1134" w:type="dxa"/>
            <w:noWrap w:val="0"/>
            <w:vAlign w:val="top"/>
          </w:tcPr>
          <w:p w14:paraId="426273FD">
            <w:pPr>
              <w:spacing w:line="360" w:lineRule="auto"/>
              <w:jc w:val="center"/>
              <w:rPr>
                <w:color w:val="auto"/>
                <w:highlight w:val="none"/>
              </w:rPr>
            </w:pPr>
          </w:p>
        </w:tc>
        <w:tc>
          <w:tcPr>
            <w:tcW w:w="709" w:type="dxa"/>
            <w:noWrap w:val="0"/>
            <w:vAlign w:val="top"/>
          </w:tcPr>
          <w:p w14:paraId="7D177A1D">
            <w:pPr>
              <w:spacing w:line="360" w:lineRule="auto"/>
              <w:jc w:val="center"/>
              <w:rPr>
                <w:color w:val="auto"/>
                <w:highlight w:val="none"/>
              </w:rPr>
            </w:pPr>
          </w:p>
        </w:tc>
        <w:tc>
          <w:tcPr>
            <w:tcW w:w="871" w:type="dxa"/>
            <w:noWrap w:val="0"/>
            <w:vAlign w:val="top"/>
          </w:tcPr>
          <w:p w14:paraId="3C33EEB6">
            <w:pPr>
              <w:spacing w:line="360" w:lineRule="auto"/>
              <w:jc w:val="center"/>
              <w:rPr>
                <w:color w:val="auto"/>
                <w:highlight w:val="none"/>
              </w:rPr>
            </w:pPr>
          </w:p>
        </w:tc>
        <w:tc>
          <w:tcPr>
            <w:tcW w:w="1134" w:type="dxa"/>
            <w:noWrap w:val="0"/>
            <w:vAlign w:val="top"/>
          </w:tcPr>
          <w:p w14:paraId="71F6554A">
            <w:pPr>
              <w:spacing w:line="360" w:lineRule="auto"/>
              <w:jc w:val="center"/>
              <w:rPr>
                <w:color w:val="auto"/>
                <w:highlight w:val="none"/>
              </w:rPr>
            </w:pPr>
          </w:p>
        </w:tc>
      </w:tr>
      <w:tr w14:paraId="310E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E56733E">
            <w:pPr>
              <w:spacing w:line="360" w:lineRule="auto"/>
              <w:jc w:val="center"/>
              <w:rPr>
                <w:color w:val="auto"/>
                <w:highlight w:val="none"/>
              </w:rPr>
            </w:pPr>
          </w:p>
        </w:tc>
        <w:tc>
          <w:tcPr>
            <w:tcW w:w="1275" w:type="dxa"/>
            <w:noWrap w:val="0"/>
            <w:vAlign w:val="top"/>
          </w:tcPr>
          <w:p w14:paraId="0042F421">
            <w:pPr>
              <w:spacing w:line="360" w:lineRule="auto"/>
              <w:jc w:val="center"/>
              <w:rPr>
                <w:color w:val="auto"/>
                <w:highlight w:val="none"/>
              </w:rPr>
            </w:pPr>
          </w:p>
        </w:tc>
        <w:tc>
          <w:tcPr>
            <w:tcW w:w="992" w:type="dxa"/>
            <w:noWrap w:val="0"/>
            <w:vAlign w:val="top"/>
          </w:tcPr>
          <w:p w14:paraId="7BDE23C5">
            <w:pPr>
              <w:spacing w:line="360" w:lineRule="auto"/>
              <w:jc w:val="center"/>
              <w:rPr>
                <w:color w:val="auto"/>
                <w:highlight w:val="none"/>
              </w:rPr>
            </w:pPr>
          </w:p>
        </w:tc>
        <w:tc>
          <w:tcPr>
            <w:tcW w:w="603" w:type="dxa"/>
            <w:noWrap w:val="0"/>
            <w:vAlign w:val="top"/>
          </w:tcPr>
          <w:p w14:paraId="17549F31">
            <w:pPr>
              <w:spacing w:line="360" w:lineRule="auto"/>
              <w:jc w:val="center"/>
              <w:rPr>
                <w:color w:val="auto"/>
                <w:highlight w:val="none"/>
              </w:rPr>
            </w:pPr>
          </w:p>
        </w:tc>
        <w:tc>
          <w:tcPr>
            <w:tcW w:w="488" w:type="dxa"/>
            <w:noWrap w:val="0"/>
            <w:vAlign w:val="top"/>
          </w:tcPr>
          <w:p w14:paraId="46A1E78A">
            <w:pPr>
              <w:spacing w:line="360" w:lineRule="auto"/>
              <w:jc w:val="center"/>
              <w:rPr>
                <w:color w:val="auto"/>
                <w:highlight w:val="none"/>
              </w:rPr>
            </w:pPr>
          </w:p>
        </w:tc>
        <w:tc>
          <w:tcPr>
            <w:tcW w:w="1134" w:type="dxa"/>
            <w:noWrap w:val="0"/>
            <w:vAlign w:val="top"/>
          </w:tcPr>
          <w:p w14:paraId="07F203F5">
            <w:pPr>
              <w:spacing w:line="360" w:lineRule="auto"/>
              <w:jc w:val="center"/>
              <w:rPr>
                <w:color w:val="auto"/>
                <w:highlight w:val="none"/>
              </w:rPr>
            </w:pPr>
          </w:p>
        </w:tc>
        <w:tc>
          <w:tcPr>
            <w:tcW w:w="709" w:type="dxa"/>
            <w:noWrap w:val="0"/>
            <w:vAlign w:val="top"/>
          </w:tcPr>
          <w:p w14:paraId="3784E7E2">
            <w:pPr>
              <w:spacing w:line="360" w:lineRule="auto"/>
              <w:jc w:val="center"/>
              <w:rPr>
                <w:color w:val="auto"/>
                <w:highlight w:val="none"/>
              </w:rPr>
            </w:pPr>
          </w:p>
        </w:tc>
        <w:tc>
          <w:tcPr>
            <w:tcW w:w="871" w:type="dxa"/>
            <w:noWrap w:val="0"/>
            <w:vAlign w:val="top"/>
          </w:tcPr>
          <w:p w14:paraId="08E3CCF5">
            <w:pPr>
              <w:spacing w:line="360" w:lineRule="auto"/>
              <w:jc w:val="center"/>
              <w:rPr>
                <w:color w:val="auto"/>
                <w:highlight w:val="none"/>
              </w:rPr>
            </w:pPr>
          </w:p>
        </w:tc>
        <w:tc>
          <w:tcPr>
            <w:tcW w:w="1134" w:type="dxa"/>
            <w:noWrap w:val="0"/>
            <w:vAlign w:val="top"/>
          </w:tcPr>
          <w:p w14:paraId="2E04AB8F">
            <w:pPr>
              <w:spacing w:line="360" w:lineRule="auto"/>
              <w:jc w:val="center"/>
              <w:rPr>
                <w:color w:val="auto"/>
                <w:highlight w:val="none"/>
              </w:rPr>
            </w:pPr>
          </w:p>
        </w:tc>
      </w:tr>
      <w:tr w14:paraId="1991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1775698">
            <w:pPr>
              <w:spacing w:line="360" w:lineRule="auto"/>
              <w:jc w:val="center"/>
              <w:rPr>
                <w:color w:val="auto"/>
                <w:highlight w:val="none"/>
              </w:rPr>
            </w:pPr>
          </w:p>
        </w:tc>
        <w:tc>
          <w:tcPr>
            <w:tcW w:w="1275" w:type="dxa"/>
            <w:noWrap w:val="0"/>
            <w:vAlign w:val="top"/>
          </w:tcPr>
          <w:p w14:paraId="7416263C">
            <w:pPr>
              <w:spacing w:line="360" w:lineRule="auto"/>
              <w:jc w:val="center"/>
              <w:rPr>
                <w:color w:val="auto"/>
                <w:highlight w:val="none"/>
              </w:rPr>
            </w:pPr>
          </w:p>
        </w:tc>
        <w:tc>
          <w:tcPr>
            <w:tcW w:w="992" w:type="dxa"/>
            <w:noWrap w:val="0"/>
            <w:vAlign w:val="top"/>
          </w:tcPr>
          <w:p w14:paraId="77FAFC28">
            <w:pPr>
              <w:spacing w:line="360" w:lineRule="auto"/>
              <w:jc w:val="center"/>
              <w:rPr>
                <w:color w:val="auto"/>
                <w:highlight w:val="none"/>
              </w:rPr>
            </w:pPr>
          </w:p>
        </w:tc>
        <w:tc>
          <w:tcPr>
            <w:tcW w:w="603" w:type="dxa"/>
            <w:noWrap w:val="0"/>
            <w:vAlign w:val="top"/>
          </w:tcPr>
          <w:p w14:paraId="51183AB5">
            <w:pPr>
              <w:spacing w:line="360" w:lineRule="auto"/>
              <w:jc w:val="center"/>
              <w:rPr>
                <w:color w:val="auto"/>
                <w:highlight w:val="none"/>
              </w:rPr>
            </w:pPr>
          </w:p>
        </w:tc>
        <w:tc>
          <w:tcPr>
            <w:tcW w:w="488" w:type="dxa"/>
            <w:noWrap w:val="0"/>
            <w:vAlign w:val="top"/>
          </w:tcPr>
          <w:p w14:paraId="203DA275">
            <w:pPr>
              <w:spacing w:line="360" w:lineRule="auto"/>
              <w:jc w:val="center"/>
              <w:rPr>
                <w:color w:val="auto"/>
                <w:highlight w:val="none"/>
              </w:rPr>
            </w:pPr>
          </w:p>
        </w:tc>
        <w:tc>
          <w:tcPr>
            <w:tcW w:w="1134" w:type="dxa"/>
            <w:noWrap w:val="0"/>
            <w:vAlign w:val="top"/>
          </w:tcPr>
          <w:p w14:paraId="4C389740">
            <w:pPr>
              <w:spacing w:line="360" w:lineRule="auto"/>
              <w:jc w:val="center"/>
              <w:rPr>
                <w:color w:val="auto"/>
                <w:highlight w:val="none"/>
              </w:rPr>
            </w:pPr>
          </w:p>
        </w:tc>
        <w:tc>
          <w:tcPr>
            <w:tcW w:w="709" w:type="dxa"/>
            <w:noWrap w:val="0"/>
            <w:vAlign w:val="top"/>
          </w:tcPr>
          <w:p w14:paraId="02A3D97B">
            <w:pPr>
              <w:spacing w:line="360" w:lineRule="auto"/>
              <w:jc w:val="center"/>
              <w:rPr>
                <w:color w:val="auto"/>
                <w:highlight w:val="none"/>
              </w:rPr>
            </w:pPr>
          </w:p>
        </w:tc>
        <w:tc>
          <w:tcPr>
            <w:tcW w:w="871" w:type="dxa"/>
            <w:noWrap w:val="0"/>
            <w:vAlign w:val="top"/>
          </w:tcPr>
          <w:p w14:paraId="6CBF4025">
            <w:pPr>
              <w:spacing w:line="360" w:lineRule="auto"/>
              <w:jc w:val="center"/>
              <w:rPr>
                <w:color w:val="auto"/>
                <w:highlight w:val="none"/>
              </w:rPr>
            </w:pPr>
          </w:p>
        </w:tc>
        <w:tc>
          <w:tcPr>
            <w:tcW w:w="1134" w:type="dxa"/>
            <w:noWrap w:val="0"/>
            <w:vAlign w:val="top"/>
          </w:tcPr>
          <w:p w14:paraId="58419BB1">
            <w:pPr>
              <w:spacing w:line="360" w:lineRule="auto"/>
              <w:jc w:val="center"/>
              <w:rPr>
                <w:color w:val="auto"/>
                <w:highlight w:val="none"/>
              </w:rPr>
            </w:pPr>
          </w:p>
        </w:tc>
      </w:tr>
      <w:tr w14:paraId="631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98E9BE1">
            <w:pPr>
              <w:spacing w:line="360" w:lineRule="auto"/>
              <w:jc w:val="center"/>
              <w:rPr>
                <w:color w:val="auto"/>
                <w:highlight w:val="none"/>
              </w:rPr>
            </w:pPr>
          </w:p>
        </w:tc>
        <w:tc>
          <w:tcPr>
            <w:tcW w:w="1275" w:type="dxa"/>
            <w:noWrap w:val="0"/>
            <w:vAlign w:val="top"/>
          </w:tcPr>
          <w:p w14:paraId="673B0984">
            <w:pPr>
              <w:spacing w:line="360" w:lineRule="auto"/>
              <w:jc w:val="center"/>
              <w:rPr>
                <w:color w:val="auto"/>
                <w:highlight w:val="none"/>
              </w:rPr>
            </w:pPr>
          </w:p>
        </w:tc>
        <w:tc>
          <w:tcPr>
            <w:tcW w:w="992" w:type="dxa"/>
            <w:noWrap w:val="0"/>
            <w:vAlign w:val="top"/>
          </w:tcPr>
          <w:p w14:paraId="56615514">
            <w:pPr>
              <w:spacing w:line="360" w:lineRule="auto"/>
              <w:jc w:val="center"/>
              <w:rPr>
                <w:color w:val="auto"/>
                <w:highlight w:val="none"/>
              </w:rPr>
            </w:pPr>
          </w:p>
        </w:tc>
        <w:tc>
          <w:tcPr>
            <w:tcW w:w="603" w:type="dxa"/>
            <w:noWrap w:val="0"/>
            <w:vAlign w:val="top"/>
          </w:tcPr>
          <w:p w14:paraId="706AEB0B">
            <w:pPr>
              <w:spacing w:line="360" w:lineRule="auto"/>
              <w:jc w:val="center"/>
              <w:rPr>
                <w:color w:val="auto"/>
                <w:highlight w:val="none"/>
              </w:rPr>
            </w:pPr>
          </w:p>
        </w:tc>
        <w:tc>
          <w:tcPr>
            <w:tcW w:w="488" w:type="dxa"/>
            <w:noWrap w:val="0"/>
            <w:vAlign w:val="top"/>
          </w:tcPr>
          <w:p w14:paraId="7C9771C6">
            <w:pPr>
              <w:spacing w:line="360" w:lineRule="auto"/>
              <w:jc w:val="center"/>
              <w:rPr>
                <w:color w:val="auto"/>
                <w:highlight w:val="none"/>
              </w:rPr>
            </w:pPr>
          </w:p>
        </w:tc>
        <w:tc>
          <w:tcPr>
            <w:tcW w:w="1134" w:type="dxa"/>
            <w:noWrap w:val="0"/>
            <w:vAlign w:val="top"/>
          </w:tcPr>
          <w:p w14:paraId="5EE330D5">
            <w:pPr>
              <w:spacing w:line="360" w:lineRule="auto"/>
              <w:jc w:val="center"/>
              <w:rPr>
                <w:color w:val="auto"/>
                <w:highlight w:val="none"/>
              </w:rPr>
            </w:pPr>
          </w:p>
        </w:tc>
        <w:tc>
          <w:tcPr>
            <w:tcW w:w="709" w:type="dxa"/>
            <w:noWrap w:val="0"/>
            <w:vAlign w:val="top"/>
          </w:tcPr>
          <w:p w14:paraId="1EF7387D">
            <w:pPr>
              <w:spacing w:line="360" w:lineRule="auto"/>
              <w:jc w:val="center"/>
              <w:rPr>
                <w:color w:val="auto"/>
                <w:highlight w:val="none"/>
              </w:rPr>
            </w:pPr>
          </w:p>
        </w:tc>
        <w:tc>
          <w:tcPr>
            <w:tcW w:w="871" w:type="dxa"/>
            <w:noWrap w:val="0"/>
            <w:vAlign w:val="top"/>
          </w:tcPr>
          <w:p w14:paraId="188D4AF2">
            <w:pPr>
              <w:spacing w:line="360" w:lineRule="auto"/>
              <w:jc w:val="center"/>
              <w:rPr>
                <w:color w:val="auto"/>
                <w:highlight w:val="none"/>
              </w:rPr>
            </w:pPr>
          </w:p>
        </w:tc>
        <w:tc>
          <w:tcPr>
            <w:tcW w:w="1134" w:type="dxa"/>
            <w:noWrap w:val="0"/>
            <w:vAlign w:val="top"/>
          </w:tcPr>
          <w:p w14:paraId="24BCF91B">
            <w:pPr>
              <w:spacing w:line="360" w:lineRule="auto"/>
              <w:jc w:val="center"/>
              <w:rPr>
                <w:color w:val="auto"/>
                <w:highlight w:val="none"/>
              </w:rPr>
            </w:pPr>
          </w:p>
        </w:tc>
      </w:tr>
      <w:tr w14:paraId="152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BE31F4F">
            <w:pPr>
              <w:spacing w:line="360" w:lineRule="auto"/>
              <w:jc w:val="center"/>
              <w:rPr>
                <w:color w:val="auto"/>
                <w:highlight w:val="none"/>
              </w:rPr>
            </w:pPr>
          </w:p>
        </w:tc>
        <w:tc>
          <w:tcPr>
            <w:tcW w:w="1275" w:type="dxa"/>
            <w:noWrap w:val="0"/>
            <w:vAlign w:val="top"/>
          </w:tcPr>
          <w:p w14:paraId="7E84DCC7">
            <w:pPr>
              <w:spacing w:line="360" w:lineRule="auto"/>
              <w:jc w:val="center"/>
              <w:rPr>
                <w:color w:val="auto"/>
                <w:highlight w:val="none"/>
              </w:rPr>
            </w:pPr>
          </w:p>
        </w:tc>
        <w:tc>
          <w:tcPr>
            <w:tcW w:w="992" w:type="dxa"/>
            <w:noWrap w:val="0"/>
            <w:vAlign w:val="top"/>
          </w:tcPr>
          <w:p w14:paraId="039FD4A8">
            <w:pPr>
              <w:spacing w:line="360" w:lineRule="auto"/>
              <w:jc w:val="center"/>
              <w:rPr>
                <w:color w:val="auto"/>
                <w:highlight w:val="none"/>
              </w:rPr>
            </w:pPr>
          </w:p>
        </w:tc>
        <w:tc>
          <w:tcPr>
            <w:tcW w:w="603" w:type="dxa"/>
            <w:noWrap w:val="0"/>
            <w:vAlign w:val="top"/>
          </w:tcPr>
          <w:p w14:paraId="07B441E8">
            <w:pPr>
              <w:spacing w:line="360" w:lineRule="auto"/>
              <w:jc w:val="center"/>
              <w:rPr>
                <w:color w:val="auto"/>
                <w:highlight w:val="none"/>
              </w:rPr>
            </w:pPr>
          </w:p>
        </w:tc>
        <w:tc>
          <w:tcPr>
            <w:tcW w:w="488" w:type="dxa"/>
            <w:noWrap w:val="0"/>
            <w:vAlign w:val="top"/>
          </w:tcPr>
          <w:p w14:paraId="53A21A10">
            <w:pPr>
              <w:spacing w:line="360" w:lineRule="auto"/>
              <w:jc w:val="center"/>
              <w:rPr>
                <w:color w:val="auto"/>
                <w:highlight w:val="none"/>
              </w:rPr>
            </w:pPr>
          </w:p>
        </w:tc>
        <w:tc>
          <w:tcPr>
            <w:tcW w:w="1134" w:type="dxa"/>
            <w:noWrap w:val="0"/>
            <w:vAlign w:val="top"/>
          </w:tcPr>
          <w:p w14:paraId="582B144E">
            <w:pPr>
              <w:spacing w:line="360" w:lineRule="auto"/>
              <w:jc w:val="center"/>
              <w:rPr>
                <w:color w:val="auto"/>
                <w:highlight w:val="none"/>
              </w:rPr>
            </w:pPr>
          </w:p>
        </w:tc>
        <w:tc>
          <w:tcPr>
            <w:tcW w:w="709" w:type="dxa"/>
            <w:noWrap w:val="0"/>
            <w:vAlign w:val="top"/>
          </w:tcPr>
          <w:p w14:paraId="5A35909B">
            <w:pPr>
              <w:spacing w:line="360" w:lineRule="auto"/>
              <w:jc w:val="center"/>
              <w:rPr>
                <w:color w:val="auto"/>
                <w:highlight w:val="none"/>
              </w:rPr>
            </w:pPr>
          </w:p>
        </w:tc>
        <w:tc>
          <w:tcPr>
            <w:tcW w:w="871" w:type="dxa"/>
            <w:noWrap w:val="0"/>
            <w:vAlign w:val="top"/>
          </w:tcPr>
          <w:p w14:paraId="049C37CB">
            <w:pPr>
              <w:spacing w:line="360" w:lineRule="auto"/>
              <w:jc w:val="center"/>
              <w:rPr>
                <w:color w:val="auto"/>
                <w:highlight w:val="none"/>
              </w:rPr>
            </w:pPr>
          </w:p>
        </w:tc>
        <w:tc>
          <w:tcPr>
            <w:tcW w:w="1134" w:type="dxa"/>
            <w:noWrap w:val="0"/>
            <w:vAlign w:val="top"/>
          </w:tcPr>
          <w:p w14:paraId="02E4EDDD">
            <w:pPr>
              <w:spacing w:line="360" w:lineRule="auto"/>
              <w:jc w:val="center"/>
              <w:rPr>
                <w:color w:val="auto"/>
                <w:highlight w:val="none"/>
              </w:rPr>
            </w:pPr>
          </w:p>
        </w:tc>
      </w:tr>
      <w:tr w14:paraId="301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16BE01F">
            <w:pPr>
              <w:spacing w:line="360" w:lineRule="auto"/>
              <w:jc w:val="center"/>
              <w:rPr>
                <w:color w:val="auto"/>
                <w:highlight w:val="none"/>
              </w:rPr>
            </w:pPr>
          </w:p>
        </w:tc>
        <w:tc>
          <w:tcPr>
            <w:tcW w:w="1275" w:type="dxa"/>
            <w:noWrap w:val="0"/>
            <w:vAlign w:val="top"/>
          </w:tcPr>
          <w:p w14:paraId="52739874">
            <w:pPr>
              <w:spacing w:line="360" w:lineRule="auto"/>
              <w:jc w:val="center"/>
              <w:rPr>
                <w:color w:val="auto"/>
                <w:highlight w:val="none"/>
              </w:rPr>
            </w:pPr>
          </w:p>
        </w:tc>
        <w:tc>
          <w:tcPr>
            <w:tcW w:w="992" w:type="dxa"/>
            <w:noWrap w:val="0"/>
            <w:vAlign w:val="top"/>
          </w:tcPr>
          <w:p w14:paraId="2AE00E4D">
            <w:pPr>
              <w:spacing w:line="360" w:lineRule="auto"/>
              <w:jc w:val="center"/>
              <w:rPr>
                <w:color w:val="auto"/>
                <w:highlight w:val="none"/>
              </w:rPr>
            </w:pPr>
          </w:p>
        </w:tc>
        <w:tc>
          <w:tcPr>
            <w:tcW w:w="603" w:type="dxa"/>
            <w:noWrap w:val="0"/>
            <w:vAlign w:val="top"/>
          </w:tcPr>
          <w:p w14:paraId="10BEDFA3">
            <w:pPr>
              <w:spacing w:line="360" w:lineRule="auto"/>
              <w:jc w:val="center"/>
              <w:rPr>
                <w:color w:val="auto"/>
                <w:highlight w:val="none"/>
              </w:rPr>
            </w:pPr>
          </w:p>
        </w:tc>
        <w:tc>
          <w:tcPr>
            <w:tcW w:w="488" w:type="dxa"/>
            <w:noWrap w:val="0"/>
            <w:vAlign w:val="top"/>
          </w:tcPr>
          <w:p w14:paraId="1A5AF167">
            <w:pPr>
              <w:spacing w:line="360" w:lineRule="auto"/>
              <w:jc w:val="center"/>
              <w:rPr>
                <w:color w:val="auto"/>
                <w:highlight w:val="none"/>
              </w:rPr>
            </w:pPr>
          </w:p>
        </w:tc>
        <w:tc>
          <w:tcPr>
            <w:tcW w:w="1134" w:type="dxa"/>
            <w:noWrap w:val="0"/>
            <w:vAlign w:val="top"/>
          </w:tcPr>
          <w:p w14:paraId="69E1288C">
            <w:pPr>
              <w:spacing w:line="360" w:lineRule="auto"/>
              <w:jc w:val="center"/>
              <w:rPr>
                <w:color w:val="auto"/>
                <w:highlight w:val="none"/>
              </w:rPr>
            </w:pPr>
          </w:p>
        </w:tc>
        <w:tc>
          <w:tcPr>
            <w:tcW w:w="709" w:type="dxa"/>
            <w:noWrap w:val="0"/>
            <w:vAlign w:val="top"/>
          </w:tcPr>
          <w:p w14:paraId="493CAF78">
            <w:pPr>
              <w:spacing w:line="360" w:lineRule="auto"/>
              <w:jc w:val="center"/>
              <w:rPr>
                <w:color w:val="auto"/>
                <w:highlight w:val="none"/>
              </w:rPr>
            </w:pPr>
          </w:p>
        </w:tc>
        <w:tc>
          <w:tcPr>
            <w:tcW w:w="871" w:type="dxa"/>
            <w:noWrap w:val="0"/>
            <w:vAlign w:val="top"/>
          </w:tcPr>
          <w:p w14:paraId="6237BC25">
            <w:pPr>
              <w:spacing w:line="360" w:lineRule="auto"/>
              <w:jc w:val="center"/>
              <w:rPr>
                <w:color w:val="auto"/>
                <w:highlight w:val="none"/>
              </w:rPr>
            </w:pPr>
          </w:p>
        </w:tc>
        <w:tc>
          <w:tcPr>
            <w:tcW w:w="1134" w:type="dxa"/>
            <w:noWrap w:val="0"/>
            <w:vAlign w:val="top"/>
          </w:tcPr>
          <w:p w14:paraId="40DBBCA2">
            <w:pPr>
              <w:spacing w:line="360" w:lineRule="auto"/>
              <w:jc w:val="center"/>
              <w:rPr>
                <w:color w:val="auto"/>
                <w:highlight w:val="none"/>
              </w:rPr>
            </w:pPr>
          </w:p>
        </w:tc>
      </w:tr>
      <w:tr w14:paraId="3477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7DD6F7F">
            <w:pPr>
              <w:spacing w:line="360" w:lineRule="auto"/>
              <w:jc w:val="center"/>
              <w:rPr>
                <w:color w:val="auto"/>
                <w:highlight w:val="none"/>
              </w:rPr>
            </w:pPr>
          </w:p>
        </w:tc>
        <w:tc>
          <w:tcPr>
            <w:tcW w:w="1275" w:type="dxa"/>
            <w:noWrap w:val="0"/>
            <w:vAlign w:val="top"/>
          </w:tcPr>
          <w:p w14:paraId="1402B79D">
            <w:pPr>
              <w:spacing w:line="360" w:lineRule="auto"/>
              <w:jc w:val="center"/>
              <w:rPr>
                <w:color w:val="auto"/>
                <w:highlight w:val="none"/>
              </w:rPr>
            </w:pPr>
          </w:p>
        </w:tc>
        <w:tc>
          <w:tcPr>
            <w:tcW w:w="992" w:type="dxa"/>
            <w:noWrap w:val="0"/>
            <w:vAlign w:val="top"/>
          </w:tcPr>
          <w:p w14:paraId="7A3E8306">
            <w:pPr>
              <w:spacing w:line="360" w:lineRule="auto"/>
              <w:jc w:val="center"/>
              <w:rPr>
                <w:color w:val="auto"/>
                <w:highlight w:val="none"/>
              </w:rPr>
            </w:pPr>
          </w:p>
        </w:tc>
        <w:tc>
          <w:tcPr>
            <w:tcW w:w="603" w:type="dxa"/>
            <w:noWrap w:val="0"/>
            <w:vAlign w:val="top"/>
          </w:tcPr>
          <w:p w14:paraId="369FE6BA">
            <w:pPr>
              <w:spacing w:line="360" w:lineRule="auto"/>
              <w:jc w:val="center"/>
              <w:rPr>
                <w:color w:val="auto"/>
                <w:highlight w:val="none"/>
              </w:rPr>
            </w:pPr>
          </w:p>
        </w:tc>
        <w:tc>
          <w:tcPr>
            <w:tcW w:w="488" w:type="dxa"/>
            <w:noWrap w:val="0"/>
            <w:vAlign w:val="top"/>
          </w:tcPr>
          <w:p w14:paraId="5A75DD0C">
            <w:pPr>
              <w:spacing w:line="360" w:lineRule="auto"/>
              <w:jc w:val="center"/>
              <w:rPr>
                <w:color w:val="auto"/>
                <w:highlight w:val="none"/>
              </w:rPr>
            </w:pPr>
          </w:p>
        </w:tc>
        <w:tc>
          <w:tcPr>
            <w:tcW w:w="1134" w:type="dxa"/>
            <w:noWrap w:val="0"/>
            <w:vAlign w:val="top"/>
          </w:tcPr>
          <w:p w14:paraId="287E0908">
            <w:pPr>
              <w:spacing w:line="360" w:lineRule="auto"/>
              <w:jc w:val="center"/>
              <w:rPr>
                <w:color w:val="auto"/>
                <w:highlight w:val="none"/>
              </w:rPr>
            </w:pPr>
          </w:p>
        </w:tc>
        <w:tc>
          <w:tcPr>
            <w:tcW w:w="709" w:type="dxa"/>
            <w:noWrap w:val="0"/>
            <w:vAlign w:val="top"/>
          </w:tcPr>
          <w:p w14:paraId="72777236">
            <w:pPr>
              <w:spacing w:line="360" w:lineRule="auto"/>
              <w:jc w:val="center"/>
              <w:rPr>
                <w:color w:val="auto"/>
                <w:highlight w:val="none"/>
              </w:rPr>
            </w:pPr>
          </w:p>
        </w:tc>
        <w:tc>
          <w:tcPr>
            <w:tcW w:w="871" w:type="dxa"/>
            <w:noWrap w:val="0"/>
            <w:vAlign w:val="top"/>
          </w:tcPr>
          <w:p w14:paraId="39FC0334">
            <w:pPr>
              <w:spacing w:line="360" w:lineRule="auto"/>
              <w:jc w:val="center"/>
              <w:rPr>
                <w:color w:val="auto"/>
                <w:highlight w:val="none"/>
              </w:rPr>
            </w:pPr>
          </w:p>
        </w:tc>
        <w:tc>
          <w:tcPr>
            <w:tcW w:w="1134" w:type="dxa"/>
            <w:noWrap w:val="0"/>
            <w:vAlign w:val="top"/>
          </w:tcPr>
          <w:p w14:paraId="603B0107">
            <w:pPr>
              <w:spacing w:line="360" w:lineRule="auto"/>
              <w:jc w:val="center"/>
              <w:rPr>
                <w:color w:val="auto"/>
                <w:highlight w:val="none"/>
              </w:rPr>
            </w:pPr>
          </w:p>
        </w:tc>
      </w:tr>
      <w:tr w14:paraId="4C11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4530B09">
            <w:pPr>
              <w:spacing w:line="360" w:lineRule="auto"/>
              <w:jc w:val="center"/>
              <w:rPr>
                <w:color w:val="auto"/>
                <w:highlight w:val="none"/>
              </w:rPr>
            </w:pPr>
          </w:p>
        </w:tc>
        <w:tc>
          <w:tcPr>
            <w:tcW w:w="1275" w:type="dxa"/>
            <w:noWrap w:val="0"/>
            <w:vAlign w:val="top"/>
          </w:tcPr>
          <w:p w14:paraId="712DD5D9">
            <w:pPr>
              <w:spacing w:line="360" w:lineRule="auto"/>
              <w:jc w:val="center"/>
              <w:rPr>
                <w:color w:val="auto"/>
                <w:highlight w:val="none"/>
              </w:rPr>
            </w:pPr>
          </w:p>
        </w:tc>
        <w:tc>
          <w:tcPr>
            <w:tcW w:w="992" w:type="dxa"/>
            <w:noWrap w:val="0"/>
            <w:vAlign w:val="top"/>
          </w:tcPr>
          <w:p w14:paraId="5AE3FFB1">
            <w:pPr>
              <w:spacing w:line="360" w:lineRule="auto"/>
              <w:jc w:val="center"/>
              <w:rPr>
                <w:color w:val="auto"/>
                <w:highlight w:val="none"/>
              </w:rPr>
            </w:pPr>
          </w:p>
        </w:tc>
        <w:tc>
          <w:tcPr>
            <w:tcW w:w="603" w:type="dxa"/>
            <w:noWrap w:val="0"/>
            <w:vAlign w:val="top"/>
          </w:tcPr>
          <w:p w14:paraId="3A12A491">
            <w:pPr>
              <w:spacing w:line="360" w:lineRule="auto"/>
              <w:jc w:val="center"/>
              <w:rPr>
                <w:color w:val="auto"/>
                <w:highlight w:val="none"/>
              </w:rPr>
            </w:pPr>
          </w:p>
        </w:tc>
        <w:tc>
          <w:tcPr>
            <w:tcW w:w="488" w:type="dxa"/>
            <w:noWrap w:val="0"/>
            <w:vAlign w:val="top"/>
          </w:tcPr>
          <w:p w14:paraId="66F32E82">
            <w:pPr>
              <w:spacing w:line="360" w:lineRule="auto"/>
              <w:jc w:val="center"/>
              <w:rPr>
                <w:color w:val="auto"/>
                <w:highlight w:val="none"/>
              </w:rPr>
            </w:pPr>
          </w:p>
        </w:tc>
        <w:tc>
          <w:tcPr>
            <w:tcW w:w="1134" w:type="dxa"/>
            <w:noWrap w:val="0"/>
            <w:vAlign w:val="top"/>
          </w:tcPr>
          <w:p w14:paraId="01EBB939">
            <w:pPr>
              <w:spacing w:line="360" w:lineRule="auto"/>
              <w:jc w:val="center"/>
              <w:rPr>
                <w:color w:val="auto"/>
                <w:highlight w:val="none"/>
              </w:rPr>
            </w:pPr>
          </w:p>
        </w:tc>
        <w:tc>
          <w:tcPr>
            <w:tcW w:w="709" w:type="dxa"/>
            <w:noWrap w:val="0"/>
            <w:vAlign w:val="top"/>
          </w:tcPr>
          <w:p w14:paraId="18C2D109">
            <w:pPr>
              <w:spacing w:line="360" w:lineRule="auto"/>
              <w:jc w:val="center"/>
              <w:rPr>
                <w:color w:val="auto"/>
                <w:highlight w:val="none"/>
              </w:rPr>
            </w:pPr>
          </w:p>
        </w:tc>
        <w:tc>
          <w:tcPr>
            <w:tcW w:w="871" w:type="dxa"/>
            <w:noWrap w:val="0"/>
            <w:vAlign w:val="top"/>
          </w:tcPr>
          <w:p w14:paraId="45C6C6B3">
            <w:pPr>
              <w:spacing w:line="360" w:lineRule="auto"/>
              <w:jc w:val="center"/>
              <w:rPr>
                <w:color w:val="auto"/>
                <w:highlight w:val="none"/>
              </w:rPr>
            </w:pPr>
          </w:p>
        </w:tc>
        <w:tc>
          <w:tcPr>
            <w:tcW w:w="1134" w:type="dxa"/>
            <w:noWrap w:val="0"/>
            <w:vAlign w:val="top"/>
          </w:tcPr>
          <w:p w14:paraId="4AB79FB5">
            <w:pPr>
              <w:spacing w:line="360" w:lineRule="auto"/>
              <w:jc w:val="center"/>
              <w:rPr>
                <w:color w:val="auto"/>
                <w:highlight w:val="none"/>
              </w:rPr>
            </w:pPr>
          </w:p>
        </w:tc>
      </w:tr>
      <w:tr w14:paraId="39A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D28C32C">
            <w:pPr>
              <w:spacing w:line="360" w:lineRule="auto"/>
              <w:jc w:val="center"/>
              <w:rPr>
                <w:color w:val="auto"/>
                <w:highlight w:val="none"/>
              </w:rPr>
            </w:pPr>
          </w:p>
        </w:tc>
        <w:tc>
          <w:tcPr>
            <w:tcW w:w="1275" w:type="dxa"/>
            <w:noWrap w:val="0"/>
            <w:vAlign w:val="top"/>
          </w:tcPr>
          <w:p w14:paraId="5EC7D364">
            <w:pPr>
              <w:spacing w:line="360" w:lineRule="auto"/>
              <w:jc w:val="center"/>
              <w:rPr>
                <w:color w:val="auto"/>
                <w:highlight w:val="none"/>
              </w:rPr>
            </w:pPr>
          </w:p>
        </w:tc>
        <w:tc>
          <w:tcPr>
            <w:tcW w:w="992" w:type="dxa"/>
            <w:noWrap w:val="0"/>
            <w:vAlign w:val="top"/>
          </w:tcPr>
          <w:p w14:paraId="1B4CD648">
            <w:pPr>
              <w:spacing w:line="360" w:lineRule="auto"/>
              <w:jc w:val="center"/>
              <w:rPr>
                <w:color w:val="auto"/>
                <w:highlight w:val="none"/>
              </w:rPr>
            </w:pPr>
          </w:p>
        </w:tc>
        <w:tc>
          <w:tcPr>
            <w:tcW w:w="603" w:type="dxa"/>
            <w:noWrap w:val="0"/>
            <w:vAlign w:val="top"/>
          </w:tcPr>
          <w:p w14:paraId="07DA634F">
            <w:pPr>
              <w:spacing w:line="360" w:lineRule="auto"/>
              <w:jc w:val="center"/>
              <w:rPr>
                <w:color w:val="auto"/>
                <w:highlight w:val="none"/>
              </w:rPr>
            </w:pPr>
          </w:p>
        </w:tc>
        <w:tc>
          <w:tcPr>
            <w:tcW w:w="488" w:type="dxa"/>
            <w:noWrap w:val="0"/>
            <w:vAlign w:val="top"/>
          </w:tcPr>
          <w:p w14:paraId="41821F1A">
            <w:pPr>
              <w:spacing w:line="360" w:lineRule="auto"/>
              <w:jc w:val="center"/>
              <w:rPr>
                <w:color w:val="auto"/>
                <w:highlight w:val="none"/>
              </w:rPr>
            </w:pPr>
          </w:p>
        </w:tc>
        <w:tc>
          <w:tcPr>
            <w:tcW w:w="1134" w:type="dxa"/>
            <w:noWrap w:val="0"/>
            <w:vAlign w:val="top"/>
          </w:tcPr>
          <w:p w14:paraId="536E156A">
            <w:pPr>
              <w:spacing w:line="360" w:lineRule="auto"/>
              <w:jc w:val="center"/>
              <w:rPr>
                <w:color w:val="auto"/>
                <w:highlight w:val="none"/>
              </w:rPr>
            </w:pPr>
          </w:p>
        </w:tc>
        <w:tc>
          <w:tcPr>
            <w:tcW w:w="709" w:type="dxa"/>
            <w:noWrap w:val="0"/>
            <w:vAlign w:val="top"/>
          </w:tcPr>
          <w:p w14:paraId="4A475FE3">
            <w:pPr>
              <w:spacing w:line="360" w:lineRule="auto"/>
              <w:jc w:val="center"/>
              <w:rPr>
                <w:color w:val="auto"/>
                <w:highlight w:val="none"/>
              </w:rPr>
            </w:pPr>
          </w:p>
        </w:tc>
        <w:tc>
          <w:tcPr>
            <w:tcW w:w="871" w:type="dxa"/>
            <w:noWrap w:val="0"/>
            <w:vAlign w:val="top"/>
          </w:tcPr>
          <w:p w14:paraId="73173A87">
            <w:pPr>
              <w:spacing w:line="360" w:lineRule="auto"/>
              <w:jc w:val="center"/>
              <w:rPr>
                <w:color w:val="auto"/>
                <w:highlight w:val="none"/>
              </w:rPr>
            </w:pPr>
          </w:p>
        </w:tc>
        <w:tc>
          <w:tcPr>
            <w:tcW w:w="1134" w:type="dxa"/>
            <w:noWrap w:val="0"/>
            <w:vAlign w:val="top"/>
          </w:tcPr>
          <w:p w14:paraId="29AA5CF4">
            <w:pPr>
              <w:spacing w:line="360" w:lineRule="auto"/>
              <w:jc w:val="center"/>
              <w:rPr>
                <w:color w:val="auto"/>
                <w:highlight w:val="none"/>
              </w:rPr>
            </w:pPr>
          </w:p>
        </w:tc>
      </w:tr>
      <w:tr w14:paraId="454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CFCF260">
            <w:pPr>
              <w:spacing w:line="360" w:lineRule="auto"/>
              <w:jc w:val="center"/>
              <w:rPr>
                <w:color w:val="auto"/>
                <w:highlight w:val="none"/>
              </w:rPr>
            </w:pPr>
          </w:p>
        </w:tc>
        <w:tc>
          <w:tcPr>
            <w:tcW w:w="1275" w:type="dxa"/>
            <w:noWrap w:val="0"/>
            <w:vAlign w:val="top"/>
          </w:tcPr>
          <w:p w14:paraId="35395FC3">
            <w:pPr>
              <w:spacing w:line="360" w:lineRule="auto"/>
              <w:jc w:val="center"/>
              <w:rPr>
                <w:color w:val="auto"/>
                <w:highlight w:val="none"/>
              </w:rPr>
            </w:pPr>
          </w:p>
        </w:tc>
        <w:tc>
          <w:tcPr>
            <w:tcW w:w="992" w:type="dxa"/>
            <w:noWrap w:val="0"/>
            <w:vAlign w:val="top"/>
          </w:tcPr>
          <w:p w14:paraId="3DBBD0C2">
            <w:pPr>
              <w:spacing w:line="360" w:lineRule="auto"/>
              <w:jc w:val="center"/>
              <w:rPr>
                <w:color w:val="auto"/>
                <w:highlight w:val="none"/>
              </w:rPr>
            </w:pPr>
          </w:p>
        </w:tc>
        <w:tc>
          <w:tcPr>
            <w:tcW w:w="603" w:type="dxa"/>
            <w:noWrap w:val="0"/>
            <w:vAlign w:val="top"/>
          </w:tcPr>
          <w:p w14:paraId="099FD6AB">
            <w:pPr>
              <w:spacing w:line="360" w:lineRule="auto"/>
              <w:jc w:val="center"/>
              <w:rPr>
                <w:color w:val="auto"/>
                <w:highlight w:val="none"/>
              </w:rPr>
            </w:pPr>
          </w:p>
        </w:tc>
        <w:tc>
          <w:tcPr>
            <w:tcW w:w="488" w:type="dxa"/>
            <w:noWrap w:val="0"/>
            <w:vAlign w:val="top"/>
          </w:tcPr>
          <w:p w14:paraId="65A41CD8">
            <w:pPr>
              <w:spacing w:line="360" w:lineRule="auto"/>
              <w:jc w:val="center"/>
              <w:rPr>
                <w:color w:val="auto"/>
                <w:highlight w:val="none"/>
              </w:rPr>
            </w:pPr>
          </w:p>
        </w:tc>
        <w:tc>
          <w:tcPr>
            <w:tcW w:w="1134" w:type="dxa"/>
            <w:noWrap w:val="0"/>
            <w:vAlign w:val="top"/>
          </w:tcPr>
          <w:p w14:paraId="4DF2E7A1">
            <w:pPr>
              <w:spacing w:line="360" w:lineRule="auto"/>
              <w:jc w:val="center"/>
              <w:rPr>
                <w:color w:val="auto"/>
                <w:highlight w:val="none"/>
              </w:rPr>
            </w:pPr>
          </w:p>
        </w:tc>
        <w:tc>
          <w:tcPr>
            <w:tcW w:w="709" w:type="dxa"/>
            <w:noWrap w:val="0"/>
            <w:vAlign w:val="top"/>
          </w:tcPr>
          <w:p w14:paraId="077F31EE">
            <w:pPr>
              <w:spacing w:line="360" w:lineRule="auto"/>
              <w:jc w:val="center"/>
              <w:rPr>
                <w:color w:val="auto"/>
                <w:highlight w:val="none"/>
              </w:rPr>
            </w:pPr>
          </w:p>
        </w:tc>
        <w:tc>
          <w:tcPr>
            <w:tcW w:w="871" w:type="dxa"/>
            <w:noWrap w:val="0"/>
            <w:vAlign w:val="top"/>
          </w:tcPr>
          <w:p w14:paraId="2856DC40">
            <w:pPr>
              <w:spacing w:line="360" w:lineRule="auto"/>
              <w:jc w:val="center"/>
              <w:rPr>
                <w:color w:val="auto"/>
                <w:highlight w:val="none"/>
              </w:rPr>
            </w:pPr>
          </w:p>
        </w:tc>
        <w:tc>
          <w:tcPr>
            <w:tcW w:w="1134" w:type="dxa"/>
            <w:noWrap w:val="0"/>
            <w:vAlign w:val="top"/>
          </w:tcPr>
          <w:p w14:paraId="46C8459C">
            <w:pPr>
              <w:spacing w:line="360" w:lineRule="auto"/>
              <w:jc w:val="center"/>
              <w:rPr>
                <w:color w:val="auto"/>
                <w:highlight w:val="none"/>
              </w:rPr>
            </w:pPr>
          </w:p>
        </w:tc>
      </w:tr>
      <w:tr w14:paraId="6229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066DE2B">
            <w:pPr>
              <w:spacing w:line="360" w:lineRule="auto"/>
              <w:jc w:val="center"/>
              <w:rPr>
                <w:color w:val="auto"/>
                <w:highlight w:val="none"/>
              </w:rPr>
            </w:pPr>
          </w:p>
        </w:tc>
        <w:tc>
          <w:tcPr>
            <w:tcW w:w="1275" w:type="dxa"/>
            <w:noWrap w:val="0"/>
            <w:vAlign w:val="top"/>
          </w:tcPr>
          <w:p w14:paraId="4CF531A6">
            <w:pPr>
              <w:spacing w:line="360" w:lineRule="auto"/>
              <w:jc w:val="center"/>
              <w:rPr>
                <w:color w:val="auto"/>
                <w:highlight w:val="none"/>
              </w:rPr>
            </w:pPr>
          </w:p>
        </w:tc>
        <w:tc>
          <w:tcPr>
            <w:tcW w:w="992" w:type="dxa"/>
            <w:noWrap w:val="0"/>
            <w:vAlign w:val="top"/>
          </w:tcPr>
          <w:p w14:paraId="4C24DD87">
            <w:pPr>
              <w:spacing w:line="360" w:lineRule="auto"/>
              <w:jc w:val="center"/>
              <w:rPr>
                <w:color w:val="auto"/>
                <w:highlight w:val="none"/>
              </w:rPr>
            </w:pPr>
          </w:p>
        </w:tc>
        <w:tc>
          <w:tcPr>
            <w:tcW w:w="603" w:type="dxa"/>
            <w:noWrap w:val="0"/>
            <w:vAlign w:val="top"/>
          </w:tcPr>
          <w:p w14:paraId="295A70F7">
            <w:pPr>
              <w:spacing w:line="360" w:lineRule="auto"/>
              <w:jc w:val="center"/>
              <w:rPr>
                <w:color w:val="auto"/>
                <w:highlight w:val="none"/>
              </w:rPr>
            </w:pPr>
          </w:p>
        </w:tc>
        <w:tc>
          <w:tcPr>
            <w:tcW w:w="488" w:type="dxa"/>
            <w:noWrap w:val="0"/>
            <w:vAlign w:val="top"/>
          </w:tcPr>
          <w:p w14:paraId="17D83CBB">
            <w:pPr>
              <w:spacing w:line="360" w:lineRule="auto"/>
              <w:jc w:val="center"/>
              <w:rPr>
                <w:color w:val="auto"/>
                <w:highlight w:val="none"/>
              </w:rPr>
            </w:pPr>
          </w:p>
        </w:tc>
        <w:tc>
          <w:tcPr>
            <w:tcW w:w="1134" w:type="dxa"/>
            <w:noWrap w:val="0"/>
            <w:vAlign w:val="top"/>
          </w:tcPr>
          <w:p w14:paraId="2CBC31E1">
            <w:pPr>
              <w:spacing w:line="360" w:lineRule="auto"/>
              <w:jc w:val="center"/>
              <w:rPr>
                <w:color w:val="auto"/>
                <w:highlight w:val="none"/>
              </w:rPr>
            </w:pPr>
          </w:p>
        </w:tc>
        <w:tc>
          <w:tcPr>
            <w:tcW w:w="709" w:type="dxa"/>
            <w:noWrap w:val="0"/>
            <w:vAlign w:val="top"/>
          </w:tcPr>
          <w:p w14:paraId="478F2254">
            <w:pPr>
              <w:spacing w:line="360" w:lineRule="auto"/>
              <w:jc w:val="center"/>
              <w:rPr>
                <w:color w:val="auto"/>
                <w:highlight w:val="none"/>
              </w:rPr>
            </w:pPr>
          </w:p>
        </w:tc>
        <w:tc>
          <w:tcPr>
            <w:tcW w:w="871" w:type="dxa"/>
            <w:noWrap w:val="0"/>
            <w:vAlign w:val="top"/>
          </w:tcPr>
          <w:p w14:paraId="579E1EBA">
            <w:pPr>
              <w:spacing w:line="360" w:lineRule="auto"/>
              <w:jc w:val="center"/>
              <w:rPr>
                <w:color w:val="auto"/>
                <w:highlight w:val="none"/>
              </w:rPr>
            </w:pPr>
          </w:p>
        </w:tc>
        <w:tc>
          <w:tcPr>
            <w:tcW w:w="1134" w:type="dxa"/>
            <w:noWrap w:val="0"/>
            <w:vAlign w:val="top"/>
          </w:tcPr>
          <w:p w14:paraId="7D17C148">
            <w:pPr>
              <w:spacing w:line="360" w:lineRule="auto"/>
              <w:jc w:val="center"/>
              <w:rPr>
                <w:color w:val="auto"/>
                <w:highlight w:val="none"/>
              </w:rPr>
            </w:pPr>
          </w:p>
        </w:tc>
      </w:tr>
      <w:tr w14:paraId="5CAD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E92F5ED">
            <w:pPr>
              <w:spacing w:line="360" w:lineRule="auto"/>
              <w:jc w:val="center"/>
              <w:rPr>
                <w:color w:val="auto"/>
                <w:highlight w:val="none"/>
              </w:rPr>
            </w:pPr>
          </w:p>
        </w:tc>
        <w:tc>
          <w:tcPr>
            <w:tcW w:w="1275" w:type="dxa"/>
            <w:noWrap w:val="0"/>
            <w:vAlign w:val="top"/>
          </w:tcPr>
          <w:p w14:paraId="38FE0606">
            <w:pPr>
              <w:spacing w:line="360" w:lineRule="auto"/>
              <w:jc w:val="center"/>
              <w:rPr>
                <w:color w:val="auto"/>
                <w:highlight w:val="none"/>
              </w:rPr>
            </w:pPr>
          </w:p>
        </w:tc>
        <w:tc>
          <w:tcPr>
            <w:tcW w:w="992" w:type="dxa"/>
            <w:noWrap w:val="0"/>
            <w:vAlign w:val="top"/>
          </w:tcPr>
          <w:p w14:paraId="7A2CEC6F">
            <w:pPr>
              <w:spacing w:line="360" w:lineRule="auto"/>
              <w:jc w:val="center"/>
              <w:rPr>
                <w:color w:val="auto"/>
                <w:highlight w:val="none"/>
              </w:rPr>
            </w:pPr>
          </w:p>
        </w:tc>
        <w:tc>
          <w:tcPr>
            <w:tcW w:w="603" w:type="dxa"/>
            <w:noWrap w:val="0"/>
            <w:vAlign w:val="top"/>
          </w:tcPr>
          <w:p w14:paraId="4915540A">
            <w:pPr>
              <w:spacing w:line="360" w:lineRule="auto"/>
              <w:jc w:val="center"/>
              <w:rPr>
                <w:color w:val="auto"/>
                <w:highlight w:val="none"/>
              </w:rPr>
            </w:pPr>
          </w:p>
        </w:tc>
        <w:tc>
          <w:tcPr>
            <w:tcW w:w="488" w:type="dxa"/>
            <w:noWrap w:val="0"/>
            <w:vAlign w:val="top"/>
          </w:tcPr>
          <w:p w14:paraId="52C51EA9">
            <w:pPr>
              <w:spacing w:line="360" w:lineRule="auto"/>
              <w:jc w:val="center"/>
              <w:rPr>
                <w:color w:val="auto"/>
                <w:highlight w:val="none"/>
              </w:rPr>
            </w:pPr>
          </w:p>
        </w:tc>
        <w:tc>
          <w:tcPr>
            <w:tcW w:w="1134" w:type="dxa"/>
            <w:noWrap w:val="0"/>
            <w:vAlign w:val="top"/>
          </w:tcPr>
          <w:p w14:paraId="70CFBE0E">
            <w:pPr>
              <w:spacing w:line="360" w:lineRule="auto"/>
              <w:jc w:val="center"/>
              <w:rPr>
                <w:color w:val="auto"/>
                <w:highlight w:val="none"/>
              </w:rPr>
            </w:pPr>
          </w:p>
        </w:tc>
        <w:tc>
          <w:tcPr>
            <w:tcW w:w="709" w:type="dxa"/>
            <w:noWrap w:val="0"/>
            <w:vAlign w:val="top"/>
          </w:tcPr>
          <w:p w14:paraId="1F74CE68">
            <w:pPr>
              <w:spacing w:line="360" w:lineRule="auto"/>
              <w:jc w:val="center"/>
              <w:rPr>
                <w:color w:val="auto"/>
                <w:highlight w:val="none"/>
              </w:rPr>
            </w:pPr>
          </w:p>
        </w:tc>
        <w:tc>
          <w:tcPr>
            <w:tcW w:w="871" w:type="dxa"/>
            <w:noWrap w:val="0"/>
            <w:vAlign w:val="top"/>
          </w:tcPr>
          <w:p w14:paraId="4DCE9C98">
            <w:pPr>
              <w:spacing w:line="360" w:lineRule="auto"/>
              <w:jc w:val="center"/>
              <w:rPr>
                <w:color w:val="auto"/>
                <w:highlight w:val="none"/>
              </w:rPr>
            </w:pPr>
          </w:p>
        </w:tc>
        <w:tc>
          <w:tcPr>
            <w:tcW w:w="1134" w:type="dxa"/>
            <w:noWrap w:val="0"/>
            <w:vAlign w:val="top"/>
          </w:tcPr>
          <w:p w14:paraId="2622A687">
            <w:pPr>
              <w:spacing w:line="360" w:lineRule="auto"/>
              <w:jc w:val="center"/>
              <w:rPr>
                <w:color w:val="auto"/>
                <w:highlight w:val="none"/>
              </w:rPr>
            </w:pPr>
          </w:p>
        </w:tc>
      </w:tr>
      <w:tr w14:paraId="5953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300BF70">
            <w:pPr>
              <w:spacing w:line="360" w:lineRule="auto"/>
              <w:jc w:val="center"/>
              <w:rPr>
                <w:color w:val="auto"/>
                <w:highlight w:val="none"/>
              </w:rPr>
            </w:pPr>
          </w:p>
        </w:tc>
        <w:tc>
          <w:tcPr>
            <w:tcW w:w="1275" w:type="dxa"/>
            <w:noWrap w:val="0"/>
            <w:vAlign w:val="top"/>
          </w:tcPr>
          <w:p w14:paraId="7EAE4B31">
            <w:pPr>
              <w:spacing w:line="360" w:lineRule="auto"/>
              <w:jc w:val="center"/>
              <w:rPr>
                <w:color w:val="auto"/>
                <w:highlight w:val="none"/>
              </w:rPr>
            </w:pPr>
          </w:p>
        </w:tc>
        <w:tc>
          <w:tcPr>
            <w:tcW w:w="992" w:type="dxa"/>
            <w:noWrap w:val="0"/>
            <w:vAlign w:val="top"/>
          </w:tcPr>
          <w:p w14:paraId="2529A345">
            <w:pPr>
              <w:spacing w:line="360" w:lineRule="auto"/>
              <w:jc w:val="center"/>
              <w:rPr>
                <w:color w:val="auto"/>
                <w:highlight w:val="none"/>
              </w:rPr>
            </w:pPr>
          </w:p>
        </w:tc>
        <w:tc>
          <w:tcPr>
            <w:tcW w:w="603" w:type="dxa"/>
            <w:noWrap w:val="0"/>
            <w:vAlign w:val="top"/>
          </w:tcPr>
          <w:p w14:paraId="56175BA4">
            <w:pPr>
              <w:spacing w:line="360" w:lineRule="auto"/>
              <w:jc w:val="center"/>
              <w:rPr>
                <w:color w:val="auto"/>
                <w:highlight w:val="none"/>
              </w:rPr>
            </w:pPr>
          </w:p>
        </w:tc>
        <w:tc>
          <w:tcPr>
            <w:tcW w:w="488" w:type="dxa"/>
            <w:noWrap w:val="0"/>
            <w:vAlign w:val="top"/>
          </w:tcPr>
          <w:p w14:paraId="5355C81B">
            <w:pPr>
              <w:spacing w:line="360" w:lineRule="auto"/>
              <w:jc w:val="center"/>
              <w:rPr>
                <w:color w:val="auto"/>
                <w:highlight w:val="none"/>
              </w:rPr>
            </w:pPr>
          </w:p>
        </w:tc>
        <w:tc>
          <w:tcPr>
            <w:tcW w:w="1134" w:type="dxa"/>
            <w:noWrap w:val="0"/>
            <w:vAlign w:val="top"/>
          </w:tcPr>
          <w:p w14:paraId="17A04FCD">
            <w:pPr>
              <w:spacing w:line="360" w:lineRule="auto"/>
              <w:jc w:val="center"/>
              <w:rPr>
                <w:color w:val="auto"/>
                <w:highlight w:val="none"/>
              </w:rPr>
            </w:pPr>
          </w:p>
        </w:tc>
        <w:tc>
          <w:tcPr>
            <w:tcW w:w="709" w:type="dxa"/>
            <w:noWrap w:val="0"/>
            <w:vAlign w:val="top"/>
          </w:tcPr>
          <w:p w14:paraId="65927771">
            <w:pPr>
              <w:spacing w:line="360" w:lineRule="auto"/>
              <w:jc w:val="center"/>
              <w:rPr>
                <w:color w:val="auto"/>
                <w:highlight w:val="none"/>
              </w:rPr>
            </w:pPr>
          </w:p>
        </w:tc>
        <w:tc>
          <w:tcPr>
            <w:tcW w:w="871" w:type="dxa"/>
            <w:noWrap w:val="0"/>
            <w:vAlign w:val="top"/>
          </w:tcPr>
          <w:p w14:paraId="0E253052">
            <w:pPr>
              <w:spacing w:line="360" w:lineRule="auto"/>
              <w:jc w:val="center"/>
              <w:rPr>
                <w:color w:val="auto"/>
                <w:highlight w:val="none"/>
              </w:rPr>
            </w:pPr>
          </w:p>
        </w:tc>
        <w:tc>
          <w:tcPr>
            <w:tcW w:w="1134" w:type="dxa"/>
            <w:noWrap w:val="0"/>
            <w:vAlign w:val="top"/>
          </w:tcPr>
          <w:p w14:paraId="51F0543F">
            <w:pPr>
              <w:spacing w:line="360" w:lineRule="auto"/>
              <w:jc w:val="center"/>
              <w:rPr>
                <w:color w:val="auto"/>
                <w:highlight w:val="none"/>
              </w:rPr>
            </w:pPr>
          </w:p>
        </w:tc>
      </w:tr>
      <w:tr w14:paraId="06DF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B156A1B">
            <w:pPr>
              <w:spacing w:line="360" w:lineRule="auto"/>
              <w:jc w:val="center"/>
              <w:rPr>
                <w:color w:val="auto"/>
                <w:highlight w:val="none"/>
              </w:rPr>
            </w:pPr>
          </w:p>
        </w:tc>
        <w:tc>
          <w:tcPr>
            <w:tcW w:w="1275" w:type="dxa"/>
            <w:noWrap w:val="0"/>
            <w:vAlign w:val="top"/>
          </w:tcPr>
          <w:p w14:paraId="0695077A">
            <w:pPr>
              <w:spacing w:line="360" w:lineRule="auto"/>
              <w:jc w:val="center"/>
              <w:rPr>
                <w:color w:val="auto"/>
                <w:highlight w:val="none"/>
              </w:rPr>
            </w:pPr>
          </w:p>
        </w:tc>
        <w:tc>
          <w:tcPr>
            <w:tcW w:w="992" w:type="dxa"/>
            <w:noWrap w:val="0"/>
            <w:vAlign w:val="top"/>
          </w:tcPr>
          <w:p w14:paraId="2CD0E08B">
            <w:pPr>
              <w:spacing w:line="360" w:lineRule="auto"/>
              <w:jc w:val="center"/>
              <w:rPr>
                <w:color w:val="auto"/>
                <w:highlight w:val="none"/>
              </w:rPr>
            </w:pPr>
          </w:p>
        </w:tc>
        <w:tc>
          <w:tcPr>
            <w:tcW w:w="603" w:type="dxa"/>
            <w:noWrap w:val="0"/>
            <w:vAlign w:val="top"/>
          </w:tcPr>
          <w:p w14:paraId="2208B2BD">
            <w:pPr>
              <w:spacing w:line="360" w:lineRule="auto"/>
              <w:jc w:val="center"/>
              <w:rPr>
                <w:color w:val="auto"/>
                <w:highlight w:val="none"/>
              </w:rPr>
            </w:pPr>
          </w:p>
        </w:tc>
        <w:tc>
          <w:tcPr>
            <w:tcW w:w="488" w:type="dxa"/>
            <w:noWrap w:val="0"/>
            <w:vAlign w:val="top"/>
          </w:tcPr>
          <w:p w14:paraId="78100DCF">
            <w:pPr>
              <w:spacing w:line="360" w:lineRule="auto"/>
              <w:jc w:val="center"/>
              <w:rPr>
                <w:color w:val="auto"/>
                <w:highlight w:val="none"/>
              </w:rPr>
            </w:pPr>
          </w:p>
        </w:tc>
        <w:tc>
          <w:tcPr>
            <w:tcW w:w="1134" w:type="dxa"/>
            <w:noWrap w:val="0"/>
            <w:vAlign w:val="top"/>
          </w:tcPr>
          <w:p w14:paraId="4BA66264">
            <w:pPr>
              <w:spacing w:line="360" w:lineRule="auto"/>
              <w:jc w:val="center"/>
              <w:rPr>
                <w:color w:val="auto"/>
                <w:highlight w:val="none"/>
              </w:rPr>
            </w:pPr>
          </w:p>
        </w:tc>
        <w:tc>
          <w:tcPr>
            <w:tcW w:w="709" w:type="dxa"/>
            <w:noWrap w:val="0"/>
            <w:vAlign w:val="top"/>
          </w:tcPr>
          <w:p w14:paraId="6A9EEA6A">
            <w:pPr>
              <w:spacing w:line="360" w:lineRule="auto"/>
              <w:jc w:val="center"/>
              <w:rPr>
                <w:color w:val="auto"/>
                <w:highlight w:val="none"/>
              </w:rPr>
            </w:pPr>
          </w:p>
        </w:tc>
        <w:tc>
          <w:tcPr>
            <w:tcW w:w="871" w:type="dxa"/>
            <w:noWrap w:val="0"/>
            <w:vAlign w:val="top"/>
          </w:tcPr>
          <w:p w14:paraId="1DEFA6E7">
            <w:pPr>
              <w:spacing w:line="360" w:lineRule="auto"/>
              <w:jc w:val="center"/>
              <w:rPr>
                <w:color w:val="auto"/>
                <w:highlight w:val="none"/>
              </w:rPr>
            </w:pPr>
          </w:p>
        </w:tc>
        <w:tc>
          <w:tcPr>
            <w:tcW w:w="1134" w:type="dxa"/>
            <w:noWrap w:val="0"/>
            <w:vAlign w:val="top"/>
          </w:tcPr>
          <w:p w14:paraId="7EE8FAD2">
            <w:pPr>
              <w:spacing w:line="360" w:lineRule="auto"/>
              <w:jc w:val="center"/>
              <w:rPr>
                <w:color w:val="auto"/>
                <w:highlight w:val="none"/>
              </w:rPr>
            </w:pPr>
          </w:p>
        </w:tc>
      </w:tr>
      <w:tr w14:paraId="39C7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F258B79">
            <w:pPr>
              <w:spacing w:line="360" w:lineRule="auto"/>
              <w:jc w:val="center"/>
              <w:rPr>
                <w:color w:val="auto"/>
                <w:highlight w:val="none"/>
              </w:rPr>
            </w:pPr>
          </w:p>
        </w:tc>
        <w:tc>
          <w:tcPr>
            <w:tcW w:w="1275" w:type="dxa"/>
            <w:noWrap w:val="0"/>
            <w:vAlign w:val="top"/>
          </w:tcPr>
          <w:p w14:paraId="45DA0D8E">
            <w:pPr>
              <w:spacing w:line="360" w:lineRule="auto"/>
              <w:jc w:val="center"/>
              <w:rPr>
                <w:color w:val="auto"/>
                <w:highlight w:val="none"/>
              </w:rPr>
            </w:pPr>
          </w:p>
        </w:tc>
        <w:tc>
          <w:tcPr>
            <w:tcW w:w="992" w:type="dxa"/>
            <w:noWrap w:val="0"/>
            <w:vAlign w:val="top"/>
          </w:tcPr>
          <w:p w14:paraId="6C3E519A">
            <w:pPr>
              <w:spacing w:line="360" w:lineRule="auto"/>
              <w:jc w:val="center"/>
              <w:rPr>
                <w:color w:val="auto"/>
                <w:highlight w:val="none"/>
              </w:rPr>
            </w:pPr>
          </w:p>
        </w:tc>
        <w:tc>
          <w:tcPr>
            <w:tcW w:w="603" w:type="dxa"/>
            <w:noWrap w:val="0"/>
            <w:vAlign w:val="top"/>
          </w:tcPr>
          <w:p w14:paraId="12CEC67B">
            <w:pPr>
              <w:spacing w:line="360" w:lineRule="auto"/>
              <w:jc w:val="center"/>
              <w:rPr>
                <w:color w:val="auto"/>
                <w:highlight w:val="none"/>
              </w:rPr>
            </w:pPr>
          </w:p>
        </w:tc>
        <w:tc>
          <w:tcPr>
            <w:tcW w:w="488" w:type="dxa"/>
            <w:noWrap w:val="0"/>
            <w:vAlign w:val="top"/>
          </w:tcPr>
          <w:p w14:paraId="5D3CD2F1">
            <w:pPr>
              <w:spacing w:line="360" w:lineRule="auto"/>
              <w:jc w:val="center"/>
              <w:rPr>
                <w:color w:val="auto"/>
                <w:highlight w:val="none"/>
              </w:rPr>
            </w:pPr>
          </w:p>
        </w:tc>
        <w:tc>
          <w:tcPr>
            <w:tcW w:w="1134" w:type="dxa"/>
            <w:noWrap w:val="0"/>
            <w:vAlign w:val="top"/>
          </w:tcPr>
          <w:p w14:paraId="01DA5921">
            <w:pPr>
              <w:spacing w:line="360" w:lineRule="auto"/>
              <w:jc w:val="center"/>
              <w:rPr>
                <w:color w:val="auto"/>
                <w:highlight w:val="none"/>
              </w:rPr>
            </w:pPr>
          </w:p>
        </w:tc>
        <w:tc>
          <w:tcPr>
            <w:tcW w:w="709" w:type="dxa"/>
            <w:noWrap w:val="0"/>
            <w:vAlign w:val="top"/>
          </w:tcPr>
          <w:p w14:paraId="355398E5">
            <w:pPr>
              <w:spacing w:line="360" w:lineRule="auto"/>
              <w:jc w:val="center"/>
              <w:rPr>
                <w:color w:val="auto"/>
                <w:highlight w:val="none"/>
              </w:rPr>
            </w:pPr>
          </w:p>
        </w:tc>
        <w:tc>
          <w:tcPr>
            <w:tcW w:w="871" w:type="dxa"/>
            <w:noWrap w:val="0"/>
            <w:vAlign w:val="top"/>
          </w:tcPr>
          <w:p w14:paraId="220B5CAC">
            <w:pPr>
              <w:spacing w:line="360" w:lineRule="auto"/>
              <w:jc w:val="center"/>
              <w:rPr>
                <w:color w:val="auto"/>
                <w:highlight w:val="none"/>
              </w:rPr>
            </w:pPr>
          </w:p>
        </w:tc>
        <w:tc>
          <w:tcPr>
            <w:tcW w:w="1134" w:type="dxa"/>
            <w:noWrap w:val="0"/>
            <w:vAlign w:val="top"/>
          </w:tcPr>
          <w:p w14:paraId="471EC98E">
            <w:pPr>
              <w:spacing w:line="360" w:lineRule="auto"/>
              <w:jc w:val="center"/>
              <w:rPr>
                <w:color w:val="auto"/>
                <w:highlight w:val="none"/>
              </w:rPr>
            </w:pPr>
          </w:p>
        </w:tc>
      </w:tr>
      <w:tr w14:paraId="4AB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368873D">
            <w:pPr>
              <w:spacing w:line="360" w:lineRule="auto"/>
              <w:jc w:val="center"/>
              <w:rPr>
                <w:color w:val="auto"/>
                <w:highlight w:val="none"/>
              </w:rPr>
            </w:pPr>
          </w:p>
        </w:tc>
        <w:tc>
          <w:tcPr>
            <w:tcW w:w="1275" w:type="dxa"/>
            <w:noWrap w:val="0"/>
            <w:vAlign w:val="top"/>
          </w:tcPr>
          <w:p w14:paraId="2D033460">
            <w:pPr>
              <w:spacing w:line="360" w:lineRule="auto"/>
              <w:jc w:val="center"/>
              <w:rPr>
                <w:color w:val="auto"/>
                <w:highlight w:val="none"/>
              </w:rPr>
            </w:pPr>
          </w:p>
        </w:tc>
        <w:tc>
          <w:tcPr>
            <w:tcW w:w="992" w:type="dxa"/>
            <w:noWrap w:val="0"/>
            <w:vAlign w:val="top"/>
          </w:tcPr>
          <w:p w14:paraId="2714C408">
            <w:pPr>
              <w:spacing w:line="360" w:lineRule="auto"/>
              <w:jc w:val="center"/>
              <w:rPr>
                <w:color w:val="auto"/>
                <w:highlight w:val="none"/>
              </w:rPr>
            </w:pPr>
          </w:p>
        </w:tc>
        <w:tc>
          <w:tcPr>
            <w:tcW w:w="603" w:type="dxa"/>
            <w:noWrap w:val="0"/>
            <w:vAlign w:val="top"/>
          </w:tcPr>
          <w:p w14:paraId="3915A1D6">
            <w:pPr>
              <w:spacing w:line="360" w:lineRule="auto"/>
              <w:jc w:val="center"/>
              <w:rPr>
                <w:color w:val="auto"/>
                <w:highlight w:val="none"/>
              </w:rPr>
            </w:pPr>
          </w:p>
        </w:tc>
        <w:tc>
          <w:tcPr>
            <w:tcW w:w="488" w:type="dxa"/>
            <w:noWrap w:val="0"/>
            <w:vAlign w:val="top"/>
          </w:tcPr>
          <w:p w14:paraId="0A21500B">
            <w:pPr>
              <w:spacing w:line="360" w:lineRule="auto"/>
              <w:jc w:val="center"/>
              <w:rPr>
                <w:color w:val="auto"/>
                <w:highlight w:val="none"/>
              </w:rPr>
            </w:pPr>
          </w:p>
        </w:tc>
        <w:tc>
          <w:tcPr>
            <w:tcW w:w="1134" w:type="dxa"/>
            <w:noWrap w:val="0"/>
            <w:vAlign w:val="top"/>
          </w:tcPr>
          <w:p w14:paraId="64976824">
            <w:pPr>
              <w:spacing w:line="360" w:lineRule="auto"/>
              <w:jc w:val="center"/>
              <w:rPr>
                <w:color w:val="auto"/>
                <w:highlight w:val="none"/>
              </w:rPr>
            </w:pPr>
          </w:p>
        </w:tc>
        <w:tc>
          <w:tcPr>
            <w:tcW w:w="709" w:type="dxa"/>
            <w:noWrap w:val="0"/>
            <w:vAlign w:val="top"/>
          </w:tcPr>
          <w:p w14:paraId="40E101FD">
            <w:pPr>
              <w:spacing w:line="360" w:lineRule="auto"/>
              <w:jc w:val="center"/>
              <w:rPr>
                <w:color w:val="auto"/>
                <w:highlight w:val="none"/>
              </w:rPr>
            </w:pPr>
          </w:p>
        </w:tc>
        <w:tc>
          <w:tcPr>
            <w:tcW w:w="871" w:type="dxa"/>
            <w:noWrap w:val="0"/>
            <w:vAlign w:val="top"/>
          </w:tcPr>
          <w:p w14:paraId="6904CA68">
            <w:pPr>
              <w:spacing w:line="360" w:lineRule="auto"/>
              <w:jc w:val="center"/>
              <w:rPr>
                <w:color w:val="auto"/>
                <w:highlight w:val="none"/>
              </w:rPr>
            </w:pPr>
          </w:p>
        </w:tc>
        <w:tc>
          <w:tcPr>
            <w:tcW w:w="1134" w:type="dxa"/>
            <w:noWrap w:val="0"/>
            <w:vAlign w:val="top"/>
          </w:tcPr>
          <w:p w14:paraId="66A63D71">
            <w:pPr>
              <w:spacing w:line="360" w:lineRule="auto"/>
              <w:jc w:val="center"/>
              <w:rPr>
                <w:color w:val="auto"/>
                <w:highlight w:val="none"/>
              </w:rPr>
            </w:pPr>
          </w:p>
        </w:tc>
      </w:tr>
      <w:tr w14:paraId="00F4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397934C">
            <w:pPr>
              <w:spacing w:line="360" w:lineRule="auto"/>
              <w:jc w:val="center"/>
              <w:rPr>
                <w:color w:val="auto"/>
                <w:highlight w:val="none"/>
              </w:rPr>
            </w:pPr>
          </w:p>
        </w:tc>
        <w:tc>
          <w:tcPr>
            <w:tcW w:w="1275" w:type="dxa"/>
            <w:noWrap w:val="0"/>
            <w:vAlign w:val="top"/>
          </w:tcPr>
          <w:p w14:paraId="2499CECA">
            <w:pPr>
              <w:spacing w:line="360" w:lineRule="auto"/>
              <w:jc w:val="center"/>
              <w:rPr>
                <w:color w:val="auto"/>
                <w:highlight w:val="none"/>
              </w:rPr>
            </w:pPr>
          </w:p>
        </w:tc>
        <w:tc>
          <w:tcPr>
            <w:tcW w:w="992" w:type="dxa"/>
            <w:noWrap w:val="0"/>
            <w:vAlign w:val="top"/>
          </w:tcPr>
          <w:p w14:paraId="1A118752">
            <w:pPr>
              <w:spacing w:line="360" w:lineRule="auto"/>
              <w:jc w:val="center"/>
              <w:rPr>
                <w:color w:val="auto"/>
                <w:highlight w:val="none"/>
              </w:rPr>
            </w:pPr>
          </w:p>
        </w:tc>
        <w:tc>
          <w:tcPr>
            <w:tcW w:w="603" w:type="dxa"/>
            <w:noWrap w:val="0"/>
            <w:vAlign w:val="top"/>
          </w:tcPr>
          <w:p w14:paraId="4C3E19A8">
            <w:pPr>
              <w:spacing w:line="360" w:lineRule="auto"/>
              <w:jc w:val="center"/>
              <w:rPr>
                <w:color w:val="auto"/>
                <w:highlight w:val="none"/>
              </w:rPr>
            </w:pPr>
          </w:p>
        </w:tc>
        <w:tc>
          <w:tcPr>
            <w:tcW w:w="488" w:type="dxa"/>
            <w:noWrap w:val="0"/>
            <w:vAlign w:val="top"/>
          </w:tcPr>
          <w:p w14:paraId="30E6C33E">
            <w:pPr>
              <w:spacing w:line="360" w:lineRule="auto"/>
              <w:jc w:val="center"/>
              <w:rPr>
                <w:color w:val="auto"/>
                <w:highlight w:val="none"/>
              </w:rPr>
            </w:pPr>
          </w:p>
        </w:tc>
        <w:tc>
          <w:tcPr>
            <w:tcW w:w="1134" w:type="dxa"/>
            <w:noWrap w:val="0"/>
            <w:vAlign w:val="top"/>
          </w:tcPr>
          <w:p w14:paraId="6ECEF47E">
            <w:pPr>
              <w:spacing w:line="360" w:lineRule="auto"/>
              <w:jc w:val="center"/>
              <w:rPr>
                <w:color w:val="auto"/>
                <w:highlight w:val="none"/>
              </w:rPr>
            </w:pPr>
          </w:p>
        </w:tc>
        <w:tc>
          <w:tcPr>
            <w:tcW w:w="709" w:type="dxa"/>
            <w:noWrap w:val="0"/>
            <w:vAlign w:val="top"/>
          </w:tcPr>
          <w:p w14:paraId="7AA41219">
            <w:pPr>
              <w:spacing w:line="360" w:lineRule="auto"/>
              <w:jc w:val="center"/>
              <w:rPr>
                <w:color w:val="auto"/>
                <w:highlight w:val="none"/>
              </w:rPr>
            </w:pPr>
          </w:p>
        </w:tc>
        <w:tc>
          <w:tcPr>
            <w:tcW w:w="871" w:type="dxa"/>
            <w:noWrap w:val="0"/>
            <w:vAlign w:val="top"/>
          </w:tcPr>
          <w:p w14:paraId="45DA342B">
            <w:pPr>
              <w:spacing w:line="360" w:lineRule="auto"/>
              <w:jc w:val="center"/>
              <w:rPr>
                <w:color w:val="auto"/>
                <w:highlight w:val="none"/>
              </w:rPr>
            </w:pPr>
          </w:p>
        </w:tc>
        <w:tc>
          <w:tcPr>
            <w:tcW w:w="1134" w:type="dxa"/>
            <w:noWrap w:val="0"/>
            <w:vAlign w:val="top"/>
          </w:tcPr>
          <w:p w14:paraId="6484933F">
            <w:pPr>
              <w:spacing w:line="360" w:lineRule="auto"/>
              <w:jc w:val="center"/>
              <w:rPr>
                <w:color w:val="auto"/>
                <w:highlight w:val="none"/>
              </w:rPr>
            </w:pPr>
          </w:p>
        </w:tc>
      </w:tr>
    </w:tbl>
    <w:p w14:paraId="4F776984">
      <w:pPr>
        <w:spacing w:line="360" w:lineRule="auto"/>
        <w:rPr>
          <w:color w:val="auto"/>
          <w:highlight w:val="none"/>
        </w:rPr>
      </w:pPr>
      <w:bookmarkStart w:id="1803" w:name="_Toc144974873"/>
      <w:bookmarkStart w:id="1804" w:name="_Toc152042594"/>
      <w:bookmarkStart w:id="1805" w:name="_Toc179632825"/>
      <w:bookmarkStart w:id="1806" w:name="_Toc152045805"/>
    </w:p>
    <w:p w14:paraId="72233F44">
      <w:pPr>
        <w:spacing w:line="360" w:lineRule="auto"/>
        <w:rPr>
          <w:color w:val="auto"/>
          <w:highlight w:val="none"/>
        </w:rPr>
      </w:pPr>
    </w:p>
    <w:p w14:paraId="788FBB3D">
      <w:pPr>
        <w:spacing w:line="360" w:lineRule="auto"/>
        <w:rPr>
          <w:rFonts w:hint="eastAsia"/>
          <w:color w:val="auto"/>
          <w:highlight w:val="none"/>
        </w:rPr>
      </w:pPr>
    </w:p>
    <w:p w14:paraId="5367467A">
      <w:pPr>
        <w:spacing w:line="360" w:lineRule="auto"/>
        <w:rPr>
          <w:rFonts w:hint="eastAsia"/>
          <w:color w:val="auto"/>
          <w:highlight w:val="none"/>
        </w:rPr>
      </w:pPr>
    </w:p>
    <w:p w14:paraId="529AF47A">
      <w:pPr>
        <w:spacing w:line="360" w:lineRule="auto"/>
        <w:rPr>
          <w:rFonts w:hint="eastAsia"/>
          <w:color w:val="auto"/>
          <w:highlight w:val="none"/>
        </w:rPr>
      </w:pPr>
    </w:p>
    <w:p w14:paraId="41DAAB31">
      <w:pPr>
        <w:pStyle w:val="5"/>
        <w:bidi w:val="0"/>
        <w:spacing w:line="360" w:lineRule="auto"/>
        <w:rPr>
          <w:color w:val="auto"/>
          <w:highlight w:val="none"/>
        </w:rPr>
      </w:pPr>
      <w:bookmarkStart w:id="1807" w:name="_Toc359594249"/>
      <w:bookmarkStart w:id="1808" w:name="_Toc12129"/>
      <w:bookmarkStart w:id="1809" w:name="_Toc15945"/>
      <w:bookmarkStart w:id="1810" w:name="_Toc7774"/>
      <w:bookmarkStart w:id="1811" w:name="_Toc13369"/>
      <w:bookmarkStart w:id="1812" w:name="_Toc2079"/>
      <w:bookmarkStart w:id="1813" w:name="_Toc370676440"/>
      <w:bookmarkStart w:id="1814" w:name="_Toc15281"/>
      <w:bookmarkStart w:id="1815" w:name="_Toc19001"/>
      <w:bookmarkStart w:id="1816" w:name="_Toc300835232"/>
      <w:bookmarkStart w:id="1817" w:name="_Toc384308390"/>
      <w:bookmarkStart w:id="1818" w:name="_Toc9774"/>
      <w:bookmarkStart w:id="1819" w:name="_Toc4098"/>
      <w:bookmarkStart w:id="1820" w:name="_Toc391394125"/>
      <w:bookmarkStart w:id="1821" w:name="_Toc482188668"/>
      <w:bookmarkStart w:id="1822" w:name="_Toc24179"/>
      <w:bookmarkStart w:id="1823" w:name="_Toc385943079"/>
      <w:bookmarkStart w:id="1824" w:name="_Toc22924"/>
      <w:bookmarkStart w:id="1825" w:name="_Toc526786521"/>
      <w:bookmarkStart w:id="1826" w:name="_Toc59200724"/>
      <w:bookmarkStart w:id="1827" w:name="_Toc32664"/>
      <w:bookmarkStart w:id="1828" w:name="_Toc10981"/>
      <w:r>
        <w:rPr>
          <w:rFonts w:hint="eastAsia"/>
          <w:color w:val="auto"/>
          <w:highlight w:val="none"/>
        </w:rPr>
        <w:t>（</w:t>
      </w:r>
      <w:r>
        <w:rPr>
          <w:rFonts w:hint="eastAsia"/>
          <w:color w:val="auto"/>
          <w:highlight w:val="none"/>
          <w:lang w:eastAsia="zh-CN"/>
        </w:rPr>
        <w:t>五</w:t>
      </w:r>
      <w:r>
        <w:rPr>
          <w:rFonts w:hint="eastAsia"/>
          <w:color w:val="auto"/>
          <w:highlight w:val="none"/>
        </w:rPr>
        <w:t>）主要人员简历表</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61657B93">
      <w:pPr>
        <w:topLinePunct/>
        <w:spacing w:line="360" w:lineRule="auto"/>
        <w:jc w:val="center"/>
        <w:rPr>
          <w:color w:val="auto"/>
          <w:sz w:val="23"/>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5F3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0EDCB6D1">
            <w:pPr>
              <w:spacing w:line="360" w:lineRule="auto"/>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8" w:type="dxa"/>
            <w:gridSpan w:val="2"/>
            <w:noWrap w:val="0"/>
            <w:vAlign w:val="center"/>
          </w:tcPr>
          <w:p w14:paraId="02704DC6">
            <w:pPr>
              <w:spacing w:line="360" w:lineRule="auto"/>
              <w:jc w:val="center"/>
              <w:rPr>
                <w:color w:val="auto"/>
                <w:highlight w:val="none"/>
              </w:rPr>
            </w:pPr>
          </w:p>
        </w:tc>
        <w:tc>
          <w:tcPr>
            <w:tcW w:w="958" w:type="dxa"/>
            <w:noWrap w:val="0"/>
            <w:vAlign w:val="center"/>
          </w:tcPr>
          <w:p w14:paraId="225D54A1">
            <w:pPr>
              <w:spacing w:line="360" w:lineRule="auto"/>
              <w:jc w:val="center"/>
              <w:rPr>
                <w:color w:val="auto"/>
                <w:highlight w:val="none"/>
              </w:rPr>
            </w:pPr>
            <w:r>
              <w:rPr>
                <w:rFonts w:hint="eastAsia"/>
                <w:color w:val="auto"/>
                <w:highlight w:val="none"/>
              </w:rPr>
              <w:t>年龄</w:t>
            </w:r>
          </w:p>
        </w:tc>
        <w:tc>
          <w:tcPr>
            <w:tcW w:w="1065" w:type="dxa"/>
            <w:noWrap w:val="0"/>
            <w:vAlign w:val="center"/>
          </w:tcPr>
          <w:p w14:paraId="0E73F55E">
            <w:pPr>
              <w:spacing w:line="360" w:lineRule="auto"/>
              <w:jc w:val="center"/>
              <w:rPr>
                <w:color w:val="auto"/>
                <w:highlight w:val="none"/>
              </w:rPr>
            </w:pPr>
          </w:p>
        </w:tc>
        <w:tc>
          <w:tcPr>
            <w:tcW w:w="2368" w:type="dxa"/>
            <w:gridSpan w:val="3"/>
            <w:noWrap w:val="0"/>
            <w:vAlign w:val="center"/>
          </w:tcPr>
          <w:p w14:paraId="3E69980C">
            <w:pPr>
              <w:spacing w:line="360" w:lineRule="auto"/>
              <w:jc w:val="center"/>
              <w:rPr>
                <w:color w:val="auto"/>
                <w:highlight w:val="none"/>
              </w:rPr>
            </w:pPr>
            <w:r>
              <w:rPr>
                <w:rFonts w:hint="eastAsia"/>
                <w:color w:val="auto"/>
                <w:highlight w:val="none"/>
              </w:rPr>
              <w:t>执业资格证书（或上岗证书）名称</w:t>
            </w:r>
          </w:p>
        </w:tc>
        <w:tc>
          <w:tcPr>
            <w:tcW w:w="1896" w:type="dxa"/>
            <w:noWrap w:val="0"/>
            <w:vAlign w:val="center"/>
          </w:tcPr>
          <w:p w14:paraId="2F2D3133">
            <w:pPr>
              <w:spacing w:line="360" w:lineRule="auto"/>
              <w:jc w:val="center"/>
              <w:rPr>
                <w:color w:val="auto"/>
                <w:highlight w:val="none"/>
              </w:rPr>
            </w:pPr>
          </w:p>
        </w:tc>
      </w:tr>
      <w:tr w14:paraId="6220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13ACA5DA">
            <w:pPr>
              <w:spacing w:line="360" w:lineRule="auto"/>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8" w:type="dxa"/>
            <w:gridSpan w:val="2"/>
            <w:noWrap w:val="0"/>
            <w:vAlign w:val="center"/>
          </w:tcPr>
          <w:p w14:paraId="4F915A9C">
            <w:pPr>
              <w:spacing w:line="360" w:lineRule="auto"/>
              <w:jc w:val="center"/>
              <w:rPr>
                <w:color w:val="auto"/>
                <w:highlight w:val="none"/>
              </w:rPr>
            </w:pPr>
          </w:p>
        </w:tc>
        <w:tc>
          <w:tcPr>
            <w:tcW w:w="958" w:type="dxa"/>
            <w:noWrap w:val="0"/>
            <w:vAlign w:val="center"/>
          </w:tcPr>
          <w:p w14:paraId="7A9B17CF">
            <w:pPr>
              <w:spacing w:before="100" w:beforeAutospacing="1" w:after="100" w:afterAutospacing="1" w:line="360" w:lineRule="auto"/>
              <w:jc w:val="center"/>
              <w:rPr>
                <w:color w:val="auto"/>
                <w:highlight w:val="none"/>
              </w:rPr>
            </w:pPr>
            <w:r>
              <w:rPr>
                <w:rFonts w:hint="eastAsia"/>
                <w:color w:val="auto"/>
                <w:highlight w:val="none"/>
              </w:rPr>
              <w:t>学历</w:t>
            </w:r>
          </w:p>
        </w:tc>
        <w:tc>
          <w:tcPr>
            <w:tcW w:w="1065" w:type="dxa"/>
            <w:noWrap w:val="0"/>
            <w:vAlign w:val="center"/>
          </w:tcPr>
          <w:p w14:paraId="027DC1FA">
            <w:pPr>
              <w:spacing w:line="360" w:lineRule="auto"/>
              <w:jc w:val="center"/>
              <w:rPr>
                <w:color w:val="auto"/>
                <w:highlight w:val="none"/>
              </w:rPr>
            </w:pPr>
          </w:p>
        </w:tc>
        <w:tc>
          <w:tcPr>
            <w:tcW w:w="2368" w:type="dxa"/>
            <w:gridSpan w:val="3"/>
            <w:noWrap w:val="0"/>
            <w:vAlign w:val="center"/>
          </w:tcPr>
          <w:p w14:paraId="309BB7D0">
            <w:pPr>
              <w:spacing w:before="100" w:beforeAutospacing="1" w:after="100" w:afterAutospacing="1" w:line="360" w:lineRule="auto"/>
              <w:jc w:val="center"/>
              <w:rPr>
                <w:color w:val="auto"/>
                <w:highlight w:val="none"/>
              </w:rPr>
            </w:pPr>
            <w:r>
              <w:rPr>
                <w:rFonts w:hint="eastAsia"/>
                <w:color w:val="auto"/>
                <w:highlight w:val="none"/>
              </w:rPr>
              <w:t>拟在本项目任职</w:t>
            </w:r>
          </w:p>
        </w:tc>
        <w:tc>
          <w:tcPr>
            <w:tcW w:w="1896" w:type="dxa"/>
            <w:noWrap w:val="0"/>
            <w:vAlign w:val="center"/>
          </w:tcPr>
          <w:p w14:paraId="4EC6639F">
            <w:pPr>
              <w:spacing w:line="360" w:lineRule="auto"/>
              <w:jc w:val="center"/>
              <w:rPr>
                <w:color w:val="auto"/>
                <w:highlight w:val="none"/>
              </w:rPr>
            </w:pPr>
          </w:p>
        </w:tc>
      </w:tr>
      <w:tr w14:paraId="7276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33F1CE6F">
            <w:pPr>
              <w:spacing w:before="100" w:beforeAutospacing="1" w:after="100" w:afterAutospacing="1" w:line="360" w:lineRule="auto"/>
              <w:jc w:val="center"/>
              <w:rPr>
                <w:color w:val="auto"/>
                <w:highlight w:val="none"/>
              </w:rPr>
            </w:pPr>
            <w:r>
              <w:rPr>
                <w:rFonts w:hint="eastAsia"/>
                <w:color w:val="auto"/>
                <w:highlight w:val="none"/>
              </w:rPr>
              <w:t>工作年限</w:t>
            </w:r>
          </w:p>
        </w:tc>
        <w:tc>
          <w:tcPr>
            <w:tcW w:w="3071" w:type="dxa"/>
            <w:gridSpan w:val="4"/>
            <w:noWrap w:val="0"/>
            <w:vAlign w:val="center"/>
          </w:tcPr>
          <w:p w14:paraId="410C9C40">
            <w:pPr>
              <w:spacing w:line="360" w:lineRule="auto"/>
              <w:jc w:val="center"/>
              <w:rPr>
                <w:color w:val="auto"/>
                <w:highlight w:val="none"/>
              </w:rPr>
            </w:pPr>
          </w:p>
        </w:tc>
        <w:tc>
          <w:tcPr>
            <w:tcW w:w="2368" w:type="dxa"/>
            <w:gridSpan w:val="3"/>
            <w:noWrap w:val="0"/>
            <w:vAlign w:val="center"/>
          </w:tcPr>
          <w:p w14:paraId="118E442E">
            <w:pPr>
              <w:spacing w:before="100" w:beforeAutospacing="1" w:after="100" w:afterAutospacing="1" w:line="360" w:lineRule="auto"/>
              <w:jc w:val="center"/>
              <w:rPr>
                <w:color w:val="auto"/>
                <w:highlight w:val="none"/>
              </w:rPr>
            </w:pPr>
            <w:r>
              <w:rPr>
                <w:rFonts w:hint="eastAsia"/>
                <w:color w:val="auto"/>
                <w:highlight w:val="none"/>
              </w:rPr>
              <w:t>从事监理工作年限</w:t>
            </w:r>
          </w:p>
        </w:tc>
        <w:tc>
          <w:tcPr>
            <w:tcW w:w="1896" w:type="dxa"/>
            <w:noWrap w:val="0"/>
            <w:vAlign w:val="center"/>
          </w:tcPr>
          <w:p w14:paraId="32B8B47F">
            <w:pPr>
              <w:spacing w:line="360" w:lineRule="auto"/>
              <w:jc w:val="center"/>
              <w:rPr>
                <w:color w:val="auto"/>
                <w:highlight w:val="none"/>
              </w:rPr>
            </w:pPr>
          </w:p>
        </w:tc>
      </w:tr>
      <w:tr w14:paraId="231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3B1EC5B9">
            <w:pPr>
              <w:spacing w:before="100" w:beforeAutospacing="1" w:after="100" w:afterAutospacing="1" w:line="360" w:lineRule="auto"/>
              <w:jc w:val="center"/>
              <w:rPr>
                <w:color w:val="auto"/>
                <w:highlight w:val="none"/>
              </w:rPr>
            </w:pPr>
            <w:r>
              <w:rPr>
                <w:rFonts w:hint="eastAsia"/>
                <w:color w:val="auto"/>
                <w:highlight w:val="none"/>
              </w:rPr>
              <w:t>毕业学校</w:t>
            </w:r>
          </w:p>
        </w:tc>
        <w:tc>
          <w:tcPr>
            <w:tcW w:w="7335" w:type="dxa"/>
            <w:gridSpan w:val="8"/>
            <w:noWrap w:val="0"/>
            <w:vAlign w:val="center"/>
          </w:tcPr>
          <w:p w14:paraId="1B2A950E">
            <w:pPr>
              <w:spacing w:before="100" w:beforeAutospacing="1" w:after="100" w:afterAutospacing="1" w:line="360" w:lineRule="auto"/>
              <w:ind w:firstLine="1155"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71A1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C9FDA64">
            <w:pPr>
              <w:spacing w:before="100" w:beforeAutospacing="1" w:after="100" w:afterAutospacing="1" w:line="360" w:lineRule="auto"/>
              <w:jc w:val="left"/>
              <w:rPr>
                <w:color w:val="auto"/>
                <w:highlight w:val="none"/>
              </w:rPr>
            </w:pPr>
            <w:r>
              <w:rPr>
                <w:rFonts w:hint="eastAsia"/>
                <w:color w:val="auto"/>
                <w:highlight w:val="none"/>
              </w:rPr>
              <w:t>主要工作经历</w:t>
            </w:r>
          </w:p>
        </w:tc>
      </w:tr>
      <w:tr w14:paraId="3AD5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355AFA9B">
            <w:pPr>
              <w:spacing w:before="100" w:beforeAutospacing="1" w:after="100" w:afterAutospacing="1" w:line="360" w:lineRule="auto"/>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20" w:type="dxa"/>
            <w:gridSpan w:val="4"/>
            <w:noWrap w:val="0"/>
            <w:vAlign w:val="center"/>
          </w:tcPr>
          <w:p w14:paraId="096FB55A">
            <w:pPr>
              <w:spacing w:before="100" w:beforeAutospacing="1" w:after="100" w:afterAutospacing="1" w:line="360" w:lineRule="auto"/>
              <w:jc w:val="center"/>
              <w:rPr>
                <w:color w:val="auto"/>
                <w:highlight w:val="none"/>
              </w:rPr>
            </w:pPr>
            <w:r>
              <w:rPr>
                <w:rFonts w:hint="eastAsia"/>
                <w:color w:val="auto"/>
                <w:highlight w:val="none"/>
              </w:rPr>
              <w:t>参加过的类似项目</w:t>
            </w:r>
          </w:p>
        </w:tc>
        <w:tc>
          <w:tcPr>
            <w:tcW w:w="1261" w:type="dxa"/>
            <w:noWrap w:val="0"/>
            <w:vAlign w:val="center"/>
          </w:tcPr>
          <w:p w14:paraId="6063F4D4">
            <w:pPr>
              <w:spacing w:before="100" w:beforeAutospacing="1" w:after="100" w:afterAutospacing="1" w:line="360" w:lineRule="auto"/>
              <w:jc w:val="center"/>
              <w:rPr>
                <w:color w:val="auto"/>
                <w:highlight w:val="none"/>
              </w:rPr>
            </w:pPr>
            <w:r>
              <w:rPr>
                <w:rFonts w:hint="eastAsia"/>
                <w:color w:val="auto"/>
                <w:highlight w:val="none"/>
              </w:rPr>
              <w:t>担任职务</w:t>
            </w:r>
          </w:p>
        </w:tc>
        <w:tc>
          <w:tcPr>
            <w:tcW w:w="2297" w:type="dxa"/>
            <w:gridSpan w:val="2"/>
            <w:noWrap w:val="0"/>
            <w:vAlign w:val="center"/>
          </w:tcPr>
          <w:p w14:paraId="063C6312">
            <w:pPr>
              <w:spacing w:before="100" w:beforeAutospacing="1" w:after="100" w:afterAutospacing="1" w:line="360" w:lineRule="auto"/>
              <w:jc w:val="center"/>
              <w:rPr>
                <w:color w:val="auto"/>
                <w:highlight w:val="none"/>
              </w:rPr>
            </w:pPr>
            <w:r>
              <w:rPr>
                <w:rFonts w:hint="eastAsia"/>
                <w:color w:val="auto"/>
                <w:highlight w:val="none"/>
                <w:lang w:val="en-US" w:eastAsia="zh-CN"/>
              </w:rPr>
              <w:t>委托人（</w:t>
            </w:r>
            <w:r>
              <w:rPr>
                <w:rFonts w:hint="eastAsia"/>
                <w:color w:val="auto"/>
                <w:highlight w:val="none"/>
                <w:lang w:eastAsia="zh-CN"/>
              </w:rPr>
              <w:t>发包人）</w:t>
            </w:r>
            <w:r>
              <w:rPr>
                <w:rFonts w:hint="eastAsia"/>
                <w:color w:val="auto"/>
                <w:highlight w:val="none"/>
              </w:rPr>
              <w:t>及联系电话</w:t>
            </w:r>
          </w:p>
        </w:tc>
      </w:tr>
      <w:tr w14:paraId="121A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B46995C">
            <w:pPr>
              <w:spacing w:line="360" w:lineRule="auto"/>
              <w:rPr>
                <w:color w:val="auto"/>
                <w:highlight w:val="none"/>
              </w:rPr>
            </w:pPr>
          </w:p>
        </w:tc>
        <w:tc>
          <w:tcPr>
            <w:tcW w:w="3420" w:type="dxa"/>
            <w:gridSpan w:val="4"/>
            <w:noWrap w:val="0"/>
            <w:vAlign w:val="top"/>
          </w:tcPr>
          <w:p w14:paraId="1D24940C">
            <w:pPr>
              <w:spacing w:line="360" w:lineRule="auto"/>
              <w:rPr>
                <w:color w:val="auto"/>
                <w:highlight w:val="none"/>
              </w:rPr>
            </w:pPr>
          </w:p>
        </w:tc>
        <w:tc>
          <w:tcPr>
            <w:tcW w:w="1261" w:type="dxa"/>
            <w:noWrap w:val="0"/>
            <w:vAlign w:val="top"/>
          </w:tcPr>
          <w:p w14:paraId="6C30BA87">
            <w:pPr>
              <w:spacing w:line="360" w:lineRule="auto"/>
              <w:rPr>
                <w:color w:val="auto"/>
                <w:highlight w:val="none"/>
              </w:rPr>
            </w:pPr>
          </w:p>
        </w:tc>
        <w:tc>
          <w:tcPr>
            <w:tcW w:w="2297" w:type="dxa"/>
            <w:gridSpan w:val="2"/>
            <w:noWrap w:val="0"/>
            <w:vAlign w:val="top"/>
          </w:tcPr>
          <w:p w14:paraId="56A9B3B7">
            <w:pPr>
              <w:spacing w:line="360" w:lineRule="auto"/>
              <w:rPr>
                <w:color w:val="auto"/>
                <w:highlight w:val="none"/>
              </w:rPr>
            </w:pPr>
          </w:p>
        </w:tc>
      </w:tr>
      <w:tr w14:paraId="3D48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499DC20">
            <w:pPr>
              <w:spacing w:line="360" w:lineRule="auto"/>
              <w:rPr>
                <w:color w:val="auto"/>
                <w:highlight w:val="none"/>
              </w:rPr>
            </w:pPr>
          </w:p>
        </w:tc>
        <w:tc>
          <w:tcPr>
            <w:tcW w:w="3420" w:type="dxa"/>
            <w:gridSpan w:val="4"/>
            <w:noWrap w:val="0"/>
            <w:vAlign w:val="top"/>
          </w:tcPr>
          <w:p w14:paraId="2F2B57DD">
            <w:pPr>
              <w:spacing w:line="360" w:lineRule="auto"/>
              <w:rPr>
                <w:color w:val="auto"/>
                <w:highlight w:val="none"/>
              </w:rPr>
            </w:pPr>
          </w:p>
        </w:tc>
        <w:tc>
          <w:tcPr>
            <w:tcW w:w="1261" w:type="dxa"/>
            <w:noWrap w:val="0"/>
            <w:vAlign w:val="top"/>
          </w:tcPr>
          <w:p w14:paraId="3858E3FB">
            <w:pPr>
              <w:spacing w:line="360" w:lineRule="auto"/>
              <w:rPr>
                <w:color w:val="auto"/>
                <w:highlight w:val="none"/>
              </w:rPr>
            </w:pPr>
          </w:p>
        </w:tc>
        <w:tc>
          <w:tcPr>
            <w:tcW w:w="2297" w:type="dxa"/>
            <w:gridSpan w:val="2"/>
            <w:noWrap w:val="0"/>
            <w:vAlign w:val="top"/>
          </w:tcPr>
          <w:p w14:paraId="2E9149B5">
            <w:pPr>
              <w:spacing w:line="360" w:lineRule="auto"/>
              <w:rPr>
                <w:color w:val="auto"/>
                <w:highlight w:val="none"/>
              </w:rPr>
            </w:pPr>
          </w:p>
        </w:tc>
      </w:tr>
      <w:tr w14:paraId="348A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5273B88D">
            <w:pPr>
              <w:spacing w:line="360" w:lineRule="auto"/>
              <w:rPr>
                <w:color w:val="auto"/>
                <w:highlight w:val="none"/>
              </w:rPr>
            </w:pPr>
          </w:p>
        </w:tc>
        <w:tc>
          <w:tcPr>
            <w:tcW w:w="3420" w:type="dxa"/>
            <w:gridSpan w:val="4"/>
            <w:noWrap w:val="0"/>
            <w:vAlign w:val="top"/>
          </w:tcPr>
          <w:p w14:paraId="35546DA3">
            <w:pPr>
              <w:spacing w:line="360" w:lineRule="auto"/>
              <w:rPr>
                <w:color w:val="auto"/>
                <w:highlight w:val="none"/>
              </w:rPr>
            </w:pPr>
          </w:p>
        </w:tc>
        <w:tc>
          <w:tcPr>
            <w:tcW w:w="1261" w:type="dxa"/>
            <w:noWrap w:val="0"/>
            <w:vAlign w:val="top"/>
          </w:tcPr>
          <w:p w14:paraId="7E6D8FAE">
            <w:pPr>
              <w:spacing w:line="360" w:lineRule="auto"/>
              <w:rPr>
                <w:color w:val="auto"/>
                <w:highlight w:val="none"/>
              </w:rPr>
            </w:pPr>
          </w:p>
        </w:tc>
        <w:tc>
          <w:tcPr>
            <w:tcW w:w="2297" w:type="dxa"/>
            <w:gridSpan w:val="2"/>
            <w:noWrap w:val="0"/>
            <w:vAlign w:val="top"/>
          </w:tcPr>
          <w:p w14:paraId="4F7EEEC7">
            <w:pPr>
              <w:spacing w:line="360" w:lineRule="auto"/>
              <w:rPr>
                <w:color w:val="auto"/>
                <w:highlight w:val="none"/>
              </w:rPr>
            </w:pPr>
          </w:p>
        </w:tc>
      </w:tr>
      <w:tr w14:paraId="7613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7B22ED3">
            <w:pPr>
              <w:spacing w:line="360" w:lineRule="auto"/>
              <w:rPr>
                <w:color w:val="auto"/>
                <w:highlight w:val="none"/>
              </w:rPr>
            </w:pPr>
          </w:p>
        </w:tc>
        <w:tc>
          <w:tcPr>
            <w:tcW w:w="3420" w:type="dxa"/>
            <w:gridSpan w:val="4"/>
            <w:noWrap w:val="0"/>
            <w:vAlign w:val="center"/>
          </w:tcPr>
          <w:p w14:paraId="442B6093">
            <w:pPr>
              <w:spacing w:line="360" w:lineRule="auto"/>
              <w:rPr>
                <w:color w:val="auto"/>
                <w:highlight w:val="none"/>
              </w:rPr>
            </w:pPr>
          </w:p>
        </w:tc>
        <w:tc>
          <w:tcPr>
            <w:tcW w:w="1261" w:type="dxa"/>
            <w:noWrap w:val="0"/>
            <w:vAlign w:val="center"/>
          </w:tcPr>
          <w:p w14:paraId="2F7D4E9B">
            <w:pPr>
              <w:spacing w:line="360" w:lineRule="auto"/>
              <w:rPr>
                <w:color w:val="auto"/>
                <w:highlight w:val="none"/>
              </w:rPr>
            </w:pPr>
          </w:p>
        </w:tc>
        <w:tc>
          <w:tcPr>
            <w:tcW w:w="2297" w:type="dxa"/>
            <w:gridSpan w:val="2"/>
            <w:noWrap w:val="0"/>
            <w:vAlign w:val="center"/>
          </w:tcPr>
          <w:p w14:paraId="5CFA7AD9">
            <w:pPr>
              <w:spacing w:line="360" w:lineRule="auto"/>
              <w:rPr>
                <w:color w:val="auto"/>
                <w:highlight w:val="none"/>
              </w:rPr>
            </w:pPr>
          </w:p>
        </w:tc>
      </w:tr>
      <w:tr w14:paraId="4B6A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0DF4974">
            <w:pPr>
              <w:spacing w:line="360" w:lineRule="auto"/>
              <w:rPr>
                <w:color w:val="auto"/>
                <w:highlight w:val="none"/>
              </w:rPr>
            </w:pPr>
          </w:p>
        </w:tc>
        <w:tc>
          <w:tcPr>
            <w:tcW w:w="3420" w:type="dxa"/>
            <w:gridSpan w:val="4"/>
            <w:noWrap w:val="0"/>
            <w:vAlign w:val="center"/>
          </w:tcPr>
          <w:p w14:paraId="32BCD9C3">
            <w:pPr>
              <w:spacing w:line="360" w:lineRule="auto"/>
              <w:rPr>
                <w:color w:val="auto"/>
                <w:highlight w:val="none"/>
              </w:rPr>
            </w:pPr>
          </w:p>
        </w:tc>
        <w:tc>
          <w:tcPr>
            <w:tcW w:w="1261" w:type="dxa"/>
            <w:noWrap w:val="0"/>
            <w:vAlign w:val="center"/>
          </w:tcPr>
          <w:p w14:paraId="0E548818">
            <w:pPr>
              <w:spacing w:line="360" w:lineRule="auto"/>
              <w:rPr>
                <w:color w:val="auto"/>
                <w:highlight w:val="none"/>
              </w:rPr>
            </w:pPr>
          </w:p>
        </w:tc>
        <w:tc>
          <w:tcPr>
            <w:tcW w:w="2297" w:type="dxa"/>
            <w:gridSpan w:val="2"/>
            <w:noWrap w:val="0"/>
            <w:vAlign w:val="center"/>
          </w:tcPr>
          <w:p w14:paraId="3188954F">
            <w:pPr>
              <w:spacing w:line="360" w:lineRule="auto"/>
              <w:rPr>
                <w:color w:val="auto"/>
                <w:highlight w:val="none"/>
              </w:rPr>
            </w:pPr>
          </w:p>
        </w:tc>
      </w:tr>
      <w:tr w14:paraId="24D8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E7A1EC2">
            <w:pPr>
              <w:spacing w:line="360" w:lineRule="auto"/>
              <w:rPr>
                <w:color w:val="auto"/>
                <w:highlight w:val="none"/>
              </w:rPr>
            </w:pPr>
          </w:p>
        </w:tc>
        <w:tc>
          <w:tcPr>
            <w:tcW w:w="3420" w:type="dxa"/>
            <w:gridSpan w:val="4"/>
            <w:noWrap w:val="0"/>
            <w:vAlign w:val="center"/>
          </w:tcPr>
          <w:p w14:paraId="2A3E2BD9">
            <w:pPr>
              <w:spacing w:line="360" w:lineRule="auto"/>
              <w:rPr>
                <w:color w:val="auto"/>
                <w:highlight w:val="none"/>
              </w:rPr>
            </w:pPr>
          </w:p>
        </w:tc>
        <w:tc>
          <w:tcPr>
            <w:tcW w:w="1261" w:type="dxa"/>
            <w:noWrap w:val="0"/>
            <w:vAlign w:val="center"/>
          </w:tcPr>
          <w:p w14:paraId="640222CE">
            <w:pPr>
              <w:spacing w:line="360" w:lineRule="auto"/>
              <w:rPr>
                <w:color w:val="auto"/>
                <w:highlight w:val="none"/>
              </w:rPr>
            </w:pPr>
          </w:p>
        </w:tc>
        <w:tc>
          <w:tcPr>
            <w:tcW w:w="2297" w:type="dxa"/>
            <w:gridSpan w:val="2"/>
            <w:noWrap w:val="0"/>
            <w:vAlign w:val="center"/>
          </w:tcPr>
          <w:p w14:paraId="467EA635">
            <w:pPr>
              <w:spacing w:line="360" w:lineRule="auto"/>
              <w:rPr>
                <w:color w:val="auto"/>
                <w:highlight w:val="none"/>
              </w:rPr>
            </w:pPr>
          </w:p>
        </w:tc>
      </w:tr>
      <w:tr w14:paraId="7741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A309B4D">
            <w:pPr>
              <w:spacing w:line="360" w:lineRule="auto"/>
              <w:rPr>
                <w:color w:val="auto"/>
                <w:highlight w:val="none"/>
              </w:rPr>
            </w:pPr>
          </w:p>
        </w:tc>
        <w:tc>
          <w:tcPr>
            <w:tcW w:w="3420" w:type="dxa"/>
            <w:gridSpan w:val="4"/>
            <w:noWrap w:val="0"/>
            <w:vAlign w:val="center"/>
          </w:tcPr>
          <w:p w14:paraId="2794C25A">
            <w:pPr>
              <w:spacing w:line="360" w:lineRule="auto"/>
              <w:rPr>
                <w:color w:val="auto"/>
                <w:highlight w:val="none"/>
              </w:rPr>
            </w:pPr>
          </w:p>
        </w:tc>
        <w:tc>
          <w:tcPr>
            <w:tcW w:w="1261" w:type="dxa"/>
            <w:noWrap w:val="0"/>
            <w:vAlign w:val="center"/>
          </w:tcPr>
          <w:p w14:paraId="2FED02BD">
            <w:pPr>
              <w:spacing w:line="360" w:lineRule="auto"/>
              <w:rPr>
                <w:color w:val="auto"/>
                <w:highlight w:val="none"/>
              </w:rPr>
            </w:pPr>
          </w:p>
        </w:tc>
        <w:tc>
          <w:tcPr>
            <w:tcW w:w="2297" w:type="dxa"/>
            <w:gridSpan w:val="2"/>
            <w:noWrap w:val="0"/>
            <w:vAlign w:val="center"/>
          </w:tcPr>
          <w:p w14:paraId="27B269FF">
            <w:pPr>
              <w:spacing w:line="360" w:lineRule="auto"/>
              <w:rPr>
                <w:color w:val="auto"/>
                <w:highlight w:val="none"/>
              </w:rPr>
            </w:pPr>
          </w:p>
        </w:tc>
      </w:tr>
    </w:tbl>
    <w:p w14:paraId="41C3294C">
      <w:pPr>
        <w:spacing w:line="360" w:lineRule="auto"/>
        <w:jc w:val="left"/>
        <w:rPr>
          <w:rFonts w:ascii="宋体"/>
          <w:color w:val="auto"/>
          <w:highlight w:val="none"/>
        </w:rPr>
      </w:pPr>
      <w:r>
        <w:rPr>
          <w:rFonts w:hint="eastAsia" w:ascii="宋体" w:hAnsi="宋体" w:cs="宋体"/>
          <w:color w:val="auto"/>
          <w:highlight w:val="none"/>
        </w:rPr>
        <w:br w:type="page"/>
      </w:r>
    </w:p>
    <w:p w14:paraId="6536E50B">
      <w:pPr>
        <w:pStyle w:val="5"/>
        <w:bidi w:val="0"/>
        <w:spacing w:line="360" w:lineRule="auto"/>
        <w:rPr>
          <w:color w:val="auto"/>
          <w:highlight w:val="none"/>
        </w:rPr>
      </w:pPr>
      <w:bookmarkStart w:id="1829" w:name="_Toc482188666"/>
      <w:bookmarkStart w:id="1830" w:name="_Toc28381"/>
      <w:bookmarkStart w:id="1831" w:name="_Toc17881"/>
      <w:bookmarkStart w:id="1832" w:name="_Toc3887"/>
      <w:bookmarkStart w:id="1833" w:name="_Toc29016"/>
      <w:bookmarkStart w:id="1834" w:name="_Toc5796"/>
      <w:bookmarkStart w:id="1835" w:name="_Toc7004"/>
      <w:bookmarkStart w:id="1836" w:name="_Toc15796"/>
      <w:bookmarkStart w:id="1837" w:name="_Toc59200725"/>
      <w:bookmarkStart w:id="1838" w:name="_Toc4530"/>
      <w:bookmarkStart w:id="1839" w:name="_Toc7727"/>
      <w:bookmarkStart w:id="1840" w:name="_Toc526786522"/>
      <w:bookmarkStart w:id="1841" w:name="_Toc25705"/>
      <w:bookmarkStart w:id="1842" w:name="_Toc25162"/>
      <w:bookmarkStart w:id="1843" w:name="_Toc5860"/>
      <w:bookmarkStart w:id="1844" w:name="_Toc27775"/>
      <w:r>
        <w:rPr>
          <w:rFonts w:hint="eastAsia"/>
          <w:color w:val="auto"/>
          <w:highlight w:val="none"/>
        </w:rPr>
        <w:t>（</w:t>
      </w:r>
      <w:r>
        <w:rPr>
          <w:rFonts w:hint="eastAsia"/>
          <w:color w:val="auto"/>
          <w:highlight w:val="none"/>
          <w:lang w:eastAsia="zh-CN"/>
        </w:rPr>
        <w:t>六</w:t>
      </w:r>
      <w:r>
        <w:rPr>
          <w:rFonts w:hint="eastAsia"/>
          <w:color w:val="auto"/>
          <w:highlight w:val="none"/>
        </w:rPr>
        <w:t>）拟投入本项目的主要</w:t>
      </w:r>
      <w:bookmarkEnd w:id="1829"/>
      <w:r>
        <w:rPr>
          <w:rFonts w:hint="eastAsia"/>
          <w:color w:val="auto"/>
          <w:highlight w:val="none"/>
        </w:rPr>
        <w:t>试验检测仪器设备表</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1DE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066CE40B">
            <w:pPr>
              <w:spacing w:line="360" w:lineRule="auto"/>
              <w:rPr>
                <w:color w:val="auto"/>
                <w:szCs w:val="21"/>
                <w:highlight w:val="none"/>
              </w:rPr>
            </w:pPr>
            <w:r>
              <w:rPr>
                <w:rFonts w:hint="eastAsia"/>
                <w:color w:val="auto"/>
                <w:szCs w:val="21"/>
                <w:highlight w:val="none"/>
              </w:rPr>
              <w:t>序号</w:t>
            </w:r>
          </w:p>
        </w:tc>
        <w:tc>
          <w:tcPr>
            <w:tcW w:w="1275" w:type="dxa"/>
            <w:noWrap w:val="0"/>
            <w:vAlign w:val="center"/>
          </w:tcPr>
          <w:p w14:paraId="28CCBC39">
            <w:pPr>
              <w:spacing w:line="360" w:lineRule="auto"/>
              <w:jc w:val="center"/>
              <w:rPr>
                <w:color w:val="auto"/>
                <w:szCs w:val="21"/>
                <w:highlight w:val="none"/>
              </w:rPr>
            </w:pPr>
            <w:r>
              <w:rPr>
                <w:rFonts w:hint="eastAsia"/>
                <w:color w:val="auto"/>
                <w:szCs w:val="21"/>
                <w:highlight w:val="none"/>
              </w:rPr>
              <w:t>仪器设备</w:t>
            </w:r>
          </w:p>
          <w:p w14:paraId="41BB06F9">
            <w:pPr>
              <w:spacing w:line="360" w:lineRule="auto"/>
              <w:jc w:val="center"/>
              <w:rPr>
                <w:color w:val="auto"/>
                <w:szCs w:val="21"/>
                <w:highlight w:val="none"/>
              </w:rPr>
            </w:pPr>
            <w:r>
              <w:rPr>
                <w:rFonts w:hint="eastAsia"/>
                <w:color w:val="auto"/>
                <w:szCs w:val="21"/>
                <w:highlight w:val="none"/>
              </w:rPr>
              <w:t>名称</w:t>
            </w:r>
          </w:p>
        </w:tc>
        <w:tc>
          <w:tcPr>
            <w:tcW w:w="936" w:type="dxa"/>
            <w:noWrap w:val="0"/>
            <w:vAlign w:val="center"/>
          </w:tcPr>
          <w:p w14:paraId="18367223">
            <w:pPr>
              <w:spacing w:line="360" w:lineRule="auto"/>
              <w:jc w:val="center"/>
              <w:rPr>
                <w:color w:val="auto"/>
                <w:szCs w:val="21"/>
                <w:highlight w:val="none"/>
              </w:rPr>
            </w:pPr>
            <w:r>
              <w:rPr>
                <w:rFonts w:hint="eastAsia"/>
                <w:color w:val="auto"/>
                <w:szCs w:val="21"/>
                <w:highlight w:val="none"/>
              </w:rPr>
              <w:t>型号</w:t>
            </w:r>
          </w:p>
          <w:p w14:paraId="0B922D21">
            <w:pPr>
              <w:spacing w:line="360" w:lineRule="auto"/>
              <w:jc w:val="center"/>
              <w:rPr>
                <w:color w:val="auto"/>
                <w:szCs w:val="21"/>
                <w:highlight w:val="none"/>
              </w:rPr>
            </w:pPr>
            <w:r>
              <w:rPr>
                <w:rFonts w:hint="eastAsia"/>
                <w:color w:val="auto"/>
                <w:szCs w:val="21"/>
                <w:highlight w:val="none"/>
              </w:rPr>
              <w:t>规格</w:t>
            </w:r>
          </w:p>
        </w:tc>
        <w:tc>
          <w:tcPr>
            <w:tcW w:w="747" w:type="dxa"/>
            <w:noWrap w:val="0"/>
            <w:vAlign w:val="center"/>
          </w:tcPr>
          <w:p w14:paraId="2777CFC5">
            <w:pPr>
              <w:spacing w:line="360" w:lineRule="auto"/>
              <w:jc w:val="center"/>
              <w:rPr>
                <w:color w:val="auto"/>
                <w:szCs w:val="21"/>
                <w:highlight w:val="none"/>
              </w:rPr>
            </w:pPr>
            <w:r>
              <w:rPr>
                <w:rFonts w:hint="eastAsia"/>
                <w:color w:val="auto"/>
                <w:szCs w:val="21"/>
                <w:highlight w:val="none"/>
              </w:rPr>
              <w:t>数量</w:t>
            </w:r>
          </w:p>
        </w:tc>
        <w:tc>
          <w:tcPr>
            <w:tcW w:w="850" w:type="dxa"/>
            <w:noWrap w:val="0"/>
            <w:vAlign w:val="center"/>
          </w:tcPr>
          <w:p w14:paraId="11EE22D4">
            <w:pPr>
              <w:spacing w:line="360" w:lineRule="auto"/>
              <w:jc w:val="center"/>
              <w:rPr>
                <w:color w:val="auto"/>
                <w:szCs w:val="21"/>
                <w:highlight w:val="none"/>
              </w:rPr>
            </w:pPr>
            <w:r>
              <w:rPr>
                <w:rFonts w:hint="eastAsia"/>
                <w:color w:val="auto"/>
                <w:szCs w:val="21"/>
                <w:highlight w:val="none"/>
              </w:rPr>
              <w:t>国别</w:t>
            </w:r>
          </w:p>
          <w:p w14:paraId="0235D4FF">
            <w:pPr>
              <w:spacing w:line="360" w:lineRule="auto"/>
              <w:jc w:val="center"/>
              <w:rPr>
                <w:color w:val="auto"/>
                <w:szCs w:val="21"/>
                <w:highlight w:val="none"/>
              </w:rPr>
            </w:pPr>
            <w:r>
              <w:rPr>
                <w:rFonts w:hint="eastAsia"/>
                <w:color w:val="auto"/>
                <w:szCs w:val="21"/>
                <w:highlight w:val="none"/>
              </w:rPr>
              <w:t>产地</w:t>
            </w:r>
          </w:p>
        </w:tc>
        <w:tc>
          <w:tcPr>
            <w:tcW w:w="992" w:type="dxa"/>
            <w:noWrap w:val="0"/>
            <w:vAlign w:val="center"/>
          </w:tcPr>
          <w:p w14:paraId="3655BA4A">
            <w:pPr>
              <w:spacing w:line="360" w:lineRule="auto"/>
              <w:jc w:val="center"/>
              <w:rPr>
                <w:color w:val="auto"/>
                <w:szCs w:val="21"/>
                <w:highlight w:val="none"/>
              </w:rPr>
            </w:pPr>
            <w:r>
              <w:rPr>
                <w:rFonts w:hint="eastAsia"/>
                <w:color w:val="auto"/>
                <w:szCs w:val="21"/>
                <w:highlight w:val="none"/>
              </w:rPr>
              <w:t>制造</w:t>
            </w:r>
          </w:p>
          <w:p w14:paraId="33FECA95">
            <w:pPr>
              <w:spacing w:line="360" w:lineRule="auto"/>
              <w:jc w:val="center"/>
              <w:rPr>
                <w:color w:val="auto"/>
                <w:szCs w:val="21"/>
                <w:highlight w:val="none"/>
              </w:rPr>
            </w:pPr>
            <w:r>
              <w:rPr>
                <w:rFonts w:hint="eastAsia"/>
                <w:color w:val="auto"/>
                <w:szCs w:val="21"/>
                <w:highlight w:val="none"/>
              </w:rPr>
              <w:t>年份</w:t>
            </w:r>
          </w:p>
        </w:tc>
        <w:tc>
          <w:tcPr>
            <w:tcW w:w="1419" w:type="dxa"/>
            <w:noWrap w:val="0"/>
            <w:vAlign w:val="center"/>
          </w:tcPr>
          <w:p w14:paraId="61F4D4B5">
            <w:pPr>
              <w:spacing w:line="360" w:lineRule="auto"/>
              <w:jc w:val="center"/>
              <w:rPr>
                <w:color w:val="auto"/>
                <w:szCs w:val="21"/>
                <w:highlight w:val="none"/>
              </w:rPr>
            </w:pPr>
            <w:r>
              <w:rPr>
                <w:rFonts w:hint="eastAsia"/>
                <w:color w:val="auto"/>
                <w:szCs w:val="21"/>
                <w:highlight w:val="none"/>
              </w:rPr>
              <w:t>用途</w:t>
            </w:r>
          </w:p>
        </w:tc>
        <w:tc>
          <w:tcPr>
            <w:tcW w:w="1162" w:type="dxa"/>
            <w:noWrap w:val="0"/>
            <w:vAlign w:val="center"/>
          </w:tcPr>
          <w:p w14:paraId="75797AAB">
            <w:pPr>
              <w:spacing w:line="360" w:lineRule="auto"/>
              <w:jc w:val="center"/>
              <w:rPr>
                <w:color w:val="auto"/>
                <w:szCs w:val="21"/>
                <w:highlight w:val="none"/>
              </w:rPr>
            </w:pPr>
            <w:r>
              <w:rPr>
                <w:rFonts w:hint="eastAsia"/>
                <w:color w:val="auto"/>
                <w:szCs w:val="21"/>
                <w:highlight w:val="none"/>
              </w:rPr>
              <w:t>备注</w:t>
            </w:r>
          </w:p>
        </w:tc>
      </w:tr>
      <w:tr w14:paraId="604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B7D2663">
            <w:pPr>
              <w:spacing w:line="360" w:lineRule="auto"/>
              <w:jc w:val="center"/>
              <w:rPr>
                <w:color w:val="auto"/>
                <w:szCs w:val="21"/>
                <w:highlight w:val="none"/>
              </w:rPr>
            </w:pPr>
            <w:r>
              <w:rPr>
                <w:rFonts w:hint="eastAsia" w:ascii="宋体" w:hAnsi="宋体" w:cs="宋体"/>
                <w:color w:val="auto"/>
                <w:szCs w:val="21"/>
                <w:highlight w:val="none"/>
              </w:rPr>
              <w:t>1</w:t>
            </w:r>
          </w:p>
        </w:tc>
        <w:tc>
          <w:tcPr>
            <w:tcW w:w="1275" w:type="dxa"/>
            <w:noWrap w:val="0"/>
            <w:vAlign w:val="center"/>
          </w:tcPr>
          <w:p w14:paraId="2445B882">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水准仪</w:t>
            </w:r>
          </w:p>
        </w:tc>
        <w:tc>
          <w:tcPr>
            <w:tcW w:w="936" w:type="dxa"/>
            <w:noWrap w:val="0"/>
            <w:vAlign w:val="center"/>
          </w:tcPr>
          <w:p w14:paraId="5E7FB836">
            <w:pPr>
              <w:spacing w:line="360" w:lineRule="auto"/>
              <w:jc w:val="center"/>
              <w:rPr>
                <w:color w:val="auto"/>
                <w:szCs w:val="21"/>
                <w:highlight w:val="none"/>
              </w:rPr>
            </w:pPr>
          </w:p>
        </w:tc>
        <w:tc>
          <w:tcPr>
            <w:tcW w:w="747" w:type="dxa"/>
            <w:noWrap w:val="0"/>
            <w:vAlign w:val="center"/>
          </w:tcPr>
          <w:p w14:paraId="6721441F">
            <w:pPr>
              <w:spacing w:line="360" w:lineRule="auto"/>
              <w:jc w:val="center"/>
              <w:rPr>
                <w:color w:val="auto"/>
                <w:szCs w:val="21"/>
                <w:highlight w:val="none"/>
              </w:rPr>
            </w:pPr>
          </w:p>
        </w:tc>
        <w:tc>
          <w:tcPr>
            <w:tcW w:w="850" w:type="dxa"/>
            <w:noWrap w:val="0"/>
            <w:vAlign w:val="center"/>
          </w:tcPr>
          <w:p w14:paraId="092FB380">
            <w:pPr>
              <w:spacing w:line="360" w:lineRule="auto"/>
              <w:jc w:val="center"/>
              <w:rPr>
                <w:color w:val="auto"/>
                <w:szCs w:val="21"/>
                <w:highlight w:val="none"/>
              </w:rPr>
            </w:pPr>
          </w:p>
        </w:tc>
        <w:tc>
          <w:tcPr>
            <w:tcW w:w="992" w:type="dxa"/>
            <w:noWrap w:val="0"/>
            <w:vAlign w:val="center"/>
          </w:tcPr>
          <w:p w14:paraId="1A26A1A7">
            <w:pPr>
              <w:spacing w:line="360" w:lineRule="auto"/>
              <w:jc w:val="center"/>
              <w:rPr>
                <w:color w:val="auto"/>
                <w:szCs w:val="21"/>
                <w:highlight w:val="none"/>
              </w:rPr>
            </w:pPr>
          </w:p>
        </w:tc>
        <w:tc>
          <w:tcPr>
            <w:tcW w:w="1419" w:type="dxa"/>
            <w:noWrap w:val="0"/>
            <w:vAlign w:val="center"/>
          </w:tcPr>
          <w:p w14:paraId="56F74506">
            <w:pPr>
              <w:spacing w:line="360" w:lineRule="auto"/>
              <w:jc w:val="center"/>
              <w:rPr>
                <w:color w:val="auto"/>
                <w:szCs w:val="21"/>
                <w:highlight w:val="none"/>
              </w:rPr>
            </w:pPr>
          </w:p>
        </w:tc>
        <w:tc>
          <w:tcPr>
            <w:tcW w:w="1162" w:type="dxa"/>
            <w:noWrap w:val="0"/>
            <w:vAlign w:val="center"/>
          </w:tcPr>
          <w:p w14:paraId="6A550961">
            <w:pPr>
              <w:spacing w:line="360" w:lineRule="auto"/>
              <w:jc w:val="center"/>
              <w:rPr>
                <w:color w:val="auto"/>
                <w:szCs w:val="21"/>
                <w:highlight w:val="none"/>
              </w:rPr>
            </w:pPr>
          </w:p>
        </w:tc>
      </w:tr>
      <w:tr w14:paraId="0D95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952782C">
            <w:pPr>
              <w:spacing w:line="360" w:lineRule="auto"/>
              <w:jc w:val="center"/>
              <w:rPr>
                <w:color w:val="auto"/>
                <w:szCs w:val="21"/>
                <w:highlight w:val="none"/>
              </w:rPr>
            </w:pPr>
            <w:r>
              <w:rPr>
                <w:rFonts w:hint="eastAsia" w:ascii="宋体" w:hAnsi="宋体" w:cs="宋体"/>
                <w:color w:val="auto"/>
                <w:szCs w:val="21"/>
                <w:highlight w:val="none"/>
              </w:rPr>
              <w:t>2</w:t>
            </w:r>
          </w:p>
        </w:tc>
        <w:tc>
          <w:tcPr>
            <w:tcW w:w="1275" w:type="dxa"/>
            <w:noWrap w:val="0"/>
            <w:vAlign w:val="center"/>
          </w:tcPr>
          <w:p w14:paraId="5BE1428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经纬仪</w:t>
            </w:r>
          </w:p>
        </w:tc>
        <w:tc>
          <w:tcPr>
            <w:tcW w:w="936" w:type="dxa"/>
            <w:noWrap w:val="0"/>
            <w:vAlign w:val="center"/>
          </w:tcPr>
          <w:p w14:paraId="4540CEF4">
            <w:pPr>
              <w:spacing w:line="360" w:lineRule="auto"/>
              <w:jc w:val="center"/>
              <w:rPr>
                <w:color w:val="auto"/>
                <w:szCs w:val="21"/>
                <w:highlight w:val="none"/>
              </w:rPr>
            </w:pPr>
          </w:p>
        </w:tc>
        <w:tc>
          <w:tcPr>
            <w:tcW w:w="747" w:type="dxa"/>
            <w:noWrap w:val="0"/>
            <w:vAlign w:val="center"/>
          </w:tcPr>
          <w:p w14:paraId="1FF2F1CB">
            <w:pPr>
              <w:spacing w:line="360" w:lineRule="auto"/>
              <w:jc w:val="center"/>
              <w:rPr>
                <w:color w:val="auto"/>
                <w:szCs w:val="21"/>
                <w:highlight w:val="none"/>
              </w:rPr>
            </w:pPr>
          </w:p>
        </w:tc>
        <w:tc>
          <w:tcPr>
            <w:tcW w:w="850" w:type="dxa"/>
            <w:noWrap w:val="0"/>
            <w:vAlign w:val="center"/>
          </w:tcPr>
          <w:p w14:paraId="54E9389E">
            <w:pPr>
              <w:spacing w:line="360" w:lineRule="auto"/>
              <w:jc w:val="center"/>
              <w:rPr>
                <w:color w:val="auto"/>
                <w:szCs w:val="21"/>
                <w:highlight w:val="none"/>
              </w:rPr>
            </w:pPr>
          </w:p>
        </w:tc>
        <w:tc>
          <w:tcPr>
            <w:tcW w:w="992" w:type="dxa"/>
            <w:noWrap w:val="0"/>
            <w:vAlign w:val="center"/>
          </w:tcPr>
          <w:p w14:paraId="3833C339">
            <w:pPr>
              <w:spacing w:line="360" w:lineRule="auto"/>
              <w:jc w:val="center"/>
              <w:rPr>
                <w:color w:val="auto"/>
                <w:szCs w:val="21"/>
                <w:highlight w:val="none"/>
              </w:rPr>
            </w:pPr>
          </w:p>
        </w:tc>
        <w:tc>
          <w:tcPr>
            <w:tcW w:w="1419" w:type="dxa"/>
            <w:noWrap w:val="0"/>
            <w:vAlign w:val="center"/>
          </w:tcPr>
          <w:p w14:paraId="0CB483D2">
            <w:pPr>
              <w:spacing w:line="360" w:lineRule="auto"/>
              <w:jc w:val="center"/>
              <w:rPr>
                <w:color w:val="auto"/>
                <w:szCs w:val="21"/>
                <w:highlight w:val="none"/>
              </w:rPr>
            </w:pPr>
          </w:p>
        </w:tc>
        <w:tc>
          <w:tcPr>
            <w:tcW w:w="1162" w:type="dxa"/>
            <w:noWrap w:val="0"/>
            <w:vAlign w:val="center"/>
          </w:tcPr>
          <w:p w14:paraId="15B64FBB">
            <w:pPr>
              <w:spacing w:line="360" w:lineRule="auto"/>
              <w:jc w:val="center"/>
              <w:rPr>
                <w:color w:val="auto"/>
                <w:szCs w:val="21"/>
                <w:highlight w:val="none"/>
              </w:rPr>
            </w:pPr>
          </w:p>
        </w:tc>
      </w:tr>
      <w:tr w14:paraId="17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A7A1703">
            <w:pPr>
              <w:spacing w:line="360" w:lineRule="auto"/>
              <w:jc w:val="center"/>
              <w:rPr>
                <w:color w:val="auto"/>
                <w:szCs w:val="21"/>
                <w:highlight w:val="none"/>
              </w:rPr>
            </w:pPr>
            <w:r>
              <w:rPr>
                <w:rFonts w:hint="eastAsia" w:ascii="宋体" w:hAnsi="宋体" w:cs="宋体"/>
                <w:color w:val="auto"/>
                <w:szCs w:val="21"/>
                <w:highlight w:val="none"/>
              </w:rPr>
              <w:t>3</w:t>
            </w:r>
          </w:p>
        </w:tc>
        <w:tc>
          <w:tcPr>
            <w:tcW w:w="1275" w:type="dxa"/>
            <w:noWrap w:val="0"/>
            <w:vAlign w:val="center"/>
          </w:tcPr>
          <w:p w14:paraId="25DC2C4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全站仪</w:t>
            </w:r>
          </w:p>
        </w:tc>
        <w:tc>
          <w:tcPr>
            <w:tcW w:w="936" w:type="dxa"/>
            <w:noWrap w:val="0"/>
            <w:vAlign w:val="top"/>
          </w:tcPr>
          <w:p w14:paraId="47C43093">
            <w:pPr>
              <w:spacing w:line="360" w:lineRule="auto"/>
              <w:jc w:val="center"/>
              <w:rPr>
                <w:color w:val="auto"/>
                <w:szCs w:val="21"/>
                <w:highlight w:val="none"/>
              </w:rPr>
            </w:pPr>
          </w:p>
        </w:tc>
        <w:tc>
          <w:tcPr>
            <w:tcW w:w="747" w:type="dxa"/>
            <w:noWrap w:val="0"/>
            <w:vAlign w:val="top"/>
          </w:tcPr>
          <w:p w14:paraId="5439040E">
            <w:pPr>
              <w:spacing w:line="360" w:lineRule="auto"/>
              <w:jc w:val="center"/>
              <w:rPr>
                <w:color w:val="auto"/>
                <w:szCs w:val="21"/>
                <w:highlight w:val="none"/>
              </w:rPr>
            </w:pPr>
          </w:p>
        </w:tc>
        <w:tc>
          <w:tcPr>
            <w:tcW w:w="850" w:type="dxa"/>
            <w:noWrap w:val="0"/>
            <w:vAlign w:val="top"/>
          </w:tcPr>
          <w:p w14:paraId="342E916F">
            <w:pPr>
              <w:spacing w:line="360" w:lineRule="auto"/>
              <w:jc w:val="center"/>
              <w:rPr>
                <w:color w:val="auto"/>
                <w:szCs w:val="21"/>
                <w:highlight w:val="none"/>
              </w:rPr>
            </w:pPr>
          </w:p>
        </w:tc>
        <w:tc>
          <w:tcPr>
            <w:tcW w:w="992" w:type="dxa"/>
            <w:noWrap w:val="0"/>
            <w:vAlign w:val="top"/>
          </w:tcPr>
          <w:p w14:paraId="11BC0111">
            <w:pPr>
              <w:spacing w:line="360" w:lineRule="auto"/>
              <w:jc w:val="center"/>
              <w:rPr>
                <w:color w:val="auto"/>
                <w:szCs w:val="21"/>
                <w:highlight w:val="none"/>
              </w:rPr>
            </w:pPr>
          </w:p>
        </w:tc>
        <w:tc>
          <w:tcPr>
            <w:tcW w:w="1419" w:type="dxa"/>
            <w:noWrap w:val="0"/>
            <w:vAlign w:val="top"/>
          </w:tcPr>
          <w:p w14:paraId="2834E787">
            <w:pPr>
              <w:spacing w:line="360" w:lineRule="auto"/>
              <w:jc w:val="center"/>
              <w:rPr>
                <w:color w:val="auto"/>
                <w:szCs w:val="21"/>
                <w:highlight w:val="none"/>
              </w:rPr>
            </w:pPr>
          </w:p>
        </w:tc>
        <w:tc>
          <w:tcPr>
            <w:tcW w:w="1162" w:type="dxa"/>
            <w:noWrap w:val="0"/>
            <w:vAlign w:val="top"/>
          </w:tcPr>
          <w:p w14:paraId="260FF088">
            <w:pPr>
              <w:spacing w:line="360" w:lineRule="auto"/>
              <w:jc w:val="center"/>
              <w:rPr>
                <w:color w:val="auto"/>
                <w:szCs w:val="21"/>
                <w:highlight w:val="none"/>
              </w:rPr>
            </w:pPr>
          </w:p>
        </w:tc>
      </w:tr>
      <w:tr w14:paraId="2FD0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B6B8C33">
            <w:pPr>
              <w:spacing w:line="360" w:lineRule="auto"/>
              <w:jc w:val="center"/>
              <w:rPr>
                <w:color w:val="auto"/>
                <w:szCs w:val="21"/>
                <w:highlight w:val="none"/>
              </w:rPr>
            </w:pPr>
            <w:r>
              <w:rPr>
                <w:rFonts w:hint="eastAsia" w:ascii="宋体" w:hAnsi="宋体" w:cs="宋体"/>
                <w:color w:val="auto"/>
                <w:szCs w:val="21"/>
                <w:highlight w:val="none"/>
              </w:rPr>
              <w:t>4</w:t>
            </w:r>
          </w:p>
        </w:tc>
        <w:tc>
          <w:tcPr>
            <w:tcW w:w="1275" w:type="dxa"/>
            <w:noWrap w:val="0"/>
            <w:vAlign w:val="top"/>
          </w:tcPr>
          <w:p w14:paraId="1DF6574D">
            <w:pPr>
              <w:spacing w:line="360" w:lineRule="auto"/>
              <w:jc w:val="center"/>
              <w:rPr>
                <w:color w:val="auto"/>
                <w:szCs w:val="21"/>
                <w:highlight w:val="none"/>
              </w:rPr>
            </w:pPr>
            <w:r>
              <w:rPr>
                <w:rFonts w:hint="eastAsia" w:ascii="宋体" w:hAnsi="宋体"/>
                <w:color w:val="auto"/>
                <w:szCs w:val="21"/>
                <w:highlight w:val="none"/>
              </w:rPr>
              <w:t>卷尺</w:t>
            </w:r>
          </w:p>
        </w:tc>
        <w:tc>
          <w:tcPr>
            <w:tcW w:w="936" w:type="dxa"/>
            <w:noWrap w:val="0"/>
            <w:vAlign w:val="top"/>
          </w:tcPr>
          <w:p w14:paraId="11765B6D">
            <w:pPr>
              <w:spacing w:line="360" w:lineRule="auto"/>
              <w:jc w:val="center"/>
              <w:rPr>
                <w:color w:val="auto"/>
                <w:szCs w:val="21"/>
                <w:highlight w:val="none"/>
              </w:rPr>
            </w:pPr>
          </w:p>
        </w:tc>
        <w:tc>
          <w:tcPr>
            <w:tcW w:w="747" w:type="dxa"/>
            <w:noWrap w:val="0"/>
            <w:vAlign w:val="top"/>
          </w:tcPr>
          <w:p w14:paraId="34A6A80C">
            <w:pPr>
              <w:spacing w:line="360" w:lineRule="auto"/>
              <w:jc w:val="center"/>
              <w:rPr>
                <w:color w:val="auto"/>
                <w:szCs w:val="21"/>
                <w:highlight w:val="none"/>
              </w:rPr>
            </w:pPr>
          </w:p>
        </w:tc>
        <w:tc>
          <w:tcPr>
            <w:tcW w:w="850" w:type="dxa"/>
            <w:noWrap w:val="0"/>
            <w:vAlign w:val="top"/>
          </w:tcPr>
          <w:p w14:paraId="13359795">
            <w:pPr>
              <w:spacing w:line="360" w:lineRule="auto"/>
              <w:jc w:val="center"/>
              <w:rPr>
                <w:color w:val="auto"/>
                <w:szCs w:val="21"/>
                <w:highlight w:val="none"/>
              </w:rPr>
            </w:pPr>
          </w:p>
        </w:tc>
        <w:tc>
          <w:tcPr>
            <w:tcW w:w="992" w:type="dxa"/>
            <w:noWrap w:val="0"/>
            <w:vAlign w:val="top"/>
          </w:tcPr>
          <w:p w14:paraId="4DB5B0A4">
            <w:pPr>
              <w:spacing w:line="360" w:lineRule="auto"/>
              <w:jc w:val="center"/>
              <w:rPr>
                <w:color w:val="auto"/>
                <w:szCs w:val="21"/>
                <w:highlight w:val="none"/>
              </w:rPr>
            </w:pPr>
          </w:p>
        </w:tc>
        <w:tc>
          <w:tcPr>
            <w:tcW w:w="1419" w:type="dxa"/>
            <w:noWrap w:val="0"/>
            <w:vAlign w:val="top"/>
          </w:tcPr>
          <w:p w14:paraId="37E0B962">
            <w:pPr>
              <w:spacing w:line="360" w:lineRule="auto"/>
              <w:jc w:val="center"/>
              <w:rPr>
                <w:color w:val="auto"/>
                <w:szCs w:val="21"/>
                <w:highlight w:val="none"/>
              </w:rPr>
            </w:pPr>
          </w:p>
        </w:tc>
        <w:tc>
          <w:tcPr>
            <w:tcW w:w="1162" w:type="dxa"/>
            <w:noWrap w:val="0"/>
            <w:vAlign w:val="top"/>
          </w:tcPr>
          <w:p w14:paraId="1BFBEEFD">
            <w:pPr>
              <w:spacing w:line="360" w:lineRule="auto"/>
              <w:jc w:val="center"/>
              <w:rPr>
                <w:color w:val="auto"/>
                <w:szCs w:val="21"/>
                <w:highlight w:val="none"/>
              </w:rPr>
            </w:pPr>
          </w:p>
        </w:tc>
      </w:tr>
      <w:tr w14:paraId="29C9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3E74CBE5">
            <w:pPr>
              <w:spacing w:line="360" w:lineRule="auto"/>
              <w:jc w:val="center"/>
              <w:rPr>
                <w:color w:val="auto"/>
                <w:szCs w:val="21"/>
                <w:highlight w:val="none"/>
              </w:rPr>
            </w:pPr>
            <w:r>
              <w:rPr>
                <w:rFonts w:hint="eastAsia" w:ascii="宋体" w:hAnsi="宋体" w:cs="宋体"/>
                <w:color w:val="auto"/>
                <w:szCs w:val="21"/>
                <w:highlight w:val="none"/>
              </w:rPr>
              <w:t>5</w:t>
            </w:r>
          </w:p>
        </w:tc>
        <w:tc>
          <w:tcPr>
            <w:tcW w:w="1275" w:type="dxa"/>
            <w:noWrap w:val="0"/>
            <w:vAlign w:val="top"/>
          </w:tcPr>
          <w:p w14:paraId="4FC3AD6D">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钢尺</w:t>
            </w:r>
          </w:p>
        </w:tc>
        <w:tc>
          <w:tcPr>
            <w:tcW w:w="936" w:type="dxa"/>
            <w:noWrap w:val="0"/>
            <w:vAlign w:val="top"/>
          </w:tcPr>
          <w:p w14:paraId="0180B6AB">
            <w:pPr>
              <w:spacing w:line="360" w:lineRule="auto"/>
              <w:jc w:val="center"/>
              <w:rPr>
                <w:color w:val="auto"/>
                <w:szCs w:val="21"/>
                <w:highlight w:val="none"/>
              </w:rPr>
            </w:pPr>
          </w:p>
        </w:tc>
        <w:tc>
          <w:tcPr>
            <w:tcW w:w="747" w:type="dxa"/>
            <w:noWrap w:val="0"/>
            <w:vAlign w:val="top"/>
          </w:tcPr>
          <w:p w14:paraId="609B6E0B">
            <w:pPr>
              <w:spacing w:line="360" w:lineRule="auto"/>
              <w:jc w:val="center"/>
              <w:rPr>
                <w:color w:val="auto"/>
                <w:szCs w:val="21"/>
                <w:highlight w:val="none"/>
              </w:rPr>
            </w:pPr>
          </w:p>
        </w:tc>
        <w:tc>
          <w:tcPr>
            <w:tcW w:w="850" w:type="dxa"/>
            <w:noWrap w:val="0"/>
            <w:vAlign w:val="top"/>
          </w:tcPr>
          <w:p w14:paraId="6596FA55">
            <w:pPr>
              <w:spacing w:line="360" w:lineRule="auto"/>
              <w:jc w:val="center"/>
              <w:rPr>
                <w:color w:val="auto"/>
                <w:szCs w:val="21"/>
                <w:highlight w:val="none"/>
              </w:rPr>
            </w:pPr>
          </w:p>
        </w:tc>
        <w:tc>
          <w:tcPr>
            <w:tcW w:w="992" w:type="dxa"/>
            <w:noWrap w:val="0"/>
            <w:vAlign w:val="top"/>
          </w:tcPr>
          <w:p w14:paraId="58A7DDD5">
            <w:pPr>
              <w:spacing w:line="360" w:lineRule="auto"/>
              <w:jc w:val="center"/>
              <w:rPr>
                <w:color w:val="auto"/>
                <w:szCs w:val="21"/>
                <w:highlight w:val="none"/>
              </w:rPr>
            </w:pPr>
          </w:p>
        </w:tc>
        <w:tc>
          <w:tcPr>
            <w:tcW w:w="1419" w:type="dxa"/>
            <w:noWrap w:val="0"/>
            <w:vAlign w:val="top"/>
          </w:tcPr>
          <w:p w14:paraId="5AD98636">
            <w:pPr>
              <w:spacing w:line="360" w:lineRule="auto"/>
              <w:jc w:val="center"/>
              <w:rPr>
                <w:color w:val="auto"/>
                <w:szCs w:val="21"/>
                <w:highlight w:val="none"/>
              </w:rPr>
            </w:pPr>
          </w:p>
        </w:tc>
        <w:tc>
          <w:tcPr>
            <w:tcW w:w="1162" w:type="dxa"/>
            <w:noWrap w:val="0"/>
            <w:vAlign w:val="top"/>
          </w:tcPr>
          <w:p w14:paraId="72F8012D">
            <w:pPr>
              <w:spacing w:line="360" w:lineRule="auto"/>
              <w:jc w:val="center"/>
              <w:rPr>
                <w:color w:val="auto"/>
                <w:szCs w:val="21"/>
                <w:highlight w:val="none"/>
              </w:rPr>
            </w:pPr>
          </w:p>
        </w:tc>
      </w:tr>
      <w:tr w14:paraId="2AD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31AD077">
            <w:pPr>
              <w:spacing w:line="360" w:lineRule="auto"/>
              <w:jc w:val="center"/>
              <w:rPr>
                <w:color w:val="auto"/>
                <w:szCs w:val="21"/>
                <w:highlight w:val="none"/>
              </w:rPr>
            </w:pPr>
            <w:r>
              <w:rPr>
                <w:rFonts w:hint="eastAsia" w:ascii="宋体" w:hAnsi="宋体" w:cs="宋体"/>
                <w:color w:val="auto"/>
                <w:szCs w:val="21"/>
                <w:highlight w:val="none"/>
              </w:rPr>
              <w:t>6</w:t>
            </w:r>
          </w:p>
        </w:tc>
        <w:tc>
          <w:tcPr>
            <w:tcW w:w="1275" w:type="dxa"/>
            <w:noWrap w:val="0"/>
            <w:vAlign w:val="center"/>
          </w:tcPr>
          <w:p w14:paraId="041370C6">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4"/>
                <w:highlight w:val="none"/>
              </w:rPr>
              <w:t>响鼓锤</w:t>
            </w:r>
          </w:p>
        </w:tc>
        <w:tc>
          <w:tcPr>
            <w:tcW w:w="936" w:type="dxa"/>
            <w:noWrap w:val="0"/>
            <w:vAlign w:val="top"/>
          </w:tcPr>
          <w:p w14:paraId="05412913">
            <w:pPr>
              <w:spacing w:line="360" w:lineRule="auto"/>
              <w:jc w:val="center"/>
              <w:rPr>
                <w:color w:val="auto"/>
                <w:szCs w:val="21"/>
                <w:highlight w:val="none"/>
              </w:rPr>
            </w:pPr>
          </w:p>
        </w:tc>
        <w:tc>
          <w:tcPr>
            <w:tcW w:w="747" w:type="dxa"/>
            <w:noWrap w:val="0"/>
            <w:vAlign w:val="top"/>
          </w:tcPr>
          <w:p w14:paraId="5A3189DA">
            <w:pPr>
              <w:spacing w:line="360" w:lineRule="auto"/>
              <w:jc w:val="center"/>
              <w:rPr>
                <w:color w:val="auto"/>
                <w:szCs w:val="21"/>
                <w:highlight w:val="none"/>
              </w:rPr>
            </w:pPr>
          </w:p>
        </w:tc>
        <w:tc>
          <w:tcPr>
            <w:tcW w:w="850" w:type="dxa"/>
            <w:noWrap w:val="0"/>
            <w:vAlign w:val="top"/>
          </w:tcPr>
          <w:p w14:paraId="5E212BA7">
            <w:pPr>
              <w:spacing w:line="360" w:lineRule="auto"/>
              <w:jc w:val="center"/>
              <w:rPr>
                <w:color w:val="auto"/>
                <w:szCs w:val="21"/>
                <w:highlight w:val="none"/>
              </w:rPr>
            </w:pPr>
          </w:p>
        </w:tc>
        <w:tc>
          <w:tcPr>
            <w:tcW w:w="992" w:type="dxa"/>
            <w:noWrap w:val="0"/>
            <w:vAlign w:val="top"/>
          </w:tcPr>
          <w:p w14:paraId="09F22C7A">
            <w:pPr>
              <w:spacing w:line="360" w:lineRule="auto"/>
              <w:jc w:val="center"/>
              <w:rPr>
                <w:color w:val="auto"/>
                <w:szCs w:val="21"/>
                <w:highlight w:val="none"/>
              </w:rPr>
            </w:pPr>
          </w:p>
        </w:tc>
        <w:tc>
          <w:tcPr>
            <w:tcW w:w="1419" w:type="dxa"/>
            <w:noWrap w:val="0"/>
            <w:vAlign w:val="top"/>
          </w:tcPr>
          <w:p w14:paraId="35B33C6F">
            <w:pPr>
              <w:spacing w:line="360" w:lineRule="auto"/>
              <w:jc w:val="center"/>
              <w:rPr>
                <w:color w:val="auto"/>
                <w:szCs w:val="21"/>
                <w:highlight w:val="none"/>
              </w:rPr>
            </w:pPr>
          </w:p>
        </w:tc>
        <w:tc>
          <w:tcPr>
            <w:tcW w:w="1162" w:type="dxa"/>
            <w:noWrap w:val="0"/>
            <w:vAlign w:val="top"/>
          </w:tcPr>
          <w:p w14:paraId="28E4A626">
            <w:pPr>
              <w:spacing w:line="360" w:lineRule="auto"/>
              <w:jc w:val="center"/>
              <w:rPr>
                <w:color w:val="auto"/>
                <w:szCs w:val="21"/>
                <w:highlight w:val="none"/>
              </w:rPr>
            </w:pPr>
          </w:p>
        </w:tc>
      </w:tr>
      <w:tr w14:paraId="614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DCD1300">
            <w:pPr>
              <w:spacing w:line="360" w:lineRule="auto"/>
              <w:jc w:val="center"/>
              <w:rPr>
                <w:color w:val="auto"/>
                <w:szCs w:val="21"/>
                <w:highlight w:val="none"/>
              </w:rPr>
            </w:pPr>
            <w:r>
              <w:rPr>
                <w:rFonts w:hint="eastAsia" w:ascii="宋体" w:hAnsi="宋体" w:cs="宋体"/>
                <w:color w:val="auto"/>
                <w:szCs w:val="21"/>
                <w:highlight w:val="none"/>
              </w:rPr>
              <w:t>7</w:t>
            </w:r>
          </w:p>
        </w:tc>
        <w:tc>
          <w:tcPr>
            <w:tcW w:w="1275" w:type="dxa"/>
            <w:noWrap w:val="0"/>
            <w:vAlign w:val="center"/>
          </w:tcPr>
          <w:p w14:paraId="315C69E6">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4"/>
                <w:highlight w:val="none"/>
              </w:rPr>
              <w:t>回弹仪</w:t>
            </w:r>
          </w:p>
        </w:tc>
        <w:tc>
          <w:tcPr>
            <w:tcW w:w="936" w:type="dxa"/>
            <w:noWrap w:val="0"/>
            <w:vAlign w:val="top"/>
          </w:tcPr>
          <w:p w14:paraId="777B4B1C">
            <w:pPr>
              <w:spacing w:line="360" w:lineRule="auto"/>
              <w:jc w:val="center"/>
              <w:rPr>
                <w:color w:val="auto"/>
                <w:szCs w:val="21"/>
                <w:highlight w:val="none"/>
              </w:rPr>
            </w:pPr>
          </w:p>
        </w:tc>
        <w:tc>
          <w:tcPr>
            <w:tcW w:w="747" w:type="dxa"/>
            <w:noWrap w:val="0"/>
            <w:vAlign w:val="top"/>
          </w:tcPr>
          <w:p w14:paraId="3C12CFB8">
            <w:pPr>
              <w:spacing w:line="360" w:lineRule="auto"/>
              <w:jc w:val="center"/>
              <w:rPr>
                <w:color w:val="auto"/>
                <w:szCs w:val="21"/>
                <w:highlight w:val="none"/>
              </w:rPr>
            </w:pPr>
          </w:p>
        </w:tc>
        <w:tc>
          <w:tcPr>
            <w:tcW w:w="850" w:type="dxa"/>
            <w:noWrap w:val="0"/>
            <w:vAlign w:val="top"/>
          </w:tcPr>
          <w:p w14:paraId="20146638">
            <w:pPr>
              <w:spacing w:line="360" w:lineRule="auto"/>
              <w:jc w:val="center"/>
              <w:rPr>
                <w:color w:val="auto"/>
                <w:szCs w:val="21"/>
                <w:highlight w:val="none"/>
              </w:rPr>
            </w:pPr>
          </w:p>
        </w:tc>
        <w:tc>
          <w:tcPr>
            <w:tcW w:w="992" w:type="dxa"/>
            <w:noWrap w:val="0"/>
            <w:vAlign w:val="top"/>
          </w:tcPr>
          <w:p w14:paraId="02C1EB71">
            <w:pPr>
              <w:spacing w:line="360" w:lineRule="auto"/>
              <w:jc w:val="center"/>
              <w:rPr>
                <w:color w:val="auto"/>
                <w:szCs w:val="21"/>
                <w:highlight w:val="none"/>
              </w:rPr>
            </w:pPr>
          </w:p>
        </w:tc>
        <w:tc>
          <w:tcPr>
            <w:tcW w:w="1419" w:type="dxa"/>
            <w:noWrap w:val="0"/>
            <w:vAlign w:val="top"/>
          </w:tcPr>
          <w:p w14:paraId="26B8733E">
            <w:pPr>
              <w:spacing w:line="360" w:lineRule="auto"/>
              <w:jc w:val="center"/>
              <w:rPr>
                <w:color w:val="auto"/>
                <w:szCs w:val="21"/>
                <w:highlight w:val="none"/>
              </w:rPr>
            </w:pPr>
          </w:p>
        </w:tc>
        <w:tc>
          <w:tcPr>
            <w:tcW w:w="1162" w:type="dxa"/>
            <w:noWrap w:val="0"/>
            <w:vAlign w:val="top"/>
          </w:tcPr>
          <w:p w14:paraId="4F5C08AF">
            <w:pPr>
              <w:spacing w:line="360" w:lineRule="auto"/>
              <w:jc w:val="center"/>
              <w:rPr>
                <w:color w:val="auto"/>
                <w:szCs w:val="21"/>
                <w:highlight w:val="none"/>
              </w:rPr>
            </w:pPr>
          </w:p>
        </w:tc>
      </w:tr>
      <w:tr w14:paraId="11ED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FEC883A">
            <w:pPr>
              <w:spacing w:line="360" w:lineRule="auto"/>
              <w:jc w:val="center"/>
              <w:rPr>
                <w:color w:val="auto"/>
                <w:szCs w:val="21"/>
                <w:highlight w:val="none"/>
              </w:rPr>
            </w:pPr>
            <w:r>
              <w:rPr>
                <w:rFonts w:hint="eastAsia" w:ascii="宋体" w:hAnsi="宋体" w:cs="宋体"/>
                <w:color w:val="auto"/>
                <w:szCs w:val="21"/>
                <w:highlight w:val="none"/>
              </w:rPr>
              <w:t>8</w:t>
            </w:r>
          </w:p>
        </w:tc>
        <w:tc>
          <w:tcPr>
            <w:tcW w:w="1275" w:type="dxa"/>
            <w:noWrap w:val="0"/>
            <w:vAlign w:val="center"/>
          </w:tcPr>
          <w:p w14:paraId="1A98836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4"/>
                <w:highlight w:val="none"/>
              </w:rPr>
              <w:t>建筑工程检测尺</w:t>
            </w:r>
          </w:p>
        </w:tc>
        <w:tc>
          <w:tcPr>
            <w:tcW w:w="936" w:type="dxa"/>
            <w:noWrap w:val="0"/>
            <w:vAlign w:val="top"/>
          </w:tcPr>
          <w:p w14:paraId="321FFAEA">
            <w:pPr>
              <w:spacing w:line="360" w:lineRule="auto"/>
              <w:jc w:val="center"/>
              <w:rPr>
                <w:color w:val="auto"/>
                <w:szCs w:val="21"/>
                <w:highlight w:val="none"/>
              </w:rPr>
            </w:pPr>
          </w:p>
        </w:tc>
        <w:tc>
          <w:tcPr>
            <w:tcW w:w="747" w:type="dxa"/>
            <w:noWrap w:val="0"/>
            <w:vAlign w:val="top"/>
          </w:tcPr>
          <w:p w14:paraId="27BA761B">
            <w:pPr>
              <w:spacing w:line="360" w:lineRule="auto"/>
              <w:jc w:val="center"/>
              <w:rPr>
                <w:color w:val="auto"/>
                <w:szCs w:val="21"/>
                <w:highlight w:val="none"/>
              </w:rPr>
            </w:pPr>
          </w:p>
        </w:tc>
        <w:tc>
          <w:tcPr>
            <w:tcW w:w="850" w:type="dxa"/>
            <w:noWrap w:val="0"/>
            <w:vAlign w:val="top"/>
          </w:tcPr>
          <w:p w14:paraId="1FC3BB47">
            <w:pPr>
              <w:spacing w:line="360" w:lineRule="auto"/>
              <w:jc w:val="center"/>
              <w:rPr>
                <w:color w:val="auto"/>
                <w:szCs w:val="21"/>
                <w:highlight w:val="none"/>
              </w:rPr>
            </w:pPr>
          </w:p>
        </w:tc>
        <w:tc>
          <w:tcPr>
            <w:tcW w:w="992" w:type="dxa"/>
            <w:noWrap w:val="0"/>
            <w:vAlign w:val="top"/>
          </w:tcPr>
          <w:p w14:paraId="46AAA352">
            <w:pPr>
              <w:spacing w:line="360" w:lineRule="auto"/>
              <w:jc w:val="center"/>
              <w:rPr>
                <w:color w:val="auto"/>
                <w:szCs w:val="21"/>
                <w:highlight w:val="none"/>
              </w:rPr>
            </w:pPr>
          </w:p>
        </w:tc>
        <w:tc>
          <w:tcPr>
            <w:tcW w:w="1419" w:type="dxa"/>
            <w:noWrap w:val="0"/>
            <w:vAlign w:val="top"/>
          </w:tcPr>
          <w:p w14:paraId="59A92362">
            <w:pPr>
              <w:spacing w:line="360" w:lineRule="auto"/>
              <w:jc w:val="center"/>
              <w:rPr>
                <w:color w:val="auto"/>
                <w:szCs w:val="21"/>
                <w:highlight w:val="none"/>
              </w:rPr>
            </w:pPr>
          </w:p>
        </w:tc>
        <w:tc>
          <w:tcPr>
            <w:tcW w:w="1162" w:type="dxa"/>
            <w:noWrap w:val="0"/>
            <w:vAlign w:val="top"/>
          </w:tcPr>
          <w:p w14:paraId="72E966FC">
            <w:pPr>
              <w:spacing w:line="360" w:lineRule="auto"/>
              <w:jc w:val="center"/>
              <w:rPr>
                <w:color w:val="auto"/>
                <w:szCs w:val="21"/>
                <w:highlight w:val="none"/>
              </w:rPr>
            </w:pPr>
          </w:p>
        </w:tc>
      </w:tr>
      <w:tr w14:paraId="397A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D95D5DC">
            <w:pPr>
              <w:spacing w:line="360" w:lineRule="auto"/>
              <w:jc w:val="center"/>
              <w:rPr>
                <w:color w:val="auto"/>
                <w:szCs w:val="21"/>
                <w:highlight w:val="none"/>
              </w:rPr>
            </w:pPr>
            <w:r>
              <w:rPr>
                <w:rFonts w:hint="eastAsia" w:ascii="宋体" w:hAnsi="宋体" w:cs="宋体"/>
                <w:color w:val="auto"/>
                <w:szCs w:val="21"/>
                <w:highlight w:val="none"/>
              </w:rPr>
              <w:t>9</w:t>
            </w:r>
          </w:p>
        </w:tc>
        <w:tc>
          <w:tcPr>
            <w:tcW w:w="1275" w:type="dxa"/>
            <w:noWrap w:val="0"/>
            <w:vAlign w:val="center"/>
          </w:tcPr>
          <w:p w14:paraId="1FAA9739">
            <w:pPr>
              <w:spacing w:line="360" w:lineRule="auto"/>
              <w:jc w:val="center"/>
              <w:rPr>
                <w:color w:val="auto"/>
                <w:szCs w:val="21"/>
                <w:highlight w:val="none"/>
              </w:rPr>
            </w:pPr>
            <w:r>
              <w:rPr>
                <w:rFonts w:hint="eastAsia" w:ascii="宋体" w:hAnsi="宋体"/>
                <w:color w:val="auto"/>
                <w:szCs w:val="24"/>
                <w:highlight w:val="none"/>
              </w:rPr>
              <w:t>坍落度仪</w:t>
            </w:r>
          </w:p>
        </w:tc>
        <w:tc>
          <w:tcPr>
            <w:tcW w:w="936" w:type="dxa"/>
            <w:noWrap w:val="0"/>
            <w:vAlign w:val="top"/>
          </w:tcPr>
          <w:p w14:paraId="469F3576">
            <w:pPr>
              <w:spacing w:line="360" w:lineRule="auto"/>
              <w:jc w:val="center"/>
              <w:rPr>
                <w:color w:val="auto"/>
                <w:szCs w:val="21"/>
                <w:highlight w:val="none"/>
              </w:rPr>
            </w:pPr>
          </w:p>
        </w:tc>
        <w:tc>
          <w:tcPr>
            <w:tcW w:w="747" w:type="dxa"/>
            <w:noWrap w:val="0"/>
            <w:vAlign w:val="top"/>
          </w:tcPr>
          <w:p w14:paraId="5C7CA42E">
            <w:pPr>
              <w:spacing w:line="360" w:lineRule="auto"/>
              <w:jc w:val="center"/>
              <w:rPr>
                <w:color w:val="auto"/>
                <w:szCs w:val="21"/>
                <w:highlight w:val="none"/>
              </w:rPr>
            </w:pPr>
          </w:p>
        </w:tc>
        <w:tc>
          <w:tcPr>
            <w:tcW w:w="850" w:type="dxa"/>
            <w:noWrap w:val="0"/>
            <w:vAlign w:val="top"/>
          </w:tcPr>
          <w:p w14:paraId="22B2B60E">
            <w:pPr>
              <w:spacing w:line="360" w:lineRule="auto"/>
              <w:jc w:val="center"/>
              <w:rPr>
                <w:color w:val="auto"/>
                <w:szCs w:val="21"/>
                <w:highlight w:val="none"/>
              </w:rPr>
            </w:pPr>
          </w:p>
        </w:tc>
        <w:tc>
          <w:tcPr>
            <w:tcW w:w="992" w:type="dxa"/>
            <w:noWrap w:val="0"/>
            <w:vAlign w:val="top"/>
          </w:tcPr>
          <w:p w14:paraId="00B70556">
            <w:pPr>
              <w:spacing w:line="360" w:lineRule="auto"/>
              <w:jc w:val="center"/>
              <w:rPr>
                <w:color w:val="auto"/>
                <w:szCs w:val="21"/>
                <w:highlight w:val="none"/>
              </w:rPr>
            </w:pPr>
          </w:p>
        </w:tc>
        <w:tc>
          <w:tcPr>
            <w:tcW w:w="1419" w:type="dxa"/>
            <w:noWrap w:val="0"/>
            <w:vAlign w:val="top"/>
          </w:tcPr>
          <w:p w14:paraId="53CFEB34">
            <w:pPr>
              <w:spacing w:line="360" w:lineRule="auto"/>
              <w:jc w:val="center"/>
              <w:rPr>
                <w:color w:val="auto"/>
                <w:szCs w:val="21"/>
                <w:highlight w:val="none"/>
              </w:rPr>
            </w:pPr>
          </w:p>
        </w:tc>
        <w:tc>
          <w:tcPr>
            <w:tcW w:w="1162" w:type="dxa"/>
            <w:noWrap w:val="0"/>
            <w:vAlign w:val="top"/>
          </w:tcPr>
          <w:p w14:paraId="11691DD6">
            <w:pPr>
              <w:spacing w:line="360" w:lineRule="auto"/>
              <w:jc w:val="center"/>
              <w:rPr>
                <w:color w:val="auto"/>
                <w:szCs w:val="21"/>
                <w:highlight w:val="none"/>
              </w:rPr>
            </w:pPr>
          </w:p>
        </w:tc>
      </w:tr>
      <w:tr w14:paraId="359E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62CCCE9">
            <w:pPr>
              <w:spacing w:line="360" w:lineRule="auto"/>
              <w:jc w:val="center"/>
              <w:rPr>
                <w:color w:val="auto"/>
                <w:szCs w:val="21"/>
                <w:highlight w:val="none"/>
              </w:rPr>
            </w:pPr>
            <w:r>
              <w:rPr>
                <w:rFonts w:hint="eastAsia" w:ascii="宋体" w:hAnsi="宋体" w:cs="宋体"/>
                <w:color w:val="auto"/>
                <w:szCs w:val="21"/>
                <w:highlight w:val="none"/>
              </w:rPr>
              <w:t>10</w:t>
            </w:r>
          </w:p>
        </w:tc>
        <w:tc>
          <w:tcPr>
            <w:tcW w:w="1275" w:type="dxa"/>
            <w:noWrap w:val="0"/>
            <w:vAlign w:val="center"/>
          </w:tcPr>
          <w:p w14:paraId="5A30B898">
            <w:pPr>
              <w:spacing w:line="360" w:lineRule="auto"/>
              <w:jc w:val="center"/>
              <w:rPr>
                <w:color w:val="auto"/>
                <w:szCs w:val="21"/>
                <w:highlight w:val="none"/>
              </w:rPr>
            </w:pPr>
            <w:r>
              <w:rPr>
                <w:rFonts w:hint="eastAsia" w:ascii="宋体" w:hAnsi="宋体"/>
                <w:color w:val="auto"/>
                <w:szCs w:val="24"/>
                <w:highlight w:val="none"/>
              </w:rPr>
              <w:t>游标卡尺</w:t>
            </w:r>
          </w:p>
        </w:tc>
        <w:tc>
          <w:tcPr>
            <w:tcW w:w="936" w:type="dxa"/>
            <w:noWrap w:val="0"/>
            <w:vAlign w:val="top"/>
          </w:tcPr>
          <w:p w14:paraId="6EABE4CC">
            <w:pPr>
              <w:spacing w:line="360" w:lineRule="auto"/>
              <w:jc w:val="center"/>
              <w:rPr>
                <w:color w:val="auto"/>
                <w:szCs w:val="21"/>
                <w:highlight w:val="none"/>
              </w:rPr>
            </w:pPr>
          </w:p>
        </w:tc>
        <w:tc>
          <w:tcPr>
            <w:tcW w:w="747" w:type="dxa"/>
            <w:noWrap w:val="0"/>
            <w:vAlign w:val="top"/>
          </w:tcPr>
          <w:p w14:paraId="2EE12793">
            <w:pPr>
              <w:spacing w:line="360" w:lineRule="auto"/>
              <w:jc w:val="center"/>
              <w:rPr>
                <w:color w:val="auto"/>
                <w:szCs w:val="21"/>
                <w:highlight w:val="none"/>
              </w:rPr>
            </w:pPr>
          </w:p>
        </w:tc>
        <w:tc>
          <w:tcPr>
            <w:tcW w:w="850" w:type="dxa"/>
            <w:noWrap w:val="0"/>
            <w:vAlign w:val="top"/>
          </w:tcPr>
          <w:p w14:paraId="4380A176">
            <w:pPr>
              <w:spacing w:line="360" w:lineRule="auto"/>
              <w:jc w:val="center"/>
              <w:rPr>
                <w:color w:val="auto"/>
                <w:szCs w:val="21"/>
                <w:highlight w:val="none"/>
              </w:rPr>
            </w:pPr>
          </w:p>
        </w:tc>
        <w:tc>
          <w:tcPr>
            <w:tcW w:w="992" w:type="dxa"/>
            <w:noWrap w:val="0"/>
            <w:vAlign w:val="top"/>
          </w:tcPr>
          <w:p w14:paraId="299FAF83">
            <w:pPr>
              <w:spacing w:line="360" w:lineRule="auto"/>
              <w:jc w:val="center"/>
              <w:rPr>
                <w:color w:val="auto"/>
                <w:szCs w:val="21"/>
                <w:highlight w:val="none"/>
              </w:rPr>
            </w:pPr>
          </w:p>
        </w:tc>
        <w:tc>
          <w:tcPr>
            <w:tcW w:w="1419" w:type="dxa"/>
            <w:noWrap w:val="0"/>
            <w:vAlign w:val="top"/>
          </w:tcPr>
          <w:p w14:paraId="754E67C6">
            <w:pPr>
              <w:spacing w:line="360" w:lineRule="auto"/>
              <w:jc w:val="center"/>
              <w:rPr>
                <w:color w:val="auto"/>
                <w:szCs w:val="21"/>
                <w:highlight w:val="none"/>
              </w:rPr>
            </w:pPr>
          </w:p>
        </w:tc>
        <w:tc>
          <w:tcPr>
            <w:tcW w:w="1162" w:type="dxa"/>
            <w:noWrap w:val="0"/>
            <w:vAlign w:val="top"/>
          </w:tcPr>
          <w:p w14:paraId="6FB34A50">
            <w:pPr>
              <w:spacing w:line="360" w:lineRule="auto"/>
              <w:jc w:val="center"/>
              <w:rPr>
                <w:color w:val="auto"/>
                <w:szCs w:val="21"/>
                <w:highlight w:val="none"/>
              </w:rPr>
            </w:pPr>
          </w:p>
        </w:tc>
      </w:tr>
      <w:tr w14:paraId="556F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46A4A97">
            <w:pPr>
              <w:spacing w:line="360" w:lineRule="auto"/>
              <w:jc w:val="center"/>
              <w:rPr>
                <w:color w:val="auto"/>
                <w:szCs w:val="21"/>
                <w:highlight w:val="none"/>
              </w:rPr>
            </w:pPr>
            <w:r>
              <w:rPr>
                <w:rFonts w:hint="eastAsia" w:ascii="宋体" w:hAnsi="宋体" w:cs="宋体"/>
                <w:color w:val="auto"/>
                <w:szCs w:val="21"/>
                <w:highlight w:val="none"/>
              </w:rPr>
              <w:t>11</w:t>
            </w:r>
          </w:p>
        </w:tc>
        <w:tc>
          <w:tcPr>
            <w:tcW w:w="1275" w:type="dxa"/>
            <w:noWrap w:val="0"/>
            <w:vAlign w:val="center"/>
          </w:tcPr>
          <w:p w14:paraId="29E5162E">
            <w:pPr>
              <w:spacing w:line="360" w:lineRule="auto"/>
              <w:jc w:val="center"/>
              <w:rPr>
                <w:rFonts w:hint="default" w:eastAsia="宋体"/>
                <w:color w:val="auto"/>
                <w:szCs w:val="21"/>
                <w:highlight w:val="none"/>
                <w:lang w:val="en-US" w:eastAsia="zh-CN"/>
              </w:rPr>
            </w:pPr>
            <w:r>
              <w:rPr>
                <w:rFonts w:hint="eastAsia" w:ascii="宋体" w:hAnsi="宋体"/>
                <w:color w:val="auto"/>
                <w:szCs w:val="24"/>
                <w:highlight w:val="none"/>
              </w:rPr>
              <w:t>激光测距仪</w:t>
            </w:r>
          </w:p>
        </w:tc>
        <w:tc>
          <w:tcPr>
            <w:tcW w:w="936" w:type="dxa"/>
            <w:noWrap w:val="0"/>
            <w:vAlign w:val="top"/>
          </w:tcPr>
          <w:p w14:paraId="3D389999">
            <w:pPr>
              <w:spacing w:line="360" w:lineRule="auto"/>
              <w:jc w:val="center"/>
              <w:rPr>
                <w:color w:val="auto"/>
                <w:szCs w:val="21"/>
                <w:highlight w:val="none"/>
              </w:rPr>
            </w:pPr>
          </w:p>
        </w:tc>
        <w:tc>
          <w:tcPr>
            <w:tcW w:w="747" w:type="dxa"/>
            <w:noWrap w:val="0"/>
            <w:vAlign w:val="top"/>
          </w:tcPr>
          <w:p w14:paraId="0FE552DA">
            <w:pPr>
              <w:spacing w:line="360" w:lineRule="auto"/>
              <w:jc w:val="center"/>
              <w:rPr>
                <w:color w:val="auto"/>
                <w:szCs w:val="21"/>
                <w:highlight w:val="none"/>
              </w:rPr>
            </w:pPr>
          </w:p>
        </w:tc>
        <w:tc>
          <w:tcPr>
            <w:tcW w:w="850" w:type="dxa"/>
            <w:noWrap w:val="0"/>
            <w:vAlign w:val="top"/>
          </w:tcPr>
          <w:p w14:paraId="7381F5E7">
            <w:pPr>
              <w:spacing w:line="360" w:lineRule="auto"/>
              <w:jc w:val="center"/>
              <w:rPr>
                <w:color w:val="auto"/>
                <w:szCs w:val="21"/>
                <w:highlight w:val="none"/>
              </w:rPr>
            </w:pPr>
          </w:p>
        </w:tc>
        <w:tc>
          <w:tcPr>
            <w:tcW w:w="992" w:type="dxa"/>
            <w:noWrap w:val="0"/>
            <w:vAlign w:val="top"/>
          </w:tcPr>
          <w:p w14:paraId="0A0EB372">
            <w:pPr>
              <w:spacing w:line="360" w:lineRule="auto"/>
              <w:jc w:val="center"/>
              <w:rPr>
                <w:color w:val="auto"/>
                <w:szCs w:val="21"/>
                <w:highlight w:val="none"/>
              </w:rPr>
            </w:pPr>
          </w:p>
        </w:tc>
        <w:tc>
          <w:tcPr>
            <w:tcW w:w="1419" w:type="dxa"/>
            <w:noWrap w:val="0"/>
            <w:vAlign w:val="top"/>
          </w:tcPr>
          <w:p w14:paraId="4D388C0C">
            <w:pPr>
              <w:spacing w:line="360" w:lineRule="auto"/>
              <w:jc w:val="center"/>
              <w:rPr>
                <w:color w:val="auto"/>
                <w:szCs w:val="21"/>
                <w:highlight w:val="none"/>
              </w:rPr>
            </w:pPr>
          </w:p>
        </w:tc>
        <w:tc>
          <w:tcPr>
            <w:tcW w:w="1162" w:type="dxa"/>
            <w:noWrap w:val="0"/>
            <w:vAlign w:val="top"/>
          </w:tcPr>
          <w:p w14:paraId="5DB77B65">
            <w:pPr>
              <w:spacing w:line="360" w:lineRule="auto"/>
              <w:jc w:val="center"/>
              <w:rPr>
                <w:color w:val="auto"/>
                <w:szCs w:val="21"/>
                <w:highlight w:val="none"/>
              </w:rPr>
            </w:pPr>
          </w:p>
        </w:tc>
      </w:tr>
      <w:tr w14:paraId="4D91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550AFF7">
            <w:pPr>
              <w:spacing w:line="360" w:lineRule="auto"/>
              <w:jc w:val="center"/>
              <w:rPr>
                <w:color w:val="auto"/>
                <w:szCs w:val="21"/>
                <w:highlight w:val="none"/>
              </w:rPr>
            </w:pPr>
            <w:r>
              <w:rPr>
                <w:rFonts w:hint="eastAsia" w:ascii="宋体" w:hAnsi="宋体" w:cs="宋体"/>
                <w:color w:val="auto"/>
                <w:szCs w:val="21"/>
                <w:highlight w:val="none"/>
              </w:rPr>
              <w:t>12</w:t>
            </w:r>
          </w:p>
        </w:tc>
        <w:tc>
          <w:tcPr>
            <w:tcW w:w="1275" w:type="dxa"/>
            <w:noWrap w:val="0"/>
            <w:vAlign w:val="center"/>
          </w:tcPr>
          <w:p w14:paraId="1DF92170">
            <w:pPr>
              <w:spacing w:line="360" w:lineRule="auto"/>
              <w:jc w:val="center"/>
              <w:rPr>
                <w:color w:val="auto"/>
                <w:szCs w:val="21"/>
                <w:highlight w:val="none"/>
              </w:rPr>
            </w:pPr>
            <w:r>
              <w:rPr>
                <w:rFonts w:hint="eastAsia" w:ascii="宋体" w:hAnsi="宋体"/>
                <w:color w:val="auto"/>
                <w:szCs w:val="24"/>
                <w:highlight w:val="none"/>
              </w:rPr>
              <w:t>内外直角检测尺</w:t>
            </w:r>
          </w:p>
        </w:tc>
        <w:tc>
          <w:tcPr>
            <w:tcW w:w="936" w:type="dxa"/>
            <w:noWrap w:val="0"/>
            <w:vAlign w:val="top"/>
          </w:tcPr>
          <w:p w14:paraId="6E61A800">
            <w:pPr>
              <w:spacing w:line="360" w:lineRule="auto"/>
              <w:jc w:val="center"/>
              <w:rPr>
                <w:color w:val="auto"/>
                <w:szCs w:val="21"/>
                <w:highlight w:val="none"/>
              </w:rPr>
            </w:pPr>
          </w:p>
        </w:tc>
        <w:tc>
          <w:tcPr>
            <w:tcW w:w="747" w:type="dxa"/>
            <w:noWrap w:val="0"/>
            <w:vAlign w:val="top"/>
          </w:tcPr>
          <w:p w14:paraId="06EE1309">
            <w:pPr>
              <w:spacing w:line="360" w:lineRule="auto"/>
              <w:jc w:val="center"/>
              <w:rPr>
                <w:color w:val="auto"/>
                <w:szCs w:val="21"/>
                <w:highlight w:val="none"/>
              </w:rPr>
            </w:pPr>
          </w:p>
        </w:tc>
        <w:tc>
          <w:tcPr>
            <w:tcW w:w="850" w:type="dxa"/>
            <w:noWrap w:val="0"/>
            <w:vAlign w:val="top"/>
          </w:tcPr>
          <w:p w14:paraId="0952DD2D">
            <w:pPr>
              <w:spacing w:line="360" w:lineRule="auto"/>
              <w:jc w:val="center"/>
              <w:rPr>
                <w:color w:val="auto"/>
                <w:szCs w:val="21"/>
                <w:highlight w:val="none"/>
              </w:rPr>
            </w:pPr>
          </w:p>
        </w:tc>
        <w:tc>
          <w:tcPr>
            <w:tcW w:w="992" w:type="dxa"/>
            <w:noWrap w:val="0"/>
            <w:vAlign w:val="top"/>
          </w:tcPr>
          <w:p w14:paraId="780B2C84">
            <w:pPr>
              <w:spacing w:line="360" w:lineRule="auto"/>
              <w:jc w:val="center"/>
              <w:rPr>
                <w:color w:val="auto"/>
                <w:szCs w:val="21"/>
                <w:highlight w:val="none"/>
              </w:rPr>
            </w:pPr>
          </w:p>
        </w:tc>
        <w:tc>
          <w:tcPr>
            <w:tcW w:w="1419" w:type="dxa"/>
            <w:noWrap w:val="0"/>
            <w:vAlign w:val="top"/>
          </w:tcPr>
          <w:p w14:paraId="6B657061">
            <w:pPr>
              <w:spacing w:line="360" w:lineRule="auto"/>
              <w:jc w:val="center"/>
              <w:rPr>
                <w:color w:val="auto"/>
                <w:szCs w:val="21"/>
                <w:highlight w:val="none"/>
              </w:rPr>
            </w:pPr>
          </w:p>
        </w:tc>
        <w:tc>
          <w:tcPr>
            <w:tcW w:w="1162" w:type="dxa"/>
            <w:noWrap w:val="0"/>
            <w:vAlign w:val="top"/>
          </w:tcPr>
          <w:p w14:paraId="5B7215F1">
            <w:pPr>
              <w:spacing w:line="360" w:lineRule="auto"/>
              <w:jc w:val="center"/>
              <w:rPr>
                <w:color w:val="auto"/>
                <w:szCs w:val="21"/>
                <w:highlight w:val="none"/>
              </w:rPr>
            </w:pPr>
          </w:p>
        </w:tc>
      </w:tr>
      <w:tr w14:paraId="6B41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31E7795D">
            <w:pPr>
              <w:spacing w:line="360" w:lineRule="auto"/>
              <w:jc w:val="center"/>
              <w:rPr>
                <w:color w:val="auto"/>
                <w:szCs w:val="21"/>
                <w:highlight w:val="none"/>
              </w:rPr>
            </w:pPr>
            <w:r>
              <w:rPr>
                <w:rFonts w:hint="eastAsia" w:ascii="宋体" w:hAnsi="宋体" w:cs="宋体"/>
                <w:color w:val="auto"/>
                <w:szCs w:val="21"/>
                <w:highlight w:val="none"/>
              </w:rPr>
              <w:t>13</w:t>
            </w:r>
          </w:p>
        </w:tc>
        <w:tc>
          <w:tcPr>
            <w:tcW w:w="1275" w:type="dxa"/>
            <w:noWrap w:val="0"/>
            <w:vAlign w:val="top"/>
          </w:tcPr>
          <w:p w14:paraId="26B82FEC">
            <w:pPr>
              <w:spacing w:line="360" w:lineRule="auto"/>
              <w:jc w:val="center"/>
              <w:rPr>
                <w:color w:val="auto"/>
                <w:szCs w:val="21"/>
                <w:highlight w:val="none"/>
              </w:rPr>
            </w:pPr>
            <w:r>
              <w:rPr>
                <w:rFonts w:hint="eastAsia" w:ascii="宋体" w:hAnsi="宋体" w:cs="宋体"/>
                <w:color w:val="auto"/>
                <w:szCs w:val="21"/>
                <w:highlight w:val="none"/>
              </w:rPr>
              <w:t>测厚规</w:t>
            </w:r>
          </w:p>
        </w:tc>
        <w:tc>
          <w:tcPr>
            <w:tcW w:w="936" w:type="dxa"/>
            <w:noWrap w:val="0"/>
            <w:vAlign w:val="top"/>
          </w:tcPr>
          <w:p w14:paraId="0E8AAD6B">
            <w:pPr>
              <w:spacing w:line="360" w:lineRule="auto"/>
              <w:jc w:val="center"/>
              <w:rPr>
                <w:color w:val="auto"/>
                <w:szCs w:val="21"/>
                <w:highlight w:val="none"/>
              </w:rPr>
            </w:pPr>
          </w:p>
        </w:tc>
        <w:tc>
          <w:tcPr>
            <w:tcW w:w="747" w:type="dxa"/>
            <w:noWrap w:val="0"/>
            <w:vAlign w:val="top"/>
          </w:tcPr>
          <w:p w14:paraId="6D228802">
            <w:pPr>
              <w:spacing w:line="360" w:lineRule="auto"/>
              <w:jc w:val="center"/>
              <w:rPr>
                <w:color w:val="auto"/>
                <w:szCs w:val="21"/>
                <w:highlight w:val="none"/>
              </w:rPr>
            </w:pPr>
          </w:p>
        </w:tc>
        <w:tc>
          <w:tcPr>
            <w:tcW w:w="850" w:type="dxa"/>
            <w:noWrap w:val="0"/>
            <w:vAlign w:val="top"/>
          </w:tcPr>
          <w:p w14:paraId="0363317A">
            <w:pPr>
              <w:spacing w:line="360" w:lineRule="auto"/>
              <w:jc w:val="center"/>
              <w:rPr>
                <w:color w:val="auto"/>
                <w:szCs w:val="21"/>
                <w:highlight w:val="none"/>
              </w:rPr>
            </w:pPr>
          </w:p>
        </w:tc>
        <w:tc>
          <w:tcPr>
            <w:tcW w:w="992" w:type="dxa"/>
            <w:noWrap w:val="0"/>
            <w:vAlign w:val="top"/>
          </w:tcPr>
          <w:p w14:paraId="2BB92B73">
            <w:pPr>
              <w:spacing w:line="360" w:lineRule="auto"/>
              <w:jc w:val="center"/>
              <w:rPr>
                <w:color w:val="auto"/>
                <w:szCs w:val="21"/>
                <w:highlight w:val="none"/>
              </w:rPr>
            </w:pPr>
          </w:p>
        </w:tc>
        <w:tc>
          <w:tcPr>
            <w:tcW w:w="1419" w:type="dxa"/>
            <w:noWrap w:val="0"/>
            <w:vAlign w:val="top"/>
          </w:tcPr>
          <w:p w14:paraId="46D628B1">
            <w:pPr>
              <w:spacing w:line="360" w:lineRule="auto"/>
              <w:jc w:val="center"/>
              <w:rPr>
                <w:color w:val="auto"/>
                <w:szCs w:val="21"/>
                <w:highlight w:val="none"/>
              </w:rPr>
            </w:pPr>
          </w:p>
        </w:tc>
        <w:tc>
          <w:tcPr>
            <w:tcW w:w="1162" w:type="dxa"/>
            <w:noWrap w:val="0"/>
            <w:vAlign w:val="top"/>
          </w:tcPr>
          <w:p w14:paraId="158A0412">
            <w:pPr>
              <w:spacing w:line="360" w:lineRule="auto"/>
              <w:jc w:val="center"/>
              <w:rPr>
                <w:color w:val="auto"/>
                <w:szCs w:val="21"/>
                <w:highlight w:val="none"/>
              </w:rPr>
            </w:pPr>
          </w:p>
        </w:tc>
      </w:tr>
      <w:tr w14:paraId="267F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71520BE">
            <w:pPr>
              <w:spacing w:line="360" w:lineRule="auto"/>
              <w:jc w:val="center"/>
              <w:rPr>
                <w:color w:val="auto"/>
                <w:szCs w:val="21"/>
                <w:highlight w:val="none"/>
              </w:rPr>
            </w:pPr>
            <w:r>
              <w:rPr>
                <w:rFonts w:hint="eastAsia" w:ascii="宋体" w:hAnsi="宋体" w:cs="宋体"/>
                <w:color w:val="auto"/>
                <w:szCs w:val="21"/>
                <w:highlight w:val="none"/>
              </w:rPr>
              <w:t>14</w:t>
            </w:r>
          </w:p>
        </w:tc>
        <w:tc>
          <w:tcPr>
            <w:tcW w:w="1275" w:type="dxa"/>
            <w:noWrap w:val="0"/>
            <w:vAlign w:val="top"/>
          </w:tcPr>
          <w:p w14:paraId="1FFD2E51">
            <w:pPr>
              <w:spacing w:line="360" w:lineRule="auto"/>
              <w:jc w:val="center"/>
              <w:rPr>
                <w:color w:val="auto"/>
                <w:szCs w:val="21"/>
                <w:highlight w:val="none"/>
              </w:rPr>
            </w:pPr>
            <w:r>
              <w:rPr>
                <w:rFonts w:hint="eastAsia" w:ascii="宋体" w:hAnsi="宋体" w:cs="宋体"/>
                <w:color w:val="auto"/>
                <w:szCs w:val="21"/>
                <w:highlight w:val="none"/>
              </w:rPr>
              <w:t>氯离子含量测定仪（混凝土）</w:t>
            </w:r>
          </w:p>
        </w:tc>
        <w:tc>
          <w:tcPr>
            <w:tcW w:w="936" w:type="dxa"/>
            <w:noWrap w:val="0"/>
            <w:vAlign w:val="top"/>
          </w:tcPr>
          <w:p w14:paraId="5BF6474C">
            <w:pPr>
              <w:spacing w:line="360" w:lineRule="auto"/>
              <w:jc w:val="center"/>
              <w:rPr>
                <w:color w:val="auto"/>
                <w:szCs w:val="21"/>
                <w:highlight w:val="none"/>
              </w:rPr>
            </w:pPr>
          </w:p>
        </w:tc>
        <w:tc>
          <w:tcPr>
            <w:tcW w:w="747" w:type="dxa"/>
            <w:noWrap w:val="0"/>
            <w:vAlign w:val="top"/>
          </w:tcPr>
          <w:p w14:paraId="49A69D68">
            <w:pPr>
              <w:spacing w:line="360" w:lineRule="auto"/>
              <w:jc w:val="center"/>
              <w:rPr>
                <w:color w:val="auto"/>
                <w:szCs w:val="21"/>
                <w:highlight w:val="none"/>
              </w:rPr>
            </w:pPr>
          </w:p>
        </w:tc>
        <w:tc>
          <w:tcPr>
            <w:tcW w:w="850" w:type="dxa"/>
            <w:noWrap w:val="0"/>
            <w:vAlign w:val="top"/>
          </w:tcPr>
          <w:p w14:paraId="7B0D9B99">
            <w:pPr>
              <w:spacing w:line="360" w:lineRule="auto"/>
              <w:jc w:val="center"/>
              <w:rPr>
                <w:color w:val="auto"/>
                <w:szCs w:val="21"/>
                <w:highlight w:val="none"/>
              </w:rPr>
            </w:pPr>
          </w:p>
        </w:tc>
        <w:tc>
          <w:tcPr>
            <w:tcW w:w="992" w:type="dxa"/>
            <w:noWrap w:val="0"/>
            <w:vAlign w:val="top"/>
          </w:tcPr>
          <w:p w14:paraId="0B328721">
            <w:pPr>
              <w:spacing w:line="360" w:lineRule="auto"/>
              <w:jc w:val="center"/>
              <w:rPr>
                <w:color w:val="auto"/>
                <w:szCs w:val="21"/>
                <w:highlight w:val="none"/>
              </w:rPr>
            </w:pPr>
          </w:p>
        </w:tc>
        <w:tc>
          <w:tcPr>
            <w:tcW w:w="1419" w:type="dxa"/>
            <w:noWrap w:val="0"/>
            <w:vAlign w:val="top"/>
          </w:tcPr>
          <w:p w14:paraId="2C18ECBB">
            <w:pPr>
              <w:spacing w:line="360" w:lineRule="auto"/>
              <w:jc w:val="center"/>
              <w:rPr>
                <w:color w:val="auto"/>
                <w:szCs w:val="21"/>
                <w:highlight w:val="none"/>
              </w:rPr>
            </w:pPr>
          </w:p>
        </w:tc>
        <w:tc>
          <w:tcPr>
            <w:tcW w:w="1162" w:type="dxa"/>
            <w:noWrap w:val="0"/>
            <w:vAlign w:val="top"/>
          </w:tcPr>
          <w:p w14:paraId="2631B338">
            <w:pPr>
              <w:spacing w:line="360" w:lineRule="auto"/>
              <w:jc w:val="center"/>
              <w:rPr>
                <w:color w:val="auto"/>
                <w:szCs w:val="21"/>
                <w:highlight w:val="none"/>
              </w:rPr>
            </w:pPr>
          </w:p>
        </w:tc>
      </w:tr>
      <w:tr w14:paraId="5D0C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A8AF1B8">
            <w:pPr>
              <w:spacing w:line="360" w:lineRule="auto"/>
              <w:jc w:val="center"/>
              <w:rPr>
                <w:color w:val="auto"/>
                <w:szCs w:val="21"/>
                <w:highlight w:val="none"/>
              </w:rPr>
            </w:pPr>
            <w:r>
              <w:rPr>
                <w:rFonts w:hint="eastAsia" w:ascii="宋体" w:hAnsi="宋体" w:cs="宋体"/>
                <w:color w:val="auto"/>
                <w:szCs w:val="21"/>
                <w:highlight w:val="none"/>
              </w:rPr>
              <w:t>15</w:t>
            </w:r>
          </w:p>
        </w:tc>
        <w:tc>
          <w:tcPr>
            <w:tcW w:w="1275" w:type="dxa"/>
            <w:noWrap w:val="0"/>
            <w:vAlign w:val="top"/>
          </w:tcPr>
          <w:p w14:paraId="113A80EF">
            <w:pPr>
              <w:spacing w:line="360" w:lineRule="auto"/>
              <w:jc w:val="center"/>
              <w:rPr>
                <w:color w:val="auto"/>
                <w:szCs w:val="21"/>
                <w:highlight w:val="none"/>
              </w:rPr>
            </w:pPr>
            <w:r>
              <w:rPr>
                <w:rFonts w:hint="eastAsia" w:ascii="宋体" w:hAnsi="宋体" w:cs="宋体"/>
                <w:color w:val="auto"/>
                <w:szCs w:val="21"/>
                <w:highlight w:val="none"/>
              </w:rPr>
              <w:t>接地电阻测试仪</w:t>
            </w:r>
          </w:p>
        </w:tc>
        <w:tc>
          <w:tcPr>
            <w:tcW w:w="936" w:type="dxa"/>
            <w:noWrap w:val="0"/>
            <w:vAlign w:val="top"/>
          </w:tcPr>
          <w:p w14:paraId="60731512">
            <w:pPr>
              <w:spacing w:line="360" w:lineRule="auto"/>
              <w:jc w:val="center"/>
              <w:rPr>
                <w:color w:val="auto"/>
                <w:szCs w:val="21"/>
                <w:highlight w:val="none"/>
              </w:rPr>
            </w:pPr>
          </w:p>
        </w:tc>
        <w:tc>
          <w:tcPr>
            <w:tcW w:w="747" w:type="dxa"/>
            <w:noWrap w:val="0"/>
            <w:vAlign w:val="top"/>
          </w:tcPr>
          <w:p w14:paraId="6B5D303F">
            <w:pPr>
              <w:spacing w:line="360" w:lineRule="auto"/>
              <w:jc w:val="center"/>
              <w:rPr>
                <w:color w:val="auto"/>
                <w:szCs w:val="21"/>
                <w:highlight w:val="none"/>
              </w:rPr>
            </w:pPr>
          </w:p>
        </w:tc>
        <w:tc>
          <w:tcPr>
            <w:tcW w:w="850" w:type="dxa"/>
            <w:noWrap w:val="0"/>
            <w:vAlign w:val="top"/>
          </w:tcPr>
          <w:p w14:paraId="40CFDFC8">
            <w:pPr>
              <w:spacing w:line="360" w:lineRule="auto"/>
              <w:jc w:val="center"/>
              <w:rPr>
                <w:color w:val="auto"/>
                <w:szCs w:val="21"/>
                <w:highlight w:val="none"/>
              </w:rPr>
            </w:pPr>
          </w:p>
        </w:tc>
        <w:tc>
          <w:tcPr>
            <w:tcW w:w="992" w:type="dxa"/>
            <w:noWrap w:val="0"/>
            <w:vAlign w:val="top"/>
          </w:tcPr>
          <w:p w14:paraId="64C0CED5">
            <w:pPr>
              <w:spacing w:line="360" w:lineRule="auto"/>
              <w:jc w:val="center"/>
              <w:rPr>
                <w:color w:val="auto"/>
                <w:szCs w:val="21"/>
                <w:highlight w:val="none"/>
              </w:rPr>
            </w:pPr>
          </w:p>
        </w:tc>
        <w:tc>
          <w:tcPr>
            <w:tcW w:w="1419" w:type="dxa"/>
            <w:noWrap w:val="0"/>
            <w:vAlign w:val="top"/>
          </w:tcPr>
          <w:p w14:paraId="598020A8">
            <w:pPr>
              <w:spacing w:line="360" w:lineRule="auto"/>
              <w:jc w:val="center"/>
              <w:rPr>
                <w:color w:val="auto"/>
                <w:szCs w:val="21"/>
                <w:highlight w:val="none"/>
              </w:rPr>
            </w:pPr>
          </w:p>
        </w:tc>
        <w:tc>
          <w:tcPr>
            <w:tcW w:w="1162" w:type="dxa"/>
            <w:noWrap w:val="0"/>
            <w:vAlign w:val="top"/>
          </w:tcPr>
          <w:p w14:paraId="14771A4A">
            <w:pPr>
              <w:spacing w:line="360" w:lineRule="auto"/>
              <w:jc w:val="center"/>
              <w:rPr>
                <w:color w:val="auto"/>
                <w:szCs w:val="21"/>
                <w:highlight w:val="none"/>
              </w:rPr>
            </w:pPr>
          </w:p>
        </w:tc>
      </w:tr>
      <w:tr w14:paraId="09C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0D36B38">
            <w:pPr>
              <w:spacing w:line="360" w:lineRule="auto"/>
              <w:jc w:val="center"/>
              <w:rPr>
                <w:color w:val="auto"/>
                <w:szCs w:val="21"/>
                <w:highlight w:val="none"/>
              </w:rPr>
            </w:pPr>
            <w:r>
              <w:rPr>
                <w:rFonts w:hint="eastAsia" w:ascii="宋体" w:hAnsi="宋体" w:cs="宋体"/>
                <w:color w:val="auto"/>
                <w:szCs w:val="21"/>
                <w:highlight w:val="none"/>
              </w:rPr>
              <w:t>16</w:t>
            </w:r>
          </w:p>
        </w:tc>
        <w:tc>
          <w:tcPr>
            <w:tcW w:w="1275" w:type="dxa"/>
            <w:noWrap w:val="0"/>
            <w:vAlign w:val="top"/>
          </w:tcPr>
          <w:p w14:paraId="06F87122">
            <w:pPr>
              <w:spacing w:line="360" w:lineRule="auto"/>
              <w:jc w:val="center"/>
              <w:rPr>
                <w:color w:val="auto"/>
                <w:szCs w:val="21"/>
                <w:highlight w:val="none"/>
              </w:rPr>
            </w:pPr>
            <w:r>
              <w:rPr>
                <w:rFonts w:hint="eastAsia" w:ascii="宋体" w:hAnsi="宋体" w:cs="宋体"/>
                <w:color w:val="auto"/>
                <w:szCs w:val="21"/>
                <w:highlight w:val="none"/>
              </w:rPr>
              <w:t>裂缝测宽仪</w:t>
            </w:r>
          </w:p>
        </w:tc>
        <w:tc>
          <w:tcPr>
            <w:tcW w:w="936" w:type="dxa"/>
            <w:noWrap w:val="0"/>
            <w:vAlign w:val="top"/>
          </w:tcPr>
          <w:p w14:paraId="53FF382E">
            <w:pPr>
              <w:spacing w:line="360" w:lineRule="auto"/>
              <w:jc w:val="center"/>
              <w:rPr>
                <w:color w:val="auto"/>
                <w:szCs w:val="21"/>
                <w:highlight w:val="none"/>
              </w:rPr>
            </w:pPr>
          </w:p>
        </w:tc>
        <w:tc>
          <w:tcPr>
            <w:tcW w:w="747" w:type="dxa"/>
            <w:noWrap w:val="0"/>
            <w:vAlign w:val="top"/>
          </w:tcPr>
          <w:p w14:paraId="444BA7D7">
            <w:pPr>
              <w:spacing w:line="360" w:lineRule="auto"/>
              <w:jc w:val="center"/>
              <w:rPr>
                <w:color w:val="auto"/>
                <w:szCs w:val="21"/>
                <w:highlight w:val="none"/>
              </w:rPr>
            </w:pPr>
          </w:p>
        </w:tc>
        <w:tc>
          <w:tcPr>
            <w:tcW w:w="850" w:type="dxa"/>
            <w:noWrap w:val="0"/>
            <w:vAlign w:val="top"/>
          </w:tcPr>
          <w:p w14:paraId="4C48B144">
            <w:pPr>
              <w:spacing w:line="360" w:lineRule="auto"/>
              <w:jc w:val="center"/>
              <w:rPr>
                <w:color w:val="auto"/>
                <w:szCs w:val="21"/>
                <w:highlight w:val="none"/>
              </w:rPr>
            </w:pPr>
          </w:p>
        </w:tc>
        <w:tc>
          <w:tcPr>
            <w:tcW w:w="992" w:type="dxa"/>
            <w:noWrap w:val="0"/>
            <w:vAlign w:val="top"/>
          </w:tcPr>
          <w:p w14:paraId="4646EF4F">
            <w:pPr>
              <w:spacing w:line="360" w:lineRule="auto"/>
              <w:jc w:val="center"/>
              <w:rPr>
                <w:color w:val="auto"/>
                <w:szCs w:val="21"/>
                <w:highlight w:val="none"/>
              </w:rPr>
            </w:pPr>
          </w:p>
        </w:tc>
        <w:tc>
          <w:tcPr>
            <w:tcW w:w="1419" w:type="dxa"/>
            <w:noWrap w:val="0"/>
            <w:vAlign w:val="top"/>
          </w:tcPr>
          <w:p w14:paraId="71744980">
            <w:pPr>
              <w:spacing w:line="360" w:lineRule="auto"/>
              <w:jc w:val="center"/>
              <w:rPr>
                <w:color w:val="auto"/>
                <w:szCs w:val="21"/>
                <w:highlight w:val="none"/>
              </w:rPr>
            </w:pPr>
          </w:p>
        </w:tc>
        <w:tc>
          <w:tcPr>
            <w:tcW w:w="1162" w:type="dxa"/>
            <w:noWrap w:val="0"/>
            <w:vAlign w:val="top"/>
          </w:tcPr>
          <w:p w14:paraId="650BCA5C">
            <w:pPr>
              <w:spacing w:line="360" w:lineRule="auto"/>
              <w:jc w:val="center"/>
              <w:rPr>
                <w:color w:val="auto"/>
                <w:szCs w:val="21"/>
                <w:highlight w:val="none"/>
              </w:rPr>
            </w:pPr>
          </w:p>
        </w:tc>
      </w:tr>
      <w:tr w14:paraId="6429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0773519">
            <w:pPr>
              <w:spacing w:line="360" w:lineRule="auto"/>
              <w:jc w:val="center"/>
              <w:rPr>
                <w:color w:val="auto"/>
                <w:szCs w:val="21"/>
                <w:highlight w:val="none"/>
              </w:rPr>
            </w:pPr>
            <w:r>
              <w:rPr>
                <w:rFonts w:hint="eastAsia" w:ascii="宋体" w:hAnsi="宋体" w:cs="宋体"/>
                <w:color w:val="auto"/>
                <w:szCs w:val="21"/>
                <w:highlight w:val="none"/>
              </w:rPr>
              <w:t>17</w:t>
            </w:r>
          </w:p>
        </w:tc>
        <w:tc>
          <w:tcPr>
            <w:tcW w:w="1275" w:type="dxa"/>
            <w:noWrap w:val="0"/>
            <w:vAlign w:val="top"/>
          </w:tcPr>
          <w:p w14:paraId="4D0C11E3">
            <w:pPr>
              <w:spacing w:line="360" w:lineRule="auto"/>
              <w:jc w:val="center"/>
              <w:rPr>
                <w:color w:val="auto"/>
                <w:szCs w:val="21"/>
                <w:highlight w:val="none"/>
              </w:rPr>
            </w:pPr>
            <w:r>
              <w:rPr>
                <w:rFonts w:hint="eastAsia" w:ascii="宋体" w:hAnsi="宋体" w:cs="宋体"/>
                <w:color w:val="auto"/>
                <w:szCs w:val="21"/>
                <w:highlight w:val="none"/>
              </w:rPr>
              <w:t>兆欧表</w:t>
            </w:r>
          </w:p>
        </w:tc>
        <w:tc>
          <w:tcPr>
            <w:tcW w:w="936" w:type="dxa"/>
            <w:noWrap w:val="0"/>
            <w:vAlign w:val="top"/>
          </w:tcPr>
          <w:p w14:paraId="1C6F489A">
            <w:pPr>
              <w:spacing w:line="360" w:lineRule="auto"/>
              <w:jc w:val="center"/>
              <w:rPr>
                <w:color w:val="auto"/>
                <w:szCs w:val="21"/>
                <w:highlight w:val="none"/>
              </w:rPr>
            </w:pPr>
          </w:p>
        </w:tc>
        <w:tc>
          <w:tcPr>
            <w:tcW w:w="747" w:type="dxa"/>
            <w:noWrap w:val="0"/>
            <w:vAlign w:val="top"/>
          </w:tcPr>
          <w:p w14:paraId="1E608F23">
            <w:pPr>
              <w:spacing w:line="360" w:lineRule="auto"/>
              <w:jc w:val="center"/>
              <w:rPr>
                <w:color w:val="auto"/>
                <w:szCs w:val="21"/>
                <w:highlight w:val="none"/>
              </w:rPr>
            </w:pPr>
          </w:p>
        </w:tc>
        <w:tc>
          <w:tcPr>
            <w:tcW w:w="850" w:type="dxa"/>
            <w:noWrap w:val="0"/>
            <w:vAlign w:val="top"/>
          </w:tcPr>
          <w:p w14:paraId="77CCB5ED">
            <w:pPr>
              <w:spacing w:line="360" w:lineRule="auto"/>
              <w:jc w:val="center"/>
              <w:rPr>
                <w:color w:val="auto"/>
                <w:szCs w:val="21"/>
                <w:highlight w:val="none"/>
              </w:rPr>
            </w:pPr>
          </w:p>
        </w:tc>
        <w:tc>
          <w:tcPr>
            <w:tcW w:w="992" w:type="dxa"/>
            <w:noWrap w:val="0"/>
            <w:vAlign w:val="top"/>
          </w:tcPr>
          <w:p w14:paraId="4BC4E8F7">
            <w:pPr>
              <w:spacing w:line="360" w:lineRule="auto"/>
              <w:jc w:val="center"/>
              <w:rPr>
                <w:color w:val="auto"/>
                <w:szCs w:val="21"/>
                <w:highlight w:val="none"/>
              </w:rPr>
            </w:pPr>
          </w:p>
        </w:tc>
        <w:tc>
          <w:tcPr>
            <w:tcW w:w="1419" w:type="dxa"/>
            <w:noWrap w:val="0"/>
            <w:vAlign w:val="top"/>
          </w:tcPr>
          <w:p w14:paraId="3E02D44C">
            <w:pPr>
              <w:spacing w:line="360" w:lineRule="auto"/>
              <w:jc w:val="center"/>
              <w:rPr>
                <w:color w:val="auto"/>
                <w:szCs w:val="21"/>
                <w:highlight w:val="none"/>
              </w:rPr>
            </w:pPr>
          </w:p>
        </w:tc>
        <w:tc>
          <w:tcPr>
            <w:tcW w:w="1162" w:type="dxa"/>
            <w:noWrap w:val="0"/>
            <w:vAlign w:val="top"/>
          </w:tcPr>
          <w:p w14:paraId="50FFDC32">
            <w:pPr>
              <w:spacing w:line="360" w:lineRule="auto"/>
              <w:jc w:val="center"/>
              <w:rPr>
                <w:color w:val="auto"/>
                <w:szCs w:val="21"/>
                <w:highlight w:val="none"/>
              </w:rPr>
            </w:pPr>
          </w:p>
        </w:tc>
      </w:tr>
      <w:tr w14:paraId="7717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A595328">
            <w:pPr>
              <w:spacing w:line="360" w:lineRule="auto"/>
              <w:jc w:val="center"/>
              <w:rPr>
                <w:color w:val="auto"/>
                <w:szCs w:val="21"/>
                <w:highlight w:val="none"/>
              </w:rPr>
            </w:pPr>
            <w:r>
              <w:rPr>
                <w:rFonts w:hint="eastAsia" w:ascii="宋体" w:hAnsi="宋体" w:cs="宋体"/>
                <w:color w:val="auto"/>
                <w:szCs w:val="21"/>
                <w:highlight w:val="none"/>
              </w:rPr>
              <w:t>18</w:t>
            </w:r>
          </w:p>
        </w:tc>
        <w:tc>
          <w:tcPr>
            <w:tcW w:w="1275" w:type="dxa"/>
            <w:noWrap w:val="0"/>
            <w:vAlign w:val="top"/>
          </w:tcPr>
          <w:p w14:paraId="16FD34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漏电测试仪</w:t>
            </w:r>
          </w:p>
        </w:tc>
        <w:tc>
          <w:tcPr>
            <w:tcW w:w="936" w:type="dxa"/>
            <w:noWrap w:val="0"/>
            <w:vAlign w:val="top"/>
          </w:tcPr>
          <w:p w14:paraId="177C124D">
            <w:pPr>
              <w:spacing w:line="360" w:lineRule="auto"/>
              <w:jc w:val="center"/>
              <w:rPr>
                <w:color w:val="auto"/>
                <w:szCs w:val="21"/>
                <w:highlight w:val="none"/>
              </w:rPr>
            </w:pPr>
          </w:p>
        </w:tc>
        <w:tc>
          <w:tcPr>
            <w:tcW w:w="747" w:type="dxa"/>
            <w:noWrap w:val="0"/>
            <w:vAlign w:val="top"/>
          </w:tcPr>
          <w:p w14:paraId="4F91FB38">
            <w:pPr>
              <w:spacing w:line="360" w:lineRule="auto"/>
              <w:jc w:val="center"/>
              <w:rPr>
                <w:color w:val="auto"/>
                <w:szCs w:val="21"/>
                <w:highlight w:val="none"/>
              </w:rPr>
            </w:pPr>
          </w:p>
        </w:tc>
        <w:tc>
          <w:tcPr>
            <w:tcW w:w="850" w:type="dxa"/>
            <w:noWrap w:val="0"/>
            <w:vAlign w:val="top"/>
          </w:tcPr>
          <w:p w14:paraId="1D012183">
            <w:pPr>
              <w:spacing w:line="360" w:lineRule="auto"/>
              <w:jc w:val="center"/>
              <w:rPr>
                <w:color w:val="auto"/>
                <w:szCs w:val="21"/>
                <w:highlight w:val="none"/>
              </w:rPr>
            </w:pPr>
          </w:p>
        </w:tc>
        <w:tc>
          <w:tcPr>
            <w:tcW w:w="992" w:type="dxa"/>
            <w:noWrap w:val="0"/>
            <w:vAlign w:val="top"/>
          </w:tcPr>
          <w:p w14:paraId="3177D16F">
            <w:pPr>
              <w:spacing w:line="360" w:lineRule="auto"/>
              <w:jc w:val="center"/>
              <w:rPr>
                <w:color w:val="auto"/>
                <w:szCs w:val="21"/>
                <w:highlight w:val="none"/>
              </w:rPr>
            </w:pPr>
          </w:p>
        </w:tc>
        <w:tc>
          <w:tcPr>
            <w:tcW w:w="1419" w:type="dxa"/>
            <w:noWrap w:val="0"/>
            <w:vAlign w:val="top"/>
          </w:tcPr>
          <w:p w14:paraId="5F71838C">
            <w:pPr>
              <w:spacing w:line="360" w:lineRule="auto"/>
              <w:jc w:val="center"/>
              <w:rPr>
                <w:color w:val="auto"/>
                <w:szCs w:val="21"/>
                <w:highlight w:val="none"/>
              </w:rPr>
            </w:pPr>
          </w:p>
        </w:tc>
        <w:tc>
          <w:tcPr>
            <w:tcW w:w="1162" w:type="dxa"/>
            <w:noWrap w:val="0"/>
            <w:vAlign w:val="top"/>
          </w:tcPr>
          <w:p w14:paraId="1519C1D4">
            <w:pPr>
              <w:spacing w:line="360" w:lineRule="auto"/>
              <w:jc w:val="center"/>
              <w:rPr>
                <w:color w:val="auto"/>
                <w:szCs w:val="21"/>
                <w:highlight w:val="none"/>
              </w:rPr>
            </w:pPr>
          </w:p>
        </w:tc>
      </w:tr>
      <w:tr w14:paraId="475E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D29CBBE">
            <w:pPr>
              <w:spacing w:line="360" w:lineRule="auto"/>
              <w:jc w:val="center"/>
              <w:rPr>
                <w:color w:val="auto"/>
                <w:szCs w:val="21"/>
                <w:highlight w:val="none"/>
              </w:rPr>
            </w:pPr>
            <w:r>
              <w:rPr>
                <w:rFonts w:hint="eastAsia" w:ascii="宋体" w:hAnsi="宋体" w:cs="宋体"/>
                <w:color w:val="auto"/>
                <w:szCs w:val="21"/>
                <w:highlight w:val="none"/>
              </w:rPr>
              <w:t>19</w:t>
            </w:r>
          </w:p>
        </w:tc>
        <w:tc>
          <w:tcPr>
            <w:tcW w:w="1275" w:type="dxa"/>
            <w:noWrap w:val="0"/>
            <w:vAlign w:val="top"/>
          </w:tcPr>
          <w:p w14:paraId="7BA0D0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相位检测仪</w:t>
            </w:r>
          </w:p>
        </w:tc>
        <w:tc>
          <w:tcPr>
            <w:tcW w:w="936" w:type="dxa"/>
            <w:noWrap w:val="0"/>
            <w:vAlign w:val="top"/>
          </w:tcPr>
          <w:p w14:paraId="4FB63B03">
            <w:pPr>
              <w:spacing w:line="360" w:lineRule="auto"/>
              <w:jc w:val="center"/>
              <w:rPr>
                <w:color w:val="auto"/>
                <w:szCs w:val="21"/>
                <w:highlight w:val="none"/>
              </w:rPr>
            </w:pPr>
          </w:p>
        </w:tc>
        <w:tc>
          <w:tcPr>
            <w:tcW w:w="747" w:type="dxa"/>
            <w:noWrap w:val="0"/>
            <w:vAlign w:val="top"/>
          </w:tcPr>
          <w:p w14:paraId="58EF8D20">
            <w:pPr>
              <w:spacing w:line="360" w:lineRule="auto"/>
              <w:jc w:val="center"/>
              <w:rPr>
                <w:color w:val="auto"/>
                <w:szCs w:val="21"/>
                <w:highlight w:val="none"/>
              </w:rPr>
            </w:pPr>
          </w:p>
        </w:tc>
        <w:tc>
          <w:tcPr>
            <w:tcW w:w="850" w:type="dxa"/>
            <w:noWrap w:val="0"/>
            <w:vAlign w:val="top"/>
          </w:tcPr>
          <w:p w14:paraId="5C6C4704">
            <w:pPr>
              <w:spacing w:line="360" w:lineRule="auto"/>
              <w:jc w:val="center"/>
              <w:rPr>
                <w:color w:val="auto"/>
                <w:szCs w:val="21"/>
                <w:highlight w:val="none"/>
              </w:rPr>
            </w:pPr>
          </w:p>
        </w:tc>
        <w:tc>
          <w:tcPr>
            <w:tcW w:w="992" w:type="dxa"/>
            <w:noWrap w:val="0"/>
            <w:vAlign w:val="top"/>
          </w:tcPr>
          <w:p w14:paraId="5BD7F5D0">
            <w:pPr>
              <w:spacing w:line="360" w:lineRule="auto"/>
              <w:jc w:val="center"/>
              <w:rPr>
                <w:color w:val="auto"/>
                <w:szCs w:val="21"/>
                <w:highlight w:val="none"/>
              </w:rPr>
            </w:pPr>
          </w:p>
        </w:tc>
        <w:tc>
          <w:tcPr>
            <w:tcW w:w="1419" w:type="dxa"/>
            <w:noWrap w:val="0"/>
            <w:vAlign w:val="top"/>
          </w:tcPr>
          <w:p w14:paraId="0479E6A7">
            <w:pPr>
              <w:spacing w:line="360" w:lineRule="auto"/>
              <w:jc w:val="center"/>
              <w:rPr>
                <w:color w:val="auto"/>
                <w:szCs w:val="21"/>
                <w:highlight w:val="none"/>
              </w:rPr>
            </w:pPr>
          </w:p>
        </w:tc>
        <w:tc>
          <w:tcPr>
            <w:tcW w:w="1162" w:type="dxa"/>
            <w:noWrap w:val="0"/>
            <w:vAlign w:val="top"/>
          </w:tcPr>
          <w:p w14:paraId="3A1B6D56">
            <w:pPr>
              <w:spacing w:line="360" w:lineRule="auto"/>
              <w:jc w:val="center"/>
              <w:rPr>
                <w:color w:val="auto"/>
                <w:szCs w:val="21"/>
                <w:highlight w:val="none"/>
              </w:rPr>
            </w:pPr>
          </w:p>
        </w:tc>
      </w:tr>
      <w:tr w14:paraId="5B24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3B3BFD2">
            <w:pPr>
              <w:spacing w:line="360" w:lineRule="auto"/>
              <w:jc w:val="center"/>
              <w:rPr>
                <w:color w:val="auto"/>
                <w:szCs w:val="21"/>
                <w:highlight w:val="none"/>
              </w:rPr>
            </w:pPr>
            <w:r>
              <w:rPr>
                <w:rFonts w:hint="eastAsia" w:ascii="宋体" w:hAnsi="宋体" w:cs="宋体"/>
                <w:color w:val="auto"/>
                <w:szCs w:val="21"/>
                <w:highlight w:val="none"/>
              </w:rPr>
              <w:t>20</w:t>
            </w:r>
          </w:p>
        </w:tc>
        <w:tc>
          <w:tcPr>
            <w:tcW w:w="1275" w:type="dxa"/>
            <w:noWrap w:val="0"/>
            <w:vAlign w:val="top"/>
          </w:tcPr>
          <w:p w14:paraId="053F372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影像记录仪（可使用手机替代）</w:t>
            </w:r>
          </w:p>
        </w:tc>
        <w:tc>
          <w:tcPr>
            <w:tcW w:w="936" w:type="dxa"/>
            <w:noWrap w:val="0"/>
            <w:vAlign w:val="top"/>
          </w:tcPr>
          <w:p w14:paraId="0E31DB67">
            <w:pPr>
              <w:spacing w:line="360" w:lineRule="auto"/>
              <w:jc w:val="center"/>
              <w:rPr>
                <w:color w:val="auto"/>
                <w:szCs w:val="21"/>
                <w:highlight w:val="none"/>
              </w:rPr>
            </w:pPr>
          </w:p>
        </w:tc>
        <w:tc>
          <w:tcPr>
            <w:tcW w:w="747" w:type="dxa"/>
            <w:noWrap w:val="0"/>
            <w:vAlign w:val="top"/>
          </w:tcPr>
          <w:p w14:paraId="1A2B63B5">
            <w:pPr>
              <w:spacing w:line="360" w:lineRule="auto"/>
              <w:jc w:val="center"/>
              <w:rPr>
                <w:color w:val="auto"/>
                <w:szCs w:val="21"/>
                <w:highlight w:val="none"/>
              </w:rPr>
            </w:pPr>
          </w:p>
        </w:tc>
        <w:tc>
          <w:tcPr>
            <w:tcW w:w="850" w:type="dxa"/>
            <w:noWrap w:val="0"/>
            <w:vAlign w:val="top"/>
          </w:tcPr>
          <w:p w14:paraId="2A4857B3">
            <w:pPr>
              <w:spacing w:line="360" w:lineRule="auto"/>
              <w:jc w:val="center"/>
              <w:rPr>
                <w:color w:val="auto"/>
                <w:szCs w:val="21"/>
                <w:highlight w:val="none"/>
              </w:rPr>
            </w:pPr>
          </w:p>
        </w:tc>
        <w:tc>
          <w:tcPr>
            <w:tcW w:w="992" w:type="dxa"/>
            <w:noWrap w:val="0"/>
            <w:vAlign w:val="top"/>
          </w:tcPr>
          <w:p w14:paraId="5BB57B18">
            <w:pPr>
              <w:spacing w:line="360" w:lineRule="auto"/>
              <w:jc w:val="center"/>
              <w:rPr>
                <w:color w:val="auto"/>
                <w:szCs w:val="21"/>
                <w:highlight w:val="none"/>
              </w:rPr>
            </w:pPr>
          </w:p>
        </w:tc>
        <w:tc>
          <w:tcPr>
            <w:tcW w:w="1419" w:type="dxa"/>
            <w:noWrap w:val="0"/>
            <w:vAlign w:val="top"/>
          </w:tcPr>
          <w:p w14:paraId="687C5581">
            <w:pPr>
              <w:spacing w:line="360" w:lineRule="auto"/>
              <w:jc w:val="center"/>
              <w:rPr>
                <w:color w:val="auto"/>
                <w:szCs w:val="21"/>
                <w:highlight w:val="none"/>
              </w:rPr>
            </w:pPr>
          </w:p>
        </w:tc>
        <w:tc>
          <w:tcPr>
            <w:tcW w:w="1162" w:type="dxa"/>
            <w:noWrap w:val="0"/>
            <w:vAlign w:val="top"/>
          </w:tcPr>
          <w:p w14:paraId="1BEAF3B9">
            <w:pPr>
              <w:spacing w:line="360" w:lineRule="auto"/>
              <w:jc w:val="center"/>
              <w:rPr>
                <w:color w:val="auto"/>
                <w:szCs w:val="21"/>
                <w:highlight w:val="none"/>
              </w:rPr>
            </w:pPr>
          </w:p>
        </w:tc>
      </w:tr>
      <w:tr w14:paraId="36D1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623D3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75" w:type="dxa"/>
            <w:noWrap w:val="0"/>
            <w:vAlign w:val="top"/>
          </w:tcPr>
          <w:p w14:paraId="530349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936" w:type="dxa"/>
            <w:noWrap w:val="0"/>
            <w:vAlign w:val="top"/>
          </w:tcPr>
          <w:p w14:paraId="5DB8027C">
            <w:pPr>
              <w:spacing w:line="360" w:lineRule="auto"/>
              <w:jc w:val="center"/>
              <w:rPr>
                <w:color w:val="auto"/>
                <w:szCs w:val="21"/>
                <w:highlight w:val="none"/>
              </w:rPr>
            </w:pPr>
          </w:p>
        </w:tc>
        <w:tc>
          <w:tcPr>
            <w:tcW w:w="747" w:type="dxa"/>
            <w:noWrap w:val="0"/>
            <w:vAlign w:val="top"/>
          </w:tcPr>
          <w:p w14:paraId="27C217D4">
            <w:pPr>
              <w:spacing w:line="360" w:lineRule="auto"/>
              <w:jc w:val="center"/>
              <w:rPr>
                <w:color w:val="auto"/>
                <w:szCs w:val="21"/>
                <w:highlight w:val="none"/>
              </w:rPr>
            </w:pPr>
          </w:p>
        </w:tc>
        <w:tc>
          <w:tcPr>
            <w:tcW w:w="850" w:type="dxa"/>
            <w:noWrap w:val="0"/>
            <w:vAlign w:val="top"/>
          </w:tcPr>
          <w:p w14:paraId="005C28A5">
            <w:pPr>
              <w:spacing w:line="360" w:lineRule="auto"/>
              <w:jc w:val="center"/>
              <w:rPr>
                <w:color w:val="auto"/>
                <w:szCs w:val="21"/>
                <w:highlight w:val="none"/>
              </w:rPr>
            </w:pPr>
          </w:p>
        </w:tc>
        <w:tc>
          <w:tcPr>
            <w:tcW w:w="992" w:type="dxa"/>
            <w:noWrap w:val="0"/>
            <w:vAlign w:val="top"/>
          </w:tcPr>
          <w:p w14:paraId="02159031">
            <w:pPr>
              <w:spacing w:line="360" w:lineRule="auto"/>
              <w:jc w:val="center"/>
              <w:rPr>
                <w:color w:val="auto"/>
                <w:szCs w:val="21"/>
                <w:highlight w:val="none"/>
              </w:rPr>
            </w:pPr>
          </w:p>
        </w:tc>
        <w:tc>
          <w:tcPr>
            <w:tcW w:w="1419" w:type="dxa"/>
            <w:noWrap w:val="0"/>
            <w:vAlign w:val="top"/>
          </w:tcPr>
          <w:p w14:paraId="4EB07D87">
            <w:pPr>
              <w:spacing w:line="360" w:lineRule="auto"/>
              <w:jc w:val="center"/>
              <w:rPr>
                <w:color w:val="auto"/>
                <w:szCs w:val="21"/>
                <w:highlight w:val="none"/>
              </w:rPr>
            </w:pPr>
          </w:p>
        </w:tc>
        <w:tc>
          <w:tcPr>
            <w:tcW w:w="1162" w:type="dxa"/>
            <w:noWrap w:val="0"/>
            <w:vAlign w:val="top"/>
          </w:tcPr>
          <w:p w14:paraId="37F5BA27">
            <w:pPr>
              <w:spacing w:line="360" w:lineRule="auto"/>
              <w:jc w:val="center"/>
              <w:rPr>
                <w:color w:val="auto"/>
                <w:szCs w:val="21"/>
                <w:highlight w:val="none"/>
              </w:rPr>
            </w:pPr>
          </w:p>
        </w:tc>
      </w:tr>
    </w:tbl>
    <w:p w14:paraId="09F8701E">
      <w:pPr>
        <w:spacing w:line="360" w:lineRule="auto"/>
        <w:rPr>
          <w:rFonts w:hint="eastAsia" w:ascii="宋体" w:hAnsi="宋体"/>
          <w:color w:val="auto"/>
          <w:spacing w:val="4"/>
          <w:szCs w:val="21"/>
          <w:highlight w:val="none"/>
          <w:lang w:eastAsia="zh-CN"/>
        </w:rPr>
      </w:pPr>
      <w:r>
        <w:rPr>
          <w:rFonts w:hint="eastAsia"/>
          <w:color w:val="auto"/>
          <w:szCs w:val="21"/>
          <w:highlight w:val="none"/>
          <w:lang w:val="en-US" w:eastAsia="zh-CN"/>
        </w:rPr>
        <w:t>备注：</w:t>
      </w:r>
      <w:r>
        <w:rPr>
          <w:rFonts w:hint="eastAsia" w:ascii="宋体" w:hAnsi="宋体"/>
          <w:color w:val="auto"/>
          <w:spacing w:val="4"/>
          <w:szCs w:val="21"/>
          <w:highlight w:val="none"/>
        </w:rPr>
        <w:t>投标人可自行补充其他拟投入本项目的监理设施</w:t>
      </w:r>
      <w:r>
        <w:rPr>
          <w:rFonts w:hint="eastAsia" w:ascii="宋体" w:hAnsi="宋体"/>
          <w:color w:val="auto"/>
          <w:spacing w:val="4"/>
          <w:szCs w:val="21"/>
          <w:highlight w:val="none"/>
          <w:lang w:eastAsia="zh-CN"/>
        </w:rPr>
        <w:t>。</w:t>
      </w:r>
    </w:p>
    <w:p w14:paraId="6804A34D">
      <w:pPr>
        <w:spacing w:line="360" w:lineRule="auto"/>
        <w:rPr>
          <w:rFonts w:hint="eastAsia" w:ascii="宋体" w:hAnsi="宋体"/>
          <w:color w:val="auto"/>
          <w:spacing w:val="4"/>
          <w:szCs w:val="21"/>
          <w:highlight w:val="none"/>
          <w:lang w:eastAsia="zh-CN"/>
        </w:rPr>
      </w:pPr>
    </w:p>
    <w:p w14:paraId="0AF98C8B">
      <w:pPr>
        <w:spacing w:line="360" w:lineRule="auto"/>
        <w:rPr>
          <w:rFonts w:hint="eastAsia" w:ascii="宋体" w:hAnsi="宋体"/>
          <w:color w:val="auto"/>
          <w:spacing w:val="4"/>
          <w:szCs w:val="21"/>
          <w:highlight w:val="none"/>
          <w:lang w:eastAsia="zh-CN"/>
        </w:rPr>
      </w:pPr>
    </w:p>
    <w:p w14:paraId="5F54CBBB">
      <w:pPr>
        <w:spacing w:line="360" w:lineRule="auto"/>
        <w:rPr>
          <w:rFonts w:hint="eastAsia" w:ascii="宋体" w:hAnsi="宋体"/>
          <w:color w:val="auto"/>
          <w:spacing w:val="4"/>
          <w:szCs w:val="21"/>
          <w:highlight w:val="none"/>
          <w:lang w:eastAsia="zh-CN"/>
        </w:rPr>
      </w:pPr>
    </w:p>
    <w:p w14:paraId="547A1506">
      <w:pPr>
        <w:spacing w:line="360" w:lineRule="auto"/>
        <w:rPr>
          <w:rFonts w:hint="eastAsia" w:ascii="宋体" w:hAnsi="宋体"/>
          <w:color w:val="auto"/>
          <w:spacing w:val="4"/>
          <w:szCs w:val="21"/>
          <w:highlight w:val="none"/>
          <w:lang w:eastAsia="zh-CN"/>
        </w:rPr>
      </w:pPr>
    </w:p>
    <w:p w14:paraId="3403D43E">
      <w:pPr>
        <w:spacing w:line="360" w:lineRule="auto"/>
        <w:rPr>
          <w:rFonts w:hint="eastAsia" w:ascii="宋体" w:hAnsi="宋体"/>
          <w:color w:val="auto"/>
          <w:spacing w:val="4"/>
          <w:szCs w:val="21"/>
          <w:highlight w:val="none"/>
          <w:lang w:eastAsia="zh-CN"/>
        </w:rPr>
      </w:pPr>
    </w:p>
    <w:p w14:paraId="3698A2E1">
      <w:pPr>
        <w:spacing w:line="360" w:lineRule="auto"/>
        <w:rPr>
          <w:rFonts w:hint="eastAsia" w:ascii="宋体" w:hAnsi="宋体"/>
          <w:color w:val="auto"/>
          <w:spacing w:val="4"/>
          <w:szCs w:val="21"/>
          <w:highlight w:val="none"/>
          <w:lang w:eastAsia="zh-CN"/>
        </w:rPr>
      </w:pPr>
    </w:p>
    <w:p w14:paraId="5720849D">
      <w:pPr>
        <w:spacing w:line="360" w:lineRule="auto"/>
        <w:rPr>
          <w:rFonts w:hint="eastAsia" w:ascii="宋体" w:hAnsi="宋体"/>
          <w:color w:val="auto"/>
          <w:spacing w:val="4"/>
          <w:szCs w:val="21"/>
          <w:highlight w:val="none"/>
          <w:lang w:eastAsia="zh-CN"/>
        </w:rPr>
      </w:pPr>
    </w:p>
    <w:p w14:paraId="1912CD20">
      <w:pPr>
        <w:spacing w:line="360" w:lineRule="auto"/>
        <w:rPr>
          <w:rFonts w:hint="eastAsia" w:ascii="宋体" w:hAnsi="宋体"/>
          <w:color w:val="auto"/>
          <w:spacing w:val="4"/>
          <w:szCs w:val="21"/>
          <w:highlight w:val="none"/>
          <w:lang w:eastAsia="zh-CN"/>
        </w:rPr>
      </w:pPr>
    </w:p>
    <w:p w14:paraId="3CF20CBB">
      <w:pPr>
        <w:spacing w:line="360" w:lineRule="auto"/>
        <w:rPr>
          <w:rFonts w:hint="eastAsia" w:ascii="宋体" w:hAnsi="宋体"/>
          <w:color w:val="auto"/>
          <w:spacing w:val="4"/>
          <w:szCs w:val="21"/>
          <w:highlight w:val="none"/>
          <w:lang w:eastAsia="zh-CN"/>
        </w:rPr>
      </w:pPr>
    </w:p>
    <w:p w14:paraId="74310A76">
      <w:pPr>
        <w:spacing w:line="360" w:lineRule="auto"/>
        <w:rPr>
          <w:rFonts w:hint="eastAsia" w:ascii="宋体" w:hAnsi="宋体"/>
          <w:color w:val="auto"/>
          <w:spacing w:val="4"/>
          <w:szCs w:val="21"/>
          <w:highlight w:val="none"/>
          <w:lang w:eastAsia="zh-CN"/>
        </w:rPr>
      </w:pPr>
    </w:p>
    <w:p w14:paraId="5769FAEE">
      <w:pPr>
        <w:spacing w:line="360" w:lineRule="auto"/>
        <w:rPr>
          <w:rFonts w:hint="eastAsia" w:ascii="宋体" w:hAnsi="宋体"/>
          <w:color w:val="auto"/>
          <w:spacing w:val="4"/>
          <w:szCs w:val="21"/>
          <w:highlight w:val="none"/>
          <w:lang w:eastAsia="zh-CN"/>
        </w:rPr>
      </w:pPr>
    </w:p>
    <w:p w14:paraId="061DBBB5">
      <w:pPr>
        <w:spacing w:line="360" w:lineRule="auto"/>
        <w:rPr>
          <w:rFonts w:hint="eastAsia" w:ascii="宋体" w:hAnsi="宋体"/>
          <w:color w:val="auto"/>
          <w:spacing w:val="4"/>
          <w:szCs w:val="21"/>
          <w:highlight w:val="none"/>
          <w:lang w:eastAsia="zh-CN"/>
        </w:rPr>
      </w:pPr>
    </w:p>
    <w:p w14:paraId="4714BE2F">
      <w:pPr>
        <w:spacing w:line="360" w:lineRule="auto"/>
        <w:rPr>
          <w:rFonts w:hint="eastAsia" w:ascii="宋体" w:hAnsi="宋体"/>
          <w:color w:val="auto"/>
          <w:spacing w:val="4"/>
          <w:szCs w:val="21"/>
          <w:highlight w:val="none"/>
          <w:lang w:eastAsia="zh-CN"/>
        </w:rPr>
      </w:pPr>
    </w:p>
    <w:p w14:paraId="5959D7AD">
      <w:pPr>
        <w:spacing w:line="360" w:lineRule="auto"/>
        <w:rPr>
          <w:rFonts w:hint="eastAsia" w:ascii="宋体" w:hAnsi="宋体"/>
          <w:color w:val="auto"/>
          <w:spacing w:val="4"/>
          <w:szCs w:val="21"/>
          <w:highlight w:val="none"/>
          <w:lang w:eastAsia="zh-CN"/>
        </w:rPr>
      </w:pPr>
    </w:p>
    <w:p w14:paraId="4BCE8328">
      <w:pPr>
        <w:spacing w:line="360" w:lineRule="auto"/>
        <w:rPr>
          <w:rFonts w:hint="eastAsia" w:ascii="宋体" w:hAnsi="宋体"/>
          <w:color w:val="auto"/>
          <w:spacing w:val="4"/>
          <w:szCs w:val="21"/>
          <w:highlight w:val="none"/>
          <w:lang w:eastAsia="zh-CN"/>
        </w:rPr>
      </w:pPr>
    </w:p>
    <w:p w14:paraId="3E2AA694">
      <w:pPr>
        <w:spacing w:line="360" w:lineRule="auto"/>
        <w:rPr>
          <w:rFonts w:hint="eastAsia" w:ascii="宋体" w:hAnsi="宋体"/>
          <w:color w:val="auto"/>
          <w:spacing w:val="4"/>
          <w:szCs w:val="21"/>
          <w:highlight w:val="none"/>
          <w:lang w:eastAsia="zh-CN"/>
        </w:rPr>
      </w:pPr>
    </w:p>
    <w:p w14:paraId="6DF971CA">
      <w:pPr>
        <w:spacing w:line="360" w:lineRule="auto"/>
        <w:rPr>
          <w:rFonts w:hint="eastAsia" w:ascii="宋体" w:hAnsi="宋体"/>
          <w:color w:val="auto"/>
          <w:spacing w:val="4"/>
          <w:szCs w:val="21"/>
          <w:highlight w:val="none"/>
          <w:lang w:eastAsia="zh-CN"/>
        </w:rPr>
      </w:pPr>
    </w:p>
    <w:p w14:paraId="2CEABFA3">
      <w:pPr>
        <w:spacing w:line="360" w:lineRule="auto"/>
        <w:rPr>
          <w:rFonts w:hint="eastAsia" w:ascii="宋体" w:hAnsi="宋体"/>
          <w:color w:val="auto"/>
          <w:spacing w:val="4"/>
          <w:szCs w:val="21"/>
          <w:highlight w:val="none"/>
          <w:lang w:eastAsia="zh-CN"/>
        </w:rPr>
      </w:pPr>
    </w:p>
    <w:p w14:paraId="4E6D9D19">
      <w:pPr>
        <w:spacing w:line="360" w:lineRule="auto"/>
        <w:rPr>
          <w:rFonts w:hint="eastAsia" w:ascii="宋体" w:hAnsi="宋体"/>
          <w:color w:val="auto"/>
          <w:spacing w:val="4"/>
          <w:szCs w:val="21"/>
          <w:highlight w:val="none"/>
          <w:lang w:eastAsia="zh-CN"/>
        </w:rPr>
      </w:pPr>
    </w:p>
    <w:p w14:paraId="5A179139">
      <w:pPr>
        <w:spacing w:line="360" w:lineRule="auto"/>
        <w:rPr>
          <w:rFonts w:hint="eastAsia" w:ascii="宋体" w:hAnsi="宋体"/>
          <w:color w:val="auto"/>
          <w:spacing w:val="4"/>
          <w:szCs w:val="21"/>
          <w:highlight w:val="none"/>
          <w:lang w:eastAsia="zh-CN"/>
        </w:rPr>
      </w:pPr>
    </w:p>
    <w:p w14:paraId="30BE30E0">
      <w:pPr>
        <w:spacing w:line="360" w:lineRule="auto"/>
        <w:rPr>
          <w:rFonts w:hint="eastAsia" w:ascii="宋体" w:hAnsi="宋体"/>
          <w:color w:val="auto"/>
          <w:spacing w:val="4"/>
          <w:szCs w:val="21"/>
          <w:highlight w:val="none"/>
          <w:lang w:eastAsia="zh-CN"/>
        </w:rPr>
      </w:pPr>
    </w:p>
    <w:p w14:paraId="6E0D5FF5">
      <w:pPr>
        <w:spacing w:line="360" w:lineRule="auto"/>
        <w:rPr>
          <w:rFonts w:hint="eastAsia" w:ascii="宋体" w:hAnsi="宋体"/>
          <w:color w:val="auto"/>
          <w:spacing w:val="4"/>
          <w:szCs w:val="21"/>
          <w:highlight w:val="none"/>
          <w:lang w:eastAsia="zh-CN"/>
        </w:rPr>
      </w:pPr>
    </w:p>
    <w:p w14:paraId="0DC29893">
      <w:pPr>
        <w:spacing w:line="360" w:lineRule="auto"/>
        <w:rPr>
          <w:rFonts w:hint="eastAsia" w:ascii="宋体" w:hAnsi="宋体"/>
          <w:color w:val="auto"/>
          <w:spacing w:val="4"/>
          <w:szCs w:val="21"/>
          <w:highlight w:val="none"/>
          <w:lang w:val="en-US" w:eastAsia="zh-CN"/>
        </w:rPr>
      </w:pPr>
    </w:p>
    <w:p w14:paraId="65EAC8F7">
      <w:pPr>
        <w:keepNext w:val="0"/>
        <w:keepLines w:val="0"/>
        <w:spacing w:after="0" w:line="360" w:lineRule="auto"/>
        <w:jc w:val="center"/>
        <w:outlineLvl w:val="9"/>
        <w:rPr>
          <w:rFonts w:hint="eastAsia" w:ascii="Times New Roman" w:hAnsi="Times New Roman"/>
          <w:color w:val="auto"/>
          <w:highlight w:val="none"/>
        </w:rPr>
      </w:pPr>
      <w:bookmarkStart w:id="1845" w:name="_Toc526786523"/>
      <w:bookmarkStart w:id="1846" w:name="_Toc59200726"/>
      <w:bookmarkStart w:id="1847" w:name="_Toc2632"/>
    </w:p>
    <w:p w14:paraId="440636C3">
      <w:pPr>
        <w:pStyle w:val="5"/>
        <w:bidi w:val="0"/>
        <w:spacing w:line="360" w:lineRule="auto"/>
        <w:jc w:val="both"/>
        <w:rPr>
          <w:rFonts w:hint="eastAsia" w:eastAsia="宋体"/>
          <w:b w:val="0"/>
          <w:bCs w:val="0"/>
          <w:color w:val="auto"/>
          <w:sz w:val="28"/>
          <w:szCs w:val="28"/>
          <w:highlight w:val="none"/>
          <w:lang w:eastAsia="zh-CN"/>
        </w:rPr>
      </w:pPr>
      <w:bookmarkStart w:id="1848" w:name="_Toc23585"/>
      <w:bookmarkStart w:id="1849" w:name="_Toc2108"/>
      <w:bookmarkStart w:id="1850" w:name="_Toc8266"/>
      <w:bookmarkStart w:id="1851" w:name="_Toc24642"/>
      <w:bookmarkStart w:id="1852" w:name="_Toc7992"/>
      <w:bookmarkStart w:id="1853" w:name="_Toc24693"/>
      <w:bookmarkStart w:id="1854" w:name="_Toc20681"/>
      <w:bookmarkStart w:id="1855" w:name="_Toc8482"/>
      <w:bookmarkStart w:id="1856" w:name="_Toc26479"/>
      <w:bookmarkStart w:id="1857" w:name="_Toc27432"/>
      <w:bookmarkStart w:id="1858" w:name="_Toc836"/>
      <w:r>
        <w:rPr>
          <w:rFonts w:hint="eastAsia"/>
          <w:b w:val="0"/>
          <w:bCs w:val="0"/>
          <w:color w:val="auto"/>
          <w:sz w:val="28"/>
          <w:szCs w:val="28"/>
          <w:highlight w:val="none"/>
        </w:rPr>
        <w:t>（</w:t>
      </w:r>
      <w:r>
        <w:rPr>
          <w:rFonts w:hint="eastAsia"/>
          <w:b w:val="0"/>
          <w:bCs w:val="0"/>
          <w:color w:val="auto"/>
          <w:sz w:val="28"/>
          <w:szCs w:val="28"/>
          <w:highlight w:val="none"/>
          <w:lang w:eastAsia="zh-CN"/>
        </w:rPr>
        <w:t>七</w:t>
      </w:r>
      <w:r>
        <w:rPr>
          <w:rFonts w:hint="eastAsia"/>
          <w:b w:val="0"/>
          <w:bCs w:val="0"/>
          <w:color w:val="auto"/>
          <w:sz w:val="28"/>
          <w:szCs w:val="28"/>
          <w:highlight w:val="none"/>
        </w:rPr>
        <w:t>）</w:t>
      </w:r>
      <w:r>
        <w:rPr>
          <w:rFonts w:hint="eastAsia"/>
          <w:b w:val="0"/>
          <w:bCs w:val="0"/>
          <w:color w:val="auto"/>
          <w:sz w:val="28"/>
          <w:szCs w:val="28"/>
          <w:highlight w:val="none"/>
          <w:lang w:eastAsia="zh-CN"/>
        </w:rPr>
        <w:t>投标人廉洁承诺书</w:t>
      </w:r>
      <w:bookmarkEnd w:id="1848"/>
      <w:bookmarkEnd w:id="1849"/>
    </w:p>
    <w:p w14:paraId="4454B033">
      <w:pPr>
        <w:pStyle w:val="26"/>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37365F45">
      <w:pPr>
        <w:pStyle w:val="15"/>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383477E7">
      <w:pPr>
        <w:pStyle w:val="15"/>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元岗北路建设工程监理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42E4C264">
      <w:pPr>
        <w:pStyle w:val="15"/>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7483A2C5">
      <w:pPr>
        <w:pStyle w:val="15"/>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7D000DC9">
      <w:pPr>
        <w:pStyle w:val="15"/>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5C4F2604">
      <w:pPr>
        <w:pStyle w:val="15"/>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1A73E5F8">
      <w:pPr>
        <w:pStyle w:val="15"/>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6ACE62D7">
      <w:pPr>
        <w:pStyle w:val="15"/>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04AEC9D5">
      <w:pPr>
        <w:pStyle w:val="15"/>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6CBF07B6">
      <w:pPr>
        <w:spacing w:line="360" w:lineRule="auto"/>
        <w:rPr>
          <w:rFonts w:hint="eastAsia" w:hAnsi="宋体" w:eastAsia="宋体" w:cs="宋体"/>
          <w:color w:val="auto"/>
          <w:sz w:val="21"/>
          <w:szCs w:val="21"/>
          <w:highlight w:val="none"/>
          <w:lang w:eastAsia="zh-CN"/>
        </w:rPr>
      </w:pPr>
    </w:p>
    <w:p w14:paraId="364768BC">
      <w:pPr>
        <w:pStyle w:val="8"/>
        <w:spacing w:line="360" w:lineRule="auto"/>
        <w:rPr>
          <w:rFonts w:hint="eastAsia" w:hAnsi="宋体" w:eastAsia="宋体" w:cs="宋体"/>
          <w:color w:val="auto"/>
          <w:sz w:val="21"/>
          <w:szCs w:val="21"/>
          <w:highlight w:val="none"/>
          <w:lang w:eastAsia="zh-CN"/>
        </w:rPr>
      </w:pPr>
    </w:p>
    <w:p w14:paraId="21D56EC2">
      <w:pPr>
        <w:spacing w:line="360" w:lineRule="auto"/>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4B9D1DC4">
      <w:pPr>
        <w:pStyle w:val="8"/>
        <w:spacing w:line="360" w:lineRule="auto"/>
        <w:rPr>
          <w:rFonts w:hint="eastAsia"/>
          <w:color w:val="auto"/>
          <w:highlight w:val="none"/>
          <w:lang w:eastAsia="zh-CN"/>
        </w:rPr>
      </w:pPr>
    </w:p>
    <w:p w14:paraId="15D378C5">
      <w:pPr>
        <w:pStyle w:val="8"/>
        <w:wordWrap w:val="0"/>
        <w:spacing w:line="360" w:lineRule="auto"/>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0BE288D0">
      <w:pPr>
        <w:pStyle w:val="5"/>
        <w:bidi w:val="0"/>
        <w:spacing w:line="360" w:lineRule="auto"/>
        <w:jc w:val="center"/>
        <w:rPr>
          <w:rFonts w:hint="eastAsia"/>
          <w:color w:val="auto"/>
          <w:sz w:val="32"/>
          <w:szCs w:val="32"/>
          <w:highlight w:val="none"/>
          <w:lang w:eastAsia="zh-CN"/>
        </w:rPr>
      </w:pPr>
    </w:p>
    <w:p w14:paraId="7F9D943F">
      <w:pPr>
        <w:spacing w:line="360" w:lineRule="auto"/>
        <w:rPr>
          <w:rFonts w:hint="eastAsia"/>
          <w:color w:val="auto"/>
          <w:highlight w:val="none"/>
          <w:lang w:eastAsia="zh-CN"/>
        </w:rPr>
      </w:pPr>
    </w:p>
    <w:p w14:paraId="5C72759B">
      <w:pPr>
        <w:pStyle w:val="5"/>
        <w:bidi w:val="0"/>
        <w:spacing w:line="360" w:lineRule="auto"/>
        <w:jc w:val="center"/>
        <w:rPr>
          <w:rFonts w:hint="eastAsia"/>
          <w:color w:val="auto"/>
          <w:sz w:val="32"/>
          <w:szCs w:val="32"/>
          <w:highlight w:val="none"/>
          <w:lang w:eastAsia="zh-CN"/>
        </w:rPr>
      </w:pPr>
    </w:p>
    <w:p w14:paraId="2AC0A78F">
      <w:pPr>
        <w:pStyle w:val="5"/>
        <w:bidi w:val="0"/>
        <w:spacing w:line="360" w:lineRule="auto"/>
        <w:jc w:val="center"/>
        <w:rPr>
          <w:rFonts w:hint="eastAsia" w:ascii="宋体" w:hAnsi="宋体" w:eastAsia="宋体" w:cs="宋体"/>
          <w:b/>
          <w:bCs w:val="0"/>
          <w:color w:val="auto"/>
          <w:sz w:val="28"/>
          <w:szCs w:val="28"/>
          <w:highlight w:val="none"/>
        </w:rPr>
      </w:pPr>
      <w:bookmarkStart w:id="1859" w:name="_Toc24796"/>
      <w:bookmarkStart w:id="1860" w:name="_Toc14053"/>
      <w:r>
        <w:rPr>
          <w:rFonts w:hint="eastAsia" w:ascii="宋体" w:hAnsi="宋体" w:eastAsia="宋体" w:cs="宋体"/>
          <w:b/>
          <w:bCs w:val="0"/>
          <w:color w:val="auto"/>
          <w:sz w:val="28"/>
          <w:szCs w:val="28"/>
          <w:highlight w:val="none"/>
          <w:lang w:eastAsia="zh-CN"/>
        </w:rPr>
        <w:t>八</w:t>
      </w:r>
      <w:r>
        <w:rPr>
          <w:rFonts w:hint="eastAsia" w:ascii="宋体" w:hAnsi="宋体" w:eastAsia="宋体" w:cs="宋体"/>
          <w:b/>
          <w:bCs w:val="0"/>
          <w:color w:val="auto"/>
          <w:sz w:val="28"/>
          <w:szCs w:val="28"/>
          <w:highlight w:val="none"/>
        </w:rPr>
        <w:t>、监理大纲</w:t>
      </w:r>
      <w:bookmarkEnd w:id="1859"/>
      <w:bookmarkEnd w:id="1860"/>
    </w:p>
    <w:p w14:paraId="67173D82">
      <w:pPr>
        <w:spacing w:line="360" w:lineRule="auto"/>
        <w:ind w:firstLine="542" w:firstLineChars="226"/>
        <w:rPr>
          <w:color w:val="auto"/>
          <w:sz w:val="24"/>
          <w:szCs w:val="24"/>
          <w:highlight w:val="none"/>
        </w:rPr>
      </w:pPr>
      <w:r>
        <w:rPr>
          <w:rFonts w:hint="eastAsia"/>
          <w:color w:val="auto"/>
          <w:sz w:val="24"/>
          <w:szCs w:val="24"/>
          <w:highlight w:val="none"/>
        </w:rPr>
        <w:t>监理大纲应包括（但不限于）下列内容（投标单位可根据评分表自行增加或调整内容）：</w:t>
      </w:r>
    </w:p>
    <w:p w14:paraId="500066C1">
      <w:pPr>
        <w:spacing w:line="360" w:lineRule="auto"/>
        <w:ind w:firstLine="542" w:firstLineChars="226"/>
        <w:rPr>
          <w:color w:val="auto"/>
          <w:sz w:val="24"/>
          <w:szCs w:val="24"/>
          <w:highlight w:val="none"/>
        </w:rPr>
      </w:pPr>
      <w:r>
        <w:rPr>
          <w:rFonts w:hint="eastAsia"/>
          <w:color w:val="auto"/>
          <w:sz w:val="24"/>
          <w:szCs w:val="24"/>
          <w:highlight w:val="none"/>
        </w:rPr>
        <w:t>一、监理工程概况；</w:t>
      </w:r>
    </w:p>
    <w:p w14:paraId="290DD645">
      <w:pPr>
        <w:spacing w:line="360" w:lineRule="auto"/>
        <w:ind w:firstLine="542" w:firstLineChars="226"/>
        <w:rPr>
          <w:color w:val="auto"/>
          <w:sz w:val="24"/>
          <w:szCs w:val="24"/>
          <w:highlight w:val="none"/>
        </w:rPr>
      </w:pPr>
      <w:r>
        <w:rPr>
          <w:rFonts w:hint="eastAsia"/>
          <w:color w:val="auto"/>
          <w:sz w:val="24"/>
          <w:szCs w:val="24"/>
          <w:highlight w:val="none"/>
        </w:rPr>
        <w:t>二、监理范围、监理内容；</w:t>
      </w:r>
    </w:p>
    <w:p w14:paraId="00453DB2">
      <w:pPr>
        <w:spacing w:line="360" w:lineRule="auto"/>
        <w:ind w:firstLine="542" w:firstLineChars="226"/>
        <w:rPr>
          <w:color w:val="auto"/>
          <w:sz w:val="24"/>
          <w:szCs w:val="24"/>
          <w:highlight w:val="none"/>
        </w:rPr>
      </w:pPr>
      <w:r>
        <w:rPr>
          <w:rFonts w:hint="eastAsia"/>
          <w:color w:val="auto"/>
          <w:sz w:val="24"/>
          <w:szCs w:val="24"/>
          <w:highlight w:val="none"/>
        </w:rPr>
        <w:t>三、监理依据、</w:t>
      </w:r>
      <w:r>
        <w:rPr>
          <w:rFonts w:hint="eastAsia"/>
          <w:color w:val="auto"/>
          <w:sz w:val="24"/>
          <w:szCs w:val="28"/>
          <w:highlight w:val="none"/>
        </w:rPr>
        <w:t>监理工作目标</w:t>
      </w:r>
      <w:r>
        <w:rPr>
          <w:rFonts w:hint="eastAsia"/>
          <w:color w:val="auto"/>
          <w:sz w:val="24"/>
          <w:szCs w:val="24"/>
          <w:highlight w:val="none"/>
        </w:rPr>
        <w:t>；</w:t>
      </w:r>
    </w:p>
    <w:p w14:paraId="4965C3B8">
      <w:pPr>
        <w:spacing w:line="360" w:lineRule="auto"/>
        <w:ind w:firstLine="542" w:firstLineChars="226"/>
        <w:rPr>
          <w:color w:val="auto"/>
          <w:sz w:val="24"/>
          <w:szCs w:val="24"/>
          <w:highlight w:val="none"/>
        </w:rPr>
      </w:pPr>
      <w:r>
        <w:rPr>
          <w:rFonts w:hint="eastAsia"/>
          <w:color w:val="auto"/>
          <w:sz w:val="24"/>
          <w:szCs w:val="24"/>
          <w:highlight w:val="none"/>
        </w:rPr>
        <w:t>四、监理机构设置（框图）、岗位职责；</w:t>
      </w:r>
    </w:p>
    <w:p w14:paraId="05AB52AF">
      <w:pPr>
        <w:spacing w:line="360" w:lineRule="auto"/>
        <w:ind w:firstLine="542" w:firstLineChars="226"/>
        <w:rPr>
          <w:color w:val="auto"/>
          <w:sz w:val="24"/>
          <w:szCs w:val="24"/>
          <w:highlight w:val="none"/>
        </w:rPr>
      </w:pPr>
      <w:r>
        <w:rPr>
          <w:rFonts w:hint="eastAsia"/>
          <w:color w:val="auto"/>
          <w:sz w:val="24"/>
          <w:szCs w:val="24"/>
          <w:highlight w:val="none"/>
        </w:rPr>
        <w:t>五、监理工作程序、方法和制度；</w:t>
      </w:r>
    </w:p>
    <w:p w14:paraId="60BF3A59">
      <w:pPr>
        <w:spacing w:line="360" w:lineRule="auto"/>
        <w:ind w:firstLine="542" w:firstLineChars="226"/>
        <w:rPr>
          <w:color w:val="auto"/>
          <w:sz w:val="24"/>
          <w:szCs w:val="24"/>
          <w:highlight w:val="none"/>
        </w:rPr>
      </w:pPr>
      <w:r>
        <w:rPr>
          <w:rFonts w:hint="eastAsia"/>
          <w:color w:val="auto"/>
          <w:sz w:val="24"/>
          <w:szCs w:val="24"/>
          <w:highlight w:val="none"/>
        </w:rPr>
        <w:t>六、拟投入的监理人员、试验检测仪器设备；</w:t>
      </w:r>
    </w:p>
    <w:p w14:paraId="32074997">
      <w:pPr>
        <w:spacing w:line="360" w:lineRule="auto"/>
        <w:ind w:firstLine="542" w:firstLineChars="226"/>
        <w:rPr>
          <w:color w:val="auto"/>
          <w:sz w:val="24"/>
          <w:szCs w:val="24"/>
          <w:highlight w:val="none"/>
        </w:rPr>
      </w:pPr>
      <w:r>
        <w:rPr>
          <w:rFonts w:hint="eastAsia"/>
          <w:color w:val="auto"/>
          <w:sz w:val="24"/>
          <w:szCs w:val="24"/>
          <w:highlight w:val="none"/>
        </w:rPr>
        <w:t>七、质量、进度、安全、环保监理措施；</w:t>
      </w:r>
      <w:r>
        <w:rPr>
          <w:color w:val="auto"/>
          <w:sz w:val="24"/>
          <w:szCs w:val="24"/>
          <w:highlight w:val="none"/>
        </w:rPr>
        <w:t xml:space="preserve"> </w:t>
      </w:r>
    </w:p>
    <w:p w14:paraId="52968DE8">
      <w:pPr>
        <w:spacing w:line="360" w:lineRule="auto"/>
        <w:ind w:firstLine="542" w:firstLineChars="226"/>
        <w:rPr>
          <w:color w:val="auto"/>
          <w:sz w:val="24"/>
          <w:szCs w:val="24"/>
          <w:highlight w:val="none"/>
        </w:rPr>
      </w:pPr>
      <w:r>
        <w:rPr>
          <w:rFonts w:hint="eastAsia"/>
          <w:color w:val="auto"/>
          <w:sz w:val="24"/>
          <w:szCs w:val="24"/>
          <w:highlight w:val="none"/>
        </w:rPr>
        <w:t>八、合同、信息管理方案；</w:t>
      </w:r>
    </w:p>
    <w:p w14:paraId="2A67FFC5">
      <w:pPr>
        <w:spacing w:line="360" w:lineRule="auto"/>
        <w:ind w:firstLine="542" w:firstLineChars="226"/>
        <w:rPr>
          <w:color w:val="auto"/>
          <w:sz w:val="24"/>
          <w:szCs w:val="24"/>
          <w:highlight w:val="none"/>
        </w:rPr>
      </w:pPr>
      <w:r>
        <w:rPr>
          <w:rFonts w:hint="eastAsia"/>
          <w:color w:val="auto"/>
          <w:sz w:val="24"/>
          <w:szCs w:val="24"/>
          <w:highlight w:val="none"/>
        </w:rPr>
        <w:t>九、组织协调内容及措施；</w:t>
      </w:r>
    </w:p>
    <w:p w14:paraId="514662D7">
      <w:pPr>
        <w:spacing w:line="360" w:lineRule="auto"/>
        <w:ind w:firstLine="542" w:firstLineChars="226"/>
        <w:rPr>
          <w:color w:val="auto"/>
          <w:sz w:val="24"/>
          <w:szCs w:val="24"/>
          <w:highlight w:val="none"/>
        </w:rPr>
      </w:pPr>
      <w:r>
        <w:rPr>
          <w:rFonts w:hint="eastAsia"/>
          <w:color w:val="auto"/>
          <w:sz w:val="24"/>
          <w:szCs w:val="24"/>
          <w:highlight w:val="none"/>
        </w:rPr>
        <w:t>十、监理工作重点、难点分析；</w:t>
      </w:r>
    </w:p>
    <w:p w14:paraId="3196AE11">
      <w:pPr>
        <w:spacing w:line="360" w:lineRule="auto"/>
        <w:ind w:firstLine="542" w:firstLineChars="226"/>
        <w:rPr>
          <w:color w:val="auto"/>
          <w:sz w:val="24"/>
          <w:szCs w:val="24"/>
          <w:highlight w:val="none"/>
        </w:rPr>
      </w:pPr>
      <w:r>
        <w:rPr>
          <w:rFonts w:hint="eastAsia"/>
          <w:color w:val="auto"/>
          <w:sz w:val="24"/>
          <w:szCs w:val="24"/>
          <w:highlight w:val="none"/>
        </w:rPr>
        <w:t>十一、工程进度款、工程结算的管理；</w:t>
      </w:r>
    </w:p>
    <w:p w14:paraId="553BB114">
      <w:pPr>
        <w:spacing w:line="360" w:lineRule="auto"/>
        <w:ind w:firstLine="542" w:firstLineChars="226"/>
        <w:rPr>
          <w:rFonts w:hint="eastAsia"/>
          <w:color w:val="auto"/>
          <w:sz w:val="24"/>
          <w:szCs w:val="24"/>
          <w:highlight w:val="none"/>
        </w:rPr>
      </w:pPr>
      <w:r>
        <w:rPr>
          <w:rFonts w:hint="eastAsia"/>
          <w:color w:val="auto"/>
          <w:sz w:val="24"/>
          <w:szCs w:val="24"/>
          <w:highlight w:val="none"/>
        </w:rPr>
        <w:t>十二、会议制度；</w:t>
      </w:r>
    </w:p>
    <w:p w14:paraId="5AE93791">
      <w:pPr>
        <w:spacing w:line="360" w:lineRule="auto"/>
        <w:ind w:firstLine="542" w:firstLineChars="226"/>
        <w:rPr>
          <w:rFonts w:hint="default"/>
          <w:color w:val="auto"/>
          <w:sz w:val="24"/>
          <w:szCs w:val="24"/>
          <w:highlight w:val="none"/>
          <w:lang w:val="en-US" w:eastAsia="zh-CN"/>
        </w:rPr>
      </w:pPr>
      <w:r>
        <w:rPr>
          <w:rFonts w:hint="eastAsia"/>
          <w:color w:val="auto"/>
          <w:sz w:val="24"/>
          <w:szCs w:val="24"/>
          <w:highlight w:val="none"/>
          <w:lang w:val="en-US" w:eastAsia="zh-CN"/>
        </w:rPr>
        <w:t>十三、科学管理方法；</w:t>
      </w:r>
    </w:p>
    <w:p w14:paraId="4718BA36">
      <w:pPr>
        <w:spacing w:line="360" w:lineRule="auto"/>
        <w:ind w:firstLine="542" w:firstLineChars="226"/>
        <w:rPr>
          <w:color w:val="auto"/>
          <w:sz w:val="24"/>
          <w:szCs w:val="24"/>
          <w:highlight w:val="none"/>
        </w:rPr>
      </w:pPr>
      <w:r>
        <w:rPr>
          <w:rFonts w:hint="eastAsia"/>
          <w:color w:val="auto"/>
          <w:sz w:val="24"/>
          <w:szCs w:val="24"/>
          <w:highlight w:val="none"/>
        </w:rPr>
        <w:t>十</w:t>
      </w:r>
      <w:r>
        <w:rPr>
          <w:rFonts w:hint="eastAsia"/>
          <w:color w:val="auto"/>
          <w:sz w:val="24"/>
          <w:szCs w:val="24"/>
          <w:highlight w:val="none"/>
          <w:lang w:val="en-US" w:eastAsia="zh-CN"/>
        </w:rPr>
        <w:t>四</w:t>
      </w:r>
      <w:r>
        <w:rPr>
          <w:rFonts w:hint="eastAsia"/>
          <w:color w:val="auto"/>
          <w:sz w:val="24"/>
          <w:szCs w:val="24"/>
          <w:highlight w:val="none"/>
        </w:rPr>
        <w:t>、对本工程监理的合理化建议。</w:t>
      </w:r>
    </w:p>
    <w:p w14:paraId="6311D2E9">
      <w:pPr>
        <w:spacing w:line="360" w:lineRule="auto"/>
        <w:ind w:firstLine="542" w:firstLineChars="226"/>
        <w:rPr>
          <w:color w:val="auto"/>
          <w:sz w:val="24"/>
          <w:szCs w:val="24"/>
          <w:highlight w:val="none"/>
        </w:rPr>
      </w:pPr>
    </w:p>
    <w:p w14:paraId="0778681D">
      <w:pPr>
        <w:pStyle w:val="5"/>
        <w:bidi w:val="0"/>
        <w:spacing w:line="360" w:lineRule="auto"/>
        <w:jc w:val="center"/>
        <w:rPr>
          <w:rFonts w:hint="eastAsia"/>
          <w:b/>
          <w:bCs w:val="0"/>
          <w:color w:val="auto"/>
          <w:sz w:val="32"/>
          <w:szCs w:val="32"/>
          <w:highlight w:val="none"/>
          <w:lang w:eastAsia="zh-CN"/>
        </w:rPr>
      </w:pPr>
    </w:p>
    <w:p w14:paraId="330522BE">
      <w:pPr>
        <w:spacing w:line="360" w:lineRule="auto"/>
        <w:rPr>
          <w:rFonts w:hint="eastAsia"/>
          <w:b/>
          <w:bCs w:val="0"/>
          <w:color w:val="auto"/>
          <w:sz w:val="32"/>
          <w:szCs w:val="32"/>
          <w:highlight w:val="none"/>
          <w:lang w:eastAsia="zh-CN"/>
        </w:rPr>
      </w:pPr>
    </w:p>
    <w:p w14:paraId="374C7E72">
      <w:pPr>
        <w:pStyle w:val="8"/>
        <w:spacing w:line="360" w:lineRule="auto"/>
        <w:rPr>
          <w:rFonts w:hint="eastAsia"/>
          <w:color w:val="auto"/>
          <w:highlight w:val="none"/>
          <w:lang w:eastAsia="zh-CN"/>
        </w:rPr>
      </w:pPr>
    </w:p>
    <w:p w14:paraId="60854C89">
      <w:pPr>
        <w:pStyle w:val="5"/>
        <w:bidi w:val="0"/>
        <w:spacing w:line="360" w:lineRule="auto"/>
        <w:jc w:val="center"/>
        <w:rPr>
          <w:rFonts w:hint="eastAsia"/>
          <w:b/>
          <w:bCs w:val="0"/>
          <w:color w:val="auto"/>
          <w:sz w:val="32"/>
          <w:szCs w:val="32"/>
          <w:highlight w:val="none"/>
          <w:lang w:eastAsia="zh-CN"/>
        </w:rPr>
      </w:pPr>
    </w:p>
    <w:p w14:paraId="68A94A3F">
      <w:pPr>
        <w:spacing w:line="360" w:lineRule="auto"/>
        <w:rPr>
          <w:rFonts w:hint="eastAsia"/>
          <w:b/>
          <w:bCs w:val="0"/>
          <w:color w:val="auto"/>
          <w:sz w:val="32"/>
          <w:szCs w:val="32"/>
          <w:highlight w:val="none"/>
          <w:lang w:eastAsia="zh-CN"/>
        </w:rPr>
      </w:pPr>
    </w:p>
    <w:p w14:paraId="374E2ECB">
      <w:pPr>
        <w:pStyle w:val="28"/>
        <w:spacing w:line="360" w:lineRule="auto"/>
        <w:rPr>
          <w:rFonts w:hint="eastAsia"/>
          <w:color w:val="auto"/>
          <w:highlight w:val="none"/>
          <w:lang w:eastAsia="zh-CN"/>
        </w:rPr>
      </w:pPr>
    </w:p>
    <w:p w14:paraId="1C38B78F">
      <w:pPr>
        <w:pStyle w:val="5"/>
        <w:bidi w:val="0"/>
        <w:spacing w:line="360" w:lineRule="auto"/>
        <w:jc w:val="center"/>
        <w:rPr>
          <w:rFonts w:hint="eastAsia"/>
          <w:b/>
          <w:bCs w:val="0"/>
          <w:color w:val="auto"/>
          <w:sz w:val="32"/>
          <w:szCs w:val="32"/>
          <w:highlight w:val="none"/>
          <w:lang w:eastAsia="zh-CN"/>
        </w:rPr>
      </w:pPr>
      <w:bookmarkStart w:id="1861" w:name="_Toc27071"/>
    </w:p>
    <w:p w14:paraId="4FB66FDA">
      <w:pPr>
        <w:pStyle w:val="5"/>
        <w:bidi w:val="0"/>
        <w:spacing w:line="360" w:lineRule="auto"/>
        <w:jc w:val="center"/>
        <w:rPr>
          <w:color w:val="auto"/>
          <w:sz w:val="32"/>
          <w:szCs w:val="32"/>
          <w:highlight w:val="none"/>
        </w:rPr>
      </w:pPr>
      <w:r>
        <w:rPr>
          <w:rFonts w:hint="eastAsia"/>
          <w:b/>
          <w:bCs w:val="0"/>
          <w:color w:val="auto"/>
          <w:sz w:val="32"/>
          <w:szCs w:val="32"/>
          <w:highlight w:val="none"/>
          <w:lang w:eastAsia="zh-CN"/>
        </w:rPr>
        <w:br w:type="page"/>
      </w:r>
      <w:bookmarkStart w:id="1862" w:name="_Toc29012"/>
      <w:r>
        <w:rPr>
          <w:rFonts w:hint="eastAsia"/>
          <w:b/>
          <w:bCs w:val="0"/>
          <w:color w:val="auto"/>
          <w:sz w:val="32"/>
          <w:szCs w:val="32"/>
          <w:highlight w:val="none"/>
          <w:lang w:eastAsia="zh-CN"/>
        </w:rPr>
        <w:t>九、</w:t>
      </w:r>
      <w:r>
        <w:rPr>
          <w:rFonts w:hint="eastAsia"/>
          <w:b/>
          <w:bCs w:val="0"/>
          <w:color w:val="auto"/>
          <w:sz w:val="32"/>
          <w:szCs w:val="32"/>
          <w:highlight w:val="none"/>
        </w:rPr>
        <w:t>中小企业声明函</w:t>
      </w:r>
      <w:bookmarkEnd w:id="1861"/>
      <w:bookmarkEnd w:id="1862"/>
    </w:p>
    <w:p w14:paraId="106DE78C">
      <w:pPr>
        <w:pStyle w:val="15"/>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本企业郑重声明，根据《关于印发中小企业划型标准规定的通知》（工信部联企业〔2011〕300号）的规定，</w:t>
      </w:r>
      <w:r>
        <w:rPr>
          <w:rFonts w:hint="eastAsia" w:hAnsi="宋体" w:cs="宋体"/>
          <w:color w:val="auto"/>
          <w:kern w:val="2"/>
          <w:sz w:val="24"/>
          <w:szCs w:val="24"/>
          <w:highlight w:val="none"/>
          <w:lang w:val="en-US" w:eastAsia="zh-CN" w:bidi="ar-SA"/>
        </w:rPr>
        <w:t>相关</w:t>
      </w:r>
      <w:r>
        <w:rPr>
          <w:rFonts w:hint="eastAsia" w:ascii="宋体" w:hAnsi="宋体" w:eastAsia="宋体" w:cs="宋体"/>
          <w:color w:val="auto"/>
          <w:kern w:val="2"/>
          <w:sz w:val="24"/>
          <w:szCs w:val="24"/>
          <w:highlight w:val="none"/>
          <w:lang w:val="en-US" w:eastAsia="zh-CN" w:bidi="ar-SA"/>
        </w:rPr>
        <w:t>企业</w:t>
      </w:r>
      <w:r>
        <w:rPr>
          <w:rFonts w:hint="eastAsia" w:hAnsi="宋体" w:cs="宋体"/>
          <w:color w:val="auto"/>
          <w:kern w:val="2"/>
          <w:sz w:val="24"/>
          <w:szCs w:val="24"/>
          <w:highlight w:val="none"/>
          <w:lang w:val="en-US" w:eastAsia="zh-CN" w:bidi="ar-SA"/>
        </w:rPr>
        <w:t>（含联合体中的中小企业）</w:t>
      </w:r>
      <w:r>
        <w:rPr>
          <w:rFonts w:hint="eastAsia" w:ascii="宋体" w:hAnsi="宋体" w:eastAsia="宋体" w:cs="宋体"/>
          <w:color w:val="auto"/>
          <w:kern w:val="2"/>
          <w:sz w:val="24"/>
          <w:szCs w:val="24"/>
          <w:highlight w:val="none"/>
          <w:lang w:val="en-US" w:eastAsia="zh-CN" w:bidi="ar-SA"/>
        </w:rPr>
        <w:t>具体情况如下：</w:t>
      </w:r>
    </w:p>
    <w:p w14:paraId="310118FB">
      <w:pPr>
        <w:pStyle w:val="15"/>
        <w:numPr>
          <w:ilvl w:val="0"/>
          <w:numId w:val="3"/>
        </w:numPr>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w:t>
      </w:r>
      <w:r>
        <w:rPr>
          <w:rFonts w:hint="eastAsia" w:hAnsi="宋体" w:eastAsia="宋体" w:cs="宋体"/>
          <w:color w:val="auto"/>
          <w:kern w:val="2"/>
          <w:sz w:val="24"/>
          <w:szCs w:val="24"/>
          <w:highlight w:val="none"/>
          <w:u w:val="single"/>
          <w:lang w:val="en-US" w:eastAsia="zh-CN" w:bidi="ar-SA"/>
        </w:rPr>
        <w:t xml:space="preserve">     行业</w:t>
      </w:r>
      <w:r>
        <w:rPr>
          <w:rFonts w:hint="eastAsia" w:ascii="宋体" w:hAnsi="宋体" w:eastAsia="宋体" w:cs="宋体"/>
          <w:color w:val="auto"/>
          <w:kern w:val="2"/>
          <w:sz w:val="24"/>
          <w:szCs w:val="24"/>
          <w:highlight w:val="none"/>
          <w:lang w:val="en-US" w:eastAsia="zh-CN" w:bidi="ar-SA"/>
        </w:rPr>
        <w:t>；从业人员__________________人</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14:paraId="5AB3235D">
      <w:pPr>
        <w:pStyle w:val="15"/>
        <w:numPr>
          <w:ilvl w:val="0"/>
          <w:numId w:val="3"/>
        </w:numPr>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w:t>
      </w:r>
      <w:r>
        <w:rPr>
          <w:rFonts w:hint="eastAsia" w:hAnsi="宋体" w:eastAsia="宋体" w:cs="宋体"/>
          <w:color w:val="auto"/>
          <w:kern w:val="2"/>
          <w:sz w:val="24"/>
          <w:szCs w:val="24"/>
          <w:highlight w:val="none"/>
          <w:u w:val="single"/>
          <w:lang w:val="en-US" w:eastAsia="zh-CN" w:bidi="ar-SA"/>
        </w:rPr>
        <w:t xml:space="preserve">     行业</w:t>
      </w:r>
      <w:r>
        <w:rPr>
          <w:rFonts w:hint="eastAsia" w:ascii="宋体" w:hAnsi="宋体" w:eastAsia="宋体" w:cs="宋体"/>
          <w:color w:val="auto"/>
          <w:kern w:val="2"/>
          <w:sz w:val="24"/>
          <w:szCs w:val="24"/>
          <w:highlight w:val="none"/>
          <w:lang w:val="en-US" w:eastAsia="zh-CN" w:bidi="ar-SA"/>
        </w:rPr>
        <w:t>；从业人员__________________人</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14:paraId="2E990D1A">
      <w:pPr>
        <w:pStyle w:val="15"/>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14:paraId="1DB53582">
      <w:pPr>
        <w:pStyle w:val="15"/>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21863303">
      <w:pPr>
        <w:pStyle w:val="15"/>
        <w:spacing w:line="360" w:lineRule="auto"/>
        <w:ind w:firstLine="480" w:firstLineChars="200"/>
        <w:jc w:val="both"/>
        <w:rPr>
          <w:rFonts w:hint="eastAsia" w:ascii="宋体" w:hAnsi="宋体" w:eastAsia="宋体" w:cs="宋体"/>
          <w:color w:val="auto"/>
          <w:sz w:val="24"/>
          <w:szCs w:val="24"/>
          <w:highlight w:val="none"/>
        </w:rPr>
      </w:pPr>
    </w:p>
    <w:p w14:paraId="458EFAAE">
      <w:pPr>
        <w:pStyle w:val="15"/>
        <w:spacing w:line="360" w:lineRule="auto"/>
        <w:ind w:firstLine="3600"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w:t>
      </w:r>
      <w:r>
        <w:rPr>
          <w:rFonts w:hint="eastAsia"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章）：</w:t>
      </w:r>
    </w:p>
    <w:p w14:paraId="5F93F65C">
      <w:pPr>
        <w:pStyle w:val="15"/>
        <w:spacing w:line="360" w:lineRule="auto"/>
        <w:ind w:firstLine="4560" w:firstLineChars="1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期：</w:t>
      </w:r>
    </w:p>
    <w:p w14:paraId="67467224">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w:t>
      </w:r>
    </w:p>
    <w:p w14:paraId="295A114E">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1</w:t>
      </w:r>
      <w:r>
        <w:rPr>
          <w:rFonts w:hint="eastAsia" w:ascii="楷体_GB2312" w:hAnsi="楷体_GB2312" w:eastAsia="楷体_GB2312" w:cs="楷体_GB2312"/>
          <w:color w:val="auto"/>
          <w:kern w:val="2"/>
          <w:sz w:val="21"/>
          <w:szCs w:val="24"/>
          <w:highlight w:val="none"/>
          <w:lang w:val="en" w:eastAsia="zh-CN" w:bidi="ar-SA"/>
        </w:rPr>
        <w:t>.从业人员、</w:t>
      </w:r>
      <w:r>
        <w:rPr>
          <w:rFonts w:hint="eastAsia" w:ascii="楷体_GB2312" w:hAnsi="楷体_GB2312" w:eastAsia="楷体_GB2312" w:cs="楷体_GB2312"/>
          <w:color w:val="auto"/>
          <w:kern w:val="2"/>
          <w:sz w:val="21"/>
          <w:szCs w:val="24"/>
          <w:highlight w:val="none"/>
          <w:lang w:val="en-US" w:eastAsia="zh-CN" w:bidi="ar-SA"/>
        </w:rPr>
        <w:t>营业收入、资产总额填报上一年度数据，无上一年度数据的新成立企业可不填报。</w:t>
      </w:r>
    </w:p>
    <w:p w14:paraId="3AA9B751">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2</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《中小企业声明函》须按照本函格式填写，否则评标委员会有权视其为非中小企业，不享受免于提交投标保证金的优惠政策。</w:t>
      </w:r>
    </w:p>
    <w:p w14:paraId="4577ED81">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3</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招标人、招标代理机构将按有关规定公开《中小企业声明函》。</w:t>
      </w:r>
    </w:p>
    <w:p w14:paraId="078368AB">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4E72F95F">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7157F745">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3BCF5F53">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25F0FB0B">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22A9D878">
      <w:pPr>
        <w:rPr>
          <w:rFonts w:hint="eastAsia"/>
          <w:b/>
          <w:bCs w:val="0"/>
          <w:strike/>
          <w:dstrike w:val="0"/>
          <w:color w:val="auto"/>
          <w:sz w:val="32"/>
          <w:szCs w:val="32"/>
          <w:highlight w:val="none"/>
          <w:lang w:val="zh-CN"/>
        </w:rPr>
      </w:pPr>
      <w:bookmarkStart w:id="1863" w:name="_Toc11500"/>
      <w:bookmarkStart w:id="1864" w:name="_Toc5330"/>
      <w:r>
        <w:rPr>
          <w:rFonts w:hint="eastAsia"/>
          <w:b/>
          <w:bCs w:val="0"/>
          <w:strike/>
          <w:dstrike w:val="0"/>
          <w:color w:val="auto"/>
          <w:sz w:val="32"/>
          <w:szCs w:val="32"/>
          <w:highlight w:val="none"/>
          <w:lang w:val="zh-CN"/>
        </w:rPr>
        <w:br w:type="page"/>
      </w:r>
    </w:p>
    <w:p w14:paraId="493CFBE2">
      <w:pPr>
        <w:pStyle w:val="5"/>
        <w:bidi w:val="0"/>
        <w:spacing w:line="360" w:lineRule="auto"/>
        <w:jc w:val="center"/>
        <w:rPr>
          <w:rFonts w:hint="eastAsia"/>
          <w:strike/>
          <w:dstrike w:val="0"/>
          <w:color w:val="auto"/>
          <w:sz w:val="32"/>
          <w:szCs w:val="32"/>
          <w:highlight w:val="none"/>
        </w:rPr>
      </w:pPr>
      <w:r>
        <w:rPr>
          <w:rFonts w:hint="eastAsia"/>
          <w:b/>
          <w:bCs w:val="0"/>
          <w:strike/>
          <w:dstrike w:val="0"/>
          <w:color w:val="auto"/>
          <w:sz w:val="32"/>
          <w:szCs w:val="32"/>
          <w:highlight w:val="none"/>
          <w:lang w:val="zh-CN"/>
        </w:rPr>
        <w:t>十、关于投标保证金的承诺</w:t>
      </w:r>
      <w:bookmarkEnd w:id="1863"/>
      <w:bookmarkEnd w:id="1864"/>
    </w:p>
    <w:p w14:paraId="29C6BA22">
      <w:pPr>
        <w:pStyle w:val="15"/>
        <w:spacing w:line="360" w:lineRule="auto"/>
        <w:ind w:firstLine="640" w:firstLineChars="200"/>
        <w:jc w:val="both"/>
        <w:rPr>
          <w:rFonts w:hint="eastAsia" w:ascii="仿宋_GB2312" w:hAnsi="Times New Roman" w:eastAsia="仿宋_GB2312"/>
          <w:strike/>
          <w:dstrike w:val="0"/>
          <w:color w:val="auto"/>
          <w:sz w:val="32"/>
          <w:szCs w:val="32"/>
          <w:highlight w:val="none"/>
        </w:rPr>
      </w:pPr>
    </w:p>
    <w:p w14:paraId="6442AA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trike/>
          <w:dstrike w:val="0"/>
          <w:color w:val="auto"/>
          <w:sz w:val="24"/>
          <w:szCs w:val="24"/>
          <w:highlight w:val="none"/>
          <w:u w:val="none"/>
          <w:lang w:eastAsia="zh-CN"/>
        </w:rPr>
      </w:pPr>
      <w:r>
        <w:rPr>
          <w:rFonts w:hint="eastAsia" w:ascii="宋体" w:hAnsi="宋体" w:eastAsia="宋体" w:cs="宋体"/>
          <w:strike/>
          <w:dstrike w:val="0"/>
          <w:color w:val="auto"/>
          <w:sz w:val="24"/>
          <w:szCs w:val="24"/>
          <w:highlight w:val="none"/>
          <w:u w:val="none"/>
          <w:lang w:eastAsia="zh-CN"/>
        </w:rPr>
        <w:t>本招标项目招标人及招标监管机构：</w:t>
      </w:r>
    </w:p>
    <w:p w14:paraId="26661A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trike/>
          <w:dstrike w:val="0"/>
          <w:color w:val="auto"/>
          <w:sz w:val="24"/>
          <w:szCs w:val="24"/>
          <w:highlight w:val="none"/>
          <w:u w:val="none"/>
          <w:lang w:eastAsia="zh-CN"/>
        </w:rPr>
      </w:pPr>
      <w:r>
        <w:rPr>
          <w:rFonts w:hint="eastAsia" w:ascii="宋体" w:hAnsi="宋体" w:eastAsia="宋体" w:cs="宋体"/>
          <w:strike/>
          <w:dstrike w:val="0"/>
          <w:color w:val="auto"/>
          <w:sz w:val="24"/>
          <w:szCs w:val="24"/>
          <w:highlight w:val="none"/>
          <w:u w:val="none"/>
          <w:lang w:eastAsia="zh-CN"/>
        </w:rPr>
        <w:t>本公司就参加</w:t>
      </w:r>
      <w:r>
        <w:rPr>
          <w:rFonts w:hint="eastAsia" w:ascii="宋体" w:hAnsi="宋体" w:eastAsia="宋体" w:cs="宋体"/>
          <w:strike/>
          <w:dstrike w:val="0"/>
          <w:color w:val="auto"/>
          <w:sz w:val="24"/>
          <w:szCs w:val="24"/>
          <w:highlight w:val="none"/>
          <w:u w:val="single"/>
          <w:lang w:eastAsia="zh-CN"/>
        </w:rPr>
        <w:t xml:space="preserve"> </w:t>
      </w:r>
      <w:r>
        <w:rPr>
          <w:rFonts w:hint="eastAsia" w:ascii="宋体" w:hAnsi="宋体" w:cs="宋体"/>
          <w:strike/>
          <w:dstrike w:val="0"/>
          <w:color w:val="auto"/>
          <w:sz w:val="24"/>
          <w:szCs w:val="24"/>
          <w:highlight w:val="none"/>
          <w:u w:val="single"/>
          <w:lang w:eastAsia="zh-CN"/>
        </w:rPr>
        <w:t>元岗北路建设工程监理</w:t>
      </w:r>
      <w:r>
        <w:rPr>
          <w:rFonts w:hint="eastAsia" w:ascii="宋体" w:hAnsi="宋体" w:eastAsia="宋体" w:cs="宋体"/>
          <w:strike/>
          <w:dstrike w:val="0"/>
          <w:color w:val="auto"/>
          <w:sz w:val="24"/>
          <w:szCs w:val="24"/>
          <w:highlight w:val="none"/>
          <w:u w:val="single"/>
          <w:lang w:eastAsia="zh-CN"/>
        </w:rPr>
        <w:t xml:space="preserve"> </w:t>
      </w:r>
      <w:r>
        <w:rPr>
          <w:rFonts w:hint="eastAsia" w:ascii="宋体" w:hAnsi="宋体" w:eastAsia="宋体" w:cs="宋体"/>
          <w:strike/>
          <w:dstrike w:val="0"/>
          <w:color w:val="auto"/>
          <w:sz w:val="24"/>
          <w:szCs w:val="24"/>
          <w:highlight w:val="none"/>
          <w:u w:val="none"/>
          <w:lang w:eastAsia="zh-CN"/>
        </w:rPr>
        <w:t>项目的投标工作，作出郑重声明：</w:t>
      </w:r>
    </w:p>
    <w:p w14:paraId="0644C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strike/>
          <w:dstrike w:val="0"/>
          <w:color w:val="auto"/>
          <w:kern w:val="0"/>
          <w:sz w:val="24"/>
          <w:szCs w:val="24"/>
          <w:highlight w:val="none"/>
          <w:lang w:val="zh-CN"/>
        </w:rPr>
        <w:t>一旦发生符合招标文件规定的不予退还投标保证金情形的，将</w:t>
      </w:r>
      <w:r>
        <w:rPr>
          <w:rFonts w:hint="eastAsia" w:ascii="宋体" w:hAnsi="宋体" w:eastAsia="宋体" w:cs="宋体"/>
          <w:strike/>
          <w:dstrike w:val="0"/>
          <w:color w:val="auto"/>
          <w:sz w:val="24"/>
          <w:szCs w:val="24"/>
          <w:highlight w:val="none"/>
          <w:u w:val="none"/>
          <w:lang w:val="en-US" w:eastAsia="zh-CN"/>
        </w:rPr>
        <w:t>按照招标人的要求，在规定的时间内向招标人足额补交投标保证金。</w:t>
      </w:r>
    </w:p>
    <w:p w14:paraId="379550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本公司违反上述保证的，将被视为虚假承诺，按相关规定进行信用记录。本公司对失信行为产生的一切后果已知悉，并承担由此产生的相应责任。</w:t>
      </w:r>
    </w:p>
    <w:p w14:paraId="178BA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特此承诺。</w:t>
      </w:r>
    </w:p>
    <w:p w14:paraId="60B9D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p>
    <w:p w14:paraId="158BF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p>
    <w:p w14:paraId="15E94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p>
    <w:p w14:paraId="0B49B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120" w:firstLineChars="13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投标人：</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（盖单位章）</w:t>
      </w:r>
    </w:p>
    <w:p w14:paraId="7F37D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120" w:firstLineChars="1300"/>
        <w:jc w:val="both"/>
        <w:textAlignment w:val="auto"/>
        <w:rPr>
          <w:rFonts w:hint="eastAsia" w:ascii="宋体" w:hAnsi="宋体" w:eastAsia="宋体" w:cs="宋体"/>
          <w:strike/>
          <w:dstrike w:val="0"/>
          <w:color w:val="auto"/>
          <w:sz w:val="24"/>
          <w:szCs w:val="24"/>
          <w:highlight w:val="none"/>
          <w:u w:val="none"/>
          <w:lang w:val="en-US" w:eastAsia="zh-CN"/>
        </w:rPr>
      </w:pPr>
    </w:p>
    <w:p w14:paraId="03FEF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120" w:firstLineChars="13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日  期：</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年</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 xml:space="preserve"> 月</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 xml:space="preserve">日 </w:t>
      </w:r>
      <w:r>
        <w:rPr>
          <w:rFonts w:hint="eastAsia" w:ascii="宋体" w:hAnsi="宋体" w:eastAsia="宋体" w:cs="宋体"/>
          <w:color w:val="auto"/>
          <w:sz w:val="24"/>
          <w:szCs w:val="24"/>
          <w:highlight w:val="none"/>
          <w:u w:val="none"/>
          <w:lang w:val="en-US" w:eastAsia="zh-CN"/>
        </w:rPr>
        <w:t xml:space="preserve">   </w:t>
      </w:r>
    </w:p>
    <w:p w14:paraId="675D4890">
      <w:pPr>
        <w:pStyle w:val="15"/>
        <w:spacing w:line="360" w:lineRule="auto"/>
        <w:ind w:firstLine="480" w:firstLineChars="200"/>
        <w:jc w:val="both"/>
        <w:rPr>
          <w:rFonts w:hint="eastAsia" w:ascii="宋体" w:hAnsi="宋体" w:eastAsia="宋体" w:cs="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845"/>
    <w:bookmarkEnd w:id="1846"/>
    <w:bookmarkEnd w:id="1847"/>
    <w:bookmarkEnd w:id="1850"/>
    <w:bookmarkEnd w:id="1851"/>
    <w:bookmarkEnd w:id="1852"/>
    <w:bookmarkEnd w:id="1853"/>
    <w:bookmarkEnd w:id="1854"/>
    <w:bookmarkEnd w:id="1855"/>
    <w:bookmarkEnd w:id="1856"/>
    <w:bookmarkEnd w:id="1857"/>
    <w:bookmarkEnd w:id="1858"/>
    <w:p w14:paraId="4DA8771B">
      <w:pPr>
        <w:pStyle w:val="5"/>
        <w:bidi w:val="0"/>
        <w:spacing w:line="360" w:lineRule="auto"/>
        <w:jc w:val="center"/>
        <w:rPr>
          <w:rFonts w:hint="eastAsia" w:ascii="宋体" w:hAnsi="宋体" w:eastAsia="宋体" w:cs="宋体"/>
          <w:b/>
          <w:bCs w:val="0"/>
          <w:color w:val="auto"/>
          <w:sz w:val="28"/>
          <w:szCs w:val="28"/>
          <w:highlight w:val="none"/>
          <w:lang w:eastAsia="zh-CN"/>
        </w:rPr>
      </w:pPr>
      <w:bookmarkStart w:id="1865" w:name="_Toc13378"/>
      <w:bookmarkStart w:id="1866" w:name="_Toc27550"/>
      <w:bookmarkStart w:id="1867" w:name="_Toc4288"/>
      <w:bookmarkStart w:id="1868" w:name="_Toc29937"/>
      <w:bookmarkStart w:id="1869" w:name="_Toc28757"/>
      <w:bookmarkStart w:id="1870" w:name="_Toc13875"/>
      <w:bookmarkStart w:id="1871" w:name="_Toc526786524"/>
      <w:bookmarkStart w:id="1872" w:name="_Toc23528"/>
      <w:bookmarkStart w:id="1873" w:name="_Toc8280"/>
      <w:bookmarkStart w:id="1874" w:name="_Toc18602"/>
      <w:bookmarkStart w:id="1875" w:name="_Toc14422"/>
      <w:bookmarkStart w:id="1876" w:name="_Toc59200727"/>
    </w:p>
    <w:p w14:paraId="6BB586D4">
      <w:pPr>
        <w:pStyle w:val="5"/>
        <w:bidi w:val="0"/>
        <w:spacing w:line="360" w:lineRule="auto"/>
        <w:jc w:val="center"/>
        <w:rPr>
          <w:rFonts w:hint="eastAsia" w:ascii="宋体" w:hAnsi="宋体" w:eastAsia="宋体" w:cs="宋体"/>
          <w:b/>
          <w:bCs w:val="0"/>
          <w:color w:val="auto"/>
          <w:highlight w:val="none"/>
        </w:rPr>
      </w:pPr>
      <w:bookmarkStart w:id="1877" w:name="_Toc32724"/>
      <w:bookmarkStart w:id="1878" w:name="_Toc8361"/>
      <w:r>
        <w:rPr>
          <w:rFonts w:hint="eastAsia" w:ascii="宋体" w:hAnsi="宋体" w:eastAsia="宋体" w:cs="宋体"/>
          <w:b/>
          <w:bCs w:val="0"/>
          <w:color w:val="auto"/>
          <w:sz w:val="28"/>
          <w:szCs w:val="28"/>
          <w:highlight w:val="none"/>
          <w:lang w:eastAsia="zh-CN"/>
        </w:rPr>
        <w:t>十一</w:t>
      </w:r>
      <w:r>
        <w:rPr>
          <w:rFonts w:hint="eastAsia" w:ascii="宋体" w:hAnsi="宋体" w:eastAsia="宋体" w:cs="宋体"/>
          <w:b/>
          <w:bCs w:val="0"/>
          <w:color w:val="auto"/>
          <w:sz w:val="28"/>
          <w:szCs w:val="28"/>
          <w:highlight w:val="none"/>
        </w:rPr>
        <w:t>、其他资料</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668E4BF8">
      <w:pPr>
        <w:spacing w:line="360" w:lineRule="auto"/>
        <w:jc w:val="center"/>
        <w:rPr>
          <w:rFonts w:ascii="宋体" w:hAnsi="宋体" w:cs="宋体"/>
          <w:color w:val="auto"/>
          <w:highlight w:val="none"/>
        </w:rPr>
      </w:pPr>
      <w:r>
        <w:rPr>
          <w:rFonts w:hint="eastAsia" w:ascii="宋体" w:hAnsi="宋体"/>
          <w:color w:val="auto"/>
          <w:sz w:val="24"/>
          <w:szCs w:val="24"/>
          <w:highlight w:val="none"/>
        </w:rPr>
        <w:t>投标人须知前附表规定的其他资料、</w:t>
      </w:r>
      <w:r>
        <w:rPr>
          <w:rFonts w:hint="eastAsia"/>
          <w:color w:val="auto"/>
          <w:sz w:val="24"/>
          <w:szCs w:val="28"/>
          <w:highlight w:val="none"/>
        </w:rPr>
        <w:t>投标人认为有必要提交的其他资料，格式自定。</w:t>
      </w:r>
    </w:p>
    <w:p w14:paraId="5F8F6EDD">
      <w:pPr>
        <w:spacing w:line="360" w:lineRule="auto"/>
        <w:ind w:firstLine="480" w:firstLineChars="200"/>
        <w:rPr>
          <w:rFonts w:hint="eastAsia" w:ascii="宋体" w:hAnsi="宋体" w:cs="宋体"/>
          <w:color w:val="auto"/>
          <w:kern w:val="0"/>
          <w:sz w:val="24"/>
          <w:highlight w:val="none"/>
        </w:rPr>
      </w:pPr>
    </w:p>
    <w:p w14:paraId="26C505A2">
      <w:pPr>
        <w:spacing w:line="360" w:lineRule="auto"/>
        <w:ind w:firstLine="480" w:firstLineChars="200"/>
        <w:rPr>
          <w:rFonts w:hint="eastAsia" w:ascii="宋体" w:hAnsi="宋体" w:cs="宋体"/>
          <w:color w:val="auto"/>
          <w:kern w:val="0"/>
          <w:sz w:val="24"/>
          <w:highlight w:val="none"/>
        </w:rPr>
      </w:pPr>
    </w:p>
    <w:bookmarkEnd w:id="1382"/>
    <w:p w14:paraId="5DF0D57E">
      <w:pPr>
        <w:spacing w:line="360" w:lineRule="auto"/>
        <w:ind w:firstLine="420"/>
        <w:jc w:val="left"/>
        <w:rPr>
          <w:rFonts w:hint="eastAsia"/>
          <w:color w:val="auto"/>
          <w:highlight w:val="none"/>
        </w:rPr>
      </w:pPr>
    </w:p>
    <w:p w14:paraId="1F3C43DF">
      <w:pPr>
        <w:spacing w:line="360" w:lineRule="auto"/>
        <w:ind w:firstLine="420"/>
        <w:jc w:val="left"/>
        <w:rPr>
          <w:rFonts w:hint="eastAsia"/>
          <w:color w:val="auto"/>
          <w:highlight w:val="none"/>
        </w:rPr>
      </w:pPr>
    </w:p>
    <w:p w14:paraId="68004CD0">
      <w:pPr>
        <w:spacing w:line="360" w:lineRule="auto"/>
        <w:ind w:firstLine="420"/>
        <w:jc w:val="left"/>
        <w:rPr>
          <w:rFonts w:hint="eastAsia"/>
          <w:color w:val="auto"/>
          <w:highlight w:val="none"/>
        </w:rPr>
      </w:pPr>
    </w:p>
    <w:p w14:paraId="78B63546">
      <w:pPr>
        <w:spacing w:line="360" w:lineRule="auto"/>
        <w:ind w:firstLine="420"/>
        <w:jc w:val="left"/>
        <w:rPr>
          <w:rFonts w:hint="eastAsia"/>
          <w:color w:val="auto"/>
          <w:highlight w:val="none"/>
        </w:rPr>
      </w:pPr>
    </w:p>
    <w:p w14:paraId="7537D6E6">
      <w:pPr>
        <w:spacing w:line="360" w:lineRule="auto"/>
        <w:ind w:firstLine="420"/>
        <w:jc w:val="left"/>
        <w:rPr>
          <w:rFonts w:hint="eastAsia"/>
          <w:color w:val="auto"/>
          <w:highlight w:val="none"/>
        </w:rPr>
      </w:pPr>
    </w:p>
    <w:p w14:paraId="671B6B7D">
      <w:pPr>
        <w:spacing w:line="360" w:lineRule="auto"/>
        <w:ind w:firstLine="420"/>
        <w:jc w:val="left"/>
        <w:rPr>
          <w:rFonts w:hint="eastAsia"/>
          <w:color w:val="auto"/>
          <w:highlight w:val="none"/>
        </w:rPr>
      </w:pPr>
    </w:p>
    <w:p w14:paraId="46BBBDFC">
      <w:pPr>
        <w:spacing w:line="360" w:lineRule="auto"/>
        <w:ind w:firstLine="420"/>
        <w:jc w:val="left"/>
        <w:rPr>
          <w:rFonts w:hint="eastAsia"/>
          <w:color w:val="auto"/>
          <w:highlight w:val="none"/>
        </w:rPr>
      </w:pPr>
    </w:p>
    <w:p w14:paraId="313FE43A">
      <w:pPr>
        <w:spacing w:line="360" w:lineRule="auto"/>
        <w:ind w:firstLine="420"/>
        <w:jc w:val="left"/>
        <w:rPr>
          <w:rFonts w:hint="eastAsia"/>
          <w:color w:val="auto"/>
          <w:highlight w:val="none"/>
        </w:rPr>
      </w:pPr>
    </w:p>
    <w:p w14:paraId="06AEE905">
      <w:pPr>
        <w:spacing w:line="360" w:lineRule="auto"/>
        <w:rPr>
          <w:rFonts w:hint="eastAsia"/>
          <w:color w:val="auto"/>
          <w:sz w:val="36"/>
          <w:szCs w:val="36"/>
          <w:highlight w:val="none"/>
        </w:rPr>
      </w:pPr>
    </w:p>
    <w:p w14:paraId="1F71529B">
      <w:pPr>
        <w:spacing w:line="360" w:lineRule="auto"/>
        <w:jc w:val="center"/>
        <w:rPr>
          <w:rFonts w:hint="eastAsia"/>
          <w:color w:val="auto"/>
          <w:szCs w:val="21"/>
          <w:highlight w:val="none"/>
        </w:rPr>
      </w:pPr>
    </w:p>
    <w:sectPr>
      <w:footerReference r:id="rId10" w:type="default"/>
      <w:footerReference r:id="rId11" w:type="even"/>
      <w:pgSz w:w="11850" w:h="16840"/>
      <w:pgMar w:top="1440" w:right="882" w:bottom="1440" w:left="1797" w:header="851" w:footer="1418"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8056E73-C295-403F-A006-0E065D0D273E}"/>
  </w:font>
  <w:font w:name="黑体">
    <w:panose1 w:val="02010609060101010101"/>
    <w:charset w:val="86"/>
    <w:family w:val="auto"/>
    <w:pitch w:val="default"/>
    <w:sig w:usb0="800002BF" w:usb1="38CF7CFA" w:usb2="00000016" w:usb3="00000000" w:csb0="00040001" w:csb1="00000000"/>
    <w:embedRegular r:id="rId2" w:fontKey="{703D8676-400F-4701-88AC-D86ED6F5FC20}"/>
  </w:font>
  <w:font w:name="Courier New">
    <w:panose1 w:val="02070309020205020404"/>
    <w:charset w:val="01"/>
    <w:family w:val="modern"/>
    <w:pitch w:val="default"/>
    <w:sig w:usb0="E0002AFF" w:usb1="C0007843" w:usb2="00000009" w:usb3="00000000" w:csb0="400001FF" w:csb1="FFFF0000"/>
    <w:embedRegular r:id="rId3" w:fontKey="{103566BC-2DF8-43AF-8ACF-2914EED3D6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EA75BAA-CD39-48C1-95AA-45E09494F71E}"/>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00"/>
    <w:family w:val="auto"/>
    <w:pitch w:val="default"/>
    <w:sig w:usb0="00000000" w:usb1="00000000" w:usb2="00000000" w:usb3="00000000" w:csb0="00040000" w:csb1="00000000"/>
    <w:embedRegular r:id="rId5" w:fontKey="{3D1FBEA2-C767-40EB-AB48-937792A6801A}"/>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方正小标宋简体">
    <w:altName w:val="黑体"/>
    <w:panose1 w:val="03000509000000000000"/>
    <w:charset w:val="86"/>
    <w:family w:val="auto"/>
    <w:pitch w:val="default"/>
    <w:sig w:usb0="00000000" w:usb1="00000000" w:usb2="00000000" w:usb3="00000000" w:csb0="00040000" w:csb1="00000000"/>
    <w:embedRegular r:id="rId6" w:fontKey="{CFD4825A-72A8-42B5-9D59-D0F099C439BA}"/>
  </w:font>
  <w:font w:name="Wingdings 2">
    <w:altName w:val="Wingdings"/>
    <w:panose1 w:val="05020102010507070707"/>
    <w:charset w:val="02"/>
    <w:family w:val="auto"/>
    <w:pitch w:val="default"/>
    <w:sig w:usb0="00000000" w:usb1="00000000" w:usb2="00000000" w:usb3="00000000" w:csb0="80000000" w:csb1="00000000"/>
    <w:embedRegular r:id="rId7" w:fontKey="{98A322BC-0422-4808-9E8C-D0DE77CA0912}"/>
  </w:font>
  <w:font w:name="楷体">
    <w:panose1 w:val="02010609060101010101"/>
    <w:charset w:val="86"/>
    <w:family w:val="auto"/>
    <w:pitch w:val="default"/>
    <w:sig w:usb0="800002BF" w:usb1="38CF7CFA" w:usb2="00000016" w:usb3="00000000" w:csb0="00040001" w:csb1="00000000"/>
    <w:embedRegular r:id="rId8" w:fontKey="{E7E97356-9C1A-4DB0-BB6B-4801F7180840}"/>
  </w:font>
  <w:font w:name="Segoe UI Symbol">
    <w:panose1 w:val="020B0502040204020203"/>
    <w:charset w:val="00"/>
    <w:family w:val="swiss"/>
    <w:pitch w:val="default"/>
    <w:sig w:usb0="8000006F" w:usb1="1200FBEF" w:usb2="0064C000" w:usb3="00000002" w:csb0="00000001" w:csb1="40000000"/>
    <w:embedRegular r:id="rId9" w:fontKey="{3446A089-1F75-48E1-AE03-197A7822FC75}"/>
  </w:font>
  <w:font w:name="楷体_GB2312">
    <w:altName w:val="楷体"/>
    <w:panose1 w:val="02010609030101010101"/>
    <w:charset w:val="86"/>
    <w:family w:val="modern"/>
    <w:pitch w:val="default"/>
    <w:sig w:usb0="00000000" w:usb1="00000000" w:usb2="00000000" w:usb3="00000000" w:csb0="00040000" w:csb1="00000000"/>
    <w:embedRegular r:id="rId10" w:fontKey="{0E9044FE-9FA2-4293-9839-1C27DABF53CE}"/>
  </w:font>
  <w:font w:name="方正楷体_GB2312">
    <w:panose1 w:val="02000000000000000000"/>
    <w:charset w:val="86"/>
    <w:family w:val="auto"/>
    <w:pitch w:val="default"/>
    <w:sig w:usb0="A00002BF" w:usb1="184F6CFA" w:usb2="00000012" w:usb3="00000000" w:csb0="00040001" w:csb1="00000000"/>
    <w:embedRegular r:id="rId11" w:fontKey="{30FDE01C-4540-4DBE-AD61-51B7E878C39B}"/>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861D">
    <w:pPr>
      <w:kinsoku w:val="0"/>
      <w:overflowPunct w:val="0"/>
      <w:spacing w:beforeLines="0" w:afterLines="0" w:line="200" w:lineRule="exact"/>
      <w:rPr>
        <w:rFonts w:hint="default"/>
        <w:sz w:val="20"/>
      </w:rPr>
    </w:pPr>
    <w:r>
      <w:rPr>
        <w:rFonts w:hint="eastAsia"/>
        <w:sz w:val="21"/>
      </w:rP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3"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7B36957C">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BucRutsgEAAH8DAAAOAAAAAAAAAAEAIAAAACkBAABkcnMvZTJvRG9jLnhtbFBLBQYAAAAA&#10;BgAGAFkBAABNBQAAAAA=&#10;">
              <v:fill on="f" focussize="0,0"/>
              <v:stroke on="f"/>
              <v:imagedata o:title=""/>
              <o:lock v:ext="edit" aspectratio="f"/>
              <v:textbox inset="0mm,0mm,0mm,0mm">
                <w:txbxContent>
                  <w:p w14:paraId="7B36957C">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F9F2">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06045">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lKYd8BAADAAwAADgAAAAAA&#10;AAABACAAAAAeAQAAZHJzL2Uyb0RvYy54bWxQSwUGAAAAAAYABgBZAQAAbwUAAAAA&#10;">
              <v:fill on="f" focussize="0,0"/>
              <v:stroke on="f"/>
              <v:imagedata o:title=""/>
              <o:lock v:ext="edit" aspectratio="f"/>
              <v:textbox inset="0mm,0mm,0mm,0mm" style="mso-fit-shape-to-text:t;">
                <w:txbxContent>
                  <w:p w14:paraId="77506045">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2336"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6"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8B3F224">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4144;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CMmOuJsgEAAH8DAAAOAAAAAAAAAAEAIAAAACkBAABkcnMvZTJvRG9jLnhtbFBLBQYAAAAA&#10;BgAGAFkBAABNBQAAAAA=&#10;">
              <v:fill on="f" focussize="0,0"/>
              <v:stroke on="f"/>
              <v:imagedata o:title=""/>
              <o:lock v:ext="edit" aspectratio="f"/>
              <v:textbox inset="0mm,0mm,0mm,0mm">
                <w:txbxContent>
                  <w:p w14:paraId="58B3F224">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1135">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B77FC">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PAZ2d8BAADAAwAADgAAAAAA&#10;AAABACAAAAAeAQAAZHJzL2Uyb0RvYy54bWxQSwUGAAAAAAYABgBZAQAAbwUAAAAA&#10;">
              <v:fill on="f" focussize="0,0"/>
              <v:stroke on="f"/>
              <v:imagedata o:title=""/>
              <o:lock v:ext="edit" aspectratio="f"/>
              <v:textbox inset="0mm,0mm,0mm,0mm" style="mso-fit-shape-to-text:t;">
                <w:txbxContent>
                  <w:p w14:paraId="301B77FC">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1312"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5"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0C4EE67">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5168;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DtPWsjsgEAAH8DAAAOAAAAAAAAAAEAIAAAACkBAABkcnMvZTJvRG9jLnhtbFBLBQYAAAAA&#10;BgAGAFkBAABNBQAAAAA=&#10;">
              <v:fill on="f" focussize="0,0"/>
              <v:stroke on="f"/>
              <v:imagedata o:title=""/>
              <o:lock v:ext="edit" aspectratio="f"/>
              <v:textbox inset="0mm,0mm,0mm,0mm">
                <w:txbxContent>
                  <w:p w14:paraId="50C4EE67">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DF0A">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8878D">
                          <w:pPr>
                            <w:pStyle w:val="18"/>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MzfN8BAADAAwAADgAAAGRycy9lMm9Eb2MueG1srVPBjtMwEL0j8Q+W&#10;7zTZaoW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Q5tAc3fC0sTP37+df/w6//zK&#10;rq+TQL0PFeXdecqMw2sYKHn2B3Im3kOLNv2JEaM4yXu6yKuGyGS6tFquViWFJMXmA+EXD9c9hvhW&#10;gWXJqDnS/LKs4vg+xDF1TknVHNxqY/IMjfvLQZjJU6Texx6TFYfdMBHaQXMiPvQQqE4H+IWzntag&#10;5o62njPzzpHKaWNmA2djNxvCSbpY88jZaL6J42YdPOp9l3ctNRX8q0OkTjOB1MZYe+qOBpslmJYw&#10;bc6f55z18PA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jMzfN8BAADAAwAADgAAAAAA&#10;AAABACAAAAAeAQAAZHJzL2Uyb0RvYy54bWxQSwUGAAAAAAYABgBZAQAAbwUAAAAA&#10;">
              <v:fill on="f" focussize="0,0"/>
              <v:stroke on="f"/>
              <v:imagedata o:title=""/>
              <o:lock v:ext="edit" aspectratio="f"/>
              <v:textbox inset="0mm,0mm,0mm,0mm" style="mso-fit-shape-to-text:t;">
                <w:txbxContent>
                  <w:p w14:paraId="48F8878D">
                    <w:pPr>
                      <w:pStyle w:val="18"/>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4349E536">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12" o:spid="_x0000_s1026" o:spt="202" type="#_x0000_t202" style="position:absolute;left:0pt;margin-left:300.5pt;margin-top:734.95pt;height:11pt;width:11.1pt;mso-position-horizontal-relative:page;mso-position-vertical-relative:page;z-index:-251656192;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a0Xk2gAAAA0BAAAPAAAAAAAAAAEAIAAAACIAAABkcnMvZG93bnJldi54bWxQSwECFAAUAAAA&#10;CACHTuJAUdDxFrMBAACAAwAADgAAAAAAAAABACAAAAApAQAAZHJzL2Uyb0RvYy54bWxQSwUGAAAA&#10;AAYABgBZAQAATgUAAAAA&#10;">
              <v:fill on="f" focussize="0,0"/>
              <v:stroke on="f"/>
              <v:imagedata o:title=""/>
              <o:lock v:ext="edit" aspectratio="f"/>
              <v:textbox inset="0mm,0mm,0mm,0mm">
                <w:txbxContent>
                  <w:p w14:paraId="4349E536">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4F6C">
    <w:pPr>
      <w:kinsoku w:val="0"/>
      <w:overflowPunct w:val="0"/>
      <w:spacing w:beforeLines="0" w:afterLines="0" w:line="200" w:lineRule="exact"/>
      <w:rPr>
        <w:rFonts w:hint="default"/>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51CBD">
                          <w:pPr>
                            <w:pStyle w:val="18"/>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zpXd8BAADAAwAADgAAAGRycy9lMm9Eb2MueG1srVPBjtMwEL0j8Q+W&#10;7zTZC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BNecOaEpYmfv387//h1/vmV&#10;PX2WBOp9rCjv1lMmDq9goOTZH8mZeA9tsOlPjBjFSd7TRV41IJPp0mq5WpUUkhSbD4Rf3F33IeIb&#10;BZYlo+aB5pdlFcd3EcfUOSVVc3CjjckzNO4vB2EmT5F6H3tMFg67YSK0g+ZEfOghUJ0OwhfOelqD&#10;mjvaes7MW0cqp42ZjTAbu9kQTtLFmiNno/kax806+KD3Xd611FT0Lw9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WzpXd8BAADAAwAADgAAAAAA&#10;AAABACAAAAAeAQAAZHJzL2Uyb0RvYy54bWxQSwUGAAAAAAYABgBZAQAAbwUAAAAA&#10;">
              <v:fill on="f" focussize="0,0"/>
              <v:stroke on="f"/>
              <v:imagedata o:title=""/>
              <o:lock v:ext="edit" aspectratio="f"/>
              <v:textbox inset="0mm,0mm,0mm,0mm" style="mso-fit-shape-to-text:t;">
                <w:txbxContent>
                  <w:p w14:paraId="38051CBD">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36BB">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27F5D9">
                          <w:pPr>
                            <w:pStyle w:val="18"/>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my/LrdIBAACkAwAADgAAAAAAAAABACAAAAAfAQAA&#10;ZHJzL2Uyb0RvYy54bWxQSwUGAAAAAAYABgBZAQAAYwUAAAAA&#10;">
              <v:fill on="f" focussize="0,0"/>
              <v:stroke on="f" weight="0.5pt"/>
              <v:imagedata o:title=""/>
              <o:lock v:ext="edit" aspectratio="f"/>
              <v:textbox inset="0mm,0mm,0mm,0mm" style="mso-fit-shape-to-text:t;">
                <w:txbxContent>
                  <w:p w14:paraId="6327F5D9">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1363">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BDA294">
                          <w:pPr>
                            <w:pStyle w:val="18"/>
                          </w:pPr>
                          <w:r>
                            <w:fldChar w:fldCharType="begin"/>
                          </w:r>
                          <w:r>
                            <w:instrText xml:space="preserve"> PAGE  \* MERGEFORMAT </w:instrText>
                          </w:r>
                          <w:r>
                            <w:fldChar w:fldCharType="separate"/>
                          </w:r>
                          <w:r>
                            <w:t>55</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BNWsLnoAQAA&#10;yQMAAA4AAAAAAAAAAQAgAAAAHwEAAGRycy9lMm9Eb2MueG1sUEsFBgAAAAAGAAYAWQEAAHkFAAAA&#10;AA==&#10;">
              <v:fill on="f" focussize="0,0"/>
              <v:stroke on="f" weight="0.5pt"/>
              <v:imagedata o:title=""/>
              <o:lock v:ext="edit" aspectratio="f"/>
              <v:textbox inset="0mm,0mm,0mm,0mm" style="mso-fit-shape-to-text:t;">
                <w:txbxContent>
                  <w:p w14:paraId="4EBDA294">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BDE9">
    <w:pPr>
      <w:pStyle w:val="18"/>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9CBE2">
                          <w:pPr>
                            <w:pStyle w:val="18"/>
                          </w:pPr>
                          <w:r>
                            <w:fldChar w:fldCharType="begin"/>
                          </w:r>
                          <w:r>
                            <w:instrText xml:space="preserve"> PAGE  \* MERGEFORMAT </w:instrText>
                          </w:r>
                          <w:r>
                            <w:fldChar w:fldCharType="separate"/>
                          </w:r>
                          <w:r>
                            <w:t>98</w:t>
                          </w:r>
                          <w:r>
                            <w:fldChar w:fldCharType="end"/>
                          </w:r>
                        </w:p>
                      </w:txbxContent>
                    </wps:txbx>
                    <wps:bodyPr vert="horz" wrap="none" lIns="0" tIns="0" rIns="0" bIns="0" anchor="t" anchorCtr="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MXsVN8BAADAAwAADgAAAAAA&#10;AAABACAAAAAeAQAAZHJzL2Uyb0RvYy54bWxQSwUGAAAAAAYABgBZAQAAbwUAAAAA&#10;">
              <v:fill on="f" focussize="0,0"/>
              <v:stroke on="f"/>
              <v:imagedata o:title=""/>
              <o:lock v:ext="edit" aspectratio="f"/>
              <v:textbox inset="0mm,0mm,0mm,0mm" style="mso-fit-shape-to-text:t;">
                <w:txbxContent>
                  <w:p w14:paraId="25B9CBE2">
                    <w:pPr>
                      <w:pStyle w:val="1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243E">
    <w:pPr>
      <w:pStyle w:val="18"/>
      <w:framePr w:wrap="around" w:vAnchor="text" w:hAnchor="margin" w:xAlign="right" w:y="1"/>
      <w:rPr>
        <w:rStyle w:val="34"/>
      </w:rPr>
    </w:pPr>
    <w:r>
      <w:fldChar w:fldCharType="begin"/>
    </w:r>
    <w:r>
      <w:rPr>
        <w:rStyle w:val="34"/>
      </w:rPr>
      <w:instrText xml:space="preserve">PAGE  </w:instrText>
    </w:r>
    <w:r>
      <w:fldChar w:fldCharType="end"/>
    </w:r>
  </w:p>
  <w:p w14:paraId="5D34DBBA">
    <w:pPr>
      <w:pStyle w:val="1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4C9D5"/>
    <w:multiLevelType w:val="singleLevel"/>
    <w:tmpl w:val="80B4C9D5"/>
    <w:lvl w:ilvl="0" w:tentative="0">
      <w:start w:val="1"/>
      <w:numFmt w:val="decimal"/>
      <w:suff w:val="space"/>
      <w:lvlText w:val="%1."/>
      <w:lvlJc w:val="left"/>
    </w:lvl>
  </w:abstractNum>
  <w:abstractNum w:abstractNumId="1">
    <w:nsid w:val="83FF8FA4"/>
    <w:multiLevelType w:val="multilevel"/>
    <w:tmpl w:val="83FF8FA4"/>
    <w:lvl w:ilvl="0" w:tentative="0">
      <w:start w:val="1"/>
      <w:numFmt w:val="decimal"/>
      <w:lvlText w:val="（%1）"/>
      <w:lvlJc w:val="left"/>
      <w:pPr>
        <w:tabs>
          <w:tab w:val="left" w:pos="720"/>
        </w:tabs>
        <w:ind w:left="720" w:hanging="7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D2D390A9"/>
    <w:multiLevelType w:val="singleLevel"/>
    <w:tmpl w:val="D2D390A9"/>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691CA2"/>
    <w:rsid w:val="00002851"/>
    <w:rsid w:val="0000470D"/>
    <w:rsid w:val="00006340"/>
    <w:rsid w:val="0000650E"/>
    <w:rsid w:val="000065CC"/>
    <w:rsid w:val="000069EE"/>
    <w:rsid w:val="00012638"/>
    <w:rsid w:val="00012A49"/>
    <w:rsid w:val="00015D95"/>
    <w:rsid w:val="0002092E"/>
    <w:rsid w:val="00022897"/>
    <w:rsid w:val="00024F55"/>
    <w:rsid w:val="000263E3"/>
    <w:rsid w:val="000265EE"/>
    <w:rsid w:val="00030E33"/>
    <w:rsid w:val="0003127C"/>
    <w:rsid w:val="00033C4A"/>
    <w:rsid w:val="00036FE0"/>
    <w:rsid w:val="0003726F"/>
    <w:rsid w:val="00042918"/>
    <w:rsid w:val="000447DC"/>
    <w:rsid w:val="00045447"/>
    <w:rsid w:val="00045F27"/>
    <w:rsid w:val="00050540"/>
    <w:rsid w:val="00050590"/>
    <w:rsid w:val="00050D4B"/>
    <w:rsid w:val="00051411"/>
    <w:rsid w:val="000523CE"/>
    <w:rsid w:val="0005310B"/>
    <w:rsid w:val="00055C0A"/>
    <w:rsid w:val="00055D43"/>
    <w:rsid w:val="00055EF8"/>
    <w:rsid w:val="00057069"/>
    <w:rsid w:val="000575F1"/>
    <w:rsid w:val="00057FD6"/>
    <w:rsid w:val="00061637"/>
    <w:rsid w:val="00062C2A"/>
    <w:rsid w:val="00063628"/>
    <w:rsid w:val="00064BC2"/>
    <w:rsid w:val="000670CB"/>
    <w:rsid w:val="00067127"/>
    <w:rsid w:val="0006799A"/>
    <w:rsid w:val="000702AE"/>
    <w:rsid w:val="000708D2"/>
    <w:rsid w:val="000714A3"/>
    <w:rsid w:val="00071730"/>
    <w:rsid w:val="0007203D"/>
    <w:rsid w:val="0007426C"/>
    <w:rsid w:val="000764CD"/>
    <w:rsid w:val="0008208F"/>
    <w:rsid w:val="00083CAF"/>
    <w:rsid w:val="00083E7B"/>
    <w:rsid w:val="0008411E"/>
    <w:rsid w:val="00084A43"/>
    <w:rsid w:val="000920A7"/>
    <w:rsid w:val="00094240"/>
    <w:rsid w:val="00095A2F"/>
    <w:rsid w:val="00096681"/>
    <w:rsid w:val="00096AD5"/>
    <w:rsid w:val="00096C2C"/>
    <w:rsid w:val="000A09C2"/>
    <w:rsid w:val="000A0B42"/>
    <w:rsid w:val="000A38A4"/>
    <w:rsid w:val="000A482E"/>
    <w:rsid w:val="000A5F9A"/>
    <w:rsid w:val="000B0282"/>
    <w:rsid w:val="000B1A26"/>
    <w:rsid w:val="000B3A24"/>
    <w:rsid w:val="000B3A48"/>
    <w:rsid w:val="000B5E98"/>
    <w:rsid w:val="000B70D0"/>
    <w:rsid w:val="000B7264"/>
    <w:rsid w:val="000C0AE2"/>
    <w:rsid w:val="000C10DE"/>
    <w:rsid w:val="000C14DF"/>
    <w:rsid w:val="000C273F"/>
    <w:rsid w:val="000C2CC4"/>
    <w:rsid w:val="000C41D5"/>
    <w:rsid w:val="000C524F"/>
    <w:rsid w:val="000C5AB3"/>
    <w:rsid w:val="000C6EC3"/>
    <w:rsid w:val="000C778A"/>
    <w:rsid w:val="000C7B14"/>
    <w:rsid w:val="000D0A5D"/>
    <w:rsid w:val="000D2E5B"/>
    <w:rsid w:val="000D4A46"/>
    <w:rsid w:val="000D4B13"/>
    <w:rsid w:val="000D6BAB"/>
    <w:rsid w:val="000E12C8"/>
    <w:rsid w:val="000E2A58"/>
    <w:rsid w:val="000E310C"/>
    <w:rsid w:val="000E3B1E"/>
    <w:rsid w:val="000E5F8C"/>
    <w:rsid w:val="000F00C8"/>
    <w:rsid w:val="000F2160"/>
    <w:rsid w:val="000F3145"/>
    <w:rsid w:val="000F41F0"/>
    <w:rsid w:val="000F4D6F"/>
    <w:rsid w:val="000F6646"/>
    <w:rsid w:val="000F791D"/>
    <w:rsid w:val="000F7C95"/>
    <w:rsid w:val="00100D1A"/>
    <w:rsid w:val="00102380"/>
    <w:rsid w:val="00104217"/>
    <w:rsid w:val="0010757C"/>
    <w:rsid w:val="001112C1"/>
    <w:rsid w:val="00111986"/>
    <w:rsid w:val="001141DC"/>
    <w:rsid w:val="0011425B"/>
    <w:rsid w:val="00116C58"/>
    <w:rsid w:val="00116DA9"/>
    <w:rsid w:val="0012013E"/>
    <w:rsid w:val="00120E46"/>
    <w:rsid w:val="0012100F"/>
    <w:rsid w:val="001212FD"/>
    <w:rsid w:val="00123049"/>
    <w:rsid w:val="001253FB"/>
    <w:rsid w:val="00125A0C"/>
    <w:rsid w:val="00126545"/>
    <w:rsid w:val="0012677A"/>
    <w:rsid w:val="001348EB"/>
    <w:rsid w:val="001376E5"/>
    <w:rsid w:val="0014205E"/>
    <w:rsid w:val="00142B5D"/>
    <w:rsid w:val="001435F2"/>
    <w:rsid w:val="00143EF6"/>
    <w:rsid w:val="00144C6F"/>
    <w:rsid w:val="00147832"/>
    <w:rsid w:val="00150022"/>
    <w:rsid w:val="001501EA"/>
    <w:rsid w:val="00150D02"/>
    <w:rsid w:val="00151323"/>
    <w:rsid w:val="0015191C"/>
    <w:rsid w:val="00152269"/>
    <w:rsid w:val="001523C1"/>
    <w:rsid w:val="00155010"/>
    <w:rsid w:val="001556E8"/>
    <w:rsid w:val="001571B4"/>
    <w:rsid w:val="001604AF"/>
    <w:rsid w:val="00161B68"/>
    <w:rsid w:val="00162CAD"/>
    <w:rsid w:val="00162D7D"/>
    <w:rsid w:val="00167C98"/>
    <w:rsid w:val="001709B6"/>
    <w:rsid w:val="00171EA1"/>
    <w:rsid w:val="001727C0"/>
    <w:rsid w:val="00173372"/>
    <w:rsid w:val="00174367"/>
    <w:rsid w:val="00175AF3"/>
    <w:rsid w:val="00176C82"/>
    <w:rsid w:val="00176FB0"/>
    <w:rsid w:val="00180440"/>
    <w:rsid w:val="001804A8"/>
    <w:rsid w:val="00180A98"/>
    <w:rsid w:val="00183E1D"/>
    <w:rsid w:val="00184EB0"/>
    <w:rsid w:val="00186194"/>
    <w:rsid w:val="00186A1B"/>
    <w:rsid w:val="00187CAC"/>
    <w:rsid w:val="0019070B"/>
    <w:rsid w:val="001913F5"/>
    <w:rsid w:val="00193FBB"/>
    <w:rsid w:val="00194410"/>
    <w:rsid w:val="00194F75"/>
    <w:rsid w:val="001A2508"/>
    <w:rsid w:val="001A400E"/>
    <w:rsid w:val="001A5BF0"/>
    <w:rsid w:val="001A6E7E"/>
    <w:rsid w:val="001B102A"/>
    <w:rsid w:val="001B12D3"/>
    <w:rsid w:val="001B1575"/>
    <w:rsid w:val="001B15A0"/>
    <w:rsid w:val="001B1A3A"/>
    <w:rsid w:val="001B20A0"/>
    <w:rsid w:val="001B3C50"/>
    <w:rsid w:val="001B3FC8"/>
    <w:rsid w:val="001B583D"/>
    <w:rsid w:val="001B5905"/>
    <w:rsid w:val="001B5B49"/>
    <w:rsid w:val="001B6282"/>
    <w:rsid w:val="001B6FE4"/>
    <w:rsid w:val="001B7455"/>
    <w:rsid w:val="001C1C96"/>
    <w:rsid w:val="001C1E9B"/>
    <w:rsid w:val="001C2519"/>
    <w:rsid w:val="001C2EB8"/>
    <w:rsid w:val="001C4902"/>
    <w:rsid w:val="001C4BDD"/>
    <w:rsid w:val="001C798D"/>
    <w:rsid w:val="001C7E19"/>
    <w:rsid w:val="001D018D"/>
    <w:rsid w:val="001D54D1"/>
    <w:rsid w:val="001D66DD"/>
    <w:rsid w:val="001E58FB"/>
    <w:rsid w:val="001E5CCF"/>
    <w:rsid w:val="001E60C5"/>
    <w:rsid w:val="001E79DA"/>
    <w:rsid w:val="001F001A"/>
    <w:rsid w:val="001F0227"/>
    <w:rsid w:val="001F0297"/>
    <w:rsid w:val="001F052F"/>
    <w:rsid w:val="001F08DF"/>
    <w:rsid w:val="001F13F5"/>
    <w:rsid w:val="001F3C7B"/>
    <w:rsid w:val="001F4649"/>
    <w:rsid w:val="001F470D"/>
    <w:rsid w:val="001F47A1"/>
    <w:rsid w:val="001F50C4"/>
    <w:rsid w:val="001F63DB"/>
    <w:rsid w:val="001F6E36"/>
    <w:rsid w:val="001F6E4D"/>
    <w:rsid w:val="001F7CAC"/>
    <w:rsid w:val="00200447"/>
    <w:rsid w:val="00200D54"/>
    <w:rsid w:val="0020156D"/>
    <w:rsid w:val="00202176"/>
    <w:rsid w:val="002065E1"/>
    <w:rsid w:val="00207A90"/>
    <w:rsid w:val="00207C19"/>
    <w:rsid w:val="00210313"/>
    <w:rsid w:val="002105D4"/>
    <w:rsid w:val="00210C1E"/>
    <w:rsid w:val="002119E2"/>
    <w:rsid w:val="00211ABD"/>
    <w:rsid w:val="00211C21"/>
    <w:rsid w:val="00213D42"/>
    <w:rsid w:val="002164BF"/>
    <w:rsid w:val="00224D1F"/>
    <w:rsid w:val="00226A6B"/>
    <w:rsid w:val="00231E21"/>
    <w:rsid w:val="00232182"/>
    <w:rsid w:val="00235CD7"/>
    <w:rsid w:val="00236E6E"/>
    <w:rsid w:val="00237757"/>
    <w:rsid w:val="0024269F"/>
    <w:rsid w:val="00242FB2"/>
    <w:rsid w:val="00242FEE"/>
    <w:rsid w:val="002432AC"/>
    <w:rsid w:val="00244ED0"/>
    <w:rsid w:val="00245760"/>
    <w:rsid w:val="00247597"/>
    <w:rsid w:val="002519C9"/>
    <w:rsid w:val="00252132"/>
    <w:rsid w:val="0025249E"/>
    <w:rsid w:val="0025433E"/>
    <w:rsid w:val="002543E1"/>
    <w:rsid w:val="00254ECF"/>
    <w:rsid w:val="002559E1"/>
    <w:rsid w:val="00260CD4"/>
    <w:rsid w:val="00260E7E"/>
    <w:rsid w:val="00261209"/>
    <w:rsid w:val="00262743"/>
    <w:rsid w:val="002647B8"/>
    <w:rsid w:val="00266A10"/>
    <w:rsid w:val="00266AA2"/>
    <w:rsid w:val="00267845"/>
    <w:rsid w:val="00271AC4"/>
    <w:rsid w:val="00271B1D"/>
    <w:rsid w:val="00273450"/>
    <w:rsid w:val="00273C8B"/>
    <w:rsid w:val="00273DF4"/>
    <w:rsid w:val="00274136"/>
    <w:rsid w:val="00274987"/>
    <w:rsid w:val="00274A55"/>
    <w:rsid w:val="0027594D"/>
    <w:rsid w:val="00275A7E"/>
    <w:rsid w:val="00277948"/>
    <w:rsid w:val="00280C5C"/>
    <w:rsid w:val="00280E55"/>
    <w:rsid w:val="00281225"/>
    <w:rsid w:val="002821E8"/>
    <w:rsid w:val="00282BC0"/>
    <w:rsid w:val="00283D19"/>
    <w:rsid w:val="0028407B"/>
    <w:rsid w:val="00284D04"/>
    <w:rsid w:val="00285256"/>
    <w:rsid w:val="0028747A"/>
    <w:rsid w:val="0029073B"/>
    <w:rsid w:val="002913E3"/>
    <w:rsid w:val="0029140E"/>
    <w:rsid w:val="00295B05"/>
    <w:rsid w:val="00295DA2"/>
    <w:rsid w:val="00296065"/>
    <w:rsid w:val="002964CB"/>
    <w:rsid w:val="00297807"/>
    <w:rsid w:val="00297850"/>
    <w:rsid w:val="00297E60"/>
    <w:rsid w:val="002A3A4E"/>
    <w:rsid w:val="002A3C3D"/>
    <w:rsid w:val="002A7A86"/>
    <w:rsid w:val="002B06B0"/>
    <w:rsid w:val="002B27A1"/>
    <w:rsid w:val="002B56BC"/>
    <w:rsid w:val="002B6610"/>
    <w:rsid w:val="002C0829"/>
    <w:rsid w:val="002C173E"/>
    <w:rsid w:val="002C1C2C"/>
    <w:rsid w:val="002C1D5A"/>
    <w:rsid w:val="002C1F29"/>
    <w:rsid w:val="002C3256"/>
    <w:rsid w:val="002C3A28"/>
    <w:rsid w:val="002C56E2"/>
    <w:rsid w:val="002C6155"/>
    <w:rsid w:val="002C734B"/>
    <w:rsid w:val="002C7DDE"/>
    <w:rsid w:val="002D0F05"/>
    <w:rsid w:val="002D1C56"/>
    <w:rsid w:val="002D2125"/>
    <w:rsid w:val="002D3C3D"/>
    <w:rsid w:val="002D4F5D"/>
    <w:rsid w:val="002D56D0"/>
    <w:rsid w:val="002D77F3"/>
    <w:rsid w:val="002D7C9E"/>
    <w:rsid w:val="002E0553"/>
    <w:rsid w:val="002E184A"/>
    <w:rsid w:val="002E1D8C"/>
    <w:rsid w:val="002E1E84"/>
    <w:rsid w:val="002E3E15"/>
    <w:rsid w:val="002E473B"/>
    <w:rsid w:val="002E6C0E"/>
    <w:rsid w:val="002F1555"/>
    <w:rsid w:val="002F2420"/>
    <w:rsid w:val="002F2543"/>
    <w:rsid w:val="002F4342"/>
    <w:rsid w:val="002F4854"/>
    <w:rsid w:val="002F74A2"/>
    <w:rsid w:val="002F7B0E"/>
    <w:rsid w:val="002F7CCD"/>
    <w:rsid w:val="00300680"/>
    <w:rsid w:val="0030099C"/>
    <w:rsid w:val="0030163A"/>
    <w:rsid w:val="00302A7F"/>
    <w:rsid w:val="00304538"/>
    <w:rsid w:val="00304746"/>
    <w:rsid w:val="00305C92"/>
    <w:rsid w:val="00305DAD"/>
    <w:rsid w:val="003062D2"/>
    <w:rsid w:val="003063E5"/>
    <w:rsid w:val="0030674E"/>
    <w:rsid w:val="00306C13"/>
    <w:rsid w:val="00307240"/>
    <w:rsid w:val="00307410"/>
    <w:rsid w:val="00315ACD"/>
    <w:rsid w:val="00316507"/>
    <w:rsid w:val="0031787D"/>
    <w:rsid w:val="00320B3D"/>
    <w:rsid w:val="00325160"/>
    <w:rsid w:val="0032528A"/>
    <w:rsid w:val="003305C3"/>
    <w:rsid w:val="00333C69"/>
    <w:rsid w:val="00334908"/>
    <w:rsid w:val="00334D31"/>
    <w:rsid w:val="00335581"/>
    <w:rsid w:val="00337222"/>
    <w:rsid w:val="00337285"/>
    <w:rsid w:val="0033734A"/>
    <w:rsid w:val="003405FD"/>
    <w:rsid w:val="00340859"/>
    <w:rsid w:val="00340A55"/>
    <w:rsid w:val="00341552"/>
    <w:rsid w:val="003447D3"/>
    <w:rsid w:val="003457A4"/>
    <w:rsid w:val="0034684A"/>
    <w:rsid w:val="00350EF0"/>
    <w:rsid w:val="00350F8E"/>
    <w:rsid w:val="00351C9A"/>
    <w:rsid w:val="0035223F"/>
    <w:rsid w:val="00353093"/>
    <w:rsid w:val="00354A6D"/>
    <w:rsid w:val="00354C35"/>
    <w:rsid w:val="0035622E"/>
    <w:rsid w:val="00356330"/>
    <w:rsid w:val="0035683C"/>
    <w:rsid w:val="003575E2"/>
    <w:rsid w:val="0035771F"/>
    <w:rsid w:val="0036463C"/>
    <w:rsid w:val="00365C7E"/>
    <w:rsid w:val="003672C2"/>
    <w:rsid w:val="003673F2"/>
    <w:rsid w:val="0036787A"/>
    <w:rsid w:val="00367941"/>
    <w:rsid w:val="00370B63"/>
    <w:rsid w:val="00370EEF"/>
    <w:rsid w:val="0037101A"/>
    <w:rsid w:val="003717D6"/>
    <w:rsid w:val="00372ED3"/>
    <w:rsid w:val="00380674"/>
    <w:rsid w:val="00380A4D"/>
    <w:rsid w:val="00380E8B"/>
    <w:rsid w:val="00381E79"/>
    <w:rsid w:val="00382C6C"/>
    <w:rsid w:val="00384402"/>
    <w:rsid w:val="0038644E"/>
    <w:rsid w:val="00386FB1"/>
    <w:rsid w:val="00390CC4"/>
    <w:rsid w:val="0039120B"/>
    <w:rsid w:val="00392158"/>
    <w:rsid w:val="003951CA"/>
    <w:rsid w:val="003955CB"/>
    <w:rsid w:val="003A025E"/>
    <w:rsid w:val="003A0870"/>
    <w:rsid w:val="003A091A"/>
    <w:rsid w:val="003A0D82"/>
    <w:rsid w:val="003A1A99"/>
    <w:rsid w:val="003A35F4"/>
    <w:rsid w:val="003A3CC1"/>
    <w:rsid w:val="003A50E1"/>
    <w:rsid w:val="003A5D6F"/>
    <w:rsid w:val="003A6D25"/>
    <w:rsid w:val="003B0D18"/>
    <w:rsid w:val="003B1248"/>
    <w:rsid w:val="003B14DC"/>
    <w:rsid w:val="003B1C6B"/>
    <w:rsid w:val="003B2A9B"/>
    <w:rsid w:val="003B5121"/>
    <w:rsid w:val="003B5D42"/>
    <w:rsid w:val="003B60F5"/>
    <w:rsid w:val="003B71C7"/>
    <w:rsid w:val="003B7EEE"/>
    <w:rsid w:val="003C3563"/>
    <w:rsid w:val="003C523E"/>
    <w:rsid w:val="003C59B0"/>
    <w:rsid w:val="003D1EB1"/>
    <w:rsid w:val="003D2077"/>
    <w:rsid w:val="003D2A56"/>
    <w:rsid w:val="003D433D"/>
    <w:rsid w:val="003D524E"/>
    <w:rsid w:val="003D573E"/>
    <w:rsid w:val="003D7511"/>
    <w:rsid w:val="003E0576"/>
    <w:rsid w:val="003E0B6D"/>
    <w:rsid w:val="003E0F3E"/>
    <w:rsid w:val="003E1967"/>
    <w:rsid w:val="003E20FC"/>
    <w:rsid w:val="003E2295"/>
    <w:rsid w:val="003E2FA6"/>
    <w:rsid w:val="003E4CCF"/>
    <w:rsid w:val="003E73B1"/>
    <w:rsid w:val="003F0FBF"/>
    <w:rsid w:val="003F1E4F"/>
    <w:rsid w:val="003F5F88"/>
    <w:rsid w:val="003F79E5"/>
    <w:rsid w:val="003F7AF5"/>
    <w:rsid w:val="004040DA"/>
    <w:rsid w:val="00404534"/>
    <w:rsid w:val="0041068A"/>
    <w:rsid w:val="00410873"/>
    <w:rsid w:val="00410CA1"/>
    <w:rsid w:val="00413EDD"/>
    <w:rsid w:val="00414BDD"/>
    <w:rsid w:val="0041553F"/>
    <w:rsid w:val="004241CF"/>
    <w:rsid w:val="00427570"/>
    <w:rsid w:val="004304CD"/>
    <w:rsid w:val="00430B00"/>
    <w:rsid w:val="00431F13"/>
    <w:rsid w:val="00431F3E"/>
    <w:rsid w:val="00432F5B"/>
    <w:rsid w:val="00434B1C"/>
    <w:rsid w:val="004357EE"/>
    <w:rsid w:val="00436114"/>
    <w:rsid w:val="00436658"/>
    <w:rsid w:val="004377B8"/>
    <w:rsid w:val="0044421D"/>
    <w:rsid w:val="004468E1"/>
    <w:rsid w:val="0044763C"/>
    <w:rsid w:val="00447783"/>
    <w:rsid w:val="0045060B"/>
    <w:rsid w:val="004514B5"/>
    <w:rsid w:val="004532F0"/>
    <w:rsid w:val="00453435"/>
    <w:rsid w:val="00454852"/>
    <w:rsid w:val="00454BE1"/>
    <w:rsid w:val="0045670F"/>
    <w:rsid w:val="00457183"/>
    <w:rsid w:val="00461714"/>
    <w:rsid w:val="0046260C"/>
    <w:rsid w:val="004639F8"/>
    <w:rsid w:val="00466D61"/>
    <w:rsid w:val="00470747"/>
    <w:rsid w:val="00470B3E"/>
    <w:rsid w:val="004729BD"/>
    <w:rsid w:val="00473C4F"/>
    <w:rsid w:val="004753B7"/>
    <w:rsid w:val="00475922"/>
    <w:rsid w:val="0047684B"/>
    <w:rsid w:val="00482214"/>
    <w:rsid w:val="00483805"/>
    <w:rsid w:val="00483B89"/>
    <w:rsid w:val="00484E5B"/>
    <w:rsid w:val="00485535"/>
    <w:rsid w:val="00486EF9"/>
    <w:rsid w:val="004875F0"/>
    <w:rsid w:val="004908EB"/>
    <w:rsid w:val="00490FC6"/>
    <w:rsid w:val="004923F2"/>
    <w:rsid w:val="004929F3"/>
    <w:rsid w:val="00492EED"/>
    <w:rsid w:val="00494E11"/>
    <w:rsid w:val="00494EE2"/>
    <w:rsid w:val="00495ECD"/>
    <w:rsid w:val="0049695A"/>
    <w:rsid w:val="004969C7"/>
    <w:rsid w:val="004A01F6"/>
    <w:rsid w:val="004A74A4"/>
    <w:rsid w:val="004B0494"/>
    <w:rsid w:val="004B061A"/>
    <w:rsid w:val="004B0D01"/>
    <w:rsid w:val="004B15F1"/>
    <w:rsid w:val="004B1C8F"/>
    <w:rsid w:val="004B2750"/>
    <w:rsid w:val="004B3DA3"/>
    <w:rsid w:val="004B681F"/>
    <w:rsid w:val="004B792C"/>
    <w:rsid w:val="004C0FCD"/>
    <w:rsid w:val="004C230B"/>
    <w:rsid w:val="004C298C"/>
    <w:rsid w:val="004C4921"/>
    <w:rsid w:val="004C5BE2"/>
    <w:rsid w:val="004C5E9F"/>
    <w:rsid w:val="004C73CE"/>
    <w:rsid w:val="004D010A"/>
    <w:rsid w:val="004D0AE1"/>
    <w:rsid w:val="004D3B20"/>
    <w:rsid w:val="004D3C30"/>
    <w:rsid w:val="004D4176"/>
    <w:rsid w:val="004D5111"/>
    <w:rsid w:val="004D612B"/>
    <w:rsid w:val="004D6468"/>
    <w:rsid w:val="004D66DA"/>
    <w:rsid w:val="004D6EC3"/>
    <w:rsid w:val="004E2445"/>
    <w:rsid w:val="004E37A8"/>
    <w:rsid w:val="004E3BFE"/>
    <w:rsid w:val="004E6D0A"/>
    <w:rsid w:val="004E749E"/>
    <w:rsid w:val="004E786A"/>
    <w:rsid w:val="004F1A5D"/>
    <w:rsid w:val="004F2A25"/>
    <w:rsid w:val="004F68BC"/>
    <w:rsid w:val="004F7164"/>
    <w:rsid w:val="00500AA3"/>
    <w:rsid w:val="005017EB"/>
    <w:rsid w:val="00502C5C"/>
    <w:rsid w:val="005036F4"/>
    <w:rsid w:val="005041D7"/>
    <w:rsid w:val="0050685F"/>
    <w:rsid w:val="00511B62"/>
    <w:rsid w:val="00512ED6"/>
    <w:rsid w:val="00513770"/>
    <w:rsid w:val="00514BF7"/>
    <w:rsid w:val="00515BB3"/>
    <w:rsid w:val="00516523"/>
    <w:rsid w:val="00516564"/>
    <w:rsid w:val="005165CE"/>
    <w:rsid w:val="00517CEE"/>
    <w:rsid w:val="00521296"/>
    <w:rsid w:val="005217C2"/>
    <w:rsid w:val="0052196B"/>
    <w:rsid w:val="0052220C"/>
    <w:rsid w:val="00522B91"/>
    <w:rsid w:val="00523B06"/>
    <w:rsid w:val="0052460A"/>
    <w:rsid w:val="00525FA3"/>
    <w:rsid w:val="005268F2"/>
    <w:rsid w:val="005269BF"/>
    <w:rsid w:val="0052755F"/>
    <w:rsid w:val="00530AB9"/>
    <w:rsid w:val="00531991"/>
    <w:rsid w:val="00531FDE"/>
    <w:rsid w:val="00532C7B"/>
    <w:rsid w:val="00533407"/>
    <w:rsid w:val="00534F38"/>
    <w:rsid w:val="00535A00"/>
    <w:rsid w:val="005362C1"/>
    <w:rsid w:val="00536FAC"/>
    <w:rsid w:val="005406BC"/>
    <w:rsid w:val="005408EE"/>
    <w:rsid w:val="005414B3"/>
    <w:rsid w:val="005418FE"/>
    <w:rsid w:val="00543360"/>
    <w:rsid w:val="00543A50"/>
    <w:rsid w:val="005446EE"/>
    <w:rsid w:val="0054501D"/>
    <w:rsid w:val="00545166"/>
    <w:rsid w:val="005459D6"/>
    <w:rsid w:val="00545AFF"/>
    <w:rsid w:val="00545C36"/>
    <w:rsid w:val="005472CB"/>
    <w:rsid w:val="005504AB"/>
    <w:rsid w:val="0055147B"/>
    <w:rsid w:val="0055337B"/>
    <w:rsid w:val="00553E77"/>
    <w:rsid w:val="00554715"/>
    <w:rsid w:val="0055493F"/>
    <w:rsid w:val="00556F8C"/>
    <w:rsid w:val="00561353"/>
    <w:rsid w:val="00561F90"/>
    <w:rsid w:val="005624EB"/>
    <w:rsid w:val="005630C3"/>
    <w:rsid w:val="005639FA"/>
    <w:rsid w:val="00563A9A"/>
    <w:rsid w:val="00564FFE"/>
    <w:rsid w:val="005653CA"/>
    <w:rsid w:val="00565495"/>
    <w:rsid w:val="00565B07"/>
    <w:rsid w:val="00566598"/>
    <w:rsid w:val="00566939"/>
    <w:rsid w:val="00567E6A"/>
    <w:rsid w:val="005714A4"/>
    <w:rsid w:val="005765AD"/>
    <w:rsid w:val="005806D1"/>
    <w:rsid w:val="005815F6"/>
    <w:rsid w:val="00583207"/>
    <w:rsid w:val="0058596E"/>
    <w:rsid w:val="00585BB6"/>
    <w:rsid w:val="00585EAF"/>
    <w:rsid w:val="00585F0F"/>
    <w:rsid w:val="00586628"/>
    <w:rsid w:val="005866DB"/>
    <w:rsid w:val="005910C3"/>
    <w:rsid w:val="00592214"/>
    <w:rsid w:val="00594047"/>
    <w:rsid w:val="005969A5"/>
    <w:rsid w:val="005A10B8"/>
    <w:rsid w:val="005A1CEF"/>
    <w:rsid w:val="005A1DE3"/>
    <w:rsid w:val="005A2199"/>
    <w:rsid w:val="005A2B30"/>
    <w:rsid w:val="005A33BF"/>
    <w:rsid w:val="005A3F9A"/>
    <w:rsid w:val="005A4FBF"/>
    <w:rsid w:val="005A5CB5"/>
    <w:rsid w:val="005A6E77"/>
    <w:rsid w:val="005A7ADB"/>
    <w:rsid w:val="005B0749"/>
    <w:rsid w:val="005B1AB0"/>
    <w:rsid w:val="005B3CD7"/>
    <w:rsid w:val="005B56AC"/>
    <w:rsid w:val="005B585F"/>
    <w:rsid w:val="005B5BFB"/>
    <w:rsid w:val="005B6241"/>
    <w:rsid w:val="005B6582"/>
    <w:rsid w:val="005C0233"/>
    <w:rsid w:val="005C2975"/>
    <w:rsid w:val="005C2E2A"/>
    <w:rsid w:val="005C35C7"/>
    <w:rsid w:val="005C3A2F"/>
    <w:rsid w:val="005C3C9C"/>
    <w:rsid w:val="005C4542"/>
    <w:rsid w:val="005C47D1"/>
    <w:rsid w:val="005C6A56"/>
    <w:rsid w:val="005D1C83"/>
    <w:rsid w:val="005D24D3"/>
    <w:rsid w:val="005D2730"/>
    <w:rsid w:val="005D3113"/>
    <w:rsid w:val="005D369C"/>
    <w:rsid w:val="005D4742"/>
    <w:rsid w:val="005D589C"/>
    <w:rsid w:val="005D5CD1"/>
    <w:rsid w:val="005D6DD5"/>
    <w:rsid w:val="005E0444"/>
    <w:rsid w:val="005E24E7"/>
    <w:rsid w:val="005E2726"/>
    <w:rsid w:val="005E3CB3"/>
    <w:rsid w:val="005E7477"/>
    <w:rsid w:val="005E77B8"/>
    <w:rsid w:val="005F03B8"/>
    <w:rsid w:val="005F1FAA"/>
    <w:rsid w:val="005F2590"/>
    <w:rsid w:val="005F265A"/>
    <w:rsid w:val="005F2AF7"/>
    <w:rsid w:val="005F3AD3"/>
    <w:rsid w:val="005F4952"/>
    <w:rsid w:val="005F6781"/>
    <w:rsid w:val="0060416D"/>
    <w:rsid w:val="00604CA5"/>
    <w:rsid w:val="006054B9"/>
    <w:rsid w:val="0060594C"/>
    <w:rsid w:val="0061393D"/>
    <w:rsid w:val="00614BB1"/>
    <w:rsid w:val="006205C1"/>
    <w:rsid w:val="00620DDF"/>
    <w:rsid w:val="00620E9C"/>
    <w:rsid w:val="0062134C"/>
    <w:rsid w:val="0062186B"/>
    <w:rsid w:val="00630460"/>
    <w:rsid w:val="00631ED4"/>
    <w:rsid w:val="00632B88"/>
    <w:rsid w:val="00635A74"/>
    <w:rsid w:val="00636DF7"/>
    <w:rsid w:val="00636F84"/>
    <w:rsid w:val="0064025F"/>
    <w:rsid w:val="00641F2A"/>
    <w:rsid w:val="00642023"/>
    <w:rsid w:val="006434F6"/>
    <w:rsid w:val="006446F7"/>
    <w:rsid w:val="0064505F"/>
    <w:rsid w:val="00646AA9"/>
    <w:rsid w:val="00653F00"/>
    <w:rsid w:val="00654882"/>
    <w:rsid w:val="00663E9A"/>
    <w:rsid w:val="00665B2E"/>
    <w:rsid w:val="0066704D"/>
    <w:rsid w:val="00673907"/>
    <w:rsid w:val="00674AFD"/>
    <w:rsid w:val="00675C1A"/>
    <w:rsid w:val="0067609E"/>
    <w:rsid w:val="00677C72"/>
    <w:rsid w:val="00680B60"/>
    <w:rsid w:val="00681ACA"/>
    <w:rsid w:val="0068308E"/>
    <w:rsid w:val="00684BE9"/>
    <w:rsid w:val="00684F9F"/>
    <w:rsid w:val="00686691"/>
    <w:rsid w:val="00686D5C"/>
    <w:rsid w:val="006871C8"/>
    <w:rsid w:val="006874C8"/>
    <w:rsid w:val="00690377"/>
    <w:rsid w:val="006903ED"/>
    <w:rsid w:val="00691561"/>
    <w:rsid w:val="00691929"/>
    <w:rsid w:val="00691CA2"/>
    <w:rsid w:val="00691CF8"/>
    <w:rsid w:val="006923E3"/>
    <w:rsid w:val="00692EE6"/>
    <w:rsid w:val="00693184"/>
    <w:rsid w:val="006959FD"/>
    <w:rsid w:val="00695EE5"/>
    <w:rsid w:val="006A116C"/>
    <w:rsid w:val="006A2731"/>
    <w:rsid w:val="006A3A8F"/>
    <w:rsid w:val="006A6B89"/>
    <w:rsid w:val="006A6D49"/>
    <w:rsid w:val="006A74DC"/>
    <w:rsid w:val="006A7732"/>
    <w:rsid w:val="006B0C5B"/>
    <w:rsid w:val="006B0F6A"/>
    <w:rsid w:val="006B1153"/>
    <w:rsid w:val="006B3950"/>
    <w:rsid w:val="006B3D18"/>
    <w:rsid w:val="006B4B6A"/>
    <w:rsid w:val="006B5AC6"/>
    <w:rsid w:val="006B5F86"/>
    <w:rsid w:val="006B64C8"/>
    <w:rsid w:val="006B6A50"/>
    <w:rsid w:val="006B6FAD"/>
    <w:rsid w:val="006C0AA0"/>
    <w:rsid w:val="006C268B"/>
    <w:rsid w:val="006C4B91"/>
    <w:rsid w:val="006C4E1D"/>
    <w:rsid w:val="006C6A34"/>
    <w:rsid w:val="006D0BBD"/>
    <w:rsid w:val="006D4CFE"/>
    <w:rsid w:val="006D5402"/>
    <w:rsid w:val="006E0171"/>
    <w:rsid w:val="006E10A5"/>
    <w:rsid w:val="006E60A8"/>
    <w:rsid w:val="006E6C7A"/>
    <w:rsid w:val="006E7C47"/>
    <w:rsid w:val="006F02C4"/>
    <w:rsid w:val="006F0470"/>
    <w:rsid w:val="006F0645"/>
    <w:rsid w:val="006F1254"/>
    <w:rsid w:val="006F23B7"/>
    <w:rsid w:val="006F353A"/>
    <w:rsid w:val="006F3562"/>
    <w:rsid w:val="006F4AF9"/>
    <w:rsid w:val="006F4E75"/>
    <w:rsid w:val="006F53B4"/>
    <w:rsid w:val="006F6B51"/>
    <w:rsid w:val="006F6D5B"/>
    <w:rsid w:val="006F7A72"/>
    <w:rsid w:val="006F7CD7"/>
    <w:rsid w:val="007006F3"/>
    <w:rsid w:val="007014C2"/>
    <w:rsid w:val="00704522"/>
    <w:rsid w:val="0070462D"/>
    <w:rsid w:val="0070562F"/>
    <w:rsid w:val="00705814"/>
    <w:rsid w:val="007067FB"/>
    <w:rsid w:val="00706C36"/>
    <w:rsid w:val="007137E9"/>
    <w:rsid w:val="0071440D"/>
    <w:rsid w:val="00714C85"/>
    <w:rsid w:val="007174DA"/>
    <w:rsid w:val="00717527"/>
    <w:rsid w:val="00717835"/>
    <w:rsid w:val="00724190"/>
    <w:rsid w:val="007247FE"/>
    <w:rsid w:val="00724CC6"/>
    <w:rsid w:val="00726F67"/>
    <w:rsid w:val="00727A9B"/>
    <w:rsid w:val="0073346F"/>
    <w:rsid w:val="0073792E"/>
    <w:rsid w:val="007379E2"/>
    <w:rsid w:val="007408CE"/>
    <w:rsid w:val="007417D2"/>
    <w:rsid w:val="007422D0"/>
    <w:rsid w:val="00742565"/>
    <w:rsid w:val="00742BE4"/>
    <w:rsid w:val="00745E4A"/>
    <w:rsid w:val="00752292"/>
    <w:rsid w:val="0075507A"/>
    <w:rsid w:val="007557E1"/>
    <w:rsid w:val="007566E4"/>
    <w:rsid w:val="007573B9"/>
    <w:rsid w:val="00757D84"/>
    <w:rsid w:val="00757E4D"/>
    <w:rsid w:val="007613BD"/>
    <w:rsid w:val="0076218F"/>
    <w:rsid w:val="00763F20"/>
    <w:rsid w:val="007705F7"/>
    <w:rsid w:val="007751A6"/>
    <w:rsid w:val="0077545C"/>
    <w:rsid w:val="00775EC4"/>
    <w:rsid w:val="007760EA"/>
    <w:rsid w:val="00780962"/>
    <w:rsid w:val="007836DD"/>
    <w:rsid w:val="00783C51"/>
    <w:rsid w:val="00785816"/>
    <w:rsid w:val="00785C56"/>
    <w:rsid w:val="007860A2"/>
    <w:rsid w:val="00787664"/>
    <w:rsid w:val="00790F84"/>
    <w:rsid w:val="00792254"/>
    <w:rsid w:val="00793EA8"/>
    <w:rsid w:val="0079520A"/>
    <w:rsid w:val="00795A4D"/>
    <w:rsid w:val="00797606"/>
    <w:rsid w:val="007A7ABB"/>
    <w:rsid w:val="007B0ABF"/>
    <w:rsid w:val="007B31D3"/>
    <w:rsid w:val="007B40E4"/>
    <w:rsid w:val="007B54EA"/>
    <w:rsid w:val="007B6D2A"/>
    <w:rsid w:val="007B753F"/>
    <w:rsid w:val="007C185A"/>
    <w:rsid w:val="007C361B"/>
    <w:rsid w:val="007C50D8"/>
    <w:rsid w:val="007C5E5A"/>
    <w:rsid w:val="007C7125"/>
    <w:rsid w:val="007D0165"/>
    <w:rsid w:val="007D0218"/>
    <w:rsid w:val="007D1093"/>
    <w:rsid w:val="007D5862"/>
    <w:rsid w:val="007D587A"/>
    <w:rsid w:val="007D5A3D"/>
    <w:rsid w:val="007D76B8"/>
    <w:rsid w:val="007E173E"/>
    <w:rsid w:val="007E5B8C"/>
    <w:rsid w:val="007E7680"/>
    <w:rsid w:val="007F0ECE"/>
    <w:rsid w:val="007F2F0B"/>
    <w:rsid w:val="007F3091"/>
    <w:rsid w:val="007F52D1"/>
    <w:rsid w:val="007F5D99"/>
    <w:rsid w:val="007F6138"/>
    <w:rsid w:val="007F7816"/>
    <w:rsid w:val="008000AF"/>
    <w:rsid w:val="00800932"/>
    <w:rsid w:val="00804CE6"/>
    <w:rsid w:val="00807EEF"/>
    <w:rsid w:val="00810114"/>
    <w:rsid w:val="008101C0"/>
    <w:rsid w:val="00810A47"/>
    <w:rsid w:val="008133A2"/>
    <w:rsid w:val="008145E6"/>
    <w:rsid w:val="00816726"/>
    <w:rsid w:val="008176CF"/>
    <w:rsid w:val="008212CF"/>
    <w:rsid w:val="008218EB"/>
    <w:rsid w:val="00821BAF"/>
    <w:rsid w:val="00824D75"/>
    <w:rsid w:val="0082589D"/>
    <w:rsid w:val="00826779"/>
    <w:rsid w:val="008274D9"/>
    <w:rsid w:val="00833571"/>
    <w:rsid w:val="008348D3"/>
    <w:rsid w:val="008350E4"/>
    <w:rsid w:val="00835C35"/>
    <w:rsid w:val="008363A1"/>
    <w:rsid w:val="00837A2C"/>
    <w:rsid w:val="00837C8D"/>
    <w:rsid w:val="00841152"/>
    <w:rsid w:val="00841300"/>
    <w:rsid w:val="00841849"/>
    <w:rsid w:val="00841B4F"/>
    <w:rsid w:val="008427F3"/>
    <w:rsid w:val="00843F98"/>
    <w:rsid w:val="00845EC0"/>
    <w:rsid w:val="0084606F"/>
    <w:rsid w:val="00847F5E"/>
    <w:rsid w:val="008501F4"/>
    <w:rsid w:val="008513DB"/>
    <w:rsid w:val="00852D6A"/>
    <w:rsid w:val="008547A8"/>
    <w:rsid w:val="008567DA"/>
    <w:rsid w:val="008607AA"/>
    <w:rsid w:val="00861792"/>
    <w:rsid w:val="00861D43"/>
    <w:rsid w:val="00861F37"/>
    <w:rsid w:val="00862631"/>
    <w:rsid w:val="008662BF"/>
    <w:rsid w:val="00871BB1"/>
    <w:rsid w:val="0087490E"/>
    <w:rsid w:val="0087717B"/>
    <w:rsid w:val="00877B2B"/>
    <w:rsid w:val="008814E2"/>
    <w:rsid w:val="008828CF"/>
    <w:rsid w:val="00882A2E"/>
    <w:rsid w:val="00883F34"/>
    <w:rsid w:val="00884C00"/>
    <w:rsid w:val="00892961"/>
    <w:rsid w:val="008930DE"/>
    <w:rsid w:val="008932D5"/>
    <w:rsid w:val="00893C6D"/>
    <w:rsid w:val="00893D00"/>
    <w:rsid w:val="00893D4A"/>
    <w:rsid w:val="00894082"/>
    <w:rsid w:val="00895AC4"/>
    <w:rsid w:val="008962F6"/>
    <w:rsid w:val="008965AB"/>
    <w:rsid w:val="00897BDD"/>
    <w:rsid w:val="008A01C1"/>
    <w:rsid w:val="008A31D4"/>
    <w:rsid w:val="008A64F7"/>
    <w:rsid w:val="008B099E"/>
    <w:rsid w:val="008B0E05"/>
    <w:rsid w:val="008B29E0"/>
    <w:rsid w:val="008B41B6"/>
    <w:rsid w:val="008B7156"/>
    <w:rsid w:val="008B7950"/>
    <w:rsid w:val="008C010F"/>
    <w:rsid w:val="008C1486"/>
    <w:rsid w:val="008C3408"/>
    <w:rsid w:val="008C395A"/>
    <w:rsid w:val="008C3DD3"/>
    <w:rsid w:val="008D04BD"/>
    <w:rsid w:val="008D1E55"/>
    <w:rsid w:val="008D27D2"/>
    <w:rsid w:val="008D3EF3"/>
    <w:rsid w:val="008D630C"/>
    <w:rsid w:val="008D6A87"/>
    <w:rsid w:val="008E0DDD"/>
    <w:rsid w:val="008E22AC"/>
    <w:rsid w:val="008E2618"/>
    <w:rsid w:val="008E312B"/>
    <w:rsid w:val="008E3EF0"/>
    <w:rsid w:val="008E4231"/>
    <w:rsid w:val="008E46EA"/>
    <w:rsid w:val="008E73CA"/>
    <w:rsid w:val="008E7B36"/>
    <w:rsid w:val="008F01A3"/>
    <w:rsid w:val="008F0D6B"/>
    <w:rsid w:val="008F2346"/>
    <w:rsid w:val="008F3812"/>
    <w:rsid w:val="008F3DA0"/>
    <w:rsid w:val="008F5D0C"/>
    <w:rsid w:val="00902514"/>
    <w:rsid w:val="009043C0"/>
    <w:rsid w:val="009044D0"/>
    <w:rsid w:val="00905909"/>
    <w:rsid w:val="00906D49"/>
    <w:rsid w:val="00910946"/>
    <w:rsid w:val="00915573"/>
    <w:rsid w:val="00920B0F"/>
    <w:rsid w:val="00921ACE"/>
    <w:rsid w:val="00921BD1"/>
    <w:rsid w:val="00921D30"/>
    <w:rsid w:val="00922C96"/>
    <w:rsid w:val="00923223"/>
    <w:rsid w:val="00923EF1"/>
    <w:rsid w:val="00924481"/>
    <w:rsid w:val="00924683"/>
    <w:rsid w:val="00924810"/>
    <w:rsid w:val="00925D59"/>
    <w:rsid w:val="0092618E"/>
    <w:rsid w:val="00926E14"/>
    <w:rsid w:val="009271DA"/>
    <w:rsid w:val="0092786D"/>
    <w:rsid w:val="00930F41"/>
    <w:rsid w:val="00931615"/>
    <w:rsid w:val="00933DB7"/>
    <w:rsid w:val="00934E51"/>
    <w:rsid w:val="009353B9"/>
    <w:rsid w:val="009359FC"/>
    <w:rsid w:val="00942CE9"/>
    <w:rsid w:val="0094324B"/>
    <w:rsid w:val="009447B3"/>
    <w:rsid w:val="00945B5A"/>
    <w:rsid w:val="009468A8"/>
    <w:rsid w:val="0095031D"/>
    <w:rsid w:val="0095048A"/>
    <w:rsid w:val="00951029"/>
    <w:rsid w:val="009521AE"/>
    <w:rsid w:val="0095267E"/>
    <w:rsid w:val="0095316E"/>
    <w:rsid w:val="0095534E"/>
    <w:rsid w:val="009614F3"/>
    <w:rsid w:val="00962664"/>
    <w:rsid w:val="00963244"/>
    <w:rsid w:val="009665F5"/>
    <w:rsid w:val="009668BC"/>
    <w:rsid w:val="00967499"/>
    <w:rsid w:val="009677B1"/>
    <w:rsid w:val="009704B8"/>
    <w:rsid w:val="009717E6"/>
    <w:rsid w:val="00973530"/>
    <w:rsid w:val="00973FD1"/>
    <w:rsid w:val="00975426"/>
    <w:rsid w:val="00975FC9"/>
    <w:rsid w:val="00976470"/>
    <w:rsid w:val="00976F75"/>
    <w:rsid w:val="00977900"/>
    <w:rsid w:val="0098243B"/>
    <w:rsid w:val="00983219"/>
    <w:rsid w:val="009839F5"/>
    <w:rsid w:val="00983AE6"/>
    <w:rsid w:val="00983FE1"/>
    <w:rsid w:val="00984E47"/>
    <w:rsid w:val="0098629F"/>
    <w:rsid w:val="00990C5F"/>
    <w:rsid w:val="00992F9A"/>
    <w:rsid w:val="00993068"/>
    <w:rsid w:val="00996146"/>
    <w:rsid w:val="0099655C"/>
    <w:rsid w:val="009972A3"/>
    <w:rsid w:val="00997BD3"/>
    <w:rsid w:val="009A267F"/>
    <w:rsid w:val="009A3188"/>
    <w:rsid w:val="009A53A0"/>
    <w:rsid w:val="009A67DB"/>
    <w:rsid w:val="009A6C21"/>
    <w:rsid w:val="009A76CD"/>
    <w:rsid w:val="009B15BB"/>
    <w:rsid w:val="009B17A9"/>
    <w:rsid w:val="009B38D0"/>
    <w:rsid w:val="009B562C"/>
    <w:rsid w:val="009B57BA"/>
    <w:rsid w:val="009B59F0"/>
    <w:rsid w:val="009B6112"/>
    <w:rsid w:val="009B6219"/>
    <w:rsid w:val="009B69ED"/>
    <w:rsid w:val="009B6C5B"/>
    <w:rsid w:val="009C25F9"/>
    <w:rsid w:val="009C3388"/>
    <w:rsid w:val="009C50FE"/>
    <w:rsid w:val="009C593C"/>
    <w:rsid w:val="009C651F"/>
    <w:rsid w:val="009C6604"/>
    <w:rsid w:val="009C7E2A"/>
    <w:rsid w:val="009D1DA4"/>
    <w:rsid w:val="009D2ECB"/>
    <w:rsid w:val="009D69E3"/>
    <w:rsid w:val="009E0587"/>
    <w:rsid w:val="009E0744"/>
    <w:rsid w:val="009E28E2"/>
    <w:rsid w:val="009E31DA"/>
    <w:rsid w:val="009E41C9"/>
    <w:rsid w:val="009E43F1"/>
    <w:rsid w:val="009E620B"/>
    <w:rsid w:val="009E65F3"/>
    <w:rsid w:val="009E7573"/>
    <w:rsid w:val="009F03D6"/>
    <w:rsid w:val="009F0F3A"/>
    <w:rsid w:val="009F135F"/>
    <w:rsid w:val="009F1780"/>
    <w:rsid w:val="009F2579"/>
    <w:rsid w:val="009F2927"/>
    <w:rsid w:val="009F3CEC"/>
    <w:rsid w:val="009F49DA"/>
    <w:rsid w:val="009F65A5"/>
    <w:rsid w:val="00A012E2"/>
    <w:rsid w:val="00A0608B"/>
    <w:rsid w:val="00A06EC5"/>
    <w:rsid w:val="00A10B41"/>
    <w:rsid w:val="00A12076"/>
    <w:rsid w:val="00A1293B"/>
    <w:rsid w:val="00A17323"/>
    <w:rsid w:val="00A204AE"/>
    <w:rsid w:val="00A217B8"/>
    <w:rsid w:val="00A21B8B"/>
    <w:rsid w:val="00A24B61"/>
    <w:rsid w:val="00A2568C"/>
    <w:rsid w:val="00A26C72"/>
    <w:rsid w:val="00A26E16"/>
    <w:rsid w:val="00A27757"/>
    <w:rsid w:val="00A311EE"/>
    <w:rsid w:val="00A329BF"/>
    <w:rsid w:val="00A33012"/>
    <w:rsid w:val="00A36791"/>
    <w:rsid w:val="00A36DEB"/>
    <w:rsid w:val="00A375C2"/>
    <w:rsid w:val="00A40DC4"/>
    <w:rsid w:val="00A4239B"/>
    <w:rsid w:val="00A439F7"/>
    <w:rsid w:val="00A43FD7"/>
    <w:rsid w:val="00A4444E"/>
    <w:rsid w:val="00A45253"/>
    <w:rsid w:val="00A46959"/>
    <w:rsid w:val="00A4758A"/>
    <w:rsid w:val="00A50017"/>
    <w:rsid w:val="00A5007B"/>
    <w:rsid w:val="00A506C3"/>
    <w:rsid w:val="00A532D4"/>
    <w:rsid w:val="00A53514"/>
    <w:rsid w:val="00A53D74"/>
    <w:rsid w:val="00A618CE"/>
    <w:rsid w:val="00A61B12"/>
    <w:rsid w:val="00A61EF5"/>
    <w:rsid w:val="00A62A92"/>
    <w:rsid w:val="00A62D86"/>
    <w:rsid w:val="00A62E04"/>
    <w:rsid w:val="00A62FB7"/>
    <w:rsid w:val="00A63238"/>
    <w:rsid w:val="00A64093"/>
    <w:rsid w:val="00A65179"/>
    <w:rsid w:val="00A67006"/>
    <w:rsid w:val="00A670ED"/>
    <w:rsid w:val="00A7102A"/>
    <w:rsid w:val="00A8167A"/>
    <w:rsid w:val="00A81A4D"/>
    <w:rsid w:val="00A81ED4"/>
    <w:rsid w:val="00A83F6B"/>
    <w:rsid w:val="00A84EE3"/>
    <w:rsid w:val="00A91C1A"/>
    <w:rsid w:val="00A92C4F"/>
    <w:rsid w:val="00A93A90"/>
    <w:rsid w:val="00A9437E"/>
    <w:rsid w:val="00AA08AF"/>
    <w:rsid w:val="00AA11F4"/>
    <w:rsid w:val="00AA6267"/>
    <w:rsid w:val="00AA6959"/>
    <w:rsid w:val="00AB0D11"/>
    <w:rsid w:val="00AB3434"/>
    <w:rsid w:val="00AB3A9D"/>
    <w:rsid w:val="00AB3BEF"/>
    <w:rsid w:val="00AB4AF5"/>
    <w:rsid w:val="00AB4BD1"/>
    <w:rsid w:val="00AB4C41"/>
    <w:rsid w:val="00AB4C93"/>
    <w:rsid w:val="00AB65BE"/>
    <w:rsid w:val="00AB705C"/>
    <w:rsid w:val="00AC0F93"/>
    <w:rsid w:val="00AC1147"/>
    <w:rsid w:val="00AC5B83"/>
    <w:rsid w:val="00AC5CEC"/>
    <w:rsid w:val="00AC63B3"/>
    <w:rsid w:val="00AC67F3"/>
    <w:rsid w:val="00AC7675"/>
    <w:rsid w:val="00AD0224"/>
    <w:rsid w:val="00AD2320"/>
    <w:rsid w:val="00AD2BB9"/>
    <w:rsid w:val="00AD46AE"/>
    <w:rsid w:val="00AD593C"/>
    <w:rsid w:val="00AD61E3"/>
    <w:rsid w:val="00AE154B"/>
    <w:rsid w:val="00AE194E"/>
    <w:rsid w:val="00AE367B"/>
    <w:rsid w:val="00AE3891"/>
    <w:rsid w:val="00AE4315"/>
    <w:rsid w:val="00AE65AE"/>
    <w:rsid w:val="00AF1972"/>
    <w:rsid w:val="00AF23BC"/>
    <w:rsid w:val="00AF3F8B"/>
    <w:rsid w:val="00AF443F"/>
    <w:rsid w:val="00AF4CD0"/>
    <w:rsid w:val="00AF4DC6"/>
    <w:rsid w:val="00AF50F8"/>
    <w:rsid w:val="00AF5C63"/>
    <w:rsid w:val="00B01407"/>
    <w:rsid w:val="00B01AA5"/>
    <w:rsid w:val="00B02912"/>
    <w:rsid w:val="00B02D97"/>
    <w:rsid w:val="00B03215"/>
    <w:rsid w:val="00B0457B"/>
    <w:rsid w:val="00B05BCC"/>
    <w:rsid w:val="00B06D0C"/>
    <w:rsid w:val="00B10370"/>
    <w:rsid w:val="00B10711"/>
    <w:rsid w:val="00B1071F"/>
    <w:rsid w:val="00B12B3D"/>
    <w:rsid w:val="00B140DC"/>
    <w:rsid w:val="00B14B7F"/>
    <w:rsid w:val="00B15CCF"/>
    <w:rsid w:val="00B1680B"/>
    <w:rsid w:val="00B1754B"/>
    <w:rsid w:val="00B2001C"/>
    <w:rsid w:val="00B20DF2"/>
    <w:rsid w:val="00B215E0"/>
    <w:rsid w:val="00B229BE"/>
    <w:rsid w:val="00B3085A"/>
    <w:rsid w:val="00B3427A"/>
    <w:rsid w:val="00B345A5"/>
    <w:rsid w:val="00B3533A"/>
    <w:rsid w:val="00B355D8"/>
    <w:rsid w:val="00B40900"/>
    <w:rsid w:val="00B40BEF"/>
    <w:rsid w:val="00B41975"/>
    <w:rsid w:val="00B44094"/>
    <w:rsid w:val="00B4463F"/>
    <w:rsid w:val="00B45498"/>
    <w:rsid w:val="00B47470"/>
    <w:rsid w:val="00B47D99"/>
    <w:rsid w:val="00B55050"/>
    <w:rsid w:val="00B564BE"/>
    <w:rsid w:val="00B575E8"/>
    <w:rsid w:val="00B57A1E"/>
    <w:rsid w:val="00B57A37"/>
    <w:rsid w:val="00B60C9E"/>
    <w:rsid w:val="00B61268"/>
    <w:rsid w:val="00B625CE"/>
    <w:rsid w:val="00B63314"/>
    <w:rsid w:val="00B637A7"/>
    <w:rsid w:val="00B640DF"/>
    <w:rsid w:val="00B64538"/>
    <w:rsid w:val="00B66594"/>
    <w:rsid w:val="00B67CDE"/>
    <w:rsid w:val="00B7049F"/>
    <w:rsid w:val="00B708A8"/>
    <w:rsid w:val="00B714EE"/>
    <w:rsid w:val="00B71ADB"/>
    <w:rsid w:val="00B726EF"/>
    <w:rsid w:val="00B73893"/>
    <w:rsid w:val="00B74678"/>
    <w:rsid w:val="00B756AF"/>
    <w:rsid w:val="00B770C7"/>
    <w:rsid w:val="00B80011"/>
    <w:rsid w:val="00B81706"/>
    <w:rsid w:val="00B820E3"/>
    <w:rsid w:val="00B831C6"/>
    <w:rsid w:val="00B846B1"/>
    <w:rsid w:val="00B87D7F"/>
    <w:rsid w:val="00B90F17"/>
    <w:rsid w:val="00B926A1"/>
    <w:rsid w:val="00B93729"/>
    <w:rsid w:val="00B93ECB"/>
    <w:rsid w:val="00B95030"/>
    <w:rsid w:val="00BA51B6"/>
    <w:rsid w:val="00BA5E5B"/>
    <w:rsid w:val="00BA77CB"/>
    <w:rsid w:val="00BB0490"/>
    <w:rsid w:val="00BB1DA1"/>
    <w:rsid w:val="00BB1F9C"/>
    <w:rsid w:val="00BB481A"/>
    <w:rsid w:val="00BB4C88"/>
    <w:rsid w:val="00BB4DC0"/>
    <w:rsid w:val="00BB62FF"/>
    <w:rsid w:val="00BC189E"/>
    <w:rsid w:val="00BC1AE1"/>
    <w:rsid w:val="00BC2FA5"/>
    <w:rsid w:val="00BC4CD0"/>
    <w:rsid w:val="00BC6A6A"/>
    <w:rsid w:val="00BC6AC5"/>
    <w:rsid w:val="00BC7C27"/>
    <w:rsid w:val="00BD05BE"/>
    <w:rsid w:val="00BD0DD8"/>
    <w:rsid w:val="00BD42A0"/>
    <w:rsid w:val="00BD446C"/>
    <w:rsid w:val="00BD64C0"/>
    <w:rsid w:val="00BD6BF3"/>
    <w:rsid w:val="00BE20EB"/>
    <w:rsid w:val="00BE307A"/>
    <w:rsid w:val="00BE4459"/>
    <w:rsid w:val="00BE6B0B"/>
    <w:rsid w:val="00BF0779"/>
    <w:rsid w:val="00BF2A4C"/>
    <w:rsid w:val="00BF2AA2"/>
    <w:rsid w:val="00BF38CA"/>
    <w:rsid w:val="00BF64E1"/>
    <w:rsid w:val="00BF6CDE"/>
    <w:rsid w:val="00C00196"/>
    <w:rsid w:val="00C01920"/>
    <w:rsid w:val="00C027D4"/>
    <w:rsid w:val="00C02841"/>
    <w:rsid w:val="00C037DB"/>
    <w:rsid w:val="00C0416F"/>
    <w:rsid w:val="00C04803"/>
    <w:rsid w:val="00C0497E"/>
    <w:rsid w:val="00C04E1A"/>
    <w:rsid w:val="00C06E9A"/>
    <w:rsid w:val="00C10408"/>
    <w:rsid w:val="00C1068B"/>
    <w:rsid w:val="00C11421"/>
    <w:rsid w:val="00C12D32"/>
    <w:rsid w:val="00C14C35"/>
    <w:rsid w:val="00C159D2"/>
    <w:rsid w:val="00C208FC"/>
    <w:rsid w:val="00C2229E"/>
    <w:rsid w:val="00C247F4"/>
    <w:rsid w:val="00C2530A"/>
    <w:rsid w:val="00C2633E"/>
    <w:rsid w:val="00C30F9F"/>
    <w:rsid w:val="00C3138A"/>
    <w:rsid w:val="00C3169B"/>
    <w:rsid w:val="00C323C2"/>
    <w:rsid w:val="00C32A0F"/>
    <w:rsid w:val="00C3630D"/>
    <w:rsid w:val="00C43CC4"/>
    <w:rsid w:val="00C44988"/>
    <w:rsid w:val="00C44D64"/>
    <w:rsid w:val="00C467FB"/>
    <w:rsid w:val="00C46FF2"/>
    <w:rsid w:val="00C53518"/>
    <w:rsid w:val="00C54F26"/>
    <w:rsid w:val="00C55856"/>
    <w:rsid w:val="00C56C11"/>
    <w:rsid w:val="00C5779F"/>
    <w:rsid w:val="00C63EFF"/>
    <w:rsid w:val="00C64577"/>
    <w:rsid w:val="00C65FA0"/>
    <w:rsid w:val="00C70660"/>
    <w:rsid w:val="00C713E6"/>
    <w:rsid w:val="00C71687"/>
    <w:rsid w:val="00C7189C"/>
    <w:rsid w:val="00C72687"/>
    <w:rsid w:val="00C72D52"/>
    <w:rsid w:val="00C73E5B"/>
    <w:rsid w:val="00C74F8D"/>
    <w:rsid w:val="00C76E61"/>
    <w:rsid w:val="00C7730D"/>
    <w:rsid w:val="00C773A4"/>
    <w:rsid w:val="00C77ECC"/>
    <w:rsid w:val="00C77F3B"/>
    <w:rsid w:val="00C81818"/>
    <w:rsid w:val="00C81BA9"/>
    <w:rsid w:val="00C830CC"/>
    <w:rsid w:val="00C839BE"/>
    <w:rsid w:val="00C83D0E"/>
    <w:rsid w:val="00C847C0"/>
    <w:rsid w:val="00C84E0D"/>
    <w:rsid w:val="00C869FF"/>
    <w:rsid w:val="00C86A7A"/>
    <w:rsid w:val="00C86AD4"/>
    <w:rsid w:val="00C908E0"/>
    <w:rsid w:val="00C91C61"/>
    <w:rsid w:val="00C92621"/>
    <w:rsid w:val="00C93212"/>
    <w:rsid w:val="00C9380F"/>
    <w:rsid w:val="00C94580"/>
    <w:rsid w:val="00C97040"/>
    <w:rsid w:val="00CA2461"/>
    <w:rsid w:val="00CA26A8"/>
    <w:rsid w:val="00CA66C9"/>
    <w:rsid w:val="00CA7D74"/>
    <w:rsid w:val="00CB0025"/>
    <w:rsid w:val="00CB1209"/>
    <w:rsid w:val="00CB12DB"/>
    <w:rsid w:val="00CB15CC"/>
    <w:rsid w:val="00CB49B2"/>
    <w:rsid w:val="00CB5127"/>
    <w:rsid w:val="00CB53BC"/>
    <w:rsid w:val="00CB598A"/>
    <w:rsid w:val="00CB63D8"/>
    <w:rsid w:val="00CB6548"/>
    <w:rsid w:val="00CB6BCA"/>
    <w:rsid w:val="00CB6BE7"/>
    <w:rsid w:val="00CB7C58"/>
    <w:rsid w:val="00CC02DF"/>
    <w:rsid w:val="00CC1420"/>
    <w:rsid w:val="00CC274F"/>
    <w:rsid w:val="00CC3D7F"/>
    <w:rsid w:val="00CC544B"/>
    <w:rsid w:val="00CC5F89"/>
    <w:rsid w:val="00CC62CF"/>
    <w:rsid w:val="00CC670F"/>
    <w:rsid w:val="00CC7336"/>
    <w:rsid w:val="00CD17F6"/>
    <w:rsid w:val="00CD4366"/>
    <w:rsid w:val="00CD5C99"/>
    <w:rsid w:val="00CD6E09"/>
    <w:rsid w:val="00CD7BED"/>
    <w:rsid w:val="00CE009F"/>
    <w:rsid w:val="00CE1515"/>
    <w:rsid w:val="00CE1B0B"/>
    <w:rsid w:val="00CE271A"/>
    <w:rsid w:val="00CE3085"/>
    <w:rsid w:val="00CE3AE3"/>
    <w:rsid w:val="00CE421B"/>
    <w:rsid w:val="00CE64F1"/>
    <w:rsid w:val="00CE6FA7"/>
    <w:rsid w:val="00CE7E94"/>
    <w:rsid w:val="00CF0639"/>
    <w:rsid w:val="00CF1D1D"/>
    <w:rsid w:val="00CF1E5A"/>
    <w:rsid w:val="00CF2D3C"/>
    <w:rsid w:val="00CF41F1"/>
    <w:rsid w:val="00CF57A4"/>
    <w:rsid w:val="00CF6ED3"/>
    <w:rsid w:val="00D00F30"/>
    <w:rsid w:val="00D03027"/>
    <w:rsid w:val="00D04E64"/>
    <w:rsid w:val="00D06635"/>
    <w:rsid w:val="00D06C58"/>
    <w:rsid w:val="00D0730E"/>
    <w:rsid w:val="00D10F45"/>
    <w:rsid w:val="00D1107C"/>
    <w:rsid w:val="00D1116F"/>
    <w:rsid w:val="00D1133B"/>
    <w:rsid w:val="00D119F5"/>
    <w:rsid w:val="00D12AB5"/>
    <w:rsid w:val="00D13F8C"/>
    <w:rsid w:val="00D14F10"/>
    <w:rsid w:val="00D14FCA"/>
    <w:rsid w:val="00D151CA"/>
    <w:rsid w:val="00D154B9"/>
    <w:rsid w:val="00D176E1"/>
    <w:rsid w:val="00D21248"/>
    <w:rsid w:val="00D216B5"/>
    <w:rsid w:val="00D24696"/>
    <w:rsid w:val="00D24E4B"/>
    <w:rsid w:val="00D250EC"/>
    <w:rsid w:val="00D256C5"/>
    <w:rsid w:val="00D25C1B"/>
    <w:rsid w:val="00D3011E"/>
    <w:rsid w:val="00D3166E"/>
    <w:rsid w:val="00D316FE"/>
    <w:rsid w:val="00D31B54"/>
    <w:rsid w:val="00D32A92"/>
    <w:rsid w:val="00D33A02"/>
    <w:rsid w:val="00D349EB"/>
    <w:rsid w:val="00D34F03"/>
    <w:rsid w:val="00D35B98"/>
    <w:rsid w:val="00D360EE"/>
    <w:rsid w:val="00D37ED7"/>
    <w:rsid w:val="00D40419"/>
    <w:rsid w:val="00D41FB5"/>
    <w:rsid w:val="00D42D98"/>
    <w:rsid w:val="00D43B6E"/>
    <w:rsid w:val="00D44CA1"/>
    <w:rsid w:val="00D45F08"/>
    <w:rsid w:val="00D46D84"/>
    <w:rsid w:val="00D46F7D"/>
    <w:rsid w:val="00D47756"/>
    <w:rsid w:val="00D47D12"/>
    <w:rsid w:val="00D50282"/>
    <w:rsid w:val="00D51141"/>
    <w:rsid w:val="00D5186B"/>
    <w:rsid w:val="00D555D9"/>
    <w:rsid w:val="00D56419"/>
    <w:rsid w:val="00D56A3C"/>
    <w:rsid w:val="00D56DBE"/>
    <w:rsid w:val="00D56FFD"/>
    <w:rsid w:val="00D60010"/>
    <w:rsid w:val="00D6052A"/>
    <w:rsid w:val="00D61150"/>
    <w:rsid w:val="00D61BBA"/>
    <w:rsid w:val="00D62CD0"/>
    <w:rsid w:val="00D6371E"/>
    <w:rsid w:val="00D63B27"/>
    <w:rsid w:val="00D63BD9"/>
    <w:rsid w:val="00D65C39"/>
    <w:rsid w:val="00D67DA3"/>
    <w:rsid w:val="00D67ED1"/>
    <w:rsid w:val="00D74DCC"/>
    <w:rsid w:val="00D764F2"/>
    <w:rsid w:val="00D81173"/>
    <w:rsid w:val="00D813D8"/>
    <w:rsid w:val="00D81B79"/>
    <w:rsid w:val="00D82E86"/>
    <w:rsid w:val="00D82F1D"/>
    <w:rsid w:val="00D83F0B"/>
    <w:rsid w:val="00D84533"/>
    <w:rsid w:val="00D84A02"/>
    <w:rsid w:val="00D84AA3"/>
    <w:rsid w:val="00D86618"/>
    <w:rsid w:val="00D87803"/>
    <w:rsid w:val="00D917DE"/>
    <w:rsid w:val="00D934D7"/>
    <w:rsid w:val="00D93D5F"/>
    <w:rsid w:val="00D94949"/>
    <w:rsid w:val="00D95F39"/>
    <w:rsid w:val="00D96BFF"/>
    <w:rsid w:val="00D976DF"/>
    <w:rsid w:val="00D97A53"/>
    <w:rsid w:val="00DA08F1"/>
    <w:rsid w:val="00DA0D20"/>
    <w:rsid w:val="00DA12CC"/>
    <w:rsid w:val="00DA3661"/>
    <w:rsid w:val="00DA54C9"/>
    <w:rsid w:val="00DA6F40"/>
    <w:rsid w:val="00DA7DB7"/>
    <w:rsid w:val="00DB00C8"/>
    <w:rsid w:val="00DB0A46"/>
    <w:rsid w:val="00DB1BAD"/>
    <w:rsid w:val="00DB4B30"/>
    <w:rsid w:val="00DB581F"/>
    <w:rsid w:val="00DB6832"/>
    <w:rsid w:val="00DC1B0F"/>
    <w:rsid w:val="00DC2946"/>
    <w:rsid w:val="00DC2B5E"/>
    <w:rsid w:val="00DC2CD5"/>
    <w:rsid w:val="00DC41BB"/>
    <w:rsid w:val="00DC48A3"/>
    <w:rsid w:val="00DC490B"/>
    <w:rsid w:val="00DC4943"/>
    <w:rsid w:val="00DC6381"/>
    <w:rsid w:val="00DC6483"/>
    <w:rsid w:val="00DC6541"/>
    <w:rsid w:val="00DD017A"/>
    <w:rsid w:val="00DD066C"/>
    <w:rsid w:val="00DD1A1E"/>
    <w:rsid w:val="00DD449A"/>
    <w:rsid w:val="00DD48D3"/>
    <w:rsid w:val="00DD4D35"/>
    <w:rsid w:val="00DD6181"/>
    <w:rsid w:val="00DD61B3"/>
    <w:rsid w:val="00DD77E3"/>
    <w:rsid w:val="00DE0C52"/>
    <w:rsid w:val="00DE2474"/>
    <w:rsid w:val="00DE425F"/>
    <w:rsid w:val="00DE76DB"/>
    <w:rsid w:val="00DF20F6"/>
    <w:rsid w:val="00DF3D5D"/>
    <w:rsid w:val="00DF4B4F"/>
    <w:rsid w:val="00DF705C"/>
    <w:rsid w:val="00E013A5"/>
    <w:rsid w:val="00E016B3"/>
    <w:rsid w:val="00E03AD3"/>
    <w:rsid w:val="00E049C4"/>
    <w:rsid w:val="00E05DFE"/>
    <w:rsid w:val="00E06929"/>
    <w:rsid w:val="00E07A04"/>
    <w:rsid w:val="00E10F8F"/>
    <w:rsid w:val="00E11F9B"/>
    <w:rsid w:val="00E14FE7"/>
    <w:rsid w:val="00E1569F"/>
    <w:rsid w:val="00E22104"/>
    <w:rsid w:val="00E23A13"/>
    <w:rsid w:val="00E23E1D"/>
    <w:rsid w:val="00E2673A"/>
    <w:rsid w:val="00E308CF"/>
    <w:rsid w:val="00E31816"/>
    <w:rsid w:val="00E31987"/>
    <w:rsid w:val="00E34393"/>
    <w:rsid w:val="00E353D1"/>
    <w:rsid w:val="00E35536"/>
    <w:rsid w:val="00E36D66"/>
    <w:rsid w:val="00E37B74"/>
    <w:rsid w:val="00E37BE2"/>
    <w:rsid w:val="00E43141"/>
    <w:rsid w:val="00E446E9"/>
    <w:rsid w:val="00E45BC4"/>
    <w:rsid w:val="00E52279"/>
    <w:rsid w:val="00E5602C"/>
    <w:rsid w:val="00E57B3D"/>
    <w:rsid w:val="00E57D87"/>
    <w:rsid w:val="00E63632"/>
    <w:rsid w:val="00E64424"/>
    <w:rsid w:val="00E64924"/>
    <w:rsid w:val="00E6517B"/>
    <w:rsid w:val="00E655E1"/>
    <w:rsid w:val="00E65C8F"/>
    <w:rsid w:val="00E70388"/>
    <w:rsid w:val="00E73D42"/>
    <w:rsid w:val="00E73EEF"/>
    <w:rsid w:val="00E74C5B"/>
    <w:rsid w:val="00E751DC"/>
    <w:rsid w:val="00E75A89"/>
    <w:rsid w:val="00E82C4D"/>
    <w:rsid w:val="00E846F5"/>
    <w:rsid w:val="00E858BA"/>
    <w:rsid w:val="00E85AD2"/>
    <w:rsid w:val="00E8696C"/>
    <w:rsid w:val="00E90723"/>
    <w:rsid w:val="00E90BC9"/>
    <w:rsid w:val="00E932D6"/>
    <w:rsid w:val="00E93CED"/>
    <w:rsid w:val="00E940B5"/>
    <w:rsid w:val="00E95635"/>
    <w:rsid w:val="00E95C65"/>
    <w:rsid w:val="00EA2FC2"/>
    <w:rsid w:val="00EA3CD3"/>
    <w:rsid w:val="00EA3DC5"/>
    <w:rsid w:val="00EA44D0"/>
    <w:rsid w:val="00EA50DA"/>
    <w:rsid w:val="00EA5602"/>
    <w:rsid w:val="00EA5A04"/>
    <w:rsid w:val="00EA5F78"/>
    <w:rsid w:val="00EA6449"/>
    <w:rsid w:val="00EB242E"/>
    <w:rsid w:val="00EB2C8F"/>
    <w:rsid w:val="00EB5245"/>
    <w:rsid w:val="00EB65A2"/>
    <w:rsid w:val="00EC0AC0"/>
    <w:rsid w:val="00EC3A6E"/>
    <w:rsid w:val="00EC4347"/>
    <w:rsid w:val="00EC5B0A"/>
    <w:rsid w:val="00EC648C"/>
    <w:rsid w:val="00EC6569"/>
    <w:rsid w:val="00EC7F5E"/>
    <w:rsid w:val="00ED1491"/>
    <w:rsid w:val="00ED1E82"/>
    <w:rsid w:val="00ED3FF3"/>
    <w:rsid w:val="00ED450E"/>
    <w:rsid w:val="00ED59FB"/>
    <w:rsid w:val="00ED61F0"/>
    <w:rsid w:val="00EE6134"/>
    <w:rsid w:val="00EE6598"/>
    <w:rsid w:val="00EE669A"/>
    <w:rsid w:val="00EE6A70"/>
    <w:rsid w:val="00EE6C5B"/>
    <w:rsid w:val="00EF14DD"/>
    <w:rsid w:val="00EF2F83"/>
    <w:rsid w:val="00EF41A3"/>
    <w:rsid w:val="00EF5332"/>
    <w:rsid w:val="00EF5DE2"/>
    <w:rsid w:val="00EF67D7"/>
    <w:rsid w:val="00EF7A07"/>
    <w:rsid w:val="00F0269B"/>
    <w:rsid w:val="00F04963"/>
    <w:rsid w:val="00F0531F"/>
    <w:rsid w:val="00F114E4"/>
    <w:rsid w:val="00F134D1"/>
    <w:rsid w:val="00F1447D"/>
    <w:rsid w:val="00F1464B"/>
    <w:rsid w:val="00F15189"/>
    <w:rsid w:val="00F16344"/>
    <w:rsid w:val="00F163A8"/>
    <w:rsid w:val="00F167F3"/>
    <w:rsid w:val="00F202AC"/>
    <w:rsid w:val="00F216B7"/>
    <w:rsid w:val="00F22685"/>
    <w:rsid w:val="00F23014"/>
    <w:rsid w:val="00F24DA8"/>
    <w:rsid w:val="00F25F99"/>
    <w:rsid w:val="00F26993"/>
    <w:rsid w:val="00F26B29"/>
    <w:rsid w:val="00F307F6"/>
    <w:rsid w:val="00F3087B"/>
    <w:rsid w:val="00F32C50"/>
    <w:rsid w:val="00F32EBE"/>
    <w:rsid w:val="00F35056"/>
    <w:rsid w:val="00F35129"/>
    <w:rsid w:val="00F352B7"/>
    <w:rsid w:val="00F3541E"/>
    <w:rsid w:val="00F35CED"/>
    <w:rsid w:val="00F424B8"/>
    <w:rsid w:val="00F43964"/>
    <w:rsid w:val="00F444A0"/>
    <w:rsid w:val="00F45483"/>
    <w:rsid w:val="00F4641F"/>
    <w:rsid w:val="00F47B4B"/>
    <w:rsid w:val="00F50608"/>
    <w:rsid w:val="00F50621"/>
    <w:rsid w:val="00F50641"/>
    <w:rsid w:val="00F50DF1"/>
    <w:rsid w:val="00F51551"/>
    <w:rsid w:val="00F54ACC"/>
    <w:rsid w:val="00F550EE"/>
    <w:rsid w:val="00F556BD"/>
    <w:rsid w:val="00F57025"/>
    <w:rsid w:val="00F57EB3"/>
    <w:rsid w:val="00F60B0F"/>
    <w:rsid w:val="00F63108"/>
    <w:rsid w:val="00F64A83"/>
    <w:rsid w:val="00F64B07"/>
    <w:rsid w:val="00F64FCF"/>
    <w:rsid w:val="00F655A4"/>
    <w:rsid w:val="00F66580"/>
    <w:rsid w:val="00F6665D"/>
    <w:rsid w:val="00F67199"/>
    <w:rsid w:val="00F67A13"/>
    <w:rsid w:val="00F7045C"/>
    <w:rsid w:val="00F709FD"/>
    <w:rsid w:val="00F70B07"/>
    <w:rsid w:val="00F71790"/>
    <w:rsid w:val="00F71DC6"/>
    <w:rsid w:val="00F7294F"/>
    <w:rsid w:val="00F733B4"/>
    <w:rsid w:val="00F73FE3"/>
    <w:rsid w:val="00F74832"/>
    <w:rsid w:val="00F7484A"/>
    <w:rsid w:val="00F74A9C"/>
    <w:rsid w:val="00F75F4B"/>
    <w:rsid w:val="00F77F8E"/>
    <w:rsid w:val="00F8003D"/>
    <w:rsid w:val="00F804EC"/>
    <w:rsid w:val="00F8052D"/>
    <w:rsid w:val="00F82511"/>
    <w:rsid w:val="00F82A3A"/>
    <w:rsid w:val="00F83642"/>
    <w:rsid w:val="00F83C10"/>
    <w:rsid w:val="00F85719"/>
    <w:rsid w:val="00F8630E"/>
    <w:rsid w:val="00F863F9"/>
    <w:rsid w:val="00F866D9"/>
    <w:rsid w:val="00F873EA"/>
    <w:rsid w:val="00F903A7"/>
    <w:rsid w:val="00F90758"/>
    <w:rsid w:val="00F9081A"/>
    <w:rsid w:val="00F91538"/>
    <w:rsid w:val="00F92194"/>
    <w:rsid w:val="00F927F3"/>
    <w:rsid w:val="00F93A30"/>
    <w:rsid w:val="00F947A5"/>
    <w:rsid w:val="00F94E75"/>
    <w:rsid w:val="00F9532B"/>
    <w:rsid w:val="00F9591F"/>
    <w:rsid w:val="00F95BB1"/>
    <w:rsid w:val="00FA0FC0"/>
    <w:rsid w:val="00FA4CE7"/>
    <w:rsid w:val="00FA527F"/>
    <w:rsid w:val="00FA6C13"/>
    <w:rsid w:val="00FA7561"/>
    <w:rsid w:val="00FB0ACB"/>
    <w:rsid w:val="00FB25A9"/>
    <w:rsid w:val="00FB28B0"/>
    <w:rsid w:val="00FB47C3"/>
    <w:rsid w:val="00FB504C"/>
    <w:rsid w:val="00FB517C"/>
    <w:rsid w:val="00FB5F6F"/>
    <w:rsid w:val="00FB7C0F"/>
    <w:rsid w:val="00FC0D56"/>
    <w:rsid w:val="00FC112A"/>
    <w:rsid w:val="00FC4F7B"/>
    <w:rsid w:val="00FC755E"/>
    <w:rsid w:val="00FD0549"/>
    <w:rsid w:val="00FD0E07"/>
    <w:rsid w:val="00FD107B"/>
    <w:rsid w:val="00FD2AB3"/>
    <w:rsid w:val="00FD34F2"/>
    <w:rsid w:val="00FD373B"/>
    <w:rsid w:val="00FD47B0"/>
    <w:rsid w:val="00FD7B89"/>
    <w:rsid w:val="00FE0A42"/>
    <w:rsid w:val="00FE2C93"/>
    <w:rsid w:val="00FE3BD4"/>
    <w:rsid w:val="00FE4849"/>
    <w:rsid w:val="00FE63F5"/>
    <w:rsid w:val="00FE6C45"/>
    <w:rsid w:val="00FE71D2"/>
    <w:rsid w:val="00FF029A"/>
    <w:rsid w:val="00FF20D7"/>
    <w:rsid w:val="00FF239E"/>
    <w:rsid w:val="00FF2D03"/>
    <w:rsid w:val="00FF3133"/>
    <w:rsid w:val="00FF431D"/>
    <w:rsid w:val="00FF5B6A"/>
    <w:rsid w:val="00FF6A1A"/>
    <w:rsid w:val="00FF7D6A"/>
    <w:rsid w:val="010177EA"/>
    <w:rsid w:val="015E7AD8"/>
    <w:rsid w:val="015F1B0A"/>
    <w:rsid w:val="020D3460"/>
    <w:rsid w:val="02563D6D"/>
    <w:rsid w:val="02675529"/>
    <w:rsid w:val="027C3C55"/>
    <w:rsid w:val="028D2FBF"/>
    <w:rsid w:val="02A852F5"/>
    <w:rsid w:val="02EE00C7"/>
    <w:rsid w:val="02F13018"/>
    <w:rsid w:val="030B3E28"/>
    <w:rsid w:val="031B4066"/>
    <w:rsid w:val="03453824"/>
    <w:rsid w:val="035F1B8A"/>
    <w:rsid w:val="04141ABE"/>
    <w:rsid w:val="0422776E"/>
    <w:rsid w:val="0469032F"/>
    <w:rsid w:val="04B31097"/>
    <w:rsid w:val="0555626A"/>
    <w:rsid w:val="05FE28DF"/>
    <w:rsid w:val="06156CE4"/>
    <w:rsid w:val="06ED1033"/>
    <w:rsid w:val="071335B5"/>
    <w:rsid w:val="07341AD0"/>
    <w:rsid w:val="0768329E"/>
    <w:rsid w:val="0797664C"/>
    <w:rsid w:val="079A7278"/>
    <w:rsid w:val="07DC0035"/>
    <w:rsid w:val="081643D3"/>
    <w:rsid w:val="08D233CB"/>
    <w:rsid w:val="08F85810"/>
    <w:rsid w:val="091A1B9B"/>
    <w:rsid w:val="096B30D8"/>
    <w:rsid w:val="09812863"/>
    <w:rsid w:val="09EE0D2F"/>
    <w:rsid w:val="09F14039"/>
    <w:rsid w:val="0A113A0F"/>
    <w:rsid w:val="0A426D43"/>
    <w:rsid w:val="0A6618EE"/>
    <w:rsid w:val="0A775E85"/>
    <w:rsid w:val="0A851F95"/>
    <w:rsid w:val="0A980E27"/>
    <w:rsid w:val="0B5313B1"/>
    <w:rsid w:val="0BDD7BEB"/>
    <w:rsid w:val="0CF125E2"/>
    <w:rsid w:val="0D9A4988"/>
    <w:rsid w:val="0E246E5C"/>
    <w:rsid w:val="0E9D4E90"/>
    <w:rsid w:val="0EAD5C64"/>
    <w:rsid w:val="0F141F52"/>
    <w:rsid w:val="0F1E2FE2"/>
    <w:rsid w:val="0F3A6564"/>
    <w:rsid w:val="0F9811B3"/>
    <w:rsid w:val="0FB0474F"/>
    <w:rsid w:val="0FDF24E9"/>
    <w:rsid w:val="0FF860F6"/>
    <w:rsid w:val="100B5C4F"/>
    <w:rsid w:val="1026215D"/>
    <w:rsid w:val="1034443E"/>
    <w:rsid w:val="104B7901"/>
    <w:rsid w:val="1069655F"/>
    <w:rsid w:val="10F05C32"/>
    <w:rsid w:val="11045E2E"/>
    <w:rsid w:val="11177634"/>
    <w:rsid w:val="117B5CE3"/>
    <w:rsid w:val="11D20C23"/>
    <w:rsid w:val="136E50FF"/>
    <w:rsid w:val="13A578AE"/>
    <w:rsid w:val="140A7419"/>
    <w:rsid w:val="1421701D"/>
    <w:rsid w:val="142D4720"/>
    <w:rsid w:val="14531B4D"/>
    <w:rsid w:val="14FC175C"/>
    <w:rsid w:val="15454A6B"/>
    <w:rsid w:val="15CF061B"/>
    <w:rsid w:val="15E0701B"/>
    <w:rsid w:val="16461B3E"/>
    <w:rsid w:val="166C5148"/>
    <w:rsid w:val="16910E44"/>
    <w:rsid w:val="16EE78D6"/>
    <w:rsid w:val="17756A80"/>
    <w:rsid w:val="17AB7270"/>
    <w:rsid w:val="18730F41"/>
    <w:rsid w:val="18CD45C3"/>
    <w:rsid w:val="18F630FB"/>
    <w:rsid w:val="19597C05"/>
    <w:rsid w:val="19A97743"/>
    <w:rsid w:val="1A5C0094"/>
    <w:rsid w:val="1A826E2E"/>
    <w:rsid w:val="1BA90F07"/>
    <w:rsid w:val="1BCA0545"/>
    <w:rsid w:val="1C163B8C"/>
    <w:rsid w:val="1C992492"/>
    <w:rsid w:val="1C9B1853"/>
    <w:rsid w:val="1D517B4F"/>
    <w:rsid w:val="1D957C83"/>
    <w:rsid w:val="1DDE2356"/>
    <w:rsid w:val="1E672BF1"/>
    <w:rsid w:val="1EB917BA"/>
    <w:rsid w:val="1EBC5E30"/>
    <w:rsid w:val="1F1B53E8"/>
    <w:rsid w:val="1F3368FD"/>
    <w:rsid w:val="1F75261A"/>
    <w:rsid w:val="1FA12F3F"/>
    <w:rsid w:val="2005657E"/>
    <w:rsid w:val="20247DA7"/>
    <w:rsid w:val="20276010"/>
    <w:rsid w:val="204B3802"/>
    <w:rsid w:val="20884DD7"/>
    <w:rsid w:val="20F12876"/>
    <w:rsid w:val="211410D9"/>
    <w:rsid w:val="21377374"/>
    <w:rsid w:val="21436C93"/>
    <w:rsid w:val="21470C8B"/>
    <w:rsid w:val="218F6BFE"/>
    <w:rsid w:val="219B405D"/>
    <w:rsid w:val="21BC0069"/>
    <w:rsid w:val="21D56080"/>
    <w:rsid w:val="2262019A"/>
    <w:rsid w:val="226821AC"/>
    <w:rsid w:val="230A6514"/>
    <w:rsid w:val="232744F3"/>
    <w:rsid w:val="23681B5E"/>
    <w:rsid w:val="23702E09"/>
    <w:rsid w:val="23793C39"/>
    <w:rsid w:val="23DE5E42"/>
    <w:rsid w:val="244B0A92"/>
    <w:rsid w:val="25886E75"/>
    <w:rsid w:val="262B0E3E"/>
    <w:rsid w:val="263E265D"/>
    <w:rsid w:val="266876DA"/>
    <w:rsid w:val="2677791D"/>
    <w:rsid w:val="26830FDB"/>
    <w:rsid w:val="26AF02BE"/>
    <w:rsid w:val="2706469A"/>
    <w:rsid w:val="27184050"/>
    <w:rsid w:val="28634752"/>
    <w:rsid w:val="286E4D4F"/>
    <w:rsid w:val="288B6CE8"/>
    <w:rsid w:val="28B16486"/>
    <w:rsid w:val="28BA5454"/>
    <w:rsid w:val="28C64562"/>
    <w:rsid w:val="28D84BB8"/>
    <w:rsid w:val="28F62324"/>
    <w:rsid w:val="29996BD0"/>
    <w:rsid w:val="2ADE6D3F"/>
    <w:rsid w:val="2B0F1982"/>
    <w:rsid w:val="2B43556D"/>
    <w:rsid w:val="2C074F86"/>
    <w:rsid w:val="2C4A6442"/>
    <w:rsid w:val="2D985220"/>
    <w:rsid w:val="2DA0663C"/>
    <w:rsid w:val="2DA8468B"/>
    <w:rsid w:val="2DD36092"/>
    <w:rsid w:val="2DDC2FAE"/>
    <w:rsid w:val="2DFA3A26"/>
    <w:rsid w:val="2E13259B"/>
    <w:rsid w:val="2E3664C5"/>
    <w:rsid w:val="2E90289E"/>
    <w:rsid w:val="2E9C1A03"/>
    <w:rsid w:val="2EE0232E"/>
    <w:rsid w:val="2EE72300"/>
    <w:rsid w:val="2F1C69FA"/>
    <w:rsid w:val="2F5E343C"/>
    <w:rsid w:val="2FF07E2D"/>
    <w:rsid w:val="30297CA9"/>
    <w:rsid w:val="304C7529"/>
    <w:rsid w:val="30A428F9"/>
    <w:rsid w:val="30B02140"/>
    <w:rsid w:val="30DB0464"/>
    <w:rsid w:val="31276BB9"/>
    <w:rsid w:val="312D3892"/>
    <w:rsid w:val="31ED209A"/>
    <w:rsid w:val="322D2CAD"/>
    <w:rsid w:val="32770D05"/>
    <w:rsid w:val="32AB3208"/>
    <w:rsid w:val="32CA6BB4"/>
    <w:rsid w:val="332B7AE6"/>
    <w:rsid w:val="334F5E11"/>
    <w:rsid w:val="335A2F2A"/>
    <w:rsid w:val="33736396"/>
    <w:rsid w:val="340E6593"/>
    <w:rsid w:val="34765DF5"/>
    <w:rsid w:val="35AC03B2"/>
    <w:rsid w:val="36006C32"/>
    <w:rsid w:val="364B15FB"/>
    <w:rsid w:val="368045CB"/>
    <w:rsid w:val="36B32A45"/>
    <w:rsid w:val="36D773D2"/>
    <w:rsid w:val="36DF4CA5"/>
    <w:rsid w:val="36EF08EE"/>
    <w:rsid w:val="37065061"/>
    <w:rsid w:val="371A1FF8"/>
    <w:rsid w:val="372941A6"/>
    <w:rsid w:val="372B3E77"/>
    <w:rsid w:val="378F3560"/>
    <w:rsid w:val="379207BA"/>
    <w:rsid w:val="37B121F0"/>
    <w:rsid w:val="388E6F09"/>
    <w:rsid w:val="392550F7"/>
    <w:rsid w:val="392E1B93"/>
    <w:rsid w:val="3932734B"/>
    <w:rsid w:val="395C1CA2"/>
    <w:rsid w:val="39C649EB"/>
    <w:rsid w:val="39F264E7"/>
    <w:rsid w:val="3A4D1D0B"/>
    <w:rsid w:val="3AF8661D"/>
    <w:rsid w:val="3B331486"/>
    <w:rsid w:val="3B442714"/>
    <w:rsid w:val="3B4C0D81"/>
    <w:rsid w:val="3BD4480E"/>
    <w:rsid w:val="3C670E38"/>
    <w:rsid w:val="3CC52EF8"/>
    <w:rsid w:val="3CE90E45"/>
    <w:rsid w:val="3CF4639E"/>
    <w:rsid w:val="3D011ECF"/>
    <w:rsid w:val="3D1E7688"/>
    <w:rsid w:val="3D3F1E0F"/>
    <w:rsid w:val="3D7F72C5"/>
    <w:rsid w:val="3DBB19E2"/>
    <w:rsid w:val="3DED5444"/>
    <w:rsid w:val="3E481E73"/>
    <w:rsid w:val="3E551AA8"/>
    <w:rsid w:val="3E8302AC"/>
    <w:rsid w:val="3EA03A5D"/>
    <w:rsid w:val="3EF64769"/>
    <w:rsid w:val="3F0E779B"/>
    <w:rsid w:val="3F595584"/>
    <w:rsid w:val="3F827DF5"/>
    <w:rsid w:val="3FAE5104"/>
    <w:rsid w:val="40173E32"/>
    <w:rsid w:val="40564E07"/>
    <w:rsid w:val="406C796F"/>
    <w:rsid w:val="409223BB"/>
    <w:rsid w:val="410A340F"/>
    <w:rsid w:val="41931834"/>
    <w:rsid w:val="41B30D53"/>
    <w:rsid w:val="41F34290"/>
    <w:rsid w:val="4205067C"/>
    <w:rsid w:val="424B4858"/>
    <w:rsid w:val="426B3123"/>
    <w:rsid w:val="42721E31"/>
    <w:rsid w:val="42761731"/>
    <w:rsid w:val="42883BF0"/>
    <w:rsid w:val="42B91CCB"/>
    <w:rsid w:val="432675B5"/>
    <w:rsid w:val="433F4AB7"/>
    <w:rsid w:val="43600648"/>
    <w:rsid w:val="43761D9E"/>
    <w:rsid w:val="437F09E1"/>
    <w:rsid w:val="43955013"/>
    <w:rsid w:val="43C13A9C"/>
    <w:rsid w:val="43C6003D"/>
    <w:rsid w:val="44125472"/>
    <w:rsid w:val="44B315E0"/>
    <w:rsid w:val="45403785"/>
    <w:rsid w:val="455467AF"/>
    <w:rsid w:val="45A007E6"/>
    <w:rsid w:val="46804174"/>
    <w:rsid w:val="469F3670"/>
    <w:rsid w:val="46AF1D7C"/>
    <w:rsid w:val="473066F9"/>
    <w:rsid w:val="475521C6"/>
    <w:rsid w:val="47BA3058"/>
    <w:rsid w:val="47D845AA"/>
    <w:rsid w:val="48150457"/>
    <w:rsid w:val="487B4CE5"/>
    <w:rsid w:val="48A70C0B"/>
    <w:rsid w:val="48FD0B83"/>
    <w:rsid w:val="494E5BED"/>
    <w:rsid w:val="49BF1E34"/>
    <w:rsid w:val="49D30F25"/>
    <w:rsid w:val="4A9F11BC"/>
    <w:rsid w:val="4AC76663"/>
    <w:rsid w:val="4B063F1B"/>
    <w:rsid w:val="4B7A0C55"/>
    <w:rsid w:val="4BFE517D"/>
    <w:rsid w:val="4CDF6114"/>
    <w:rsid w:val="4CF278B9"/>
    <w:rsid w:val="4CFA6154"/>
    <w:rsid w:val="4D6F6EB9"/>
    <w:rsid w:val="4D8C0BF4"/>
    <w:rsid w:val="4DA527E1"/>
    <w:rsid w:val="4DD80AEC"/>
    <w:rsid w:val="4E0367ED"/>
    <w:rsid w:val="4EE614FD"/>
    <w:rsid w:val="501A7701"/>
    <w:rsid w:val="50205910"/>
    <w:rsid w:val="504D7495"/>
    <w:rsid w:val="50A70A12"/>
    <w:rsid w:val="50A95407"/>
    <w:rsid w:val="50B74C36"/>
    <w:rsid w:val="51056C8F"/>
    <w:rsid w:val="522B4983"/>
    <w:rsid w:val="52554706"/>
    <w:rsid w:val="52607CF5"/>
    <w:rsid w:val="52941537"/>
    <w:rsid w:val="53217FC8"/>
    <w:rsid w:val="532F2BCB"/>
    <w:rsid w:val="53365FBF"/>
    <w:rsid w:val="53D43A07"/>
    <w:rsid w:val="53DD5B5E"/>
    <w:rsid w:val="54B85579"/>
    <w:rsid w:val="55293B64"/>
    <w:rsid w:val="55347094"/>
    <w:rsid w:val="55D663FF"/>
    <w:rsid w:val="56456E42"/>
    <w:rsid w:val="568C5A5A"/>
    <w:rsid w:val="56DD0123"/>
    <w:rsid w:val="57025AFF"/>
    <w:rsid w:val="57623B4D"/>
    <w:rsid w:val="577E64AD"/>
    <w:rsid w:val="57EDC850"/>
    <w:rsid w:val="585C61F9"/>
    <w:rsid w:val="58E25E13"/>
    <w:rsid w:val="590009DE"/>
    <w:rsid w:val="59780019"/>
    <w:rsid w:val="59AC5554"/>
    <w:rsid w:val="59C870CD"/>
    <w:rsid w:val="59E660A5"/>
    <w:rsid w:val="59FD1A53"/>
    <w:rsid w:val="5A041094"/>
    <w:rsid w:val="5A752C46"/>
    <w:rsid w:val="5AD54636"/>
    <w:rsid w:val="5AEE3BE5"/>
    <w:rsid w:val="5BB374CC"/>
    <w:rsid w:val="5BD31A7A"/>
    <w:rsid w:val="5BD94122"/>
    <w:rsid w:val="5CC16A84"/>
    <w:rsid w:val="5CCD5C2E"/>
    <w:rsid w:val="5D0D72DD"/>
    <w:rsid w:val="5D2E6618"/>
    <w:rsid w:val="5D331E56"/>
    <w:rsid w:val="5D6379F0"/>
    <w:rsid w:val="5D8C3942"/>
    <w:rsid w:val="5DAA120C"/>
    <w:rsid w:val="5E3C3FE1"/>
    <w:rsid w:val="5E555C56"/>
    <w:rsid w:val="5E5F292C"/>
    <w:rsid w:val="5EDF3CD6"/>
    <w:rsid w:val="5EF54E6E"/>
    <w:rsid w:val="5F0D0547"/>
    <w:rsid w:val="5F282F25"/>
    <w:rsid w:val="5F5D2E4C"/>
    <w:rsid w:val="5F65507E"/>
    <w:rsid w:val="5FCF582C"/>
    <w:rsid w:val="60026698"/>
    <w:rsid w:val="60545FFD"/>
    <w:rsid w:val="60CF38F1"/>
    <w:rsid w:val="60E9572D"/>
    <w:rsid w:val="615F1558"/>
    <w:rsid w:val="61634C44"/>
    <w:rsid w:val="61AC5C84"/>
    <w:rsid w:val="6206384D"/>
    <w:rsid w:val="62206CF8"/>
    <w:rsid w:val="62D478C9"/>
    <w:rsid w:val="62DA3CA2"/>
    <w:rsid w:val="632863B5"/>
    <w:rsid w:val="63350368"/>
    <w:rsid w:val="635E0AB2"/>
    <w:rsid w:val="63A92B78"/>
    <w:rsid w:val="64527D57"/>
    <w:rsid w:val="645D3017"/>
    <w:rsid w:val="64C233BC"/>
    <w:rsid w:val="64C743F3"/>
    <w:rsid w:val="654B2722"/>
    <w:rsid w:val="66420199"/>
    <w:rsid w:val="664A2F9A"/>
    <w:rsid w:val="66CB8E49"/>
    <w:rsid w:val="66D038B5"/>
    <w:rsid w:val="66FA144B"/>
    <w:rsid w:val="67272A3B"/>
    <w:rsid w:val="675C03A4"/>
    <w:rsid w:val="67AC0911"/>
    <w:rsid w:val="67B00555"/>
    <w:rsid w:val="68745D2B"/>
    <w:rsid w:val="68A01336"/>
    <w:rsid w:val="690878AE"/>
    <w:rsid w:val="69662A10"/>
    <w:rsid w:val="69903473"/>
    <w:rsid w:val="699D411A"/>
    <w:rsid w:val="69A1061A"/>
    <w:rsid w:val="69C67F15"/>
    <w:rsid w:val="69FA12EF"/>
    <w:rsid w:val="6A1E1137"/>
    <w:rsid w:val="6A704B0E"/>
    <w:rsid w:val="6AA112CC"/>
    <w:rsid w:val="6AB23382"/>
    <w:rsid w:val="6B685B14"/>
    <w:rsid w:val="6BB42F2E"/>
    <w:rsid w:val="6BD52C34"/>
    <w:rsid w:val="6C085C30"/>
    <w:rsid w:val="6C570E22"/>
    <w:rsid w:val="6C705F6D"/>
    <w:rsid w:val="6C8576B6"/>
    <w:rsid w:val="6CF105C8"/>
    <w:rsid w:val="6D122652"/>
    <w:rsid w:val="6D497131"/>
    <w:rsid w:val="6D9D2EBA"/>
    <w:rsid w:val="6E195507"/>
    <w:rsid w:val="6E9E1B3E"/>
    <w:rsid w:val="6EC654AC"/>
    <w:rsid w:val="6ED5505E"/>
    <w:rsid w:val="6EE232AF"/>
    <w:rsid w:val="6EE3336E"/>
    <w:rsid w:val="6FAFBCB5"/>
    <w:rsid w:val="70155848"/>
    <w:rsid w:val="708014A9"/>
    <w:rsid w:val="70822A23"/>
    <w:rsid w:val="70A500A3"/>
    <w:rsid w:val="70A7060F"/>
    <w:rsid w:val="70F968CC"/>
    <w:rsid w:val="7106094F"/>
    <w:rsid w:val="712D1D5C"/>
    <w:rsid w:val="71677185"/>
    <w:rsid w:val="7176007C"/>
    <w:rsid w:val="71FF7992"/>
    <w:rsid w:val="722140E9"/>
    <w:rsid w:val="72807940"/>
    <w:rsid w:val="729D3254"/>
    <w:rsid w:val="72E21857"/>
    <w:rsid w:val="735477F0"/>
    <w:rsid w:val="73FB630B"/>
    <w:rsid w:val="742B64FC"/>
    <w:rsid w:val="744127B5"/>
    <w:rsid w:val="74AB7F63"/>
    <w:rsid w:val="74B10C7A"/>
    <w:rsid w:val="74CC74B0"/>
    <w:rsid w:val="74F02341"/>
    <w:rsid w:val="750A7752"/>
    <w:rsid w:val="75852604"/>
    <w:rsid w:val="75E27947"/>
    <w:rsid w:val="75F75951"/>
    <w:rsid w:val="762E7FD6"/>
    <w:rsid w:val="76347382"/>
    <w:rsid w:val="764177A9"/>
    <w:rsid w:val="76676BB0"/>
    <w:rsid w:val="768236B0"/>
    <w:rsid w:val="769D6FA6"/>
    <w:rsid w:val="7709405E"/>
    <w:rsid w:val="777A07B5"/>
    <w:rsid w:val="777E7221"/>
    <w:rsid w:val="77BB4567"/>
    <w:rsid w:val="77F85FAE"/>
    <w:rsid w:val="783F77CE"/>
    <w:rsid w:val="786C5F56"/>
    <w:rsid w:val="786F3A75"/>
    <w:rsid w:val="787D5893"/>
    <w:rsid w:val="78FC79A3"/>
    <w:rsid w:val="790A5C35"/>
    <w:rsid w:val="7A2A13E8"/>
    <w:rsid w:val="7A2A6524"/>
    <w:rsid w:val="7A8C0C5A"/>
    <w:rsid w:val="7AC02628"/>
    <w:rsid w:val="7B420E12"/>
    <w:rsid w:val="7BE57A8E"/>
    <w:rsid w:val="7C2861B7"/>
    <w:rsid w:val="7C363315"/>
    <w:rsid w:val="7C3A70B7"/>
    <w:rsid w:val="7CFD5A6F"/>
    <w:rsid w:val="7D3C1A39"/>
    <w:rsid w:val="7D867F72"/>
    <w:rsid w:val="7D8D8843"/>
    <w:rsid w:val="7D992848"/>
    <w:rsid w:val="7DF44FAF"/>
    <w:rsid w:val="7E3F7E95"/>
    <w:rsid w:val="7E4454AB"/>
    <w:rsid w:val="7E5E5AFE"/>
    <w:rsid w:val="7EE803E0"/>
    <w:rsid w:val="7EE80820"/>
    <w:rsid w:val="7F0146AE"/>
    <w:rsid w:val="7F63195D"/>
    <w:rsid w:val="7F69137C"/>
    <w:rsid w:val="7FA73D83"/>
    <w:rsid w:val="7FBB1CBB"/>
    <w:rsid w:val="7FDFDC77"/>
    <w:rsid w:val="7FF349AB"/>
    <w:rsid w:val="7FFA4074"/>
    <w:rsid w:val="B5CBD65E"/>
    <w:rsid w:val="B9FF0003"/>
    <w:rsid w:val="BD37F88C"/>
    <w:rsid w:val="EDD6828E"/>
    <w:rsid w:val="F7DBBF11"/>
    <w:rsid w:val="FBD1763D"/>
    <w:rsid w:val="FCF3C2CE"/>
    <w:rsid w:val="FDF9EC79"/>
    <w:rsid w:val="FE7D9703"/>
    <w:rsid w:val="FF1FA7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4"/>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4">
    <w:name w:val="heading 2"/>
    <w:basedOn w:val="1"/>
    <w:next w:val="1"/>
    <w:link w:val="4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46"/>
    <w:qFormat/>
    <w:uiPriority w:val="0"/>
    <w:pPr>
      <w:keepNext/>
      <w:keepLines/>
      <w:spacing w:line="360" w:lineRule="auto"/>
      <w:outlineLvl w:val="2"/>
    </w:pPr>
    <w:rPr>
      <w:rFonts w:ascii="Times New Roman" w:hAnsi="Times New Roman" w:eastAsia="宋体"/>
      <w:b/>
      <w:bCs/>
      <w:sz w:val="28"/>
      <w:szCs w:val="32"/>
    </w:rPr>
  </w:style>
  <w:style w:type="paragraph" w:styleId="6">
    <w:name w:val="heading 4"/>
    <w:basedOn w:val="1"/>
    <w:next w:val="1"/>
    <w:qFormat/>
    <w:uiPriority w:val="0"/>
    <w:pPr>
      <w:keepNext/>
      <w:keepLines/>
      <w:adjustRightInd w:val="0"/>
      <w:snapToGrid w:val="0"/>
      <w:spacing w:line="500" w:lineRule="exact"/>
      <w:ind w:left="426"/>
      <w:outlineLvl w:val="3"/>
    </w:pPr>
    <w:rPr>
      <w:rFonts w:ascii="Arial" w:hAnsi="Arial"/>
      <w:bCs/>
      <w:sz w:val="24"/>
      <w:szCs w:val="28"/>
    </w:rPr>
  </w:style>
  <w:style w:type="paragraph" w:styleId="7">
    <w:name w:val="heading 5"/>
    <w:basedOn w:val="1"/>
    <w:next w:val="1"/>
    <w:qFormat/>
    <w:uiPriority w:val="0"/>
    <w:pPr>
      <w:keepNext/>
      <w:keepLines/>
      <w:tabs>
        <w:tab w:val="left" w:pos="33"/>
      </w:tabs>
      <w:spacing w:before="280" w:after="290"/>
      <w:ind w:left="436" w:firstLine="448"/>
      <w:outlineLvl w:val="4"/>
    </w:pPr>
    <w:rPr>
      <w:rFonts w:ascii="Times New Roman" w:hAnsi="Times New Roman"/>
      <w:bCs/>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link w:val="48"/>
    <w:qFormat/>
    <w:uiPriority w:val="0"/>
    <w:pPr>
      <w:spacing w:after="120"/>
    </w:pPr>
    <w:rPr>
      <w:rFonts w:ascii="Times New Roman" w:hAnsi="Times New Roman" w:eastAsia="宋体"/>
      <w:szCs w:val="24"/>
    </w:rPr>
  </w:style>
  <w:style w:type="paragraph" w:styleId="8">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9">
    <w:name w:val="Document Map"/>
    <w:basedOn w:val="1"/>
    <w:semiHidden/>
    <w:qFormat/>
    <w:uiPriority w:val="0"/>
    <w:pPr>
      <w:shd w:val="clear" w:color="auto" w:fill="000080"/>
    </w:pPr>
  </w:style>
  <w:style w:type="paragraph" w:styleId="10">
    <w:name w:val="annotation text"/>
    <w:basedOn w:val="1"/>
    <w:link w:val="47"/>
    <w:qFormat/>
    <w:uiPriority w:val="0"/>
    <w:pPr>
      <w:jc w:val="left"/>
    </w:pPr>
    <w:rPr>
      <w:rFonts w:ascii="Times New Roman" w:hAnsi="Times New Roman" w:eastAsia="宋体"/>
      <w:szCs w:val="20"/>
    </w:r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spacing w:after="120"/>
      <w:ind w:left="420" w:leftChars="200"/>
    </w:pPr>
  </w:style>
  <w:style w:type="paragraph" w:styleId="13">
    <w:name w:val="index 4"/>
    <w:basedOn w:val="1"/>
    <w:next w:val="1"/>
    <w:unhideWhenUsed/>
    <w:qFormat/>
    <w:uiPriority w:val="99"/>
    <w:pPr>
      <w:ind w:left="600" w:leftChars="600"/>
    </w:pPr>
  </w:style>
  <w:style w:type="paragraph" w:styleId="14">
    <w:name w:val="toc 3"/>
    <w:basedOn w:val="1"/>
    <w:next w:val="1"/>
    <w:link w:val="49"/>
    <w:qFormat/>
    <w:uiPriority w:val="0"/>
    <w:pPr>
      <w:ind w:left="840" w:leftChars="400"/>
    </w:pPr>
  </w:style>
  <w:style w:type="paragraph" w:styleId="15">
    <w:name w:val="Plain Text"/>
    <w:basedOn w:val="1"/>
    <w:link w:val="50"/>
    <w:qFormat/>
    <w:uiPriority w:val="0"/>
    <w:rPr>
      <w:rFonts w:ascii="宋体" w:hAnsi="Courier New" w:eastAsia="宋体" w:cs="Courier New"/>
      <w:szCs w:val="21"/>
    </w:rPr>
  </w:style>
  <w:style w:type="paragraph" w:styleId="16">
    <w:name w:val="Date"/>
    <w:basedOn w:val="1"/>
    <w:next w:val="1"/>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9">
    <w:name w:val="envelope return"/>
    <w:basedOn w:val="1"/>
    <w:qFormat/>
    <w:uiPriority w:val="0"/>
    <w:pPr>
      <w:snapToGrid w:val="0"/>
    </w:pPr>
    <w:rPr>
      <w:rFonts w:ascii="Arial" w:hAnsi="Arial"/>
      <w:szCs w:val="24"/>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style>
  <w:style w:type="paragraph" w:styleId="22">
    <w:name w:val="footnote text"/>
    <w:basedOn w:val="1"/>
    <w:semiHidden/>
    <w:qFormat/>
    <w:uiPriority w:val="0"/>
    <w:pPr>
      <w:snapToGrid w:val="0"/>
      <w:jc w:val="left"/>
    </w:pPr>
    <w:rPr>
      <w:rFonts w:ascii="Times New Roman" w:hAnsi="Times New Roman"/>
      <w:sz w:val="18"/>
      <w:szCs w:val="18"/>
    </w:rPr>
  </w:style>
  <w:style w:type="paragraph" w:styleId="23">
    <w:name w:val="Body Text Indent 3"/>
    <w:basedOn w:val="1"/>
    <w:qFormat/>
    <w:uiPriority w:val="0"/>
    <w:pPr>
      <w:spacing w:after="120"/>
      <w:ind w:left="420" w:leftChars="200"/>
    </w:pPr>
    <w:rPr>
      <w:rFonts w:ascii="Times New Roman" w:hAnsi="Times New Roman"/>
      <w:sz w:val="16"/>
      <w:szCs w:val="16"/>
    </w:rPr>
  </w:style>
  <w:style w:type="paragraph" w:styleId="24">
    <w:name w:val="toc 2"/>
    <w:basedOn w:val="1"/>
    <w:next w:val="1"/>
    <w:qFormat/>
    <w:uiPriority w:val="0"/>
    <w:pPr>
      <w:ind w:left="420" w:leftChars="200"/>
    </w:pPr>
  </w:style>
  <w:style w:type="paragraph" w:styleId="25">
    <w:name w:val="HTML Preformatted"/>
    <w:basedOn w:val="1"/>
    <w:qFormat/>
    <w:uiPriority w:val="0"/>
    <w:rPr>
      <w:rFonts w:ascii="Courier New" w:hAnsi="Courier New" w:cs="Courier New"/>
      <w:sz w:val="20"/>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0"/>
    <w:next w:val="10"/>
    <w:semiHidden/>
    <w:qFormat/>
    <w:uiPriority w:val="0"/>
    <w:rPr>
      <w:rFonts w:ascii="Calibri" w:hAnsi="Calibri"/>
      <w:b/>
      <w:bCs/>
      <w:szCs w:val="22"/>
    </w:rPr>
  </w:style>
  <w:style w:type="paragraph" w:styleId="28">
    <w:name w:val="Body Text First Indent"/>
    <w:basedOn w:val="2"/>
    <w:qFormat/>
    <w:uiPriority w:val="0"/>
    <w:pPr>
      <w:ind w:firstLine="420" w:firstLineChars="100"/>
    </w:pPr>
    <w:rPr>
      <w:rFonts w:ascii="Calibri" w:hAnsi="Calibri"/>
      <w:szCs w:val="22"/>
    </w:rPr>
  </w:style>
  <w:style w:type="paragraph" w:styleId="29">
    <w:name w:val="Body Text First Indent 2"/>
    <w:basedOn w:val="12"/>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basedOn w:val="32"/>
    <w:qFormat/>
    <w:uiPriority w:val="0"/>
    <w:rPr>
      <w:rFonts w:hint="eastAsia" w:ascii="微软雅黑" w:hAnsi="微软雅黑" w:eastAsia="微软雅黑" w:cs="微软雅黑"/>
      <w:color w:val="337AB7"/>
      <w:u w:val="none"/>
    </w:rPr>
  </w:style>
  <w:style w:type="character" w:styleId="36">
    <w:name w:val="Emphasis"/>
    <w:qFormat/>
    <w:uiPriority w:val="0"/>
    <w:rPr>
      <w:rFonts w:eastAsia="华文仿宋" w:cs="Times New Roman"/>
      <w:sz w:val="24"/>
    </w:rPr>
  </w:style>
  <w:style w:type="character" w:styleId="37">
    <w:name w:val="HTML Definition"/>
    <w:basedOn w:val="32"/>
    <w:qFormat/>
    <w:uiPriority w:val="0"/>
    <w:rPr>
      <w:i/>
      <w:iCs/>
    </w:rPr>
  </w:style>
  <w:style w:type="character" w:styleId="38">
    <w:name w:val="Hyperlink"/>
    <w:basedOn w:val="32"/>
    <w:qFormat/>
    <w:uiPriority w:val="0"/>
    <w:rPr>
      <w:rFonts w:ascii="微软雅黑" w:hAnsi="微软雅黑" w:eastAsia="微软雅黑" w:cs="微软雅黑"/>
      <w:color w:val="337AB7"/>
      <w:u w:val="none"/>
    </w:rPr>
  </w:style>
  <w:style w:type="character" w:styleId="39">
    <w:name w:val="HTML Code"/>
    <w:basedOn w:val="32"/>
    <w:qFormat/>
    <w:uiPriority w:val="0"/>
    <w:rPr>
      <w:rFonts w:ascii="Consolas" w:hAnsi="Consolas" w:eastAsia="Consolas" w:cs="Consolas"/>
      <w:color w:val="C7254E"/>
      <w:sz w:val="21"/>
      <w:szCs w:val="21"/>
      <w:bdr w:val="single" w:color="E1E1E1" w:sz="6" w:space="0"/>
      <w:shd w:val="clear" w:color="auto" w:fill="F9F2F4"/>
    </w:rPr>
  </w:style>
  <w:style w:type="character" w:styleId="40">
    <w:name w:val="annotation reference"/>
    <w:qFormat/>
    <w:uiPriority w:val="0"/>
    <w:rPr>
      <w:rFonts w:cs="Times New Roman"/>
      <w:sz w:val="21"/>
    </w:rPr>
  </w:style>
  <w:style w:type="character" w:styleId="41">
    <w:name w:val="HTML Keyboard"/>
    <w:basedOn w:val="32"/>
    <w:qFormat/>
    <w:uiPriority w:val="0"/>
    <w:rPr>
      <w:rFonts w:hint="default" w:ascii="Consolas" w:hAnsi="Consolas" w:eastAsia="Consolas" w:cs="Consolas"/>
      <w:color w:val="FFFFFF"/>
      <w:sz w:val="21"/>
      <w:szCs w:val="21"/>
      <w:shd w:val="clear" w:color="auto" w:fill="333333"/>
    </w:rPr>
  </w:style>
  <w:style w:type="character" w:styleId="42">
    <w:name w:val="HTML Sample"/>
    <w:basedOn w:val="32"/>
    <w:qFormat/>
    <w:uiPriority w:val="0"/>
    <w:rPr>
      <w:rFonts w:hint="default" w:ascii="Consolas" w:hAnsi="Consolas" w:eastAsia="Consolas" w:cs="Consolas"/>
      <w:sz w:val="21"/>
      <w:szCs w:val="21"/>
    </w:rPr>
  </w:style>
  <w:style w:type="paragraph" w:customStyle="1" w:styleId="43">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44">
    <w:name w:val="标题 1 Char"/>
    <w:link w:val="3"/>
    <w:qFormat/>
    <w:locked/>
    <w:uiPriority w:val="0"/>
    <w:rPr>
      <w:rFonts w:eastAsia="宋体"/>
      <w:b/>
      <w:kern w:val="44"/>
      <w:sz w:val="44"/>
      <w:lang w:val="en-US" w:eastAsia="zh-CN" w:bidi="ar-SA"/>
    </w:rPr>
  </w:style>
  <w:style w:type="character" w:customStyle="1" w:styleId="45">
    <w:name w:val="标题 2 Char"/>
    <w:link w:val="4"/>
    <w:qFormat/>
    <w:locked/>
    <w:uiPriority w:val="0"/>
    <w:rPr>
      <w:rFonts w:ascii="Arial" w:hAnsi="Arial" w:eastAsia="黑体"/>
      <w:b/>
      <w:kern w:val="2"/>
      <w:sz w:val="32"/>
      <w:lang w:val="en-US" w:eastAsia="zh-CN" w:bidi="ar-SA"/>
    </w:rPr>
  </w:style>
  <w:style w:type="character" w:customStyle="1" w:styleId="46">
    <w:name w:val="标题 3 Char"/>
    <w:link w:val="5"/>
    <w:qFormat/>
    <w:uiPriority w:val="0"/>
    <w:rPr>
      <w:rFonts w:ascii="Times New Roman" w:hAnsi="Times New Roman" w:eastAsia="宋体"/>
      <w:b/>
      <w:bCs/>
      <w:sz w:val="28"/>
      <w:szCs w:val="32"/>
    </w:rPr>
  </w:style>
  <w:style w:type="character" w:customStyle="1" w:styleId="47">
    <w:name w:val="批注文字 Char"/>
    <w:link w:val="10"/>
    <w:qFormat/>
    <w:locked/>
    <w:uiPriority w:val="0"/>
    <w:rPr>
      <w:rFonts w:eastAsia="宋体"/>
      <w:kern w:val="2"/>
      <w:sz w:val="21"/>
      <w:lang w:val="en-US" w:eastAsia="zh-CN" w:bidi="ar-SA"/>
    </w:rPr>
  </w:style>
  <w:style w:type="character" w:customStyle="1" w:styleId="48">
    <w:name w:val="正文文本 Char"/>
    <w:link w:val="2"/>
    <w:qFormat/>
    <w:uiPriority w:val="0"/>
    <w:rPr>
      <w:rFonts w:eastAsia="宋体"/>
      <w:kern w:val="2"/>
      <w:sz w:val="21"/>
      <w:szCs w:val="24"/>
      <w:lang w:val="en-US" w:eastAsia="zh-CN" w:bidi="ar-SA"/>
    </w:rPr>
  </w:style>
  <w:style w:type="character" w:customStyle="1" w:styleId="49">
    <w:name w:val="目录 3 Char"/>
    <w:link w:val="14"/>
    <w:qFormat/>
    <w:uiPriority w:val="0"/>
  </w:style>
  <w:style w:type="character" w:customStyle="1" w:styleId="50">
    <w:name w:val="纯文本 Char"/>
    <w:link w:val="15"/>
    <w:qFormat/>
    <w:locked/>
    <w:uiPriority w:val="0"/>
    <w:rPr>
      <w:rFonts w:ascii="宋体" w:hAnsi="Courier New" w:eastAsia="宋体" w:cs="Courier New"/>
      <w:kern w:val="2"/>
      <w:sz w:val="21"/>
      <w:szCs w:val="21"/>
      <w:lang w:val="en-US" w:eastAsia="zh-CN" w:bidi="ar-SA"/>
    </w:rPr>
  </w:style>
  <w:style w:type="character" w:customStyle="1" w:styleId="51">
    <w:name w:val=" Char Char5"/>
    <w:qFormat/>
    <w:uiPriority w:val="0"/>
    <w:rPr>
      <w:rFonts w:eastAsia="宋体"/>
      <w:kern w:val="2"/>
      <w:sz w:val="21"/>
    </w:rPr>
  </w:style>
  <w:style w:type="character" w:customStyle="1" w:styleId="52">
    <w:name w:val="样式 正文文本 + 新宋体 小四 黑色 Char"/>
    <w:link w:val="53"/>
    <w:qFormat/>
    <w:uiPriority w:val="0"/>
    <w:rPr>
      <w:rFonts w:ascii="新宋体" w:hAnsi="新宋体" w:eastAsia="宋体"/>
      <w:color w:val="000000"/>
      <w:kern w:val="2"/>
      <w:sz w:val="21"/>
      <w:szCs w:val="24"/>
      <w:lang w:val="en-US" w:eastAsia="zh-CN" w:bidi="ar-SA"/>
    </w:rPr>
  </w:style>
  <w:style w:type="paragraph" w:customStyle="1" w:styleId="53">
    <w:name w:val="样式 正文文本 + 新宋体 小四 黑色"/>
    <w:basedOn w:val="2"/>
    <w:link w:val="52"/>
    <w:qFormat/>
    <w:uiPriority w:val="0"/>
    <w:rPr>
      <w:rFonts w:ascii="新宋体" w:hAnsi="新宋体"/>
      <w:color w:val="000000"/>
    </w:rPr>
  </w:style>
  <w:style w:type="character" w:customStyle="1" w:styleId="54">
    <w:name w:val=" Char Char21"/>
    <w:qFormat/>
    <w:uiPriority w:val="0"/>
    <w:rPr>
      <w:rFonts w:eastAsia="宋体"/>
      <w:b/>
      <w:kern w:val="44"/>
      <w:sz w:val="44"/>
    </w:rPr>
  </w:style>
  <w:style w:type="character" w:customStyle="1" w:styleId="55">
    <w:name w:val="样式 标题 3 + 新宋体 Char"/>
    <w:link w:val="56"/>
    <w:qFormat/>
    <w:uiPriority w:val="0"/>
    <w:rPr>
      <w:rFonts w:ascii="新宋体" w:hAnsi="新宋体" w:eastAsia="宋体"/>
      <w:sz w:val="21"/>
      <w:szCs w:val="32"/>
      <w:lang w:bidi="ar-SA"/>
    </w:rPr>
  </w:style>
  <w:style w:type="paragraph" w:customStyle="1" w:styleId="56">
    <w:name w:val="样式 标题 3 + 新宋体"/>
    <w:basedOn w:val="5"/>
    <w:link w:val="55"/>
    <w:qFormat/>
    <w:uiPriority w:val="0"/>
    <w:pPr>
      <w:numPr>
        <w:ilvl w:val="2"/>
        <w:numId w:val="0"/>
      </w:numPr>
    </w:pPr>
    <w:rPr>
      <w:rFonts w:ascii="新宋体" w:hAnsi="新宋体" w:eastAsia="宋体"/>
      <w:bCs w:val="0"/>
      <w:kern w:val="0"/>
      <w:sz w:val="21"/>
    </w:rPr>
  </w:style>
  <w:style w:type="character" w:customStyle="1" w:styleId="57">
    <w:name w:val="font161"/>
    <w:qFormat/>
    <w:uiPriority w:val="0"/>
    <w:rPr>
      <w:b/>
      <w:sz w:val="32"/>
    </w:rPr>
  </w:style>
  <w:style w:type="character" w:customStyle="1" w:styleId="58">
    <w:name w:val="批注文字 Char1"/>
    <w:semiHidden/>
    <w:qFormat/>
    <w:uiPriority w:val="0"/>
    <w:rPr>
      <w:rFonts w:ascii="Calibri" w:hAnsi="Calibri" w:eastAsia="宋体"/>
      <w:kern w:val="2"/>
      <w:sz w:val="21"/>
      <w:szCs w:val="22"/>
      <w:lang w:val="en-US" w:eastAsia="zh-CN" w:bidi="ar-SA"/>
    </w:rPr>
  </w:style>
  <w:style w:type="character" w:customStyle="1" w:styleId="59">
    <w:name w:val="Heading 1 Char"/>
    <w:qFormat/>
    <w:locked/>
    <w:uiPriority w:val="0"/>
    <w:rPr>
      <w:rFonts w:eastAsia="宋体" w:cs="Times New Roman"/>
      <w:b/>
      <w:kern w:val="44"/>
      <w:sz w:val="44"/>
    </w:rPr>
  </w:style>
  <w:style w:type="character" w:customStyle="1" w:styleId="60">
    <w:name w:val="样式 新宋体 小四"/>
    <w:qFormat/>
    <w:uiPriority w:val="0"/>
    <w:rPr>
      <w:rFonts w:ascii="新宋体" w:hAnsi="新宋体" w:eastAsia="宋体"/>
      <w:sz w:val="21"/>
    </w:rPr>
  </w:style>
  <w:style w:type="paragraph" w:customStyle="1" w:styleId="61">
    <w:name w:val="Char Char Char Char"/>
    <w:basedOn w:val="9"/>
    <w:qFormat/>
    <w:uiPriority w:val="0"/>
    <w:pPr>
      <w:widowControl/>
      <w:ind w:firstLine="454"/>
      <w:jc w:val="left"/>
    </w:pPr>
    <w:rPr>
      <w:rFonts w:ascii="Times New Roman" w:hAnsi="Times New Roman"/>
      <w:szCs w:val="20"/>
    </w:rPr>
  </w:style>
  <w:style w:type="paragraph" w:customStyle="1" w:styleId="62">
    <w:name w:val="Table Paragraph"/>
    <w:basedOn w:val="1"/>
    <w:next w:val="27"/>
    <w:qFormat/>
    <w:uiPriority w:val="0"/>
    <w:pPr>
      <w:autoSpaceDE w:val="0"/>
      <w:autoSpaceDN w:val="0"/>
      <w:jc w:val="left"/>
    </w:pPr>
    <w:rPr>
      <w:rFonts w:ascii="宋体" w:hAnsi="Times New Roman" w:cs="宋体"/>
      <w:kern w:val="0"/>
      <w:sz w:val="22"/>
      <w:lang w:val="zh-CN" w:bidi="zh-CN"/>
    </w:rPr>
  </w:style>
  <w:style w:type="paragraph" w:customStyle="1" w:styleId="63">
    <w:name w:val="文二"/>
    <w:basedOn w:val="1"/>
    <w:qFormat/>
    <w:uiPriority w:val="0"/>
    <w:pPr>
      <w:jc w:val="left"/>
    </w:pPr>
    <w:rPr>
      <w:rFonts w:ascii="宋体" w:hAnsi="宋体"/>
      <w:szCs w:val="21"/>
    </w:rPr>
  </w:style>
  <w:style w:type="paragraph" w:customStyle="1" w:styleId="64">
    <w:name w:val="_Style 62"/>
    <w:unhideWhenUsed/>
    <w:qFormat/>
    <w:uiPriority w:val="99"/>
    <w:rPr>
      <w:rFonts w:ascii="Calibri" w:hAnsi="Calibri" w:eastAsia="宋体" w:cs="Times New Roman"/>
      <w:kern w:val="2"/>
      <w:sz w:val="21"/>
      <w:szCs w:val="22"/>
      <w:lang w:val="en-US" w:eastAsia="zh-CN" w:bidi="ar-SA"/>
    </w:rPr>
  </w:style>
  <w:style w:type="character" w:customStyle="1" w:styleId="65">
    <w:name w:val="username"/>
    <w:basedOn w:val="32"/>
    <w:qFormat/>
    <w:uiPriority w:val="0"/>
  </w:style>
  <w:style w:type="character" w:customStyle="1" w:styleId="66">
    <w:name w:val="title26"/>
    <w:basedOn w:val="32"/>
    <w:qFormat/>
    <w:uiPriority w:val="0"/>
  </w:style>
  <w:style w:type="paragraph" w:customStyle="1" w:styleId="67">
    <w:name w:val="Heading 2"/>
    <w:basedOn w:val="1"/>
    <w:unhideWhenUsed/>
    <w:qFormat/>
    <w:uiPriority w:val="1"/>
    <w:pPr>
      <w:spacing w:beforeLines="0" w:afterLines="0"/>
      <w:outlineLvl w:val="1"/>
    </w:pPr>
    <w:rPr>
      <w:rFonts w:hint="eastAsia" w:ascii="宋体" w:hAnsi="宋体" w:eastAsia="宋体"/>
      <w:sz w:val="32"/>
    </w:rPr>
  </w:style>
  <w:style w:type="paragraph" w:customStyle="1" w:styleId="68">
    <w:name w:val="Heading 3"/>
    <w:basedOn w:val="1"/>
    <w:unhideWhenUsed/>
    <w:qFormat/>
    <w:uiPriority w:val="1"/>
    <w:pPr>
      <w:spacing w:beforeLines="0" w:afterLines="0"/>
      <w:ind w:left="237"/>
      <w:outlineLvl w:val="2"/>
    </w:pPr>
    <w:rPr>
      <w:rFonts w:hint="eastAsia" w:ascii="宋体" w:hAnsi="宋体" w:eastAsia="宋体"/>
      <w:sz w:val="28"/>
    </w:rPr>
  </w:style>
  <w:style w:type="paragraph" w:customStyle="1" w:styleId="69">
    <w:name w:val="Heading 1"/>
    <w:basedOn w:val="1"/>
    <w:unhideWhenUsed/>
    <w:qFormat/>
    <w:uiPriority w:val="1"/>
    <w:pPr>
      <w:spacing w:beforeLines="0" w:afterLines="0"/>
      <w:outlineLvl w:val="0"/>
    </w:pPr>
    <w:rPr>
      <w:rFonts w:hint="eastAsia" w:ascii="宋体" w:hAnsi="宋体" w:eastAsia="宋体"/>
      <w:sz w:val="44"/>
    </w:rPr>
  </w:style>
  <w:style w:type="paragraph" w:customStyle="1" w:styleId="70">
    <w:name w:val="BodyText"/>
    <w:basedOn w:val="1"/>
    <w:qFormat/>
    <w:uiPriority w:val="0"/>
    <w:pPr>
      <w:spacing w:after="120"/>
    </w:pPr>
    <w:rPr>
      <w:rFonts w:ascii="Times New Roman" w:hAnsi="Times New Roman"/>
      <w:kern w:val="0"/>
      <w:sz w:val="20"/>
      <w:szCs w:val="20"/>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正文缩进1"/>
    <w:basedOn w:val="73"/>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73">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5">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7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7">
    <w:name w:val="重点内容 Char"/>
    <w:link w:val="78"/>
    <w:qFormat/>
    <w:uiPriority w:val="0"/>
    <w:rPr>
      <w:rFonts w:hint="eastAsia" w:ascii="方正仿宋_GB2312" w:hAnsi="方正仿宋_GB2312" w:eastAsia="方正仿宋_GB2312" w:cs="方正仿宋_GB2312"/>
      <w:color w:val="auto"/>
      <w:sz w:val="32"/>
      <w:szCs w:val="32"/>
      <w:u w:val="none" w:color="000000" w:themeColor="text1"/>
      <w:lang w:eastAsia="zh-Hans"/>
    </w:rPr>
  </w:style>
  <w:style w:type="paragraph" w:customStyle="1" w:styleId="78">
    <w:name w:val="重点内容"/>
    <w:basedOn w:val="1"/>
    <w:link w:val="77"/>
    <w:qFormat/>
    <w:uiPriority w:val="0"/>
    <w:pPr>
      <w:widowControl/>
      <w:ind w:firstLine="643" w:firstLineChars="200"/>
      <w:jc w:val="left"/>
    </w:pPr>
    <w:rPr>
      <w:rFonts w:hint="eastAsia" w:ascii="方正仿宋_GB2312" w:hAnsi="方正仿宋_GB2312" w:eastAsia="方正仿宋_GB2312" w:cs="方正仿宋_GB2312"/>
      <w:color w:val="auto"/>
      <w:sz w:val="32"/>
      <w:szCs w:val="32"/>
      <w:u w:val="none" w:color="000000" w:themeColor="text1"/>
      <w:lang w:eastAsia="zh-Hans"/>
    </w:rPr>
  </w:style>
  <w:style w:type="paragraph" w:customStyle="1" w:styleId="7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143</Pages>
  <Words>328</Words>
  <Characters>407</Characters>
  <Lines>350</Lines>
  <Paragraphs>98</Paragraphs>
  <TotalTime>15</TotalTime>
  <ScaleCrop>false</ScaleCrop>
  <LinksUpToDate>false</LinksUpToDate>
  <CharactersWithSpaces>453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2022-09-20T20:03:00Z</dcterms:created>
  <dc:creator>asus</dc:creator>
  <cp:lastModifiedBy>招标代理</cp:lastModifiedBy>
  <cp:lastPrinted>2025-09-08T01:54:00Z</cp:lastPrinted>
  <dcterms:modified xsi:type="dcterms:W3CDTF">2026-02-05T08:42:54Z</dcterms:modified>
  <dc:title>招标人应当根据招标工程特点和实际需要，依法在其他说明中补充填写相关要求</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E26297E3C4F04AC0BA1A4B138B1282C5_13</vt:lpwstr>
  </property>
  <property fmtid="{D5CDD505-2E9C-101B-9397-08002B2CF9AE}" pid="4" name="KSOTemplateDocerSaveRecord">
    <vt:lpwstr>eyJoZGlkIjoiODllMzA1ZDk0ZWY5ZDU2Y2E3N2Y1MmY3Mzg4MWQ4OGEiLCJ1c2VySWQiOiI1OTA4ODIyMTQifQ==</vt:lpwstr>
  </property>
</Properties>
</file>