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B8C48">
      <w:pPr>
        <w:tabs>
          <w:tab w:val="left" w:pos="567"/>
        </w:tabs>
        <w:spacing w:line="900" w:lineRule="exact"/>
        <w:jc w:val="center"/>
        <w:rPr>
          <w:rFonts w:ascii="黑体" w:hAnsi="宋体" w:eastAsia="黑体"/>
          <w:b/>
          <w:bCs/>
          <w:color w:val="000000"/>
          <w:spacing w:val="140"/>
          <w:sz w:val="84"/>
          <w:szCs w:val="84"/>
          <w:highlight w:val="none"/>
        </w:rPr>
      </w:pPr>
    </w:p>
    <w:p w14:paraId="7CEC9E70">
      <w:pPr>
        <w:tabs>
          <w:tab w:val="left" w:pos="567"/>
        </w:tabs>
        <w:spacing w:line="900" w:lineRule="exact"/>
        <w:jc w:val="center"/>
        <w:rPr>
          <w:rFonts w:ascii="黑体" w:hAnsi="宋体" w:eastAsia="黑体"/>
          <w:b/>
          <w:bCs/>
          <w:color w:val="000000"/>
          <w:spacing w:val="140"/>
          <w:sz w:val="84"/>
          <w:szCs w:val="84"/>
          <w:highlight w:val="none"/>
        </w:rPr>
      </w:pPr>
    </w:p>
    <w:p w14:paraId="2DEDD6D6">
      <w:pPr>
        <w:tabs>
          <w:tab w:val="left" w:pos="567"/>
        </w:tabs>
        <w:spacing w:line="900" w:lineRule="exact"/>
        <w:jc w:val="center"/>
        <w:rPr>
          <w:rFonts w:ascii="黑体" w:hAnsi="宋体" w:eastAsia="黑体"/>
          <w:b/>
          <w:bCs/>
          <w:color w:val="000000"/>
          <w:spacing w:val="140"/>
          <w:sz w:val="84"/>
          <w:szCs w:val="84"/>
          <w:highlight w:val="none"/>
        </w:rPr>
      </w:pPr>
      <w:r>
        <w:rPr>
          <w:rFonts w:hint="eastAsia" w:ascii="黑体" w:hAnsi="宋体" w:eastAsia="黑体"/>
          <w:b/>
          <w:bCs/>
          <w:color w:val="000000"/>
          <w:spacing w:val="140"/>
          <w:sz w:val="84"/>
          <w:szCs w:val="84"/>
          <w:highlight w:val="none"/>
        </w:rPr>
        <w:t>采 购 文 件</w:t>
      </w:r>
    </w:p>
    <w:p w14:paraId="06DEDF3A">
      <w:pPr>
        <w:spacing w:line="400" w:lineRule="exact"/>
        <w:jc w:val="center"/>
        <w:rPr>
          <w:rFonts w:ascii="楷体_GB2312" w:hAnsi="新宋体" w:eastAsia="楷体_GB2312"/>
          <w:b/>
          <w:bCs/>
          <w:color w:val="000000"/>
          <w:sz w:val="32"/>
          <w:szCs w:val="32"/>
          <w:highlight w:val="none"/>
        </w:rPr>
      </w:pPr>
    </w:p>
    <w:p w14:paraId="60D49439">
      <w:pPr>
        <w:spacing w:line="400" w:lineRule="exact"/>
        <w:jc w:val="center"/>
        <w:rPr>
          <w:rFonts w:ascii="楷体_GB2312" w:hAnsi="新宋体" w:eastAsia="楷体_GB2312"/>
          <w:b/>
          <w:bCs/>
          <w:color w:val="000000"/>
          <w:sz w:val="32"/>
          <w:szCs w:val="32"/>
          <w:highlight w:val="none"/>
        </w:rPr>
      </w:pPr>
    </w:p>
    <w:p w14:paraId="29C8DF1E">
      <w:pPr>
        <w:rPr>
          <w:rFonts w:ascii="楷体_GB2312" w:hAnsi="新宋体" w:eastAsia="楷体_GB2312"/>
          <w:color w:val="000000"/>
          <w:spacing w:val="40"/>
          <w:sz w:val="30"/>
          <w:szCs w:val="30"/>
          <w:highlight w:val="none"/>
        </w:rPr>
      </w:pPr>
    </w:p>
    <w:p w14:paraId="1E92F155">
      <w:pPr>
        <w:pStyle w:val="22"/>
        <w:rPr>
          <w:highlight w:val="none"/>
        </w:rPr>
      </w:pPr>
    </w:p>
    <w:p w14:paraId="6A53A33A">
      <w:pPr>
        <w:rPr>
          <w:rFonts w:ascii="楷体_GB2312" w:hAnsi="新宋体" w:eastAsia="楷体_GB2312"/>
          <w:color w:val="000000"/>
          <w:spacing w:val="40"/>
          <w:sz w:val="30"/>
          <w:szCs w:val="30"/>
          <w:highlight w:val="none"/>
        </w:rPr>
      </w:pPr>
    </w:p>
    <w:p w14:paraId="2497C46F">
      <w:pPr>
        <w:widowControl/>
        <w:adjustRightInd w:val="0"/>
        <w:snapToGrid w:val="0"/>
        <w:spacing w:line="360" w:lineRule="auto"/>
        <w:ind w:firstLine="1400" w:firstLineChars="500"/>
        <w:rPr>
          <w:rFonts w:ascii="宋体" w:hAnsi="宋体" w:cs="Arial"/>
          <w:color w:val="000000"/>
          <w:sz w:val="28"/>
          <w:szCs w:val="28"/>
          <w:highlight w:val="none"/>
        </w:rPr>
      </w:pPr>
      <w:r>
        <w:rPr>
          <w:rFonts w:hint="eastAsia" w:ascii="宋体" w:hAnsi="宋体" w:cs="Arial"/>
          <w:color w:val="000000"/>
          <w:sz w:val="28"/>
          <w:szCs w:val="28"/>
          <w:highlight w:val="none"/>
        </w:rPr>
        <w:t>项目编号：YY10-FW-2601-0010</w:t>
      </w:r>
    </w:p>
    <w:p w14:paraId="2CFC1100">
      <w:pPr>
        <w:spacing w:line="360" w:lineRule="auto"/>
        <w:ind w:left="2830" w:leftChars="664" w:hanging="1436" w:hangingChars="513"/>
        <w:jc w:val="left"/>
        <w:rPr>
          <w:rFonts w:ascii="宋体" w:hAnsi="宋体" w:cs="Arial"/>
          <w:color w:val="000000"/>
          <w:sz w:val="28"/>
          <w:szCs w:val="28"/>
          <w:highlight w:val="none"/>
          <w:lang w:val="zh-CN"/>
        </w:rPr>
      </w:pPr>
      <w:r>
        <w:rPr>
          <w:rFonts w:hint="eastAsia" w:ascii="宋体" w:hAnsi="宋体" w:cs="Arial"/>
          <w:color w:val="000000"/>
          <w:sz w:val="28"/>
          <w:szCs w:val="28"/>
          <w:highlight w:val="none"/>
        </w:rPr>
        <w:t>项目名称</w:t>
      </w:r>
      <w:bookmarkStart w:id="0" w:name="OLE_LINK2"/>
      <w:r>
        <w:rPr>
          <w:rFonts w:hint="eastAsia" w:ascii="宋体" w:hAnsi="宋体" w:cs="Arial"/>
          <w:color w:val="000000"/>
          <w:sz w:val="28"/>
          <w:szCs w:val="28"/>
          <w:highlight w:val="none"/>
        </w:rPr>
        <w:t>：</w:t>
      </w:r>
      <w:bookmarkEnd w:id="0"/>
      <w:r>
        <w:rPr>
          <w:rFonts w:hint="eastAsia" w:ascii="宋体" w:hAnsi="宋体" w:cs="Arial"/>
          <w:color w:val="000000"/>
          <w:sz w:val="28"/>
          <w:szCs w:val="28"/>
          <w:highlight w:val="none"/>
        </w:rPr>
        <w:t>杭州地铁运营有限公司工会2026年职工妇女节活动服务采购项目</w:t>
      </w:r>
    </w:p>
    <w:p w14:paraId="467966B5">
      <w:pPr>
        <w:adjustRightInd w:val="0"/>
        <w:snapToGrid w:val="0"/>
        <w:spacing w:line="360" w:lineRule="auto"/>
        <w:ind w:left="2596" w:leftChars="665" w:hanging="1200" w:hangingChars="500"/>
        <w:rPr>
          <w:rFonts w:ascii="宋体" w:hAnsi="宋体" w:eastAsia="宋体" w:cs="宋体"/>
          <w:sz w:val="24"/>
          <w:szCs w:val="24"/>
          <w:highlight w:val="none"/>
          <w:lang w:val="zh-CN"/>
        </w:rPr>
      </w:pPr>
    </w:p>
    <w:p w14:paraId="4BCCC7B1">
      <w:pPr>
        <w:widowControl/>
        <w:ind w:firstLine="2800" w:firstLineChars="1000"/>
        <w:rPr>
          <w:rFonts w:ascii="宋体" w:hAnsi="宋体" w:eastAsia="宋体" w:cs="宋体"/>
          <w:color w:val="000000"/>
          <w:sz w:val="28"/>
          <w:szCs w:val="28"/>
          <w:highlight w:val="none"/>
          <w:lang w:bidi="ar"/>
        </w:rPr>
      </w:pPr>
    </w:p>
    <w:p w14:paraId="29BAA843">
      <w:pPr>
        <w:widowControl/>
        <w:ind w:firstLine="2800" w:firstLineChars="1000"/>
        <w:jc w:val="center"/>
        <w:rPr>
          <w:rFonts w:ascii="宋体" w:hAnsi="宋体" w:eastAsia="宋体" w:cs="宋体"/>
          <w:color w:val="000000"/>
          <w:sz w:val="28"/>
          <w:szCs w:val="28"/>
          <w:highlight w:val="none"/>
          <w:lang w:bidi="ar"/>
        </w:rPr>
      </w:pPr>
    </w:p>
    <w:p w14:paraId="27D74E20">
      <w:pPr>
        <w:widowControl/>
        <w:spacing w:line="360" w:lineRule="auto"/>
        <w:rPr>
          <w:rFonts w:ascii="宋体" w:hAnsi="宋体" w:cs="Arial"/>
          <w:color w:val="000000"/>
          <w:sz w:val="28"/>
          <w:szCs w:val="28"/>
          <w:highlight w:val="none"/>
        </w:rPr>
      </w:pPr>
    </w:p>
    <w:p w14:paraId="27A75D65">
      <w:pPr>
        <w:pStyle w:val="22"/>
        <w:ind w:firstLine="1312" w:firstLineChars="400"/>
        <w:jc w:val="left"/>
        <w:rPr>
          <w:rFonts w:eastAsia="宋体" w:cs="Arial"/>
          <w:b w:val="0"/>
          <w:color w:val="000000"/>
          <w:kern w:val="2"/>
          <w:sz w:val="30"/>
          <w:szCs w:val="30"/>
          <w:highlight w:val="none"/>
        </w:rPr>
      </w:pPr>
      <w:r>
        <w:rPr>
          <w:rFonts w:hint="eastAsia" w:eastAsia="宋体" w:cs="Arial"/>
          <w:b w:val="0"/>
          <w:color w:val="000000"/>
          <w:kern w:val="2"/>
          <w:sz w:val="30"/>
          <w:szCs w:val="30"/>
          <w:highlight w:val="none"/>
        </w:rPr>
        <w:t>采 购 人：杭州地铁运营有限公司工会委员会</w:t>
      </w:r>
    </w:p>
    <w:p w14:paraId="2FC3D660">
      <w:pPr>
        <w:pStyle w:val="22"/>
        <w:ind w:firstLine="1312" w:firstLineChars="400"/>
        <w:jc w:val="left"/>
        <w:rPr>
          <w:rFonts w:eastAsia="宋体" w:cs="Arial"/>
          <w:b w:val="0"/>
          <w:color w:val="000000"/>
          <w:kern w:val="2"/>
          <w:sz w:val="30"/>
          <w:szCs w:val="30"/>
          <w:highlight w:val="none"/>
        </w:rPr>
      </w:pPr>
      <w:r>
        <w:rPr>
          <w:rFonts w:hint="eastAsia" w:eastAsia="宋体" w:cs="Arial"/>
          <w:b w:val="0"/>
          <w:color w:val="000000"/>
          <w:kern w:val="2"/>
          <w:sz w:val="30"/>
          <w:szCs w:val="30"/>
          <w:highlight w:val="none"/>
        </w:rPr>
        <w:t>采购代理：建经投资咨询有限公司</w:t>
      </w:r>
    </w:p>
    <w:p w14:paraId="1E6BAD29">
      <w:pPr>
        <w:spacing w:line="600" w:lineRule="exact"/>
        <w:jc w:val="center"/>
        <w:rPr>
          <w:rFonts w:ascii="方正小标宋简体" w:hAnsi="宋体" w:eastAsia="方正小标宋简体" w:cs="Arial"/>
          <w:color w:val="000000"/>
          <w:sz w:val="44"/>
          <w:szCs w:val="44"/>
          <w:highlight w:val="none"/>
        </w:rPr>
        <w:sectPr>
          <w:headerReference r:id="rId4" w:type="first"/>
          <w:headerReference r:id="rId3" w:type="default"/>
          <w:footerReference r:id="rId5" w:type="default"/>
          <w:pgSz w:w="11906" w:h="16838"/>
          <w:pgMar w:top="1440" w:right="1800" w:bottom="1440" w:left="1800" w:header="851" w:footer="992" w:gutter="0"/>
          <w:pgNumType w:start="0"/>
          <w:cols w:space="720" w:num="1"/>
          <w:titlePg/>
          <w:docGrid w:type="lines" w:linePitch="312" w:charSpace="0"/>
        </w:sectPr>
      </w:pPr>
      <w:r>
        <w:rPr>
          <w:rFonts w:hint="eastAsia" w:ascii="宋体" w:hAnsi="宋体" w:cs="Arial"/>
          <w:color w:val="000000"/>
          <w:sz w:val="30"/>
          <w:szCs w:val="30"/>
          <w:highlight w:val="none"/>
        </w:rPr>
        <w:t>2026年1月</w:t>
      </w:r>
    </w:p>
    <w:p w14:paraId="62211290">
      <w:pPr>
        <w:spacing w:line="360" w:lineRule="auto"/>
        <w:jc w:val="center"/>
        <w:rPr>
          <w:rFonts w:ascii="方正小标宋简体" w:hAnsi="方正小标宋简体" w:eastAsia="方正小标宋简体" w:cs="方正小标宋简体"/>
          <w:sz w:val="44"/>
          <w:szCs w:val="44"/>
          <w:highlight w:val="none"/>
          <w:lang w:val="zh-CN"/>
        </w:rPr>
      </w:pPr>
      <w:r>
        <w:rPr>
          <w:rFonts w:hint="eastAsia" w:ascii="方正小标宋简体" w:hAnsi="方正小标宋简体" w:eastAsia="方正小标宋简体" w:cs="方正小标宋简体"/>
          <w:sz w:val="44"/>
          <w:szCs w:val="44"/>
          <w:highlight w:val="none"/>
          <w:lang w:val="zh-CN"/>
        </w:rPr>
        <w:t>杭州地铁运营有限公司工会2026年职工妇女节活动服务采购项目</w:t>
      </w:r>
    </w:p>
    <w:p w14:paraId="460BE1AB">
      <w:pPr>
        <w:spacing w:line="360" w:lineRule="auto"/>
        <w:jc w:val="center"/>
        <w:rPr>
          <w:rFonts w:ascii="方正小标宋简体" w:hAnsi="方正小标宋简体" w:eastAsia="方正小标宋简体" w:cs="方正小标宋简体"/>
          <w:sz w:val="44"/>
          <w:szCs w:val="44"/>
          <w:highlight w:val="none"/>
          <w:lang w:val="zh-CN"/>
        </w:rPr>
      </w:pPr>
      <w:r>
        <w:rPr>
          <w:rFonts w:hint="eastAsia" w:ascii="方正小标宋简体" w:hAnsi="方正小标宋简体" w:eastAsia="方正小标宋简体" w:cs="方正小标宋简体"/>
          <w:sz w:val="44"/>
          <w:szCs w:val="44"/>
          <w:highlight w:val="none"/>
          <w:lang w:val="zh-CN"/>
        </w:rPr>
        <w:t>采购公告（非招标）</w:t>
      </w:r>
    </w:p>
    <w:p w14:paraId="2FD58CF4">
      <w:pPr>
        <w:snapToGrid w:val="0"/>
        <w:spacing w:line="360" w:lineRule="auto"/>
        <w:ind w:firstLine="640" w:firstLineChars="200"/>
        <w:jc w:val="left"/>
        <w:rPr>
          <w:rFonts w:ascii="仿宋_GB2312" w:hAnsi="仿宋" w:eastAsia="仿宋_GB2312" w:cs="Arial"/>
          <w:color w:val="000000"/>
          <w:sz w:val="32"/>
          <w:szCs w:val="32"/>
          <w:highlight w:val="none"/>
          <w:lang w:val="zh-CN"/>
        </w:rPr>
      </w:pPr>
    </w:p>
    <w:p w14:paraId="3C8C035F">
      <w:pPr>
        <w:snapToGrid w:val="0"/>
        <w:spacing w:line="360" w:lineRule="auto"/>
        <w:ind w:firstLine="640" w:firstLineChars="200"/>
        <w:jc w:val="left"/>
        <w:rPr>
          <w:rFonts w:ascii="仿宋_GB2312" w:hAnsi="仿宋_GB2312" w:eastAsia="仿宋_GB2312" w:cs="仿宋_GB2312"/>
          <w:sz w:val="32"/>
          <w:szCs w:val="32"/>
          <w:highlight w:val="none"/>
          <w:lang w:val="zh-CN"/>
        </w:rPr>
      </w:pPr>
      <w:r>
        <w:rPr>
          <w:rFonts w:hint="eastAsia" w:ascii="仿宋_GB2312" w:hAnsi="仿宋" w:eastAsia="仿宋_GB2312" w:cs="Arial"/>
          <w:color w:val="000000"/>
          <w:sz w:val="32"/>
          <w:szCs w:val="32"/>
          <w:highlight w:val="none"/>
          <w:lang w:val="zh-CN"/>
        </w:rPr>
        <w:t>杭州地铁运营有限公司</w:t>
      </w:r>
      <w:r>
        <w:rPr>
          <w:rFonts w:hint="eastAsia" w:ascii="仿宋_GB2312" w:hAnsi="仿宋" w:eastAsia="仿宋_GB2312" w:cs="Arial"/>
          <w:color w:val="000000"/>
          <w:sz w:val="32"/>
          <w:szCs w:val="32"/>
          <w:highlight w:val="none"/>
        </w:rPr>
        <w:t>工会委员会</w:t>
      </w:r>
      <w:r>
        <w:rPr>
          <w:rFonts w:hint="eastAsia" w:ascii="仿宋_GB2312" w:hAnsi="仿宋" w:eastAsia="仿宋_GB2312" w:cs="Arial"/>
          <w:color w:val="000000"/>
          <w:sz w:val="32"/>
          <w:szCs w:val="32"/>
          <w:highlight w:val="none"/>
          <w:lang w:val="zh-CN"/>
        </w:rPr>
        <w:t>（以下简称采购人）</w:t>
      </w:r>
      <w:r>
        <w:rPr>
          <w:rFonts w:hint="eastAsia" w:ascii="仿宋_GB2312" w:hAnsi="仿宋" w:eastAsia="仿宋_GB2312" w:cs="Arial"/>
          <w:color w:val="000000"/>
          <w:sz w:val="32"/>
          <w:szCs w:val="32"/>
          <w:highlight w:val="none"/>
        </w:rPr>
        <w:t>委托建经投资咨询有限公司（</w:t>
      </w:r>
      <w:r>
        <w:rPr>
          <w:rFonts w:hint="eastAsia" w:ascii="仿宋_GB2312" w:hAnsi="仿宋" w:eastAsia="仿宋_GB2312" w:cs="Arial"/>
          <w:color w:val="000000"/>
          <w:sz w:val="32"/>
          <w:szCs w:val="32"/>
          <w:highlight w:val="none"/>
          <w:lang w:val="zh-CN"/>
        </w:rPr>
        <w:t>以下简称采购</w:t>
      </w:r>
      <w:r>
        <w:rPr>
          <w:rFonts w:hint="eastAsia" w:ascii="仿宋_GB2312" w:hAnsi="仿宋" w:eastAsia="仿宋_GB2312" w:cs="Arial"/>
          <w:color w:val="000000"/>
          <w:sz w:val="32"/>
          <w:szCs w:val="32"/>
          <w:highlight w:val="none"/>
        </w:rPr>
        <w:t>代理</w:t>
      </w:r>
      <w:r>
        <w:rPr>
          <w:rFonts w:hint="eastAsia" w:ascii="仿宋_GB2312" w:hAnsi="仿宋" w:eastAsia="仿宋_GB2312" w:cs="Arial"/>
          <w:color w:val="000000"/>
          <w:sz w:val="32"/>
          <w:szCs w:val="32"/>
          <w:highlight w:val="none"/>
          <w:lang w:val="zh-CN"/>
        </w:rPr>
        <w:t>）</w:t>
      </w:r>
      <w:r>
        <w:rPr>
          <w:rFonts w:hint="eastAsia" w:ascii="仿宋_GB2312" w:hAnsi="仿宋" w:eastAsia="仿宋_GB2312" w:cs="Arial"/>
          <w:color w:val="000000"/>
          <w:sz w:val="32"/>
          <w:szCs w:val="32"/>
          <w:highlight w:val="none"/>
        </w:rPr>
        <w:t>对杭州地铁运营有限公司工会2026年职工妇女节活动服务采购项目</w:t>
      </w:r>
      <w:r>
        <w:rPr>
          <w:rFonts w:hint="eastAsia" w:ascii="仿宋_GB2312" w:hAnsi="仿宋_GB2312" w:eastAsia="仿宋_GB2312" w:cs="仿宋_GB2312"/>
          <w:sz w:val="32"/>
          <w:szCs w:val="32"/>
          <w:highlight w:val="none"/>
          <w:lang w:val="zh-CN"/>
        </w:rPr>
        <w:t>的供应及相关服务进行公开采购，现邀请合格的供应商参加报价。</w:t>
      </w:r>
    </w:p>
    <w:p w14:paraId="603C8581">
      <w:pPr>
        <w:widowControl/>
        <w:adjustRightInd w:val="0"/>
        <w:snapToGrid w:val="0"/>
        <w:spacing w:line="360" w:lineRule="auto"/>
        <w:ind w:firstLine="640" w:firstLineChars="200"/>
        <w:rPr>
          <w:rFonts w:ascii="仿宋_GB2312" w:hAnsi="仿宋" w:eastAsia="黑体" w:cs="Arial"/>
          <w:color w:val="000000"/>
          <w:sz w:val="32"/>
          <w:szCs w:val="32"/>
          <w:highlight w:val="none"/>
          <w:lang w:val="zh-CN"/>
        </w:rPr>
      </w:pPr>
      <w:r>
        <w:rPr>
          <w:rFonts w:hint="eastAsia" w:ascii="黑体" w:hAnsi="黑体" w:eastAsia="黑体" w:cs="黑体"/>
          <w:sz w:val="32"/>
          <w:szCs w:val="32"/>
          <w:highlight w:val="none"/>
          <w:lang w:val="zh-CN"/>
        </w:rPr>
        <w:t>一、项目编号：</w:t>
      </w:r>
      <w:r>
        <w:rPr>
          <w:rFonts w:hint="eastAsia" w:ascii="仿宋_GB2312" w:hAnsi="仿宋" w:eastAsia="仿宋_GB2312" w:cs="Arial"/>
          <w:color w:val="000000"/>
          <w:sz w:val="32"/>
          <w:szCs w:val="32"/>
          <w:highlight w:val="none"/>
        </w:rPr>
        <w:t>YY10-FW-2601-0010</w:t>
      </w:r>
    </w:p>
    <w:p w14:paraId="05A9D12D">
      <w:pPr>
        <w:adjustRightInd w:val="0"/>
        <w:snapToGrid w:val="0"/>
        <w:spacing w:line="360" w:lineRule="auto"/>
        <w:ind w:firstLine="640" w:firstLineChars="200"/>
        <w:rPr>
          <w:rFonts w:ascii="宋体" w:hAnsi="宋体" w:eastAsia="仿宋_GB2312" w:cs="宋体"/>
          <w:sz w:val="24"/>
          <w:szCs w:val="24"/>
          <w:highlight w:val="none"/>
          <w:lang w:val="zh-CN"/>
        </w:rPr>
      </w:pPr>
      <w:r>
        <w:rPr>
          <w:rFonts w:hint="eastAsia" w:ascii="黑体" w:hAnsi="黑体" w:eastAsia="黑体" w:cs="黑体"/>
          <w:sz w:val="32"/>
          <w:szCs w:val="32"/>
          <w:highlight w:val="none"/>
          <w:lang w:val="zh-CN"/>
        </w:rPr>
        <w:t>二、项目名称：</w:t>
      </w:r>
      <w:r>
        <w:rPr>
          <w:rFonts w:hint="eastAsia" w:ascii="仿宋_GB2312" w:hAnsi="仿宋" w:eastAsia="仿宋_GB2312" w:cs="Arial"/>
          <w:color w:val="000000"/>
          <w:sz w:val="32"/>
          <w:szCs w:val="32"/>
          <w:highlight w:val="none"/>
        </w:rPr>
        <w:t>杭州地铁运营有限公司工会2026年职工妇女节活动服务采购项目</w:t>
      </w:r>
    </w:p>
    <w:p w14:paraId="49788A1D">
      <w:pPr>
        <w:adjustRightInd w:val="0"/>
        <w:snapToGrid w:val="0"/>
        <w:spacing w:line="360" w:lineRule="auto"/>
        <w:ind w:firstLine="640" w:firstLineChars="200"/>
        <w:rPr>
          <w:rFonts w:ascii="黑体" w:hAnsi="黑体" w:eastAsia="黑体" w:cs="黑体"/>
          <w:sz w:val="32"/>
          <w:szCs w:val="32"/>
          <w:highlight w:val="none"/>
          <w:lang w:val="zh-CN"/>
        </w:rPr>
      </w:pPr>
      <w:r>
        <w:rPr>
          <w:rFonts w:hint="eastAsia" w:ascii="黑体" w:hAnsi="黑体" w:eastAsia="黑体" w:cs="黑体"/>
          <w:sz w:val="32"/>
          <w:szCs w:val="32"/>
          <w:highlight w:val="none"/>
          <w:lang w:val="zh-CN"/>
        </w:rPr>
        <w:t>三、采购内容</w:t>
      </w:r>
    </w:p>
    <w:p w14:paraId="33DF5976">
      <w:pPr>
        <w:adjustRightInd w:val="0"/>
        <w:snapToGrid w:val="0"/>
        <w:spacing w:line="360" w:lineRule="auto"/>
        <w:ind w:firstLine="640" w:firstLineChars="200"/>
        <w:rPr>
          <w:rFonts w:ascii="仿宋_GB2312" w:hAnsi="仿宋" w:eastAsia="仿宋_GB2312" w:cs="Arial"/>
          <w:color w:val="000000"/>
          <w:sz w:val="32"/>
          <w:szCs w:val="32"/>
          <w:highlight w:val="none"/>
        </w:rPr>
      </w:pPr>
      <w:bookmarkStart w:id="1" w:name="OLE_LINK7"/>
      <w:r>
        <w:rPr>
          <w:rFonts w:hint="eastAsia" w:ascii="仿宋_GB2312" w:hAnsi="仿宋" w:eastAsia="仿宋_GB2312" w:cs="Arial"/>
          <w:color w:val="000000"/>
          <w:sz w:val="32"/>
          <w:szCs w:val="32"/>
          <w:highlight w:val="none"/>
        </w:rPr>
        <w:t>为采购人全体在职女职工（预计3190人）开展2026年职工妇女节活动服务项目采购。</w:t>
      </w:r>
    </w:p>
    <w:bookmarkEnd w:id="1"/>
    <w:p w14:paraId="50B4652C">
      <w:pPr>
        <w:adjustRightInd w:val="0"/>
        <w:snapToGrid w:val="0"/>
        <w:spacing w:line="360" w:lineRule="auto"/>
        <w:ind w:firstLine="640" w:firstLineChars="200"/>
        <w:rPr>
          <w:rFonts w:ascii="黑体" w:hAnsi="黑体" w:eastAsia="黑体" w:cs="黑体"/>
          <w:sz w:val="32"/>
          <w:szCs w:val="32"/>
          <w:highlight w:val="none"/>
          <w:lang w:val="zh-CN"/>
        </w:rPr>
      </w:pPr>
      <w:r>
        <w:rPr>
          <w:rFonts w:hint="eastAsia" w:ascii="黑体" w:hAnsi="黑体" w:eastAsia="黑体" w:cs="黑体"/>
          <w:sz w:val="32"/>
          <w:szCs w:val="32"/>
          <w:highlight w:val="none"/>
          <w:lang w:val="zh-CN"/>
        </w:rPr>
        <w:t>四、供应商资格要求</w:t>
      </w:r>
    </w:p>
    <w:p w14:paraId="347741EC">
      <w:pPr>
        <w:spacing w:line="360" w:lineRule="auto"/>
        <w:ind w:firstLine="640" w:firstLineChars="200"/>
        <w:rPr>
          <w:rFonts w:ascii="仿宋_GB2312" w:hAnsi="宋体" w:eastAsia="仿宋_GB2312" w:cs="宋体"/>
          <w:color w:val="000000"/>
          <w:sz w:val="32"/>
          <w:szCs w:val="32"/>
          <w:highlight w:val="none"/>
        </w:rPr>
      </w:pPr>
      <w:r>
        <w:rPr>
          <w:rFonts w:ascii="仿宋_GB2312" w:hAnsi="宋体" w:eastAsia="仿宋_GB2312" w:cs="宋体"/>
          <w:color w:val="000000"/>
          <w:sz w:val="32"/>
          <w:szCs w:val="32"/>
          <w:highlight w:val="none"/>
        </w:rPr>
        <w:t>1</w:t>
      </w:r>
      <w:r>
        <w:rPr>
          <w:rFonts w:hint="eastAsia" w:ascii="仿宋_GB2312" w:hAnsi="宋体" w:eastAsia="仿宋_GB2312" w:cs="宋体"/>
          <w:color w:val="000000"/>
          <w:sz w:val="32"/>
          <w:szCs w:val="32"/>
          <w:highlight w:val="none"/>
        </w:rPr>
        <w:t>、在中华人民共和国境内注册，具有独立法人资格。【提供营业执照（或事业单位法人证书或社会团体法人登记证书或其他组织登记证明文件，下同）复印件（加盖公章）】。</w:t>
      </w:r>
    </w:p>
    <w:p w14:paraId="361BBAB8">
      <w:pPr>
        <w:pStyle w:val="40"/>
        <w:spacing w:before="0" w:beforeAutospacing="0" w:after="0" w:afterAutospacing="0" w:line="360" w:lineRule="auto"/>
        <w:ind w:firstLine="640"/>
        <w:rPr>
          <w:rFonts w:ascii="仿宋_GB2312" w:hAnsi="宋体" w:eastAsia="仿宋_GB2312" w:cs="宋体"/>
          <w:color w:val="000000"/>
          <w:sz w:val="32"/>
          <w:szCs w:val="32"/>
          <w:highlight w:val="none"/>
        </w:rPr>
      </w:pPr>
      <w:r>
        <w:rPr>
          <w:rFonts w:ascii="仿宋_GB2312" w:hAnsi="宋体" w:eastAsia="仿宋_GB2312" w:cs="宋体"/>
          <w:color w:val="000000"/>
          <w:sz w:val="32"/>
          <w:szCs w:val="32"/>
          <w:highlight w:val="none"/>
        </w:rPr>
        <w:t>2</w:t>
      </w:r>
      <w:r>
        <w:rPr>
          <w:rFonts w:hint="eastAsia" w:ascii="仿宋_GB2312" w:hAnsi="宋体" w:eastAsia="仿宋_GB2312" w:cs="宋体"/>
          <w:color w:val="000000"/>
          <w:sz w:val="32"/>
          <w:szCs w:val="32"/>
          <w:highlight w:val="none"/>
        </w:rPr>
        <w:t>、与采购人存在利害关系可能影响采购公正性的单位，不得参加本项目报价。单位负责人为同一人或者存在控股、管理关系的不同单位，不得同时参加本项目报价。</w:t>
      </w:r>
    </w:p>
    <w:p w14:paraId="6D5F5D0C">
      <w:pPr>
        <w:pStyle w:val="9"/>
        <w:adjustRightInd w:val="0"/>
        <w:snapToGrid w:val="0"/>
        <w:spacing w:line="360" w:lineRule="auto"/>
        <w:ind w:firstLine="624" w:firstLineChars="200"/>
        <w:rPr>
          <w:rFonts w:ascii="仿宋_GB2312" w:hAnsi="仿宋" w:eastAsia="仿宋_GB2312" w:cs="Arial"/>
          <w:color w:val="000000"/>
          <w:spacing w:val="0"/>
          <w:sz w:val="32"/>
          <w:szCs w:val="32"/>
          <w:highlight w:val="none"/>
          <w:lang w:val="zh-CN"/>
        </w:rPr>
      </w:pPr>
      <w:r>
        <w:rPr>
          <w:rFonts w:ascii="仿宋_GB2312" w:hAnsi="仿宋" w:eastAsia="仿宋_GB2312" w:cs="Arial"/>
          <w:color w:val="000000"/>
          <w:sz w:val="32"/>
          <w:szCs w:val="32"/>
          <w:highlight w:val="none"/>
          <w:lang w:val="zh-CN"/>
        </w:rPr>
        <w:t>3</w:t>
      </w:r>
      <w:r>
        <w:rPr>
          <w:rFonts w:hint="eastAsia" w:ascii="仿宋_GB2312" w:hAnsi="仿宋" w:eastAsia="仿宋_GB2312" w:cs="Arial"/>
          <w:color w:val="000000"/>
          <w:sz w:val="32"/>
          <w:szCs w:val="32"/>
          <w:highlight w:val="none"/>
        </w:rPr>
        <w:t>、</w:t>
      </w:r>
      <w:bookmarkStart w:id="2" w:name="OLE_LINK15"/>
      <w:r>
        <w:rPr>
          <w:rFonts w:hint="eastAsia" w:ascii="仿宋_GB2312" w:hAnsi="仿宋" w:eastAsia="仿宋_GB2312" w:cs="Arial"/>
          <w:color w:val="000000"/>
          <w:sz w:val="32"/>
          <w:szCs w:val="32"/>
          <w:highlight w:val="none"/>
        </w:rPr>
        <w:t>报价人自2023年1月1日（含）以后（以合同签订时间为准），至少具有3个为企、事业单位或政府机关开展过职工服务业绩（</w:t>
      </w:r>
      <w:r>
        <w:rPr>
          <w:rFonts w:hint="eastAsia" w:ascii="仿宋_GB2312" w:hAnsi="仿宋" w:eastAsia="仿宋_GB2312" w:cs="Arial"/>
          <w:color w:val="000000"/>
          <w:sz w:val="32"/>
          <w:szCs w:val="32"/>
          <w:highlight w:val="none"/>
          <w:lang w:val="en-US" w:eastAsia="zh-CN"/>
        </w:rPr>
        <w:t>累计</w:t>
      </w:r>
      <w:r>
        <w:rPr>
          <w:rFonts w:hint="eastAsia" w:ascii="仿宋_GB2312" w:hAnsi="仿宋" w:eastAsia="仿宋_GB2312" w:cs="Arial"/>
          <w:color w:val="000000"/>
          <w:sz w:val="32"/>
          <w:szCs w:val="32"/>
          <w:highlight w:val="none"/>
        </w:rPr>
        <w:t>服务人数1000人（含）以上或合同金额50万元（含）以上项目）。【业绩证明材料：合同及发票复印件（加盖公章）。合同能体现金额的，提供该项目任一发票即可；合同不能体现金额的，按照所提供的该项目所有发票金额累加。合同须体现签订时间及服务内容；如合同中不能体现服务内容的，报价人还需提供其他证明材料（如业主证明或中标通知书等）复印件。】</w:t>
      </w:r>
    </w:p>
    <w:bookmarkEnd w:id="2"/>
    <w:p w14:paraId="415CE2BE">
      <w:pPr>
        <w:pStyle w:val="9"/>
        <w:adjustRightInd w:val="0"/>
        <w:snapToGrid w:val="0"/>
        <w:spacing w:line="360" w:lineRule="auto"/>
        <w:ind w:firstLine="624" w:firstLineChars="200"/>
        <w:rPr>
          <w:rFonts w:ascii="仿宋_GB2312" w:hAnsi="仿宋" w:eastAsia="仿宋_GB2312" w:cs="Arial"/>
          <w:color w:val="000000"/>
          <w:sz w:val="32"/>
          <w:szCs w:val="32"/>
          <w:highlight w:val="none"/>
          <w:lang w:val="zh-CN"/>
        </w:rPr>
      </w:pPr>
      <w:bookmarkStart w:id="3" w:name="OLE_LINK4"/>
      <w:r>
        <w:rPr>
          <w:rFonts w:hint="eastAsia" w:ascii="仿宋_GB2312" w:hAnsi="仿宋" w:eastAsia="仿宋_GB2312" w:cs="Arial"/>
          <w:color w:val="000000"/>
          <w:sz w:val="32"/>
          <w:szCs w:val="32"/>
          <w:highlight w:val="none"/>
        </w:rPr>
        <w:t>4、</w:t>
      </w:r>
      <w:r>
        <w:rPr>
          <w:rFonts w:hint="eastAsia" w:ascii="仿宋_GB2312" w:hAnsi="仿宋" w:eastAsia="仿宋_GB2312" w:cs="Arial"/>
          <w:color w:val="000000"/>
          <w:sz w:val="32"/>
          <w:szCs w:val="32"/>
          <w:highlight w:val="none"/>
          <w:lang w:val="zh-CN"/>
        </w:rPr>
        <w:t>本项目不接受联合体报价。</w:t>
      </w:r>
    </w:p>
    <w:bookmarkEnd w:id="3"/>
    <w:p w14:paraId="76538208">
      <w:pPr>
        <w:adjustRightInd w:val="0"/>
        <w:snapToGrid w:val="0"/>
        <w:spacing w:line="360" w:lineRule="auto"/>
        <w:ind w:firstLine="640" w:firstLineChars="200"/>
        <w:rPr>
          <w:rFonts w:ascii="黑体" w:hAnsi="黑体" w:eastAsia="黑体" w:cs="黑体"/>
          <w:sz w:val="32"/>
          <w:szCs w:val="32"/>
          <w:highlight w:val="none"/>
          <w:lang w:val="zh-CN"/>
        </w:rPr>
      </w:pPr>
      <w:r>
        <w:rPr>
          <w:rFonts w:hint="eastAsia" w:ascii="黑体" w:hAnsi="黑体" w:eastAsia="黑体" w:cs="黑体"/>
          <w:sz w:val="32"/>
          <w:szCs w:val="32"/>
          <w:highlight w:val="none"/>
          <w:lang w:val="zh-CN"/>
        </w:rPr>
        <w:t>五、采购文件的获取</w:t>
      </w:r>
    </w:p>
    <w:p w14:paraId="64B12AA2">
      <w:pPr>
        <w:adjustRightInd w:val="0"/>
        <w:snapToGrid w:val="0"/>
        <w:spacing w:line="360" w:lineRule="auto"/>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1、发布公告的媒介</w:t>
      </w:r>
    </w:p>
    <w:p w14:paraId="06F8FEA5">
      <w:pPr>
        <w:adjustRightInd w:val="0"/>
        <w:snapToGrid w:val="0"/>
        <w:spacing w:line="360" w:lineRule="auto"/>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本项目相关公告在e车网（网址链接：http://www.ecrrc.com/）、浙江企业采购信息服务网（网址链接：https://b.zhengcaiyun.cn/）发布。</w:t>
      </w:r>
    </w:p>
    <w:p w14:paraId="1E74B864">
      <w:pPr>
        <w:adjustRightInd w:val="0"/>
        <w:snapToGrid w:val="0"/>
        <w:spacing w:line="360" w:lineRule="auto"/>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2、报价人可通过以下方式获得采购文件：</w:t>
      </w:r>
    </w:p>
    <w:p w14:paraId="1A33CDCE">
      <w:pPr>
        <w:adjustRightInd w:val="0"/>
        <w:snapToGrid w:val="0"/>
        <w:spacing w:line="360" w:lineRule="auto"/>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（1）e车网：</w:t>
      </w:r>
    </w:p>
    <w:p w14:paraId="4C57D806">
      <w:pPr>
        <w:adjustRightInd w:val="0"/>
        <w:snapToGrid w:val="0"/>
        <w:spacing w:line="360" w:lineRule="auto"/>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1）登录e车网（http://www.ecrrc.com/），依据网站指示进行在线注册，已注册供应商无须再次注册。</w:t>
      </w:r>
    </w:p>
    <w:p w14:paraId="339F5F0B">
      <w:pPr>
        <w:adjustRightInd w:val="0"/>
        <w:snapToGrid w:val="0"/>
        <w:spacing w:line="360" w:lineRule="auto"/>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2）符合资格的供应商可登录e车网（http://www.ecrrc.com/）→“采购与招标”进行采购文件下载。采购文件下载截止时间同报价文件递交截止时间。</w:t>
      </w:r>
    </w:p>
    <w:p w14:paraId="4B015A7C">
      <w:pPr>
        <w:adjustRightInd w:val="0"/>
        <w:snapToGrid w:val="0"/>
        <w:spacing w:line="360" w:lineRule="auto"/>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（2）浙江企业采购信息服务网：</w:t>
      </w:r>
    </w:p>
    <w:p w14:paraId="68998624">
      <w:pPr>
        <w:adjustRightInd w:val="0"/>
        <w:snapToGrid w:val="0"/>
        <w:spacing w:line="360" w:lineRule="auto"/>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符合资格的供应商可登录浙江企业采购信息服务网（https://b.zhengcaiyun.cn/）→“采购公告”→“本项目采购公告”→“附件</w:t>
      </w:r>
      <w:r>
        <w:rPr>
          <w:rFonts w:hint="eastAsia" w:ascii="仿宋_GB2312" w:hAnsi="仿宋_GB2312" w:eastAsia="仿宋_GB2312" w:cs="仿宋_GB2312"/>
          <w:sz w:val="32"/>
          <w:szCs w:val="32"/>
          <w:highlight w:val="none"/>
        </w:rPr>
        <w:t>信息</w:t>
      </w:r>
      <w:r>
        <w:rPr>
          <w:rFonts w:hint="eastAsia" w:ascii="仿宋_GB2312" w:hAnsi="仿宋_GB2312" w:eastAsia="仿宋_GB2312" w:cs="仿宋_GB2312"/>
          <w:sz w:val="32"/>
          <w:szCs w:val="32"/>
          <w:highlight w:val="none"/>
          <w:lang w:val="zh-CN"/>
        </w:rPr>
        <w:t>”进行采购文件下载。</w:t>
      </w:r>
    </w:p>
    <w:p w14:paraId="531A9550">
      <w:pPr>
        <w:adjustRightInd w:val="0"/>
        <w:snapToGrid w:val="0"/>
        <w:spacing w:line="360" w:lineRule="auto"/>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（3）如遇平台报价问题，可联系采购人，电话：马工，</w:t>
      </w:r>
      <w:r>
        <w:rPr>
          <w:rFonts w:hint="eastAsia" w:ascii="仿宋_GB2312" w:hAnsi="宋体" w:eastAsia="仿宋_GB2312" w:cs="宋体"/>
          <w:color w:val="000000"/>
          <w:sz w:val="32"/>
          <w:szCs w:val="32"/>
          <w:highlight w:val="none"/>
          <w:lang w:val="zh-CN"/>
        </w:rPr>
        <w:t>0571-69821236。</w:t>
      </w:r>
    </w:p>
    <w:p w14:paraId="553176B7">
      <w:pPr>
        <w:adjustRightInd w:val="0"/>
        <w:snapToGrid w:val="0"/>
        <w:spacing w:line="360" w:lineRule="auto"/>
        <w:ind w:firstLine="640" w:firstLineChars="200"/>
        <w:rPr>
          <w:rFonts w:ascii="黑体" w:hAnsi="黑体" w:eastAsia="黑体" w:cs="黑体"/>
          <w:sz w:val="32"/>
          <w:szCs w:val="32"/>
          <w:highlight w:val="none"/>
          <w:lang w:val="zh-CN"/>
        </w:rPr>
      </w:pPr>
      <w:r>
        <w:rPr>
          <w:rFonts w:hint="eastAsia" w:ascii="黑体" w:hAnsi="黑体" w:eastAsia="黑体" w:cs="黑体"/>
          <w:sz w:val="32"/>
          <w:szCs w:val="32"/>
          <w:highlight w:val="none"/>
          <w:lang w:val="zh-CN"/>
        </w:rPr>
        <w:t>六、采购文件的澄清</w:t>
      </w:r>
    </w:p>
    <w:p w14:paraId="53424692">
      <w:pPr>
        <w:adjustRightInd w:val="0"/>
        <w:snapToGrid w:val="0"/>
        <w:spacing w:line="360" w:lineRule="auto"/>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报价人应仔细阅读采购文件的全部内容。如有疑问，应及时向采购人以书面形式提出（不能当面提交的，可以采用书面原件加盖公章快递、扫描的方式提交）。采购人对采购文件如有澄清将以澄清公告的形式在e车网、浙江企业采购信息服务网发布，报价截止时间相应延长，请报价人关注网站信息。</w:t>
      </w:r>
    </w:p>
    <w:p w14:paraId="7030B111">
      <w:pPr>
        <w:adjustRightInd w:val="0"/>
        <w:snapToGrid w:val="0"/>
        <w:spacing w:line="360" w:lineRule="auto"/>
        <w:ind w:firstLine="640" w:firstLineChars="200"/>
        <w:rPr>
          <w:rFonts w:ascii="黑体" w:hAnsi="黑体" w:eastAsia="黑体" w:cs="黑体"/>
          <w:sz w:val="32"/>
          <w:szCs w:val="32"/>
          <w:highlight w:val="none"/>
          <w:lang w:val="zh-CN"/>
        </w:rPr>
      </w:pPr>
      <w:r>
        <w:rPr>
          <w:rFonts w:hint="eastAsia" w:ascii="黑体" w:hAnsi="黑体" w:eastAsia="黑体" w:cs="黑体"/>
          <w:sz w:val="32"/>
          <w:szCs w:val="32"/>
          <w:highlight w:val="none"/>
          <w:lang w:val="zh-CN"/>
        </w:rPr>
        <w:t>七、报价文件递交截止时间和递交地点</w:t>
      </w:r>
    </w:p>
    <w:p w14:paraId="617EBF24">
      <w:pPr>
        <w:adjustRightInd w:val="0"/>
        <w:snapToGrid w:val="0"/>
        <w:spacing w:line="360" w:lineRule="auto"/>
        <w:ind w:firstLine="640" w:firstLineChars="200"/>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lang w:val="zh-CN"/>
        </w:rPr>
        <w:t>报价文件递交截止时间：</w:t>
      </w:r>
      <w:r>
        <w:rPr>
          <w:rFonts w:ascii="仿宋_GB2312" w:hAnsi="Times New Roman" w:eastAsia="仿宋_GB2312" w:cs="Times New Roman"/>
          <w:b/>
          <w:bCs/>
          <w:sz w:val="32"/>
          <w:szCs w:val="32"/>
          <w:highlight w:val="none"/>
          <w:lang w:val="zh-CN"/>
        </w:rPr>
        <w:t>202</w:t>
      </w:r>
      <w:r>
        <w:rPr>
          <w:rFonts w:hint="eastAsia" w:ascii="仿宋_GB2312" w:hAnsi="Times New Roman" w:eastAsia="仿宋_GB2312" w:cs="Times New Roman"/>
          <w:b/>
          <w:bCs/>
          <w:sz w:val="32"/>
          <w:szCs w:val="32"/>
          <w:highlight w:val="none"/>
        </w:rPr>
        <w:t>6</w:t>
      </w:r>
      <w:r>
        <w:rPr>
          <w:rFonts w:hint="eastAsia" w:ascii="仿宋_GB2312" w:hAnsi="Times New Roman" w:eastAsia="仿宋_GB2312" w:cs="Times New Roman"/>
          <w:b/>
          <w:bCs/>
          <w:sz w:val="32"/>
          <w:szCs w:val="32"/>
          <w:highlight w:val="none"/>
          <w:lang w:val="zh-CN"/>
        </w:rPr>
        <w:t>年</w:t>
      </w:r>
      <w:r>
        <w:rPr>
          <w:rFonts w:hint="eastAsia" w:ascii="仿宋_GB2312" w:hAnsi="Times New Roman" w:eastAsia="仿宋_GB2312" w:cs="Times New Roman"/>
          <w:b/>
          <w:bCs/>
          <w:sz w:val="32"/>
          <w:szCs w:val="32"/>
          <w:highlight w:val="none"/>
          <w:lang w:val="en-US" w:eastAsia="zh-CN"/>
        </w:rPr>
        <w:t>2</w:t>
      </w:r>
      <w:r>
        <w:rPr>
          <w:rFonts w:hint="eastAsia" w:ascii="仿宋_GB2312" w:hAnsi="Times New Roman" w:eastAsia="仿宋_GB2312" w:cs="Times New Roman"/>
          <w:b/>
          <w:bCs/>
          <w:sz w:val="32"/>
          <w:szCs w:val="32"/>
          <w:highlight w:val="none"/>
          <w:lang w:val="zh-CN"/>
        </w:rPr>
        <w:t>月</w:t>
      </w:r>
      <w:r>
        <w:rPr>
          <w:rFonts w:hint="eastAsia" w:ascii="仿宋_GB2312" w:hAnsi="Times New Roman" w:eastAsia="仿宋_GB2312" w:cs="Times New Roman"/>
          <w:b/>
          <w:bCs/>
          <w:sz w:val="32"/>
          <w:szCs w:val="32"/>
          <w:highlight w:val="none"/>
          <w:lang w:val="en-US" w:eastAsia="zh-CN"/>
        </w:rPr>
        <w:t>5</w:t>
      </w:r>
      <w:r>
        <w:rPr>
          <w:rFonts w:hint="eastAsia" w:ascii="仿宋_GB2312" w:hAnsi="Times New Roman" w:eastAsia="仿宋_GB2312" w:cs="Times New Roman"/>
          <w:b/>
          <w:bCs/>
          <w:sz w:val="32"/>
          <w:szCs w:val="32"/>
          <w:highlight w:val="none"/>
          <w:lang w:val="zh-CN"/>
        </w:rPr>
        <w:t>日</w:t>
      </w:r>
      <w:r>
        <w:rPr>
          <w:rFonts w:hint="eastAsia" w:ascii="仿宋_GB2312" w:hAnsi="Times New Roman" w:eastAsia="仿宋_GB2312" w:cs="Times New Roman"/>
          <w:b/>
          <w:bCs/>
          <w:sz w:val="32"/>
          <w:szCs w:val="32"/>
          <w:highlight w:val="none"/>
          <w:lang w:val="en-US" w:eastAsia="zh-CN"/>
        </w:rPr>
        <w:t>10</w:t>
      </w:r>
      <w:r>
        <w:rPr>
          <w:rFonts w:ascii="仿宋_GB2312" w:hAnsi="Times New Roman" w:eastAsia="仿宋_GB2312" w:cs="Times New Roman"/>
          <w:b/>
          <w:bCs/>
          <w:sz w:val="32"/>
          <w:szCs w:val="32"/>
          <w:highlight w:val="none"/>
        </w:rPr>
        <w:t>:</w:t>
      </w:r>
      <w:r>
        <w:rPr>
          <w:rFonts w:hint="eastAsia" w:ascii="仿宋_GB2312" w:hAnsi="Times New Roman" w:eastAsia="仿宋_GB2312" w:cs="Times New Roman"/>
          <w:b/>
          <w:bCs/>
          <w:sz w:val="32"/>
          <w:szCs w:val="32"/>
          <w:highlight w:val="none"/>
          <w:lang w:val="en-US" w:eastAsia="zh-CN"/>
        </w:rPr>
        <w:t>00</w:t>
      </w:r>
      <w:r>
        <w:rPr>
          <w:rFonts w:hint="eastAsia" w:ascii="仿宋_GB2312" w:hAnsi="Times New Roman" w:eastAsia="仿宋_GB2312" w:cs="Times New Roman"/>
          <w:sz w:val="32"/>
          <w:szCs w:val="32"/>
          <w:highlight w:val="none"/>
          <w:lang w:val="zh-CN"/>
        </w:rPr>
        <w:t>截止，逾期不予接受。</w:t>
      </w:r>
      <w:bookmarkStart w:id="18" w:name="_GoBack"/>
      <w:bookmarkEnd w:id="18"/>
    </w:p>
    <w:p w14:paraId="6B4CEF9E">
      <w:pPr>
        <w:adjustRightInd w:val="0"/>
        <w:snapToGrid w:val="0"/>
        <w:spacing w:line="360" w:lineRule="auto"/>
        <w:ind w:firstLine="640" w:firstLineChars="200"/>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lang w:val="zh-CN"/>
        </w:rPr>
        <w:t>若采用快递方式递交，寄送文件后，需电联报价接收联系人，确认报价文件已收到。报价文件递交时间以本项目报价接收联系人本人收到时间为准（非门岗接收时间）。</w:t>
      </w:r>
    </w:p>
    <w:p w14:paraId="7BE864E9">
      <w:pPr>
        <w:adjustRightInd w:val="0"/>
        <w:snapToGrid w:val="0"/>
        <w:spacing w:line="360" w:lineRule="auto"/>
        <w:ind w:firstLine="640" w:firstLineChars="200"/>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lang w:val="zh-CN"/>
        </w:rPr>
        <w:t>报价文件接收地址：</w:t>
      </w:r>
      <w:r>
        <w:rPr>
          <w:rFonts w:hint="eastAsia" w:ascii="仿宋_GB2312" w:hAnsi="仿宋" w:eastAsia="仿宋_GB2312" w:cs="Arial"/>
          <w:color w:val="000000"/>
          <w:sz w:val="32"/>
          <w:szCs w:val="32"/>
          <w:highlight w:val="none"/>
          <w:lang w:val="zh-CN"/>
        </w:rPr>
        <w:t>杭州市上城区九和路4</w:t>
      </w:r>
      <w:r>
        <w:rPr>
          <w:rFonts w:ascii="仿宋_GB2312" w:hAnsi="仿宋" w:eastAsia="仿宋_GB2312" w:cs="Arial"/>
          <w:color w:val="000000"/>
          <w:sz w:val="32"/>
          <w:szCs w:val="32"/>
          <w:highlight w:val="none"/>
          <w:lang w:val="zh-CN"/>
        </w:rPr>
        <w:t>66</w:t>
      </w:r>
      <w:r>
        <w:rPr>
          <w:rFonts w:hint="eastAsia" w:ascii="仿宋_GB2312" w:hAnsi="仿宋" w:eastAsia="仿宋_GB2312" w:cs="Arial"/>
          <w:color w:val="000000"/>
          <w:sz w:val="32"/>
          <w:szCs w:val="32"/>
          <w:highlight w:val="none"/>
          <w:lang w:val="zh-CN"/>
        </w:rPr>
        <w:t>号杭州地铁运营大楼开标室</w:t>
      </w:r>
      <w:r>
        <w:rPr>
          <w:rFonts w:ascii="仿宋_GB2312" w:hAnsi="仿宋" w:eastAsia="仿宋_GB2312" w:cs="Arial"/>
          <w:color w:val="000000"/>
          <w:sz w:val="32"/>
          <w:szCs w:val="32"/>
          <w:highlight w:val="none"/>
          <w:lang w:val="zh-CN"/>
        </w:rPr>
        <w:t>143</w:t>
      </w:r>
      <w:r>
        <w:rPr>
          <w:rFonts w:hint="eastAsia" w:ascii="仿宋_GB2312" w:hAnsi="仿宋" w:eastAsia="仿宋_GB2312" w:cs="Arial"/>
          <w:color w:val="000000"/>
          <w:sz w:val="32"/>
          <w:szCs w:val="32"/>
          <w:highlight w:val="none"/>
          <w:lang w:val="zh-CN"/>
        </w:rPr>
        <w:t>室。</w:t>
      </w:r>
    </w:p>
    <w:p w14:paraId="62E337DE">
      <w:pPr>
        <w:adjustRightInd w:val="0"/>
        <w:snapToGrid w:val="0"/>
        <w:spacing w:line="360" w:lineRule="auto"/>
        <w:ind w:firstLine="640" w:firstLineChars="200"/>
        <w:rPr>
          <w:rFonts w:ascii="仿宋_GB2312" w:eastAsia="仿宋_GB2312"/>
          <w:color w:val="000000"/>
          <w:sz w:val="32"/>
          <w:szCs w:val="32"/>
          <w:highlight w:val="none"/>
        </w:rPr>
      </w:pPr>
      <w:r>
        <w:rPr>
          <w:rFonts w:hint="eastAsia" w:ascii="仿宋_GB2312" w:hAnsi="Times New Roman" w:eastAsia="仿宋_GB2312" w:cs="Times New Roman"/>
          <w:sz w:val="32"/>
          <w:szCs w:val="32"/>
          <w:highlight w:val="none"/>
          <w:lang w:val="zh-CN"/>
        </w:rPr>
        <w:t>报价接收联系人（采购代理）：</w:t>
      </w:r>
      <w:r>
        <w:rPr>
          <w:rFonts w:hint="eastAsia" w:ascii="仿宋_GB2312" w:eastAsia="仿宋_GB2312"/>
          <w:color w:val="000000"/>
          <w:sz w:val="32"/>
          <w:szCs w:val="32"/>
          <w:highlight w:val="none"/>
          <w:lang w:val="zh-CN"/>
        </w:rPr>
        <w:t>谢工，电话：</w:t>
      </w:r>
      <w:r>
        <w:rPr>
          <w:rFonts w:ascii="仿宋_GB2312" w:eastAsia="仿宋_GB2312"/>
          <w:color w:val="000000"/>
          <w:sz w:val="32"/>
          <w:szCs w:val="32"/>
          <w:highlight w:val="none"/>
          <w:lang w:val="zh-CN"/>
        </w:rPr>
        <w:t>18767769833</w:t>
      </w:r>
      <w:r>
        <w:rPr>
          <w:rFonts w:hint="eastAsia" w:ascii="仿宋_GB2312" w:eastAsia="仿宋_GB2312"/>
          <w:color w:val="000000"/>
          <w:sz w:val="32"/>
          <w:szCs w:val="32"/>
          <w:highlight w:val="none"/>
          <w:lang w:val="zh-CN"/>
        </w:rPr>
        <w:t>。</w:t>
      </w:r>
    </w:p>
    <w:p w14:paraId="273F3F53">
      <w:pPr>
        <w:pStyle w:val="7"/>
        <w:tabs>
          <w:tab w:val="left" w:pos="420"/>
          <w:tab w:val="left" w:pos="1155"/>
        </w:tabs>
        <w:spacing w:after="0" w:line="360" w:lineRule="auto"/>
        <w:ind w:firstLine="640" w:firstLineChars="200"/>
        <w:outlineLvl w:val="1"/>
        <w:rPr>
          <w:rFonts w:ascii="黑体" w:hAnsi="黑体" w:eastAsia="黑体" w:cs="黑体"/>
          <w:color w:val="000000"/>
          <w:sz w:val="32"/>
          <w:szCs w:val="32"/>
          <w:highlight w:val="none"/>
          <w:lang w:val="zh-CN"/>
        </w:rPr>
      </w:pPr>
      <w:r>
        <w:rPr>
          <w:rFonts w:hint="eastAsia" w:ascii="黑体" w:hAnsi="黑体" w:eastAsia="黑体" w:cs="黑体"/>
          <w:color w:val="000000"/>
          <w:sz w:val="32"/>
          <w:szCs w:val="32"/>
          <w:highlight w:val="none"/>
          <w:lang w:val="zh-CN"/>
        </w:rPr>
        <w:t>八、</w:t>
      </w:r>
      <w:r>
        <w:rPr>
          <w:rFonts w:hint="eastAsia" w:ascii="黑体" w:hAnsi="黑体" w:eastAsia="黑体" w:cs="黑体"/>
          <w:color w:val="000000"/>
          <w:sz w:val="32"/>
          <w:szCs w:val="32"/>
          <w:highlight w:val="none"/>
        </w:rPr>
        <w:t>报价文件开启</w:t>
      </w:r>
      <w:r>
        <w:rPr>
          <w:rFonts w:hint="eastAsia" w:ascii="黑体" w:hAnsi="黑体" w:eastAsia="黑体" w:cs="黑体"/>
          <w:color w:val="000000"/>
          <w:sz w:val="32"/>
          <w:szCs w:val="32"/>
          <w:highlight w:val="none"/>
          <w:lang w:val="zh-CN"/>
        </w:rPr>
        <w:t>：</w:t>
      </w:r>
    </w:p>
    <w:p w14:paraId="1D01079C">
      <w:pPr>
        <w:pStyle w:val="13"/>
        <w:shd w:val="clear" w:color="auto" w:fill="FFFFFF"/>
        <w:wordWrap w:val="0"/>
        <w:spacing w:before="0" w:beforeAutospacing="0" w:after="0" w:afterAutospacing="0" w:line="360" w:lineRule="auto"/>
        <w:ind w:firstLine="643" w:firstLineChars="200"/>
        <w:rPr>
          <w:rFonts w:ascii="仿宋_GB2312" w:hAnsi="仿宋" w:eastAsia="仿宋_GB2312" w:cs="Arial"/>
          <w:b/>
          <w:bCs/>
          <w:color w:val="000000"/>
          <w:sz w:val="32"/>
          <w:szCs w:val="32"/>
          <w:highlight w:val="none"/>
          <w:lang w:val="zh-CN"/>
        </w:rPr>
      </w:pPr>
      <w:r>
        <w:rPr>
          <w:rFonts w:hint="eastAsia" w:ascii="仿宋_GB2312" w:hAnsi="仿宋" w:eastAsia="仿宋_GB2312" w:cs="Arial"/>
          <w:b/>
          <w:bCs/>
          <w:color w:val="000000"/>
          <w:sz w:val="32"/>
          <w:szCs w:val="32"/>
          <w:highlight w:val="none"/>
          <w:lang w:val="zh-CN"/>
        </w:rPr>
        <w:t>报价文件开启时间同报价文件递交截止时间；</w:t>
      </w:r>
    </w:p>
    <w:p w14:paraId="39E51E9C">
      <w:pPr>
        <w:pStyle w:val="13"/>
        <w:shd w:val="clear" w:color="auto" w:fill="FFFFFF"/>
        <w:wordWrap w:val="0"/>
        <w:spacing w:before="0" w:beforeAutospacing="0" w:after="0" w:afterAutospacing="0" w:line="360" w:lineRule="auto"/>
        <w:ind w:firstLine="643" w:firstLineChars="200"/>
        <w:rPr>
          <w:rFonts w:ascii="仿宋_GB2312" w:hAnsi="仿宋" w:eastAsia="仿宋_GB2312" w:cs="Arial"/>
          <w:b/>
          <w:bCs/>
          <w:color w:val="000000"/>
          <w:sz w:val="32"/>
          <w:szCs w:val="32"/>
          <w:highlight w:val="none"/>
          <w:lang w:val="zh-CN"/>
        </w:rPr>
      </w:pPr>
      <w:r>
        <w:rPr>
          <w:rFonts w:hint="eastAsia" w:ascii="仿宋_GB2312" w:hAnsi="仿宋" w:eastAsia="仿宋_GB2312" w:cs="Arial"/>
          <w:b/>
          <w:bCs/>
          <w:color w:val="000000"/>
          <w:sz w:val="32"/>
          <w:szCs w:val="32"/>
          <w:highlight w:val="none"/>
          <w:lang w:val="zh-CN"/>
        </w:rPr>
        <w:t>开报价地点：同报价文件递交地点。</w:t>
      </w:r>
    </w:p>
    <w:p w14:paraId="765E7460">
      <w:pPr>
        <w:shd w:val="clear" w:color="auto" w:fill="FFFFFF"/>
        <w:wordWrap w:val="0"/>
        <w:spacing w:line="360" w:lineRule="auto"/>
        <w:ind w:firstLine="643" w:firstLineChars="200"/>
        <w:rPr>
          <w:rFonts w:ascii="仿宋_GB2312" w:hAnsi="仿宋" w:eastAsia="仿宋_GB2312" w:cs="Arial"/>
          <w:color w:val="000000"/>
          <w:sz w:val="32"/>
          <w:szCs w:val="32"/>
          <w:highlight w:val="none"/>
        </w:rPr>
      </w:pPr>
      <w:r>
        <w:rPr>
          <w:rFonts w:hint="eastAsia" w:ascii="仿宋_GB2312" w:hAnsi="仿宋" w:eastAsia="仿宋_GB2312" w:cs="Arial"/>
          <w:b/>
          <w:bCs/>
          <w:color w:val="000000"/>
          <w:sz w:val="32"/>
          <w:szCs w:val="32"/>
          <w:highlight w:val="none"/>
          <w:lang w:val="zh-CN"/>
        </w:rPr>
        <w:t>若首次公告报价不足3家（二次或后续公告报价不足2家），采购人有权终止采购另行选择采购方式。</w:t>
      </w:r>
    </w:p>
    <w:p w14:paraId="5E2900EF">
      <w:pPr>
        <w:adjustRightInd w:val="0"/>
        <w:snapToGrid w:val="0"/>
        <w:spacing w:line="360" w:lineRule="auto"/>
        <w:ind w:firstLine="640" w:firstLineChars="200"/>
        <w:rPr>
          <w:rFonts w:ascii="黑体" w:hAnsi="黑体" w:eastAsia="黑体" w:cs="黑体"/>
          <w:sz w:val="32"/>
          <w:szCs w:val="32"/>
          <w:highlight w:val="none"/>
          <w:lang w:val="zh-CN"/>
        </w:rPr>
      </w:pPr>
      <w:r>
        <w:rPr>
          <w:rFonts w:hint="eastAsia" w:ascii="黑体" w:hAnsi="黑体" w:eastAsia="黑体" w:cs="黑体"/>
          <w:sz w:val="32"/>
          <w:szCs w:val="32"/>
          <w:highlight w:val="none"/>
          <w:lang w:val="zh-CN"/>
        </w:rPr>
        <w:t>九、评审办法</w:t>
      </w:r>
    </w:p>
    <w:p w14:paraId="0120ABA2">
      <w:pPr>
        <w:numPr>
          <w:ilvl w:val="255"/>
          <w:numId w:val="0"/>
        </w:numPr>
        <w:snapToGrid w:val="0"/>
        <w:spacing w:line="360" w:lineRule="auto"/>
        <w:ind w:firstLine="640" w:firstLineChars="200"/>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lang w:val="zh-CN"/>
        </w:rPr>
        <w:t>1.本项目采用先投票后谈判的方式进行采购，由采购人发起投票，采购人下属的3个投票主体【客一分工会、客二分工会、客三分工会（含职能总部、供电分公司、通号分公司、工务分公司、德清</w:t>
      </w:r>
      <w:r>
        <w:rPr>
          <w:rFonts w:hint="eastAsia" w:ascii="仿宋_GB2312" w:hAnsi="Times New Roman" w:eastAsia="仿宋_GB2312" w:cs="Times New Roman"/>
          <w:sz w:val="32"/>
          <w:szCs w:val="32"/>
          <w:highlight w:val="none"/>
          <w:lang w:val="en-US" w:eastAsia="zh-CN"/>
        </w:rPr>
        <w:t>项目组</w:t>
      </w:r>
      <w:r>
        <w:rPr>
          <w:rFonts w:hint="eastAsia" w:ascii="仿宋_GB2312" w:hAnsi="Times New Roman" w:eastAsia="仿宋_GB2312" w:cs="Times New Roman"/>
          <w:sz w:val="32"/>
          <w:szCs w:val="32"/>
          <w:highlight w:val="none"/>
          <w:lang w:val="zh-CN"/>
        </w:rPr>
        <w:t>）】（以下简称“投票主体”）分别计票，采购人根据投票结果分别与对应供应商进行谈判、执行、结算。</w:t>
      </w:r>
    </w:p>
    <w:p w14:paraId="4A467FA5">
      <w:pPr>
        <w:numPr>
          <w:ilvl w:val="255"/>
          <w:numId w:val="0"/>
        </w:numPr>
        <w:snapToGrid w:val="0"/>
        <w:spacing w:line="360" w:lineRule="auto"/>
        <w:ind w:firstLine="640" w:firstLineChars="200"/>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lang w:val="zh-CN"/>
        </w:rPr>
        <w:t>2.投票规则：</w:t>
      </w:r>
    </w:p>
    <w:p w14:paraId="1028E9DE">
      <w:pPr>
        <w:numPr>
          <w:ilvl w:val="255"/>
          <w:numId w:val="0"/>
        </w:numPr>
        <w:snapToGrid w:val="0"/>
        <w:spacing w:line="360" w:lineRule="auto"/>
        <w:ind w:firstLine="640" w:firstLineChars="200"/>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lang w:val="zh-CN"/>
        </w:rPr>
        <w:t>2.1设置客一分工会（预计</w:t>
      </w:r>
      <w:r>
        <w:rPr>
          <w:rFonts w:hint="eastAsia" w:ascii="仿宋_GB2312" w:hAnsi="Times New Roman" w:eastAsia="仿宋_GB2312" w:cs="Times New Roman"/>
          <w:sz w:val="32"/>
          <w:szCs w:val="32"/>
          <w:highlight w:val="none"/>
        </w:rPr>
        <w:t>1067</w:t>
      </w:r>
      <w:r>
        <w:rPr>
          <w:rFonts w:hint="eastAsia" w:ascii="仿宋_GB2312" w:hAnsi="Times New Roman" w:eastAsia="仿宋_GB2312" w:cs="Times New Roman"/>
          <w:sz w:val="32"/>
          <w:szCs w:val="32"/>
          <w:highlight w:val="none"/>
          <w:lang w:val="zh-CN"/>
        </w:rPr>
        <w:t>名女职工）、客二分工会（预计</w:t>
      </w:r>
      <w:r>
        <w:rPr>
          <w:rFonts w:hint="eastAsia" w:ascii="仿宋_GB2312" w:hAnsi="Times New Roman" w:eastAsia="仿宋_GB2312" w:cs="Times New Roman"/>
          <w:sz w:val="32"/>
          <w:szCs w:val="32"/>
          <w:highlight w:val="none"/>
        </w:rPr>
        <w:t>992</w:t>
      </w:r>
      <w:r>
        <w:rPr>
          <w:rFonts w:hint="eastAsia" w:ascii="仿宋_GB2312" w:hAnsi="Times New Roman" w:eastAsia="仿宋_GB2312" w:cs="Times New Roman"/>
          <w:sz w:val="32"/>
          <w:szCs w:val="32"/>
          <w:highlight w:val="none"/>
          <w:lang w:val="zh-CN"/>
        </w:rPr>
        <w:t>名女职工）、客三分工会【预计</w:t>
      </w:r>
      <w:r>
        <w:rPr>
          <w:rFonts w:hint="eastAsia" w:ascii="仿宋_GB2312" w:hAnsi="Times New Roman" w:eastAsia="仿宋_GB2312" w:cs="Times New Roman"/>
          <w:sz w:val="32"/>
          <w:szCs w:val="32"/>
          <w:highlight w:val="none"/>
        </w:rPr>
        <w:t>1131</w:t>
      </w:r>
      <w:r>
        <w:rPr>
          <w:rFonts w:hint="eastAsia" w:ascii="仿宋_GB2312" w:hAnsi="Times New Roman" w:eastAsia="仿宋_GB2312" w:cs="Times New Roman"/>
          <w:sz w:val="32"/>
          <w:szCs w:val="32"/>
          <w:highlight w:val="none"/>
          <w:lang w:val="zh-CN"/>
        </w:rPr>
        <w:t>名女职工（含客三691、专业公司194、机关225、</w:t>
      </w:r>
      <w:r>
        <w:rPr>
          <w:rFonts w:hint="eastAsia" w:ascii="仿宋_GB2312" w:hAnsi="Times New Roman" w:eastAsia="仿宋_GB2312" w:cs="Times New Roman"/>
          <w:sz w:val="32"/>
          <w:szCs w:val="32"/>
          <w:highlight w:val="none"/>
          <w:lang w:val="en-US" w:eastAsia="zh-CN"/>
        </w:rPr>
        <w:t>德清项目组</w:t>
      </w:r>
      <w:r>
        <w:rPr>
          <w:rFonts w:hint="eastAsia" w:ascii="仿宋_GB2312" w:hAnsi="Times New Roman" w:eastAsia="仿宋_GB2312" w:cs="Times New Roman"/>
          <w:sz w:val="32"/>
          <w:szCs w:val="32"/>
          <w:highlight w:val="none"/>
          <w:lang w:val="zh-CN"/>
        </w:rPr>
        <w:t>21）】共计</w:t>
      </w:r>
      <w:r>
        <w:rPr>
          <w:rFonts w:hint="eastAsia" w:ascii="仿宋_GB2312" w:hAnsi="Times New Roman" w:eastAsia="仿宋_GB2312" w:cs="Times New Roman"/>
          <w:sz w:val="32"/>
          <w:szCs w:val="32"/>
          <w:highlight w:val="none"/>
        </w:rPr>
        <w:t>三</w:t>
      </w:r>
      <w:r>
        <w:rPr>
          <w:rFonts w:hint="eastAsia" w:ascii="仿宋_GB2312" w:hAnsi="Times New Roman" w:eastAsia="仿宋_GB2312" w:cs="Times New Roman"/>
          <w:sz w:val="32"/>
          <w:szCs w:val="32"/>
          <w:highlight w:val="none"/>
          <w:lang w:val="zh-CN"/>
        </w:rPr>
        <w:t>个独立的投票主体。</w:t>
      </w:r>
    </w:p>
    <w:p w14:paraId="49A80A15">
      <w:pPr>
        <w:numPr>
          <w:ilvl w:val="255"/>
          <w:numId w:val="0"/>
        </w:numPr>
        <w:snapToGrid w:val="0"/>
        <w:spacing w:line="360" w:lineRule="auto"/>
        <w:ind w:firstLine="640" w:firstLineChars="200"/>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lang w:val="zh-CN"/>
        </w:rPr>
        <w:t>2.2三个投票主体维度相互独立，结果互不影响。</w:t>
      </w:r>
    </w:p>
    <w:p w14:paraId="031345E4">
      <w:pPr>
        <w:numPr>
          <w:ilvl w:val="255"/>
          <w:numId w:val="0"/>
        </w:numPr>
        <w:snapToGrid w:val="0"/>
        <w:spacing w:line="360" w:lineRule="auto"/>
        <w:ind w:firstLine="640" w:firstLineChars="200"/>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lang w:val="zh-CN"/>
        </w:rPr>
        <w:t>2.3理论上存在至少1家，至多3家成交服务单位。</w:t>
      </w:r>
    </w:p>
    <w:p w14:paraId="6F9054AA">
      <w:pPr>
        <w:numPr>
          <w:ilvl w:val="255"/>
          <w:numId w:val="0"/>
        </w:numPr>
        <w:snapToGrid w:val="0"/>
        <w:spacing w:line="360" w:lineRule="auto"/>
        <w:ind w:firstLine="640" w:firstLineChars="200"/>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lang w:val="zh-CN"/>
        </w:rPr>
        <w:t>2.4各投票主体的女职工投票参与率超过投票发起日钉钉系统内三个主体各自女职工人数50%（含）的，视为有效投票，否则为无效投票；如任一投票主体存在无效投票情况的，由采购人就该投票主体发起第二轮投票；</w:t>
      </w:r>
    </w:p>
    <w:p w14:paraId="6C73B5CF">
      <w:pPr>
        <w:numPr>
          <w:ilvl w:val="255"/>
          <w:numId w:val="0"/>
        </w:numPr>
        <w:snapToGrid w:val="0"/>
        <w:spacing w:line="360" w:lineRule="auto"/>
        <w:ind w:firstLine="640" w:firstLineChars="200"/>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lang w:val="zh-CN"/>
        </w:rPr>
        <w:t>2.5得票率最高且大于等于50%的报价人推荐为对应投票主体第一成交候选人，得票率次高的报价人推荐为对应投票主体第二成交候选人；</w:t>
      </w:r>
    </w:p>
    <w:p w14:paraId="75E478BD">
      <w:pPr>
        <w:numPr>
          <w:ilvl w:val="255"/>
          <w:numId w:val="0"/>
        </w:numPr>
        <w:snapToGrid w:val="0"/>
        <w:spacing w:line="360" w:lineRule="auto"/>
        <w:ind w:firstLine="640" w:firstLineChars="200"/>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lang w:val="zh-CN"/>
        </w:rPr>
        <w:t>2.6如任一投票主体存在所有报价人得票率均小于50%的情况，则由采购人就该投票主体取得票率最高和次高的报价人进行第二轮投票，未参与第二轮投票选择的员工，默认为选择第二轮得票率最高的报价人；第二轮得票率最高的报价人推荐为该投票主体第一成交候选人，第二名推荐为第二成交候选人；以上投票，如遇得票率相同情况，以纪念品金额高的列前；若纪念品金额相同，则先递交报价文件的成交候选人列前。</w:t>
      </w:r>
    </w:p>
    <w:p w14:paraId="15482184">
      <w:pPr>
        <w:numPr>
          <w:ilvl w:val="255"/>
          <w:numId w:val="0"/>
        </w:numPr>
        <w:snapToGrid w:val="0"/>
        <w:spacing w:line="360" w:lineRule="auto"/>
        <w:ind w:firstLine="640" w:firstLineChars="200"/>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lang w:val="zh-CN"/>
        </w:rPr>
        <w:t>2.7采购人分别与各投票主体的第一成交候选人进行谈判，若双方未能就服务内容、活动形式、活动场地等服务要求达成一致意见，则按照各投票主体的成交候选人名单排列顺序依次与下一成交候选人进行谈判。</w:t>
      </w:r>
    </w:p>
    <w:p w14:paraId="3049DD68">
      <w:pPr>
        <w:numPr>
          <w:ilvl w:val="255"/>
          <w:numId w:val="0"/>
        </w:numPr>
        <w:snapToGrid w:val="0"/>
        <w:spacing w:line="360" w:lineRule="auto"/>
        <w:ind w:firstLine="640" w:firstLineChars="200"/>
        <w:rPr>
          <w:rFonts w:ascii="仿宋_GB2312" w:hAnsi="Times New Roman" w:eastAsia="仿宋_GB2312" w:cs="Times New Roman"/>
          <w:b/>
          <w:sz w:val="32"/>
          <w:szCs w:val="32"/>
          <w:highlight w:val="none"/>
        </w:rPr>
      </w:pPr>
      <w:r>
        <w:rPr>
          <w:rFonts w:hint="eastAsia" w:ascii="仿宋_GB2312" w:hAnsi="Times New Roman" w:eastAsia="仿宋_GB2312" w:cs="Times New Roman"/>
          <w:sz w:val="32"/>
          <w:szCs w:val="32"/>
          <w:highlight w:val="none"/>
          <w:lang w:val="zh-CN"/>
        </w:rPr>
        <w:t>2.8在投票结束后新报到的女职工（含统计期内未在钉钉系统的在册女职工），默认参加各投票主体成交供应商所提供的服务。</w:t>
      </w:r>
    </w:p>
    <w:p w14:paraId="690CACB1">
      <w:pPr>
        <w:numPr>
          <w:ilvl w:val="255"/>
          <w:numId w:val="0"/>
        </w:numPr>
        <w:snapToGrid w:val="0"/>
        <w:spacing w:line="360" w:lineRule="auto"/>
        <w:ind w:firstLine="640" w:firstLineChars="200"/>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rPr>
        <w:t>3.</w:t>
      </w:r>
      <w:r>
        <w:rPr>
          <w:rFonts w:hint="eastAsia" w:ascii="仿宋_GB2312" w:hAnsi="Times New Roman" w:eastAsia="仿宋_GB2312" w:cs="Times New Roman"/>
          <w:sz w:val="32"/>
          <w:szCs w:val="32"/>
          <w:highlight w:val="none"/>
          <w:lang w:val="zh-CN"/>
        </w:rPr>
        <w:t>具体详见采购文件《评审方法》。</w:t>
      </w:r>
    </w:p>
    <w:p w14:paraId="5D650024">
      <w:pPr>
        <w:numPr>
          <w:ilvl w:val="255"/>
          <w:numId w:val="0"/>
        </w:numPr>
        <w:snapToGrid w:val="0"/>
        <w:spacing w:line="360" w:lineRule="auto"/>
        <w:ind w:firstLine="640" w:firstLineChars="200"/>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rPr>
        <w:t>4.</w:t>
      </w:r>
      <w:r>
        <w:rPr>
          <w:rFonts w:hint="eastAsia" w:ascii="仿宋_GB2312" w:hAnsi="Times New Roman" w:eastAsia="仿宋_GB2312" w:cs="Times New Roman"/>
          <w:sz w:val="32"/>
          <w:szCs w:val="32"/>
          <w:highlight w:val="none"/>
          <w:lang w:val="zh-CN"/>
        </w:rPr>
        <w:t>成交结果将在e车网、</w:t>
      </w:r>
      <w:r>
        <w:rPr>
          <w:rFonts w:hint="eastAsia" w:ascii="仿宋_GB2312" w:hAnsi="仿宋_GB2312" w:eastAsia="仿宋_GB2312" w:cs="仿宋_GB2312"/>
          <w:sz w:val="32"/>
          <w:szCs w:val="32"/>
          <w:highlight w:val="none"/>
          <w:lang w:val="zh-CN"/>
        </w:rPr>
        <w:t>浙江企业采购信息服务网</w:t>
      </w:r>
      <w:r>
        <w:rPr>
          <w:rFonts w:hint="eastAsia" w:ascii="仿宋_GB2312" w:hAnsi="Times New Roman" w:eastAsia="仿宋_GB2312" w:cs="Times New Roman"/>
          <w:sz w:val="32"/>
          <w:szCs w:val="32"/>
          <w:highlight w:val="none"/>
          <w:lang w:val="zh-CN"/>
        </w:rPr>
        <w:t>公示，如公示期内无异议，采购人将于公示结束后以电话/电子邮件形式通知成交人。</w:t>
      </w:r>
    </w:p>
    <w:p w14:paraId="59799354">
      <w:pPr>
        <w:adjustRightInd w:val="0"/>
        <w:snapToGrid w:val="0"/>
        <w:spacing w:line="360" w:lineRule="auto"/>
        <w:ind w:firstLine="640" w:firstLineChars="200"/>
        <w:rPr>
          <w:rFonts w:ascii="黑体" w:hAnsi="黑体" w:eastAsia="黑体" w:cs="黑体"/>
          <w:sz w:val="32"/>
          <w:szCs w:val="32"/>
          <w:highlight w:val="none"/>
          <w:lang w:val="zh-CN"/>
        </w:rPr>
      </w:pPr>
      <w:r>
        <w:rPr>
          <w:rFonts w:hint="eastAsia" w:ascii="黑体" w:hAnsi="黑体" w:eastAsia="黑体" w:cs="黑体"/>
          <w:sz w:val="32"/>
          <w:szCs w:val="32"/>
          <w:highlight w:val="none"/>
          <w:lang w:val="zh-CN"/>
        </w:rPr>
        <w:t>十、报价费用</w:t>
      </w:r>
    </w:p>
    <w:p w14:paraId="0513B1C2">
      <w:pPr>
        <w:adjustRightInd w:val="0"/>
        <w:snapToGrid w:val="0"/>
        <w:spacing w:line="360" w:lineRule="auto"/>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本次采购报价人无须提供报价保证金。报价人应承担所有与准备和参加报价有关费用，不论报价的结果如何，采购人均无义务和责任承担这些费用。</w:t>
      </w:r>
    </w:p>
    <w:p w14:paraId="6A53820C">
      <w:pPr>
        <w:adjustRightInd w:val="0"/>
        <w:snapToGrid w:val="0"/>
        <w:spacing w:line="360" w:lineRule="auto"/>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val="zh-CN"/>
        </w:rPr>
        <w:t>十一、合同模式</w:t>
      </w:r>
    </w:p>
    <w:p w14:paraId="74B8BF2D">
      <w:pPr>
        <w:adjustRightInd w:val="0"/>
        <w:snapToGrid w:val="0"/>
        <w:spacing w:line="360" w:lineRule="auto"/>
        <w:ind w:firstLine="640" w:firstLineChars="200"/>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rPr>
        <w:t>1.</w:t>
      </w:r>
      <w:r>
        <w:rPr>
          <w:rFonts w:hint="eastAsia" w:ascii="仿宋_GB2312" w:hAnsi="Times New Roman" w:eastAsia="仿宋_GB2312" w:cs="Times New Roman"/>
          <w:sz w:val="32"/>
          <w:szCs w:val="32"/>
          <w:highlight w:val="none"/>
          <w:lang w:val="zh-CN"/>
        </w:rPr>
        <w:t>本项目采用固定结算综合单价模式，结算综合单价为200元/人。在合同有效期内综合单价固定不变，成交人根据采购人通知中要求的数量按时</w:t>
      </w:r>
      <w:r>
        <w:rPr>
          <w:rFonts w:hint="eastAsia" w:ascii="仿宋_GB2312" w:hAnsi="Times New Roman" w:eastAsia="仿宋_GB2312" w:cs="Times New Roman"/>
          <w:sz w:val="32"/>
          <w:szCs w:val="32"/>
          <w:highlight w:val="none"/>
        </w:rPr>
        <w:t>服务</w:t>
      </w:r>
      <w:r>
        <w:rPr>
          <w:rFonts w:hint="eastAsia" w:ascii="仿宋_GB2312" w:hAnsi="Times New Roman" w:eastAsia="仿宋_GB2312" w:cs="Times New Roman"/>
          <w:sz w:val="32"/>
          <w:szCs w:val="32"/>
          <w:highlight w:val="none"/>
          <w:lang w:val="zh-CN"/>
        </w:rPr>
        <w:t>，据实结算。</w:t>
      </w:r>
    </w:p>
    <w:p w14:paraId="7E660EA5">
      <w:pPr>
        <w:adjustRightInd w:val="0"/>
        <w:snapToGrid w:val="0"/>
        <w:spacing w:line="360" w:lineRule="auto"/>
        <w:ind w:firstLine="640" w:firstLineChars="200"/>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rPr>
        <w:t>2.</w:t>
      </w:r>
      <w:r>
        <w:rPr>
          <w:rFonts w:hint="eastAsia" w:ascii="仿宋_GB2312" w:hAnsi="Times New Roman" w:eastAsia="仿宋_GB2312" w:cs="Times New Roman"/>
          <w:sz w:val="32"/>
          <w:szCs w:val="32"/>
          <w:highlight w:val="none"/>
          <w:lang w:val="zh-CN"/>
        </w:rPr>
        <w:t>成交人须在接到采购人合同签订的通知后</w:t>
      </w:r>
      <w:r>
        <w:rPr>
          <w:rFonts w:ascii="仿宋_GB2312" w:hAnsi="Times New Roman" w:eastAsia="仿宋_GB2312" w:cs="Times New Roman"/>
          <w:sz w:val="32"/>
          <w:szCs w:val="32"/>
          <w:highlight w:val="none"/>
          <w:lang w:val="zh-CN"/>
        </w:rPr>
        <w:t>10个工作日内与采购人签订采购合同，由于成交人原因未按时签订采购合同视为成交人放弃成交。</w:t>
      </w:r>
    </w:p>
    <w:p w14:paraId="77C17485">
      <w:pPr>
        <w:adjustRightInd w:val="0"/>
        <w:snapToGrid w:val="0"/>
        <w:spacing w:line="360" w:lineRule="auto"/>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val="zh-CN"/>
        </w:rPr>
        <w:t>十二、</w:t>
      </w:r>
      <w:r>
        <w:rPr>
          <w:rFonts w:hint="eastAsia" w:ascii="黑体" w:hAnsi="黑体" w:eastAsia="黑体" w:cs="黑体"/>
          <w:sz w:val="32"/>
          <w:szCs w:val="32"/>
          <w:highlight w:val="none"/>
        </w:rPr>
        <w:t>合同期限</w:t>
      </w:r>
    </w:p>
    <w:p w14:paraId="3DF09BB7">
      <w:pPr>
        <w:adjustRightInd w:val="0"/>
        <w:snapToGrid w:val="0"/>
        <w:spacing w:line="360" w:lineRule="auto"/>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zh-CN"/>
        </w:rPr>
        <w:t>合同期限：自合同签订生效之日起至202</w:t>
      </w: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zh-CN"/>
        </w:rPr>
        <w:t>年12月31日止。</w:t>
      </w:r>
    </w:p>
    <w:p w14:paraId="488FC2C7">
      <w:pPr>
        <w:adjustRightInd w:val="0"/>
        <w:snapToGrid w:val="0"/>
        <w:spacing w:line="360" w:lineRule="auto"/>
        <w:ind w:firstLine="640" w:firstLineChars="200"/>
        <w:rPr>
          <w:rFonts w:ascii="黑体" w:hAnsi="黑体" w:eastAsia="黑体" w:cs="黑体"/>
          <w:sz w:val="32"/>
          <w:szCs w:val="32"/>
          <w:highlight w:val="none"/>
          <w:lang w:val="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zh-CN"/>
        </w:rPr>
        <w:t>服务期限：自202</w:t>
      </w: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zh-CN"/>
        </w:rPr>
        <w:t>年3月</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zh-CN"/>
        </w:rPr>
        <w:t>日起至202</w:t>
      </w: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zh-CN"/>
        </w:rPr>
        <w:t>年3月</w:t>
      </w:r>
      <w:r>
        <w:rPr>
          <w:rFonts w:hint="eastAsia" w:ascii="仿宋_GB2312" w:hAnsi="仿宋_GB2312" w:eastAsia="仿宋_GB2312" w:cs="仿宋_GB2312"/>
          <w:sz w:val="32"/>
          <w:szCs w:val="32"/>
          <w:highlight w:val="none"/>
        </w:rPr>
        <w:t>31</w:t>
      </w:r>
      <w:r>
        <w:rPr>
          <w:rFonts w:hint="eastAsia" w:ascii="仿宋_GB2312" w:hAnsi="仿宋_GB2312" w:eastAsia="仿宋_GB2312" w:cs="仿宋_GB2312"/>
          <w:sz w:val="32"/>
          <w:szCs w:val="32"/>
          <w:highlight w:val="none"/>
          <w:lang w:val="zh-CN"/>
        </w:rPr>
        <w:t>日止。</w:t>
      </w:r>
    </w:p>
    <w:p w14:paraId="2408A840">
      <w:pPr>
        <w:adjustRightInd w:val="0"/>
        <w:snapToGrid w:val="0"/>
        <w:spacing w:line="360" w:lineRule="auto"/>
        <w:ind w:firstLine="640" w:firstLineChars="200"/>
        <w:rPr>
          <w:rFonts w:ascii="黑体" w:hAnsi="黑体" w:eastAsia="黑体" w:cs="黑体"/>
          <w:sz w:val="32"/>
          <w:szCs w:val="32"/>
          <w:highlight w:val="none"/>
          <w:lang w:val="zh-CN"/>
        </w:rPr>
      </w:pPr>
      <w:r>
        <w:rPr>
          <w:rFonts w:hint="eastAsia" w:ascii="黑体" w:hAnsi="黑体" w:eastAsia="黑体" w:cs="黑体"/>
          <w:sz w:val="32"/>
          <w:szCs w:val="32"/>
          <w:highlight w:val="none"/>
          <w:lang w:val="zh-CN"/>
        </w:rPr>
        <w:t>十</w:t>
      </w:r>
      <w:r>
        <w:rPr>
          <w:rFonts w:hint="eastAsia" w:ascii="黑体" w:hAnsi="黑体" w:eastAsia="黑体" w:cs="黑体"/>
          <w:sz w:val="32"/>
          <w:szCs w:val="32"/>
          <w:highlight w:val="none"/>
        </w:rPr>
        <w:t>三</w:t>
      </w:r>
      <w:r>
        <w:rPr>
          <w:rFonts w:hint="eastAsia" w:ascii="黑体" w:hAnsi="黑体" w:eastAsia="黑体" w:cs="黑体"/>
          <w:sz w:val="32"/>
          <w:szCs w:val="32"/>
          <w:highlight w:val="none"/>
          <w:lang w:val="zh-CN"/>
        </w:rPr>
        <w:t>、付款方式</w:t>
      </w:r>
    </w:p>
    <w:p w14:paraId="5755FBF0">
      <w:pPr>
        <w:adjustRightInd w:val="0"/>
        <w:snapToGrid w:val="0"/>
        <w:spacing w:line="360" w:lineRule="auto"/>
        <w:ind w:firstLine="640" w:firstLineChars="200"/>
        <w:rPr>
          <w:rFonts w:ascii="仿宋_GB2312" w:hAnsi="宋体" w:eastAsia="仿宋_GB2312" w:cs="仿宋_GB2312"/>
          <w:color w:val="171A1D"/>
          <w:sz w:val="32"/>
          <w:szCs w:val="32"/>
          <w:highlight w:val="none"/>
        </w:rPr>
      </w:pPr>
      <w:r>
        <w:rPr>
          <w:rFonts w:hint="eastAsia" w:ascii="仿宋_GB2312" w:hAnsi="宋体" w:eastAsia="仿宋_GB2312" w:cs="仿宋_GB2312"/>
          <w:color w:val="171A1D"/>
          <w:sz w:val="32"/>
          <w:szCs w:val="32"/>
          <w:highlight w:val="none"/>
        </w:rPr>
        <w:t>合同签订生效后，成交人完成全部服务后，凭经采购人确认的履约证明及应付服务费用等额的增值税普通发票向采购人申请支付服务费用，经采购人确认无异后，采购人于60日内全额支付。</w:t>
      </w:r>
    </w:p>
    <w:p w14:paraId="4C63414E">
      <w:pPr>
        <w:adjustRightInd w:val="0"/>
        <w:snapToGrid w:val="0"/>
        <w:spacing w:line="360" w:lineRule="auto"/>
        <w:ind w:firstLine="643" w:firstLineChars="200"/>
        <w:rPr>
          <w:rFonts w:ascii="仿宋_GB2312" w:hAnsi="宋体" w:eastAsia="仿宋_GB2312" w:cs="仿宋_GB2312"/>
          <w:color w:val="171A1D"/>
          <w:sz w:val="32"/>
          <w:szCs w:val="32"/>
          <w:highlight w:val="none"/>
        </w:rPr>
      </w:pPr>
      <w:r>
        <w:rPr>
          <w:rFonts w:hint="eastAsia" w:ascii="仿宋_GB2312" w:hAnsi="仿宋" w:eastAsia="仿宋_GB2312" w:cs="Arial"/>
          <w:b/>
          <w:sz w:val="32"/>
          <w:szCs w:val="32"/>
          <w:highlight w:val="none"/>
          <w:lang w:val="zh-CN"/>
        </w:rPr>
        <w:t>在支付之前，双方对合同履行存在争议的，有争议部分待争议解决之后，按协商结果支付。</w:t>
      </w:r>
    </w:p>
    <w:p w14:paraId="71978FD1">
      <w:pPr>
        <w:adjustRightInd w:val="0"/>
        <w:snapToGrid w:val="0"/>
        <w:spacing w:line="360" w:lineRule="auto"/>
        <w:ind w:firstLine="643" w:firstLineChars="200"/>
        <w:rPr>
          <w:rFonts w:ascii="仿宋_GB2312" w:hAnsi="仿宋" w:eastAsia="仿宋_GB2312" w:cs="Arial"/>
          <w:b/>
          <w:sz w:val="32"/>
          <w:szCs w:val="32"/>
          <w:highlight w:val="none"/>
          <w:lang w:val="zh-CN"/>
        </w:rPr>
      </w:pPr>
      <w:r>
        <w:rPr>
          <w:rFonts w:hint="eastAsia" w:ascii="仿宋_GB2312" w:hAnsi="宋体" w:eastAsia="仿宋_GB2312" w:cs="仿宋_GB2312"/>
          <w:b/>
          <w:color w:val="171A1D"/>
          <w:sz w:val="32"/>
          <w:szCs w:val="32"/>
          <w:highlight w:val="none"/>
          <w:lang w:val="zh-CN"/>
        </w:rPr>
        <w:t>若采购人对成交人提供发票的税目、税率等存在疑问，成交人应提供佐证材料。</w:t>
      </w:r>
    </w:p>
    <w:p w14:paraId="7EB0C940">
      <w:pPr>
        <w:pStyle w:val="8"/>
        <w:numPr>
          <w:ilvl w:val="255"/>
          <w:numId w:val="0"/>
        </w:numPr>
        <w:adjustRightInd w:val="0"/>
        <w:snapToGrid w:val="0"/>
        <w:spacing w:after="0" w:line="600" w:lineRule="exact"/>
        <w:ind w:firstLine="640" w:firstLineChars="200"/>
        <w:outlineLvl w:val="1"/>
        <w:rPr>
          <w:rFonts w:ascii="黑体" w:hAnsi="黑体" w:eastAsia="黑体" w:cs="黑体"/>
          <w:sz w:val="32"/>
          <w:szCs w:val="32"/>
          <w:highlight w:val="none"/>
          <w:lang w:val="zh-CN"/>
        </w:rPr>
      </w:pPr>
      <w:r>
        <w:rPr>
          <w:rFonts w:hint="eastAsia" w:ascii="黑体" w:hAnsi="黑体" w:eastAsia="黑体" w:cs="黑体"/>
          <w:sz w:val="32"/>
          <w:szCs w:val="32"/>
          <w:highlight w:val="none"/>
          <w:lang w:val="zh-CN"/>
        </w:rPr>
        <w:t>十</w:t>
      </w:r>
      <w:r>
        <w:rPr>
          <w:rFonts w:hint="eastAsia" w:ascii="黑体" w:hAnsi="黑体" w:eastAsia="黑体" w:cs="黑体"/>
          <w:sz w:val="32"/>
          <w:szCs w:val="32"/>
          <w:highlight w:val="none"/>
        </w:rPr>
        <w:t>四、</w:t>
      </w:r>
      <w:r>
        <w:rPr>
          <w:rFonts w:hint="eastAsia" w:ascii="黑体" w:hAnsi="黑体" w:eastAsia="黑体" w:cs="黑体"/>
          <w:sz w:val="32"/>
          <w:szCs w:val="32"/>
          <w:highlight w:val="none"/>
          <w:lang w:val="zh-CN"/>
        </w:rPr>
        <w:t>联系方式</w:t>
      </w:r>
    </w:p>
    <w:p w14:paraId="16558470">
      <w:pPr>
        <w:spacing w:line="600" w:lineRule="exact"/>
        <w:ind w:firstLine="640" w:firstLineChars="200"/>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lang w:val="zh-CN"/>
        </w:rPr>
        <w:t>采购人：杭州地铁运营有限公司工会委员会</w:t>
      </w:r>
    </w:p>
    <w:p w14:paraId="7801A437">
      <w:pPr>
        <w:spacing w:line="600" w:lineRule="exact"/>
        <w:ind w:firstLine="640" w:firstLineChars="200"/>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lang w:val="zh-CN"/>
        </w:rPr>
        <w:t>商务联系人：</w:t>
      </w:r>
      <w:r>
        <w:rPr>
          <w:rFonts w:hint="eastAsia" w:ascii="仿宋_GB2312" w:hAnsi="Times New Roman" w:eastAsia="仿宋_GB2312" w:cs="Times New Roman"/>
          <w:sz w:val="32"/>
          <w:szCs w:val="32"/>
          <w:highlight w:val="none"/>
        </w:rPr>
        <w:t>刘</w:t>
      </w:r>
      <w:r>
        <w:rPr>
          <w:rFonts w:hint="eastAsia" w:ascii="仿宋_GB2312" w:hAnsi="Times New Roman" w:eastAsia="仿宋_GB2312" w:cs="Times New Roman"/>
          <w:sz w:val="32"/>
          <w:szCs w:val="32"/>
          <w:highlight w:val="none"/>
          <w:lang w:val="zh-CN"/>
        </w:rPr>
        <w:t>工</w:t>
      </w:r>
    </w:p>
    <w:p w14:paraId="3BA5372D">
      <w:pPr>
        <w:spacing w:line="60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zh-CN"/>
        </w:rPr>
        <w:t>电话：</w:t>
      </w:r>
      <w:r>
        <w:rPr>
          <w:rFonts w:hint="eastAsia" w:ascii="仿宋_GB2312" w:hAnsi="仿宋" w:eastAsia="仿宋_GB2312" w:cs="Arial"/>
          <w:color w:val="000000"/>
          <w:sz w:val="32"/>
          <w:szCs w:val="32"/>
          <w:highlight w:val="none"/>
          <w:lang w:val="zh-CN"/>
        </w:rPr>
        <w:t>0571-6982107</w:t>
      </w:r>
      <w:r>
        <w:rPr>
          <w:rFonts w:hint="eastAsia" w:ascii="仿宋_GB2312" w:hAnsi="仿宋" w:eastAsia="仿宋_GB2312" w:cs="Arial"/>
          <w:color w:val="000000"/>
          <w:sz w:val="32"/>
          <w:szCs w:val="32"/>
          <w:highlight w:val="none"/>
        </w:rPr>
        <w:t>0</w:t>
      </w:r>
    </w:p>
    <w:p w14:paraId="58CF10E6">
      <w:pPr>
        <w:adjustRightInd w:val="0"/>
        <w:spacing w:line="600" w:lineRule="exact"/>
        <w:ind w:firstLine="640" w:firstLineChars="200"/>
        <w:rPr>
          <w:rFonts w:ascii="仿宋_GB2312" w:hAnsi="仿宋" w:eastAsia="仿宋_GB2312" w:cs="Arial"/>
          <w:color w:val="000000"/>
          <w:sz w:val="32"/>
          <w:szCs w:val="32"/>
          <w:highlight w:val="none"/>
          <w:lang w:val="zh-CN"/>
        </w:rPr>
      </w:pPr>
      <w:r>
        <w:rPr>
          <w:rFonts w:hint="eastAsia" w:ascii="仿宋_GB2312" w:hAnsi="Times New Roman" w:eastAsia="仿宋_GB2312" w:cs="Times New Roman"/>
          <w:sz w:val="32"/>
          <w:szCs w:val="32"/>
          <w:highlight w:val="none"/>
          <w:lang w:val="zh-CN"/>
        </w:rPr>
        <w:t>地址：</w:t>
      </w:r>
      <w:r>
        <w:rPr>
          <w:rFonts w:hint="eastAsia" w:ascii="仿宋_GB2312" w:hAnsi="仿宋" w:eastAsia="仿宋_GB2312" w:cs="Arial"/>
          <w:color w:val="000000"/>
          <w:sz w:val="32"/>
          <w:szCs w:val="32"/>
          <w:highlight w:val="none"/>
          <w:lang w:val="zh-CN"/>
        </w:rPr>
        <w:t>杭州市上城区九和路4</w:t>
      </w:r>
      <w:r>
        <w:rPr>
          <w:rFonts w:ascii="仿宋_GB2312" w:hAnsi="仿宋" w:eastAsia="仿宋_GB2312" w:cs="Arial"/>
          <w:color w:val="000000"/>
          <w:sz w:val="32"/>
          <w:szCs w:val="32"/>
          <w:highlight w:val="none"/>
          <w:lang w:val="zh-CN"/>
        </w:rPr>
        <w:t>66</w:t>
      </w:r>
      <w:r>
        <w:rPr>
          <w:rFonts w:hint="eastAsia" w:ascii="仿宋_GB2312" w:hAnsi="仿宋" w:eastAsia="仿宋_GB2312" w:cs="Arial"/>
          <w:color w:val="000000"/>
          <w:sz w:val="32"/>
          <w:szCs w:val="32"/>
          <w:highlight w:val="none"/>
          <w:lang w:val="zh-CN"/>
        </w:rPr>
        <w:t>号杭州地铁运营大楼。</w:t>
      </w:r>
    </w:p>
    <w:p w14:paraId="30CE1A03">
      <w:pPr>
        <w:spacing w:line="600" w:lineRule="exact"/>
        <w:ind w:firstLine="640" w:firstLineChars="200"/>
        <w:rPr>
          <w:rFonts w:ascii="仿宋_GB2312" w:hAnsi="Times New Roman" w:eastAsia="仿宋_GB2312" w:cs="Times New Roman"/>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highlight w:val="none"/>
          <w:lang w:val="zh-CN"/>
          <w14:textFill>
            <w14:solidFill>
              <w14:schemeClr w14:val="tx1"/>
            </w14:solidFill>
          </w14:textFill>
        </w:rPr>
        <w:t>本项目技术咨询联系人：颜工</w:t>
      </w:r>
    </w:p>
    <w:p w14:paraId="5111D7A9">
      <w:pPr>
        <w:spacing w:line="600" w:lineRule="exact"/>
        <w:ind w:firstLine="640" w:firstLineChars="200"/>
        <w:rPr>
          <w:rFonts w:ascii="仿宋_GB2312" w:hAnsi="Times New Roman" w:eastAsia="仿宋_GB2312" w:cs="Times New Roman"/>
          <w:color w:val="000000" w:themeColor="text1"/>
          <w:sz w:val="32"/>
          <w:szCs w:val="32"/>
          <w:highlight w:val="none"/>
          <w:lang w:val="zh-CN"/>
          <w14:textFill>
            <w14:solidFill>
              <w14:schemeClr w14:val="tx1"/>
            </w14:solidFill>
          </w14:textFill>
        </w:rPr>
      </w:pPr>
      <w:r>
        <w:rPr>
          <w:rFonts w:hint="eastAsia" w:ascii="仿宋_GB2312" w:hAnsi="Times New Roman" w:eastAsia="仿宋_GB2312" w:cs="Times New Roman"/>
          <w:color w:val="000000" w:themeColor="text1"/>
          <w:sz w:val="32"/>
          <w:szCs w:val="32"/>
          <w:highlight w:val="none"/>
          <w:lang w:val="zh-CN"/>
          <w14:textFill>
            <w14:solidFill>
              <w14:schemeClr w14:val="tx1"/>
            </w14:solidFill>
          </w14:textFill>
        </w:rPr>
        <w:t>电话：18668146182</w:t>
      </w:r>
    </w:p>
    <w:p w14:paraId="7846A5A5">
      <w:pPr>
        <w:adjustRightInd w:val="0"/>
        <w:spacing w:line="600" w:lineRule="exact"/>
        <w:ind w:firstLine="640" w:firstLineChars="200"/>
        <w:rPr>
          <w:rFonts w:ascii="仿宋_GB2312" w:hAnsi="仿宋" w:eastAsia="仿宋_GB2312" w:cs="Arial"/>
          <w:color w:val="000000"/>
          <w:sz w:val="32"/>
          <w:szCs w:val="32"/>
          <w:highlight w:val="none"/>
          <w:lang w:val="zh-CN"/>
        </w:rPr>
      </w:pPr>
      <w:r>
        <w:rPr>
          <w:rFonts w:hint="eastAsia" w:ascii="仿宋_GB2312" w:hAnsi="Times New Roman" w:eastAsia="仿宋_GB2312" w:cs="Times New Roman"/>
          <w:sz w:val="32"/>
          <w:szCs w:val="32"/>
          <w:highlight w:val="none"/>
          <w:lang w:val="zh-CN"/>
        </w:rPr>
        <w:t>地址：</w:t>
      </w:r>
      <w:r>
        <w:rPr>
          <w:rFonts w:hint="eastAsia" w:ascii="仿宋_GB2312" w:hAnsi="仿宋" w:eastAsia="仿宋_GB2312" w:cs="Arial"/>
          <w:color w:val="000000"/>
          <w:sz w:val="32"/>
          <w:szCs w:val="32"/>
          <w:highlight w:val="none"/>
          <w:lang w:val="zh-CN"/>
        </w:rPr>
        <w:t>杭州市上城区九和路</w:t>
      </w:r>
      <w:r>
        <w:rPr>
          <w:rFonts w:ascii="仿宋_GB2312" w:hAnsi="仿宋" w:eastAsia="仿宋_GB2312" w:cs="Arial"/>
          <w:color w:val="000000"/>
          <w:sz w:val="32"/>
          <w:szCs w:val="32"/>
          <w:highlight w:val="none"/>
          <w:lang w:val="zh-CN"/>
        </w:rPr>
        <w:t>466</w:t>
      </w:r>
      <w:r>
        <w:rPr>
          <w:rFonts w:hint="eastAsia" w:ascii="仿宋_GB2312" w:hAnsi="仿宋" w:eastAsia="仿宋_GB2312" w:cs="Arial"/>
          <w:color w:val="000000"/>
          <w:sz w:val="32"/>
          <w:szCs w:val="32"/>
          <w:highlight w:val="none"/>
          <w:lang w:val="zh-CN"/>
        </w:rPr>
        <w:t>号杭州地铁运营大楼。</w:t>
      </w:r>
    </w:p>
    <w:p w14:paraId="4F401A6E">
      <w:pPr>
        <w:spacing w:line="600" w:lineRule="exact"/>
        <w:ind w:firstLine="640" w:firstLineChars="200"/>
        <w:rPr>
          <w:rFonts w:ascii="仿宋_GB2312" w:eastAsia="仿宋_GB2312" w:cs="仿宋_GB2312" w:hAnsiTheme="majorEastAsia"/>
          <w:sz w:val="32"/>
          <w:szCs w:val="32"/>
          <w:highlight w:val="none"/>
          <w:lang w:val="zh-CN"/>
        </w:rPr>
      </w:pPr>
      <w:r>
        <w:rPr>
          <w:rFonts w:hint="eastAsia" w:ascii="仿宋_GB2312" w:eastAsia="仿宋_GB2312" w:cs="仿宋_GB2312" w:hAnsiTheme="majorEastAsia"/>
          <w:sz w:val="32"/>
          <w:szCs w:val="32"/>
          <w:highlight w:val="none"/>
          <w:lang w:val="zh-CN"/>
        </w:rPr>
        <w:t>采购代理：</w:t>
      </w:r>
      <w:r>
        <w:rPr>
          <w:rFonts w:hint="eastAsia" w:ascii="仿宋_GB2312" w:eastAsia="仿宋_GB2312" w:cs="Arial" w:hAnsiTheme="majorEastAsia"/>
          <w:color w:val="000000"/>
          <w:sz w:val="32"/>
          <w:szCs w:val="32"/>
          <w:highlight w:val="none"/>
          <w:lang w:val="zh-CN"/>
        </w:rPr>
        <w:t>建经投资咨询有限公司</w:t>
      </w:r>
    </w:p>
    <w:p w14:paraId="51171C91">
      <w:pPr>
        <w:spacing w:line="600" w:lineRule="exact"/>
        <w:ind w:firstLine="640" w:firstLineChars="200"/>
        <w:rPr>
          <w:rFonts w:ascii="仿宋_GB2312" w:eastAsia="仿宋_GB2312" w:cs="Arial" w:hAnsiTheme="majorEastAsia"/>
          <w:color w:val="000000"/>
          <w:sz w:val="32"/>
          <w:szCs w:val="32"/>
          <w:highlight w:val="none"/>
        </w:rPr>
      </w:pPr>
      <w:r>
        <w:rPr>
          <w:rFonts w:hint="eastAsia" w:ascii="仿宋_GB2312" w:eastAsia="仿宋_GB2312" w:cs="仿宋_GB2312" w:hAnsiTheme="majorEastAsia"/>
          <w:sz w:val="32"/>
          <w:szCs w:val="32"/>
          <w:highlight w:val="none"/>
          <w:lang w:val="zh-CN"/>
        </w:rPr>
        <w:t>联系人：</w:t>
      </w:r>
      <w:r>
        <w:rPr>
          <w:rFonts w:hint="eastAsia" w:ascii="仿宋_GB2312" w:eastAsia="仿宋_GB2312"/>
          <w:color w:val="000000"/>
          <w:sz w:val="32"/>
          <w:szCs w:val="32"/>
          <w:highlight w:val="none"/>
        </w:rPr>
        <w:t>谢工，杨工</w:t>
      </w:r>
    </w:p>
    <w:p w14:paraId="662D42D3">
      <w:pPr>
        <w:spacing w:line="600" w:lineRule="exact"/>
        <w:ind w:firstLine="640" w:firstLineChars="200"/>
        <w:rPr>
          <w:rFonts w:ascii="仿宋_GB2312" w:eastAsia="仿宋_GB2312"/>
          <w:color w:val="000000"/>
          <w:sz w:val="32"/>
          <w:szCs w:val="32"/>
          <w:highlight w:val="none"/>
        </w:rPr>
      </w:pPr>
      <w:r>
        <w:rPr>
          <w:rFonts w:hint="eastAsia" w:ascii="仿宋_GB2312" w:eastAsia="仿宋_GB2312" w:cs="Arial" w:hAnsiTheme="majorEastAsia"/>
          <w:color w:val="000000"/>
          <w:sz w:val="32"/>
          <w:szCs w:val="32"/>
          <w:highlight w:val="none"/>
          <w:lang w:val="zh-CN"/>
        </w:rPr>
        <w:t>电话：</w:t>
      </w:r>
      <w:r>
        <w:rPr>
          <w:rFonts w:ascii="仿宋_GB2312" w:eastAsia="仿宋_GB2312" w:cs="Arial" w:hAnsiTheme="majorEastAsia"/>
          <w:color w:val="000000"/>
          <w:sz w:val="32"/>
          <w:szCs w:val="32"/>
          <w:highlight w:val="none"/>
        </w:rPr>
        <w:t>18767769833</w:t>
      </w:r>
      <w:r>
        <w:rPr>
          <w:rFonts w:hint="eastAsia" w:ascii="仿宋_GB2312" w:eastAsia="仿宋_GB2312" w:cs="Arial" w:hAnsiTheme="majorEastAsia"/>
          <w:color w:val="000000"/>
          <w:sz w:val="32"/>
          <w:szCs w:val="32"/>
          <w:highlight w:val="none"/>
        </w:rPr>
        <w:t>，</w:t>
      </w:r>
      <w:r>
        <w:rPr>
          <w:rFonts w:ascii="仿宋_GB2312" w:eastAsia="仿宋_GB2312" w:cs="Arial" w:hAnsiTheme="majorEastAsia"/>
          <w:color w:val="000000"/>
          <w:sz w:val="32"/>
          <w:szCs w:val="32"/>
          <w:highlight w:val="none"/>
          <w:lang w:val="zh-CN"/>
        </w:rPr>
        <w:t>15268096986</w:t>
      </w:r>
    </w:p>
    <w:p w14:paraId="2F541917">
      <w:pPr>
        <w:tabs>
          <w:tab w:val="left" w:pos="420"/>
          <w:tab w:val="left" w:pos="1155"/>
          <w:tab w:val="left" w:pos="5670"/>
        </w:tabs>
        <w:spacing w:line="600" w:lineRule="exact"/>
        <w:ind w:firstLine="640" w:firstLineChars="200"/>
        <w:rPr>
          <w:rFonts w:ascii="仿宋_GB2312" w:hAnsi="仿宋_GB2312" w:eastAsia="仿宋_GB2312" w:cs="仿宋_GB2312"/>
          <w:sz w:val="32"/>
          <w:szCs w:val="32"/>
          <w:highlight w:val="none"/>
          <w:lang w:val="zh-CN"/>
        </w:rPr>
      </w:pPr>
      <w:r>
        <w:rPr>
          <w:rFonts w:hint="eastAsia" w:ascii="仿宋_GB2312" w:eastAsia="仿宋_GB2312" w:cs="仿宋_GB2312" w:hAnsiTheme="majorEastAsia"/>
          <w:sz w:val="32"/>
          <w:szCs w:val="32"/>
          <w:highlight w:val="none"/>
          <w:lang w:val="zh-CN"/>
        </w:rPr>
        <w:t>地址：杭州市建国北路</w:t>
      </w:r>
      <w:r>
        <w:rPr>
          <w:rFonts w:ascii="仿宋_GB2312" w:eastAsia="仿宋_GB2312" w:cs="仿宋_GB2312" w:hAnsiTheme="majorEastAsia"/>
          <w:sz w:val="32"/>
          <w:szCs w:val="32"/>
          <w:highlight w:val="none"/>
          <w:lang w:val="zh-CN"/>
        </w:rPr>
        <w:t>586</w:t>
      </w:r>
      <w:r>
        <w:rPr>
          <w:rFonts w:hint="eastAsia" w:ascii="仿宋_GB2312" w:eastAsia="仿宋_GB2312" w:cs="仿宋_GB2312" w:hAnsiTheme="majorEastAsia"/>
          <w:sz w:val="32"/>
          <w:szCs w:val="32"/>
          <w:highlight w:val="none"/>
          <w:lang w:val="zh-CN"/>
        </w:rPr>
        <w:t>号海华嘉联华铭座</w:t>
      </w:r>
      <w:r>
        <w:rPr>
          <w:rFonts w:hint="eastAsia" w:ascii="仿宋_GB2312" w:eastAsia="仿宋_GB2312" w:cs="仿宋_GB2312" w:hAnsiTheme="majorEastAsia"/>
          <w:sz w:val="32"/>
          <w:szCs w:val="32"/>
          <w:highlight w:val="none"/>
        </w:rPr>
        <w:t>15</w:t>
      </w:r>
      <w:r>
        <w:rPr>
          <w:rFonts w:hint="eastAsia" w:ascii="仿宋_GB2312" w:eastAsia="仿宋_GB2312" w:cs="仿宋_GB2312" w:hAnsiTheme="majorEastAsia"/>
          <w:sz w:val="32"/>
          <w:szCs w:val="32"/>
          <w:highlight w:val="none"/>
          <w:lang w:val="zh-CN"/>
        </w:rPr>
        <w:t>楼。</w:t>
      </w:r>
    </w:p>
    <w:p w14:paraId="70516B55">
      <w:pPr>
        <w:ind w:firstLine="640" w:firstLineChars="200"/>
        <w:jc w:val="right"/>
        <w:rPr>
          <w:rFonts w:ascii="仿宋_GB2312" w:hAnsi="仿宋_GB2312" w:eastAsia="仿宋_GB2312" w:cs="仿宋_GB2312"/>
          <w:sz w:val="32"/>
          <w:szCs w:val="32"/>
          <w:highlight w:val="none"/>
          <w:lang w:val="zh-CN"/>
        </w:rPr>
      </w:pPr>
    </w:p>
    <w:p w14:paraId="1BBBDC1F">
      <w:pPr>
        <w:ind w:firstLine="640" w:firstLineChars="200"/>
        <w:jc w:val="right"/>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杭州地铁运营有限公司工会委员会</w:t>
      </w:r>
    </w:p>
    <w:p w14:paraId="21F95C6E">
      <w:pPr>
        <w:ind w:firstLine="640" w:firstLineChars="200"/>
        <w:jc w:val="right"/>
        <w:rPr>
          <w:rFonts w:ascii="仿宋_GB2312" w:hAnsi="Times New Roman" w:eastAsia="仿宋_GB2312" w:cs="Times New Roman"/>
          <w:sz w:val="32"/>
          <w:szCs w:val="32"/>
          <w:highlight w:val="none"/>
          <w:lang w:val="zh-CN"/>
        </w:rPr>
      </w:pPr>
      <w:r>
        <w:rPr>
          <w:rFonts w:hint="eastAsia" w:ascii="仿宋_GB2312" w:hAnsi="仿宋_GB2312" w:eastAsia="仿宋_GB2312" w:cs="仿宋_GB2312"/>
          <w:sz w:val="32"/>
          <w:szCs w:val="32"/>
          <w:highlight w:val="none"/>
          <w:lang w:val="zh-CN"/>
        </w:rPr>
        <w:t>建经投资咨询有限公司</w:t>
      </w:r>
    </w:p>
    <w:p w14:paraId="7AAD43A0">
      <w:pPr>
        <w:ind w:firstLine="640" w:firstLineChars="200"/>
        <w:jc w:val="right"/>
        <w:rPr>
          <w:rFonts w:ascii="仿宋_GB2312" w:hAnsi="Times New Roman" w:eastAsia="仿宋_GB2312" w:cs="Times New Roman"/>
          <w:sz w:val="32"/>
          <w:szCs w:val="32"/>
          <w:highlight w:val="none"/>
          <w:lang w:val="zh-CN"/>
        </w:rPr>
      </w:pPr>
      <w:r>
        <w:rPr>
          <w:rFonts w:hint="eastAsia" w:ascii="仿宋_GB2312" w:hAnsi="Times New Roman" w:eastAsia="仿宋_GB2312" w:cs="Times New Roman"/>
          <w:sz w:val="32"/>
          <w:szCs w:val="32"/>
          <w:highlight w:val="none"/>
          <w:lang w:val="zh-CN"/>
        </w:rPr>
        <w:t>202</w:t>
      </w:r>
      <w:r>
        <w:rPr>
          <w:rFonts w:hint="eastAsia" w:ascii="仿宋_GB2312" w:hAnsi="Times New Roman" w:eastAsia="仿宋_GB2312" w:cs="Times New Roman"/>
          <w:sz w:val="32"/>
          <w:szCs w:val="32"/>
          <w:highlight w:val="none"/>
        </w:rPr>
        <w:t>6</w:t>
      </w:r>
      <w:r>
        <w:rPr>
          <w:rFonts w:hint="eastAsia" w:ascii="仿宋_GB2312" w:hAnsi="Times New Roman" w:eastAsia="仿宋_GB2312" w:cs="Times New Roman"/>
          <w:sz w:val="32"/>
          <w:szCs w:val="32"/>
          <w:highlight w:val="none"/>
          <w:lang w:val="zh-CN"/>
        </w:rPr>
        <w:t>年</w:t>
      </w:r>
      <w:r>
        <w:rPr>
          <w:rFonts w:hint="eastAsia" w:ascii="仿宋_GB2312" w:hAnsi="Times New Roman" w:eastAsia="仿宋_GB2312" w:cs="Times New Roman"/>
          <w:sz w:val="32"/>
          <w:szCs w:val="32"/>
          <w:highlight w:val="none"/>
          <w:lang w:val="en-US" w:eastAsia="zh-CN"/>
        </w:rPr>
        <w:t>1</w:t>
      </w:r>
      <w:r>
        <w:rPr>
          <w:rFonts w:hint="eastAsia" w:ascii="仿宋_GB2312" w:hAnsi="Times New Roman" w:eastAsia="仿宋_GB2312" w:cs="Times New Roman"/>
          <w:sz w:val="32"/>
          <w:szCs w:val="32"/>
          <w:highlight w:val="none"/>
          <w:lang w:val="zh-CN"/>
        </w:rPr>
        <w:t>月</w:t>
      </w:r>
      <w:r>
        <w:rPr>
          <w:rFonts w:hint="eastAsia" w:ascii="仿宋_GB2312" w:hAnsi="Times New Roman" w:eastAsia="仿宋_GB2312" w:cs="Times New Roman"/>
          <w:sz w:val="32"/>
          <w:szCs w:val="32"/>
          <w:highlight w:val="none"/>
          <w:lang w:val="en-US" w:eastAsia="zh-CN"/>
        </w:rPr>
        <w:t>27</w:t>
      </w:r>
      <w:r>
        <w:rPr>
          <w:rFonts w:hint="eastAsia" w:ascii="仿宋_GB2312" w:hAnsi="Times New Roman" w:eastAsia="仿宋_GB2312" w:cs="Times New Roman"/>
          <w:sz w:val="32"/>
          <w:szCs w:val="32"/>
          <w:highlight w:val="none"/>
          <w:lang w:val="zh-CN"/>
        </w:rPr>
        <w:t>日</w:t>
      </w:r>
    </w:p>
    <w:p w14:paraId="026C3C20">
      <w:pPr>
        <w:pStyle w:val="9"/>
        <w:rPr>
          <w:rFonts w:hAnsi="宋体" w:eastAsia="宋体" w:cs="宋体"/>
          <w:spacing w:val="0"/>
          <w:sz w:val="24"/>
          <w:szCs w:val="24"/>
          <w:highlight w:val="none"/>
        </w:rPr>
      </w:pPr>
      <w:r>
        <w:rPr>
          <w:rFonts w:hint="eastAsia" w:hAnsi="宋体" w:eastAsia="宋体" w:cs="宋体"/>
          <w:spacing w:val="0"/>
          <w:sz w:val="24"/>
          <w:szCs w:val="24"/>
          <w:highlight w:val="none"/>
        </w:rPr>
        <w:br w:type="page"/>
      </w:r>
    </w:p>
    <w:p w14:paraId="4C51DCA6">
      <w:pPr>
        <w:pStyle w:val="3"/>
        <w:spacing w:before="0" w:beforeAutospacing="0" w:after="0" w:afterAutospacing="0" w:line="360" w:lineRule="auto"/>
        <w:rPr>
          <w:highlight w:val="none"/>
        </w:rPr>
      </w:pPr>
      <w:r>
        <w:rPr>
          <w:rFonts w:hint="eastAsia"/>
          <w:highlight w:val="none"/>
        </w:rPr>
        <w:t>用户需求书</w:t>
      </w:r>
    </w:p>
    <w:p w14:paraId="7C4B9629">
      <w:pPr>
        <w:adjustRightInd w:val="0"/>
        <w:snapToGrid w:val="0"/>
        <w:spacing w:line="360" w:lineRule="auto"/>
        <w:ind w:firstLine="482" w:firstLineChars="200"/>
        <w:rPr>
          <w:rFonts w:ascii="宋体" w:hAnsi="宋体" w:eastAsia="宋体" w:cs="宋体"/>
          <w:b/>
          <w:bCs/>
          <w:sz w:val="24"/>
          <w:szCs w:val="24"/>
          <w:highlight w:val="none"/>
        </w:rPr>
      </w:pPr>
      <w:r>
        <w:rPr>
          <w:rFonts w:ascii="宋体" w:hAnsi="宋体" w:eastAsia="宋体" w:cs="宋体"/>
          <w:b/>
          <w:bCs/>
          <w:sz w:val="24"/>
          <w:szCs w:val="24"/>
          <w:highlight w:val="none"/>
        </w:rPr>
        <w:t>1</w:t>
      </w:r>
      <w:r>
        <w:rPr>
          <w:rFonts w:hint="eastAsia" w:ascii="宋体" w:hAnsi="宋体" w:eastAsia="宋体" w:cs="宋体"/>
          <w:b/>
          <w:bCs/>
          <w:sz w:val="24"/>
          <w:szCs w:val="24"/>
          <w:highlight w:val="none"/>
        </w:rPr>
        <w:t>.</w:t>
      </w:r>
      <w:r>
        <w:rPr>
          <w:rFonts w:ascii="宋体" w:hAnsi="宋体" w:eastAsia="宋体" w:cs="宋体"/>
          <w:b/>
          <w:bCs/>
          <w:sz w:val="24"/>
          <w:szCs w:val="24"/>
          <w:highlight w:val="none"/>
        </w:rPr>
        <w:t>项目名称</w:t>
      </w:r>
    </w:p>
    <w:p w14:paraId="262D848C">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杭州地铁运营有限公司工会2026年职工妇女节活动服务采购项目</w:t>
      </w:r>
    </w:p>
    <w:p w14:paraId="4371BCDB">
      <w:pPr>
        <w:adjustRightInd w:val="0"/>
        <w:snapToGrid w:val="0"/>
        <w:spacing w:line="360" w:lineRule="auto"/>
        <w:ind w:firstLine="482" w:firstLineChars="200"/>
        <w:rPr>
          <w:rFonts w:ascii="宋体" w:hAnsi="宋体" w:eastAsia="宋体" w:cs="宋体"/>
          <w:b/>
          <w:bCs/>
          <w:sz w:val="24"/>
          <w:szCs w:val="24"/>
          <w:highlight w:val="none"/>
        </w:rPr>
      </w:pPr>
      <w:r>
        <w:rPr>
          <w:rFonts w:ascii="宋体" w:hAnsi="宋体" w:eastAsia="宋体" w:cs="宋体"/>
          <w:b/>
          <w:bCs/>
          <w:sz w:val="24"/>
          <w:szCs w:val="24"/>
          <w:highlight w:val="none"/>
        </w:rPr>
        <w:t>2</w:t>
      </w:r>
      <w:r>
        <w:rPr>
          <w:rFonts w:hint="eastAsia" w:ascii="宋体" w:hAnsi="宋体" w:eastAsia="宋体" w:cs="宋体"/>
          <w:b/>
          <w:bCs/>
          <w:sz w:val="24"/>
          <w:szCs w:val="24"/>
          <w:highlight w:val="none"/>
        </w:rPr>
        <w:t>.</w:t>
      </w:r>
      <w:r>
        <w:rPr>
          <w:rFonts w:ascii="宋体" w:hAnsi="宋体" w:eastAsia="宋体" w:cs="宋体"/>
          <w:b/>
          <w:bCs/>
          <w:sz w:val="24"/>
          <w:szCs w:val="24"/>
          <w:highlight w:val="none"/>
        </w:rPr>
        <w:t>项目概况</w:t>
      </w:r>
    </w:p>
    <w:p w14:paraId="753D37D2">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为依法保障和促进女职工身心健康发展，采购人组织开展2026年职工妇女节活动服务项目采购。</w:t>
      </w:r>
    </w:p>
    <w:p w14:paraId="44613AE3">
      <w:pPr>
        <w:adjustRightInd w:val="0"/>
        <w:snapToGrid w:val="0"/>
        <w:spacing w:line="360" w:lineRule="auto"/>
        <w:ind w:firstLine="482" w:firstLineChars="200"/>
        <w:rPr>
          <w:rFonts w:ascii="宋体" w:hAnsi="宋体" w:eastAsia="宋体" w:cs="宋体"/>
          <w:b/>
          <w:bCs/>
          <w:sz w:val="24"/>
          <w:szCs w:val="24"/>
          <w:highlight w:val="none"/>
        </w:rPr>
      </w:pPr>
      <w:r>
        <w:rPr>
          <w:rFonts w:ascii="宋体" w:hAnsi="宋体" w:eastAsia="宋体" w:cs="宋体"/>
          <w:b/>
          <w:bCs/>
          <w:sz w:val="24"/>
          <w:szCs w:val="24"/>
          <w:highlight w:val="none"/>
        </w:rPr>
        <w:t>3</w:t>
      </w:r>
      <w:r>
        <w:rPr>
          <w:rFonts w:hint="eastAsia" w:ascii="宋体" w:hAnsi="宋体" w:eastAsia="宋体" w:cs="宋体"/>
          <w:b/>
          <w:bCs/>
          <w:sz w:val="24"/>
          <w:szCs w:val="24"/>
          <w:highlight w:val="none"/>
        </w:rPr>
        <w:t>.本项目服务地点及内容</w:t>
      </w:r>
    </w:p>
    <w:p w14:paraId="73D57021">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七堡停车场（含运营大楼、综合楼）、蜀山车辆段、双桥停车场、昌达车辆段、勾庄车辆段、观音塘站、星桥车辆段、双浦车辆段、上泉车辆段、丰北停车场、善贤站、奥体中心站、盈中车辆段、江东三路停车场、靖江停车场、仁和车辆段、文三路站等采购人指定的女职工集中工作段场或杭州地铁车站，以及成交人建议的其他合适场地（地铁站点周边），可同时承接多地。</w:t>
      </w:r>
    </w:p>
    <w:p w14:paraId="226B8800">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3.2根据采购人女职工报名情况，成交人应提供7种（含）以上类型，总场次共计10个场次（含）以上的妇女节活动。每场活动不少于4小时。</w:t>
      </w:r>
    </w:p>
    <w:p w14:paraId="0B3FF3B3">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3.3成交人提供包含但不限于花艺或茶艺品鉴、手工或烘焙制作、书画体验、影视鉴赏、皮肤保养及美妆、美体健身、按摩理疗等活动形式的服务。</w:t>
      </w:r>
    </w:p>
    <w:p w14:paraId="613F909E">
      <w:pPr>
        <w:adjustRightInd w:val="0"/>
        <w:snapToGrid w:val="0"/>
        <w:spacing w:line="360" w:lineRule="auto"/>
        <w:ind w:firstLine="480" w:firstLineChars="200"/>
        <w:rPr>
          <w:rFonts w:ascii="宋体" w:hAnsi="宋体" w:eastAsia="宋体" w:cs="宋体"/>
          <w:b/>
          <w:bCs/>
          <w:sz w:val="24"/>
          <w:szCs w:val="24"/>
          <w:highlight w:val="none"/>
          <w:lang w:val="zh-CN"/>
        </w:rPr>
      </w:pPr>
      <w:r>
        <w:rPr>
          <w:rFonts w:hint="eastAsia" w:ascii="宋体" w:hAnsi="宋体" w:eastAsia="宋体" w:cs="宋体"/>
          <w:sz w:val="24"/>
          <w:szCs w:val="24"/>
          <w:highlight w:val="none"/>
        </w:rPr>
        <w:t>3.4成交人设计的活动内容需根据青年（35周岁及以下）女职工、中年（35周岁以上）女职工2类人群进行对应区别设计。</w:t>
      </w:r>
    </w:p>
    <w:p w14:paraId="254DC872">
      <w:pPr>
        <w:adjustRightInd w:val="0"/>
        <w:snapToGrid w:val="0"/>
        <w:spacing w:line="360" w:lineRule="auto"/>
        <w:ind w:firstLine="482" w:firstLineChars="200"/>
        <w:rPr>
          <w:rFonts w:ascii="宋体" w:hAnsi="宋体" w:eastAsia="宋体" w:cs="宋体"/>
          <w:b/>
          <w:bCs/>
          <w:sz w:val="24"/>
          <w:szCs w:val="24"/>
          <w:highlight w:val="none"/>
        </w:rPr>
      </w:pPr>
      <w:r>
        <w:rPr>
          <w:rFonts w:ascii="宋体" w:hAnsi="宋体" w:eastAsia="宋体" w:cs="宋体"/>
          <w:b/>
          <w:bCs/>
          <w:sz w:val="24"/>
          <w:szCs w:val="24"/>
          <w:highlight w:val="none"/>
        </w:rPr>
        <w:t>4.本项目服务要求</w:t>
      </w:r>
    </w:p>
    <w:p w14:paraId="372E8415">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4.1服务范围：采购人全体在职女职工（预计3190人）。</w:t>
      </w:r>
    </w:p>
    <w:p w14:paraId="68B519E2">
      <w:pPr>
        <w:adjustRightInd w:val="0"/>
        <w:snapToGrid w:val="0"/>
        <w:spacing w:line="360" w:lineRule="auto"/>
        <w:ind w:firstLine="480" w:firstLineChars="200"/>
        <w:rPr>
          <w:rFonts w:ascii="宋体" w:hAnsi="宋体" w:eastAsia="宋体" w:cs="宋体"/>
          <w:b/>
          <w:bCs/>
          <w:sz w:val="24"/>
          <w:szCs w:val="24"/>
          <w:highlight w:val="none"/>
        </w:rPr>
      </w:pPr>
      <w:r>
        <w:rPr>
          <w:rFonts w:hint="eastAsia" w:ascii="宋体" w:hAnsi="宋体" w:eastAsia="宋体" w:cs="宋体"/>
          <w:sz w:val="24"/>
          <w:szCs w:val="24"/>
          <w:highlight w:val="none"/>
        </w:rPr>
        <w:t>4.2服务期限：2026年3月2日起至2026年3月31日止。</w:t>
      </w:r>
    </w:p>
    <w:p w14:paraId="682177CE">
      <w:pPr>
        <w:widowControl/>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43C9A309">
      <w:pPr>
        <w:pStyle w:val="3"/>
        <w:numPr>
          <w:ilvl w:val="255"/>
          <w:numId w:val="0"/>
        </w:numPr>
        <w:rPr>
          <w:highlight w:val="none"/>
        </w:rPr>
      </w:pPr>
      <w:r>
        <w:rPr>
          <w:rFonts w:hint="eastAsia"/>
          <w:highlight w:val="none"/>
        </w:rPr>
        <w:t>报价文件编制</w:t>
      </w:r>
      <w:bookmarkStart w:id="4" w:name="_Toc1013"/>
    </w:p>
    <w:p w14:paraId="0C8AFE6C">
      <w:pPr>
        <w:adjustRightInd w:val="0"/>
        <w:snapToGrid w:val="0"/>
        <w:spacing w:line="360" w:lineRule="auto"/>
        <w:outlineLvl w:val="2"/>
        <w:rPr>
          <w:rFonts w:ascii="宋体" w:hAnsi="宋体" w:eastAsia="宋体" w:cs="宋体"/>
          <w:b/>
          <w:sz w:val="24"/>
          <w:szCs w:val="24"/>
          <w:highlight w:val="none"/>
        </w:rPr>
      </w:pPr>
      <w:r>
        <w:rPr>
          <w:rFonts w:hint="eastAsia" w:ascii="宋体" w:hAnsi="宋体" w:eastAsia="宋体" w:cs="宋体"/>
          <w:b/>
          <w:sz w:val="24"/>
          <w:szCs w:val="24"/>
          <w:highlight w:val="none"/>
        </w:rPr>
        <w:t>（一）报价文件的组成</w:t>
      </w:r>
      <w:bookmarkEnd w:id="4"/>
    </w:p>
    <w:p w14:paraId="18ED0A92">
      <w:pPr>
        <w:pStyle w:val="9"/>
        <w:adjustRightInd w:val="0"/>
        <w:snapToGrid w:val="0"/>
        <w:spacing w:line="360" w:lineRule="auto"/>
        <w:ind w:firstLine="480" w:firstLineChars="200"/>
        <w:jc w:val="left"/>
        <w:rPr>
          <w:rFonts w:hAnsi="宋体" w:eastAsia="宋体" w:cs="宋体"/>
          <w:spacing w:val="0"/>
          <w:sz w:val="24"/>
          <w:szCs w:val="24"/>
          <w:highlight w:val="none"/>
        </w:rPr>
      </w:pPr>
      <w:r>
        <w:rPr>
          <w:rFonts w:hint="eastAsia" w:hAnsi="宋体" w:eastAsia="宋体" w:cs="宋体"/>
          <w:spacing w:val="0"/>
          <w:sz w:val="24"/>
          <w:szCs w:val="24"/>
          <w:highlight w:val="none"/>
        </w:rPr>
        <w:t>报价文件由承诺书、资格文件、报价单、商务技术文件、技术及商务偏离表五部分组成，并</w:t>
      </w:r>
      <w:r>
        <w:rPr>
          <w:rFonts w:hint="eastAsia" w:hAnsi="宋体" w:eastAsia="宋体" w:cs="宋体"/>
          <w:b/>
          <w:bCs/>
          <w:spacing w:val="0"/>
          <w:sz w:val="24"/>
          <w:szCs w:val="24"/>
          <w:highlight w:val="none"/>
        </w:rPr>
        <w:t>合并装订</w:t>
      </w:r>
      <w:r>
        <w:rPr>
          <w:rFonts w:hint="eastAsia" w:hAnsi="宋体" w:eastAsia="宋体" w:cs="宋体"/>
          <w:spacing w:val="0"/>
          <w:sz w:val="24"/>
          <w:szCs w:val="24"/>
          <w:highlight w:val="none"/>
        </w:rPr>
        <w:t>成册（格式详见下文）。</w:t>
      </w:r>
    </w:p>
    <w:p w14:paraId="588FC3D6">
      <w:pPr>
        <w:adjustRightInd w:val="0"/>
        <w:snapToGrid w:val="0"/>
        <w:spacing w:line="360" w:lineRule="auto"/>
        <w:ind w:firstLine="482" w:firstLineChars="200"/>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ascii="宋体" w:hAnsi="宋体" w:eastAsia="宋体" w:cs="宋体"/>
          <w:b/>
          <w:bCs/>
          <w:sz w:val="24"/>
          <w:szCs w:val="24"/>
          <w:highlight w:val="none"/>
        </w:rPr>
        <w:t>.</w:t>
      </w:r>
      <w:r>
        <w:rPr>
          <w:rFonts w:hint="eastAsia" w:ascii="宋体" w:hAnsi="宋体" w:eastAsia="宋体" w:cs="宋体"/>
          <w:b/>
          <w:bCs/>
          <w:sz w:val="24"/>
          <w:szCs w:val="24"/>
          <w:highlight w:val="none"/>
        </w:rPr>
        <w:t>承诺书</w:t>
      </w:r>
    </w:p>
    <w:p w14:paraId="46EFE549">
      <w:pPr>
        <w:adjustRightInd w:val="0"/>
        <w:snapToGrid w:val="0"/>
        <w:spacing w:line="360" w:lineRule="auto"/>
        <w:ind w:firstLine="482" w:firstLineChars="200"/>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w:t>
      </w:r>
      <w:r>
        <w:rPr>
          <w:rFonts w:ascii="宋体" w:hAnsi="宋体" w:eastAsia="宋体" w:cs="宋体"/>
          <w:b/>
          <w:bCs/>
          <w:sz w:val="24"/>
          <w:szCs w:val="24"/>
          <w:highlight w:val="none"/>
        </w:rPr>
        <w:t>2</w:t>
      </w:r>
      <w:r>
        <w:rPr>
          <w:rFonts w:hint="eastAsia" w:ascii="宋体" w:hAnsi="宋体" w:eastAsia="宋体" w:cs="宋体"/>
          <w:b/>
          <w:bCs/>
          <w:sz w:val="24"/>
          <w:szCs w:val="24"/>
          <w:highlight w:val="none"/>
        </w:rPr>
        <w:t>.资格文件</w:t>
      </w:r>
    </w:p>
    <w:p w14:paraId="3F384082">
      <w:pPr>
        <w:pStyle w:val="9"/>
        <w:numPr>
          <w:ilvl w:val="255"/>
          <w:numId w:val="0"/>
        </w:numPr>
        <w:adjustRightInd w:val="0"/>
        <w:snapToGrid w:val="0"/>
        <w:spacing w:line="360" w:lineRule="auto"/>
        <w:ind w:firstLine="482" w:firstLineChars="200"/>
        <w:jc w:val="left"/>
        <w:rPr>
          <w:rFonts w:hAnsi="宋体" w:eastAsia="宋体" w:cs="宋体"/>
          <w:spacing w:val="0"/>
          <w:sz w:val="24"/>
          <w:szCs w:val="24"/>
          <w:highlight w:val="none"/>
        </w:rPr>
      </w:pPr>
      <w:r>
        <w:rPr>
          <w:rFonts w:hint="eastAsia" w:hAnsi="宋体" w:eastAsia="宋体" w:cs="宋体"/>
          <w:b/>
          <w:spacing w:val="0"/>
          <w:sz w:val="24"/>
          <w:szCs w:val="24"/>
          <w:highlight w:val="none"/>
        </w:rPr>
        <w:t>资格审查要求的资格证明材料</w:t>
      </w:r>
    </w:p>
    <w:p w14:paraId="7BA1D4AA">
      <w:pPr>
        <w:tabs>
          <w:tab w:val="left" w:pos="596"/>
        </w:tabs>
        <w:adjustRightInd w:val="0"/>
        <w:snapToGrid w:val="0"/>
        <w:spacing w:line="360" w:lineRule="auto"/>
        <w:ind w:firstLine="482" w:firstLineChars="200"/>
        <w:jc w:val="left"/>
        <w:rPr>
          <w:rFonts w:ascii="宋体" w:hAnsi="宋体" w:eastAsia="宋体" w:cs="宋体"/>
          <w:b/>
          <w:sz w:val="24"/>
          <w:szCs w:val="24"/>
          <w:highlight w:val="none"/>
        </w:rPr>
      </w:pPr>
      <w:r>
        <w:rPr>
          <w:rFonts w:hint="eastAsia" w:ascii="宋体" w:hAnsi="宋体" w:eastAsia="宋体" w:cs="宋体"/>
          <w:b/>
          <w:sz w:val="24"/>
          <w:szCs w:val="24"/>
          <w:highlight w:val="none"/>
        </w:rPr>
        <w:t>3</w:t>
      </w:r>
      <w:r>
        <w:rPr>
          <w:rFonts w:ascii="宋体" w:hAnsi="宋体" w:eastAsia="宋体" w:cs="宋体"/>
          <w:b/>
          <w:sz w:val="24"/>
          <w:szCs w:val="24"/>
          <w:highlight w:val="none"/>
        </w:rPr>
        <w:t>.</w:t>
      </w:r>
      <w:r>
        <w:rPr>
          <w:rFonts w:hint="eastAsia" w:ascii="宋体" w:hAnsi="宋体" w:eastAsia="宋体" w:cs="宋体"/>
          <w:b/>
          <w:sz w:val="24"/>
          <w:szCs w:val="24"/>
          <w:highlight w:val="none"/>
        </w:rPr>
        <w:t>报价单</w:t>
      </w:r>
    </w:p>
    <w:p w14:paraId="5EEA02DC">
      <w:pPr>
        <w:pStyle w:val="9"/>
        <w:adjustRightInd w:val="0"/>
        <w:snapToGrid w:val="0"/>
        <w:spacing w:line="360" w:lineRule="auto"/>
        <w:ind w:firstLine="480" w:firstLineChars="200"/>
        <w:rPr>
          <w:rFonts w:hAnsi="宋体" w:eastAsia="宋体" w:cs="宋体"/>
          <w:spacing w:val="0"/>
          <w:sz w:val="24"/>
          <w:szCs w:val="24"/>
          <w:highlight w:val="none"/>
        </w:rPr>
      </w:pPr>
      <w:r>
        <w:rPr>
          <w:rFonts w:hint="eastAsia" w:hAnsi="宋体" w:eastAsia="宋体" w:cs="宋体"/>
          <w:spacing w:val="0"/>
          <w:sz w:val="24"/>
          <w:szCs w:val="24"/>
          <w:highlight w:val="none"/>
        </w:rPr>
        <w:t>1）报价单</w:t>
      </w:r>
    </w:p>
    <w:p w14:paraId="57077511">
      <w:pPr>
        <w:adjustRightInd w:val="0"/>
        <w:snapToGrid w:val="0"/>
        <w:spacing w:line="360" w:lineRule="auto"/>
        <w:ind w:firstLine="482" w:firstLineChars="200"/>
        <w:jc w:val="left"/>
        <w:rPr>
          <w:rFonts w:ascii="宋体" w:hAnsi="宋体" w:eastAsia="宋体" w:cs="宋体"/>
          <w:b/>
          <w:sz w:val="24"/>
          <w:szCs w:val="24"/>
          <w:highlight w:val="none"/>
        </w:rPr>
      </w:pPr>
      <w:r>
        <w:rPr>
          <w:rFonts w:ascii="宋体" w:hAnsi="宋体" w:eastAsia="宋体" w:cs="宋体"/>
          <w:b/>
          <w:sz w:val="24"/>
          <w:szCs w:val="24"/>
          <w:highlight w:val="none"/>
        </w:rPr>
        <w:t>4.</w:t>
      </w:r>
      <w:r>
        <w:rPr>
          <w:rFonts w:hint="eastAsia" w:ascii="宋体" w:hAnsi="宋体" w:eastAsia="宋体" w:cs="宋体"/>
          <w:b/>
          <w:sz w:val="24"/>
          <w:szCs w:val="24"/>
          <w:highlight w:val="none"/>
        </w:rPr>
        <w:t>商务技术文件</w:t>
      </w:r>
    </w:p>
    <w:p w14:paraId="72B609CF">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w:t>
      </w:r>
      <w:bookmarkStart w:id="5" w:name="_Toc2388"/>
      <w:r>
        <w:rPr>
          <w:rFonts w:hint="eastAsia" w:ascii="宋体" w:hAnsi="宋体" w:eastAsia="宋体" w:cs="宋体"/>
          <w:sz w:val="24"/>
          <w:szCs w:val="24"/>
          <w:highlight w:val="none"/>
        </w:rPr>
        <w:t>法定代表人身份证明书</w:t>
      </w:r>
    </w:p>
    <w:p w14:paraId="48896EC3">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2）法定代表人授权书</w:t>
      </w:r>
    </w:p>
    <w:p w14:paraId="2E9723D9">
      <w:pPr>
        <w:pStyle w:val="9"/>
        <w:spacing w:line="360" w:lineRule="auto"/>
        <w:ind w:firstLine="480" w:firstLineChars="200"/>
        <w:rPr>
          <w:rFonts w:hAnsi="宋体" w:eastAsia="宋体" w:cs="宋体"/>
          <w:spacing w:val="0"/>
          <w:sz w:val="24"/>
          <w:szCs w:val="24"/>
          <w:highlight w:val="none"/>
        </w:rPr>
      </w:pPr>
      <w:r>
        <w:rPr>
          <w:rFonts w:hint="eastAsia" w:hAnsi="宋体" w:eastAsia="宋体" w:cs="宋体"/>
          <w:spacing w:val="0"/>
          <w:sz w:val="24"/>
          <w:szCs w:val="24"/>
          <w:highlight w:val="none"/>
        </w:rPr>
        <w:t>3）服务方案</w:t>
      </w:r>
    </w:p>
    <w:p w14:paraId="433631FC">
      <w:pPr>
        <w:adjustRightInd w:val="0"/>
        <w:snapToGrid w:val="0"/>
        <w:spacing w:line="360" w:lineRule="auto"/>
        <w:ind w:firstLine="482" w:firstLineChars="200"/>
        <w:jc w:val="left"/>
        <w:rPr>
          <w:rFonts w:hAnsi="宋体" w:eastAsia="宋体" w:cs="宋体"/>
          <w:b/>
          <w:sz w:val="24"/>
          <w:szCs w:val="24"/>
          <w:highlight w:val="none"/>
        </w:rPr>
      </w:pPr>
      <w:r>
        <w:rPr>
          <w:rFonts w:ascii="宋体" w:hAnsi="宋体" w:eastAsia="宋体" w:cs="宋体"/>
          <w:b/>
          <w:sz w:val="24"/>
          <w:szCs w:val="24"/>
          <w:highlight w:val="none"/>
        </w:rPr>
        <w:t>5.</w:t>
      </w:r>
      <w:r>
        <w:rPr>
          <w:rFonts w:hint="eastAsia" w:ascii="宋体" w:hAnsi="宋体" w:eastAsia="宋体" w:cs="宋体"/>
          <w:b/>
          <w:sz w:val="24"/>
          <w:szCs w:val="24"/>
          <w:highlight w:val="none"/>
        </w:rPr>
        <w:t>技术及商务偏离表</w:t>
      </w:r>
    </w:p>
    <w:bookmarkEnd w:id="5"/>
    <w:p w14:paraId="527651DF">
      <w:pPr>
        <w:numPr>
          <w:ilvl w:val="0"/>
          <w:numId w:val="1"/>
        </w:numPr>
        <w:adjustRightInd w:val="0"/>
        <w:snapToGrid w:val="0"/>
        <w:spacing w:line="360" w:lineRule="auto"/>
        <w:outlineLvl w:val="2"/>
        <w:rPr>
          <w:rFonts w:ascii="宋体" w:hAnsi="宋体" w:eastAsia="宋体" w:cs="宋体"/>
          <w:b/>
          <w:sz w:val="24"/>
          <w:szCs w:val="24"/>
          <w:highlight w:val="none"/>
        </w:rPr>
      </w:pPr>
      <w:r>
        <w:rPr>
          <w:rFonts w:hint="eastAsia" w:ascii="宋体" w:hAnsi="宋体" w:eastAsia="宋体" w:cs="宋体"/>
          <w:b/>
          <w:sz w:val="24"/>
          <w:szCs w:val="24"/>
          <w:highlight w:val="none"/>
        </w:rPr>
        <w:t>报价文件的签署和份数</w:t>
      </w:r>
    </w:p>
    <w:p w14:paraId="4320203A">
      <w:pPr>
        <w:numPr>
          <w:ilvl w:val="0"/>
          <w:numId w:val="2"/>
        </w:numPr>
        <w:spacing w:line="360" w:lineRule="auto"/>
        <w:ind w:firstLine="482" w:firstLineChars="200"/>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报价人应按资格文件、报价单、商务技术文件分别编制合并装订成册，</w:t>
      </w:r>
      <w:r>
        <w:rPr>
          <w:rFonts w:hint="eastAsia" w:ascii="宋体" w:hAnsi="宋体" w:eastAsia="宋体" w:cs="宋体"/>
          <w:sz w:val="24"/>
          <w:szCs w:val="24"/>
          <w:highlight w:val="none"/>
        </w:rPr>
        <w:t>其中正本一份、副本四份，报价文件的封面应清楚标注“正本”或“副本”字样，若“正本”与“副本”不符，以“正本”为准。</w:t>
      </w:r>
    </w:p>
    <w:p w14:paraId="098A6CCA">
      <w:pPr>
        <w:numPr>
          <w:ilvl w:val="0"/>
          <w:numId w:val="2"/>
        </w:numPr>
        <w:spacing w:line="360" w:lineRule="auto"/>
        <w:ind w:firstLine="482" w:firstLineChars="200"/>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★活页装订（卡条、抽杆夹、订书机、散装）的报价文件无效。</w:t>
      </w:r>
    </w:p>
    <w:p w14:paraId="557A3FC9">
      <w:pPr>
        <w:numPr>
          <w:ilvl w:val="0"/>
          <w:numId w:val="2"/>
        </w:num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报价文件的正本需打印或用不褪色的墨水填写，副本可以是正本加盖公章后的复印件。</w:t>
      </w:r>
    </w:p>
    <w:p w14:paraId="63C9E2FF">
      <w:pPr>
        <w:numPr>
          <w:ilvl w:val="0"/>
          <w:numId w:val="2"/>
        </w:numPr>
        <w:spacing w:line="360" w:lineRule="auto"/>
        <w:ind w:firstLine="482" w:firstLineChars="200"/>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报价文件须由报价人在规定位置盖章并由报价人授权代表签名，报价人应写全称。</w:t>
      </w:r>
    </w:p>
    <w:p w14:paraId="515A8C4A">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5. 报价文件不得涂改，若有修改错漏处，须由报价人授权代表签名并加盖公章。报价文件因字迹潦草或表达不清所引起的后果由报价人负责。</w:t>
      </w:r>
      <w:bookmarkStart w:id="6" w:name="_Toc21587"/>
    </w:p>
    <w:p w14:paraId="2B23F239">
      <w:pPr>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（三） 报价文件的包装、递交、修改和撤回</w:t>
      </w:r>
      <w:bookmarkEnd w:id="6"/>
    </w:p>
    <w:p w14:paraId="6D67E258">
      <w:pPr>
        <w:adjustRightInd w:val="0"/>
        <w:snapToGrid w:val="0"/>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1.报价人应在报价文件包装封面上注明报价人名称、报价人地址、报价项目名称、项目编号及“报价文件开启时启封”字样，并加盖报价人公章。</w:t>
      </w:r>
    </w:p>
    <w:p w14:paraId="7BB307F2">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2.未按规定密封或标记的报价文件被误投或提前拆封的风险由报价人承担。</w:t>
      </w:r>
    </w:p>
    <w:p w14:paraId="4C4C22A8">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报价人在提交报价文件截止时间前，可以对所提交的报价文件进行补充、修改或者撤回，并书面通知采购人、采购代理机构。补充、修改的内容作为报价文件的组成部分。补充、修改的内容与报价文件不一致的，以补充、修改的内容为准。</w:t>
      </w:r>
    </w:p>
    <w:p w14:paraId="42210301">
      <w:pPr>
        <w:numPr>
          <w:ilvl w:val="255"/>
          <w:numId w:val="0"/>
        </w:num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特别说明</w:t>
      </w:r>
    </w:p>
    <w:p w14:paraId="7714E6AC">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报价人参与杭州地铁运营有限公司工会委员会采购活动（包括报价及合同履行）即视为自愿遵守本采购文件所列各项规定并接受杭州地铁运营有限公司工会委员会及杭州地铁运营有限公司管理措施。具体内容见合同附件《供应商须知》。</w:t>
      </w:r>
      <w:r>
        <w:rPr>
          <w:rFonts w:hint="eastAsia" w:ascii="宋体" w:hAnsi="宋体" w:eastAsia="宋体" w:cs="宋体"/>
          <w:sz w:val="24"/>
          <w:szCs w:val="24"/>
          <w:highlight w:val="none"/>
        </w:rPr>
        <w:br w:type="page"/>
      </w:r>
    </w:p>
    <w:p w14:paraId="60CD93B9">
      <w:pPr>
        <w:pStyle w:val="3"/>
        <w:numPr>
          <w:ilvl w:val="255"/>
          <w:numId w:val="0"/>
        </w:numPr>
        <w:jc w:val="both"/>
        <w:rPr>
          <w:highlight w:val="none"/>
        </w:rPr>
      </w:pPr>
      <w:r>
        <w:rPr>
          <w:rFonts w:hint="eastAsia"/>
          <w:highlight w:val="none"/>
        </w:rPr>
        <w:t>报价文件格式</w:t>
      </w:r>
    </w:p>
    <w:p w14:paraId="36B9D961">
      <w:pPr>
        <w:snapToGrid w:val="0"/>
        <w:spacing w:line="360" w:lineRule="auto"/>
        <w:jc w:val="center"/>
        <w:outlineLvl w:val="1"/>
        <w:rPr>
          <w:rFonts w:ascii="宋体" w:hAnsi="宋体" w:cs="宋体"/>
          <w:b/>
          <w:bCs/>
          <w:sz w:val="32"/>
          <w:szCs w:val="32"/>
          <w:highlight w:val="none"/>
        </w:rPr>
      </w:pPr>
      <w:r>
        <w:rPr>
          <w:rFonts w:hint="eastAsia" w:ascii="宋体" w:hAnsi="宋体" w:cs="宋体"/>
          <w:b/>
          <w:bCs/>
          <w:sz w:val="32"/>
          <w:szCs w:val="32"/>
          <w:highlight w:val="none"/>
        </w:rPr>
        <w:t>承诺书</w:t>
      </w:r>
    </w:p>
    <w:p w14:paraId="04935FAF">
      <w:pPr>
        <w:adjustRightInd w:val="0"/>
        <w:snapToGrid w:val="0"/>
        <w:spacing w:line="480" w:lineRule="auto"/>
        <w:jc w:val="left"/>
        <w:rPr>
          <w:rFonts w:ascii="宋体" w:hAnsi="宋体" w:cs="宋体"/>
          <w:snapToGrid w:val="0"/>
          <w:kern w:val="0"/>
          <w:szCs w:val="21"/>
          <w:highlight w:val="none"/>
        </w:rPr>
      </w:pPr>
      <w:r>
        <w:rPr>
          <w:rFonts w:hint="eastAsia" w:cs="宋体"/>
          <w:snapToGrid w:val="0"/>
          <w:kern w:val="0"/>
          <w:szCs w:val="21"/>
          <w:highlight w:val="none"/>
        </w:rPr>
        <w:t>杭州地铁运营有限公司工会委员会</w:t>
      </w:r>
      <w:r>
        <w:rPr>
          <w:rFonts w:hint="eastAsia" w:ascii="宋体" w:hAnsi="宋体" w:cs="宋体"/>
          <w:snapToGrid w:val="0"/>
          <w:kern w:val="0"/>
          <w:szCs w:val="21"/>
          <w:highlight w:val="none"/>
        </w:rPr>
        <w:t>：</w:t>
      </w:r>
    </w:p>
    <w:p w14:paraId="26A6706A">
      <w:pPr>
        <w:adjustRightInd w:val="0"/>
        <w:snapToGrid w:val="0"/>
        <w:spacing w:line="480" w:lineRule="auto"/>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我单位承诺就本次报价作出如下承诺：</w:t>
      </w:r>
    </w:p>
    <w:p w14:paraId="7AE346E1">
      <w:pPr>
        <w:adjustRightInd w:val="0"/>
        <w:snapToGrid w:val="0"/>
        <w:spacing w:line="480" w:lineRule="auto"/>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1、报价过程和报价文件中提供的相关材料（如报价人资格及评审相关的文件、证明、陈述等）均是真实的、准确的，无弄虚作假，</w:t>
      </w:r>
      <w:r>
        <w:rPr>
          <w:rFonts w:hint="eastAsia" w:ascii="宋体" w:hAnsi="宋体" w:cs="宋体"/>
          <w:b/>
          <w:snapToGrid w:val="0"/>
          <w:kern w:val="0"/>
          <w:szCs w:val="21"/>
          <w:highlight w:val="none"/>
        </w:rPr>
        <w:t>未被采购人列入黑名单</w:t>
      </w:r>
      <w:r>
        <w:rPr>
          <w:rFonts w:hint="eastAsia" w:ascii="宋体" w:hAnsi="宋体" w:cs="宋体"/>
          <w:snapToGrid w:val="0"/>
          <w:kern w:val="0"/>
          <w:szCs w:val="21"/>
          <w:highlight w:val="none"/>
        </w:rPr>
        <w:t>。若违背上述承诺，则我单位承担由此而产生的一切后果，如成为成交候选人则无条件放弃本项目成交资格。</w:t>
      </w:r>
    </w:p>
    <w:p w14:paraId="341383AF">
      <w:pPr>
        <w:adjustRightInd w:val="0"/>
        <w:snapToGrid w:val="0"/>
        <w:spacing w:line="480" w:lineRule="auto"/>
        <w:ind w:firstLine="420" w:firstLineChars="200"/>
        <w:rPr>
          <w:rFonts w:ascii="宋体" w:hAnsi="宋体" w:cs="宋体"/>
          <w:szCs w:val="21"/>
          <w:highlight w:val="none"/>
        </w:rPr>
      </w:pPr>
      <w:r>
        <w:rPr>
          <w:rFonts w:hint="eastAsia" w:ascii="宋体" w:hAnsi="宋体" w:cs="宋体"/>
          <w:snapToGrid w:val="0"/>
          <w:kern w:val="0"/>
          <w:szCs w:val="21"/>
          <w:highlight w:val="none"/>
        </w:rPr>
        <w:t>2、</w:t>
      </w:r>
      <w:r>
        <w:rPr>
          <w:rFonts w:hint="eastAsia" w:ascii="宋体" w:hAnsi="宋体" w:cs="宋体"/>
          <w:szCs w:val="21"/>
          <w:highlight w:val="none"/>
        </w:rPr>
        <w:t>报价</w:t>
      </w:r>
      <w:r>
        <w:rPr>
          <w:rFonts w:ascii="宋体" w:hAnsi="宋体" w:cs="宋体"/>
          <w:szCs w:val="21"/>
          <w:highlight w:val="none"/>
        </w:rPr>
        <w:t>文件</w:t>
      </w:r>
      <w:r>
        <w:rPr>
          <w:rFonts w:hint="eastAsia" w:ascii="宋体" w:hAnsi="宋体" w:cs="宋体"/>
          <w:szCs w:val="21"/>
          <w:highlight w:val="none"/>
        </w:rPr>
        <w:t>中</w:t>
      </w:r>
      <w:r>
        <w:rPr>
          <w:rFonts w:ascii="宋体" w:hAnsi="宋体" w:cs="宋体"/>
          <w:szCs w:val="21"/>
          <w:highlight w:val="none"/>
        </w:rPr>
        <w:t>的</w:t>
      </w:r>
      <w:r>
        <w:rPr>
          <w:rFonts w:hint="eastAsia" w:ascii="宋体" w:hAnsi="宋体" w:cs="宋体"/>
          <w:szCs w:val="21"/>
          <w:highlight w:val="none"/>
        </w:rPr>
        <w:t>增值税</w:t>
      </w:r>
      <w:r>
        <w:rPr>
          <w:rFonts w:ascii="宋体" w:hAnsi="宋体" w:cs="宋体"/>
          <w:szCs w:val="21"/>
          <w:highlight w:val="none"/>
        </w:rPr>
        <w:t>税</w:t>
      </w:r>
      <w:r>
        <w:rPr>
          <w:rFonts w:hint="eastAsia" w:ascii="宋体" w:hAnsi="宋体" w:cs="宋体"/>
          <w:szCs w:val="21"/>
          <w:highlight w:val="none"/>
        </w:rPr>
        <w:t>率及后续向采购人</w:t>
      </w:r>
      <w:r>
        <w:rPr>
          <w:rFonts w:ascii="宋体" w:hAnsi="宋体" w:cs="宋体"/>
          <w:szCs w:val="21"/>
          <w:highlight w:val="none"/>
        </w:rPr>
        <w:t>开具</w:t>
      </w:r>
      <w:r>
        <w:rPr>
          <w:rFonts w:hint="eastAsia" w:ascii="宋体" w:hAnsi="宋体" w:cs="宋体"/>
          <w:szCs w:val="21"/>
          <w:highlight w:val="none"/>
        </w:rPr>
        <w:t>增值税发票的税目均符合</w:t>
      </w:r>
      <w:r>
        <w:rPr>
          <w:rFonts w:ascii="宋体" w:hAnsi="宋体" w:cs="宋体"/>
          <w:szCs w:val="21"/>
          <w:highlight w:val="none"/>
        </w:rPr>
        <w:t>国家</w:t>
      </w:r>
      <w:r>
        <w:rPr>
          <w:rFonts w:hint="eastAsia" w:ascii="宋体" w:hAnsi="宋体" w:cs="宋体"/>
          <w:szCs w:val="21"/>
          <w:highlight w:val="none"/>
        </w:rPr>
        <w:t>税收法律和</w:t>
      </w:r>
      <w:r>
        <w:rPr>
          <w:rFonts w:ascii="宋体" w:hAnsi="宋体" w:cs="宋体"/>
          <w:szCs w:val="21"/>
          <w:highlight w:val="none"/>
        </w:rPr>
        <w:t>政策</w:t>
      </w:r>
      <w:r>
        <w:rPr>
          <w:rFonts w:hint="eastAsia" w:ascii="宋体" w:hAnsi="宋体" w:cs="宋体"/>
          <w:szCs w:val="21"/>
          <w:highlight w:val="none"/>
        </w:rPr>
        <w:t>的要求；</w:t>
      </w:r>
    </w:p>
    <w:p w14:paraId="0FA138B9">
      <w:pPr>
        <w:adjustRightInd w:val="0"/>
        <w:snapToGrid w:val="0"/>
        <w:spacing w:line="480" w:lineRule="auto"/>
        <w:ind w:firstLine="420" w:firstLineChars="200"/>
        <w:rPr>
          <w:rFonts w:ascii="宋体" w:hAnsi="宋体" w:cs="宋体"/>
          <w:szCs w:val="21"/>
          <w:highlight w:val="none"/>
        </w:rPr>
      </w:pPr>
      <w:r>
        <w:rPr>
          <w:rFonts w:ascii="宋体" w:hAnsi="宋体" w:cs="宋体"/>
          <w:snapToGrid w:val="0"/>
          <w:kern w:val="0"/>
          <w:szCs w:val="21"/>
          <w:highlight w:val="none"/>
        </w:rPr>
        <w:t>3</w:t>
      </w:r>
      <w:r>
        <w:rPr>
          <w:rFonts w:hint="eastAsia" w:ascii="宋体" w:hAnsi="宋体" w:cs="宋体"/>
          <w:snapToGrid w:val="0"/>
          <w:kern w:val="0"/>
          <w:szCs w:val="21"/>
          <w:highlight w:val="none"/>
        </w:rPr>
        <w:t>、</w:t>
      </w:r>
      <w:r>
        <w:rPr>
          <w:rFonts w:hint="eastAsia" w:ascii="宋体" w:hAnsi="宋体" w:cs="宋体"/>
          <w:szCs w:val="21"/>
          <w:highlight w:val="none"/>
        </w:rPr>
        <w:t>若向采购人开具增值税发票的</w:t>
      </w:r>
      <w:r>
        <w:rPr>
          <w:rFonts w:ascii="宋体" w:hAnsi="宋体" w:cs="宋体"/>
          <w:szCs w:val="21"/>
          <w:highlight w:val="none"/>
        </w:rPr>
        <w:t>税率</w:t>
      </w:r>
      <w:r>
        <w:rPr>
          <w:rFonts w:hint="eastAsia" w:ascii="宋体" w:hAnsi="宋体" w:cs="宋体"/>
          <w:szCs w:val="21"/>
          <w:highlight w:val="none"/>
        </w:rPr>
        <w:t>或税目存在</w:t>
      </w:r>
      <w:r>
        <w:rPr>
          <w:rFonts w:ascii="宋体" w:hAnsi="宋体" w:cs="宋体"/>
          <w:szCs w:val="21"/>
          <w:highlight w:val="none"/>
        </w:rPr>
        <w:t>问题</w:t>
      </w:r>
      <w:r>
        <w:rPr>
          <w:rFonts w:hint="eastAsia" w:ascii="宋体" w:hAnsi="宋体" w:cs="宋体"/>
          <w:szCs w:val="21"/>
          <w:highlight w:val="none"/>
        </w:rPr>
        <w:t>，由此</w:t>
      </w:r>
      <w:r>
        <w:rPr>
          <w:rFonts w:ascii="宋体" w:hAnsi="宋体" w:cs="宋体"/>
          <w:szCs w:val="21"/>
          <w:highlight w:val="none"/>
        </w:rPr>
        <w:t>产生的任何损失</w:t>
      </w:r>
      <w:r>
        <w:rPr>
          <w:rFonts w:hint="eastAsia" w:ascii="宋体" w:hAnsi="宋体" w:cs="宋体"/>
          <w:szCs w:val="21"/>
          <w:highlight w:val="none"/>
        </w:rPr>
        <w:t>或责任均</w:t>
      </w:r>
      <w:r>
        <w:rPr>
          <w:rFonts w:ascii="宋体" w:hAnsi="宋体" w:cs="宋体"/>
          <w:szCs w:val="21"/>
          <w:highlight w:val="none"/>
        </w:rPr>
        <w:t>由</w:t>
      </w:r>
      <w:r>
        <w:rPr>
          <w:rFonts w:hint="eastAsia" w:ascii="宋体" w:hAnsi="宋体" w:cs="宋体"/>
          <w:szCs w:val="21"/>
          <w:highlight w:val="none"/>
        </w:rPr>
        <w:t>我单位</w:t>
      </w:r>
      <w:r>
        <w:rPr>
          <w:rFonts w:ascii="宋体" w:hAnsi="宋体" w:cs="宋体"/>
          <w:szCs w:val="21"/>
          <w:highlight w:val="none"/>
        </w:rPr>
        <w:t>承担</w:t>
      </w:r>
      <w:r>
        <w:rPr>
          <w:rFonts w:hint="eastAsia" w:ascii="宋体" w:hAnsi="宋体" w:cs="宋体"/>
          <w:szCs w:val="21"/>
          <w:highlight w:val="none"/>
        </w:rPr>
        <w:t>。</w:t>
      </w:r>
    </w:p>
    <w:p w14:paraId="1971A68E">
      <w:pPr>
        <w:adjustRightInd w:val="0"/>
        <w:snapToGrid w:val="0"/>
        <w:spacing w:line="480" w:lineRule="auto"/>
        <w:ind w:firstLine="420" w:firstLineChars="200"/>
        <w:rPr>
          <w:rFonts w:ascii="宋体" w:hAnsi="宋体" w:cs="宋体"/>
          <w:szCs w:val="21"/>
          <w:highlight w:val="none"/>
        </w:rPr>
      </w:pPr>
      <w:r>
        <w:rPr>
          <w:rFonts w:hint="eastAsia" w:ascii="宋体" w:hAnsi="宋体" w:cs="宋体"/>
          <w:szCs w:val="21"/>
          <w:highlight w:val="none"/>
        </w:rPr>
        <w:t>4、如有需要，优先有偿使用采购人办公家具、工器具、工程抢险车辆等设施设备或场地（含办公用房），设备的使用维护由我单位负责。</w:t>
      </w:r>
    </w:p>
    <w:p w14:paraId="2F506613">
      <w:pPr>
        <w:pStyle w:val="38"/>
        <w:snapToGrid w:val="0"/>
        <w:spacing w:line="480" w:lineRule="auto"/>
        <w:rPr>
          <w:rFonts w:hAnsi="宋体" w:cs="宋体"/>
          <w:snapToGrid w:val="0"/>
          <w:sz w:val="21"/>
          <w:highlight w:val="none"/>
        </w:rPr>
      </w:pPr>
    </w:p>
    <w:p w14:paraId="1B55B1B2">
      <w:pPr>
        <w:pStyle w:val="38"/>
        <w:snapToGrid w:val="0"/>
        <w:spacing w:line="480" w:lineRule="auto"/>
        <w:rPr>
          <w:rFonts w:hAnsi="宋体" w:cs="宋体"/>
          <w:snapToGrid w:val="0"/>
          <w:sz w:val="21"/>
          <w:highlight w:val="none"/>
        </w:rPr>
      </w:pPr>
      <w:r>
        <w:rPr>
          <w:rFonts w:hint="eastAsia" w:hAnsi="宋体" w:cs="宋体"/>
          <w:snapToGrid w:val="0"/>
          <w:sz w:val="21"/>
          <w:highlight w:val="none"/>
        </w:rPr>
        <w:t>报价人（盖公章）：</w:t>
      </w:r>
    </w:p>
    <w:p w14:paraId="08B04F01">
      <w:pPr>
        <w:pStyle w:val="38"/>
        <w:snapToGrid w:val="0"/>
        <w:spacing w:line="480" w:lineRule="auto"/>
        <w:rPr>
          <w:rFonts w:hAnsi="宋体" w:cs="宋体"/>
          <w:snapToGrid w:val="0"/>
          <w:sz w:val="21"/>
          <w:highlight w:val="none"/>
        </w:rPr>
      </w:pPr>
      <w:r>
        <w:rPr>
          <w:rFonts w:hint="eastAsia" w:hAnsi="宋体" w:cs="宋体"/>
          <w:snapToGrid w:val="0"/>
          <w:sz w:val="21"/>
          <w:highlight w:val="none"/>
        </w:rPr>
        <w:t>法定代表人或其委托代理人（盖章或签名）：</w:t>
      </w:r>
    </w:p>
    <w:p w14:paraId="53A87615">
      <w:pPr>
        <w:pStyle w:val="38"/>
        <w:snapToGrid w:val="0"/>
        <w:spacing w:line="480" w:lineRule="auto"/>
        <w:rPr>
          <w:rFonts w:hAnsi="宋体" w:cs="宋体"/>
          <w:snapToGrid w:val="0"/>
          <w:sz w:val="21"/>
          <w:highlight w:val="none"/>
        </w:rPr>
      </w:pPr>
      <w:r>
        <w:rPr>
          <w:rFonts w:hint="eastAsia" w:hAnsi="宋体" w:cs="宋体"/>
          <w:snapToGrid w:val="0"/>
          <w:sz w:val="21"/>
          <w:highlight w:val="none"/>
        </w:rPr>
        <w:t>日期：      年    月    日</w:t>
      </w:r>
    </w:p>
    <w:p w14:paraId="22A4FB90">
      <w:pPr>
        <w:rPr>
          <w:highlight w:val="none"/>
        </w:rPr>
      </w:pPr>
      <w:r>
        <w:rPr>
          <w:highlight w:val="none"/>
        </w:rPr>
        <w:br w:type="page"/>
      </w:r>
    </w:p>
    <w:p w14:paraId="049A72AB">
      <w:pPr>
        <w:pStyle w:val="3"/>
        <w:numPr>
          <w:ilvl w:val="255"/>
          <w:numId w:val="0"/>
        </w:numPr>
        <w:jc w:val="both"/>
        <w:rPr>
          <w:highlight w:val="none"/>
        </w:rPr>
      </w:pPr>
      <w:r>
        <w:rPr>
          <w:rFonts w:hint="eastAsia"/>
          <w:highlight w:val="none"/>
        </w:rPr>
        <w:t>报价文件格式</w:t>
      </w:r>
    </w:p>
    <w:p w14:paraId="0D104555">
      <w:pPr>
        <w:rPr>
          <w:highlight w:val="none"/>
        </w:rPr>
      </w:pPr>
    </w:p>
    <w:p w14:paraId="572789A4">
      <w:pPr>
        <w:pStyle w:val="9"/>
        <w:rPr>
          <w:highlight w:val="none"/>
        </w:rPr>
      </w:pPr>
    </w:p>
    <w:p w14:paraId="4832F890">
      <w:pPr>
        <w:pStyle w:val="9"/>
        <w:rPr>
          <w:highlight w:val="none"/>
        </w:rPr>
      </w:pPr>
    </w:p>
    <w:p w14:paraId="2F9DAAC8">
      <w:pPr>
        <w:pStyle w:val="3"/>
        <w:rPr>
          <w:sz w:val="84"/>
          <w:szCs w:val="84"/>
          <w:highlight w:val="none"/>
        </w:rPr>
      </w:pPr>
      <w:r>
        <w:rPr>
          <w:rFonts w:hint="eastAsia"/>
          <w:sz w:val="84"/>
          <w:szCs w:val="84"/>
          <w:highlight w:val="none"/>
        </w:rPr>
        <w:t>资格文件</w:t>
      </w:r>
    </w:p>
    <w:p w14:paraId="1BDE9513">
      <w:pPr>
        <w:spacing w:line="360" w:lineRule="auto"/>
        <w:jc w:val="center"/>
        <w:rPr>
          <w:rFonts w:ascii="宋体" w:hAnsi="宋体" w:eastAsia="宋体" w:cs="宋体"/>
          <w:b/>
          <w:bCs/>
          <w:sz w:val="32"/>
          <w:szCs w:val="28"/>
          <w:highlight w:val="none"/>
        </w:rPr>
      </w:pPr>
    </w:p>
    <w:p w14:paraId="2E751C31">
      <w:pPr>
        <w:spacing w:line="360" w:lineRule="auto"/>
        <w:jc w:val="center"/>
        <w:rPr>
          <w:rFonts w:ascii="宋体" w:hAnsi="宋体" w:eastAsia="宋体" w:cs="宋体"/>
          <w:b/>
          <w:bCs/>
          <w:sz w:val="32"/>
          <w:szCs w:val="28"/>
          <w:highlight w:val="none"/>
        </w:rPr>
      </w:pPr>
      <w:r>
        <w:rPr>
          <w:rFonts w:hint="eastAsia" w:ascii="宋体" w:hAnsi="宋体" w:eastAsia="宋体" w:cs="宋体"/>
          <w:b/>
          <w:bCs/>
          <w:sz w:val="32"/>
          <w:szCs w:val="28"/>
          <w:highlight w:val="none"/>
        </w:rPr>
        <w:t>资格审查要求的资格证明材料</w:t>
      </w:r>
    </w:p>
    <w:p w14:paraId="0816BE30">
      <w:pPr>
        <w:rPr>
          <w:rFonts w:ascii="宋体" w:hAnsi="宋体" w:eastAsia="宋体" w:cs="宋体"/>
          <w:b/>
          <w:bCs/>
          <w:sz w:val="32"/>
          <w:szCs w:val="28"/>
          <w:highlight w:val="none"/>
        </w:rPr>
      </w:pPr>
      <w:r>
        <w:rPr>
          <w:rFonts w:hint="eastAsia" w:ascii="宋体" w:hAnsi="宋体" w:eastAsia="宋体" w:cs="宋体"/>
          <w:b/>
          <w:bCs/>
          <w:sz w:val="32"/>
          <w:szCs w:val="28"/>
          <w:highlight w:val="none"/>
        </w:rPr>
        <w:br w:type="page"/>
      </w:r>
    </w:p>
    <w:p w14:paraId="4156FD0C">
      <w:pPr>
        <w:ind w:firstLine="562" w:firstLineChars="200"/>
        <w:rPr>
          <w:rFonts w:ascii="宋体" w:hAnsi="宋体" w:eastAsia="宋体" w:cs="宋体"/>
          <w:b/>
          <w:sz w:val="28"/>
          <w:highlight w:val="none"/>
          <w:lang w:val="zh-CN"/>
        </w:rPr>
      </w:pPr>
      <w:r>
        <w:rPr>
          <w:rFonts w:ascii="宋体" w:hAnsi="宋体" w:eastAsia="宋体" w:cs="宋体"/>
          <w:b/>
          <w:sz w:val="28"/>
          <w:highlight w:val="none"/>
          <w:lang w:val="zh-CN"/>
        </w:rPr>
        <w:t>1、在中华人民共和国境内注册，具有独立法人资格。【提供营业执照（或事业单位法人证书或社会团体法人登记证书或其他组织登记证明文件，下同）复印件（加盖公章）】。</w:t>
      </w:r>
    </w:p>
    <w:p w14:paraId="6D29DEBF">
      <w:pPr>
        <w:pStyle w:val="9"/>
        <w:ind w:firstLine="562" w:firstLineChars="200"/>
        <w:rPr>
          <w:rFonts w:hAnsi="宋体" w:eastAsia="宋体" w:cs="宋体"/>
          <w:b/>
          <w:spacing w:val="0"/>
          <w:sz w:val="28"/>
          <w:szCs w:val="22"/>
          <w:highlight w:val="none"/>
          <w:lang w:val="zh-CN"/>
        </w:rPr>
      </w:pPr>
      <w:r>
        <w:rPr>
          <w:rFonts w:hAnsi="宋体" w:eastAsia="宋体" w:cs="宋体"/>
          <w:b/>
          <w:spacing w:val="0"/>
          <w:sz w:val="28"/>
          <w:szCs w:val="22"/>
          <w:highlight w:val="none"/>
          <w:lang w:val="zh-CN"/>
        </w:rPr>
        <w:t>2、与采购人存在利害关系可能影响采购公正性的单位，不得参加本项目报价。单位负责人为同一人或者存在控股、管理关系的不同单位，不得同时参加本项目报价。</w:t>
      </w:r>
    </w:p>
    <w:p w14:paraId="29CE3E13">
      <w:pPr>
        <w:rPr>
          <w:rFonts w:ascii="宋体" w:hAnsi="宋体" w:eastAsia="宋体" w:cs="宋体"/>
          <w:highlight w:val="none"/>
        </w:rPr>
      </w:pPr>
      <w:r>
        <w:rPr>
          <w:rFonts w:hint="eastAsia" w:ascii="宋体" w:hAnsi="宋体" w:eastAsia="宋体" w:cs="宋体"/>
          <w:highlight w:val="none"/>
        </w:rPr>
        <w:br w:type="page"/>
      </w:r>
    </w:p>
    <w:p w14:paraId="22EA2995">
      <w:pPr>
        <w:widowControl/>
        <w:ind w:firstLine="562" w:firstLineChars="200"/>
        <w:jc w:val="left"/>
        <w:rPr>
          <w:rFonts w:ascii="宋体" w:hAnsi="宋体" w:eastAsia="宋体" w:cs="宋体"/>
          <w:b/>
          <w:sz w:val="28"/>
          <w:highlight w:val="none"/>
        </w:rPr>
      </w:pPr>
      <w:r>
        <w:rPr>
          <w:rFonts w:hint="eastAsia" w:ascii="宋体" w:hAnsi="宋体" w:eastAsia="宋体" w:cs="宋体"/>
          <w:b/>
          <w:sz w:val="28"/>
          <w:highlight w:val="none"/>
        </w:rPr>
        <w:t>3</w:t>
      </w:r>
      <w:r>
        <w:rPr>
          <w:rFonts w:ascii="宋体" w:hAnsi="宋体" w:eastAsia="宋体" w:cs="宋体"/>
          <w:b/>
          <w:sz w:val="28"/>
          <w:highlight w:val="none"/>
        </w:rPr>
        <w:t>、报价人自2023年1月1日（含）以后（以合同签订时间为准），至少具有3个为企、事业单位或政府机关开展过职工服务业绩（</w:t>
      </w:r>
      <w:r>
        <w:rPr>
          <w:rFonts w:hint="eastAsia" w:ascii="宋体" w:hAnsi="宋体" w:eastAsia="宋体" w:cs="宋体"/>
          <w:b/>
          <w:sz w:val="28"/>
          <w:highlight w:val="none"/>
          <w:lang w:val="en-US" w:eastAsia="zh-CN"/>
        </w:rPr>
        <w:t>累计</w:t>
      </w:r>
      <w:r>
        <w:rPr>
          <w:rFonts w:ascii="宋体" w:hAnsi="宋体" w:eastAsia="宋体" w:cs="宋体"/>
          <w:b/>
          <w:sz w:val="28"/>
          <w:highlight w:val="none"/>
        </w:rPr>
        <w:t>服务人数1000人（含）以上或合同金额50万元（含）以上项目）。【业绩证明材料：合同及发票复印件（加盖公章）。合同能体现金额的，提供该项目任一发票即可；合同不能体现金额的，按照所提供的该项目所有发票金额累加。合同须体现签订时间及服务内容；如合同中不能体现服务内容的，报价人还需提供其他证明材料（如业主证明或中标通知书等）复印件。】</w:t>
      </w:r>
    </w:p>
    <w:p w14:paraId="7DBE54E5">
      <w:pPr>
        <w:widowControl/>
        <w:ind w:firstLine="562" w:firstLineChars="200"/>
        <w:jc w:val="left"/>
        <w:rPr>
          <w:rFonts w:ascii="宋体" w:hAnsi="宋体" w:eastAsia="宋体" w:cs="宋体"/>
          <w:b/>
          <w:sz w:val="28"/>
          <w:highlight w:val="none"/>
        </w:rPr>
        <w:sectPr>
          <w:headerReference r:id="rId6" w:type="default"/>
          <w:footerReference r:id="rId7" w:type="default"/>
          <w:pgSz w:w="11905" w:h="16838"/>
          <w:pgMar w:top="1440" w:right="1803" w:bottom="1440" w:left="1803" w:header="851" w:footer="992" w:gutter="0"/>
          <w:cols w:space="0" w:num="1"/>
          <w:docGrid w:type="lines" w:linePitch="319" w:charSpace="0"/>
        </w:sectPr>
      </w:pPr>
      <w:r>
        <w:rPr>
          <w:rFonts w:hint="eastAsia" w:ascii="宋体" w:hAnsi="宋体" w:eastAsia="宋体" w:cs="宋体"/>
          <w:b/>
          <w:sz w:val="28"/>
          <w:highlight w:val="none"/>
        </w:rPr>
        <w:t>4、本项目不接受联合体报价。</w:t>
      </w:r>
    </w:p>
    <w:p w14:paraId="44FCDEAD">
      <w:pPr>
        <w:widowControl/>
        <w:ind w:firstLine="723" w:firstLineChars="200"/>
        <w:jc w:val="left"/>
        <w:rPr>
          <w:b/>
          <w:sz w:val="36"/>
          <w:highlight w:val="none"/>
        </w:rPr>
      </w:pPr>
      <w:r>
        <w:rPr>
          <w:rFonts w:hint="eastAsia"/>
          <w:b/>
          <w:sz w:val="36"/>
          <w:highlight w:val="none"/>
        </w:rPr>
        <w:t>报价文件格式</w:t>
      </w:r>
    </w:p>
    <w:p w14:paraId="3518530F">
      <w:pPr>
        <w:spacing w:line="360" w:lineRule="auto"/>
        <w:jc w:val="center"/>
        <w:rPr>
          <w:sz w:val="36"/>
          <w:highlight w:val="none"/>
        </w:rPr>
      </w:pPr>
    </w:p>
    <w:p w14:paraId="0D2E2B5D">
      <w:pPr>
        <w:pStyle w:val="9"/>
        <w:spacing w:line="360" w:lineRule="auto"/>
        <w:jc w:val="center"/>
        <w:rPr>
          <w:highlight w:val="none"/>
        </w:rPr>
      </w:pPr>
    </w:p>
    <w:p w14:paraId="7BFE2DB7">
      <w:pPr>
        <w:pStyle w:val="3"/>
        <w:spacing w:line="360" w:lineRule="auto"/>
        <w:rPr>
          <w:rFonts w:asciiTheme="minorHAnsi" w:hAnsiTheme="minorHAnsi" w:eastAsiaTheme="minorEastAsia" w:cstheme="minorBidi"/>
          <w:b w:val="0"/>
          <w:bCs w:val="0"/>
          <w:sz w:val="21"/>
          <w:szCs w:val="22"/>
          <w:highlight w:val="none"/>
        </w:rPr>
      </w:pPr>
      <w:r>
        <w:rPr>
          <w:rFonts w:hint="eastAsia"/>
          <w:sz w:val="84"/>
          <w:szCs w:val="84"/>
          <w:highlight w:val="none"/>
        </w:rPr>
        <w:t>报价单</w:t>
      </w:r>
    </w:p>
    <w:p w14:paraId="3559811B">
      <w:pPr>
        <w:spacing w:line="360" w:lineRule="auto"/>
        <w:ind w:firstLine="2891" w:firstLineChars="900"/>
        <w:rPr>
          <w:rFonts w:ascii="宋体" w:hAnsi="宋体" w:eastAsia="宋体" w:cs="宋体"/>
          <w:b/>
          <w:bCs/>
          <w:sz w:val="32"/>
          <w:szCs w:val="28"/>
          <w:highlight w:val="none"/>
        </w:rPr>
      </w:pPr>
      <w:r>
        <w:rPr>
          <w:rFonts w:hint="eastAsia" w:ascii="宋体" w:hAnsi="宋体" w:eastAsia="宋体" w:cs="宋体"/>
          <w:b/>
          <w:bCs/>
          <w:sz w:val="32"/>
          <w:szCs w:val="28"/>
          <w:highlight w:val="none"/>
        </w:rPr>
        <w:t>报价单均需加盖公章</w:t>
      </w:r>
    </w:p>
    <w:p w14:paraId="4DE5F0E9">
      <w:pPr>
        <w:spacing w:line="360" w:lineRule="auto"/>
        <w:jc w:val="center"/>
        <w:rPr>
          <w:rFonts w:ascii="宋体" w:hAnsi="宋体" w:eastAsia="宋体" w:cs="宋体"/>
          <w:b/>
          <w:bCs/>
          <w:sz w:val="36"/>
          <w:szCs w:val="48"/>
          <w:highlight w:val="none"/>
        </w:rPr>
      </w:pPr>
    </w:p>
    <w:p w14:paraId="5A020A56">
      <w:pPr>
        <w:pStyle w:val="9"/>
        <w:spacing w:line="360" w:lineRule="auto"/>
        <w:jc w:val="center"/>
        <w:rPr>
          <w:rFonts w:hAnsi="宋体" w:eastAsia="宋体" w:cs="宋体"/>
          <w:b/>
          <w:bCs/>
          <w:sz w:val="36"/>
          <w:szCs w:val="48"/>
          <w:highlight w:val="none"/>
        </w:rPr>
      </w:pPr>
    </w:p>
    <w:p w14:paraId="141452C7">
      <w:pPr>
        <w:pStyle w:val="9"/>
        <w:spacing w:line="360" w:lineRule="auto"/>
        <w:jc w:val="center"/>
        <w:rPr>
          <w:rFonts w:hAnsi="宋体" w:eastAsia="宋体" w:cs="宋体"/>
          <w:b/>
          <w:bCs/>
          <w:sz w:val="36"/>
          <w:szCs w:val="48"/>
          <w:highlight w:val="none"/>
        </w:rPr>
      </w:pPr>
    </w:p>
    <w:p w14:paraId="690E4B24">
      <w:pPr>
        <w:pStyle w:val="9"/>
        <w:spacing w:line="360" w:lineRule="auto"/>
        <w:jc w:val="center"/>
        <w:rPr>
          <w:rFonts w:hAnsi="宋体" w:eastAsia="宋体" w:cs="宋体"/>
          <w:b/>
          <w:bCs/>
          <w:sz w:val="36"/>
          <w:szCs w:val="48"/>
          <w:highlight w:val="none"/>
        </w:rPr>
      </w:pPr>
    </w:p>
    <w:p w14:paraId="4A185AC0">
      <w:pPr>
        <w:pStyle w:val="9"/>
        <w:spacing w:line="360" w:lineRule="auto"/>
        <w:jc w:val="center"/>
        <w:rPr>
          <w:rFonts w:hAnsi="宋体" w:eastAsia="宋体" w:cs="宋体"/>
          <w:b/>
          <w:bCs/>
          <w:sz w:val="36"/>
          <w:szCs w:val="48"/>
          <w:highlight w:val="none"/>
        </w:rPr>
      </w:pPr>
    </w:p>
    <w:p w14:paraId="105CF92A">
      <w:pPr>
        <w:pStyle w:val="9"/>
        <w:spacing w:line="360" w:lineRule="auto"/>
        <w:jc w:val="center"/>
        <w:rPr>
          <w:rFonts w:hAnsi="宋体" w:eastAsia="宋体" w:cs="宋体"/>
          <w:b/>
          <w:bCs/>
          <w:sz w:val="36"/>
          <w:szCs w:val="48"/>
          <w:highlight w:val="none"/>
        </w:rPr>
      </w:pPr>
    </w:p>
    <w:p w14:paraId="7A58231D">
      <w:pPr>
        <w:pStyle w:val="9"/>
        <w:spacing w:line="360" w:lineRule="auto"/>
        <w:jc w:val="center"/>
        <w:rPr>
          <w:rFonts w:hAnsi="宋体" w:eastAsia="宋体" w:cs="宋体"/>
          <w:b/>
          <w:bCs/>
          <w:sz w:val="36"/>
          <w:szCs w:val="48"/>
          <w:highlight w:val="none"/>
        </w:rPr>
      </w:pPr>
    </w:p>
    <w:p w14:paraId="194A3CB7">
      <w:pPr>
        <w:pStyle w:val="9"/>
        <w:spacing w:line="360" w:lineRule="auto"/>
        <w:jc w:val="center"/>
        <w:rPr>
          <w:rFonts w:hAnsi="宋体" w:eastAsia="宋体" w:cs="宋体"/>
          <w:b/>
          <w:bCs/>
          <w:sz w:val="36"/>
          <w:szCs w:val="48"/>
          <w:highlight w:val="none"/>
        </w:rPr>
      </w:pPr>
    </w:p>
    <w:p w14:paraId="12FC3DAD">
      <w:pPr>
        <w:pStyle w:val="9"/>
        <w:spacing w:line="360" w:lineRule="auto"/>
        <w:jc w:val="center"/>
        <w:rPr>
          <w:rFonts w:hAnsi="宋体" w:eastAsia="宋体" w:cs="宋体"/>
          <w:b/>
          <w:bCs/>
          <w:sz w:val="36"/>
          <w:szCs w:val="48"/>
          <w:highlight w:val="none"/>
        </w:rPr>
      </w:pPr>
    </w:p>
    <w:p w14:paraId="5990CBC8">
      <w:pPr>
        <w:pStyle w:val="9"/>
        <w:spacing w:line="360" w:lineRule="auto"/>
        <w:jc w:val="center"/>
        <w:rPr>
          <w:rFonts w:hAnsi="宋体" w:eastAsia="宋体" w:cs="宋体"/>
          <w:b/>
          <w:bCs/>
          <w:sz w:val="36"/>
          <w:szCs w:val="48"/>
          <w:highlight w:val="none"/>
        </w:rPr>
      </w:pPr>
    </w:p>
    <w:p w14:paraId="491AC99D">
      <w:pPr>
        <w:pStyle w:val="9"/>
        <w:spacing w:line="360" w:lineRule="auto"/>
        <w:jc w:val="center"/>
        <w:rPr>
          <w:rFonts w:hAnsi="宋体" w:eastAsia="宋体" w:cs="宋体"/>
          <w:b/>
          <w:bCs/>
          <w:sz w:val="36"/>
          <w:szCs w:val="48"/>
          <w:highlight w:val="none"/>
        </w:rPr>
      </w:pPr>
    </w:p>
    <w:p w14:paraId="0ECE0385">
      <w:pPr>
        <w:pStyle w:val="9"/>
        <w:spacing w:line="360" w:lineRule="auto"/>
        <w:jc w:val="center"/>
        <w:rPr>
          <w:rFonts w:hAnsi="宋体" w:eastAsia="宋体" w:cs="宋体"/>
          <w:b/>
          <w:bCs/>
          <w:sz w:val="36"/>
          <w:szCs w:val="48"/>
          <w:highlight w:val="none"/>
        </w:rPr>
      </w:pPr>
    </w:p>
    <w:p w14:paraId="59055E4D">
      <w:pPr>
        <w:pStyle w:val="9"/>
        <w:spacing w:line="360" w:lineRule="auto"/>
        <w:jc w:val="center"/>
        <w:rPr>
          <w:rFonts w:hAnsi="宋体" w:eastAsia="宋体" w:cs="宋体"/>
          <w:b/>
          <w:bCs/>
          <w:sz w:val="36"/>
          <w:szCs w:val="48"/>
          <w:highlight w:val="none"/>
        </w:rPr>
      </w:pPr>
    </w:p>
    <w:p w14:paraId="163C67F4">
      <w:pPr>
        <w:pStyle w:val="4"/>
        <w:jc w:val="center"/>
        <w:rPr>
          <w:rFonts w:ascii="宋体" w:hAnsi="宋体" w:cs="宋体"/>
          <w:highlight w:val="none"/>
        </w:rPr>
      </w:pPr>
      <w:r>
        <w:rPr>
          <w:rFonts w:hint="eastAsia" w:ascii="宋体" w:hAnsi="宋体" w:cs="宋体"/>
          <w:highlight w:val="none"/>
        </w:rPr>
        <w:t>报 价 单</w:t>
      </w:r>
    </w:p>
    <w:p w14:paraId="5DFC5861">
      <w:pPr>
        <w:spacing w:line="440" w:lineRule="exact"/>
        <w:rPr>
          <w:rFonts w:ascii="宋体" w:hAnsi="宋体" w:cs="宋体"/>
          <w:spacing w:val="4"/>
          <w:szCs w:val="21"/>
          <w:highlight w:val="none"/>
        </w:rPr>
      </w:pPr>
      <w:r>
        <w:rPr>
          <w:rFonts w:hint="eastAsia" w:ascii="宋体" w:hAnsi="宋体" w:cs="宋体"/>
          <w:spacing w:val="4"/>
          <w:szCs w:val="21"/>
          <w:highlight w:val="none"/>
        </w:rPr>
        <w:t>报价人名称：</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项目编号：</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w:t>
      </w:r>
    </w:p>
    <w:tbl>
      <w:tblPr>
        <w:tblStyle w:val="16"/>
        <w:tblW w:w="8951" w:type="dxa"/>
        <w:tblInd w:w="-480" w:type="dxa"/>
        <w:tblLayout w:type="fixed"/>
        <w:tblCellMar>
          <w:top w:w="15" w:type="dxa"/>
          <w:left w:w="15" w:type="dxa"/>
          <w:bottom w:w="15" w:type="dxa"/>
          <w:right w:w="15" w:type="dxa"/>
        </w:tblCellMar>
      </w:tblPr>
      <w:tblGrid>
        <w:gridCol w:w="623"/>
        <w:gridCol w:w="1584"/>
        <w:gridCol w:w="1164"/>
        <w:gridCol w:w="1660"/>
        <w:gridCol w:w="1352"/>
        <w:gridCol w:w="2568"/>
      </w:tblGrid>
      <w:tr w14:paraId="21F751CA">
        <w:tblPrEx>
          <w:tblCellMar>
            <w:top w:w="15" w:type="dxa"/>
            <w:left w:w="15" w:type="dxa"/>
            <w:bottom w:w="15" w:type="dxa"/>
            <w:right w:w="15" w:type="dxa"/>
          </w:tblCellMar>
        </w:tblPrEx>
        <w:trPr>
          <w:trHeight w:val="375" w:hRule="atLeast"/>
        </w:trPr>
        <w:tc>
          <w:tcPr>
            <w:tcW w:w="623" w:type="dxa"/>
            <w:tcBorders>
              <w:top w:val="single" w:color="000000" w:sz="4" w:space="0"/>
              <w:left w:val="single" w:color="000000" w:sz="4" w:space="0"/>
              <w:bottom w:val="single" w:color="000000" w:sz="4" w:space="0"/>
              <w:right w:val="single" w:color="000000" w:sz="4" w:space="0"/>
            </w:tcBorders>
            <w:vAlign w:val="center"/>
          </w:tcPr>
          <w:p w14:paraId="30D5E9AC">
            <w:pPr>
              <w:pStyle w:val="7"/>
              <w:jc w:val="center"/>
              <w:rPr>
                <w:rFonts w:ascii="宋体" w:hAnsi="宋体" w:eastAsia="宋体" w:cs="宋体"/>
                <w:b/>
                <w:bCs/>
                <w:szCs w:val="21"/>
                <w:highlight w:val="none"/>
              </w:rPr>
            </w:pPr>
            <w:r>
              <w:rPr>
                <w:rFonts w:hint="eastAsia" w:ascii="宋体" w:hAnsi="宋体" w:eastAsia="宋体" w:cs="宋体"/>
                <w:b/>
                <w:bCs/>
                <w:szCs w:val="21"/>
                <w:highlight w:val="none"/>
              </w:rPr>
              <w:t>序号</w:t>
            </w:r>
          </w:p>
        </w:tc>
        <w:tc>
          <w:tcPr>
            <w:tcW w:w="1584" w:type="dxa"/>
            <w:tcBorders>
              <w:top w:val="single" w:color="000000" w:sz="4" w:space="0"/>
              <w:left w:val="single" w:color="000000" w:sz="4" w:space="0"/>
              <w:bottom w:val="single" w:color="000000" w:sz="4" w:space="0"/>
              <w:right w:val="single" w:color="000000" w:sz="4" w:space="0"/>
            </w:tcBorders>
            <w:vAlign w:val="center"/>
          </w:tcPr>
          <w:p w14:paraId="65E80DC1">
            <w:pPr>
              <w:pStyle w:val="7"/>
              <w:jc w:val="center"/>
              <w:rPr>
                <w:rFonts w:ascii="宋体" w:hAnsi="宋体" w:eastAsia="宋体" w:cs="宋体"/>
                <w:b/>
                <w:bCs/>
                <w:szCs w:val="21"/>
                <w:highlight w:val="none"/>
              </w:rPr>
            </w:pPr>
            <w:r>
              <w:rPr>
                <w:rFonts w:hint="eastAsia" w:ascii="宋体" w:hAnsi="宋体" w:eastAsia="宋体" w:cs="宋体"/>
                <w:b/>
                <w:bCs/>
                <w:szCs w:val="21"/>
                <w:highlight w:val="none"/>
              </w:rPr>
              <w:t>名称</w:t>
            </w:r>
          </w:p>
        </w:tc>
        <w:tc>
          <w:tcPr>
            <w:tcW w:w="1164" w:type="dxa"/>
            <w:tcBorders>
              <w:top w:val="single" w:color="000000" w:sz="4" w:space="0"/>
              <w:left w:val="single" w:color="000000" w:sz="4" w:space="0"/>
              <w:bottom w:val="single" w:color="000000" w:sz="4" w:space="0"/>
              <w:right w:val="single" w:color="000000" w:sz="4" w:space="0"/>
            </w:tcBorders>
            <w:vAlign w:val="center"/>
          </w:tcPr>
          <w:p w14:paraId="4F3F67F3">
            <w:pPr>
              <w:pStyle w:val="7"/>
              <w:jc w:val="center"/>
              <w:rPr>
                <w:rFonts w:ascii="宋体" w:hAnsi="宋体" w:eastAsia="宋体" w:cs="宋体"/>
                <w:b/>
                <w:bCs/>
                <w:szCs w:val="21"/>
                <w:highlight w:val="none"/>
              </w:rPr>
            </w:pPr>
            <w:r>
              <w:rPr>
                <w:rFonts w:hint="eastAsia" w:ascii="宋体" w:hAnsi="宋体" w:eastAsia="宋体" w:cs="宋体"/>
                <w:b/>
                <w:bCs/>
                <w:szCs w:val="21"/>
                <w:highlight w:val="none"/>
              </w:rPr>
              <w:t>预估数量（人）</w:t>
            </w:r>
          </w:p>
        </w:tc>
        <w:tc>
          <w:tcPr>
            <w:tcW w:w="1660" w:type="dxa"/>
            <w:tcBorders>
              <w:top w:val="single" w:color="000000" w:sz="4" w:space="0"/>
              <w:left w:val="single" w:color="000000" w:sz="4" w:space="0"/>
              <w:bottom w:val="single" w:color="000000" w:sz="4" w:space="0"/>
              <w:right w:val="single" w:color="000000" w:sz="4" w:space="0"/>
            </w:tcBorders>
            <w:vAlign w:val="center"/>
          </w:tcPr>
          <w:p w14:paraId="4252D8E4">
            <w:pPr>
              <w:pStyle w:val="7"/>
              <w:jc w:val="center"/>
              <w:rPr>
                <w:rFonts w:ascii="宋体" w:hAnsi="宋体" w:eastAsia="宋体" w:cs="宋体"/>
                <w:b/>
                <w:bCs/>
                <w:szCs w:val="21"/>
                <w:highlight w:val="none"/>
              </w:rPr>
            </w:pPr>
            <w:r>
              <w:rPr>
                <w:rFonts w:hint="eastAsia" w:ascii="宋体" w:hAnsi="宋体" w:eastAsia="宋体" w:cs="宋体"/>
                <w:b/>
                <w:bCs/>
                <w:szCs w:val="21"/>
                <w:highlight w:val="none"/>
              </w:rPr>
              <w:t>结算综合单价</w:t>
            </w:r>
          </w:p>
          <w:p w14:paraId="53669D1F">
            <w:pPr>
              <w:pStyle w:val="7"/>
              <w:jc w:val="center"/>
              <w:rPr>
                <w:rFonts w:ascii="宋体" w:hAnsi="宋体" w:eastAsia="宋体" w:cs="宋体"/>
                <w:b/>
                <w:bCs/>
                <w:szCs w:val="21"/>
                <w:highlight w:val="none"/>
              </w:rPr>
            </w:pPr>
            <w:r>
              <w:rPr>
                <w:rFonts w:hint="eastAsia" w:ascii="宋体" w:hAnsi="宋体" w:eastAsia="宋体" w:cs="宋体"/>
                <w:b/>
                <w:bCs/>
                <w:szCs w:val="21"/>
                <w:highlight w:val="none"/>
              </w:rPr>
              <w:t>（元/人）</w:t>
            </w:r>
          </w:p>
        </w:tc>
        <w:tc>
          <w:tcPr>
            <w:tcW w:w="1352" w:type="dxa"/>
            <w:tcBorders>
              <w:top w:val="single" w:color="000000" w:sz="4" w:space="0"/>
              <w:left w:val="single" w:color="000000" w:sz="4" w:space="0"/>
              <w:bottom w:val="single" w:color="000000" w:sz="4" w:space="0"/>
              <w:right w:val="single" w:color="000000" w:sz="4" w:space="0"/>
            </w:tcBorders>
            <w:vAlign w:val="center"/>
          </w:tcPr>
          <w:p w14:paraId="746C6F89">
            <w:pPr>
              <w:pStyle w:val="7"/>
              <w:jc w:val="center"/>
              <w:rPr>
                <w:rFonts w:ascii="宋体" w:hAnsi="宋体" w:eastAsia="宋体" w:cs="宋体"/>
                <w:b/>
                <w:bCs/>
                <w:szCs w:val="21"/>
                <w:highlight w:val="none"/>
              </w:rPr>
            </w:pPr>
            <w:r>
              <w:rPr>
                <w:rFonts w:hint="eastAsia" w:ascii="宋体" w:hAnsi="宋体" w:eastAsia="宋体" w:cs="宋体"/>
                <w:b/>
                <w:bCs/>
                <w:szCs w:val="21"/>
                <w:highlight w:val="none"/>
              </w:rPr>
              <w:t>纪念品价值（元）</w:t>
            </w:r>
          </w:p>
        </w:tc>
        <w:tc>
          <w:tcPr>
            <w:tcW w:w="2568" w:type="dxa"/>
            <w:tcBorders>
              <w:top w:val="single" w:color="000000" w:sz="4" w:space="0"/>
              <w:left w:val="single" w:color="000000" w:sz="4" w:space="0"/>
              <w:bottom w:val="single" w:color="000000" w:sz="4" w:space="0"/>
              <w:right w:val="single" w:color="000000" w:sz="4" w:space="0"/>
            </w:tcBorders>
            <w:vAlign w:val="center"/>
          </w:tcPr>
          <w:p w14:paraId="3BDA40E5">
            <w:pPr>
              <w:pStyle w:val="7"/>
              <w:jc w:val="center"/>
              <w:rPr>
                <w:rFonts w:ascii="宋体" w:hAnsi="宋体" w:eastAsia="宋体" w:cs="宋体"/>
                <w:b/>
                <w:bCs/>
                <w:szCs w:val="21"/>
                <w:highlight w:val="none"/>
              </w:rPr>
            </w:pPr>
            <w:r>
              <w:rPr>
                <w:rFonts w:hint="eastAsia" w:ascii="宋体" w:hAnsi="宋体" w:eastAsia="宋体" w:cs="宋体"/>
                <w:b/>
                <w:bCs/>
                <w:szCs w:val="21"/>
                <w:highlight w:val="none"/>
              </w:rPr>
              <w:t>备  注</w:t>
            </w:r>
          </w:p>
        </w:tc>
      </w:tr>
      <w:tr w14:paraId="00E74346">
        <w:tblPrEx>
          <w:tblCellMar>
            <w:top w:w="15" w:type="dxa"/>
            <w:left w:w="15" w:type="dxa"/>
            <w:bottom w:w="15" w:type="dxa"/>
            <w:right w:w="15" w:type="dxa"/>
          </w:tblCellMar>
        </w:tblPrEx>
        <w:trPr>
          <w:trHeight w:val="2049" w:hRule="atLeast"/>
        </w:trPr>
        <w:tc>
          <w:tcPr>
            <w:tcW w:w="623" w:type="dxa"/>
            <w:tcBorders>
              <w:top w:val="single" w:color="000000" w:sz="4" w:space="0"/>
              <w:left w:val="single" w:color="000000" w:sz="4" w:space="0"/>
              <w:bottom w:val="single" w:color="000000" w:sz="4" w:space="0"/>
              <w:right w:val="single" w:color="000000" w:sz="4" w:space="0"/>
            </w:tcBorders>
            <w:vAlign w:val="center"/>
          </w:tcPr>
          <w:p w14:paraId="7EF0E263">
            <w:pPr>
              <w:pStyle w:val="7"/>
              <w:jc w:val="center"/>
              <w:rPr>
                <w:rFonts w:ascii="宋体" w:hAnsi="宋体" w:eastAsia="宋体" w:cs="宋体"/>
                <w:szCs w:val="21"/>
                <w:highlight w:val="none"/>
              </w:rPr>
            </w:pPr>
            <w:r>
              <w:rPr>
                <w:rFonts w:hint="eastAsia" w:ascii="宋体" w:hAnsi="宋体" w:eastAsia="宋体" w:cs="宋体"/>
                <w:szCs w:val="21"/>
                <w:highlight w:val="none"/>
              </w:rPr>
              <w:t>1</w:t>
            </w:r>
          </w:p>
        </w:tc>
        <w:tc>
          <w:tcPr>
            <w:tcW w:w="1584" w:type="dxa"/>
            <w:tcBorders>
              <w:top w:val="single" w:color="000000" w:sz="4" w:space="0"/>
              <w:left w:val="single" w:color="000000" w:sz="4" w:space="0"/>
              <w:bottom w:val="single" w:color="000000" w:sz="4" w:space="0"/>
              <w:right w:val="single" w:color="000000" w:sz="4" w:space="0"/>
            </w:tcBorders>
            <w:vAlign w:val="center"/>
          </w:tcPr>
          <w:p w14:paraId="4DBE4B42">
            <w:pPr>
              <w:pStyle w:val="7"/>
              <w:jc w:val="center"/>
              <w:rPr>
                <w:rFonts w:ascii="宋体" w:hAnsi="宋体" w:eastAsia="宋体" w:cs="宋体"/>
                <w:szCs w:val="21"/>
                <w:highlight w:val="none"/>
              </w:rPr>
            </w:pPr>
            <w:r>
              <w:rPr>
                <w:rFonts w:hint="eastAsia" w:ascii="宋体" w:hAnsi="宋体" w:eastAsia="宋体" w:cs="宋体"/>
                <w:szCs w:val="21"/>
                <w:highlight w:val="none"/>
              </w:rPr>
              <w:t>2026年职工妇女节活动服务</w:t>
            </w:r>
          </w:p>
        </w:tc>
        <w:tc>
          <w:tcPr>
            <w:tcW w:w="1164" w:type="dxa"/>
            <w:tcBorders>
              <w:top w:val="single" w:color="000000" w:sz="4" w:space="0"/>
              <w:left w:val="single" w:color="000000" w:sz="4" w:space="0"/>
              <w:bottom w:val="single" w:color="000000" w:sz="4" w:space="0"/>
              <w:right w:val="single" w:color="000000" w:sz="4" w:space="0"/>
            </w:tcBorders>
            <w:vAlign w:val="center"/>
          </w:tcPr>
          <w:p w14:paraId="654E3234">
            <w:pPr>
              <w:pStyle w:val="7"/>
              <w:jc w:val="center"/>
              <w:rPr>
                <w:rFonts w:ascii="宋体" w:hAnsi="宋体" w:eastAsia="宋体" w:cs="宋体"/>
                <w:szCs w:val="21"/>
                <w:highlight w:val="none"/>
              </w:rPr>
            </w:pPr>
            <w:r>
              <w:rPr>
                <w:rFonts w:hint="eastAsia" w:ascii="宋体" w:hAnsi="宋体" w:eastAsia="宋体" w:cs="宋体"/>
                <w:szCs w:val="21"/>
                <w:highlight w:val="none"/>
              </w:rPr>
              <w:t>3190</w:t>
            </w:r>
          </w:p>
        </w:tc>
        <w:tc>
          <w:tcPr>
            <w:tcW w:w="1660" w:type="dxa"/>
            <w:tcBorders>
              <w:top w:val="single" w:color="000000" w:sz="4" w:space="0"/>
              <w:left w:val="single" w:color="000000" w:sz="4" w:space="0"/>
              <w:bottom w:val="single" w:color="000000" w:sz="4" w:space="0"/>
              <w:right w:val="single" w:color="000000" w:sz="4" w:space="0"/>
            </w:tcBorders>
            <w:vAlign w:val="center"/>
          </w:tcPr>
          <w:p w14:paraId="4E1B529E">
            <w:pPr>
              <w:pStyle w:val="7"/>
              <w:jc w:val="center"/>
              <w:rPr>
                <w:rFonts w:ascii="宋体" w:hAnsi="宋体" w:eastAsia="宋体" w:cs="宋体"/>
                <w:szCs w:val="21"/>
                <w:highlight w:val="none"/>
              </w:rPr>
            </w:pPr>
            <w:r>
              <w:rPr>
                <w:rFonts w:hint="eastAsia" w:ascii="宋体" w:hAnsi="宋体" w:eastAsia="宋体" w:cs="宋体"/>
                <w:szCs w:val="21"/>
                <w:highlight w:val="none"/>
              </w:rPr>
              <w:t>200</w:t>
            </w:r>
          </w:p>
        </w:tc>
        <w:tc>
          <w:tcPr>
            <w:tcW w:w="1352" w:type="dxa"/>
            <w:tcBorders>
              <w:top w:val="single" w:color="000000" w:sz="4" w:space="0"/>
              <w:left w:val="single" w:color="000000" w:sz="4" w:space="0"/>
              <w:bottom w:val="single" w:color="000000" w:sz="4" w:space="0"/>
              <w:right w:val="single" w:color="000000" w:sz="4" w:space="0"/>
            </w:tcBorders>
            <w:vAlign w:val="center"/>
          </w:tcPr>
          <w:p w14:paraId="4879CE17">
            <w:pPr>
              <w:pStyle w:val="7"/>
              <w:jc w:val="left"/>
              <w:rPr>
                <w:rFonts w:ascii="宋体" w:hAnsi="宋体" w:eastAsia="宋体" w:cs="宋体"/>
                <w:szCs w:val="21"/>
                <w:highlight w:val="none"/>
              </w:rPr>
            </w:pPr>
          </w:p>
        </w:tc>
        <w:tc>
          <w:tcPr>
            <w:tcW w:w="2568" w:type="dxa"/>
            <w:tcBorders>
              <w:top w:val="single" w:color="000000" w:sz="4" w:space="0"/>
              <w:left w:val="single" w:color="000000" w:sz="4" w:space="0"/>
              <w:bottom w:val="single" w:color="000000" w:sz="4" w:space="0"/>
              <w:right w:val="single" w:color="000000" w:sz="4" w:space="0"/>
            </w:tcBorders>
            <w:vAlign w:val="center"/>
          </w:tcPr>
          <w:p w14:paraId="76BB5A00">
            <w:pPr>
              <w:pStyle w:val="7"/>
              <w:jc w:val="left"/>
              <w:rPr>
                <w:rFonts w:ascii="宋体" w:hAnsi="宋体" w:eastAsia="宋体" w:cs="宋体"/>
                <w:szCs w:val="21"/>
                <w:highlight w:val="none"/>
              </w:rPr>
            </w:pPr>
            <w:r>
              <w:rPr>
                <w:rFonts w:hint="eastAsia" w:ascii="宋体" w:hAnsi="宋体" w:eastAsia="宋体" w:cs="宋体"/>
                <w:b/>
                <w:bCs/>
                <w:szCs w:val="21"/>
                <w:highlight w:val="none"/>
              </w:rPr>
              <w:t>纪念品价值不超过100元（需在报价单后附纪念品内容明细及样品图）</w:t>
            </w:r>
          </w:p>
        </w:tc>
      </w:tr>
    </w:tbl>
    <w:p w14:paraId="31EBD6D4">
      <w:pPr>
        <w:pStyle w:val="5"/>
        <w:snapToGrid w:val="0"/>
        <w:spacing w:line="360" w:lineRule="auto"/>
        <w:ind w:firstLine="0"/>
        <w:jc w:val="left"/>
        <w:rPr>
          <w:rFonts w:ascii="宋体" w:hAnsi="宋体" w:eastAsia="宋体" w:cs="宋体"/>
          <w:szCs w:val="21"/>
          <w:highlight w:val="none"/>
        </w:rPr>
      </w:pPr>
      <w:r>
        <w:rPr>
          <w:rFonts w:hint="eastAsia" w:ascii="宋体" w:hAnsi="宋体" w:eastAsia="宋体" w:cs="宋体"/>
          <w:szCs w:val="21"/>
          <w:highlight w:val="none"/>
        </w:rPr>
        <w:t>注：1、本项目按综合单价（含增值税）据实结算，报价应包括但不限于人工费、材料费、场地费、交通费、通讯费、设备使用费、文印费及成交人应负担的</w:t>
      </w:r>
      <w:r>
        <w:rPr>
          <w:rFonts w:hint="eastAsia" w:ascii="宋体" w:hAnsi="宋体" w:eastAsia="宋体" w:cs="宋体"/>
          <w:kern w:val="2"/>
          <w:szCs w:val="21"/>
          <w:highlight w:val="none"/>
        </w:rPr>
        <w:t>一切</w:t>
      </w:r>
      <w:r>
        <w:rPr>
          <w:rFonts w:hint="eastAsia" w:ascii="宋体" w:hAnsi="宋体" w:eastAsia="宋体" w:cs="宋体"/>
          <w:szCs w:val="21"/>
          <w:highlight w:val="none"/>
        </w:rPr>
        <w:t>税费，除此之外，采购人无需再支付任何费用，报价人应根据上述因素自行考虑含入综合单价（含增值税）。</w:t>
      </w:r>
    </w:p>
    <w:p w14:paraId="0630A646">
      <w:pPr>
        <w:pStyle w:val="5"/>
        <w:snapToGrid w:val="0"/>
        <w:spacing w:line="360" w:lineRule="auto"/>
        <w:ind w:firstLineChars="200"/>
        <w:jc w:val="left"/>
        <w:rPr>
          <w:rFonts w:ascii="宋体" w:hAnsi="宋体" w:eastAsia="宋体" w:cs="宋体"/>
          <w:szCs w:val="21"/>
          <w:highlight w:val="none"/>
        </w:rPr>
      </w:pPr>
      <w:r>
        <w:rPr>
          <w:rFonts w:hint="eastAsia" w:ascii="宋体" w:hAnsi="宋体" w:eastAsia="宋体" w:cs="宋体"/>
          <w:szCs w:val="21"/>
          <w:highlight w:val="none"/>
        </w:rPr>
        <w:t>2、以上报价为含增值税报价。</w:t>
      </w:r>
    </w:p>
    <w:p w14:paraId="5605634D">
      <w:pPr>
        <w:pStyle w:val="7"/>
        <w:ind w:firstLine="420" w:firstLineChars="200"/>
        <w:rPr>
          <w:rFonts w:ascii="宋体" w:hAnsi="宋体" w:eastAsia="宋体" w:cs="宋体"/>
          <w:sz w:val="24"/>
          <w:szCs w:val="24"/>
          <w:highlight w:val="none"/>
        </w:rPr>
      </w:pPr>
      <w:r>
        <w:rPr>
          <w:rFonts w:hint="eastAsia" w:ascii="宋体" w:hAnsi="宋体" w:eastAsia="宋体" w:cs="宋体"/>
          <w:szCs w:val="21"/>
          <w:highlight w:val="none"/>
        </w:rPr>
        <w:t>3、上表中预估数量仅供参考，最终按实际需求为准。</w:t>
      </w:r>
    </w:p>
    <w:p w14:paraId="38118D4C">
      <w:pPr>
        <w:pStyle w:val="7"/>
        <w:rPr>
          <w:rFonts w:ascii="宋体" w:hAnsi="宋体" w:eastAsia="宋体" w:cs="宋体"/>
          <w:sz w:val="24"/>
          <w:szCs w:val="24"/>
          <w:highlight w:val="none"/>
        </w:rPr>
      </w:pPr>
    </w:p>
    <w:p w14:paraId="21C4D409">
      <w:pPr>
        <w:pStyle w:val="7"/>
        <w:rPr>
          <w:rFonts w:ascii="宋体" w:hAnsi="宋体" w:eastAsia="宋体" w:cs="宋体"/>
          <w:sz w:val="24"/>
          <w:szCs w:val="24"/>
          <w:highlight w:val="none"/>
        </w:rPr>
      </w:pPr>
      <w:r>
        <w:rPr>
          <w:rFonts w:hint="eastAsia" w:ascii="宋体" w:hAnsi="宋体" w:eastAsia="宋体" w:cs="宋体"/>
          <w:sz w:val="24"/>
          <w:szCs w:val="24"/>
          <w:highlight w:val="none"/>
        </w:rPr>
        <w:t>报价人（盖章）：</w:t>
      </w:r>
    </w:p>
    <w:p w14:paraId="701FDDF4">
      <w:pPr>
        <w:pStyle w:val="7"/>
        <w:rPr>
          <w:rFonts w:ascii="宋体" w:hAnsi="宋体" w:eastAsia="宋体" w:cs="宋体"/>
          <w:sz w:val="24"/>
          <w:szCs w:val="24"/>
          <w:highlight w:val="none"/>
        </w:rPr>
      </w:pPr>
      <w:r>
        <w:rPr>
          <w:rFonts w:hint="eastAsia" w:ascii="宋体" w:hAnsi="宋体" w:eastAsia="宋体" w:cs="宋体"/>
          <w:sz w:val="24"/>
          <w:szCs w:val="24"/>
          <w:highlight w:val="none"/>
        </w:rPr>
        <w:t>日期:</w:t>
      </w:r>
      <w:r>
        <w:rPr>
          <w:rFonts w:ascii="宋体" w:hAnsi="宋体" w:eastAsia="宋体" w:cs="宋体"/>
          <w:sz w:val="24"/>
          <w:szCs w:val="24"/>
          <w:highlight w:val="none"/>
        </w:rPr>
        <w:br w:type="page"/>
      </w:r>
    </w:p>
    <w:p w14:paraId="497A1D87">
      <w:pPr>
        <w:pStyle w:val="7"/>
        <w:rPr>
          <w:rFonts w:ascii="宋体" w:hAnsi="宋体" w:eastAsia="宋体" w:cs="宋体"/>
          <w:sz w:val="24"/>
          <w:szCs w:val="24"/>
          <w:highlight w:val="none"/>
        </w:rPr>
        <w:sectPr>
          <w:pgSz w:w="11905" w:h="16838"/>
          <w:pgMar w:top="1440" w:right="1803" w:bottom="1440" w:left="1803" w:header="851" w:footer="992" w:gutter="0"/>
          <w:cols w:space="0" w:num="1"/>
          <w:docGrid w:type="lines" w:linePitch="319" w:charSpace="0"/>
        </w:sectPr>
      </w:pPr>
      <w:r>
        <w:rPr>
          <w:rFonts w:hint="eastAsia" w:asciiTheme="minorEastAsia" w:hAnsiTheme="minorEastAsia" w:cstheme="minorEastAsia"/>
          <w:b/>
          <w:bCs/>
          <w:spacing w:val="14"/>
          <w:kern w:val="36"/>
          <w:sz w:val="36"/>
          <w:szCs w:val="48"/>
          <w:highlight w:val="none"/>
        </w:rPr>
        <w:t>附：纪念品内容明细及样品图</w:t>
      </w:r>
    </w:p>
    <w:p w14:paraId="5DEA44E5">
      <w:pPr>
        <w:pStyle w:val="3"/>
        <w:numPr>
          <w:ilvl w:val="255"/>
          <w:numId w:val="0"/>
        </w:numPr>
        <w:jc w:val="left"/>
        <w:rPr>
          <w:sz w:val="32"/>
          <w:highlight w:val="none"/>
        </w:rPr>
      </w:pPr>
      <w:r>
        <w:rPr>
          <w:rFonts w:hint="eastAsia"/>
          <w:sz w:val="32"/>
          <w:highlight w:val="none"/>
        </w:rPr>
        <w:t>报价文件格式</w:t>
      </w:r>
    </w:p>
    <w:p w14:paraId="5C4899D4">
      <w:pPr>
        <w:spacing w:line="360" w:lineRule="auto"/>
        <w:jc w:val="center"/>
        <w:rPr>
          <w:sz w:val="84"/>
          <w:szCs w:val="84"/>
          <w:highlight w:val="none"/>
        </w:rPr>
      </w:pPr>
    </w:p>
    <w:p w14:paraId="43D6FDAD">
      <w:pPr>
        <w:spacing w:line="360" w:lineRule="auto"/>
        <w:jc w:val="center"/>
        <w:rPr>
          <w:sz w:val="84"/>
          <w:szCs w:val="84"/>
          <w:highlight w:val="none"/>
        </w:rPr>
      </w:pPr>
    </w:p>
    <w:p w14:paraId="694A0C98">
      <w:pPr>
        <w:pStyle w:val="3"/>
        <w:rPr>
          <w:szCs w:val="84"/>
          <w:highlight w:val="none"/>
        </w:rPr>
      </w:pPr>
      <w:r>
        <w:rPr>
          <w:rFonts w:hint="eastAsia"/>
          <w:kern w:val="2"/>
          <w:sz w:val="84"/>
          <w:szCs w:val="84"/>
          <w:highlight w:val="none"/>
        </w:rPr>
        <w:t>商务技术文件</w:t>
      </w:r>
    </w:p>
    <w:p w14:paraId="7E9B5884">
      <w:pPr>
        <w:jc w:val="left"/>
        <w:rPr>
          <w:rFonts w:ascii="宋体" w:hAnsi="宋体" w:eastAsia="宋体" w:cs="宋体"/>
          <w:b/>
          <w:bCs/>
          <w:sz w:val="32"/>
          <w:szCs w:val="28"/>
          <w:highlight w:val="none"/>
        </w:rPr>
      </w:pPr>
      <w:r>
        <w:rPr>
          <w:rFonts w:hint="eastAsia" w:ascii="宋体" w:hAnsi="宋体" w:eastAsia="宋体" w:cs="宋体"/>
          <w:b/>
          <w:bCs/>
          <w:sz w:val="32"/>
          <w:szCs w:val="28"/>
          <w:highlight w:val="none"/>
        </w:rPr>
        <w:br w:type="page"/>
      </w:r>
    </w:p>
    <w:p w14:paraId="5C2C8A83">
      <w:pPr>
        <w:rPr>
          <w:rFonts w:ascii="宋体" w:hAnsi="宋体" w:eastAsia="宋体" w:cs="宋体"/>
          <w:highlight w:val="none"/>
        </w:rPr>
      </w:pPr>
    </w:p>
    <w:p w14:paraId="33FB4A39">
      <w:pPr>
        <w:pStyle w:val="4"/>
        <w:rPr>
          <w:rFonts w:ascii="宋体" w:hAnsi="宋体" w:cs="宋体"/>
          <w:highlight w:val="none"/>
        </w:rPr>
      </w:pPr>
      <w:r>
        <w:rPr>
          <w:rFonts w:hint="eastAsia" w:ascii="宋体" w:hAnsi="宋体" w:cs="宋体"/>
          <w:highlight w:val="none"/>
        </w:rPr>
        <w:t>1.法定代表人身份证明书</w:t>
      </w:r>
    </w:p>
    <w:p w14:paraId="45FB6088">
      <w:pPr>
        <w:widowControl/>
        <w:rPr>
          <w:rFonts w:ascii="宋体" w:hAnsi="宋体" w:eastAsia="宋体" w:cs="宋体"/>
          <w:b/>
          <w:kern w:val="0"/>
          <w:sz w:val="24"/>
          <w:szCs w:val="24"/>
          <w:highlight w:val="none"/>
          <w:lang w:bidi="ar"/>
        </w:rPr>
      </w:pPr>
    </w:p>
    <w:p w14:paraId="41BD5E0E">
      <w:pPr>
        <w:widowControl/>
        <w:ind w:firstLine="241" w:firstLineChars="100"/>
        <w:jc w:val="center"/>
        <w:rPr>
          <w:rFonts w:ascii="宋体" w:hAnsi="宋体" w:eastAsia="宋体" w:cs="宋体"/>
          <w:sz w:val="24"/>
          <w:szCs w:val="24"/>
          <w:highlight w:val="none"/>
        </w:rPr>
      </w:pPr>
      <w:r>
        <w:rPr>
          <w:rFonts w:hint="eastAsia" w:ascii="宋体" w:hAnsi="宋体" w:eastAsia="宋体" w:cs="宋体"/>
          <w:b/>
          <w:kern w:val="0"/>
          <w:sz w:val="24"/>
          <w:szCs w:val="24"/>
          <w:highlight w:val="none"/>
          <w:lang w:bidi="ar"/>
        </w:rPr>
        <w:t>法定代表人身份证明书</w:t>
      </w:r>
    </w:p>
    <w:p w14:paraId="1A5D82E6">
      <w:pPr>
        <w:widowControl/>
        <w:jc w:val="left"/>
        <w:rPr>
          <w:rFonts w:ascii="宋体" w:hAnsi="宋体" w:eastAsia="宋体" w:cs="宋体"/>
          <w:kern w:val="0"/>
          <w:sz w:val="24"/>
          <w:szCs w:val="24"/>
          <w:highlight w:val="none"/>
          <w:lang w:bidi="ar"/>
        </w:rPr>
      </w:pPr>
    </w:p>
    <w:p w14:paraId="463E7EAA">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兹证明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（性别：</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 xml:space="preserve"> ，身份证号码：</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）现在我单位任</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 xml:space="preserve">职务，系我单位法定代表人，特此证明。 </w:t>
      </w:r>
    </w:p>
    <w:p w14:paraId="70996C65">
      <w:pPr>
        <w:widowControl/>
        <w:jc w:val="left"/>
        <w:rPr>
          <w:rFonts w:ascii="宋体" w:hAnsi="宋体" w:eastAsia="宋体" w:cs="宋体"/>
          <w:kern w:val="0"/>
          <w:sz w:val="24"/>
          <w:szCs w:val="24"/>
          <w:highlight w:val="none"/>
          <w:lang w:bidi="ar"/>
        </w:rPr>
      </w:pPr>
    </w:p>
    <w:p w14:paraId="11EEA94D">
      <w:pPr>
        <w:widowControl/>
        <w:jc w:val="left"/>
        <w:rPr>
          <w:rFonts w:ascii="宋体" w:hAnsi="宋体" w:eastAsia="宋体" w:cs="宋体"/>
          <w:kern w:val="0"/>
          <w:sz w:val="24"/>
          <w:szCs w:val="24"/>
          <w:highlight w:val="none"/>
          <w:lang w:bidi="ar"/>
        </w:rPr>
      </w:pPr>
    </w:p>
    <w:p w14:paraId="56A663E7">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报价人：（盖公章） </w:t>
      </w:r>
    </w:p>
    <w:p w14:paraId="55686EC1">
      <w:pPr>
        <w:widowControl/>
        <w:jc w:val="left"/>
        <w:rPr>
          <w:rFonts w:ascii="宋体" w:hAnsi="宋体" w:eastAsia="宋体" w:cs="宋体"/>
          <w:kern w:val="0"/>
          <w:sz w:val="24"/>
          <w:szCs w:val="24"/>
          <w:highlight w:val="none"/>
          <w:lang w:bidi="ar"/>
        </w:rPr>
      </w:pPr>
    </w:p>
    <w:p w14:paraId="34F90C98">
      <w:pPr>
        <w:widowControl/>
        <w:jc w:val="left"/>
        <w:rPr>
          <w:rFonts w:ascii="宋体" w:hAnsi="宋体" w:eastAsia="宋体" w:cs="宋体"/>
          <w:kern w:val="0"/>
          <w:sz w:val="24"/>
          <w:szCs w:val="24"/>
          <w:highlight w:val="none"/>
          <w:lang w:bidi="ar"/>
        </w:rPr>
      </w:pPr>
    </w:p>
    <w:p w14:paraId="6A404E93">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年 月 日 </w:t>
      </w:r>
    </w:p>
    <w:p w14:paraId="10A51329">
      <w:pPr>
        <w:widowControl/>
        <w:jc w:val="left"/>
        <w:rPr>
          <w:rFonts w:ascii="宋体" w:hAnsi="宋体" w:eastAsia="宋体" w:cs="宋体"/>
          <w:b/>
          <w:kern w:val="0"/>
          <w:sz w:val="24"/>
          <w:szCs w:val="24"/>
          <w:highlight w:val="none"/>
          <w:lang w:bidi="ar"/>
        </w:rPr>
      </w:pPr>
    </w:p>
    <w:p w14:paraId="00DA50C4">
      <w:pPr>
        <w:widowControl/>
        <w:jc w:val="left"/>
        <w:rPr>
          <w:rFonts w:ascii="宋体" w:hAnsi="宋体" w:eastAsia="宋体" w:cs="宋体"/>
          <w:b/>
          <w:kern w:val="0"/>
          <w:sz w:val="24"/>
          <w:szCs w:val="24"/>
          <w:highlight w:val="none"/>
          <w:lang w:bidi="ar"/>
        </w:rPr>
      </w:pPr>
    </w:p>
    <w:p w14:paraId="6CA3087C">
      <w:pPr>
        <w:widowControl/>
        <w:jc w:val="left"/>
        <w:rPr>
          <w:rFonts w:ascii="宋体" w:hAnsi="宋体" w:eastAsia="宋体" w:cs="宋体"/>
          <w:sz w:val="24"/>
          <w:szCs w:val="24"/>
          <w:highlight w:val="none"/>
        </w:rPr>
      </w:pPr>
      <w:r>
        <w:rPr>
          <w:rFonts w:hint="eastAsia" w:ascii="宋体" w:hAnsi="宋体" w:eastAsia="宋体" w:cs="宋体"/>
          <w:b/>
          <w:kern w:val="0"/>
          <w:sz w:val="24"/>
          <w:szCs w:val="24"/>
          <w:highlight w:val="none"/>
          <w:lang w:bidi="ar"/>
        </w:rPr>
        <w:t xml:space="preserve">注：法定代表人以营业执照、组织机构代码证及其他政府相关部门颁发的证照上的登记为准。 </w:t>
      </w:r>
    </w:p>
    <w:p w14:paraId="468B3C55">
      <w:pPr>
        <w:widowControl/>
        <w:jc w:val="left"/>
        <w:rPr>
          <w:rFonts w:ascii="宋体" w:hAnsi="宋体" w:eastAsia="宋体" w:cs="宋体"/>
          <w:sz w:val="24"/>
          <w:szCs w:val="24"/>
          <w:highlight w:val="none"/>
        </w:rPr>
      </w:pPr>
    </w:p>
    <w:p w14:paraId="52E2BFC8">
      <w:pPr>
        <w:widowControl/>
        <w:jc w:val="left"/>
        <w:rPr>
          <w:rFonts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174625</wp:posOffset>
                </wp:positionV>
                <wp:extent cx="5391150" cy="2613660"/>
                <wp:effectExtent l="6350" t="6350" r="12700" b="8890"/>
                <wp:wrapNone/>
                <wp:docPr id="2" name="矩形 2"/>
                <wp:cNvGraphicFramePr/>
                <a:graphic xmlns:a="http://schemas.openxmlformats.org/drawingml/2006/main">
                  <a:graphicData uri="http://schemas.microsoft.com/office/word/2010/wordprocessingShape">
                    <wps:wsp>
                      <wps:cNvSpPr/>
                      <wps:spPr>
                        <a:xfrm>
                          <a:off x="2098040" y="4596765"/>
                          <a:ext cx="5391150" cy="2613660"/>
                        </a:xfrm>
                        <a:prstGeom prst="rect">
                          <a:avLst/>
                        </a:prstGeom>
                      </wps:spPr>
                      <wps:style>
                        <a:lnRef idx="2">
                          <a:schemeClr val="dk1"/>
                        </a:lnRef>
                        <a:fillRef idx="1">
                          <a:schemeClr val="lt1"/>
                        </a:fillRef>
                        <a:effectRef idx="0">
                          <a:schemeClr val="dk1"/>
                        </a:effectRef>
                        <a:fontRef idx="minor">
                          <a:schemeClr val="dk1"/>
                        </a:fontRef>
                      </wps:style>
                      <wps:txbx>
                        <w:txbxContent>
                          <w:p w14:paraId="04A57B37">
                            <w:pPr>
                              <w:widowControl/>
                              <w:jc w:val="center"/>
                            </w:pPr>
                            <w:r>
                              <w:rPr>
                                <w:rFonts w:hint="eastAsia" w:ascii="宋体" w:hAnsi="宋体" w:eastAsia="宋体" w:cs="宋体"/>
                                <w:color w:val="000000"/>
                                <w:kern w:val="0"/>
                                <w:sz w:val="20"/>
                                <w:szCs w:val="20"/>
                                <w:lang w:bidi="ar"/>
                              </w:rPr>
                              <w:t>法定代表人</w:t>
                            </w:r>
                          </w:p>
                          <w:p w14:paraId="57ADCD6F">
                            <w:pPr>
                              <w:widowControl/>
                              <w:jc w:val="center"/>
                            </w:pPr>
                            <w:r>
                              <w:rPr>
                                <w:rFonts w:hint="eastAsia" w:ascii="宋体" w:hAnsi="宋体" w:eastAsia="宋体" w:cs="宋体"/>
                                <w:color w:val="000000"/>
                                <w:kern w:val="0"/>
                                <w:sz w:val="20"/>
                                <w:szCs w:val="20"/>
                                <w:lang w:bidi="ar"/>
                              </w:rPr>
                              <w:t>身份证正反面（复印件）</w:t>
                            </w:r>
                          </w:p>
                          <w:p w14:paraId="05FD9A53">
                            <w:pPr>
                              <w:widowControl/>
                              <w:jc w:val="center"/>
                            </w:pPr>
                            <w:r>
                              <w:rPr>
                                <w:rFonts w:hint="eastAsia" w:ascii="宋体" w:hAnsi="宋体" w:eastAsia="宋体" w:cs="宋体"/>
                                <w:color w:val="000000"/>
                                <w:kern w:val="0"/>
                                <w:sz w:val="20"/>
                                <w:szCs w:val="20"/>
                                <w:lang w:bidi="ar"/>
                              </w:rPr>
                              <w:t>粘贴处</w:t>
                            </w:r>
                          </w:p>
                          <w:p w14:paraId="6A6CF6C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pt;margin-top:13.75pt;height:205.8pt;width:424.5pt;z-index:251659264;v-text-anchor:middle;mso-width-relative:page;mso-height-relative:page;" fillcolor="#FFFFFF [3201]" filled="t" stroked="t" coordsize="21600,21600" o:gfxdata="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CJxpdcAAAAJAQAADwAAAAAAAAAB&#10;ACAAAAAiAAAAZHJzL2Rvd25yZXYueG1sUEsBAhQAFAAAAAgAh07iQJhq6NGDAgAADAUAAA4AAAAA&#10;AAAAAQAgAAAAJgEAAGRycy9lMm9Eb2MueG1sUEsFBgAAAAAGAAYAWQEAABsGAAAAAA==&#10;">
                <v:fill on="t" focussize="0,0"/>
                <v:stroke weight="1pt" color="#000000 [3200]" miterlimit="8" joinstyle="miter"/>
                <v:imagedata o:title=""/>
                <o:lock v:ext="edit" aspectratio="f"/>
                <v:textbox>
                  <w:txbxContent>
                    <w:p w14:paraId="04A57B37">
                      <w:pPr>
                        <w:widowControl/>
                        <w:jc w:val="center"/>
                      </w:pPr>
                      <w:r>
                        <w:rPr>
                          <w:rFonts w:hint="eastAsia" w:ascii="宋体" w:hAnsi="宋体" w:eastAsia="宋体" w:cs="宋体"/>
                          <w:color w:val="000000"/>
                          <w:kern w:val="0"/>
                          <w:sz w:val="20"/>
                          <w:szCs w:val="20"/>
                          <w:lang w:bidi="ar"/>
                        </w:rPr>
                        <w:t>法定代表人</w:t>
                      </w:r>
                    </w:p>
                    <w:p w14:paraId="57ADCD6F">
                      <w:pPr>
                        <w:widowControl/>
                        <w:jc w:val="center"/>
                      </w:pPr>
                      <w:r>
                        <w:rPr>
                          <w:rFonts w:hint="eastAsia" w:ascii="宋体" w:hAnsi="宋体" w:eastAsia="宋体" w:cs="宋体"/>
                          <w:color w:val="000000"/>
                          <w:kern w:val="0"/>
                          <w:sz w:val="20"/>
                          <w:szCs w:val="20"/>
                          <w:lang w:bidi="ar"/>
                        </w:rPr>
                        <w:t>身份证正反面（复印件）</w:t>
                      </w:r>
                    </w:p>
                    <w:p w14:paraId="05FD9A53">
                      <w:pPr>
                        <w:widowControl/>
                        <w:jc w:val="center"/>
                      </w:pPr>
                      <w:r>
                        <w:rPr>
                          <w:rFonts w:hint="eastAsia" w:ascii="宋体" w:hAnsi="宋体" w:eastAsia="宋体" w:cs="宋体"/>
                          <w:color w:val="000000"/>
                          <w:kern w:val="0"/>
                          <w:sz w:val="20"/>
                          <w:szCs w:val="20"/>
                          <w:lang w:bidi="ar"/>
                        </w:rPr>
                        <w:t>粘贴处</w:t>
                      </w:r>
                    </w:p>
                    <w:p w14:paraId="6A6CF6CB">
                      <w:pPr>
                        <w:jc w:val="center"/>
                      </w:pPr>
                    </w:p>
                  </w:txbxContent>
                </v:textbox>
              </v:rect>
            </w:pict>
          </mc:Fallback>
        </mc:AlternateContent>
      </w:r>
    </w:p>
    <w:p w14:paraId="55B50B5E">
      <w:pPr>
        <w:widowControl/>
        <w:jc w:val="left"/>
        <w:rPr>
          <w:rFonts w:ascii="宋体" w:hAnsi="宋体" w:eastAsia="宋体" w:cs="宋体"/>
          <w:sz w:val="24"/>
          <w:szCs w:val="24"/>
          <w:highlight w:val="none"/>
        </w:rPr>
      </w:pPr>
    </w:p>
    <w:p w14:paraId="75A4A316">
      <w:pPr>
        <w:spacing w:line="360" w:lineRule="auto"/>
        <w:jc w:val="center"/>
        <w:rPr>
          <w:rFonts w:ascii="宋体" w:hAnsi="宋体" w:eastAsia="宋体" w:cs="宋体"/>
          <w:sz w:val="24"/>
          <w:szCs w:val="24"/>
          <w:highlight w:val="none"/>
        </w:rPr>
      </w:pPr>
    </w:p>
    <w:p w14:paraId="2AAF745C">
      <w:pPr>
        <w:spacing w:line="360" w:lineRule="auto"/>
        <w:jc w:val="center"/>
        <w:rPr>
          <w:rFonts w:ascii="宋体" w:hAnsi="宋体" w:eastAsia="宋体" w:cs="宋体"/>
          <w:sz w:val="24"/>
          <w:szCs w:val="24"/>
          <w:highlight w:val="none"/>
        </w:rPr>
      </w:pPr>
    </w:p>
    <w:p w14:paraId="52EBA61A">
      <w:pPr>
        <w:spacing w:line="360" w:lineRule="auto"/>
        <w:rPr>
          <w:rFonts w:ascii="宋体" w:hAnsi="宋体" w:eastAsia="宋体" w:cs="宋体"/>
          <w:sz w:val="24"/>
          <w:szCs w:val="24"/>
          <w:highlight w:val="none"/>
        </w:rPr>
      </w:pPr>
    </w:p>
    <w:p w14:paraId="7E52FE7A">
      <w:pPr>
        <w:spacing w:line="360" w:lineRule="auto"/>
        <w:rPr>
          <w:rFonts w:ascii="宋体" w:hAnsi="宋体" w:eastAsia="宋体" w:cs="宋体"/>
          <w:sz w:val="24"/>
          <w:szCs w:val="24"/>
          <w:highlight w:val="none"/>
        </w:rPr>
      </w:pPr>
    </w:p>
    <w:p w14:paraId="26DB4478">
      <w:pPr>
        <w:spacing w:line="360" w:lineRule="auto"/>
        <w:rPr>
          <w:rFonts w:ascii="宋体" w:hAnsi="宋体" w:eastAsia="宋体" w:cs="宋体"/>
          <w:sz w:val="24"/>
          <w:szCs w:val="24"/>
          <w:highlight w:val="none"/>
        </w:rPr>
      </w:pPr>
    </w:p>
    <w:p w14:paraId="06DA6644">
      <w:pPr>
        <w:spacing w:line="360" w:lineRule="auto"/>
        <w:rPr>
          <w:rFonts w:ascii="宋体" w:hAnsi="宋体" w:eastAsia="宋体" w:cs="宋体"/>
          <w:sz w:val="24"/>
          <w:szCs w:val="24"/>
          <w:highlight w:val="none"/>
        </w:rPr>
      </w:pPr>
    </w:p>
    <w:p w14:paraId="34225459">
      <w:pPr>
        <w:spacing w:line="360" w:lineRule="auto"/>
        <w:rPr>
          <w:rFonts w:ascii="宋体" w:hAnsi="宋体" w:eastAsia="宋体" w:cs="宋体"/>
          <w:sz w:val="24"/>
          <w:szCs w:val="24"/>
          <w:highlight w:val="none"/>
        </w:rPr>
      </w:pPr>
    </w:p>
    <w:p w14:paraId="7093898E">
      <w:pPr>
        <w:spacing w:line="360" w:lineRule="auto"/>
        <w:rPr>
          <w:rFonts w:ascii="宋体" w:hAnsi="宋体" w:eastAsia="宋体" w:cs="宋体"/>
          <w:sz w:val="24"/>
          <w:szCs w:val="24"/>
          <w:highlight w:val="none"/>
        </w:rPr>
      </w:pPr>
    </w:p>
    <w:p w14:paraId="203CEF8A">
      <w:pPr>
        <w:ind w:firstLine="480" w:firstLineChars="200"/>
        <w:rPr>
          <w:rFonts w:ascii="宋体" w:hAnsi="宋体" w:eastAsia="宋体" w:cs="宋体"/>
          <w:sz w:val="24"/>
          <w:szCs w:val="24"/>
          <w:highlight w:val="none"/>
        </w:rPr>
      </w:pPr>
    </w:p>
    <w:p w14:paraId="648D7376">
      <w:pPr>
        <w:pStyle w:val="4"/>
        <w:rPr>
          <w:rStyle w:val="23"/>
          <w:rFonts w:ascii="宋体" w:hAnsi="宋体" w:cs="宋体"/>
          <w:b/>
          <w:highlight w:val="none"/>
        </w:rPr>
      </w:pPr>
      <w:r>
        <w:rPr>
          <w:rFonts w:hint="eastAsia" w:ascii="宋体" w:hAnsi="宋体" w:cs="宋体"/>
          <w:highlight w:val="none"/>
        </w:rPr>
        <w:br w:type="page"/>
      </w:r>
      <w:r>
        <w:rPr>
          <w:rStyle w:val="23"/>
          <w:rFonts w:hint="eastAsia" w:ascii="宋体" w:hAnsi="宋体" w:cs="宋体"/>
          <w:b/>
          <w:highlight w:val="none"/>
        </w:rPr>
        <w:t>2.授权委托书</w:t>
      </w:r>
    </w:p>
    <w:p w14:paraId="1E0E1C16">
      <w:pPr>
        <w:widowControl/>
        <w:ind w:left="420" w:leftChars="200"/>
        <w:jc w:val="center"/>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法定代表人授权书</w:t>
      </w:r>
    </w:p>
    <w:p w14:paraId="147526C5">
      <w:pPr>
        <w:widowControl/>
        <w:jc w:val="left"/>
        <w:rPr>
          <w:rFonts w:ascii="宋体" w:hAnsi="宋体" w:eastAsia="宋体" w:cs="宋体"/>
          <w:b/>
          <w:bCs/>
          <w:kern w:val="0"/>
          <w:sz w:val="24"/>
          <w:szCs w:val="24"/>
          <w:highlight w:val="none"/>
          <w:lang w:bidi="ar"/>
        </w:rPr>
      </w:pPr>
    </w:p>
    <w:p w14:paraId="2CD7086C">
      <w:pPr>
        <w:widowControl/>
        <w:spacing w:line="360" w:lineRule="auto"/>
        <w:ind w:firstLine="480" w:firstLineChars="200"/>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本人</w:t>
      </w:r>
      <w:r>
        <w:rPr>
          <w:rFonts w:hint="eastAsia" w:ascii="宋体" w:hAnsi="宋体" w:eastAsia="宋体" w:cs="宋体"/>
          <w:kern w:val="0"/>
          <w:sz w:val="24"/>
          <w:szCs w:val="24"/>
          <w:highlight w:val="none"/>
          <w:u w:val="single"/>
          <w:lang w:bidi="ar"/>
        </w:rPr>
        <w:t xml:space="preserve">           （姓名）</w:t>
      </w:r>
      <w:r>
        <w:rPr>
          <w:rFonts w:hint="eastAsia" w:ascii="宋体" w:hAnsi="宋体" w:eastAsia="宋体" w:cs="宋体"/>
          <w:kern w:val="0"/>
          <w:sz w:val="24"/>
          <w:szCs w:val="24"/>
          <w:highlight w:val="none"/>
          <w:lang w:bidi="ar"/>
        </w:rPr>
        <w:t>系</w:t>
      </w:r>
      <w:r>
        <w:rPr>
          <w:rFonts w:hint="eastAsia" w:ascii="宋体" w:hAnsi="宋体" w:eastAsia="宋体" w:cs="宋体"/>
          <w:kern w:val="0"/>
          <w:sz w:val="24"/>
          <w:szCs w:val="24"/>
          <w:highlight w:val="none"/>
          <w:u w:val="single"/>
          <w:lang w:bidi="ar"/>
        </w:rPr>
        <w:t xml:space="preserve">                         （报价人名称）</w:t>
      </w:r>
      <w:r>
        <w:rPr>
          <w:rFonts w:hint="eastAsia" w:ascii="宋体" w:hAnsi="宋体" w:eastAsia="宋体" w:cs="宋体"/>
          <w:kern w:val="0"/>
          <w:sz w:val="24"/>
          <w:szCs w:val="24"/>
          <w:highlight w:val="none"/>
          <w:lang w:bidi="ar"/>
        </w:rPr>
        <w:t>的法定代表人，现委托</w:t>
      </w:r>
      <w:r>
        <w:rPr>
          <w:rFonts w:hint="eastAsia" w:ascii="宋体" w:hAnsi="宋体" w:eastAsia="宋体" w:cs="宋体"/>
          <w:kern w:val="0"/>
          <w:sz w:val="24"/>
          <w:szCs w:val="24"/>
          <w:highlight w:val="none"/>
          <w:u w:val="single"/>
          <w:lang w:bidi="ar"/>
        </w:rPr>
        <w:t xml:space="preserve">              （姓名）</w:t>
      </w:r>
      <w:r>
        <w:rPr>
          <w:rFonts w:hint="eastAsia" w:ascii="宋体" w:hAnsi="宋体" w:eastAsia="宋体" w:cs="宋体"/>
          <w:kern w:val="0"/>
          <w:sz w:val="24"/>
          <w:szCs w:val="24"/>
          <w:highlight w:val="none"/>
          <w:lang w:bidi="ar"/>
        </w:rPr>
        <w:t>为我方</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项目的代理人。代理人根据授权，以我方名义签署、澄清、说明、补正、递交、撤回、修改</w:t>
      </w:r>
      <w:r>
        <w:rPr>
          <w:rFonts w:hint="eastAsia" w:ascii="宋体" w:hAnsi="宋体" w:cs="宋体"/>
          <w:bCs/>
          <w:sz w:val="24"/>
          <w:szCs w:val="24"/>
          <w:highlight w:val="none"/>
        </w:rPr>
        <w:t>（项目名称）</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的</w:t>
      </w:r>
      <w:r>
        <w:rPr>
          <w:rFonts w:hint="eastAsia" w:ascii="宋体" w:hAnsi="宋体" w:eastAsia="宋体" w:cs="宋体"/>
          <w:kern w:val="0"/>
          <w:sz w:val="24"/>
          <w:szCs w:val="24"/>
          <w:highlight w:val="none"/>
          <w:lang w:bidi="ar"/>
        </w:rPr>
        <w:t xml:space="preserve">报价文件、签订合同和处理有关事宜，其法律后果由我方承担。 </w:t>
      </w:r>
    </w:p>
    <w:p w14:paraId="7D350747">
      <w:pPr>
        <w:widowControl/>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委托期限：</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sz w:val="24"/>
          <w:szCs w:val="24"/>
          <w:highlight w:val="none"/>
        </w:rPr>
        <w:t>。</w:t>
      </w:r>
    </w:p>
    <w:p w14:paraId="5D1E5F08">
      <w:pPr>
        <w:widowControl/>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代理人无转委托权。 </w:t>
      </w:r>
    </w:p>
    <w:p w14:paraId="018A0AB3">
      <w:pPr>
        <w:widowControl/>
        <w:jc w:val="left"/>
        <w:rPr>
          <w:rFonts w:ascii="宋体" w:hAnsi="宋体" w:eastAsia="宋体" w:cs="宋体"/>
          <w:kern w:val="0"/>
          <w:sz w:val="24"/>
          <w:szCs w:val="24"/>
          <w:highlight w:val="none"/>
          <w:lang w:bidi="ar"/>
        </w:rPr>
      </w:pPr>
    </w:p>
    <w:p w14:paraId="67AB0E2A">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报价人：（盖公章） </w:t>
      </w:r>
    </w:p>
    <w:p w14:paraId="1645D3D2">
      <w:pPr>
        <w:widowControl/>
        <w:jc w:val="left"/>
        <w:rPr>
          <w:rFonts w:ascii="宋体" w:hAnsi="宋体" w:eastAsia="宋体" w:cs="宋体"/>
          <w:kern w:val="0"/>
          <w:sz w:val="24"/>
          <w:szCs w:val="24"/>
          <w:highlight w:val="none"/>
          <w:lang w:bidi="ar"/>
        </w:rPr>
      </w:pPr>
    </w:p>
    <w:p w14:paraId="18195E56">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法定代表人（签名或盖章）： </w:t>
      </w:r>
    </w:p>
    <w:p w14:paraId="4F86CBDF">
      <w:pPr>
        <w:widowControl/>
        <w:jc w:val="left"/>
        <w:rPr>
          <w:rFonts w:ascii="宋体" w:hAnsi="宋体" w:eastAsia="宋体" w:cs="宋体"/>
          <w:kern w:val="0"/>
          <w:sz w:val="24"/>
          <w:szCs w:val="24"/>
          <w:highlight w:val="none"/>
          <w:lang w:bidi="ar"/>
        </w:rPr>
      </w:pPr>
    </w:p>
    <w:p w14:paraId="1CA437C6">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身份证号码： </w:t>
      </w:r>
    </w:p>
    <w:p w14:paraId="6E77947F">
      <w:pPr>
        <w:widowControl/>
        <w:jc w:val="left"/>
        <w:rPr>
          <w:rFonts w:ascii="宋体" w:hAnsi="宋体" w:eastAsia="宋体" w:cs="宋体"/>
          <w:kern w:val="0"/>
          <w:sz w:val="24"/>
          <w:szCs w:val="24"/>
          <w:highlight w:val="none"/>
          <w:lang w:bidi="ar"/>
        </w:rPr>
      </w:pPr>
    </w:p>
    <w:p w14:paraId="490EC383">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委托代理人（签名）： </w:t>
      </w:r>
    </w:p>
    <w:p w14:paraId="655AABB9">
      <w:pPr>
        <w:widowControl/>
        <w:jc w:val="left"/>
        <w:rPr>
          <w:rFonts w:ascii="宋体" w:hAnsi="宋体" w:eastAsia="宋体" w:cs="宋体"/>
          <w:kern w:val="0"/>
          <w:sz w:val="24"/>
          <w:szCs w:val="24"/>
          <w:highlight w:val="none"/>
          <w:lang w:bidi="ar"/>
        </w:rPr>
      </w:pPr>
    </w:p>
    <w:p w14:paraId="3AD1A2F2">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身份证号码： </w:t>
      </w:r>
    </w:p>
    <w:p w14:paraId="09EDA697">
      <w:pPr>
        <w:pStyle w:val="9"/>
        <w:ind w:firstLine="0"/>
        <w:rPr>
          <w:rFonts w:hAnsi="宋体" w:eastAsia="宋体" w:cs="宋体"/>
          <w:spacing w:val="0"/>
          <w:kern w:val="0"/>
          <w:sz w:val="24"/>
          <w:szCs w:val="24"/>
          <w:highlight w:val="none"/>
          <w:lang w:bidi="ar"/>
        </w:rPr>
      </w:pPr>
    </w:p>
    <w:p w14:paraId="31E557C6">
      <w:pPr>
        <w:pStyle w:val="9"/>
        <w:ind w:firstLine="0"/>
        <w:rPr>
          <w:rFonts w:hAnsi="宋体" w:eastAsia="宋体" w:cs="宋体"/>
          <w:spacing w:val="0"/>
          <w:kern w:val="0"/>
          <w:sz w:val="24"/>
          <w:szCs w:val="24"/>
          <w:highlight w:val="none"/>
          <w:lang w:bidi="ar"/>
        </w:rPr>
      </w:pPr>
      <w:r>
        <w:rPr>
          <w:rFonts w:hint="eastAsia" w:hAnsi="宋体" w:eastAsia="宋体" w:cs="宋体"/>
          <w:spacing w:val="0"/>
          <w:kern w:val="0"/>
          <w:sz w:val="24"/>
          <w:szCs w:val="24"/>
          <w:highlight w:val="none"/>
          <w:lang w:bidi="ar"/>
        </w:rPr>
        <w:t>联系方式：</w:t>
      </w:r>
    </w:p>
    <w:p w14:paraId="49551947">
      <w:pPr>
        <w:widowControl/>
        <w:jc w:val="left"/>
        <w:rPr>
          <w:rFonts w:ascii="宋体" w:hAnsi="宋体" w:eastAsia="宋体" w:cs="宋体"/>
          <w:kern w:val="0"/>
          <w:sz w:val="24"/>
          <w:szCs w:val="24"/>
          <w:highlight w:val="none"/>
          <w:lang w:bidi="ar"/>
        </w:rPr>
      </w:pPr>
    </w:p>
    <w:p w14:paraId="403F2596">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年   月   日 </w:t>
      </w:r>
    </w:p>
    <w:p w14:paraId="2691CC2B">
      <w:pPr>
        <w:widowControl/>
        <w:jc w:val="left"/>
        <w:rPr>
          <w:rFonts w:ascii="宋体" w:hAnsi="宋体" w:eastAsia="宋体" w:cs="宋体"/>
          <w:sz w:val="24"/>
          <w:szCs w:val="24"/>
          <w:highlight w:val="none"/>
        </w:rPr>
      </w:pPr>
      <w:r>
        <w:rPr>
          <w:rFonts w:hint="eastAsia" w:ascii="宋体" w:hAnsi="宋体" w:eastAsia="宋体" w:cs="宋体"/>
          <w:b/>
          <w:kern w:val="0"/>
          <w:sz w:val="24"/>
          <w:szCs w:val="24"/>
          <w:highlight w:val="none"/>
          <w:lang w:bidi="ar"/>
        </w:rPr>
        <w:t xml:space="preserve">注：法定代表人以营业执照、组织机构代码证及其他政府相关部门颁发的证照上的登记为准。 </w:t>
      </w:r>
    </w:p>
    <w:p w14:paraId="670F1E97">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118745</wp:posOffset>
                </wp:positionV>
                <wp:extent cx="5208270" cy="2688590"/>
                <wp:effectExtent l="6350" t="6350" r="24130" b="10160"/>
                <wp:wrapNone/>
                <wp:docPr id="3" name="矩形 3"/>
                <wp:cNvGraphicFramePr/>
                <a:graphic xmlns:a="http://schemas.openxmlformats.org/drawingml/2006/main">
                  <a:graphicData uri="http://schemas.microsoft.com/office/word/2010/wordprocessingShape">
                    <wps:wsp>
                      <wps:cNvSpPr/>
                      <wps:spPr>
                        <a:xfrm>
                          <a:off x="2087245" y="6585585"/>
                          <a:ext cx="5208270" cy="2688590"/>
                        </a:xfrm>
                        <a:prstGeom prst="rect">
                          <a:avLst/>
                        </a:prstGeom>
                      </wps:spPr>
                      <wps:style>
                        <a:lnRef idx="2">
                          <a:schemeClr val="dk1"/>
                        </a:lnRef>
                        <a:fillRef idx="1">
                          <a:schemeClr val="lt1"/>
                        </a:fillRef>
                        <a:effectRef idx="0">
                          <a:schemeClr val="dk1"/>
                        </a:effectRef>
                        <a:fontRef idx="minor">
                          <a:schemeClr val="dk1"/>
                        </a:fontRef>
                      </wps:style>
                      <wps:txbx>
                        <w:txbxContent>
                          <w:p w14:paraId="189E0614">
                            <w:pPr>
                              <w:widowControl/>
                              <w:jc w:val="center"/>
                            </w:pPr>
                            <w:r>
                              <w:rPr>
                                <w:rFonts w:hint="eastAsia" w:ascii="宋体" w:hAnsi="宋体" w:eastAsia="宋体" w:cs="宋体"/>
                                <w:color w:val="000000"/>
                                <w:kern w:val="0"/>
                                <w:sz w:val="20"/>
                                <w:szCs w:val="20"/>
                                <w:lang w:bidi="ar"/>
                              </w:rPr>
                              <w:t>被授权代理人</w:t>
                            </w:r>
                          </w:p>
                          <w:p w14:paraId="0564E0A3">
                            <w:pPr>
                              <w:widowControl/>
                              <w:jc w:val="center"/>
                            </w:pPr>
                            <w:r>
                              <w:rPr>
                                <w:rFonts w:hint="eastAsia" w:ascii="宋体" w:hAnsi="宋体" w:eastAsia="宋体" w:cs="宋体"/>
                                <w:color w:val="000000"/>
                                <w:kern w:val="0"/>
                                <w:sz w:val="20"/>
                                <w:szCs w:val="20"/>
                                <w:lang w:bidi="ar"/>
                              </w:rPr>
                              <w:t>身份证正反面（复印件）</w:t>
                            </w:r>
                          </w:p>
                          <w:p w14:paraId="11519221">
                            <w:pPr>
                              <w:widowControl/>
                              <w:jc w:val="center"/>
                            </w:pPr>
                            <w:r>
                              <w:rPr>
                                <w:rFonts w:hint="eastAsia" w:ascii="宋体" w:hAnsi="宋体" w:eastAsia="宋体" w:cs="宋体"/>
                                <w:color w:val="000000"/>
                                <w:kern w:val="0"/>
                                <w:sz w:val="20"/>
                                <w:szCs w:val="20"/>
                                <w:lang w:bidi="ar"/>
                              </w:rPr>
                              <w:t>粘贴处</w:t>
                            </w:r>
                          </w:p>
                          <w:p w14:paraId="485056A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65pt;margin-top:9.35pt;height:211.7pt;width:410.1pt;z-index:251660288;v-text-anchor:middle;mso-width-relative:page;mso-height-relative:page;" fillcolor="#FFFFFF [3201]" filled="t" stroked="t" coordsize="21600,21600" o:gfxdata="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0OKyg1wAAAAkBAAAPAAAAAAAAAAEA&#10;IAAAACIAAABkcnMvZG93bnJldi54bWxQSwECFAAUAAAACACHTuJA8SwSHIICAAAMBQAADgAAAAAA&#10;AAABACAAAAAmAQAAZHJzL2Uyb0RvYy54bWxQSwUGAAAAAAYABgBZAQAAGgYAAAAA&#10;">
                <v:fill on="t" focussize="0,0"/>
                <v:stroke weight="1pt" color="#000000 [3200]" miterlimit="8" joinstyle="miter"/>
                <v:imagedata o:title=""/>
                <o:lock v:ext="edit" aspectratio="f"/>
                <v:textbox>
                  <w:txbxContent>
                    <w:p w14:paraId="189E0614">
                      <w:pPr>
                        <w:widowControl/>
                        <w:jc w:val="center"/>
                      </w:pPr>
                      <w:r>
                        <w:rPr>
                          <w:rFonts w:hint="eastAsia" w:ascii="宋体" w:hAnsi="宋体" w:eastAsia="宋体" w:cs="宋体"/>
                          <w:color w:val="000000"/>
                          <w:kern w:val="0"/>
                          <w:sz w:val="20"/>
                          <w:szCs w:val="20"/>
                          <w:lang w:bidi="ar"/>
                        </w:rPr>
                        <w:t>被授权代理人</w:t>
                      </w:r>
                    </w:p>
                    <w:p w14:paraId="0564E0A3">
                      <w:pPr>
                        <w:widowControl/>
                        <w:jc w:val="center"/>
                      </w:pPr>
                      <w:r>
                        <w:rPr>
                          <w:rFonts w:hint="eastAsia" w:ascii="宋体" w:hAnsi="宋体" w:eastAsia="宋体" w:cs="宋体"/>
                          <w:color w:val="000000"/>
                          <w:kern w:val="0"/>
                          <w:sz w:val="20"/>
                          <w:szCs w:val="20"/>
                          <w:lang w:bidi="ar"/>
                        </w:rPr>
                        <w:t>身份证正反面（复印件）</w:t>
                      </w:r>
                    </w:p>
                    <w:p w14:paraId="11519221">
                      <w:pPr>
                        <w:widowControl/>
                        <w:jc w:val="center"/>
                      </w:pPr>
                      <w:r>
                        <w:rPr>
                          <w:rFonts w:hint="eastAsia" w:ascii="宋体" w:hAnsi="宋体" w:eastAsia="宋体" w:cs="宋体"/>
                          <w:color w:val="000000"/>
                          <w:kern w:val="0"/>
                          <w:sz w:val="20"/>
                          <w:szCs w:val="20"/>
                          <w:lang w:bidi="ar"/>
                        </w:rPr>
                        <w:t>粘贴处</w:t>
                      </w:r>
                    </w:p>
                    <w:p w14:paraId="485056A8"/>
                  </w:txbxContent>
                </v:textbox>
              </v:rect>
            </w:pict>
          </mc:Fallback>
        </mc:AlternateContent>
      </w:r>
    </w:p>
    <w:p w14:paraId="1BA636F8">
      <w:pPr>
        <w:spacing w:line="360" w:lineRule="auto"/>
        <w:rPr>
          <w:rFonts w:ascii="宋体" w:hAnsi="宋体" w:eastAsia="宋体" w:cs="宋体"/>
          <w:sz w:val="24"/>
          <w:szCs w:val="24"/>
          <w:highlight w:val="none"/>
        </w:rPr>
      </w:pPr>
    </w:p>
    <w:p w14:paraId="2E1B4C69">
      <w:pPr>
        <w:rPr>
          <w:rFonts w:ascii="宋体" w:hAnsi="宋体" w:eastAsia="宋体" w:cs="宋体"/>
          <w:highlight w:val="none"/>
        </w:rPr>
        <w:sectPr>
          <w:headerReference r:id="rId8" w:type="default"/>
          <w:footerReference r:id="rId9" w:type="default"/>
          <w:pgSz w:w="11906" w:h="16838"/>
          <w:pgMar w:top="1440" w:right="1800" w:bottom="1440" w:left="1800" w:header="851" w:footer="992" w:gutter="0"/>
          <w:cols w:space="425" w:num="1"/>
          <w:docGrid w:type="lines" w:linePitch="312" w:charSpace="0"/>
        </w:sectPr>
      </w:pPr>
    </w:p>
    <w:p w14:paraId="44DFE10C">
      <w:pPr>
        <w:widowControl/>
        <w:spacing w:line="360" w:lineRule="auto"/>
        <w:jc w:val="left"/>
        <w:rPr>
          <w:rStyle w:val="23"/>
          <w:rFonts w:ascii="宋体" w:hAnsi="宋体" w:cs="宋体"/>
          <w:highlight w:val="none"/>
        </w:rPr>
      </w:pPr>
      <w:r>
        <w:rPr>
          <w:rFonts w:ascii="宋体" w:hAnsi="宋体" w:eastAsia="宋体" w:cs="宋体"/>
          <w:b/>
          <w:sz w:val="28"/>
          <w:highlight w:val="none"/>
        </w:rPr>
        <w:t>3.</w:t>
      </w:r>
      <w:r>
        <w:rPr>
          <w:rStyle w:val="23"/>
          <w:rFonts w:hint="eastAsia" w:ascii="宋体" w:hAnsi="宋体" w:cs="宋体"/>
          <w:highlight w:val="none"/>
        </w:rPr>
        <w:t>服务方案</w:t>
      </w:r>
    </w:p>
    <w:p w14:paraId="35E8D323">
      <w:pPr>
        <w:pStyle w:val="5"/>
        <w:spacing w:line="360" w:lineRule="auto"/>
        <w:ind w:firstLineChars="200"/>
        <w:rPr>
          <w:rFonts w:ascii="宋体" w:hAnsi="宋体" w:cs="宋体"/>
          <w:highlight w:val="none"/>
        </w:rPr>
      </w:pPr>
      <w:r>
        <w:rPr>
          <w:rFonts w:hint="eastAsia" w:ascii="宋体" w:hAnsi="宋体" w:cs="宋体"/>
          <w:highlight w:val="none"/>
        </w:rPr>
        <w:t>由报价人根据采购文件要求编制，有格式要求的，参照格式要求编制，无格式要求的，报价人自拟格式，具体请参考用户需求书。</w:t>
      </w:r>
    </w:p>
    <w:p w14:paraId="34504948">
      <w:pPr>
        <w:pStyle w:val="5"/>
        <w:spacing w:line="360" w:lineRule="auto"/>
        <w:ind w:firstLineChars="200"/>
        <w:rPr>
          <w:rFonts w:ascii="宋体" w:hAnsi="宋体" w:cs="宋体"/>
          <w:highlight w:val="none"/>
        </w:rPr>
      </w:pPr>
      <w:r>
        <w:rPr>
          <w:rFonts w:hint="eastAsia" w:ascii="宋体" w:hAnsi="宋体" w:cs="宋体"/>
          <w:highlight w:val="none"/>
        </w:rPr>
        <w:t>服务方案至少应包括以下内容：</w:t>
      </w:r>
    </w:p>
    <w:p w14:paraId="40FE151B">
      <w:pPr>
        <w:pStyle w:val="5"/>
        <w:spacing w:line="360" w:lineRule="auto"/>
        <w:ind w:firstLineChars="200"/>
        <w:rPr>
          <w:szCs w:val="21"/>
          <w:highlight w:val="none"/>
        </w:rPr>
      </w:pPr>
      <w:r>
        <w:rPr>
          <w:rFonts w:hint="eastAsia" w:ascii="宋体" w:hAnsi="宋体" w:eastAsia="宋体" w:cs="宋体"/>
          <w:color w:val="000000"/>
          <w:szCs w:val="21"/>
          <w:highlight w:val="none"/>
          <w:lang w:bidi="ar"/>
        </w:rPr>
        <w:t>（1）根据采购人“服务地点及内容”的要求，提供至少7种类型（包含但不限于花艺或茶艺品鉴、手工或烘焙制作、书画体验、影视鉴赏、皮肤保养及美妆、美体健身、按摩理疗等活动形式的服务），共计至少10个场次的妇女节活动服务方案。每场活动时长不少于4小时，需根据青年（35周岁及以下）女职工、中年（35周岁以上）女职工两类人群进行对应分别设计。</w:t>
      </w:r>
    </w:p>
    <w:p w14:paraId="53537015">
      <w:pPr>
        <w:widowControl/>
        <w:numPr>
          <w:ilvl w:val="255"/>
          <w:numId w:val="0"/>
        </w:numPr>
        <w:spacing w:line="360" w:lineRule="auto"/>
        <w:ind w:firstLine="420" w:firstLineChars="200"/>
        <w:jc w:val="left"/>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（2）拟担任本项目项目负责人信息（格式自拟）。</w:t>
      </w:r>
    </w:p>
    <w:p w14:paraId="1D65A255">
      <w:pPr>
        <w:widowControl/>
        <w:numPr>
          <w:ilvl w:val="255"/>
          <w:numId w:val="0"/>
        </w:numPr>
        <w:spacing w:line="360" w:lineRule="auto"/>
        <w:ind w:firstLine="420" w:firstLineChars="200"/>
        <w:jc w:val="left"/>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（3）各活动方案需提供对应活动的纪念品样品图。</w:t>
      </w:r>
    </w:p>
    <w:p w14:paraId="4F260EA7">
      <w:pPr>
        <w:widowControl/>
        <w:numPr>
          <w:ilvl w:val="255"/>
          <w:numId w:val="0"/>
        </w:numPr>
        <w:spacing w:line="360" w:lineRule="auto"/>
        <w:ind w:firstLine="420" w:firstLineChars="200"/>
        <w:jc w:val="left"/>
        <w:rPr>
          <w:sz w:val="36"/>
          <w:szCs w:val="36"/>
          <w:highlight w:val="none"/>
        </w:rPr>
      </w:pPr>
      <w:r>
        <w:rPr>
          <w:rFonts w:hint="eastAsia" w:ascii="宋体" w:hAnsi="宋体" w:eastAsia="宋体" w:cs="宋体"/>
          <w:color w:val="000000"/>
          <w:kern w:val="0"/>
          <w:szCs w:val="21"/>
          <w:highlight w:val="none"/>
          <w:lang w:bidi="ar"/>
        </w:rPr>
        <w:t>（4）各活动方案中需提供活动投入服务人员的人数、人员资历、从业经验、资质证书（如有）。</w:t>
      </w:r>
    </w:p>
    <w:p w14:paraId="528A11E4">
      <w:pPr>
        <w:adjustRightInd w:val="0"/>
        <w:snapToGrid w:val="0"/>
        <w:spacing w:line="360" w:lineRule="auto"/>
        <w:jc w:val="center"/>
        <w:rPr>
          <w:sz w:val="36"/>
          <w:szCs w:val="36"/>
          <w:highlight w:val="none"/>
        </w:rPr>
      </w:pPr>
    </w:p>
    <w:p w14:paraId="16D901AD">
      <w:pPr>
        <w:adjustRightInd w:val="0"/>
        <w:snapToGrid w:val="0"/>
        <w:spacing w:line="360" w:lineRule="auto"/>
        <w:jc w:val="center"/>
        <w:rPr>
          <w:sz w:val="36"/>
          <w:szCs w:val="36"/>
          <w:highlight w:val="none"/>
        </w:rPr>
      </w:pPr>
    </w:p>
    <w:p w14:paraId="257C98C4">
      <w:pPr>
        <w:adjustRightInd w:val="0"/>
        <w:snapToGrid w:val="0"/>
        <w:spacing w:line="360" w:lineRule="auto"/>
        <w:jc w:val="center"/>
        <w:rPr>
          <w:sz w:val="36"/>
          <w:szCs w:val="36"/>
          <w:highlight w:val="none"/>
        </w:rPr>
      </w:pPr>
    </w:p>
    <w:p w14:paraId="7D336B56">
      <w:pPr>
        <w:adjustRightInd w:val="0"/>
        <w:snapToGrid w:val="0"/>
        <w:spacing w:line="360" w:lineRule="auto"/>
        <w:jc w:val="center"/>
        <w:rPr>
          <w:sz w:val="36"/>
          <w:szCs w:val="36"/>
          <w:highlight w:val="none"/>
        </w:rPr>
      </w:pPr>
    </w:p>
    <w:p w14:paraId="42A8C12E">
      <w:pPr>
        <w:adjustRightInd w:val="0"/>
        <w:snapToGrid w:val="0"/>
        <w:spacing w:line="360" w:lineRule="auto"/>
        <w:jc w:val="center"/>
        <w:rPr>
          <w:sz w:val="36"/>
          <w:szCs w:val="36"/>
          <w:highlight w:val="none"/>
        </w:rPr>
      </w:pPr>
    </w:p>
    <w:p w14:paraId="2C17E788">
      <w:pPr>
        <w:pStyle w:val="22"/>
        <w:rPr>
          <w:highlight w:val="none"/>
        </w:rPr>
        <w:sectPr>
          <w:footerReference r:id="rId10" w:type="default"/>
          <w:pgSz w:w="11905" w:h="16838"/>
          <w:pgMar w:top="1440" w:right="1803" w:bottom="1440" w:left="1803" w:header="851" w:footer="992" w:gutter="0"/>
          <w:cols w:space="0" w:num="1"/>
          <w:docGrid w:type="lines" w:linePitch="319" w:charSpace="0"/>
        </w:sectPr>
      </w:pPr>
    </w:p>
    <w:p w14:paraId="52CE117E">
      <w:pPr>
        <w:pStyle w:val="3"/>
        <w:numPr>
          <w:ilvl w:val="255"/>
          <w:numId w:val="0"/>
        </w:numPr>
        <w:jc w:val="left"/>
        <w:rPr>
          <w:sz w:val="32"/>
          <w:highlight w:val="none"/>
        </w:rPr>
      </w:pPr>
      <w:r>
        <w:rPr>
          <w:rFonts w:hint="eastAsia"/>
          <w:sz w:val="32"/>
          <w:highlight w:val="none"/>
        </w:rPr>
        <w:t>报价文件格式</w:t>
      </w:r>
    </w:p>
    <w:p w14:paraId="4BD0402A">
      <w:pPr>
        <w:spacing w:line="440" w:lineRule="exact"/>
        <w:ind w:right="71"/>
        <w:jc w:val="center"/>
        <w:rPr>
          <w:rFonts w:eastAsia="黑体"/>
          <w:sz w:val="36"/>
          <w:szCs w:val="36"/>
          <w:highlight w:val="none"/>
        </w:rPr>
      </w:pPr>
      <w:r>
        <w:rPr>
          <w:rFonts w:hint="eastAsia" w:eastAsia="黑体"/>
          <w:sz w:val="36"/>
          <w:szCs w:val="36"/>
          <w:highlight w:val="none"/>
        </w:rPr>
        <w:t>技术及商务偏离表</w:t>
      </w:r>
    </w:p>
    <w:p w14:paraId="21202416">
      <w:pPr>
        <w:spacing w:line="440" w:lineRule="exact"/>
        <w:ind w:right="71"/>
        <w:jc w:val="center"/>
        <w:rPr>
          <w:rFonts w:eastAsia="长城粗隶书体"/>
          <w:spacing w:val="30"/>
          <w:sz w:val="24"/>
          <w:highlight w:val="none"/>
        </w:rPr>
      </w:pPr>
    </w:p>
    <w:p w14:paraId="7DE4A090">
      <w:pPr>
        <w:spacing w:line="440" w:lineRule="exact"/>
        <w:ind w:right="71"/>
        <w:rPr>
          <w:rFonts w:ascii="宋体" w:hAnsi="宋体"/>
          <w:spacing w:val="4"/>
          <w:szCs w:val="21"/>
          <w:highlight w:val="none"/>
          <w:u w:val="single"/>
        </w:rPr>
      </w:pPr>
      <w:r>
        <w:rPr>
          <w:rFonts w:hint="eastAsia" w:ascii="宋体" w:hAnsi="宋体"/>
          <w:spacing w:val="4"/>
          <w:szCs w:val="21"/>
          <w:highlight w:val="none"/>
        </w:rPr>
        <w:t>报价人名称：</w:t>
      </w:r>
      <w:r>
        <w:rPr>
          <w:rFonts w:hint="eastAsia" w:ascii="宋体" w:hAnsi="宋体"/>
          <w:spacing w:val="4"/>
          <w:szCs w:val="21"/>
          <w:highlight w:val="none"/>
          <w:u w:val="single"/>
        </w:rPr>
        <w:t xml:space="preserve">                        </w:t>
      </w:r>
      <w:r>
        <w:rPr>
          <w:rFonts w:hint="eastAsia" w:ascii="宋体" w:hAnsi="宋体"/>
          <w:spacing w:val="4"/>
          <w:szCs w:val="21"/>
          <w:highlight w:val="none"/>
        </w:rPr>
        <w:t>项目编号：</w:t>
      </w:r>
      <w:r>
        <w:rPr>
          <w:rFonts w:hint="eastAsia" w:ascii="宋体" w:hAnsi="宋体"/>
          <w:spacing w:val="4"/>
          <w:szCs w:val="21"/>
          <w:highlight w:val="none"/>
          <w:u w:val="single"/>
        </w:rPr>
        <w:t xml:space="preserve">                                           </w:t>
      </w:r>
    </w:p>
    <w:tbl>
      <w:tblPr>
        <w:tblStyle w:val="16"/>
        <w:tblW w:w="14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227"/>
        <w:gridCol w:w="2289"/>
        <w:gridCol w:w="3733"/>
        <w:gridCol w:w="4298"/>
      </w:tblGrid>
      <w:tr w14:paraId="3DA2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65" w:type="dxa"/>
          </w:tcPr>
          <w:p w14:paraId="7B351D76">
            <w:pPr>
              <w:spacing w:line="440" w:lineRule="exact"/>
              <w:ind w:right="71"/>
              <w:jc w:val="center"/>
              <w:rPr>
                <w:rFonts w:ascii="宋体" w:hAnsi="宋体"/>
                <w:spacing w:val="4"/>
                <w:szCs w:val="21"/>
                <w:highlight w:val="none"/>
              </w:rPr>
            </w:pPr>
            <w:r>
              <w:rPr>
                <w:rFonts w:hint="eastAsia" w:ascii="宋体" w:hAnsi="宋体"/>
                <w:spacing w:val="4"/>
                <w:szCs w:val="21"/>
                <w:highlight w:val="none"/>
              </w:rPr>
              <w:t>序号</w:t>
            </w:r>
          </w:p>
        </w:tc>
        <w:tc>
          <w:tcPr>
            <w:tcW w:w="3227" w:type="dxa"/>
            <w:vAlign w:val="center"/>
          </w:tcPr>
          <w:p w14:paraId="3DD0CE50">
            <w:pPr>
              <w:spacing w:line="440" w:lineRule="exact"/>
              <w:ind w:right="71"/>
              <w:jc w:val="center"/>
              <w:rPr>
                <w:rFonts w:ascii="宋体" w:hAnsi="宋体"/>
                <w:spacing w:val="4"/>
                <w:szCs w:val="21"/>
                <w:highlight w:val="none"/>
              </w:rPr>
            </w:pPr>
            <w:r>
              <w:rPr>
                <w:rFonts w:hint="eastAsia" w:ascii="宋体" w:hAnsi="宋体" w:cs="宋体"/>
                <w:color w:val="000000"/>
                <w:kern w:val="0"/>
                <w:szCs w:val="21"/>
                <w:highlight w:val="none"/>
              </w:rPr>
              <w:t>偏离项目</w:t>
            </w:r>
          </w:p>
        </w:tc>
        <w:tc>
          <w:tcPr>
            <w:tcW w:w="2289" w:type="dxa"/>
          </w:tcPr>
          <w:p w14:paraId="28F8FAC7">
            <w:pPr>
              <w:spacing w:line="440" w:lineRule="exact"/>
              <w:ind w:left="69" w:leftChars="33" w:right="71"/>
              <w:jc w:val="center"/>
              <w:rPr>
                <w:rFonts w:ascii="宋体" w:hAnsi="宋体"/>
                <w:spacing w:val="4"/>
                <w:szCs w:val="21"/>
                <w:highlight w:val="none"/>
              </w:rPr>
            </w:pPr>
            <w:r>
              <w:rPr>
                <w:rFonts w:hint="eastAsia" w:ascii="宋体" w:hAnsi="宋体"/>
                <w:spacing w:val="4"/>
                <w:szCs w:val="21"/>
                <w:highlight w:val="none"/>
              </w:rPr>
              <w:t>采购文件要求</w:t>
            </w:r>
          </w:p>
        </w:tc>
        <w:tc>
          <w:tcPr>
            <w:tcW w:w="3733" w:type="dxa"/>
          </w:tcPr>
          <w:p w14:paraId="63131415">
            <w:pPr>
              <w:spacing w:line="440" w:lineRule="exact"/>
              <w:ind w:right="71"/>
              <w:jc w:val="center"/>
              <w:rPr>
                <w:rFonts w:ascii="宋体" w:hAnsi="宋体"/>
                <w:spacing w:val="4"/>
                <w:szCs w:val="21"/>
                <w:highlight w:val="none"/>
              </w:rPr>
            </w:pPr>
            <w:r>
              <w:rPr>
                <w:rFonts w:hint="eastAsia" w:ascii="宋体" w:hAnsi="宋体"/>
                <w:spacing w:val="4"/>
                <w:szCs w:val="21"/>
                <w:highlight w:val="none"/>
              </w:rPr>
              <w:t>实际报价内容</w:t>
            </w:r>
          </w:p>
        </w:tc>
        <w:tc>
          <w:tcPr>
            <w:tcW w:w="4298" w:type="dxa"/>
          </w:tcPr>
          <w:p w14:paraId="65F21002">
            <w:pPr>
              <w:spacing w:line="440" w:lineRule="exact"/>
              <w:ind w:right="71"/>
              <w:jc w:val="center"/>
              <w:rPr>
                <w:rFonts w:ascii="宋体" w:hAnsi="宋体"/>
                <w:spacing w:val="4"/>
                <w:szCs w:val="21"/>
                <w:highlight w:val="none"/>
              </w:rPr>
            </w:pPr>
            <w:r>
              <w:rPr>
                <w:rFonts w:hint="eastAsia" w:ascii="宋体" w:hAnsi="宋体"/>
                <w:szCs w:val="21"/>
                <w:highlight w:val="none"/>
              </w:rPr>
              <w:t>说明（技术条件、要求对比分析或偏离原因）</w:t>
            </w:r>
          </w:p>
        </w:tc>
      </w:tr>
      <w:tr w14:paraId="1E1D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65" w:type="dxa"/>
          </w:tcPr>
          <w:p w14:paraId="2036DFA8">
            <w:pPr>
              <w:spacing w:line="440" w:lineRule="exact"/>
              <w:ind w:right="71"/>
              <w:rPr>
                <w:rFonts w:ascii="宋体" w:hAnsi="宋体"/>
                <w:spacing w:val="4"/>
                <w:szCs w:val="21"/>
                <w:highlight w:val="none"/>
                <w:u w:val="single"/>
              </w:rPr>
            </w:pPr>
          </w:p>
        </w:tc>
        <w:tc>
          <w:tcPr>
            <w:tcW w:w="3227" w:type="dxa"/>
          </w:tcPr>
          <w:p w14:paraId="4EBB9495">
            <w:pPr>
              <w:spacing w:line="440" w:lineRule="exact"/>
              <w:ind w:right="71"/>
              <w:rPr>
                <w:rFonts w:ascii="宋体" w:hAnsi="宋体"/>
                <w:spacing w:val="4"/>
                <w:szCs w:val="21"/>
                <w:highlight w:val="none"/>
                <w:u w:val="single"/>
              </w:rPr>
            </w:pPr>
          </w:p>
        </w:tc>
        <w:tc>
          <w:tcPr>
            <w:tcW w:w="2289" w:type="dxa"/>
          </w:tcPr>
          <w:p w14:paraId="692CF859">
            <w:pPr>
              <w:spacing w:line="440" w:lineRule="exact"/>
              <w:ind w:right="71"/>
              <w:rPr>
                <w:rFonts w:ascii="宋体" w:hAnsi="宋体"/>
                <w:spacing w:val="4"/>
                <w:szCs w:val="21"/>
                <w:highlight w:val="none"/>
                <w:u w:val="single"/>
              </w:rPr>
            </w:pPr>
          </w:p>
        </w:tc>
        <w:tc>
          <w:tcPr>
            <w:tcW w:w="3733" w:type="dxa"/>
          </w:tcPr>
          <w:p w14:paraId="6BDB1D05">
            <w:pPr>
              <w:spacing w:line="440" w:lineRule="exact"/>
              <w:ind w:right="71"/>
              <w:rPr>
                <w:rFonts w:ascii="宋体" w:hAnsi="宋体"/>
                <w:spacing w:val="4"/>
                <w:szCs w:val="21"/>
                <w:highlight w:val="none"/>
                <w:u w:val="single"/>
              </w:rPr>
            </w:pPr>
          </w:p>
        </w:tc>
        <w:tc>
          <w:tcPr>
            <w:tcW w:w="4298" w:type="dxa"/>
          </w:tcPr>
          <w:p w14:paraId="33A6C768">
            <w:pPr>
              <w:spacing w:line="440" w:lineRule="exact"/>
              <w:ind w:right="71"/>
              <w:rPr>
                <w:rFonts w:ascii="宋体" w:hAnsi="宋体"/>
                <w:spacing w:val="4"/>
                <w:szCs w:val="21"/>
                <w:highlight w:val="none"/>
                <w:u w:val="single"/>
              </w:rPr>
            </w:pPr>
          </w:p>
        </w:tc>
      </w:tr>
      <w:tr w14:paraId="2393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65" w:type="dxa"/>
          </w:tcPr>
          <w:p w14:paraId="68176399">
            <w:pPr>
              <w:spacing w:line="440" w:lineRule="exact"/>
              <w:ind w:right="71"/>
              <w:rPr>
                <w:rFonts w:ascii="宋体" w:hAnsi="宋体"/>
                <w:spacing w:val="4"/>
                <w:szCs w:val="21"/>
                <w:highlight w:val="none"/>
                <w:u w:val="single"/>
              </w:rPr>
            </w:pPr>
          </w:p>
        </w:tc>
        <w:tc>
          <w:tcPr>
            <w:tcW w:w="3227" w:type="dxa"/>
          </w:tcPr>
          <w:p w14:paraId="682C7C90">
            <w:pPr>
              <w:spacing w:line="440" w:lineRule="exact"/>
              <w:ind w:right="71"/>
              <w:rPr>
                <w:rFonts w:ascii="宋体" w:hAnsi="宋体"/>
                <w:spacing w:val="4"/>
                <w:szCs w:val="21"/>
                <w:highlight w:val="none"/>
                <w:u w:val="single"/>
              </w:rPr>
            </w:pPr>
          </w:p>
        </w:tc>
        <w:tc>
          <w:tcPr>
            <w:tcW w:w="2289" w:type="dxa"/>
          </w:tcPr>
          <w:p w14:paraId="54D3D475">
            <w:pPr>
              <w:spacing w:line="440" w:lineRule="exact"/>
              <w:ind w:right="71"/>
              <w:rPr>
                <w:rFonts w:ascii="宋体" w:hAnsi="宋体"/>
                <w:spacing w:val="4"/>
                <w:szCs w:val="21"/>
                <w:highlight w:val="none"/>
                <w:u w:val="single"/>
              </w:rPr>
            </w:pPr>
          </w:p>
        </w:tc>
        <w:tc>
          <w:tcPr>
            <w:tcW w:w="3733" w:type="dxa"/>
          </w:tcPr>
          <w:p w14:paraId="3941A99C">
            <w:pPr>
              <w:spacing w:line="440" w:lineRule="exact"/>
              <w:ind w:right="71"/>
              <w:rPr>
                <w:rFonts w:ascii="宋体" w:hAnsi="宋体"/>
                <w:spacing w:val="4"/>
                <w:szCs w:val="21"/>
                <w:highlight w:val="none"/>
                <w:u w:val="single"/>
              </w:rPr>
            </w:pPr>
          </w:p>
        </w:tc>
        <w:tc>
          <w:tcPr>
            <w:tcW w:w="4298" w:type="dxa"/>
          </w:tcPr>
          <w:p w14:paraId="5A471D19">
            <w:pPr>
              <w:spacing w:line="440" w:lineRule="exact"/>
              <w:ind w:right="71"/>
              <w:rPr>
                <w:rFonts w:ascii="宋体" w:hAnsi="宋体"/>
                <w:spacing w:val="4"/>
                <w:szCs w:val="21"/>
                <w:highlight w:val="none"/>
                <w:u w:val="single"/>
              </w:rPr>
            </w:pPr>
          </w:p>
        </w:tc>
      </w:tr>
      <w:tr w14:paraId="7789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65" w:type="dxa"/>
          </w:tcPr>
          <w:p w14:paraId="606FA963">
            <w:pPr>
              <w:spacing w:line="440" w:lineRule="exact"/>
              <w:ind w:right="71"/>
              <w:rPr>
                <w:rFonts w:ascii="宋体" w:hAnsi="宋体"/>
                <w:spacing w:val="4"/>
                <w:szCs w:val="21"/>
                <w:highlight w:val="none"/>
                <w:u w:val="single"/>
              </w:rPr>
            </w:pPr>
          </w:p>
        </w:tc>
        <w:tc>
          <w:tcPr>
            <w:tcW w:w="3227" w:type="dxa"/>
          </w:tcPr>
          <w:p w14:paraId="5BC8B061">
            <w:pPr>
              <w:spacing w:line="440" w:lineRule="exact"/>
              <w:ind w:right="71"/>
              <w:rPr>
                <w:rFonts w:ascii="宋体" w:hAnsi="宋体"/>
                <w:spacing w:val="4"/>
                <w:szCs w:val="21"/>
                <w:highlight w:val="none"/>
                <w:u w:val="single"/>
              </w:rPr>
            </w:pPr>
          </w:p>
        </w:tc>
        <w:tc>
          <w:tcPr>
            <w:tcW w:w="2289" w:type="dxa"/>
          </w:tcPr>
          <w:p w14:paraId="029F2597">
            <w:pPr>
              <w:spacing w:line="440" w:lineRule="exact"/>
              <w:ind w:right="71"/>
              <w:rPr>
                <w:rFonts w:ascii="宋体" w:hAnsi="宋体"/>
                <w:spacing w:val="4"/>
                <w:szCs w:val="21"/>
                <w:highlight w:val="none"/>
                <w:u w:val="single"/>
              </w:rPr>
            </w:pPr>
          </w:p>
        </w:tc>
        <w:tc>
          <w:tcPr>
            <w:tcW w:w="3733" w:type="dxa"/>
          </w:tcPr>
          <w:p w14:paraId="729CB8A5">
            <w:pPr>
              <w:spacing w:line="440" w:lineRule="exact"/>
              <w:ind w:right="71"/>
              <w:rPr>
                <w:rFonts w:ascii="宋体" w:hAnsi="宋体"/>
                <w:spacing w:val="4"/>
                <w:szCs w:val="21"/>
                <w:highlight w:val="none"/>
                <w:u w:val="single"/>
              </w:rPr>
            </w:pPr>
          </w:p>
        </w:tc>
        <w:tc>
          <w:tcPr>
            <w:tcW w:w="4298" w:type="dxa"/>
          </w:tcPr>
          <w:p w14:paraId="31B6A458">
            <w:pPr>
              <w:spacing w:line="440" w:lineRule="exact"/>
              <w:ind w:right="71"/>
              <w:rPr>
                <w:rFonts w:ascii="宋体" w:hAnsi="宋体"/>
                <w:spacing w:val="4"/>
                <w:szCs w:val="21"/>
                <w:highlight w:val="none"/>
                <w:u w:val="single"/>
              </w:rPr>
            </w:pPr>
          </w:p>
        </w:tc>
      </w:tr>
      <w:tr w14:paraId="1076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65" w:type="dxa"/>
          </w:tcPr>
          <w:p w14:paraId="74DF10B1">
            <w:pPr>
              <w:spacing w:line="440" w:lineRule="exact"/>
              <w:ind w:right="71"/>
              <w:rPr>
                <w:rFonts w:ascii="宋体" w:hAnsi="宋体"/>
                <w:spacing w:val="4"/>
                <w:szCs w:val="21"/>
                <w:highlight w:val="none"/>
                <w:u w:val="single"/>
              </w:rPr>
            </w:pPr>
          </w:p>
        </w:tc>
        <w:tc>
          <w:tcPr>
            <w:tcW w:w="3227" w:type="dxa"/>
          </w:tcPr>
          <w:p w14:paraId="4EC68DA1">
            <w:pPr>
              <w:spacing w:line="440" w:lineRule="exact"/>
              <w:ind w:right="71"/>
              <w:rPr>
                <w:rFonts w:ascii="宋体" w:hAnsi="宋体"/>
                <w:spacing w:val="4"/>
                <w:szCs w:val="21"/>
                <w:highlight w:val="none"/>
                <w:u w:val="single"/>
              </w:rPr>
            </w:pPr>
          </w:p>
        </w:tc>
        <w:tc>
          <w:tcPr>
            <w:tcW w:w="2289" w:type="dxa"/>
          </w:tcPr>
          <w:p w14:paraId="1440A9E2">
            <w:pPr>
              <w:spacing w:line="440" w:lineRule="exact"/>
              <w:ind w:right="71"/>
              <w:rPr>
                <w:rFonts w:ascii="宋体" w:hAnsi="宋体"/>
                <w:spacing w:val="4"/>
                <w:szCs w:val="21"/>
                <w:highlight w:val="none"/>
                <w:u w:val="single"/>
              </w:rPr>
            </w:pPr>
          </w:p>
        </w:tc>
        <w:tc>
          <w:tcPr>
            <w:tcW w:w="3733" w:type="dxa"/>
          </w:tcPr>
          <w:p w14:paraId="756E62E0">
            <w:pPr>
              <w:spacing w:line="440" w:lineRule="exact"/>
              <w:ind w:right="71"/>
              <w:rPr>
                <w:rFonts w:ascii="宋体" w:hAnsi="宋体"/>
                <w:spacing w:val="4"/>
                <w:szCs w:val="21"/>
                <w:highlight w:val="none"/>
                <w:u w:val="single"/>
              </w:rPr>
            </w:pPr>
          </w:p>
        </w:tc>
        <w:tc>
          <w:tcPr>
            <w:tcW w:w="4298" w:type="dxa"/>
          </w:tcPr>
          <w:p w14:paraId="265589AD">
            <w:pPr>
              <w:spacing w:line="440" w:lineRule="exact"/>
              <w:ind w:right="71"/>
              <w:rPr>
                <w:rFonts w:ascii="宋体" w:hAnsi="宋体"/>
                <w:spacing w:val="4"/>
                <w:szCs w:val="21"/>
                <w:highlight w:val="none"/>
                <w:u w:val="single"/>
              </w:rPr>
            </w:pPr>
          </w:p>
        </w:tc>
      </w:tr>
      <w:tr w14:paraId="447E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65" w:type="dxa"/>
          </w:tcPr>
          <w:p w14:paraId="4A974B40">
            <w:pPr>
              <w:spacing w:line="440" w:lineRule="exact"/>
              <w:ind w:right="71"/>
              <w:rPr>
                <w:rFonts w:ascii="宋体" w:hAnsi="宋体"/>
                <w:spacing w:val="4"/>
                <w:szCs w:val="21"/>
                <w:highlight w:val="none"/>
                <w:u w:val="single"/>
              </w:rPr>
            </w:pPr>
          </w:p>
        </w:tc>
        <w:tc>
          <w:tcPr>
            <w:tcW w:w="3227" w:type="dxa"/>
          </w:tcPr>
          <w:p w14:paraId="4A001858">
            <w:pPr>
              <w:spacing w:line="440" w:lineRule="exact"/>
              <w:ind w:right="71"/>
              <w:rPr>
                <w:rFonts w:ascii="宋体" w:hAnsi="宋体"/>
                <w:spacing w:val="4"/>
                <w:szCs w:val="21"/>
                <w:highlight w:val="none"/>
                <w:u w:val="single"/>
              </w:rPr>
            </w:pPr>
          </w:p>
        </w:tc>
        <w:tc>
          <w:tcPr>
            <w:tcW w:w="2289" w:type="dxa"/>
          </w:tcPr>
          <w:p w14:paraId="5A1239DB">
            <w:pPr>
              <w:spacing w:line="440" w:lineRule="exact"/>
              <w:ind w:right="71"/>
              <w:rPr>
                <w:rFonts w:ascii="宋体" w:hAnsi="宋体"/>
                <w:spacing w:val="4"/>
                <w:szCs w:val="21"/>
                <w:highlight w:val="none"/>
                <w:u w:val="single"/>
              </w:rPr>
            </w:pPr>
          </w:p>
        </w:tc>
        <w:tc>
          <w:tcPr>
            <w:tcW w:w="3733" w:type="dxa"/>
          </w:tcPr>
          <w:p w14:paraId="0B2AC067">
            <w:pPr>
              <w:spacing w:line="440" w:lineRule="exact"/>
              <w:ind w:right="71"/>
              <w:rPr>
                <w:rFonts w:ascii="宋体" w:hAnsi="宋体"/>
                <w:spacing w:val="4"/>
                <w:szCs w:val="21"/>
                <w:highlight w:val="none"/>
                <w:u w:val="single"/>
              </w:rPr>
            </w:pPr>
          </w:p>
        </w:tc>
        <w:tc>
          <w:tcPr>
            <w:tcW w:w="4298" w:type="dxa"/>
          </w:tcPr>
          <w:p w14:paraId="15AF151C">
            <w:pPr>
              <w:spacing w:line="440" w:lineRule="exact"/>
              <w:ind w:right="71"/>
              <w:rPr>
                <w:rFonts w:ascii="宋体" w:hAnsi="宋体"/>
                <w:spacing w:val="4"/>
                <w:szCs w:val="21"/>
                <w:highlight w:val="none"/>
                <w:u w:val="single"/>
              </w:rPr>
            </w:pPr>
          </w:p>
        </w:tc>
      </w:tr>
      <w:tr w14:paraId="686A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65" w:type="dxa"/>
          </w:tcPr>
          <w:p w14:paraId="37C91AFE">
            <w:pPr>
              <w:spacing w:line="440" w:lineRule="exact"/>
              <w:ind w:right="71"/>
              <w:rPr>
                <w:rFonts w:ascii="宋体" w:hAnsi="宋体"/>
                <w:spacing w:val="4"/>
                <w:szCs w:val="21"/>
                <w:highlight w:val="none"/>
                <w:u w:val="single"/>
              </w:rPr>
            </w:pPr>
          </w:p>
        </w:tc>
        <w:tc>
          <w:tcPr>
            <w:tcW w:w="3227" w:type="dxa"/>
          </w:tcPr>
          <w:p w14:paraId="0B2482ED">
            <w:pPr>
              <w:spacing w:line="440" w:lineRule="exact"/>
              <w:ind w:right="71"/>
              <w:rPr>
                <w:rFonts w:ascii="宋体" w:hAnsi="宋体"/>
                <w:spacing w:val="4"/>
                <w:szCs w:val="21"/>
                <w:highlight w:val="none"/>
                <w:u w:val="single"/>
              </w:rPr>
            </w:pPr>
          </w:p>
        </w:tc>
        <w:tc>
          <w:tcPr>
            <w:tcW w:w="2289" w:type="dxa"/>
          </w:tcPr>
          <w:p w14:paraId="3F3F8BC9">
            <w:pPr>
              <w:spacing w:line="440" w:lineRule="exact"/>
              <w:ind w:right="71"/>
              <w:rPr>
                <w:rFonts w:ascii="宋体" w:hAnsi="宋体"/>
                <w:spacing w:val="4"/>
                <w:szCs w:val="21"/>
                <w:highlight w:val="none"/>
                <w:u w:val="single"/>
              </w:rPr>
            </w:pPr>
          </w:p>
        </w:tc>
        <w:tc>
          <w:tcPr>
            <w:tcW w:w="3733" w:type="dxa"/>
          </w:tcPr>
          <w:p w14:paraId="5205C5F0">
            <w:pPr>
              <w:spacing w:line="440" w:lineRule="exact"/>
              <w:ind w:right="71"/>
              <w:rPr>
                <w:rFonts w:ascii="宋体" w:hAnsi="宋体"/>
                <w:spacing w:val="4"/>
                <w:szCs w:val="21"/>
                <w:highlight w:val="none"/>
                <w:u w:val="single"/>
              </w:rPr>
            </w:pPr>
          </w:p>
        </w:tc>
        <w:tc>
          <w:tcPr>
            <w:tcW w:w="4298" w:type="dxa"/>
          </w:tcPr>
          <w:p w14:paraId="0A6141ED">
            <w:pPr>
              <w:spacing w:line="440" w:lineRule="exact"/>
              <w:ind w:right="71"/>
              <w:rPr>
                <w:rFonts w:ascii="宋体" w:hAnsi="宋体"/>
                <w:spacing w:val="4"/>
                <w:szCs w:val="21"/>
                <w:highlight w:val="none"/>
                <w:u w:val="single"/>
              </w:rPr>
            </w:pPr>
          </w:p>
        </w:tc>
      </w:tr>
      <w:tr w14:paraId="2B20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65" w:type="dxa"/>
          </w:tcPr>
          <w:p w14:paraId="73D5F2D9">
            <w:pPr>
              <w:spacing w:line="440" w:lineRule="exact"/>
              <w:ind w:right="71"/>
              <w:rPr>
                <w:rFonts w:ascii="宋体" w:hAnsi="宋体"/>
                <w:spacing w:val="4"/>
                <w:szCs w:val="21"/>
                <w:highlight w:val="none"/>
                <w:u w:val="single"/>
              </w:rPr>
            </w:pPr>
          </w:p>
        </w:tc>
        <w:tc>
          <w:tcPr>
            <w:tcW w:w="3227" w:type="dxa"/>
          </w:tcPr>
          <w:p w14:paraId="061237F4">
            <w:pPr>
              <w:spacing w:line="440" w:lineRule="exact"/>
              <w:ind w:right="71"/>
              <w:rPr>
                <w:rFonts w:ascii="宋体" w:hAnsi="宋体"/>
                <w:spacing w:val="4"/>
                <w:szCs w:val="21"/>
                <w:highlight w:val="none"/>
                <w:u w:val="single"/>
              </w:rPr>
            </w:pPr>
          </w:p>
        </w:tc>
        <w:tc>
          <w:tcPr>
            <w:tcW w:w="2289" w:type="dxa"/>
          </w:tcPr>
          <w:p w14:paraId="04B45EC0">
            <w:pPr>
              <w:spacing w:line="440" w:lineRule="exact"/>
              <w:ind w:right="71"/>
              <w:rPr>
                <w:rFonts w:ascii="宋体" w:hAnsi="宋体"/>
                <w:spacing w:val="4"/>
                <w:szCs w:val="21"/>
                <w:highlight w:val="none"/>
                <w:u w:val="single"/>
              </w:rPr>
            </w:pPr>
          </w:p>
        </w:tc>
        <w:tc>
          <w:tcPr>
            <w:tcW w:w="3733" w:type="dxa"/>
          </w:tcPr>
          <w:p w14:paraId="65EAF922">
            <w:pPr>
              <w:spacing w:line="440" w:lineRule="exact"/>
              <w:ind w:right="71"/>
              <w:rPr>
                <w:rFonts w:ascii="宋体" w:hAnsi="宋体"/>
                <w:spacing w:val="4"/>
                <w:szCs w:val="21"/>
                <w:highlight w:val="none"/>
                <w:u w:val="single"/>
              </w:rPr>
            </w:pPr>
          </w:p>
        </w:tc>
        <w:tc>
          <w:tcPr>
            <w:tcW w:w="4298" w:type="dxa"/>
          </w:tcPr>
          <w:p w14:paraId="249201E9">
            <w:pPr>
              <w:spacing w:line="440" w:lineRule="exact"/>
              <w:ind w:right="71"/>
              <w:rPr>
                <w:rFonts w:ascii="宋体" w:hAnsi="宋体"/>
                <w:spacing w:val="4"/>
                <w:szCs w:val="21"/>
                <w:highlight w:val="none"/>
                <w:u w:val="single"/>
              </w:rPr>
            </w:pPr>
          </w:p>
        </w:tc>
      </w:tr>
    </w:tbl>
    <w:p w14:paraId="518ADAA3">
      <w:pPr>
        <w:spacing w:line="440" w:lineRule="exact"/>
        <w:ind w:right="74"/>
        <w:rPr>
          <w:rFonts w:ascii="宋体" w:hAnsi="宋体"/>
          <w:spacing w:val="4"/>
          <w:szCs w:val="21"/>
          <w:highlight w:val="none"/>
          <w:u w:val="single"/>
        </w:rPr>
      </w:pPr>
      <w:r>
        <w:rPr>
          <w:rFonts w:hint="eastAsia" w:ascii="宋体" w:hAnsi="宋体"/>
          <w:spacing w:val="4"/>
          <w:szCs w:val="21"/>
          <w:highlight w:val="none"/>
        </w:rPr>
        <w:t>报价人授权代表签名：</w:t>
      </w:r>
      <w:r>
        <w:rPr>
          <w:rFonts w:hint="eastAsia" w:ascii="宋体" w:hAnsi="宋体"/>
          <w:spacing w:val="4"/>
          <w:szCs w:val="21"/>
          <w:highlight w:val="none"/>
          <w:u w:val="single"/>
        </w:rPr>
        <w:t xml:space="preserve">                      </w:t>
      </w:r>
    </w:p>
    <w:p w14:paraId="34D049FA">
      <w:pPr>
        <w:spacing w:line="440" w:lineRule="exact"/>
        <w:ind w:right="74"/>
        <w:rPr>
          <w:rFonts w:ascii="宋体" w:hAnsi="宋体"/>
          <w:spacing w:val="4"/>
          <w:szCs w:val="21"/>
          <w:highlight w:val="none"/>
          <w:u w:val="single"/>
        </w:rPr>
      </w:pPr>
      <w:r>
        <w:rPr>
          <w:rFonts w:hint="eastAsia" w:ascii="宋体" w:hAnsi="宋体"/>
          <w:spacing w:val="4"/>
          <w:szCs w:val="21"/>
          <w:highlight w:val="none"/>
        </w:rPr>
        <w:t>报价人（盖公章）：</w:t>
      </w:r>
      <w:r>
        <w:rPr>
          <w:rFonts w:hint="eastAsia" w:ascii="宋体" w:hAnsi="宋体"/>
          <w:spacing w:val="4"/>
          <w:szCs w:val="21"/>
          <w:highlight w:val="none"/>
          <w:u w:val="single"/>
        </w:rPr>
        <w:t xml:space="preserve">                         </w:t>
      </w:r>
    </w:p>
    <w:p w14:paraId="6F234826">
      <w:pPr>
        <w:spacing w:line="380" w:lineRule="exact"/>
        <w:ind w:left="-178" w:leftChars="-85"/>
        <w:rPr>
          <w:rFonts w:ascii="宋体" w:hAnsi="宋体" w:cs="Arial"/>
          <w:color w:val="000000"/>
          <w:szCs w:val="21"/>
          <w:highlight w:val="none"/>
        </w:rPr>
      </w:pPr>
      <w:r>
        <w:rPr>
          <w:rFonts w:hint="eastAsia" w:ascii="宋体" w:hAnsi="宋体" w:cs="Arial"/>
          <w:color w:val="000000"/>
          <w:szCs w:val="21"/>
          <w:highlight w:val="none"/>
        </w:rPr>
        <w:t xml:space="preserve">  </w:t>
      </w:r>
      <w:r>
        <w:rPr>
          <w:rFonts w:ascii="宋体" w:hAnsi="宋体" w:cs="Arial"/>
          <w:color w:val="000000"/>
          <w:szCs w:val="21"/>
          <w:highlight w:val="none"/>
        </w:rPr>
        <w:t>附注：1.</w:t>
      </w:r>
      <w:r>
        <w:rPr>
          <w:rFonts w:ascii="宋体" w:hAnsi="宋体" w:cs="Arial"/>
          <w:bCs/>
          <w:color w:val="000000"/>
          <w:szCs w:val="21"/>
          <w:highlight w:val="none"/>
          <w:u w:val="single"/>
        </w:rPr>
        <w:t>★</w:t>
      </w:r>
      <w:r>
        <w:rPr>
          <w:rFonts w:ascii="宋体" w:hAnsi="宋体" w:cs="Arial"/>
          <w:color w:val="000000"/>
          <w:szCs w:val="21"/>
          <w:highlight w:val="none"/>
          <w:u w:val="single"/>
        </w:rPr>
        <w:t>没有填写此表视为完全响应</w:t>
      </w:r>
      <w:r>
        <w:rPr>
          <w:rFonts w:hint="eastAsia" w:ascii="宋体" w:hAnsi="宋体" w:cs="Arial"/>
          <w:color w:val="000000"/>
          <w:szCs w:val="21"/>
          <w:highlight w:val="none"/>
          <w:u w:val="single"/>
        </w:rPr>
        <w:t>采购文件</w:t>
      </w:r>
      <w:r>
        <w:rPr>
          <w:rFonts w:ascii="宋体" w:hAnsi="宋体" w:cs="Arial"/>
          <w:color w:val="000000"/>
          <w:szCs w:val="21"/>
          <w:highlight w:val="none"/>
          <w:u w:val="single"/>
        </w:rPr>
        <w:t>要求。</w:t>
      </w:r>
    </w:p>
    <w:p w14:paraId="26B28D6C">
      <w:pPr>
        <w:spacing w:line="380" w:lineRule="exact"/>
        <w:rPr>
          <w:rFonts w:ascii="宋体" w:hAnsi="宋体" w:cs="Arial"/>
          <w:color w:val="000000"/>
          <w:szCs w:val="21"/>
          <w:highlight w:val="none"/>
        </w:rPr>
      </w:pPr>
      <w:r>
        <w:rPr>
          <w:rFonts w:hint="eastAsia" w:ascii="宋体" w:hAnsi="宋体" w:cs="Arial"/>
          <w:color w:val="000000"/>
          <w:szCs w:val="21"/>
          <w:highlight w:val="none"/>
        </w:rPr>
        <w:t xml:space="preserve">      </w:t>
      </w:r>
      <w:r>
        <w:rPr>
          <w:rFonts w:ascii="宋体" w:hAnsi="宋体" w:cs="Arial"/>
          <w:color w:val="000000"/>
          <w:szCs w:val="21"/>
          <w:highlight w:val="none"/>
        </w:rPr>
        <w:t>2.如出现偏离，报价人务必如实填写此表。</w:t>
      </w:r>
    </w:p>
    <w:p w14:paraId="33E11B39">
      <w:pPr>
        <w:spacing w:line="380" w:lineRule="exact"/>
        <w:rPr>
          <w:rFonts w:ascii="宋体" w:hAnsi="宋体" w:cs="Arial"/>
          <w:color w:val="000000"/>
          <w:szCs w:val="21"/>
          <w:highlight w:val="none"/>
        </w:rPr>
      </w:pPr>
      <w:r>
        <w:rPr>
          <w:rFonts w:hint="eastAsia" w:ascii="宋体" w:hAnsi="宋体" w:cs="Arial"/>
          <w:color w:val="000000"/>
          <w:szCs w:val="21"/>
          <w:highlight w:val="none"/>
        </w:rPr>
        <w:t>日期：    年  月  日</w:t>
      </w:r>
    </w:p>
    <w:p w14:paraId="63AB3AE8">
      <w:pPr>
        <w:widowControl/>
        <w:jc w:val="center"/>
        <w:rPr>
          <w:sz w:val="36"/>
          <w:szCs w:val="36"/>
          <w:highlight w:val="none"/>
        </w:rPr>
        <w:sectPr>
          <w:pgSz w:w="16838" w:h="11905" w:orient="landscape"/>
          <w:pgMar w:top="1803" w:right="1440" w:bottom="1803" w:left="1440" w:header="851" w:footer="992" w:gutter="0"/>
          <w:cols w:space="0" w:num="1"/>
          <w:docGrid w:type="lines" w:linePitch="319" w:charSpace="0"/>
        </w:sectPr>
      </w:pPr>
    </w:p>
    <w:p w14:paraId="60825178">
      <w:pPr>
        <w:widowControl/>
        <w:jc w:val="center"/>
        <w:rPr>
          <w:rFonts w:ascii="宋体" w:hAnsi="宋体" w:eastAsia="宋体" w:cs="宋体"/>
          <w:b/>
          <w:kern w:val="0"/>
          <w:sz w:val="36"/>
          <w:szCs w:val="36"/>
          <w:highlight w:val="none"/>
          <w:lang w:bidi="ar"/>
        </w:rPr>
      </w:pPr>
      <w:r>
        <w:rPr>
          <w:rFonts w:hint="eastAsia"/>
          <w:sz w:val="36"/>
          <w:szCs w:val="36"/>
          <w:highlight w:val="none"/>
        </w:rPr>
        <w:t>资格符合性审查</w:t>
      </w:r>
    </w:p>
    <w:p w14:paraId="4FCDE2C6">
      <w:pPr>
        <w:widowControl/>
        <w:adjustRightInd w:val="0"/>
        <w:snapToGrid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kern w:val="0"/>
          <w:sz w:val="24"/>
          <w:szCs w:val="24"/>
          <w:highlight w:val="none"/>
          <w:lang w:bidi="ar"/>
        </w:rPr>
        <w:t>1.依据</w:t>
      </w:r>
    </w:p>
    <w:p w14:paraId="2E3A9C1E">
      <w:pPr>
        <w:widowControl/>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为规范此次采购评审工作，按有关规定，制定本评审方法。</w:t>
      </w:r>
    </w:p>
    <w:p w14:paraId="0E851C80">
      <w:pPr>
        <w:widowControl/>
        <w:adjustRightInd w:val="0"/>
        <w:snapToGrid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kern w:val="0"/>
          <w:sz w:val="24"/>
          <w:szCs w:val="24"/>
          <w:highlight w:val="none"/>
          <w:lang w:bidi="ar"/>
        </w:rPr>
        <w:t>2.符合性审查原则</w:t>
      </w:r>
    </w:p>
    <w:p w14:paraId="3009F5E1">
      <w:pPr>
        <w:widowControl/>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评审遵循公平、公正、科学的原则。</w:t>
      </w:r>
    </w:p>
    <w:p w14:paraId="5B575258">
      <w:pPr>
        <w:widowControl/>
        <w:adjustRightInd w:val="0"/>
        <w:snapToGrid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kern w:val="0"/>
          <w:sz w:val="24"/>
          <w:szCs w:val="24"/>
          <w:highlight w:val="none"/>
          <w:lang w:bidi="ar"/>
        </w:rPr>
        <w:t>3.审查委员会</w:t>
      </w:r>
    </w:p>
    <w:p w14:paraId="410EBEC6">
      <w:pPr>
        <w:widowControl/>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资格符合性审查由采购人依规组建的评审小组负责，评审小组成员为3人或3人以上单数。</w:t>
      </w:r>
    </w:p>
    <w:p w14:paraId="7BF4B69E">
      <w:pPr>
        <w:widowControl/>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评审小组对报价文件作出的评审结论，应当符合有关法律、法规、规章和采购文件的规定。</w:t>
      </w:r>
    </w:p>
    <w:p w14:paraId="590BD2E9">
      <w:pPr>
        <w:widowControl/>
        <w:adjustRightInd w:val="0"/>
        <w:snapToGrid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kern w:val="0"/>
          <w:sz w:val="24"/>
          <w:szCs w:val="24"/>
          <w:highlight w:val="none"/>
          <w:lang w:bidi="ar"/>
        </w:rPr>
        <w:t>4.符合性审查程序和内容</w:t>
      </w:r>
    </w:p>
    <w:p w14:paraId="3E1EA1E3">
      <w:pPr>
        <w:widowControl/>
        <w:adjustRightInd w:val="0"/>
        <w:snapToGrid w:val="0"/>
        <w:spacing w:line="360" w:lineRule="auto"/>
        <w:ind w:firstLine="480" w:firstLineChars="200"/>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4.1.熟悉采购文件和评审方法。</w:t>
      </w:r>
    </w:p>
    <w:p w14:paraId="77B214FA">
      <w:pPr>
        <w:widowControl/>
        <w:adjustRightInd w:val="0"/>
        <w:snapToGrid w:val="0"/>
        <w:spacing w:line="360" w:lineRule="auto"/>
        <w:ind w:firstLine="480" w:firstLineChars="200"/>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报价人应提供类型不少于7种、总场次不低于10场的妇女节活动，每场活动时长不少于4小时。其中活动包含但不限于花艺或茶艺品鉴、手工或烘焙制作、书画体验、影视鉴赏、皮肤保养及美妆、美体健身、按摩理疗等活动形式的服务，设计的活动内容需根据青年（35周岁及以下）女职工、中年（35周岁以上）女职工2类人群进行对应区别设计。</w:t>
      </w:r>
    </w:p>
    <w:p w14:paraId="52C833CC">
      <w:pPr>
        <w:widowControl/>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4.2符合性审查。</w:t>
      </w:r>
    </w:p>
    <w:p w14:paraId="67BD0605">
      <w:pPr>
        <w:widowControl/>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4.2.1评审小组应依照采购文件的要求和规定对报价文件进行符合性审查。</w:t>
      </w:r>
    </w:p>
    <w:p w14:paraId="07EFCA41">
      <w:pPr>
        <w:widowControl/>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4.2.2报价人不得通过补充、修改或撤销报价文件中的内容使其成为实质性响应。报价人在截止日期以后不得提交任何资料作为评审依据。</w:t>
      </w:r>
    </w:p>
    <w:p w14:paraId="4047E3E0">
      <w:pPr>
        <w:widowControl/>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4.2.3报价文件如存在以下情况之一的，经评审小组三分之二以上的成员认定，作为符合性审查未通过予以废除，不再进行后续评审：</w:t>
      </w:r>
    </w:p>
    <w:p w14:paraId="7B4A251C">
      <w:pPr>
        <w:widowControl/>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kern w:val="0"/>
          <w:sz w:val="24"/>
          <w:szCs w:val="24"/>
          <w:highlight w:val="none"/>
          <w:lang w:bidi="ar"/>
        </w:rPr>
        <w:t>（1）报价人的资格不满足采购文件载明的资格条件的；</w:t>
      </w:r>
    </w:p>
    <w:p w14:paraId="49C3BA2D">
      <w:pPr>
        <w:widowControl/>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kern w:val="0"/>
          <w:sz w:val="24"/>
          <w:szCs w:val="24"/>
          <w:highlight w:val="none"/>
          <w:lang w:bidi="ar"/>
        </w:rPr>
        <w:t>（2）未按采购文件的要求签署和盖章的（仅限于单位印章和法定代表人或其委托代理人签字或盖章或签章）；</w:t>
      </w:r>
    </w:p>
    <w:p w14:paraId="18AE9C71">
      <w:pPr>
        <w:widowControl/>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kern w:val="0"/>
          <w:sz w:val="24"/>
          <w:szCs w:val="24"/>
          <w:highlight w:val="none"/>
          <w:lang w:bidi="ar"/>
        </w:rPr>
        <w:t>（3）报价文件未按规定的格式填写，内容不全或关键字迹模糊、无法辨认的；</w:t>
      </w:r>
    </w:p>
    <w:p w14:paraId="37E7E11A">
      <w:pPr>
        <w:widowControl/>
        <w:adjustRightInd w:val="0"/>
        <w:snapToGrid w:val="0"/>
        <w:spacing w:line="360" w:lineRule="auto"/>
        <w:ind w:firstLine="480" w:firstLineChars="200"/>
        <w:jc w:val="left"/>
        <w:rPr>
          <w:rFonts w:ascii="宋体" w:hAnsi="宋体" w:eastAsia="宋体" w:cs="宋体"/>
          <w:bCs/>
          <w:kern w:val="0"/>
          <w:sz w:val="24"/>
          <w:szCs w:val="24"/>
          <w:highlight w:val="none"/>
          <w:lang w:bidi="ar"/>
        </w:rPr>
      </w:pPr>
      <w:r>
        <w:rPr>
          <w:rFonts w:hint="eastAsia" w:ascii="宋体" w:hAnsi="宋体" w:eastAsia="宋体" w:cs="宋体"/>
          <w:bCs/>
          <w:kern w:val="0"/>
          <w:sz w:val="24"/>
          <w:szCs w:val="24"/>
          <w:highlight w:val="none"/>
          <w:lang w:bidi="ar"/>
        </w:rPr>
        <w:t>（4）报价人递交两份或多份内容不同的报价文件，或在一份报价文件中对同一采购项目报有两个或多个报价，且未声明哪一个有效，报价</w:t>
      </w:r>
      <w:r>
        <w:rPr>
          <w:rFonts w:hint="eastAsia" w:ascii="宋体" w:hAnsi="宋体" w:eastAsia="宋体" w:cs="宋体"/>
          <w:bCs/>
          <w:kern w:val="0"/>
          <w:sz w:val="24"/>
          <w:szCs w:val="24"/>
          <w:highlight w:val="none"/>
          <w:lang w:val="zh-CN" w:bidi="ar"/>
        </w:rPr>
        <w:t>人仅限于提供一套供货方案</w:t>
      </w:r>
      <w:r>
        <w:rPr>
          <w:rFonts w:hint="eastAsia" w:ascii="宋体" w:hAnsi="宋体" w:eastAsia="宋体" w:cs="宋体"/>
          <w:bCs/>
          <w:kern w:val="0"/>
          <w:sz w:val="24"/>
          <w:szCs w:val="24"/>
          <w:highlight w:val="none"/>
          <w:lang w:bidi="ar"/>
        </w:rPr>
        <w:t>；</w:t>
      </w:r>
    </w:p>
    <w:p w14:paraId="227962D1">
      <w:pPr>
        <w:widowControl/>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kern w:val="0"/>
          <w:sz w:val="24"/>
          <w:szCs w:val="24"/>
          <w:highlight w:val="none"/>
          <w:lang w:bidi="ar"/>
        </w:rPr>
        <w:t>（5）报价人不以自己的名义或未按采购文件的要求提供报价保证金或提供的保证金有缺陷而不能接受的；（如有）</w:t>
      </w:r>
    </w:p>
    <w:p w14:paraId="5EDF587C">
      <w:pPr>
        <w:widowControl/>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kern w:val="0"/>
          <w:sz w:val="24"/>
          <w:szCs w:val="24"/>
          <w:highlight w:val="none"/>
          <w:lang w:bidi="ar"/>
        </w:rPr>
        <w:t>（6）报价文件正副本数量未按采购文件要求提供的；</w:t>
      </w:r>
    </w:p>
    <w:p w14:paraId="06121F0F">
      <w:pPr>
        <w:widowControl/>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kern w:val="0"/>
          <w:sz w:val="24"/>
          <w:szCs w:val="24"/>
          <w:highlight w:val="none"/>
          <w:lang w:bidi="ar"/>
        </w:rPr>
        <w:t>（7）报价有缺项漏项或不符合采购文件实质性要求的【对文件中标注“★”的内容及条款（如有）未响应或存在负偏离的，视为不符合采购文件实质性要求】；</w:t>
      </w:r>
    </w:p>
    <w:p w14:paraId="04345B17">
      <w:pPr>
        <w:widowControl/>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kern w:val="0"/>
          <w:sz w:val="24"/>
          <w:szCs w:val="24"/>
          <w:highlight w:val="none"/>
          <w:lang w:bidi="ar"/>
        </w:rPr>
        <w:t>（8）未按采购文件要求提供样品，或提供样品不全，或样品不符合采购文件要求的；</w:t>
      </w:r>
    </w:p>
    <w:p w14:paraId="58FAB0B4">
      <w:pPr>
        <w:widowControl/>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kern w:val="0"/>
          <w:sz w:val="24"/>
          <w:szCs w:val="24"/>
          <w:highlight w:val="none"/>
          <w:lang w:bidi="ar"/>
        </w:rPr>
        <w:t>（9）报价超过最高限价（如有）的；</w:t>
      </w:r>
    </w:p>
    <w:p w14:paraId="77DF1D5A">
      <w:pPr>
        <w:widowControl/>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kern w:val="0"/>
          <w:sz w:val="24"/>
          <w:szCs w:val="24"/>
          <w:highlight w:val="none"/>
          <w:lang w:bidi="ar"/>
        </w:rPr>
        <w:t>（10）报价文件报价出现前后不一致，评审委员会按4.2.4条款修正，报价人未确认的；</w:t>
      </w:r>
    </w:p>
    <w:p w14:paraId="7853F45F">
      <w:pPr>
        <w:widowControl/>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kern w:val="0"/>
          <w:sz w:val="24"/>
          <w:szCs w:val="24"/>
          <w:highlight w:val="none"/>
          <w:lang w:bidi="ar"/>
        </w:rPr>
        <w:t>（11）产品（服务）质量、供货（服务）期、质保期（如有）不满足采购文件要求的；</w:t>
      </w:r>
    </w:p>
    <w:p w14:paraId="1D695FE2">
      <w:pPr>
        <w:widowControl/>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kern w:val="0"/>
          <w:sz w:val="24"/>
          <w:szCs w:val="24"/>
          <w:highlight w:val="none"/>
          <w:lang w:bidi="ar"/>
        </w:rPr>
        <w:t>（12）报价人以他人名义报价或与他人串通报价或以行贿手段谋取成交，或弄虚作假的；</w:t>
      </w:r>
    </w:p>
    <w:p w14:paraId="5AC97540">
      <w:pPr>
        <w:widowControl/>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kern w:val="0"/>
          <w:sz w:val="24"/>
          <w:szCs w:val="24"/>
          <w:highlight w:val="none"/>
          <w:lang w:bidi="ar"/>
        </w:rPr>
        <w:t>（13）存在其他采购文件中明确将被拒绝或无效的情况；</w:t>
      </w:r>
    </w:p>
    <w:p w14:paraId="61851F7E">
      <w:pPr>
        <w:widowControl/>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kern w:val="0"/>
          <w:sz w:val="24"/>
          <w:szCs w:val="24"/>
          <w:highlight w:val="none"/>
          <w:lang w:bidi="ar"/>
        </w:rPr>
        <w:t>（14）存在法律、法规、规章规定的其它否决报价情况的。</w:t>
      </w:r>
    </w:p>
    <w:p w14:paraId="2C6F9504">
      <w:pPr>
        <w:widowControl/>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4.2.4 报价算术性修正 </w:t>
      </w:r>
    </w:p>
    <w:p w14:paraId="42E63BFF">
      <w:pPr>
        <w:widowControl/>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评审小组按以下原则对通过符合性审查的报价文件报价进行算术性修正：</w:t>
      </w:r>
    </w:p>
    <w:p w14:paraId="04FB3E33">
      <w:pPr>
        <w:widowControl/>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（1）询价单中报价以含增值税报价为准；</w:t>
      </w:r>
    </w:p>
    <w:p w14:paraId="6CF3B9F6">
      <w:pPr>
        <w:widowControl/>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（2）报价文件中报价单内容与报价文件中相应内容不一致的，以报价单为准；</w:t>
      </w:r>
    </w:p>
    <w:p w14:paraId="68435FCF">
      <w:pPr>
        <w:widowControl/>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（3）大写金额和小写金额不一致的，以大写金额为准；</w:t>
      </w:r>
    </w:p>
    <w:p w14:paraId="76359B40">
      <w:pPr>
        <w:widowControl/>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（4）单价金额小数点或者百分比有明显错位的，以报价单的总价（含增值税）为准，并修改单价；</w:t>
      </w:r>
    </w:p>
    <w:p w14:paraId="12EEB117">
      <w:pPr>
        <w:widowControl/>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（5）总价（含增值税）金额与按单价汇总金额不一致的，以单价金额计算结果为准。</w:t>
      </w:r>
    </w:p>
    <w:p w14:paraId="30828948">
      <w:pPr>
        <w:widowControl/>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（6）同时出现两种以上不一致的，按照（5）－（1）的顺序修正。</w:t>
      </w:r>
    </w:p>
    <w:p w14:paraId="0DD6FEBE">
      <w:pPr>
        <w:widowControl/>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修正的价格经报价人书面确认后具有约束力。报价人不接受修正价格的，按无效报价处理。</w:t>
      </w:r>
    </w:p>
    <w:p w14:paraId="45895737">
      <w:pPr>
        <w:widowControl/>
        <w:adjustRightInd w:val="0"/>
        <w:snapToGrid w:val="0"/>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kern w:val="0"/>
          <w:sz w:val="24"/>
          <w:szCs w:val="24"/>
          <w:highlight w:val="none"/>
          <w:lang w:bidi="ar"/>
        </w:rPr>
        <w:t>4.3评审报告</w:t>
      </w:r>
    </w:p>
    <w:p w14:paraId="65D53E69">
      <w:pPr>
        <w:widowControl/>
        <w:adjustRightInd w:val="0"/>
        <w:snapToGrid w:val="0"/>
        <w:spacing w:line="360" w:lineRule="auto"/>
        <w:ind w:firstLine="480" w:firstLineChars="200"/>
        <w:jc w:val="left"/>
        <w:rPr>
          <w:rFonts w:ascii="宋体" w:hAnsi="宋体" w:eastAsia="宋体" w:cs="宋体"/>
          <w:kern w:val="0"/>
          <w:sz w:val="24"/>
          <w:szCs w:val="24"/>
          <w:highlight w:val="none"/>
          <w:lang w:bidi="ar"/>
        </w:rPr>
        <w:sectPr>
          <w:pgSz w:w="11905" w:h="16838"/>
          <w:pgMar w:top="1440" w:right="1803" w:bottom="1440" w:left="1803" w:header="851" w:footer="992" w:gutter="0"/>
          <w:cols w:space="0" w:num="1"/>
          <w:docGrid w:type="lines" w:linePitch="319" w:charSpace="0"/>
        </w:sectPr>
      </w:pPr>
      <w:r>
        <w:rPr>
          <w:rFonts w:hint="eastAsia" w:ascii="宋体" w:hAnsi="宋体" w:eastAsia="宋体" w:cs="宋体"/>
          <w:kern w:val="0"/>
          <w:sz w:val="24"/>
          <w:szCs w:val="24"/>
          <w:highlight w:val="none"/>
          <w:lang w:bidi="ar"/>
        </w:rPr>
        <w:t>评审小组作出的评审结论，应当符合有关法律、法规、规章和采购文件的规定。</w:t>
      </w:r>
    </w:p>
    <w:p w14:paraId="61DB62F6">
      <w:pPr>
        <w:jc w:val="center"/>
        <w:outlineLvl w:val="0"/>
        <w:rPr>
          <w:rFonts w:ascii="宋体" w:hAnsi="宋体"/>
          <w:b/>
          <w:sz w:val="44"/>
          <w:szCs w:val="44"/>
          <w:highlight w:val="none"/>
        </w:rPr>
      </w:pPr>
      <w:r>
        <w:rPr>
          <w:rFonts w:hint="eastAsia" w:ascii="宋体" w:hAnsi="宋体"/>
          <w:b/>
          <w:sz w:val="44"/>
          <w:szCs w:val="44"/>
          <w:highlight w:val="none"/>
        </w:rPr>
        <w:t>合 同 书</w:t>
      </w:r>
    </w:p>
    <w:p w14:paraId="189C8A71">
      <w:pPr>
        <w:spacing w:line="360" w:lineRule="auto"/>
        <w:jc w:val="center"/>
        <w:rPr>
          <w:b/>
          <w:sz w:val="10"/>
          <w:highlight w:val="none"/>
        </w:rPr>
      </w:pPr>
    </w:p>
    <w:p w14:paraId="0F7D7866">
      <w:pPr>
        <w:spacing w:line="360" w:lineRule="auto"/>
        <w:jc w:val="center"/>
        <w:rPr>
          <w:b/>
          <w:sz w:val="10"/>
          <w:highlight w:val="none"/>
        </w:rPr>
      </w:pPr>
    </w:p>
    <w:p w14:paraId="5ABCD577">
      <w:pPr>
        <w:widowControl/>
        <w:adjustRightInd w:val="0"/>
        <w:snapToGrid w:val="0"/>
        <w:spacing w:line="360" w:lineRule="auto"/>
        <w:rPr>
          <w:rFonts w:ascii="宋体" w:hAnsi="宋体"/>
          <w:sz w:val="10"/>
          <w:highlight w:val="none"/>
        </w:rPr>
      </w:pPr>
      <w:r>
        <w:rPr>
          <w:rFonts w:hint="eastAsia" w:ascii="宋体" w:hAnsi="宋体"/>
          <w:szCs w:val="21"/>
          <w:highlight w:val="none"/>
        </w:rPr>
        <w:t xml:space="preserve">合同编号：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highlight w:val="none"/>
        </w:rPr>
        <w:t>签订地点：杭州市</w:t>
      </w:r>
    </w:p>
    <w:tbl>
      <w:tblPr>
        <w:tblStyle w:val="16"/>
        <w:tblpPr w:leftFromText="180" w:rightFromText="180" w:vertAnchor="text" w:horzAnchor="margin" w:tblpXSpec="center" w:tblpY="65"/>
        <w:tblW w:w="1035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181"/>
        <w:gridCol w:w="5174"/>
      </w:tblGrid>
      <w:tr w14:paraId="23AC9CD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828" w:hRule="atLeast"/>
        </w:trPr>
        <w:tc>
          <w:tcPr>
            <w:tcW w:w="5181" w:type="dxa"/>
          </w:tcPr>
          <w:p w14:paraId="4C62ED30">
            <w:pPr>
              <w:spacing w:line="360" w:lineRule="auto"/>
              <w:ind w:left="420" w:leftChars="200"/>
              <w:rPr>
                <w:rFonts w:ascii="宋体" w:hAnsi="宋体"/>
                <w:szCs w:val="21"/>
                <w:highlight w:val="none"/>
              </w:rPr>
            </w:pPr>
            <w:r>
              <w:rPr>
                <w:rFonts w:hint="eastAsia" w:ascii="宋体" w:hAnsi="宋体"/>
                <w:szCs w:val="21"/>
                <w:highlight w:val="none"/>
              </w:rPr>
              <w:t>甲方：杭州地铁运营有限公司工会委员会</w:t>
            </w:r>
          </w:p>
          <w:p w14:paraId="48ED9382">
            <w:pPr>
              <w:spacing w:line="360" w:lineRule="auto"/>
              <w:ind w:left="420" w:leftChars="200"/>
              <w:rPr>
                <w:rFonts w:ascii="宋体" w:hAnsi="宋体"/>
                <w:szCs w:val="21"/>
                <w:highlight w:val="none"/>
              </w:rPr>
            </w:pPr>
            <w:r>
              <w:rPr>
                <w:rFonts w:hint="eastAsia" w:ascii="宋体" w:hAnsi="宋体"/>
                <w:szCs w:val="21"/>
                <w:highlight w:val="none"/>
              </w:rPr>
              <w:t>地址：杭州市上城区九和路4</w:t>
            </w:r>
            <w:r>
              <w:rPr>
                <w:rFonts w:ascii="宋体" w:hAnsi="宋体"/>
                <w:szCs w:val="21"/>
                <w:highlight w:val="none"/>
              </w:rPr>
              <w:t>66</w:t>
            </w:r>
            <w:r>
              <w:rPr>
                <w:rFonts w:hint="eastAsia" w:ascii="宋体" w:hAnsi="宋体"/>
                <w:szCs w:val="21"/>
                <w:highlight w:val="none"/>
              </w:rPr>
              <w:t>号</w:t>
            </w:r>
          </w:p>
          <w:p w14:paraId="0FB142CD">
            <w:pPr>
              <w:spacing w:line="360" w:lineRule="auto"/>
              <w:ind w:firstLine="420" w:firstLineChars="200"/>
              <w:rPr>
                <w:rFonts w:ascii="宋体" w:hAnsi="宋体"/>
                <w:szCs w:val="21"/>
                <w:highlight w:val="none"/>
              </w:rPr>
            </w:pPr>
          </w:p>
          <w:p w14:paraId="567C5094">
            <w:pPr>
              <w:spacing w:line="360" w:lineRule="auto"/>
              <w:ind w:firstLine="420" w:firstLineChars="200"/>
              <w:rPr>
                <w:rFonts w:ascii="宋体" w:hAnsi="宋体"/>
                <w:szCs w:val="21"/>
                <w:highlight w:val="none"/>
              </w:rPr>
            </w:pPr>
            <w:r>
              <w:rPr>
                <w:rFonts w:hint="eastAsia" w:ascii="宋体" w:hAnsi="宋体"/>
                <w:szCs w:val="21"/>
                <w:highlight w:val="none"/>
              </w:rPr>
              <w:t>邮编：310021</w:t>
            </w:r>
          </w:p>
          <w:p w14:paraId="76BD63BD">
            <w:pPr>
              <w:spacing w:line="360" w:lineRule="auto"/>
              <w:ind w:left="420" w:leftChars="200"/>
              <w:rPr>
                <w:rFonts w:ascii="宋体" w:hAnsi="宋体"/>
                <w:szCs w:val="21"/>
                <w:highlight w:val="none"/>
              </w:rPr>
            </w:pPr>
            <w:r>
              <w:rPr>
                <w:rFonts w:hint="eastAsia" w:ascii="宋体" w:hAnsi="宋体"/>
                <w:szCs w:val="21"/>
                <w:highlight w:val="none"/>
              </w:rPr>
              <w:t>电话：18668146182</w:t>
            </w:r>
          </w:p>
          <w:p w14:paraId="7CF7540F">
            <w:pPr>
              <w:spacing w:line="360" w:lineRule="auto"/>
              <w:ind w:left="420" w:leftChars="200"/>
              <w:rPr>
                <w:rFonts w:ascii="宋体" w:hAnsi="宋体"/>
                <w:szCs w:val="21"/>
                <w:highlight w:val="none"/>
              </w:rPr>
            </w:pPr>
            <w:r>
              <w:rPr>
                <w:rFonts w:hint="eastAsia" w:ascii="宋体" w:hAnsi="宋体"/>
                <w:szCs w:val="21"/>
                <w:highlight w:val="none"/>
              </w:rPr>
              <w:t>传真：/</w:t>
            </w:r>
          </w:p>
          <w:p w14:paraId="4FE959FF">
            <w:pPr>
              <w:spacing w:line="360" w:lineRule="auto"/>
              <w:ind w:left="420" w:leftChars="200"/>
              <w:rPr>
                <w:rFonts w:ascii="宋体" w:hAnsi="宋体"/>
                <w:szCs w:val="21"/>
                <w:highlight w:val="none"/>
              </w:rPr>
            </w:pPr>
            <w:r>
              <w:rPr>
                <w:rFonts w:hint="eastAsia" w:ascii="宋体" w:hAnsi="宋体"/>
                <w:szCs w:val="21"/>
                <w:highlight w:val="none"/>
              </w:rPr>
              <w:t>联系人：颜工</w:t>
            </w:r>
          </w:p>
          <w:p w14:paraId="63789B06">
            <w:pPr>
              <w:spacing w:line="360" w:lineRule="auto"/>
              <w:ind w:left="420" w:leftChars="200"/>
              <w:rPr>
                <w:rFonts w:ascii="宋体" w:hAnsi="宋体"/>
                <w:szCs w:val="21"/>
                <w:highlight w:val="none"/>
              </w:rPr>
            </w:pPr>
            <w:r>
              <w:rPr>
                <w:rFonts w:hint="eastAsia" w:ascii="宋体" w:hAnsi="宋体"/>
                <w:szCs w:val="21"/>
                <w:highlight w:val="none"/>
              </w:rPr>
              <w:t>开户银行：工商银行杭州分行营业部</w:t>
            </w:r>
          </w:p>
          <w:p w14:paraId="483B8491">
            <w:pPr>
              <w:spacing w:line="360" w:lineRule="auto"/>
              <w:ind w:left="420" w:leftChars="200"/>
              <w:rPr>
                <w:rFonts w:ascii="宋体" w:hAnsi="宋体"/>
                <w:szCs w:val="21"/>
                <w:highlight w:val="none"/>
              </w:rPr>
            </w:pPr>
            <w:r>
              <w:rPr>
                <w:rFonts w:hint="eastAsia" w:ascii="宋体" w:hAnsi="宋体"/>
                <w:szCs w:val="21"/>
                <w:highlight w:val="none"/>
              </w:rPr>
              <w:t>账号：</w:t>
            </w:r>
            <w:r>
              <w:rPr>
                <w:rFonts w:ascii="宋体" w:hAnsi="宋体"/>
                <w:szCs w:val="21"/>
                <w:highlight w:val="none"/>
              </w:rPr>
              <w:t>1202021109900173887</w:t>
            </w:r>
          </w:p>
          <w:p w14:paraId="353B4771">
            <w:pPr>
              <w:spacing w:line="360" w:lineRule="auto"/>
              <w:ind w:left="420" w:leftChars="200"/>
              <w:rPr>
                <w:rFonts w:ascii="宋体" w:hAnsi="宋体"/>
                <w:highlight w:val="none"/>
              </w:rPr>
            </w:pPr>
            <w:r>
              <w:rPr>
                <w:rFonts w:hint="eastAsia" w:ascii="宋体" w:hAnsi="宋体"/>
                <w:szCs w:val="21"/>
                <w:highlight w:val="none"/>
              </w:rPr>
              <w:t>统一社会信用代码：</w:t>
            </w:r>
            <w:r>
              <w:rPr>
                <w:rFonts w:ascii="宋体" w:hAnsi="宋体"/>
                <w:szCs w:val="21"/>
                <w:highlight w:val="none"/>
              </w:rPr>
              <w:t>81330100596606870A</w:t>
            </w:r>
          </w:p>
        </w:tc>
        <w:tc>
          <w:tcPr>
            <w:tcW w:w="5174" w:type="dxa"/>
          </w:tcPr>
          <w:p w14:paraId="15839C68">
            <w:pPr>
              <w:spacing w:line="360" w:lineRule="auto"/>
              <w:ind w:left="420" w:leftChars="200"/>
              <w:rPr>
                <w:rFonts w:ascii="宋体" w:hAnsi="宋体"/>
                <w:szCs w:val="21"/>
                <w:highlight w:val="none"/>
              </w:rPr>
            </w:pPr>
            <w:r>
              <w:rPr>
                <w:rFonts w:ascii="宋体" w:hAnsi="宋体"/>
                <w:szCs w:val="21"/>
                <w:highlight w:val="none"/>
              </w:rPr>
              <w:t>乙方：</w:t>
            </w:r>
            <w:r>
              <w:rPr>
                <w:rFonts w:ascii="宋体" w:hAnsi="宋体"/>
                <w:szCs w:val="21"/>
                <w:highlight w:val="none"/>
              </w:rPr>
              <w:br w:type="textWrapping"/>
            </w:r>
            <w:r>
              <w:rPr>
                <w:rFonts w:ascii="宋体" w:hAnsi="宋体"/>
                <w:szCs w:val="21"/>
                <w:highlight w:val="none"/>
              </w:rPr>
              <w:t>地址</w:t>
            </w:r>
            <w:r>
              <w:rPr>
                <w:rFonts w:hint="eastAsia" w:ascii="宋体" w:hAnsi="宋体"/>
                <w:szCs w:val="21"/>
                <w:highlight w:val="none"/>
              </w:rPr>
              <w:t>：</w:t>
            </w:r>
          </w:p>
          <w:p w14:paraId="02165F59">
            <w:pPr>
              <w:spacing w:line="360" w:lineRule="auto"/>
              <w:ind w:left="420" w:leftChars="200"/>
              <w:rPr>
                <w:rFonts w:ascii="宋体" w:hAnsi="宋体"/>
                <w:szCs w:val="21"/>
                <w:highlight w:val="none"/>
              </w:rPr>
            </w:pPr>
          </w:p>
          <w:p w14:paraId="73103A7F">
            <w:pPr>
              <w:spacing w:line="360" w:lineRule="auto"/>
              <w:ind w:left="420" w:leftChars="200"/>
              <w:rPr>
                <w:rFonts w:ascii="宋体" w:hAnsi="宋体"/>
                <w:szCs w:val="21"/>
                <w:highlight w:val="none"/>
              </w:rPr>
            </w:pPr>
            <w:r>
              <w:rPr>
                <w:rFonts w:ascii="宋体" w:hAnsi="宋体"/>
                <w:szCs w:val="21"/>
                <w:highlight w:val="none"/>
              </w:rPr>
              <w:t>邮编：</w:t>
            </w:r>
            <w:r>
              <w:rPr>
                <w:rFonts w:ascii="宋体" w:hAnsi="宋体"/>
                <w:szCs w:val="21"/>
                <w:highlight w:val="none"/>
              </w:rPr>
              <w:br w:type="textWrapping"/>
            </w:r>
            <w:r>
              <w:rPr>
                <w:rFonts w:ascii="宋体" w:hAnsi="宋体"/>
                <w:szCs w:val="21"/>
                <w:highlight w:val="none"/>
              </w:rPr>
              <w:t>电话：</w:t>
            </w:r>
            <w:r>
              <w:rPr>
                <w:rFonts w:hint="eastAsia" w:ascii="宋体" w:hAnsi="宋体"/>
                <w:szCs w:val="21"/>
                <w:highlight w:val="none"/>
              </w:rPr>
              <w:t xml:space="preserve"> </w:t>
            </w:r>
          </w:p>
          <w:p w14:paraId="386B5117">
            <w:pPr>
              <w:spacing w:line="360" w:lineRule="auto"/>
              <w:ind w:left="420" w:leftChars="200"/>
              <w:rPr>
                <w:rFonts w:ascii="宋体" w:hAnsi="宋体"/>
                <w:szCs w:val="21"/>
                <w:highlight w:val="none"/>
              </w:rPr>
            </w:pPr>
            <w:r>
              <w:rPr>
                <w:rFonts w:ascii="宋体" w:hAnsi="宋体"/>
                <w:szCs w:val="21"/>
                <w:highlight w:val="none"/>
              </w:rPr>
              <w:t>传真：</w:t>
            </w:r>
          </w:p>
          <w:p w14:paraId="703AB99E">
            <w:pPr>
              <w:spacing w:line="360" w:lineRule="auto"/>
              <w:ind w:left="420" w:leftChars="200"/>
              <w:rPr>
                <w:rFonts w:ascii="宋体" w:hAnsi="宋体"/>
                <w:szCs w:val="21"/>
                <w:highlight w:val="none"/>
              </w:rPr>
            </w:pPr>
            <w:r>
              <w:rPr>
                <w:rFonts w:ascii="宋体" w:hAnsi="宋体"/>
                <w:szCs w:val="21"/>
                <w:highlight w:val="none"/>
              </w:rPr>
              <w:t>联系人：</w:t>
            </w:r>
            <w:r>
              <w:rPr>
                <w:rFonts w:ascii="宋体" w:hAnsi="宋体"/>
                <w:szCs w:val="21"/>
                <w:highlight w:val="none"/>
              </w:rPr>
              <w:br w:type="textWrapping"/>
            </w:r>
            <w:r>
              <w:rPr>
                <w:rFonts w:ascii="宋体" w:hAnsi="宋体"/>
                <w:szCs w:val="21"/>
                <w:highlight w:val="none"/>
              </w:rPr>
              <w:t>开户银行：</w:t>
            </w:r>
          </w:p>
          <w:p w14:paraId="7C149B12">
            <w:pPr>
              <w:spacing w:line="360" w:lineRule="auto"/>
              <w:ind w:left="420" w:leftChars="200"/>
              <w:rPr>
                <w:rFonts w:ascii="宋体" w:hAnsi="宋体"/>
                <w:szCs w:val="21"/>
                <w:highlight w:val="none"/>
              </w:rPr>
            </w:pPr>
            <w:r>
              <w:rPr>
                <w:rFonts w:ascii="宋体" w:hAnsi="宋体"/>
                <w:szCs w:val="21"/>
                <w:highlight w:val="none"/>
              </w:rPr>
              <w:t>账号：</w:t>
            </w:r>
          </w:p>
          <w:p w14:paraId="20FB31BB">
            <w:pPr>
              <w:spacing w:line="360" w:lineRule="auto"/>
              <w:ind w:left="420" w:leftChars="200"/>
              <w:rPr>
                <w:rFonts w:ascii="宋体" w:hAnsi="宋体"/>
                <w:color w:val="FF0000"/>
                <w:szCs w:val="21"/>
                <w:highlight w:val="none"/>
              </w:rPr>
            </w:pPr>
            <w:r>
              <w:rPr>
                <w:rFonts w:hint="eastAsia" w:ascii="宋体" w:hAnsi="宋体"/>
                <w:szCs w:val="21"/>
                <w:highlight w:val="none"/>
              </w:rPr>
              <w:t>统一社会信用代码：</w:t>
            </w:r>
          </w:p>
        </w:tc>
      </w:tr>
    </w:tbl>
    <w:p w14:paraId="457BC30B">
      <w:pPr>
        <w:adjustRightInd w:val="0"/>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根据《中华人民共和国民法典》及相关法律法规的规定，经甲、乙双方协商一致，同意将甲方的</w:t>
      </w:r>
      <w:r>
        <w:rPr>
          <w:rFonts w:hint="eastAsia" w:ascii="宋体" w:hAnsi="宋体" w:eastAsia="宋体" w:cs="宋体"/>
          <w:b/>
          <w:szCs w:val="21"/>
          <w:highlight w:val="none"/>
        </w:rPr>
        <w:t>杭州地铁运营有限公司工会2026年职工妇女节活动服务采购项目</w:t>
      </w:r>
      <w:r>
        <w:rPr>
          <w:rFonts w:hint="eastAsia" w:ascii="宋体" w:hAnsi="宋体" w:eastAsia="宋体" w:cs="宋体"/>
          <w:szCs w:val="21"/>
          <w:highlight w:val="none"/>
        </w:rPr>
        <w:t>交由乙方承接，现特签订本合同，双方须共同遵守。</w:t>
      </w:r>
    </w:p>
    <w:p w14:paraId="3DBF9BC3">
      <w:pPr>
        <w:adjustRightInd w:val="0"/>
        <w:snapToGrid w:val="0"/>
        <w:spacing w:line="360" w:lineRule="auto"/>
        <w:ind w:firstLine="422" w:firstLineChars="200"/>
        <w:outlineLvl w:val="1"/>
        <w:rPr>
          <w:rFonts w:ascii="宋体" w:hAnsi="宋体" w:eastAsia="宋体" w:cs="宋体"/>
          <w:szCs w:val="21"/>
          <w:highlight w:val="none"/>
        </w:rPr>
      </w:pPr>
      <w:r>
        <w:rPr>
          <w:rFonts w:hint="eastAsia" w:ascii="宋体" w:hAnsi="宋体" w:eastAsia="宋体" w:cs="宋体"/>
          <w:b/>
          <w:szCs w:val="21"/>
          <w:highlight w:val="none"/>
        </w:rPr>
        <w:t>1、项目名称：</w:t>
      </w:r>
      <w:r>
        <w:rPr>
          <w:rFonts w:hint="eastAsia" w:ascii="宋体" w:hAnsi="宋体" w:eastAsia="宋体" w:cs="宋体"/>
          <w:szCs w:val="21"/>
          <w:highlight w:val="none"/>
        </w:rPr>
        <w:t>杭州地铁运营有限公司工会2026年职工妇女节活动服务采购项目</w:t>
      </w:r>
    </w:p>
    <w:p w14:paraId="01EBC5A6">
      <w:pPr>
        <w:adjustRightInd w:val="0"/>
        <w:snapToGrid w:val="0"/>
        <w:spacing w:line="360" w:lineRule="auto"/>
        <w:ind w:firstLine="422" w:firstLineChars="200"/>
        <w:outlineLvl w:val="1"/>
        <w:rPr>
          <w:rFonts w:ascii="宋体" w:hAnsi="宋体" w:eastAsia="宋体" w:cs="宋体"/>
          <w:b/>
          <w:szCs w:val="21"/>
          <w:highlight w:val="none"/>
        </w:rPr>
      </w:pPr>
      <w:r>
        <w:rPr>
          <w:rFonts w:hint="eastAsia" w:ascii="宋体" w:hAnsi="宋体" w:eastAsia="宋体" w:cs="宋体"/>
          <w:b/>
          <w:szCs w:val="21"/>
          <w:highlight w:val="none"/>
        </w:rPr>
        <w:t>2、服务内容及要求：</w:t>
      </w:r>
    </w:p>
    <w:p w14:paraId="42F20259">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2.1服务范围：甲方全体在职女职工（预计3190人）。</w:t>
      </w:r>
    </w:p>
    <w:p w14:paraId="4FF4AD9D">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2.2服务地点：七堡停车场（含运营大楼、综合楼）、蜀山车辆段、双桥停车场、昌达车辆段、勾庄车辆段、观音塘站、星桥车辆段、双浦车辆段、上泉车辆段、丰北停车场、善贤站、奥体中心站、盈中车辆段、江东三路停车场、靖江停车场、仁和车辆段、文三路站等甲方指定的女职工集中工作段场或杭州地铁车站，以及乙方建议的其他合适场地（地铁站点周边），可同时承接多地。</w:t>
      </w:r>
    </w:p>
    <w:p w14:paraId="675DC90D">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 xml:space="preserve">2.3服务要求： </w:t>
      </w:r>
    </w:p>
    <w:p w14:paraId="00302FC3">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2.3.1根据甲方女职工报名情况，乙方提供</w:t>
      </w:r>
      <w:r>
        <w:rPr>
          <w:rFonts w:hint="eastAsia" w:ascii="宋体" w:hAnsi="宋体" w:eastAsia="宋体" w:cs="宋体"/>
          <w:szCs w:val="21"/>
          <w:highlight w:val="none"/>
          <w:u w:val="single"/>
          <w:lang w:val="en-US" w:eastAsia="zh-CN"/>
        </w:rPr>
        <w:t xml:space="preserve">    </w:t>
      </w:r>
      <w:r>
        <w:rPr>
          <w:rStyle w:val="21"/>
          <w:rFonts w:hint="eastAsia"/>
          <w:highlight w:val="none"/>
          <w:u w:val="single"/>
          <w:lang w:val="en-US" w:eastAsia="zh-CN"/>
        </w:rPr>
        <w:t>种</w:t>
      </w:r>
      <w:r>
        <w:rPr>
          <w:rFonts w:hint="eastAsia" w:ascii="宋体" w:hAnsi="宋体" w:eastAsia="宋体" w:cs="宋体"/>
          <w:szCs w:val="21"/>
          <w:highlight w:val="none"/>
        </w:rPr>
        <w:t>类型，总场次共计</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个场次的妇女节活动。每场活动不少于</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小时。</w:t>
      </w:r>
    </w:p>
    <w:p w14:paraId="601CE1F9">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2.3.2乙方提供的具体服务内容详见附件1。</w:t>
      </w:r>
    </w:p>
    <w:p w14:paraId="1C2E47C0">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2.3.3乙方设计的活动内容需根据青年（35周岁及以下）女职工、中年（35周岁以上）女职工2类人群进行对应区别设计。</w:t>
      </w:r>
    </w:p>
    <w:p w14:paraId="362F5503">
      <w:pPr>
        <w:adjustRightInd w:val="0"/>
        <w:snapToGrid w:val="0"/>
        <w:spacing w:line="360" w:lineRule="auto"/>
        <w:ind w:firstLine="422" w:firstLineChars="200"/>
        <w:outlineLvl w:val="1"/>
        <w:rPr>
          <w:rFonts w:ascii="宋体" w:hAnsi="宋体" w:eastAsia="宋体" w:cs="宋体"/>
          <w:b/>
          <w:szCs w:val="21"/>
          <w:highlight w:val="none"/>
        </w:rPr>
      </w:pPr>
      <w:r>
        <w:rPr>
          <w:rFonts w:hint="eastAsia" w:ascii="宋体" w:hAnsi="宋体" w:eastAsia="宋体" w:cs="宋体"/>
          <w:b/>
          <w:szCs w:val="21"/>
          <w:highlight w:val="none"/>
        </w:rPr>
        <w:t>3、合同价格及费用结算</w:t>
      </w:r>
    </w:p>
    <w:p w14:paraId="4E0BC594">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3.1合同项下所有付款均在合同生效之后以银行转账、银行承兑汇票、国内信用证及双方协商一致的其他支付方式，以人民币付款。若甲方以银行承兑汇票、国内信用证及双方协商一致的其他支付方式进行支付的，乙方须按照银行规范或甲方要求进行办理，由此产生的利息或费用由甲方承担，如乙方未按要求办理的，甲方将不承担相关利息或费用。因乙方原因导致被拒绝兑付的，所有责任由乙方承担。</w:t>
      </w:r>
    </w:p>
    <w:p w14:paraId="33CAC820">
      <w:pPr>
        <w:spacing w:line="360" w:lineRule="auto"/>
        <w:ind w:firstLine="420" w:firstLineChars="200"/>
        <w:jc w:val="left"/>
        <w:rPr>
          <w:rFonts w:ascii="宋体" w:hAnsi="宋体" w:eastAsia="宋体" w:cs="宋体"/>
          <w:bCs/>
          <w:szCs w:val="21"/>
          <w:highlight w:val="none"/>
        </w:rPr>
      </w:pPr>
      <w:r>
        <w:rPr>
          <w:rFonts w:hint="eastAsia" w:ascii="宋体" w:hAnsi="宋体" w:eastAsia="宋体" w:cs="宋体"/>
          <w:szCs w:val="21"/>
          <w:highlight w:val="none"/>
        </w:rPr>
        <w:t>3.2</w:t>
      </w:r>
      <w:r>
        <w:rPr>
          <w:rFonts w:hint="eastAsia" w:ascii="宋体" w:hAnsi="宋体" w:eastAsia="宋体" w:cs="宋体"/>
          <w:bCs/>
          <w:szCs w:val="21"/>
          <w:highlight w:val="none"/>
          <w:lang w:val="zh-CN"/>
        </w:rPr>
        <w:t>本项目采用固定结算综合单价模式</w:t>
      </w:r>
      <w:r>
        <w:rPr>
          <w:rFonts w:hint="eastAsia" w:ascii="宋体" w:hAnsi="宋体" w:eastAsia="宋体" w:cs="宋体"/>
          <w:bCs/>
          <w:szCs w:val="21"/>
          <w:highlight w:val="none"/>
        </w:rPr>
        <w:t>，</w:t>
      </w:r>
      <w:r>
        <w:rPr>
          <w:rFonts w:hint="eastAsia" w:ascii="宋体" w:hAnsi="宋体" w:eastAsia="宋体" w:cs="宋体"/>
          <w:szCs w:val="21"/>
          <w:highlight w:val="none"/>
          <w:lang w:val="zh-CN"/>
        </w:rPr>
        <w:t>结算综合单价</w:t>
      </w:r>
      <w:r>
        <w:rPr>
          <w:rFonts w:hint="eastAsia" w:ascii="宋体" w:hAnsi="宋体" w:eastAsia="宋体" w:cs="宋体"/>
          <w:szCs w:val="21"/>
          <w:highlight w:val="none"/>
        </w:rPr>
        <w:t>为200元/人（含增值税）。</w:t>
      </w:r>
      <w:r>
        <w:rPr>
          <w:rFonts w:hint="eastAsia" w:ascii="宋体" w:hAnsi="宋体" w:eastAsia="宋体" w:cs="宋体"/>
          <w:bCs/>
          <w:szCs w:val="21"/>
          <w:highlight w:val="none"/>
        </w:rPr>
        <w:t>在合同有效期内结算综合单价（含增值税）固定不变，乙方根据甲方通知中要求的数量按时服务，据实结算。</w:t>
      </w:r>
    </w:p>
    <w:p w14:paraId="764E47B9">
      <w:pPr>
        <w:spacing w:line="360" w:lineRule="auto"/>
        <w:ind w:firstLine="420" w:firstLineChars="200"/>
        <w:jc w:val="left"/>
        <w:rPr>
          <w:rFonts w:ascii="宋体" w:hAnsi="宋体" w:eastAsia="宋体" w:cs="宋体"/>
          <w:bCs/>
          <w:szCs w:val="21"/>
          <w:highlight w:val="none"/>
        </w:rPr>
      </w:pPr>
      <w:r>
        <w:rPr>
          <w:rFonts w:hint="eastAsia" w:ascii="宋体" w:hAnsi="宋体" w:eastAsia="宋体" w:cs="宋体"/>
          <w:bCs/>
          <w:szCs w:val="21"/>
          <w:highlight w:val="none"/>
        </w:rPr>
        <w:t>3.3结算综合单价（含增值税）应包括但不限于人工费、材料费、场地费、交通费、通讯费、设备使用费、文印费及乙方应负担的一切税费，除此之外，甲方无需再支付任何费用。</w:t>
      </w:r>
    </w:p>
    <w:p w14:paraId="3762661B">
      <w:pPr>
        <w:pStyle w:val="8"/>
        <w:spacing w:after="0" w:line="360" w:lineRule="auto"/>
        <w:ind w:firstLineChars="200"/>
        <w:rPr>
          <w:rFonts w:ascii="宋体" w:hAnsi="宋体" w:cs="宋体"/>
          <w:sz w:val="21"/>
          <w:szCs w:val="21"/>
          <w:highlight w:val="none"/>
        </w:rPr>
      </w:pPr>
      <w:r>
        <w:rPr>
          <w:rFonts w:hint="eastAsia" w:ascii="宋体" w:hAnsi="宋体" w:cs="宋体"/>
          <w:sz w:val="21"/>
          <w:szCs w:val="21"/>
          <w:highlight w:val="none"/>
        </w:rPr>
        <w:t>3.4费用结算：</w:t>
      </w:r>
    </w:p>
    <w:p w14:paraId="75FBB37D">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合同签订生效后，乙方完成全部服务后，凭经甲方确认的履约证明及应付服务费用等额的增值税普通发票向甲方申请支付服务费用，经甲方确认无异后，甲方于60日内全额支付。</w:t>
      </w:r>
    </w:p>
    <w:p w14:paraId="74EFF1D8">
      <w:pPr>
        <w:adjustRightInd w:val="0"/>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在支付之前，双方对合同履行存在争议的，有争议部分待争议解决之后，按协商结果支付。</w:t>
      </w:r>
    </w:p>
    <w:p w14:paraId="708E62D5">
      <w:pPr>
        <w:adjustRightInd w:val="0"/>
        <w:snapToGrid w:val="0"/>
        <w:spacing w:line="360" w:lineRule="auto"/>
        <w:ind w:firstLine="422" w:firstLineChars="200"/>
        <w:rPr>
          <w:rFonts w:ascii="宋体" w:hAnsi="宋体" w:eastAsia="宋体" w:cs="宋体"/>
          <w:color w:val="000000"/>
          <w:szCs w:val="21"/>
          <w:highlight w:val="none"/>
        </w:rPr>
      </w:pPr>
      <w:r>
        <w:rPr>
          <w:rFonts w:hint="eastAsia" w:ascii="宋体" w:hAnsi="宋体" w:eastAsia="宋体" w:cs="宋体"/>
          <w:b/>
          <w:szCs w:val="21"/>
          <w:highlight w:val="none"/>
        </w:rPr>
        <w:t>若甲方对乙方提供发票的税目、税率等存在疑问，乙方应提供佐证材料。</w:t>
      </w:r>
    </w:p>
    <w:p w14:paraId="560071EB">
      <w:pPr>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甲方有权从应付服务费用中扣除乙方应当承担的违约金、扣款等。</w:t>
      </w:r>
    </w:p>
    <w:p w14:paraId="200B5C0B">
      <w:pPr>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杭州地铁运营有限公司工会委员会负责与乙方进行合同结算，乙方开具增值税普通发票时，甲方开票信息如下：</w:t>
      </w:r>
    </w:p>
    <w:p w14:paraId="63595156">
      <w:pPr>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发票抬头：杭州地铁运营有限公司工会委员会</w:t>
      </w:r>
    </w:p>
    <w:p w14:paraId="440638AB">
      <w:pPr>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纳税人识别号：81330100596606870A</w:t>
      </w:r>
    </w:p>
    <w:p w14:paraId="5BD0ACE0">
      <w:pPr>
        <w:snapToGrid w:val="0"/>
        <w:spacing w:line="360"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rPr>
        <w:t xml:space="preserve">地址、电话：浙江省杭州市上城区彭埠街道九和路466号3幢12层  </w:t>
      </w:r>
      <w:r>
        <w:rPr>
          <w:rFonts w:hint="eastAsia" w:ascii="宋体" w:hAnsi="宋体" w:eastAsia="宋体" w:cs="宋体"/>
          <w:szCs w:val="21"/>
          <w:highlight w:val="none"/>
          <w:lang w:val="zh-CN"/>
        </w:rPr>
        <w:t>0571-69821052</w:t>
      </w:r>
    </w:p>
    <w:p w14:paraId="249E402E">
      <w:pPr>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开户行及账号：工商银行杭州分行营业部  1202021109900173887</w:t>
      </w:r>
    </w:p>
    <w:p w14:paraId="0D1077C8">
      <w:pPr>
        <w:spacing w:line="360" w:lineRule="auto"/>
        <w:ind w:firstLine="422" w:firstLineChars="200"/>
        <w:jc w:val="left"/>
        <w:rPr>
          <w:rFonts w:ascii="宋体" w:hAnsi="宋体" w:eastAsia="宋体" w:cs="宋体"/>
          <w:b/>
          <w:szCs w:val="21"/>
          <w:highlight w:val="none"/>
        </w:rPr>
      </w:pPr>
      <w:r>
        <w:rPr>
          <w:rFonts w:hint="eastAsia" w:ascii="宋体" w:hAnsi="宋体" w:eastAsia="宋体" w:cs="宋体"/>
          <w:b/>
          <w:szCs w:val="21"/>
          <w:highlight w:val="none"/>
        </w:rPr>
        <w:t>4、合同有效期及服务期限</w:t>
      </w:r>
    </w:p>
    <w:p w14:paraId="0F31D650">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4.1合同有效期：自合同签订生效之日起至2026年12月31日止。</w:t>
      </w:r>
    </w:p>
    <w:p w14:paraId="7590DC93">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4.2服务期限：自2026年3月2日起至2026年3月31日止。</w:t>
      </w:r>
    </w:p>
    <w:p w14:paraId="5DA46E1D">
      <w:pPr>
        <w:widowControl/>
        <w:adjustRightInd w:val="0"/>
        <w:snapToGrid w:val="0"/>
        <w:spacing w:line="360" w:lineRule="auto"/>
        <w:ind w:firstLine="422" w:firstLineChars="200"/>
        <w:outlineLvl w:val="1"/>
        <w:rPr>
          <w:rFonts w:ascii="宋体" w:hAnsi="宋体" w:eastAsia="宋体" w:cs="宋体"/>
          <w:b/>
          <w:szCs w:val="21"/>
          <w:highlight w:val="none"/>
        </w:rPr>
      </w:pPr>
      <w:r>
        <w:rPr>
          <w:rFonts w:hint="eastAsia" w:ascii="宋体" w:hAnsi="宋体" w:eastAsia="宋体" w:cs="宋体"/>
          <w:b/>
          <w:bCs/>
          <w:szCs w:val="21"/>
          <w:highlight w:val="none"/>
        </w:rPr>
        <w:t>5、</w:t>
      </w:r>
      <w:r>
        <w:rPr>
          <w:rFonts w:hint="eastAsia" w:ascii="宋体" w:hAnsi="宋体" w:eastAsia="宋体" w:cs="宋体"/>
          <w:b/>
          <w:szCs w:val="21"/>
          <w:highlight w:val="none"/>
        </w:rPr>
        <w:t>双方权利义务</w:t>
      </w:r>
    </w:p>
    <w:p w14:paraId="612D0869">
      <w:pPr>
        <w:widowControl/>
        <w:adjustRightInd w:val="0"/>
        <w:snapToGrid w:val="0"/>
        <w:spacing w:line="360" w:lineRule="auto"/>
        <w:ind w:firstLine="420" w:firstLineChars="200"/>
        <w:outlineLvl w:val="1"/>
        <w:rPr>
          <w:rFonts w:ascii="宋体" w:hAnsi="宋体" w:eastAsia="宋体" w:cs="宋体"/>
          <w:szCs w:val="21"/>
          <w:highlight w:val="none"/>
        </w:rPr>
      </w:pPr>
      <w:r>
        <w:rPr>
          <w:rFonts w:hint="eastAsia" w:ascii="宋体" w:hAnsi="宋体" w:eastAsia="宋体" w:cs="宋体"/>
          <w:szCs w:val="21"/>
          <w:highlight w:val="none"/>
        </w:rPr>
        <w:t>5.1甲方指定专人配合乙方协调开展活动策划组织执行等合作事宜，按照合同约定按时向乙方支付费用。</w:t>
      </w:r>
    </w:p>
    <w:p w14:paraId="17A198D6">
      <w:pPr>
        <w:widowControl/>
        <w:adjustRightInd w:val="0"/>
        <w:snapToGrid w:val="0"/>
        <w:spacing w:line="360" w:lineRule="auto"/>
        <w:ind w:firstLine="420" w:firstLineChars="200"/>
        <w:outlineLvl w:val="1"/>
        <w:rPr>
          <w:rFonts w:ascii="宋体" w:hAnsi="宋体" w:eastAsia="宋体" w:cs="宋体"/>
          <w:szCs w:val="21"/>
          <w:highlight w:val="none"/>
        </w:rPr>
      </w:pPr>
      <w:r>
        <w:rPr>
          <w:rFonts w:hint="eastAsia" w:ascii="宋体" w:hAnsi="宋体" w:eastAsia="宋体" w:cs="宋体"/>
          <w:szCs w:val="21"/>
          <w:highlight w:val="none"/>
        </w:rPr>
        <w:t>5.2乙方应提供具有专业资质条件的人员履行本合同项下的服务义务。</w:t>
      </w:r>
    </w:p>
    <w:p w14:paraId="7A629C61">
      <w:pPr>
        <w:widowControl/>
        <w:adjustRightInd w:val="0"/>
        <w:snapToGrid w:val="0"/>
        <w:spacing w:line="360" w:lineRule="auto"/>
        <w:ind w:firstLine="420" w:firstLineChars="200"/>
        <w:outlineLvl w:val="1"/>
        <w:rPr>
          <w:rFonts w:ascii="宋体" w:hAnsi="宋体" w:eastAsia="宋体" w:cs="宋体"/>
          <w:szCs w:val="21"/>
          <w:highlight w:val="none"/>
        </w:rPr>
      </w:pPr>
      <w:r>
        <w:rPr>
          <w:rFonts w:hint="eastAsia" w:ascii="宋体" w:hAnsi="宋体" w:eastAsia="宋体" w:cs="宋体"/>
          <w:szCs w:val="21"/>
          <w:highlight w:val="none"/>
        </w:rPr>
        <w:t>5.3乙方为甲方员工提供专业服务，在甲方的支持配合下努力实现合作目的，定期向甲方反馈活动筹备进展。</w:t>
      </w:r>
    </w:p>
    <w:p w14:paraId="3A5FBBE4">
      <w:pPr>
        <w:widowControl/>
        <w:adjustRightInd w:val="0"/>
        <w:snapToGrid w:val="0"/>
        <w:spacing w:line="360" w:lineRule="auto"/>
        <w:ind w:firstLine="420" w:firstLineChars="200"/>
        <w:outlineLvl w:val="1"/>
        <w:rPr>
          <w:rFonts w:ascii="宋体" w:hAnsi="宋体" w:eastAsia="宋体" w:cs="宋体"/>
          <w:szCs w:val="21"/>
          <w:highlight w:val="none"/>
        </w:rPr>
      </w:pPr>
      <w:r>
        <w:rPr>
          <w:rFonts w:hint="eastAsia" w:ascii="宋体" w:hAnsi="宋体" w:eastAsia="宋体" w:cs="宋体"/>
          <w:szCs w:val="21"/>
          <w:highlight w:val="none"/>
        </w:rPr>
        <w:t>5.4因项目负责人的服务能力不足或对服务团队的管理不善，导致不能按服务方案和服务计划如期提供服务的，经甲方提出后项目负责人不能改善或拒绝改善时，甲方有权要求乙方撤换项目负责人，乙方应提出合适的接替人选供甲方选择。</w:t>
      </w:r>
    </w:p>
    <w:p w14:paraId="455B0A38">
      <w:pPr>
        <w:widowControl/>
        <w:adjustRightInd w:val="0"/>
        <w:snapToGrid w:val="0"/>
        <w:spacing w:line="360" w:lineRule="auto"/>
        <w:ind w:firstLine="422" w:firstLineChars="200"/>
        <w:outlineLvl w:val="1"/>
        <w:rPr>
          <w:rFonts w:ascii="宋体" w:hAnsi="宋体" w:eastAsia="宋体" w:cs="宋体"/>
          <w:b/>
          <w:szCs w:val="21"/>
          <w:highlight w:val="none"/>
        </w:rPr>
      </w:pPr>
      <w:r>
        <w:rPr>
          <w:rFonts w:hint="eastAsia" w:ascii="宋体" w:hAnsi="宋体" w:eastAsia="宋体" w:cs="宋体"/>
          <w:b/>
          <w:bCs/>
          <w:szCs w:val="21"/>
          <w:highlight w:val="none"/>
        </w:rPr>
        <w:t>6、</w:t>
      </w:r>
      <w:r>
        <w:rPr>
          <w:rFonts w:hint="eastAsia" w:ascii="宋体" w:hAnsi="宋体" w:eastAsia="宋体" w:cs="宋体"/>
          <w:b/>
          <w:szCs w:val="21"/>
          <w:highlight w:val="none"/>
        </w:rPr>
        <w:t>违约责任</w:t>
      </w:r>
    </w:p>
    <w:p w14:paraId="6BE7A76D">
      <w:pPr>
        <w:widowControl/>
        <w:adjustRightInd w:val="0"/>
        <w:snapToGrid w:val="0"/>
        <w:spacing w:line="360" w:lineRule="auto"/>
        <w:ind w:firstLine="420" w:firstLineChars="200"/>
        <w:outlineLvl w:val="1"/>
        <w:rPr>
          <w:rFonts w:ascii="宋体" w:hAnsi="宋体" w:eastAsia="宋体" w:cs="宋体"/>
          <w:szCs w:val="21"/>
          <w:highlight w:val="none"/>
        </w:rPr>
      </w:pPr>
      <w:r>
        <w:rPr>
          <w:rFonts w:hint="eastAsia" w:ascii="宋体" w:hAnsi="宋体" w:eastAsia="宋体" w:cs="宋体"/>
          <w:szCs w:val="21"/>
          <w:highlight w:val="none"/>
        </w:rPr>
        <w:t>6.1乙方未按报价文件及双方确认的最终服务方案提供专业资质条件的人员的，每发生一次，甲方有权扣除5000元/人次作为违约金。</w:t>
      </w:r>
    </w:p>
    <w:p w14:paraId="5160B963">
      <w:pPr>
        <w:widowControl/>
        <w:adjustRightInd w:val="0"/>
        <w:snapToGrid w:val="0"/>
        <w:spacing w:line="360" w:lineRule="auto"/>
        <w:ind w:firstLine="420" w:firstLineChars="200"/>
        <w:outlineLvl w:val="1"/>
        <w:rPr>
          <w:rFonts w:ascii="宋体" w:hAnsi="宋体" w:eastAsia="宋体" w:cs="宋体"/>
          <w:szCs w:val="21"/>
          <w:highlight w:val="none"/>
        </w:rPr>
      </w:pPr>
      <w:r>
        <w:rPr>
          <w:rFonts w:hint="eastAsia" w:ascii="宋体" w:hAnsi="宋体" w:eastAsia="宋体" w:cs="宋体"/>
          <w:szCs w:val="21"/>
          <w:highlight w:val="none"/>
        </w:rPr>
        <w:t>6.2乙方未按双方确认的最终服务方案，擅自缩短活动时间、遗漏活动内容、减少服务时长的，乙方应</w:t>
      </w:r>
      <w:r>
        <w:rPr>
          <w:rFonts w:hint="eastAsia" w:ascii="宋体" w:hAnsi="宋体" w:eastAsia="宋体" w:cs="宋体"/>
          <w:szCs w:val="21"/>
          <w:highlight w:val="none"/>
          <w:lang w:val="en-US" w:eastAsia="zh-CN"/>
        </w:rPr>
        <w:t>自行</w:t>
      </w:r>
      <w:r>
        <w:rPr>
          <w:rFonts w:hint="eastAsia" w:ascii="宋体" w:hAnsi="宋体" w:eastAsia="宋体" w:cs="宋体"/>
          <w:szCs w:val="21"/>
          <w:highlight w:val="none"/>
        </w:rPr>
        <w:t>承担</w:t>
      </w:r>
      <w:r>
        <w:rPr>
          <w:rFonts w:hint="eastAsia" w:ascii="宋体" w:hAnsi="宋体" w:eastAsia="宋体" w:cs="宋体"/>
          <w:szCs w:val="21"/>
          <w:highlight w:val="none"/>
          <w:lang w:val="en-US" w:eastAsia="zh-CN"/>
        </w:rPr>
        <w:t>存在前述情形的所涉活动场次的全部</w:t>
      </w:r>
      <w:r>
        <w:rPr>
          <w:rFonts w:hint="eastAsia" w:ascii="宋体" w:hAnsi="宋体" w:eastAsia="宋体" w:cs="宋体"/>
          <w:szCs w:val="21"/>
          <w:highlight w:val="none"/>
        </w:rPr>
        <w:t>费用，且甲方有权扣除5000元/场作为违约金。</w:t>
      </w:r>
    </w:p>
    <w:p w14:paraId="47079931">
      <w:pPr>
        <w:widowControl/>
        <w:adjustRightInd w:val="0"/>
        <w:snapToGrid w:val="0"/>
        <w:spacing w:line="360" w:lineRule="auto"/>
        <w:ind w:firstLine="420" w:firstLineChars="200"/>
        <w:outlineLvl w:val="1"/>
        <w:rPr>
          <w:rFonts w:ascii="宋体" w:hAnsi="宋体" w:eastAsia="宋体" w:cs="宋体"/>
          <w:szCs w:val="21"/>
          <w:highlight w:val="none"/>
        </w:rPr>
      </w:pPr>
      <w:r>
        <w:rPr>
          <w:rFonts w:hint="eastAsia" w:ascii="宋体" w:hAnsi="宋体" w:eastAsia="宋体" w:cs="宋体"/>
          <w:szCs w:val="21"/>
          <w:highlight w:val="none"/>
        </w:rPr>
        <w:t>6.3乙方未经甲方同意更换项目负责人或擅自中断服务的，甲方有权解除合同且不支付任何费用。</w:t>
      </w:r>
    </w:p>
    <w:p w14:paraId="6E2C7F1C">
      <w:pPr>
        <w:widowControl/>
        <w:adjustRightInd w:val="0"/>
        <w:snapToGrid w:val="0"/>
        <w:spacing w:line="360" w:lineRule="auto"/>
        <w:ind w:firstLine="420" w:firstLineChars="200"/>
        <w:outlineLvl w:val="1"/>
        <w:rPr>
          <w:rFonts w:ascii="宋体" w:hAnsi="宋体" w:eastAsia="宋体" w:cs="宋体"/>
          <w:szCs w:val="21"/>
          <w:highlight w:val="none"/>
        </w:rPr>
      </w:pPr>
      <w:r>
        <w:rPr>
          <w:rFonts w:hint="eastAsia" w:ascii="宋体" w:hAnsi="宋体" w:eastAsia="宋体" w:cs="宋体"/>
          <w:szCs w:val="21"/>
          <w:highlight w:val="none"/>
        </w:rPr>
        <w:t>6.4除前述已有约定外，乙方未按照双方确认的最终服务方案和服务计划履行服务义务的，每发生一次，甲方有权扣除5000元作为违约金。</w:t>
      </w:r>
    </w:p>
    <w:p w14:paraId="51E31AA6">
      <w:pPr>
        <w:widowControl/>
        <w:adjustRightInd w:val="0"/>
        <w:snapToGrid w:val="0"/>
        <w:spacing w:line="360" w:lineRule="auto"/>
        <w:ind w:firstLine="420" w:firstLineChars="200"/>
        <w:outlineLvl w:val="1"/>
        <w:rPr>
          <w:rFonts w:ascii="宋体" w:hAnsi="宋体" w:eastAsia="宋体" w:cs="宋体"/>
          <w:szCs w:val="21"/>
          <w:highlight w:val="none"/>
        </w:rPr>
      </w:pPr>
      <w:r>
        <w:rPr>
          <w:rFonts w:hint="eastAsia" w:ascii="宋体" w:hAnsi="宋体" w:eastAsia="宋体" w:cs="宋体"/>
          <w:szCs w:val="21"/>
          <w:highlight w:val="none"/>
        </w:rPr>
        <w:t>6.5合同执行过程中，除上述已有约定外，乙方不履行本合同义务或者履行合同义务不符合约定的，甲方有权要求其整改，乙方不予整改或整改2次后仍不符合约定的，甲方有权扣除合同应付金额的5%作为违约金，并有权解除合同。</w:t>
      </w:r>
    </w:p>
    <w:p w14:paraId="2AB628CF">
      <w:pPr>
        <w:widowControl/>
        <w:adjustRightInd w:val="0"/>
        <w:snapToGrid w:val="0"/>
        <w:spacing w:line="360" w:lineRule="auto"/>
        <w:ind w:firstLine="420" w:firstLineChars="200"/>
        <w:outlineLvl w:val="1"/>
        <w:rPr>
          <w:rFonts w:ascii="宋体" w:hAnsi="宋体" w:eastAsia="宋体" w:cs="宋体"/>
          <w:szCs w:val="21"/>
          <w:highlight w:val="none"/>
        </w:rPr>
      </w:pPr>
      <w:r>
        <w:rPr>
          <w:rFonts w:hint="eastAsia" w:ascii="宋体" w:hAnsi="宋体" w:eastAsia="宋体" w:cs="宋体"/>
          <w:szCs w:val="21"/>
          <w:highlight w:val="none"/>
        </w:rPr>
        <w:t>6.6甲方根据《供应商须知》（附件3）要求对乙方进行管理，乙方被甲方给予警告的，乙方须承担违约金1000元/次；乙方被甲方给予黄牌的，乙方须承担违约金5000元/次；乙方被甲方给予红牌的，乙方须承担违约金10000元/次，且甲方有权解除合同。除前述考核外，因乙方原因给甲方造成的损失由乙方另行赔偿，并由乙方负相应责任。</w:t>
      </w:r>
    </w:p>
    <w:p w14:paraId="0D936915">
      <w:pPr>
        <w:widowControl/>
        <w:adjustRightInd w:val="0"/>
        <w:snapToGrid w:val="0"/>
        <w:spacing w:line="360" w:lineRule="auto"/>
        <w:ind w:firstLine="420" w:firstLineChars="200"/>
        <w:outlineLvl w:val="1"/>
        <w:rPr>
          <w:rFonts w:ascii="宋体" w:hAnsi="宋体" w:eastAsia="宋体" w:cs="宋体"/>
          <w:szCs w:val="21"/>
          <w:highlight w:val="none"/>
        </w:rPr>
      </w:pPr>
      <w:r>
        <w:rPr>
          <w:rFonts w:hint="eastAsia" w:ascii="宋体" w:hAnsi="宋体" w:eastAsia="宋体" w:cs="宋体"/>
          <w:szCs w:val="21"/>
          <w:highlight w:val="none"/>
        </w:rPr>
        <w:t>6.7若乙方同一违约行为违反以上多条违约责任的，按违约金额就高不就低原则处理。</w:t>
      </w:r>
    </w:p>
    <w:p w14:paraId="5CC672D4">
      <w:pPr>
        <w:widowControl/>
        <w:adjustRightInd w:val="0"/>
        <w:snapToGrid w:val="0"/>
        <w:spacing w:line="360" w:lineRule="auto"/>
        <w:ind w:firstLine="420" w:firstLineChars="200"/>
        <w:outlineLvl w:val="1"/>
        <w:rPr>
          <w:rFonts w:ascii="宋体" w:hAnsi="宋体" w:eastAsia="宋体" w:cs="宋体"/>
          <w:szCs w:val="21"/>
          <w:highlight w:val="none"/>
        </w:rPr>
      </w:pPr>
      <w:r>
        <w:rPr>
          <w:rFonts w:hint="eastAsia" w:ascii="宋体" w:hAnsi="宋体" w:eastAsia="宋体" w:cs="宋体"/>
          <w:szCs w:val="21"/>
          <w:highlight w:val="none"/>
        </w:rPr>
        <w:t>6.8以上违约金均为含税金额。</w:t>
      </w:r>
    </w:p>
    <w:p w14:paraId="2080D000">
      <w:pPr>
        <w:widowControl/>
        <w:adjustRightInd w:val="0"/>
        <w:snapToGrid w:val="0"/>
        <w:spacing w:line="360" w:lineRule="auto"/>
        <w:ind w:firstLine="420" w:firstLineChars="200"/>
        <w:outlineLvl w:val="1"/>
        <w:rPr>
          <w:rFonts w:ascii="宋体" w:hAnsi="宋体" w:eastAsia="宋体" w:cs="宋体"/>
          <w:b/>
          <w:highlight w:val="none"/>
        </w:rPr>
      </w:pPr>
      <w:r>
        <w:rPr>
          <w:rFonts w:hint="eastAsia" w:ascii="宋体" w:hAnsi="宋体" w:eastAsia="宋体" w:cs="宋体"/>
          <w:szCs w:val="21"/>
          <w:highlight w:val="none"/>
        </w:rPr>
        <w:t>7</w:t>
      </w:r>
      <w:r>
        <w:rPr>
          <w:rFonts w:hint="eastAsia" w:ascii="宋体" w:hAnsi="宋体" w:eastAsia="宋体" w:cs="宋体"/>
          <w:b/>
          <w:highlight w:val="none"/>
        </w:rPr>
        <w:t>、不可抗力</w:t>
      </w:r>
    </w:p>
    <w:p w14:paraId="109ED46D">
      <w:pPr>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7.1本合同生效后，发生不能预见并且对其发生和后果不能防止或避免的事件，如</w:t>
      </w:r>
      <w:r>
        <w:rPr>
          <w:rFonts w:hint="eastAsia" w:ascii="宋体" w:hAnsi="宋体" w:eastAsia="宋体" w:cs="宋体"/>
          <w:bCs/>
          <w:szCs w:val="21"/>
          <w:highlight w:val="none"/>
        </w:rPr>
        <w:t>地震、台风、水灾、火灾、战争及疫情暴发</w:t>
      </w:r>
      <w:r>
        <w:rPr>
          <w:rFonts w:hint="eastAsia" w:ascii="宋体" w:hAnsi="宋体" w:eastAsia="宋体" w:cs="宋体"/>
          <w:szCs w:val="21"/>
          <w:highlight w:val="none"/>
        </w:rPr>
        <w:t>等，致使本合同不能按约定的条件履行，属于不可抗力。</w:t>
      </w:r>
    </w:p>
    <w:p w14:paraId="090161F8">
      <w:pPr>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7.2受不可抗力影响的一方应提前或在事发当天就不可抗力事件对本合同履行的影响通知另一方。</w:t>
      </w:r>
    </w:p>
    <w:p w14:paraId="0CB3CF6E">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7.3如不可抗力事件持续30天时，甲乙双方应友好协商解决本合同是否继续履行或终止的问题。</w:t>
      </w:r>
    </w:p>
    <w:p w14:paraId="5E047956">
      <w:pPr>
        <w:widowControl/>
        <w:spacing w:line="360" w:lineRule="auto"/>
        <w:ind w:firstLine="422" w:firstLineChars="200"/>
        <w:outlineLvl w:val="1"/>
        <w:rPr>
          <w:rFonts w:ascii="宋体" w:hAnsi="宋体" w:eastAsia="宋体" w:cs="宋体"/>
          <w:b/>
          <w:highlight w:val="none"/>
        </w:rPr>
      </w:pPr>
      <w:r>
        <w:rPr>
          <w:rFonts w:hint="eastAsia" w:ascii="宋体" w:hAnsi="宋体" w:eastAsia="宋体" w:cs="宋体"/>
          <w:b/>
          <w:highlight w:val="none"/>
        </w:rPr>
        <w:t>8、合同变更与终止</w:t>
      </w:r>
    </w:p>
    <w:p w14:paraId="14D7CC00">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8.1因任何一方违约、乙方经营破产、乙方因安全质量诚信等问题被政府处理、媒体曝光等特殊情形，任何一方均可提出合同的变更或终止，经双方协商同意书面确认。</w:t>
      </w:r>
    </w:p>
    <w:p w14:paraId="49F94843">
      <w:pPr>
        <w:spacing w:line="360" w:lineRule="auto"/>
        <w:ind w:firstLine="422" w:firstLineChars="200"/>
        <w:outlineLvl w:val="1"/>
        <w:rPr>
          <w:rFonts w:ascii="宋体" w:hAnsi="宋体" w:eastAsia="宋体" w:cs="宋体"/>
          <w:highlight w:val="none"/>
        </w:rPr>
      </w:pPr>
      <w:r>
        <w:rPr>
          <w:rFonts w:hint="eastAsia" w:ascii="宋体" w:hAnsi="宋体" w:eastAsia="宋体" w:cs="宋体"/>
          <w:b/>
          <w:highlight w:val="none"/>
        </w:rPr>
        <w:t>9、义务转让与权利保留</w:t>
      </w:r>
    </w:p>
    <w:p w14:paraId="6108B908">
      <w:pPr>
        <w:tabs>
          <w:tab w:val="left" w:pos="360"/>
        </w:tabs>
        <w:snapToGrid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szCs w:val="21"/>
          <w:highlight w:val="none"/>
        </w:rPr>
        <w:t>9.1乙方不得擅自部分或全部转让其应履行的合同义务，一经发现，甲方有权中止或终止合同，由此所造成的损失由乙方承担。</w:t>
      </w:r>
    </w:p>
    <w:p w14:paraId="6F2C7B79">
      <w:pPr>
        <w:spacing w:line="360" w:lineRule="auto"/>
        <w:ind w:firstLine="420" w:firstLineChars="200"/>
        <w:rPr>
          <w:rFonts w:ascii="宋体" w:hAnsi="宋体" w:eastAsia="宋体" w:cs="宋体"/>
          <w:highlight w:val="none"/>
        </w:rPr>
      </w:pPr>
      <w:r>
        <w:rPr>
          <w:rFonts w:hint="eastAsia" w:ascii="宋体" w:hAnsi="宋体" w:eastAsia="宋体" w:cs="宋体"/>
          <w:szCs w:val="21"/>
          <w:highlight w:val="none"/>
        </w:rPr>
        <w:t>9.2</w:t>
      </w:r>
      <w:r>
        <w:rPr>
          <w:rFonts w:hint="eastAsia" w:ascii="宋体" w:hAnsi="宋体" w:eastAsia="宋体" w:cs="宋体"/>
          <w:highlight w:val="none"/>
        </w:rPr>
        <w:t>甲方给予乙方任何宽容、宽限、优惠或延缓行使本合同项下的任何权利，均不影响、损害或限制甲方依本合同和法律、法规而享有的一切权益，不应视为甲方对本合同项下权利、权益的放弃。</w:t>
      </w:r>
    </w:p>
    <w:p w14:paraId="43652269">
      <w:pPr>
        <w:widowControl/>
        <w:spacing w:line="360" w:lineRule="auto"/>
        <w:ind w:firstLine="422" w:firstLineChars="200"/>
        <w:outlineLvl w:val="1"/>
        <w:rPr>
          <w:rFonts w:ascii="宋体" w:hAnsi="宋体" w:eastAsia="宋体" w:cs="宋体"/>
          <w:b/>
          <w:highlight w:val="none"/>
        </w:rPr>
      </w:pPr>
      <w:r>
        <w:rPr>
          <w:rFonts w:hint="eastAsia" w:ascii="宋体" w:hAnsi="宋体" w:eastAsia="宋体" w:cs="宋体"/>
          <w:b/>
          <w:highlight w:val="none"/>
        </w:rPr>
        <w:t>10、合同附件</w:t>
      </w:r>
    </w:p>
    <w:p w14:paraId="2CB9C287">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下列附件是本合同不可分割的组成部分，具有与本合同相同的效力。</w:t>
      </w:r>
    </w:p>
    <w:p w14:paraId="09A041E0">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附件1《服务项目列表及服务人员表》</w:t>
      </w:r>
    </w:p>
    <w:p w14:paraId="2A8D0BF3">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附件2《廉政协议》</w:t>
      </w:r>
    </w:p>
    <w:p w14:paraId="385F42B7">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附件3</w:t>
      </w:r>
      <w:r>
        <w:rPr>
          <w:rFonts w:hint="eastAsia" w:ascii="宋体" w:hAnsi="宋体" w:cs="Arial"/>
          <w:szCs w:val="21"/>
          <w:highlight w:val="none"/>
        </w:rPr>
        <w:t>《供应商须知》</w:t>
      </w:r>
    </w:p>
    <w:p w14:paraId="6FACEF82">
      <w:pPr>
        <w:widowControl/>
        <w:spacing w:line="360" w:lineRule="auto"/>
        <w:ind w:firstLine="422" w:firstLineChars="200"/>
        <w:outlineLvl w:val="1"/>
        <w:rPr>
          <w:rFonts w:ascii="宋体" w:hAnsi="宋体" w:eastAsia="宋体" w:cs="宋体"/>
          <w:b/>
          <w:highlight w:val="none"/>
        </w:rPr>
      </w:pPr>
      <w:r>
        <w:rPr>
          <w:rFonts w:hint="eastAsia" w:ascii="宋体" w:hAnsi="宋体" w:eastAsia="宋体" w:cs="宋体"/>
          <w:b/>
          <w:highlight w:val="none"/>
        </w:rPr>
        <w:t>11、适用法律与争议解决</w:t>
      </w:r>
    </w:p>
    <w:p w14:paraId="44F617FC">
      <w:pPr>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11.1本合同的效力、履行及任何争议仅适用中华人民共和国法律。</w:t>
      </w:r>
    </w:p>
    <w:p w14:paraId="084605B6">
      <w:pPr>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11.2因履行本合同引起的或与本合同有关的争议，甲乙双方应通过协商或调解解决，如果协商不成的，任何一方可按下述第</w:t>
      </w:r>
      <w:r>
        <w:rPr>
          <w:rFonts w:hint="eastAsia" w:ascii="宋体" w:hAnsi="宋体" w:eastAsia="宋体" w:cs="宋体"/>
          <w:szCs w:val="21"/>
          <w:highlight w:val="none"/>
          <w:u w:val="single"/>
        </w:rPr>
        <w:t xml:space="preserve"> 2 </w:t>
      </w:r>
      <w:r>
        <w:rPr>
          <w:rFonts w:hint="eastAsia" w:ascii="宋体" w:hAnsi="宋体" w:eastAsia="宋体" w:cs="宋体"/>
          <w:szCs w:val="21"/>
          <w:highlight w:val="none"/>
        </w:rPr>
        <w:t>种方式解决：</w:t>
      </w:r>
    </w:p>
    <w:p w14:paraId="49FF823C">
      <w:pPr>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（1）提交杭州仲裁委员会仲裁。</w:t>
      </w:r>
    </w:p>
    <w:p w14:paraId="1A75E2C7">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（2）依法向甲方所在地人民法院起诉。</w:t>
      </w:r>
    </w:p>
    <w:p w14:paraId="154FF427">
      <w:pPr>
        <w:widowControl/>
        <w:spacing w:line="360" w:lineRule="auto"/>
        <w:ind w:firstLine="422" w:firstLineChars="200"/>
        <w:outlineLvl w:val="1"/>
        <w:rPr>
          <w:rFonts w:ascii="宋体" w:hAnsi="宋体" w:eastAsia="宋体" w:cs="宋体"/>
          <w:b/>
          <w:highlight w:val="none"/>
        </w:rPr>
      </w:pPr>
      <w:r>
        <w:rPr>
          <w:rFonts w:hint="eastAsia" w:ascii="宋体" w:hAnsi="宋体" w:eastAsia="宋体" w:cs="宋体"/>
          <w:b/>
          <w:highlight w:val="none"/>
        </w:rPr>
        <w:t>12、合同生效条件</w:t>
      </w:r>
    </w:p>
    <w:p w14:paraId="2A2B250D">
      <w:pPr>
        <w:tabs>
          <w:tab w:val="left" w:pos="360"/>
        </w:tabs>
        <w:snapToGrid w:val="0"/>
        <w:spacing w:line="360" w:lineRule="auto"/>
        <w:ind w:firstLine="630" w:firstLineChars="300"/>
        <w:rPr>
          <w:rFonts w:ascii="宋体" w:hAnsi="宋体" w:eastAsia="宋体" w:cs="宋体"/>
          <w:szCs w:val="21"/>
          <w:highlight w:val="none"/>
        </w:rPr>
      </w:pPr>
      <w:r>
        <w:rPr>
          <w:rFonts w:hint="eastAsia" w:ascii="宋体" w:hAnsi="宋体" w:eastAsia="宋体" w:cs="宋体"/>
          <w:szCs w:val="21"/>
          <w:highlight w:val="none"/>
        </w:rPr>
        <w:t>本合同自甲乙双方加盖单位印章（公章或合同专用章）之日起生效。</w:t>
      </w:r>
    </w:p>
    <w:p w14:paraId="3927D725">
      <w:pPr>
        <w:tabs>
          <w:tab w:val="left" w:pos="360"/>
        </w:tabs>
        <w:snapToGrid w:val="0"/>
        <w:spacing w:line="360" w:lineRule="auto"/>
        <w:ind w:left="525" w:leftChars="250" w:firstLine="105" w:firstLineChars="50"/>
        <w:rPr>
          <w:rFonts w:ascii="宋体" w:hAnsi="宋体" w:eastAsia="宋体" w:cs="宋体"/>
          <w:szCs w:val="21"/>
          <w:highlight w:val="none"/>
        </w:rPr>
      </w:pPr>
      <w:r>
        <w:rPr>
          <w:rFonts w:hint="eastAsia" w:ascii="宋体" w:hAnsi="宋体" w:eastAsia="宋体" w:cs="宋体"/>
          <w:szCs w:val="21"/>
          <w:highlight w:val="none"/>
        </w:rPr>
        <w:t>本合同（包括附件）一式六份，甲方执五份，乙方执一份。</w:t>
      </w:r>
    </w:p>
    <w:p w14:paraId="322CFFFD">
      <w:pPr>
        <w:snapToGrid w:val="0"/>
        <w:spacing w:line="360" w:lineRule="auto"/>
        <w:rPr>
          <w:rFonts w:ascii="宋体" w:hAnsi="宋体" w:eastAsia="宋体" w:cs="宋体"/>
          <w:highlight w:val="none"/>
        </w:rPr>
      </w:pPr>
      <w:r>
        <w:rPr>
          <w:rFonts w:hint="eastAsia" w:ascii="宋体" w:hAnsi="宋体" w:eastAsia="宋体" w:cs="宋体"/>
          <w:highlight w:val="none"/>
        </w:rPr>
        <w:t xml:space="preserve">    </w:t>
      </w:r>
    </w:p>
    <w:p w14:paraId="49D44D42">
      <w:pPr>
        <w:snapToGrid w:val="0"/>
        <w:spacing w:line="360" w:lineRule="auto"/>
        <w:rPr>
          <w:rFonts w:ascii="宋体" w:hAnsi="宋体" w:eastAsia="宋体" w:cs="宋体"/>
          <w:highlight w:val="none"/>
        </w:rPr>
      </w:pPr>
    </w:p>
    <w:p w14:paraId="4570A31A">
      <w:pPr>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甲方 （盖章）                                  乙方（盖章）</w:t>
      </w:r>
    </w:p>
    <w:p w14:paraId="1EB55C0A">
      <w:pPr>
        <w:snapToGrid w:val="0"/>
        <w:spacing w:line="360" w:lineRule="auto"/>
        <w:rPr>
          <w:rFonts w:ascii="宋体" w:hAnsi="宋体" w:eastAsia="宋体" w:cs="宋体"/>
          <w:szCs w:val="21"/>
          <w:highlight w:val="none"/>
        </w:rPr>
      </w:pPr>
      <w:r>
        <w:rPr>
          <w:rFonts w:hint="eastAsia" w:ascii="宋体" w:hAnsi="宋体" w:eastAsia="宋体" w:cs="宋体"/>
          <w:szCs w:val="21"/>
          <w:highlight w:val="none"/>
        </w:rPr>
        <w:t xml:space="preserve">    </w:t>
      </w:r>
    </w:p>
    <w:p w14:paraId="2CD8E392">
      <w:pPr>
        <w:snapToGrid w:val="0"/>
        <w:spacing w:line="360" w:lineRule="auto"/>
        <w:ind w:firstLine="420" w:firstLineChars="200"/>
        <w:rPr>
          <w:rFonts w:ascii="宋体" w:hAnsi="宋体"/>
          <w:szCs w:val="21"/>
          <w:highlight w:val="none"/>
        </w:rPr>
      </w:pPr>
      <w:r>
        <w:rPr>
          <w:rFonts w:hint="eastAsia" w:ascii="宋体" w:hAnsi="宋体" w:eastAsia="宋体" w:cs="宋体"/>
          <w:szCs w:val="21"/>
          <w:highlight w:val="none"/>
        </w:rPr>
        <w:t>日 期：</w:t>
      </w:r>
      <w:r>
        <w:rPr>
          <w:rFonts w:hint="eastAsia" w:ascii="宋体" w:hAnsi="宋体" w:eastAsia="宋体" w:cs="宋体"/>
          <w:kern w:val="0"/>
          <w:szCs w:val="21"/>
          <w:highlight w:val="none"/>
          <w:lang w:bidi="ar"/>
        </w:rPr>
        <w:t xml:space="preserve">     年  月    日</w:t>
      </w:r>
      <w:r>
        <w:rPr>
          <w:rFonts w:hint="eastAsia" w:ascii="宋体" w:hAnsi="宋体" w:eastAsia="宋体" w:cs="宋体"/>
          <w:szCs w:val="21"/>
          <w:highlight w:val="none"/>
        </w:rPr>
        <w:t xml:space="preserve">                       日 期：</w:t>
      </w:r>
      <w:r>
        <w:rPr>
          <w:rFonts w:hint="eastAsia" w:ascii="宋体" w:hAnsi="宋体" w:eastAsia="宋体" w:cs="宋体"/>
          <w:kern w:val="0"/>
          <w:szCs w:val="21"/>
          <w:highlight w:val="none"/>
          <w:lang w:bidi="ar"/>
        </w:rPr>
        <w:t xml:space="preserve">     年   月    日</w:t>
      </w:r>
    </w:p>
    <w:p w14:paraId="445D5849">
      <w:pPr>
        <w:framePr w:h="3800" w:hRule="exact" w:wrap="around" w:vAnchor="margin" w:hAnchor="text" w:y="1"/>
        <w:shd w:val="clear" w:color="auto" w:fill="FFFFFF"/>
        <w:spacing w:line="360" w:lineRule="auto"/>
        <w:ind w:right="40"/>
        <w:rPr>
          <w:rFonts w:ascii="宋体" w:hAnsi="宋体" w:cs="Arial"/>
          <w:szCs w:val="21"/>
          <w:highlight w:val="none"/>
        </w:rPr>
        <w:sectPr>
          <w:headerReference r:id="rId11" w:type="default"/>
          <w:footerReference r:id="rId12" w:type="default"/>
          <w:footerReference r:id="rId13" w:type="even"/>
          <w:pgSz w:w="11909" w:h="16838"/>
          <w:pgMar w:top="1791" w:right="1559" w:bottom="1860" w:left="1134" w:header="0" w:footer="850" w:gutter="0"/>
          <w:pgNumType w:start="0"/>
          <w:cols w:space="720" w:num="1"/>
          <w:titlePg/>
          <w:docGrid w:linePitch="360" w:charSpace="0"/>
        </w:sectPr>
      </w:pPr>
    </w:p>
    <w:p w14:paraId="5498295D">
      <w:pPr>
        <w:adjustRightInd w:val="0"/>
        <w:outlineLvl w:val="2"/>
        <w:rPr>
          <w:rFonts w:ascii="宋体" w:hAnsi="宋体" w:cs="宋体"/>
          <w:b/>
          <w:kern w:val="0"/>
          <w:szCs w:val="21"/>
          <w:highlight w:val="none"/>
          <w:lang w:bidi="ar"/>
        </w:rPr>
      </w:pPr>
      <w:r>
        <w:rPr>
          <w:rFonts w:hint="eastAsia" w:ascii="宋体" w:hAnsi="宋体" w:cs="宋体"/>
          <w:b/>
          <w:kern w:val="0"/>
          <w:szCs w:val="21"/>
          <w:highlight w:val="none"/>
          <w:lang w:bidi="ar"/>
        </w:rPr>
        <w:t>附件1</w:t>
      </w:r>
    </w:p>
    <w:p w14:paraId="128B47A3">
      <w:pPr>
        <w:pStyle w:val="22"/>
        <w:outlineLvl w:val="9"/>
        <w:rPr>
          <w:highlight w:val="none"/>
        </w:rPr>
      </w:pPr>
      <w:r>
        <w:rPr>
          <w:rFonts w:hint="eastAsia"/>
          <w:b w:val="0"/>
          <w:kern w:val="0"/>
          <w:szCs w:val="21"/>
          <w:highlight w:val="none"/>
          <w:lang w:bidi="ar"/>
        </w:rPr>
        <w:t>服务项目列表及服务人员表</w:t>
      </w:r>
    </w:p>
    <w:p w14:paraId="35BE1A3F">
      <w:pPr>
        <w:adjustRightInd w:val="0"/>
        <w:rPr>
          <w:rFonts w:ascii="宋体" w:hAnsi="宋体" w:cs="宋体"/>
          <w:b/>
          <w:kern w:val="0"/>
          <w:szCs w:val="21"/>
          <w:highlight w:val="none"/>
          <w:lang w:bidi="ar"/>
        </w:rPr>
      </w:pPr>
    </w:p>
    <w:p w14:paraId="670EE9BE">
      <w:pPr>
        <w:pStyle w:val="22"/>
        <w:jc w:val="both"/>
        <w:outlineLvl w:val="9"/>
        <w:rPr>
          <w:rFonts w:eastAsia="宋体"/>
          <w:color w:val="000000"/>
          <w:kern w:val="0"/>
          <w:highlight w:val="none"/>
        </w:rPr>
        <w:sectPr>
          <w:headerReference r:id="rId14" w:type="default"/>
          <w:footerReference r:id="rId15" w:type="default"/>
          <w:pgSz w:w="11906" w:h="16838"/>
          <w:pgMar w:top="1418" w:right="1417" w:bottom="1418" w:left="1134" w:header="851" w:footer="680" w:gutter="0"/>
          <w:cols w:space="720" w:num="1"/>
          <w:docGrid w:linePitch="312" w:charSpace="0"/>
        </w:sectPr>
      </w:pPr>
    </w:p>
    <w:p w14:paraId="198D1583">
      <w:pPr>
        <w:adjustRightInd w:val="0"/>
        <w:outlineLvl w:val="2"/>
        <w:rPr>
          <w:rFonts w:ascii="宋体" w:hAnsi="宋体" w:cs="宋体"/>
          <w:b/>
          <w:kern w:val="0"/>
          <w:szCs w:val="21"/>
          <w:highlight w:val="none"/>
          <w:lang w:bidi="ar"/>
        </w:rPr>
      </w:pPr>
      <w:r>
        <w:rPr>
          <w:rFonts w:hint="eastAsia" w:ascii="宋体" w:hAnsi="宋体" w:cs="宋体"/>
          <w:b/>
          <w:kern w:val="0"/>
          <w:szCs w:val="21"/>
          <w:highlight w:val="none"/>
          <w:lang w:bidi="ar"/>
        </w:rPr>
        <w:t>附件</w:t>
      </w:r>
      <w:r>
        <w:rPr>
          <w:rFonts w:ascii="宋体" w:hAnsi="宋体" w:cs="宋体"/>
          <w:b/>
          <w:kern w:val="0"/>
          <w:szCs w:val="21"/>
          <w:highlight w:val="none"/>
          <w:lang w:bidi="ar"/>
        </w:rPr>
        <w:t>2</w:t>
      </w:r>
    </w:p>
    <w:p w14:paraId="1FAF7AC1">
      <w:pPr>
        <w:adjustRightInd w:val="0"/>
        <w:ind w:firstLine="726"/>
        <w:jc w:val="center"/>
        <w:rPr>
          <w:rFonts w:ascii="宋体" w:hAnsi="宋体" w:cs="宋体"/>
          <w:b/>
          <w:sz w:val="32"/>
          <w:szCs w:val="32"/>
          <w:highlight w:val="none"/>
        </w:rPr>
      </w:pPr>
      <w:r>
        <w:rPr>
          <w:rFonts w:hint="eastAsia" w:ascii="宋体" w:hAnsi="宋体" w:cs="宋体"/>
          <w:b/>
          <w:sz w:val="32"/>
          <w:szCs w:val="32"/>
          <w:highlight w:val="none"/>
          <w:lang w:bidi="ar"/>
        </w:rPr>
        <w:t>廉 政 协 议</w:t>
      </w:r>
    </w:p>
    <w:p w14:paraId="2C63F7DB">
      <w:pPr>
        <w:adjustRightInd w:val="0"/>
        <w:spacing w:line="360" w:lineRule="exact"/>
        <w:ind w:right="17" w:rightChars="8"/>
        <w:jc w:val="left"/>
        <w:rPr>
          <w:rFonts w:ascii="宋体" w:hAnsi="宋体"/>
          <w:kern w:val="0"/>
          <w:szCs w:val="21"/>
          <w:highlight w:val="none"/>
        </w:rPr>
      </w:pPr>
      <w:r>
        <w:rPr>
          <w:rFonts w:hint="eastAsia" w:ascii="宋体" w:hAnsi="宋体" w:cs="宋体"/>
          <w:kern w:val="0"/>
          <w:szCs w:val="21"/>
          <w:highlight w:val="none"/>
          <w:lang w:bidi="ar"/>
        </w:rPr>
        <w:t>甲方：</w:t>
      </w:r>
      <w:r>
        <w:rPr>
          <w:rFonts w:hint="eastAsia" w:ascii="宋体" w:hAnsi="宋体" w:cs="宋体"/>
          <w:kern w:val="0"/>
          <w:szCs w:val="21"/>
          <w:highlight w:val="none"/>
          <w:u w:val="single"/>
          <w:lang w:bidi="ar"/>
        </w:rPr>
        <w:t>杭州地铁运营有限公司工会委员会</w:t>
      </w:r>
    </w:p>
    <w:p w14:paraId="2567DDB5">
      <w:pPr>
        <w:adjustRightInd w:val="0"/>
        <w:spacing w:line="360" w:lineRule="exact"/>
        <w:ind w:left="420" w:right="17" w:rightChars="8" w:hanging="420" w:hangingChars="200"/>
        <w:rPr>
          <w:rFonts w:ascii="宋体" w:hAnsi="宋体"/>
          <w:b/>
          <w:szCs w:val="21"/>
          <w:highlight w:val="none"/>
        </w:rPr>
      </w:pPr>
      <w:r>
        <w:rPr>
          <w:rFonts w:hint="eastAsia" w:ascii="宋体" w:hAnsi="宋体" w:cs="宋体"/>
          <w:kern w:val="0"/>
          <w:szCs w:val="21"/>
          <w:highlight w:val="none"/>
          <w:lang w:bidi="ar"/>
        </w:rPr>
        <w:t>乙方：</w:t>
      </w:r>
      <w:r>
        <w:rPr>
          <w:rFonts w:hint="eastAsia" w:ascii="宋体" w:hAnsi="宋体" w:cs="宋体"/>
          <w:kern w:val="0"/>
          <w:szCs w:val="21"/>
          <w:highlight w:val="none"/>
          <w:u w:val="single"/>
          <w:lang w:bidi="ar"/>
        </w:rPr>
        <w:t xml:space="preserve">                          </w:t>
      </w:r>
      <w:r>
        <w:rPr>
          <w:rFonts w:ascii="宋体" w:hAnsi="宋体"/>
          <w:szCs w:val="21"/>
          <w:highlight w:val="none"/>
        </w:rPr>
        <w:br w:type="textWrapping"/>
      </w:r>
      <w:r>
        <w:rPr>
          <w:rFonts w:hint="eastAsia" w:ascii="宋体" w:hAnsi="宋体" w:cs="宋体"/>
          <w:b/>
          <w:szCs w:val="21"/>
          <w:highlight w:val="none"/>
          <w:lang w:bidi="ar"/>
        </w:rPr>
        <w:t>为了保持廉政自律的工作作风，防止各种不正当行为的发生，根据国家、省、市有关廉政建设的各项规定，结合项目的特点，特订立本协议如下：</w:t>
      </w:r>
    </w:p>
    <w:p w14:paraId="413E0A54">
      <w:pPr>
        <w:adjustRightInd w:val="0"/>
        <w:spacing w:line="360" w:lineRule="exact"/>
        <w:ind w:firstLine="420" w:firstLineChars="200"/>
        <w:rPr>
          <w:rFonts w:ascii="宋体" w:hAnsi="宋体"/>
          <w:kern w:val="0"/>
          <w:szCs w:val="21"/>
          <w:highlight w:val="none"/>
        </w:rPr>
      </w:pPr>
      <w:r>
        <w:rPr>
          <w:rFonts w:hint="eastAsia" w:ascii="宋体" w:hAnsi="宋体" w:cs="宋体"/>
          <w:kern w:val="0"/>
          <w:szCs w:val="21"/>
          <w:highlight w:val="none"/>
          <w:lang w:bidi="ar"/>
        </w:rPr>
        <w:t>一、甲乙双方应当自觉遵守国家、省、市有关廉政建设的各项规定。</w:t>
      </w:r>
    </w:p>
    <w:p w14:paraId="79D2EC62">
      <w:pPr>
        <w:adjustRightInd w:val="0"/>
        <w:spacing w:line="360" w:lineRule="exact"/>
        <w:ind w:firstLine="420" w:firstLineChars="200"/>
        <w:rPr>
          <w:rFonts w:ascii="宋体" w:hAnsi="宋体"/>
          <w:kern w:val="0"/>
          <w:szCs w:val="21"/>
          <w:highlight w:val="none"/>
        </w:rPr>
      </w:pPr>
      <w:r>
        <w:rPr>
          <w:rFonts w:hint="eastAsia" w:ascii="宋体" w:hAnsi="宋体" w:cs="宋体"/>
          <w:kern w:val="0"/>
          <w:szCs w:val="21"/>
          <w:highlight w:val="none"/>
          <w:lang w:bidi="ar"/>
        </w:rPr>
        <w:t>二、甲方及其工作人员不得以任何形式向乙方索要和收受回扣等好处费。</w:t>
      </w:r>
    </w:p>
    <w:p w14:paraId="4A4C1248">
      <w:pPr>
        <w:adjustRightInd w:val="0"/>
        <w:spacing w:line="360" w:lineRule="exact"/>
        <w:ind w:firstLine="420" w:firstLineChars="200"/>
        <w:rPr>
          <w:rFonts w:ascii="宋体" w:hAnsi="宋体"/>
          <w:kern w:val="0"/>
          <w:szCs w:val="21"/>
          <w:highlight w:val="none"/>
        </w:rPr>
      </w:pPr>
      <w:r>
        <w:rPr>
          <w:rFonts w:hint="eastAsia" w:ascii="宋体" w:hAnsi="宋体" w:cs="宋体"/>
          <w:kern w:val="0"/>
          <w:szCs w:val="21"/>
          <w:highlight w:val="none"/>
          <w:lang w:bidi="ar"/>
        </w:rPr>
        <w:t>三、甲方工作人员应当保持与乙方的正常业务交往，不得接受乙方的现金、有价证券和贵重物品，不得在乙方报销任何应由个人支付的费用。</w:t>
      </w:r>
    </w:p>
    <w:p w14:paraId="08F9E41E">
      <w:pPr>
        <w:adjustRightInd w:val="0"/>
        <w:spacing w:line="360" w:lineRule="exact"/>
        <w:ind w:firstLine="420" w:firstLineChars="200"/>
        <w:rPr>
          <w:rFonts w:ascii="宋体" w:hAnsi="宋体"/>
          <w:kern w:val="0"/>
          <w:szCs w:val="21"/>
          <w:highlight w:val="none"/>
        </w:rPr>
      </w:pPr>
      <w:r>
        <w:rPr>
          <w:rFonts w:hint="eastAsia" w:ascii="宋体" w:hAnsi="宋体" w:cs="宋体"/>
          <w:kern w:val="0"/>
          <w:szCs w:val="21"/>
          <w:highlight w:val="none"/>
          <w:lang w:bidi="ar"/>
        </w:rPr>
        <w:t>四、甲方工作人员不得参加可能对公正执行公务有影响的宴请和娱乐活动。</w:t>
      </w:r>
    </w:p>
    <w:p w14:paraId="752AB107">
      <w:pPr>
        <w:adjustRightInd w:val="0"/>
        <w:spacing w:line="360" w:lineRule="exact"/>
        <w:ind w:firstLine="420" w:firstLineChars="200"/>
        <w:rPr>
          <w:rFonts w:ascii="宋体" w:hAnsi="宋体"/>
          <w:kern w:val="0"/>
          <w:szCs w:val="21"/>
          <w:highlight w:val="none"/>
        </w:rPr>
      </w:pPr>
      <w:r>
        <w:rPr>
          <w:rFonts w:hint="eastAsia" w:ascii="宋体" w:hAnsi="宋体" w:cs="宋体"/>
          <w:kern w:val="0"/>
          <w:szCs w:val="21"/>
          <w:highlight w:val="none"/>
          <w:lang w:bidi="ar"/>
        </w:rPr>
        <w:t>五、甲方工作人员不得要求或接受乙方为其住房装修、婚丧嫁娶、家属和子女的工作安排以及出国等提供方便。</w:t>
      </w:r>
    </w:p>
    <w:p w14:paraId="7F534A0E">
      <w:pPr>
        <w:adjustRightInd w:val="0"/>
        <w:spacing w:line="360" w:lineRule="exact"/>
        <w:ind w:firstLine="420" w:firstLineChars="200"/>
        <w:rPr>
          <w:rFonts w:ascii="宋体" w:hAnsi="宋体"/>
          <w:kern w:val="0"/>
          <w:szCs w:val="21"/>
          <w:highlight w:val="none"/>
        </w:rPr>
      </w:pPr>
      <w:r>
        <w:rPr>
          <w:rFonts w:hint="eastAsia" w:ascii="宋体" w:hAnsi="宋体" w:cs="宋体"/>
          <w:kern w:val="0"/>
          <w:szCs w:val="21"/>
          <w:highlight w:val="none"/>
          <w:lang w:bidi="ar"/>
        </w:rPr>
        <w:t>六、甲方工作人员不得向乙方介绍家属或者亲友从事与甲方项目有关的材料设备供应、项目分包等经济活动。</w:t>
      </w:r>
    </w:p>
    <w:p w14:paraId="47121D92">
      <w:pPr>
        <w:adjustRightInd w:val="0"/>
        <w:spacing w:line="360" w:lineRule="exact"/>
        <w:ind w:firstLine="420" w:firstLineChars="200"/>
        <w:rPr>
          <w:rFonts w:ascii="宋体" w:hAnsi="宋体"/>
          <w:kern w:val="0"/>
          <w:szCs w:val="21"/>
          <w:highlight w:val="none"/>
        </w:rPr>
      </w:pPr>
      <w:r>
        <w:rPr>
          <w:rFonts w:hint="eastAsia" w:ascii="宋体" w:hAnsi="宋体" w:cs="宋体"/>
          <w:kern w:val="0"/>
          <w:szCs w:val="21"/>
          <w:highlight w:val="none"/>
          <w:lang w:bidi="ar"/>
        </w:rPr>
        <w:t>七、乙方应当通过正常途径开展相关业务工作，不得为获取某些不正当利益而向甲方工作人员赠送礼金、有价证券和贵重物品等。</w:t>
      </w:r>
    </w:p>
    <w:p w14:paraId="6FE62706">
      <w:pPr>
        <w:adjustRightInd w:val="0"/>
        <w:spacing w:line="360" w:lineRule="exact"/>
        <w:ind w:firstLine="420" w:firstLineChars="200"/>
        <w:rPr>
          <w:rFonts w:ascii="宋体" w:hAnsi="宋体"/>
          <w:kern w:val="0"/>
          <w:szCs w:val="21"/>
          <w:highlight w:val="none"/>
        </w:rPr>
      </w:pPr>
      <w:r>
        <w:rPr>
          <w:rFonts w:hint="eastAsia" w:ascii="宋体" w:hAnsi="宋体" w:cs="宋体"/>
          <w:kern w:val="0"/>
          <w:szCs w:val="21"/>
          <w:highlight w:val="none"/>
          <w:lang w:bidi="ar"/>
        </w:rPr>
        <w:t>八、乙方不得为谋取私利擅自与甲方工作人员就项目承包、项目费用、材料设备供应、项目量变动、项目验收、项目质量问题处理等进行私下商谈或者达成默契。</w:t>
      </w:r>
    </w:p>
    <w:p w14:paraId="745DB141">
      <w:pPr>
        <w:adjustRightInd w:val="0"/>
        <w:spacing w:line="360" w:lineRule="exact"/>
        <w:ind w:firstLine="420" w:firstLineChars="200"/>
        <w:rPr>
          <w:rFonts w:ascii="宋体" w:hAnsi="宋体"/>
          <w:kern w:val="0"/>
          <w:szCs w:val="21"/>
          <w:highlight w:val="none"/>
        </w:rPr>
      </w:pPr>
      <w:r>
        <w:rPr>
          <w:rFonts w:hint="eastAsia" w:ascii="宋体" w:hAnsi="宋体" w:cs="宋体"/>
          <w:kern w:val="0"/>
          <w:szCs w:val="21"/>
          <w:highlight w:val="none"/>
          <w:lang w:bidi="ar"/>
        </w:rPr>
        <w:t>九、乙方不得以洽谈业务、签订经济合同为借口，邀请甲方工作人员外出旅游和进入高档娱乐性场所。</w:t>
      </w:r>
    </w:p>
    <w:p w14:paraId="1667291B">
      <w:pPr>
        <w:adjustRightInd w:val="0"/>
        <w:spacing w:line="360" w:lineRule="exact"/>
        <w:ind w:firstLine="420" w:firstLineChars="200"/>
        <w:rPr>
          <w:rFonts w:ascii="宋体" w:hAnsi="宋体"/>
          <w:kern w:val="0"/>
          <w:szCs w:val="21"/>
          <w:highlight w:val="none"/>
        </w:rPr>
      </w:pPr>
      <w:r>
        <w:rPr>
          <w:rFonts w:hint="eastAsia" w:ascii="宋体" w:hAnsi="宋体" w:cs="宋体"/>
          <w:kern w:val="0"/>
          <w:szCs w:val="21"/>
          <w:highlight w:val="none"/>
          <w:lang w:bidi="ar"/>
        </w:rPr>
        <w:t>十、乙方不得为甲方和个人购置或者提供通讯工具、家电、高档办公用品等物品。</w:t>
      </w:r>
    </w:p>
    <w:p w14:paraId="41BC3EBE">
      <w:pPr>
        <w:adjustRightInd w:val="0"/>
        <w:spacing w:line="360" w:lineRule="exact"/>
        <w:ind w:firstLine="420" w:firstLineChars="200"/>
        <w:rPr>
          <w:rFonts w:ascii="宋体" w:hAnsi="宋体"/>
          <w:kern w:val="0"/>
          <w:szCs w:val="21"/>
          <w:highlight w:val="none"/>
        </w:rPr>
      </w:pPr>
      <w:r>
        <w:rPr>
          <w:rFonts w:hint="eastAsia" w:ascii="宋体" w:hAnsi="宋体" w:cs="宋体"/>
          <w:kern w:val="0"/>
          <w:szCs w:val="21"/>
          <w:highlight w:val="none"/>
          <w:lang w:bidi="ar"/>
        </w:rPr>
        <w:t>十一、乙方如发现甲方工作人员有违反上述协议者，应向甲方纪检部门或者甲方上级单位举报。甲方不得找任何借口对乙方进行报复。</w:t>
      </w:r>
    </w:p>
    <w:p w14:paraId="5350B1B5">
      <w:pPr>
        <w:adjustRightInd w:val="0"/>
        <w:spacing w:line="360" w:lineRule="exact"/>
        <w:ind w:firstLine="420" w:firstLineChars="200"/>
        <w:rPr>
          <w:rFonts w:ascii="宋体" w:hAnsi="宋体"/>
          <w:kern w:val="0"/>
          <w:szCs w:val="21"/>
          <w:highlight w:val="none"/>
        </w:rPr>
      </w:pPr>
      <w:r>
        <w:rPr>
          <w:rFonts w:hint="eastAsia" w:ascii="宋体" w:hAnsi="宋体" w:cs="宋体"/>
          <w:kern w:val="0"/>
          <w:szCs w:val="21"/>
          <w:highlight w:val="none"/>
          <w:lang w:bidi="ar"/>
        </w:rPr>
        <w:t>十二、甲方发现乙方有违反本协议或者采用不正当的手段行贿甲方工作人员，甲方根据具体情节和造成的后果追究乙方</w:t>
      </w:r>
      <w:r>
        <w:rPr>
          <w:rFonts w:hint="eastAsia" w:ascii="宋体" w:hAnsi="宋体"/>
          <w:kern w:val="0"/>
          <w:szCs w:val="21"/>
          <w:highlight w:val="none"/>
          <w:lang w:bidi="ar"/>
        </w:rPr>
        <w:t>3万元～5万元的违约金，由此给</w:t>
      </w:r>
      <w:r>
        <w:rPr>
          <w:rFonts w:hint="eastAsia" w:ascii="宋体" w:hAnsi="宋体" w:cs="宋体"/>
          <w:kern w:val="0"/>
          <w:szCs w:val="21"/>
          <w:highlight w:val="none"/>
          <w:lang w:bidi="ar"/>
        </w:rPr>
        <w:t>甲方造成的损失均由乙方承担，乙方用不正当手段获取的非法所得由甲方单位予以追缴。</w:t>
      </w:r>
    </w:p>
    <w:p w14:paraId="102E38E9">
      <w:pPr>
        <w:adjustRightInd w:val="0"/>
        <w:spacing w:line="360" w:lineRule="exact"/>
        <w:ind w:firstLine="420" w:firstLineChars="200"/>
        <w:rPr>
          <w:rFonts w:ascii="宋体" w:hAnsi="宋体"/>
          <w:kern w:val="0"/>
          <w:szCs w:val="21"/>
          <w:highlight w:val="none"/>
        </w:rPr>
      </w:pPr>
      <w:r>
        <w:rPr>
          <w:rFonts w:hint="eastAsia" w:ascii="宋体" w:hAnsi="宋体" w:cs="宋体"/>
          <w:kern w:val="0"/>
          <w:szCs w:val="21"/>
          <w:highlight w:val="none"/>
          <w:lang w:bidi="ar"/>
        </w:rPr>
        <w:t>十三、严格执行中纪委下发的中纪发【</w:t>
      </w:r>
      <w:r>
        <w:rPr>
          <w:rFonts w:hint="eastAsia" w:ascii="宋体" w:hAnsi="宋体"/>
          <w:kern w:val="0"/>
          <w:szCs w:val="21"/>
          <w:highlight w:val="none"/>
          <w:lang w:bidi="ar"/>
        </w:rPr>
        <w:t>2007】7号《中共中央纪委关于严格禁止利用职务上的便利谋取不正当利益的若干规定》。</w:t>
      </w:r>
    </w:p>
    <w:p w14:paraId="2B1F8585">
      <w:pPr>
        <w:adjustRightInd w:val="0"/>
        <w:spacing w:line="360" w:lineRule="exact"/>
        <w:ind w:firstLine="420" w:firstLineChars="200"/>
        <w:rPr>
          <w:rFonts w:ascii="宋体" w:hAnsi="宋体"/>
          <w:kern w:val="0"/>
          <w:szCs w:val="21"/>
          <w:highlight w:val="none"/>
        </w:rPr>
      </w:pPr>
      <w:r>
        <w:rPr>
          <w:rFonts w:hint="eastAsia" w:ascii="宋体" w:hAnsi="宋体" w:cs="宋体"/>
          <w:kern w:val="0"/>
          <w:szCs w:val="21"/>
          <w:highlight w:val="none"/>
          <w:lang w:bidi="ar"/>
        </w:rPr>
        <w:t>十四、本廉政协议作为合同的附件，与合同具有同等法律效力，经协议双方盖章后立即生效。</w:t>
      </w:r>
    </w:p>
    <w:p w14:paraId="22BC4EC6">
      <w:pPr>
        <w:adjustRightInd w:val="0"/>
        <w:spacing w:line="360" w:lineRule="exact"/>
        <w:rPr>
          <w:rFonts w:ascii="宋体" w:hAnsi="宋体"/>
          <w:kern w:val="0"/>
          <w:szCs w:val="21"/>
          <w:highlight w:val="none"/>
        </w:rPr>
      </w:pPr>
      <w:r>
        <w:rPr>
          <w:rFonts w:hint="eastAsia" w:ascii="宋体" w:hAnsi="宋体"/>
          <w:kern w:val="0"/>
          <w:szCs w:val="21"/>
          <w:highlight w:val="none"/>
          <w:lang w:bidi="ar"/>
        </w:rPr>
        <w:t xml:space="preserve">    </w:t>
      </w:r>
      <w:r>
        <w:rPr>
          <w:rFonts w:hint="eastAsia" w:ascii="宋体" w:hAnsi="宋体" w:cs="宋体"/>
          <w:kern w:val="0"/>
          <w:szCs w:val="21"/>
          <w:highlight w:val="none"/>
          <w:lang w:bidi="ar"/>
        </w:rPr>
        <w:t>甲方工作人员违纪举报电话：</w:t>
      </w:r>
      <w:r>
        <w:rPr>
          <w:rFonts w:ascii="宋体" w:hAnsi="宋体" w:cs="宋体"/>
          <w:kern w:val="0"/>
          <w:szCs w:val="21"/>
          <w:highlight w:val="none"/>
          <w:lang w:bidi="ar"/>
        </w:rPr>
        <w:t>0571-69821000</w:t>
      </w:r>
    </w:p>
    <w:p w14:paraId="67B01B77">
      <w:pPr>
        <w:adjustRightInd w:val="0"/>
        <w:spacing w:line="360" w:lineRule="exact"/>
        <w:ind w:firstLine="420" w:firstLineChars="200"/>
        <w:rPr>
          <w:rFonts w:ascii="宋体" w:hAnsi="宋体"/>
          <w:kern w:val="0"/>
          <w:szCs w:val="21"/>
          <w:highlight w:val="none"/>
        </w:rPr>
      </w:pPr>
      <w:r>
        <w:rPr>
          <w:rFonts w:hint="eastAsia" w:ascii="宋体" w:hAnsi="宋体"/>
          <w:kern w:val="0"/>
          <w:szCs w:val="21"/>
          <w:highlight w:val="none"/>
          <w:lang w:bidi="ar"/>
        </w:rPr>
        <w:t xml:space="preserve"> </w:t>
      </w:r>
    </w:p>
    <w:p w14:paraId="2010A61B">
      <w:pPr>
        <w:adjustRightInd w:val="0"/>
        <w:spacing w:line="360" w:lineRule="exact"/>
        <w:ind w:firstLine="630" w:firstLineChars="300"/>
        <w:rPr>
          <w:rFonts w:ascii="宋体" w:hAnsi="宋体"/>
          <w:kern w:val="0"/>
          <w:szCs w:val="21"/>
          <w:highlight w:val="none"/>
        </w:rPr>
      </w:pPr>
      <w:r>
        <w:rPr>
          <w:rFonts w:hint="eastAsia" w:ascii="宋体" w:hAnsi="宋体" w:cs="宋体"/>
          <w:kern w:val="0"/>
          <w:szCs w:val="21"/>
          <w:highlight w:val="none"/>
          <w:lang w:bidi="ar"/>
        </w:rPr>
        <w:t>甲方（盖章）：</w:t>
      </w:r>
      <w:r>
        <w:rPr>
          <w:rFonts w:hint="eastAsia" w:ascii="宋体" w:hAnsi="宋体"/>
          <w:kern w:val="0"/>
          <w:szCs w:val="21"/>
          <w:highlight w:val="none"/>
          <w:lang w:bidi="ar"/>
        </w:rPr>
        <w:t xml:space="preserve">                                  </w:t>
      </w:r>
      <w:r>
        <w:rPr>
          <w:rFonts w:hint="eastAsia" w:ascii="宋体" w:hAnsi="宋体" w:cs="宋体"/>
          <w:kern w:val="0"/>
          <w:szCs w:val="21"/>
          <w:highlight w:val="none"/>
          <w:lang w:bidi="ar"/>
        </w:rPr>
        <w:t>乙方（盖章）：</w:t>
      </w:r>
    </w:p>
    <w:p w14:paraId="42E12A3E">
      <w:pPr>
        <w:adjustRightInd w:val="0"/>
        <w:snapToGrid w:val="0"/>
        <w:spacing w:line="360" w:lineRule="exact"/>
        <w:jc w:val="left"/>
        <w:rPr>
          <w:rFonts w:ascii="宋体" w:hAnsi="宋体"/>
          <w:kern w:val="0"/>
          <w:szCs w:val="21"/>
          <w:highlight w:val="none"/>
        </w:rPr>
      </w:pPr>
      <w:r>
        <w:rPr>
          <w:rFonts w:hint="eastAsia" w:ascii="宋体" w:hAnsi="宋体"/>
          <w:kern w:val="0"/>
          <w:szCs w:val="21"/>
          <w:highlight w:val="none"/>
          <w:lang w:bidi="ar"/>
        </w:rPr>
        <w:t xml:space="preserve"> </w:t>
      </w:r>
    </w:p>
    <w:p w14:paraId="5C2C4E93">
      <w:pPr>
        <w:adjustRightInd w:val="0"/>
        <w:snapToGrid w:val="0"/>
        <w:spacing w:line="360" w:lineRule="exact"/>
        <w:jc w:val="left"/>
        <w:rPr>
          <w:rFonts w:ascii="宋体" w:hAnsi="宋体"/>
          <w:kern w:val="0"/>
          <w:szCs w:val="21"/>
          <w:highlight w:val="none"/>
        </w:rPr>
      </w:pPr>
      <w:r>
        <w:rPr>
          <w:rFonts w:hint="eastAsia" w:ascii="宋体" w:hAnsi="宋体"/>
          <w:kern w:val="0"/>
          <w:szCs w:val="21"/>
          <w:highlight w:val="none"/>
          <w:lang w:bidi="ar"/>
        </w:rPr>
        <w:t xml:space="preserve"> </w:t>
      </w:r>
    </w:p>
    <w:p w14:paraId="6D828089">
      <w:pPr>
        <w:adjustRightInd w:val="0"/>
        <w:snapToGrid w:val="0"/>
        <w:spacing w:line="360" w:lineRule="exact"/>
        <w:jc w:val="left"/>
        <w:rPr>
          <w:rFonts w:ascii="宋体" w:hAnsi="宋体" w:cs="宋体"/>
          <w:kern w:val="0"/>
          <w:szCs w:val="21"/>
          <w:highlight w:val="none"/>
          <w:lang w:bidi="ar"/>
        </w:rPr>
      </w:pPr>
      <w:r>
        <w:rPr>
          <w:rFonts w:hint="eastAsia" w:ascii="宋体" w:hAnsi="宋体"/>
          <w:kern w:val="0"/>
          <w:szCs w:val="21"/>
          <w:highlight w:val="none"/>
          <w:lang w:bidi="ar"/>
        </w:rPr>
        <w:t xml:space="preserve">        </w:t>
      </w:r>
      <w:r>
        <w:rPr>
          <w:rFonts w:hint="eastAsia" w:ascii="宋体" w:hAnsi="宋体" w:cs="宋体"/>
          <w:kern w:val="0"/>
          <w:szCs w:val="21"/>
          <w:highlight w:val="none"/>
          <w:lang w:bidi="ar"/>
        </w:rPr>
        <w:t>年</w:t>
      </w:r>
      <w:r>
        <w:rPr>
          <w:rFonts w:hint="eastAsia" w:ascii="宋体" w:hAnsi="宋体"/>
          <w:kern w:val="0"/>
          <w:szCs w:val="21"/>
          <w:highlight w:val="none"/>
          <w:lang w:bidi="ar"/>
        </w:rPr>
        <w:t xml:space="preserve">   </w:t>
      </w:r>
      <w:r>
        <w:rPr>
          <w:rFonts w:hint="eastAsia" w:ascii="宋体" w:hAnsi="宋体" w:cs="宋体"/>
          <w:kern w:val="0"/>
          <w:szCs w:val="21"/>
          <w:highlight w:val="none"/>
          <w:lang w:bidi="ar"/>
        </w:rPr>
        <w:t>月</w:t>
      </w:r>
      <w:r>
        <w:rPr>
          <w:rFonts w:hint="eastAsia" w:ascii="宋体" w:hAnsi="宋体"/>
          <w:kern w:val="0"/>
          <w:szCs w:val="21"/>
          <w:highlight w:val="none"/>
          <w:lang w:bidi="ar"/>
        </w:rPr>
        <w:t xml:space="preserve">   </w:t>
      </w:r>
      <w:r>
        <w:rPr>
          <w:rFonts w:hint="eastAsia" w:ascii="宋体" w:hAnsi="宋体" w:cs="宋体"/>
          <w:kern w:val="0"/>
          <w:szCs w:val="21"/>
          <w:highlight w:val="none"/>
          <w:lang w:bidi="ar"/>
        </w:rPr>
        <w:t>日</w:t>
      </w:r>
      <w:r>
        <w:rPr>
          <w:rFonts w:hint="eastAsia" w:ascii="宋体" w:hAnsi="宋体"/>
          <w:kern w:val="0"/>
          <w:szCs w:val="21"/>
          <w:highlight w:val="none"/>
          <w:lang w:bidi="ar"/>
        </w:rPr>
        <w:t xml:space="preserve">                                    </w:t>
      </w:r>
      <w:r>
        <w:rPr>
          <w:rFonts w:hint="eastAsia" w:ascii="宋体" w:hAnsi="宋体" w:cs="宋体"/>
          <w:kern w:val="0"/>
          <w:szCs w:val="21"/>
          <w:highlight w:val="none"/>
          <w:lang w:bidi="ar"/>
        </w:rPr>
        <w:t>年</w:t>
      </w:r>
      <w:r>
        <w:rPr>
          <w:rFonts w:hint="eastAsia" w:ascii="宋体" w:hAnsi="宋体"/>
          <w:kern w:val="0"/>
          <w:szCs w:val="21"/>
          <w:highlight w:val="none"/>
          <w:lang w:bidi="ar"/>
        </w:rPr>
        <w:t xml:space="preserve">   </w:t>
      </w:r>
      <w:r>
        <w:rPr>
          <w:rFonts w:hint="eastAsia" w:ascii="宋体" w:hAnsi="宋体" w:cs="宋体"/>
          <w:kern w:val="0"/>
          <w:szCs w:val="21"/>
          <w:highlight w:val="none"/>
          <w:lang w:bidi="ar"/>
        </w:rPr>
        <w:t>月</w:t>
      </w:r>
      <w:r>
        <w:rPr>
          <w:rFonts w:hint="eastAsia" w:ascii="宋体" w:hAnsi="宋体"/>
          <w:kern w:val="0"/>
          <w:szCs w:val="21"/>
          <w:highlight w:val="none"/>
          <w:lang w:bidi="ar"/>
        </w:rPr>
        <w:t xml:space="preserve">   </w:t>
      </w:r>
      <w:r>
        <w:rPr>
          <w:rFonts w:hint="eastAsia" w:ascii="宋体" w:hAnsi="宋体" w:cs="宋体"/>
          <w:kern w:val="0"/>
          <w:szCs w:val="21"/>
          <w:highlight w:val="none"/>
          <w:lang w:bidi="ar"/>
        </w:rPr>
        <w:t>日</w:t>
      </w:r>
      <w:r>
        <w:rPr>
          <w:rFonts w:hint="eastAsia" w:ascii="宋体" w:hAnsi="宋体"/>
          <w:kern w:val="0"/>
          <w:szCs w:val="21"/>
          <w:highlight w:val="none"/>
          <w:lang w:bidi="ar"/>
        </w:rPr>
        <w:t xml:space="preserve">   </w:t>
      </w:r>
    </w:p>
    <w:p w14:paraId="225FD6E3">
      <w:pPr>
        <w:pStyle w:val="8"/>
        <w:ind w:firstLine="0" w:firstLineChars="0"/>
        <w:rPr>
          <w:rFonts w:ascii="宋体" w:hAnsi="宋体"/>
          <w:szCs w:val="21"/>
          <w:highlight w:val="none"/>
        </w:rPr>
        <w:sectPr>
          <w:pgSz w:w="11906" w:h="16838"/>
          <w:pgMar w:top="1417" w:right="1417" w:bottom="1417" w:left="1134" w:header="851" w:footer="680" w:gutter="0"/>
          <w:cols w:space="720" w:num="1"/>
          <w:docGrid w:linePitch="312" w:charSpace="0"/>
        </w:sectPr>
      </w:pPr>
    </w:p>
    <w:p w14:paraId="62A5A030">
      <w:pPr>
        <w:jc w:val="left"/>
        <w:rPr>
          <w:rFonts w:ascii="黑体" w:hAnsi="黑体" w:eastAsia="宋体" w:cs="黑体"/>
          <w:sz w:val="32"/>
          <w:szCs w:val="32"/>
          <w:highlight w:val="none"/>
        </w:rPr>
      </w:pPr>
      <w:r>
        <w:rPr>
          <w:rFonts w:hint="eastAsia" w:ascii="宋体" w:hAnsi="宋体" w:eastAsia="宋体" w:cs="宋体"/>
          <w:b/>
          <w:bCs/>
          <w:szCs w:val="21"/>
          <w:highlight w:val="none"/>
        </w:rPr>
        <w:t>附件3</w:t>
      </w:r>
    </w:p>
    <w:p w14:paraId="0E4B90BF">
      <w:pPr>
        <w:jc w:val="center"/>
        <w:rPr>
          <w:rFonts w:ascii="黑体" w:hAnsi="黑体" w:eastAsia="黑体" w:cs="黑体"/>
          <w:sz w:val="32"/>
          <w:szCs w:val="32"/>
          <w:highlight w:val="none"/>
        </w:rPr>
      </w:pPr>
      <w:r>
        <w:rPr>
          <w:rFonts w:hint="eastAsia" w:ascii="黑体" w:hAnsi="黑体" w:eastAsia="黑体" w:cs="黑体"/>
          <w:sz w:val="32"/>
          <w:szCs w:val="32"/>
          <w:highlight w:val="none"/>
        </w:rPr>
        <w:t>供应商须知</w:t>
      </w:r>
    </w:p>
    <w:p w14:paraId="1D21D37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为维护杭州地铁运营有限公司（以下简称运营公司）采购工作秩序，特对参与运营公司采购活动的供应商作如下规定：</w:t>
      </w:r>
    </w:p>
    <w:p w14:paraId="68733A77">
      <w:pPr>
        <w:numPr>
          <w:ilvl w:val="0"/>
          <w:numId w:val="3"/>
        </w:numPr>
        <w:spacing w:line="360" w:lineRule="auto"/>
        <w:rPr>
          <w:rFonts w:ascii="宋体" w:hAnsi="宋体" w:cs="宋体"/>
          <w:sz w:val="24"/>
          <w:szCs w:val="24"/>
          <w:highlight w:val="none"/>
        </w:rPr>
      </w:pPr>
      <w:r>
        <w:rPr>
          <w:rFonts w:hint="eastAsia" w:ascii="宋体" w:hAnsi="宋体" w:cs="宋体"/>
          <w:sz w:val="24"/>
          <w:szCs w:val="24"/>
          <w:highlight w:val="none"/>
        </w:rPr>
        <w:t>供应商须配合采购人开展供应商调查工作，提供相关材料，包括：</w:t>
      </w:r>
    </w:p>
    <w:p w14:paraId="7493B83F">
      <w:pPr>
        <w:tabs>
          <w:tab w:val="left" w:pos="900"/>
        </w:tabs>
        <w:spacing w:line="360" w:lineRule="auto"/>
        <w:rPr>
          <w:rFonts w:ascii="宋体" w:hAnsi="宋体" w:cs="宋体"/>
          <w:sz w:val="24"/>
          <w:szCs w:val="24"/>
          <w:highlight w:val="none"/>
        </w:rPr>
      </w:pPr>
      <w:r>
        <w:rPr>
          <w:rFonts w:hint="eastAsia" w:ascii="宋体" w:hAnsi="宋体" w:cs="宋体"/>
          <w:sz w:val="24"/>
          <w:szCs w:val="24"/>
          <w:highlight w:val="none"/>
        </w:rPr>
        <w:t>1、基本材料：营业执照复印件。</w:t>
      </w:r>
    </w:p>
    <w:p w14:paraId="3859C5C3">
      <w:pPr>
        <w:spacing w:line="360" w:lineRule="auto"/>
        <w:rPr>
          <w:rFonts w:ascii="宋体" w:hAnsi="宋体" w:cs="宋体"/>
          <w:sz w:val="24"/>
          <w:szCs w:val="24"/>
          <w:highlight w:val="none"/>
        </w:rPr>
      </w:pPr>
      <w:r>
        <w:rPr>
          <w:rFonts w:hint="eastAsia" w:ascii="宋体" w:hAnsi="宋体" w:cs="宋体"/>
          <w:sz w:val="24"/>
          <w:szCs w:val="24"/>
          <w:highlight w:val="none"/>
        </w:rPr>
        <w:t>2、附加材料：</w:t>
      </w:r>
    </w:p>
    <w:p w14:paraId="37392F3D">
      <w:pPr>
        <w:spacing w:line="360" w:lineRule="auto"/>
        <w:ind w:left="422" w:leftChars="201"/>
        <w:rPr>
          <w:rFonts w:ascii="宋体" w:hAnsi="宋体" w:cs="宋体"/>
          <w:sz w:val="24"/>
          <w:szCs w:val="24"/>
          <w:highlight w:val="none"/>
        </w:rPr>
      </w:pPr>
      <w:r>
        <w:rPr>
          <w:rFonts w:hint="eastAsia" w:ascii="宋体" w:hAnsi="宋体" w:cs="宋体"/>
          <w:sz w:val="24"/>
          <w:szCs w:val="24"/>
          <w:highlight w:val="none"/>
        </w:rPr>
        <w:t>a) 《供应商调查表》（见附件）；</w:t>
      </w:r>
    </w:p>
    <w:p w14:paraId="14A063AC">
      <w:pPr>
        <w:spacing w:line="360" w:lineRule="auto"/>
        <w:ind w:left="422" w:leftChars="201"/>
        <w:rPr>
          <w:rFonts w:ascii="宋体" w:hAnsi="宋体" w:cs="宋体"/>
          <w:sz w:val="24"/>
          <w:szCs w:val="24"/>
          <w:highlight w:val="none"/>
        </w:rPr>
      </w:pPr>
      <w:r>
        <w:rPr>
          <w:rFonts w:hint="eastAsia" w:ascii="宋体" w:hAnsi="宋体" w:cs="宋体"/>
          <w:sz w:val="24"/>
          <w:szCs w:val="24"/>
          <w:highlight w:val="none"/>
        </w:rPr>
        <w:t>b) 法定代表人授权委托书原件及复印件；</w:t>
      </w:r>
    </w:p>
    <w:p w14:paraId="1D000455">
      <w:pPr>
        <w:spacing w:line="360" w:lineRule="auto"/>
        <w:ind w:left="422" w:leftChars="201"/>
        <w:rPr>
          <w:rFonts w:ascii="宋体" w:hAnsi="宋体" w:cs="宋体"/>
          <w:sz w:val="24"/>
          <w:szCs w:val="24"/>
          <w:highlight w:val="none"/>
        </w:rPr>
      </w:pPr>
      <w:r>
        <w:rPr>
          <w:rFonts w:hint="eastAsia" w:ascii="宋体" w:hAnsi="宋体" w:cs="宋体"/>
          <w:sz w:val="24"/>
          <w:szCs w:val="24"/>
          <w:highlight w:val="none"/>
        </w:rPr>
        <w:t>c) 税务登记证复印件；</w:t>
      </w:r>
    </w:p>
    <w:p w14:paraId="76BC0757">
      <w:pPr>
        <w:spacing w:line="360" w:lineRule="auto"/>
        <w:ind w:left="422" w:leftChars="201"/>
        <w:rPr>
          <w:rFonts w:ascii="宋体" w:hAnsi="宋体" w:cs="宋体"/>
          <w:sz w:val="24"/>
          <w:szCs w:val="24"/>
          <w:highlight w:val="none"/>
        </w:rPr>
      </w:pPr>
      <w:r>
        <w:rPr>
          <w:rFonts w:hint="eastAsia" w:ascii="宋体" w:hAnsi="宋体" w:cs="宋体"/>
          <w:sz w:val="24"/>
          <w:szCs w:val="24"/>
          <w:highlight w:val="none"/>
        </w:rPr>
        <w:t>d) 组织机构代码证复印件；</w:t>
      </w:r>
    </w:p>
    <w:p w14:paraId="1FAF1361">
      <w:pPr>
        <w:spacing w:line="360" w:lineRule="auto"/>
        <w:ind w:left="422" w:leftChars="201"/>
        <w:rPr>
          <w:rFonts w:ascii="宋体" w:hAnsi="宋体" w:cs="宋体"/>
          <w:sz w:val="24"/>
          <w:szCs w:val="24"/>
          <w:highlight w:val="none"/>
        </w:rPr>
      </w:pPr>
      <w:r>
        <w:rPr>
          <w:rFonts w:hint="eastAsia" w:ascii="宋体" w:hAnsi="宋体" w:cs="宋体"/>
          <w:sz w:val="24"/>
          <w:szCs w:val="24"/>
          <w:highlight w:val="none"/>
        </w:rPr>
        <w:t>e) 质量管理体系认证证书复印件；</w:t>
      </w:r>
    </w:p>
    <w:p w14:paraId="4DBA76AE">
      <w:pPr>
        <w:spacing w:line="360" w:lineRule="auto"/>
        <w:ind w:left="422" w:leftChars="201"/>
        <w:rPr>
          <w:rFonts w:ascii="宋体" w:hAnsi="宋体" w:cs="宋体"/>
          <w:sz w:val="24"/>
          <w:szCs w:val="24"/>
          <w:highlight w:val="none"/>
        </w:rPr>
      </w:pPr>
      <w:r>
        <w:rPr>
          <w:rFonts w:hint="eastAsia" w:ascii="宋体" w:hAnsi="宋体" w:cs="宋体"/>
          <w:sz w:val="24"/>
          <w:szCs w:val="24"/>
          <w:highlight w:val="none"/>
        </w:rPr>
        <w:t>f) 环境管理体系认证证书复印件；</w:t>
      </w:r>
    </w:p>
    <w:p w14:paraId="70D41030">
      <w:pPr>
        <w:spacing w:line="360" w:lineRule="auto"/>
        <w:ind w:left="422" w:leftChars="201"/>
        <w:rPr>
          <w:rFonts w:ascii="宋体" w:hAnsi="宋体" w:cs="宋体"/>
          <w:sz w:val="24"/>
          <w:szCs w:val="24"/>
          <w:highlight w:val="none"/>
        </w:rPr>
      </w:pPr>
      <w:r>
        <w:rPr>
          <w:rFonts w:hint="eastAsia" w:ascii="宋体" w:hAnsi="宋体" w:cs="宋体"/>
          <w:sz w:val="24"/>
          <w:szCs w:val="24"/>
          <w:highlight w:val="none"/>
        </w:rPr>
        <w:t>g) 职业健康安全管理体系认证证书复印件；</w:t>
      </w:r>
    </w:p>
    <w:p w14:paraId="6FBACF88">
      <w:pPr>
        <w:spacing w:line="360" w:lineRule="auto"/>
        <w:ind w:left="422" w:leftChars="201"/>
        <w:rPr>
          <w:rFonts w:ascii="宋体" w:hAnsi="宋体" w:cs="宋体"/>
          <w:sz w:val="24"/>
          <w:szCs w:val="24"/>
          <w:highlight w:val="none"/>
        </w:rPr>
      </w:pPr>
      <w:r>
        <w:rPr>
          <w:rFonts w:hint="eastAsia" w:ascii="宋体" w:hAnsi="宋体" w:cs="宋体"/>
          <w:sz w:val="24"/>
          <w:szCs w:val="24"/>
          <w:highlight w:val="none"/>
        </w:rPr>
        <w:t>h) 特种产品经营许可证、生产许可证、产品合格证、安全鉴定证、安全标志、运输证、驾驶证、押运证等复印件；</w:t>
      </w:r>
    </w:p>
    <w:p w14:paraId="56DE6A8E">
      <w:pPr>
        <w:spacing w:line="360" w:lineRule="auto"/>
        <w:ind w:left="422" w:leftChars="201"/>
        <w:rPr>
          <w:rFonts w:ascii="宋体" w:hAnsi="宋体" w:cs="宋体"/>
          <w:sz w:val="24"/>
          <w:szCs w:val="24"/>
          <w:highlight w:val="none"/>
        </w:rPr>
      </w:pPr>
      <w:r>
        <w:rPr>
          <w:rFonts w:hint="eastAsia" w:ascii="宋体" w:hAnsi="宋体" w:cs="宋体"/>
          <w:sz w:val="24"/>
          <w:szCs w:val="24"/>
          <w:highlight w:val="none"/>
        </w:rPr>
        <w:t>i) 其他所需文件的复印件。</w:t>
      </w:r>
    </w:p>
    <w:p w14:paraId="5FC4B07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以上材料须加盖公章，基本材料必须提供，附加材料可选择提供。采购项目所需材料以采购公告内容为准。</w:t>
      </w:r>
    </w:p>
    <w:p w14:paraId="7FF58764">
      <w:pPr>
        <w:numPr>
          <w:ilvl w:val="0"/>
          <w:numId w:val="3"/>
        </w:numPr>
        <w:spacing w:line="360" w:lineRule="auto"/>
        <w:rPr>
          <w:highlight w:val="none"/>
        </w:rPr>
      </w:pPr>
      <w:r>
        <w:rPr>
          <w:rFonts w:hint="eastAsia" w:ascii="宋体" w:hAnsi="宋体" w:cs="宋体"/>
          <w:sz w:val="24"/>
          <w:szCs w:val="24"/>
          <w:highlight w:val="none"/>
        </w:rPr>
        <w:t>运营公司对供应商采取分类管理</w:t>
      </w:r>
    </w:p>
    <w:p w14:paraId="01E29F0A">
      <w:pPr>
        <w:spacing w:line="360" w:lineRule="auto"/>
        <w:rPr>
          <w:rFonts w:ascii="宋体" w:hAnsi="宋体" w:cs="宋体"/>
          <w:sz w:val="24"/>
          <w:szCs w:val="24"/>
          <w:highlight w:val="none"/>
        </w:rPr>
      </w:pPr>
      <w:r>
        <w:rPr>
          <w:rFonts w:hint="eastAsia" w:ascii="宋体" w:hAnsi="宋体" w:cs="宋体"/>
          <w:sz w:val="24"/>
          <w:szCs w:val="24"/>
          <w:highlight w:val="none"/>
        </w:rPr>
        <w:t>1、积分方法</w:t>
      </w:r>
    </w:p>
    <w:p w14:paraId="59142E2F">
      <w:pPr>
        <w:spacing w:line="360" w:lineRule="auto"/>
        <w:ind w:firstLine="480" w:firstLineChars="200"/>
        <w:rPr>
          <w:rFonts w:ascii="宋体" w:hAnsi="宋体" w:cs="宋体"/>
          <w:sz w:val="24"/>
          <w:highlight w:val="none"/>
        </w:rPr>
      </w:pPr>
      <w:r>
        <w:rPr>
          <w:rFonts w:hint="eastAsia" w:ascii="宋体" w:hAnsi="宋体" w:cs="宋体"/>
          <w:sz w:val="24"/>
          <w:highlight w:val="none"/>
        </w:rPr>
        <w:t>1.1  潜在供应商符合资格条件且有意愿参与运营公司采购活动可纳入潜在供应商范围并给予65分基础分，供应商积分最高为150分</w:t>
      </w:r>
    </w:p>
    <w:p w14:paraId="11ACDB3D">
      <w:pPr>
        <w:spacing w:line="360" w:lineRule="auto"/>
        <w:ind w:firstLine="480" w:firstLineChars="200"/>
        <w:rPr>
          <w:rFonts w:ascii="宋体" w:hAnsi="宋体" w:cs="宋体"/>
          <w:sz w:val="24"/>
          <w:highlight w:val="none"/>
        </w:rPr>
      </w:pPr>
      <w:r>
        <w:rPr>
          <w:rFonts w:hint="eastAsia" w:ascii="宋体" w:hAnsi="宋体" w:cs="宋体"/>
          <w:sz w:val="24"/>
          <w:highlight w:val="none"/>
        </w:rPr>
        <w:t>其中，与运营公司合作的供应商每有一个在执行合同或每成交一个新项目（同一项目不重复计分），在65分基础上累计加分，金额10万元以下加2分；金额10万元以上（含）30万元以下加5分；金额30万元以上（含）200万元以下加10分；金额200万元以上（含）加15分。其中框架协议合同以合同金额上限（含增值税）、总价项目以成交价（含增值税）为加分基准。</w:t>
      </w:r>
    </w:p>
    <w:p w14:paraId="0817567E">
      <w:pPr>
        <w:spacing w:line="360" w:lineRule="auto"/>
        <w:ind w:firstLine="480" w:firstLineChars="200"/>
        <w:rPr>
          <w:rFonts w:ascii="宋体" w:hAnsi="宋体" w:cs="宋体"/>
          <w:sz w:val="24"/>
          <w:highlight w:val="none"/>
        </w:rPr>
      </w:pPr>
      <w:r>
        <w:rPr>
          <w:rFonts w:hint="eastAsia" w:ascii="宋体" w:hAnsi="宋体" w:cs="宋体"/>
          <w:sz w:val="24"/>
          <w:highlight w:val="none"/>
        </w:rPr>
        <w:t>供应商成交后因主观原因无法履约需解除合同的，10万元以下项目扣4分；10万元以上（含）30万元以下项目扣10分；30万元以上（含）200万元以下项目扣20分；200万元以上（含）项目扣30分。</w:t>
      </w:r>
    </w:p>
    <w:p w14:paraId="41E0BA9A">
      <w:pPr>
        <w:spacing w:line="360" w:lineRule="auto"/>
        <w:ind w:firstLine="480" w:firstLineChars="200"/>
        <w:rPr>
          <w:rFonts w:ascii="宋体" w:hAnsi="宋体"/>
          <w:sz w:val="24"/>
          <w:highlight w:val="none"/>
        </w:rPr>
      </w:pPr>
      <w:r>
        <w:rPr>
          <w:rFonts w:hint="eastAsia" w:ascii="宋体" w:hAnsi="宋体"/>
          <w:sz w:val="24"/>
          <w:highlight w:val="none"/>
        </w:rPr>
        <w:t>1.2  采购人按照附件《供应商评价记录表》对合作供应商合同履行情况进行积分评价，经供应商确认后与相关证明材料一并提交合约采购总部存档。</w:t>
      </w:r>
    </w:p>
    <w:p w14:paraId="1BD85973">
      <w:pPr>
        <w:spacing w:line="360" w:lineRule="auto"/>
        <w:ind w:firstLine="480" w:firstLineChars="200"/>
        <w:rPr>
          <w:rFonts w:ascii="宋体" w:hAnsi="宋体"/>
          <w:sz w:val="24"/>
          <w:highlight w:val="none"/>
        </w:rPr>
      </w:pPr>
      <w:r>
        <w:rPr>
          <w:rFonts w:hint="eastAsia" w:ascii="宋体" w:hAnsi="宋体"/>
          <w:sz w:val="24"/>
          <w:highlight w:val="none"/>
        </w:rPr>
        <w:t>1.3  供应商成为成交候选人但放弃成交的，每次扣5分；违反程序提疑，不遵守开报价会场纪律的，每次扣10分。</w:t>
      </w:r>
    </w:p>
    <w:p w14:paraId="6D268A6F">
      <w:pPr>
        <w:spacing w:line="360" w:lineRule="auto"/>
        <w:ind w:firstLine="480" w:firstLineChars="200"/>
        <w:rPr>
          <w:rFonts w:ascii="宋体" w:hAnsi="宋体"/>
          <w:sz w:val="24"/>
          <w:highlight w:val="none"/>
        </w:rPr>
      </w:pPr>
      <w:r>
        <w:rPr>
          <w:rFonts w:hint="eastAsia" w:ascii="宋体" w:hAnsi="宋体"/>
          <w:sz w:val="24"/>
          <w:highlight w:val="none"/>
        </w:rPr>
        <w:t>1.4  供应商被给予警告一次扣15分，被给予黄牌一次扣30分，被给予红牌积分清零。（供应商警告、黄牌、红牌行为详见附件）</w:t>
      </w:r>
    </w:p>
    <w:p w14:paraId="21C070DF">
      <w:pPr>
        <w:spacing w:line="360" w:lineRule="auto"/>
        <w:ind w:firstLine="480" w:firstLineChars="200"/>
        <w:rPr>
          <w:rFonts w:ascii="宋体" w:hAnsi="宋体"/>
          <w:sz w:val="24"/>
          <w:highlight w:val="none"/>
        </w:rPr>
      </w:pPr>
      <w:r>
        <w:rPr>
          <w:rFonts w:hint="eastAsia" w:ascii="宋体" w:hAnsi="宋体"/>
          <w:sz w:val="24"/>
          <w:highlight w:val="none"/>
        </w:rPr>
        <w:t>1.5  供应商结束与我司合作后未能成交新的项目，每6个月减5分，减至70止。</w:t>
      </w:r>
    </w:p>
    <w:p w14:paraId="03164553">
      <w:pPr>
        <w:tabs>
          <w:tab w:val="left" w:pos="900"/>
        </w:tabs>
        <w:spacing w:line="360" w:lineRule="auto"/>
        <w:rPr>
          <w:rFonts w:ascii="宋体" w:hAnsi="宋体" w:cs="宋体"/>
          <w:sz w:val="24"/>
          <w:highlight w:val="none"/>
        </w:rPr>
      </w:pPr>
      <w:r>
        <w:rPr>
          <w:rFonts w:hint="eastAsia" w:ascii="宋体" w:hAnsi="宋体" w:cs="宋体"/>
          <w:sz w:val="24"/>
          <w:highlight w:val="none"/>
        </w:rPr>
        <w:t>2、 评价结果</w:t>
      </w:r>
    </w:p>
    <w:tbl>
      <w:tblPr>
        <w:tblStyle w:val="17"/>
        <w:tblW w:w="5880" w:type="dxa"/>
        <w:tblInd w:w="12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55"/>
        <w:gridCol w:w="2825"/>
      </w:tblGrid>
      <w:tr w14:paraId="0976D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55" w:type="dxa"/>
            <w:tcBorders>
              <w:bottom w:val="single" w:color="auto" w:sz="8" w:space="0"/>
              <w:right w:val="single" w:color="auto" w:sz="8" w:space="0"/>
            </w:tcBorders>
            <w:vAlign w:val="center"/>
          </w:tcPr>
          <w:p w14:paraId="30EFB9CE">
            <w:pPr>
              <w:tabs>
                <w:tab w:val="left" w:pos="900"/>
              </w:tabs>
              <w:jc w:val="center"/>
              <w:rPr>
                <w:rFonts w:ascii="宋体" w:hAnsi="宋体" w:eastAsia="宋体" w:cs="宋体"/>
                <w:szCs w:val="21"/>
                <w:highlight w:val="none"/>
              </w:rPr>
            </w:pPr>
            <w:r>
              <w:rPr>
                <w:rFonts w:hint="eastAsia" w:ascii="宋体" w:hAnsi="宋体" w:eastAsia="宋体" w:cs="宋体"/>
                <w:szCs w:val="21"/>
                <w:highlight w:val="none"/>
              </w:rPr>
              <w:t>积分</w:t>
            </w:r>
          </w:p>
        </w:tc>
        <w:tc>
          <w:tcPr>
            <w:tcW w:w="2825" w:type="dxa"/>
            <w:tcBorders>
              <w:left w:val="single" w:color="auto" w:sz="8" w:space="0"/>
              <w:bottom w:val="single" w:color="auto" w:sz="8" w:space="0"/>
            </w:tcBorders>
            <w:vAlign w:val="center"/>
          </w:tcPr>
          <w:p w14:paraId="34FD55AE">
            <w:pPr>
              <w:tabs>
                <w:tab w:val="left" w:pos="900"/>
              </w:tabs>
              <w:jc w:val="center"/>
              <w:rPr>
                <w:rFonts w:ascii="宋体" w:hAnsi="宋体" w:eastAsia="宋体" w:cs="宋体"/>
                <w:szCs w:val="21"/>
                <w:highlight w:val="none"/>
              </w:rPr>
            </w:pPr>
            <w:r>
              <w:rPr>
                <w:rFonts w:hint="eastAsia" w:ascii="宋体" w:hAnsi="宋体" w:eastAsia="宋体" w:cs="宋体"/>
                <w:szCs w:val="21"/>
                <w:highlight w:val="none"/>
              </w:rPr>
              <w:t>等级</w:t>
            </w:r>
          </w:p>
        </w:tc>
      </w:tr>
      <w:tr w14:paraId="2454C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55" w:type="dxa"/>
            <w:tcBorders>
              <w:top w:val="single" w:color="auto" w:sz="8" w:space="0"/>
              <w:bottom w:val="single" w:color="auto" w:sz="8" w:space="0"/>
              <w:right w:val="single" w:color="auto" w:sz="8" w:space="0"/>
            </w:tcBorders>
            <w:vAlign w:val="center"/>
          </w:tcPr>
          <w:p w14:paraId="7D0E56C6">
            <w:pPr>
              <w:widowControl/>
              <w:jc w:val="center"/>
              <w:rPr>
                <w:rFonts w:ascii="宋体" w:hAnsi="宋体" w:eastAsia="宋体" w:cs="宋体"/>
                <w:szCs w:val="21"/>
                <w:highlight w:val="none"/>
              </w:rPr>
            </w:pPr>
            <w:r>
              <w:rPr>
                <w:rFonts w:hint="eastAsia" w:ascii="宋体" w:hAnsi="宋体" w:eastAsia="宋体" w:cs="宋体"/>
                <w:color w:val="000000"/>
                <w:kern w:val="0"/>
                <w:szCs w:val="21"/>
                <w:highlight w:val="none"/>
                <w:lang w:bidi="ar"/>
              </w:rPr>
              <w:t>≥100</w:t>
            </w:r>
          </w:p>
        </w:tc>
        <w:tc>
          <w:tcPr>
            <w:tcW w:w="2825" w:type="dxa"/>
            <w:tcBorders>
              <w:top w:val="single" w:color="auto" w:sz="8" w:space="0"/>
              <w:left w:val="single" w:color="auto" w:sz="8" w:space="0"/>
              <w:bottom w:val="single" w:color="auto" w:sz="8" w:space="0"/>
            </w:tcBorders>
            <w:vAlign w:val="center"/>
          </w:tcPr>
          <w:p w14:paraId="3C984C48">
            <w:pPr>
              <w:tabs>
                <w:tab w:val="left" w:pos="900"/>
              </w:tabs>
              <w:jc w:val="center"/>
              <w:rPr>
                <w:rFonts w:ascii="宋体" w:hAnsi="宋体" w:eastAsia="宋体" w:cs="宋体"/>
                <w:szCs w:val="21"/>
                <w:highlight w:val="none"/>
              </w:rPr>
            </w:pPr>
            <w:r>
              <w:rPr>
                <w:rFonts w:hint="eastAsia" w:ascii="宋体" w:hAnsi="宋体" w:eastAsia="宋体" w:cs="宋体"/>
                <w:szCs w:val="21"/>
                <w:highlight w:val="none"/>
              </w:rPr>
              <w:t>优秀</w:t>
            </w:r>
          </w:p>
        </w:tc>
      </w:tr>
      <w:tr w14:paraId="383B9F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55" w:type="dxa"/>
            <w:tcBorders>
              <w:top w:val="single" w:color="auto" w:sz="8" w:space="0"/>
              <w:bottom w:val="single" w:color="auto" w:sz="8" w:space="0"/>
              <w:right w:val="single" w:color="auto" w:sz="8" w:space="0"/>
            </w:tcBorders>
            <w:vAlign w:val="center"/>
          </w:tcPr>
          <w:p w14:paraId="1EA076E2">
            <w:pPr>
              <w:widowControl/>
              <w:jc w:val="center"/>
              <w:rPr>
                <w:rFonts w:ascii="宋体" w:hAnsi="宋体" w:eastAsia="宋体" w:cs="宋体"/>
                <w:szCs w:val="21"/>
                <w:highlight w:val="none"/>
              </w:rPr>
            </w:pPr>
            <w:r>
              <w:rPr>
                <w:rFonts w:hint="eastAsia" w:ascii="宋体" w:hAnsi="宋体" w:eastAsia="宋体" w:cs="宋体"/>
                <w:color w:val="000000"/>
                <w:kern w:val="0"/>
                <w:szCs w:val="21"/>
                <w:highlight w:val="none"/>
                <w:lang w:bidi="ar"/>
              </w:rPr>
              <w:t>≥85，＜100</w:t>
            </w:r>
          </w:p>
        </w:tc>
        <w:tc>
          <w:tcPr>
            <w:tcW w:w="2825" w:type="dxa"/>
            <w:tcBorders>
              <w:top w:val="single" w:color="auto" w:sz="8" w:space="0"/>
              <w:left w:val="single" w:color="auto" w:sz="8" w:space="0"/>
              <w:bottom w:val="single" w:color="auto" w:sz="8" w:space="0"/>
            </w:tcBorders>
            <w:vAlign w:val="center"/>
          </w:tcPr>
          <w:p w14:paraId="063ADBCB">
            <w:pPr>
              <w:tabs>
                <w:tab w:val="left" w:pos="900"/>
              </w:tabs>
              <w:jc w:val="center"/>
              <w:rPr>
                <w:rFonts w:ascii="宋体" w:hAnsi="宋体" w:eastAsia="宋体" w:cs="宋体"/>
                <w:szCs w:val="21"/>
                <w:highlight w:val="none"/>
              </w:rPr>
            </w:pPr>
            <w:r>
              <w:rPr>
                <w:rFonts w:hint="eastAsia" w:ascii="宋体" w:hAnsi="宋体" w:eastAsia="宋体" w:cs="宋体"/>
                <w:szCs w:val="21"/>
                <w:highlight w:val="none"/>
              </w:rPr>
              <w:t>良好</w:t>
            </w:r>
          </w:p>
        </w:tc>
      </w:tr>
      <w:tr w14:paraId="191F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55" w:type="dxa"/>
            <w:tcBorders>
              <w:top w:val="single" w:color="auto" w:sz="8" w:space="0"/>
              <w:bottom w:val="single" w:color="auto" w:sz="8" w:space="0"/>
              <w:right w:val="single" w:color="auto" w:sz="8" w:space="0"/>
            </w:tcBorders>
            <w:vAlign w:val="center"/>
          </w:tcPr>
          <w:p w14:paraId="4F87B426">
            <w:pPr>
              <w:widowControl/>
              <w:jc w:val="center"/>
              <w:rPr>
                <w:rFonts w:ascii="宋体" w:hAnsi="宋体" w:eastAsia="宋体" w:cs="宋体"/>
                <w:szCs w:val="21"/>
                <w:highlight w:val="none"/>
              </w:rPr>
            </w:pPr>
            <w:r>
              <w:rPr>
                <w:rFonts w:hint="eastAsia" w:ascii="宋体" w:hAnsi="宋体" w:eastAsia="宋体" w:cs="宋体"/>
                <w:color w:val="000000"/>
                <w:kern w:val="0"/>
                <w:szCs w:val="21"/>
                <w:highlight w:val="none"/>
                <w:lang w:bidi="ar"/>
              </w:rPr>
              <w:t>≥70，＜85</w:t>
            </w:r>
          </w:p>
        </w:tc>
        <w:tc>
          <w:tcPr>
            <w:tcW w:w="2825" w:type="dxa"/>
            <w:tcBorders>
              <w:top w:val="single" w:color="auto" w:sz="8" w:space="0"/>
              <w:left w:val="single" w:color="auto" w:sz="8" w:space="0"/>
              <w:bottom w:val="single" w:color="auto" w:sz="8" w:space="0"/>
            </w:tcBorders>
            <w:vAlign w:val="center"/>
          </w:tcPr>
          <w:p w14:paraId="522EC601">
            <w:pPr>
              <w:tabs>
                <w:tab w:val="left" w:pos="900"/>
              </w:tabs>
              <w:jc w:val="center"/>
              <w:rPr>
                <w:rFonts w:ascii="宋体" w:hAnsi="宋体" w:eastAsia="宋体" w:cs="宋体"/>
                <w:szCs w:val="21"/>
                <w:highlight w:val="none"/>
              </w:rPr>
            </w:pPr>
            <w:r>
              <w:rPr>
                <w:rFonts w:hint="eastAsia" w:ascii="宋体" w:hAnsi="宋体" w:eastAsia="宋体" w:cs="宋体"/>
                <w:szCs w:val="21"/>
                <w:highlight w:val="none"/>
              </w:rPr>
              <w:t>一般</w:t>
            </w:r>
          </w:p>
        </w:tc>
      </w:tr>
      <w:tr w14:paraId="54D1F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55" w:type="dxa"/>
            <w:tcBorders>
              <w:top w:val="single" w:color="auto" w:sz="8" w:space="0"/>
              <w:bottom w:val="single" w:color="auto" w:sz="8" w:space="0"/>
              <w:right w:val="single" w:color="auto" w:sz="8" w:space="0"/>
            </w:tcBorders>
            <w:vAlign w:val="center"/>
          </w:tcPr>
          <w:p w14:paraId="5CCFE76F">
            <w:pPr>
              <w:widowControl/>
              <w:jc w:val="center"/>
              <w:rPr>
                <w:rFonts w:ascii="宋体" w:hAnsi="宋体" w:eastAsia="宋体" w:cs="宋体"/>
                <w:szCs w:val="21"/>
                <w:highlight w:val="none"/>
              </w:rPr>
            </w:pPr>
            <w:r>
              <w:rPr>
                <w:rFonts w:hint="eastAsia" w:ascii="宋体" w:hAnsi="宋体" w:eastAsia="宋体" w:cs="宋体"/>
                <w:color w:val="000000"/>
                <w:kern w:val="0"/>
                <w:szCs w:val="21"/>
                <w:highlight w:val="none"/>
                <w:lang w:bidi="ar"/>
              </w:rPr>
              <w:t>≥60，＜70</w:t>
            </w:r>
          </w:p>
        </w:tc>
        <w:tc>
          <w:tcPr>
            <w:tcW w:w="2825" w:type="dxa"/>
            <w:tcBorders>
              <w:top w:val="single" w:color="auto" w:sz="8" w:space="0"/>
              <w:left w:val="single" w:color="auto" w:sz="8" w:space="0"/>
              <w:bottom w:val="single" w:color="auto" w:sz="8" w:space="0"/>
            </w:tcBorders>
            <w:vAlign w:val="center"/>
          </w:tcPr>
          <w:p w14:paraId="4708D9A6">
            <w:pPr>
              <w:tabs>
                <w:tab w:val="left" w:pos="900"/>
              </w:tabs>
              <w:jc w:val="center"/>
              <w:rPr>
                <w:rFonts w:ascii="宋体" w:hAnsi="宋体" w:eastAsia="宋体" w:cs="宋体"/>
                <w:szCs w:val="21"/>
                <w:highlight w:val="none"/>
              </w:rPr>
            </w:pPr>
            <w:r>
              <w:rPr>
                <w:rFonts w:hint="eastAsia" w:ascii="宋体" w:hAnsi="宋体" w:eastAsia="宋体" w:cs="宋体"/>
                <w:szCs w:val="21"/>
                <w:highlight w:val="none"/>
              </w:rPr>
              <w:t>后备</w:t>
            </w:r>
          </w:p>
        </w:tc>
      </w:tr>
      <w:tr w14:paraId="32541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55" w:type="dxa"/>
            <w:tcBorders>
              <w:top w:val="single" w:color="auto" w:sz="8" w:space="0"/>
              <w:right w:val="single" w:color="auto" w:sz="8" w:space="0"/>
            </w:tcBorders>
            <w:vAlign w:val="center"/>
          </w:tcPr>
          <w:p w14:paraId="2EA0D6DA">
            <w:pPr>
              <w:widowControl/>
              <w:jc w:val="center"/>
              <w:rPr>
                <w:rFonts w:ascii="宋体" w:hAnsi="宋体" w:eastAsia="宋体" w:cs="宋体"/>
                <w:szCs w:val="21"/>
                <w:highlight w:val="none"/>
              </w:rPr>
            </w:pPr>
            <w:r>
              <w:rPr>
                <w:rFonts w:hint="eastAsia" w:ascii="宋体" w:hAnsi="宋体" w:eastAsia="宋体" w:cs="宋体"/>
                <w:color w:val="000000"/>
                <w:kern w:val="0"/>
                <w:szCs w:val="21"/>
                <w:highlight w:val="none"/>
                <w:lang w:bidi="ar"/>
              </w:rPr>
              <w:t>＜60</w:t>
            </w:r>
          </w:p>
        </w:tc>
        <w:tc>
          <w:tcPr>
            <w:tcW w:w="2825" w:type="dxa"/>
            <w:tcBorders>
              <w:top w:val="single" w:color="auto" w:sz="8" w:space="0"/>
              <w:left w:val="single" w:color="auto" w:sz="8" w:space="0"/>
            </w:tcBorders>
            <w:vAlign w:val="center"/>
          </w:tcPr>
          <w:p w14:paraId="705AD3AB">
            <w:pPr>
              <w:tabs>
                <w:tab w:val="left" w:pos="900"/>
              </w:tabs>
              <w:jc w:val="center"/>
              <w:rPr>
                <w:rFonts w:ascii="宋体" w:hAnsi="宋体" w:eastAsia="宋体" w:cs="宋体"/>
                <w:szCs w:val="21"/>
                <w:highlight w:val="none"/>
              </w:rPr>
            </w:pPr>
            <w:r>
              <w:rPr>
                <w:rFonts w:hint="eastAsia" w:ascii="宋体" w:hAnsi="宋体" w:eastAsia="宋体" w:cs="宋体"/>
                <w:szCs w:val="21"/>
                <w:highlight w:val="none"/>
              </w:rPr>
              <w:t>不合格</w:t>
            </w:r>
          </w:p>
        </w:tc>
      </w:tr>
    </w:tbl>
    <w:p w14:paraId="0170C766">
      <w:pPr>
        <w:spacing w:line="360" w:lineRule="auto"/>
        <w:rPr>
          <w:rFonts w:ascii="宋体" w:hAnsi="宋体" w:eastAsia="宋体" w:cs="宋体"/>
          <w:sz w:val="24"/>
          <w:highlight w:val="none"/>
        </w:rPr>
      </w:pPr>
      <w:r>
        <w:rPr>
          <w:rFonts w:hint="eastAsia" w:ascii="宋体" w:hAnsi="宋体"/>
          <w:sz w:val="24"/>
          <w:highlight w:val="none"/>
        </w:rPr>
        <w:t xml:space="preserve">2.1  </w:t>
      </w:r>
      <w:r>
        <w:rPr>
          <w:rFonts w:hint="eastAsia" w:ascii="宋体" w:hAnsi="宋体" w:eastAsia="宋体" w:cs="宋体"/>
          <w:sz w:val="24"/>
          <w:highlight w:val="none"/>
        </w:rPr>
        <w:t>运营公司根据积分情况将供应商分为优秀、良好、一般、后备、不合格五个等级</w:t>
      </w:r>
      <w:r>
        <w:rPr>
          <w:rFonts w:hint="eastAsia" w:ascii="宋体" w:hAnsi="宋体" w:cs="宋体"/>
          <w:sz w:val="24"/>
          <w:highlight w:val="none"/>
        </w:rPr>
        <w:t>。优秀、良好、一般及后备等级</w:t>
      </w:r>
      <w:r>
        <w:rPr>
          <w:rFonts w:hint="eastAsia" w:ascii="宋体" w:hAnsi="宋体" w:eastAsia="宋体" w:cs="宋体"/>
          <w:sz w:val="24"/>
          <w:highlight w:val="none"/>
        </w:rPr>
        <w:t>每季度根据积分调整一次</w:t>
      </w:r>
      <w:r>
        <w:rPr>
          <w:rFonts w:hint="eastAsia" w:ascii="宋体" w:hAnsi="宋体" w:cs="宋体"/>
          <w:sz w:val="24"/>
          <w:highlight w:val="none"/>
        </w:rPr>
        <w:t>；不合格等级认定后不再调整，待不合格期满后自动转入后备供应商管理。</w:t>
      </w:r>
      <w:r>
        <w:rPr>
          <w:rFonts w:hint="eastAsia" w:ascii="宋体" w:hAnsi="宋体" w:eastAsia="宋体" w:cs="宋体"/>
          <w:sz w:val="24"/>
          <w:highlight w:val="none"/>
        </w:rPr>
        <w:t>供应商积分未达到降级标准的，在一个自然年度内累计扣分满20分，供应商等级降一级，积分按该级别最低分重新计算。</w:t>
      </w:r>
    </w:p>
    <w:p w14:paraId="164F1D10">
      <w:pPr>
        <w:spacing w:line="360" w:lineRule="auto"/>
        <w:rPr>
          <w:rFonts w:ascii="宋体" w:hAnsi="宋体" w:eastAsia="宋体" w:cs="宋体"/>
          <w:sz w:val="24"/>
          <w:highlight w:val="none"/>
        </w:rPr>
      </w:pPr>
      <w:r>
        <w:rPr>
          <w:rFonts w:hint="eastAsia" w:ascii="宋体" w:hAnsi="宋体" w:eastAsia="宋体" w:cs="宋体"/>
          <w:sz w:val="24"/>
          <w:highlight w:val="none"/>
        </w:rPr>
        <w:t>2.2  存在以下违约、失信行为之一的供应商将列入运营公司失信黑名单。</w:t>
      </w:r>
    </w:p>
    <w:p w14:paraId="358E53A5">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a）被上级单位列入“黑名单”的；</w:t>
      </w:r>
    </w:p>
    <w:p w14:paraId="4970EE68">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b）存在不正当竞争行为，包括行贿、串标等骗取中标的情况；</w:t>
      </w:r>
    </w:p>
    <w:p w14:paraId="4E70AB68">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c）与运营公司存在法律纠纷，且属于过失方；</w:t>
      </w:r>
    </w:p>
    <w:p w14:paraId="25927503">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d）被给予红牌的；</w:t>
      </w:r>
    </w:p>
    <w:p w14:paraId="2A64B80D">
      <w:pPr>
        <w:spacing w:line="360" w:lineRule="auto"/>
        <w:ind w:left="900" w:leftChars="200" w:hanging="480" w:hangingChars="200"/>
        <w:rPr>
          <w:rFonts w:ascii="宋体" w:hAnsi="宋体" w:eastAsia="宋体" w:cs="宋体"/>
          <w:sz w:val="24"/>
          <w:highlight w:val="none"/>
        </w:rPr>
      </w:pPr>
      <w:r>
        <w:rPr>
          <w:rFonts w:hint="eastAsia" w:ascii="宋体" w:hAnsi="宋体" w:eastAsia="宋体" w:cs="宋体"/>
          <w:sz w:val="24"/>
          <w:highlight w:val="none"/>
        </w:rPr>
        <w:t>e）其他经运营公司级会议认定的行为。</w:t>
      </w:r>
    </w:p>
    <w:p w14:paraId="46C7CFBF">
      <w:pPr>
        <w:pStyle w:val="4"/>
        <w:rPr>
          <w:rFonts w:ascii="宋体" w:hAnsi="宋体" w:cs="宋体"/>
          <w:sz w:val="24"/>
          <w:szCs w:val="24"/>
          <w:highlight w:val="none"/>
        </w:rPr>
      </w:pPr>
      <w:bookmarkStart w:id="7" w:name="_Toc19646"/>
      <w:bookmarkStart w:id="8" w:name="_Toc25928"/>
      <w:bookmarkStart w:id="9" w:name="_Toc23911"/>
      <w:r>
        <w:rPr>
          <w:rFonts w:hint="eastAsia" w:ascii="宋体" w:hAnsi="宋体" w:cs="宋体"/>
          <w:sz w:val="24"/>
          <w:szCs w:val="24"/>
          <w:highlight w:val="none"/>
        </w:rPr>
        <w:t>3、 评价结果运用</w:t>
      </w:r>
      <w:bookmarkEnd w:id="7"/>
      <w:bookmarkEnd w:id="8"/>
      <w:bookmarkEnd w:id="9"/>
    </w:p>
    <w:tbl>
      <w:tblPr>
        <w:tblStyle w:val="17"/>
        <w:tblW w:w="85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51"/>
        <w:gridCol w:w="750"/>
        <w:gridCol w:w="780"/>
        <w:gridCol w:w="6241"/>
      </w:tblGrid>
      <w:tr w14:paraId="26AC7E9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501" w:type="dxa"/>
            <w:gridSpan w:val="2"/>
            <w:tcBorders>
              <w:bottom w:val="single" w:color="auto" w:sz="8" w:space="0"/>
              <w:right w:val="single" w:color="auto" w:sz="8" w:space="0"/>
            </w:tcBorders>
            <w:vAlign w:val="center"/>
          </w:tcPr>
          <w:p w14:paraId="22173911">
            <w:pPr>
              <w:tabs>
                <w:tab w:val="left" w:pos="900"/>
              </w:tabs>
              <w:jc w:val="center"/>
              <w:rPr>
                <w:rFonts w:ascii="宋体" w:hAnsi="宋体" w:eastAsia="宋体" w:cs="宋体"/>
                <w:szCs w:val="21"/>
                <w:highlight w:val="none"/>
              </w:rPr>
            </w:pPr>
            <w:r>
              <w:rPr>
                <w:rFonts w:hint="eastAsia" w:ascii="宋体" w:hAnsi="宋体" w:eastAsia="宋体" w:cs="宋体"/>
                <w:szCs w:val="21"/>
                <w:highlight w:val="none"/>
              </w:rPr>
              <w:t>等级</w:t>
            </w:r>
          </w:p>
        </w:tc>
        <w:tc>
          <w:tcPr>
            <w:tcW w:w="7021" w:type="dxa"/>
            <w:gridSpan w:val="2"/>
            <w:tcBorders>
              <w:left w:val="single" w:color="auto" w:sz="8" w:space="0"/>
              <w:bottom w:val="single" w:color="auto" w:sz="8" w:space="0"/>
            </w:tcBorders>
            <w:vAlign w:val="center"/>
          </w:tcPr>
          <w:p w14:paraId="1CBD6803">
            <w:pPr>
              <w:tabs>
                <w:tab w:val="left" w:pos="900"/>
              </w:tabs>
              <w:jc w:val="center"/>
              <w:rPr>
                <w:rFonts w:ascii="宋体" w:hAnsi="宋体" w:eastAsia="宋体" w:cs="宋体"/>
                <w:szCs w:val="21"/>
                <w:highlight w:val="none"/>
              </w:rPr>
            </w:pPr>
            <w:r>
              <w:rPr>
                <w:rFonts w:hint="eastAsia" w:ascii="宋体" w:hAnsi="宋体" w:eastAsia="宋体" w:cs="宋体"/>
                <w:szCs w:val="21"/>
                <w:highlight w:val="none"/>
              </w:rPr>
              <w:t>运用</w:t>
            </w:r>
          </w:p>
        </w:tc>
      </w:tr>
      <w:tr w14:paraId="50114FF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751" w:type="dxa"/>
            <w:vMerge w:val="restart"/>
            <w:tcBorders>
              <w:top w:val="single" w:color="auto" w:sz="8" w:space="0"/>
              <w:bottom w:val="single" w:color="auto" w:sz="8" w:space="0"/>
              <w:right w:val="single" w:color="auto" w:sz="8" w:space="0"/>
            </w:tcBorders>
            <w:vAlign w:val="center"/>
          </w:tcPr>
          <w:p w14:paraId="5D996CD0">
            <w:pPr>
              <w:tabs>
                <w:tab w:val="left" w:pos="900"/>
              </w:tabs>
              <w:jc w:val="center"/>
              <w:rPr>
                <w:rFonts w:ascii="宋体" w:hAnsi="宋体" w:eastAsia="宋体" w:cs="宋体"/>
                <w:szCs w:val="21"/>
                <w:highlight w:val="none"/>
              </w:rPr>
            </w:pPr>
            <w:r>
              <w:rPr>
                <w:rFonts w:hint="eastAsia" w:ascii="宋体" w:hAnsi="宋体" w:eastAsia="宋体" w:cs="宋体"/>
                <w:szCs w:val="21"/>
                <w:highlight w:val="none"/>
              </w:rPr>
              <w:t>合格</w:t>
            </w:r>
          </w:p>
        </w:tc>
        <w:tc>
          <w:tcPr>
            <w:tcW w:w="750" w:type="dxa"/>
            <w:tcBorders>
              <w:top w:val="single" w:color="auto" w:sz="8" w:space="0"/>
              <w:left w:val="single" w:color="auto" w:sz="8" w:space="0"/>
              <w:bottom w:val="single" w:color="auto" w:sz="8" w:space="0"/>
              <w:right w:val="single" w:color="auto" w:sz="8" w:space="0"/>
            </w:tcBorders>
            <w:vAlign w:val="center"/>
          </w:tcPr>
          <w:p w14:paraId="61FF7C38">
            <w:pPr>
              <w:tabs>
                <w:tab w:val="left" w:pos="900"/>
              </w:tabs>
              <w:jc w:val="center"/>
              <w:rPr>
                <w:rFonts w:ascii="宋体" w:hAnsi="宋体" w:eastAsia="宋体" w:cs="宋体"/>
                <w:szCs w:val="21"/>
                <w:highlight w:val="none"/>
              </w:rPr>
            </w:pPr>
            <w:r>
              <w:rPr>
                <w:rFonts w:hint="eastAsia" w:ascii="宋体" w:hAnsi="宋体" w:eastAsia="宋体" w:cs="宋体"/>
                <w:szCs w:val="21"/>
                <w:highlight w:val="none"/>
              </w:rPr>
              <w:t>优秀</w:t>
            </w:r>
          </w:p>
        </w:tc>
        <w:tc>
          <w:tcPr>
            <w:tcW w:w="780" w:type="dxa"/>
            <w:vMerge w:val="restart"/>
            <w:tcBorders>
              <w:top w:val="single" w:color="auto" w:sz="8" w:space="0"/>
              <w:left w:val="single" w:color="auto" w:sz="8" w:space="0"/>
              <w:bottom w:val="single" w:color="auto" w:sz="8" w:space="0"/>
              <w:right w:val="single" w:color="auto" w:sz="8" w:space="0"/>
            </w:tcBorders>
            <w:vAlign w:val="center"/>
          </w:tcPr>
          <w:p w14:paraId="6CF4CE58">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纳入分散采购渠道</w:t>
            </w:r>
          </w:p>
        </w:tc>
        <w:tc>
          <w:tcPr>
            <w:tcW w:w="6241" w:type="dxa"/>
            <w:tcBorders>
              <w:top w:val="single" w:color="auto" w:sz="8" w:space="0"/>
              <w:left w:val="single" w:color="auto" w:sz="8" w:space="0"/>
              <w:bottom w:val="single" w:color="auto" w:sz="8" w:space="0"/>
            </w:tcBorders>
            <w:vAlign w:val="center"/>
          </w:tcPr>
          <w:p w14:paraId="1FAFE736">
            <w:pPr>
              <w:widowControl/>
              <w:jc w:val="left"/>
              <w:textAlignment w:val="center"/>
              <w:rPr>
                <w:rFonts w:ascii="宋体" w:hAnsi="宋体" w:eastAsia="宋体" w:cs="宋体"/>
                <w:color w:val="000000"/>
                <w:kern w:val="0"/>
                <w:szCs w:val="21"/>
                <w:highlight w:val="none"/>
                <w:lang w:bidi="ar"/>
              </w:rPr>
            </w:pPr>
            <w:r>
              <w:rPr>
                <w:rStyle w:val="25"/>
                <w:rFonts w:hint="default"/>
                <w:highlight w:val="none"/>
                <w:lang w:bidi="ar"/>
              </w:rPr>
              <w:t>参与</w:t>
            </w:r>
            <w:r>
              <w:rPr>
                <w:rFonts w:hint="eastAsia" w:ascii="宋体" w:hAnsi="宋体" w:cs="宋体"/>
                <w:color w:val="000000"/>
                <w:kern w:val="0"/>
                <w:szCs w:val="21"/>
                <w:highlight w:val="none"/>
                <w:lang w:bidi="ar"/>
              </w:rPr>
              <w:t>运营</w:t>
            </w:r>
            <w:r>
              <w:rPr>
                <w:rFonts w:hint="eastAsia" w:ascii="宋体" w:hAnsi="宋体" w:eastAsia="宋体" w:cs="宋体"/>
                <w:color w:val="000000"/>
                <w:kern w:val="0"/>
                <w:szCs w:val="21"/>
                <w:highlight w:val="none"/>
                <w:lang w:bidi="ar"/>
              </w:rPr>
              <w:t>公司</w:t>
            </w:r>
            <w:r>
              <w:rPr>
                <w:rStyle w:val="25"/>
                <w:rFonts w:hint="default"/>
                <w:highlight w:val="none"/>
                <w:lang w:bidi="ar"/>
              </w:rPr>
              <w:t>D类采购项目可</w:t>
            </w:r>
            <w:r>
              <w:rPr>
                <w:rFonts w:hint="eastAsia" w:ascii="宋体" w:hAnsi="宋体" w:eastAsia="宋体" w:cs="宋体"/>
                <w:color w:val="000000"/>
                <w:kern w:val="0"/>
                <w:szCs w:val="21"/>
                <w:highlight w:val="none"/>
                <w:lang w:bidi="ar"/>
              </w:rPr>
              <w:t>免交报价保证金。</w:t>
            </w:r>
            <w:r>
              <w:rPr>
                <w:rFonts w:hint="eastAsia" w:ascii="宋体" w:hAnsi="宋体" w:eastAsia="宋体" w:cs="宋体"/>
                <w:color w:val="000000"/>
                <w:kern w:val="0"/>
                <w:szCs w:val="21"/>
                <w:highlight w:val="none"/>
                <w:lang w:bidi="ar"/>
              </w:rPr>
              <w:br w:type="textWrapping"/>
            </w:r>
          </w:p>
        </w:tc>
      </w:tr>
      <w:tr w14:paraId="278A732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751" w:type="dxa"/>
            <w:vMerge w:val="continue"/>
            <w:tcBorders>
              <w:top w:val="single" w:color="auto" w:sz="8" w:space="0"/>
              <w:bottom w:val="single" w:color="auto" w:sz="8" w:space="0"/>
              <w:right w:val="single" w:color="auto" w:sz="8" w:space="0"/>
            </w:tcBorders>
            <w:vAlign w:val="center"/>
          </w:tcPr>
          <w:p w14:paraId="084AEE13">
            <w:pPr>
              <w:tabs>
                <w:tab w:val="left" w:pos="900"/>
              </w:tabs>
              <w:jc w:val="center"/>
              <w:rPr>
                <w:rFonts w:ascii="宋体" w:hAnsi="宋体" w:eastAsia="宋体" w:cs="宋体"/>
                <w:szCs w:val="21"/>
                <w:highlight w:val="none"/>
              </w:rPr>
            </w:pPr>
          </w:p>
        </w:tc>
        <w:tc>
          <w:tcPr>
            <w:tcW w:w="750" w:type="dxa"/>
            <w:tcBorders>
              <w:top w:val="single" w:color="auto" w:sz="8" w:space="0"/>
              <w:left w:val="single" w:color="auto" w:sz="8" w:space="0"/>
              <w:bottom w:val="single" w:color="auto" w:sz="8" w:space="0"/>
              <w:right w:val="single" w:color="auto" w:sz="8" w:space="0"/>
            </w:tcBorders>
            <w:vAlign w:val="center"/>
          </w:tcPr>
          <w:p w14:paraId="094C75E6">
            <w:pPr>
              <w:tabs>
                <w:tab w:val="left" w:pos="900"/>
              </w:tabs>
              <w:jc w:val="center"/>
              <w:rPr>
                <w:rFonts w:ascii="宋体" w:hAnsi="宋体" w:eastAsia="宋体" w:cs="宋体"/>
                <w:color w:val="000000"/>
                <w:kern w:val="0"/>
                <w:szCs w:val="21"/>
                <w:highlight w:val="none"/>
                <w:lang w:bidi="ar"/>
              </w:rPr>
            </w:pPr>
            <w:r>
              <w:rPr>
                <w:rFonts w:hint="eastAsia" w:ascii="宋体" w:hAnsi="宋体" w:eastAsia="宋体" w:cs="宋体"/>
                <w:szCs w:val="21"/>
                <w:highlight w:val="none"/>
              </w:rPr>
              <w:t>良好</w:t>
            </w:r>
          </w:p>
        </w:tc>
        <w:tc>
          <w:tcPr>
            <w:tcW w:w="780" w:type="dxa"/>
            <w:vMerge w:val="continue"/>
            <w:tcBorders>
              <w:top w:val="single" w:color="auto" w:sz="8" w:space="0"/>
              <w:left w:val="single" w:color="auto" w:sz="8" w:space="0"/>
              <w:bottom w:val="single" w:color="auto" w:sz="8" w:space="0"/>
              <w:right w:val="single" w:color="auto" w:sz="8" w:space="0"/>
            </w:tcBorders>
            <w:vAlign w:val="center"/>
          </w:tcPr>
          <w:p w14:paraId="362712E7">
            <w:pPr>
              <w:jc w:val="center"/>
              <w:rPr>
                <w:rFonts w:ascii="宋体" w:hAnsi="宋体" w:eastAsia="宋体" w:cs="宋体"/>
                <w:szCs w:val="21"/>
                <w:highlight w:val="none"/>
              </w:rPr>
            </w:pPr>
          </w:p>
        </w:tc>
        <w:tc>
          <w:tcPr>
            <w:tcW w:w="6241" w:type="dxa"/>
            <w:tcBorders>
              <w:top w:val="single" w:color="auto" w:sz="8" w:space="0"/>
              <w:left w:val="single" w:color="auto" w:sz="8" w:space="0"/>
              <w:bottom w:val="single" w:color="auto" w:sz="8" w:space="0"/>
            </w:tcBorders>
            <w:vAlign w:val="center"/>
          </w:tcPr>
          <w:p w14:paraId="0B90ADD4">
            <w:pPr>
              <w:jc w:val="left"/>
              <w:rPr>
                <w:rFonts w:ascii="宋体" w:hAnsi="宋体" w:eastAsia="宋体" w:cs="宋体"/>
                <w:szCs w:val="21"/>
                <w:highlight w:val="none"/>
              </w:rPr>
            </w:pPr>
            <w:r>
              <w:rPr>
                <w:rStyle w:val="25"/>
                <w:rFonts w:hint="default"/>
                <w:highlight w:val="none"/>
                <w:lang w:bidi="ar"/>
              </w:rPr>
              <w:t>参与</w:t>
            </w:r>
            <w:r>
              <w:rPr>
                <w:rFonts w:hint="eastAsia" w:ascii="宋体" w:hAnsi="宋体" w:cs="宋体"/>
                <w:color w:val="000000"/>
                <w:kern w:val="0"/>
                <w:szCs w:val="21"/>
                <w:highlight w:val="none"/>
                <w:lang w:bidi="ar"/>
              </w:rPr>
              <w:t>运营</w:t>
            </w:r>
            <w:r>
              <w:rPr>
                <w:rFonts w:hint="eastAsia" w:ascii="宋体" w:hAnsi="宋体" w:eastAsia="宋体" w:cs="宋体"/>
                <w:color w:val="000000"/>
                <w:kern w:val="0"/>
                <w:szCs w:val="21"/>
                <w:highlight w:val="none"/>
                <w:lang w:bidi="ar"/>
              </w:rPr>
              <w:t>公司</w:t>
            </w:r>
            <w:r>
              <w:rPr>
                <w:rStyle w:val="25"/>
                <w:rFonts w:hint="default"/>
                <w:highlight w:val="none"/>
                <w:lang w:bidi="ar"/>
              </w:rPr>
              <w:t>D类采购项目</w:t>
            </w:r>
            <w:r>
              <w:rPr>
                <w:rFonts w:hint="eastAsia" w:ascii="宋体" w:hAnsi="宋体" w:cs="宋体"/>
                <w:color w:val="000000"/>
                <w:kern w:val="0"/>
                <w:szCs w:val="21"/>
                <w:highlight w:val="none"/>
                <w:lang w:bidi="ar"/>
              </w:rPr>
              <w:t>可</w:t>
            </w:r>
            <w:r>
              <w:rPr>
                <w:rStyle w:val="25"/>
                <w:rFonts w:hint="default"/>
                <w:highlight w:val="none"/>
                <w:lang w:bidi="ar"/>
              </w:rPr>
              <w:t>缴纳长期报价保证金（2000元），</w:t>
            </w:r>
            <w:r>
              <w:rPr>
                <w:rFonts w:hint="eastAsia" w:ascii="宋体" w:hAnsi="宋体" w:eastAsia="宋体" w:cs="宋体"/>
                <w:color w:val="000000"/>
                <w:kern w:val="0"/>
                <w:szCs w:val="21"/>
                <w:highlight w:val="none"/>
                <w:lang w:bidi="ar"/>
              </w:rPr>
              <w:t>无需按项目单独缴纳。</w:t>
            </w:r>
          </w:p>
        </w:tc>
      </w:tr>
      <w:tr w14:paraId="65D0A2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751" w:type="dxa"/>
            <w:vMerge w:val="continue"/>
            <w:tcBorders>
              <w:top w:val="single" w:color="auto" w:sz="8" w:space="0"/>
              <w:bottom w:val="single" w:color="auto" w:sz="8" w:space="0"/>
              <w:right w:val="single" w:color="auto" w:sz="8" w:space="0"/>
            </w:tcBorders>
            <w:vAlign w:val="center"/>
          </w:tcPr>
          <w:p w14:paraId="51BB6786">
            <w:pPr>
              <w:tabs>
                <w:tab w:val="left" w:pos="900"/>
              </w:tabs>
              <w:jc w:val="center"/>
              <w:rPr>
                <w:rFonts w:ascii="宋体" w:hAnsi="宋体" w:eastAsia="宋体" w:cs="宋体"/>
                <w:szCs w:val="21"/>
                <w:highlight w:val="none"/>
              </w:rPr>
            </w:pPr>
          </w:p>
        </w:tc>
        <w:tc>
          <w:tcPr>
            <w:tcW w:w="750" w:type="dxa"/>
            <w:tcBorders>
              <w:top w:val="single" w:color="auto" w:sz="8" w:space="0"/>
              <w:left w:val="single" w:color="auto" w:sz="8" w:space="0"/>
              <w:bottom w:val="single" w:color="auto" w:sz="8" w:space="0"/>
              <w:right w:val="single" w:color="auto" w:sz="8" w:space="0"/>
            </w:tcBorders>
            <w:vAlign w:val="center"/>
          </w:tcPr>
          <w:p w14:paraId="2177D249">
            <w:pPr>
              <w:tabs>
                <w:tab w:val="left" w:pos="900"/>
              </w:tabs>
              <w:jc w:val="center"/>
              <w:rPr>
                <w:rFonts w:ascii="宋体" w:hAnsi="宋体" w:eastAsia="宋体" w:cs="宋体"/>
                <w:szCs w:val="21"/>
                <w:highlight w:val="none"/>
              </w:rPr>
            </w:pPr>
            <w:r>
              <w:rPr>
                <w:rFonts w:hint="eastAsia" w:ascii="宋体" w:hAnsi="宋体" w:eastAsia="宋体" w:cs="宋体"/>
                <w:szCs w:val="21"/>
                <w:highlight w:val="none"/>
              </w:rPr>
              <w:t>一般</w:t>
            </w:r>
          </w:p>
        </w:tc>
        <w:tc>
          <w:tcPr>
            <w:tcW w:w="7021" w:type="dxa"/>
            <w:gridSpan w:val="2"/>
            <w:vMerge w:val="restart"/>
            <w:tcBorders>
              <w:top w:val="single" w:color="auto" w:sz="8" w:space="0"/>
              <w:left w:val="single" w:color="auto" w:sz="8" w:space="0"/>
              <w:bottom w:val="single" w:color="auto" w:sz="8" w:space="0"/>
            </w:tcBorders>
            <w:vAlign w:val="center"/>
          </w:tcPr>
          <w:p w14:paraId="37E19FB4">
            <w:pPr>
              <w:jc w:val="center"/>
              <w:rPr>
                <w:rFonts w:ascii="宋体" w:hAnsi="宋体" w:eastAsia="宋体" w:cs="宋体"/>
                <w:szCs w:val="21"/>
                <w:highlight w:val="none"/>
              </w:rPr>
            </w:pPr>
            <w:r>
              <w:rPr>
                <w:rFonts w:hint="eastAsia" w:ascii="宋体" w:hAnsi="宋体" w:eastAsia="宋体" w:cs="宋体"/>
                <w:szCs w:val="21"/>
                <w:highlight w:val="none"/>
              </w:rPr>
              <w:t>/</w:t>
            </w:r>
          </w:p>
        </w:tc>
      </w:tr>
      <w:tr w14:paraId="238806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501" w:type="dxa"/>
            <w:gridSpan w:val="2"/>
            <w:tcBorders>
              <w:top w:val="single" w:color="auto" w:sz="8" w:space="0"/>
              <w:bottom w:val="single" w:color="auto" w:sz="8" w:space="0"/>
              <w:right w:val="single" w:color="auto" w:sz="8" w:space="0"/>
            </w:tcBorders>
            <w:vAlign w:val="center"/>
          </w:tcPr>
          <w:p w14:paraId="19CA5545">
            <w:pPr>
              <w:tabs>
                <w:tab w:val="left" w:pos="900"/>
              </w:tabs>
              <w:jc w:val="center"/>
              <w:rPr>
                <w:rFonts w:ascii="宋体" w:hAnsi="宋体" w:eastAsia="宋体" w:cs="宋体"/>
                <w:szCs w:val="21"/>
                <w:highlight w:val="none"/>
              </w:rPr>
            </w:pPr>
            <w:r>
              <w:rPr>
                <w:rFonts w:hint="eastAsia" w:ascii="宋体" w:hAnsi="宋体" w:eastAsia="宋体" w:cs="宋体"/>
                <w:szCs w:val="21"/>
                <w:highlight w:val="none"/>
              </w:rPr>
              <w:t>后备</w:t>
            </w:r>
          </w:p>
        </w:tc>
        <w:tc>
          <w:tcPr>
            <w:tcW w:w="7021" w:type="dxa"/>
            <w:gridSpan w:val="2"/>
            <w:vMerge w:val="continue"/>
            <w:tcBorders>
              <w:top w:val="single" w:color="auto" w:sz="8" w:space="0"/>
              <w:left w:val="single" w:color="auto" w:sz="8" w:space="0"/>
              <w:bottom w:val="single" w:color="auto" w:sz="8" w:space="0"/>
            </w:tcBorders>
            <w:vAlign w:val="center"/>
          </w:tcPr>
          <w:p w14:paraId="7E8F2D54">
            <w:pPr>
              <w:tabs>
                <w:tab w:val="left" w:pos="900"/>
              </w:tabs>
              <w:jc w:val="center"/>
              <w:rPr>
                <w:rFonts w:ascii="宋体" w:hAnsi="宋体" w:eastAsia="宋体" w:cs="宋体"/>
                <w:szCs w:val="21"/>
                <w:highlight w:val="none"/>
              </w:rPr>
            </w:pPr>
          </w:p>
        </w:tc>
      </w:tr>
      <w:tr w14:paraId="786EB0E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501" w:type="dxa"/>
            <w:gridSpan w:val="2"/>
            <w:tcBorders>
              <w:top w:val="single" w:color="auto" w:sz="8" w:space="0"/>
              <w:bottom w:val="single" w:color="auto" w:sz="8" w:space="0"/>
              <w:right w:val="single" w:color="auto" w:sz="8" w:space="0"/>
            </w:tcBorders>
            <w:vAlign w:val="center"/>
          </w:tcPr>
          <w:p w14:paraId="710E241E">
            <w:pPr>
              <w:tabs>
                <w:tab w:val="left" w:pos="900"/>
              </w:tabs>
              <w:jc w:val="center"/>
              <w:rPr>
                <w:rFonts w:ascii="宋体" w:hAnsi="宋体" w:eastAsia="宋体" w:cs="宋体"/>
                <w:szCs w:val="21"/>
                <w:highlight w:val="none"/>
              </w:rPr>
            </w:pPr>
            <w:r>
              <w:rPr>
                <w:rFonts w:hint="eastAsia" w:ascii="宋体" w:hAnsi="宋体" w:eastAsia="宋体" w:cs="宋体"/>
                <w:szCs w:val="21"/>
                <w:highlight w:val="none"/>
              </w:rPr>
              <w:t>不合格</w:t>
            </w:r>
          </w:p>
        </w:tc>
        <w:tc>
          <w:tcPr>
            <w:tcW w:w="7021" w:type="dxa"/>
            <w:gridSpan w:val="2"/>
            <w:tcBorders>
              <w:top w:val="single" w:color="auto" w:sz="8" w:space="0"/>
              <w:left w:val="single" w:color="auto" w:sz="8" w:space="0"/>
              <w:bottom w:val="single" w:color="auto" w:sz="8" w:space="0"/>
            </w:tcBorders>
            <w:vAlign w:val="center"/>
          </w:tcPr>
          <w:p w14:paraId="0C98FCED">
            <w:pPr>
              <w:tabs>
                <w:tab w:val="left" w:pos="900"/>
              </w:tabs>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自确定之日起1年内不得成为</w:t>
            </w:r>
            <w:r>
              <w:rPr>
                <w:rFonts w:hint="eastAsia" w:ascii="宋体" w:hAnsi="宋体" w:cs="宋体"/>
                <w:color w:val="000000"/>
                <w:kern w:val="0"/>
                <w:szCs w:val="21"/>
                <w:highlight w:val="none"/>
                <w:lang w:bidi="ar"/>
              </w:rPr>
              <w:t>运营</w:t>
            </w:r>
            <w:r>
              <w:rPr>
                <w:rFonts w:hint="eastAsia" w:ascii="宋体" w:hAnsi="宋体" w:eastAsia="宋体" w:cs="宋体"/>
                <w:color w:val="000000"/>
                <w:kern w:val="0"/>
                <w:szCs w:val="21"/>
                <w:highlight w:val="none"/>
                <w:lang w:bidi="ar"/>
              </w:rPr>
              <w:t>公司C、D类采购项目供应商，到期后按积分方法重新评价。</w:t>
            </w:r>
            <w:r>
              <w:rPr>
                <w:rFonts w:hint="eastAsia" w:ascii="宋体" w:hAnsi="宋体" w:eastAsia="宋体" w:cs="宋体"/>
                <w:szCs w:val="21"/>
                <w:highlight w:val="none"/>
              </w:rPr>
              <w:t>确有必要成交的</w:t>
            </w:r>
            <w:r>
              <w:rPr>
                <w:rFonts w:hint="eastAsia" w:ascii="宋体" w:hAnsi="宋体" w:cs="宋体"/>
                <w:szCs w:val="21"/>
                <w:highlight w:val="none"/>
              </w:rPr>
              <w:t>或情节恶劣需延长惩戒期限的</w:t>
            </w:r>
            <w:r>
              <w:rPr>
                <w:rFonts w:hint="eastAsia" w:ascii="宋体" w:hAnsi="宋体" w:eastAsia="宋体" w:cs="宋体"/>
                <w:szCs w:val="21"/>
                <w:highlight w:val="none"/>
              </w:rPr>
              <w:t>由承办部门报</w:t>
            </w:r>
            <w:r>
              <w:rPr>
                <w:rFonts w:hint="eastAsia" w:ascii="宋体" w:hAnsi="宋体" w:cs="宋体"/>
                <w:szCs w:val="21"/>
                <w:highlight w:val="none"/>
              </w:rPr>
              <w:t>运营</w:t>
            </w:r>
            <w:r>
              <w:rPr>
                <w:rFonts w:hint="eastAsia" w:ascii="宋体" w:hAnsi="宋体" w:eastAsia="宋体" w:cs="宋体"/>
                <w:szCs w:val="21"/>
                <w:highlight w:val="none"/>
              </w:rPr>
              <w:t>公司采购管理委员会审议批准方可实施。上级单位另有要求的按上级单位要求执行。</w:t>
            </w:r>
          </w:p>
        </w:tc>
      </w:tr>
      <w:tr w14:paraId="757032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501" w:type="dxa"/>
            <w:gridSpan w:val="2"/>
            <w:tcBorders>
              <w:top w:val="single" w:color="auto" w:sz="8" w:space="0"/>
              <w:right w:val="single" w:color="auto" w:sz="8" w:space="0"/>
            </w:tcBorders>
            <w:vAlign w:val="center"/>
          </w:tcPr>
          <w:p w14:paraId="7AEE0CC9">
            <w:pPr>
              <w:tabs>
                <w:tab w:val="left" w:pos="900"/>
              </w:tabs>
              <w:jc w:val="center"/>
              <w:rPr>
                <w:rFonts w:ascii="宋体" w:hAnsi="宋体" w:eastAsia="宋体" w:cs="宋体"/>
                <w:szCs w:val="21"/>
                <w:highlight w:val="none"/>
              </w:rPr>
            </w:pPr>
            <w:r>
              <w:rPr>
                <w:rFonts w:hint="eastAsia" w:ascii="宋体" w:hAnsi="宋体" w:cs="宋体"/>
                <w:szCs w:val="21"/>
                <w:highlight w:val="none"/>
              </w:rPr>
              <w:t>黑名单供应商</w:t>
            </w:r>
          </w:p>
        </w:tc>
        <w:tc>
          <w:tcPr>
            <w:tcW w:w="7021" w:type="dxa"/>
            <w:gridSpan w:val="2"/>
            <w:tcBorders>
              <w:top w:val="single" w:color="auto" w:sz="8" w:space="0"/>
              <w:left w:val="single" w:color="auto" w:sz="8" w:space="0"/>
            </w:tcBorders>
            <w:vAlign w:val="center"/>
          </w:tcPr>
          <w:p w14:paraId="4B6C41BC">
            <w:pPr>
              <w:tabs>
                <w:tab w:val="left" w:pos="900"/>
              </w:tabs>
              <w:rPr>
                <w:rFonts w:ascii="宋体" w:hAnsi="宋体" w:eastAsia="宋体" w:cs="宋体"/>
                <w:color w:val="000000"/>
                <w:kern w:val="0"/>
                <w:szCs w:val="21"/>
                <w:highlight w:val="none"/>
                <w:lang w:bidi="ar"/>
              </w:rPr>
            </w:pPr>
            <w:r>
              <w:rPr>
                <w:rFonts w:hint="eastAsia" w:ascii="宋体" w:hAnsi="宋体" w:cs="宋体"/>
                <w:color w:val="000000"/>
                <w:kern w:val="0"/>
                <w:szCs w:val="21"/>
                <w:highlight w:val="none"/>
                <w:lang w:bidi="ar"/>
              </w:rPr>
              <w:t>自确定之日起1年内不得成为运营公司各类采购项目供应商，</w:t>
            </w:r>
            <w:r>
              <w:rPr>
                <w:rFonts w:hint="eastAsia" w:ascii="宋体" w:hAnsi="宋体" w:eastAsia="宋体" w:cs="宋体"/>
                <w:color w:val="000000"/>
                <w:kern w:val="0"/>
                <w:szCs w:val="21"/>
                <w:highlight w:val="none"/>
                <w:lang w:bidi="ar"/>
              </w:rPr>
              <w:t>到期后按</w:t>
            </w:r>
            <w:r>
              <w:rPr>
                <w:rFonts w:hint="eastAsia" w:ascii="宋体" w:hAnsi="宋体" w:cs="宋体"/>
                <w:color w:val="000000"/>
                <w:kern w:val="0"/>
                <w:szCs w:val="21"/>
                <w:highlight w:val="none"/>
                <w:lang w:bidi="ar"/>
              </w:rPr>
              <w:t>6</w:t>
            </w:r>
            <w:r>
              <w:rPr>
                <w:rFonts w:hint="eastAsia" w:ascii="宋体" w:hAnsi="宋体" w:eastAsia="宋体" w:cs="宋体"/>
                <w:color w:val="000000"/>
                <w:kern w:val="0"/>
                <w:szCs w:val="21"/>
                <w:highlight w:val="none"/>
                <w:lang w:bidi="ar"/>
              </w:rPr>
              <w:t>.2.2条重新评价</w:t>
            </w:r>
            <w:r>
              <w:rPr>
                <w:rFonts w:hint="eastAsia" w:ascii="宋体" w:hAnsi="宋体" w:cs="宋体"/>
                <w:color w:val="000000"/>
                <w:kern w:val="0"/>
                <w:szCs w:val="21"/>
                <w:highlight w:val="none"/>
                <w:lang w:bidi="ar"/>
              </w:rPr>
              <w:t>。确有必要成交的由承办部门报运营公司采购管理委员会审议批准方可实施。上级单位另有要求的按上级单位要求执行。</w:t>
            </w:r>
          </w:p>
        </w:tc>
      </w:tr>
    </w:tbl>
    <w:p w14:paraId="657FD59F">
      <w:pPr>
        <w:spacing w:line="360" w:lineRule="auto"/>
        <w:ind w:firstLine="420" w:firstLineChars="200"/>
        <w:rPr>
          <w:rFonts w:ascii="宋体" w:hAnsi="宋体" w:cs="宋体"/>
          <w:sz w:val="24"/>
          <w:szCs w:val="24"/>
          <w:highlight w:val="none"/>
        </w:rPr>
      </w:pPr>
      <w:r>
        <w:rPr>
          <w:rFonts w:hint="eastAsia"/>
          <w:highlight w:val="none"/>
        </w:rPr>
        <w:t>自然年结束后，不再符合</w:t>
      </w:r>
      <w:r>
        <w:rPr>
          <w:rFonts w:hint="eastAsia" w:ascii="宋体" w:hAnsi="宋体" w:eastAsia="宋体" w:cs="宋体"/>
          <w:color w:val="000000"/>
          <w:kern w:val="0"/>
          <w:szCs w:val="21"/>
          <w:highlight w:val="none"/>
          <w:lang w:bidi="ar"/>
        </w:rPr>
        <w:t>免交</w:t>
      </w:r>
      <w:r>
        <w:rPr>
          <w:rFonts w:hint="eastAsia" w:ascii="宋体" w:hAnsi="宋体" w:cs="宋体"/>
          <w:color w:val="000000"/>
          <w:kern w:val="0"/>
          <w:szCs w:val="21"/>
          <w:highlight w:val="none"/>
          <w:lang w:bidi="ar"/>
        </w:rPr>
        <w:t>或</w:t>
      </w:r>
      <w:r>
        <w:rPr>
          <w:rFonts w:hint="eastAsia"/>
          <w:highlight w:val="none"/>
        </w:rPr>
        <w:t>缴纳长期报价保证金条件的供应商参与项目恢复报价保证金的缴纳。</w:t>
      </w:r>
    </w:p>
    <w:p w14:paraId="6849FE13">
      <w:pPr>
        <w:spacing w:line="360" w:lineRule="auto"/>
        <w:rPr>
          <w:rFonts w:ascii="宋体" w:hAnsi="宋体" w:cs="宋体"/>
          <w:sz w:val="24"/>
          <w:szCs w:val="24"/>
          <w:highlight w:val="none"/>
        </w:rPr>
      </w:pPr>
      <w:r>
        <w:rPr>
          <w:rFonts w:hint="eastAsia" w:ascii="宋体" w:hAnsi="宋体" w:cs="宋体"/>
          <w:sz w:val="24"/>
          <w:szCs w:val="24"/>
          <w:highlight w:val="none"/>
        </w:rPr>
        <w:t>三、供应商约谈管理</w:t>
      </w:r>
    </w:p>
    <w:p w14:paraId="22E5427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为强化责任落实，有效防止和减少各类事故的发生，敦促供应商提高安全生产责任意识，落实隐患、缺陷、故障等问题整改措施并执行到位，运营公司对存在问题的供应商进行约谈。</w:t>
      </w:r>
    </w:p>
    <w:p w14:paraId="60E01ED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约谈分为公司级、部门级两级。公司级约谈供应商须派副总经理及以上级别人员参会，部门级约谈供应商须派项目经理及以上级别人员参会。</w:t>
      </w:r>
    </w:p>
    <w:p w14:paraId="1D0AAA3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被约谈供应商无故不参加约谈或拒不落实约谈要求的，将予以考核直至列为黑名单供应商，属于建设合同供应商的将同时上报集团公司。</w:t>
      </w:r>
    </w:p>
    <w:p w14:paraId="27CA0D46">
      <w:pPr>
        <w:spacing w:line="360" w:lineRule="auto"/>
        <w:rPr>
          <w:rFonts w:ascii="宋体" w:hAnsi="宋体" w:cs="宋体"/>
          <w:sz w:val="24"/>
          <w:szCs w:val="24"/>
          <w:highlight w:val="none"/>
        </w:rPr>
      </w:pPr>
      <w:r>
        <w:rPr>
          <w:rFonts w:hint="eastAsia" w:ascii="宋体" w:hAnsi="宋体" w:cs="宋体"/>
          <w:sz w:val="24"/>
          <w:szCs w:val="24"/>
          <w:highlight w:val="none"/>
        </w:rPr>
        <w:t>四、其他管理要求</w:t>
      </w:r>
    </w:p>
    <w:p w14:paraId="15E1FC4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供应商须遵守《供应商送货规范》、《环境、职业健康安全要求告知书》。</w:t>
      </w:r>
    </w:p>
    <w:p w14:paraId="59366985">
      <w:pPr>
        <w:spacing w:line="360" w:lineRule="auto"/>
        <w:ind w:firstLine="482" w:firstLineChars="200"/>
        <w:rPr>
          <w:rFonts w:ascii="宋体" w:hAnsi="宋体" w:cs="宋体"/>
          <w:sz w:val="24"/>
          <w:szCs w:val="24"/>
          <w:highlight w:val="none"/>
        </w:rPr>
      </w:pPr>
      <w:r>
        <w:rPr>
          <w:rFonts w:hint="eastAsia" w:ascii="宋体" w:hAnsi="宋体" w:cs="宋体"/>
          <w:b/>
          <w:bCs/>
          <w:sz w:val="24"/>
          <w:szCs w:val="24"/>
          <w:highlight w:val="none"/>
        </w:rPr>
        <w:t>供应商参与运营公司采购活动即视为自愿遵守本《须知》所列各项规定并接受运营公司管理措施。</w:t>
      </w:r>
    </w:p>
    <w:p w14:paraId="2061470E">
      <w:pPr>
        <w:spacing w:before="20" w:after="20" w:line="360" w:lineRule="auto"/>
        <w:rPr>
          <w:rFonts w:ascii="黑体" w:hAnsi="黑体" w:eastAsia="黑体" w:cs="黑体"/>
          <w:sz w:val="24"/>
          <w:highlight w:val="none"/>
        </w:rPr>
      </w:pPr>
      <w:r>
        <w:rPr>
          <w:rFonts w:hint="eastAsia" w:ascii="宋体" w:hAnsi="宋体"/>
          <w:sz w:val="24"/>
          <w:highlight w:val="none"/>
        </w:rPr>
        <w:br w:type="page"/>
      </w:r>
      <w:r>
        <w:rPr>
          <w:rFonts w:hint="eastAsia" w:ascii="黑体" w:hAnsi="黑体" w:eastAsia="黑体" w:cs="黑体"/>
          <w:sz w:val="24"/>
          <w:highlight w:val="none"/>
        </w:rPr>
        <w:t>附表1：</w:t>
      </w:r>
    </w:p>
    <w:p w14:paraId="7C151D06">
      <w:pPr>
        <w:pStyle w:val="3"/>
        <w:spacing w:before="20" w:after="20"/>
        <w:rPr>
          <w:rFonts w:ascii="黑体" w:eastAsia="黑体"/>
          <w:sz w:val="28"/>
          <w:szCs w:val="28"/>
          <w:highlight w:val="none"/>
        </w:rPr>
      </w:pPr>
      <w:r>
        <w:rPr>
          <w:rStyle w:val="42"/>
          <w:rFonts w:hint="eastAsia" w:ascii="黑体" w:hAnsi="黑体" w:eastAsia="黑体" w:cs="黑体"/>
          <w:b w:val="0"/>
          <w:bCs w:val="0"/>
          <w:sz w:val="24"/>
          <w:szCs w:val="24"/>
          <w:highlight w:val="none"/>
        </w:rPr>
        <w:t>供应商警告、黄牌、红牌行为</w:t>
      </w:r>
    </w:p>
    <w:tbl>
      <w:tblPr>
        <w:tblStyle w:val="16"/>
        <w:tblW w:w="8258" w:type="dxa"/>
        <w:tblInd w:w="0" w:type="dxa"/>
        <w:tblLayout w:type="fixed"/>
        <w:tblCellMar>
          <w:top w:w="0" w:type="dxa"/>
          <w:left w:w="108" w:type="dxa"/>
          <w:bottom w:w="0" w:type="dxa"/>
          <w:right w:w="108" w:type="dxa"/>
        </w:tblCellMar>
      </w:tblPr>
      <w:tblGrid>
        <w:gridCol w:w="894"/>
        <w:gridCol w:w="849"/>
        <w:gridCol w:w="6515"/>
      </w:tblGrid>
      <w:tr w14:paraId="14AD6B25">
        <w:tblPrEx>
          <w:tblCellMar>
            <w:top w:w="0" w:type="dxa"/>
            <w:left w:w="108" w:type="dxa"/>
            <w:bottom w:w="0" w:type="dxa"/>
            <w:right w:w="108" w:type="dxa"/>
          </w:tblCellMar>
        </w:tblPrEx>
        <w:trPr>
          <w:trHeight w:val="370" w:hRule="atLeast"/>
          <w:tblHeader/>
        </w:trPr>
        <w:tc>
          <w:tcPr>
            <w:tcW w:w="894" w:type="dxa"/>
            <w:tcBorders>
              <w:top w:val="single" w:color="000000" w:sz="4" w:space="0"/>
              <w:left w:val="single" w:color="000000" w:sz="4" w:space="0"/>
              <w:bottom w:val="single" w:color="000000" w:sz="4" w:space="0"/>
              <w:right w:val="single" w:color="000000" w:sz="4" w:space="0"/>
            </w:tcBorders>
            <w:vAlign w:val="center"/>
          </w:tcPr>
          <w:p w14:paraId="1A9E6638">
            <w:pPr>
              <w:widowControl/>
              <w:jc w:val="center"/>
              <w:textAlignment w:val="center"/>
              <w:rPr>
                <w:rFonts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等级</w:t>
            </w:r>
          </w:p>
        </w:tc>
        <w:tc>
          <w:tcPr>
            <w:tcW w:w="849" w:type="dxa"/>
            <w:tcBorders>
              <w:top w:val="single" w:color="000000" w:sz="4" w:space="0"/>
              <w:left w:val="single" w:color="000000" w:sz="4" w:space="0"/>
              <w:bottom w:val="single" w:color="auto" w:sz="4" w:space="0"/>
              <w:right w:val="single" w:color="000000" w:sz="4" w:space="0"/>
            </w:tcBorders>
            <w:vAlign w:val="center"/>
          </w:tcPr>
          <w:p w14:paraId="374847F2">
            <w:pPr>
              <w:widowControl/>
              <w:jc w:val="center"/>
              <w:textAlignment w:val="center"/>
              <w:rPr>
                <w:rFonts w:ascii="宋体" w:hAnsi="宋体" w:eastAsia="宋体" w:cs="宋体"/>
                <w:color w:val="000000"/>
                <w:szCs w:val="21"/>
                <w:highlight w:val="none"/>
                <w:lang w:bidi="ar"/>
              </w:rPr>
            </w:pPr>
            <w:r>
              <w:rPr>
                <w:rFonts w:hint="eastAsia" w:ascii="宋体" w:hAnsi="宋体" w:eastAsia="宋体" w:cs="宋体"/>
                <w:b/>
                <w:bCs/>
                <w:color w:val="000000"/>
                <w:kern w:val="0"/>
                <w:szCs w:val="21"/>
                <w:highlight w:val="none"/>
                <w:lang w:bidi="ar"/>
              </w:rPr>
              <w:t>类型</w:t>
            </w:r>
          </w:p>
        </w:tc>
        <w:tc>
          <w:tcPr>
            <w:tcW w:w="6515" w:type="dxa"/>
            <w:tcBorders>
              <w:top w:val="single" w:color="000000" w:sz="4" w:space="0"/>
              <w:left w:val="single" w:color="000000" w:sz="4" w:space="0"/>
              <w:bottom w:val="single" w:color="auto" w:sz="4" w:space="0"/>
              <w:right w:val="single" w:color="000000" w:sz="4" w:space="0"/>
            </w:tcBorders>
            <w:vAlign w:val="center"/>
          </w:tcPr>
          <w:p w14:paraId="0A289B05">
            <w:pPr>
              <w:widowControl/>
              <w:jc w:val="center"/>
              <w:textAlignment w:val="center"/>
              <w:rPr>
                <w:rFonts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​内容​</w:t>
            </w:r>
          </w:p>
        </w:tc>
      </w:tr>
      <w:tr w14:paraId="399073CA">
        <w:tblPrEx>
          <w:tblCellMar>
            <w:top w:w="0" w:type="dxa"/>
            <w:left w:w="108" w:type="dxa"/>
            <w:bottom w:w="0" w:type="dxa"/>
            <w:right w:w="108" w:type="dxa"/>
          </w:tblCellMar>
        </w:tblPrEx>
        <w:trPr>
          <w:trHeight w:val="686" w:hRule="atLeast"/>
        </w:trPr>
        <w:tc>
          <w:tcPr>
            <w:tcW w:w="894" w:type="dxa"/>
            <w:vMerge w:val="restart"/>
            <w:tcBorders>
              <w:left w:val="single" w:color="000000" w:sz="4" w:space="0"/>
              <w:right w:val="single" w:color="000000" w:sz="4" w:space="0"/>
            </w:tcBorders>
            <w:textDirection w:val="tbLrV"/>
            <w:vAlign w:val="center"/>
          </w:tcPr>
          <w:p w14:paraId="230D1F2A">
            <w:pPr>
              <w:widowControl/>
              <w:ind w:left="113" w:right="113"/>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警告</w:t>
            </w:r>
          </w:p>
        </w:tc>
        <w:tc>
          <w:tcPr>
            <w:tcW w:w="849" w:type="dxa"/>
            <w:vMerge w:val="restart"/>
            <w:tcBorders>
              <w:top w:val="single" w:color="auto" w:sz="4" w:space="0"/>
              <w:left w:val="single" w:color="000000" w:sz="4" w:space="0"/>
              <w:right w:val="single" w:color="000000" w:sz="4" w:space="0"/>
            </w:tcBorders>
            <w:vAlign w:val="center"/>
          </w:tcPr>
          <w:p w14:paraId="0AA4B95E">
            <w:pPr>
              <w:widowControl/>
              <w:ind w:left="113" w:right="113"/>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技术质量类</w:t>
            </w:r>
          </w:p>
        </w:tc>
        <w:tc>
          <w:tcPr>
            <w:tcW w:w="6515" w:type="dxa"/>
            <w:tcBorders>
              <w:top w:val="single" w:color="auto" w:sz="4" w:space="0"/>
              <w:left w:val="single" w:color="000000" w:sz="4" w:space="0"/>
              <w:bottom w:val="single" w:color="000000" w:sz="4" w:space="0"/>
              <w:right w:val="single" w:color="000000" w:sz="4" w:space="0"/>
            </w:tcBorders>
            <w:vAlign w:val="center"/>
          </w:tcPr>
          <w:p w14:paraId="02C70838">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六个月内同类设施设备本体故障引发3起及以上V级运营质量事件的。</w:t>
            </w:r>
          </w:p>
        </w:tc>
      </w:tr>
      <w:tr w14:paraId="4C6A2E4F">
        <w:tblPrEx>
          <w:tblCellMar>
            <w:top w:w="0" w:type="dxa"/>
            <w:left w:w="108" w:type="dxa"/>
            <w:bottom w:w="0" w:type="dxa"/>
            <w:right w:w="108" w:type="dxa"/>
          </w:tblCellMar>
        </w:tblPrEx>
        <w:trPr>
          <w:trHeight w:val="836" w:hRule="atLeast"/>
        </w:trPr>
        <w:tc>
          <w:tcPr>
            <w:tcW w:w="894" w:type="dxa"/>
            <w:vMerge w:val="continue"/>
            <w:tcBorders>
              <w:left w:val="single" w:color="000000" w:sz="4" w:space="0"/>
              <w:right w:val="single" w:color="000000" w:sz="4" w:space="0"/>
            </w:tcBorders>
            <w:vAlign w:val="center"/>
          </w:tcPr>
          <w:p w14:paraId="21A1273D">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left w:val="single" w:color="000000" w:sz="4" w:space="0"/>
              <w:right w:val="single" w:color="000000" w:sz="4" w:space="0"/>
            </w:tcBorders>
            <w:vAlign w:val="center"/>
          </w:tcPr>
          <w:p w14:paraId="77E96BD4">
            <w:pPr>
              <w:widowControl/>
              <w:jc w:val="center"/>
              <w:textAlignment w:val="center"/>
              <w:rPr>
                <w:rFonts w:ascii="宋体" w:hAnsi="宋体" w:eastAsia="宋体" w:cs="宋体"/>
                <w:color w:val="000000"/>
                <w:kern w:val="0"/>
                <w:szCs w:val="21"/>
                <w:highlight w:val="none"/>
                <w:lang w:bidi="ar"/>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3C71BC81">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六个月内同类设施设备本体故障引发2起及以上Ⅳ级及以上运营质量事件的。</w:t>
            </w:r>
          </w:p>
        </w:tc>
      </w:tr>
      <w:tr w14:paraId="3C694E5E">
        <w:tblPrEx>
          <w:tblCellMar>
            <w:top w:w="0" w:type="dxa"/>
            <w:left w:w="108" w:type="dxa"/>
            <w:bottom w:w="0" w:type="dxa"/>
            <w:right w:w="108" w:type="dxa"/>
          </w:tblCellMar>
        </w:tblPrEx>
        <w:trPr>
          <w:trHeight w:val="889" w:hRule="atLeast"/>
        </w:trPr>
        <w:tc>
          <w:tcPr>
            <w:tcW w:w="894" w:type="dxa"/>
            <w:vMerge w:val="continue"/>
            <w:tcBorders>
              <w:left w:val="single" w:color="000000" w:sz="4" w:space="0"/>
              <w:right w:val="single" w:color="000000" w:sz="4" w:space="0"/>
            </w:tcBorders>
            <w:vAlign w:val="center"/>
          </w:tcPr>
          <w:p w14:paraId="0547D316">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left w:val="single" w:color="000000" w:sz="4" w:space="0"/>
              <w:right w:val="single" w:color="000000" w:sz="4" w:space="0"/>
            </w:tcBorders>
            <w:vAlign w:val="center"/>
          </w:tcPr>
          <w:p w14:paraId="0F310391">
            <w:pPr>
              <w:widowControl/>
              <w:jc w:val="center"/>
              <w:textAlignment w:val="center"/>
              <w:rPr>
                <w:rFonts w:ascii="宋体" w:hAnsi="宋体" w:eastAsia="宋体" w:cs="宋体"/>
                <w:color w:val="000000"/>
                <w:kern w:val="0"/>
                <w:szCs w:val="21"/>
                <w:highlight w:val="none"/>
                <w:lang w:bidi="ar"/>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46763A68">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设施设备季度运行可靠度/故障修复率低于运营公司要求，经核实确为维修/改造质量造成的（以当年运营公司正式发布的可靠度/故障修复率指标为准）。</w:t>
            </w:r>
          </w:p>
        </w:tc>
      </w:tr>
      <w:tr w14:paraId="4C0EC8F9">
        <w:tblPrEx>
          <w:tblCellMar>
            <w:top w:w="0" w:type="dxa"/>
            <w:left w:w="108" w:type="dxa"/>
            <w:bottom w:w="0" w:type="dxa"/>
            <w:right w:w="108" w:type="dxa"/>
          </w:tblCellMar>
        </w:tblPrEx>
        <w:trPr>
          <w:trHeight w:val="599" w:hRule="atLeast"/>
        </w:trPr>
        <w:tc>
          <w:tcPr>
            <w:tcW w:w="894" w:type="dxa"/>
            <w:vMerge w:val="continue"/>
            <w:tcBorders>
              <w:left w:val="single" w:color="000000" w:sz="4" w:space="0"/>
              <w:right w:val="single" w:color="000000" w:sz="4" w:space="0"/>
            </w:tcBorders>
            <w:vAlign w:val="center"/>
          </w:tcPr>
          <w:p w14:paraId="3E02311D">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left w:val="single" w:color="000000" w:sz="4" w:space="0"/>
              <w:right w:val="single" w:color="000000" w:sz="4" w:space="0"/>
            </w:tcBorders>
            <w:vAlign w:val="center"/>
          </w:tcPr>
          <w:p w14:paraId="0A6998D0">
            <w:pPr>
              <w:widowControl/>
              <w:jc w:val="center"/>
              <w:textAlignment w:val="center"/>
              <w:rPr>
                <w:rFonts w:ascii="宋体" w:hAnsi="宋体" w:eastAsia="宋体" w:cs="宋体"/>
                <w:color w:val="000000"/>
                <w:kern w:val="0"/>
                <w:szCs w:val="21"/>
                <w:highlight w:val="none"/>
                <w:lang w:bidi="ar"/>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595A8FA0">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未按维修计划开展维修作业，但未对设备或运营产生影响。</w:t>
            </w:r>
          </w:p>
        </w:tc>
      </w:tr>
      <w:tr w14:paraId="3EA68932">
        <w:tblPrEx>
          <w:tblCellMar>
            <w:top w:w="0" w:type="dxa"/>
            <w:left w:w="108" w:type="dxa"/>
            <w:bottom w:w="0" w:type="dxa"/>
            <w:right w:w="108" w:type="dxa"/>
          </w:tblCellMar>
        </w:tblPrEx>
        <w:trPr>
          <w:trHeight w:val="637" w:hRule="atLeast"/>
        </w:trPr>
        <w:tc>
          <w:tcPr>
            <w:tcW w:w="894" w:type="dxa"/>
            <w:vMerge w:val="continue"/>
            <w:tcBorders>
              <w:left w:val="single" w:color="000000" w:sz="4" w:space="0"/>
              <w:right w:val="single" w:color="000000" w:sz="4" w:space="0"/>
            </w:tcBorders>
            <w:vAlign w:val="center"/>
          </w:tcPr>
          <w:p w14:paraId="661F507E">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left w:val="single" w:color="000000" w:sz="4" w:space="0"/>
              <w:right w:val="single" w:color="000000" w:sz="4" w:space="0"/>
            </w:tcBorders>
            <w:vAlign w:val="center"/>
          </w:tcPr>
          <w:p w14:paraId="1D8586D9">
            <w:pPr>
              <w:widowControl/>
              <w:jc w:val="center"/>
              <w:textAlignment w:val="center"/>
              <w:rPr>
                <w:rFonts w:ascii="宋体" w:hAnsi="宋体" w:eastAsia="宋体" w:cs="宋体"/>
                <w:color w:val="000000"/>
                <w:kern w:val="0"/>
                <w:szCs w:val="21"/>
                <w:highlight w:val="none"/>
                <w:lang w:bidi="ar"/>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307B7725">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抽查或评估发现</w:t>
            </w:r>
            <w:r>
              <w:rPr>
                <w:rFonts w:ascii="宋体" w:hAnsi="宋体" w:eastAsia="宋体" w:cs="宋体"/>
                <w:color w:val="000000"/>
                <w:kern w:val="0"/>
                <w:szCs w:val="21"/>
                <w:highlight w:val="none"/>
                <w:lang w:bidi="ar"/>
              </w:rPr>
              <w:t>未按技术标准或工艺规程作业</w:t>
            </w:r>
            <w:r>
              <w:rPr>
                <w:rFonts w:hint="eastAsia" w:ascii="宋体" w:hAnsi="宋体" w:eastAsia="宋体" w:cs="宋体"/>
                <w:color w:val="000000"/>
                <w:kern w:val="0"/>
                <w:szCs w:val="21"/>
                <w:highlight w:val="none"/>
                <w:lang w:bidi="ar"/>
              </w:rPr>
              <w:t>。</w:t>
            </w:r>
          </w:p>
        </w:tc>
      </w:tr>
      <w:tr w14:paraId="66DF05D0">
        <w:tblPrEx>
          <w:tblCellMar>
            <w:top w:w="0" w:type="dxa"/>
            <w:left w:w="108" w:type="dxa"/>
            <w:bottom w:w="0" w:type="dxa"/>
            <w:right w:w="108" w:type="dxa"/>
          </w:tblCellMar>
        </w:tblPrEx>
        <w:trPr>
          <w:trHeight w:val="938" w:hRule="atLeast"/>
        </w:trPr>
        <w:tc>
          <w:tcPr>
            <w:tcW w:w="894" w:type="dxa"/>
            <w:vMerge w:val="continue"/>
            <w:tcBorders>
              <w:left w:val="single" w:color="000000" w:sz="4" w:space="0"/>
              <w:right w:val="single" w:color="000000" w:sz="4" w:space="0"/>
            </w:tcBorders>
            <w:vAlign w:val="center"/>
          </w:tcPr>
          <w:p w14:paraId="50B102E9">
            <w:pPr>
              <w:widowControl/>
              <w:jc w:val="center"/>
              <w:textAlignment w:val="center"/>
              <w:rPr>
                <w:rFonts w:ascii="宋体" w:hAnsi="宋体" w:eastAsia="宋体" w:cs="宋体"/>
                <w:color w:val="000000"/>
                <w:szCs w:val="21"/>
                <w:highlight w:val="none"/>
              </w:rPr>
            </w:pPr>
          </w:p>
        </w:tc>
        <w:tc>
          <w:tcPr>
            <w:tcW w:w="849" w:type="dxa"/>
            <w:vMerge w:val="restart"/>
            <w:tcBorders>
              <w:top w:val="single" w:color="000000" w:sz="4" w:space="0"/>
              <w:left w:val="single" w:color="000000" w:sz="4" w:space="0"/>
              <w:right w:val="single" w:color="000000" w:sz="4" w:space="0"/>
            </w:tcBorders>
            <w:textDirection w:val="tbLrV"/>
            <w:vAlign w:val="center"/>
          </w:tcPr>
          <w:p w14:paraId="6827480A">
            <w:pPr>
              <w:widowControl/>
              <w:ind w:left="113" w:right="113"/>
              <w:jc w:val="center"/>
              <w:textAlignment w:val="center"/>
              <w:rPr>
                <w:rFonts w:ascii="宋体" w:hAnsi="宋体" w:eastAsia="宋体" w:cs="宋体"/>
                <w:color w:val="000000"/>
                <w:kern w:val="0"/>
                <w:szCs w:val="21"/>
                <w:highlight w:val="none"/>
                <w:lang w:bidi="ar"/>
              </w:rPr>
            </w:pPr>
            <w:r>
              <w:rPr>
                <w:rFonts w:ascii="宋体" w:hAnsi="宋体" w:eastAsia="宋体" w:cs="宋体"/>
                <w:color w:val="000000"/>
                <w:kern w:val="0"/>
                <w:szCs w:val="21"/>
                <w:highlight w:val="none"/>
                <w:lang w:bidi="ar"/>
              </w:rPr>
              <w:t>安全生产类</w:t>
            </w:r>
          </w:p>
        </w:tc>
        <w:tc>
          <w:tcPr>
            <w:tcW w:w="6515" w:type="dxa"/>
            <w:tcBorders>
              <w:top w:val="single" w:color="000000" w:sz="4" w:space="0"/>
              <w:left w:val="single" w:color="000000" w:sz="4" w:space="0"/>
              <w:bottom w:val="single" w:color="000000" w:sz="4" w:space="0"/>
              <w:right w:val="single" w:color="000000" w:sz="4" w:space="0"/>
            </w:tcBorders>
            <w:vAlign w:val="center"/>
          </w:tcPr>
          <w:p w14:paraId="1E96A8F9">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未按合同、协议等要求，建立岗位安全生产责任制，未建立安全技术交底、安全生产教育培训、应急抢修或应急处置、关键节点验收等管理制度。</w:t>
            </w:r>
          </w:p>
        </w:tc>
      </w:tr>
      <w:tr w14:paraId="75818BA0">
        <w:tblPrEx>
          <w:tblCellMar>
            <w:top w:w="0" w:type="dxa"/>
            <w:left w:w="108" w:type="dxa"/>
            <w:bottom w:w="0" w:type="dxa"/>
            <w:right w:w="108" w:type="dxa"/>
          </w:tblCellMar>
        </w:tblPrEx>
        <w:trPr>
          <w:trHeight w:val="1134" w:hRule="atLeast"/>
        </w:trPr>
        <w:tc>
          <w:tcPr>
            <w:tcW w:w="894" w:type="dxa"/>
            <w:vMerge w:val="continue"/>
            <w:tcBorders>
              <w:left w:val="single" w:color="000000" w:sz="4" w:space="0"/>
              <w:right w:val="single" w:color="000000" w:sz="4" w:space="0"/>
            </w:tcBorders>
            <w:vAlign w:val="center"/>
          </w:tcPr>
          <w:p w14:paraId="0AEE8010">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vAlign w:val="center"/>
          </w:tcPr>
          <w:p w14:paraId="20D893B2">
            <w:pPr>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6F192C3C">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未按合同、协议等要求，对重点施工作业开展风险辨识、未制定并落实风险管控措施，或未按要求编制危险性较大施工作业专项施工方案并履行审核批准手续。</w:t>
            </w:r>
          </w:p>
        </w:tc>
      </w:tr>
      <w:tr w14:paraId="62D67BB8">
        <w:tblPrEx>
          <w:tblCellMar>
            <w:top w:w="0" w:type="dxa"/>
            <w:left w:w="108" w:type="dxa"/>
            <w:bottom w:w="0" w:type="dxa"/>
            <w:right w:w="108" w:type="dxa"/>
          </w:tblCellMar>
        </w:tblPrEx>
        <w:trPr>
          <w:trHeight w:val="695" w:hRule="atLeast"/>
        </w:trPr>
        <w:tc>
          <w:tcPr>
            <w:tcW w:w="894" w:type="dxa"/>
            <w:vMerge w:val="continue"/>
            <w:tcBorders>
              <w:left w:val="single" w:color="000000" w:sz="4" w:space="0"/>
              <w:right w:val="single" w:color="000000" w:sz="4" w:space="0"/>
            </w:tcBorders>
            <w:vAlign w:val="center"/>
          </w:tcPr>
          <w:p w14:paraId="66383E83">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vAlign w:val="center"/>
          </w:tcPr>
          <w:p w14:paraId="2E1E865C">
            <w:pPr>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3DBB4E4B">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进场设施设备、材料不符合运营公司要求，或已用于施工作业的材料、设施设备不符合相关消防、技术、质量等要求。</w:t>
            </w:r>
          </w:p>
        </w:tc>
      </w:tr>
      <w:tr w14:paraId="2F168502">
        <w:tblPrEx>
          <w:tblCellMar>
            <w:top w:w="0" w:type="dxa"/>
            <w:left w:w="108" w:type="dxa"/>
            <w:bottom w:w="0" w:type="dxa"/>
            <w:right w:w="108" w:type="dxa"/>
          </w:tblCellMar>
        </w:tblPrEx>
        <w:trPr>
          <w:trHeight w:val="745" w:hRule="atLeast"/>
        </w:trPr>
        <w:tc>
          <w:tcPr>
            <w:tcW w:w="894" w:type="dxa"/>
            <w:vMerge w:val="continue"/>
            <w:tcBorders>
              <w:left w:val="single" w:color="000000" w:sz="4" w:space="0"/>
              <w:right w:val="single" w:color="000000" w:sz="4" w:space="0"/>
            </w:tcBorders>
            <w:vAlign w:val="center"/>
          </w:tcPr>
          <w:p w14:paraId="7BE1A2DC">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vAlign w:val="center"/>
          </w:tcPr>
          <w:p w14:paraId="09B93EFD">
            <w:pPr>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00A4A6D9">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安全管理、考勤、应急演练、安全教育培训等台账造假或提报、上传不及时影响生产。</w:t>
            </w:r>
          </w:p>
        </w:tc>
      </w:tr>
      <w:tr w14:paraId="54BBAB44">
        <w:tblPrEx>
          <w:tblCellMar>
            <w:top w:w="0" w:type="dxa"/>
            <w:left w:w="108" w:type="dxa"/>
            <w:bottom w:w="0" w:type="dxa"/>
            <w:right w:w="108" w:type="dxa"/>
          </w:tblCellMar>
        </w:tblPrEx>
        <w:trPr>
          <w:trHeight w:val="661" w:hRule="atLeast"/>
        </w:trPr>
        <w:tc>
          <w:tcPr>
            <w:tcW w:w="894" w:type="dxa"/>
            <w:vMerge w:val="continue"/>
            <w:tcBorders>
              <w:left w:val="single" w:color="000000" w:sz="4" w:space="0"/>
              <w:right w:val="single" w:color="000000" w:sz="4" w:space="0"/>
            </w:tcBorders>
            <w:vAlign w:val="center"/>
          </w:tcPr>
          <w:p w14:paraId="2925EA78">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vAlign w:val="center"/>
          </w:tcPr>
          <w:p w14:paraId="155799F6">
            <w:pPr>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226E123C">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未按合同、协议等要求，编制施工、监测等方案，或应组织专家论证的方案实际未组织即实施。</w:t>
            </w:r>
          </w:p>
        </w:tc>
      </w:tr>
      <w:tr w14:paraId="70196823">
        <w:tblPrEx>
          <w:tblCellMar>
            <w:top w:w="0" w:type="dxa"/>
            <w:left w:w="108" w:type="dxa"/>
            <w:bottom w:w="0" w:type="dxa"/>
            <w:right w:w="108" w:type="dxa"/>
          </w:tblCellMar>
        </w:tblPrEx>
        <w:trPr>
          <w:trHeight w:val="748" w:hRule="atLeast"/>
        </w:trPr>
        <w:tc>
          <w:tcPr>
            <w:tcW w:w="894" w:type="dxa"/>
            <w:vMerge w:val="continue"/>
            <w:tcBorders>
              <w:left w:val="single" w:color="000000" w:sz="4" w:space="0"/>
              <w:right w:val="single" w:color="000000" w:sz="4" w:space="0"/>
            </w:tcBorders>
            <w:vAlign w:val="center"/>
          </w:tcPr>
          <w:p w14:paraId="35B48009">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vAlign w:val="center"/>
          </w:tcPr>
          <w:p w14:paraId="50053204">
            <w:pPr>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07DEC22F">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未按照监测方案要求开展监测工作，或擅自减少监测频率或停测，监测运转体系不正常。</w:t>
            </w:r>
          </w:p>
        </w:tc>
      </w:tr>
      <w:tr w14:paraId="30D7029D">
        <w:tblPrEx>
          <w:tblCellMar>
            <w:top w:w="0" w:type="dxa"/>
            <w:left w:w="108" w:type="dxa"/>
            <w:bottom w:w="0" w:type="dxa"/>
            <w:right w:w="108" w:type="dxa"/>
          </w:tblCellMar>
        </w:tblPrEx>
        <w:trPr>
          <w:trHeight w:val="733" w:hRule="atLeast"/>
        </w:trPr>
        <w:tc>
          <w:tcPr>
            <w:tcW w:w="894" w:type="dxa"/>
            <w:vMerge w:val="continue"/>
            <w:tcBorders>
              <w:left w:val="single" w:color="000000" w:sz="4" w:space="0"/>
              <w:right w:val="single" w:color="000000" w:sz="4" w:space="0"/>
            </w:tcBorders>
            <w:vAlign w:val="center"/>
          </w:tcPr>
          <w:p w14:paraId="178BC21A">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vAlign w:val="center"/>
          </w:tcPr>
          <w:p w14:paraId="32C23D26">
            <w:pPr>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61C37A1A">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未遵守《通用安全管理办法》《公共卫生管理办法》禁烟相关管理规定。</w:t>
            </w:r>
          </w:p>
        </w:tc>
      </w:tr>
      <w:tr w14:paraId="401EDDDC">
        <w:tblPrEx>
          <w:tblCellMar>
            <w:top w:w="0" w:type="dxa"/>
            <w:left w:w="108" w:type="dxa"/>
            <w:bottom w:w="0" w:type="dxa"/>
            <w:right w:w="108" w:type="dxa"/>
          </w:tblCellMar>
        </w:tblPrEx>
        <w:trPr>
          <w:trHeight w:val="445" w:hRule="atLeast"/>
        </w:trPr>
        <w:tc>
          <w:tcPr>
            <w:tcW w:w="894" w:type="dxa"/>
            <w:vMerge w:val="continue"/>
            <w:tcBorders>
              <w:left w:val="single" w:color="000000" w:sz="4" w:space="0"/>
              <w:right w:val="single" w:color="000000" w:sz="4" w:space="0"/>
            </w:tcBorders>
            <w:vAlign w:val="center"/>
          </w:tcPr>
          <w:p w14:paraId="28E4A8C6">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vAlign w:val="center"/>
          </w:tcPr>
          <w:p w14:paraId="3464EA12">
            <w:pPr>
              <w:widowControl/>
              <w:jc w:val="center"/>
              <w:textAlignment w:val="center"/>
              <w:rPr>
                <w:rFonts w:ascii="宋体" w:hAnsi="宋体" w:eastAsia="宋体" w:cs="宋体"/>
                <w:color w:val="000000"/>
                <w:kern w:val="0"/>
                <w:szCs w:val="21"/>
                <w:highlight w:val="none"/>
                <w:lang w:bidi="ar"/>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3330832E">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现场负责人违章指挥作业。</w:t>
            </w:r>
          </w:p>
        </w:tc>
      </w:tr>
      <w:tr w14:paraId="091323C9">
        <w:tblPrEx>
          <w:tblCellMar>
            <w:top w:w="0" w:type="dxa"/>
            <w:left w:w="108" w:type="dxa"/>
            <w:bottom w:w="0" w:type="dxa"/>
            <w:right w:w="108" w:type="dxa"/>
          </w:tblCellMar>
        </w:tblPrEx>
        <w:trPr>
          <w:trHeight w:val="629" w:hRule="atLeast"/>
        </w:trPr>
        <w:tc>
          <w:tcPr>
            <w:tcW w:w="894" w:type="dxa"/>
            <w:vMerge w:val="continue"/>
            <w:tcBorders>
              <w:left w:val="single" w:color="000000" w:sz="4" w:space="0"/>
              <w:right w:val="single" w:color="000000" w:sz="4" w:space="0"/>
            </w:tcBorders>
            <w:vAlign w:val="center"/>
          </w:tcPr>
          <w:p w14:paraId="2DE5DCC3">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vAlign w:val="center"/>
          </w:tcPr>
          <w:p w14:paraId="6B16B284">
            <w:pPr>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24D03451">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作业人员存在不规范施工行为的，如高空作业无安全防护措施、违规接电用电等。</w:t>
            </w:r>
          </w:p>
        </w:tc>
      </w:tr>
      <w:tr w14:paraId="68948010">
        <w:tblPrEx>
          <w:tblCellMar>
            <w:top w:w="0" w:type="dxa"/>
            <w:left w:w="108" w:type="dxa"/>
            <w:bottom w:w="0" w:type="dxa"/>
            <w:right w:w="108" w:type="dxa"/>
          </w:tblCellMar>
        </w:tblPrEx>
        <w:trPr>
          <w:trHeight w:val="421" w:hRule="atLeast"/>
        </w:trPr>
        <w:tc>
          <w:tcPr>
            <w:tcW w:w="894" w:type="dxa"/>
            <w:vMerge w:val="continue"/>
            <w:tcBorders>
              <w:left w:val="single" w:color="000000" w:sz="4" w:space="0"/>
              <w:right w:val="single" w:color="000000" w:sz="4" w:space="0"/>
            </w:tcBorders>
            <w:vAlign w:val="center"/>
          </w:tcPr>
          <w:p w14:paraId="6EA6D8C1">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vAlign w:val="center"/>
          </w:tcPr>
          <w:p w14:paraId="37EFDC1C">
            <w:pPr>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214CA43B">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未经运营公司允许擅自进入设备房，或擅动其他专业管辖的设备。</w:t>
            </w:r>
          </w:p>
        </w:tc>
      </w:tr>
      <w:tr w14:paraId="0CC9FA77">
        <w:tblPrEx>
          <w:tblCellMar>
            <w:top w:w="0" w:type="dxa"/>
            <w:left w:w="108" w:type="dxa"/>
            <w:bottom w:w="0" w:type="dxa"/>
            <w:right w:w="108" w:type="dxa"/>
          </w:tblCellMar>
        </w:tblPrEx>
        <w:trPr>
          <w:trHeight w:val="629" w:hRule="atLeast"/>
        </w:trPr>
        <w:tc>
          <w:tcPr>
            <w:tcW w:w="894" w:type="dxa"/>
            <w:vMerge w:val="continue"/>
            <w:tcBorders>
              <w:left w:val="single" w:color="000000" w:sz="4" w:space="0"/>
              <w:right w:val="single" w:color="000000" w:sz="4" w:space="0"/>
            </w:tcBorders>
            <w:vAlign w:val="center"/>
          </w:tcPr>
          <w:p w14:paraId="12E63B62">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vAlign w:val="center"/>
          </w:tcPr>
          <w:p w14:paraId="5B3A08FB">
            <w:pPr>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31C7A0D1">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未按运营公司要求办理或完善相关作业手续，擅自进场施工或离场。</w:t>
            </w:r>
          </w:p>
        </w:tc>
      </w:tr>
      <w:tr w14:paraId="3671E3E3">
        <w:tblPrEx>
          <w:tblCellMar>
            <w:top w:w="0" w:type="dxa"/>
            <w:left w:w="108" w:type="dxa"/>
            <w:bottom w:w="0" w:type="dxa"/>
            <w:right w:w="108" w:type="dxa"/>
          </w:tblCellMar>
        </w:tblPrEx>
        <w:trPr>
          <w:trHeight w:val="446" w:hRule="atLeast"/>
        </w:trPr>
        <w:tc>
          <w:tcPr>
            <w:tcW w:w="894" w:type="dxa"/>
            <w:vMerge w:val="continue"/>
            <w:tcBorders>
              <w:left w:val="single" w:color="000000" w:sz="4" w:space="0"/>
              <w:right w:val="single" w:color="000000" w:sz="4" w:space="0"/>
            </w:tcBorders>
            <w:vAlign w:val="center"/>
          </w:tcPr>
          <w:p w14:paraId="7E67C56B">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vAlign w:val="center"/>
          </w:tcPr>
          <w:p w14:paraId="5889195E">
            <w:pPr>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47C7372D">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未按施工方案施工，或实际作业内容与施工计划不符。</w:t>
            </w:r>
          </w:p>
        </w:tc>
      </w:tr>
      <w:tr w14:paraId="00B48063">
        <w:tblPrEx>
          <w:tblCellMar>
            <w:top w:w="0" w:type="dxa"/>
            <w:left w:w="108" w:type="dxa"/>
            <w:bottom w:w="0" w:type="dxa"/>
            <w:right w:w="108" w:type="dxa"/>
          </w:tblCellMar>
        </w:tblPrEx>
        <w:trPr>
          <w:trHeight w:val="446" w:hRule="atLeast"/>
        </w:trPr>
        <w:tc>
          <w:tcPr>
            <w:tcW w:w="894" w:type="dxa"/>
            <w:vMerge w:val="continue"/>
            <w:tcBorders>
              <w:left w:val="single" w:color="000000" w:sz="4" w:space="0"/>
              <w:right w:val="single" w:color="000000" w:sz="4" w:space="0"/>
            </w:tcBorders>
            <w:vAlign w:val="center"/>
          </w:tcPr>
          <w:p w14:paraId="279B6F9A">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vAlign w:val="center"/>
          </w:tcPr>
          <w:p w14:paraId="686DC435">
            <w:pPr>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46F42B72">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未按要求办理有限空间、动火作业等特种作业审批手续。</w:t>
            </w:r>
          </w:p>
        </w:tc>
      </w:tr>
      <w:tr w14:paraId="7083ADBD">
        <w:tblPrEx>
          <w:tblCellMar>
            <w:top w:w="0" w:type="dxa"/>
            <w:left w:w="108" w:type="dxa"/>
            <w:bottom w:w="0" w:type="dxa"/>
            <w:right w:w="108" w:type="dxa"/>
          </w:tblCellMar>
        </w:tblPrEx>
        <w:trPr>
          <w:trHeight w:val="629" w:hRule="atLeast"/>
        </w:trPr>
        <w:tc>
          <w:tcPr>
            <w:tcW w:w="894" w:type="dxa"/>
            <w:vMerge w:val="continue"/>
            <w:tcBorders>
              <w:left w:val="single" w:color="000000" w:sz="4" w:space="0"/>
              <w:right w:val="single" w:color="000000" w:sz="4" w:space="0"/>
            </w:tcBorders>
            <w:vAlign w:val="center"/>
          </w:tcPr>
          <w:p w14:paraId="2A9849BF">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vAlign w:val="center"/>
          </w:tcPr>
          <w:p w14:paraId="74AABA96">
            <w:pPr>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66A3A662">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发生严重违章（规）事件或引发乘客投诉、媒体曝光等对运营公司造成不良影响，经查负有责任的。</w:t>
            </w:r>
          </w:p>
        </w:tc>
      </w:tr>
      <w:tr w14:paraId="3708061C">
        <w:tblPrEx>
          <w:tblCellMar>
            <w:top w:w="0" w:type="dxa"/>
            <w:left w:w="108" w:type="dxa"/>
            <w:bottom w:w="0" w:type="dxa"/>
            <w:right w:w="108" w:type="dxa"/>
          </w:tblCellMar>
        </w:tblPrEx>
        <w:trPr>
          <w:trHeight w:val="406" w:hRule="atLeast"/>
        </w:trPr>
        <w:tc>
          <w:tcPr>
            <w:tcW w:w="894" w:type="dxa"/>
            <w:vMerge w:val="continue"/>
            <w:tcBorders>
              <w:left w:val="single" w:color="000000" w:sz="4" w:space="0"/>
              <w:right w:val="single" w:color="000000" w:sz="4" w:space="0"/>
            </w:tcBorders>
            <w:vAlign w:val="center"/>
          </w:tcPr>
          <w:p w14:paraId="63EA4647">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vAlign w:val="center"/>
          </w:tcPr>
          <w:p w14:paraId="30867FB2">
            <w:pPr>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04B39F6B">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造成5-10分钟（不含10分钟）晚点的。</w:t>
            </w:r>
          </w:p>
        </w:tc>
      </w:tr>
      <w:tr w14:paraId="39BE0F7C">
        <w:tblPrEx>
          <w:tblCellMar>
            <w:top w:w="0" w:type="dxa"/>
            <w:left w:w="108" w:type="dxa"/>
            <w:bottom w:w="0" w:type="dxa"/>
            <w:right w:w="108" w:type="dxa"/>
          </w:tblCellMar>
        </w:tblPrEx>
        <w:trPr>
          <w:trHeight w:val="629" w:hRule="atLeast"/>
        </w:trPr>
        <w:tc>
          <w:tcPr>
            <w:tcW w:w="894" w:type="dxa"/>
            <w:vMerge w:val="continue"/>
            <w:tcBorders>
              <w:left w:val="single" w:color="000000" w:sz="4" w:space="0"/>
              <w:bottom w:val="single" w:color="000000" w:sz="4" w:space="0"/>
              <w:right w:val="single" w:color="000000" w:sz="4" w:space="0"/>
            </w:tcBorders>
            <w:vAlign w:val="center"/>
          </w:tcPr>
          <w:p w14:paraId="73213EE9">
            <w:pPr>
              <w:jc w:val="center"/>
              <w:rPr>
                <w:rFonts w:ascii="宋体" w:hAnsi="宋体" w:eastAsia="宋体" w:cs="宋体"/>
                <w:color w:val="000000"/>
                <w:szCs w:val="21"/>
                <w:highlight w:val="none"/>
              </w:rPr>
            </w:pPr>
          </w:p>
        </w:tc>
        <w:tc>
          <w:tcPr>
            <w:tcW w:w="849" w:type="dxa"/>
            <w:vMerge w:val="continue"/>
            <w:tcBorders>
              <w:left w:val="single" w:color="000000" w:sz="4" w:space="0"/>
              <w:bottom w:val="single" w:color="000000" w:sz="4" w:space="0"/>
              <w:right w:val="single" w:color="000000" w:sz="4" w:space="0"/>
            </w:tcBorders>
            <w:vAlign w:val="center"/>
          </w:tcPr>
          <w:p w14:paraId="2CC671B2">
            <w:pPr>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29B6939B">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相关规章、协议、合同内规定的其他降低质量标准、安全生产条件的行为。</w:t>
            </w:r>
          </w:p>
        </w:tc>
      </w:tr>
      <w:tr w14:paraId="158C3A4D">
        <w:tblPrEx>
          <w:tblCellMar>
            <w:top w:w="0" w:type="dxa"/>
            <w:left w:w="108" w:type="dxa"/>
            <w:bottom w:w="0" w:type="dxa"/>
            <w:right w:w="108" w:type="dxa"/>
          </w:tblCellMar>
        </w:tblPrEx>
        <w:trPr>
          <w:trHeight w:val="629" w:hRule="atLeast"/>
        </w:trPr>
        <w:tc>
          <w:tcPr>
            <w:tcW w:w="894" w:type="dxa"/>
            <w:vMerge w:val="restart"/>
            <w:tcBorders>
              <w:top w:val="single" w:color="000000" w:sz="4" w:space="0"/>
              <w:left w:val="single" w:color="000000" w:sz="4" w:space="0"/>
              <w:right w:val="single" w:color="000000" w:sz="4" w:space="0"/>
            </w:tcBorders>
            <w:textDirection w:val="tbRlV"/>
            <w:vAlign w:val="center"/>
          </w:tcPr>
          <w:p w14:paraId="65009B68">
            <w:pPr>
              <w:widowControl/>
              <w:ind w:left="113" w:right="113"/>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​黄牌​</w:t>
            </w:r>
          </w:p>
        </w:tc>
        <w:tc>
          <w:tcPr>
            <w:tcW w:w="849" w:type="dxa"/>
            <w:vMerge w:val="restart"/>
            <w:tcBorders>
              <w:top w:val="single" w:color="000000" w:sz="4" w:space="0"/>
              <w:left w:val="single" w:color="000000" w:sz="4" w:space="0"/>
              <w:right w:val="single" w:color="000000" w:sz="4" w:space="0"/>
            </w:tcBorders>
            <w:textDirection w:val="tbLrV"/>
            <w:vAlign w:val="center"/>
          </w:tcPr>
          <w:p w14:paraId="4BF81D4B">
            <w:pPr>
              <w:widowControl/>
              <w:ind w:left="113" w:right="113"/>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合约管理类</w:t>
            </w:r>
          </w:p>
        </w:tc>
        <w:tc>
          <w:tcPr>
            <w:tcW w:w="6515" w:type="dxa"/>
            <w:tcBorders>
              <w:top w:val="single" w:color="000000" w:sz="4" w:space="0"/>
              <w:left w:val="single" w:color="000000" w:sz="4" w:space="0"/>
              <w:bottom w:val="single" w:color="000000" w:sz="4" w:space="0"/>
              <w:right w:val="single" w:color="000000" w:sz="4" w:space="0"/>
            </w:tcBorders>
            <w:vAlign w:val="center"/>
          </w:tcPr>
          <w:p w14:paraId="2551DB38">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首次发生弄虚作假的行为，包括伪造业绩、资质证明材料、支付材料、检测报告、散布采购项目虚假信息等</w:t>
            </w:r>
            <w:r>
              <w:rPr>
                <w:rFonts w:ascii="宋体" w:hAnsi="宋体" w:eastAsia="宋体" w:cs="宋体"/>
                <w:color w:val="000000"/>
                <w:kern w:val="0"/>
                <w:szCs w:val="21"/>
                <w:highlight w:val="none"/>
                <w:lang w:bidi="ar"/>
              </w:rPr>
              <w:t>。</w:t>
            </w:r>
          </w:p>
        </w:tc>
      </w:tr>
      <w:tr w14:paraId="16B65A18">
        <w:tblPrEx>
          <w:tblCellMar>
            <w:top w:w="0" w:type="dxa"/>
            <w:left w:w="108" w:type="dxa"/>
            <w:bottom w:w="0" w:type="dxa"/>
            <w:right w:w="108" w:type="dxa"/>
          </w:tblCellMar>
        </w:tblPrEx>
        <w:trPr>
          <w:trHeight w:val="336" w:hRule="atLeast"/>
        </w:trPr>
        <w:tc>
          <w:tcPr>
            <w:tcW w:w="894" w:type="dxa"/>
            <w:vMerge w:val="continue"/>
            <w:tcBorders>
              <w:left w:val="single" w:color="000000" w:sz="4" w:space="0"/>
              <w:right w:val="single" w:color="000000" w:sz="4" w:space="0"/>
            </w:tcBorders>
            <w:vAlign w:val="center"/>
          </w:tcPr>
          <w:p w14:paraId="58A0D7CE">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left w:val="single" w:color="000000" w:sz="4" w:space="0"/>
              <w:right w:val="single" w:color="000000" w:sz="4" w:space="0"/>
            </w:tcBorders>
            <w:textDirection w:val="tbLrV"/>
            <w:vAlign w:val="center"/>
          </w:tcPr>
          <w:p w14:paraId="551015E3">
            <w:pPr>
              <w:widowControl/>
              <w:ind w:left="113" w:right="113"/>
              <w:jc w:val="center"/>
              <w:textAlignment w:val="center"/>
              <w:rPr>
                <w:rFonts w:ascii="宋体" w:hAnsi="宋体" w:eastAsia="宋体" w:cs="宋体"/>
                <w:color w:val="000000"/>
                <w:kern w:val="0"/>
                <w:szCs w:val="21"/>
                <w:highlight w:val="none"/>
                <w:lang w:bidi="ar"/>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18D200B7">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首次发生销售假冒伪劣产品的行为。</w:t>
            </w:r>
          </w:p>
        </w:tc>
      </w:tr>
      <w:tr w14:paraId="6B36B3C7">
        <w:tblPrEx>
          <w:tblCellMar>
            <w:top w:w="0" w:type="dxa"/>
            <w:left w:w="108" w:type="dxa"/>
            <w:bottom w:w="0" w:type="dxa"/>
            <w:right w:w="108" w:type="dxa"/>
          </w:tblCellMar>
        </w:tblPrEx>
        <w:trPr>
          <w:trHeight w:val="320" w:hRule="atLeast"/>
        </w:trPr>
        <w:tc>
          <w:tcPr>
            <w:tcW w:w="894" w:type="dxa"/>
            <w:vMerge w:val="continue"/>
            <w:tcBorders>
              <w:left w:val="single" w:color="000000" w:sz="4" w:space="0"/>
              <w:right w:val="single" w:color="000000" w:sz="4" w:space="0"/>
            </w:tcBorders>
            <w:vAlign w:val="center"/>
          </w:tcPr>
          <w:p w14:paraId="0184426F">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left w:val="single" w:color="000000" w:sz="4" w:space="0"/>
              <w:right w:val="single" w:color="000000" w:sz="4" w:space="0"/>
            </w:tcBorders>
            <w:textDirection w:val="tbLrV"/>
            <w:vAlign w:val="center"/>
          </w:tcPr>
          <w:p w14:paraId="3A70E288">
            <w:pPr>
              <w:widowControl/>
              <w:ind w:left="113" w:right="113"/>
              <w:jc w:val="center"/>
              <w:textAlignment w:val="center"/>
              <w:rPr>
                <w:rFonts w:ascii="宋体" w:hAnsi="宋体" w:eastAsia="宋体" w:cs="宋体"/>
                <w:color w:val="000000"/>
                <w:kern w:val="0"/>
                <w:szCs w:val="21"/>
                <w:highlight w:val="none"/>
                <w:lang w:bidi="ar"/>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38B6FB80">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首次发生服务未达到合同标准且拒不整改的行为。</w:t>
            </w:r>
          </w:p>
        </w:tc>
      </w:tr>
      <w:tr w14:paraId="6A9B17BD">
        <w:tblPrEx>
          <w:tblCellMar>
            <w:top w:w="0" w:type="dxa"/>
            <w:left w:w="108" w:type="dxa"/>
            <w:bottom w:w="0" w:type="dxa"/>
            <w:right w:w="108" w:type="dxa"/>
          </w:tblCellMar>
        </w:tblPrEx>
        <w:trPr>
          <w:trHeight w:val="373" w:hRule="atLeast"/>
        </w:trPr>
        <w:tc>
          <w:tcPr>
            <w:tcW w:w="894" w:type="dxa"/>
            <w:vMerge w:val="continue"/>
            <w:tcBorders>
              <w:left w:val="single" w:color="000000" w:sz="4" w:space="0"/>
              <w:right w:val="single" w:color="000000" w:sz="4" w:space="0"/>
            </w:tcBorders>
            <w:vAlign w:val="center"/>
          </w:tcPr>
          <w:p w14:paraId="64A55905">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left w:val="single" w:color="000000" w:sz="4" w:space="0"/>
              <w:right w:val="single" w:color="000000" w:sz="4" w:space="0"/>
            </w:tcBorders>
            <w:textDirection w:val="tbLrV"/>
            <w:vAlign w:val="center"/>
          </w:tcPr>
          <w:p w14:paraId="6A7FC0D6">
            <w:pPr>
              <w:widowControl/>
              <w:ind w:left="113" w:right="113"/>
              <w:jc w:val="center"/>
              <w:textAlignment w:val="center"/>
              <w:rPr>
                <w:rFonts w:ascii="宋体" w:hAnsi="宋体" w:eastAsia="宋体" w:cs="宋体"/>
                <w:color w:val="000000"/>
                <w:kern w:val="0"/>
                <w:szCs w:val="21"/>
                <w:highlight w:val="none"/>
                <w:lang w:bidi="ar"/>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721B94BB">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首次发生无故不参加约谈或拒不落实约谈要求的行为。</w:t>
            </w:r>
          </w:p>
        </w:tc>
      </w:tr>
      <w:tr w14:paraId="39C8F08B">
        <w:tblPrEx>
          <w:tblCellMar>
            <w:top w:w="0" w:type="dxa"/>
            <w:left w:w="108" w:type="dxa"/>
            <w:bottom w:w="0" w:type="dxa"/>
            <w:right w:w="108" w:type="dxa"/>
          </w:tblCellMar>
        </w:tblPrEx>
        <w:trPr>
          <w:trHeight w:val="938" w:hRule="atLeast"/>
        </w:trPr>
        <w:tc>
          <w:tcPr>
            <w:tcW w:w="894" w:type="dxa"/>
            <w:vMerge w:val="continue"/>
            <w:tcBorders>
              <w:left w:val="single" w:color="000000" w:sz="4" w:space="0"/>
              <w:right w:val="single" w:color="000000" w:sz="4" w:space="0"/>
            </w:tcBorders>
            <w:vAlign w:val="center"/>
          </w:tcPr>
          <w:p w14:paraId="13690D20">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left w:val="single" w:color="000000" w:sz="4" w:space="0"/>
              <w:right w:val="single" w:color="000000" w:sz="4" w:space="0"/>
            </w:tcBorders>
            <w:textDirection w:val="tbLrV"/>
            <w:vAlign w:val="center"/>
          </w:tcPr>
          <w:p w14:paraId="41D07F65">
            <w:pPr>
              <w:widowControl/>
              <w:ind w:left="113" w:right="113"/>
              <w:jc w:val="center"/>
              <w:textAlignment w:val="center"/>
              <w:rPr>
                <w:rFonts w:ascii="宋体" w:hAnsi="宋体" w:eastAsia="宋体" w:cs="宋体"/>
                <w:color w:val="000000"/>
                <w:kern w:val="0"/>
                <w:szCs w:val="21"/>
                <w:highlight w:val="none"/>
                <w:lang w:bidi="ar"/>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3CE7AC16">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因供应商工作失误导致我司受到市级及以上部门通报批评或负面报道（被市级及以上电视媒体报道或网络媒体报道点击量超过5000条、转载量超过500条）的。</w:t>
            </w:r>
          </w:p>
        </w:tc>
      </w:tr>
      <w:tr w14:paraId="30F0B2E6">
        <w:tblPrEx>
          <w:tblCellMar>
            <w:top w:w="0" w:type="dxa"/>
            <w:left w:w="108" w:type="dxa"/>
            <w:bottom w:w="0" w:type="dxa"/>
            <w:right w:w="108" w:type="dxa"/>
          </w:tblCellMar>
        </w:tblPrEx>
        <w:trPr>
          <w:trHeight w:val="629" w:hRule="atLeast"/>
        </w:trPr>
        <w:tc>
          <w:tcPr>
            <w:tcW w:w="894" w:type="dxa"/>
            <w:vMerge w:val="continue"/>
            <w:tcBorders>
              <w:left w:val="single" w:color="000000" w:sz="4" w:space="0"/>
              <w:right w:val="single" w:color="000000" w:sz="4" w:space="0"/>
            </w:tcBorders>
            <w:vAlign w:val="center"/>
          </w:tcPr>
          <w:p w14:paraId="150CFE9F">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left w:val="single" w:color="000000" w:sz="4" w:space="0"/>
              <w:bottom w:val="single" w:color="000000" w:sz="4" w:space="0"/>
              <w:right w:val="single" w:color="000000" w:sz="4" w:space="0"/>
            </w:tcBorders>
            <w:textDirection w:val="tbLrV"/>
            <w:vAlign w:val="center"/>
          </w:tcPr>
          <w:p w14:paraId="57578263">
            <w:pPr>
              <w:widowControl/>
              <w:ind w:left="113" w:right="113"/>
              <w:jc w:val="center"/>
              <w:textAlignment w:val="center"/>
              <w:rPr>
                <w:rFonts w:ascii="宋体" w:hAnsi="宋体" w:eastAsia="宋体" w:cs="宋体"/>
                <w:color w:val="000000"/>
                <w:kern w:val="0"/>
                <w:szCs w:val="21"/>
                <w:highlight w:val="none"/>
                <w:lang w:bidi="ar"/>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1304B32D">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因供应商工作失误（如欠薪、食品安全问题等）引发群体性事件的。</w:t>
            </w:r>
          </w:p>
        </w:tc>
      </w:tr>
      <w:tr w14:paraId="063F49CC">
        <w:tblPrEx>
          <w:tblCellMar>
            <w:top w:w="0" w:type="dxa"/>
            <w:left w:w="108" w:type="dxa"/>
            <w:bottom w:w="0" w:type="dxa"/>
            <w:right w:w="108" w:type="dxa"/>
          </w:tblCellMar>
        </w:tblPrEx>
        <w:trPr>
          <w:trHeight w:val="871" w:hRule="atLeast"/>
        </w:trPr>
        <w:tc>
          <w:tcPr>
            <w:tcW w:w="894" w:type="dxa"/>
            <w:vMerge w:val="continue"/>
            <w:tcBorders>
              <w:left w:val="single" w:color="000000" w:sz="4" w:space="0"/>
              <w:right w:val="single" w:color="000000" w:sz="4" w:space="0"/>
            </w:tcBorders>
            <w:vAlign w:val="center"/>
          </w:tcPr>
          <w:p w14:paraId="61A8F691">
            <w:pPr>
              <w:widowControl/>
              <w:jc w:val="center"/>
              <w:textAlignment w:val="center"/>
              <w:rPr>
                <w:rFonts w:ascii="宋体" w:hAnsi="宋体" w:eastAsia="宋体" w:cs="宋体"/>
                <w:color w:val="000000"/>
                <w:kern w:val="0"/>
                <w:szCs w:val="21"/>
                <w:highlight w:val="none"/>
                <w:lang w:bidi="ar"/>
              </w:rPr>
            </w:pPr>
          </w:p>
        </w:tc>
        <w:tc>
          <w:tcPr>
            <w:tcW w:w="849" w:type="dxa"/>
            <w:vMerge w:val="restart"/>
            <w:tcBorders>
              <w:left w:val="single" w:color="000000" w:sz="4" w:space="0"/>
              <w:right w:val="single" w:color="000000" w:sz="4" w:space="0"/>
            </w:tcBorders>
            <w:textDirection w:val="tbLrV"/>
            <w:vAlign w:val="center"/>
          </w:tcPr>
          <w:p w14:paraId="58CC480F">
            <w:pPr>
              <w:widowControl/>
              <w:ind w:left="113" w:right="113"/>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技术质量类</w:t>
            </w:r>
          </w:p>
        </w:tc>
        <w:tc>
          <w:tcPr>
            <w:tcW w:w="6515" w:type="dxa"/>
            <w:tcBorders>
              <w:top w:val="single" w:color="000000" w:sz="4" w:space="0"/>
              <w:left w:val="single" w:color="000000" w:sz="4" w:space="0"/>
              <w:bottom w:val="single" w:color="000000" w:sz="4" w:space="0"/>
              <w:right w:val="single" w:color="000000" w:sz="4" w:space="0"/>
            </w:tcBorders>
            <w:vAlign w:val="center"/>
          </w:tcPr>
          <w:p w14:paraId="3C8E2E92">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六个月内同类设施设备本体故障引发3起及以上Ⅳ级及以上运营质量事件的。</w:t>
            </w:r>
          </w:p>
        </w:tc>
      </w:tr>
      <w:tr w14:paraId="13C0FB49">
        <w:tblPrEx>
          <w:tblCellMar>
            <w:top w:w="0" w:type="dxa"/>
            <w:left w:w="108" w:type="dxa"/>
            <w:bottom w:w="0" w:type="dxa"/>
            <w:right w:w="108" w:type="dxa"/>
          </w:tblCellMar>
        </w:tblPrEx>
        <w:trPr>
          <w:trHeight w:val="1096" w:hRule="atLeast"/>
        </w:trPr>
        <w:tc>
          <w:tcPr>
            <w:tcW w:w="894" w:type="dxa"/>
            <w:vMerge w:val="continue"/>
            <w:tcBorders>
              <w:left w:val="single" w:color="000000" w:sz="4" w:space="0"/>
              <w:right w:val="single" w:color="000000" w:sz="4" w:space="0"/>
            </w:tcBorders>
            <w:vAlign w:val="center"/>
          </w:tcPr>
          <w:p w14:paraId="21C67F4B">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left w:val="single" w:color="000000" w:sz="4" w:space="0"/>
              <w:right w:val="single" w:color="000000" w:sz="4" w:space="0"/>
            </w:tcBorders>
            <w:textDirection w:val="tbLrV"/>
            <w:vAlign w:val="center"/>
          </w:tcPr>
          <w:p w14:paraId="6310F1CC">
            <w:pPr>
              <w:widowControl/>
              <w:ind w:left="113" w:right="113"/>
              <w:jc w:val="center"/>
              <w:textAlignment w:val="center"/>
              <w:rPr>
                <w:rFonts w:ascii="宋体" w:hAnsi="宋体" w:eastAsia="宋体" w:cs="宋体"/>
                <w:color w:val="000000"/>
                <w:kern w:val="0"/>
                <w:szCs w:val="21"/>
                <w:highlight w:val="none"/>
                <w:lang w:bidi="ar"/>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7A6B3D07">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设施设备季度运行可靠度/故障率低于集团公司要求，经核实确为维修/改造质量造成的（以当年运营公司正式发布的可靠度/故障率指标为准）。</w:t>
            </w:r>
          </w:p>
        </w:tc>
      </w:tr>
      <w:tr w14:paraId="2C23DF52">
        <w:tblPrEx>
          <w:tblCellMar>
            <w:top w:w="0" w:type="dxa"/>
            <w:left w:w="108" w:type="dxa"/>
            <w:bottom w:w="0" w:type="dxa"/>
            <w:right w:w="108" w:type="dxa"/>
          </w:tblCellMar>
        </w:tblPrEx>
        <w:trPr>
          <w:trHeight w:val="671" w:hRule="atLeast"/>
        </w:trPr>
        <w:tc>
          <w:tcPr>
            <w:tcW w:w="894" w:type="dxa"/>
            <w:vMerge w:val="continue"/>
            <w:tcBorders>
              <w:left w:val="single" w:color="000000" w:sz="4" w:space="0"/>
              <w:right w:val="single" w:color="000000" w:sz="4" w:space="0"/>
            </w:tcBorders>
            <w:vAlign w:val="center"/>
          </w:tcPr>
          <w:p w14:paraId="7A88C540">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left w:val="single" w:color="000000" w:sz="4" w:space="0"/>
              <w:right w:val="single" w:color="000000" w:sz="4" w:space="0"/>
            </w:tcBorders>
            <w:textDirection w:val="tbLrV"/>
            <w:vAlign w:val="center"/>
          </w:tcPr>
          <w:p w14:paraId="44C04954">
            <w:pPr>
              <w:widowControl/>
              <w:ind w:left="113" w:right="113"/>
              <w:jc w:val="center"/>
              <w:textAlignment w:val="center"/>
              <w:rPr>
                <w:rFonts w:ascii="宋体" w:hAnsi="宋体" w:eastAsia="宋体" w:cs="宋体"/>
                <w:color w:val="000000"/>
                <w:kern w:val="0"/>
                <w:szCs w:val="21"/>
                <w:highlight w:val="none"/>
                <w:lang w:bidi="ar"/>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13589742">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未按维修计划开展维修作业，并对设备运行产生影响。</w:t>
            </w:r>
          </w:p>
        </w:tc>
      </w:tr>
      <w:tr w14:paraId="5E72C276">
        <w:tblPrEx>
          <w:tblCellMar>
            <w:top w:w="0" w:type="dxa"/>
            <w:left w:w="108" w:type="dxa"/>
            <w:bottom w:w="0" w:type="dxa"/>
            <w:right w:w="108" w:type="dxa"/>
          </w:tblCellMar>
        </w:tblPrEx>
        <w:trPr>
          <w:trHeight w:val="533" w:hRule="atLeast"/>
        </w:trPr>
        <w:tc>
          <w:tcPr>
            <w:tcW w:w="894" w:type="dxa"/>
            <w:vMerge w:val="continue"/>
            <w:tcBorders>
              <w:left w:val="single" w:color="000000" w:sz="4" w:space="0"/>
              <w:right w:val="single" w:color="000000" w:sz="4" w:space="0"/>
            </w:tcBorders>
            <w:vAlign w:val="center"/>
          </w:tcPr>
          <w:p w14:paraId="633072D1">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left w:val="single" w:color="000000" w:sz="4" w:space="0"/>
              <w:right w:val="single" w:color="000000" w:sz="4" w:space="0"/>
            </w:tcBorders>
            <w:textDirection w:val="tbLrV"/>
            <w:vAlign w:val="center"/>
          </w:tcPr>
          <w:p w14:paraId="1E3E4ACF">
            <w:pPr>
              <w:widowControl/>
              <w:ind w:left="113" w:right="113"/>
              <w:jc w:val="center"/>
              <w:textAlignment w:val="center"/>
              <w:rPr>
                <w:rFonts w:ascii="宋体" w:hAnsi="宋体" w:eastAsia="宋体" w:cs="宋体"/>
                <w:color w:val="000000"/>
                <w:kern w:val="0"/>
                <w:szCs w:val="21"/>
                <w:highlight w:val="none"/>
                <w:lang w:bidi="ar"/>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51EE6F12">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抽查或评估发现</w:t>
            </w:r>
            <w:r>
              <w:rPr>
                <w:rFonts w:ascii="宋体" w:hAnsi="宋体" w:eastAsia="宋体" w:cs="宋体"/>
                <w:color w:val="000000"/>
                <w:kern w:val="0"/>
                <w:szCs w:val="21"/>
                <w:highlight w:val="none"/>
                <w:lang w:bidi="ar"/>
              </w:rPr>
              <w:t>未按技术标准或工艺规程作业</w:t>
            </w:r>
            <w:r>
              <w:rPr>
                <w:rFonts w:hint="eastAsia" w:ascii="宋体" w:hAnsi="宋体" w:eastAsia="宋体" w:cs="宋体"/>
                <w:color w:val="000000"/>
                <w:kern w:val="0"/>
                <w:szCs w:val="21"/>
                <w:highlight w:val="none"/>
                <w:lang w:bidi="ar"/>
              </w:rPr>
              <w:t>造成影响。</w:t>
            </w:r>
          </w:p>
        </w:tc>
      </w:tr>
      <w:tr w14:paraId="321763C1">
        <w:tblPrEx>
          <w:tblCellMar>
            <w:top w:w="0" w:type="dxa"/>
            <w:left w:w="108" w:type="dxa"/>
            <w:bottom w:w="0" w:type="dxa"/>
            <w:right w:w="108" w:type="dxa"/>
          </w:tblCellMar>
        </w:tblPrEx>
        <w:trPr>
          <w:trHeight w:val="808" w:hRule="atLeast"/>
        </w:trPr>
        <w:tc>
          <w:tcPr>
            <w:tcW w:w="894" w:type="dxa"/>
            <w:vMerge w:val="continue"/>
            <w:tcBorders>
              <w:left w:val="single" w:color="000000" w:sz="4" w:space="0"/>
              <w:right w:val="single" w:color="000000" w:sz="4" w:space="0"/>
            </w:tcBorders>
            <w:vAlign w:val="center"/>
          </w:tcPr>
          <w:p w14:paraId="32CC2232">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left w:val="single" w:color="000000" w:sz="4" w:space="0"/>
              <w:right w:val="single" w:color="000000" w:sz="4" w:space="0"/>
            </w:tcBorders>
            <w:textDirection w:val="tbLrV"/>
            <w:vAlign w:val="center"/>
          </w:tcPr>
          <w:p w14:paraId="3A9B513F">
            <w:pPr>
              <w:widowControl/>
              <w:ind w:left="113" w:right="113"/>
              <w:jc w:val="center"/>
              <w:textAlignment w:val="center"/>
              <w:rPr>
                <w:rFonts w:ascii="宋体" w:hAnsi="宋体" w:eastAsia="宋体" w:cs="宋体"/>
                <w:color w:val="000000"/>
                <w:kern w:val="0"/>
                <w:szCs w:val="21"/>
                <w:highlight w:val="none"/>
                <w:lang w:bidi="ar"/>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1713946F">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维修/更新改造作业后设备性能测试不达标且需返工。</w:t>
            </w:r>
          </w:p>
        </w:tc>
      </w:tr>
      <w:tr w14:paraId="1508597B">
        <w:tblPrEx>
          <w:tblCellMar>
            <w:top w:w="0" w:type="dxa"/>
            <w:left w:w="108" w:type="dxa"/>
            <w:bottom w:w="0" w:type="dxa"/>
            <w:right w:w="108" w:type="dxa"/>
          </w:tblCellMar>
        </w:tblPrEx>
        <w:trPr>
          <w:trHeight w:val="571" w:hRule="atLeast"/>
        </w:trPr>
        <w:tc>
          <w:tcPr>
            <w:tcW w:w="894" w:type="dxa"/>
            <w:vMerge w:val="continue"/>
            <w:tcBorders>
              <w:left w:val="single" w:color="000000" w:sz="4" w:space="0"/>
              <w:right w:val="single" w:color="000000" w:sz="4" w:space="0"/>
            </w:tcBorders>
            <w:vAlign w:val="center"/>
          </w:tcPr>
          <w:p w14:paraId="00A4EF55">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left w:val="single" w:color="000000" w:sz="4" w:space="0"/>
              <w:right w:val="single" w:color="000000" w:sz="4" w:space="0"/>
            </w:tcBorders>
            <w:textDirection w:val="tbLrV"/>
            <w:vAlign w:val="center"/>
          </w:tcPr>
          <w:p w14:paraId="500B9971">
            <w:pPr>
              <w:widowControl/>
              <w:ind w:left="113" w:right="113"/>
              <w:jc w:val="center"/>
              <w:textAlignment w:val="center"/>
              <w:rPr>
                <w:rFonts w:ascii="宋体" w:hAnsi="宋体" w:eastAsia="宋体" w:cs="宋体"/>
                <w:color w:val="000000"/>
                <w:kern w:val="0"/>
                <w:szCs w:val="21"/>
                <w:highlight w:val="none"/>
                <w:lang w:bidi="ar"/>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0432F630">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因</w:t>
            </w:r>
            <w:r>
              <w:rPr>
                <w:rFonts w:ascii="宋体" w:hAnsi="宋体" w:eastAsia="宋体" w:cs="宋体"/>
                <w:color w:val="000000"/>
                <w:kern w:val="0"/>
                <w:szCs w:val="21"/>
                <w:highlight w:val="none"/>
                <w:lang w:bidi="ar"/>
              </w:rPr>
              <w:t>不当维修造成设备二次损坏或性能劣化</w:t>
            </w:r>
            <w:r>
              <w:rPr>
                <w:rFonts w:hint="eastAsia" w:ascii="宋体" w:hAnsi="宋体" w:eastAsia="宋体" w:cs="宋体"/>
                <w:color w:val="000000"/>
                <w:kern w:val="0"/>
                <w:szCs w:val="21"/>
                <w:highlight w:val="none"/>
                <w:lang w:bidi="ar"/>
              </w:rPr>
              <w:t>。</w:t>
            </w:r>
          </w:p>
        </w:tc>
      </w:tr>
      <w:tr w14:paraId="7B147A38">
        <w:tblPrEx>
          <w:tblCellMar>
            <w:top w:w="0" w:type="dxa"/>
            <w:left w:w="108" w:type="dxa"/>
            <w:bottom w:w="0" w:type="dxa"/>
            <w:right w:w="108" w:type="dxa"/>
          </w:tblCellMar>
        </w:tblPrEx>
        <w:trPr>
          <w:trHeight w:val="938" w:hRule="atLeast"/>
        </w:trPr>
        <w:tc>
          <w:tcPr>
            <w:tcW w:w="894" w:type="dxa"/>
            <w:vMerge w:val="continue"/>
            <w:tcBorders>
              <w:left w:val="single" w:color="000000" w:sz="4" w:space="0"/>
              <w:right w:val="single" w:color="000000" w:sz="4" w:space="0"/>
            </w:tcBorders>
            <w:vAlign w:val="center"/>
          </w:tcPr>
          <w:p w14:paraId="607DA6BC">
            <w:pPr>
              <w:widowControl/>
              <w:jc w:val="center"/>
              <w:textAlignment w:val="center"/>
              <w:rPr>
                <w:rFonts w:ascii="宋体" w:hAnsi="宋体" w:eastAsia="宋体" w:cs="宋体"/>
                <w:color w:val="000000"/>
                <w:szCs w:val="21"/>
                <w:highlight w:val="none"/>
              </w:rPr>
            </w:pPr>
          </w:p>
        </w:tc>
        <w:tc>
          <w:tcPr>
            <w:tcW w:w="849" w:type="dxa"/>
            <w:vMerge w:val="restart"/>
            <w:tcBorders>
              <w:top w:val="single" w:color="000000" w:sz="4" w:space="0"/>
              <w:left w:val="single" w:color="000000" w:sz="4" w:space="0"/>
              <w:right w:val="single" w:color="000000" w:sz="4" w:space="0"/>
            </w:tcBorders>
            <w:textDirection w:val="tbLrV"/>
            <w:vAlign w:val="center"/>
          </w:tcPr>
          <w:p w14:paraId="431BD642">
            <w:pPr>
              <w:widowControl/>
              <w:ind w:left="113" w:right="113"/>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安全生产类</w:t>
            </w:r>
          </w:p>
        </w:tc>
        <w:tc>
          <w:tcPr>
            <w:tcW w:w="6515" w:type="dxa"/>
            <w:tcBorders>
              <w:top w:val="single" w:color="000000" w:sz="4" w:space="0"/>
              <w:left w:val="single" w:color="000000" w:sz="4" w:space="0"/>
              <w:bottom w:val="single" w:color="000000" w:sz="4" w:space="0"/>
              <w:right w:val="single" w:color="000000" w:sz="4" w:space="0"/>
            </w:tcBorders>
            <w:vAlign w:val="center"/>
          </w:tcPr>
          <w:p w14:paraId="063B0354">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人员岗位资质不符合法律、合同、协议、运营公司规章要求，包括但不限于：未开展三级安全教育或安全教育不合格，未取得高处作业证、高压作业证等相关证件。</w:t>
            </w:r>
          </w:p>
        </w:tc>
      </w:tr>
      <w:tr w14:paraId="5B52A202">
        <w:tblPrEx>
          <w:tblCellMar>
            <w:top w:w="0" w:type="dxa"/>
            <w:left w:w="108" w:type="dxa"/>
            <w:bottom w:w="0" w:type="dxa"/>
            <w:right w:w="108" w:type="dxa"/>
          </w:tblCellMar>
        </w:tblPrEx>
        <w:trPr>
          <w:trHeight w:val="637" w:hRule="atLeast"/>
        </w:trPr>
        <w:tc>
          <w:tcPr>
            <w:tcW w:w="894" w:type="dxa"/>
            <w:vMerge w:val="continue"/>
            <w:tcBorders>
              <w:left w:val="single" w:color="000000" w:sz="4" w:space="0"/>
              <w:right w:val="single" w:color="000000" w:sz="4" w:space="0"/>
            </w:tcBorders>
            <w:vAlign w:val="center"/>
          </w:tcPr>
          <w:p w14:paraId="34ADE313">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textDirection w:val="tbLrV"/>
            <w:vAlign w:val="center"/>
          </w:tcPr>
          <w:p w14:paraId="018C6429">
            <w:pPr>
              <w:ind w:left="113" w:right="113"/>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64B3A9F1">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未按合同、协议等要求，组建安全（质量）生产领导小组或项目安全（质量）专职管理机构。</w:t>
            </w:r>
          </w:p>
        </w:tc>
      </w:tr>
      <w:tr w14:paraId="6EB0A5DC">
        <w:tblPrEx>
          <w:tblCellMar>
            <w:top w:w="0" w:type="dxa"/>
            <w:left w:w="108" w:type="dxa"/>
            <w:bottom w:w="0" w:type="dxa"/>
            <w:right w:w="108" w:type="dxa"/>
          </w:tblCellMar>
        </w:tblPrEx>
        <w:trPr>
          <w:trHeight w:val="649" w:hRule="atLeast"/>
        </w:trPr>
        <w:tc>
          <w:tcPr>
            <w:tcW w:w="894" w:type="dxa"/>
            <w:vMerge w:val="continue"/>
            <w:tcBorders>
              <w:left w:val="single" w:color="000000" w:sz="4" w:space="0"/>
              <w:right w:val="single" w:color="000000" w:sz="4" w:space="0"/>
            </w:tcBorders>
            <w:vAlign w:val="center"/>
          </w:tcPr>
          <w:p w14:paraId="493E2624">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textDirection w:val="tbLrV"/>
            <w:vAlign w:val="center"/>
          </w:tcPr>
          <w:p w14:paraId="7EADC0AA">
            <w:pPr>
              <w:ind w:left="113" w:right="113"/>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1B0EAAFE">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未按合同、协议等要求，建立安全生产责任制或考核奖惩制度、未建立安全管理目标及其考核制度。</w:t>
            </w:r>
          </w:p>
        </w:tc>
      </w:tr>
      <w:tr w14:paraId="768B1710">
        <w:tblPrEx>
          <w:tblCellMar>
            <w:top w:w="0" w:type="dxa"/>
            <w:left w:w="108" w:type="dxa"/>
            <w:bottom w:w="0" w:type="dxa"/>
            <w:right w:w="108" w:type="dxa"/>
          </w:tblCellMar>
        </w:tblPrEx>
        <w:trPr>
          <w:trHeight w:val="938" w:hRule="atLeast"/>
        </w:trPr>
        <w:tc>
          <w:tcPr>
            <w:tcW w:w="894" w:type="dxa"/>
            <w:vMerge w:val="continue"/>
            <w:tcBorders>
              <w:left w:val="single" w:color="000000" w:sz="4" w:space="0"/>
              <w:right w:val="single" w:color="000000" w:sz="4" w:space="0"/>
            </w:tcBorders>
            <w:vAlign w:val="center"/>
          </w:tcPr>
          <w:p w14:paraId="1FC91379">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textDirection w:val="tbLrV"/>
            <w:vAlign w:val="center"/>
          </w:tcPr>
          <w:p w14:paraId="52B8D4F3">
            <w:pPr>
              <w:ind w:left="113" w:right="113"/>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42E42789">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未按合同、协议等要求，有效开展事故隐患排查治理工作，发生A级一般及以上隐患未采取安全防护措施或安全防护措施无效的情况。</w:t>
            </w:r>
          </w:p>
        </w:tc>
      </w:tr>
      <w:tr w14:paraId="2F80F52E">
        <w:tblPrEx>
          <w:tblCellMar>
            <w:top w:w="0" w:type="dxa"/>
            <w:left w:w="108" w:type="dxa"/>
            <w:bottom w:w="0" w:type="dxa"/>
            <w:right w:w="108" w:type="dxa"/>
          </w:tblCellMar>
        </w:tblPrEx>
        <w:trPr>
          <w:trHeight w:val="629" w:hRule="atLeast"/>
        </w:trPr>
        <w:tc>
          <w:tcPr>
            <w:tcW w:w="894" w:type="dxa"/>
            <w:vMerge w:val="continue"/>
            <w:tcBorders>
              <w:left w:val="single" w:color="000000" w:sz="4" w:space="0"/>
              <w:right w:val="single" w:color="000000" w:sz="4" w:space="0"/>
            </w:tcBorders>
            <w:vAlign w:val="center"/>
          </w:tcPr>
          <w:p w14:paraId="14CD8186">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textDirection w:val="tbLrV"/>
            <w:vAlign w:val="center"/>
          </w:tcPr>
          <w:p w14:paraId="6B7F9AEB">
            <w:pPr>
              <w:ind w:left="113" w:right="113"/>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3CA04C0C">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中标项目经理或项目负责人未履职或未按规定擅自变更相关管理人员。</w:t>
            </w:r>
          </w:p>
        </w:tc>
      </w:tr>
      <w:tr w14:paraId="49D04CCF">
        <w:tblPrEx>
          <w:tblCellMar>
            <w:top w:w="0" w:type="dxa"/>
            <w:left w:w="108" w:type="dxa"/>
            <w:bottom w:w="0" w:type="dxa"/>
            <w:right w:w="108" w:type="dxa"/>
          </w:tblCellMar>
        </w:tblPrEx>
        <w:trPr>
          <w:trHeight w:val="629" w:hRule="atLeast"/>
        </w:trPr>
        <w:tc>
          <w:tcPr>
            <w:tcW w:w="894" w:type="dxa"/>
            <w:vMerge w:val="continue"/>
            <w:tcBorders>
              <w:left w:val="single" w:color="000000" w:sz="4" w:space="0"/>
              <w:right w:val="single" w:color="000000" w:sz="4" w:space="0"/>
            </w:tcBorders>
            <w:vAlign w:val="center"/>
          </w:tcPr>
          <w:p w14:paraId="3E5F0ABC">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textDirection w:val="tbLrV"/>
            <w:vAlign w:val="center"/>
          </w:tcPr>
          <w:p w14:paraId="3BC73B68">
            <w:pPr>
              <w:ind w:left="113" w:right="113"/>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5E0086B1">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未按合同、协议等要求，配备专职安全生产管理人员或人员配备不符合相关规定。</w:t>
            </w:r>
          </w:p>
        </w:tc>
      </w:tr>
      <w:tr w14:paraId="3FC6D3DE">
        <w:tblPrEx>
          <w:tblCellMar>
            <w:top w:w="0" w:type="dxa"/>
            <w:left w:w="108" w:type="dxa"/>
            <w:bottom w:w="0" w:type="dxa"/>
            <w:right w:w="108" w:type="dxa"/>
          </w:tblCellMar>
        </w:tblPrEx>
        <w:trPr>
          <w:trHeight w:val="938" w:hRule="atLeast"/>
        </w:trPr>
        <w:tc>
          <w:tcPr>
            <w:tcW w:w="894" w:type="dxa"/>
            <w:vMerge w:val="continue"/>
            <w:tcBorders>
              <w:left w:val="single" w:color="000000" w:sz="4" w:space="0"/>
              <w:right w:val="single" w:color="000000" w:sz="4" w:space="0"/>
            </w:tcBorders>
            <w:vAlign w:val="center"/>
          </w:tcPr>
          <w:p w14:paraId="18A81E0D">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textDirection w:val="tbLrV"/>
            <w:vAlign w:val="center"/>
          </w:tcPr>
          <w:p w14:paraId="4CABE917">
            <w:pPr>
              <w:ind w:left="113" w:right="113"/>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03FBB385">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地铁保护及工务相关监测数据或巡查结果达到预警标准时未及时进行警情报送;当出现警情或异常等情况时未提高监测及巡查频率。</w:t>
            </w:r>
          </w:p>
        </w:tc>
      </w:tr>
      <w:tr w14:paraId="436AD7D8">
        <w:tblPrEx>
          <w:tblCellMar>
            <w:top w:w="0" w:type="dxa"/>
            <w:left w:w="108" w:type="dxa"/>
            <w:bottom w:w="0" w:type="dxa"/>
            <w:right w:w="108" w:type="dxa"/>
          </w:tblCellMar>
        </w:tblPrEx>
        <w:trPr>
          <w:trHeight w:val="485" w:hRule="atLeast"/>
        </w:trPr>
        <w:tc>
          <w:tcPr>
            <w:tcW w:w="894" w:type="dxa"/>
            <w:vMerge w:val="continue"/>
            <w:tcBorders>
              <w:left w:val="single" w:color="000000" w:sz="4" w:space="0"/>
              <w:right w:val="single" w:color="000000" w:sz="4" w:space="0"/>
            </w:tcBorders>
            <w:vAlign w:val="center"/>
          </w:tcPr>
          <w:p w14:paraId="18D83064">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textDirection w:val="tbLrV"/>
            <w:vAlign w:val="center"/>
          </w:tcPr>
          <w:p w14:paraId="7FE6CFBC">
            <w:pPr>
              <w:ind w:left="113" w:right="113"/>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668E4AD2">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发生同类问题被集团或上级行业主管部门通报两次及以上的。</w:t>
            </w:r>
          </w:p>
        </w:tc>
      </w:tr>
      <w:tr w14:paraId="343011CC">
        <w:tblPrEx>
          <w:tblCellMar>
            <w:top w:w="0" w:type="dxa"/>
            <w:left w:w="108" w:type="dxa"/>
            <w:bottom w:w="0" w:type="dxa"/>
            <w:right w:w="108" w:type="dxa"/>
          </w:tblCellMar>
        </w:tblPrEx>
        <w:trPr>
          <w:trHeight w:val="436" w:hRule="atLeast"/>
        </w:trPr>
        <w:tc>
          <w:tcPr>
            <w:tcW w:w="894" w:type="dxa"/>
            <w:vMerge w:val="continue"/>
            <w:tcBorders>
              <w:left w:val="single" w:color="000000" w:sz="4" w:space="0"/>
              <w:right w:val="single" w:color="000000" w:sz="4" w:space="0"/>
            </w:tcBorders>
            <w:vAlign w:val="center"/>
          </w:tcPr>
          <w:p w14:paraId="7E33BBFE">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textDirection w:val="tbLrV"/>
            <w:vAlign w:val="center"/>
          </w:tcPr>
          <w:p w14:paraId="5C285298">
            <w:pPr>
              <w:ind w:left="113" w:right="113"/>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13C02FE6">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私自外传运营公司内控资料，擅自发布地铁相关信息的。</w:t>
            </w:r>
          </w:p>
        </w:tc>
      </w:tr>
      <w:tr w14:paraId="7CD6C31E">
        <w:tblPrEx>
          <w:tblCellMar>
            <w:top w:w="0" w:type="dxa"/>
            <w:left w:w="108" w:type="dxa"/>
            <w:bottom w:w="0" w:type="dxa"/>
            <w:right w:w="108" w:type="dxa"/>
          </w:tblCellMar>
        </w:tblPrEx>
        <w:trPr>
          <w:trHeight w:val="436" w:hRule="atLeast"/>
        </w:trPr>
        <w:tc>
          <w:tcPr>
            <w:tcW w:w="894" w:type="dxa"/>
            <w:vMerge w:val="continue"/>
            <w:tcBorders>
              <w:left w:val="single" w:color="000000" w:sz="4" w:space="0"/>
              <w:right w:val="single" w:color="000000" w:sz="4" w:space="0"/>
            </w:tcBorders>
            <w:vAlign w:val="center"/>
          </w:tcPr>
          <w:p w14:paraId="34BEE038">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textDirection w:val="tbLrV"/>
            <w:vAlign w:val="center"/>
          </w:tcPr>
          <w:p w14:paraId="56AC3B2A">
            <w:pPr>
              <w:ind w:left="113" w:right="113"/>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065A3014">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合同期内累计收到3次及以上安全生产类警告警示的。</w:t>
            </w:r>
          </w:p>
        </w:tc>
      </w:tr>
      <w:tr w14:paraId="4E0B6B54">
        <w:tblPrEx>
          <w:tblCellMar>
            <w:top w:w="0" w:type="dxa"/>
            <w:left w:w="108" w:type="dxa"/>
            <w:bottom w:w="0" w:type="dxa"/>
            <w:right w:w="108" w:type="dxa"/>
          </w:tblCellMar>
        </w:tblPrEx>
        <w:trPr>
          <w:trHeight w:val="698" w:hRule="atLeast"/>
        </w:trPr>
        <w:tc>
          <w:tcPr>
            <w:tcW w:w="894" w:type="dxa"/>
            <w:vMerge w:val="continue"/>
            <w:tcBorders>
              <w:left w:val="single" w:color="000000" w:sz="4" w:space="0"/>
              <w:right w:val="single" w:color="000000" w:sz="4" w:space="0"/>
            </w:tcBorders>
            <w:vAlign w:val="center"/>
          </w:tcPr>
          <w:p w14:paraId="01EC6D49">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textDirection w:val="tbLrV"/>
            <w:vAlign w:val="center"/>
          </w:tcPr>
          <w:p w14:paraId="69536284">
            <w:pPr>
              <w:ind w:left="113" w:right="113"/>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6E0E6F00">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安全管理、考勤、安全教育培训等台账造假或提报、上传不及时导致运营公司经济受损。</w:t>
            </w:r>
          </w:p>
        </w:tc>
      </w:tr>
      <w:tr w14:paraId="4B4B4084">
        <w:tblPrEx>
          <w:tblCellMar>
            <w:top w:w="0" w:type="dxa"/>
            <w:left w:w="108" w:type="dxa"/>
            <w:bottom w:w="0" w:type="dxa"/>
            <w:right w:w="108" w:type="dxa"/>
          </w:tblCellMar>
        </w:tblPrEx>
        <w:trPr>
          <w:trHeight w:val="1057" w:hRule="atLeast"/>
        </w:trPr>
        <w:tc>
          <w:tcPr>
            <w:tcW w:w="894" w:type="dxa"/>
            <w:vMerge w:val="continue"/>
            <w:tcBorders>
              <w:left w:val="single" w:color="000000" w:sz="4" w:space="0"/>
              <w:right w:val="single" w:color="000000" w:sz="4" w:space="0"/>
            </w:tcBorders>
            <w:vAlign w:val="center"/>
          </w:tcPr>
          <w:p w14:paraId="107CD95B">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textDirection w:val="tbLrV"/>
            <w:vAlign w:val="center"/>
          </w:tcPr>
          <w:p w14:paraId="2D04FE2D">
            <w:pPr>
              <w:widowControl/>
              <w:ind w:left="113" w:right="113"/>
              <w:jc w:val="center"/>
              <w:textAlignment w:val="center"/>
              <w:rPr>
                <w:rFonts w:ascii="宋体" w:hAnsi="宋体" w:eastAsia="宋体" w:cs="宋体"/>
                <w:color w:val="000000"/>
                <w:kern w:val="0"/>
                <w:szCs w:val="21"/>
                <w:highlight w:val="none"/>
                <w:lang w:bidi="ar"/>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6A53D982">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因违规施工、强令指挥、检维修质量不过关、巡查不到位、提供设备物资质量不达标等原因，导致发生运营险情或造成设备设施受损（如车辆刮擦受损、设备冒烟、区间限速等）。</w:t>
            </w:r>
          </w:p>
        </w:tc>
      </w:tr>
      <w:tr w14:paraId="12427A07">
        <w:tblPrEx>
          <w:tblCellMar>
            <w:top w:w="0" w:type="dxa"/>
            <w:left w:w="108" w:type="dxa"/>
            <w:bottom w:w="0" w:type="dxa"/>
            <w:right w:w="108" w:type="dxa"/>
          </w:tblCellMar>
        </w:tblPrEx>
        <w:trPr>
          <w:trHeight w:val="396" w:hRule="atLeast"/>
        </w:trPr>
        <w:tc>
          <w:tcPr>
            <w:tcW w:w="894" w:type="dxa"/>
            <w:vMerge w:val="continue"/>
            <w:tcBorders>
              <w:left w:val="single" w:color="000000" w:sz="4" w:space="0"/>
              <w:right w:val="single" w:color="000000" w:sz="4" w:space="0"/>
            </w:tcBorders>
            <w:vAlign w:val="center"/>
          </w:tcPr>
          <w:p w14:paraId="003D8438">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textDirection w:val="tbLrV"/>
            <w:vAlign w:val="center"/>
          </w:tcPr>
          <w:p w14:paraId="4053444C">
            <w:pPr>
              <w:ind w:left="113" w:right="113"/>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51BD19C0">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随意翻越扩张网（铁门）侵入轨行区限界。</w:t>
            </w:r>
          </w:p>
        </w:tc>
      </w:tr>
      <w:tr w14:paraId="01C6C7F5">
        <w:tblPrEx>
          <w:tblCellMar>
            <w:top w:w="0" w:type="dxa"/>
            <w:left w:w="108" w:type="dxa"/>
            <w:bottom w:w="0" w:type="dxa"/>
            <w:right w:w="108" w:type="dxa"/>
          </w:tblCellMar>
        </w:tblPrEx>
        <w:trPr>
          <w:trHeight w:val="629" w:hRule="atLeast"/>
        </w:trPr>
        <w:tc>
          <w:tcPr>
            <w:tcW w:w="894" w:type="dxa"/>
            <w:vMerge w:val="continue"/>
            <w:tcBorders>
              <w:left w:val="single" w:color="000000" w:sz="4" w:space="0"/>
              <w:right w:val="single" w:color="000000" w:sz="4" w:space="0"/>
            </w:tcBorders>
            <w:vAlign w:val="center"/>
          </w:tcPr>
          <w:p w14:paraId="207DA944">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textDirection w:val="tbLrV"/>
            <w:vAlign w:val="center"/>
          </w:tcPr>
          <w:p w14:paraId="15602805">
            <w:pPr>
              <w:ind w:left="113" w:right="113"/>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382BD73D">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不服从运营公司管理，未按要求请销点、出清作业区域或整改隐患。</w:t>
            </w:r>
          </w:p>
        </w:tc>
      </w:tr>
      <w:tr w14:paraId="05E9C60A">
        <w:tblPrEx>
          <w:tblCellMar>
            <w:top w:w="0" w:type="dxa"/>
            <w:left w:w="108" w:type="dxa"/>
            <w:bottom w:w="0" w:type="dxa"/>
            <w:right w:w="108" w:type="dxa"/>
          </w:tblCellMar>
        </w:tblPrEx>
        <w:trPr>
          <w:trHeight w:val="629" w:hRule="atLeast"/>
        </w:trPr>
        <w:tc>
          <w:tcPr>
            <w:tcW w:w="894" w:type="dxa"/>
            <w:vMerge w:val="continue"/>
            <w:tcBorders>
              <w:left w:val="single" w:color="000000" w:sz="4" w:space="0"/>
              <w:right w:val="single" w:color="000000" w:sz="4" w:space="0"/>
            </w:tcBorders>
            <w:vAlign w:val="center"/>
          </w:tcPr>
          <w:p w14:paraId="3DF5E833">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textDirection w:val="tbLrV"/>
            <w:vAlign w:val="center"/>
          </w:tcPr>
          <w:p w14:paraId="1108DA24">
            <w:pPr>
              <w:ind w:left="113" w:right="113"/>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620E2ED4">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未按照国家法律法规、规章制度要求，对所使用的设备设施、工器具定期检验或检验不合格即投入使用。</w:t>
            </w:r>
          </w:p>
        </w:tc>
      </w:tr>
      <w:tr w14:paraId="62DD7079">
        <w:tblPrEx>
          <w:tblCellMar>
            <w:top w:w="0" w:type="dxa"/>
            <w:left w:w="108" w:type="dxa"/>
            <w:bottom w:w="0" w:type="dxa"/>
            <w:right w:w="108" w:type="dxa"/>
          </w:tblCellMar>
        </w:tblPrEx>
        <w:trPr>
          <w:trHeight w:val="705" w:hRule="atLeast"/>
        </w:trPr>
        <w:tc>
          <w:tcPr>
            <w:tcW w:w="894" w:type="dxa"/>
            <w:vMerge w:val="continue"/>
            <w:tcBorders>
              <w:left w:val="single" w:color="000000" w:sz="4" w:space="0"/>
              <w:right w:val="single" w:color="000000" w:sz="4" w:space="0"/>
            </w:tcBorders>
            <w:vAlign w:val="center"/>
          </w:tcPr>
          <w:p w14:paraId="5DB3B818">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textDirection w:val="tbLrV"/>
            <w:vAlign w:val="center"/>
          </w:tcPr>
          <w:p w14:paraId="64EFB08B">
            <w:pPr>
              <w:ind w:left="113" w:right="113"/>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413FAE67">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未做好作业安全保障措施，导致相关人员受伤。</w:t>
            </w:r>
          </w:p>
        </w:tc>
      </w:tr>
      <w:tr w14:paraId="13162652">
        <w:tblPrEx>
          <w:tblCellMar>
            <w:top w:w="0" w:type="dxa"/>
            <w:left w:w="108" w:type="dxa"/>
            <w:bottom w:w="0" w:type="dxa"/>
            <w:right w:w="108" w:type="dxa"/>
          </w:tblCellMar>
        </w:tblPrEx>
        <w:trPr>
          <w:trHeight w:val="615" w:hRule="atLeast"/>
        </w:trPr>
        <w:tc>
          <w:tcPr>
            <w:tcW w:w="894" w:type="dxa"/>
            <w:vMerge w:val="continue"/>
            <w:tcBorders>
              <w:left w:val="single" w:color="000000" w:sz="4" w:space="0"/>
              <w:right w:val="single" w:color="000000" w:sz="4" w:space="0"/>
            </w:tcBorders>
            <w:vAlign w:val="center"/>
          </w:tcPr>
          <w:p w14:paraId="3C828F05">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textDirection w:val="tbLrV"/>
            <w:vAlign w:val="center"/>
          </w:tcPr>
          <w:p w14:paraId="0280A868">
            <w:pPr>
              <w:ind w:left="113" w:right="113"/>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339733CC">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造成10-15分钟（不含15分钟）晚点的。</w:t>
            </w:r>
          </w:p>
        </w:tc>
      </w:tr>
      <w:tr w14:paraId="53AC7F7A">
        <w:tblPrEx>
          <w:tblCellMar>
            <w:top w:w="0" w:type="dxa"/>
            <w:left w:w="108" w:type="dxa"/>
            <w:bottom w:w="0" w:type="dxa"/>
            <w:right w:w="108" w:type="dxa"/>
          </w:tblCellMar>
        </w:tblPrEx>
        <w:trPr>
          <w:trHeight w:val="593" w:hRule="atLeast"/>
        </w:trPr>
        <w:tc>
          <w:tcPr>
            <w:tcW w:w="894" w:type="dxa"/>
            <w:vMerge w:val="continue"/>
            <w:tcBorders>
              <w:left w:val="single" w:color="000000" w:sz="4" w:space="0"/>
              <w:right w:val="single" w:color="000000" w:sz="4" w:space="0"/>
            </w:tcBorders>
            <w:vAlign w:val="center"/>
          </w:tcPr>
          <w:p w14:paraId="11EE0E48">
            <w:pPr>
              <w:jc w:val="center"/>
              <w:rPr>
                <w:rFonts w:ascii="宋体" w:hAnsi="宋体" w:eastAsia="宋体" w:cs="宋体"/>
                <w:color w:val="000000"/>
                <w:szCs w:val="21"/>
                <w:highlight w:val="none"/>
              </w:rPr>
            </w:pPr>
          </w:p>
        </w:tc>
        <w:tc>
          <w:tcPr>
            <w:tcW w:w="849" w:type="dxa"/>
            <w:vMerge w:val="continue"/>
            <w:tcBorders>
              <w:left w:val="single" w:color="000000" w:sz="4" w:space="0"/>
              <w:right w:val="single" w:color="000000" w:sz="4" w:space="0"/>
            </w:tcBorders>
            <w:textDirection w:val="tbLrV"/>
            <w:vAlign w:val="center"/>
          </w:tcPr>
          <w:p w14:paraId="01BE9955">
            <w:pPr>
              <w:ind w:left="113" w:right="113"/>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000000" w:sz="4" w:space="0"/>
              <w:right w:val="single" w:color="000000" w:sz="4" w:space="0"/>
            </w:tcBorders>
            <w:vAlign w:val="center"/>
          </w:tcPr>
          <w:p w14:paraId="0BC7CE3D">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发生事苗、事件，经查负有主要责任的。</w:t>
            </w:r>
          </w:p>
        </w:tc>
      </w:tr>
      <w:tr w14:paraId="524CDA7E">
        <w:tblPrEx>
          <w:tblCellMar>
            <w:top w:w="0" w:type="dxa"/>
            <w:left w:w="108" w:type="dxa"/>
            <w:bottom w:w="0" w:type="dxa"/>
            <w:right w:w="108" w:type="dxa"/>
          </w:tblCellMar>
        </w:tblPrEx>
        <w:trPr>
          <w:trHeight w:val="667" w:hRule="atLeast"/>
        </w:trPr>
        <w:tc>
          <w:tcPr>
            <w:tcW w:w="894" w:type="dxa"/>
            <w:vMerge w:val="continue"/>
            <w:tcBorders>
              <w:left w:val="single" w:color="000000" w:sz="4" w:space="0"/>
              <w:bottom w:val="single" w:color="auto" w:sz="4" w:space="0"/>
              <w:right w:val="single" w:color="000000" w:sz="4" w:space="0"/>
            </w:tcBorders>
            <w:vAlign w:val="center"/>
          </w:tcPr>
          <w:p w14:paraId="0B41C6F3">
            <w:pPr>
              <w:jc w:val="center"/>
              <w:rPr>
                <w:rFonts w:ascii="宋体" w:hAnsi="宋体" w:eastAsia="宋体" w:cs="宋体"/>
                <w:color w:val="000000"/>
                <w:szCs w:val="21"/>
                <w:highlight w:val="none"/>
              </w:rPr>
            </w:pPr>
          </w:p>
        </w:tc>
        <w:tc>
          <w:tcPr>
            <w:tcW w:w="849" w:type="dxa"/>
            <w:vMerge w:val="continue"/>
            <w:tcBorders>
              <w:left w:val="single" w:color="000000" w:sz="4" w:space="0"/>
              <w:bottom w:val="single" w:color="auto" w:sz="4" w:space="0"/>
              <w:right w:val="single" w:color="000000" w:sz="4" w:space="0"/>
            </w:tcBorders>
            <w:textDirection w:val="tbLrV"/>
            <w:vAlign w:val="center"/>
          </w:tcPr>
          <w:p w14:paraId="18830B00">
            <w:pPr>
              <w:ind w:left="113" w:right="113"/>
              <w:jc w:val="center"/>
              <w:rPr>
                <w:rFonts w:ascii="宋体" w:hAnsi="宋体" w:eastAsia="宋体" w:cs="宋体"/>
                <w:color w:val="000000"/>
                <w:szCs w:val="21"/>
                <w:highlight w:val="none"/>
              </w:rPr>
            </w:pPr>
          </w:p>
        </w:tc>
        <w:tc>
          <w:tcPr>
            <w:tcW w:w="6515" w:type="dxa"/>
            <w:tcBorders>
              <w:top w:val="single" w:color="000000" w:sz="4" w:space="0"/>
              <w:left w:val="single" w:color="000000" w:sz="4" w:space="0"/>
              <w:bottom w:val="single" w:color="auto" w:sz="4" w:space="0"/>
              <w:right w:val="single" w:color="000000" w:sz="4" w:space="0"/>
            </w:tcBorders>
            <w:vAlign w:val="center"/>
          </w:tcPr>
          <w:p w14:paraId="4D4D7E7A">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其他情节较重的、可能会造成事苗、事件的不安全行为。</w:t>
            </w:r>
          </w:p>
        </w:tc>
      </w:tr>
      <w:tr w14:paraId="2D138D96">
        <w:tblPrEx>
          <w:tblCellMar>
            <w:top w:w="0" w:type="dxa"/>
            <w:left w:w="108" w:type="dxa"/>
            <w:bottom w:w="0" w:type="dxa"/>
            <w:right w:w="108" w:type="dxa"/>
          </w:tblCellMar>
        </w:tblPrEx>
        <w:trPr>
          <w:trHeight w:val="629" w:hRule="atLeast"/>
        </w:trPr>
        <w:tc>
          <w:tcPr>
            <w:tcW w:w="894" w:type="dxa"/>
            <w:vMerge w:val="restart"/>
            <w:tcBorders>
              <w:top w:val="single" w:color="auto" w:sz="4" w:space="0"/>
              <w:left w:val="single" w:color="auto" w:sz="4" w:space="0"/>
              <w:bottom w:val="single" w:color="auto" w:sz="4" w:space="0"/>
              <w:right w:val="single" w:color="auto" w:sz="4" w:space="0"/>
            </w:tcBorders>
            <w:textDirection w:val="tbLrV"/>
            <w:vAlign w:val="center"/>
          </w:tcPr>
          <w:p w14:paraId="0A82C1DF">
            <w:pPr>
              <w:widowControl/>
              <w:ind w:left="113" w:right="113"/>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红牌</w:t>
            </w:r>
          </w:p>
        </w:tc>
        <w:tc>
          <w:tcPr>
            <w:tcW w:w="849" w:type="dxa"/>
            <w:vMerge w:val="restart"/>
            <w:tcBorders>
              <w:top w:val="single" w:color="auto" w:sz="4" w:space="0"/>
              <w:left w:val="single" w:color="auto" w:sz="4" w:space="0"/>
              <w:bottom w:val="single" w:color="auto" w:sz="4" w:space="0"/>
              <w:right w:val="single" w:color="auto" w:sz="4" w:space="0"/>
            </w:tcBorders>
            <w:textDirection w:val="tbLrV"/>
            <w:vAlign w:val="center"/>
          </w:tcPr>
          <w:p w14:paraId="30AA1AA9">
            <w:pPr>
              <w:widowControl/>
              <w:ind w:left="113" w:right="113"/>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合约管理类</w:t>
            </w:r>
          </w:p>
        </w:tc>
        <w:tc>
          <w:tcPr>
            <w:tcW w:w="6515" w:type="dxa"/>
            <w:tcBorders>
              <w:top w:val="single" w:color="auto" w:sz="4" w:space="0"/>
              <w:left w:val="single" w:color="auto" w:sz="4" w:space="0"/>
              <w:bottom w:val="single" w:color="auto" w:sz="4" w:space="0"/>
              <w:right w:val="single" w:color="auto" w:sz="4" w:space="0"/>
            </w:tcBorders>
            <w:vAlign w:val="center"/>
          </w:tcPr>
          <w:p w14:paraId="129922D3">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再次发生弄虚作假的行为，包括伪造业绩、资质证明材料、支付材料、检测报告、散布采购项目虚假信息等。</w:t>
            </w:r>
          </w:p>
        </w:tc>
      </w:tr>
      <w:tr w14:paraId="5D697AE2">
        <w:tblPrEx>
          <w:tblCellMar>
            <w:top w:w="0" w:type="dxa"/>
            <w:left w:w="108" w:type="dxa"/>
            <w:bottom w:w="0" w:type="dxa"/>
            <w:right w:w="108" w:type="dxa"/>
          </w:tblCellMar>
        </w:tblPrEx>
        <w:trPr>
          <w:trHeight w:val="500"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1DABB254">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top w:val="single" w:color="auto" w:sz="4" w:space="0"/>
              <w:left w:val="single" w:color="auto" w:sz="4" w:space="0"/>
              <w:bottom w:val="single" w:color="auto" w:sz="4" w:space="0"/>
              <w:right w:val="single" w:color="auto" w:sz="4" w:space="0"/>
            </w:tcBorders>
            <w:textDirection w:val="tbLrV"/>
            <w:vAlign w:val="center"/>
          </w:tcPr>
          <w:p w14:paraId="6B16BE2A">
            <w:pPr>
              <w:widowControl/>
              <w:ind w:left="113" w:right="113"/>
              <w:jc w:val="center"/>
              <w:textAlignment w:val="center"/>
              <w:rPr>
                <w:rFonts w:ascii="宋体" w:hAnsi="宋体" w:eastAsia="宋体" w:cs="宋体"/>
                <w:color w:val="000000"/>
                <w:kern w:val="0"/>
                <w:szCs w:val="21"/>
                <w:highlight w:val="none"/>
                <w:lang w:bidi="ar"/>
              </w:rPr>
            </w:pPr>
          </w:p>
        </w:tc>
        <w:tc>
          <w:tcPr>
            <w:tcW w:w="6515" w:type="dxa"/>
            <w:tcBorders>
              <w:top w:val="single" w:color="auto" w:sz="4" w:space="0"/>
              <w:left w:val="single" w:color="auto" w:sz="4" w:space="0"/>
              <w:bottom w:val="single" w:color="auto" w:sz="4" w:space="0"/>
              <w:right w:val="single" w:color="auto" w:sz="4" w:space="0"/>
            </w:tcBorders>
            <w:vAlign w:val="center"/>
          </w:tcPr>
          <w:p w14:paraId="12F1CEF8">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再次发生销售假冒伪劣产品的行为。</w:t>
            </w:r>
          </w:p>
        </w:tc>
      </w:tr>
      <w:tr w14:paraId="0A8C04D5">
        <w:tblPrEx>
          <w:tblCellMar>
            <w:top w:w="0" w:type="dxa"/>
            <w:left w:w="108" w:type="dxa"/>
            <w:bottom w:w="0" w:type="dxa"/>
            <w:right w:w="108" w:type="dxa"/>
          </w:tblCellMar>
        </w:tblPrEx>
        <w:trPr>
          <w:trHeight w:val="460"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1C30066C">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top w:val="single" w:color="auto" w:sz="4" w:space="0"/>
              <w:left w:val="single" w:color="auto" w:sz="4" w:space="0"/>
              <w:bottom w:val="single" w:color="auto" w:sz="4" w:space="0"/>
              <w:right w:val="single" w:color="auto" w:sz="4" w:space="0"/>
            </w:tcBorders>
            <w:textDirection w:val="tbLrV"/>
            <w:vAlign w:val="center"/>
          </w:tcPr>
          <w:p w14:paraId="419B8568">
            <w:pPr>
              <w:widowControl/>
              <w:ind w:left="113" w:right="113"/>
              <w:jc w:val="center"/>
              <w:textAlignment w:val="center"/>
              <w:rPr>
                <w:rFonts w:ascii="宋体" w:hAnsi="宋体" w:eastAsia="宋体" w:cs="宋体"/>
                <w:color w:val="000000"/>
                <w:kern w:val="0"/>
                <w:szCs w:val="21"/>
                <w:highlight w:val="none"/>
                <w:lang w:bidi="ar"/>
              </w:rPr>
            </w:pPr>
          </w:p>
        </w:tc>
        <w:tc>
          <w:tcPr>
            <w:tcW w:w="6515" w:type="dxa"/>
            <w:tcBorders>
              <w:top w:val="single" w:color="auto" w:sz="4" w:space="0"/>
              <w:left w:val="single" w:color="auto" w:sz="4" w:space="0"/>
              <w:bottom w:val="single" w:color="auto" w:sz="4" w:space="0"/>
              <w:right w:val="single" w:color="auto" w:sz="4" w:space="0"/>
            </w:tcBorders>
            <w:vAlign w:val="center"/>
          </w:tcPr>
          <w:p w14:paraId="54390F3B">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再次发生服务未达到合同标准且拒不整改的行为。</w:t>
            </w:r>
          </w:p>
        </w:tc>
      </w:tr>
      <w:tr w14:paraId="05ACC6C3">
        <w:tblPrEx>
          <w:tblCellMar>
            <w:top w:w="0" w:type="dxa"/>
            <w:left w:w="108" w:type="dxa"/>
            <w:bottom w:w="0" w:type="dxa"/>
            <w:right w:w="108" w:type="dxa"/>
          </w:tblCellMar>
        </w:tblPrEx>
        <w:trPr>
          <w:trHeight w:val="629"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06EC9043">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top w:val="single" w:color="auto" w:sz="4" w:space="0"/>
              <w:left w:val="single" w:color="auto" w:sz="4" w:space="0"/>
              <w:bottom w:val="single" w:color="auto" w:sz="4" w:space="0"/>
              <w:right w:val="single" w:color="auto" w:sz="4" w:space="0"/>
            </w:tcBorders>
            <w:textDirection w:val="tbLrV"/>
            <w:vAlign w:val="center"/>
          </w:tcPr>
          <w:p w14:paraId="378BB6DA">
            <w:pPr>
              <w:widowControl/>
              <w:ind w:left="113" w:right="113"/>
              <w:jc w:val="center"/>
              <w:textAlignment w:val="center"/>
              <w:rPr>
                <w:rFonts w:ascii="宋体" w:hAnsi="宋体" w:eastAsia="宋体" w:cs="宋体"/>
                <w:color w:val="000000"/>
                <w:kern w:val="0"/>
                <w:szCs w:val="21"/>
                <w:highlight w:val="none"/>
                <w:lang w:bidi="ar"/>
              </w:rPr>
            </w:pPr>
          </w:p>
        </w:tc>
        <w:tc>
          <w:tcPr>
            <w:tcW w:w="6515" w:type="dxa"/>
            <w:tcBorders>
              <w:top w:val="single" w:color="auto" w:sz="4" w:space="0"/>
              <w:left w:val="single" w:color="auto" w:sz="4" w:space="0"/>
              <w:bottom w:val="single" w:color="auto" w:sz="4" w:space="0"/>
              <w:right w:val="single" w:color="auto" w:sz="4" w:space="0"/>
            </w:tcBorders>
            <w:vAlign w:val="center"/>
          </w:tcPr>
          <w:p w14:paraId="2C8A67FA">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再次发生无故不参加约谈或拒不落实约谈要求的行为。</w:t>
            </w:r>
          </w:p>
        </w:tc>
      </w:tr>
      <w:tr w14:paraId="18D49822">
        <w:tblPrEx>
          <w:tblCellMar>
            <w:top w:w="0" w:type="dxa"/>
            <w:left w:w="108" w:type="dxa"/>
            <w:bottom w:w="0" w:type="dxa"/>
            <w:right w:w="108" w:type="dxa"/>
          </w:tblCellMar>
        </w:tblPrEx>
        <w:trPr>
          <w:trHeight w:val="1119"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3FD11685">
            <w:pPr>
              <w:widowControl/>
              <w:jc w:val="center"/>
              <w:textAlignment w:val="center"/>
              <w:rPr>
                <w:rFonts w:ascii="宋体" w:hAnsi="宋体" w:eastAsia="宋体" w:cs="宋体"/>
                <w:color w:val="000000"/>
                <w:kern w:val="0"/>
                <w:szCs w:val="21"/>
                <w:highlight w:val="none"/>
                <w:lang w:bidi="ar"/>
              </w:rPr>
            </w:pPr>
          </w:p>
        </w:tc>
        <w:tc>
          <w:tcPr>
            <w:tcW w:w="849" w:type="dxa"/>
            <w:vMerge w:val="restart"/>
            <w:tcBorders>
              <w:top w:val="single" w:color="auto" w:sz="4" w:space="0"/>
              <w:left w:val="single" w:color="auto" w:sz="4" w:space="0"/>
              <w:bottom w:val="single" w:color="auto" w:sz="4" w:space="0"/>
              <w:right w:val="single" w:color="auto" w:sz="4" w:space="0"/>
            </w:tcBorders>
            <w:textDirection w:val="tbLrV"/>
            <w:vAlign w:val="center"/>
          </w:tcPr>
          <w:p w14:paraId="16F3F6A6">
            <w:pPr>
              <w:widowControl/>
              <w:ind w:left="113" w:right="113"/>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技术质量类</w:t>
            </w:r>
          </w:p>
        </w:tc>
        <w:tc>
          <w:tcPr>
            <w:tcW w:w="6515" w:type="dxa"/>
            <w:tcBorders>
              <w:top w:val="single" w:color="auto" w:sz="4" w:space="0"/>
              <w:left w:val="single" w:color="auto" w:sz="4" w:space="0"/>
              <w:bottom w:val="single" w:color="auto" w:sz="4" w:space="0"/>
              <w:right w:val="single" w:color="auto" w:sz="4" w:space="0"/>
            </w:tcBorders>
            <w:vAlign w:val="center"/>
          </w:tcPr>
          <w:p w14:paraId="69F3A12E">
            <w:pPr>
              <w:pStyle w:val="13"/>
              <w:rPr>
                <w:rFonts w:ascii="Calibri" w:hAnsi="Calibri" w:eastAsia="宋体" w:cs="Times New Roman"/>
                <w:kern w:val="2"/>
                <w:sz w:val="21"/>
                <w:szCs w:val="24"/>
                <w:highlight w:val="none"/>
              </w:rPr>
            </w:pPr>
            <w:r>
              <w:rPr>
                <w:rFonts w:hint="eastAsia" w:ascii="Calibri" w:hAnsi="Calibri" w:eastAsia="宋体" w:cs="Times New Roman"/>
                <w:kern w:val="2"/>
                <w:sz w:val="21"/>
                <w:szCs w:val="24"/>
                <w:highlight w:val="none"/>
              </w:rPr>
              <w:t>设施设备季度运行可靠度/故障率低于规范要求，</w:t>
            </w:r>
            <w:r>
              <w:rPr>
                <w:rFonts w:hint="eastAsia" w:ascii="Calibri" w:hAnsi="Calibri" w:eastAsia="宋体" w:cs="Times New Roman"/>
                <w:b/>
                <w:bCs/>
                <w:kern w:val="2"/>
                <w:sz w:val="21"/>
                <w:szCs w:val="24"/>
                <w:highlight w:val="none"/>
              </w:rPr>
              <w:t>经核实确为维修/改造质量造成的</w:t>
            </w:r>
            <w:r>
              <w:rPr>
                <w:rFonts w:hint="eastAsia" w:ascii="Calibri" w:hAnsi="Calibri" w:eastAsia="宋体" w:cs="Times New Roman"/>
                <w:kern w:val="2"/>
                <w:sz w:val="21"/>
                <w:szCs w:val="24"/>
                <w:highlight w:val="none"/>
              </w:rPr>
              <w:t>（以最新发布的法律法规、上级规章制度的可靠度/故障率指标为准）。</w:t>
            </w:r>
          </w:p>
        </w:tc>
      </w:tr>
      <w:tr w14:paraId="6C7F0788">
        <w:tblPrEx>
          <w:tblCellMar>
            <w:top w:w="0" w:type="dxa"/>
            <w:left w:w="108" w:type="dxa"/>
            <w:bottom w:w="0" w:type="dxa"/>
            <w:right w:w="108" w:type="dxa"/>
          </w:tblCellMar>
        </w:tblPrEx>
        <w:trPr>
          <w:trHeight w:val="864"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7776575C">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top w:val="single" w:color="auto" w:sz="4" w:space="0"/>
              <w:left w:val="single" w:color="auto" w:sz="4" w:space="0"/>
              <w:bottom w:val="single" w:color="auto" w:sz="4" w:space="0"/>
              <w:right w:val="single" w:color="auto" w:sz="4" w:space="0"/>
            </w:tcBorders>
            <w:textDirection w:val="tbLrV"/>
            <w:vAlign w:val="center"/>
          </w:tcPr>
          <w:p w14:paraId="58A78F3A">
            <w:pPr>
              <w:widowControl/>
              <w:ind w:left="113" w:right="113"/>
              <w:jc w:val="center"/>
              <w:textAlignment w:val="center"/>
              <w:rPr>
                <w:rFonts w:ascii="宋体" w:hAnsi="宋体" w:eastAsia="宋体" w:cs="宋体"/>
                <w:color w:val="000000"/>
                <w:kern w:val="0"/>
                <w:szCs w:val="21"/>
                <w:highlight w:val="none"/>
                <w:lang w:bidi="ar"/>
              </w:rPr>
            </w:pPr>
          </w:p>
        </w:tc>
        <w:tc>
          <w:tcPr>
            <w:tcW w:w="6515" w:type="dxa"/>
            <w:tcBorders>
              <w:top w:val="single" w:color="auto" w:sz="4" w:space="0"/>
              <w:left w:val="single" w:color="auto" w:sz="4" w:space="0"/>
              <w:bottom w:val="single" w:color="auto" w:sz="4" w:space="0"/>
              <w:right w:val="single" w:color="auto" w:sz="4" w:space="0"/>
            </w:tcBorders>
            <w:vAlign w:val="center"/>
          </w:tcPr>
          <w:p w14:paraId="4186023E">
            <w:pPr>
              <w:rPr>
                <w:rFonts w:ascii="宋体" w:hAnsi="宋体" w:eastAsia="宋体" w:cs="宋体"/>
                <w:color w:val="000000"/>
                <w:kern w:val="0"/>
                <w:szCs w:val="21"/>
                <w:highlight w:val="none"/>
                <w:lang w:bidi="ar"/>
              </w:rPr>
            </w:pPr>
            <w:r>
              <w:rPr>
                <w:rFonts w:hint="eastAsia"/>
                <w:highlight w:val="none"/>
              </w:rPr>
              <w:t>未按维修计划开展维修作业，影响行车或客运服务（如5分钟以上晚点）。</w:t>
            </w:r>
          </w:p>
        </w:tc>
      </w:tr>
      <w:tr w14:paraId="305DEE64">
        <w:tblPrEx>
          <w:tblCellMar>
            <w:top w:w="0" w:type="dxa"/>
            <w:left w:w="108" w:type="dxa"/>
            <w:bottom w:w="0" w:type="dxa"/>
            <w:right w:w="108" w:type="dxa"/>
          </w:tblCellMar>
        </w:tblPrEx>
        <w:trPr>
          <w:trHeight w:val="802"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36B5E120">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top w:val="single" w:color="auto" w:sz="4" w:space="0"/>
              <w:left w:val="single" w:color="auto" w:sz="4" w:space="0"/>
              <w:bottom w:val="single" w:color="auto" w:sz="4" w:space="0"/>
              <w:right w:val="single" w:color="auto" w:sz="4" w:space="0"/>
            </w:tcBorders>
            <w:textDirection w:val="tbLrV"/>
            <w:vAlign w:val="center"/>
          </w:tcPr>
          <w:p w14:paraId="29E50141">
            <w:pPr>
              <w:widowControl/>
              <w:ind w:left="113" w:right="113"/>
              <w:jc w:val="center"/>
              <w:textAlignment w:val="center"/>
              <w:rPr>
                <w:rFonts w:ascii="宋体" w:hAnsi="宋体" w:eastAsia="宋体" w:cs="宋体"/>
                <w:color w:val="000000"/>
                <w:kern w:val="0"/>
                <w:szCs w:val="21"/>
                <w:highlight w:val="none"/>
                <w:lang w:bidi="ar"/>
              </w:rPr>
            </w:pPr>
          </w:p>
        </w:tc>
        <w:tc>
          <w:tcPr>
            <w:tcW w:w="6515" w:type="dxa"/>
            <w:tcBorders>
              <w:top w:val="single" w:color="auto" w:sz="4" w:space="0"/>
              <w:left w:val="single" w:color="auto" w:sz="4" w:space="0"/>
              <w:bottom w:val="single" w:color="auto" w:sz="4" w:space="0"/>
              <w:right w:val="single" w:color="auto" w:sz="4" w:space="0"/>
            </w:tcBorders>
            <w:vAlign w:val="center"/>
          </w:tcPr>
          <w:p w14:paraId="2EBC8802">
            <w:pPr>
              <w:rPr>
                <w:rFonts w:ascii="宋体" w:hAnsi="宋体" w:cs="宋体"/>
                <w:color w:val="000000"/>
                <w:kern w:val="0"/>
                <w:szCs w:val="21"/>
                <w:highlight w:val="none"/>
                <w:lang w:bidi="ar"/>
              </w:rPr>
            </w:pPr>
            <w:r>
              <w:rPr>
                <w:highlight w:val="none"/>
              </w:rPr>
              <w:t>使用未经批准的维修方法或替代材料，导致设备存在重大质量缺陷或安全隐患</w:t>
            </w:r>
            <w:r>
              <w:rPr>
                <w:rFonts w:hint="eastAsia"/>
                <w:highlight w:val="none"/>
              </w:rPr>
              <w:t>。</w:t>
            </w:r>
          </w:p>
        </w:tc>
      </w:tr>
      <w:tr w14:paraId="60AEF087">
        <w:tblPrEx>
          <w:tblCellMar>
            <w:top w:w="0" w:type="dxa"/>
            <w:left w:w="108" w:type="dxa"/>
            <w:bottom w:w="0" w:type="dxa"/>
            <w:right w:w="108" w:type="dxa"/>
          </w:tblCellMar>
        </w:tblPrEx>
        <w:trPr>
          <w:trHeight w:val="634"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448224C3">
            <w:pPr>
              <w:widowControl/>
              <w:jc w:val="center"/>
              <w:textAlignment w:val="center"/>
              <w:rPr>
                <w:rFonts w:ascii="宋体" w:hAnsi="宋体" w:eastAsia="宋体" w:cs="宋体"/>
                <w:color w:val="000000"/>
                <w:kern w:val="0"/>
                <w:szCs w:val="21"/>
                <w:highlight w:val="none"/>
                <w:lang w:bidi="ar"/>
              </w:rPr>
            </w:pPr>
          </w:p>
        </w:tc>
        <w:tc>
          <w:tcPr>
            <w:tcW w:w="849" w:type="dxa"/>
            <w:vMerge w:val="continue"/>
            <w:tcBorders>
              <w:top w:val="single" w:color="auto" w:sz="4" w:space="0"/>
              <w:left w:val="single" w:color="auto" w:sz="4" w:space="0"/>
              <w:bottom w:val="single" w:color="auto" w:sz="4" w:space="0"/>
              <w:right w:val="single" w:color="auto" w:sz="4" w:space="0"/>
            </w:tcBorders>
            <w:textDirection w:val="tbLrV"/>
            <w:vAlign w:val="center"/>
          </w:tcPr>
          <w:p w14:paraId="1B73AADA">
            <w:pPr>
              <w:widowControl/>
              <w:ind w:left="113" w:right="113"/>
              <w:jc w:val="center"/>
              <w:textAlignment w:val="center"/>
              <w:rPr>
                <w:rFonts w:ascii="宋体" w:hAnsi="宋体" w:eastAsia="宋体" w:cs="宋体"/>
                <w:color w:val="000000"/>
                <w:kern w:val="0"/>
                <w:szCs w:val="21"/>
                <w:highlight w:val="none"/>
                <w:lang w:bidi="ar"/>
              </w:rPr>
            </w:pPr>
          </w:p>
        </w:tc>
        <w:tc>
          <w:tcPr>
            <w:tcW w:w="6515" w:type="dxa"/>
            <w:tcBorders>
              <w:top w:val="single" w:color="auto" w:sz="4" w:space="0"/>
              <w:left w:val="single" w:color="auto" w:sz="4" w:space="0"/>
              <w:bottom w:val="single" w:color="auto" w:sz="4" w:space="0"/>
              <w:right w:val="single" w:color="auto" w:sz="4" w:space="0"/>
            </w:tcBorders>
            <w:vAlign w:val="center"/>
          </w:tcPr>
          <w:p w14:paraId="34020848">
            <w:pPr>
              <w:rPr>
                <w:rFonts w:ascii="宋体" w:hAnsi="宋体" w:cs="宋体"/>
                <w:color w:val="000000"/>
                <w:kern w:val="0"/>
                <w:szCs w:val="21"/>
                <w:highlight w:val="none"/>
                <w:lang w:bidi="ar"/>
              </w:rPr>
            </w:pPr>
            <w:r>
              <w:rPr>
                <w:highlight w:val="none"/>
              </w:rPr>
              <w:t>伪造维修、检测、试验记录或数据</w:t>
            </w:r>
            <w:r>
              <w:rPr>
                <w:rFonts w:hint="eastAsia"/>
                <w:highlight w:val="none"/>
              </w:rPr>
              <w:t>。</w:t>
            </w:r>
          </w:p>
        </w:tc>
      </w:tr>
      <w:tr w14:paraId="0347E956">
        <w:tblPrEx>
          <w:tblCellMar>
            <w:top w:w="0" w:type="dxa"/>
            <w:left w:w="108" w:type="dxa"/>
            <w:bottom w:w="0" w:type="dxa"/>
            <w:right w:w="108" w:type="dxa"/>
          </w:tblCellMar>
        </w:tblPrEx>
        <w:trPr>
          <w:trHeight w:val="629"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05775B4A">
            <w:pPr>
              <w:widowControl/>
              <w:jc w:val="center"/>
              <w:textAlignment w:val="center"/>
              <w:rPr>
                <w:rFonts w:ascii="宋体" w:hAnsi="宋体" w:eastAsia="宋体" w:cs="宋体"/>
                <w:color w:val="000000"/>
                <w:szCs w:val="21"/>
                <w:highlight w:val="none"/>
              </w:rPr>
            </w:pPr>
          </w:p>
        </w:tc>
        <w:tc>
          <w:tcPr>
            <w:tcW w:w="849" w:type="dxa"/>
            <w:vMerge w:val="restart"/>
            <w:tcBorders>
              <w:top w:val="single" w:color="auto" w:sz="4" w:space="0"/>
              <w:left w:val="single" w:color="auto" w:sz="4" w:space="0"/>
              <w:bottom w:val="single" w:color="auto" w:sz="4" w:space="0"/>
              <w:right w:val="single" w:color="auto" w:sz="4" w:space="0"/>
            </w:tcBorders>
            <w:textDirection w:val="tbLrV"/>
            <w:vAlign w:val="center"/>
          </w:tcPr>
          <w:p w14:paraId="718C48ED">
            <w:pPr>
              <w:widowControl/>
              <w:ind w:left="113" w:right="113"/>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安全生产类</w:t>
            </w:r>
          </w:p>
        </w:tc>
        <w:tc>
          <w:tcPr>
            <w:tcW w:w="6515" w:type="dxa"/>
            <w:tcBorders>
              <w:top w:val="single" w:color="auto" w:sz="4" w:space="0"/>
              <w:left w:val="single" w:color="auto" w:sz="4" w:space="0"/>
              <w:bottom w:val="single" w:color="auto" w:sz="4" w:space="0"/>
              <w:right w:val="single" w:color="auto" w:sz="4" w:space="0"/>
            </w:tcBorders>
            <w:vAlign w:val="center"/>
          </w:tcPr>
          <w:p w14:paraId="09855E9B">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违反国家强制性标准的或使用国家明令淘汰、禁止使用的工艺、设备、材料，未及时整改到位。</w:t>
            </w:r>
          </w:p>
        </w:tc>
      </w:tr>
      <w:tr w14:paraId="785D069D">
        <w:tblPrEx>
          <w:tblCellMar>
            <w:top w:w="0" w:type="dxa"/>
            <w:left w:w="108" w:type="dxa"/>
            <w:bottom w:w="0" w:type="dxa"/>
            <w:right w:w="108" w:type="dxa"/>
          </w:tblCellMar>
        </w:tblPrEx>
        <w:trPr>
          <w:trHeight w:val="629"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4605099B">
            <w:pPr>
              <w:jc w:val="center"/>
              <w:rPr>
                <w:rFonts w:ascii="宋体" w:hAnsi="宋体" w:eastAsia="宋体" w:cs="宋体"/>
                <w:color w:val="000000"/>
                <w:szCs w:val="21"/>
                <w:highlight w:val="none"/>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79C7BBBC">
            <w:pPr>
              <w:jc w:val="center"/>
              <w:rPr>
                <w:rFonts w:ascii="宋体" w:hAnsi="宋体" w:eastAsia="宋体" w:cs="宋体"/>
                <w:color w:val="000000"/>
                <w:szCs w:val="21"/>
                <w:highlight w:val="none"/>
              </w:rPr>
            </w:pPr>
          </w:p>
        </w:tc>
        <w:tc>
          <w:tcPr>
            <w:tcW w:w="6515" w:type="dxa"/>
            <w:tcBorders>
              <w:top w:val="single" w:color="auto" w:sz="4" w:space="0"/>
              <w:left w:val="single" w:color="auto" w:sz="4" w:space="0"/>
              <w:bottom w:val="single" w:color="auto" w:sz="4" w:space="0"/>
              <w:right w:val="single" w:color="auto" w:sz="4" w:space="0"/>
            </w:tcBorders>
            <w:vAlign w:val="center"/>
          </w:tcPr>
          <w:p w14:paraId="6E79CFE6">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偷工减料或弄虚作假，降低检维修质量；或伪造检测（监测）数据，提供虚假检测（监测）报告。</w:t>
            </w:r>
          </w:p>
        </w:tc>
      </w:tr>
      <w:tr w14:paraId="078075FB">
        <w:tblPrEx>
          <w:tblCellMar>
            <w:top w:w="0" w:type="dxa"/>
            <w:left w:w="108" w:type="dxa"/>
            <w:bottom w:w="0" w:type="dxa"/>
            <w:right w:w="108" w:type="dxa"/>
          </w:tblCellMar>
        </w:tblPrEx>
        <w:trPr>
          <w:trHeight w:val="629"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6270ECBD">
            <w:pPr>
              <w:jc w:val="center"/>
              <w:rPr>
                <w:rFonts w:ascii="宋体" w:hAnsi="宋体" w:eastAsia="宋体" w:cs="宋体"/>
                <w:color w:val="000000"/>
                <w:szCs w:val="21"/>
                <w:highlight w:val="none"/>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070D5A6E">
            <w:pPr>
              <w:jc w:val="center"/>
              <w:rPr>
                <w:rFonts w:ascii="宋体" w:hAnsi="宋体" w:eastAsia="宋体" w:cs="宋体"/>
                <w:color w:val="000000"/>
                <w:szCs w:val="21"/>
                <w:highlight w:val="none"/>
              </w:rPr>
            </w:pPr>
          </w:p>
        </w:tc>
        <w:tc>
          <w:tcPr>
            <w:tcW w:w="6515" w:type="dxa"/>
            <w:tcBorders>
              <w:top w:val="single" w:color="auto" w:sz="4" w:space="0"/>
              <w:left w:val="single" w:color="auto" w:sz="4" w:space="0"/>
              <w:bottom w:val="single" w:color="auto" w:sz="4" w:space="0"/>
              <w:right w:val="single" w:color="auto" w:sz="4" w:space="0"/>
            </w:tcBorders>
            <w:vAlign w:val="center"/>
          </w:tcPr>
          <w:p w14:paraId="18C81BF4">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因项目部管理问题（如拖欠工资等）引发上访或舆情事件，导致运营公司声誉受损。</w:t>
            </w:r>
          </w:p>
        </w:tc>
      </w:tr>
      <w:tr w14:paraId="03FDC829">
        <w:tblPrEx>
          <w:tblCellMar>
            <w:top w:w="0" w:type="dxa"/>
            <w:left w:w="108" w:type="dxa"/>
            <w:bottom w:w="0" w:type="dxa"/>
            <w:right w:w="108" w:type="dxa"/>
          </w:tblCellMar>
        </w:tblPrEx>
        <w:trPr>
          <w:trHeight w:val="320"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301E2C23">
            <w:pPr>
              <w:jc w:val="center"/>
              <w:rPr>
                <w:rFonts w:ascii="宋体" w:hAnsi="宋体" w:eastAsia="宋体" w:cs="宋体"/>
                <w:color w:val="000000"/>
                <w:szCs w:val="21"/>
                <w:highlight w:val="none"/>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37783A5F">
            <w:pPr>
              <w:jc w:val="center"/>
              <w:rPr>
                <w:rFonts w:ascii="宋体" w:hAnsi="宋体" w:eastAsia="宋体" w:cs="宋体"/>
                <w:color w:val="000000"/>
                <w:szCs w:val="21"/>
                <w:highlight w:val="none"/>
              </w:rPr>
            </w:pPr>
          </w:p>
        </w:tc>
        <w:tc>
          <w:tcPr>
            <w:tcW w:w="6515" w:type="dxa"/>
            <w:tcBorders>
              <w:top w:val="single" w:color="auto" w:sz="4" w:space="0"/>
              <w:left w:val="single" w:color="auto" w:sz="4" w:space="0"/>
              <w:bottom w:val="single" w:color="auto" w:sz="4" w:space="0"/>
              <w:right w:val="single" w:color="auto" w:sz="4" w:space="0"/>
            </w:tcBorders>
            <w:vAlign w:val="center"/>
          </w:tcPr>
          <w:p w14:paraId="7B02F970">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对运营公司提出的停工整改通知拒不执行的。</w:t>
            </w:r>
          </w:p>
        </w:tc>
      </w:tr>
      <w:tr w14:paraId="2C3C5665">
        <w:tblPrEx>
          <w:tblCellMar>
            <w:top w:w="0" w:type="dxa"/>
            <w:left w:w="108" w:type="dxa"/>
            <w:bottom w:w="0" w:type="dxa"/>
            <w:right w:w="108" w:type="dxa"/>
          </w:tblCellMar>
        </w:tblPrEx>
        <w:trPr>
          <w:trHeight w:val="320"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637257CB">
            <w:pPr>
              <w:jc w:val="center"/>
              <w:rPr>
                <w:rFonts w:ascii="宋体" w:hAnsi="宋体" w:eastAsia="宋体" w:cs="宋体"/>
                <w:color w:val="000000"/>
                <w:szCs w:val="21"/>
                <w:highlight w:val="none"/>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1FF5A23F">
            <w:pPr>
              <w:jc w:val="center"/>
              <w:rPr>
                <w:rFonts w:ascii="宋体" w:hAnsi="宋体" w:eastAsia="宋体" w:cs="宋体"/>
                <w:color w:val="000000"/>
                <w:szCs w:val="21"/>
                <w:highlight w:val="none"/>
              </w:rPr>
            </w:pPr>
          </w:p>
        </w:tc>
        <w:tc>
          <w:tcPr>
            <w:tcW w:w="6515" w:type="dxa"/>
            <w:tcBorders>
              <w:top w:val="single" w:color="auto" w:sz="4" w:space="0"/>
              <w:left w:val="single" w:color="auto" w:sz="4" w:space="0"/>
              <w:bottom w:val="single" w:color="auto" w:sz="4" w:space="0"/>
              <w:right w:val="single" w:color="auto" w:sz="4" w:space="0"/>
            </w:tcBorders>
            <w:vAlign w:val="center"/>
          </w:tcPr>
          <w:p w14:paraId="787BBFE3">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合同期内累计收到3次及以上安全生产类黄牌警示的。</w:t>
            </w:r>
          </w:p>
        </w:tc>
      </w:tr>
      <w:tr w14:paraId="3B6026D9">
        <w:tblPrEx>
          <w:tblCellMar>
            <w:top w:w="0" w:type="dxa"/>
            <w:left w:w="108" w:type="dxa"/>
            <w:bottom w:w="0" w:type="dxa"/>
            <w:right w:w="108" w:type="dxa"/>
          </w:tblCellMar>
        </w:tblPrEx>
        <w:trPr>
          <w:trHeight w:val="938"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52A9A215">
            <w:pPr>
              <w:jc w:val="center"/>
              <w:rPr>
                <w:rFonts w:ascii="宋体" w:hAnsi="宋体" w:eastAsia="宋体" w:cs="宋体"/>
                <w:color w:val="000000"/>
                <w:szCs w:val="21"/>
                <w:highlight w:val="none"/>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2D3DE83A">
            <w:pPr>
              <w:widowControl/>
              <w:jc w:val="center"/>
              <w:textAlignment w:val="center"/>
              <w:rPr>
                <w:rFonts w:ascii="宋体" w:hAnsi="宋体" w:eastAsia="宋体" w:cs="宋体"/>
                <w:color w:val="000000"/>
                <w:kern w:val="0"/>
                <w:szCs w:val="21"/>
                <w:highlight w:val="none"/>
                <w:lang w:bidi="ar"/>
              </w:rPr>
            </w:pPr>
          </w:p>
        </w:tc>
        <w:tc>
          <w:tcPr>
            <w:tcW w:w="6515" w:type="dxa"/>
            <w:tcBorders>
              <w:top w:val="single" w:color="auto" w:sz="4" w:space="0"/>
              <w:left w:val="single" w:color="auto" w:sz="4" w:space="0"/>
              <w:bottom w:val="single" w:color="auto" w:sz="4" w:space="0"/>
              <w:right w:val="single" w:color="auto" w:sz="4" w:space="0"/>
            </w:tcBorders>
            <w:vAlign w:val="center"/>
          </w:tcPr>
          <w:p w14:paraId="3C357213">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因违规施工、强令指挥、检维修质量不过关、巡查不到位、提供设备物资质量不达标等原因，导致发生运营严重险情、运营车站关站、运营区间停运、火灾、隧道被钻穿等。</w:t>
            </w:r>
          </w:p>
        </w:tc>
      </w:tr>
      <w:tr w14:paraId="7DE4FA55">
        <w:tblPrEx>
          <w:tblCellMar>
            <w:top w:w="0" w:type="dxa"/>
            <w:left w:w="108" w:type="dxa"/>
            <w:bottom w:w="0" w:type="dxa"/>
            <w:right w:w="108" w:type="dxa"/>
          </w:tblCellMar>
        </w:tblPrEx>
        <w:trPr>
          <w:trHeight w:val="320"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49DC7E26">
            <w:pPr>
              <w:jc w:val="center"/>
              <w:rPr>
                <w:rFonts w:ascii="宋体" w:hAnsi="宋体" w:eastAsia="宋体" w:cs="宋体"/>
                <w:color w:val="000000"/>
                <w:szCs w:val="21"/>
                <w:highlight w:val="none"/>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42554EC1">
            <w:pPr>
              <w:jc w:val="center"/>
              <w:rPr>
                <w:rFonts w:ascii="宋体" w:hAnsi="宋体" w:eastAsia="宋体" w:cs="宋体"/>
                <w:color w:val="000000"/>
                <w:szCs w:val="21"/>
                <w:highlight w:val="none"/>
              </w:rPr>
            </w:pPr>
          </w:p>
        </w:tc>
        <w:tc>
          <w:tcPr>
            <w:tcW w:w="6515" w:type="dxa"/>
            <w:tcBorders>
              <w:top w:val="single" w:color="auto" w:sz="4" w:space="0"/>
              <w:left w:val="single" w:color="auto" w:sz="4" w:space="0"/>
              <w:bottom w:val="single" w:color="auto" w:sz="4" w:space="0"/>
              <w:right w:val="single" w:color="auto" w:sz="4" w:space="0"/>
            </w:tcBorders>
            <w:vAlign w:val="center"/>
          </w:tcPr>
          <w:p w14:paraId="76D3BE68">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未做好作业安全保障措施，导致相关人员重伤或死亡。</w:t>
            </w:r>
          </w:p>
        </w:tc>
      </w:tr>
      <w:tr w14:paraId="09E4E9D1">
        <w:tblPrEx>
          <w:tblCellMar>
            <w:top w:w="0" w:type="dxa"/>
            <w:left w:w="108" w:type="dxa"/>
            <w:bottom w:w="0" w:type="dxa"/>
            <w:right w:w="108" w:type="dxa"/>
          </w:tblCellMar>
        </w:tblPrEx>
        <w:trPr>
          <w:trHeight w:val="320"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1C1E45A9">
            <w:pPr>
              <w:jc w:val="center"/>
              <w:rPr>
                <w:rFonts w:ascii="宋体" w:hAnsi="宋体" w:eastAsia="宋体" w:cs="宋体"/>
                <w:color w:val="000000"/>
                <w:szCs w:val="21"/>
                <w:highlight w:val="none"/>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7C797572">
            <w:pPr>
              <w:jc w:val="center"/>
              <w:rPr>
                <w:rFonts w:ascii="宋体" w:hAnsi="宋体" w:eastAsia="宋体" w:cs="宋体"/>
                <w:color w:val="000000"/>
                <w:szCs w:val="21"/>
                <w:highlight w:val="none"/>
              </w:rPr>
            </w:pPr>
          </w:p>
        </w:tc>
        <w:tc>
          <w:tcPr>
            <w:tcW w:w="6515" w:type="dxa"/>
            <w:tcBorders>
              <w:top w:val="single" w:color="auto" w:sz="4" w:space="0"/>
              <w:left w:val="single" w:color="auto" w:sz="4" w:space="0"/>
              <w:bottom w:val="single" w:color="auto" w:sz="4" w:space="0"/>
              <w:right w:val="single" w:color="auto" w:sz="4" w:space="0"/>
            </w:tcBorders>
            <w:vAlign w:val="center"/>
          </w:tcPr>
          <w:p w14:paraId="0BF4EC17">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发生突发事故（件）谎报、瞒报。</w:t>
            </w:r>
          </w:p>
        </w:tc>
      </w:tr>
      <w:tr w14:paraId="10EBC96A">
        <w:tblPrEx>
          <w:tblCellMar>
            <w:top w:w="0" w:type="dxa"/>
            <w:left w:w="108" w:type="dxa"/>
            <w:bottom w:w="0" w:type="dxa"/>
            <w:right w:w="108" w:type="dxa"/>
          </w:tblCellMar>
        </w:tblPrEx>
        <w:trPr>
          <w:trHeight w:val="629"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25935A54">
            <w:pPr>
              <w:jc w:val="center"/>
              <w:rPr>
                <w:rFonts w:ascii="宋体" w:hAnsi="宋体" w:eastAsia="宋体" w:cs="宋体"/>
                <w:color w:val="000000"/>
                <w:szCs w:val="21"/>
                <w:highlight w:val="none"/>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74F1BC7B">
            <w:pPr>
              <w:jc w:val="center"/>
              <w:rPr>
                <w:rFonts w:ascii="宋体" w:hAnsi="宋体" w:eastAsia="宋体" w:cs="宋体"/>
                <w:color w:val="000000"/>
                <w:szCs w:val="21"/>
                <w:highlight w:val="none"/>
              </w:rPr>
            </w:pPr>
          </w:p>
        </w:tc>
        <w:tc>
          <w:tcPr>
            <w:tcW w:w="6515" w:type="dxa"/>
            <w:tcBorders>
              <w:top w:val="single" w:color="auto" w:sz="4" w:space="0"/>
              <w:left w:val="single" w:color="auto" w:sz="4" w:space="0"/>
              <w:bottom w:val="single" w:color="auto" w:sz="4" w:space="0"/>
              <w:right w:val="single" w:color="auto" w:sz="4" w:space="0"/>
            </w:tcBorders>
            <w:vAlign w:val="center"/>
          </w:tcPr>
          <w:p w14:paraId="021FD9A0">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突发事故（件）发生后，未按照规定时间到达或未按照预案要求及时组织抢险，造成风险增大、险情恶化。</w:t>
            </w:r>
          </w:p>
        </w:tc>
      </w:tr>
      <w:tr w14:paraId="0B60D7BC">
        <w:tblPrEx>
          <w:tblCellMar>
            <w:top w:w="0" w:type="dxa"/>
            <w:left w:w="108" w:type="dxa"/>
            <w:bottom w:w="0" w:type="dxa"/>
            <w:right w:w="108" w:type="dxa"/>
          </w:tblCellMar>
        </w:tblPrEx>
        <w:trPr>
          <w:trHeight w:val="320"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034A4716">
            <w:pPr>
              <w:jc w:val="center"/>
              <w:rPr>
                <w:rFonts w:ascii="宋体" w:hAnsi="宋体" w:eastAsia="宋体" w:cs="宋体"/>
                <w:color w:val="000000"/>
                <w:szCs w:val="21"/>
                <w:highlight w:val="none"/>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1F7A9DA2">
            <w:pPr>
              <w:jc w:val="center"/>
              <w:rPr>
                <w:rFonts w:ascii="宋体" w:hAnsi="宋体" w:eastAsia="宋体" w:cs="宋体"/>
                <w:color w:val="000000"/>
                <w:szCs w:val="21"/>
                <w:highlight w:val="none"/>
              </w:rPr>
            </w:pPr>
          </w:p>
        </w:tc>
        <w:tc>
          <w:tcPr>
            <w:tcW w:w="6515" w:type="dxa"/>
            <w:tcBorders>
              <w:top w:val="single" w:color="auto" w:sz="4" w:space="0"/>
              <w:left w:val="single" w:color="auto" w:sz="4" w:space="0"/>
              <w:bottom w:val="single" w:color="auto" w:sz="4" w:space="0"/>
              <w:right w:val="single" w:color="auto" w:sz="4" w:space="0"/>
            </w:tcBorders>
            <w:vAlign w:val="center"/>
          </w:tcPr>
          <w:p w14:paraId="3A938B4D">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造成15分钟以上晚点。</w:t>
            </w:r>
          </w:p>
        </w:tc>
      </w:tr>
      <w:tr w14:paraId="736B1C85">
        <w:tblPrEx>
          <w:tblCellMar>
            <w:top w:w="0" w:type="dxa"/>
            <w:left w:w="108" w:type="dxa"/>
            <w:bottom w:w="0" w:type="dxa"/>
            <w:right w:w="108" w:type="dxa"/>
          </w:tblCellMar>
        </w:tblPrEx>
        <w:trPr>
          <w:trHeight w:val="320"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112C821B">
            <w:pPr>
              <w:jc w:val="center"/>
              <w:rPr>
                <w:rFonts w:ascii="宋体" w:hAnsi="宋体" w:eastAsia="宋体" w:cs="宋体"/>
                <w:color w:val="000000"/>
                <w:szCs w:val="21"/>
                <w:highlight w:val="none"/>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47EB1DB1">
            <w:pPr>
              <w:jc w:val="center"/>
              <w:rPr>
                <w:rFonts w:ascii="宋体" w:hAnsi="宋体" w:eastAsia="宋体" w:cs="宋体"/>
                <w:color w:val="000000"/>
                <w:szCs w:val="21"/>
                <w:highlight w:val="none"/>
              </w:rPr>
            </w:pPr>
          </w:p>
        </w:tc>
        <w:tc>
          <w:tcPr>
            <w:tcW w:w="6515" w:type="dxa"/>
            <w:tcBorders>
              <w:top w:val="single" w:color="auto" w:sz="4" w:space="0"/>
              <w:left w:val="single" w:color="auto" w:sz="4" w:space="0"/>
              <w:bottom w:val="single" w:color="auto" w:sz="4" w:space="0"/>
              <w:right w:val="single" w:color="auto" w:sz="4" w:space="0"/>
            </w:tcBorders>
            <w:vAlign w:val="center"/>
          </w:tcPr>
          <w:p w14:paraId="42692156">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发生险性事故、一般及以上事故，经查负有主要责任的。</w:t>
            </w:r>
          </w:p>
        </w:tc>
      </w:tr>
      <w:tr w14:paraId="77B9CC70">
        <w:tblPrEx>
          <w:tblCellMar>
            <w:top w:w="0" w:type="dxa"/>
            <w:left w:w="108" w:type="dxa"/>
            <w:bottom w:w="0" w:type="dxa"/>
            <w:right w:w="108" w:type="dxa"/>
          </w:tblCellMar>
        </w:tblPrEx>
        <w:trPr>
          <w:trHeight w:val="330"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32A5A199">
            <w:pPr>
              <w:jc w:val="center"/>
              <w:rPr>
                <w:rFonts w:ascii="宋体" w:hAnsi="宋体" w:eastAsia="宋体" w:cs="宋体"/>
                <w:color w:val="000000"/>
                <w:szCs w:val="21"/>
                <w:highlight w:val="none"/>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46C047FE">
            <w:pPr>
              <w:jc w:val="center"/>
              <w:rPr>
                <w:rFonts w:ascii="宋体" w:hAnsi="宋体" w:eastAsia="宋体" w:cs="宋体"/>
                <w:color w:val="000000"/>
                <w:szCs w:val="21"/>
                <w:highlight w:val="none"/>
              </w:rPr>
            </w:pPr>
          </w:p>
        </w:tc>
        <w:tc>
          <w:tcPr>
            <w:tcW w:w="6515" w:type="dxa"/>
            <w:tcBorders>
              <w:top w:val="single" w:color="auto" w:sz="4" w:space="0"/>
              <w:left w:val="single" w:color="auto" w:sz="4" w:space="0"/>
              <w:bottom w:val="single" w:color="auto" w:sz="4" w:space="0"/>
              <w:right w:val="single" w:color="auto" w:sz="4" w:space="0"/>
            </w:tcBorders>
            <w:vAlign w:val="center"/>
          </w:tcPr>
          <w:p w14:paraId="72887DEA">
            <w:pPr>
              <w:widowControl/>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其他被严厉禁止的、可能会造成安全事故的不安全行为。</w:t>
            </w:r>
          </w:p>
        </w:tc>
      </w:tr>
    </w:tbl>
    <w:p w14:paraId="38D81AAA">
      <w:pPr>
        <w:pStyle w:val="14"/>
        <w:spacing w:before="0" w:after="0" w:line="360" w:lineRule="auto"/>
        <w:jc w:val="left"/>
        <w:rPr>
          <w:rFonts w:ascii="黑体" w:hAnsi="黑体" w:eastAsia="黑体" w:cs="黑体"/>
          <w:b w:val="0"/>
          <w:sz w:val="24"/>
          <w:highlight w:val="none"/>
        </w:rPr>
        <w:sectPr>
          <w:footerReference r:id="rId16" w:type="default"/>
          <w:footerReference r:id="rId17" w:type="even"/>
          <w:pgSz w:w="11905" w:h="16838"/>
          <w:pgMar w:top="1440" w:right="1803" w:bottom="1440" w:left="1803" w:header="851" w:footer="992" w:gutter="0"/>
          <w:pgNumType w:fmt="numberInDash"/>
          <w:cols w:space="720" w:num="1"/>
          <w:docGrid w:type="lines" w:linePitch="319" w:charSpace="0"/>
        </w:sectPr>
      </w:pPr>
    </w:p>
    <w:p w14:paraId="1FB47A89">
      <w:pPr>
        <w:pStyle w:val="14"/>
        <w:spacing w:before="0" w:after="0" w:line="360" w:lineRule="auto"/>
        <w:jc w:val="left"/>
        <w:rPr>
          <w:rFonts w:ascii="宋体" w:hAnsi="宋体"/>
          <w:sz w:val="24"/>
          <w:highlight w:val="none"/>
        </w:rPr>
      </w:pPr>
      <w:r>
        <w:rPr>
          <w:rFonts w:hint="eastAsia" w:ascii="黑体" w:hAnsi="黑体" w:eastAsia="黑体" w:cs="黑体"/>
          <w:b w:val="0"/>
          <w:sz w:val="24"/>
          <w:highlight w:val="none"/>
        </w:rPr>
        <w:t>附表2：</w:t>
      </w:r>
      <w:bookmarkStart w:id="10" w:name="_Toc29448"/>
      <w:bookmarkStart w:id="11" w:name="_Toc450845548"/>
    </w:p>
    <w:bookmarkEnd w:id="10"/>
    <w:bookmarkEnd w:id="11"/>
    <w:p w14:paraId="03B019A9">
      <w:pPr>
        <w:pStyle w:val="14"/>
        <w:spacing w:before="0" w:after="0" w:line="360" w:lineRule="auto"/>
        <w:rPr>
          <w:rFonts w:ascii="黑体" w:hAnsi="黑体" w:eastAsia="黑体"/>
          <w:sz w:val="24"/>
          <w:szCs w:val="24"/>
          <w:highlight w:val="none"/>
        </w:rPr>
      </w:pPr>
      <w:bookmarkStart w:id="12" w:name="_Toc11218"/>
      <w:bookmarkStart w:id="13" w:name="_Toc11201"/>
      <w:r>
        <w:rPr>
          <w:rFonts w:hint="eastAsia" w:ascii="黑体" w:hAnsi="黑体" w:eastAsia="黑体"/>
          <w:sz w:val="24"/>
          <w:szCs w:val="24"/>
          <w:highlight w:val="none"/>
        </w:rPr>
        <w:t>供应商调查表</w:t>
      </w:r>
      <w:bookmarkEnd w:id="12"/>
      <w:bookmarkEnd w:id="13"/>
    </w:p>
    <w:p w14:paraId="5005E1E1">
      <w:pPr>
        <w:spacing w:line="360" w:lineRule="atLeast"/>
        <w:rPr>
          <w:rFonts w:ascii="宋体" w:hAnsi="宋体"/>
          <w:highlight w:val="none"/>
        </w:rPr>
      </w:pPr>
      <w:r>
        <w:rPr>
          <w:rFonts w:ascii="黑体" w:hAnsi="宋体" w:eastAsia="黑体"/>
          <w:b/>
          <w:bCs/>
          <w:sz w:val="20"/>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40640</wp:posOffset>
                </wp:positionV>
                <wp:extent cx="5276850" cy="10160"/>
                <wp:effectExtent l="0" t="4445" r="0" b="13970"/>
                <wp:wrapNone/>
                <wp:docPr id="14" name="直接连接符 14"/>
                <wp:cNvGraphicFramePr/>
                <a:graphic xmlns:a="http://schemas.openxmlformats.org/drawingml/2006/main">
                  <a:graphicData uri="http://schemas.microsoft.com/office/word/2010/wordprocessingShape">
                    <wps:wsp>
                      <wps:cNvCnPr/>
                      <wps:spPr>
                        <a:xfrm>
                          <a:off x="0" y="0"/>
                          <a:ext cx="5276850" cy="101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2pt;height:0.8pt;width:415.5pt;z-index:251661312;mso-width-relative:page;mso-height-relative:page;" filled="f" stroked="t" coordsize="21600,21600" o:gfxdata="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Wtf1dMAAAAEAQAADwAAAAAAAAABACAAAAAiAAAAZHJzL2Rvd25yZXYueG1sUEsBAhQA&#10;FAAAAAgAh07iQEUIMz33AQAA7AMAAA4AAAAAAAAAAQAgAAAAIgEAAGRycy9lMm9Eb2MueG1sUEsF&#10;BgAAAAAGAAYAWQEAAIsFAAAAAA==&#10;">
                <v:fill on="f" focussize="0,0"/>
                <v:stroke color="#000000" joinstyle="round"/>
                <v:imagedata o:title=""/>
                <o:lock v:ext="edit" aspectratio="f"/>
              </v:line>
            </w:pict>
          </mc:Fallback>
        </mc:AlternateContent>
      </w:r>
      <w:r>
        <w:rPr>
          <w:rFonts w:hint="eastAsia" w:ascii="宋体" w:hAnsi="宋体"/>
          <w:highlight w:val="none"/>
        </w:rPr>
        <w:t xml:space="preserve">填 表 人：                                                填表日期：                </w:t>
      </w:r>
    </w:p>
    <w:p w14:paraId="000E1C46">
      <w:pPr>
        <w:wordWrap w:val="0"/>
        <w:spacing w:line="360" w:lineRule="atLeast"/>
        <w:jc w:val="left"/>
        <w:rPr>
          <w:rFonts w:ascii="宋体" w:hAnsi="宋体"/>
          <w:szCs w:val="21"/>
          <w:highlight w:val="none"/>
          <w:u w:val="single"/>
        </w:rPr>
      </w:pPr>
      <w:r>
        <w:rPr>
          <w:rFonts w:hint="eastAsia" w:ascii="宋体" w:hAnsi="宋体"/>
          <w:szCs w:val="21"/>
          <w:highlight w:val="none"/>
        </w:rPr>
        <w:t>供应商名称</w:t>
      </w:r>
      <w:r>
        <w:rPr>
          <w:rFonts w:hint="eastAsia" w:ascii="宋体" w:hAnsi="宋体"/>
          <w:szCs w:val="21"/>
          <w:highlight w:val="none"/>
          <w:u w:val="single"/>
        </w:rPr>
        <w:t xml:space="preserve">：                                                                  </w:t>
      </w:r>
      <w:r>
        <w:rPr>
          <w:rFonts w:hint="eastAsia" w:ascii="宋体" w:hAnsi="宋体"/>
          <w:szCs w:val="21"/>
          <w:highlight w:val="none"/>
        </w:rPr>
        <w:t>地址</w:t>
      </w:r>
      <w:r>
        <w:rPr>
          <w:rFonts w:hint="eastAsia" w:ascii="宋体" w:hAnsi="宋体"/>
          <w:szCs w:val="21"/>
          <w:highlight w:val="none"/>
          <w:u w:val="single"/>
        </w:rPr>
        <w:t xml:space="preserve">：                                                                         </w:t>
      </w:r>
    </w:p>
    <w:p w14:paraId="4E1FC640">
      <w:pPr>
        <w:wordWrap w:val="0"/>
        <w:spacing w:line="360" w:lineRule="atLeast"/>
        <w:jc w:val="left"/>
        <w:rPr>
          <w:rFonts w:ascii="宋体" w:hAnsi="宋体"/>
          <w:szCs w:val="21"/>
          <w:highlight w:val="none"/>
        </w:rPr>
      </w:pPr>
      <w:r>
        <w:rPr>
          <w:rFonts w:hint="eastAsia" w:ascii="宋体" w:hAnsi="宋体"/>
          <w:szCs w:val="21"/>
          <w:highlight w:val="none"/>
        </w:rPr>
        <w:t>电话：</w:t>
      </w:r>
      <w:r>
        <w:rPr>
          <w:rFonts w:hint="eastAsia" w:ascii="宋体" w:hAnsi="宋体"/>
          <w:szCs w:val="21"/>
          <w:highlight w:val="none"/>
          <w:u w:val="single"/>
        </w:rPr>
        <w:t xml:space="preserve">                                  </w:t>
      </w:r>
      <w:r>
        <w:rPr>
          <w:rFonts w:hint="eastAsia" w:ascii="宋体" w:hAnsi="宋体"/>
          <w:szCs w:val="21"/>
          <w:highlight w:val="none"/>
        </w:rPr>
        <w:t>传真</w:t>
      </w:r>
      <w:r>
        <w:rPr>
          <w:rFonts w:hint="eastAsia" w:ascii="宋体" w:hAnsi="宋体"/>
          <w:szCs w:val="21"/>
          <w:highlight w:val="none"/>
          <w:u w:val="single"/>
        </w:rPr>
        <w:t xml:space="preserve">：                                  </w:t>
      </w:r>
    </w:p>
    <w:p w14:paraId="67D517B1">
      <w:pPr>
        <w:wordWrap w:val="0"/>
        <w:spacing w:line="360" w:lineRule="atLeast"/>
        <w:jc w:val="left"/>
        <w:rPr>
          <w:rFonts w:ascii="宋体" w:hAnsi="宋体"/>
          <w:szCs w:val="21"/>
          <w:highlight w:val="none"/>
        </w:rPr>
      </w:pPr>
      <w:r>
        <w:rPr>
          <w:rFonts w:hint="eastAsia" w:ascii="宋体" w:hAnsi="宋体"/>
          <w:szCs w:val="21"/>
          <w:highlight w:val="none"/>
        </w:rPr>
        <w:t>法人代表：</w:t>
      </w:r>
      <w:r>
        <w:rPr>
          <w:rFonts w:hint="eastAsia" w:ascii="宋体" w:hAnsi="宋体"/>
          <w:szCs w:val="21"/>
          <w:highlight w:val="none"/>
          <w:u w:val="single"/>
        </w:rPr>
        <w:t xml:space="preserve">                             </w:t>
      </w:r>
      <w:r>
        <w:rPr>
          <w:rFonts w:hint="eastAsia" w:ascii="宋体" w:hAnsi="宋体"/>
          <w:szCs w:val="21"/>
          <w:highlight w:val="none"/>
        </w:rPr>
        <w:t xml:space="preserve"> 总经理：</w:t>
      </w:r>
      <w:r>
        <w:rPr>
          <w:rFonts w:hint="eastAsia" w:ascii="宋体" w:hAnsi="宋体"/>
          <w:szCs w:val="21"/>
          <w:highlight w:val="none"/>
          <w:u w:val="single"/>
        </w:rPr>
        <w:t xml:space="preserve">                                </w:t>
      </w:r>
    </w:p>
    <w:p w14:paraId="4B616BF5">
      <w:pPr>
        <w:wordWrap w:val="0"/>
        <w:spacing w:line="360" w:lineRule="atLeast"/>
        <w:jc w:val="left"/>
        <w:rPr>
          <w:rFonts w:ascii="宋体" w:hAnsi="宋体"/>
          <w:b/>
          <w:bCs/>
          <w:szCs w:val="21"/>
          <w:highlight w:val="none"/>
        </w:rPr>
      </w:pPr>
      <w:r>
        <w:rPr>
          <w:rFonts w:hint="eastAsia" w:ascii="宋体" w:hAnsi="宋体"/>
          <w:szCs w:val="21"/>
          <w:highlight w:val="none"/>
        </w:rPr>
        <w:t>业务联系人：</w:t>
      </w:r>
      <w:r>
        <w:rPr>
          <w:rFonts w:hint="eastAsia" w:ascii="宋体" w:hAnsi="宋体"/>
          <w:szCs w:val="21"/>
          <w:highlight w:val="none"/>
          <w:u w:val="single"/>
        </w:rPr>
        <w:t xml:space="preserve">                           </w:t>
      </w:r>
      <w:r>
        <w:rPr>
          <w:rFonts w:hint="eastAsia" w:ascii="宋体" w:hAnsi="宋体"/>
          <w:szCs w:val="21"/>
          <w:highlight w:val="none"/>
        </w:rPr>
        <w:t xml:space="preserve"> 联系电话：</w:t>
      </w:r>
      <w:r>
        <w:rPr>
          <w:rFonts w:hint="eastAsia" w:ascii="宋体" w:hAnsi="宋体"/>
          <w:szCs w:val="21"/>
          <w:highlight w:val="none"/>
          <w:u w:val="single"/>
        </w:rPr>
        <w:t xml:space="preserve">                            </w:t>
      </w:r>
    </w:p>
    <w:p w14:paraId="0DE7387E">
      <w:pPr>
        <w:rPr>
          <w:b/>
          <w:szCs w:val="21"/>
          <w:highlight w:val="none"/>
        </w:rPr>
      </w:pPr>
      <w:r>
        <w:rPr>
          <w:rFonts w:hint="eastAsia"/>
          <w:b/>
          <w:szCs w:val="21"/>
          <w:highlight w:val="none"/>
        </w:rPr>
        <w:t>1  基本情况</w:t>
      </w:r>
    </w:p>
    <w:p w14:paraId="6AEBE47F">
      <w:pPr>
        <w:wordWrap w:val="0"/>
        <w:spacing w:line="360" w:lineRule="atLeast"/>
        <w:jc w:val="left"/>
        <w:rPr>
          <w:rFonts w:ascii="宋体" w:hAnsi="宋体"/>
          <w:szCs w:val="21"/>
          <w:highlight w:val="none"/>
        </w:rPr>
      </w:pPr>
      <w:r>
        <w:rPr>
          <w:rFonts w:hint="eastAsia" w:ascii="宋体" w:hAnsi="宋体"/>
          <w:szCs w:val="21"/>
          <w:highlight w:val="none"/>
        </w:rPr>
        <w:t>1.1 公司成立时间：</w:t>
      </w:r>
      <w:r>
        <w:rPr>
          <w:rFonts w:hint="eastAsia" w:ascii="宋体" w:hAnsi="宋体"/>
          <w:szCs w:val="21"/>
          <w:highlight w:val="none"/>
          <w:u w:val="single"/>
        </w:rPr>
        <w:t xml:space="preserve">                        </w:t>
      </w:r>
      <w:r>
        <w:rPr>
          <w:rFonts w:hint="eastAsia" w:ascii="宋体" w:hAnsi="宋体"/>
          <w:szCs w:val="21"/>
          <w:highlight w:val="none"/>
        </w:rPr>
        <w:t xml:space="preserve"> 注册资本：</w:t>
      </w:r>
      <w:r>
        <w:rPr>
          <w:rFonts w:hint="eastAsia" w:ascii="宋体" w:hAnsi="宋体"/>
          <w:szCs w:val="21"/>
          <w:highlight w:val="none"/>
          <w:u w:val="single"/>
        </w:rPr>
        <w:t xml:space="preserve">                         </w:t>
      </w:r>
    </w:p>
    <w:p w14:paraId="45ADF5B0">
      <w:pPr>
        <w:wordWrap w:val="0"/>
        <w:spacing w:line="360" w:lineRule="atLeast"/>
        <w:jc w:val="left"/>
        <w:rPr>
          <w:rFonts w:ascii="宋体" w:hAnsi="宋体"/>
          <w:szCs w:val="21"/>
          <w:highlight w:val="none"/>
          <w:u w:val="single"/>
        </w:rPr>
      </w:pPr>
      <w:r>
        <w:rPr>
          <w:rFonts w:hint="eastAsia" w:ascii="宋体" w:hAnsi="宋体"/>
          <w:szCs w:val="21"/>
          <w:highlight w:val="none"/>
        </w:rPr>
        <w:t>1.2 公司性质：</w:t>
      </w:r>
      <w:r>
        <w:rPr>
          <w:rFonts w:hint="eastAsia" w:ascii="宋体" w:hAnsi="宋体"/>
          <w:szCs w:val="21"/>
          <w:highlight w:val="none"/>
          <w:u w:val="single"/>
        </w:rPr>
        <w:t xml:space="preserve">                           </w:t>
      </w:r>
    </w:p>
    <w:p w14:paraId="1CA9E01E">
      <w:pPr>
        <w:wordWrap w:val="0"/>
        <w:spacing w:line="360" w:lineRule="atLeast"/>
        <w:jc w:val="left"/>
        <w:rPr>
          <w:rFonts w:ascii="宋体" w:hAnsi="宋体"/>
          <w:szCs w:val="21"/>
          <w:highlight w:val="none"/>
          <w:u w:val="single"/>
        </w:rPr>
      </w:pPr>
      <w:r>
        <w:rPr>
          <w:rFonts w:hint="eastAsia" w:ascii="宋体" w:hAnsi="宋体"/>
          <w:szCs w:val="21"/>
          <w:highlight w:val="none"/>
        </w:rPr>
        <w:t>1.3 开户银行</w:t>
      </w:r>
      <w:r>
        <w:rPr>
          <w:rFonts w:hint="eastAsia" w:ascii="宋体" w:hAnsi="宋体"/>
          <w:szCs w:val="21"/>
          <w:highlight w:val="none"/>
          <w:u w:val="single"/>
        </w:rPr>
        <w:t xml:space="preserve">：                           </w:t>
      </w:r>
      <w:r>
        <w:rPr>
          <w:rFonts w:hint="eastAsia" w:ascii="宋体" w:hAnsi="宋体"/>
          <w:szCs w:val="21"/>
          <w:highlight w:val="none"/>
        </w:rPr>
        <w:t>银行账号</w:t>
      </w:r>
      <w:r>
        <w:rPr>
          <w:rFonts w:hint="eastAsia" w:ascii="宋体" w:hAnsi="宋体"/>
          <w:szCs w:val="21"/>
          <w:highlight w:val="none"/>
          <w:u w:val="single"/>
        </w:rPr>
        <w:t xml:space="preserve">：                           </w:t>
      </w:r>
    </w:p>
    <w:p w14:paraId="0C40FDA4">
      <w:pPr>
        <w:wordWrap w:val="0"/>
        <w:spacing w:line="360" w:lineRule="atLeast"/>
        <w:jc w:val="left"/>
        <w:rPr>
          <w:rFonts w:ascii="宋体" w:hAnsi="宋体"/>
          <w:szCs w:val="21"/>
          <w:highlight w:val="none"/>
          <w:u w:val="single"/>
        </w:rPr>
      </w:pPr>
      <w:r>
        <w:rPr>
          <w:rFonts w:hint="eastAsia" w:ascii="宋体" w:hAnsi="宋体"/>
          <w:szCs w:val="21"/>
          <w:highlight w:val="none"/>
        </w:rPr>
        <w:t>税号</w:t>
      </w:r>
      <w:r>
        <w:rPr>
          <w:rFonts w:hint="eastAsia" w:ascii="宋体" w:hAnsi="宋体"/>
          <w:szCs w:val="21"/>
          <w:highlight w:val="none"/>
          <w:u w:val="single"/>
        </w:rPr>
        <w:t xml:space="preserve">：                                   </w:t>
      </w:r>
    </w:p>
    <w:p w14:paraId="7947A71F">
      <w:pPr>
        <w:wordWrap w:val="0"/>
        <w:spacing w:line="360" w:lineRule="atLeast"/>
        <w:jc w:val="left"/>
        <w:rPr>
          <w:rFonts w:ascii="宋体" w:hAnsi="宋体"/>
          <w:szCs w:val="21"/>
          <w:highlight w:val="none"/>
        </w:rPr>
      </w:pPr>
      <w:r>
        <w:rPr>
          <w:rFonts w:hint="eastAsia" w:ascii="宋体" w:hAnsi="宋体"/>
          <w:szCs w:val="21"/>
          <w:highlight w:val="none"/>
        </w:rPr>
        <w:t>1.4 员工总数_______人，其中技术人员_______人，管理人员_______人，高级职称_______人，中级职称________人，初级职称________人。</w:t>
      </w:r>
    </w:p>
    <w:p w14:paraId="4DF9029C">
      <w:pPr>
        <w:rPr>
          <w:rFonts w:ascii="宋体" w:hAnsi="宋体"/>
          <w:b/>
          <w:bCs/>
          <w:szCs w:val="21"/>
          <w:highlight w:val="none"/>
        </w:rPr>
      </w:pPr>
      <w:r>
        <w:rPr>
          <w:rFonts w:hint="eastAsia" w:ascii="宋体" w:hAnsi="宋体"/>
          <w:b/>
          <w:bCs/>
          <w:szCs w:val="21"/>
          <w:highlight w:val="none"/>
        </w:rPr>
        <w:t>2  管理体系</w:t>
      </w:r>
    </w:p>
    <w:p w14:paraId="77FC9788">
      <w:pPr>
        <w:spacing w:line="360" w:lineRule="atLeast"/>
        <w:jc w:val="left"/>
        <w:rPr>
          <w:rFonts w:ascii="宋体" w:hAnsi="宋体"/>
          <w:szCs w:val="21"/>
          <w:highlight w:val="none"/>
        </w:rPr>
      </w:pPr>
      <w:r>
        <w:rPr>
          <w:rFonts w:hint="eastAsia" w:ascii="宋体" w:hAnsi="宋体"/>
          <w:szCs w:val="21"/>
          <w:highlight w:val="none"/>
        </w:rPr>
        <w:t>2.1 是否获得质量管理体系认证: □是(附证书)；□否，有何计划:_____________________；</w:t>
      </w:r>
    </w:p>
    <w:p w14:paraId="135A87DF">
      <w:pPr>
        <w:spacing w:line="360" w:lineRule="atLeast"/>
        <w:jc w:val="left"/>
        <w:rPr>
          <w:rFonts w:ascii="宋体" w:hAnsi="宋体"/>
          <w:szCs w:val="21"/>
          <w:highlight w:val="none"/>
        </w:rPr>
      </w:pPr>
      <w:r>
        <w:rPr>
          <w:rFonts w:hint="eastAsia" w:ascii="宋体" w:hAnsi="宋体"/>
          <w:szCs w:val="21"/>
          <w:highlight w:val="none"/>
        </w:rPr>
        <w:t>2.2是否获得环境管理体系认证: □是(附证书)；□否，有何计划:_____________________；</w:t>
      </w:r>
    </w:p>
    <w:p w14:paraId="40548562">
      <w:pPr>
        <w:spacing w:line="360" w:lineRule="atLeast"/>
        <w:jc w:val="left"/>
        <w:rPr>
          <w:rFonts w:ascii="宋体" w:hAnsi="宋体"/>
          <w:szCs w:val="21"/>
          <w:highlight w:val="none"/>
        </w:rPr>
      </w:pPr>
      <w:r>
        <w:rPr>
          <w:rFonts w:hint="eastAsia" w:ascii="宋体" w:hAnsi="宋体"/>
          <w:szCs w:val="21"/>
          <w:highlight w:val="none"/>
        </w:rPr>
        <w:t>2.3是否获得职业健康管理体系认证: □是(附证书)；□否，有何计划:_________</w:t>
      </w:r>
      <w:r>
        <w:rPr>
          <w:rFonts w:hint="eastAsia" w:ascii="宋体" w:hAnsi="宋体"/>
          <w:szCs w:val="21"/>
          <w:highlight w:val="none"/>
          <w:u w:val="single"/>
        </w:rPr>
        <w:t xml:space="preserve">   _</w:t>
      </w:r>
      <w:r>
        <w:rPr>
          <w:rFonts w:hint="eastAsia" w:ascii="宋体" w:hAnsi="宋体"/>
          <w:szCs w:val="21"/>
          <w:highlight w:val="none"/>
        </w:rPr>
        <w:t>___；</w:t>
      </w:r>
    </w:p>
    <w:p w14:paraId="57C4514A">
      <w:pPr>
        <w:spacing w:line="360" w:lineRule="atLeast"/>
        <w:rPr>
          <w:rFonts w:ascii="宋体" w:hAnsi="宋体"/>
          <w:szCs w:val="21"/>
          <w:highlight w:val="none"/>
        </w:rPr>
      </w:pPr>
      <w:r>
        <w:rPr>
          <w:rFonts w:hint="eastAsia" w:ascii="宋体" w:hAnsi="宋体"/>
          <w:szCs w:val="21"/>
          <w:highlight w:val="none"/>
        </w:rPr>
        <w:t>2.4其它认证：</w:t>
      </w:r>
      <w:r>
        <w:rPr>
          <w:rFonts w:hint="eastAsia" w:ascii="宋体" w:hAnsi="宋体"/>
          <w:szCs w:val="21"/>
          <w:highlight w:val="none"/>
          <w:u w:val="single"/>
        </w:rPr>
        <w:t xml:space="preserve">                                                           </w:t>
      </w:r>
      <w:r>
        <w:rPr>
          <w:rFonts w:hint="eastAsia" w:ascii="宋体" w:hAnsi="宋体"/>
          <w:szCs w:val="21"/>
          <w:highlight w:val="none"/>
        </w:rPr>
        <w:t>□附录</w:t>
      </w:r>
    </w:p>
    <w:p w14:paraId="20A34E63">
      <w:pPr>
        <w:rPr>
          <w:rFonts w:ascii="宋体" w:hAnsi="宋体"/>
          <w:b/>
          <w:bCs/>
          <w:szCs w:val="21"/>
          <w:highlight w:val="none"/>
        </w:rPr>
      </w:pPr>
      <w:r>
        <w:rPr>
          <w:rFonts w:hint="eastAsia" w:ascii="宋体" w:hAnsi="宋体"/>
          <w:b/>
          <w:bCs/>
          <w:szCs w:val="21"/>
          <w:highlight w:val="none"/>
        </w:rPr>
        <w:t>3  经营状况、售后服务</w:t>
      </w:r>
    </w:p>
    <w:p w14:paraId="60124510">
      <w:pPr>
        <w:spacing w:line="360" w:lineRule="atLeast"/>
        <w:rPr>
          <w:rFonts w:ascii="宋体" w:hAnsi="宋体"/>
          <w:szCs w:val="21"/>
          <w:highlight w:val="none"/>
          <w:u w:val="single"/>
        </w:rPr>
      </w:pPr>
      <w:r>
        <w:rPr>
          <w:rFonts w:hint="eastAsia" w:ascii="宋体" w:hAnsi="宋体"/>
          <w:szCs w:val="21"/>
          <w:highlight w:val="none"/>
        </w:rPr>
        <w:t>3.1 最近三年营业额：</w:t>
      </w:r>
      <w:r>
        <w:rPr>
          <w:rFonts w:hint="eastAsia" w:ascii="宋体" w:hAnsi="宋体"/>
          <w:szCs w:val="21"/>
          <w:highlight w:val="none"/>
          <w:u w:val="single"/>
        </w:rPr>
        <w:t xml:space="preserve">                                                    </w:t>
      </w:r>
      <w:r>
        <w:rPr>
          <w:rFonts w:hint="eastAsia" w:ascii="宋体" w:hAnsi="宋体"/>
          <w:szCs w:val="21"/>
          <w:highlight w:val="none"/>
        </w:rPr>
        <w:t xml:space="preserve"> □附录</w:t>
      </w:r>
    </w:p>
    <w:p w14:paraId="789995C7">
      <w:pPr>
        <w:spacing w:line="360" w:lineRule="atLeast"/>
        <w:rPr>
          <w:rFonts w:ascii="宋体" w:hAnsi="宋体"/>
          <w:szCs w:val="21"/>
          <w:highlight w:val="none"/>
        </w:rPr>
      </w:pPr>
      <w:r>
        <w:rPr>
          <w:rFonts w:hint="eastAsia" w:ascii="宋体" w:hAnsi="宋体"/>
          <w:szCs w:val="21"/>
          <w:highlight w:val="none"/>
        </w:rPr>
        <w:t>3.2 主要客户：</w:t>
      </w:r>
      <w:r>
        <w:rPr>
          <w:rFonts w:hint="eastAsia" w:ascii="宋体" w:hAnsi="宋体"/>
          <w:szCs w:val="21"/>
          <w:highlight w:val="none"/>
          <w:u w:val="single"/>
        </w:rPr>
        <w:t xml:space="preserve">                                                          </w:t>
      </w:r>
      <w:r>
        <w:rPr>
          <w:rFonts w:hint="eastAsia" w:ascii="宋体" w:hAnsi="宋体"/>
          <w:szCs w:val="21"/>
          <w:highlight w:val="none"/>
        </w:rPr>
        <w:t xml:space="preserve"> □附录</w:t>
      </w:r>
    </w:p>
    <w:p w14:paraId="3D5709FA">
      <w:pPr>
        <w:spacing w:line="360" w:lineRule="atLeast"/>
        <w:rPr>
          <w:rFonts w:ascii="宋体" w:hAnsi="宋体"/>
          <w:szCs w:val="21"/>
          <w:highlight w:val="none"/>
        </w:rPr>
      </w:pPr>
      <w:r>
        <w:rPr>
          <w:rFonts w:hint="eastAsia" w:ascii="宋体" w:hAnsi="宋体"/>
          <w:szCs w:val="21"/>
          <w:highlight w:val="none"/>
        </w:rPr>
        <w:t>3.3主要产品或服务：</w:t>
      </w:r>
      <w:r>
        <w:rPr>
          <w:rFonts w:hint="eastAsia" w:ascii="宋体" w:hAnsi="宋体"/>
          <w:szCs w:val="21"/>
          <w:highlight w:val="none"/>
          <w:u w:val="single"/>
        </w:rPr>
        <w:t xml:space="preserve">                                                      </w:t>
      </w:r>
      <w:r>
        <w:rPr>
          <w:rFonts w:hint="eastAsia" w:ascii="宋体" w:hAnsi="宋体"/>
          <w:szCs w:val="21"/>
          <w:highlight w:val="none"/>
        </w:rPr>
        <w:t>□附录</w:t>
      </w:r>
    </w:p>
    <w:p w14:paraId="1BF9C142">
      <w:pPr>
        <w:spacing w:line="360" w:lineRule="atLeast"/>
        <w:rPr>
          <w:rFonts w:ascii="宋体" w:hAnsi="宋体"/>
          <w:szCs w:val="21"/>
          <w:highlight w:val="none"/>
        </w:rPr>
      </w:pPr>
      <w:r>
        <w:rPr>
          <w:rFonts w:hint="eastAsia" w:ascii="宋体" w:hAnsi="宋体"/>
          <w:szCs w:val="21"/>
          <w:highlight w:val="none"/>
        </w:rPr>
        <w:t>3.4售后服务：</w:t>
      </w:r>
      <w:r>
        <w:rPr>
          <w:rFonts w:hint="eastAsia" w:ascii="宋体" w:hAnsi="宋体"/>
          <w:szCs w:val="21"/>
          <w:highlight w:val="none"/>
          <w:u w:val="single"/>
        </w:rPr>
        <w:t xml:space="preserve">                                                           </w:t>
      </w:r>
      <w:r>
        <w:rPr>
          <w:rFonts w:hint="eastAsia" w:ascii="宋体" w:hAnsi="宋体"/>
          <w:szCs w:val="21"/>
          <w:highlight w:val="none"/>
        </w:rPr>
        <w:t xml:space="preserve"> □附录</w:t>
      </w:r>
    </w:p>
    <w:p w14:paraId="45418103">
      <w:pPr>
        <w:rPr>
          <w:rFonts w:ascii="宋体" w:hAnsi="宋体"/>
          <w:b/>
          <w:bCs/>
          <w:szCs w:val="21"/>
          <w:highlight w:val="none"/>
        </w:rPr>
      </w:pPr>
      <w:r>
        <w:rPr>
          <w:rFonts w:hint="eastAsia" w:ascii="宋体" w:hAnsi="宋体"/>
          <w:b/>
          <w:bCs/>
          <w:szCs w:val="21"/>
          <w:highlight w:val="none"/>
        </w:rPr>
        <w:t>附录：</w:t>
      </w:r>
    </w:p>
    <w:p w14:paraId="15B13F4B">
      <w:pPr>
        <w:rPr>
          <w:highlight w:val="none"/>
        </w:rPr>
      </w:pPr>
      <w:r>
        <w:rPr>
          <w:rFonts w:hint="eastAsia"/>
          <w:highlight w:val="none"/>
        </w:rPr>
        <w:t>供应商基本材料</w:t>
      </w:r>
    </w:p>
    <w:p w14:paraId="63523108">
      <w:pPr>
        <w:rPr>
          <w:highlight w:val="none"/>
        </w:rPr>
      </w:pPr>
      <w:r>
        <w:rPr>
          <w:rFonts w:hint="eastAsia"/>
          <w:highlight w:val="none"/>
        </w:rPr>
        <w:t>a)营业执照（复印件加盖公章）；</w:t>
      </w:r>
    </w:p>
    <w:p w14:paraId="7A526071">
      <w:pPr>
        <w:rPr>
          <w:highlight w:val="none"/>
        </w:rPr>
      </w:pPr>
      <w:r>
        <w:rPr>
          <w:rFonts w:hint="eastAsia"/>
          <w:highlight w:val="none"/>
        </w:rPr>
        <w:t>供应商附加材料</w:t>
      </w:r>
    </w:p>
    <w:p w14:paraId="3DC127D4">
      <w:pPr>
        <w:rPr>
          <w:highlight w:val="none"/>
        </w:rPr>
      </w:pPr>
      <w:r>
        <w:rPr>
          <w:rFonts w:hint="eastAsia"/>
          <w:highlight w:val="none"/>
        </w:rPr>
        <w:t>a) 《供应商调查表》（如有，加盖公章）；</w:t>
      </w:r>
    </w:p>
    <w:p w14:paraId="6A24FE26">
      <w:pPr>
        <w:rPr>
          <w:highlight w:val="none"/>
        </w:rPr>
      </w:pPr>
      <w:r>
        <w:rPr>
          <w:rFonts w:hint="eastAsia"/>
          <w:highlight w:val="none"/>
        </w:rPr>
        <w:t>b) 法定代表人授权委托书（如有，原件及复印件加盖公章）；</w:t>
      </w:r>
    </w:p>
    <w:p w14:paraId="62EA33D2">
      <w:pPr>
        <w:rPr>
          <w:highlight w:val="none"/>
        </w:rPr>
      </w:pPr>
      <w:r>
        <w:rPr>
          <w:rFonts w:hint="eastAsia"/>
          <w:highlight w:val="none"/>
        </w:rPr>
        <w:t>c) 税务登记证（如有，复印件加盖公章）；</w:t>
      </w:r>
    </w:p>
    <w:p w14:paraId="0CB5B18B">
      <w:pPr>
        <w:rPr>
          <w:highlight w:val="none"/>
        </w:rPr>
      </w:pPr>
      <w:r>
        <w:rPr>
          <w:rFonts w:hint="eastAsia"/>
          <w:highlight w:val="none"/>
        </w:rPr>
        <w:t>d) 组织机构代码证（如有，复印件加盖公章）；</w:t>
      </w:r>
    </w:p>
    <w:p w14:paraId="6315BDCC">
      <w:pPr>
        <w:rPr>
          <w:highlight w:val="none"/>
        </w:rPr>
      </w:pPr>
      <w:r>
        <w:rPr>
          <w:rFonts w:hint="eastAsia"/>
          <w:highlight w:val="none"/>
        </w:rPr>
        <w:t>e) 质量管理体系认证证书（如有，复印件加盖公章）；</w:t>
      </w:r>
    </w:p>
    <w:p w14:paraId="67810AE1">
      <w:pPr>
        <w:rPr>
          <w:highlight w:val="none"/>
        </w:rPr>
      </w:pPr>
      <w:r>
        <w:rPr>
          <w:rFonts w:hint="eastAsia"/>
          <w:highlight w:val="none"/>
        </w:rPr>
        <w:t>f) 环境管理体系认证证书（如有，复印件加盖公章）；</w:t>
      </w:r>
    </w:p>
    <w:p w14:paraId="3B75B3D9">
      <w:pPr>
        <w:rPr>
          <w:highlight w:val="none"/>
        </w:rPr>
      </w:pPr>
      <w:r>
        <w:rPr>
          <w:rFonts w:hint="eastAsia"/>
          <w:highlight w:val="none"/>
        </w:rPr>
        <w:t>g) 职业健康安全管理体系认证证书（如有，复印件加盖公章）；</w:t>
      </w:r>
    </w:p>
    <w:p w14:paraId="62249665">
      <w:pPr>
        <w:rPr>
          <w:highlight w:val="none"/>
        </w:rPr>
      </w:pPr>
      <w:r>
        <w:rPr>
          <w:rFonts w:hint="eastAsia"/>
          <w:highlight w:val="none"/>
        </w:rPr>
        <w:t>h) 特种产品经营许可证、生产许可证、产品合格证、安全鉴定证、安全标志、运输证、驾驶证、押运证等（如有，复印件加盖公章）；</w:t>
      </w:r>
    </w:p>
    <w:p w14:paraId="4862CCDC">
      <w:pPr>
        <w:rPr>
          <w:highlight w:val="none"/>
        </w:rPr>
      </w:pPr>
      <w:r>
        <w:rPr>
          <w:rFonts w:hint="eastAsia"/>
          <w:highlight w:val="none"/>
        </w:rPr>
        <w:t>i) 其他所需文件的复印件（如有，复印件加盖公章）。</w:t>
      </w:r>
    </w:p>
    <w:p w14:paraId="51843677">
      <w:pPr>
        <w:rPr>
          <w:highlight w:val="none"/>
        </w:rPr>
      </w:pPr>
      <w:r>
        <w:rPr>
          <w:rFonts w:hint="eastAsia"/>
          <w:highlight w:val="none"/>
        </w:rPr>
        <w:br w:type="page"/>
      </w:r>
    </w:p>
    <w:p w14:paraId="08A212F8">
      <w:pPr>
        <w:pStyle w:val="3"/>
        <w:spacing w:before="0" w:after="0" w:line="360" w:lineRule="auto"/>
        <w:jc w:val="left"/>
        <w:rPr>
          <w:rFonts w:ascii="黑体" w:hAnsi="黑体" w:eastAsia="黑体" w:cs="黑体"/>
          <w:b w:val="0"/>
          <w:bCs w:val="0"/>
          <w:sz w:val="24"/>
          <w:szCs w:val="24"/>
          <w:highlight w:val="none"/>
        </w:rPr>
      </w:pPr>
      <w:bookmarkStart w:id="14" w:name="_Toc10286"/>
      <w:bookmarkStart w:id="15" w:name="_Toc15757"/>
      <w:bookmarkStart w:id="16" w:name="_Toc22504"/>
      <w:bookmarkStart w:id="17" w:name="_Toc23646"/>
      <w:r>
        <w:rPr>
          <w:rFonts w:hint="eastAsia" w:ascii="黑体" w:hAnsi="黑体" w:eastAsia="黑体" w:cs="黑体"/>
          <w:b w:val="0"/>
          <w:bCs w:val="0"/>
          <w:sz w:val="24"/>
          <w:szCs w:val="24"/>
          <w:highlight w:val="none"/>
        </w:rPr>
        <w:t>附表3：</w:t>
      </w:r>
    </w:p>
    <w:p w14:paraId="225550BE">
      <w:pPr>
        <w:jc w:val="center"/>
        <w:rPr>
          <w:highlight w:val="none"/>
        </w:rPr>
      </w:pPr>
      <w:r>
        <w:rPr>
          <w:rFonts w:hint="eastAsia" w:ascii="黑体" w:hAnsi="黑体" w:eastAsia="黑体" w:cs="黑体"/>
          <w:sz w:val="24"/>
          <w:szCs w:val="24"/>
          <w:highlight w:val="none"/>
        </w:rPr>
        <w:t>供应商评价记录表</w:t>
      </w:r>
    </w:p>
    <w:bookmarkEnd w:id="14"/>
    <w:bookmarkEnd w:id="15"/>
    <w:bookmarkEnd w:id="16"/>
    <w:bookmarkEnd w:id="17"/>
    <w:tbl>
      <w:tblPr>
        <w:tblStyle w:val="16"/>
        <w:tblW w:w="9138" w:type="dxa"/>
        <w:jc w:val="center"/>
        <w:tblLayout w:type="fixed"/>
        <w:tblCellMar>
          <w:top w:w="0" w:type="dxa"/>
          <w:left w:w="108" w:type="dxa"/>
          <w:bottom w:w="0" w:type="dxa"/>
          <w:right w:w="108" w:type="dxa"/>
        </w:tblCellMar>
      </w:tblPr>
      <w:tblGrid>
        <w:gridCol w:w="656"/>
        <w:gridCol w:w="969"/>
        <w:gridCol w:w="246"/>
        <w:gridCol w:w="942"/>
        <w:gridCol w:w="3001"/>
        <w:gridCol w:w="2341"/>
        <w:gridCol w:w="983"/>
      </w:tblGrid>
      <w:tr w14:paraId="56B81195">
        <w:tblPrEx>
          <w:tblCellMar>
            <w:top w:w="0" w:type="dxa"/>
            <w:left w:w="108" w:type="dxa"/>
            <w:bottom w:w="0" w:type="dxa"/>
            <w:right w:w="108" w:type="dxa"/>
          </w:tblCellMar>
        </w:tblPrEx>
        <w:trPr>
          <w:trHeight w:val="718" w:hRule="atLeast"/>
          <w:jc w:val="center"/>
        </w:trPr>
        <w:tc>
          <w:tcPr>
            <w:tcW w:w="2813" w:type="dxa"/>
            <w:gridSpan w:val="4"/>
            <w:tcBorders>
              <w:top w:val="single" w:color="000000" w:sz="12" w:space="0"/>
              <w:left w:val="single" w:color="000000" w:sz="12" w:space="0"/>
              <w:bottom w:val="single" w:color="000000" w:sz="8" w:space="0"/>
              <w:right w:val="single" w:color="000000" w:sz="8" w:space="0"/>
            </w:tcBorders>
            <w:vAlign w:val="center"/>
          </w:tcPr>
          <w:p w14:paraId="351826BF">
            <w:pPr>
              <w:widowControl/>
              <w:jc w:val="left"/>
              <w:textAlignment w:val="center"/>
              <w:rPr>
                <w:rFonts w:ascii="黑体" w:hAnsi="宋体" w:eastAsia="黑体" w:cs="黑体"/>
                <w:color w:val="000000"/>
                <w:szCs w:val="21"/>
                <w:highlight w:val="none"/>
              </w:rPr>
            </w:pPr>
            <w:r>
              <w:rPr>
                <w:rFonts w:hint="eastAsia" w:ascii="黑体" w:hAnsi="宋体" w:eastAsia="黑体" w:cs="黑体"/>
                <w:color w:val="000000"/>
                <w:kern w:val="0"/>
                <w:szCs w:val="21"/>
                <w:highlight w:val="none"/>
                <w:lang w:bidi="ar"/>
              </w:rPr>
              <w:t>填报部门：</w:t>
            </w:r>
          </w:p>
        </w:tc>
        <w:tc>
          <w:tcPr>
            <w:tcW w:w="3001" w:type="dxa"/>
            <w:tcBorders>
              <w:top w:val="single" w:color="000000" w:sz="12" w:space="0"/>
              <w:left w:val="single" w:color="000000" w:sz="8" w:space="0"/>
              <w:bottom w:val="single" w:color="000000" w:sz="8" w:space="0"/>
              <w:right w:val="single" w:color="000000" w:sz="8" w:space="0"/>
            </w:tcBorders>
            <w:vAlign w:val="center"/>
          </w:tcPr>
          <w:p w14:paraId="469F2291">
            <w:pPr>
              <w:widowControl/>
              <w:jc w:val="left"/>
              <w:textAlignment w:val="center"/>
              <w:rPr>
                <w:rFonts w:ascii="黑体" w:hAnsi="宋体" w:eastAsia="黑体" w:cs="黑体"/>
                <w:color w:val="000000"/>
                <w:szCs w:val="21"/>
                <w:highlight w:val="none"/>
              </w:rPr>
            </w:pPr>
            <w:r>
              <w:rPr>
                <w:rFonts w:hint="eastAsia" w:ascii="黑体" w:hAnsi="宋体" w:eastAsia="黑体" w:cs="黑体"/>
                <w:color w:val="000000"/>
                <w:kern w:val="0"/>
                <w:szCs w:val="21"/>
                <w:highlight w:val="none"/>
                <w:lang w:bidi="ar"/>
              </w:rPr>
              <w:t>填报人：</w:t>
            </w:r>
          </w:p>
        </w:tc>
        <w:tc>
          <w:tcPr>
            <w:tcW w:w="3324" w:type="dxa"/>
            <w:gridSpan w:val="2"/>
            <w:tcBorders>
              <w:top w:val="single" w:color="000000" w:sz="12" w:space="0"/>
              <w:left w:val="single" w:color="000000" w:sz="8" w:space="0"/>
              <w:bottom w:val="single" w:color="000000" w:sz="8" w:space="0"/>
              <w:right w:val="single" w:color="000000" w:sz="12" w:space="0"/>
            </w:tcBorders>
            <w:vAlign w:val="center"/>
          </w:tcPr>
          <w:p w14:paraId="10499791">
            <w:pPr>
              <w:widowControl/>
              <w:jc w:val="left"/>
              <w:textAlignment w:val="center"/>
              <w:rPr>
                <w:rFonts w:ascii="黑体" w:hAnsi="宋体" w:eastAsia="黑体" w:cs="黑体"/>
                <w:color w:val="000000"/>
                <w:szCs w:val="21"/>
                <w:highlight w:val="none"/>
              </w:rPr>
            </w:pPr>
            <w:r>
              <w:rPr>
                <w:rFonts w:hint="eastAsia" w:ascii="黑体" w:hAnsi="宋体" w:eastAsia="黑体" w:cs="黑体"/>
                <w:color w:val="000000"/>
                <w:kern w:val="0"/>
                <w:szCs w:val="21"/>
                <w:highlight w:val="none"/>
                <w:lang w:bidi="ar"/>
              </w:rPr>
              <w:t>填报日期：</w:t>
            </w:r>
          </w:p>
        </w:tc>
      </w:tr>
      <w:tr w14:paraId="4BB61885">
        <w:tblPrEx>
          <w:tblCellMar>
            <w:top w:w="0" w:type="dxa"/>
            <w:left w:w="108" w:type="dxa"/>
            <w:bottom w:w="0" w:type="dxa"/>
            <w:right w:w="108" w:type="dxa"/>
          </w:tblCellMar>
        </w:tblPrEx>
        <w:trPr>
          <w:trHeight w:val="636" w:hRule="atLeast"/>
          <w:jc w:val="center"/>
        </w:trPr>
        <w:tc>
          <w:tcPr>
            <w:tcW w:w="9138" w:type="dxa"/>
            <w:gridSpan w:val="7"/>
            <w:tcBorders>
              <w:top w:val="single" w:color="000000" w:sz="8" w:space="0"/>
              <w:left w:val="single" w:color="000000" w:sz="12" w:space="0"/>
              <w:bottom w:val="single" w:color="000000" w:sz="8" w:space="0"/>
              <w:right w:val="single" w:color="000000" w:sz="12" w:space="0"/>
            </w:tcBorders>
            <w:vAlign w:val="center"/>
          </w:tcPr>
          <w:p w14:paraId="3FBB810E">
            <w:pPr>
              <w:widowControl/>
              <w:jc w:val="left"/>
              <w:textAlignment w:val="center"/>
              <w:rPr>
                <w:rFonts w:ascii="黑体" w:hAnsi="宋体" w:eastAsia="黑体" w:cs="黑体"/>
                <w:color w:val="000000"/>
                <w:szCs w:val="21"/>
                <w:highlight w:val="none"/>
              </w:rPr>
            </w:pPr>
            <w:r>
              <w:rPr>
                <w:rFonts w:hint="eastAsia" w:ascii="黑体" w:hAnsi="宋体" w:eastAsia="黑体" w:cs="黑体"/>
                <w:color w:val="000000"/>
                <w:kern w:val="0"/>
                <w:szCs w:val="21"/>
                <w:highlight w:val="none"/>
                <w:lang w:bidi="ar"/>
              </w:rPr>
              <w:t>供应商名称：</w:t>
            </w:r>
          </w:p>
        </w:tc>
      </w:tr>
      <w:tr w14:paraId="2B2CBA37">
        <w:tblPrEx>
          <w:tblCellMar>
            <w:top w:w="0" w:type="dxa"/>
            <w:left w:w="108" w:type="dxa"/>
            <w:bottom w:w="0" w:type="dxa"/>
            <w:right w:w="108" w:type="dxa"/>
          </w:tblCellMar>
        </w:tblPrEx>
        <w:trPr>
          <w:trHeight w:val="621" w:hRule="atLeast"/>
          <w:jc w:val="center"/>
        </w:trPr>
        <w:tc>
          <w:tcPr>
            <w:tcW w:w="2813" w:type="dxa"/>
            <w:gridSpan w:val="4"/>
            <w:tcBorders>
              <w:top w:val="single" w:color="000000" w:sz="8" w:space="0"/>
              <w:left w:val="single" w:color="000000" w:sz="12" w:space="0"/>
              <w:bottom w:val="single" w:color="000000" w:sz="8" w:space="0"/>
              <w:right w:val="single" w:color="000000" w:sz="8" w:space="0"/>
            </w:tcBorders>
            <w:vAlign w:val="center"/>
          </w:tcPr>
          <w:p w14:paraId="6A378A4F">
            <w:pPr>
              <w:widowControl/>
              <w:jc w:val="left"/>
              <w:textAlignment w:val="center"/>
              <w:rPr>
                <w:rFonts w:ascii="黑体" w:hAnsi="宋体" w:eastAsia="黑体" w:cs="黑体"/>
                <w:color w:val="000000"/>
                <w:szCs w:val="21"/>
                <w:highlight w:val="none"/>
              </w:rPr>
            </w:pPr>
            <w:r>
              <w:rPr>
                <w:rFonts w:hint="eastAsia" w:ascii="黑体" w:hAnsi="宋体" w:eastAsia="黑体" w:cs="黑体"/>
                <w:color w:val="000000"/>
                <w:kern w:val="0"/>
                <w:szCs w:val="21"/>
                <w:highlight w:val="none"/>
                <w:lang w:bidi="ar"/>
              </w:rPr>
              <w:t>合同/项目编号：</w:t>
            </w:r>
          </w:p>
        </w:tc>
        <w:tc>
          <w:tcPr>
            <w:tcW w:w="6325" w:type="dxa"/>
            <w:gridSpan w:val="3"/>
            <w:tcBorders>
              <w:top w:val="single" w:color="000000" w:sz="8" w:space="0"/>
              <w:left w:val="single" w:color="000000" w:sz="8" w:space="0"/>
              <w:bottom w:val="single" w:color="000000" w:sz="8" w:space="0"/>
              <w:right w:val="single" w:color="000000" w:sz="12" w:space="0"/>
            </w:tcBorders>
            <w:vAlign w:val="center"/>
          </w:tcPr>
          <w:p w14:paraId="42A8ED8F">
            <w:pPr>
              <w:widowControl/>
              <w:jc w:val="left"/>
              <w:textAlignment w:val="center"/>
              <w:rPr>
                <w:rFonts w:ascii="黑体" w:hAnsi="宋体" w:eastAsia="黑体" w:cs="黑体"/>
                <w:color w:val="000000"/>
                <w:szCs w:val="21"/>
                <w:highlight w:val="none"/>
              </w:rPr>
            </w:pPr>
            <w:r>
              <w:rPr>
                <w:rFonts w:hint="eastAsia" w:ascii="黑体" w:hAnsi="宋体" w:eastAsia="黑体" w:cs="黑体"/>
                <w:color w:val="000000"/>
                <w:kern w:val="0"/>
                <w:szCs w:val="21"/>
                <w:highlight w:val="none"/>
                <w:lang w:bidi="ar"/>
              </w:rPr>
              <w:t>合同/项目名称：</w:t>
            </w:r>
          </w:p>
        </w:tc>
      </w:tr>
      <w:tr w14:paraId="72C896D3">
        <w:tblPrEx>
          <w:tblCellMar>
            <w:top w:w="0" w:type="dxa"/>
            <w:left w:w="108" w:type="dxa"/>
            <w:bottom w:w="0" w:type="dxa"/>
            <w:right w:w="108" w:type="dxa"/>
          </w:tblCellMar>
        </w:tblPrEx>
        <w:trPr>
          <w:trHeight w:val="636" w:hRule="atLeast"/>
          <w:jc w:val="center"/>
        </w:trPr>
        <w:tc>
          <w:tcPr>
            <w:tcW w:w="656" w:type="dxa"/>
            <w:tcBorders>
              <w:top w:val="single" w:color="000000" w:sz="8" w:space="0"/>
              <w:left w:val="single" w:color="000000" w:sz="12" w:space="0"/>
              <w:bottom w:val="single" w:color="000000" w:sz="8" w:space="0"/>
              <w:right w:val="single" w:color="000000" w:sz="8" w:space="0"/>
            </w:tcBorders>
            <w:vAlign w:val="center"/>
          </w:tcPr>
          <w:p w14:paraId="1157BFC6">
            <w:pPr>
              <w:widowControl/>
              <w:jc w:val="center"/>
              <w:textAlignment w:val="center"/>
              <w:rPr>
                <w:rFonts w:ascii="黑体" w:hAnsi="宋体" w:eastAsia="黑体" w:cs="黑体"/>
                <w:color w:val="000000"/>
                <w:szCs w:val="21"/>
                <w:highlight w:val="none"/>
              </w:rPr>
            </w:pPr>
            <w:r>
              <w:rPr>
                <w:rFonts w:hint="eastAsia" w:ascii="黑体" w:hAnsi="宋体" w:eastAsia="黑体" w:cs="黑体"/>
                <w:color w:val="000000"/>
                <w:kern w:val="0"/>
                <w:szCs w:val="21"/>
                <w:highlight w:val="none"/>
                <w:lang w:bidi="ar"/>
              </w:rPr>
              <w:t>序号</w:t>
            </w:r>
          </w:p>
        </w:tc>
        <w:tc>
          <w:tcPr>
            <w:tcW w:w="2157" w:type="dxa"/>
            <w:gridSpan w:val="3"/>
            <w:tcBorders>
              <w:top w:val="single" w:color="000000" w:sz="8" w:space="0"/>
              <w:left w:val="single" w:color="000000" w:sz="8" w:space="0"/>
              <w:bottom w:val="single" w:color="000000" w:sz="8" w:space="0"/>
              <w:right w:val="single" w:color="000000" w:sz="8" w:space="0"/>
            </w:tcBorders>
            <w:vAlign w:val="center"/>
          </w:tcPr>
          <w:p w14:paraId="144AD466">
            <w:pPr>
              <w:widowControl/>
              <w:jc w:val="center"/>
              <w:textAlignment w:val="center"/>
              <w:rPr>
                <w:rFonts w:ascii="黑体" w:hAnsi="宋体" w:eastAsia="黑体" w:cs="黑体"/>
                <w:color w:val="000000"/>
                <w:szCs w:val="21"/>
                <w:highlight w:val="none"/>
              </w:rPr>
            </w:pPr>
            <w:r>
              <w:rPr>
                <w:rFonts w:hint="eastAsia" w:ascii="黑体" w:hAnsi="宋体" w:eastAsia="黑体" w:cs="黑体"/>
                <w:color w:val="000000"/>
                <w:kern w:val="0"/>
                <w:szCs w:val="21"/>
                <w:highlight w:val="none"/>
                <w:lang w:bidi="ar"/>
              </w:rPr>
              <w:t>评价内容</w:t>
            </w:r>
          </w:p>
        </w:tc>
        <w:tc>
          <w:tcPr>
            <w:tcW w:w="5342" w:type="dxa"/>
            <w:gridSpan w:val="2"/>
            <w:tcBorders>
              <w:top w:val="single" w:color="000000" w:sz="8" w:space="0"/>
              <w:left w:val="single" w:color="000000" w:sz="8" w:space="0"/>
              <w:bottom w:val="single" w:color="000000" w:sz="8" w:space="0"/>
              <w:right w:val="single" w:color="000000" w:sz="8" w:space="0"/>
            </w:tcBorders>
            <w:vAlign w:val="center"/>
          </w:tcPr>
          <w:p w14:paraId="2C7F57E6">
            <w:pPr>
              <w:widowControl/>
              <w:jc w:val="center"/>
              <w:textAlignment w:val="center"/>
              <w:rPr>
                <w:rFonts w:ascii="黑体" w:hAnsi="宋体" w:eastAsia="黑体" w:cs="黑体"/>
                <w:color w:val="000000"/>
                <w:szCs w:val="21"/>
                <w:highlight w:val="none"/>
              </w:rPr>
            </w:pPr>
            <w:r>
              <w:rPr>
                <w:rFonts w:hint="eastAsia" w:ascii="黑体" w:hAnsi="宋体" w:eastAsia="黑体" w:cs="黑体"/>
                <w:color w:val="000000"/>
                <w:kern w:val="0"/>
                <w:szCs w:val="21"/>
                <w:highlight w:val="none"/>
                <w:lang w:bidi="ar"/>
              </w:rPr>
              <w:t>评价标准</w:t>
            </w:r>
          </w:p>
        </w:tc>
        <w:tc>
          <w:tcPr>
            <w:tcW w:w="983" w:type="dxa"/>
            <w:tcBorders>
              <w:top w:val="single" w:color="000000" w:sz="8" w:space="0"/>
              <w:left w:val="single" w:color="000000" w:sz="8" w:space="0"/>
              <w:bottom w:val="single" w:color="000000" w:sz="8" w:space="0"/>
              <w:right w:val="single" w:color="000000" w:sz="12" w:space="0"/>
            </w:tcBorders>
            <w:vAlign w:val="center"/>
          </w:tcPr>
          <w:p w14:paraId="12F2E76A">
            <w:pPr>
              <w:widowControl/>
              <w:jc w:val="center"/>
              <w:textAlignment w:val="center"/>
              <w:rPr>
                <w:rFonts w:ascii="黑体" w:hAnsi="宋体" w:eastAsia="黑体" w:cs="黑体"/>
                <w:color w:val="000000"/>
                <w:szCs w:val="21"/>
                <w:highlight w:val="none"/>
              </w:rPr>
            </w:pPr>
            <w:r>
              <w:rPr>
                <w:rFonts w:hint="eastAsia" w:ascii="黑体" w:hAnsi="宋体" w:eastAsia="黑体" w:cs="黑体"/>
                <w:color w:val="000000"/>
                <w:kern w:val="0"/>
                <w:szCs w:val="21"/>
                <w:highlight w:val="none"/>
                <w:lang w:bidi="ar"/>
              </w:rPr>
              <w:t>评分情况</w:t>
            </w:r>
          </w:p>
        </w:tc>
      </w:tr>
      <w:tr w14:paraId="0197ADEE">
        <w:tblPrEx>
          <w:tblCellMar>
            <w:top w:w="0" w:type="dxa"/>
            <w:left w:w="108" w:type="dxa"/>
            <w:bottom w:w="0" w:type="dxa"/>
            <w:right w:w="108" w:type="dxa"/>
          </w:tblCellMar>
        </w:tblPrEx>
        <w:trPr>
          <w:trHeight w:val="645" w:hRule="atLeast"/>
          <w:jc w:val="center"/>
        </w:trPr>
        <w:tc>
          <w:tcPr>
            <w:tcW w:w="656" w:type="dxa"/>
            <w:vMerge w:val="restart"/>
            <w:tcBorders>
              <w:top w:val="single" w:color="000000" w:sz="8" w:space="0"/>
              <w:left w:val="single" w:color="000000" w:sz="12" w:space="0"/>
              <w:bottom w:val="single" w:color="000000" w:sz="8" w:space="0"/>
              <w:right w:val="single" w:color="000000" w:sz="8" w:space="0"/>
            </w:tcBorders>
            <w:vAlign w:val="center"/>
          </w:tcPr>
          <w:p w14:paraId="172749A8">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1</w:t>
            </w:r>
          </w:p>
        </w:tc>
        <w:tc>
          <w:tcPr>
            <w:tcW w:w="969" w:type="dxa"/>
            <w:vMerge w:val="restart"/>
            <w:tcBorders>
              <w:top w:val="single" w:color="000000" w:sz="8" w:space="0"/>
              <w:left w:val="single" w:color="000000" w:sz="8" w:space="0"/>
              <w:bottom w:val="single" w:color="000000" w:sz="8" w:space="0"/>
              <w:right w:val="single" w:color="000000" w:sz="8" w:space="0"/>
            </w:tcBorders>
            <w:vAlign w:val="center"/>
          </w:tcPr>
          <w:p w14:paraId="6EB3AD04">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交付/服务方面</w:t>
            </w:r>
          </w:p>
        </w:tc>
        <w:tc>
          <w:tcPr>
            <w:tcW w:w="1188" w:type="dxa"/>
            <w:gridSpan w:val="2"/>
            <w:tcBorders>
              <w:top w:val="single" w:color="000000" w:sz="8" w:space="0"/>
              <w:left w:val="single" w:color="000000" w:sz="8" w:space="0"/>
              <w:bottom w:val="single" w:color="000000" w:sz="8" w:space="0"/>
              <w:right w:val="single" w:color="000000" w:sz="8" w:space="0"/>
            </w:tcBorders>
            <w:vAlign w:val="center"/>
          </w:tcPr>
          <w:p w14:paraId="37136B9E">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时间</w:t>
            </w:r>
          </w:p>
        </w:tc>
        <w:tc>
          <w:tcPr>
            <w:tcW w:w="5342" w:type="dxa"/>
            <w:gridSpan w:val="2"/>
            <w:tcBorders>
              <w:top w:val="single" w:color="000000" w:sz="8" w:space="0"/>
              <w:left w:val="single" w:color="000000" w:sz="8" w:space="0"/>
              <w:bottom w:val="single" w:color="000000" w:sz="8" w:space="0"/>
              <w:right w:val="single" w:color="000000" w:sz="8" w:space="0"/>
            </w:tcBorders>
            <w:vAlign w:val="center"/>
          </w:tcPr>
          <w:p w14:paraId="609A13AC">
            <w:pPr>
              <w:widowControl/>
              <w:jc w:val="left"/>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延期的，每5天扣1分，不足5天按5天计算，每项10分封顶。</w:t>
            </w:r>
            <w:r>
              <w:rPr>
                <w:rFonts w:hint="eastAsia" w:ascii="黑体" w:hAnsi="宋体" w:eastAsia="黑体" w:cs="黑体"/>
                <w:color w:val="000000"/>
                <w:kern w:val="0"/>
                <w:sz w:val="20"/>
                <w:szCs w:val="20"/>
                <w:highlight w:val="none"/>
                <w:lang w:bidi="ar"/>
              </w:rPr>
              <w:br w:type="textWrapping"/>
            </w:r>
            <w:r>
              <w:rPr>
                <w:rFonts w:hint="eastAsia" w:ascii="黑体" w:hAnsi="宋体" w:eastAsia="黑体" w:cs="黑体"/>
                <w:color w:val="000000"/>
                <w:kern w:val="0"/>
                <w:sz w:val="20"/>
                <w:szCs w:val="20"/>
                <w:highlight w:val="none"/>
                <w:lang w:bidi="ar"/>
              </w:rPr>
              <w:t>响应运营公司要求提前的，每5天加1分，每项10分封顶。</w:t>
            </w:r>
          </w:p>
        </w:tc>
        <w:tc>
          <w:tcPr>
            <w:tcW w:w="983" w:type="dxa"/>
            <w:tcBorders>
              <w:top w:val="single" w:color="000000" w:sz="8" w:space="0"/>
              <w:left w:val="single" w:color="000000" w:sz="8" w:space="0"/>
              <w:bottom w:val="single" w:color="000000" w:sz="8" w:space="0"/>
              <w:right w:val="single" w:color="000000" w:sz="12" w:space="0"/>
            </w:tcBorders>
            <w:vAlign w:val="center"/>
          </w:tcPr>
          <w:p w14:paraId="42DFBA47">
            <w:pPr>
              <w:jc w:val="left"/>
              <w:rPr>
                <w:rFonts w:ascii="黑体" w:hAnsi="宋体" w:eastAsia="黑体" w:cs="黑体"/>
                <w:color w:val="000000"/>
                <w:sz w:val="20"/>
                <w:szCs w:val="20"/>
                <w:highlight w:val="none"/>
              </w:rPr>
            </w:pPr>
          </w:p>
        </w:tc>
      </w:tr>
      <w:tr w14:paraId="24B41798">
        <w:tblPrEx>
          <w:tblCellMar>
            <w:top w:w="0" w:type="dxa"/>
            <w:left w:w="108" w:type="dxa"/>
            <w:bottom w:w="0" w:type="dxa"/>
            <w:right w:w="108" w:type="dxa"/>
          </w:tblCellMar>
        </w:tblPrEx>
        <w:trPr>
          <w:trHeight w:val="660" w:hRule="atLeast"/>
          <w:jc w:val="center"/>
        </w:trPr>
        <w:tc>
          <w:tcPr>
            <w:tcW w:w="656" w:type="dxa"/>
            <w:vMerge w:val="continue"/>
            <w:tcBorders>
              <w:top w:val="single" w:color="000000" w:sz="8" w:space="0"/>
              <w:left w:val="single" w:color="000000" w:sz="12" w:space="0"/>
              <w:bottom w:val="single" w:color="000000" w:sz="8" w:space="0"/>
              <w:right w:val="single" w:color="000000" w:sz="8" w:space="0"/>
            </w:tcBorders>
            <w:vAlign w:val="center"/>
          </w:tcPr>
          <w:p w14:paraId="316F9223">
            <w:pPr>
              <w:jc w:val="center"/>
              <w:rPr>
                <w:rFonts w:ascii="黑体" w:hAnsi="宋体" w:eastAsia="黑体" w:cs="黑体"/>
                <w:color w:val="000000"/>
                <w:sz w:val="20"/>
                <w:szCs w:val="20"/>
                <w:highlight w:val="none"/>
              </w:rPr>
            </w:pPr>
          </w:p>
        </w:tc>
        <w:tc>
          <w:tcPr>
            <w:tcW w:w="969" w:type="dxa"/>
            <w:vMerge w:val="continue"/>
            <w:tcBorders>
              <w:top w:val="single" w:color="000000" w:sz="8" w:space="0"/>
              <w:left w:val="single" w:color="000000" w:sz="8" w:space="0"/>
              <w:bottom w:val="single" w:color="000000" w:sz="8" w:space="0"/>
              <w:right w:val="single" w:color="000000" w:sz="8" w:space="0"/>
            </w:tcBorders>
            <w:vAlign w:val="center"/>
          </w:tcPr>
          <w:p w14:paraId="571D42ED">
            <w:pPr>
              <w:jc w:val="center"/>
              <w:rPr>
                <w:rFonts w:ascii="黑体" w:hAnsi="宋体" w:eastAsia="黑体" w:cs="黑体"/>
                <w:color w:val="000000"/>
                <w:sz w:val="20"/>
                <w:szCs w:val="20"/>
                <w:highlight w:val="none"/>
              </w:rPr>
            </w:pPr>
          </w:p>
        </w:tc>
        <w:tc>
          <w:tcPr>
            <w:tcW w:w="1188" w:type="dxa"/>
            <w:gridSpan w:val="2"/>
            <w:tcBorders>
              <w:top w:val="single" w:color="000000" w:sz="8" w:space="0"/>
              <w:left w:val="single" w:color="000000" w:sz="8" w:space="0"/>
              <w:bottom w:val="single" w:color="000000" w:sz="8" w:space="0"/>
              <w:right w:val="single" w:color="000000" w:sz="8" w:space="0"/>
            </w:tcBorders>
            <w:vAlign w:val="center"/>
          </w:tcPr>
          <w:p w14:paraId="18B271C4">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程序</w:t>
            </w:r>
          </w:p>
        </w:tc>
        <w:tc>
          <w:tcPr>
            <w:tcW w:w="5342" w:type="dxa"/>
            <w:gridSpan w:val="2"/>
            <w:tcBorders>
              <w:top w:val="single" w:color="000000" w:sz="8" w:space="0"/>
              <w:left w:val="single" w:color="000000" w:sz="8" w:space="0"/>
              <w:bottom w:val="single" w:color="000000" w:sz="8" w:space="0"/>
              <w:right w:val="single" w:color="000000" w:sz="8" w:space="0"/>
            </w:tcBorders>
            <w:vAlign w:val="center"/>
          </w:tcPr>
          <w:p w14:paraId="431394A4">
            <w:pPr>
              <w:widowControl/>
              <w:jc w:val="left"/>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未按合同约定提前联系相关事宜的，每次扣0.5分。</w:t>
            </w:r>
            <w:r>
              <w:rPr>
                <w:rFonts w:hint="eastAsia" w:ascii="黑体" w:hAnsi="宋体" w:eastAsia="黑体" w:cs="黑体"/>
                <w:color w:val="000000"/>
                <w:kern w:val="0"/>
                <w:sz w:val="20"/>
                <w:szCs w:val="20"/>
                <w:highlight w:val="none"/>
                <w:lang w:bidi="ar"/>
              </w:rPr>
              <w:br w:type="textWrapping"/>
            </w:r>
            <w:r>
              <w:rPr>
                <w:rFonts w:hint="eastAsia" w:ascii="黑体" w:hAnsi="宋体" w:eastAsia="黑体" w:cs="黑体"/>
                <w:color w:val="000000"/>
                <w:kern w:val="0"/>
                <w:sz w:val="20"/>
                <w:szCs w:val="20"/>
                <w:highlight w:val="none"/>
                <w:lang w:bidi="ar"/>
              </w:rPr>
              <w:t>未按合同约定提供相关资料的，每缺一项扣0.5分。</w:t>
            </w:r>
          </w:p>
        </w:tc>
        <w:tc>
          <w:tcPr>
            <w:tcW w:w="983" w:type="dxa"/>
            <w:tcBorders>
              <w:top w:val="single" w:color="000000" w:sz="8" w:space="0"/>
              <w:left w:val="single" w:color="000000" w:sz="8" w:space="0"/>
              <w:bottom w:val="single" w:color="000000" w:sz="8" w:space="0"/>
              <w:right w:val="single" w:color="000000" w:sz="12" w:space="0"/>
            </w:tcBorders>
            <w:vAlign w:val="center"/>
          </w:tcPr>
          <w:p w14:paraId="30869AA9">
            <w:pPr>
              <w:jc w:val="left"/>
              <w:rPr>
                <w:rFonts w:ascii="黑体" w:hAnsi="宋体" w:eastAsia="黑体" w:cs="黑体"/>
                <w:color w:val="000000"/>
                <w:sz w:val="20"/>
                <w:szCs w:val="20"/>
                <w:highlight w:val="none"/>
              </w:rPr>
            </w:pPr>
          </w:p>
        </w:tc>
      </w:tr>
      <w:tr w14:paraId="2F8B0F46">
        <w:tblPrEx>
          <w:tblCellMar>
            <w:top w:w="0" w:type="dxa"/>
            <w:left w:w="108" w:type="dxa"/>
            <w:bottom w:w="0" w:type="dxa"/>
            <w:right w:w="108" w:type="dxa"/>
          </w:tblCellMar>
        </w:tblPrEx>
        <w:trPr>
          <w:trHeight w:val="1250" w:hRule="atLeast"/>
          <w:jc w:val="center"/>
        </w:trPr>
        <w:tc>
          <w:tcPr>
            <w:tcW w:w="656" w:type="dxa"/>
            <w:vMerge w:val="continue"/>
            <w:tcBorders>
              <w:top w:val="single" w:color="000000" w:sz="8" w:space="0"/>
              <w:left w:val="single" w:color="000000" w:sz="12" w:space="0"/>
              <w:bottom w:val="single" w:color="000000" w:sz="8" w:space="0"/>
              <w:right w:val="single" w:color="000000" w:sz="8" w:space="0"/>
            </w:tcBorders>
            <w:vAlign w:val="center"/>
          </w:tcPr>
          <w:p w14:paraId="4F9B0AD1">
            <w:pPr>
              <w:jc w:val="center"/>
              <w:rPr>
                <w:rFonts w:ascii="黑体" w:hAnsi="宋体" w:eastAsia="黑体" w:cs="黑体"/>
                <w:color w:val="000000"/>
                <w:sz w:val="20"/>
                <w:szCs w:val="20"/>
                <w:highlight w:val="none"/>
              </w:rPr>
            </w:pPr>
          </w:p>
        </w:tc>
        <w:tc>
          <w:tcPr>
            <w:tcW w:w="969" w:type="dxa"/>
            <w:vMerge w:val="continue"/>
            <w:tcBorders>
              <w:top w:val="single" w:color="000000" w:sz="8" w:space="0"/>
              <w:left w:val="single" w:color="000000" w:sz="8" w:space="0"/>
              <w:bottom w:val="single" w:color="000000" w:sz="8" w:space="0"/>
              <w:right w:val="single" w:color="000000" w:sz="8" w:space="0"/>
            </w:tcBorders>
            <w:vAlign w:val="center"/>
          </w:tcPr>
          <w:p w14:paraId="0E99B3F0">
            <w:pPr>
              <w:jc w:val="center"/>
              <w:rPr>
                <w:rFonts w:ascii="黑体" w:hAnsi="宋体" w:eastAsia="黑体" w:cs="黑体"/>
                <w:color w:val="000000"/>
                <w:sz w:val="20"/>
                <w:szCs w:val="20"/>
                <w:highlight w:val="none"/>
              </w:rPr>
            </w:pPr>
          </w:p>
        </w:tc>
        <w:tc>
          <w:tcPr>
            <w:tcW w:w="1188" w:type="dxa"/>
            <w:gridSpan w:val="2"/>
            <w:tcBorders>
              <w:top w:val="single" w:color="000000" w:sz="8" w:space="0"/>
              <w:left w:val="single" w:color="000000" w:sz="8" w:space="0"/>
              <w:bottom w:val="single" w:color="000000" w:sz="8" w:space="0"/>
              <w:right w:val="single" w:color="000000" w:sz="8" w:space="0"/>
            </w:tcBorders>
            <w:vAlign w:val="center"/>
          </w:tcPr>
          <w:p w14:paraId="71B8C9B4">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质量</w:t>
            </w:r>
          </w:p>
        </w:tc>
        <w:tc>
          <w:tcPr>
            <w:tcW w:w="5342" w:type="dxa"/>
            <w:gridSpan w:val="2"/>
            <w:tcBorders>
              <w:top w:val="single" w:color="000000" w:sz="8" w:space="0"/>
              <w:left w:val="single" w:color="000000" w:sz="8" w:space="0"/>
              <w:bottom w:val="single" w:color="000000" w:sz="8" w:space="0"/>
              <w:right w:val="single" w:color="000000" w:sz="8" w:space="0"/>
            </w:tcBorders>
            <w:vAlign w:val="center"/>
          </w:tcPr>
          <w:p w14:paraId="0FD00752">
            <w:pPr>
              <w:widowControl/>
              <w:jc w:val="left"/>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标的质量、数量低于合同约定，验收不合格的，每一项扣2分，每项10分封顶。</w:t>
            </w:r>
            <w:r>
              <w:rPr>
                <w:rFonts w:hint="eastAsia" w:ascii="黑体" w:hAnsi="宋体" w:eastAsia="黑体" w:cs="黑体"/>
                <w:color w:val="000000"/>
                <w:kern w:val="0"/>
                <w:sz w:val="20"/>
                <w:szCs w:val="20"/>
                <w:highlight w:val="none"/>
                <w:lang w:bidi="ar"/>
              </w:rPr>
              <w:br w:type="textWrapping"/>
            </w:r>
            <w:r>
              <w:rPr>
                <w:rFonts w:hint="eastAsia" w:ascii="黑体" w:hAnsi="宋体" w:eastAsia="黑体" w:cs="黑体"/>
                <w:color w:val="000000"/>
                <w:kern w:val="0"/>
                <w:sz w:val="20"/>
                <w:szCs w:val="20"/>
                <w:highlight w:val="none"/>
                <w:lang w:bidi="ar"/>
              </w:rPr>
              <w:t>服务人员的资质低于合同约定的，每一人扣2分，每项10分封顶。</w:t>
            </w:r>
            <w:r>
              <w:rPr>
                <w:rFonts w:hint="eastAsia" w:ascii="黑体" w:hAnsi="宋体" w:eastAsia="黑体" w:cs="黑体"/>
                <w:color w:val="000000"/>
                <w:kern w:val="0"/>
                <w:sz w:val="20"/>
                <w:szCs w:val="20"/>
                <w:highlight w:val="none"/>
                <w:lang w:bidi="ar"/>
              </w:rPr>
              <w:br w:type="textWrapping"/>
            </w:r>
            <w:r>
              <w:rPr>
                <w:rFonts w:hint="eastAsia" w:ascii="黑体" w:hAnsi="宋体" w:eastAsia="黑体" w:cs="黑体"/>
                <w:color w:val="000000"/>
                <w:kern w:val="0"/>
                <w:sz w:val="20"/>
                <w:szCs w:val="20"/>
                <w:highlight w:val="none"/>
                <w:lang w:bidi="ar"/>
              </w:rPr>
              <w:t>违规分包的，每次扣20分。</w:t>
            </w:r>
          </w:p>
        </w:tc>
        <w:tc>
          <w:tcPr>
            <w:tcW w:w="983" w:type="dxa"/>
            <w:tcBorders>
              <w:top w:val="single" w:color="000000" w:sz="8" w:space="0"/>
              <w:left w:val="single" w:color="000000" w:sz="8" w:space="0"/>
              <w:bottom w:val="single" w:color="000000" w:sz="8" w:space="0"/>
              <w:right w:val="single" w:color="000000" w:sz="12" w:space="0"/>
            </w:tcBorders>
            <w:vAlign w:val="center"/>
          </w:tcPr>
          <w:p w14:paraId="616BEFB3">
            <w:pPr>
              <w:jc w:val="left"/>
              <w:rPr>
                <w:rFonts w:ascii="黑体" w:hAnsi="宋体" w:eastAsia="黑体" w:cs="黑体"/>
                <w:color w:val="000000"/>
                <w:sz w:val="20"/>
                <w:szCs w:val="20"/>
                <w:highlight w:val="none"/>
              </w:rPr>
            </w:pPr>
          </w:p>
        </w:tc>
      </w:tr>
      <w:tr w14:paraId="19DA2041">
        <w:tblPrEx>
          <w:tblCellMar>
            <w:top w:w="0" w:type="dxa"/>
            <w:left w:w="108" w:type="dxa"/>
            <w:bottom w:w="0" w:type="dxa"/>
            <w:right w:w="108" w:type="dxa"/>
          </w:tblCellMar>
        </w:tblPrEx>
        <w:trPr>
          <w:trHeight w:val="481" w:hRule="atLeast"/>
          <w:jc w:val="center"/>
        </w:trPr>
        <w:tc>
          <w:tcPr>
            <w:tcW w:w="656" w:type="dxa"/>
            <w:vMerge w:val="restart"/>
            <w:tcBorders>
              <w:top w:val="single" w:color="000000" w:sz="8" w:space="0"/>
              <w:left w:val="single" w:color="000000" w:sz="12" w:space="0"/>
              <w:bottom w:val="single" w:color="000000" w:sz="8" w:space="0"/>
              <w:right w:val="single" w:color="000000" w:sz="8" w:space="0"/>
            </w:tcBorders>
            <w:vAlign w:val="center"/>
          </w:tcPr>
          <w:p w14:paraId="26A5C403">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2</w:t>
            </w:r>
          </w:p>
        </w:tc>
        <w:tc>
          <w:tcPr>
            <w:tcW w:w="969" w:type="dxa"/>
            <w:vMerge w:val="restart"/>
            <w:tcBorders>
              <w:top w:val="single" w:color="000000" w:sz="8" w:space="0"/>
              <w:left w:val="single" w:color="000000" w:sz="8" w:space="0"/>
              <w:bottom w:val="single" w:color="000000" w:sz="8" w:space="0"/>
              <w:right w:val="single" w:color="000000" w:sz="8" w:space="0"/>
            </w:tcBorders>
            <w:vAlign w:val="center"/>
          </w:tcPr>
          <w:p w14:paraId="17005D3A">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质保方面</w:t>
            </w:r>
          </w:p>
        </w:tc>
        <w:tc>
          <w:tcPr>
            <w:tcW w:w="1188" w:type="dxa"/>
            <w:gridSpan w:val="2"/>
            <w:tcBorders>
              <w:top w:val="single" w:color="000000" w:sz="8" w:space="0"/>
              <w:left w:val="single" w:color="000000" w:sz="8" w:space="0"/>
              <w:bottom w:val="single" w:color="000000" w:sz="8" w:space="0"/>
              <w:right w:val="single" w:color="000000" w:sz="8" w:space="0"/>
            </w:tcBorders>
            <w:vAlign w:val="center"/>
          </w:tcPr>
          <w:p w14:paraId="6E6C2E01">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响应时间</w:t>
            </w:r>
          </w:p>
        </w:tc>
        <w:tc>
          <w:tcPr>
            <w:tcW w:w="5342" w:type="dxa"/>
            <w:gridSpan w:val="2"/>
            <w:tcBorders>
              <w:top w:val="single" w:color="000000" w:sz="8" w:space="0"/>
              <w:left w:val="single" w:color="000000" w:sz="8" w:space="0"/>
              <w:bottom w:val="single" w:color="000000" w:sz="8" w:space="0"/>
              <w:right w:val="single" w:color="000000" w:sz="8" w:space="0"/>
            </w:tcBorders>
            <w:vAlign w:val="center"/>
          </w:tcPr>
          <w:p w14:paraId="1AC87DA9">
            <w:pPr>
              <w:widowControl/>
              <w:jc w:val="left"/>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响应延迟的，每1天扣1分，每次5分封顶。</w:t>
            </w:r>
          </w:p>
        </w:tc>
        <w:tc>
          <w:tcPr>
            <w:tcW w:w="983" w:type="dxa"/>
            <w:tcBorders>
              <w:top w:val="single" w:color="000000" w:sz="8" w:space="0"/>
              <w:left w:val="single" w:color="000000" w:sz="8" w:space="0"/>
              <w:bottom w:val="single" w:color="000000" w:sz="8" w:space="0"/>
              <w:right w:val="single" w:color="000000" w:sz="12" w:space="0"/>
            </w:tcBorders>
            <w:vAlign w:val="center"/>
          </w:tcPr>
          <w:p w14:paraId="3616BF7A">
            <w:pPr>
              <w:jc w:val="left"/>
              <w:rPr>
                <w:rFonts w:ascii="黑体" w:hAnsi="宋体" w:eastAsia="黑体" w:cs="黑体"/>
                <w:color w:val="000000"/>
                <w:sz w:val="20"/>
                <w:szCs w:val="20"/>
                <w:highlight w:val="none"/>
              </w:rPr>
            </w:pPr>
          </w:p>
        </w:tc>
      </w:tr>
      <w:tr w14:paraId="68D6C4E0">
        <w:tblPrEx>
          <w:tblCellMar>
            <w:top w:w="0" w:type="dxa"/>
            <w:left w:w="108" w:type="dxa"/>
            <w:bottom w:w="0" w:type="dxa"/>
            <w:right w:w="108" w:type="dxa"/>
          </w:tblCellMar>
        </w:tblPrEx>
        <w:trPr>
          <w:trHeight w:val="505" w:hRule="atLeast"/>
          <w:jc w:val="center"/>
        </w:trPr>
        <w:tc>
          <w:tcPr>
            <w:tcW w:w="656" w:type="dxa"/>
            <w:vMerge w:val="continue"/>
            <w:tcBorders>
              <w:top w:val="single" w:color="000000" w:sz="8" w:space="0"/>
              <w:left w:val="single" w:color="000000" w:sz="12" w:space="0"/>
              <w:bottom w:val="single" w:color="000000" w:sz="8" w:space="0"/>
              <w:right w:val="single" w:color="000000" w:sz="8" w:space="0"/>
            </w:tcBorders>
            <w:vAlign w:val="center"/>
          </w:tcPr>
          <w:p w14:paraId="4A11CDF0">
            <w:pPr>
              <w:jc w:val="center"/>
              <w:rPr>
                <w:rFonts w:ascii="黑体" w:hAnsi="宋体" w:eastAsia="黑体" w:cs="黑体"/>
                <w:color w:val="000000"/>
                <w:sz w:val="20"/>
                <w:szCs w:val="20"/>
                <w:highlight w:val="none"/>
              </w:rPr>
            </w:pPr>
          </w:p>
        </w:tc>
        <w:tc>
          <w:tcPr>
            <w:tcW w:w="969" w:type="dxa"/>
            <w:vMerge w:val="continue"/>
            <w:tcBorders>
              <w:top w:val="single" w:color="000000" w:sz="8" w:space="0"/>
              <w:left w:val="single" w:color="000000" w:sz="8" w:space="0"/>
              <w:bottom w:val="single" w:color="000000" w:sz="8" w:space="0"/>
              <w:right w:val="single" w:color="000000" w:sz="8" w:space="0"/>
            </w:tcBorders>
            <w:vAlign w:val="center"/>
          </w:tcPr>
          <w:p w14:paraId="4FE75068">
            <w:pPr>
              <w:jc w:val="center"/>
              <w:rPr>
                <w:rFonts w:ascii="黑体" w:hAnsi="宋体" w:eastAsia="黑体" w:cs="黑体"/>
                <w:color w:val="000000"/>
                <w:sz w:val="20"/>
                <w:szCs w:val="20"/>
                <w:highlight w:val="none"/>
              </w:rPr>
            </w:pPr>
          </w:p>
        </w:tc>
        <w:tc>
          <w:tcPr>
            <w:tcW w:w="1188" w:type="dxa"/>
            <w:gridSpan w:val="2"/>
            <w:tcBorders>
              <w:top w:val="single" w:color="000000" w:sz="8" w:space="0"/>
              <w:left w:val="single" w:color="000000" w:sz="8" w:space="0"/>
              <w:bottom w:val="single" w:color="000000" w:sz="8" w:space="0"/>
              <w:right w:val="single" w:color="000000" w:sz="8" w:space="0"/>
            </w:tcBorders>
            <w:vAlign w:val="center"/>
          </w:tcPr>
          <w:p w14:paraId="47D2EE76">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增值保障</w:t>
            </w:r>
          </w:p>
        </w:tc>
        <w:tc>
          <w:tcPr>
            <w:tcW w:w="5342" w:type="dxa"/>
            <w:gridSpan w:val="2"/>
            <w:tcBorders>
              <w:top w:val="single" w:color="000000" w:sz="8" w:space="0"/>
              <w:left w:val="single" w:color="000000" w:sz="8" w:space="0"/>
              <w:bottom w:val="single" w:color="000000" w:sz="8" w:space="0"/>
              <w:right w:val="single" w:color="000000" w:sz="8" w:space="0"/>
            </w:tcBorders>
            <w:vAlign w:val="center"/>
          </w:tcPr>
          <w:p w14:paraId="2CE2A56D">
            <w:pPr>
              <w:widowControl/>
              <w:jc w:val="left"/>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质保期外免费提供质量保障服务的，每次加2分。</w:t>
            </w:r>
          </w:p>
        </w:tc>
        <w:tc>
          <w:tcPr>
            <w:tcW w:w="983" w:type="dxa"/>
            <w:tcBorders>
              <w:top w:val="single" w:color="000000" w:sz="8" w:space="0"/>
              <w:left w:val="single" w:color="000000" w:sz="8" w:space="0"/>
              <w:bottom w:val="single" w:color="000000" w:sz="8" w:space="0"/>
              <w:right w:val="single" w:color="000000" w:sz="12" w:space="0"/>
            </w:tcBorders>
            <w:vAlign w:val="center"/>
          </w:tcPr>
          <w:p w14:paraId="2372735E">
            <w:pPr>
              <w:jc w:val="left"/>
              <w:rPr>
                <w:rFonts w:ascii="黑体" w:hAnsi="宋体" w:eastAsia="黑体" w:cs="黑体"/>
                <w:color w:val="000000"/>
                <w:sz w:val="20"/>
                <w:szCs w:val="20"/>
                <w:highlight w:val="none"/>
              </w:rPr>
            </w:pPr>
          </w:p>
        </w:tc>
      </w:tr>
      <w:tr w14:paraId="054105EB">
        <w:tblPrEx>
          <w:tblCellMar>
            <w:top w:w="0" w:type="dxa"/>
            <w:left w:w="108" w:type="dxa"/>
            <w:bottom w:w="0" w:type="dxa"/>
            <w:right w:w="108" w:type="dxa"/>
          </w:tblCellMar>
        </w:tblPrEx>
        <w:trPr>
          <w:trHeight w:val="591" w:hRule="atLeast"/>
          <w:jc w:val="center"/>
        </w:trPr>
        <w:tc>
          <w:tcPr>
            <w:tcW w:w="656" w:type="dxa"/>
            <w:vMerge w:val="restart"/>
            <w:tcBorders>
              <w:top w:val="single" w:color="000000" w:sz="8" w:space="0"/>
              <w:left w:val="single" w:color="000000" w:sz="12" w:space="0"/>
              <w:bottom w:val="single" w:color="000000" w:sz="8" w:space="0"/>
              <w:right w:val="single" w:color="000000" w:sz="8" w:space="0"/>
            </w:tcBorders>
            <w:vAlign w:val="center"/>
          </w:tcPr>
          <w:p w14:paraId="1EDC449B">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3</w:t>
            </w:r>
          </w:p>
        </w:tc>
        <w:tc>
          <w:tcPr>
            <w:tcW w:w="969" w:type="dxa"/>
            <w:vMerge w:val="restart"/>
            <w:tcBorders>
              <w:top w:val="single" w:color="000000" w:sz="8" w:space="0"/>
              <w:left w:val="single" w:color="000000" w:sz="8" w:space="0"/>
              <w:bottom w:val="single" w:color="000000" w:sz="8" w:space="0"/>
              <w:right w:val="single" w:color="000000" w:sz="8" w:space="0"/>
            </w:tcBorders>
            <w:vAlign w:val="center"/>
          </w:tcPr>
          <w:p w14:paraId="6C320B29">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安全方面</w:t>
            </w:r>
          </w:p>
        </w:tc>
        <w:tc>
          <w:tcPr>
            <w:tcW w:w="1188" w:type="dxa"/>
            <w:gridSpan w:val="2"/>
            <w:tcBorders>
              <w:top w:val="single" w:color="000000" w:sz="8" w:space="0"/>
              <w:left w:val="single" w:color="000000" w:sz="8" w:space="0"/>
              <w:bottom w:val="single" w:color="000000" w:sz="8" w:space="0"/>
              <w:right w:val="single" w:color="000000" w:sz="8" w:space="0"/>
            </w:tcBorders>
            <w:vAlign w:val="center"/>
          </w:tcPr>
          <w:p w14:paraId="15703060">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安全问题</w:t>
            </w:r>
          </w:p>
        </w:tc>
        <w:tc>
          <w:tcPr>
            <w:tcW w:w="5342" w:type="dxa"/>
            <w:gridSpan w:val="2"/>
            <w:tcBorders>
              <w:top w:val="single" w:color="000000" w:sz="8" w:space="0"/>
              <w:left w:val="single" w:color="000000" w:sz="8" w:space="0"/>
              <w:bottom w:val="single" w:color="000000" w:sz="8" w:space="0"/>
              <w:right w:val="single" w:color="000000" w:sz="8" w:space="0"/>
            </w:tcBorders>
            <w:vAlign w:val="center"/>
          </w:tcPr>
          <w:p w14:paraId="56CAA03D">
            <w:pPr>
              <w:widowControl/>
              <w:jc w:val="left"/>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主动发现并避免安全问题发生的，视情况加1-10分。</w:t>
            </w:r>
          </w:p>
        </w:tc>
        <w:tc>
          <w:tcPr>
            <w:tcW w:w="983" w:type="dxa"/>
            <w:tcBorders>
              <w:top w:val="single" w:color="000000" w:sz="8" w:space="0"/>
              <w:left w:val="single" w:color="000000" w:sz="8" w:space="0"/>
              <w:bottom w:val="single" w:color="000000" w:sz="8" w:space="0"/>
              <w:right w:val="single" w:color="000000" w:sz="12" w:space="0"/>
            </w:tcBorders>
            <w:vAlign w:val="center"/>
          </w:tcPr>
          <w:p w14:paraId="6674633E">
            <w:pPr>
              <w:jc w:val="left"/>
              <w:rPr>
                <w:rFonts w:ascii="黑体" w:hAnsi="宋体" w:eastAsia="黑体" w:cs="黑体"/>
                <w:color w:val="000000"/>
                <w:sz w:val="20"/>
                <w:szCs w:val="20"/>
                <w:highlight w:val="none"/>
              </w:rPr>
            </w:pPr>
          </w:p>
        </w:tc>
      </w:tr>
      <w:tr w14:paraId="4B188824">
        <w:tblPrEx>
          <w:tblCellMar>
            <w:top w:w="0" w:type="dxa"/>
            <w:left w:w="108" w:type="dxa"/>
            <w:bottom w:w="0" w:type="dxa"/>
            <w:right w:w="108" w:type="dxa"/>
          </w:tblCellMar>
        </w:tblPrEx>
        <w:trPr>
          <w:trHeight w:val="486" w:hRule="atLeast"/>
          <w:jc w:val="center"/>
        </w:trPr>
        <w:tc>
          <w:tcPr>
            <w:tcW w:w="656" w:type="dxa"/>
            <w:vMerge w:val="continue"/>
            <w:tcBorders>
              <w:top w:val="single" w:color="000000" w:sz="8" w:space="0"/>
              <w:left w:val="single" w:color="000000" w:sz="12" w:space="0"/>
              <w:bottom w:val="single" w:color="000000" w:sz="8" w:space="0"/>
              <w:right w:val="single" w:color="000000" w:sz="8" w:space="0"/>
            </w:tcBorders>
            <w:vAlign w:val="center"/>
          </w:tcPr>
          <w:p w14:paraId="693F2677">
            <w:pPr>
              <w:jc w:val="center"/>
              <w:rPr>
                <w:rFonts w:ascii="黑体" w:hAnsi="宋体" w:eastAsia="黑体" w:cs="黑体"/>
                <w:color w:val="000000"/>
                <w:sz w:val="20"/>
                <w:szCs w:val="20"/>
                <w:highlight w:val="none"/>
              </w:rPr>
            </w:pPr>
          </w:p>
        </w:tc>
        <w:tc>
          <w:tcPr>
            <w:tcW w:w="969" w:type="dxa"/>
            <w:vMerge w:val="continue"/>
            <w:tcBorders>
              <w:top w:val="single" w:color="000000" w:sz="8" w:space="0"/>
              <w:left w:val="single" w:color="000000" w:sz="8" w:space="0"/>
              <w:bottom w:val="single" w:color="000000" w:sz="8" w:space="0"/>
              <w:right w:val="single" w:color="000000" w:sz="8" w:space="0"/>
            </w:tcBorders>
            <w:vAlign w:val="center"/>
          </w:tcPr>
          <w:p w14:paraId="0F7590C0">
            <w:pPr>
              <w:jc w:val="center"/>
              <w:rPr>
                <w:rFonts w:ascii="黑体" w:hAnsi="宋体" w:eastAsia="黑体" w:cs="黑体"/>
                <w:color w:val="000000"/>
                <w:sz w:val="20"/>
                <w:szCs w:val="20"/>
                <w:highlight w:val="none"/>
              </w:rPr>
            </w:pPr>
          </w:p>
        </w:tc>
        <w:tc>
          <w:tcPr>
            <w:tcW w:w="1188" w:type="dxa"/>
            <w:gridSpan w:val="2"/>
            <w:tcBorders>
              <w:top w:val="single" w:color="000000" w:sz="8" w:space="0"/>
              <w:left w:val="single" w:color="000000" w:sz="8" w:space="0"/>
              <w:bottom w:val="single" w:color="000000" w:sz="8" w:space="0"/>
              <w:right w:val="single" w:color="000000" w:sz="8" w:space="0"/>
            </w:tcBorders>
            <w:vAlign w:val="center"/>
          </w:tcPr>
          <w:p w14:paraId="5EE165E1">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保密问题</w:t>
            </w:r>
          </w:p>
        </w:tc>
        <w:tc>
          <w:tcPr>
            <w:tcW w:w="5342" w:type="dxa"/>
            <w:gridSpan w:val="2"/>
            <w:tcBorders>
              <w:top w:val="single" w:color="000000" w:sz="8" w:space="0"/>
              <w:left w:val="single" w:color="000000" w:sz="8" w:space="0"/>
              <w:bottom w:val="single" w:color="000000" w:sz="8" w:space="0"/>
              <w:right w:val="single" w:color="000000" w:sz="8" w:space="0"/>
            </w:tcBorders>
            <w:vAlign w:val="center"/>
          </w:tcPr>
          <w:p w14:paraId="67EF83EB">
            <w:pPr>
              <w:widowControl/>
              <w:jc w:val="left"/>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泄露保密信息的，每次扣5分。</w:t>
            </w:r>
          </w:p>
        </w:tc>
        <w:tc>
          <w:tcPr>
            <w:tcW w:w="983" w:type="dxa"/>
            <w:tcBorders>
              <w:top w:val="single" w:color="000000" w:sz="8" w:space="0"/>
              <w:left w:val="single" w:color="000000" w:sz="8" w:space="0"/>
              <w:bottom w:val="single" w:color="000000" w:sz="8" w:space="0"/>
              <w:right w:val="single" w:color="000000" w:sz="12" w:space="0"/>
            </w:tcBorders>
            <w:vAlign w:val="center"/>
          </w:tcPr>
          <w:p w14:paraId="55ABBED7">
            <w:pPr>
              <w:jc w:val="left"/>
              <w:rPr>
                <w:rFonts w:ascii="黑体" w:hAnsi="宋体" w:eastAsia="黑体" w:cs="黑体"/>
                <w:color w:val="000000"/>
                <w:sz w:val="20"/>
                <w:szCs w:val="20"/>
                <w:highlight w:val="none"/>
              </w:rPr>
            </w:pPr>
          </w:p>
        </w:tc>
      </w:tr>
      <w:tr w14:paraId="70C299B7">
        <w:tblPrEx>
          <w:tblCellMar>
            <w:top w:w="0" w:type="dxa"/>
            <w:left w:w="108" w:type="dxa"/>
            <w:bottom w:w="0" w:type="dxa"/>
            <w:right w:w="108" w:type="dxa"/>
          </w:tblCellMar>
        </w:tblPrEx>
        <w:trPr>
          <w:trHeight w:val="447" w:hRule="atLeast"/>
          <w:jc w:val="center"/>
        </w:trPr>
        <w:tc>
          <w:tcPr>
            <w:tcW w:w="656" w:type="dxa"/>
            <w:vMerge w:val="restart"/>
            <w:tcBorders>
              <w:top w:val="single" w:color="000000" w:sz="8" w:space="0"/>
              <w:left w:val="single" w:color="000000" w:sz="12" w:space="0"/>
              <w:bottom w:val="single" w:color="000000" w:sz="8" w:space="0"/>
              <w:right w:val="single" w:color="000000" w:sz="8" w:space="0"/>
            </w:tcBorders>
            <w:vAlign w:val="center"/>
          </w:tcPr>
          <w:p w14:paraId="671492CD">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4</w:t>
            </w:r>
          </w:p>
        </w:tc>
        <w:tc>
          <w:tcPr>
            <w:tcW w:w="969" w:type="dxa"/>
            <w:vMerge w:val="restart"/>
            <w:tcBorders>
              <w:top w:val="single" w:color="000000" w:sz="8" w:space="0"/>
              <w:left w:val="single" w:color="000000" w:sz="8" w:space="0"/>
              <w:bottom w:val="single" w:color="000000" w:sz="8" w:space="0"/>
              <w:right w:val="single" w:color="000000" w:sz="8" w:space="0"/>
            </w:tcBorders>
            <w:vAlign w:val="center"/>
          </w:tcPr>
          <w:p w14:paraId="7879A1CC">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环保方面</w:t>
            </w:r>
          </w:p>
        </w:tc>
        <w:tc>
          <w:tcPr>
            <w:tcW w:w="1188" w:type="dxa"/>
            <w:gridSpan w:val="2"/>
            <w:tcBorders>
              <w:top w:val="single" w:color="000000" w:sz="8" w:space="0"/>
              <w:left w:val="single" w:color="000000" w:sz="8" w:space="0"/>
              <w:bottom w:val="single" w:color="000000" w:sz="8" w:space="0"/>
              <w:right w:val="single" w:color="000000" w:sz="8" w:space="0"/>
            </w:tcBorders>
            <w:vAlign w:val="center"/>
          </w:tcPr>
          <w:p w14:paraId="4449B954">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环境卫生</w:t>
            </w:r>
          </w:p>
        </w:tc>
        <w:tc>
          <w:tcPr>
            <w:tcW w:w="5342" w:type="dxa"/>
            <w:gridSpan w:val="2"/>
            <w:tcBorders>
              <w:top w:val="single" w:color="000000" w:sz="8" w:space="0"/>
              <w:left w:val="single" w:color="000000" w:sz="8" w:space="0"/>
              <w:bottom w:val="single" w:color="000000" w:sz="8" w:space="0"/>
              <w:right w:val="single" w:color="000000" w:sz="8" w:space="0"/>
            </w:tcBorders>
            <w:vAlign w:val="center"/>
          </w:tcPr>
          <w:p w14:paraId="5D3B6468">
            <w:pPr>
              <w:widowControl/>
              <w:jc w:val="left"/>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未及时清理产生的垃圾，影响环境卫生的，每次扣2分。</w:t>
            </w:r>
          </w:p>
        </w:tc>
        <w:tc>
          <w:tcPr>
            <w:tcW w:w="983" w:type="dxa"/>
            <w:tcBorders>
              <w:top w:val="single" w:color="000000" w:sz="8" w:space="0"/>
              <w:left w:val="single" w:color="000000" w:sz="8" w:space="0"/>
              <w:bottom w:val="single" w:color="000000" w:sz="8" w:space="0"/>
              <w:right w:val="single" w:color="000000" w:sz="12" w:space="0"/>
            </w:tcBorders>
            <w:vAlign w:val="center"/>
          </w:tcPr>
          <w:p w14:paraId="40B44086">
            <w:pPr>
              <w:jc w:val="left"/>
              <w:rPr>
                <w:rFonts w:ascii="黑体" w:hAnsi="宋体" w:eastAsia="黑体" w:cs="黑体"/>
                <w:color w:val="000000"/>
                <w:sz w:val="20"/>
                <w:szCs w:val="20"/>
                <w:highlight w:val="none"/>
              </w:rPr>
            </w:pPr>
          </w:p>
        </w:tc>
      </w:tr>
      <w:tr w14:paraId="686A2845">
        <w:tblPrEx>
          <w:tblCellMar>
            <w:top w:w="0" w:type="dxa"/>
            <w:left w:w="108" w:type="dxa"/>
            <w:bottom w:w="0" w:type="dxa"/>
            <w:right w:w="108" w:type="dxa"/>
          </w:tblCellMar>
        </w:tblPrEx>
        <w:trPr>
          <w:trHeight w:val="645" w:hRule="atLeast"/>
          <w:jc w:val="center"/>
        </w:trPr>
        <w:tc>
          <w:tcPr>
            <w:tcW w:w="656" w:type="dxa"/>
            <w:vMerge w:val="continue"/>
            <w:tcBorders>
              <w:top w:val="single" w:color="000000" w:sz="8" w:space="0"/>
              <w:left w:val="single" w:color="000000" w:sz="12" w:space="0"/>
              <w:bottom w:val="single" w:color="000000" w:sz="8" w:space="0"/>
              <w:right w:val="single" w:color="000000" w:sz="8" w:space="0"/>
            </w:tcBorders>
            <w:vAlign w:val="center"/>
          </w:tcPr>
          <w:p w14:paraId="0D1B9F07">
            <w:pPr>
              <w:jc w:val="center"/>
              <w:rPr>
                <w:rFonts w:ascii="黑体" w:hAnsi="宋体" w:eastAsia="黑体" w:cs="黑体"/>
                <w:color w:val="000000"/>
                <w:sz w:val="20"/>
                <w:szCs w:val="20"/>
                <w:highlight w:val="none"/>
              </w:rPr>
            </w:pPr>
          </w:p>
        </w:tc>
        <w:tc>
          <w:tcPr>
            <w:tcW w:w="969" w:type="dxa"/>
            <w:vMerge w:val="continue"/>
            <w:tcBorders>
              <w:top w:val="single" w:color="000000" w:sz="8" w:space="0"/>
              <w:left w:val="single" w:color="000000" w:sz="8" w:space="0"/>
              <w:bottom w:val="single" w:color="000000" w:sz="8" w:space="0"/>
              <w:right w:val="single" w:color="000000" w:sz="8" w:space="0"/>
            </w:tcBorders>
            <w:vAlign w:val="center"/>
          </w:tcPr>
          <w:p w14:paraId="2E5DC64D">
            <w:pPr>
              <w:jc w:val="center"/>
              <w:rPr>
                <w:rFonts w:ascii="黑体" w:hAnsi="宋体" w:eastAsia="黑体" w:cs="黑体"/>
                <w:color w:val="000000"/>
                <w:sz w:val="20"/>
                <w:szCs w:val="20"/>
                <w:highlight w:val="none"/>
              </w:rPr>
            </w:pPr>
          </w:p>
        </w:tc>
        <w:tc>
          <w:tcPr>
            <w:tcW w:w="1188" w:type="dxa"/>
            <w:gridSpan w:val="2"/>
            <w:tcBorders>
              <w:top w:val="single" w:color="000000" w:sz="8" w:space="0"/>
              <w:left w:val="single" w:color="000000" w:sz="8" w:space="0"/>
              <w:bottom w:val="single" w:color="000000" w:sz="8" w:space="0"/>
              <w:right w:val="single" w:color="000000" w:sz="8" w:space="0"/>
            </w:tcBorders>
            <w:vAlign w:val="center"/>
          </w:tcPr>
          <w:p w14:paraId="4516E4DC">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环境保护</w:t>
            </w:r>
          </w:p>
        </w:tc>
        <w:tc>
          <w:tcPr>
            <w:tcW w:w="5342" w:type="dxa"/>
            <w:gridSpan w:val="2"/>
            <w:tcBorders>
              <w:top w:val="single" w:color="000000" w:sz="8" w:space="0"/>
              <w:left w:val="single" w:color="000000" w:sz="8" w:space="0"/>
              <w:bottom w:val="single" w:color="000000" w:sz="8" w:space="0"/>
              <w:right w:val="single" w:color="000000" w:sz="8" w:space="0"/>
            </w:tcBorders>
            <w:vAlign w:val="center"/>
          </w:tcPr>
          <w:p w14:paraId="520293AD">
            <w:pPr>
              <w:widowControl/>
              <w:jc w:val="left"/>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使用的物料或技术工艺不符合环保要求的，产生有毒有害废弃物不进行无害化处理的，每次扣5分。</w:t>
            </w:r>
          </w:p>
        </w:tc>
        <w:tc>
          <w:tcPr>
            <w:tcW w:w="983" w:type="dxa"/>
            <w:tcBorders>
              <w:top w:val="single" w:color="000000" w:sz="8" w:space="0"/>
              <w:left w:val="single" w:color="000000" w:sz="8" w:space="0"/>
              <w:bottom w:val="single" w:color="000000" w:sz="8" w:space="0"/>
              <w:right w:val="single" w:color="000000" w:sz="12" w:space="0"/>
            </w:tcBorders>
            <w:vAlign w:val="center"/>
          </w:tcPr>
          <w:p w14:paraId="33A9CA70">
            <w:pPr>
              <w:jc w:val="left"/>
              <w:rPr>
                <w:rFonts w:ascii="黑体" w:hAnsi="宋体" w:eastAsia="黑体" w:cs="黑体"/>
                <w:color w:val="000000"/>
                <w:sz w:val="20"/>
                <w:szCs w:val="20"/>
                <w:highlight w:val="none"/>
              </w:rPr>
            </w:pPr>
          </w:p>
        </w:tc>
      </w:tr>
      <w:tr w14:paraId="1379E751">
        <w:tblPrEx>
          <w:tblCellMar>
            <w:top w:w="0" w:type="dxa"/>
            <w:left w:w="108" w:type="dxa"/>
            <w:bottom w:w="0" w:type="dxa"/>
            <w:right w:w="108" w:type="dxa"/>
          </w:tblCellMar>
        </w:tblPrEx>
        <w:trPr>
          <w:trHeight w:val="738" w:hRule="atLeast"/>
          <w:jc w:val="center"/>
        </w:trPr>
        <w:tc>
          <w:tcPr>
            <w:tcW w:w="656" w:type="dxa"/>
            <w:vMerge w:val="restart"/>
            <w:tcBorders>
              <w:top w:val="single" w:color="000000" w:sz="8" w:space="0"/>
              <w:left w:val="single" w:color="000000" w:sz="12" w:space="0"/>
              <w:bottom w:val="single" w:color="000000" w:sz="8" w:space="0"/>
              <w:right w:val="single" w:color="000000" w:sz="8" w:space="0"/>
            </w:tcBorders>
            <w:vAlign w:val="center"/>
          </w:tcPr>
          <w:p w14:paraId="51D02ADC">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5</w:t>
            </w:r>
          </w:p>
        </w:tc>
        <w:tc>
          <w:tcPr>
            <w:tcW w:w="969" w:type="dxa"/>
            <w:vMerge w:val="restart"/>
            <w:tcBorders>
              <w:top w:val="single" w:color="000000" w:sz="8" w:space="0"/>
              <w:left w:val="single" w:color="000000" w:sz="8" w:space="0"/>
              <w:bottom w:val="single" w:color="000000" w:sz="8" w:space="0"/>
              <w:right w:val="single" w:color="000000" w:sz="8" w:space="0"/>
            </w:tcBorders>
            <w:vAlign w:val="center"/>
          </w:tcPr>
          <w:p w14:paraId="0D01B190">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配合方面</w:t>
            </w:r>
          </w:p>
        </w:tc>
        <w:tc>
          <w:tcPr>
            <w:tcW w:w="1188" w:type="dxa"/>
            <w:gridSpan w:val="2"/>
            <w:tcBorders>
              <w:top w:val="single" w:color="000000" w:sz="8" w:space="0"/>
              <w:left w:val="single" w:color="000000" w:sz="8" w:space="0"/>
              <w:bottom w:val="single" w:color="000000" w:sz="8" w:space="0"/>
              <w:right w:val="single" w:color="000000" w:sz="8" w:space="0"/>
            </w:tcBorders>
            <w:vAlign w:val="center"/>
          </w:tcPr>
          <w:p w14:paraId="68002650">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服务态度</w:t>
            </w:r>
          </w:p>
        </w:tc>
        <w:tc>
          <w:tcPr>
            <w:tcW w:w="5342" w:type="dxa"/>
            <w:gridSpan w:val="2"/>
            <w:tcBorders>
              <w:top w:val="single" w:color="000000" w:sz="8" w:space="0"/>
              <w:left w:val="single" w:color="000000" w:sz="8" w:space="0"/>
              <w:bottom w:val="single" w:color="000000" w:sz="8" w:space="0"/>
              <w:right w:val="single" w:color="000000" w:sz="8" w:space="0"/>
            </w:tcBorders>
            <w:vAlign w:val="center"/>
          </w:tcPr>
          <w:p w14:paraId="3CAE008F">
            <w:pPr>
              <w:widowControl/>
              <w:jc w:val="left"/>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发生言语冲突的，每次扣2分。</w:t>
            </w:r>
            <w:r>
              <w:rPr>
                <w:rFonts w:hint="eastAsia" w:ascii="黑体" w:hAnsi="宋体" w:eastAsia="黑体" w:cs="黑体"/>
                <w:color w:val="000000"/>
                <w:kern w:val="0"/>
                <w:sz w:val="20"/>
                <w:szCs w:val="20"/>
                <w:highlight w:val="none"/>
                <w:lang w:bidi="ar"/>
              </w:rPr>
              <w:br w:type="textWrapping"/>
            </w:r>
            <w:r>
              <w:rPr>
                <w:rFonts w:hint="eastAsia" w:ascii="黑体" w:hAnsi="宋体" w:eastAsia="黑体" w:cs="黑体"/>
                <w:color w:val="000000"/>
                <w:kern w:val="0"/>
                <w:sz w:val="20"/>
                <w:szCs w:val="20"/>
                <w:highlight w:val="none"/>
                <w:lang w:bidi="ar"/>
              </w:rPr>
              <w:t>发生肢体冲突的，每次扣5分。</w:t>
            </w:r>
          </w:p>
        </w:tc>
        <w:tc>
          <w:tcPr>
            <w:tcW w:w="983" w:type="dxa"/>
            <w:tcBorders>
              <w:top w:val="single" w:color="000000" w:sz="8" w:space="0"/>
              <w:left w:val="single" w:color="000000" w:sz="8" w:space="0"/>
              <w:bottom w:val="single" w:color="000000" w:sz="8" w:space="0"/>
              <w:right w:val="single" w:color="000000" w:sz="12" w:space="0"/>
            </w:tcBorders>
            <w:vAlign w:val="center"/>
          </w:tcPr>
          <w:p w14:paraId="156186BB">
            <w:pPr>
              <w:jc w:val="left"/>
              <w:rPr>
                <w:rFonts w:ascii="黑体" w:hAnsi="宋体" w:eastAsia="黑体" w:cs="黑体"/>
                <w:color w:val="000000"/>
                <w:sz w:val="20"/>
                <w:szCs w:val="20"/>
                <w:highlight w:val="none"/>
              </w:rPr>
            </w:pPr>
          </w:p>
        </w:tc>
      </w:tr>
      <w:tr w14:paraId="4DE43B5C">
        <w:tblPrEx>
          <w:tblCellMar>
            <w:top w:w="0" w:type="dxa"/>
            <w:left w:w="108" w:type="dxa"/>
            <w:bottom w:w="0" w:type="dxa"/>
            <w:right w:w="108" w:type="dxa"/>
          </w:tblCellMar>
        </w:tblPrEx>
        <w:trPr>
          <w:trHeight w:val="947" w:hRule="atLeast"/>
          <w:jc w:val="center"/>
        </w:trPr>
        <w:tc>
          <w:tcPr>
            <w:tcW w:w="656" w:type="dxa"/>
            <w:vMerge w:val="continue"/>
            <w:tcBorders>
              <w:top w:val="single" w:color="000000" w:sz="8" w:space="0"/>
              <w:left w:val="single" w:color="000000" w:sz="12" w:space="0"/>
              <w:bottom w:val="single" w:color="000000" w:sz="8" w:space="0"/>
              <w:right w:val="single" w:color="000000" w:sz="8" w:space="0"/>
            </w:tcBorders>
            <w:vAlign w:val="center"/>
          </w:tcPr>
          <w:p w14:paraId="2B3EC99C">
            <w:pPr>
              <w:jc w:val="center"/>
              <w:rPr>
                <w:rFonts w:ascii="黑体" w:hAnsi="宋体" w:eastAsia="黑体" w:cs="黑体"/>
                <w:color w:val="000000"/>
                <w:sz w:val="20"/>
                <w:szCs w:val="20"/>
                <w:highlight w:val="none"/>
              </w:rPr>
            </w:pPr>
          </w:p>
        </w:tc>
        <w:tc>
          <w:tcPr>
            <w:tcW w:w="969" w:type="dxa"/>
            <w:vMerge w:val="continue"/>
            <w:tcBorders>
              <w:top w:val="single" w:color="000000" w:sz="8" w:space="0"/>
              <w:left w:val="single" w:color="000000" w:sz="8" w:space="0"/>
              <w:bottom w:val="single" w:color="000000" w:sz="8" w:space="0"/>
              <w:right w:val="single" w:color="000000" w:sz="8" w:space="0"/>
            </w:tcBorders>
            <w:vAlign w:val="center"/>
          </w:tcPr>
          <w:p w14:paraId="009468F7">
            <w:pPr>
              <w:jc w:val="center"/>
              <w:rPr>
                <w:rFonts w:ascii="黑体" w:hAnsi="宋体" w:eastAsia="黑体" w:cs="黑体"/>
                <w:color w:val="000000"/>
                <w:sz w:val="20"/>
                <w:szCs w:val="20"/>
                <w:highlight w:val="none"/>
              </w:rPr>
            </w:pPr>
          </w:p>
        </w:tc>
        <w:tc>
          <w:tcPr>
            <w:tcW w:w="1188" w:type="dxa"/>
            <w:gridSpan w:val="2"/>
            <w:tcBorders>
              <w:top w:val="single" w:color="000000" w:sz="8" w:space="0"/>
              <w:left w:val="single" w:color="000000" w:sz="8" w:space="0"/>
              <w:bottom w:val="single" w:color="000000" w:sz="8" w:space="0"/>
              <w:right w:val="single" w:color="000000" w:sz="8" w:space="0"/>
            </w:tcBorders>
            <w:vAlign w:val="center"/>
          </w:tcPr>
          <w:p w14:paraId="75D5E7F7">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配合程度</w:t>
            </w:r>
          </w:p>
        </w:tc>
        <w:tc>
          <w:tcPr>
            <w:tcW w:w="5342" w:type="dxa"/>
            <w:gridSpan w:val="2"/>
            <w:tcBorders>
              <w:top w:val="single" w:color="000000" w:sz="8" w:space="0"/>
              <w:left w:val="single" w:color="000000" w:sz="8" w:space="0"/>
              <w:bottom w:val="single" w:color="000000" w:sz="8" w:space="0"/>
              <w:right w:val="single" w:color="000000" w:sz="8" w:space="0"/>
            </w:tcBorders>
            <w:vAlign w:val="center"/>
          </w:tcPr>
          <w:p w14:paraId="24B784F3">
            <w:pPr>
              <w:widowControl/>
              <w:jc w:val="left"/>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无正当理由超过两天无法取得联系的，每次扣2分。</w:t>
            </w:r>
            <w:r>
              <w:rPr>
                <w:rFonts w:hint="eastAsia" w:ascii="黑体" w:hAnsi="宋体" w:eastAsia="黑体" w:cs="黑体"/>
                <w:color w:val="000000"/>
                <w:kern w:val="0"/>
                <w:sz w:val="20"/>
                <w:szCs w:val="20"/>
                <w:highlight w:val="none"/>
                <w:lang w:bidi="ar"/>
              </w:rPr>
              <w:br w:type="textWrapping"/>
            </w:r>
            <w:r>
              <w:rPr>
                <w:rFonts w:hint="eastAsia" w:ascii="黑体" w:hAnsi="宋体" w:eastAsia="黑体" w:cs="黑体"/>
                <w:color w:val="000000"/>
                <w:kern w:val="0"/>
                <w:sz w:val="20"/>
                <w:szCs w:val="20"/>
                <w:highlight w:val="none"/>
                <w:lang w:bidi="ar"/>
              </w:rPr>
              <w:t>不在约定的时间内回复意见的，每次扣2分。</w:t>
            </w:r>
            <w:r>
              <w:rPr>
                <w:rFonts w:hint="eastAsia" w:ascii="黑体" w:hAnsi="宋体" w:eastAsia="黑体" w:cs="黑体"/>
                <w:color w:val="000000"/>
                <w:kern w:val="0"/>
                <w:sz w:val="20"/>
                <w:szCs w:val="20"/>
                <w:highlight w:val="none"/>
                <w:lang w:bidi="ar"/>
              </w:rPr>
              <w:br w:type="textWrapping"/>
            </w:r>
            <w:r>
              <w:rPr>
                <w:rFonts w:hint="eastAsia" w:ascii="黑体" w:hAnsi="宋体" w:eastAsia="黑体" w:cs="黑体"/>
                <w:color w:val="000000"/>
                <w:kern w:val="0"/>
                <w:sz w:val="20"/>
                <w:szCs w:val="20"/>
                <w:highlight w:val="none"/>
                <w:lang w:bidi="ar"/>
              </w:rPr>
              <w:t>积极配合运营公司解决问题的，视情况加2-5分。</w:t>
            </w:r>
          </w:p>
        </w:tc>
        <w:tc>
          <w:tcPr>
            <w:tcW w:w="983" w:type="dxa"/>
            <w:tcBorders>
              <w:top w:val="single" w:color="000000" w:sz="8" w:space="0"/>
              <w:left w:val="single" w:color="000000" w:sz="8" w:space="0"/>
              <w:bottom w:val="single" w:color="000000" w:sz="8" w:space="0"/>
              <w:right w:val="single" w:color="000000" w:sz="12" w:space="0"/>
            </w:tcBorders>
            <w:vAlign w:val="center"/>
          </w:tcPr>
          <w:p w14:paraId="33A1FC35">
            <w:pPr>
              <w:jc w:val="left"/>
              <w:rPr>
                <w:rFonts w:ascii="黑体" w:hAnsi="宋体" w:eastAsia="黑体" w:cs="黑体"/>
                <w:color w:val="000000"/>
                <w:sz w:val="20"/>
                <w:szCs w:val="20"/>
                <w:highlight w:val="none"/>
              </w:rPr>
            </w:pPr>
          </w:p>
        </w:tc>
      </w:tr>
      <w:tr w14:paraId="703680A7">
        <w:tblPrEx>
          <w:tblCellMar>
            <w:top w:w="0" w:type="dxa"/>
            <w:left w:w="108" w:type="dxa"/>
            <w:bottom w:w="0" w:type="dxa"/>
            <w:right w:w="108" w:type="dxa"/>
          </w:tblCellMar>
        </w:tblPrEx>
        <w:trPr>
          <w:trHeight w:val="645" w:hRule="atLeast"/>
          <w:jc w:val="center"/>
        </w:trPr>
        <w:tc>
          <w:tcPr>
            <w:tcW w:w="656" w:type="dxa"/>
            <w:tcBorders>
              <w:top w:val="single" w:color="000000" w:sz="8" w:space="0"/>
              <w:left w:val="single" w:color="000000" w:sz="12" w:space="0"/>
              <w:bottom w:val="single" w:color="000000" w:sz="8" w:space="0"/>
              <w:right w:val="single" w:color="000000" w:sz="8" w:space="0"/>
            </w:tcBorders>
            <w:vAlign w:val="center"/>
          </w:tcPr>
          <w:p w14:paraId="6B224BFA">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6</w:t>
            </w:r>
          </w:p>
        </w:tc>
        <w:tc>
          <w:tcPr>
            <w:tcW w:w="2157" w:type="dxa"/>
            <w:gridSpan w:val="3"/>
            <w:tcBorders>
              <w:top w:val="single" w:color="000000" w:sz="8" w:space="0"/>
              <w:left w:val="single" w:color="000000" w:sz="8" w:space="0"/>
              <w:bottom w:val="single" w:color="000000" w:sz="8" w:space="0"/>
              <w:right w:val="single" w:color="000000" w:sz="8" w:space="0"/>
            </w:tcBorders>
            <w:vAlign w:val="center"/>
          </w:tcPr>
          <w:p w14:paraId="1FA92C8E">
            <w:pPr>
              <w:widowControl/>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警告、黄牌</w:t>
            </w:r>
          </w:p>
        </w:tc>
        <w:tc>
          <w:tcPr>
            <w:tcW w:w="5342" w:type="dxa"/>
            <w:gridSpan w:val="2"/>
            <w:tcBorders>
              <w:top w:val="single" w:color="000000" w:sz="8" w:space="0"/>
              <w:left w:val="single" w:color="000000" w:sz="8" w:space="0"/>
              <w:bottom w:val="single" w:color="000000" w:sz="8" w:space="0"/>
              <w:right w:val="single" w:color="000000" w:sz="8" w:space="0"/>
            </w:tcBorders>
            <w:vAlign w:val="center"/>
          </w:tcPr>
          <w:p w14:paraId="06C432B1">
            <w:pPr>
              <w:widowControl/>
              <w:jc w:val="left"/>
              <w:textAlignment w:val="center"/>
              <w:rPr>
                <w:rFonts w:ascii="黑体" w:hAnsi="宋体" w:eastAsia="黑体" w:cs="黑体"/>
                <w:color w:val="000000"/>
                <w:kern w:val="0"/>
                <w:sz w:val="20"/>
                <w:szCs w:val="20"/>
                <w:highlight w:val="none"/>
                <w:lang w:bidi="ar"/>
              </w:rPr>
            </w:pPr>
            <w:r>
              <w:rPr>
                <w:rFonts w:hint="eastAsia" w:ascii="黑体" w:hAnsi="宋体" w:eastAsia="黑体" w:cs="黑体"/>
                <w:color w:val="000000"/>
                <w:kern w:val="0"/>
                <w:sz w:val="20"/>
                <w:szCs w:val="20"/>
                <w:highlight w:val="none"/>
                <w:lang w:bidi="ar"/>
              </w:rPr>
              <w:t>被给予警告一次扣15分。</w:t>
            </w:r>
          </w:p>
          <w:p w14:paraId="054983E2">
            <w:pPr>
              <w:widowControl/>
              <w:jc w:val="left"/>
              <w:textAlignment w:val="center"/>
              <w:rPr>
                <w:rFonts w:ascii="黑体" w:hAnsi="宋体" w:eastAsia="黑体" w:cs="黑体"/>
                <w:color w:val="000000"/>
                <w:sz w:val="20"/>
                <w:szCs w:val="20"/>
                <w:highlight w:val="none"/>
              </w:rPr>
            </w:pPr>
            <w:r>
              <w:rPr>
                <w:rFonts w:hint="eastAsia" w:ascii="黑体" w:hAnsi="宋体" w:eastAsia="黑体" w:cs="黑体"/>
                <w:color w:val="000000"/>
                <w:kern w:val="0"/>
                <w:sz w:val="20"/>
                <w:szCs w:val="20"/>
                <w:highlight w:val="none"/>
                <w:lang w:bidi="ar"/>
              </w:rPr>
              <w:t>被给予黄牌一次扣30分。</w:t>
            </w:r>
          </w:p>
        </w:tc>
        <w:tc>
          <w:tcPr>
            <w:tcW w:w="983" w:type="dxa"/>
            <w:tcBorders>
              <w:top w:val="single" w:color="000000" w:sz="8" w:space="0"/>
              <w:left w:val="single" w:color="000000" w:sz="8" w:space="0"/>
              <w:bottom w:val="single" w:color="000000" w:sz="8" w:space="0"/>
              <w:right w:val="single" w:color="000000" w:sz="12" w:space="0"/>
            </w:tcBorders>
            <w:vAlign w:val="center"/>
          </w:tcPr>
          <w:p w14:paraId="680C2E6D">
            <w:pPr>
              <w:jc w:val="left"/>
              <w:rPr>
                <w:rFonts w:ascii="黑体" w:hAnsi="宋体" w:eastAsia="黑体" w:cs="黑体"/>
                <w:color w:val="000000"/>
                <w:sz w:val="20"/>
                <w:szCs w:val="20"/>
                <w:highlight w:val="none"/>
              </w:rPr>
            </w:pPr>
          </w:p>
        </w:tc>
      </w:tr>
      <w:tr w14:paraId="3851A626">
        <w:tblPrEx>
          <w:tblCellMar>
            <w:top w:w="0" w:type="dxa"/>
            <w:left w:w="108" w:type="dxa"/>
            <w:bottom w:w="0" w:type="dxa"/>
            <w:right w:w="108" w:type="dxa"/>
          </w:tblCellMar>
        </w:tblPrEx>
        <w:trPr>
          <w:trHeight w:val="645" w:hRule="atLeast"/>
          <w:jc w:val="center"/>
        </w:trPr>
        <w:tc>
          <w:tcPr>
            <w:tcW w:w="656" w:type="dxa"/>
            <w:tcBorders>
              <w:top w:val="single" w:color="000000" w:sz="8" w:space="0"/>
              <w:left w:val="single" w:color="000000" w:sz="12" w:space="0"/>
              <w:bottom w:val="single" w:color="000000" w:sz="8" w:space="0"/>
              <w:right w:val="single" w:color="000000" w:sz="8" w:space="0"/>
            </w:tcBorders>
            <w:vAlign w:val="center"/>
          </w:tcPr>
          <w:p w14:paraId="4DE7BCEF">
            <w:pPr>
              <w:widowControl/>
              <w:jc w:val="center"/>
              <w:textAlignment w:val="center"/>
              <w:rPr>
                <w:rFonts w:ascii="黑体" w:hAnsi="宋体" w:eastAsia="黑体" w:cs="黑体"/>
                <w:color w:val="000000"/>
                <w:kern w:val="0"/>
                <w:sz w:val="20"/>
                <w:szCs w:val="20"/>
                <w:highlight w:val="none"/>
                <w:lang w:bidi="ar"/>
              </w:rPr>
            </w:pPr>
            <w:r>
              <w:rPr>
                <w:rFonts w:hint="eastAsia" w:ascii="黑体" w:hAnsi="宋体" w:eastAsia="黑体" w:cs="黑体"/>
                <w:color w:val="000000"/>
                <w:kern w:val="0"/>
                <w:sz w:val="20"/>
                <w:szCs w:val="20"/>
                <w:highlight w:val="none"/>
                <w:lang w:bidi="ar"/>
              </w:rPr>
              <w:t>7</w:t>
            </w:r>
          </w:p>
        </w:tc>
        <w:tc>
          <w:tcPr>
            <w:tcW w:w="2157" w:type="dxa"/>
            <w:gridSpan w:val="3"/>
            <w:tcBorders>
              <w:top w:val="single" w:color="000000" w:sz="8" w:space="0"/>
              <w:left w:val="single" w:color="000000" w:sz="8" w:space="0"/>
              <w:bottom w:val="single" w:color="000000" w:sz="8" w:space="0"/>
              <w:right w:val="single" w:color="000000" w:sz="8" w:space="0"/>
            </w:tcBorders>
            <w:vAlign w:val="center"/>
          </w:tcPr>
          <w:p w14:paraId="2E379B73">
            <w:pPr>
              <w:widowControl/>
              <w:jc w:val="center"/>
              <w:textAlignment w:val="center"/>
              <w:rPr>
                <w:rFonts w:ascii="黑体" w:hAnsi="宋体" w:eastAsia="黑体" w:cs="黑体"/>
                <w:color w:val="000000"/>
                <w:kern w:val="0"/>
                <w:sz w:val="20"/>
                <w:szCs w:val="20"/>
                <w:highlight w:val="none"/>
                <w:lang w:bidi="ar"/>
              </w:rPr>
            </w:pPr>
            <w:r>
              <w:rPr>
                <w:rFonts w:hint="eastAsia" w:ascii="黑体" w:hAnsi="宋体" w:eastAsia="黑体" w:cs="黑体"/>
                <w:color w:val="000000"/>
                <w:kern w:val="0"/>
                <w:sz w:val="20"/>
                <w:szCs w:val="20"/>
                <w:highlight w:val="none"/>
                <w:lang w:bidi="ar"/>
              </w:rPr>
              <w:t>合同解除</w:t>
            </w:r>
          </w:p>
        </w:tc>
        <w:tc>
          <w:tcPr>
            <w:tcW w:w="5342" w:type="dxa"/>
            <w:gridSpan w:val="2"/>
            <w:tcBorders>
              <w:top w:val="single" w:color="000000" w:sz="8" w:space="0"/>
              <w:left w:val="single" w:color="000000" w:sz="8" w:space="0"/>
              <w:bottom w:val="single" w:color="000000" w:sz="8" w:space="0"/>
              <w:right w:val="single" w:color="000000" w:sz="8" w:space="0"/>
            </w:tcBorders>
            <w:vAlign w:val="center"/>
          </w:tcPr>
          <w:p w14:paraId="27815633">
            <w:pPr>
              <w:widowControl/>
              <w:jc w:val="left"/>
              <w:textAlignment w:val="center"/>
              <w:rPr>
                <w:rFonts w:ascii="黑体" w:hAnsi="宋体" w:eastAsia="黑体" w:cs="黑体"/>
                <w:color w:val="000000"/>
                <w:kern w:val="0"/>
                <w:sz w:val="20"/>
                <w:szCs w:val="20"/>
                <w:highlight w:val="none"/>
                <w:lang w:bidi="ar"/>
              </w:rPr>
            </w:pPr>
            <w:r>
              <w:rPr>
                <w:rFonts w:hint="eastAsia" w:ascii="黑体" w:hAnsi="宋体" w:eastAsia="黑体" w:cs="黑体"/>
                <w:color w:val="000000"/>
                <w:kern w:val="0"/>
                <w:sz w:val="20"/>
                <w:szCs w:val="20"/>
                <w:highlight w:val="none"/>
                <w:lang w:bidi="ar"/>
              </w:rPr>
              <w:t>10万元以下项目扣4分。</w:t>
            </w:r>
          </w:p>
          <w:p w14:paraId="0898B98A">
            <w:pPr>
              <w:widowControl/>
              <w:jc w:val="left"/>
              <w:textAlignment w:val="center"/>
              <w:rPr>
                <w:rFonts w:ascii="黑体" w:hAnsi="宋体" w:eastAsia="黑体" w:cs="黑体"/>
                <w:color w:val="000000"/>
                <w:kern w:val="0"/>
                <w:sz w:val="20"/>
                <w:szCs w:val="20"/>
                <w:highlight w:val="none"/>
                <w:lang w:bidi="ar"/>
              </w:rPr>
            </w:pPr>
            <w:r>
              <w:rPr>
                <w:rFonts w:hint="eastAsia" w:ascii="黑体" w:hAnsi="宋体" w:eastAsia="黑体" w:cs="黑体"/>
                <w:color w:val="000000"/>
                <w:kern w:val="0"/>
                <w:sz w:val="20"/>
                <w:szCs w:val="20"/>
                <w:highlight w:val="none"/>
                <w:lang w:bidi="ar"/>
              </w:rPr>
              <w:t>10万元以上（含）30万元以下项目扣10分。</w:t>
            </w:r>
          </w:p>
          <w:p w14:paraId="1038F9A7">
            <w:pPr>
              <w:widowControl/>
              <w:jc w:val="left"/>
              <w:textAlignment w:val="center"/>
              <w:rPr>
                <w:rFonts w:ascii="黑体" w:hAnsi="宋体" w:eastAsia="黑体" w:cs="黑体"/>
                <w:color w:val="000000"/>
                <w:kern w:val="0"/>
                <w:sz w:val="20"/>
                <w:szCs w:val="20"/>
                <w:highlight w:val="none"/>
                <w:lang w:bidi="ar"/>
              </w:rPr>
            </w:pPr>
            <w:r>
              <w:rPr>
                <w:rFonts w:hint="eastAsia" w:ascii="黑体" w:hAnsi="宋体" w:eastAsia="黑体" w:cs="黑体"/>
                <w:color w:val="000000"/>
                <w:kern w:val="0"/>
                <w:sz w:val="20"/>
                <w:szCs w:val="20"/>
                <w:highlight w:val="none"/>
                <w:lang w:bidi="ar"/>
              </w:rPr>
              <w:t>30万元以上（含）200万元以下项目扣20分。</w:t>
            </w:r>
          </w:p>
          <w:p w14:paraId="059555F8">
            <w:pPr>
              <w:widowControl/>
              <w:jc w:val="left"/>
              <w:textAlignment w:val="center"/>
              <w:rPr>
                <w:rFonts w:ascii="黑体" w:hAnsi="宋体" w:eastAsia="黑体" w:cs="黑体"/>
                <w:color w:val="000000"/>
                <w:kern w:val="0"/>
                <w:sz w:val="20"/>
                <w:szCs w:val="20"/>
                <w:highlight w:val="none"/>
                <w:lang w:bidi="ar"/>
              </w:rPr>
            </w:pPr>
            <w:r>
              <w:rPr>
                <w:rFonts w:hint="eastAsia" w:ascii="黑体" w:hAnsi="宋体" w:eastAsia="黑体" w:cs="黑体"/>
                <w:color w:val="000000"/>
                <w:kern w:val="0"/>
                <w:sz w:val="20"/>
                <w:szCs w:val="20"/>
                <w:highlight w:val="none"/>
                <w:lang w:bidi="ar"/>
              </w:rPr>
              <w:t>200万元以上（含）项目扣30分。</w:t>
            </w:r>
          </w:p>
        </w:tc>
        <w:tc>
          <w:tcPr>
            <w:tcW w:w="983" w:type="dxa"/>
            <w:tcBorders>
              <w:top w:val="single" w:color="000000" w:sz="8" w:space="0"/>
              <w:left w:val="single" w:color="000000" w:sz="8" w:space="0"/>
              <w:bottom w:val="single" w:color="000000" w:sz="8" w:space="0"/>
              <w:right w:val="single" w:color="000000" w:sz="12" w:space="0"/>
            </w:tcBorders>
            <w:vAlign w:val="center"/>
          </w:tcPr>
          <w:p w14:paraId="4537BE2A">
            <w:pPr>
              <w:jc w:val="left"/>
              <w:rPr>
                <w:rFonts w:ascii="黑体" w:hAnsi="宋体" w:eastAsia="黑体" w:cs="黑体"/>
                <w:color w:val="000000"/>
                <w:sz w:val="20"/>
                <w:szCs w:val="20"/>
                <w:highlight w:val="none"/>
              </w:rPr>
            </w:pPr>
          </w:p>
        </w:tc>
      </w:tr>
      <w:tr w14:paraId="27785DF1">
        <w:tblPrEx>
          <w:tblCellMar>
            <w:top w:w="0" w:type="dxa"/>
            <w:left w:w="108" w:type="dxa"/>
            <w:bottom w:w="0" w:type="dxa"/>
            <w:right w:w="108" w:type="dxa"/>
          </w:tblCellMar>
        </w:tblPrEx>
        <w:trPr>
          <w:trHeight w:val="931" w:hRule="atLeast"/>
          <w:jc w:val="center"/>
        </w:trPr>
        <w:tc>
          <w:tcPr>
            <w:tcW w:w="1871" w:type="dxa"/>
            <w:gridSpan w:val="3"/>
            <w:tcBorders>
              <w:top w:val="single" w:color="000000" w:sz="8" w:space="0"/>
              <w:left w:val="single" w:color="000000" w:sz="12" w:space="0"/>
              <w:bottom w:val="single" w:color="000000" w:sz="8" w:space="0"/>
              <w:right w:val="single" w:color="000000" w:sz="8" w:space="0"/>
            </w:tcBorders>
            <w:vAlign w:val="center"/>
          </w:tcPr>
          <w:p w14:paraId="4C56BB98">
            <w:pPr>
              <w:jc w:val="center"/>
              <w:rPr>
                <w:rFonts w:ascii="黑体" w:hAnsi="宋体" w:eastAsia="黑体" w:cs="黑体"/>
                <w:color w:val="000000"/>
                <w:szCs w:val="21"/>
                <w:highlight w:val="none"/>
              </w:rPr>
            </w:pPr>
            <w:r>
              <w:rPr>
                <w:rFonts w:hint="eastAsia" w:ascii="黑体" w:hAnsi="宋体" w:eastAsia="黑体" w:cs="黑体"/>
                <w:color w:val="000000"/>
                <w:kern w:val="0"/>
                <w:szCs w:val="21"/>
                <w:highlight w:val="none"/>
                <w:lang w:bidi="ar"/>
              </w:rPr>
              <w:t>加/减分</w:t>
            </w:r>
          </w:p>
        </w:tc>
        <w:tc>
          <w:tcPr>
            <w:tcW w:w="7267" w:type="dxa"/>
            <w:gridSpan w:val="4"/>
            <w:tcBorders>
              <w:top w:val="single" w:color="000000" w:sz="8" w:space="0"/>
              <w:left w:val="single" w:color="000000" w:sz="8" w:space="0"/>
              <w:bottom w:val="single" w:color="000000" w:sz="8" w:space="0"/>
              <w:right w:val="single" w:color="000000" w:sz="12" w:space="0"/>
            </w:tcBorders>
            <w:vAlign w:val="center"/>
          </w:tcPr>
          <w:p w14:paraId="030876E1">
            <w:pPr>
              <w:jc w:val="center"/>
              <w:rPr>
                <w:rFonts w:ascii="黑体" w:hAnsi="宋体" w:eastAsia="黑体" w:cs="黑体"/>
                <w:color w:val="000000"/>
                <w:szCs w:val="21"/>
                <w:highlight w:val="none"/>
              </w:rPr>
            </w:pPr>
          </w:p>
        </w:tc>
      </w:tr>
      <w:tr w14:paraId="49B92122">
        <w:tblPrEx>
          <w:tblCellMar>
            <w:top w:w="0" w:type="dxa"/>
            <w:left w:w="108" w:type="dxa"/>
            <w:bottom w:w="0" w:type="dxa"/>
            <w:right w:w="108" w:type="dxa"/>
          </w:tblCellMar>
        </w:tblPrEx>
        <w:trPr>
          <w:trHeight w:val="1203" w:hRule="atLeast"/>
          <w:jc w:val="center"/>
        </w:trPr>
        <w:tc>
          <w:tcPr>
            <w:tcW w:w="1871" w:type="dxa"/>
            <w:gridSpan w:val="3"/>
            <w:tcBorders>
              <w:top w:val="single" w:color="000000" w:sz="8" w:space="0"/>
              <w:left w:val="single" w:color="000000" w:sz="12" w:space="0"/>
              <w:bottom w:val="single" w:color="000000" w:sz="8" w:space="0"/>
              <w:right w:val="single" w:color="000000" w:sz="8" w:space="0"/>
            </w:tcBorders>
            <w:vAlign w:val="center"/>
          </w:tcPr>
          <w:p w14:paraId="54F45475">
            <w:pPr>
              <w:widowControl/>
              <w:jc w:val="center"/>
              <w:textAlignment w:val="center"/>
              <w:rPr>
                <w:rFonts w:ascii="黑体" w:hAnsi="宋体" w:eastAsia="黑体" w:cs="黑体"/>
                <w:color w:val="000000"/>
                <w:szCs w:val="21"/>
                <w:highlight w:val="none"/>
              </w:rPr>
            </w:pPr>
            <w:r>
              <w:rPr>
                <w:rFonts w:hint="eastAsia" w:ascii="黑体" w:hAnsi="宋体" w:eastAsia="黑体" w:cs="黑体"/>
                <w:color w:val="000000"/>
                <w:kern w:val="0"/>
                <w:szCs w:val="21"/>
                <w:highlight w:val="none"/>
                <w:lang w:bidi="ar"/>
              </w:rPr>
              <w:t>供应商确认</w:t>
            </w:r>
          </w:p>
        </w:tc>
        <w:tc>
          <w:tcPr>
            <w:tcW w:w="7267" w:type="dxa"/>
            <w:gridSpan w:val="4"/>
            <w:tcBorders>
              <w:top w:val="single" w:color="000000" w:sz="8" w:space="0"/>
              <w:left w:val="single" w:color="000000" w:sz="8" w:space="0"/>
              <w:bottom w:val="single" w:color="000000" w:sz="8" w:space="0"/>
              <w:right w:val="single" w:color="000000" w:sz="12" w:space="0"/>
            </w:tcBorders>
          </w:tcPr>
          <w:p w14:paraId="59683B13">
            <w:pPr>
              <w:widowControl/>
              <w:jc w:val="left"/>
              <w:textAlignment w:val="top"/>
              <w:rPr>
                <w:rFonts w:ascii="黑体" w:hAnsi="宋体" w:eastAsia="黑体" w:cs="黑体"/>
                <w:color w:val="000000"/>
                <w:kern w:val="0"/>
                <w:szCs w:val="21"/>
                <w:highlight w:val="none"/>
                <w:lang w:bidi="ar"/>
              </w:rPr>
            </w:pPr>
            <w:r>
              <w:rPr>
                <w:rFonts w:hint="eastAsia" w:ascii="黑体" w:hAnsi="宋体" w:eastAsia="黑体" w:cs="黑体"/>
                <w:color w:val="000000"/>
                <w:kern w:val="0"/>
                <w:szCs w:val="21"/>
                <w:highlight w:val="none"/>
                <w:lang w:bidi="ar"/>
              </w:rPr>
              <w:t>签名或盖章即表示接受上述评价事项</w:t>
            </w:r>
          </w:p>
          <w:p w14:paraId="245A048B">
            <w:pPr>
              <w:widowControl/>
              <w:jc w:val="right"/>
              <w:textAlignment w:val="top"/>
              <w:rPr>
                <w:rFonts w:ascii="黑体" w:hAnsi="宋体" w:eastAsia="黑体" w:cs="黑体"/>
                <w:color w:val="000000"/>
                <w:szCs w:val="21"/>
                <w:highlight w:val="none"/>
              </w:rPr>
            </w:pPr>
            <w:r>
              <w:rPr>
                <w:rFonts w:hint="eastAsia" w:ascii="黑体" w:hAnsi="宋体" w:eastAsia="黑体" w:cs="黑体"/>
                <w:color w:val="000000"/>
                <w:kern w:val="0"/>
                <w:szCs w:val="21"/>
                <w:highlight w:val="none"/>
                <w:lang w:bidi="ar"/>
              </w:rPr>
              <w:br w:type="textWrapping"/>
            </w:r>
            <w:r>
              <w:rPr>
                <w:rFonts w:hint="eastAsia" w:ascii="黑体" w:hAnsi="宋体" w:eastAsia="黑体" w:cs="黑体"/>
                <w:color w:val="000000"/>
                <w:kern w:val="0"/>
                <w:szCs w:val="21"/>
                <w:highlight w:val="none"/>
                <w:lang w:bidi="ar"/>
              </w:rPr>
              <w:t>（签名或盖章）</w:t>
            </w:r>
          </w:p>
        </w:tc>
      </w:tr>
      <w:tr w14:paraId="4B93468E">
        <w:tblPrEx>
          <w:tblCellMar>
            <w:top w:w="0" w:type="dxa"/>
            <w:left w:w="108" w:type="dxa"/>
            <w:bottom w:w="0" w:type="dxa"/>
            <w:right w:w="108" w:type="dxa"/>
          </w:tblCellMar>
        </w:tblPrEx>
        <w:trPr>
          <w:trHeight w:val="1794" w:hRule="atLeast"/>
          <w:jc w:val="center"/>
        </w:trPr>
        <w:tc>
          <w:tcPr>
            <w:tcW w:w="1871" w:type="dxa"/>
            <w:gridSpan w:val="3"/>
            <w:tcBorders>
              <w:top w:val="single" w:color="000000" w:sz="8" w:space="0"/>
              <w:left w:val="single" w:color="000000" w:sz="12" w:space="0"/>
              <w:bottom w:val="single" w:color="000000" w:sz="8" w:space="0"/>
              <w:right w:val="single" w:color="000000" w:sz="8" w:space="0"/>
            </w:tcBorders>
            <w:vAlign w:val="center"/>
          </w:tcPr>
          <w:p w14:paraId="05BC072E">
            <w:pPr>
              <w:widowControl/>
              <w:jc w:val="center"/>
              <w:textAlignment w:val="center"/>
              <w:rPr>
                <w:rFonts w:ascii="黑体" w:hAnsi="宋体" w:eastAsia="黑体" w:cs="黑体"/>
                <w:color w:val="000000"/>
                <w:szCs w:val="21"/>
                <w:highlight w:val="none"/>
              </w:rPr>
            </w:pPr>
            <w:r>
              <w:rPr>
                <w:rFonts w:hint="eastAsia" w:ascii="黑体" w:hAnsi="宋体" w:eastAsia="黑体" w:cs="黑体"/>
                <w:color w:val="000000"/>
                <w:kern w:val="0"/>
                <w:szCs w:val="21"/>
                <w:highlight w:val="none"/>
                <w:lang w:bidi="ar"/>
              </w:rPr>
              <w:t>填报部门意见</w:t>
            </w:r>
          </w:p>
        </w:tc>
        <w:tc>
          <w:tcPr>
            <w:tcW w:w="7267" w:type="dxa"/>
            <w:gridSpan w:val="4"/>
            <w:tcBorders>
              <w:top w:val="single" w:color="000000" w:sz="8" w:space="0"/>
              <w:left w:val="single" w:color="000000" w:sz="8" w:space="0"/>
              <w:bottom w:val="single" w:color="000000" w:sz="8" w:space="0"/>
              <w:right w:val="single" w:color="000000" w:sz="12" w:space="0"/>
            </w:tcBorders>
            <w:vAlign w:val="bottom"/>
          </w:tcPr>
          <w:p w14:paraId="1CC455CE">
            <w:pPr>
              <w:widowControl/>
              <w:ind w:firstLine="3150" w:firstLineChars="1500"/>
              <w:jc w:val="right"/>
              <w:textAlignment w:val="top"/>
              <w:rPr>
                <w:rFonts w:ascii="黑体" w:hAnsi="宋体" w:eastAsia="黑体" w:cs="黑体"/>
                <w:color w:val="000000"/>
                <w:szCs w:val="21"/>
                <w:highlight w:val="none"/>
              </w:rPr>
            </w:pPr>
            <w:r>
              <w:rPr>
                <w:rFonts w:hint="eastAsia" w:ascii="黑体" w:hAnsi="宋体" w:eastAsia="黑体" w:cs="黑体"/>
                <w:color w:val="000000"/>
                <w:kern w:val="0"/>
                <w:szCs w:val="21"/>
                <w:highlight w:val="none"/>
                <w:lang w:bidi="ar"/>
              </w:rPr>
              <w:t>（盖章）</w:t>
            </w:r>
          </w:p>
        </w:tc>
      </w:tr>
      <w:tr w14:paraId="2031FBCF">
        <w:tblPrEx>
          <w:tblCellMar>
            <w:top w:w="0" w:type="dxa"/>
            <w:left w:w="108" w:type="dxa"/>
            <w:bottom w:w="0" w:type="dxa"/>
            <w:right w:w="108" w:type="dxa"/>
          </w:tblCellMar>
        </w:tblPrEx>
        <w:trPr>
          <w:trHeight w:val="1697" w:hRule="atLeast"/>
          <w:jc w:val="center"/>
        </w:trPr>
        <w:tc>
          <w:tcPr>
            <w:tcW w:w="1871" w:type="dxa"/>
            <w:gridSpan w:val="3"/>
            <w:tcBorders>
              <w:top w:val="single" w:color="000000" w:sz="8" w:space="0"/>
              <w:left w:val="single" w:color="000000" w:sz="12" w:space="0"/>
              <w:bottom w:val="single" w:color="000000" w:sz="8" w:space="0"/>
              <w:right w:val="single" w:color="000000" w:sz="8" w:space="0"/>
            </w:tcBorders>
            <w:vAlign w:val="center"/>
          </w:tcPr>
          <w:p w14:paraId="11B01F9B">
            <w:pPr>
              <w:widowControl/>
              <w:jc w:val="center"/>
              <w:textAlignment w:val="center"/>
              <w:rPr>
                <w:rFonts w:ascii="黑体" w:hAnsi="宋体" w:eastAsia="黑体" w:cs="黑体"/>
                <w:color w:val="000000"/>
                <w:szCs w:val="21"/>
                <w:highlight w:val="none"/>
              </w:rPr>
            </w:pPr>
            <w:r>
              <w:rPr>
                <w:rFonts w:hint="eastAsia" w:ascii="黑体" w:hAnsi="宋体" w:eastAsia="黑体" w:cs="黑体"/>
                <w:color w:val="000000"/>
                <w:kern w:val="0"/>
                <w:szCs w:val="21"/>
                <w:highlight w:val="none"/>
                <w:lang w:bidi="ar"/>
              </w:rPr>
              <w:t>合约采购总部意见</w:t>
            </w:r>
          </w:p>
        </w:tc>
        <w:tc>
          <w:tcPr>
            <w:tcW w:w="7267" w:type="dxa"/>
            <w:gridSpan w:val="4"/>
            <w:tcBorders>
              <w:top w:val="single" w:color="000000" w:sz="8" w:space="0"/>
              <w:left w:val="single" w:color="000000" w:sz="8" w:space="0"/>
              <w:bottom w:val="single" w:color="000000" w:sz="8" w:space="0"/>
              <w:right w:val="single" w:color="000000" w:sz="12" w:space="0"/>
            </w:tcBorders>
            <w:vAlign w:val="bottom"/>
          </w:tcPr>
          <w:p w14:paraId="53F503CB">
            <w:pPr>
              <w:widowControl/>
              <w:ind w:firstLine="3150" w:firstLineChars="1500"/>
              <w:jc w:val="right"/>
              <w:textAlignment w:val="top"/>
              <w:rPr>
                <w:rFonts w:ascii="黑体" w:hAnsi="宋体" w:eastAsia="黑体" w:cs="黑体"/>
                <w:color w:val="000000"/>
                <w:szCs w:val="21"/>
                <w:highlight w:val="none"/>
              </w:rPr>
            </w:pPr>
            <w:r>
              <w:rPr>
                <w:rFonts w:hint="eastAsia" w:ascii="黑体" w:hAnsi="宋体" w:eastAsia="黑体" w:cs="黑体"/>
                <w:color w:val="000000"/>
                <w:kern w:val="0"/>
                <w:szCs w:val="21"/>
                <w:highlight w:val="none"/>
                <w:lang w:bidi="ar"/>
              </w:rPr>
              <w:t>（盖章）</w:t>
            </w:r>
          </w:p>
        </w:tc>
      </w:tr>
      <w:tr w14:paraId="498A2AB2">
        <w:tblPrEx>
          <w:tblCellMar>
            <w:top w:w="0" w:type="dxa"/>
            <w:left w:w="108" w:type="dxa"/>
            <w:bottom w:w="0" w:type="dxa"/>
            <w:right w:w="108" w:type="dxa"/>
          </w:tblCellMar>
        </w:tblPrEx>
        <w:trPr>
          <w:trHeight w:val="680" w:hRule="atLeast"/>
          <w:jc w:val="center"/>
        </w:trPr>
        <w:tc>
          <w:tcPr>
            <w:tcW w:w="9138" w:type="dxa"/>
            <w:gridSpan w:val="7"/>
            <w:tcBorders>
              <w:top w:val="single" w:color="000000" w:sz="8" w:space="0"/>
              <w:left w:val="single" w:color="000000" w:sz="12" w:space="0"/>
              <w:bottom w:val="single" w:color="000000" w:sz="12" w:space="0"/>
              <w:right w:val="single" w:color="000000" w:sz="12" w:space="0"/>
            </w:tcBorders>
          </w:tcPr>
          <w:p w14:paraId="49A4C44B">
            <w:pPr>
              <w:widowControl/>
              <w:jc w:val="left"/>
              <w:textAlignment w:val="top"/>
              <w:rPr>
                <w:rFonts w:ascii="黑体" w:hAnsi="宋体" w:eastAsia="黑体" w:cs="黑体"/>
                <w:color w:val="000000"/>
                <w:szCs w:val="21"/>
                <w:highlight w:val="none"/>
              </w:rPr>
            </w:pPr>
            <w:r>
              <w:rPr>
                <w:rFonts w:hint="eastAsia" w:ascii="黑体" w:hAnsi="宋体" w:eastAsia="黑体" w:cs="黑体"/>
                <w:color w:val="000000"/>
                <w:kern w:val="0"/>
                <w:szCs w:val="21"/>
                <w:highlight w:val="none"/>
                <w:lang w:bidi="ar"/>
              </w:rPr>
              <w:t>注：本记录归档方式</w:t>
            </w:r>
            <w:r>
              <w:rPr>
                <w:rStyle w:val="43"/>
                <w:rFonts w:hint="default"/>
                <w:sz w:val="21"/>
                <w:szCs w:val="21"/>
                <w:highlight w:val="none"/>
                <w:lang w:bidi="ar"/>
              </w:rPr>
              <w:t>电子</w:t>
            </w:r>
            <w:r>
              <w:rPr>
                <w:rStyle w:val="44"/>
                <w:rFonts w:hint="default"/>
                <w:highlight w:val="none"/>
                <w:lang w:bidi="ar"/>
              </w:rPr>
              <w:t>，归档周期</w:t>
            </w:r>
            <w:r>
              <w:rPr>
                <w:rStyle w:val="43"/>
                <w:rFonts w:hint="default"/>
                <w:sz w:val="21"/>
                <w:szCs w:val="21"/>
                <w:highlight w:val="none"/>
                <w:lang w:bidi="ar"/>
              </w:rPr>
              <w:t>12</w:t>
            </w:r>
            <w:r>
              <w:rPr>
                <w:rStyle w:val="44"/>
                <w:rFonts w:hint="default"/>
                <w:highlight w:val="none"/>
                <w:lang w:bidi="ar"/>
              </w:rPr>
              <w:t>个月，保存期限</w:t>
            </w:r>
            <w:r>
              <w:rPr>
                <w:rStyle w:val="43"/>
                <w:rFonts w:hint="default"/>
                <w:sz w:val="21"/>
                <w:szCs w:val="21"/>
                <w:highlight w:val="none"/>
                <w:lang w:bidi="ar"/>
              </w:rPr>
              <w:t>36</w:t>
            </w:r>
            <w:r>
              <w:rPr>
                <w:rStyle w:val="44"/>
                <w:rFonts w:hint="default"/>
                <w:highlight w:val="none"/>
                <w:lang w:bidi="ar"/>
              </w:rPr>
              <w:t>个月。</w:t>
            </w:r>
          </w:p>
        </w:tc>
      </w:tr>
    </w:tbl>
    <w:p w14:paraId="662BC3FE">
      <w:pPr>
        <w:pStyle w:val="14"/>
        <w:spacing w:before="0" w:after="0" w:line="360" w:lineRule="auto"/>
        <w:jc w:val="left"/>
        <w:rPr>
          <w:rFonts w:ascii="黑体" w:hAnsi="黑体" w:eastAsia="黑体"/>
          <w:b w:val="0"/>
          <w:sz w:val="24"/>
          <w:szCs w:val="24"/>
          <w:highlight w:val="none"/>
        </w:rPr>
      </w:pPr>
      <w:r>
        <w:rPr>
          <w:rFonts w:hint="eastAsia" w:ascii="黑体" w:hAnsi="黑体" w:eastAsia="黑体"/>
          <w:b w:val="0"/>
          <w:sz w:val="24"/>
          <w:szCs w:val="24"/>
          <w:highlight w:val="none"/>
        </w:rPr>
        <w:br w:type="page"/>
      </w:r>
    </w:p>
    <w:p w14:paraId="6FE1D37D">
      <w:pPr>
        <w:adjustRightInd w:val="0"/>
        <w:rPr>
          <w:rFonts w:ascii="黑体" w:hAnsi="黑体" w:eastAsia="黑体" w:cs="黑体"/>
          <w:sz w:val="24"/>
          <w:szCs w:val="32"/>
          <w:highlight w:val="none"/>
        </w:rPr>
      </w:pPr>
      <w:r>
        <w:rPr>
          <w:rFonts w:hint="eastAsia" w:ascii="黑体" w:hAnsi="黑体" w:eastAsia="黑体" w:cs="黑体"/>
          <w:sz w:val="24"/>
          <w:szCs w:val="32"/>
          <w:highlight w:val="none"/>
        </w:rPr>
        <w:t>附表</w:t>
      </w:r>
      <w:r>
        <w:rPr>
          <w:rFonts w:ascii="黑体" w:hAnsi="黑体" w:eastAsia="黑体" w:cs="黑体"/>
          <w:sz w:val="24"/>
          <w:szCs w:val="32"/>
          <w:highlight w:val="none"/>
        </w:rPr>
        <w:t>4</w:t>
      </w:r>
      <w:r>
        <w:rPr>
          <w:rFonts w:hint="eastAsia" w:ascii="黑体" w:hAnsi="黑体" w:eastAsia="黑体" w:cs="黑体"/>
          <w:sz w:val="24"/>
          <w:szCs w:val="32"/>
          <w:highlight w:val="none"/>
        </w:rPr>
        <w:t>：</w:t>
      </w:r>
    </w:p>
    <w:p w14:paraId="35115641">
      <w:pPr>
        <w:adjustRightInd w:val="0"/>
        <w:jc w:val="center"/>
        <w:rPr>
          <w:rFonts w:ascii="黑体" w:hAnsi="黑体" w:eastAsia="黑体" w:cs="黑体"/>
          <w:sz w:val="24"/>
          <w:szCs w:val="24"/>
          <w:highlight w:val="none"/>
        </w:rPr>
      </w:pPr>
      <w:r>
        <w:rPr>
          <w:rFonts w:hint="eastAsia" w:ascii="黑体" w:hAnsi="黑体" w:eastAsia="黑体" w:cs="黑体"/>
          <w:sz w:val="24"/>
          <w:szCs w:val="24"/>
          <w:highlight w:val="none"/>
        </w:rPr>
        <w:t>环境、职业健康安全要求告知书</w:t>
      </w:r>
    </w:p>
    <w:p w14:paraId="6CA0E6C7">
      <w:pPr>
        <w:rPr>
          <w:rFonts w:ascii="宋体" w:hAnsi="宋体"/>
          <w:szCs w:val="21"/>
          <w:highlight w:val="none"/>
        </w:rPr>
      </w:pPr>
    </w:p>
    <w:p w14:paraId="19A3C412">
      <w:pPr>
        <w:spacing w:line="410" w:lineRule="exact"/>
        <w:ind w:firstLine="420" w:firstLineChars="200"/>
        <w:rPr>
          <w:rFonts w:ascii="宋体" w:hAnsi="宋体"/>
          <w:szCs w:val="21"/>
          <w:highlight w:val="none"/>
        </w:rPr>
      </w:pPr>
      <w:r>
        <w:rPr>
          <w:rFonts w:hint="eastAsia" w:ascii="宋体" w:hAnsi="宋体"/>
          <w:szCs w:val="21"/>
          <w:highlight w:val="none"/>
        </w:rPr>
        <w:t>环境保护和职业健康安全是每一个公司进行生产、活动和服务时都必须考虑的问题。节约资源与能源，保护生态、保护我们赖以生存和发展的环境和进行自身劳动保护防护是我们共同的责任。为加强双方在环境、职业健康安全保护方面的合作，实现污染预防以及环境行为的持续改进，我司特作出以下要求：</w:t>
      </w:r>
    </w:p>
    <w:p w14:paraId="00FC7131">
      <w:pPr>
        <w:spacing w:line="410" w:lineRule="exact"/>
        <w:ind w:firstLine="420" w:firstLineChars="200"/>
        <w:rPr>
          <w:rFonts w:ascii="宋体" w:hAnsi="宋体"/>
          <w:szCs w:val="21"/>
          <w:highlight w:val="none"/>
        </w:rPr>
      </w:pPr>
      <w:r>
        <w:rPr>
          <w:rFonts w:hint="eastAsia" w:ascii="宋体" w:hAnsi="宋体"/>
          <w:szCs w:val="21"/>
          <w:highlight w:val="none"/>
        </w:rPr>
        <w:t>一、所提供的产品及产品的原材料、生产过程、服务应满足国家、地方、行业的有关环境保护和职业健康安全的法律、法规要求；在保证质量的前提下，减少包装材料。</w:t>
      </w:r>
    </w:p>
    <w:p w14:paraId="4478C116">
      <w:pPr>
        <w:spacing w:line="410" w:lineRule="exact"/>
        <w:ind w:firstLine="420" w:firstLineChars="200"/>
        <w:rPr>
          <w:rFonts w:ascii="宋体" w:hAnsi="宋体"/>
          <w:szCs w:val="21"/>
          <w:highlight w:val="none"/>
        </w:rPr>
      </w:pPr>
      <w:r>
        <w:rPr>
          <w:rFonts w:hint="eastAsia" w:ascii="宋体" w:hAnsi="宋体"/>
          <w:szCs w:val="21"/>
          <w:highlight w:val="none"/>
        </w:rPr>
        <w:t>二、在生产、活动或服务过程中排放的超标污染物（废水、废气、固体废弃物、噪声等）应制订计划、采取措施达到国家或地方的排放标准，废弃物排放需符合有关环境保护和职业健康安全的法律、法规要求。</w:t>
      </w:r>
    </w:p>
    <w:p w14:paraId="238B6F7A">
      <w:pPr>
        <w:spacing w:line="410" w:lineRule="exact"/>
        <w:ind w:firstLine="420" w:firstLineChars="200"/>
        <w:rPr>
          <w:rFonts w:ascii="宋体" w:hAnsi="宋体"/>
          <w:szCs w:val="21"/>
          <w:highlight w:val="none"/>
        </w:rPr>
      </w:pPr>
      <w:r>
        <w:rPr>
          <w:rFonts w:hint="eastAsia" w:ascii="宋体" w:hAnsi="宋体"/>
          <w:szCs w:val="21"/>
          <w:highlight w:val="none"/>
        </w:rPr>
        <w:t>三、在生产施工过程中，应优先采用无污染或少污染的生产工艺、生产与施工设备、先进的施工方法等，不得采用国家或地方已禁止使用的生产工艺、生产与施工设备。在施工过程中，采用必要的措施降低噪声污染，并对施工现场的废弃物妥善处理。</w:t>
      </w:r>
    </w:p>
    <w:p w14:paraId="6D775B2C">
      <w:pPr>
        <w:spacing w:line="410" w:lineRule="exact"/>
        <w:ind w:firstLine="420" w:firstLineChars="200"/>
        <w:rPr>
          <w:rFonts w:ascii="宋体" w:hAnsi="宋体"/>
          <w:szCs w:val="21"/>
          <w:highlight w:val="none"/>
        </w:rPr>
      </w:pPr>
      <w:r>
        <w:rPr>
          <w:rFonts w:hint="eastAsia" w:ascii="宋体" w:hAnsi="宋体"/>
          <w:szCs w:val="21"/>
          <w:highlight w:val="none"/>
        </w:rPr>
        <w:t>四、妥善保管易燃、易爆或有毒有害危险品，应采取防范措施，防止在储运过程中发生火灾、爆炸或泄漏等事故，造成环境的污染。</w:t>
      </w:r>
    </w:p>
    <w:p w14:paraId="415F78BB">
      <w:pPr>
        <w:spacing w:line="410" w:lineRule="exact"/>
        <w:ind w:firstLine="420" w:firstLineChars="200"/>
        <w:rPr>
          <w:rFonts w:ascii="宋体" w:hAnsi="宋体"/>
          <w:szCs w:val="21"/>
          <w:highlight w:val="none"/>
        </w:rPr>
      </w:pPr>
      <w:r>
        <w:rPr>
          <w:rFonts w:hint="eastAsia" w:ascii="宋体" w:hAnsi="宋体"/>
          <w:szCs w:val="21"/>
          <w:highlight w:val="none"/>
        </w:rPr>
        <w:t>五、在储运过程中，应保证运输车辆状况良好，车辆排放的废气、噪声及车辆冲洗废水要符合国家规定的排放标准。在运输过程中，不得扰乱厂区附近居民的生活。</w:t>
      </w:r>
    </w:p>
    <w:p w14:paraId="55EA6718">
      <w:pPr>
        <w:spacing w:line="410" w:lineRule="exact"/>
        <w:ind w:firstLine="420" w:firstLineChars="200"/>
        <w:rPr>
          <w:rFonts w:ascii="宋体" w:hAnsi="宋体"/>
          <w:szCs w:val="21"/>
          <w:highlight w:val="none"/>
        </w:rPr>
      </w:pPr>
      <w:r>
        <w:rPr>
          <w:rFonts w:hint="eastAsia" w:ascii="宋体" w:hAnsi="宋体"/>
          <w:szCs w:val="21"/>
          <w:highlight w:val="none"/>
        </w:rPr>
        <w:t>六、在生产、活动、服务过程中，应确保人员的职业健康安全，做好安全防护，防止安全事故的发生。</w:t>
      </w:r>
    </w:p>
    <w:p w14:paraId="1D4B475E">
      <w:pPr>
        <w:spacing w:line="410" w:lineRule="exact"/>
        <w:ind w:firstLine="420" w:firstLineChars="200"/>
        <w:rPr>
          <w:rFonts w:ascii="宋体" w:hAnsi="宋体"/>
          <w:szCs w:val="21"/>
          <w:highlight w:val="none"/>
        </w:rPr>
      </w:pPr>
      <w:r>
        <w:rPr>
          <w:rFonts w:hint="eastAsia" w:ascii="宋体" w:hAnsi="宋体"/>
          <w:szCs w:val="21"/>
          <w:highlight w:val="none"/>
        </w:rPr>
        <w:t>七、为了督促环境保护和职业健康安全行为，我司将对需重点施加影响的供应商、承包方、废弃物处理商等进行不定期的监督与检查，检查的主要内容有：</w:t>
      </w:r>
    </w:p>
    <w:p w14:paraId="4F14B670">
      <w:pPr>
        <w:numPr>
          <w:ilvl w:val="1"/>
          <w:numId w:val="4"/>
        </w:numPr>
        <w:spacing w:line="410" w:lineRule="exact"/>
        <w:rPr>
          <w:rFonts w:ascii="宋体" w:hAnsi="宋体"/>
          <w:szCs w:val="21"/>
          <w:highlight w:val="none"/>
        </w:rPr>
      </w:pPr>
      <w:r>
        <w:rPr>
          <w:rFonts w:hint="eastAsia" w:ascii="宋体" w:hAnsi="宋体"/>
          <w:szCs w:val="21"/>
          <w:highlight w:val="none"/>
        </w:rPr>
        <w:t>是否因环境保护和职业健康安全问题受到相关方的投诉；</w:t>
      </w:r>
    </w:p>
    <w:p w14:paraId="42B378A2">
      <w:pPr>
        <w:numPr>
          <w:ilvl w:val="1"/>
          <w:numId w:val="4"/>
        </w:numPr>
        <w:spacing w:line="410" w:lineRule="exact"/>
        <w:rPr>
          <w:rFonts w:ascii="宋体" w:hAnsi="宋体"/>
          <w:szCs w:val="21"/>
          <w:highlight w:val="none"/>
        </w:rPr>
      </w:pPr>
      <w:r>
        <w:rPr>
          <w:rFonts w:hint="eastAsia" w:ascii="宋体" w:hAnsi="宋体"/>
          <w:szCs w:val="21"/>
          <w:highlight w:val="none"/>
        </w:rPr>
        <w:t>是否因环境污染事故和人员伤亡事故受到上级主管部门或政府主管部门的处罚；</w:t>
      </w:r>
    </w:p>
    <w:p w14:paraId="0A340A71">
      <w:pPr>
        <w:numPr>
          <w:ilvl w:val="1"/>
          <w:numId w:val="4"/>
        </w:numPr>
        <w:spacing w:line="410" w:lineRule="exact"/>
        <w:rPr>
          <w:rFonts w:ascii="宋体" w:hAnsi="宋体"/>
          <w:szCs w:val="21"/>
          <w:highlight w:val="none"/>
        </w:rPr>
      </w:pPr>
      <w:r>
        <w:rPr>
          <w:rFonts w:hint="eastAsia" w:ascii="宋体" w:hAnsi="宋体"/>
          <w:szCs w:val="21"/>
          <w:highlight w:val="none"/>
        </w:rPr>
        <w:t>污染物排放是否达标。</w:t>
      </w:r>
    </w:p>
    <w:p w14:paraId="47FB5788">
      <w:pPr>
        <w:widowControl/>
        <w:adjustRightInd w:val="0"/>
        <w:snapToGrid w:val="0"/>
        <w:spacing w:line="410" w:lineRule="exact"/>
        <w:ind w:firstLine="420" w:firstLineChars="200"/>
        <w:jc w:val="left"/>
        <w:rPr>
          <w:rFonts w:ascii="Arial" w:hAnsi="Arial" w:eastAsia="黑体" w:cs="Times New Roman"/>
          <w:bCs/>
          <w:sz w:val="32"/>
          <w:szCs w:val="32"/>
          <w:highlight w:val="none"/>
        </w:rPr>
      </w:pPr>
      <w:r>
        <w:rPr>
          <w:rFonts w:hint="eastAsia" w:ascii="宋体" w:hAnsi="宋体" w:eastAsia="宋体" w:cs="Times New Roman"/>
          <w:szCs w:val="21"/>
          <w:highlight w:val="none"/>
        </w:rPr>
        <w:t>八、对不符合要求的供应商、承包方、废弃物处理商等，我司将提出整改意见，对整改不符或拒绝整改、可能造成严重污染和事故的企业或已经造成重大环境污染事故和工伤事故的企业，我司将会采取减少订货、更换供应商等措施施加影响。</w:t>
      </w:r>
    </w:p>
    <w:p w14:paraId="6CCB0456">
      <w:pPr>
        <w:tabs>
          <w:tab w:val="left" w:pos="6072"/>
        </w:tabs>
        <w:jc w:val="left"/>
        <w:rPr>
          <w:highlight w:val="none"/>
        </w:rPr>
      </w:pPr>
      <w:r>
        <w:rPr>
          <w:rFonts w:hint="eastAsia"/>
          <w:highlight w:val="none"/>
        </w:rPr>
        <w:tab/>
      </w:r>
    </w:p>
    <w:sectPr>
      <w:pgSz w:w="11905" w:h="16838"/>
      <w:pgMar w:top="1417" w:right="1417" w:bottom="1417" w:left="141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粗隶书体">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456236"/>
    </w:sdtPr>
    <w:sdtContent>
      <w:p w14:paraId="4D4B4E5F">
        <w:pPr>
          <w:pStyle w:val="11"/>
          <w:jc w:val="center"/>
        </w:pPr>
        <w:r>
          <w:fldChar w:fldCharType="begin"/>
        </w:r>
        <w:r>
          <w:instrText xml:space="preserve">PAGE   \* MERGEFORMAT</w:instrText>
        </w:r>
        <w:r>
          <w:fldChar w:fldCharType="separate"/>
        </w:r>
        <w:r>
          <w:rPr>
            <w:lang w:val="zh-CN"/>
          </w:rPr>
          <w:t>4</w:t>
        </w:r>
        <w:r>
          <w:fldChar w:fldCharType="end"/>
        </w:r>
      </w:p>
    </w:sdtContent>
  </w:sdt>
  <w:p w14:paraId="65F8276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44B5F">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3</w:t>
    </w:r>
    <w:r>
      <w:fldChar w:fldCharType="end"/>
    </w:r>
  </w:p>
  <w:p w14:paraId="294CFFAC">
    <w:pPr>
      <w:spacing w:line="360" w:lineRule="auto"/>
      <w:rPr>
        <w:sz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555334"/>
    </w:sdtPr>
    <w:sdtContent>
      <w:p w14:paraId="7BDE320E">
        <w:pPr>
          <w:pStyle w:val="11"/>
          <w:jc w:val="center"/>
        </w:pPr>
        <w:r>
          <w:fldChar w:fldCharType="begin"/>
        </w:r>
        <w:r>
          <w:instrText xml:space="preserve">PAGE   \* MERGEFORMAT</w:instrText>
        </w:r>
        <w:r>
          <w:fldChar w:fldCharType="separate"/>
        </w:r>
        <w:r>
          <w:rPr>
            <w:lang w:val="zh-CN"/>
          </w:rPr>
          <w:t>21</w:t>
        </w:r>
        <w:r>
          <w:fldChar w:fldCharType="end"/>
        </w:r>
      </w:p>
    </w:sdtContent>
  </w:sdt>
  <w:p w14:paraId="68C741D6">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1523552"/>
    </w:sdtPr>
    <w:sdtContent>
      <w:p w14:paraId="2823CF89">
        <w:pPr>
          <w:pStyle w:val="11"/>
          <w:jc w:val="center"/>
        </w:pPr>
        <w:r>
          <w:fldChar w:fldCharType="begin"/>
        </w:r>
        <w:r>
          <w:instrText xml:space="preserve">PAGE   \* MERGEFORMAT</w:instrText>
        </w:r>
        <w:r>
          <w:fldChar w:fldCharType="separate"/>
        </w:r>
        <w:r>
          <w:rPr>
            <w:lang w:val="zh-CN"/>
          </w:rPr>
          <w:t>27</w:t>
        </w:r>
        <w:r>
          <w:fldChar w:fldCharType="end"/>
        </w:r>
      </w:p>
    </w:sdtContent>
  </w:sdt>
  <w:p w14:paraId="12F064BF">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33490">
    <w:pPr>
      <w:pStyle w:val="11"/>
      <w:jc w:val="center"/>
    </w:pPr>
    <w:r>
      <w:fldChar w:fldCharType="begin"/>
    </w:r>
    <w:r>
      <w:instrText xml:space="preserve">PAGE   \* MERGEFORMAT</w:instrText>
    </w:r>
    <w:r>
      <w:fldChar w:fldCharType="separate"/>
    </w:r>
    <w:r>
      <w:rPr>
        <w:lang w:val="zh-CN"/>
      </w:rPr>
      <w:t>3</w:t>
    </w:r>
    <w:r>
      <w:fldChar w:fldCharType="end"/>
    </w:r>
  </w:p>
  <w:p w14:paraId="322B1C87">
    <w:pPr>
      <w:spacing w:line="360" w:lineRule="auto"/>
      <w:rPr>
        <w:sz w:val="1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A2573">
    <w:pPr>
      <w:pStyle w:val="11"/>
      <w:framePr w:wrap="around" w:vAnchor="text" w:hAnchor="margin" w:xAlign="center" w:y="1"/>
      <w:rPr>
        <w:rStyle w:val="19"/>
      </w:rPr>
    </w:pPr>
    <w:r>
      <w:fldChar w:fldCharType="begin"/>
    </w:r>
    <w:r>
      <w:rPr>
        <w:rStyle w:val="19"/>
      </w:rPr>
      <w:instrText xml:space="preserve">PAGE  </w:instrText>
    </w:r>
    <w:r>
      <w:fldChar w:fldCharType="end"/>
    </w:r>
  </w:p>
  <w:p w14:paraId="056F0FB2">
    <w:pPr>
      <w:pStyle w:val="1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F684C">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5</w:t>
    </w:r>
    <w:r>
      <w:fldChar w:fldCharType="end"/>
    </w:r>
  </w:p>
  <w:p w14:paraId="1F7DB3D7">
    <w:pPr>
      <w:pStyle w:val="11"/>
      <w:framePr w:wrap="around" w:vAnchor="text" w:hAnchor="margin" w:xAlign="right" w:y="1"/>
      <w:rPr>
        <w:rStyle w:val="19"/>
      </w:rPr>
    </w:pPr>
  </w:p>
  <w:p w14:paraId="49172539">
    <w:pPr>
      <w:spacing w:line="360" w:lineRule="auto"/>
      <w:rPr>
        <w:sz w:val="10"/>
      </w:rPr>
    </w:pPr>
    <w:r>
      <w:rPr>
        <w:sz w:val="18"/>
      </w:rPr>
      <w:t xml:space="preserve">  </w:t>
    </w:r>
    <w:r>
      <w:rPr>
        <w:rFonts w:hint="eastAsia"/>
        <w:sz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A75BE">
    <w:pPr>
      <w:spacing w:line="360" w:lineRule="auto"/>
      <w:rPr>
        <w:sz w:val="10"/>
      </w:rPr>
    </w:pPr>
    <w:r>
      <w:rPr>
        <w:sz w:val="1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CF77D33">
                          <w:pPr>
                            <w:pStyle w:val="11"/>
                          </w:pPr>
                          <w:r>
                            <w:rPr>
                              <w:rFonts w:hint="eastAsia" w:ascii="宋体" w:hAnsi="宋体" w:cs="宋体"/>
                            </w:rPr>
                            <w:fldChar w:fldCharType="begin"/>
                          </w:r>
                          <w:r>
                            <w:rPr>
                              <w:rStyle w:val="19"/>
                              <w:rFonts w:hint="eastAsia" w:ascii="宋体" w:hAnsi="宋体" w:cs="宋体"/>
                            </w:rPr>
                            <w:instrText xml:space="preserve">PAGE  </w:instrText>
                          </w:r>
                          <w:r>
                            <w:rPr>
                              <w:rFonts w:hint="eastAsia" w:ascii="宋体" w:hAnsi="宋体" w:cs="宋体"/>
                            </w:rPr>
                            <w:fldChar w:fldCharType="separate"/>
                          </w:r>
                          <w:r>
                            <w:rPr>
                              <w:rStyle w:val="19"/>
                              <w:rFonts w:ascii="宋体" w:hAnsi="宋体" w:cs="宋体"/>
                            </w:rPr>
                            <w:t>- 10 -</w:t>
                          </w:r>
                          <w:r>
                            <w:rPr>
                              <w:rFonts w:hint="eastAsia" w:ascii="宋体" w:hAnsi="宋体" w:cs="宋体"/>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jJ8c3zwEAAKYDAAAOAAAAAAAAAAEAIAAAAB4BAABkcnMv&#10;ZTJvRG9jLnhtbFBLBQYAAAAABgAGAFkBAABfBQAAAAA=&#10;">
              <v:fill on="f" focussize="0,0"/>
              <v:stroke on="f"/>
              <v:imagedata o:title=""/>
              <o:lock v:ext="edit" aspectratio="f"/>
              <v:textbox inset="0mm,0mm,0mm,0mm" style="mso-fit-shape-to-text:t;">
                <w:txbxContent>
                  <w:p w14:paraId="2CF77D33">
                    <w:pPr>
                      <w:pStyle w:val="11"/>
                    </w:pPr>
                    <w:r>
                      <w:rPr>
                        <w:rFonts w:hint="eastAsia" w:ascii="宋体" w:hAnsi="宋体" w:cs="宋体"/>
                      </w:rPr>
                      <w:fldChar w:fldCharType="begin"/>
                    </w:r>
                    <w:r>
                      <w:rPr>
                        <w:rStyle w:val="19"/>
                        <w:rFonts w:hint="eastAsia" w:ascii="宋体" w:hAnsi="宋体" w:cs="宋体"/>
                      </w:rPr>
                      <w:instrText xml:space="preserve">PAGE  </w:instrText>
                    </w:r>
                    <w:r>
                      <w:rPr>
                        <w:rFonts w:hint="eastAsia" w:ascii="宋体" w:hAnsi="宋体" w:cs="宋体"/>
                      </w:rPr>
                      <w:fldChar w:fldCharType="separate"/>
                    </w:r>
                    <w:r>
                      <w:rPr>
                        <w:rStyle w:val="19"/>
                        <w:rFonts w:ascii="宋体" w:hAnsi="宋体" w:cs="宋体"/>
                      </w:rPr>
                      <w:t>- 10 -</w:t>
                    </w:r>
                    <w:r>
                      <w:rPr>
                        <w:rFonts w:hint="eastAsia" w:ascii="宋体" w:hAnsi="宋体" w:cs="宋体"/>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E3017">
    <w:pPr>
      <w:pStyle w:val="11"/>
      <w:framePr w:wrap="around" w:vAnchor="text" w:hAnchor="margin" w:xAlign="center" w:y="1"/>
      <w:rPr>
        <w:rStyle w:val="19"/>
      </w:rPr>
    </w:pPr>
    <w:r>
      <w:fldChar w:fldCharType="begin"/>
    </w:r>
    <w:r>
      <w:rPr>
        <w:rStyle w:val="19"/>
      </w:rPr>
      <w:instrText xml:space="preserve">PAGE  </w:instrText>
    </w:r>
    <w:r>
      <w:fldChar w:fldCharType="end"/>
    </w:r>
  </w:p>
  <w:p w14:paraId="301C3668">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AA6FE">
    <w:pPr>
      <w:pStyle w:val="12"/>
      <w:jc w:val="left"/>
    </w:pPr>
    <w:r>
      <w:drawing>
        <wp:inline distT="0" distB="0" distL="114300" distR="114300">
          <wp:extent cx="1548765" cy="457200"/>
          <wp:effectExtent l="0" t="0" r="635" b="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lum contrast="20000"/>
                  </a:blip>
                  <a:stretch>
                    <a:fillRect/>
                  </a:stretch>
                </pic:blipFill>
                <pic:spPr>
                  <a:xfrm>
                    <a:off x="0" y="0"/>
                    <a:ext cx="1548765" cy="457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EA643">
    <w:pPr>
      <w:pStyle w:val="12"/>
      <w:jc w:val="left"/>
    </w:pPr>
    <w:r>
      <w:drawing>
        <wp:inline distT="0" distB="0" distL="114300" distR="114300">
          <wp:extent cx="1548765" cy="457200"/>
          <wp:effectExtent l="0" t="0" r="635" b="0"/>
          <wp:docPr id="5" name="图片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OGO"/>
                  <pic:cNvPicPr>
                    <a:picLocks noChangeAspect="1"/>
                  </pic:cNvPicPr>
                </pic:nvPicPr>
                <pic:blipFill>
                  <a:blip r:embed="rId1">
                    <a:lum contrast="20000"/>
                  </a:blip>
                  <a:stretch>
                    <a:fillRect/>
                  </a:stretch>
                </pic:blipFill>
                <pic:spPr>
                  <a:xfrm>
                    <a:off x="0" y="0"/>
                    <a:ext cx="1548765" cy="4572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FD623">
    <w:pPr>
      <w:pStyle w:val="12"/>
      <w:jc w:val="left"/>
      <w:rPr>
        <w:szCs w:val="44"/>
      </w:rPr>
    </w:pPr>
    <w:r>
      <w:rPr>
        <w:rFonts w:hint="eastAsia"/>
        <w:szCs w:val="44"/>
      </w:rPr>
      <w:drawing>
        <wp:inline distT="0" distB="0" distL="114300" distR="114300">
          <wp:extent cx="1556385" cy="457200"/>
          <wp:effectExtent l="0" t="0" r="5715" b="0"/>
          <wp:docPr id="18"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LOGO"/>
                  <pic:cNvPicPr>
                    <a:picLocks noChangeAspect="1"/>
                  </pic:cNvPicPr>
                </pic:nvPicPr>
                <pic:blipFill>
                  <a:blip r:embed="rId1">
                    <a:lum contrast="20000"/>
                  </a:blip>
                  <a:stretch>
                    <a:fillRect/>
                  </a:stretch>
                </pic:blipFill>
                <pic:spPr>
                  <a:xfrm>
                    <a:off x="0" y="0"/>
                    <a:ext cx="1556385" cy="457200"/>
                  </a:xfrm>
                  <a:prstGeom prst="rect">
                    <a:avLst/>
                  </a:prstGeom>
                  <a:noFill/>
                  <a:ln w="9525">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ACC8F">
    <w:pPr>
      <w:pStyle w:val="12"/>
      <w:pBdr>
        <w:bottom w:val="single" w:color="auto" w:sz="4" w:space="1"/>
      </w:pBdr>
    </w:pPr>
    <w:r>
      <w:rPr>
        <w:rFonts w:hint="eastAsia"/>
      </w:rPr>
      <w:drawing>
        <wp:inline distT="0" distB="0" distL="114300" distR="114300">
          <wp:extent cx="1231900" cy="368935"/>
          <wp:effectExtent l="0" t="0" r="2540" b="12065"/>
          <wp:docPr id="1" name="图片 1" descr="搜狗截图20年08月04日113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搜狗截图20年08月04日1138_1"/>
                  <pic:cNvPicPr>
                    <a:picLocks noChangeAspect="1"/>
                  </pic:cNvPicPr>
                </pic:nvPicPr>
                <pic:blipFill>
                  <a:blip r:embed="rId1"/>
                  <a:stretch>
                    <a:fillRect/>
                  </a:stretch>
                </pic:blipFill>
                <pic:spPr>
                  <a:xfrm>
                    <a:off x="0" y="0"/>
                    <a:ext cx="1231900" cy="368935"/>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80DB6">
    <w:pPr>
      <w:pStyle w:val="12"/>
      <w:pBdr>
        <w:bottom w:val="none" w:color="auto" w:sz="0" w:space="0"/>
      </w:pBdr>
      <w:rPr>
        <w:szCs w:val="44"/>
      </w:rPr>
    </w:pPr>
  </w:p>
  <w:p w14:paraId="7DF3AFB8">
    <w:pPr>
      <w:pStyle w:val="12"/>
      <w:pBdr>
        <w:bottom w:val="none" w:color="auto" w:sz="0" w:space="0"/>
      </w:pBdr>
      <w:rPr>
        <w:szCs w:val="44"/>
      </w:rPr>
    </w:pPr>
  </w:p>
  <w:p w14:paraId="779329C1">
    <w:pPr>
      <w:pStyle w:val="12"/>
      <w:pBdr>
        <w:bottom w:val="none" w:color="auto" w:sz="0" w:space="0"/>
      </w:pBdr>
      <w:rPr>
        <w:b/>
        <w:sz w:val="44"/>
        <w:szCs w:val="4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3F929">
    <w:pPr>
      <w:pStyle w:val="12"/>
      <w:pBdr>
        <w:bottom w:val="none" w:color="auto" w:sz="0" w:space="0"/>
      </w:pBdr>
      <w:jc w:val="left"/>
      <w:rPr>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033BC"/>
    <w:multiLevelType w:val="multilevel"/>
    <w:tmpl w:val="1F3033BC"/>
    <w:lvl w:ilvl="0" w:tentative="0">
      <w:start w:val="1"/>
      <w:numFmt w:val="decimal"/>
      <w:lvlText w:val="%1."/>
      <w:lvlJc w:val="left"/>
      <w:pPr>
        <w:tabs>
          <w:tab w:val="left" w:pos="375"/>
        </w:tabs>
        <w:ind w:left="375" w:hanging="375"/>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2E9E38F"/>
    <w:multiLevelType w:val="singleLevel"/>
    <w:tmpl w:val="32E9E38F"/>
    <w:lvl w:ilvl="0" w:tentative="0">
      <w:start w:val="2"/>
      <w:numFmt w:val="chineseCounting"/>
      <w:suff w:val="nothing"/>
      <w:lvlText w:val="（%1）"/>
      <w:lvlJc w:val="left"/>
      <w:rPr>
        <w:rFonts w:hint="eastAsia"/>
      </w:rPr>
    </w:lvl>
  </w:abstractNum>
  <w:abstractNum w:abstractNumId="2">
    <w:nsid w:val="474FA6E7"/>
    <w:multiLevelType w:val="singleLevel"/>
    <w:tmpl w:val="474FA6E7"/>
    <w:lvl w:ilvl="0" w:tentative="0">
      <w:start w:val="1"/>
      <w:numFmt w:val="decimal"/>
      <w:lvlText w:val="%1."/>
      <w:lvlJc w:val="left"/>
      <w:pPr>
        <w:tabs>
          <w:tab w:val="left" w:pos="312"/>
        </w:tabs>
      </w:pPr>
    </w:lvl>
  </w:abstractNum>
  <w:abstractNum w:abstractNumId="3">
    <w:nsid w:val="5BFD0E4D"/>
    <w:multiLevelType w:val="singleLevel"/>
    <w:tmpl w:val="5BFD0E4D"/>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mMGZmNzNlYjhmZmM5NzJkZjNkNDU3OTk2ZDNkOTAifQ=="/>
  </w:docVars>
  <w:rsids>
    <w:rsidRoot w:val="00172A27"/>
    <w:rsid w:val="00000E15"/>
    <w:rsid w:val="000178F7"/>
    <w:rsid w:val="000276D1"/>
    <w:rsid w:val="000366F2"/>
    <w:rsid w:val="000402A7"/>
    <w:rsid w:val="0004536F"/>
    <w:rsid w:val="00045F2B"/>
    <w:rsid w:val="00053308"/>
    <w:rsid w:val="00055A9D"/>
    <w:rsid w:val="00064B2E"/>
    <w:rsid w:val="00077764"/>
    <w:rsid w:val="000819CC"/>
    <w:rsid w:val="000A4331"/>
    <w:rsid w:val="000A58D3"/>
    <w:rsid w:val="000B4167"/>
    <w:rsid w:val="000C04CF"/>
    <w:rsid w:val="000C116F"/>
    <w:rsid w:val="000E04C4"/>
    <w:rsid w:val="000F049A"/>
    <w:rsid w:val="000F4E9B"/>
    <w:rsid w:val="00102DD8"/>
    <w:rsid w:val="00103D21"/>
    <w:rsid w:val="001044C4"/>
    <w:rsid w:val="001149C1"/>
    <w:rsid w:val="00126827"/>
    <w:rsid w:val="00126B78"/>
    <w:rsid w:val="001271F9"/>
    <w:rsid w:val="00130BAD"/>
    <w:rsid w:val="00140B48"/>
    <w:rsid w:val="001426B5"/>
    <w:rsid w:val="001635DC"/>
    <w:rsid w:val="00166742"/>
    <w:rsid w:val="00172A27"/>
    <w:rsid w:val="00174D82"/>
    <w:rsid w:val="0018361D"/>
    <w:rsid w:val="00190420"/>
    <w:rsid w:val="0019528A"/>
    <w:rsid w:val="00196293"/>
    <w:rsid w:val="001C2194"/>
    <w:rsid w:val="001C3926"/>
    <w:rsid w:val="001D182A"/>
    <w:rsid w:val="001D520F"/>
    <w:rsid w:val="001D7C68"/>
    <w:rsid w:val="001E2923"/>
    <w:rsid w:val="001E4694"/>
    <w:rsid w:val="001E5194"/>
    <w:rsid w:val="001F6E28"/>
    <w:rsid w:val="00202E83"/>
    <w:rsid w:val="0020581E"/>
    <w:rsid w:val="00212EAF"/>
    <w:rsid w:val="00214C69"/>
    <w:rsid w:val="00215E89"/>
    <w:rsid w:val="00215F51"/>
    <w:rsid w:val="0022547C"/>
    <w:rsid w:val="00235BBE"/>
    <w:rsid w:val="002569EF"/>
    <w:rsid w:val="0025727A"/>
    <w:rsid w:val="00275B6E"/>
    <w:rsid w:val="002858C7"/>
    <w:rsid w:val="00285DA7"/>
    <w:rsid w:val="0029118B"/>
    <w:rsid w:val="002A00F6"/>
    <w:rsid w:val="002B06DD"/>
    <w:rsid w:val="002D6844"/>
    <w:rsid w:val="002D7D2F"/>
    <w:rsid w:val="002E2BE5"/>
    <w:rsid w:val="002E6F9A"/>
    <w:rsid w:val="003013B4"/>
    <w:rsid w:val="00302FFD"/>
    <w:rsid w:val="003067D1"/>
    <w:rsid w:val="0030729F"/>
    <w:rsid w:val="00312379"/>
    <w:rsid w:val="003142D3"/>
    <w:rsid w:val="00327D98"/>
    <w:rsid w:val="00342834"/>
    <w:rsid w:val="0034407D"/>
    <w:rsid w:val="003612C4"/>
    <w:rsid w:val="00371148"/>
    <w:rsid w:val="003822BE"/>
    <w:rsid w:val="00383FC0"/>
    <w:rsid w:val="0039103A"/>
    <w:rsid w:val="003C705E"/>
    <w:rsid w:val="003D11DC"/>
    <w:rsid w:val="003D5DB5"/>
    <w:rsid w:val="003E123C"/>
    <w:rsid w:val="003F5FA3"/>
    <w:rsid w:val="004008B1"/>
    <w:rsid w:val="0040340E"/>
    <w:rsid w:val="004052F5"/>
    <w:rsid w:val="00410C2C"/>
    <w:rsid w:val="004231D4"/>
    <w:rsid w:val="004237AB"/>
    <w:rsid w:val="00435C14"/>
    <w:rsid w:val="00450569"/>
    <w:rsid w:val="004507EC"/>
    <w:rsid w:val="00463A84"/>
    <w:rsid w:val="00472523"/>
    <w:rsid w:val="00474406"/>
    <w:rsid w:val="00475905"/>
    <w:rsid w:val="004841CA"/>
    <w:rsid w:val="0048756A"/>
    <w:rsid w:val="004A05AE"/>
    <w:rsid w:val="004C0631"/>
    <w:rsid w:val="004C4448"/>
    <w:rsid w:val="004C5ABD"/>
    <w:rsid w:val="004D2CCC"/>
    <w:rsid w:val="004E7566"/>
    <w:rsid w:val="004F0D60"/>
    <w:rsid w:val="0050203F"/>
    <w:rsid w:val="005166DE"/>
    <w:rsid w:val="0052288D"/>
    <w:rsid w:val="0052532C"/>
    <w:rsid w:val="00531BAA"/>
    <w:rsid w:val="00535E1C"/>
    <w:rsid w:val="005467F3"/>
    <w:rsid w:val="0055093C"/>
    <w:rsid w:val="00551EA0"/>
    <w:rsid w:val="005629E7"/>
    <w:rsid w:val="005731C9"/>
    <w:rsid w:val="005835BC"/>
    <w:rsid w:val="00584890"/>
    <w:rsid w:val="005A6C48"/>
    <w:rsid w:val="005B6C43"/>
    <w:rsid w:val="005C178D"/>
    <w:rsid w:val="005C25EE"/>
    <w:rsid w:val="005E333A"/>
    <w:rsid w:val="005E6A83"/>
    <w:rsid w:val="005F3B85"/>
    <w:rsid w:val="00614FE0"/>
    <w:rsid w:val="00647A6E"/>
    <w:rsid w:val="006548AD"/>
    <w:rsid w:val="00672B29"/>
    <w:rsid w:val="00676EA9"/>
    <w:rsid w:val="00685329"/>
    <w:rsid w:val="00685B44"/>
    <w:rsid w:val="00693C31"/>
    <w:rsid w:val="00695129"/>
    <w:rsid w:val="006A1F5A"/>
    <w:rsid w:val="006A51D9"/>
    <w:rsid w:val="006C6518"/>
    <w:rsid w:val="006C7C8C"/>
    <w:rsid w:val="006D0F79"/>
    <w:rsid w:val="006D4BC8"/>
    <w:rsid w:val="006D5C56"/>
    <w:rsid w:val="006E0C8E"/>
    <w:rsid w:val="006E62F2"/>
    <w:rsid w:val="006E727E"/>
    <w:rsid w:val="006F5EAA"/>
    <w:rsid w:val="00715F65"/>
    <w:rsid w:val="00731215"/>
    <w:rsid w:val="00737D34"/>
    <w:rsid w:val="00740021"/>
    <w:rsid w:val="00740B30"/>
    <w:rsid w:val="00742407"/>
    <w:rsid w:val="00742F98"/>
    <w:rsid w:val="007443D7"/>
    <w:rsid w:val="00750D9B"/>
    <w:rsid w:val="007655BD"/>
    <w:rsid w:val="00776A9C"/>
    <w:rsid w:val="0079130A"/>
    <w:rsid w:val="0079535C"/>
    <w:rsid w:val="0079659A"/>
    <w:rsid w:val="007B7C7B"/>
    <w:rsid w:val="007D0B86"/>
    <w:rsid w:val="007F2294"/>
    <w:rsid w:val="008003E1"/>
    <w:rsid w:val="008102CE"/>
    <w:rsid w:val="00816258"/>
    <w:rsid w:val="00834C80"/>
    <w:rsid w:val="0083611C"/>
    <w:rsid w:val="008414FB"/>
    <w:rsid w:val="008422DC"/>
    <w:rsid w:val="0084401D"/>
    <w:rsid w:val="00860AC0"/>
    <w:rsid w:val="00867EB9"/>
    <w:rsid w:val="00874371"/>
    <w:rsid w:val="00891145"/>
    <w:rsid w:val="0089600B"/>
    <w:rsid w:val="0089716F"/>
    <w:rsid w:val="008B2A4D"/>
    <w:rsid w:val="008B3A64"/>
    <w:rsid w:val="008B4263"/>
    <w:rsid w:val="008B7336"/>
    <w:rsid w:val="008D2606"/>
    <w:rsid w:val="008F24BC"/>
    <w:rsid w:val="008F6132"/>
    <w:rsid w:val="0091249B"/>
    <w:rsid w:val="00921699"/>
    <w:rsid w:val="0092176C"/>
    <w:rsid w:val="00921CBB"/>
    <w:rsid w:val="00927695"/>
    <w:rsid w:val="00943081"/>
    <w:rsid w:val="00951AD5"/>
    <w:rsid w:val="009534AD"/>
    <w:rsid w:val="00961837"/>
    <w:rsid w:val="00971C54"/>
    <w:rsid w:val="0097651D"/>
    <w:rsid w:val="00983ED6"/>
    <w:rsid w:val="009B4B4A"/>
    <w:rsid w:val="009B4D25"/>
    <w:rsid w:val="009C3173"/>
    <w:rsid w:val="009C7BCE"/>
    <w:rsid w:val="009D5264"/>
    <w:rsid w:val="009D7381"/>
    <w:rsid w:val="009F45B5"/>
    <w:rsid w:val="009F50F5"/>
    <w:rsid w:val="009F783F"/>
    <w:rsid w:val="00A0151A"/>
    <w:rsid w:val="00A05021"/>
    <w:rsid w:val="00A2070A"/>
    <w:rsid w:val="00A24423"/>
    <w:rsid w:val="00A317A5"/>
    <w:rsid w:val="00A32A19"/>
    <w:rsid w:val="00A3507C"/>
    <w:rsid w:val="00A37763"/>
    <w:rsid w:val="00A41ECF"/>
    <w:rsid w:val="00A6352F"/>
    <w:rsid w:val="00A71633"/>
    <w:rsid w:val="00A77523"/>
    <w:rsid w:val="00A8094E"/>
    <w:rsid w:val="00A817D2"/>
    <w:rsid w:val="00A86028"/>
    <w:rsid w:val="00A96077"/>
    <w:rsid w:val="00AA4A10"/>
    <w:rsid w:val="00AB1A6E"/>
    <w:rsid w:val="00AB1F1D"/>
    <w:rsid w:val="00AB65A8"/>
    <w:rsid w:val="00AC2BCF"/>
    <w:rsid w:val="00AD06FD"/>
    <w:rsid w:val="00AD28C1"/>
    <w:rsid w:val="00AD2BFF"/>
    <w:rsid w:val="00AD3129"/>
    <w:rsid w:val="00AF0497"/>
    <w:rsid w:val="00B0032F"/>
    <w:rsid w:val="00B07105"/>
    <w:rsid w:val="00B107A6"/>
    <w:rsid w:val="00B1419B"/>
    <w:rsid w:val="00B36042"/>
    <w:rsid w:val="00B4003C"/>
    <w:rsid w:val="00B5028D"/>
    <w:rsid w:val="00B5411D"/>
    <w:rsid w:val="00B556AB"/>
    <w:rsid w:val="00B572B8"/>
    <w:rsid w:val="00B6529A"/>
    <w:rsid w:val="00B66C78"/>
    <w:rsid w:val="00B715F6"/>
    <w:rsid w:val="00B740A5"/>
    <w:rsid w:val="00B85723"/>
    <w:rsid w:val="00B92C66"/>
    <w:rsid w:val="00B94B32"/>
    <w:rsid w:val="00BA400E"/>
    <w:rsid w:val="00BB4340"/>
    <w:rsid w:val="00BC1820"/>
    <w:rsid w:val="00BD235D"/>
    <w:rsid w:val="00BD592E"/>
    <w:rsid w:val="00BE3221"/>
    <w:rsid w:val="00BF58A8"/>
    <w:rsid w:val="00C010E6"/>
    <w:rsid w:val="00C053C8"/>
    <w:rsid w:val="00C13F54"/>
    <w:rsid w:val="00C15F38"/>
    <w:rsid w:val="00C21998"/>
    <w:rsid w:val="00C24B22"/>
    <w:rsid w:val="00C45883"/>
    <w:rsid w:val="00C46A1B"/>
    <w:rsid w:val="00C56D8D"/>
    <w:rsid w:val="00C57A71"/>
    <w:rsid w:val="00C6791E"/>
    <w:rsid w:val="00C679AF"/>
    <w:rsid w:val="00C7506A"/>
    <w:rsid w:val="00C80357"/>
    <w:rsid w:val="00C9418E"/>
    <w:rsid w:val="00CB3F16"/>
    <w:rsid w:val="00CD2185"/>
    <w:rsid w:val="00CD277F"/>
    <w:rsid w:val="00CE35F0"/>
    <w:rsid w:val="00D04636"/>
    <w:rsid w:val="00D047D7"/>
    <w:rsid w:val="00D21FD4"/>
    <w:rsid w:val="00D34C35"/>
    <w:rsid w:val="00D44C2E"/>
    <w:rsid w:val="00D51534"/>
    <w:rsid w:val="00D5578F"/>
    <w:rsid w:val="00D71490"/>
    <w:rsid w:val="00D960BA"/>
    <w:rsid w:val="00DA7E9C"/>
    <w:rsid w:val="00DB725E"/>
    <w:rsid w:val="00DC2DEA"/>
    <w:rsid w:val="00DE498B"/>
    <w:rsid w:val="00DF5004"/>
    <w:rsid w:val="00E02925"/>
    <w:rsid w:val="00E20906"/>
    <w:rsid w:val="00E236BC"/>
    <w:rsid w:val="00E300FB"/>
    <w:rsid w:val="00E451F4"/>
    <w:rsid w:val="00E45A08"/>
    <w:rsid w:val="00E52E00"/>
    <w:rsid w:val="00E759C4"/>
    <w:rsid w:val="00E75A41"/>
    <w:rsid w:val="00E767A1"/>
    <w:rsid w:val="00E877E2"/>
    <w:rsid w:val="00E96294"/>
    <w:rsid w:val="00EC61B7"/>
    <w:rsid w:val="00EC633D"/>
    <w:rsid w:val="00ED0551"/>
    <w:rsid w:val="00ED3AEC"/>
    <w:rsid w:val="00ED5824"/>
    <w:rsid w:val="00ED5E48"/>
    <w:rsid w:val="00ED63A7"/>
    <w:rsid w:val="00EE1778"/>
    <w:rsid w:val="00EF5588"/>
    <w:rsid w:val="00F064EE"/>
    <w:rsid w:val="00F26954"/>
    <w:rsid w:val="00F301C3"/>
    <w:rsid w:val="00F34CB4"/>
    <w:rsid w:val="00F4224C"/>
    <w:rsid w:val="00F505A8"/>
    <w:rsid w:val="00F5064A"/>
    <w:rsid w:val="00F57C40"/>
    <w:rsid w:val="00F76CAE"/>
    <w:rsid w:val="00F82942"/>
    <w:rsid w:val="00FB6BE2"/>
    <w:rsid w:val="00FC1800"/>
    <w:rsid w:val="00FC5A87"/>
    <w:rsid w:val="00FC74FB"/>
    <w:rsid w:val="00FD2233"/>
    <w:rsid w:val="00FD754E"/>
    <w:rsid w:val="00FE0956"/>
    <w:rsid w:val="00FF1B20"/>
    <w:rsid w:val="01592D6B"/>
    <w:rsid w:val="02523B59"/>
    <w:rsid w:val="02624603"/>
    <w:rsid w:val="02D97F31"/>
    <w:rsid w:val="02FB2CC8"/>
    <w:rsid w:val="03F24FAB"/>
    <w:rsid w:val="03FA0705"/>
    <w:rsid w:val="04B94B56"/>
    <w:rsid w:val="06D00D9F"/>
    <w:rsid w:val="06F80A99"/>
    <w:rsid w:val="07C1191B"/>
    <w:rsid w:val="07C75F45"/>
    <w:rsid w:val="08077AD0"/>
    <w:rsid w:val="08CD7490"/>
    <w:rsid w:val="09CE6E01"/>
    <w:rsid w:val="0AB1291A"/>
    <w:rsid w:val="0AFE04EB"/>
    <w:rsid w:val="0BF16C73"/>
    <w:rsid w:val="0D4419CB"/>
    <w:rsid w:val="0D7E4967"/>
    <w:rsid w:val="0D8B048B"/>
    <w:rsid w:val="0E6D45AA"/>
    <w:rsid w:val="0F085D41"/>
    <w:rsid w:val="0F0A6AC0"/>
    <w:rsid w:val="0F994785"/>
    <w:rsid w:val="0FC03B56"/>
    <w:rsid w:val="103413C3"/>
    <w:rsid w:val="105D551B"/>
    <w:rsid w:val="111331E7"/>
    <w:rsid w:val="11BE122B"/>
    <w:rsid w:val="127952CC"/>
    <w:rsid w:val="127B6D22"/>
    <w:rsid w:val="12A31973"/>
    <w:rsid w:val="12A85DED"/>
    <w:rsid w:val="14461A3E"/>
    <w:rsid w:val="14E47D40"/>
    <w:rsid w:val="14E51091"/>
    <w:rsid w:val="150D70E4"/>
    <w:rsid w:val="153F43CB"/>
    <w:rsid w:val="15B7321A"/>
    <w:rsid w:val="17B16079"/>
    <w:rsid w:val="18E36523"/>
    <w:rsid w:val="1A550997"/>
    <w:rsid w:val="1C2344FA"/>
    <w:rsid w:val="1CEA065E"/>
    <w:rsid w:val="1D03782C"/>
    <w:rsid w:val="1D221069"/>
    <w:rsid w:val="1DDA32E7"/>
    <w:rsid w:val="1DE33F41"/>
    <w:rsid w:val="1E6A6411"/>
    <w:rsid w:val="1E6D3E20"/>
    <w:rsid w:val="1EC53471"/>
    <w:rsid w:val="1EDD5744"/>
    <w:rsid w:val="1EF65EF6"/>
    <w:rsid w:val="1F0A764A"/>
    <w:rsid w:val="1F597C59"/>
    <w:rsid w:val="1F5A4B4E"/>
    <w:rsid w:val="20193300"/>
    <w:rsid w:val="206D6B2B"/>
    <w:rsid w:val="20BD2963"/>
    <w:rsid w:val="20DB6BBF"/>
    <w:rsid w:val="213827F6"/>
    <w:rsid w:val="21F11323"/>
    <w:rsid w:val="21FF7B12"/>
    <w:rsid w:val="22002ACD"/>
    <w:rsid w:val="222150EA"/>
    <w:rsid w:val="2306184B"/>
    <w:rsid w:val="23CE5483"/>
    <w:rsid w:val="24804579"/>
    <w:rsid w:val="25227B64"/>
    <w:rsid w:val="25540729"/>
    <w:rsid w:val="25E12EDA"/>
    <w:rsid w:val="263E2F57"/>
    <w:rsid w:val="26BB3CAD"/>
    <w:rsid w:val="28117088"/>
    <w:rsid w:val="283C4C60"/>
    <w:rsid w:val="28B766F6"/>
    <w:rsid w:val="29037B8D"/>
    <w:rsid w:val="292D69B8"/>
    <w:rsid w:val="295850FD"/>
    <w:rsid w:val="2973086F"/>
    <w:rsid w:val="29DA6112"/>
    <w:rsid w:val="2A0C264F"/>
    <w:rsid w:val="2A4661D5"/>
    <w:rsid w:val="2A673F9F"/>
    <w:rsid w:val="2AAC66E8"/>
    <w:rsid w:val="2AB921B4"/>
    <w:rsid w:val="2ADF35F5"/>
    <w:rsid w:val="2B0D4CF3"/>
    <w:rsid w:val="2B837E76"/>
    <w:rsid w:val="2DD3738F"/>
    <w:rsid w:val="2E4B2EED"/>
    <w:rsid w:val="2EB52FF2"/>
    <w:rsid w:val="2F3C772E"/>
    <w:rsid w:val="2F8D77AD"/>
    <w:rsid w:val="2FFF2EC9"/>
    <w:rsid w:val="30357888"/>
    <w:rsid w:val="309D479D"/>
    <w:rsid w:val="30F019EA"/>
    <w:rsid w:val="31230DCD"/>
    <w:rsid w:val="31567190"/>
    <w:rsid w:val="32E67DA5"/>
    <w:rsid w:val="33E17A6A"/>
    <w:rsid w:val="3422536C"/>
    <w:rsid w:val="34805EA2"/>
    <w:rsid w:val="3608405B"/>
    <w:rsid w:val="361B66E2"/>
    <w:rsid w:val="361E0EA3"/>
    <w:rsid w:val="369E0EF6"/>
    <w:rsid w:val="36F9026E"/>
    <w:rsid w:val="37C05496"/>
    <w:rsid w:val="37EA73B8"/>
    <w:rsid w:val="391E320A"/>
    <w:rsid w:val="3925244B"/>
    <w:rsid w:val="397A3965"/>
    <w:rsid w:val="39860D90"/>
    <w:rsid w:val="39A607ED"/>
    <w:rsid w:val="3A1514CF"/>
    <w:rsid w:val="3A7C3DEB"/>
    <w:rsid w:val="3A7F3A75"/>
    <w:rsid w:val="3AF61300"/>
    <w:rsid w:val="3BEB698B"/>
    <w:rsid w:val="3C6B5028"/>
    <w:rsid w:val="3D2C537E"/>
    <w:rsid w:val="3D354E40"/>
    <w:rsid w:val="3D89083C"/>
    <w:rsid w:val="3DB334D8"/>
    <w:rsid w:val="3DC70D32"/>
    <w:rsid w:val="3DDE20B0"/>
    <w:rsid w:val="3DF4515D"/>
    <w:rsid w:val="3F2C7A88"/>
    <w:rsid w:val="3F9DE07D"/>
    <w:rsid w:val="3F9F1F66"/>
    <w:rsid w:val="3FEBC632"/>
    <w:rsid w:val="3FF971C7"/>
    <w:rsid w:val="3FFB7B7D"/>
    <w:rsid w:val="40DC1038"/>
    <w:rsid w:val="414673AA"/>
    <w:rsid w:val="41CA7887"/>
    <w:rsid w:val="41CD1FA7"/>
    <w:rsid w:val="42611A02"/>
    <w:rsid w:val="432E5ACC"/>
    <w:rsid w:val="43B77C7B"/>
    <w:rsid w:val="44AB0229"/>
    <w:rsid w:val="45345BC6"/>
    <w:rsid w:val="45CD208A"/>
    <w:rsid w:val="45CF6A3B"/>
    <w:rsid w:val="46D753DF"/>
    <w:rsid w:val="471C3E9C"/>
    <w:rsid w:val="477978CE"/>
    <w:rsid w:val="47925F0D"/>
    <w:rsid w:val="47C27AC8"/>
    <w:rsid w:val="490F3490"/>
    <w:rsid w:val="4A3E26C4"/>
    <w:rsid w:val="4A951417"/>
    <w:rsid w:val="4B4E245B"/>
    <w:rsid w:val="4C3B3017"/>
    <w:rsid w:val="4C495E4F"/>
    <w:rsid w:val="4D317F87"/>
    <w:rsid w:val="4DB152A2"/>
    <w:rsid w:val="4DE24563"/>
    <w:rsid w:val="4ED432AF"/>
    <w:rsid w:val="4F321354"/>
    <w:rsid w:val="4F992F47"/>
    <w:rsid w:val="4FBD53BB"/>
    <w:rsid w:val="514B3CFC"/>
    <w:rsid w:val="51CB1E2B"/>
    <w:rsid w:val="51D620B8"/>
    <w:rsid w:val="52742DDF"/>
    <w:rsid w:val="52A027E3"/>
    <w:rsid w:val="53B37937"/>
    <w:rsid w:val="53BA27F0"/>
    <w:rsid w:val="53F55387"/>
    <w:rsid w:val="54016535"/>
    <w:rsid w:val="55137FB5"/>
    <w:rsid w:val="5555514A"/>
    <w:rsid w:val="55FE3B3D"/>
    <w:rsid w:val="56AB25BE"/>
    <w:rsid w:val="57450C8A"/>
    <w:rsid w:val="588E7913"/>
    <w:rsid w:val="58D03B6F"/>
    <w:rsid w:val="58D2479C"/>
    <w:rsid w:val="5A2478A7"/>
    <w:rsid w:val="5A8E1582"/>
    <w:rsid w:val="5AF251E8"/>
    <w:rsid w:val="5B0C18E3"/>
    <w:rsid w:val="5B91607C"/>
    <w:rsid w:val="5BDC7125"/>
    <w:rsid w:val="5BF81968"/>
    <w:rsid w:val="5C635477"/>
    <w:rsid w:val="5C725FF2"/>
    <w:rsid w:val="5C9127DF"/>
    <w:rsid w:val="5CE22337"/>
    <w:rsid w:val="5CE943C9"/>
    <w:rsid w:val="5CF8004E"/>
    <w:rsid w:val="5D015BB7"/>
    <w:rsid w:val="5E6A153A"/>
    <w:rsid w:val="5EB6477F"/>
    <w:rsid w:val="5EFE7FCF"/>
    <w:rsid w:val="5F037601"/>
    <w:rsid w:val="5F9C3BEA"/>
    <w:rsid w:val="5FE07628"/>
    <w:rsid w:val="5FE95860"/>
    <w:rsid w:val="5FFFE41C"/>
    <w:rsid w:val="60BD525F"/>
    <w:rsid w:val="60E65B81"/>
    <w:rsid w:val="6142043A"/>
    <w:rsid w:val="615545A6"/>
    <w:rsid w:val="619A6518"/>
    <w:rsid w:val="619F774C"/>
    <w:rsid w:val="61CE27FD"/>
    <w:rsid w:val="6219331D"/>
    <w:rsid w:val="628C5836"/>
    <w:rsid w:val="62BB2AA1"/>
    <w:rsid w:val="63CC0BB5"/>
    <w:rsid w:val="63D3268E"/>
    <w:rsid w:val="63D43986"/>
    <w:rsid w:val="64B45FBE"/>
    <w:rsid w:val="65ED4F2A"/>
    <w:rsid w:val="663B05F3"/>
    <w:rsid w:val="664D26E2"/>
    <w:rsid w:val="66DB2FD4"/>
    <w:rsid w:val="67097B6A"/>
    <w:rsid w:val="67177D85"/>
    <w:rsid w:val="67D96740"/>
    <w:rsid w:val="68923B67"/>
    <w:rsid w:val="6942733B"/>
    <w:rsid w:val="6A02377A"/>
    <w:rsid w:val="6A3F6CF5"/>
    <w:rsid w:val="6AED509B"/>
    <w:rsid w:val="6AF60F88"/>
    <w:rsid w:val="6D034738"/>
    <w:rsid w:val="6E6164B5"/>
    <w:rsid w:val="6EB04D47"/>
    <w:rsid w:val="6ED671FE"/>
    <w:rsid w:val="6F316DEE"/>
    <w:rsid w:val="6F393788"/>
    <w:rsid w:val="6FE74F9E"/>
    <w:rsid w:val="7016626F"/>
    <w:rsid w:val="701A674B"/>
    <w:rsid w:val="70600179"/>
    <w:rsid w:val="706F371D"/>
    <w:rsid w:val="7083220B"/>
    <w:rsid w:val="70AA37A5"/>
    <w:rsid w:val="70CE3BAA"/>
    <w:rsid w:val="70D96861"/>
    <w:rsid w:val="711F7B8F"/>
    <w:rsid w:val="73553EB2"/>
    <w:rsid w:val="737255F3"/>
    <w:rsid w:val="73B15B28"/>
    <w:rsid w:val="751CD78A"/>
    <w:rsid w:val="75752846"/>
    <w:rsid w:val="75897D9A"/>
    <w:rsid w:val="759727BC"/>
    <w:rsid w:val="75A14024"/>
    <w:rsid w:val="76053BCA"/>
    <w:rsid w:val="760B650F"/>
    <w:rsid w:val="76143EAF"/>
    <w:rsid w:val="76354E9F"/>
    <w:rsid w:val="76C83706"/>
    <w:rsid w:val="76E7518C"/>
    <w:rsid w:val="7747248A"/>
    <w:rsid w:val="77504D55"/>
    <w:rsid w:val="77D721CC"/>
    <w:rsid w:val="78146346"/>
    <w:rsid w:val="78C91B36"/>
    <w:rsid w:val="78CF71CF"/>
    <w:rsid w:val="79020895"/>
    <w:rsid w:val="790928BD"/>
    <w:rsid w:val="796B12AA"/>
    <w:rsid w:val="7B205002"/>
    <w:rsid w:val="7B4D4387"/>
    <w:rsid w:val="7B817C23"/>
    <w:rsid w:val="7C4A078A"/>
    <w:rsid w:val="7DB776A4"/>
    <w:rsid w:val="7DF504BC"/>
    <w:rsid w:val="7DFC3B04"/>
    <w:rsid w:val="7E1136DA"/>
    <w:rsid w:val="7E59722B"/>
    <w:rsid w:val="7E923523"/>
    <w:rsid w:val="7EA60BA2"/>
    <w:rsid w:val="7ED9045D"/>
    <w:rsid w:val="7F095E80"/>
    <w:rsid w:val="7FAB2823"/>
    <w:rsid w:val="7FFE2113"/>
    <w:rsid w:val="A7FEB81A"/>
    <w:rsid w:val="AFFE6D56"/>
    <w:rsid w:val="BABFD2F3"/>
    <w:rsid w:val="BBFF2853"/>
    <w:rsid w:val="BFAEEBA2"/>
    <w:rsid w:val="CBE79ADE"/>
    <w:rsid w:val="CDB5531A"/>
    <w:rsid w:val="ECCAC105"/>
    <w:rsid w:val="FEB7EBFD"/>
    <w:rsid w:val="FFEDA1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2"/>
    <w:qFormat/>
    <w:uiPriority w:val="9"/>
    <w:pPr>
      <w:spacing w:before="100" w:beforeAutospacing="1" w:after="100" w:afterAutospacing="1"/>
      <w:jc w:val="center"/>
      <w:outlineLvl w:val="0"/>
    </w:pPr>
    <w:rPr>
      <w:rFonts w:ascii="宋体" w:hAnsi="宋体" w:eastAsia="宋体" w:cs="宋体"/>
      <w:b/>
      <w:bCs/>
      <w:kern w:val="36"/>
      <w:sz w:val="36"/>
      <w:szCs w:val="48"/>
    </w:rPr>
  </w:style>
  <w:style w:type="paragraph" w:styleId="4">
    <w:name w:val="heading 2"/>
    <w:basedOn w:val="1"/>
    <w:next w:val="1"/>
    <w:link w:val="23"/>
    <w:unhideWhenUsed/>
    <w:qFormat/>
    <w:uiPriority w:val="0"/>
    <w:pPr>
      <w:keepNext/>
      <w:keepLines/>
      <w:spacing w:before="260" w:after="260" w:line="413" w:lineRule="auto"/>
      <w:outlineLvl w:val="1"/>
    </w:pPr>
    <w:rPr>
      <w:rFonts w:ascii="Arial" w:hAnsi="Arial" w:eastAsia="宋体"/>
      <w:b/>
      <w:sz w:val="28"/>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pacing w:line="312" w:lineRule="atLeast"/>
      <w:ind w:firstLine="420"/>
      <w:textAlignment w:val="baseline"/>
    </w:pPr>
    <w:rPr>
      <w:kern w:val="0"/>
      <w:szCs w:val="20"/>
    </w:rPr>
  </w:style>
  <w:style w:type="paragraph" w:styleId="6">
    <w:name w:val="annotation text"/>
    <w:basedOn w:val="1"/>
    <w:link w:val="30"/>
    <w:qFormat/>
    <w:uiPriority w:val="0"/>
    <w:pPr>
      <w:jc w:val="left"/>
    </w:pPr>
  </w:style>
  <w:style w:type="paragraph" w:styleId="7">
    <w:name w:val="Body Text"/>
    <w:basedOn w:val="1"/>
    <w:next w:val="8"/>
    <w:link w:val="37"/>
    <w:unhideWhenUsed/>
    <w:qFormat/>
    <w:uiPriority w:val="99"/>
    <w:pPr>
      <w:spacing w:after="120"/>
    </w:pPr>
  </w:style>
  <w:style w:type="paragraph" w:styleId="8">
    <w:name w:val="Body Text First Indent"/>
    <w:basedOn w:val="7"/>
    <w:next w:val="1"/>
    <w:link w:val="36"/>
    <w:qFormat/>
    <w:uiPriority w:val="0"/>
    <w:pPr>
      <w:ind w:firstLine="420" w:firstLineChars="100"/>
    </w:pPr>
    <w:rPr>
      <w:rFonts w:ascii="Arial" w:hAnsi="Arial" w:eastAsia="宋体" w:cs="Times New Roman"/>
      <w:sz w:val="28"/>
    </w:rPr>
  </w:style>
  <w:style w:type="paragraph" w:styleId="9">
    <w:name w:val="Body Text Indent"/>
    <w:basedOn w:val="1"/>
    <w:link w:val="35"/>
    <w:qFormat/>
    <w:uiPriority w:val="0"/>
    <w:pPr>
      <w:spacing w:line="200" w:lineRule="atLeast"/>
      <w:ind w:firstLine="301"/>
    </w:pPr>
    <w:rPr>
      <w:rFonts w:ascii="宋体" w:hAnsi="Courier New"/>
      <w:spacing w:val="-4"/>
      <w:sz w:val="18"/>
      <w:szCs w:val="20"/>
    </w:rPr>
  </w:style>
  <w:style w:type="paragraph" w:styleId="10">
    <w:name w:val="Balloon Text"/>
    <w:basedOn w:val="1"/>
    <w:link w:val="32"/>
    <w:qFormat/>
    <w:uiPriority w:val="0"/>
    <w:rPr>
      <w:sz w:val="18"/>
      <w:szCs w:val="18"/>
    </w:rPr>
  </w:style>
  <w:style w:type="paragraph" w:styleId="11">
    <w:name w:val="footer"/>
    <w:basedOn w:val="1"/>
    <w:link w:val="29"/>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15">
    <w:name w:val="annotation subject"/>
    <w:basedOn w:val="6"/>
    <w:next w:val="6"/>
    <w:link w:val="31"/>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样式 标题 1 + 四号 加粗"/>
    <w:basedOn w:val="14"/>
    <w:next w:val="3"/>
    <w:qFormat/>
    <w:uiPriority w:val="0"/>
    <w:pPr>
      <w:spacing w:before="100" w:beforeAutospacing="1" w:after="100" w:afterAutospacing="1"/>
    </w:pPr>
    <w:rPr>
      <w:rFonts w:ascii="宋体" w:hAnsi="宋体" w:eastAsia="黑体" w:cs="宋体"/>
      <w:bCs/>
      <w:kern w:val="36"/>
      <w:sz w:val="36"/>
      <w:szCs w:val="48"/>
    </w:rPr>
  </w:style>
  <w:style w:type="character" w:customStyle="1" w:styleId="23">
    <w:name w:val="标题 2 字符"/>
    <w:link w:val="4"/>
    <w:qFormat/>
    <w:uiPriority w:val="0"/>
    <w:rPr>
      <w:rFonts w:ascii="Arial" w:hAnsi="Arial" w:eastAsia="宋体"/>
      <w:b/>
      <w:sz w:val="28"/>
    </w:rPr>
  </w:style>
  <w:style w:type="paragraph" w:customStyle="1" w:styleId="24">
    <w:name w:val="列出段落1"/>
    <w:basedOn w:val="1"/>
    <w:qFormat/>
    <w:uiPriority w:val="0"/>
    <w:pPr>
      <w:ind w:firstLine="420" w:firstLineChars="200"/>
    </w:pPr>
  </w:style>
  <w:style w:type="character" w:customStyle="1" w:styleId="25">
    <w:name w:val="font11"/>
    <w:basedOn w:val="18"/>
    <w:qFormat/>
    <w:uiPriority w:val="0"/>
    <w:rPr>
      <w:rFonts w:hint="eastAsia" w:ascii="宋体" w:hAnsi="宋体" w:eastAsia="宋体" w:cs="宋体"/>
      <w:b/>
      <w:color w:val="000000"/>
      <w:sz w:val="22"/>
      <w:szCs w:val="22"/>
      <w:u w:val="none"/>
    </w:rPr>
  </w:style>
  <w:style w:type="character" w:customStyle="1" w:styleId="26">
    <w:name w:val="font01"/>
    <w:basedOn w:val="18"/>
    <w:qFormat/>
    <w:uiPriority w:val="0"/>
    <w:rPr>
      <w:rFonts w:hint="eastAsia" w:ascii="宋体" w:hAnsi="宋体" w:eastAsia="宋体" w:cs="宋体"/>
      <w:color w:val="000000"/>
      <w:sz w:val="22"/>
      <w:szCs w:val="22"/>
      <w:u w:val="none"/>
    </w:rPr>
  </w:style>
  <w:style w:type="paragraph" w:customStyle="1" w:styleId="2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8">
    <w:name w:val="列出段落2"/>
    <w:basedOn w:val="1"/>
    <w:qFormat/>
    <w:uiPriority w:val="99"/>
    <w:pPr>
      <w:ind w:firstLine="420" w:firstLineChars="200"/>
    </w:pPr>
  </w:style>
  <w:style w:type="character" w:customStyle="1" w:styleId="29">
    <w:name w:val="页脚 字符"/>
    <w:basedOn w:val="18"/>
    <w:link w:val="11"/>
    <w:qFormat/>
    <w:uiPriority w:val="99"/>
    <w:rPr>
      <w:rFonts w:asciiTheme="minorHAnsi" w:hAnsiTheme="minorHAnsi" w:eastAsiaTheme="minorEastAsia" w:cstheme="minorBidi"/>
      <w:kern w:val="2"/>
      <w:sz w:val="18"/>
      <w:szCs w:val="22"/>
    </w:rPr>
  </w:style>
  <w:style w:type="character" w:customStyle="1" w:styleId="30">
    <w:name w:val="批注文字 字符"/>
    <w:basedOn w:val="18"/>
    <w:link w:val="6"/>
    <w:qFormat/>
    <w:uiPriority w:val="0"/>
    <w:rPr>
      <w:rFonts w:asciiTheme="minorHAnsi" w:hAnsiTheme="minorHAnsi" w:eastAsiaTheme="minorEastAsia" w:cstheme="minorBidi"/>
      <w:kern w:val="2"/>
      <w:sz w:val="21"/>
      <w:szCs w:val="22"/>
    </w:rPr>
  </w:style>
  <w:style w:type="character" w:customStyle="1" w:styleId="31">
    <w:name w:val="批注主题 字符"/>
    <w:basedOn w:val="30"/>
    <w:link w:val="15"/>
    <w:qFormat/>
    <w:uiPriority w:val="0"/>
    <w:rPr>
      <w:rFonts w:asciiTheme="minorHAnsi" w:hAnsiTheme="minorHAnsi" w:eastAsiaTheme="minorEastAsia" w:cstheme="minorBidi"/>
      <w:b/>
      <w:bCs/>
      <w:kern w:val="2"/>
      <w:sz w:val="21"/>
      <w:szCs w:val="22"/>
    </w:rPr>
  </w:style>
  <w:style w:type="character" w:customStyle="1" w:styleId="32">
    <w:name w:val="批注框文本 字符"/>
    <w:basedOn w:val="18"/>
    <w:link w:val="10"/>
    <w:qFormat/>
    <w:uiPriority w:val="0"/>
    <w:rPr>
      <w:rFonts w:asciiTheme="minorHAnsi" w:hAnsiTheme="minorHAnsi" w:eastAsiaTheme="minorEastAsia" w:cstheme="minorBidi"/>
      <w:kern w:val="2"/>
      <w:sz w:val="18"/>
      <w:szCs w:val="18"/>
    </w:rPr>
  </w:style>
  <w:style w:type="paragraph" w:customStyle="1" w:styleId="3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4">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正文文本缩进 字符"/>
    <w:basedOn w:val="18"/>
    <w:link w:val="9"/>
    <w:qFormat/>
    <w:uiPriority w:val="0"/>
    <w:rPr>
      <w:rFonts w:ascii="宋体" w:hAnsi="Courier New" w:eastAsiaTheme="minorEastAsia" w:cstheme="minorBidi"/>
      <w:spacing w:val="-4"/>
      <w:kern w:val="2"/>
      <w:sz w:val="18"/>
    </w:rPr>
  </w:style>
  <w:style w:type="character" w:customStyle="1" w:styleId="36">
    <w:name w:val="正文首行缩进 字符"/>
    <w:basedOn w:val="18"/>
    <w:link w:val="8"/>
    <w:qFormat/>
    <w:uiPriority w:val="0"/>
    <w:rPr>
      <w:rFonts w:ascii="Arial" w:hAnsi="Arial"/>
      <w:kern w:val="2"/>
      <w:sz w:val="28"/>
      <w:szCs w:val="22"/>
    </w:rPr>
  </w:style>
  <w:style w:type="character" w:customStyle="1" w:styleId="37">
    <w:name w:val="正文文本 字符"/>
    <w:basedOn w:val="18"/>
    <w:link w:val="7"/>
    <w:qFormat/>
    <w:uiPriority w:val="99"/>
    <w:rPr>
      <w:rFonts w:asciiTheme="minorHAnsi" w:hAnsiTheme="minorHAnsi" w:eastAsiaTheme="minorEastAsia" w:cstheme="minorBidi"/>
      <w:kern w:val="2"/>
      <w:sz w:val="21"/>
      <w:szCs w:val="22"/>
    </w:rPr>
  </w:style>
  <w:style w:type="paragraph" w:customStyle="1" w:styleId="38">
    <w:name w:val="纯文本2"/>
    <w:basedOn w:val="1"/>
    <w:qFormat/>
    <w:uiPriority w:val="0"/>
    <w:rPr>
      <w:rFonts w:ascii="宋体" w:hAnsi="Courier New" w:eastAsia="宋体" w:cs="Times New Roman"/>
      <w:kern w:val="0"/>
      <w:sz w:val="20"/>
      <w:szCs w:val="21"/>
    </w:rPr>
  </w:style>
  <w:style w:type="character" w:customStyle="1" w:styleId="39">
    <w:name w:val="标题 1 字符"/>
    <w:basedOn w:val="18"/>
    <w:qFormat/>
    <w:uiPriority w:val="9"/>
    <w:rPr>
      <w:rFonts w:ascii="宋体" w:hAnsi="宋体" w:cs="宋体"/>
      <w:b/>
      <w:bCs/>
      <w:kern w:val="36"/>
      <w:sz w:val="36"/>
      <w:szCs w:val="48"/>
    </w:rPr>
  </w:style>
  <w:style w:type="paragraph" w:customStyle="1" w:styleId="40">
    <w:name w:val="_Style 2"/>
    <w:basedOn w:val="1"/>
    <w:qFormat/>
    <w:uiPriority w:val="34"/>
    <w:pPr>
      <w:spacing w:before="100" w:beforeAutospacing="1" w:after="100" w:afterAutospacing="1" w:line="300" w:lineRule="auto"/>
      <w:ind w:firstLine="420" w:firstLineChars="200"/>
    </w:pPr>
    <w:rPr>
      <w:rFonts w:ascii="Calibri" w:hAnsi="Calibri" w:eastAsia="宋体" w:cs="Times New Roman"/>
    </w:rPr>
  </w:style>
  <w:style w:type="table" w:customStyle="1" w:styleId="41">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42">
    <w:name w:val="标题 1 字符1"/>
    <w:link w:val="3"/>
    <w:qFormat/>
    <w:uiPriority w:val="0"/>
    <w:rPr>
      <w:b/>
      <w:bCs/>
      <w:kern w:val="44"/>
      <w:sz w:val="44"/>
      <w:szCs w:val="44"/>
    </w:rPr>
  </w:style>
  <w:style w:type="character" w:customStyle="1" w:styleId="43">
    <w:name w:val="font31"/>
    <w:basedOn w:val="18"/>
    <w:qFormat/>
    <w:uiPriority w:val="0"/>
    <w:rPr>
      <w:rFonts w:hint="eastAsia" w:ascii="黑体" w:hAnsi="宋体" w:eastAsia="黑体" w:cs="黑体"/>
      <w:color w:val="000000"/>
      <w:sz w:val="20"/>
      <w:szCs w:val="20"/>
      <w:u w:val="single"/>
    </w:rPr>
  </w:style>
  <w:style w:type="character" w:customStyle="1" w:styleId="44">
    <w:name w:val="font21"/>
    <w:basedOn w:val="18"/>
    <w:qFormat/>
    <w:uiPriority w:val="0"/>
    <w:rPr>
      <w:rFonts w:hint="eastAsia" w:ascii="宋体" w:hAnsi="宋体" w:eastAsia="宋体" w:cs="宋体"/>
      <w:color w:val="000000"/>
      <w:sz w:val="21"/>
      <w:szCs w:val="21"/>
      <w:u w:val="none"/>
    </w:rPr>
  </w:style>
  <w:style w:type="paragraph" w:customStyle="1" w:styleId="45">
    <w:name w:val="_Style 5"/>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3958D5-C056-4F1E-8D78-4E7B6E999D29}">
  <ds:schemaRefs/>
</ds:datastoreItem>
</file>

<file path=docProps/app.xml><?xml version="1.0" encoding="utf-8"?>
<Properties xmlns="http://schemas.openxmlformats.org/officeDocument/2006/extended-properties" xmlns:vt="http://schemas.openxmlformats.org/officeDocument/2006/docPropsVTypes">
  <Template>Normal</Template>
  <Pages>43</Pages>
  <Words>5361</Words>
  <Characters>5734</Characters>
  <Lines>148</Lines>
  <Paragraphs>41</Paragraphs>
  <TotalTime>51</TotalTime>
  <ScaleCrop>false</ScaleCrop>
  <LinksUpToDate>false</LinksUpToDate>
  <CharactersWithSpaces>5959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2020-11-20T11:47:00Z</dcterms:created>
  <dc:creator>Administrator</dc:creator>
  <cp:lastModifiedBy>xwd</cp:lastModifiedBy>
  <cp:lastPrinted>2025-11-07T08:43:00Z</cp:lastPrinted>
  <dcterms:modified xsi:type="dcterms:W3CDTF">2026-01-27T07:01:23Z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3CAE21DCC0E2490A877D549C247A1CFC</vt:lpwstr>
  </property>
  <property fmtid="{D5CDD505-2E9C-101B-9397-08002B2CF9AE}" pid="4" name="KSOTemplateDocerSaveRecord">
    <vt:lpwstr>eyJoZGlkIjoiMDk1Y2IyYzIxNjMwNTQ3MGI3ZTc2NjgzZjYyZGU1YzgiLCJ1c2VySWQiOiI0ODM3MDM3MjEifQ==</vt:lpwstr>
  </property>
</Properties>
</file>