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3F738">
      <w:pPr>
        <w:snapToGrid w:val="0"/>
        <w:spacing w:before="312" w:beforeLines="100" w:after="156" w:afterLines="50"/>
        <w:jc w:val="center"/>
        <w:rPr>
          <w:rFonts w:ascii="仿宋" w:hAnsi="仿宋" w:eastAsia="仿宋"/>
          <w:b/>
          <w:bCs/>
          <w:color w:val="auto"/>
          <w:sz w:val="30"/>
          <w:szCs w:val="30"/>
          <w:highlight w:val="none"/>
        </w:rPr>
      </w:pPr>
      <w:r>
        <w:rPr>
          <w:rFonts w:hint="eastAsia" w:ascii="仿宋" w:hAnsi="仿宋" w:eastAsia="仿宋"/>
          <w:b/>
          <w:bCs/>
          <w:color w:val="auto"/>
          <w:sz w:val="36"/>
          <w:szCs w:val="36"/>
          <w:highlight w:val="none"/>
        </w:rPr>
        <w:t>合同主要条款</w:t>
      </w:r>
    </w:p>
    <w:p w14:paraId="13D2B121">
      <w:pPr>
        <w:widowControl/>
        <w:snapToGrid w:val="0"/>
        <w:spacing w:line="36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项目名称：                                     项目编号：</w:t>
      </w:r>
    </w:p>
    <w:p w14:paraId="2DBB5D6A">
      <w:pPr>
        <w:widowControl/>
        <w:snapToGrid w:val="0"/>
        <w:spacing w:line="36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甲方：（采购人）</w:t>
      </w:r>
      <w:r>
        <w:rPr>
          <w:rFonts w:hint="eastAsia" w:ascii="仿宋_GB2312" w:hAnsi="宋体" w:eastAsia="仿宋_GB2312" w:cs="Arial"/>
          <w:color w:val="auto"/>
          <w:kern w:val="0"/>
          <w:sz w:val="24"/>
          <w:highlight w:val="none"/>
          <w:lang w:val="en-US" w:eastAsia="zh-CN"/>
        </w:rPr>
        <w:t xml:space="preserve">                               </w:t>
      </w:r>
      <w:r>
        <w:rPr>
          <w:rFonts w:hint="eastAsia" w:ascii="仿宋_GB2312" w:hAnsi="宋体" w:eastAsia="仿宋_GB2312" w:cs="Arial"/>
          <w:color w:val="auto"/>
          <w:kern w:val="0"/>
          <w:sz w:val="24"/>
          <w:highlight w:val="none"/>
        </w:rPr>
        <w:t>乙方：（中标供应商）</w:t>
      </w:r>
    </w:p>
    <w:p w14:paraId="271191EA">
      <w:pPr>
        <w:widowControl/>
        <w:snapToGrid w:val="0"/>
        <w:spacing w:line="360" w:lineRule="exact"/>
        <w:ind w:firstLine="480" w:firstLineChars="200"/>
        <w:jc w:val="left"/>
        <w:rPr>
          <w:rFonts w:ascii="仿宋_GB2312" w:eastAsia="仿宋_GB2312"/>
          <w:color w:val="auto"/>
          <w:sz w:val="24"/>
          <w:highlight w:val="none"/>
        </w:rPr>
      </w:pPr>
      <w:r>
        <w:rPr>
          <w:rFonts w:hint="eastAsia" w:ascii="仿宋_GB2312" w:hAnsi="宋体" w:eastAsia="仿宋_GB2312" w:cs="Arial"/>
          <w:color w:val="auto"/>
          <w:kern w:val="0"/>
          <w:sz w:val="24"/>
          <w:highlight w:val="none"/>
        </w:rPr>
        <w:t>根据</w:t>
      </w:r>
      <w:r>
        <w:rPr>
          <w:rFonts w:hint="eastAsia" w:ascii="仿宋_GB2312" w:eastAsia="仿宋_GB2312"/>
          <w:color w:val="auto"/>
          <w:sz w:val="24"/>
          <w:highlight w:val="none"/>
          <w:lang w:eastAsia="zh-CN"/>
        </w:rPr>
        <w:t>浙江广通工程咨询有限公司</w:t>
      </w:r>
      <w:r>
        <w:rPr>
          <w:rFonts w:hint="eastAsia" w:ascii="仿宋_GB2312" w:hAnsi="宋体" w:eastAsia="仿宋_GB2312" w:cs="Arial"/>
          <w:color w:val="auto"/>
          <w:kern w:val="0"/>
          <w:sz w:val="24"/>
          <w:highlight w:val="none"/>
        </w:rPr>
        <w:t>关于</w:t>
      </w:r>
      <w:r>
        <w:rPr>
          <w:rFonts w:hint="eastAsia" w:ascii="仿宋_GB2312" w:eastAsia="仿宋_GB2312"/>
          <w:color w:val="auto"/>
          <w:sz w:val="24"/>
          <w:highlight w:val="none"/>
          <w:u w:val="single"/>
        </w:rPr>
        <w:t xml:space="preserve"> </w:t>
      </w:r>
      <w:r>
        <w:rPr>
          <w:rFonts w:hint="eastAsia" w:ascii="仿宋_GB2312" w:eastAsia="仿宋_GB2312"/>
          <w:color w:val="auto"/>
          <w:sz w:val="24"/>
          <w:highlight w:val="none"/>
          <w:u w:val="single"/>
          <w:lang w:eastAsia="zh-CN"/>
        </w:rPr>
        <w:t xml:space="preserve">天台山风景名胜区总体规划评估与修编及旅游交通专项设计 </w:t>
      </w:r>
      <w:r>
        <w:rPr>
          <w:rFonts w:hint="eastAsia" w:ascii="仿宋_GB2312" w:eastAsia="仿宋_GB2312"/>
          <w:color w:val="auto"/>
          <w:sz w:val="24"/>
          <w:highlight w:val="none"/>
        </w:rPr>
        <w:t>公开招标的结果签署本合同。</w:t>
      </w:r>
    </w:p>
    <w:p w14:paraId="709F5E78">
      <w:pPr>
        <w:widowControl/>
        <w:snapToGrid w:val="0"/>
        <w:spacing w:line="360" w:lineRule="exact"/>
        <w:ind w:firstLine="482" w:firstLineChars="200"/>
        <w:jc w:val="left"/>
        <w:rPr>
          <w:rFonts w:ascii="Arial" w:hAnsi="Arial" w:cs="Arial"/>
          <w:color w:val="auto"/>
          <w:kern w:val="0"/>
          <w:sz w:val="14"/>
          <w:szCs w:val="14"/>
          <w:highlight w:val="none"/>
        </w:rPr>
      </w:pPr>
      <w:r>
        <w:rPr>
          <w:rFonts w:hint="eastAsia" w:ascii="仿宋_GB2312" w:hAnsi="宋体" w:eastAsia="仿宋_GB2312" w:cs="Arial"/>
          <w:b/>
          <w:color w:val="auto"/>
          <w:kern w:val="0"/>
          <w:sz w:val="24"/>
          <w:highlight w:val="none"/>
        </w:rPr>
        <w:t>一、合同履行时间、履行方式及履行地点</w:t>
      </w:r>
    </w:p>
    <w:p w14:paraId="550F4F87">
      <w:pPr>
        <w:widowControl/>
        <w:snapToGrid w:val="0"/>
        <w:spacing w:line="360" w:lineRule="exact"/>
        <w:ind w:firstLine="480" w:firstLineChars="200"/>
        <w:jc w:val="left"/>
        <w:rPr>
          <w:rFonts w:hint="default" w:ascii="Arial" w:hAnsi="Arial" w:eastAsia="仿宋_GB2312" w:cs="Arial"/>
          <w:color w:val="auto"/>
          <w:kern w:val="0"/>
          <w:sz w:val="14"/>
          <w:szCs w:val="14"/>
          <w:highlight w:val="none"/>
          <w:lang w:val="en-US" w:eastAsia="zh-CN"/>
        </w:rPr>
      </w:pPr>
      <w:r>
        <w:rPr>
          <w:rFonts w:hint="eastAsia" w:ascii="仿宋_GB2312" w:hAnsi="宋体" w:eastAsia="仿宋_GB2312" w:cs="Arial"/>
          <w:color w:val="auto"/>
          <w:kern w:val="0"/>
          <w:sz w:val="24"/>
          <w:highlight w:val="none"/>
        </w:rPr>
        <w:t>1.1 服务内容：</w:t>
      </w:r>
      <w:r>
        <w:rPr>
          <w:rFonts w:hint="eastAsia" w:ascii="仿宋_GB2312" w:hAnsi="宋体" w:eastAsia="仿宋_GB2312" w:cs="Arial"/>
          <w:color w:val="auto"/>
          <w:kern w:val="0"/>
          <w:sz w:val="24"/>
          <w:highlight w:val="none"/>
          <w:lang w:val="en-US" w:eastAsia="zh-CN"/>
        </w:rPr>
        <w:t>详见招标文件</w:t>
      </w:r>
    </w:p>
    <w:p w14:paraId="667C53A4">
      <w:pPr>
        <w:widowControl/>
        <w:snapToGrid w:val="0"/>
        <w:spacing w:line="360" w:lineRule="exact"/>
        <w:ind w:firstLine="480" w:firstLineChars="200"/>
        <w:jc w:val="left"/>
        <w:rPr>
          <w:rFonts w:hint="default" w:ascii="Arial" w:hAnsi="Arial" w:eastAsia="仿宋_GB2312" w:cs="Arial"/>
          <w:color w:val="auto"/>
          <w:kern w:val="0"/>
          <w:sz w:val="14"/>
          <w:szCs w:val="14"/>
          <w:highlight w:val="none"/>
          <w:lang w:val="en-US" w:eastAsia="zh-CN"/>
        </w:rPr>
      </w:pPr>
      <w:r>
        <w:rPr>
          <w:rFonts w:hint="eastAsia" w:ascii="仿宋_GB2312" w:hAnsi="宋体" w:eastAsia="仿宋_GB2312" w:cs="Arial"/>
          <w:color w:val="auto"/>
          <w:kern w:val="0"/>
          <w:sz w:val="24"/>
          <w:highlight w:val="none"/>
        </w:rPr>
        <w:t>1.2 服务期限：</w:t>
      </w:r>
      <w:r>
        <w:rPr>
          <w:rFonts w:hint="eastAsia" w:ascii="仿宋_GB2312" w:hAnsi="·ÂËÎ_GB2312" w:eastAsia="仿宋_GB2312" w:cs="仿宋_GB2312"/>
          <w:color w:val="auto"/>
          <w:sz w:val="24"/>
          <w:szCs w:val="24"/>
          <w:highlight w:val="none"/>
          <w:lang w:val="en-US" w:eastAsia="zh-CN"/>
        </w:rPr>
        <w:t>详见招标文件</w:t>
      </w:r>
    </w:p>
    <w:p w14:paraId="1A73D9B6">
      <w:pPr>
        <w:widowControl/>
        <w:snapToGrid w:val="0"/>
        <w:spacing w:line="36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Arial"/>
          <w:bCs/>
          <w:color w:val="auto"/>
          <w:kern w:val="0"/>
          <w:sz w:val="24"/>
          <w:highlight w:val="none"/>
        </w:rPr>
        <w:t xml:space="preserve">1.3 </w:t>
      </w:r>
      <w:r>
        <w:rPr>
          <w:rFonts w:hint="eastAsia" w:ascii="仿宋_GB2312" w:hAnsi="宋体" w:eastAsia="仿宋_GB2312" w:cs="Arial"/>
          <w:color w:val="auto"/>
          <w:kern w:val="0"/>
          <w:sz w:val="24"/>
          <w:highlight w:val="none"/>
        </w:rPr>
        <w:t>服务时间</w:t>
      </w:r>
      <w:r>
        <w:rPr>
          <w:rFonts w:hint="eastAsia" w:ascii="仿宋_GB2312" w:hAnsi="宋体" w:eastAsia="仿宋_GB2312" w:cs="Arial"/>
          <w:bCs/>
          <w:color w:val="auto"/>
          <w:kern w:val="0"/>
          <w:sz w:val="24"/>
          <w:highlight w:val="none"/>
        </w:rPr>
        <w:t>：</w:t>
      </w:r>
      <w:r>
        <w:rPr>
          <w:rFonts w:hint="eastAsia" w:ascii="仿宋_GB2312" w:hAnsi="·ÂËÎ_GB2312" w:eastAsia="仿宋_GB2312" w:cs="仿宋_GB2312"/>
          <w:color w:val="auto"/>
          <w:sz w:val="24"/>
          <w:szCs w:val="24"/>
          <w:highlight w:val="none"/>
        </w:rPr>
        <w:t>自合同签订之日起</w:t>
      </w:r>
      <w:r>
        <w:rPr>
          <w:rFonts w:hint="eastAsia" w:ascii="仿宋_GB2312" w:hAnsi="·ÂËÎ_GB2312" w:eastAsia="仿宋_GB2312" w:cs="仿宋_GB2312"/>
          <w:color w:val="auto"/>
          <w:sz w:val="24"/>
          <w:szCs w:val="24"/>
          <w:highlight w:val="none"/>
          <w:lang w:eastAsia="zh-CN"/>
        </w:rPr>
        <w:t>一年</w:t>
      </w:r>
      <w:r>
        <w:rPr>
          <w:rFonts w:hint="eastAsia" w:ascii="仿宋_GB2312" w:hAnsi="·ÂËÎ_GB2312" w:eastAsia="仿宋_GB2312" w:cs="仿宋_GB2312"/>
          <w:color w:val="auto"/>
          <w:sz w:val="24"/>
          <w:szCs w:val="24"/>
          <w:highlight w:val="none"/>
        </w:rPr>
        <w:t>内递交最终成果。</w:t>
      </w:r>
    </w:p>
    <w:p w14:paraId="591E9C33">
      <w:pPr>
        <w:widowControl/>
        <w:snapToGrid w:val="0"/>
        <w:spacing w:line="36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Arial"/>
          <w:bCs/>
          <w:color w:val="auto"/>
          <w:kern w:val="0"/>
          <w:sz w:val="24"/>
          <w:highlight w:val="none"/>
        </w:rPr>
        <w:t xml:space="preserve">1.4 </w:t>
      </w:r>
      <w:r>
        <w:rPr>
          <w:rFonts w:hint="eastAsia" w:ascii="仿宋_GB2312" w:hAnsi="宋体" w:eastAsia="仿宋_GB2312" w:cs="Arial"/>
          <w:color w:val="auto"/>
          <w:kern w:val="0"/>
          <w:sz w:val="24"/>
          <w:highlight w:val="none"/>
        </w:rPr>
        <w:t>服务方式</w:t>
      </w:r>
      <w:r>
        <w:rPr>
          <w:rFonts w:hint="eastAsia" w:ascii="仿宋_GB2312" w:hAnsi="宋体" w:eastAsia="仿宋_GB2312" w:cs="Arial"/>
          <w:bCs/>
          <w:color w:val="auto"/>
          <w:kern w:val="0"/>
          <w:sz w:val="24"/>
          <w:highlight w:val="none"/>
        </w:rPr>
        <w:t>：</w:t>
      </w:r>
      <w:r>
        <w:rPr>
          <w:rFonts w:hint="eastAsia" w:ascii="仿宋_GB2312" w:hAnsi="·ÂËÎ_GB2312" w:eastAsia="仿宋_GB2312" w:cs="仿宋_GB2312"/>
          <w:color w:val="auto"/>
          <w:sz w:val="24"/>
          <w:szCs w:val="24"/>
          <w:highlight w:val="none"/>
          <w:lang w:val="en-US" w:eastAsia="zh-CN"/>
        </w:rPr>
        <w:t>详见招标文件</w:t>
      </w:r>
    </w:p>
    <w:p w14:paraId="34CF5BA9">
      <w:pPr>
        <w:widowControl/>
        <w:snapToGrid w:val="0"/>
        <w:spacing w:line="360" w:lineRule="exact"/>
        <w:ind w:firstLine="480" w:firstLineChars="200"/>
        <w:jc w:val="left"/>
        <w:rPr>
          <w:rFonts w:hint="default" w:ascii="Arial" w:hAnsi="Arial" w:cs="Arial"/>
          <w:color w:val="auto"/>
          <w:kern w:val="0"/>
          <w:sz w:val="14"/>
          <w:szCs w:val="14"/>
          <w:highlight w:val="none"/>
          <w:lang w:val="en-US"/>
        </w:rPr>
      </w:pPr>
      <w:r>
        <w:rPr>
          <w:rFonts w:hint="eastAsia" w:ascii="仿宋_GB2312" w:hAnsi="宋体" w:eastAsia="仿宋_GB2312" w:cs="Arial"/>
          <w:bCs/>
          <w:color w:val="auto"/>
          <w:kern w:val="0"/>
          <w:sz w:val="24"/>
          <w:highlight w:val="none"/>
        </w:rPr>
        <w:t xml:space="preserve">1.5 </w:t>
      </w:r>
      <w:r>
        <w:rPr>
          <w:rFonts w:hint="eastAsia" w:ascii="仿宋_GB2312" w:hAnsi="宋体" w:eastAsia="仿宋_GB2312" w:cs="Arial"/>
          <w:color w:val="auto"/>
          <w:kern w:val="0"/>
          <w:sz w:val="24"/>
          <w:highlight w:val="none"/>
        </w:rPr>
        <w:t>服务地点</w:t>
      </w:r>
      <w:r>
        <w:rPr>
          <w:rFonts w:hint="eastAsia" w:ascii="仿宋_GB2312" w:hAnsi="宋体" w:eastAsia="仿宋_GB2312" w:cs="Arial"/>
          <w:bCs/>
          <w:color w:val="auto"/>
          <w:kern w:val="0"/>
          <w:sz w:val="24"/>
          <w:highlight w:val="none"/>
        </w:rPr>
        <w:t>：</w:t>
      </w:r>
      <w:r>
        <w:rPr>
          <w:rFonts w:hint="eastAsia" w:ascii="仿宋_GB2312" w:hAnsi="·ÂËÎ_GB2312" w:eastAsia="仿宋_GB2312" w:cs="仿宋_GB2312"/>
          <w:color w:val="auto"/>
          <w:sz w:val="24"/>
          <w:szCs w:val="24"/>
          <w:highlight w:val="none"/>
          <w:lang w:val="en-US" w:eastAsia="zh-CN"/>
        </w:rPr>
        <w:t>详见招标文件</w:t>
      </w:r>
    </w:p>
    <w:p w14:paraId="1E8BFDF8">
      <w:pPr>
        <w:widowControl/>
        <w:snapToGrid w:val="0"/>
        <w:spacing w:line="360" w:lineRule="exact"/>
        <w:ind w:firstLine="482" w:firstLineChars="200"/>
        <w:jc w:val="left"/>
        <w:rPr>
          <w:rFonts w:ascii="Arial" w:hAnsi="Arial" w:cs="Arial"/>
          <w:color w:val="auto"/>
          <w:kern w:val="0"/>
          <w:sz w:val="14"/>
          <w:szCs w:val="14"/>
          <w:highlight w:val="none"/>
        </w:rPr>
      </w:pPr>
      <w:r>
        <w:rPr>
          <w:rFonts w:hint="eastAsia" w:ascii="仿宋_GB2312" w:hAnsi="宋体" w:eastAsia="仿宋_GB2312" w:cs="Arial"/>
          <w:b/>
          <w:color w:val="auto"/>
          <w:kern w:val="0"/>
          <w:sz w:val="24"/>
          <w:highlight w:val="none"/>
        </w:rPr>
        <w:t>二、服务报酬</w:t>
      </w:r>
    </w:p>
    <w:p w14:paraId="2FFC37B9">
      <w:pPr>
        <w:widowControl/>
        <w:snapToGrid w:val="0"/>
        <w:spacing w:line="36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2.1 本合同金额为人民币（大写）：</w:t>
      </w:r>
      <w:r>
        <w:rPr>
          <w:rFonts w:hint="eastAsia" w:ascii="仿宋_GB2312" w:hAnsi="宋体" w:eastAsia="仿宋_GB2312" w:cs="Arial"/>
          <w:color w:val="auto"/>
          <w:kern w:val="0"/>
          <w:sz w:val="24"/>
          <w:highlight w:val="none"/>
          <w:u w:val="single"/>
        </w:rPr>
        <w:t xml:space="preserve">                          </w:t>
      </w:r>
      <w:r>
        <w:rPr>
          <w:rFonts w:hint="eastAsia" w:ascii="仿宋_GB2312" w:hAnsi="宋体" w:eastAsia="仿宋_GB2312" w:cs="Arial"/>
          <w:color w:val="auto"/>
          <w:kern w:val="0"/>
          <w:sz w:val="24"/>
          <w:highlight w:val="none"/>
        </w:rPr>
        <w:t>元（￥：</w:t>
      </w:r>
      <w:r>
        <w:rPr>
          <w:rFonts w:hint="eastAsia" w:ascii="仿宋_GB2312" w:hAnsi="宋体" w:eastAsia="仿宋_GB2312" w:cs="Arial"/>
          <w:color w:val="auto"/>
          <w:kern w:val="0"/>
          <w:sz w:val="24"/>
          <w:highlight w:val="none"/>
          <w:u w:val="single"/>
        </w:rPr>
        <w:t xml:space="preserve">            </w:t>
      </w:r>
      <w:r>
        <w:rPr>
          <w:rFonts w:hint="eastAsia" w:ascii="仿宋_GB2312" w:hAnsi="宋体" w:eastAsia="仿宋_GB2312" w:cs="Arial"/>
          <w:color w:val="auto"/>
          <w:kern w:val="0"/>
          <w:sz w:val="24"/>
          <w:highlight w:val="none"/>
        </w:rPr>
        <w:t>）。</w:t>
      </w:r>
    </w:p>
    <w:p w14:paraId="5A3D17B7">
      <w:pPr>
        <w:widowControl/>
        <w:spacing w:line="580" w:lineRule="exact"/>
        <w:ind w:firstLine="504" w:firstLineChars="210"/>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 xml:space="preserve">2.2 </w:t>
      </w:r>
      <w:r>
        <w:rPr>
          <w:rFonts w:hint="eastAsia" w:ascii="仿宋_GB2312" w:hAnsi="宋体" w:eastAsia="仿宋_GB2312" w:cs="Arial"/>
          <w:color w:val="auto"/>
          <w:kern w:val="0"/>
          <w:sz w:val="24"/>
          <w:highlight w:val="none"/>
        </w:rPr>
        <w:t>付款时间和方式：</w:t>
      </w:r>
      <w:r>
        <w:rPr>
          <w:rFonts w:hint="eastAsia" w:ascii="仿宋_GB2312" w:hAnsi="宋体" w:eastAsia="仿宋_GB2312" w:cs="Arial"/>
          <w:color w:val="auto"/>
          <w:kern w:val="0"/>
          <w:sz w:val="24"/>
          <w:highlight w:val="none"/>
          <w:lang w:eastAsia="zh-CN"/>
        </w:rPr>
        <w:t>签订合同且具备实施条件后7个工作日内支付合同总价的30%，作为预付款；天台山风景名胜区总体规划评估与修编及旅游交通专项设计初步成果提交并县级评审通过后7个工作日内支付合同总价的30%；天台山风景名胜区总体规划评估与修编成果修改完善并通过</w:t>
      </w:r>
      <w:r>
        <w:rPr>
          <w:rFonts w:hint="eastAsia" w:ascii="仿宋_GB2312" w:hAnsi="宋体" w:eastAsia="仿宋_GB2312" w:cs="Arial"/>
          <w:b/>
          <w:bCs/>
          <w:color w:val="auto"/>
          <w:kern w:val="0"/>
          <w:sz w:val="24"/>
          <w:highlight w:val="none"/>
          <w:lang w:eastAsia="zh-CN"/>
        </w:rPr>
        <w:t>省级</w:t>
      </w:r>
      <w:r>
        <w:rPr>
          <w:rFonts w:hint="eastAsia" w:ascii="仿宋_GB2312" w:hAnsi="宋体" w:eastAsia="仿宋_GB2312" w:cs="Arial"/>
          <w:color w:val="auto"/>
          <w:kern w:val="0"/>
          <w:sz w:val="24"/>
          <w:highlight w:val="none"/>
          <w:lang w:eastAsia="zh-CN"/>
        </w:rPr>
        <w:t>评审后7个工作日内支付合同总价的30%；天台山风景名胜区总体规划评估与修编成果完成批复，并提交最终成果后7个工作日内支付合同总价的10%。</w:t>
      </w:r>
    </w:p>
    <w:p w14:paraId="709A8475">
      <w:pPr>
        <w:widowControl/>
        <w:snapToGrid w:val="0"/>
        <w:spacing w:line="360" w:lineRule="exact"/>
        <w:ind w:firstLine="482" w:firstLineChars="200"/>
        <w:jc w:val="left"/>
        <w:rPr>
          <w:rFonts w:ascii="Arial" w:hAnsi="Arial" w:cs="Arial"/>
          <w:color w:val="auto"/>
          <w:kern w:val="0"/>
          <w:sz w:val="14"/>
          <w:szCs w:val="14"/>
          <w:highlight w:val="none"/>
        </w:rPr>
      </w:pPr>
      <w:r>
        <w:rPr>
          <w:rFonts w:hint="eastAsia" w:ascii="仿宋_GB2312" w:hAnsi="宋体" w:eastAsia="仿宋_GB2312" w:cs="Arial"/>
          <w:b/>
          <w:color w:val="auto"/>
          <w:kern w:val="0"/>
          <w:sz w:val="24"/>
          <w:highlight w:val="none"/>
        </w:rPr>
        <w:t>三、技术资料</w:t>
      </w:r>
    </w:p>
    <w:p w14:paraId="471EE833">
      <w:pPr>
        <w:widowControl/>
        <w:snapToGrid w:val="0"/>
        <w:spacing w:line="36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3.1 乙方应按招标文件规定的时间向甲方提供有关技术资料。</w:t>
      </w:r>
    </w:p>
    <w:p w14:paraId="04471200">
      <w:pPr>
        <w:widowControl/>
        <w:snapToGrid w:val="0"/>
        <w:spacing w:line="360" w:lineRule="exact"/>
        <w:ind w:firstLine="482" w:firstLineChars="200"/>
        <w:jc w:val="left"/>
        <w:rPr>
          <w:rFonts w:ascii="Arial" w:hAnsi="Arial" w:cs="Arial"/>
          <w:color w:val="auto"/>
          <w:kern w:val="0"/>
          <w:sz w:val="14"/>
          <w:szCs w:val="14"/>
          <w:highlight w:val="none"/>
        </w:rPr>
      </w:pPr>
      <w:r>
        <w:rPr>
          <w:rFonts w:hint="eastAsia" w:ascii="仿宋_GB2312" w:hAnsi="宋体" w:eastAsia="仿宋_GB2312" w:cs="Arial"/>
          <w:b/>
          <w:color w:val="auto"/>
          <w:kern w:val="0"/>
          <w:sz w:val="24"/>
          <w:highlight w:val="none"/>
        </w:rPr>
        <w:t>四、知识产权</w:t>
      </w:r>
    </w:p>
    <w:p w14:paraId="31D9E6F9">
      <w:pPr>
        <w:widowControl/>
        <w:snapToGrid w:val="0"/>
        <w:spacing w:line="36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4.1 乙方应保证提供服务过程中不会侵犯任何第三方的知识产权</w:t>
      </w:r>
      <w:r>
        <w:rPr>
          <w:rFonts w:hint="eastAsia" w:ascii="仿宋_GB2312" w:hAnsi="宋体" w:eastAsia="仿宋_GB2312" w:cs="Arial"/>
          <w:bCs/>
          <w:color w:val="auto"/>
          <w:kern w:val="0"/>
          <w:sz w:val="24"/>
          <w:highlight w:val="none"/>
        </w:rPr>
        <w:t>。</w:t>
      </w:r>
    </w:p>
    <w:p w14:paraId="08701A70">
      <w:pPr>
        <w:widowControl/>
        <w:snapToGrid w:val="0"/>
        <w:spacing w:line="360" w:lineRule="exact"/>
        <w:ind w:firstLine="472" w:firstLineChars="196"/>
        <w:jc w:val="left"/>
        <w:rPr>
          <w:rFonts w:ascii="Arial" w:hAnsi="Arial" w:cs="Arial"/>
          <w:color w:val="auto"/>
          <w:kern w:val="0"/>
          <w:sz w:val="14"/>
          <w:szCs w:val="14"/>
          <w:highlight w:val="none"/>
        </w:rPr>
      </w:pPr>
      <w:r>
        <w:rPr>
          <w:rFonts w:hint="eastAsia" w:ascii="仿宋_GB2312" w:hAnsi="宋体" w:eastAsia="仿宋_GB2312" w:cs="Arial"/>
          <w:b/>
          <w:color w:val="auto"/>
          <w:kern w:val="0"/>
          <w:sz w:val="24"/>
          <w:highlight w:val="none"/>
        </w:rPr>
        <w:t>五、履约保证金</w:t>
      </w:r>
    </w:p>
    <w:p w14:paraId="3D662416">
      <w:pPr>
        <w:widowControl/>
        <w:snapToGrid w:val="0"/>
        <w:spacing w:line="360" w:lineRule="exact"/>
        <w:ind w:firstLine="480" w:firstLineChars="200"/>
        <w:jc w:val="left"/>
        <w:rPr>
          <w:rFonts w:ascii="仿宋_GB2312" w:hAnsi="宋体" w:eastAsia="仿宋_GB2312" w:cs="Arial"/>
          <w:bCs/>
          <w:color w:val="auto"/>
          <w:kern w:val="0"/>
          <w:sz w:val="24"/>
          <w:highlight w:val="none"/>
        </w:rPr>
      </w:pPr>
      <w:r>
        <w:rPr>
          <w:rFonts w:hint="eastAsia" w:ascii="仿宋_GB2312" w:hAnsi="宋体" w:eastAsia="仿宋_GB2312" w:cs="Arial"/>
          <w:bCs/>
          <w:color w:val="auto"/>
          <w:kern w:val="0"/>
          <w:sz w:val="24"/>
          <w:highlight w:val="none"/>
        </w:rPr>
        <w:t>无。</w:t>
      </w:r>
    </w:p>
    <w:p w14:paraId="0042E96A">
      <w:pPr>
        <w:widowControl/>
        <w:snapToGrid w:val="0"/>
        <w:spacing w:line="360" w:lineRule="exact"/>
        <w:ind w:firstLine="482" w:firstLineChars="200"/>
        <w:jc w:val="left"/>
        <w:rPr>
          <w:rFonts w:ascii="宋体" w:hAnsi="宋体" w:cs="宋体"/>
          <w:color w:val="auto"/>
          <w:kern w:val="0"/>
          <w:sz w:val="24"/>
          <w:highlight w:val="none"/>
        </w:rPr>
      </w:pPr>
      <w:r>
        <w:rPr>
          <w:rFonts w:hint="eastAsia" w:ascii="仿宋_GB2312" w:hAnsi="宋体" w:eastAsia="仿宋_GB2312" w:cs="宋体"/>
          <w:b/>
          <w:color w:val="auto"/>
          <w:kern w:val="0"/>
          <w:sz w:val="24"/>
          <w:highlight w:val="none"/>
        </w:rPr>
        <w:t>六、转包或分包</w:t>
      </w:r>
    </w:p>
    <w:p w14:paraId="279184C4">
      <w:pPr>
        <w:widowControl/>
        <w:snapToGrid w:val="0"/>
        <w:spacing w:line="440" w:lineRule="exact"/>
        <w:ind w:firstLine="480" w:firstLineChars="200"/>
        <w:jc w:val="left"/>
        <w:rPr>
          <w:rFonts w:ascii="宋体" w:hAnsi="宋体" w:cs="宋体"/>
          <w:color w:val="auto"/>
          <w:kern w:val="0"/>
          <w:sz w:val="24"/>
          <w:highlight w:val="none"/>
        </w:rPr>
      </w:pPr>
      <w:r>
        <w:rPr>
          <w:rFonts w:hint="eastAsia" w:ascii="仿宋_GB2312" w:hAnsi="宋体" w:eastAsia="仿宋_GB2312" w:cs="宋体"/>
          <w:color w:val="auto"/>
          <w:kern w:val="0"/>
          <w:sz w:val="24"/>
          <w:highlight w:val="none"/>
        </w:rPr>
        <w:t>6.1 本合同范围的服务，应由乙方直接供应，不得转让或分包给他人供应。</w:t>
      </w:r>
    </w:p>
    <w:p w14:paraId="3E39B833">
      <w:pPr>
        <w:widowControl/>
        <w:snapToGrid w:val="0"/>
        <w:spacing w:line="440" w:lineRule="exact"/>
        <w:ind w:firstLine="480" w:firstLineChars="200"/>
        <w:jc w:val="left"/>
        <w:rPr>
          <w:rFonts w:ascii="宋体" w:hAnsi="宋体" w:cs="宋体"/>
          <w:color w:val="auto"/>
          <w:kern w:val="0"/>
          <w:sz w:val="24"/>
          <w:highlight w:val="none"/>
        </w:rPr>
      </w:pPr>
      <w:r>
        <w:rPr>
          <w:rFonts w:hint="eastAsia" w:ascii="仿宋_GB2312" w:hAnsi="宋体" w:eastAsia="仿宋_GB2312" w:cs="宋体"/>
          <w:color w:val="auto"/>
          <w:kern w:val="0"/>
          <w:sz w:val="24"/>
          <w:highlight w:val="none"/>
        </w:rPr>
        <w:t xml:space="preserve">6.2 </w:t>
      </w:r>
      <w:r>
        <w:rPr>
          <w:rFonts w:hint="eastAsia" w:ascii="仿宋_GB2312" w:hAnsi="宋体" w:eastAsia="仿宋_GB2312" w:cs="宋体"/>
          <w:color w:val="auto"/>
          <w:kern w:val="0"/>
          <w:sz w:val="24"/>
          <w:highlight w:val="none"/>
          <w:lang w:val="en-US" w:eastAsia="zh-CN"/>
        </w:rPr>
        <w:t>未经甲方同意的</w:t>
      </w:r>
      <w:r>
        <w:rPr>
          <w:rFonts w:hint="eastAsia" w:ascii="仿宋_GB2312" w:hAnsi="宋体" w:eastAsia="仿宋_GB2312" w:cs="宋体"/>
          <w:color w:val="auto"/>
          <w:kern w:val="0"/>
          <w:sz w:val="24"/>
          <w:highlight w:val="none"/>
        </w:rPr>
        <w:t>转让或分包行为，甲方有权解除合同并追究其相应法律责任。</w:t>
      </w:r>
    </w:p>
    <w:p w14:paraId="6731E082">
      <w:pPr>
        <w:widowControl/>
        <w:snapToGrid w:val="0"/>
        <w:spacing w:line="360" w:lineRule="exact"/>
        <w:ind w:firstLine="482" w:firstLineChars="200"/>
        <w:jc w:val="left"/>
        <w:rPr>
          <w:rFonts w:ascii="宋体" w:hAnsi="宋体" w:cs="宋体"/>
          <w:color w:val="auto"/>
          <w:kern w:val="0"/>
          <w:sz w:val="24"/>
          <w:highlight w:val="none"/>
        </w:rPr>
      </w:pPr>
      <w:r>
        <w:rPr>
          <w:rFonts w:hint="eastAsia" w:ascii="仿宋_GB2312" w:hAnsi="宋体" w:eastAsia="仿宋_GB2312" w:cs="宋体"/>
          <w:b/>
          <w:color w:val="auto"/>
          <w:kern w:val="0"/>
          <w:sz w:val="24"/>
          <w:highlight w:val="none"/>
        </w:rPr>
        <w:t>七、税费承担</w:t>
      </w:r>
    </w:p>
    <w:p w14:paraId="30CC7E66">
      <w:pPr>
        <w:widowControl/>
        <w:snapToGrid w:val="0"/>
        <w:spacing w:line="36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宋体"/>
          <w:color w:val="auto"/>
          <w:kern w:val="0"/>
          <w:sz w:val="24"/>
          <w:highlight w:val="none"/>
        </w:rPr>
        <w:t xml:space="preserve">7.1 </w:t>
      </w:r>
      <w:r>
        <w:rPr>
          <w:rFonts w:hint="eastAsia" w:ascii="仿宋_GB2312" w:hAnsi="宋体" w:eastAsia="仿宋_GB2312" w:cs="Arial"/>
          <w:color w:val="auto"/>
          <w:kern w:val="0"/>
          <w:sz w:val="24"/>
          <w:highlight w:val="none"/>
        </w:rPr>
        <w:t>本合同履行中相关的一切税费均由乙方负担。</w:t>
      </w:r>
    </w:p>
    <w:p w14:paraId="27491239">
      <w:pPr>
        <w:widowControl/>
        <w:snapToGrid w:val="0"/>
        <w:spacing w:line="360" w:lineRule="exact"/>
        <w:ind w:firstLine="482" w:firstLineChars="200"/>
        <w:jc w:val="left"/>
        <w:rPr>
          <w:rFonts w:ascii="Arial" w:hAnsi="Arial" w:cs="Arial"/>
          <w:color w:val="auto"/>
          <w:kern w:val="0"/>
          <w:sz w:val="14"/>
          <w:szCs w:val="14"/>
          <w:highlight w:val="none"/>
        </w:rPr>
      </w:pPr>
      <w:r>
        <w:rPr>
          <w:rFonts w:hint="eastAsia" w:ascii="仿宋_GB2312" w:hAnsi="宋体" w:eastAsia="仿宋_GB2312" w:cs="Arial"/>
          <w:b/>
          <w:color w:val="auto"/>
          <w:kern w:val="0"/>
          <w:sz w:val="24"/>
          <w:highlight w:val="none"/>
        </w:rPr>
        <w:t>八、质量保证</w:t>
      </w:r>
    </w:p>
    <w:p w14:paraId="7AB1540E">
      <w:pPr>
        <w:widowControl/>
        <w:snapToGrid w:val="0"/>
        <w:spacing w:line="36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8.1 乙方应按招标文件规定和投标文件承诺向甲方提供服务。</w:t>
      </w:r>
    </w:p>
    <w:p w14:paraId="2DB38B5A">
      <w:pPr>
        <w:widowControl/>
        <w:snapToGrid w:val="0"/>
        <w:spacing w:line="36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8.2 在服务期限内，如遇特殊情况需要提供服务的，乙方在接到甲方通知后</w:t>
      </w:r>
      <w:r>
        <w:rPr>
          <w:rFonts w:hint="eastAsia" w:ascii="仿宋_GB2312" w:hAnsi="宋体" w:eastAsia="仿宋_GB2312" w:cs="Arial"/>
          <w:color w:val="auto"/>
          <w:kern w:val="0"/>
          <w:sz w:val="24"/>
          <w:highlight w:val="none"/>
          <w:u w:val="single"/>
        </w:rPr>
        <w:t xml:space="preserve"> </w:t>
      </w:r>
      <w:r>
        <w:rPr>
          <w:rFonts w:hint="eastAsia" w:ascii="仿宋_GB2312" w:hAnsi="宋体" w:eastAsia="仿宋_GB2312" w:cs="Arial"/>
          <w:color w:val="auto"/>
          <w:kern w:val="0"/>
          <w:sz w:val="24"/>
          <w:highlight w:val="none"/>
          <w:u w:val="single"/>
          <w:lang w:val="en-US" w:eastAsia="zh-CN"/>
        </w:rPr>
        <w:t xml:space="preserve"> </w:t>
      </w:r>
      <w:r>
        <w:rPr>
          <w:rFonts w:hint="eastAsia" w:ascii="仿宋_GB2312" w:hAnsi="宋体" w:eastAsia="仿宋_GB2312" w:cs="Arial"/>
          <w:color w:val="auto"/>
          <w:kern w:val="0"/>
          <w:sz w:val="24"/>
          <w:highlight w:val="none"/>
          <w:u w:val="single"/>
        </w:rPr>
        <w:t xml:space="preserve"> </w:t>
      </w:r>
      <w:r>
        <w:rPr>
          <w:rFonts w:hint="eastAsia" w:ascii="仿宋_GB2312" w:hAnsi="宋体" w:eastAsia="仿宋_GB2312" w:cs="Arial"/>
          <w:color w:val="auto"/>
          <w:kern w:val="0"/>
          <w:sz w:val="24"/>
          <w:highlight w:val="none"/>
        </w:rPr>
        <w:t>小时内到达甲方现场。</w:t>
      </w:r>
    </w:p>
    <w:p w14:paraId="3ADB76FF">
      <w:pPr>
        <w:widowControl/>
        <w:snapToGrid w:val="0"/>
        <w:spacing w:line="360" w:lineRule="exact"/>
        <w:ind w:firstLine="482" w:firstLineChars="200"/>
        <w:jc w:val="left"/>
        <w:rPr>
          <w:rFonts w:ascii="仿宋" w:hAnsi="仿宋" w:eastAsia="仿宋_GB2312"/>
          <w:color w:val="auto"/>
          <w:sz w:val="24"/>
          <w:highlight w:val="none"/>
        </w:rPr>
      </w:pPr>
      <w:r>
        <w:rPr>
          <w:rFonts w:hint="eastAsia" w:ascii="仿宋_GB2312" w:hAnsi="Arial" w:eastAsia="仿宋_GB2312" w:cs="Arial"/>
          <w:b/>
          <w:color w:val="auto"/>
          <w:kern w:val="0"/>
          <w:sz w:val="24"/>
          <w:highlight w:val="none"/>
        </w:rPr>
        <w:t>验收标准、验收方法等：</w:t>
      </w:r>
      <w:r>
        <w:rPr>
          <w:rFonts w:hint="eastAsia" w:ascii="仿宋" w:hAnsi="仿宋" w:eastAsia="仿宋"/>
          <w:b/>
          <w:bCs/>
          <w:color w:val="auto"/>
          <w:sz w:val="24"/>
          <w:highlight w:val="none"/>
          <w:u w:val="single"/>
        </w:rPr>
        <w:t xml:space="preserve">  按招标文件要求验收。   </w:t>
      </w:r>
    </w:p>
    <w:p w14:paraId="2F2F27CD">
      <w:pPr>
        <w:widowControl/>
        <w:snapToGrid w:val="0"/>
        <w:spacing w:line="360" w:lineRule="exact"/>
        <w:ind w:firstLine="482" w:firstLineChars="200"/>
        <w:jc w:val="left"/>
        <w:rPr>
          <w:rFonts w:ascii="Arial" w:hAnsi="Arial" w:cs="Arial"/>
          <w:color w:val="auto"/>
          <w:kern w:val="0"/>
          <w:sz w:val="14"/>
          <w:szCs w:val="14"/>
          <w:highlight w:val="none"/>
        </w:rPr>
      </w:pPr>
      <w:r>
        <w:rPr>
          <w:rFonts w:hint="eastAsia" w:ascii="仿宋_GB2312" w:hAnsi="宋体" w:eastAsia="仿宋_GB2312" w:cs="Arial"/>
          <w:b/>
          <w:color w:val="auto"/>
          <w:kern w:val="0"/>
          <w:sz w:val="24"/>
          <w:highlight w:val="none"/>
        </w:rPr>
        <w:t>九、风险承担</w:t>
      </w:r>
    </w:p>
    <w:p w14:paraId="451CE19C">
      <w:pPr>
        <w:widowControl/>
        <w:snapToGrid w:val="0"/>
        <w:spacing w:line="360" w:lineRule="exact"/>
        <w:ind w:firstLine="480" w:firstLineChars="200"/>
        <w:jc w:val="left"/>
        <w:rPr>
          <w:rFonts w:ascii="仿宋_GB2312" w:hAnsi="宋体" w:eastAsia="仿宋_GB2312" w:cs="Arial"/>
          <w:color w:val="auto"/>
          <w:kern w:val="0"/>
          <w:sz w:val="24"/>
          <w:highlight w:val="none"/>
        </w:rPr>
      </w:pPr>
      <w:r>
        <w:rPr>
          <w:rFonts w:hint="eastAsia" w:ascii="仿宋_GB2312" w:hAnsi="宋体" w:eastAsia="仿宋_GB2312" w:cs="Arial"/>
          <w:color w:val="auto"/>
          <w:kern w:val="0"/>
          <w:sz w:val="24"/>
          <w:highlight w:val="none"/>
        </w:rPr>
        <w:t>9.1 在服务期限内，乙方应对可能出现的风险自行承担一切责任。</w:t>
      </w:r>
    </w:p>
    <w:p w14:paraId="13FDFB3B">
      <w:pPr>
        <w:widowControl/>
        <w:snapToGrid w:val="0"/>
        <w:spacing w:line="360" w:lineRule="exact"/>
        <w:ind w:firstLine="482" w:firstLineChars="200"/>
        <w:jc w:val="left"/>
        <w:rPr>
          <w:rFonts w:ascii="Arial" w:hAnsi="Arial" w:cs="Arial"/>
          <w:color w:val="auto"/>
          <w:kern w:val="0"/>
          <w:sz w:val="14"/>
          <w:szCs w:val="14"/>
          <w:highlight w:val="none"/>
        </w:rPr>
      </w:pPr>
      <w:r>
        <w:rPr>
          <w:rFonts w:hint="eastAsia" w:ascii="仿宋_GB2312" w:hAnsi="宋体" w:eastAsia="仿宋_GB2312" w:cs="Arial"/>
          <w:b/>
          <w:color w:val="auto"/>
          <w:kern w:val="0"/>
          <w:sz w:val="24"/>
          <w:highlight w:val="none"/>
        </w:rPr>
        <w:t>十、违约责任</w:t>
      </w:r>
    </w:p>
    <w:p w14:paraId="5948A630">
      <w:pPr>
        <w:widowControl/>
        <w:snapToGrid w:val="0"/>
        <w:spacing w:line="360" w:lineRule="exact"/>
        <w:ind w:firstLine="480" w:firstLineChars="200"/>
        <w:jc w:val="left"/>
        <w:rPr>
          <w:rFonts w:ascii="仿宋_GB2312" w:hAnsi="宋体" w:eastAsia="仿宋_GB2312" w:cs="Arial"/>
          <w:color w:val="auto"/>
          <w:kern w:val="0"/>
          <w:sz w:val="24"/>
          <w:highlight w:val="none"/>
          <w:u w:val="single"/>
        </w:rPr>
      </w:pPr>
      <w:r>
        <w:rPr>
          <w:rFonts w:hint="eastAsia" w:ascii="仿宋_GB2312" w:hAnsi="宋体" w:eastAsia="仿宋_GB2312" w:cs="Arial"/>
          <w:color w:val="auto"/>
          <w:kern w:val="0"/>
          <w:sz w:val="24"/>
          <w:highlight w:val="none"/>
        </w:rPr>
        <w:t>10.1甲</w:t>
      </w:r>
      <w:r>
        <w:rPr>
          <w:rFonts w:hint="eastAsia" w:ascii="仿宋_GB2312" w:hAnsi="宋体" w:eastAsia="仿宋_GB2312" w:cs="Arial"/>
          <w:color w:val="auto"/>
          <w:kern w:val="0"/>
          <w:sz w:val="24"/>
          <w:highlight w:val="none"/>
          <w:lang w:eastAsia="zh-CN"/>
        </w:rPr>
        <w:t>乙双</w:t>
      </w:r>
      <w:r>
        <w:rPr>
          <w:rFonts w:hint="eastAsia" w:ascii="仿宋_GB2312" w:hAnsi="宋体" w:eastAsia="仿宋_GB2312" w:cs="Arial"/>
          <w:color w:val="auto"/>
          <w:kern w:val="0"/>
          <w:sz w:val="24"/>
          <w:highlight w:val="none"/>
        </w:rPr>
        <w:t>方不得无故解除合同。</w:t>
      </w:r>
    </w:p>
    <w:p w14:paraId="7E0CF308">
      <w:pPr>
        <w:widowControl/>
        <w:snapToGrid w:val="0"/>
        <w:spacing w:line="360" w:lineRule="exact"/>
        <w:ind w:firstLine="480" w:firstLineChars="200"/>
        <w:jc w:val="left"/>
        <w:rPr>
          <w:rFonts w:ascii="仿宋_GB2312" w:hAnsi="Arial" w:eastAsia="仿宋_GB2312" w:cs="Arial"/>
          <w:color w:val="auto"/>
          <w:spacing w:val="-4"/>
          <w:kern w:val="0"/>
          <w:sz w:val="14"/>
          <w:szCs w:val="14"/>
          <w:highlight w:val="none"/>
        </w:rPr>
      </w:pPr>
      <w:r>
        <w:rPr>
          <w:rFonts w:hint="eastAsia" w:ascii="仿宋_GB2312" w:hAnsi="宋体" w:eastAsia="仿宋_GB2312" w:cs="Arial"/>
          <w:color w:val="auto"/>
          <w:kern w:val="0"/>
          <w:sz w:val="24"/>
          <w:highlight w:val="none"/>
        </w:rPr>
        <w:t>10.</w:t>
      </w:r>
      <w:r>
        <w:rPr>
          <w:rFonts w:hint="eastAsia" w:ascii="仿宋_GB2312" w:hAnsi="宋体" w:eastAsia="仿宋_GB2312" w:cs="Arial"/>
          <w:color w:val="auto"/>
          <w:kern w:val="0"/>
          <w:sz w:val="24"/>
          <w:highlight w:val="none"/>
          <w:lang w:val="en-US" w:eastAsia="zh-CN"/>
        </w:rPr>
        <w:t>2</w:t>
      </w:r>
      <w:r>
        <w:rPr>
          <w:rFonts w:hint="eastAsia" w:ascii="仿宋_GB2312" w:hAnsi="宋体" w:eastAsia="仿宋_GB2312" w:cs="Arial"/>
          <w:color w:val="auto"/>
          <w:spacing w:val="-4"/>
          <w:kern w:val="0"/>
          <w:sz w:val="24"/>
          <w:highlight w:val="none"/>
        </w:rPr>
        <w:t>乙方没有按时提供服务，或者提供的服务达不到要求的，甲方有权选择以下办法处理：</w:t>
      </w:r>
    </w:p>
    <w:p w14:paraId="2992559C">
      <w:pPr>
        <w:widowControl/>
        <w:snapToGrid w:val="0"/>
        <w:spacing w:line="360" w:lineRule="exact"/>
        <w:ind w:firstLine="480" w:firstLineChars="200"/>
        <w:jc w:val="left"/>
        <w:rPr>
          <w:rFonts w:hint="eastAsia" w:ascii="仿宋_GB2312" w:hAnsi="宋体" w:eastAsia="仿宋_GB2312" w:cs="Arial"/>
          <w:color w:val="auto"/>
          <w:kern w:val="0"/>
          <w:sz w:val="24"/>
          <w:szCs w:val="20"/>
          <w:highlight w:val="none"/>
          <w:lang w:val="en-US" w:eastAsia="zh-CN" w:bidi="ar-SA"/>
        </w:rPr>
      </w:pPr>
      <w:r>
        <w:rPr>
          <w:rFonts w:hint="eastAsia" w:ascii="仿宋_GB2312" w:hAnsi="宋体" w:eastAsia="仿宋_GB2312" w:cs="Arial"/>
          <w:color w:val="auto"/>
          <w:kern w:val="0"/>
          <w:sz w:val="24"/>
          <w:szCs w:val="20"/>
          <w:highlight w:val="none"/>
          <w:lang w:val="en-US" w:eastAsia="zh-CN" w:bidi="ar-SA"/>
        </w:rPr>
        <w:t>（1）要求乙方重做，由乙方承担所发生的全部费用。</w:t>
      </w:r>
    </w:p>
    <w:p w14:paraId="433F7B50">
      <w:pPr>
        <w:pStyle w:val="4"/>
        <w:ind w:firstLine="480" w:firstLineChars="200"/>
        <w:rPr>
          <w:rFonts w:hint="eastAsia" w:ascii="仿宋_GB2312" w:hAnsi="宋体" w:eastAsia="仿宋_GB2312" w:cs="Arial"/>
          <w:color w:val="auto"/>
          <w:kern w:val="0"/>
          <w:sz w:val="24"/>
          <w:highlight w:val="none"/>
          <w:lang w:val="en-US" w:eastAsia="zh-CN"/>
        </w:rPr>
      </w:pPr>
      <w:r>
        <w:rPr>
          <w:rFonts w:hint="eastAsia" w:ascii="仿宋_GB2312" w:hAnsi="宋体" w:eastAsia="仿宋_GB2312" w:cs="Arial"/>
          <w:color w:val="auto"/>
          <w:kern w:val="0"/>
          <w:sz w:val="24"/>
          <w:szCs w:val="20"/>
          <w:highlight w:val="none"/>
          <w:lang w:val="en-US" w:eastAsia="zh-CN" w:bidi="ar-SA"/>
        </w:rPr>
        <w:t>（2）乙方重做仍达不到要求或拒绝重做甲方有权解除合同，乙方应向甲方支付违约金，违约金按服务费总额的2%计算。</w:t>
      </w:r>
    </w:p>
    <w:p w14:paraId="40F5DBE7">
      <w:pPr>
        <w:pStyle w:val="4"/>
        <w:ind w:firstLine="480" w:firstLineChars="200"/>
        <w:rPr>
          <w:rFonts w:hint="eastAsia" w:ascii="仿宋_GB2312" w:hAnsi="宋体" w:eastAsia="仿宋_GB2312" w:cs="Arial"/>
          <w:color w:val="auto"/>
          <w:kern w:val="0"/>
          <w:sz w:val="24"/>
          <w:highlight w:val="none"/>
        </w:rPr>
      </w:pPr>
      <w:r>
        <w:rPr>
          <w:rFonts w:hint="eastAsia" w:ascii="仿宋_GB2312" w:hAnsi="宋体" w:eastAsia="仿宋_GB2312" w:cs="Arial"/>
          <w:color w:val="auto"/>
          <w:kern w:val="0"/>
          <w:sz w:val="24"/>
          <w:highlight w:val="none"/>
          <w:lang w:val="en-US" w:eastAsia="zh-CN"/>
        </w:rPr>
        <w:t xml:space="preserve">10.3 </w:t>
      </w:r>
      <w:r>
        <w:rPr>
          <w:rFonts w:hint="eastAsia" w:ascii="仿宋_GB2312" w:hAnsi="宋体" w:eastAsia="仿宋_GB2312" w:cs="Arial"/>
          <w:color w:val="auto"/>
          <w:kern w:val="0"/>
          <w:sz w:val="24"/>
          <w:highlight w:val="none"/>
        </w:rPr>
        <w:t>乙方在本合同项下承担的违约金和赔偿金总额以已收到的报酬为限。</w:t>
      </w:r>
    </w:p>
    <w:p w14:paraId="6D3476D9">
      <w:pPr>
        <w:widowControl/>
        <w:snapToGrid w:val="0"/>
        <w:spacing w:line="440" w:lineRule="exact"/>
        <w:ind w:firstLine="480" w:firstLineChars="200"/>
        <w:jc w:val="left"/>
        <w:rPr>
          <w:rFonts w:hint="eastAsia" w:ascii="仿宋_GB2312" w:hAnsi="宋体" w:eastAsia="仿宋_GB2312" w:cs="宋体"/>
          <w:color w:val="auto"/>
          <w:kern w:val="0"/>
          <w:sz w:val="24"/>
          <w:highlight w:val="none"/>
        </w:rPr>
      </w:pPr>
      <w:r>
        <w:rPr>
          <w:rFonts w:hint="eastAsia" w:ascii="仿宋_GB2312" w:hAnsi="宋体" w:eastAsia="仿宋_GB2312" w:cs="Arial"/>
          <w:color w:val="auto"/>
          <w:kern w:val="0"/>
          <w:sz w:val="24"/>
          <w:highlight w:val="none"/>
        </w:rPr>
        <w:t>10.</w:t>
      </w:r>
      <w:r>
        <w:rPr>
          <w:rFonts w:hint="eastAsia" w:ascii="仿宋_GB2312" w:hAnsi="宋体" w:eastAsia="仿宋_GB2312" w:cs="Arial"/>
          <w:color w:val="auto"/>
          <w:kern w:val="0"/>
          <w:sz w:val="24"/>
          <w:highlight w:val="none"/>
          <w:lang w:val="en-US" w:eastAsia="zh-CN"/>
        </w:rPr>
        <w:t>4未经甲方同意的</w:t>
      </w:r>
      <w:r>
        <w:rPr>
          <w:rFonts w:hint="eastAsia" w:ascii="仿宋_GB2312" w:hAnsi="宋体" w:eastAsia="仿宋_GB2312" w:cs="宋体"/>
          <w:color w:val="auto"/>
          <w:kern w:val="0"/>
          <w:sz w:val="24"/>
          <w:highlight w:val="none"/>
        </w:rPr>
        <w:t>转让或分包行为，</w:t>
      </w:r>
      <w:r>
        <w:rPr>
          <w:rFonts w:hint="eastAsia" w:ascii="仿宋_GB2312" w:hAnsi="宋体" w:eastAsia="仿宋_GB2312" w:cs="宋体"/>
          <w:color w:val="auto"/>
          <w:kern w:val="0"/>
          <w:sz w:val="24"/>
          <w:highlight w:val="none"/>
          <w:lang w:eastAsia="zh-CN"/>
        </w:rPr>
        <w:t>甲方</w:t>
      </w:r>
      <w:r>
        <w:rPr>
          <w:rFonts w:hint="eastAsia" w:ascii="仿宋_GB2312" w:hAnsi="宋体" w:eastAsia="仿宋_GB2312" w:cs="宋体"/>
          <w:color w:val="auto"/>
          <w:kern w:val="0"/>
          <w:sz w:val="24"/>
          <w:highlight w:val="none"/>
        </w:rPr>
        <w:t>有权解除合同。如造成损失的，由乙方继续承担赔偿责任。</w:t>
      </w:r>
    </w:p>
    <w:p w14:paraId="3F176FEB">
      <w:pPr>
        <w:pStyle w:val="6"/>
        <w:numPr>
          <w:ilvl w:val="0"/>
          <w:numId w:val="1"/>
        </w:numPr>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报告、成果、文件检查验收</w:t>
      </w:r>
    </w:p>
    <w:p w14:paraId="3A9B4AFD">
      <w:pPr>
        <w:widowControl/>
        <w:snapToGrid w:val="0"/>
        <w:spacing w:line="440" w:lineRule="exact"/>
        <w:ind w:firstLine="480" w:firstLineChars="200"/>
        <w:jc w:val="left"/>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 xml:space="preserve">11.1由甲方负责组织对乙方交付的报告、成果、文件进行检查验收。 </w:t>
      </w:r>
    </w:p>
    <w:p w14:paraId="0DC53516">
      <w:pPr>
        <w:widowControl/>
        <w:snapToGrid w:val="0"/>
        <w:spacing w:line="440" w:lineRule="exact"/>
        <w:ind w:firstLine="480" w:firstLineChars="200"/>
        <w:jc w:val="left"/>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 xml:space="preserve">11.2报告、成果、文件须符合现行的相关法律法规的要求。 </w:t>
      </w:r>
    </w:p>
    <w:p w14:paraId="58E478BA">
      <w:pPr>
        <w:widowControl/>
        <w:snapToGrid w:val="0"/>
        <w:spacing w:line="440" w:lineRule="exact"/>
        <w:ind w:firstLine="480" w:firstLineChars="200"/>
        <w:jc w:val="left"/>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11.3乙方根据工作内容的要求，提供规划成果、简本成果、多媒体演示文件（PPT）及相应的电子文件。</w:t>
      </w:r>
    </w:p>
    <w:p w14:paraId="764E21AC">
      <w:pPr>
        <w:widowControl/>
        <w:snapToGrid w:val="0"/>
        <w:spacing w:line="440" w:lineRule="exact"/>
        <w:ind w:firstLine="480" w:firstLineChars="200"/>
        <w:jc w:val="left"/>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（一）规划成果</w:t>
      </w:r>
    </w:p>
    <w:p w14:paraId="4ED52A89">
      <w:pPr>
        <w:widowControl/>
        <w:snapToGrid w:val="0"/>
        <w:spacing w:line="440" w:lineRule="exact"/>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color w:val="auto"/>
          <w:kern w:val="0"/>
          <w:sz w:val="24"/>
          <w:highlight w:val="none"/>
          <w:lang w:val="en-US" w:eastAsia="zh-CN"/>
        </w:rPr>
        <w:t>规划成果包括天台山风景名胜区总体规划（2025—2035年）评估与修编</w:t>
      </w:r>
      <w:r>
        <w:rPr>
          <w:rFonts w:hint="eastAsia" w:ascii="仿宋_GB2312" w:hAnsi="宋体" w:eastAsia="仿宋_GB2312" w:cs="宋体"/>
          <w:kern w:val="0"/>
          <w:sz w:val="24"/>
          <w:highlight w:val="none"/>
        </w:rPr>
        <w:t>文本、图集（15套），天台县旅游交通专项设计报告（15套）， PPT汇报文件、多媒体解说文件。</w:t>
      </w:r>
    </w:p>
    <w:p w14:paraId="38E130FA">
      <w:pPr>
        <w:widowControl/>
        <w:snapToGrid w:val="0"/>
        <w:spacing w:line="440" w:lineRule="exact"/>
        <w:ind w:firstLine="480" w:firstLineChars="200"/>
        <w:jc w:val="left"/>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（二）成果形式</w:t>
      </w:r>
    </w:p>
    <w:p w14:paraId="649C7A85">
      <w:pPr>
        <w:widowControl/>
        <w:snapToGrid w:val="0"/>
        <w:spacing w:line="440" w:lineRule="exact"/>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15套A3幅面盖章成果、不少于5张彩色展板图及相应的矢量等电子文件。其他相关材料按照评审、报批要求提供。</w:t>
      </w:r>
    </w:p>
    <w:p w14:paraId="50023C5E">
      <w:pPr>
        <w:widowControl/>
        <w:snapToGrid w:val="0"/>
        <w:spacing w:line="440" w:lineRule="exact"/>
        <w:ind w:firstLine="480" w:firstLineChars="200"/>
        <w:jc w:val="left"/>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（三）图表要求</w:t>
      </w:r>
    </w:p>
    <w:p w14:paraId="42D12979">
      <w:pPr>
        <w:widowControl/>
        <w:snapToGrid w:val="0"/>
        <w:spacing w:line="440" w:lineRule="exact"/>
        <w:ind w:firstLine="480" w:firstLineChars="200"/>
        <w:jc w:val="left"/>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根据报告所需要，图表必须做到规范、清晰、完整，标注齐全、准确，图表规格应尽量统一。</w:t>
      </w:r>
    </w:p>
    <w:p w14:paraId="4A265781">
      <w:pPr>
        <w:widowControl/>
        <w:snapToGrid w:val="0"/>
        <w:spacing w:line="440" w:lineRule="exact"/>
        <w:ind w:firstLine="480" w:firstLineChars="200"/>
        <w:jc w:val="left"/>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11.4验收标准</w:t>
      </w:r>
    </w:p>
    <w:p w14:paraId="422F73EB">
      <w:pPr>
        <w:widowControl/>
        <w:snapToGrid w:val="0"/>
        <w:spacing w:line="440" w:lineRule="exact"/>
        <w:ind w:firstLine="480" w:firstLineChars="200"/>
        <w:jc w:val="left"/>
        <w:rPr>
          <w:rFonts w:hint="eastAsia"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项目成果必须符合我国最新颁布的与之相关的技术规范与标准并满足采购人要求。</w:t>
      </w:r>
    </w:p>
    <w:p w14:paraId="234C4EC4">
      <w:pPr>
        <w:widowControl/>
        <w:snapToGrid w:val="0"/>
        <w:spacing w:line="440" w:lineRule="exact"/>
        <w:ind w:firstLine="480" w:firstLineChars="200"/>
        <w:jc w:val="left"/>
        <w:rPr>
          <w:rFonts w:hint="default" w:ascii="仿宋_GB2312" w:hAnsi="宋体" w:eastAsia="仿宋_GB2312" w:cs="宋体"/>
          <w:color w:val="auto"/>
          <w:kern w:val="0"/>
          <w:sz w:val="24"/>
          <w:highlight w:val="none"/>
          <w:lang w:val="en-US" w:eastAsia="zh-CN"/>
        </w:rPr>
      </w:pPr>
      <w:r>
        <w:rPr>
          <w:rFonts w:hint="eastAsia" w:ascii="仿宋_GB2312" w:hAnsi="宋体" w:eastAsia="仿宋_GB2312" w:cs="宋体"/>
          <w:color w:val="auto"/>
          <w:kern w:val="0"/>
          <w:sz w:val="24"/>
          <w:highlight w:val="none"/>
          <w:lang w:val="en-US" w:eastAsia="zh-CN"/>
        </w:rPr>
        <w:t>通过专家评审及采购人验收。中标供应商提供的规划成果必须符合我国最新颁布的与之相关的技术规范与标准，同时须满足采购文件中所列全部规格、技术条件及功能要求和其承诺的其它指标。在项目实施过程中，如国家标准修改，应按照新国家标准实施。</w:t>
      </w:r>
    </w:p>
    <w:p w14:paraId="44A0E72F">
      <w:pPr>
        <w:widowControl/>
        <w:snapToGrid w:val="0"/>
        <w:spacing w:line="360" w:lineRule="exact"/>
        <w:ind w:firstLine="482" w:firstLineChars="200"/>
        <w:jc w:val="left"/>
        <w:rPr>
          <w:rFonts w:ascii="Arial" w:hAnsi="Arial" w:cs="Arial"/>
          <w:color w:val="auto"/>
          <w:kern w:val="0"/>
          <w:sz w:val="14"/>
          <w:szCs w:val="14"/>
          <w:highlight w:val="none"/>
        </w:rPr>
      </w:pPr>
      <w:r>
        <w:rPr>
          <w:rFonts w:hint="eastAsia" w:ascii="仿宋_GB2312" w:hAnsi="宋体" w:eastAsia="仿宋_GB2312" w:cs="Arial"/>
          <w:b/>
          <w:color w:val="auto"/>
          <w:kern w:val="0"/>
          <w:sz w:val="24"/>
          <w:highlight w:val="none"/>
        </w:rPr>
        <w:t>十</w:t>
      </w:r>
      <w:r>
        <w:rPr>
          <w:rFonts w:hint="eastAsia" w:ascii="仿宋_GB2312" w:hAnsi="宋体" w:eastAsia="仿宋_GB2312" w:cs="Arial"/>
          <w:b/>
          <w:color w:val="auto"/>
          <w:kern w:val="0"/>
          <w:sz w:val="24"/>
          <w:highlight w:val="none"/>
          <w:lang w:val="en-US" w:eastAsia="zh-CN"/>
        </w:rPr>
        <w:t>二</w:t>
      </w:r>
      <w:r>
        <w:rPr>
          <w:rFonts w:hint="eastAsia" w:ascii="仿宋_GB2312" w:hAnsi="宋体" w:eastAsia="仿宋_GB2312" w:cs="Arial"/>
          <w:b/>
          <w:color w:val="auto"/>
          <w:kern w:val="0"/>
          <w:sz w:val="24"/>
          <w:highlight w:val="none"/>
        </w:rPr>
        <w:t>、不可抗力事件处理</w:t>
      </w:r>
    </w:p>
    <w:p w14:paraId="03B73A05">
      <w:pPr>
        <w:widowControl/>
        <w:snapToGrid w:val="0"/>
        <w:spacing w:line="36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1</w:t>
      </w:r>
      <w:r>
        <w:rPr>
          <w:rFonts w:hint="eastAsia" w:ascii="仿宋_GB2312" w:hAnsi="宋体" w:eastAsia="仿宋_GB2312" w:cs="Arial"/>
          <w:color w:val="auto"/>
          <w:kern w:val="0"/>
          <w:sz w:val="24"/>
          <w:highlight w:val="none"/>
          <w:lang w:val="en-US" w:eastAsia="zh-CN"/>
        </w:rPr>
        <w:t>2.</w:t>
      </w:r>
      <w:r>
        <w:rPr>
          <w:rFonts w:hint="eastAsia" w:ascii="仿宋_GB2312" w:hAnsi="宋体" w:eastAsia="仿宋_GB2312" w:cs="Arial"/>
          <w:color w:val="auto"/>
          <w:kern w:val="0"/>
          <w:sz w:val="24"/>
          <w:highlight w:val="none"/>
        </w:rPr>
        <w:t>1 在合同有效期内，任何一方因不可抗力事件导致不能履行合同，则合同履行期可延长，其延长期与不可抗力影响期相同。</w:t>
      </w:r>
    </w:p>
    <w:p w14:paraId="1C9CD96A">
      <w:pPr>
        <w:widowControl/>
        <w:snapToGrid w:val="0"/>
        <w:spacing w:line="36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1</w:t>
      </w:r>
      <w:r>
        <w:rPr>
          <w:rFonts w:hint="eastAsia" w:ascii="仿宋_GB2312" w:hAnsi="宋体" w:eastAsia="仿宋_GB2312" w:cs="Arial"/>
          <w:color w:val="auto"/>
          <w:kern w:val="0"/>
          <w:sz w:val="24"/>
          <w:highlight w:val="none"/>
          <w:lang w:val="en-US" w:eastAsia="zh-CN"/>
        </w:rPr>
        <w:t>2</w:t>
      </w:r>
      <w:r>
        <w:rPr>
          <w:rFonts w:hint="eastAsia" w:ascii="仿宋_GB2312" w:hAnsi="宋体" w:eastAsia="仿宋_GB2312" w:cs="Arial"/>
          <w:color w:val="auto"/>
          <w:kern w:val="0"/>
          <w:sz w:val="24"/>
          <w:highlight w:val="none"/>
        </w:rPr>
        <w:t>.2 不可抗力事件发生后，应立即通知对方，并寄送有关权威机构出具的证明。</w:t>
      </w:r>
    </w:p>
    <w:p w14:paraId="7737ED55">
      <w:pPr>
        <w:widowControl/>
        <w:snapToGrid w:val="0"/>
        <w:spacing w:line="36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1</w:t>
      </w:r>
      <w:r>
        <w:rPr>
          <w:rFonts w:hint="eastAsia" w:ascii="仿宋_GB2312" w:hAnsi="宋体" w:eastAsia="仿宋_GB2312" w:cs="Arial"/>
          <w:color w:val="auto"/>
          <w:kern w:val="0"/>
          <w:sz w:val="24"/>
          <w:highlight w:val="none"/>
          <w:lang w:val="en-US" w:eastAsia="zh-CN"/>
        </w:rPr>
        <w:t>2</w:t>
      </w:r>
      <w:r>
        <w:rPr>
          <w:rFonts w:hint="eastAsia" w:ascii="仿宋_GB2312" w:hAnsi="宋体" w:eastAsia="仿宋_GB2312" w:cs="Arial"/>
          <w:color w:val="auto"/>
          <w:kern w:val="0"/>
          <w:sz w:val="24"/>
          <w:highlight w:val="none"/>
        </w:rPr>
        <w:t>.3 不可抗力事件延续</w:t>
      </w:r>
      <w:r>
        <w:rPr>
          <w:rFonts w:hint="eastAsia" w:ascii="仿宋_GB2312" w:hAnsi="宋体" w:eastAsia="仿宋_GB2312" w:cs="Arial"/>
          <w:color w:val="auto"/>
          <w:kern w:val="0"/>
          <w:sz w:val="24"/>
          <w:highlight w:val="none"/>
          <w:u w:val="single"/>
        </w:rPr>
        <w:t xml:space="preserve"> </w:t>
      </w:r>
      <w:r>
        <w:rPr>
          <w:rFonts w:hint="eastAsia" w:ascii="仿宋_GB2312" w:hAnsi="宋体" w:eastAsia="仿宋_GB2312" w:cs="Arial"/>
          <w:color w:val="auto"/>
          <w:kern w:val="0"/>
          <w:sz w:val="24"/>
          <w:highlight w:val="none"/>
          <w:u w:val="single"/>
          <w:lang w:val="en-US" w:eastAsia="zh-CN"/>
        </w:rPr>
        <w:t>90</w:t>
      </w:r>
      <w:r>
        <w:rPr>
          <w:rFonts w:hint="eastAsia" w:ascii="仿宋_GB2312" w:hAnsi="宋体" w:eastAsia="仿宋_GB2312" w:cs="Arial"/>
          <w:color w:val="auto"/>
          <w:kern w:val="0"/>
          <w:sz w:val="24"/>
          <w:highlight w:val="none"/>
          <w:u w:val="single"/>
        </w:rPr>
        <w:t xml:space="preserve"> </w:t>
      </w:r>
      <w:r>
        <w:rPr>
          <w:rFonts w:hint="eastAsia" w:ascii="仿宋_GB2312" w:hAnsi="宋体" w:eastAsia="仿宋_GB2312" w:cs="Arial"/>
          <w:color w:val="auto"/>
          <w:kern w:val="0"/>
          <w:sz w:val="24"/>
          <w:highlight w:val="none"/>
        </w:rPr>
        <w:t>天以上，双方应通过友好协商，确定是否继续履行合同。</w:t>
      </w:r>
    </w:p>
    <w:p w14:paraId="4B9EF877">
      <w:pPr>
        <w:widowControl/>
        <w:snapToGrid w:val="0"/>
        <w:spacing w:line="360" w:lineRule="exact"/>
        <w:ind w:firstLine="482" w:firstLineChars="200"/>
        <w:jc w:val="left"/>
        <w:rPr>
          <w:rFonts w:ascii="Arial" w:hAnsi="Arial" w:cs="Arial"/>
          <w:color w:val="auto"/>
          <w:kern w:val="0"/>
          <w:sz w:val="14"/>
          <w:szCs w:val="14"/>
          <w:highlight w:val="none"/>
        </w:rPr>
      </w:pPr>
      <w:r>
        <w:rPr>
          <w:rFonts w:hint="eastAsia" w:ascii="仿宋_GB2312" w:hAnsi="宋体" w:eastAsia="仿宋_GB2312" w:cs="Arial"/>
          <w:b/>
          <w:color w:val="auto"/>
          <w:kern w:val="0"/>
          <w:sz w:val="24"/>
          <w:highlight w:val="none"/>
        </w:rPr>
        <w:t>十</w:t>
      </w:r>
      <w:r>
        <w:rPr>
          <w:rFonts w:hint="eastAsia" w:ascii="仿宋_GB2312" w:hAnsi="宋体" w:eastAsia="仿宋_GB2312" w:cs="Arial"/>
          <w:b/>
          <w:color w:val="auto"/>
          <w:kern w:val="0"/>
          <w:sz w:val="24"/>
          <w:highlight w:val="none"/>
          <w:lang w:val="en-US" w:eastAsia="zh-CN"/>
        </w:rPr>
        <w:t>三</w:t>
      </w:r>
      <w:r>
        <w:rPr>
          <w:rFonts w:hint="eastAsia" w:ascii="仿宋_GB2312" w:hAnsi="宋体" w:eastAsia="仿宋_GB2312" w:cs="Arial"/>
          <w:b/>
          <w:color w:val="auto"/>
          <w:kern w:val="0"/>
          <w:sz w:val="24"/>
          <w:highlight w:val="none"/>
        </w:rPr>
        <w:t>、争议解决</w:t>
      </w:r>
    </w:p>
    <w:p w14:paraId="5E592C0C">
      <w:pPr>
        <w:widowControl/>
        <w:snapToGrid w:val="0"/>
        <w:spacing w:line="36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1</w:t>
      </w:r>
      <w:r>
        <w:rPr>
          <w:rFonts w:hint="eastAsia" w:ascii="仿宋_GB2312" w:hAnsi="宋体" w:eastAsia="仿宋_GB2312" w:cs="Arial"/>
          <w:color w:val="auto"/>
          <w:kern w:val="0"/>
          <w:sz w:val="24"/>
          <w:highlight w:val="none"/>
          <w:lang w:val="en-US" w:eastAsia="zh-CN"/>
        </w:rPr>
        <w:t>3</w:t>
      </w:r>
      <w:r>
        <w:rPr>
          <w:rFonts w:hint="eastAsia" w:ascii="仿宋_GB2312" w:hAnsi="宋体" w:eastAsia="仿宋_GB2312" w:cs="Arial"/>
          <w:color w:val="auto"/>
          <w:kern w:val="0"/>
          <w:sz w:val="24"/>
          <w:highlight w:val="none"/>
        </w:rPr>
        <w:t>.1 双方在履行合同中所发生的一切争议，应通过协商解决。如协商不成，可向合同签订地人民法院起诉。本合同签订地为浙江省天台县。</w:t>
      </w:r>
    </w:p>
    <w:p w14:paraId="4BE2E15A">
      <w:pPr>
        <w:widowControl/>
        <w:snapToGrid w:val="0"/>
        <w:spacing w:line="360" w:lineRule="exact"/>
        <w:ind w:firstLine="482" w:firstLineChars="200"/>
        <w:jc w:val="left"/>
        <w:rPr>
          <w:rFonts w:ascii="Arial" w:hAnsi="Arial" w:cs="Arial"/>
          <w:color w:val="auto"/>
          <w:kern w:val="0"/>
          <w:sz w:val="14"/>
          <w:szCs w:val="14"/>
          <w:highlight w:val="none"/>
        </w:rPr>
      </w:pPr>
      <w:r>
        <w:rPr>
          <w:rFonts w:hint="eastAsia" w:ascii="仿宋_GB2312" w:hAnsi="宋体" w:eastAsia="仿宋_GB2312" w:cs="Arial"/>
          <w:b/>
          <w:color w:val="auto"/>
          <w:kern w:val="0"/>
          <w:sz w:val="24"/>
          <w:highlight w:val="none"/>
        </w:rPr>
        <w:t>十</w:t>
      </w:r>
      <w:r>
        <w:rPr>
          <w:rFonts w:hint="eastAsia" w:ascii="仿宋_GB2312" w:hAnsi="宋体" w:eastAsia="仿宋_GB2312" w:cs="Arial"/>
          <w:b/>
          <w:color w:val="auto"/>
          <w:kern w:val="0"/>
          <w:sz w:val="24"/>
          <w:highlight w:val="none"/>
          <w:lang w:val="en-US" w:eastAsia="zh-CN"/>
        </w:rPr>
        <w:t>四</w:t>
      </w:r>
      <w:r>
        <w:rPr>
          <w:rFonts w:hint="eastAsia" w:ascii="仿宋_GB2312" w:hAnsi="宋体" w:eastAsia="仿宋_GB2312" w:cs="Arial"/>
          <w:b/>
          <w:color w:val="auto"/>
          <w:kern w:val="0"/>
          <w:sz w:val="24"/>
          <w:highlight w:val="none"/>
        </w:rPr>
        <w:t>、合同生效及其它</w:t>
      </w:r>
    </w:p>
    <w:p w14:paraId="1399CFD0">
      <w:pPr>
        <w:widowControl/>
        <w:snapToGrid w:val="0"/>
        <w:spacing w:line="36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1</w:t>
      </w:r>
      <w:r>
        <w:rPr>
          <w:rFonts w:hint="eastAsia" w:ascii="仿宋_GB2312" w:hAnsi="宋体" w:eastAsia="仿宋_GB2312" w:cs="Arial"/>
          <w:color w:val="auto"/>
          <w:kern w:val="0"/>
          <w:sz w:val="24"/>
          <w:highlight w:val="none"/>
          <w:lang w:val="en-US" w:eastAsia="zh-CN"/>
        </w:rPr>
        <w:t>4</w:t>
      </w:r>
      <w:r>
        <w:rPr>
          <w:rFonts w:hint="eastAsia" w:ascii="仿宋_GB2312" w:hAnsi="宋体" w:eastAsia="仿宋_GB2312" w:cs="Arial"/>
          <w:color w:val="auto"/>
          <w:kern w:val="0"/>
          <w:sz w:val="24"/>
          <w:highlight w:val="none"/>
        </w:rPr>
        <w:t>.1 合同经双方法定代表人（负责人）或授权委托代理人签字并加盖单位公章后生效。</w:t>
      </w:r>
    </w:p>
    <w:p w14:paraId="40F533BF">
      <w:pPr>
        <w:widowControl/>
        <w:snapToGrid w:val="0"/>
        <w:spacing w:line="44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1</w:t>
      </w:r>
      <w:r>
        <w:rPr>
          <w:rFonts w:hint="eastAsia" w:ascii="仿宋_GB2312" w:hAnsi="宋体" w:eastAsia="仿宋_GB2312" w:cs="Arial"/>
          <w:color w:val="auto"/>
          <w:kern w:val="0"/>
          <w:sz w:val="24"/>
          <w:highlight w:val="none"/>
          <w:lang w:val="en-US" w:eastAsia="zh-CN"/>
        </w:rPr>
        <w:t>4</w:t>
      </w:r>
      <w:r>
        <w:rPr>
          <w:rFonts w:hint="eastAsia" w:ascii="仿宋_GB2312" w:hAnsi="宋体" w:eastAsia="仿宋_GB2312" w:cs="Arial"/>
          <w:color w:val="auto"/>
          <w:kern w:val="0"/>
          <w:sz w:val="24"/>
          <w:highlight w:val="none"/>
        </w:rPr>
        <w:t>.2 本合同未尽事宜，遵照《中华人民共和国民法典》有关条文执行。</w:t>
      </w:r>
    </w:p>
    <w:p w14:paraId="44D91E23">
      <w:pPr>
        <w:widowControl/>
        <w:snapToGrid w:val="0"/>
        <w:spacing w:line="360" w:lineRule="exact"/>
        <w:ind w:firstLine="480" w:firstLineChars="200"/>
        <w:jc w:val="left"/>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1</w:t>
      </w:r>
      <w:r>
        <w:rPr>
          <w:rFonts w:hint="eastAsia" w:ascii="仿宋_GB2312" w:hAnsi="宋体" w:eastAsia="仿宋_GB2312" w:cs="Arial"/>
          <w:color w:val="auto"/>
          <w:kern w:val="0"/>
          <w:sz w:val="24"/>
          <w:highlight w:val="none"/>
          <w:lang w:val="en-US" w:eastAsia="zh-CN"/>
        </w:rPr>
        <w:t>4</w:t>
      </w:r>
      <w:r>
        <w:rPr>
          <w:rFonts w:hint="eastAsia" w:ascii="仿宋_GB2312" w:hAnsi="宋体" w:eastAsia="仿宋_GB2312" w:cs="Arial"/>
          <w:color w:val="auto"/>
          <w:kern w:val="0"/>
          <w:sz w:val="24"/>
          <w:highlight w:val="none"/>
        </w:rPr>
        <w:t>.3 本合同一式陆份，具有同等法律效力，甲乙双方各执两份、天台县财政局、招标代理各执一份。</w:t>
      </w:r>
    </w:p>
    <w:p w14:paraId="7FAB537D">
      <w:pPr>
        <w:widowControl/>
        <w:snapToGrid w:val="0"/>
        <w:spacing w:line="440" w:lineRule="exact"/>
        <w:jc w:val="left"/>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甲方（盖章）：</w:t>
      </w:r>
      <w:r>
        <w:rPr>
          <w:rFonts w:hint="eastAsia" w:ascii="仿宋_GB2312" w:hAnsi="宋体" w:eastAsia="仿宋_GB2312" w:cs="Arial"/>
          <w:color w:val="auto"/>
          <w:kern w:val="0"/>
          <w:sz w:val="24"/>
          <w:highlight w:val="none"/>
          <w:u w:val="single"/>
        </w:rPr>
        <w:t xml:space="preserve">                       </w:t>
      </w:r>
      <w:r>
        <w:rPr>
          <w:rFonts w:hint="eastAsia" w:ascii="仿宋_GB2312" w:hAnsi="宋体" w:eastAsia="仿宋_GB2312" w:cs="Arial"/>
          <w:color w:val="auto"/>
          <w:kern w:val="0"/>
          <w:sz w:val="24"/>
          <w:highlight w:val="none"/>
        </w:rPr>
        <w:t>　乙方（盖章）：</w:t>
      </w:r>
      <w:r>
        <w:rPr>
          <w:rFonts w:hint="eastAsia" w:ascii="仿宋_GB2312" w:hAnsi="宋体" w:eastAsia="仿宋_GB2312" w:cs="Arial"/>
          <w:color w:val="auto"/>
          <w:kern w:val="0"/>
          <w:sz w:val="24"/>
          <w:highlight w:val="none"/>
          <w:u w:val="single"/>
        </w:rPr>
        <w:t xml:space="preserve">                         </w:t>
      </w:r>
    </w:p>
    <w:p w14:paraId="29E78ADA">
      <w:pPr>
        <w:widowControl/>
        <w:snapToGrid w:val="0"/>
        <w:spacing w:line="440" w:lineRule="exact"/>
        <w:jc w:val="left"/>
        <w:rPr>
          <w:rFonts w:ascii="仿宋_GB2312" w:hAnsi="宋体" w:eastAsia="仿宋_GB2312" w:cs="Arial"/>
          <w:color w:val="auto"/>
          <w:kern w:val="0"/>
          <w:sz w:val="24"/>
          <w:highlight w:val="none"/>
        </w:rPr>
      </w:pPr>
      <w:r>
        <w:rPr>
          <w:rFonts w:hint="eastAsia" w:ascii="仿宋_GB2312" w:hAnsi="宋体" w:eastAsia="仿宋_GB2312" w:cs="Arial"/>
          <w:color w:val="auto"/>
          <w:kern w:val="0"/>
          <w:sz w:val="24"/>
          <w:highlight w:val="none"/>
        </w:rPr>
        <w:t>地址：</w:t>
      </w:r>
      <w:r>
        <w:rPr>
          <w:rFonts w:hint="eastAsia" w:ascii="仿宋_GB2312" w:hAnsi="宋体" w:eastAsia="仿宋_GB2312" w:cs="Arial"/>
          <w:color w:val="auto"/>
          <w:kern w:val="0"/>
          <w:sz w:val="24"/>
          <w:highlight w:val="none"/>
          <w:u w:val="single"/>
        </w:rPr>
        <w:t xml:space="preserve">                               </w:t>
      </w:r>
      <w:r>
        <w:rPr>
          <w:rFonts w:hint="eastAsia" w:ascii="仿宋_GB2312" w:hAnsi="宋体" w:eastAsia="仿宋_GB2312" w:cs="Arial"/>
          <w:color w:val="auto"/>
          <w:kern w:val="0"/>
          <w:sz w:val="24"/>
          <w:highlight w:val="none"/>
        </w:rPr>
        <w:t xml:space="preserve">  地址：</w:t>
      </w:r>
      <w:r>
        <w:rPr>
          <w:rFonts w:hint="eastAsia" w:ascii="仿宋_GB2312" w:hAnsi="宋体" w:eastAsia="仿宋_GB2312" w:cs="Arial"/>
          <w:color w:val="auto"/>
          <w:kern w:val="0"/>
          <w:sz w:val="24"/>
          <w:highlight w:val="none"/>
          <w:u w:val="single"/>
        </w:rPr>
        <w:t xml:space="preserve">                         　　　　</w:t>
      </w:r>
    </w:p>
    <w:p w14:paraId="16130574">
      <w:pPr>
        <w:widowControl/>
        <w:snapToGrid w:val="0"/>
        <w:spacing w:line="440" w:lineRule="exact"/>
        <w:jc w:val="left"/>
        <w:rPr>
          <w:rFonts w:ascii="仿宋_GB2312" w:hAnsi="宋体" w:eastAsia="仿宋_GB2312" w:cs="Arial"/>
          <w:color w:val="auto"/>
          <w:kern w:val="0"/>
          <w:sz w:val="24"/>
          <w:highlight w:val="none"/>
        </w:rPr>
      </w:pPr>
      <w:r>
        <w:rPr>
          <w:rFonts w:hint="eastAsia" w:ascii="仿宋_GB2312" w:hAnsi="宋体" w:eastAsia="仿宋_GB2312" w:cs="Arial"/>
          <w:color w:val="auto"/>
          <w:kern w:val="0"/>
          <w:sz w:val="24"/>
          <w:highlight w:val="none"/>
        </w:rPr>
        <w:t>法定代表人（负责人）：</w:t>
      </w:r>
      <w:r>
        <w:rPr>
          <w:rFonts w:hint="eastAsia" w:ascii="仿宋_GB2312" w:hAnsi="宋体" w:eastAsia="仿宋_GB2312" w:cs="Arial"/>
          <w:color w:val="auto"/>
          <w:kern w:val="0"/>
          <w:sz w:val="24"/>
          <w:highlight w:val="none"/>
          <w:u w:val="single"/>
        </w:rPr>
        <w:t xml:space="preserve">               </w:t>
      </w:r>
      <w:r>
        <w:rPr>
          <w:rFonts w:hint="eastAsia" w:ascii="仿宋_GB2312" w:hAnsi="宋体" w:eastAsia="仿宋_GB2312" w:cs="Arial"/>
          <w:color w:val="auto"/>
          <w:kern w:val="0"/>
          <w:sz w:val="24"/>
          <w:highlight w:val="none"/>
        </w:rPr>
        <w:t>　法定代表人（负责人）：</w:t>
      </w:r>
      <w:r>
        <w:rPr>
          <w:rFonts w:hint="eastAsia" w:ascii="仿宋_GB2312" w:hAnsi="宋体" w:eastAsia="仿宋_GB2312" w:cs="Arial"/>
          <w:color w:val="auto"/>
          <w:kern w:val="0"/>
          <w:sz w:val="24"/>
          <w:highlight w:val="none"/>
          <w:u w:val="single"/>
        </w:rPr>
        <w:t xml:space="preserve">                 </w:t>
      </w:r>
    </w:p>
    <w:p w14:paraId="3EAFAC2B">
      <w:pPr>
        <w:widowControl/>
        <w:snapToGrid w:val="0"/>
        <w:spacing w:line="440" w:lineRule="exact"/>
        <w:jc w:val="left"/>
        <w:rPr>
          <w:rFonts w:ascii="仿宋_GB2312" w:hAnsi="宋体" w:eastAsia="仿宋_GB2312" w:cs="Arial"/>
          <w:color w:val="auto"/>
          <w:kern w:val="0"/>
          <w:sz w:val="24"/>
          <w:highlight w:val="none"/>
        </w:rPr>
      </w:pPr>
      <w:r>
        <w:rPr>
          <w:rFonts w:hint="eastAsia" w:ascii="仿宋_GB2312" w:hAnsi="宋体" w:eastAsia="仿宋_GB2312" w:cs="Arial"/>
          <w:color w:val="auto"/>
          <w:kern w:val="0"/>
          <w:sz w:val="24"/>
          <w:highlight w:val="none"/>
        </w:rPr>
        <w:t>委托代理人：</w:t>
      </w:r>
      <w:r>
        <w:rPr>
          <w:rFonts w:hint="eastAsia" w:ascii="仿宋_GB2312" w:hAnsi="宋体" w:eastAsia="仿宋_GB2312" w:cs="Arial"/>
          <w:color w:val="auto"/>
          <w:kern w:val="0"/>
          <w:sz w:val="24"/>
          <w:highlight w:val="none"/>
          <w:u w:val="single"/>
        </w:rPr>
        <w:t xml:space="preserve">　　　　　　　　　　　　 </w:t>
      </w:r>
      <w:r>
        <w:rPr>
          <w:rFonts w:hint="eastAsia" w:ascii="仿宋_GB2312" w:hAnsi="宋体" w:eastAsia="仿宋_GB2312" w:cs="Arial"/>
          <w:color w:val="auto"/>
          <w:kern w:val="0"/>
          <w:sz w:val="24"/>
          <w:highlight w:val="none"/>
        </w:rPr>
        <w:t xml:space="preserve">  委托代理人：</w:t>
      </w:r>
      <w:r>
        <w:rPr>
          <w:rFonts w:hint="eastAsia" w:ascii="仿宋_GB2312" w:hAnsi="宋体" w:eastAsia="仿宋_GB2312" w:cs="Arial"/>
          <w:color w:val="auto"/>
          <w:kern w:val="0"/>
          <w:sz w:val="24"/>
          <w:highlight w:val="none"/>
          <w:u w:val="single"/>
        </w:rPr>
        <w:t xml:space="preserve">                           </w:t>
      </w:r>
    </w:p>
    <w:p w14:paraId="1E693330">
      <w:pPr>
        <w:widowControl/>
        <w:snapToGrid w:val="0"/>
        <w:spacing w:line="440" w:lineRule="exact"/>
        <w:jc w:val="left"/>
        <w:rPr>
          <w:rFonts w:ascii="Arial" w:hAnsi="Arial" w:cs="Arial"/>
          <w:color w:val="auto"/>
          <w:kern w:val="0"/>
          <w:sz w:val="14"/>
          <w:szCs w:val="14"/>
          <w:highlight w:val="none"/>
        </w:rPr>
      </w:pPr>
      <w:r>
        <w:rPr>
          <w:rFonts w:hint="eastAsia" w:ascii="仿宋_GB2312" w:hAnsi="宋体" w:eastAsia="仿宋_GB2312" w:cs="Arial"/>
          <w:color w:val="auto"/>
          <w:kern w:val="0"/>
          <w:sz w:val="24"/>
          <w:highlight w:val="none"/>
        </w:rPr>
        <w:t>账户名称：</w:t>
      </w:r>
      <w:r>
        <w:rPr>
          <w:rFonts w:hint="eastAsia" w:ascii="仿宋_GB2312" w:hAnsi="宋体" w:eastAsia="仿宋_GB2312" w:cs="Arial"/>
          <w:color w:val="auto"/>
          <w:kern w:val="0"/>
          <w:sz w:val="24"/>
          <w:highlight w:val="none"/>
          <w:u w:val="single"/>
        </w:rPr>
        <w:t xml:space="preserve">                           </w:t>
      </w:r>
      <w:r>
        <w:rPr>
          <w:rFonts w:hint="eastAsia" w:ascii="仿宋_GB2312" w:hAnsi="宋体" w:eastAsia="仿宋_GB2312" w:cs="Arial"/>
          <w:color w:val="auto"/>
          <w:kern w:val="0"/>
          <w:sz w:val="24"/>
          <w:highlight w:val="none"/>
        </w:rPr>
        <w:t>　账户名称：</w:t>
      </w:r>
      <w:r>
        <w:rPr>
          <w:rFonts w:hint="eastAsia" w:ascii="仿宋_GB2312" w:hAnsi="宋体" w:eastAsia="仿宋_GB2312" w:cs="Arial"/>
          <w:color w:val="auto"/>
          <w:kern w:val="0"/>
          <w:sz w:val="24"/>
          <w:highlight w:val="none"/>
          <w:u w:val="single"/>
        </w:rPr>
        <w:t xml:space="preserve">                             </w:t>
      </w:r>
    </w:p>
    <w:p w14:paraId="461971C9">
      <w:pPr>
        <w:widowControl/>
        <w:snapToGrid w:val="0"/>
        <w:spacing w:line="440" w:lineRule="exact"/>
        <w:jc w:val="left"/>
        <w:rPr>
          <w:rFonts w:ascii="仿宋_GB2312" w:hAnsi="宋体" w:eastAsia="仿宋_GB2312" w:cs="Arial"/>
          <w:color w:val="auto"/>
          <w:kern w:val="0"/>
          <w:sz w:val="24"/>
          <w:highlight w:val="none"/>
          <w:u w:val="single"/>
        </w:rPr>
      </w:pPr>
      <w:r>
        <w:rPr>
          <w:rFonts w:hint="eastAsia" w:ascii="仿宋_GB2312" w:hAnsi="Arial" w:eastAsia="仿宋_GB2312" w:cs="Arial"/>
          <w:color w:val="auto"/>
          <w:kern w:val="0"/>
          <w:sz w:val="24"/>
          <w:highlight w:val="none"/>
        </w:rPr>
        <w:t>开户银行</w:t>
      </w:r>
      <w:r>
        <w:rPr>
          <w:rFonts w:hint="eastAsia" w:ascii="仿宋_GB2312" w:hAnsi="宋体" w:eastAsia="仿宋_GB2312" w:cs="Arial"/>
          <w:color w:val="auto"/>
          <w:kern w:val="0"/>
          <w:sz w:val="24"/>
          <w:highlight w:val="none"/>
        </w:rPr>
        <w:t>：</w:t>
      </w:r>
      <w:r>
        <w:rPr>
          <w:rFonts w:hint="eastAsia" w:ascii="仿宋_GB2312" w:hAnsi="宋体" w:eastAsia="仿宋_GB2312" w:cs="Arial"/>
          <w:color w:val="auto"/>
          <w:kern w:val="0"/>
          <w:sz w:val="24"/>
          <w:highlight w:val="none"/>
          <w:u w:val="single"/>
        </w:rPr>
        <w:t xml:space="preserve">　　　　　　　　　　　　　 </w:t>
      </w:r>
      <w:r>
        <w:rPr>
          <w:rFonts w:hint="eastAsia" w:ascii="仿宋_GB2312" w:hAnsi="宋体" w:eastAsia="仿宋_GB2312" w:cs="Arial"/>
          <w:color w:val="auto"/>
          <w:kern w:val="0"/>
          <w:sz w:val="24"/>
          <w:highlight w:val="none"/>
        </w:rPr>
        <w:t xml:space="preserve">  </w:t>
      </w:r>
      <w:r>
        <w:rPr>
          <w:rFonts w:hint="eastAsia" w:ascii="仿宋_GB2312" w:hAnsi="Arial" w:eastAsia="仿宋_GB2312" w:cs="Arial"/>
          <w:color w:val="auto"/>
          <w:kern w:val="0"/>
          <w:sz w:val="24"/>
          <w:highlight w:val="none"/>
        </w:rPr>
        <w:t>开户银行</w:t>
      </w:r>
      <w:r>
        <w:rPr>
          <w:rFonts w:hint="eastAsia" w:ascii="仿宋_GB2312" w:hAnsi="宋体" w:eastAsia="仿宋_GB2312" w:cs="Arial"/>
          <w:color w:val="auto"/>
          <w:kern w:val="0"/>
          <w:sz w:val="24"/>
          <w:highlight w:val="none"/>
        </w:rPr>
        <w:t>：</w:t>
      </w:r>
      <w:r>
        <w:rPr>
          <w:rFonts w:hint="eastAsia" w:ascii="仿宋_GB2312" w:hAnsi="宋体" w:eastAsia="仿宋_GB2312" w:cs="Arial"/>
          <w:color w:val="auto"/>
          <w:kern w:val="0"/>
          <w:sz w:val="24"/>
          <w:highlight w:val="none"/>
          <w:u w:val="single"/>
        </w:rPr>
        <w:t xml:space="preserve">                              </w:t>
      </w:r>
    </w:p>
    <w:p w14:paraId="755F63E0">
      <w:pPr>
        <w:widowControl/>
        <w:snapToGrid w:val="0"/>
        <w:spacing w:line="440" w:lineRule="exact"/>
        <w:jc w:val="left"/>
        <w:rPr>
          <w:rFonts w:ascii="仿宋_GB2312" w:hAnsi="宋体" w:eastAsia="仿宋_GB2312" w:cs="Arial"/>
          <w:color w:val="auto"/>
          <w:kern w:val="0"/>
          <w:sz w:val="24"/>
          <w:highlight w:val="none"/>
          <w:u w:val="single"/>
        </w:rPr>
      </w:pPr>
      <w:r>
        <w:rPr>
          <w:rFonts w:hint="eastAsia" w:ascii="仿宋_GB2312" w:hAnsi="宋体" w:eastAsia="仿宋_GB2312" w:cs="Arial"/>
          <w:color w:val="auto"/>
          <w:kern w:val="0"/>
          <w:sz w:val="24"/>
          <w:highlight w:val="none"/>
        </w:rPr>
        <w:t>账号：</w:t>
      </w:r>
      <w:r>
        <w:rPr>
          <w:rFonts w:hint="eastAsia" w:ascii="仿宋_GB2312" w:hAnsi="宋体" w:eastAsia="仿宋_GB2312" w:cs="Arial"/>
          <w:color w:val="auto"/>
          <w:kern w:val="0"/>
          <w:sz w:val="24"/>
          <w:highlight w:val="none"/>
          <w:u w:val="single"/>
        </w:rPr>
        <w:t>　　　　　　　　　　　　　　　</w:t>
      </w:r>
      <w:r>
        <w:rPr>
          <w:rFonts w:hint="eastAsia" w:ascii="仿宋_GB2312" w:hAnsi="宋体" w:eastAsia="仿宋_GB2312" w:cs="Arial"/>
          <w:color w:val="auto"/>
          <w:kern w:val="0"/>
          <w:sz w:val="24"/>
          <w:highlight w:val="none"/>
        </w:rPr>
        <w:t>　 账号：</w:t>
      </w:r>
      <w:r>
        <w:rPr>
          <w:rFonts w:hint="eastAsia" w:ascii="仿宋_GB2312" w:hAnsi="宋体" w:eastAsia="仿宋_GB2312" w:cs="Arial"/>
          <w:color w:val="auto"/>
          <w:kern w:val="0"/>
          <w:sz w:val="24"/>
          <w:highlight w:val="none"/>
          <w:u w:val="single"/>
        </w:rPr>
        <w:t xml:space="preserve">                                    </w:t>
      </w:r>
    </w:p>
    <w:p w14:paraId="23F7ED5C">
      <w:pPr>
        <w:widowControl/>
        <w:snapToGrid w:val="0"/>
        <w:spacing w:line="440" w:lineRule="exact"/>
        <w:jc w:val="left"/>
        <w:rPr>
          <w:rFonts w:ascii="仿宋_GB2312" w:hAnsi="宋体" w:eastAsia="仿宋_GB2312" w:cs="Arial"/>
          <w:color w:val="auto"/>
          <w:kern w:val="0"/>
          <w:sz w:val="24"/>
          <w:highlight w:val="none"/>
        </w:rPr>
      </w:pPr>
      <w:r>
        <w:rPr>
          <w:rFonts w:hint="eastAsia" w:ascii="仿宋_GB2312" w:hAnsi="宋体" w:eastAsia="仿宋_GB2312" w:cs="Arial"/>
          <w:color w:val="auto"/>
          <w:kern w:val="0"/>
          <w:sz w:val="24"/>
          <w:highlight w:val="none"/>
        </w:rPr>
        <w:t>签订时间：</w:t>
      </w:r>
      <w:r>
        <w:rPr>
          <w:rFonts w:hint="eastAsia" w:ascii="仿宋_GB2312" w:hAnsi="宋体" w:eastAsia="仿宋_GB2312" w:cs="Arial"/>
          <w:color w:val="auto"/>
          <w:kern w:val="0"/>
          <w:sz w:val="24"/>
          <w:highlight w:val="none"/>
          <w:u w:val="single"/>
        </w:rPr>
        <w:t xml:space="preserve">                                                                      </w:t>
      </w:r>
    </w:p>
    <w:p w14:paraId="74DAA876">
      <w:pPr>
        <w:widowControl/>
        <w:snapToGrid w:val="0"/>
        <w:spacing w:line="440" w:lineRule="exact"/>
        <w:jc w:val="left"/>
        <w:rPr>
          <w:rFonts w:ascii="仿宋_GB2312" w:eastAsia="仿宋_GB2312"/>
          <w:b/>
          <w:bCs/>
          <w:color w:val="auto"/>
          <w:sz w:val="36"/>
          <w:szCs w:val="32"/>
          <w:highlight w:val="none"/>
        </w:rPr>
        <w:sectPr>
          <w:headerReference r:id="rId3" w:type="default"/>
          <w:footerReference r:id="rId4" w:type="default"/>
          <w:pgSz w:w="11906" w:h="16838"/>
          <w:pgMar w:top="1089" w:right="1021" w:bottom="936" w:left="1247" w:header="851" w:footer="992" w:gutter="0"/>
          <w:cols w:space="720" w:num="1"/>
          <w:docGrid w:type="lines" w:linePitch="312" w:charSpace="0"/>
        </w:sectPr>
      </w:pPr>
      <w:r>
        <w:rPr>
          <w:rFonts w:hint="eastAsia" w:ascii="仿宋_GB2312" w:hAnsi="宋体" w:eastAsia="仿宋_GB2312" w:cs="Arial"/>
          <w:color w:val="auto"/>
          <w:kern w:val="0"/>
          <w:sz w:val="24"/>
          <w:highlight w:val="none"/>
        </w:rPr>
        <w:t>签订地点：</w:t>
      </w:r>
      <w:r>
        <w:rPr>
          <w:rFonts w:hint="eastAsia" w:ascii="仿宋_GB2312" w:hAnsi="宋体" w:eastAsia="仿宋_GB2312" w:cs="Arial"/>
          <w:color w:val="auto"/>
          <w:kern w:val="0"/>
          <w:sz w:val="24"/>
          <w:highlight w:val="none"/>
          <w:u w:val="single"/>
        </w:rPr>
        <w:t xml:space="preserve">                                                                       </w:t>
      </w:r>
    </w:p>
    <w:p w14:paraId="161281C4">
      <w:pPr>
        <w:snapToGrid w:val="0"/>
        <w:spacing w:line="400" w:lineRule="exact"/>
        <w:ind w:firstLine="723" w:firstLineChars="200"/>
        <w:jc w:val="center"/>
        <w:rPr>
          <w:rFonts w:ascii="仿宋" w:hAnsi="仿宋" w:eastAsia="仿宋"/>
          <w:color w:val="auto"/>
          <w:sz w:val="28"/>
          <w:szCs w:val="28"/>
          <w:highlight w:val="none"/>
        </w:rPr>
      </w:pPr>
      <w:r>
        <w:rPr>
          <w:rFonts w:hint="eastAsia" w:ascii="仿宋" w:hAnsi="仿宋" w:eastAsia="仿宋"/>
          <w:b/>
          <w:bCs/>
          <w:color w:val="auto"/>
          <w:sz w:val="36"/>
          <w:szCs w:val="32"/>
          <w:highlight w:val="none"/>
          <w:lang w:val="en-US" w:eastAsia="zh-CN"/>
        </w:rPr>
        <w:t xml:space="preserve"> </w:t>
      </w:r>
      <w:r>
        <w:rPr>
          <w:rFonts w:hint="eastAsia" w:ascii="仿宋" w:hAnsi="仿宋" w:eastAsia="仿宋"/>
          <w:b/>
          <w:bCs/>
          <w:color w:val="auto"/>
          <w:sz w:val="36"/>
          <w:szCs w:val="32"/>
          <w:highlight w:val="none"/>
        </w:rPr>
        <w:t xml:space="preserve">  招标内容及需求</w:t>
      </w:r>
    </w:p>
    <w:p w14:paraId="4063D020">
      <w:pPr>
        <w:rPr>
          <w:color w:val="auto"/>
          <w:highlight w:val="none"/>
        </w:rPr>
      </w:pPr>
    </w:p>
    <w:p w14:paraId="1482A678">
      <w:pPr>
        <w:widowControl/>
        <w:numPr>
          <w:ilvl w:val="0"/>
          <w:numId w:val="2"/>
        </w:numPr>
        <w:spacing w:before="240" w:after="60" w:line="360" w:lineRule="auto"/>
        <w:ind w:left="0" w:right="62" w:firstLine="0"/>
        <w:jc w:val="left"/>
        <w:outlineLvl w:val="0"/>
        <w:rPr>
          <w:rFonts w:hint="eastAsia" w:ascii="宋体" w:hAnsi="宋体" w:cs="宋体"/>
          <w:b/>
          <w:kern w:val="0"/>
          <w:sz w:val="28"/>
          <w:szCs w:val="28"/>
          <w:highlight w:val="none"/>
        </w:rPr>
      </w:pPr>
      <w:r>
        <w:rPr>
          <w:rFonts w:hint="eastAsia" w:ascii="宋体" w:hAnsi="宋体" w:cs="宋体"/>
          <w:b/>
          <w:kern w:val="0"/>
          <w:sz w:val="28"/>
          <w:szCs w:val="28"/>
          <w:highlight w:val="none"/>
        </w:rPr>
        <w:t>项目背景</w:t>
      </w:r>
    </w:p>
    <w:p w14:paraId="593499C0">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天台山风景区总体规划（2012-2025年）》经国务院批准实施，规划期限至2025年，对资源保护、设施建设和旅游服务发挥了重要作用。但随着社会经济发展、交通条件改善、乡村振兴推进，原规划已难以满足新时期管理需求，亟需依据相关法规进行评估和修编，为未来保护与利用提供科学指导。</w:t>
      </w:r>
    </w:p>
    <w:p w14:paraId="2C2F988A">
      <w:pPr>
        <w:widowControl/>
        <w:spacing w:line="580" w:lineRule="exact"/>
        <w:ind w:firstLine="504" w:firstLineChars="210"/>
        <w:rPr>
          <w:sz w:val="28"/>
          <w:szCs w:val="36"/>
          <w:highlight w:val="none"/>
        </w:rPr>
      </w:pPr>
      <w:r>
        <w:rPr>
          <w:rFonts w:hint="eastAsia" w:ascii="仿宋_GB2312" w:hAnsi="·ÂËÎ_GB2312" w:eastAsia="仿宋_GB2312" w:cs="仿宋_GB2312"/>
          <w:sz w:val="24"/>
          <w:highlight w:val="none"/>
        </w:rPr>
        <w:t>另一方面，天台县自2021年以来旅游业快速增长，游客量屡创新高，但交通效率低、旺季拥堵严重，旅游集散体系不完善，影响游客体验和居民出行，制约产业延伸与收益。为此，需开展专项设计，优化交通网络和游线组织，提升集散能力，推动旅游业高质量可持续发展</w:t>
      </w:r>
    </w:p>
    <w:p w14:paraId="5EC8BA74">
      <w:pPr>
        <w:widowControl/>
        <w:numPr>
          <w:ilvl w:val="0"/>
          <w:numId w:val="2"/>
        </w:numPr>
        <w:spacing w:before="240" w:after="60" w:line="360" w:lineRule="auto"/>
        <w:ind w:left="0" w:right="62" w:firstLine="0"/>
        <w:jc w:val="left"/>
        <w:outlineLvl w:val="0"/>
        <w:rPr>
          <w:rFonts w:hint="eastAsia" w:ascii="宋体" w:hAnsi="宋体" w:cs="宋体"/>
          <w:b/>
          <w:kern w:val="0"/>
          <w:sz w:val="28"/>
          <w:szCs w:val="28"/>
          <w:highlight w:val="none"/>
        </w:rPr>
      </w:pPr>
      <w:r>
        <w:rPr>
          <w:rFonts w:hint="eastAsia" w:ascii="宋体" w:hAnsi="宋体" w:cs="宋体"/>
          <w:b/>
          <w:kern w:val="0"/>
          <w:sz w:val="28"/>
          <w:szCs w:val="28"/>
          <w:highlight w:val="none"/>
        </w:rPr>
        <w:t>工作范围</w:t>
      </w:r>
    </w:p>
    <w:p w14:paraId="1CF44A7B">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天台山风景名胜区总体规划（2025—2035年）评估与修编的规划范围为天台山风景名胜区，自然保护地整合后面积约133.17平方公里（已包含湿地面积，再编制过程中可按照相关政策及要求调整自然保护地面积）。</w:t>
      </w:r>
    </w:p>
    <w:p w14:paraId="1E0A2AE7">
      <w:pPr>
        <w:widowControl/>
        <w:spacing w:line="580" w:lineRule="exact"/>
        <w:ind w:firstLine="506"/>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天台县旅游交通专项设计</w:t>
      </w:r>
      <w:r>
        <w:rPr>
          <w:rFonts w:hint="eastAsia" w:ascii="仿宋_GB2312" w:hAnsi="·ÂËÎ_GB2312" w:eastAsia="仿宋_GB2312" w:cs="仿宋_GB2312"/>
          <w:b/>
          <w:sz w:val="24"/>
          <w:highlight w:val="none"/>
        </w:rPr>
        <w:t>规划范围为县域范围，1432.1平方公里；重点范围为风景名胜区范围，面积</w:t>
      </w:r>
      <w:r>
        <w:rPr>
          <w:rFonts w:hint="eastAsia" w:ascii="仿宋_GB2312" w:hAnsi="·ÂËÎ_GB2312" w:eastAsia="仿宋_GB2312" w:cs="仿宋_GB2312"/>
          <w:sz w:val="24"/>
          <w:highlight w:val="none"/>
        </w:rPr>
        <w:t>133.17</w:t>
      </w:r>
      <w:r>
        <w:rPr>
          <w:rFonts w:hint="eastAsia" w:ascii="仿宋_GB2312" w:hAnsi="·ÂËÎ_GB2312" w:eastAsia="仿宋_GB2312" w:cs="仿宋_GB2312"/>
          <w:b/>
          <w:sz w:val="24"/>
          <w:highlight w:val="none"/>
        </w:rPr>
        <w:t>平方公里，规划骨干路网260km。</w:t>
      </w:r>
    </w:p>
    <w:p w14:paraId="5016EEE0">
      <w:pPr>
        <w:widowControl/>
        <w:numPr>
          <w:ilvl w:val="0"/>
          <w:numId w:val="2"/>
        </w:numPr>
        <w:spacing w:before="240" w:after="60" w:line="360" w:lineRule="auto"/>
        <w:ind w:left="0" w:right="62" w:firstLine="0"/>
        <w:jc w:val="left"/>
        <w:outlineLvl w:val="0"/>
        <w:rPr>
          <w:rFonts w:hint="eastAsia" w:ascii="宋体" w:hAnsi="宋体" w:cs="宋体"/>
          <w:b/>
          <w:kern w:val="0"/>
          <w:sz w:val="28"/>
          <w:szCs w:val="28"/>
          <w:highlight w:val="none"/>
        </w:rPr>
      </w:pPr>
      <w:r>
        <w:rPr>
          <w:rFonts w:hint="eastAsia" w:ascii="宋体" w:hAnsi="宋体" w:cs="宋体"/>
          <w:b/>
          <w:kern w:val="0"/>
          <w:sz w:val="28"/>
          <w:szCs w:val="28"/>
          <w:highlight w:val="none"/>
        </w:rPr>
        <w:t>工作目标</w:t>
      </w:r>
    </w:p>
    <w:p w14:paraId="7FEEC134">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天台山风景区新一轮总体规划修编与天台县旅游交通专项设计要以资源保护与永续利用为核心工作目标，实行“科学规划、统一管理、严格保护、永续利用”。</w:t>
      </w:r>
    </w:p>
    <w:p w14:paraId="3ED9393C">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坚持科学规划与保护优先。以“保护优先、系统统筹、动态适配”为核心逻辑，全面开展资源本底调查与评估，建立动态监测和预警机制，确保自然生态、文化遗产和旅游资源得到全面、科学的保护。在规划中要统筹考虑生态承载力与发展需求，分阶段明确目标与路径，做到既守住生态红线，又为合理利用留有空间。</w:t>
      </w:r>
    </w:p>
    <w:p w14:paraId="42B64398">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强化统筹协调与统一管理。通过与自然保护地、国土空间、城乡建设等相关规划的有机衔接，避免规划重叠和冲突，推动多部门间的合作与协同。结合区域发展格局，将天台山风景区纳入更大范围的空间布局和交通体系，实现“统一规划、统一保护、统一发展”的目标。</w:t>
      </w:r>
    </w:p>
    <w:p w14:paraId="49B6DAC0">
      <w:pPr>
        <w:widowControl/>
        <w:spacing w:line="580" w:lineRule="exact"/>
        <w:ind w:firstLine="504" w:firstLineChars="210"/>
        <w:rPr>
          <w:sz w:val="28"/>
          <w:szCs w:val="36"/>
          <w:highlight w:val="none"/>
        </w:rPr>
      </w:pPr>
      <w:r>
        <w:rPr>
          <w:rFonts w:hint="eastAsia" w:ascii="仿宋_GB2312" w:hAnsi="·ÂËÎ_GB2312" w:eastAsia="仿宋_GB2312" w:cs="仿宋_GB2312"/>
          <w:sz w:val="24"/>
          <w:highlight w:val="none"/>
        </w:rPr>
        <w:t>推进可持续利用与功能平衡。合理安排游览观光、科研教育与文化传承等多元功能，避免单一化开发带来的风险。通过优化游线设计、分散客流和提升解说展示水平，既改善游客体验，又降低资源压力。同时积极引入节能环保技术和绿色运营模式，推动景区管理和旅游服务走向可持续发展，实现生态效益、社会效益与经济效益的统一。</w:t>
      </w:r>
    </w:p>
    <w:p w14:paraId="37946F73">
      <w:pPr>
        <w:widowControl/>
        <w:numPr>
          <w:ilvl w:val="0"/>
          <w:numId w:val="2"/>
        </w:numPr>
        <w:spacing w:before="240" w:after="60" w:line="360" w:lineRule="auto"/>
        <w:ind w:left="0" w:right="62" w:firstLine="0"/>
        <w:jc w:val="left"/>
        <w:outlineLvl w:val="0"/>
        <w:rPr>
          <w:rFonts w:hint="eastAsia" w:ascii="宋体" w:hAnsi="宋体" w:cs="宋体"/>
          <w:b/>
          <w:kern w:val="0"/>
          <w:sz w:val="28"/>
          <w:szCs w:val="28"/>
          <w:highlight w:val="none"/>
        </w:rPr>
      </w:pPr>
      <w:r>
        <w:rPr>
          <w:rFonts w:hint="eastAsia" w:ascii="宋体" w:hAnsi="宋体" w:cs="宋体"/>
          <w:b/>
          <w:kern w:val="0"/>
          <w:sz w:val="28"/>
          <w:szCs w:val="28"/>
          <w:highlight w:val="none"/>
        </w:rPr>
        <w:t>工作内容</w:t>
      </w:r>
    </w:p>
    <w:p w14:paraId="413FDAE7">
      <w:pPr>
        <w:widowControl/>
        <w:spacing w:line="580" w:lineRule="exact"/>
        <w:rPr>
          <w:rFonts w:ascii="仿宋_GB2312" w:hAnsi="·ÂËÎ_GB2312" w:eastAsia="仿宋_GB2312" w:cs="仿宋_GB2312"/>
          <w:b/>
          <w:sz w:val="24"/>
          <w:highlight w:val="none"/>
        </w:rPr>
      </w:pPr>
      <w:r>
        <w:rPr>
          <w:rFonts w:hint="eastAsia" w:ascii="仿宋_GB2312" w:hAnsi="·ÂËÎ_GB2312" w:eastAsia="仿宋_GB2312" w:cs="仿宋_GB2312"/>
          <w:b/>
          <w:sz w:val="24"/>
          <w:highlight w:val="none"/>
        </w:rPr>
        <w:t>1、</w:t>
      </w:r>
      <w:r>
        <w:rPr>
          <w:rFonts w:hint="eastAsia" w:ascii="仿宋_GB2312" w:hAnsi="·ÂËÎ_GB2312" w:eastAsia="仿宋_GB2312" w:cs="仿宋_GB2312"/>
          <w:b/>
          <w:sz w:val="24"/>
          <w:highlight w:val="none"/>
        </w:rPr>
        <w:t>《天台山风景名胜区总体规划（</w:t>
      </w:r>
      <w:r>
        <w:rPr>
          <w:rFonts w:hint="eastAsia" w:ascii="仿宋_GB2312" w:hAnsi="·ÂËÎ_GB2312" w:eastAsia="仿宋_GB2312" w:cs="仿宋_GB2312"/>
          <w:b/>
          <w:sz w:val="24"/>
          <w:highlight w:val="none"/>
          <w:lang w:val="en-US" w:eastAsia="zh-CN"/>
        </w:rPr>
        <w:t>2012</w:t>
      </w:r>
      <w:r>
        <w:rPr>
          <w:rFonts w:hint="eastAsia" w:ascii="仿宋_GB2312" w:hAnsi="·ÂËÎ_GB2312" w:eastAsia="仿宋_GB2312" w:cs="仿宋_GB2312"/>
          <w:b/>
          <w:sz w:val="24"/>
          <w:highlight w:val="none"/>
        </w:rPr>
        <w:t>—</w:t>
      </w:r>
      <w:r>
        <w:rPr>
          <w:rFonts w:hint="eastAsia" w:ascii="仿宋_GB2312" w:hAnsi="·ÂËÎ_GB2312" w:eastAsia="仿宋_GB2312" w:cs="仿宋_GB2312"/>
          <w:b/>
          <w:sz w:val="24"/>
          <w:highlight w:val="none"/>
          <w:lang w:val="en-US" w:eastAsia="zh-CN"/>
        </w:rPr>
        <w:t>2025</w:t>
      </w:r>
      <w:r>
        <w:rPr>
          <w:rFonts w:hint="eastAsia" w:ascii="仿宋_GB2312" w:hAnsi="·ÂËÎ_GB2312" w:eastAsia="仿宋_GB2312" w:cs="仿宋_GB2312"/>
          <w:b/>
          <w:sz w:val="24"/>
          <w:highlight w:val="none"/>
        </w:rPr>
        <w:t>年）》实施评估</w:t>
      </w:r>
    </w:p>
    <w:p w14:paraId="0C6E2983">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根据《风景名胜区总体规划实施评估报告框架》《浙江省风景名胜区规划实施评估导则》等，从规划实施的一致性、景观资源保护状况、规划的指导性、规划履行《条例》情况等方面对2012版总体规划的落实情况进行评估，并形成评估结论；进一步理清天台山风景区2012版总规的核心内容、</w:t>
      </w:r>
      <w:r>
        <w:rPr>
          <w:rFonts w:hint="eastAsia" w:ascii="仿宋_GB2312" w:hAnsi="·ÂËÎ_GB2312" w:eastAsia="仿宋_GB2312" w:cs="仿宋_GB2312"/>
          <w:sz w:val="24"/>
          <w:highlight w:val="none"/>
        </w:rPr>
        <w:t>实施成效</w:t>
      </w:r>
      <w:r>
        <w:rPr>
          <w:rFonts w:hint="eastAsia" w:ascii="仿宋_GB2312" w:hAnsi="·ÂËÎ_GB2312" w:eastAsia="仿宋_GB2312" w:cs="仿宋_GB2312"/>
          <w:sz w:val="24"/>
          <w:highlight w:val="none"/>
          <w:lang w:eastAsia="zh-CN"/>
        </w:rPr>
        <w:t>、</w:t>
      </w:r>
      <w:r>
        <w:rPr>
          <w:rFonts w:hint="eastAsia" w:ascii="仿宋_GB2312" w:hAnsi="·ÂËÎ_GB2312" w:eastAsia="仿宋_GB2312" w:cs="仿宋_GB2312"/>
          <w:sz w:val="24"/>
          <w:highlight w:val="none"/>
        </w:rPr>
        <w:t>主要贡献、实施不足。基于评估情况，结合国家法律法规、方针政策的新要求和风景名胜区内外部发展条件，提出重新编制规划需要解决的重点问题、重点事项及针对性的规划对策，明确新一轮规划修编的重点方向。</w:t>
      </w:r>
    </w:p>
    <w:p w14:paraId="4E0C0F8E">
      <w:pPr>
        <w:widowControl/>
        <w:spacing w:line="580" w:lineRule="exact"/>
        <w:rPr>
          <w:rFonts w:ascii="仿宋_GB2312" w:hAnsi="·ÂËÎ_GB2312" w:eastAsia="仿宋_GB2312" w:cs="仿宋_GB2312"/>
          <w:b/>
          <w:sz w:val="24"/>
          <w:highlight w:val="none"/>
        </w:rPr>
      </w:pPr>
      <w:r>
        <w:rPr>
          <w:rFonts w:hint="eastAsia" w:ascii="仿宋_GB2312" w:hAnsi="·ÂËÎ_GB2312" w:eastAsia="仿宋_GB2312" w:cs="仿宋_GB2312"/>
          <w:b/>
          <w:sz w:val="24"/>
          <w:highlight w:val="none"/>
        </w:rPr>
        <w:t>2、新一轮《天台山风景名胜区总体规划》修编</w:t>
      </w:r>
    </w:p>
    <w:p w14:paraId="666C5137">
      <w:pPr>
        <w:widowControl/>
        <w:spacing w:line="580" w:lineRule="exact"/>
        <w:ind w:firstLine="506" w:firstLineChars="210"/>
        <w:rPr>
          <w:rFonts w:ascii="仿宋_GB2312" w:hAnsi="·ÂËÎ_GB2312" w:eastAsia="仿宋_GB2312" w:cs="仿宋_GB2312"/>
          <w:b/>
          <w:bCs/>
          <w:sz w:val="24"/>
          <w:highlight w:val="none"/>
        </w:rPr>
      </w:pPr>
      <w:r>
        <w:rPr>
          <w:rFonts w:hint="eastAsia" w:ascii="仿宋_GB2312" w:hAnsi="·ÂËÎ_GB2312" w:eastAsia="仿宋_GB2312" w:cs="仿宋_GB2312"/>
          <w:b/>
          <w:bCs/>
          <w:sz w:val="24"/>
          <w:highlight w:val="none"/>
        </w:rPr>
        <w:t>（1）系统评价</w:t>
      </w:r>
    </w:p>
    <w:p w14:paraId="5F946ACF">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分析评价风景名胜资源价值和等级，识别景区核心问题瓶颈和人群需求。以景源分类调查与筛选为基础，选择适当的评价指标对景点进行等级评价，综合确定风景名胜区资源分级。全面分析风景区核心价值及发展长短板，描绘各类人群画像，识别天台山风景区保护与发展的核心挑战和人群需求。</w:t>
      </w:r>
    </w:p>
    <w:p w14:paraId="132B7CEB">
      <w:pPr>
        <w:widowControl/>
        <w:spacing w:line="580" w:lineRule="exact"/>
        <w:ind w:firstLine="506" w:firstLineChars="210"/>
        <w:rPr>
          <w:rFonts w:ascii="仿宋_GB2312" w:hAnsi="·ÂËÎ_GB2312" w:eastAsia="仿宋_GB2312" w:cs="仿宋_GB2312"/>
          <w:b/>
          <w:bCs/>
          <w:sz w:val="24"/>
          <w:highlight w:val="none"/>
        </w:rPr>
      </w:pPr>
      <w:r>
        <w:rPr>
          <w:rFonts w:hint="eastAsia" w:ascii="仿宋_GB2312" w:hAnsi="·ÂËÎ_GB2312" w:eastAsia="仿宋_GB2312" w:cs="仿宋_GB2312"/>
          <w:b/>
          <w:bCs/>
          <w:sz w:val="24"/>
          <w:highlight w:val="none"/>
        </w:rPr>
        <w:t>（2）性质目标</w:t>
      </w:r>
    </w:p>
    <w:p w14:paraId="0D328132">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结合现阶段旅游发展趋势，充分分析天台山风景名胜区的区域竞争力、自身长短板和资源承载力，明确风景名胜区的性质。分析风景名胜资源特征，结合资源保护、功能定位、生态可持续等维度深入分析，形成风景名胜区规划总目标及分目标。</w:t>
      </w:r>
    </w:p>
    <w:p w14:paraId="3125125C">
      <w:pPr>
        <w:widowControl/>
        <w:spacing w:line="580" w:lineRule="exact"/>
        <w:ind w:firstLine="506" w:firstLineChars="210"/>
        <w:rPr>
          <w:rFonts w:ascii="仿宋_GB2312" w:hAnsi="·ÂËÎ_GB2312" w:eastAsia="仿宋_GB2312" w:cs="仿宋_GB2312"/>
          <w:b/>
          <w:bCs/>
          <w:sz w:val="24"/>
          <w:highlight w:val="none"/>
        </w:rPr>
      </w:pPr>
      <w:r>
        <w:rPr>
          <w:rFonts w:hint="eastAsia" w:ascii="仿宋_GB2312" w:hAnsi="·ÂËÎ_GB2312" w:eastAsia="仿宋_GB2312" w:cs="仿宋_GB2312"/>
          <w:b/>
          <w:bCs/>
          <w:sz w:val="24"/>
          <w:highlight w:val="none"/>
        </w:rPr>
        <w:t>（3）保护规划</w:t>
      </w:r>
    </w:p>
    <w:p w14:paraId="76CD177E">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制定生态资源的保护措施，确保风景名胜区的生态环境得到有效保护。开展景名胜区范围专题研究，</w:t>
      </w:r>
      <w:r>
        <w:rPr>
          <w:rFonts w:hint="eastAsia" w:ascii="仿宋_GB2312" w:hAnsi="·ÂËÎ_GB2312" w:eastAsia="仿宋_GB2312" w:cs="仿宋_GB2312"/>
          <w:sz w:val="24"/>
          <w:highlight w:val="none"/>
        </w:rPr>
        <w:t>围绕资源分级保护，明确一级保护区、二级保护区、三级保护区的范围并提出针对性的保护要求；围绕资源分类保护，明确自然资源、文化资源等分类保护目标与策略；围绕建设控制管理，明确分区设施控制管理及分区活动控制管理的举措。</w:t>
      </w:r>
    </w:p>
    <w:p w14:paraId="62C0FD08">
      <w:pPr>
        <w:widowControl/>
        <w:spacing w:line="580" w:lineRule="exact"/>
        <w:ind w:firstLine="506" w:firstLineChars="210"/>
        <w:rPr>
          <w:rFonts w:ascii="仿宋_GB2312" w:hAnsi="·ÂËÎ_GB2312" w:eastAsia="仿宋_GB2312" w:cs="仿宋_GB2312"/>
          <w:b/>
          <w:bCs/>
          <w:sz w:val="24"/>
          <w:highlight w:val="none"/>
        </w:rPr>
      </w:pPr>
      <w:r>
        <w:rPr>
          <w:rFonts w:hint="eastAsia" w:ascii="仿宋_GB2312" w:hAnsi="·ÂËÎ_GB2312" w:eastAsia="仿宋_GB2312" w:cs="仿宋_GB2312"/>
          <w:b/>
          <w:bCs/>
          <w:sz w:val="24"/>
          <w:highlight w:val="none"/>
        </w:rPr>
        <w:t>（4）游赏规划</w:t>
      </w:r>
    </w:p>
    <w:p w14:paraId="02A30FD0">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科学预测风景区总体层面、分景区层面的游客容量。梳理特色景观，明确特色景观类型与展示主题、解说展示场所与方式。开展景区规划，明确各景区范围、特色及具体保护的要求，明确各景区的景观展示利用的举措。</w:t>
      </w:r>
    </w:p>
    <w:p w14:paraId="161F45B2">
      <w:pPr>
        <w:widowControl/>
        <w:spacing w:line="580" w:lineRule="exact"/>
        <w:ind w:firstLine="506" w:firstLineChars="210"/>
        <w:rPr>
          <w:rFonts w:ascii="仿宋_GB2312" w:hAnsi="·ÂËÎ_GB2312" w:eastAsia="仿宋_GB2312" w:cs="仿宋_GB2312"/>
          <w:b/>
          <w:bCs/>
          <w:sz w:val="24"/>
          <w:highlight w:val="none"/>
        </w:rPr>
      </w:pPr>
      <w:r>
        <w:rPr>
          <w:rFonts w:hint="eastAsia" w:ascii="仿宋_GB2312" w:hAnsi="·ÂËÎ_GB2312" w:eastAsia="仿宋_GB2312" w:cs="仿宋_GB2312"/>
          <w:b/>
          <w:bCs/>
          <w:sz w:val="24"/>
          <w:highlight w:val="none"/>
        </w:rPr>
        <w:t>（5）设施规划</w:t>
      </w:r>
    </w:p>
    <w:p w14:paraId="4A1A3BFE">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围绕道路交通规划，明确对外道路交通、内部道路交通、交通设施、道路建设控制要求等具体规划内容；围绕游览设施，明确游览设施布局与分级配置、游览设施建设控制引导、床位规模控制与分布等；围绕基础工程规划，明确给水工程、排水工程、供电工程、电信工程、环卫设施、综合防灾等具体规划内容。</w:t>
      </w:r>
      <w:r>
        <w:rPr>
          <w:rFonts w:hint="eastAsia" w:ascii="仿宋_GB2312" w:hAnsi="·ÂËÎ_GB2312" w:eastAsia="仿宋_GB2312" w:cs="仿宋_GB2312"/>
          <w:sz w:val="24"/>
          <w:highlight w:val="none"/>
        </w:rPr>
        <w:t>开展重大建设项目</w:t>
      </w:r>
      <w:r>
        <w:rPr>
          <w:rFonts w:hint="eastAsia" w:ascii="仿宋_GB2312" w:hAnsi="·ÂËÎ_GB2312" w:eastAsia="仿宋_GB2312" w:cs="仿宋_GB2312"/>
          <w:sz w:val="24"/>
          <w:highlight w:val="none"/>
          <w:lang w:eastAsia="zh-CN"/>
        </w:rPr>
        <w:t>布局</w:t>
      </w:r>
      <w:r>
        <w:rPr>
          <w:rFonts w:hint="eastAsia" w:ascii="仿宋_GB2312" w:hAnsi="·ÂËÎ_GB2312" w:eastAsia="仿宋_GB2312" w:cs="仿宋_GB2312"/>
          <w:sz w:val="24"/>
          <w:highlight w:val="none"/>
        </w:rPr>
        <w:t>专题研究，规划重大建设项目的布局，确保项目与风景名胜区的整体风貌相协调，确定合理的开发利用强度，避免过度开发对风景名胜区造成破坏。</w:t>
      </w:r>
    </w:p>
    <w:p w14:paraId="1E2D46C5">
      <w:pPr>
        <w:widowControl/>
        <w:spacing w:line="580" w:lineRule="exact"/>
        <w:ind w:firstLine="506" w:firstLineChars="210"/>
        <w:rPr>
          <w:rFonts w:ascii="仿宋_GB2312" w:hAnsi="·ÂËÎ_GB2312" w:eastAsia="仿宋_GB2312" w:cs="仿宋_GB2312"/>
          <w:b/>
          <w:bCs/>
          <w:sz w:val="24"/>
          <w:highlight w:val="none"/>
        </w:rPr>
      </w:pPr>
      <w:r>
        <w:rPr>
          <w:rFonts w:hint="eastAsia" w:ascii="仿宋_GB2312" w:hAnsi="·ÂËÎ_GB2312" w:eastAsia="仿宋_GB2312" w:cs="仿宋_GB2312"/>
          <w:b/>
          <w:bCs/>
          <w:sz w:val="24"/>
          <w:highlight w:val="none"/>
        </w:rPr>
        <w:t>（6）居民点协调发展规划</w:t>
      </w:r>
    </w:p>
    <w:p w14:paraId="7D07D4C0">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分析居民社会现状，理清核心特征、问题及居民诉求。结合国家相关要求，明确居民点调控类型，分类提出疏解型居民点、控制型居民点、发展型居民点的管控与引导举措。同时，强化经济发展引导，对天台山风景名胜区的企业等进行合理调控。</w:t>
      </w:r>
    </w:p>
    <w:p w14:paraId="0906EA89">
      <w:pPr>
        <w:widowControl/>
        <w:spacing w:line="580" w:lineRule="exact"/>
        <w:ind w:firstLine="506" w:firstLineChars="210"/>
        <w:rPr>
          <w:rFonts w:ascii="仿宋_GB2312" w:hAnsi="·ÂËÎ_GB2312" w:eastAsia="仿宋_GB2312" w:cs="仿宋_GB2312"/>
          <w:b/>
          <w:bCs/>
          <w:sz w:val="24"/>
          <w:highlight w:val="none"/>
        </w:rPr>
      </w:pPr>
      <w:r>
        <w:rPr>
          <w:rFonts w:hint="eastAsia" w:ascii="仿宋_GB2312" w:hAnsi="·ÂËÎ_GB2312" w:eastAsia="仿宋_GB2312" w:cs="仿宋_GB2312"/>
          <w:b/>
          <w:bCs/>
          <w:sz w:val="24"/>
          <w:highlight w:val="none"/>
        </w:rPr>
        <w:t>（7）规划协调</w:t>
      </w:r>
    </w:p>
    <w:p w14:paraId="3B18DB5F">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围绕外围保护地带，强化外围保护地带的绿化与植被抚育。围绕土地利用规划协调，对各类用地提出与国土空间规划协调调控的规模。围绕其他方面，强化生态环境保护、水资源保护、林地和特定区域保护、文物保护、宗教活动场所管理、旅游管理等协调。</w:t>
      </w:r>
    </w:p>
    <w:p w14:paraId="02E43DF7">
      <w:pPr>
        <w:widowControl/>
        <w:spacing w:line="580" w:lineRule="exact"/>
        <w:ind w:firstLine="506" w:firstLineChars="210"/>
        <w:rPr>
          <w:rFonts w:ascii="仿宋_GB2312" w:hAnsi="·ÂËÎ_GB2312" w:eastAsia="仿宋_GB2312" w:cs="仿宋_GB2312"/>
          <w:b/>
          <w:bCs/>
          <w:sz w:val="24"/>
          <w:highlight w:val="none"/>
        </w:rPr>
      </w:pPr>
      <w:r>
        <w:rPr>
          <w:rFonts w:hint="eastAsia" w:ascii="仿宋_GB2312" w:hAnsi="·ÂËÎ_GB2312" w:eastAsia="仿宋_GB2312" w:cs="仿宋_GB2312"/>
          <w:b/>
          <w:bCs/>
          <w:sz w:val="24"/>
          <w:highlight w:val="none"/>
        </w:rPr>
        <w:t>（8）近期规划</w:t>
      </w:r>
    </w:p>
    <w:p w14:paraId="0A0DFE18">
      <w:pPr>
        <w:widowControl/>
        <w:spacing w:line="580" w:lineRule="exact"/>
        <w:ind w:firstLine="504" w:firstLineChars="210"/>
        <w:rPr>
          <w:rFonts w:hint="eastAsia" w:ascii="仿宋_GB2312" w:hAnsi="·ÂËÎ_GB2312" w:eastAsia="仿宋_GB2312" w:cs="仿宋_GB2312"/>
          <w:sz w:val="24"/>
          <w:highlight w:val="none"/>
        </w:rPr>
      </w:pPr>
      <w:r>
        <w:rPr>
          <w:rFonts w:hint="eastAsia" w:ascii="仿宋_GB2312" w:hAnsi="·ÂËÎ_GB2312" w:eastAsia="仿宋_GB2312" w:cs="仿宋_GB2312"/>
          <w:sz w:val="24"/>
          <w:highlight w:val="none"/>
        </w:rPr>
        <w:t>明确近期实施重点，围绕风景区统一规划建设与管理、风景区生态环境保护与培育、风景区详细规划编制等做出进一步指引。围绕近期建设内容，明确近期景区建设、近期保护利用项目统筹等具体要求。</w:t>
      </w:r>
    </w:p>
    <w:p w14:paraId="31D726F1">
      <w:pPr>
        <w:widowControl/>
        <w:spacing w:line="580" w:lineRule="exact"/>
        <w:rPr>
          <w:rFonts w:ascii="仿宋_GB2312" w:hAnsi="·ÂËÎ_GB2312" w:eastAsia="仿宋_GB2312" w:cs="仿宋_GB2312"/>
          <w:b/>
          <w:sz w:val="24"/>
          <w:highlight w:val="none"/>
        </w:rPr>
      </w:pPr>
      <w:r>
        <w:rPr>
          <w:rFonts w:hint="eastAsia" w:ascii="仿宋_GB2312" w:hAnsi="·ÂËÎ_GB2312" w:eastAsia="仿宋_GB2312" w:cs="仿宋_GB2312"/>
          <w:b/>
          <w:sz w:val="24"/>
          <w:highlight w:val="none"/>
        </w:rPr>
        <w:t>3、天台县旅游交通专项设计</w:t>
      </w:r>
    </w:p>
    <w:p w14:paraId="2EE69E83">
      <w:pPr>
        <w:widowControl/>
        <w:spacing w:line="580" w:lineRule="exact"/>
        <w:ind w:firstLine="506" w:firstLineChars="210"/>
        <w:rPr>
          <w:rFonts w:ascii="仿宋_GB2312" w:hAnsi="·ÂËÎ_GB2312" w:eastAsia="仿宋_GB2312" w:cs="仿宋_GB2312"/>
          <w:b/>
          <w:bCs/>
          <w:sz w:val="24"/>
          <w:highlight w:val="none"/>
        </w:rPr>
      </w:pPr>
      <w:r>
        <w:rPr>
          <w:rFonts w:hint="eastAsia" w:ascii="仿宋_GB2312" w:hAnsi="·ÂËÎ_GB2312" w:eastAsia="仿宋_GB2312" w:cs="仿宋_GB2312"/>
          <w:b/>
          <w:bCs/>
          <w:sz w:val="24"/>
          <w:highlight w:val="none"/>
        </w:rPr>
        <w:t>（1）旅游交通设施及服务水平评估</w:t>
      </w:r>
    </w:p>
    <w:p w14:paraId="31D3B764">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系统评估天台县域对外及景区间旅游交通设施建设与服务水平，以及节假日交通管理、信息化与智能化水平。从游客类型、需求特征等视角分析在道路交通、公共交通、骑行及步行交通、停车、交通组织等方面存在的痛点。</w:t>
      </w:r>
    </w:p>
    <w:p w14:paraId="6E68DFA1">
      <w:pPr>
        <w:widowControl/>
        <w:spacing w:line="580" w:lineRule="exact"/>
        <w:ind w:firstLine="506" w:firstLineChars="210"/>
        <w:rPr>
          <w:rFonts w:ascii="仿宋_GB2312" w:hAnsi="·ÂËÎ_GB2312" w:eastAsia="仿宋_GB2312" w:cs="仿宋_GB2312"/>
          <w:b/>
          <w:bCs/>
          <w:sz w:val="24"/>
          <w:highlight w:val="none"/>
        </w:rPr>
      </w:pPr>
      <w:r>
        <w:rPr>
          <w:rFonts w:hint="eastAsia" w:ascii="仿宋_GB2312" w:hAnsi="·ÂËÎ_GB2312" w:eastAsia="仿宋_GB2312" w:cs="仿宋_GB2312"/>
          <w:b/>
          <w:bCs/>
          <w:sz w:val="24"/>
          <w:highlight w:val="none"/>
        </w:rPr>
        <w:t>（2）旅游交通顶层设计</w:t>
      </w:r>
    </w:p>
    <w:p w14:paraId="12C39DCF">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研究国内外优秀旅游城市交通发展案例，总结可供天台借鉴的旅游交通组织与运营管理经验。以提升游客体验为导向，提出天台旅游交通系统总体设计目标和核心指标，构建串联内部各个景区的旅游交通系统整体组织形态，根据各区间主导交通功能，提出交通设施提升方向与策略。</w:t>
      </w:r>
    </w:p>
    <w:p w14:paraId="1A2DB32C">
      <w:pPr>
        <w:widowControl/>
        <w:spacing w:line="580" w:lineRule="exact"/>
        <w:ind w:firstLine="506" w:firstLineChars="210"/>
        <w:rPr>
          <w:rFonts w:ascii="仿宋_GB2312" w:hAnsi="·ÂËÎ_GB2312" w:eastAsia="仿宋_GB2312" w:cs="仿宋_GB2312"/>
          <w:b/>
          <w:bCs/>
          <w:sz w:val="24"/>
          <w:highlight w:val="none"/>
        </w:rPr>
      </w:pPr>
      <w:r>
        <w:rPr>
          <w:rFonts w:hint="eastAsia" w:ascii="仿宋_GB2312" w:hAnsi="·ÂËÎ_GB2312" w:eastAsia="仿宋_GB2312" w:cs="仿宋_GB2312"/>
          <w:b/>
          <w:bCs/>
          <w:sz w:val="24"/>
          <w:highlight w:val="none"/>
        </w:rPr>
        <w:t>（3）骨干道路优化及重要节点设计</w:t>
      </w:r>
    </w:p>
    <w:p w14:paraId="7C994594">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围绕提升景区通道承载能力、疏解现状通道压力的目标，重点开展北部地区新增通道及既有通道改善提升方案。深化新增通道可行性研究，包括平面线形和纵断面坡度，明确与既有道路的衔接方式，对重要节点处开展详细设计；</w:t>
      </w:r>
      <w:r>
        <w:rPr>
          <w:rFonts w:hint="eastAsia" w:ascii="仿宋_GB2312" w:hAnsi="·ÂËÎ_GB2312" w:eastAsia="仿宋_GB2312" w:cs="仿宋_GB2312"/>
          <w:sz w:val="24"/>
          <w:highlight w:val="none"/>
        </w:rPr>
        <w:t>提出道路景观设计、功能特色等要求，</w:t>
      </w:r>
      <w:r>
        <w:rPr>
          <w:rFonts w:hint="eastAsia" w:ascii="仿宋_GB2312" w:hAnsi="·ÂËÎ_GB2312" w:eastAsia="仿宋_GB2312" w:cs="仿宋_GB2312"/>
          <w:sz w:val="24"/>
          <w:highlight w:val="none"/>
        </w:rPr>
        <w:t>既有通道根据主导交通功能开展断面优化设计等。</w:t>
      </w:r>
    </w:p>
    <w:p w14:paraId="53D25F8A">
      <w:pPr>
        <w:widowControl/>
        <w:spacing w:line="580" w:lineRule="exact"/>
        <w:ind w:firstLine="506" w:firstLineChars="210"/>
        <w:rPr>
          <w:rFonts w:ascii="仿宋_GB2312" w:hAnsi="·ÂËÎ_GB2312" w:eastAsia="仿宋_GB2312" w:cs="仿宋_GB2312"/>
          <w:b/>
          <w:bCs/>
          <w:sz w:val="24"/>
          <w:highlight w:val="none"/>
        </w:rPr>
      </w:pPr>
      <w:r>
        <w:rPr>
          <w:rFonts w:hint="eastAsia" w:ascii="仿宋_GB2312" w:hAnsi="·ÂËÎ_GB2312" w:eastAsia="仿宋_GB2312" w:cs="仿宋_GB2312"/>
          <w:b/>
          <w:bCs/>
          <w:sz w:val="24"/>
          <w:highlight w:val="none"/>
        </w:rPr>
        <w:t>（4）游客中心布局优化及旅游公交组织</w:t>
      </w:r>
    </w:p>
    <w:p w14:paraId="2A8AE73E">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结合县域旅游交通整体布局，构建多层次、高效率、高品质的旅游公交组织体系。提出游客集散中心布局优化方案，对各级游客中心提出差异化的功能复合、设施布局要求，发挥集散中心作用；整合旅游巴士游线，建立联动高铁站、各景区之间的专线公交组织方案，对不同游线提出运力要求；优化专线公交票制票价体系。</w:t>
      </w:r>
    </w:p>
    <w:p w14:paraId="12EF74ED">
      <w:pPr>
        <w:widowControl/>
        <w:spacing w:line="580" w:lineRule="exact"/>
        <w:ind w:firstLine="506" w:firstLineChars="210"/>
        <w:rPr>
          <w:rFonts w:ascii="仿宋_GB2312" w:hAnsi="·ÂËÎ_GB2312" w:eastAsia="仿宋_GB2312" w:cs="仿宋_GB2312"/>
          <w:b/>
          <w:bCs/>
          <w:sz w:val="24"/>
          <w:highlight w:val="none"/>
        </w:rPr>
      </w:pPr>
      <w:r>
        <w:rPr>
          <w:rFonts w:hint="eastAsia" w:ascii="仿宋_GB2312" w:hAnsi="·ÂËÎ_GB2312" w:eastAsia="仿宋_GB2312" w:cs="仿宋_GB2312"/>
          <w:b/>
          <w:bCs/>
          <w:sz w:val="24"/>
          <w:highlight w:val="none"/>
        </w:rPr>
        <w:t>（5）活力交通游线组织及骑行道设施提升</w:t>
      </w:r>
    </w:p>
    <w:p w14:paraId="3018488E">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通过对景区道路、绿道等改造提升，为大众骑行、专业骑行、古道徒步、溯溪游憩等多元客群建立多层次、特色化的活力游线，明确游线组织方案。保障骑行、步行空间的连续和独立，重点提出北部地区骑行栈道布局和节点处理方案，明确骑行驿站选址及功能，实现人车路径分离。</w:t>
      </w:r>
    </w:p>
    <w:p w14:paraId="20D3A371">
      <w:pPr>
        <w:widowControl/>
        <w:spacing w:line="580" w:lineRule="exact"/>
        <w:ind w:firstLine="506" w:firstLineChars="210"/>
        <w:rPr>
          <w:rFonts w:ascii="仿宋_GB2312" w:hAnsi="·ÂËÎ_GB2312" w:eastAsia="仿宋_GB2312" w:cs="仿宋_GB2312"/>
          <w:b/>
          <w:bCs/>
          <w:sz w:val="24"/>
          <w:highlight w:val="none"/>
        </w:rPr>
      </w:pPr>
      <w:r>
        <w:rPr>
          <w:rFonts w:hint="eastAsia" w:ascii="仿宋_GB2312" w:hAnsi="·ÂËÎ_GB2312" w:eastAsia="仿宋_GB2312" w:cs="仿宋_GB2312"/>
          <w:b/>
          <w:bCs/>
          <w:sz w:val="24"/>
          <w:highlight w:val="none"/>
        </w:rPr>
        <w:t>（6）重点片区停车布局优化</w:t>
      </w:r>
    </w:p>
    <w:p w14:paraId="5C4D89E5">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系统梳理北山重点地区各景区停车设施资源，根据游客量发展趋势和自驾比例预测停车缺口，增补、挖掘、优化停车设施布局，提出充电桩配置要求。</w:t>
      </w:r>
    </w:p>
    <w:p w14:paraId="0F70E6E2">
      <w:pPr>
        <w:widowControl/>
        <w:spacing w:line="580" w:lineRule="exact"/>
        <w:ind w:firstLine="506" w:firstLineChars="210"/>
        <w:rPr>
          <w:rFonts w:ascii="仿宋_GB2312" w:hAnsi="·ÂËÎ_GB2312" w:eastAsia="仿宋_GB2312" w:cs="仿宋_GB2312"/>
          <w:b/>
          <w:bCs/>
          <w:sz w:val="24"/>
          <w:highlight w:val="none"/>
        </w:rPr>
      </w:pPr>
      <w:r>
        <w:rPr>
          <w:rFonts w:hint="eastAsia" w:ascii="仿宋_GB2312" w:hAnsi="·ÂËÎ_GB2312" w:eastAsia="仿宋_GB2312" w:cs="仿宋_GB2312"/>
          <w:b/>
          <w:bCs/>
          <w:sz w:val="24"/>
          <w:highlight w:val="none"/>
        </w:rPr>
        <w:t>（7）高峰期旅游交通组织预案</w:t>
      </w:r>
    </w:p>
    <w:p w14:paraId="5D162D4F">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制定大型节假日旅游交通组织预案，包括客流调控、交通流线优化与管控、旅游公交高效集散与换乘组织、智慧调度与管理、应急响应与联动机制等方面，保障高峰时段交通运行有序、游客出行安全高效、旅游体验基本可控。</w:t>
      </w:r>
    </w:p>
    <w:p w14:paraId="309E377C">
      <w:pPr>
        <w:widowControl/>
        <w:spacing w:line="580" w:lineRule="exact"/>
        <w:ind w:firstLine="506" w:firstLineChars="210"/>
        <w:rPr>
          <w:rFonts w:ascii="仿宋_GB2312" w:hAnsi="·ÂËÎ_GB2312" w:eastAsia="仿宋_GB2312" w:cs="仿宋_GB2312"/>
          <w:b/>
          <w:bCs/>
          <w:sz w:val="24"/>
          <w:highlight w:val="none"/>
        </w:rPr>
      </w:pPr>
      <w:r>
        <w:rPr>
          <w:rFonts w:hint="eastAsia" w:ascii="仿宋_GB2312" w:hAnsi="·ÂËÎ_GB2312" w:eastAsia="仿宋_GB2312" w:cs="仿宋_GB2312"/>
          <w:b/>
          <w:bCs/>
          <w:sz w:val="24"/>
          <w:highlight w:val="none"/>
        </w:rPr>
        <w:t>（8）智慧旅游交通提升策略</w:t>
      </w:r>
    </w:p>
    <w:p w14:paraId="1B70C94D">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针对天台县节假日交通拥堵、旅游公交服务水平低及停车难等核心问题，提出智慧交通全链条提升策略，重点通过停车系统智能诱导、公交系统动态调度、慢行系统智慧导引的信息化升级，融合物联网、大数据与人工智能技术，构建覆盖全流程的智慧旅游交通闭环解决方案。</w:t>
      </w:r>
    </w:p>
    <w:p w14:paraId="06E25F8C">
      <w:pPr>
        <w:widowControl/>
        <w:numPr>
          <w:ilvl w:val="0"/>
          <w:numId w:val="2"/>
        </w:numPr>
        <w:spacing w:before="240" w:after="60" w:line="360" w:lineRule="auto"/>
        <w:ind w:left="0" w:right="62" w:firstLine="0"/>
        <w:jc w:val="left"/>
        <w:outlineLvl w:val="0"/>
        <w:rPr>
          <w:rFonts w:hint="eastAsia" w:ascii="宋体" w:hAnsi="宋体" w:cs="宋体"/>
          <w:b/>
          <w:kern w:val="0"/>
          <w:sz w:val="28"/>
          <w:szCs w:val="28"/>
          <w:highlight w:val="none"/>
        </w:rPr>
      </w:pPr>
      <w:r>
        <w:rPr>
          <w:rFonts w:hint="eastAsia" w:ascii="宋体" w:hAnsi="宋体" w:cs="宋体"/>
          <w:b/>
          <w:kern w:val="0"/>
          <w:sz w:val="28"/>
          <w:szCs w:val="28"/>
          <w:highlight w:val="none"/>
        </w:rPr>
        <w:t>项目成果</w:t>
      </w:r>
    </w:p>
    <w:p w14:paraId="23D628DF">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根据工作内容的要求，提供规划成果、简本成果、多媒体演示文件（PPT）及相应的电子文件。</w:t>
      </w:r>
    </w:p>
    <w:p w14:paraId="6A312B4F">
      <w:pPr>
        <w:widowControl/>
        <w:spacing w:line="580" w:lineRule="exact"/>
        <w:rPr>
          <w:rFonts w:ascii="仿宋_GB2312" w:hAnsi="·ÂËÎ_GB2312" w:eastAsia="仿宋_GB2312" w:cs="仿宋_GB2312"/>
          <w:b/>
          <w:sz w:val="24"/>
          <w:highlight w:val="none"/>
        </w:rPr>
      </w:pPr>
      <w:r>
        <w:rPr>
          <w:rFonts w:hint="eastAsia" w:ascii="仿宋_GB2312" w:hAnsi="·ÂËÎ_GB2312" w:eastAsia="仿宋_GB2312" w:cs="仿宋_GB2312"/>
          <w:b/>
          <w:sz w:val="24"/>
          <w:highlight w:val="none"/>
        </w:rPr>
        <w:t>1、规划成果</w:t>
      </w:r>
    </w:p>
    <w:p w14:paraId="2E864C96">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规划成果包括天台山风景名胜区总体规划（2025—2035年）评估与修编</w:t>
      </w:r>
      <w:r>
        <w:rPr>
          <w:rFonts w:hint="eastAsia" w:ascii="仿宋_GB2312" w:hAnsi="·ÂËÎ_GB2312" w:eastAsia="仿宋_GB2312" w:cs="仿宋_GB2312"/>
          <w:sz w:val="24"/>
          <w:highlight w:val="none"/>
        </w:rPr>
        <w:t>文本、图集（15套），天台县旅游交通专项设计报告（15套）， PPT汇报文件、多媒体解说文件。</w:t>
      </w:r>
    </w:p>
    <w:p w14:paraId="13E3B007">
      <w:pPr>
        <w:widowControl/>
        <w:spacing w:line="580" w:lineRule="exact"/>
        <w:rPr>
          <w:rFonts w:ascii="仿宋_GB2312" w:hAnsi="·ÂËÎ_GB2312" w:eastAsia="仿宋_GB2312" w:cs="仿宋_GB2312"/>
          <w:b/>
          <w:sz w:val="24"/>
          <w:highlight w:val="none"/>
        </w:rPr>
      </w:pPr>
      <w:r>
        <w:rPr>
          <w:rFonts w:hint="eastAsia" w:ascii="仿宋_GB2312" w:hAnsi="·ÂËÎ_GB2312" w:eastAsia="仿宋_GB2312" w:cs="仿宋_GB2312"/>
          <w:b/>
          <w:sz w:val="24"/>
          <w:highlight w:val="none"/>
        </w:rPr>
        <w:t>2、成果形式</w:t>
      </w:r>
    </w:p>
    <w:p w14:paraId="7A288A9F">
      <w:pPr>
        <w:widowControl/>
        <w:snapToGrid w:val="0"/>
        <w:spacing w:line="440" w:lineRule="exact"/>
        <w:ind w:firstLine="480" w:firstLineChars="200"/>
        <w:jc w:val="left"/>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15套A3幅面盖章成果、不少于5张彩色展板图及相应的矢量等电子文件。其他相关材料按照评审、报批要求提供。</w:t>
      </w:r>
    </w:p>
    <w:p w14:paraId="6D43305A">
      <w:pPr>
        <w:widowControl/>
        <w:spacing w:line="580" w:lineRule="exact"/>
        <w:rPr>
          <w:rFonts w:ascii="仿宋_GB2312" w:hAnsi="·ÂËÎ_GB2312" w:eastAsia="仿宋_GB2312" w:cs="仿宋_GB2312"/>
          <w:b/>
          <w:sz w:val="24"/>
          <w:highlight w:val="none"/>
        </w:rPr>
      </w:pPr>
      <w:r>
        <w:rPr>
          <w:rFonts w:hint="eastAsia" w:ascii="仿宋_GB2312" w:hAnsi="·ÂËÎ_GB2312" w:eastAsia="仿宋_GB2312" w:cs="仿宋_GB2312"/>
          <w:b/>
          <w:sz w:val="24"/>
          <w:highlight w:val="none"/>
        </w:rPr>
        <w:t>3、图表要求</w:t>
      </w:r>
    </w:p>
    <w:p w14:paraId="392F6EF0">
      <w:pPr>
        <w:widowControl/>
        <w:spacing w:line="580" w:lineRule="exact"/>
        <w:ind w:firstLine="504" w:firstLineChars="210"/>
        <w:rPr>
          <w:sz w:val="28"/>
          <w:szCs w:val="36"/>
          <w:highlight w:val="none"/>
        </w:rPr>
      </w:pPr>
      <w:r>
        <w:rPr>
          <w:rFonts w:hint="eastAsia" w:ascii="仿宋_GB2312" w:hAnsi="·ÂËÎ_GB2312" w:eastAsia="仿宋_GB2312" w:cs="仿宋_GB2312"/>
          <w:sz w:val="24"/>
          <w:highlight w:val="none"/>
        </w:rPr>
        <w:t>根据报告所需要，图表必须做到规范、清晰、完整，标注齐全、准确，图表规格应尽量统一。</w:t>
      </w:r>
    </w:p>
    <w:p w14:paraId="4222FB66">
      <w:pPr>
        <w:widowControl/>
        <w:numPr>
          <w:ilvl w:val="0"/>
          <w:numId w:val="2"/>
        </w:numPr>
        <w:spacing w:before="240" w:after="60" w:line="360" w:lineRule="auto"/>
        <w:ind w:left="0" w:right="62" w:firstLine="0"/>
        <w:jc w:val="left"/>
        <w:outlineLvl w:val="0"/>
        <w:rPr>
          <w:rFonts w:hint="eastAsia" w:ascii="宋体" w:hAnsi="宋体" w:cs="宋体"/>
          <w:b/>
          <w:kern w:val="0"/>
          <w:sz w:val="28"/>
          <w:szCs w:val="28"/>
          <w:highlight w:val="none"/>
        </w:rPr>
      </w:pPr>
      <w:r>
        <w:rPr>
          <w:rFonts w:hint="eastAsia" w:ascii="宋体" w:hAnsi="宋体" w:cs="宋体"/>
          <w:b/>
          <w:kern w:val="0"/>
          <w:sz w:val="28"/>
          <w:szCs w:val="28"/>
          <w:highlight w:val="none"/>
        </w:rPr>
        <w:t>项目进度</w:t>
      </w:r>
    </w:p>
    <w:p w14:paraId="612BA3B7">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总体工作周期约为</w:t>
      </w:r>
      <w:r>
        <w:rPr>
          <w:rFonts w:hint="eastAsia" w:ascii="仿宋_GB2312" w:hAnsi="·ÂËÎ_GB2312" w:eastAsia="仿宋_GB2312" w:cs="仿宋_GB2312"/>
          <w:sz w:val="24"/>
          <w:highlight w:val="none"/>
          <w:lang w:val="en-US" w:eastAsia="zh-CN"/>
        </w:rPr>
        <w:t>12</w:t>
      </w:r>
      <w:r>
        <w:rPr>
          <w:rFonts w:hint="eastAsia" w:ascii="仿宋_GB2312" w:hAnsi="·ÂËÎ_GB2312" w:eastAsia="仿宋_GB2312" w:cs="仿宋_GB2312"/>
          <w:sz w:val="24"/>
          <w:highlight w:val="none"/>
        </w:rPr>
        <w:t>个月</w:t>
      </w:r>
      <w:r>
        <w:rPr>
          <w:rFonts w:hint="eastAsia" w:ascii="仿宋_GB2312" w:hAnsi="·ÂËÎ_GB2312" w:eastAsia="仿宋_GB2312" w:cs="仿宋_GB2312"/>
          <w:sz w:val="24"/>
          <w:highlight w:val="none"/>
        </w:rPr>
        <w:t>，划分为四个主要阶段，具体如下：</w:t>
      </w:r>
    </w:p>
    <w:p w14:paraId="05701FFA">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（1）现场调研阶段（</w:t>
      </w:r>
      <w:r>
        <w:rPr>
          <w:rFonts w:hint="eastAsia" w:ascii="仿宋_GB2312" w:hAnsi="·ÂËÎ_GB2312" w:eastAsia="仿宋_GB2312" w:cs="仿宋_GB2312"/>
          <w:sz w:val="24"/>
          <w:highlight w:val="none"/>
          <w:lang w:val="en-US" w:eastAsia="zh-CN"/>
        </w:rPr>
        <w:t>2个月</w:t>
      </w:r>
      <w:r>
        <w:rPr>
          <w:rFonts w:hint="eastAsia" w:ascii="仿宋_GB2312" w:hAnsi="·ÂËÎ_GB2312" w:eastAsia="仿宋_GB2312" w:cs="仿宋_GB2312"/>
          <w:sz w:val="24"/>
          <w:highlight w:val="none"/>
        </w:rPr>
        <w:t>）</w:t>
      </w:r>
    </w:p>
    <w:p w14:paraId="7F87A160">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全面现状调查和现场踏勘，开展部门座谈与沟通，发放人群问卷，收集基础资料并整理和分析，形成基础资料汇编与现状调研报告。</w:t>
      </w:r>
    </w:p>
    <w:p w14:paraId="27A12FBF">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（2）初期研究阶段（</w:t>
      </w:r>
      <w:r>
        <w:rPr>
          <w:rFonts w:hint="eastAsia" w:ascii="仿宋_GB2312" w:hAnsi="·ÂËÎ_GB2312" w:eastAsia="仿宋_GB2312" w:cs="仿宋_GB2312"/>
          <w:sz w:val="24"/>
          <w:highlight w:val="none"/>
          <w:lang w:val="en-US" w:eastAsia="zh-CN"/>
        </w:rPr>
        <w:t>2</w:t>
      </w:r>
      <w:r>
        <w:rPr>
          <w:rFonts w:hint="eastAsia" w:ascii="仿宋_GB2312" w:hAnsi="·ÂËÎ_GB2312" w:eastAsia="仿宋_GB2312" w:cs="仿宋_GB2312"/>
          <w:sz w:val="24"/>
          <w:highlight w:val="none"/>
          <w:lang w:eastAsia="zh-CN"/>
        </w:rPr>
        <w:t>个月</w:t>
      </w:r>
      <w:r>
        <w:rPr>
          <w:rFonts w:hint="eastAsia" w:ascii="仿宋_GB2312" w:hAnsi="·ÂËÎ_GB2312" w:eastAsia="仿宋_GB2312" w:cs="仿宋_GB2312"/>
          <w:sz w:val="24"/>
          <w:highlight w:val="none"/>
        </w:rPr>
        <w:t>）</w:t>
      </w:r>
    </w:p>
    <w:p w14:paraId="56361224">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基于现场调研与资料分析成果，系统开展规划研究工作，并针对重点片区，梳理问题明确工作思路。</w:t>
      </w:r>
    </w:p>
    <w:p w14:paraId="37286FD9">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（3）中期成果阶段</w:t>
      </w:r>
      <w:r>
        <w:rPr>
          <w:rFonts w:hint="eastAsia" w:ascii="仿宋_GB2312" w:hAnsi="·ÂËÎ_GB2312" w:eastAsia="仿宋_GB2312" w:cs="仿宋_GB2312"/>
          <w:sz w:val="24"/>
          <w:highlight w:val="none"/>
        </w:rPr>
        <w:t>（</w:t>
      </w:r>
      <w:r>
        <w:rPr>
          <w:rFonts w:hint="eastAsia" w:ascii="仿宋_GB2312" w:hAnsi="·ÂËÎ_GB2312" w:eastAsia="仿宋_GB2312" w:cs="仿宋_GB2312"/>
          <w:sz w:val="24"/>
          <w:highlight w:val="none"/>
          <w:lang w:val="en-US" w:eastAsia="zh-CN"/>
        </w:rPr>
        <w:t>4</w:t>
      </w:r>
      <w:r>
        <w:rPr>
          <w:rFonts w:hint="eastAsia" w:ascii="仿宋_GB2312" w:hAnsi="·ÂËÎ_GB2312" w:eastAsia="仿宋_GB2312" w:cs="仿宋_GB2312"/>
          <w:sz w:val="24"/>
          <w:highlight w:val="none"/>
          <w:lang w:eastAsia="zh-CN"/>
        </w:rPr>
        <w:t>个月</w:t>
      </w:r>
      <w:r>
        <w:rPr>
          <w:rFonts w:hint="eastAsia" w:ascii="仿宋_GB2312" w:hAnsi="·ÂËÎ_GB2312" w:eastAsia="仿宋_GB2312" w:cs="仿宋_GB2312"/>
          <w:sz w:val="24"/>
          <w:highlight w:val="none"/>
        </w:rPr>
        <w:t>）</w:t>
      </w:r>
    </w:p>
    <w:p w14:paraId="5EEC7863">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全面开展规划研究与设计方案，组织专家及部门意见征询会，广泛进行中期成果沟通与交流。</w:t>
      </w:r>
    </w:p>
    <w:p w14:paraId="53CA1574">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（4）终期成果阶段（</w:t>
      </w:r>
      <w:r>
        <w:rPr>
          <w:rFonts w:hint="eastAsia" w:ascii="仿宋_GB2312" w:hAnsi="·ÂËÎ_GB2312" w:eastAsia="仿宋_GB2312" w:cs="仿宋_GB2312"/>
          <w:sz w:val="24"/>
          <w:highlight w:val="none"/>
          <w:lang w:val="en-US" w:eastAsia="zh-CN"/>
        </w:rPr>
        <w:t>4</w:t>
      </w:r>
      <w:r>
        <w:rPr>
          <w:rFonts w:hint="eastAsia" w:ascii="仿宋_GB2312" w:hAnsi="·ÂËÎ_GB2312" w:eastAsia="仿宋_GB2312" w:cs="仿宋_GB2312"/>
          <w:sz w:val="24"/>
          <w:highlight w:val="none"/>
          <w:lang w:eastAsia="zh-CN"/>
        </w:rPr>
        <w:t>个月</w:t>
      </w:r>
      <w:r>
        <w:rPr>
          <w:rFonts w:hint="eastAsia" w:ascii="仿宋_GB2312" w:hAnsi="·ÂËÎ_GB2312" w:eastAsia="仿宋_GB2312" w:cs="仿宋_GB2312"/>
          <w:sz w:val="24"/>
          <w:highlight w:val="none"/>
        </w:rPr>
        <w:t>）</w:t>
      </w:r>
    </w:p>
    <w:p w14:paraId="3814DBB5">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根据中期反馈意见修改成果，深化并进行成果评审。依据项目评审会议纪要，进行修改完善，提交最终成果。</w:t>
      </w:r>
    </w:p>
    <w:p w14:paraId="36ABFAE8">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其中实施方案成果，会根据现场实施工作推进，适当后延，具体工作进度根据现场工作相应调整。</w:t>
      </w:r>
    </w:p>
    <w:p w14:paraId="2931FFDC">
      <w:pPr>
        <w:widowControl/>
        <w:numPr>
          <w:ilvl w:val="0"/>
          <w:numId w:val="2"/>
        </w:numPr>
        <w:spacing w:before="240" w:after="60" w:line="360" w:lineRule="auto"/>
        <w:ind w:left="0" w:right="62" w:firstLine="0"/>
        <w:jc w:val="left"/>
        <w:outlineLvl w:val="0"/>
        <w:rPr>
          <w:rFonts w:hint="eastAsia" w:ascii="宋体" w:hAnsi="宋体" w:cs="宋体"/>
          <w:b/>
          <w:kern w:val="0"/>
          <w:sz w:val="28"/>
          <w:szCs w:val="28"/>
          <w:highlight w:val="none"/>
        </w:rPr>
      </w:pPr>
      <w:r>
        <w:rPr>
          <w:rFonts w:hint="eastAsia" w:ascii="宋体" w:hAnsi="宋体" w:cs="宋体"/>
          <w:b/>
          <w:kern w:val="0"/>
          <w:sz w:val="28"/>
          <w:szCs w:val="28"/>
          <w:highlight w:val="none"/>
        </w:rPr>
        <w:t>验收标准</w:t>
      </w:r>
    </w:p>
    <w:p w14:paraId="6D06BBE8">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项目成果必须符合我国最新颁布的与之相关的技术规范与标准并满足采购人要求。</w:t>
      </w:r>
    </w:p>
    <w:p w14:paraId="637D0398">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通过专家评审及采购人验收。中标供应商提供的规划成果必须符合我国最新颁布的与之相关的技术规范与标准，同时须满足采购文件中所列全部规格、技术条件及功能要求和其承诺的其它指标。在项目实施过程中，如国家标准修改，应按照新国家标准实施。</w:t>
      </w:r>
    </w:p>
    <w:p w14:paraId="67B9159B">
      <w:pPr>
        <w:widowControl/>
        <w:numPr>
          <w:ilvl w:val="0"/>
          <w:numId w:val="2"/>
        </w:numPr>
        <w:spacing w:before="240" w:after="60" w:line="360" w:lineRule="auto"/>
        <w:ind w:left="0" w:right="62" w:firstLine="0"/>
        <w:jc w:val="left"/>
        <w:outlineLvl w:val="0"/>
        <w:rPr>
          <w:rFonts w:hint="eastAsia" w:ascii="宋体" w:hAnsi="宋体" w:cs="宋体"/>
          <w:b/>
          <w:kern w:val="0"/>
          <w:sz w:val="28"/>
          <w:szCs w:val="28"/>
          <w:highlight w:val="none"/>
        </w:rPr>
      </w:pPr>
      <w:r>
        <w:rPr>
          <w:rFonts w:hint="eastAsia" w:ascii="宋体" w:hAnsi="宋体" w:cs="宋体"/>
          <w:b/>
          <w:kern w:val="0"/>
          <w:sz w:val="28"/>
          <w:szCs w:val="28"/>
          <w:highlight w:val="none"/>
        </w:rPr>
        <w:t>服务期限</w:t>
      </w:r>
    </w:p>
    <w:p w14:paraId="451DC7D9">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自合同签订之日起</w:t>
      </w:r>
      <w:r>
        <w:rPr>
          <w:rFonts w:hint="eastAsia" w:ascii="仿宋_GB2312" w:hAnsi="·ÂËÎ_GB2312" w:eastAsia="仿宋_GB2312" w:cs="仿宋_GB2312"/>
          <w:sz w:val="24"/>
          <w:highlight w:val="none"/>
          <w:lang w:val="en-US" w:eastAsia="zh-CN"/>
        </w:rPr>
        <w:t>1年</w:t>
      </w:r>
      <w:r>
        <w:rPr>
          <w:rFonts w:hint="eastAsia" w:ascii="仿宋_GB2312" w:hAnsi="·ÂËÎ_GB2312" w:eastAsia="仿宋_GB2312" w:cs="仿宋_GB2312"/>
          <w:sz w:val="24"/>
          <w:highlight w:val="none"/>
        </w:rPr>
        <w:t>内递交最终成果。</w:t>
      </w:r>
    </w:p>
    <w:p w14:paraId="1B55BD29">
      <w:pPr>
        <w:widowControl/>
        <w:numPr>
          <w:ilvl w:val="0"/>
          <w:numId w:val="2"/>
        </w:numPr>
        <w:spacing w:before="240" w:after="60" w:line="360" w:lineRule="auto"/>
        <w:ind w:left="0" w:right="62" w:firstLine="0"/>
        <w:jc w:val="left"/>
        <w:outlineLvl w:val="0"/>
        <w:rPr>
          <w:rFonts w:hint="eastAsia" w:ascii="宋体" w:hAnsi="宋体" w:cs="宋体"/>
          <w:b/>
          <w:kern w:val="0"/>
          <w:sz w:val="28"/>
          <w:szCs w:val="28"/>
          <w:highlight w:val="none"/>
        </w:rPr>
      </w:pPr>
      <w:r>
        <w:rPr>
          <w:rFonts w:hint="eastAsia" w:ascii="宋体" w:hAnsi="宋体" w:cs="宋体"/>
          <w:b/>
          <w:kern w:val="0"/>
          <w:sz w:val="28"/>
          <w:szCs w:val="28"/>
          <w:highlight w:val="none"/>
        </w:rPr>
        <w:t>商务条款</w:t>
      </w:r>
    </w:p>
    <w:p w14:paraId="0E33943E">
      <w:pPr>
        <w:widowControl/>
        <w:spacing w:line="580" w:lineRule="exact"/>
        <w:rPr>
          <w:rFonts w:ascii="仿宋_GB2312" w:hAnsi="·ÂËÎ_GB2312" w:eastAsia="仿宋_GB2312" w:cs="仿宋_GB2312"/>
          <w:b/>
          <w:sz w:val="24"/>
          <w:highlight w:val="none"/>
        </w:rPr>
      </w:pPr>
      <w:r>
        <w:rPr>
          <w:rFonts w:hint="eastAsia" w:ascii="仿宋_GB2312" w:hAnsi="·ÂËÎ_GB2312" w:eastAsia="仿宋_GB2312" w:cs="仿宋_GB2312"/>
          <w:b/>
          <w:sz w:val="24"/>
          <w:highlight w:val="none"/>
        </w:rPr>
        <w:t>1、售后服务</w:t>
      </w:r>
    </w:p>
    <w:p w14:paraId="6ACF5302">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rPr>
        <w:t>项目完成后提供1年的质量维护服务。</w:t>
      </w:r>
    </w:p>
    <w:p w14:paraId="26DFB282">
      <w:pPr>
        <w:widowControl/>
        <w:spacing w:line="580" w:lineRule="exact"/>
        <w:rPr>
          <w:rFonts w:ascii="仿宋_GB2312" w:hAnsi="·ÂËÎ_GB2312" w:eastAsia="仿宋_GB2312" w:cs="仿宋_GB2312"/>
          <w:b/>
          <w:sz w:val="24"/>
          <w:highlight w:val="none"/>
        </w:rPr>
      </w:pPr>
      <w:r>
        <w:rPr>
          <w:rFonts w:hint="eastAsia" w:ascii="仿宋_GB2312" w:hAnsi="·ÂËÎ_GB2312" w:eastAsia="仿宋_GB2312" w:cs="仿宋_GB2312"/>
          <w:b/>
          <w:sz w:val="24"/>
          <w:highlight w:val="none"/>
        </w:rPr>
        <w:t>2、付款方式</w:t>
      </w:r>
    </w:p>
    <w:p w14:paraId="576FC9BB">
      <w:pPr>
        <w:widowControl/>
        <w:spacing w:line="580" w:lineRule="exact"/>
        <w:ind w:firstLine="504" w:firstLineChars="210"/>
        <w:rPr>
          <w:rFonts w:ascii="仿宋_GB2312" w:hAnsi="·ÂËÎ_GB2312" w:eastAsia="仿宋_GB2312" w:cs="仿宋_GB2312"/>
          <w:sz w:val="24"/>
          <w:highlight w:val="none"/>
        </w:rPr>
      </w:pPr>
      <w:r>
        <w:rPr>
          <w:rFonts w:hint="eastAsia" w:ascii="仿宋_GB2312" w:hAnsi="·ÂËÎ_GB2312" w:eastAsia="仿宋_GB2312" w:cs="仿宋_GB2312"/>
          <w:sz w:val="24"/>
          <w:highlight w:val="none"/>
          <w:lang w:eastAsia="zh-CN"/>
        </w:rPr>
        <w:t>签订合同且具备实施条件后7个工作日内支付合同总价的30%，作为预付款；天台山风景名胜区总体规划评估与修编及旅游交通专项设计初步成果提交并县级评审通过后7个工作日内支付合同总价的30%；天台山风景名胜区总体规划评估与修编成果修改完善并通过省级评审后7个工作日内支付合同总价的30%；天台山风景名胜区总体规划评估与修编成果完成批复，并提交最终成果后7个工作日内支付合同总价的10%。</w:t>
      </w:r>
    </w:p>
    <w:p w14:paraId="3FA09878">
      <w:pPr>
        <w:pStyle w:val="4"/>
        <w:rPr>
          <w:rFonts w:hint="eastAsia"/>
          <w:color w:val="auto"/>
          <w:highlight w:val="none"/>
        </w:rPr>
      </w:pPr>
    </w:p>
    <w:p w14:paraId="4B883DCF">
      <w:pPr>
        <w:ind w:firstLine="280" w:firstLineChars="100"/>
        <w:rPr>
          <w:rFonts w:hint="eastAsia" w:ascii="仿宋_GB2312" w:hAnsi="·ÂËÎ_GB2312" w:eastAsia="仿宋_GB2312" w:cs="仿宋_GB2312"/>
          <w:color w:val="auto"/>
          <w:sz w:val="28"/>
          <w:szCs w:val="32"/>
          <w:highlight w:val="none"/>
        </w:rPr>
      </w:pPr>
      <w:r>
        <w:rPr>
          <w:rFonts w:hint="eastAsia" w:ascii="仿宋_GB2312" w:hAnsi="·ÂËÎ_GB2312" w:eastAsia="仿宋_GB2312" w:cs="仿宋_GB2312"/>
          <w:color w:val="auto"/>
          <w:sz w:val="28"/>
          <w:szCs w:val="32"/>
          <w:highlight w:val="none"/>
          <w:lang w:val="en-US" w:eastAsia="zh-CN"/>
        </w:rPr>
        <w:t xml:space="preserve">  </w:t>
      </w:r>
    </w:p>
    <w:p w14:paraId="6BD3A0EE">
      <w:pPr>
        <w:ind w:firstLine="281" w:firstLineChars="100"/>
        <w:rPr>
          <w:rFonts w:hint="eastAsia" w:ascii="仿宋_GB2312" w:hAnsi="宋体" w:eastAsia="仿宋_GB2312"/>
          <w:b/>
          <w:color w:val="auto"/>
          <w:sz w:val="36"/>
          <w:szCs w:val="36"/>
          <w:highlight w:val="none"/>
        </w:rPr>
      </w:pPr>
      <w:r>
        <w:rPr>
          <w:b/>
          <w:color w:val="auto"/>
          <w:sz w:val="28"/>
          <w:szCs w:val="28"/>
          <w:highlight w:val="none"/>
        </w:rPr>
        <w:t>说明：本章所有内容必须实质性响应，否则作无效标处理。</w:t>
      </w:r>
    </w:p>
    <w:p w14:paraId="3F00ADB5">
      <w:pPr>
        <w:pStyle w:val="7"/>
        <w:snapToGrid w:val="0"/>
        <w:ind w:firstLine="2891" w:firstLineChars="800"/>
        <w:rPr>
          <w:rFonts w:ascii="仿宋" w:hAnsi="仿宋" w:eastAsia="仿宋"/>
          <w:b/>
          <w:color w:val="auto"/>
          <w:sz w:val="36"/>
          <w:szCs w:val="36"/>
          <w:highlight w:val="none"/>
        </w:rPr>
      </w:pPr>
    </w:p>
    <w:p w14:paraId="52E9BF1F">
      <w:pPr>
        <w:pStyle w:val="7"/>
        <w:snapToGrid w:val="0"/>
        <w:ind w:firstLine="2891" w:firstLineChars="800"/>
        <w:rPr>
          <w:rFonts w:ascii="仿宋" w:hAnsi="仿宋" w:eastAsia="仿宋"/>
          <w:b/>
          <w:color w:val="auto"/>
          <w:sz w:val="36"/>
          <w:szCs w:val="36"/>
          <w:highlight w:val="none"/>
        </w:rPr>
      </w:pPr>
    </w:p>
    <w:p w14:paraId="315693DE">
      <w:pPr>
        <w:pStyle w:val="7"/>
        <w:snapToGrid w:val="0"/>
        <w:ind w:firstLine="2891" w:firstLineChars="800"/>
        <w:rPr>
          <w:rFonts w:ascii="仿宋" w:hAnsi="仿宋" w:eastAsia="仿宋"/>
          <w:b/>
          <w:color w:val="auto"/>
          <w:sz w:val="36"/>
          <w:szCs w:val="36"/>
          <w:highlight w:val="none"/>
        </w:rPr>
      </w:pPr>
    </w:p>
    <w:p w14:paraId="0DACB0A9">
      <w:pPr>
        <w:pStyle w:val="7"/>
        <w:snapToGrid w:val="0"/>
        <w:ind w:firstLine="2891" w:firstLineChars="800"/>
        <w:rPr>
          <w:rFonts w:ascii="仿宋" w:hAnsi="仿宋" w:eastAsia="仿宋"/>
          <w:b/>
          <w:color w:val="auto"/>
          <w:sz w:val="36"/>
          <w:szCs w:val="36"/>
          <w:highlight w:val="none"/>
        </w:rPr>
      </w:pPr>
    </w:p>
    <w:p w14:paraId="3F9ED544">
      <w:pPr>
        <w:pStyle w:val="7"/>
        <w:snapToGrid w:val="0"/>
        <w:ind w:firstLine="2891" w:firstLineChars="800"/>
        <w:rPr>
          <w:rFonts w:hint="eastAsia" w:ascii="仿宋" w:hAnsi="仿宋" w:eastAsia="仿宋"/>
          <w:b/>
          <w:color w:val="auto"/>
          <w:sz w:val="36"/>
          <w:szCs w:val="36"/>
          <w:highlight w:val="none"/>
          <w:lang w:eastAsia="zh-CN"/>
        </w:rPr>
      </w:pPr>
    </w:p>
    <w:p w14:paraId="6C7E3076">
      <w:pPr>
        <w:rPr>
          <w:rFonts w:ascii="仿宋" w:hAnsi="仿宋" w:eastAsia="仿宋"/>
          <w:b/>
          <w:color w:val="auto"/>
          <w:sz w:val="36"/>
          <w:szCs w:val="36"/>
          <w:highlight w:val="none"/>
        </w:rPr>
      </w:pPr>
      <w:r>
        <w:rPr>
          <w:rFonts w:ascii="仿宋" w:hAnsi="仿宋" w:eastAsia="仿宋"/>
          <w:b/>
          <w:color w:val="auto"/>
          <w:sz w:val="36"/>
          <w:szCs w:val="36"/>
          <w:highlight w:val="none"/>
        </w:rPr>
        <w:br w:type="page"/>
      </w:r>
    </w:p>
    <w:p w14:paraId="1BE8BD67">
      <w:pPr>
        <w:pStyle w:val="7"/>
        <w:snapToGrid w:val="0"/>
        <w:ind w:firstLine="2891" w:firstLineChars="800"/>
        <w:rPr>
          <w:rFonts w:ascii="仿宋" w:hAnsi="仿宋" w:eastAsia="仿宋"/>
          <w:b/>
          <w:color w:val="auto"/>
          <w:sz w:val="36"/>
          <w:szCs w:val="36"/>
          <w:highlight w:val="none"/>
        </w:rPr>
      </w:pPr>
    </w:p>
    <w:p w14:paraId="6B671A1C">
      <w:pPr>
        <w:pStyle w:val="7"/>
        <w:snapToGrid w:val="0"/>
        <w:ind w:firstLine="2891" w:firstLineChars="800"/>
        <w:rPr>
          <w:rFonts w:ascii="仿宋" w:hAnsi="仿宋" w:eastAsia="仿宋"/>
          <w:b/>
          <w:color w:val="auto"/>
          <w:sz w:val="36"/>
          <w:szCs w:val="36"/>
          <w:highlight w:val="none"/>
        </w:rPr>
      </w:pPr>
      <w:r>
        <w:rPr>
          <w:rFonts w:ascii="仿宋" w:hAnsi="仿宋" w:eastAsia="仿宋"/>
          <w:b/>
          <w:color w:val="auto"/>
          <w:sz w:val="36"/>
          <w:szCs w:val="36"/>
          <w:highlight w:val="none"/>
        </w:rPr>
        <w:t xml:space="preserve">第五章 评标办法及评分标准 </w:t>
      </w:r>
    </w:p>
    <w:p w14:paraId="3669C251">
      <w:pPr>
        <w:pStyle w:val="7"/>
        <w:snapToGrid w:val="0"/>
        <w:spacing w:before="156" w:beforeLines="50" w:after="156" w:afterLines="50"/>
        <w:rPr>
          <w:rFonts w:ascii="仿宋" w:hAnsi="仿宋" w:eastAsia="仿宋"/>
          <w:b/>
          <w:color w:val="auto"/>
          <w:sz w:val="28"/>
          <w:szCs w:val="28"/>
          <w:highlight w:val="none"/>
        </w:rPr>
      </w:pPr>
      <w:r>
        <w:rPr>
          <w:rFonts w:ascii="仿宋" w:hAnsi="仿宋" w:eastAsia="仿宋"/>
          <w:b/>
          <w:color w:val="auto"/>
          <w:sz w:val="28"/>
          <w:szCs w:val="28"/>
          <w:highlight w:val="none"/>
        </w:rPr>
        <w:t>一、评标原则</w:t>
      </w:r>
    </w:p>
    <w:p w14:paraId="5FEECA04">
      <w:pPr>
        <w:pStyle w:val="7"/>
        <w:snapToGrid w:val="0"/>
        <w:ind w:firstLine="240" w:firstLineChars="100"/>
        <w:rPr>
          <w:rFonts w:ascii="仿宋" w:hAnsi="仿宋" w:eastAsia="仿宋"/>
          <w:color w:val="auto"/>
          <w:sz w:val="24"/>
          <w:highlight w:val="none"/>
        </w:rPr>
      </w:pPr>
      <w:r>
        <w:rPr>
          <w:rFonts w:ascii="仿宋" w:hAnsi="仿宋" w:eastAsia="仿宋"/>
          <w:color w:val="auto"/>
          <w:sz w:val="24"/>
          <w:highlight w:val="none"/>
        </w:rPr>
        <w:t>评标委员会必须公平、公正、客观，不带任何倾向性和启发性，不得向外界透露任何与评标有关的内容；任何单位和个人不得干扰、影响评标的正常进行；评标委员会及有关工作人员不得私下与投标人接触。</w:t>
      </w:r>
    </w:p>
    <w:p w14:paraId="54281587">
      <w:pPr>
        <w:pStyle w:val="7"/>
        <w:snapToGrid w:val="0"/>
        <w:spacing w:before="156" w:beforeLines="50"/>
        <w:rPr>
          <w:rFonts w:ascii="仿宋" w:hAnsi="仿宋" w:eastAsia="仿宋"/>
          <w:b/>
          <w:color w:val="auto"/>
          <w:sz w:val="28"/>
          <w:szCs w:val="28"/>
          <w:highlight w:val="none"/>
        </w:rPr>
      </w:pPr>
      <w:r>
        <w:rPr>
          <w:rFonts w:ascii="仿宋" w:hAnsi="仿宋" w:eastAsia="仿宋"/>
          <w:b/>
          <w:color w:val="auto"/>
          <w:sz w:val="28"/>
          <w:szCs w:val="28"/>
          <w:highlight w:val="none"/>
        </w:rPr>
        <w:t>二、评标办法：采用综合评分法总得分为100分，其中技术得分</w:t>
      </w:r>
      <w:r>
        <w:rPr>
          <w:rFonts w:hint="eastAsia" w:ascii="仿宋" w:hAnsi="仿宋" w:eastAsia="仿宋"/>
          <w:b/>
          <w:color w:val="auto"/>
          <w:sz w:val="28"/>
          <w:szCs w:val="28"/>
          <w:highlight w:val="none"/>
          <w:lang w:val="en-US" w:eastAsia="zh-CN"/>
        </w:rPr>
        <w:t>9</w:t>
      </w:r>
      <w:r>
        <w:rPr>
          <w:rFonts w:hint="eastAsia" w:ascii="仿宋" w:hAnsi="仿宋" w:eastAsia="仿宋"/>
          <w:b/>
          <w:color w:val="auto"/>
          <w:sz w:val="28"/>
          <w:szCs w:val="28"/>
          <w:highlight w:val="none"/>
        </w:rPr>
        <w:t>0分</w:t>
      </w:r>
      <w:r>
        <w:rPr>
          <w:rFonts w:ascii="仿宋" w:hAnsi="仿宋" w:eastAsia="仿宋"/>
          <w:b/>
          <w:color w:val="auto"/>
          <w:sz w:val="28"/>
          <w:szCs w:val="28"/>
          <w:highlight w:val="none"/>
        </w:rPr>
        <w:t>，价格得分</w:t>
      </w:r>
      <w:r>
        <w:rPr>
          <w:rFonts w:hint="eastAsia" w:ascii="仿宋" w:hAnsi="仿宋" w:eastAsia="仿宋"/>
          <w:b/>
          <w:color w:val="auto"/>
          <w:sz w:val="28"/>
          <w:szCs w:val="28"/>
          <w:highlight w:val="none"/>
          <w:lang w:val="en-US" w:eastAsia="zh-CN"/>
        </w:rPr>
        <w:t>1</w:t>
      </w:r>
      <w:r>
        <w:rPr>
          <w:rFonts w:hint="eastAsia" w:ascii="仿宋" w:hAnsi="仿宋" w:eastAsia="仿宋"/>
          <w:b/>
          <w:color w:val="auto"/>
          <w:sz w:val="28"/>
          <w:szCs w:val="28"/>
          <w:highlight w:val="none"/>
        </w:rPr>
        <w:t>0分</w:t>
      </w:r>
    </w:p>
    <w:p w14:paraId="44F6CEBF">
      <w:pPr>
        <w:autoSpaceDE w:val="0"/>
        <w:autoSpaceDN w:val="0"/>
        <w:adjustRightInd w:val="0"/>
        <w:spacing w:before="156"/>
        <w:rPr>
          <w:rFonts w:ascii="仿宋" w:hAnsi="仿宋" w:eastAsia="仿宋" w:cs="仿宋_GB2312"/>
          <w:b/>
          <w:bCs/>
          <w:color w:val="auto"/>
          <w:sz w:val="24"/>
          <w:highlight w:val="none"/>
          <w:lang w:val="zh-CN"/>
        </w:rPr>
      </w:pPr>
      <w:r>
        <w:rPr>
          <w:rFonts w:hint="eastAsia" w:ascii="仿宋" w:hAnsi="仿宋" w:eastAsia="仿宋" w:cs="仿宋_GB2312"/>
          <w:b/>
          <w:bCs/>
          <w:color w:val="auto"/>
          <w:sz w:val="24"/>
          <w:highlight w:val="none"/>
          <w:lang w:val="zh-CN"/>
        </w:rPr>
        <w:t>（一）评标要求</w:t>
      </w:r>
    </w:p>
    <w:p w14:paraId="4D69BB2E">
      <w:pPr>
        <w:autoSpaceDE w:val="0"/>
        <w:autoSpaceDN w:val="0"/>
        <w:adjustRightInd w:val="0"/>
        <w:spacing w:before="156"/>
        <w:ind w:firstLine="235" w:firstLineChars="98"/>
        <w:rPr>
          <w:rFonts w:ascii="仿宋" w:hAnsi="仿宋" w:eastAsia="仿宋" w:cs="仿宋_GB2312"/>
          <w:color w:val="auto"/>
          <w:sz w:val="24"/>
          <w:highlight w:val="none"/>
          <w:lang w:val="zh-CN"/>
        </w:rPr>
      </w:pPr>
      <w:r>
        <w:rPr>
          <w:rFonts w:hint="eastAsia" w:ascii="仿宋" w:hAnsi="仿宋" w:eastAsia="仿宋" w:cs="仿宋_GB2312"/>
          <w:bCs/>
          <w:color w:val="auto"/>
          <w:sz w:val="24"/>
          <w:highlight w:val="none"/>
          <w:lang w:val="zh-CN"/>
        </w:rPr>
        <w:t>1、</w:t>
      </w:r>
      <w:r>
        <w:rPr>
          <w:rFonts w:hint="eastAsia" w:ascii="仿宋" w:hAnsi="仿宋" w:eastAsia="仿宋" w:cs="仿宋_GB2312"/>
          <w:color w:val="auto"/>
          <w:sz w:val="24"/>
          <w:highlight w:val="none"/>
          <w:lang w:val="zh-CN"/>
        </w:rPr>
        <w:t>评标委员会将对投标文件的内容进行评审，凡投标文件实质性内容不响应招标文件要求和关键格式不符合招标文件规定的，经评标委员会认定作为无效标处理。评标委员会经过审标、询标，在对各投标人及其投标文件进行充分分析、评议的基础上进行打分。</w:t>
      </w:r>
    </w:p>
    <w:p w14:paraId="5B7D351A">
      <w:pPr>
        <w:autoSpaceDE w:val="0"/>
        <w:autoSpaceDN w:val="0"/>
        <w:adjustRightInd w:val="0"/>
        <w:spacing w:before="156"/>
        <w:ind w:firstLine="240" w:firstLineChars="100"/>
        <w:rPr>
          <w:rFonts w:ascii="仿宋" w:hAnsi="仿宋" w:eastAsia="仿宋" w:cs="仿宋_GB2312"/>
          <w:color w:val="auto"/>
          <w:sz w:val="24"/>
          <w:highlight w:val="none"/>
          <w:lang w:val="zh-CN"/>
        </w:rPr>
      </w:pPr>
      <w:r>
        <w:rPr>
          <w:rFonts w:hint="eastAsia" w:ascii="仿宋" w:hAnsi="仿宋" w:eastAsia="仿宋" w:cs="仿宋_GB2312"/>
          <w:color w:val="auto"/>
          <w:sz w:val="24"/>
          <w:highlight w:val="none"/>
          <w:lang w:val="zh-CN"/>
        </w:rPr>
        <w:t>2、总得分为100分。在规定的分值范围内由评委自行评定打分。</w:t>
      </w:r>
    </w:p>
    <w:p w14:paraId="789522DD">
      <w:pPr>
        <w:autoSpaceDE w:val="0"/>
        <w:autoSpaceDN w:val="0"/>
        <w:adjustRightInd w:val="0"/>
        <w:spacing w:before="156"/>
        <w:ind w:firstLine="240" w:firstLineChars="100"/>
        <w:rPr>
          <w:rFonts w:ascii="仿宋" w:hAnsi="仿宋" w:eastAsia="仿宋" w:cs="仿宋_GB2312"/>
          <w:color w:val="auto"/>
          <w:sz w:val="24"/>
          <w:highlight w:val="none"/>
          <w:lang w:val="zh-CN"/>
        </w:rPr>
      </w:pPr>
      <w:r>
        <w:rPr>
          <w:rFonts w:hint="eastAsia" w:ascii="仿宋" w:hAnsi="仿宋" w:eastAsia="仿宋" w:cs="仿宋_GB2312"/>
          <w:color w:val="auto"/>
          <w:sz w:val="24"/>
          <w:highlight w:val="none"/>
          <w:lang w:val="zh-CN"/>
        </w:rPr>
        <w:t>3、根据评委打分累计后再取平均分作为投标人的最终得分。</w:t>
      </w:r>
    </w:p>
    <w:p w14:paraId="18BF5E51">
      <w:pPr>
        <w:autoSpaceDE w:val="0"/>
        <w:autoSpaceDN w:val="0"/>
        <w:adjustRightInd w:val="0"/>
        <w:spacing w:before="156"/>
        <w:ind w:firstLine="240" w:firstLineChars="100"/>
        <w:rPr>
          <w:rFonts w:ascii="仿宋" w:hAnsi="仿宋" w:eastAsia="仿宋" w:cs="仿宋_GB2312"/>
          <w:color w:val="auto"/>
          <w:sz w:val="24"/>
          <w:highlight w:val="none"/>
          <w:lang w:val="zh-CN"/>
        </w:rPr>
      </w:pPr>
      <w:r>
        <w:rPr>
          <w:rFonts w:hint="eastAsia" w:ascii="仿宋" w:hAnsi="仿宋" w:eastAsia="仿宋" w:cs="仿宋_GB2312"/>
          <w:color w:val="auto"/>
          <w:sz w:val="24"/>
          <w:highlight w:val="none"/>
          <w:lang w:val="zh-CN"/>
        </w:rPr>
        <w:t>4、所有计算结果小数点后保留2位，第3位四舍五入。</w:t>
      </w:r>
    </w:p>
    <w:p w14:paraId="74A69B83">
      <w:pPr>
        <w:spacing w:line="440" w:lineRule="exact"/>
        <w:rPr>
          <w:rFonts w:ascii="仿宋" w:hAnsi="仿宋" w:eastAsia="仿宋"/>
          <w:b/>
          <w:color w:val="auto"/>
          <w:sz w:val="24"/>
          <w:highlight w:val="none"/>
        </w:rPr>
      </w:pPr>
      <w:r>
        <w:rPr>
          <w:rFonts w:hint="eastAsia" w:ascii="仿宋" w:hAnsi="仿宋" w:eastAsia="仿宋"/>
          <w:b/>
          <w:color w:val="auto"/>
          <w:sz w:val="24"/>
          <w:highlight w:val="none"/>
        </w:rPr>
        <w:t>（二）评标</w:t>
      </w:r>
    </w:p>
    <w:p w14:paraId="7DF9DFED">
      <w:pPr>
        <w:spacing w:after="156" w:afterLines="50" w:line="440" w:lineRule="exact"/>
        <w:ind w:firstLine="236" w:firstLineChars="98"/>
        <w:rPr>
          <w:rFonts w:ascii="仿宋" w:hAnsi="仿宋" w:eastAsia="仿宋"/>
          <w:color w:val="auto"/>
          <w:sz w:val="24"/>
          <w:highlight w:val="none"/>
        </w:rPr>
      </w:pPr>
      <w:r>
        <w:rPr>
          <w:rFonts w:ascii="仿宋" w:hAnsi="仿宋" w:eastAsia="仿宋"/>
          <w:b/>
          <w:color w:val="auto"/>
          <w:sz w:val="24"/>
          <w:highlight w:val="none"/>
        </w:rPr>
        <w:t>1</w:t>
      </w:r>
      <w:r>
        <w:rPr>
          <w:rFonts w:hint="eastAsia" w:ascii="仿宋" w:hAnsi="仿宋" w:eastAsia="仿宋"/>
          <w:b/>
          <w:color w:val="auto"/>
          <w:sz w:val="24"/>
          <w:highlight w:val="none"/>
        </w:rPr>
        <w:t>、资格文件评审</w:t>
      </w:r>
    </w:p>
    <w:p w14:paraId="11BE8515">
      <w:pPr>
        <w:snapToGrid w:val="0"/>
        <w:spacing w:line="400" w:lineRule="exact"/>
        <w:ind w:firstLine="240" w:firstLineChars="100"/>
        <w:rPr>
          <w:rFonts w:ascii="仿宋" w:hAnsi="仿宋" w:eastAsia="仿宋"/>
          <w:color w:val="auto"/>
          <w:sz w:val="24"/>
          <w:highlight w:val="none"/>
        </w:rPr>
      </w:pPr>
      <w:r>
        <w:rPr>
          <w:rFonts w:hint="eastAsia" w:ascii="仿宋" w:hAnsi="仿宋" w:eastAsia="仿宋"/>
          <w:color w:val="auto"/>
          <w:sz w:val="24"/>
          <w:highlight w:val="none"/>
        </w:rPr>
        <w:t>评标委员会对投标人的资格文件的完整性、合法性、资格条件等进行审查。合格的进入商务技术文件评审，不合格的按无效标处理不再进入商务技术文件评审。</w:t>
      </w:r>
    </w:p>
    <w:p w14:paraId="31D4EA51">
      <w:pPr>
        <w:spacing w:after="156" w:afterLines="50" w:line="440" w:lineRule="exact"/>
        <w:rPr>
          <w:rFonts w:ascii="仿宋" w:hAnsi="仿宋" w:eastAsia="仿宋"/>
          <w:color w:val="auto"/>
          <w:sz w:val="24"/>
          <w:highlight w:val="none"/>
        </w:rPr>
      </w:pPr>
      <w:r>
        <w:rPr>
          <w:rFonts w:hint="eastAsia" w:ascii="仿宋" w:hAnsi="仿宋" w:eastAsia="仿宋"/>
          <w:b/>
          <w:color w:val="auto"/>
          <w:sz w:val="24"/>
          <w:highlight w:val="none"/>
        </w:rPr>
        <w:t xml:space="preserve">  2、商务技术文件评审</w:t>
      </w:r>
    </w:p>
    <w:p w14:paraId="68E62A9D">
      <w:pPr>
        <w:snapToGrid w:val="0"/>
        <w:spacing w:line="400" w:lineRule="exact"/>
        <w:ind w:firstLine="240" w:firstLineChars="100"/>
        <w:rPr>
          <w:rFonts w:ascii="仿宋" w:hAnsi="仿宋" w:eastAsia="仿宋"/>
          <w:color w:val="auto"/>
          <w:sz w:val="24"/>
          <w:highlight w:val="none"/>
        </w:rPr>
      </w:pPr>
      <w:r>
        <w:rPr>
          <w:rFonts w:hint="eastAsia" w:ascii="仿宋" w:hAnsi="仿宋" w:eastAsia="仿宋"/>
          <w:color w:val="auto"/>
          <w:sz w:val="24"/>
          <w:highlight w:val="none"/>
        </w:rPr>
        <w:t>2.1评标委员会审查各投标人商务技术文件中</w:t>
      </w:r>
      <w:r>
        <w:rPr>
          <w:rFonts w:hint="eastAsia" w:ascii="仿宋_GB2312" w:hAnsi="Courier New" w:eastAsia="仿宋_GB2312"/>
          <w:color w:val="auto"/>
          <w:sz w:val="24"/>
          <w:highlight w:val="none"/>
        </w:rPr>
        <w:t>服务响</w:t>
      </w:r>
      <w:r>
        <w:rPr>
          <w:rFonts w:hint="eastAsia" w:ascii="仿宋" w:hAnsi="仿宋" w:eastAsia="仿宋"/>
          <w:color w:val="auto"/>
          <w:sz w:val="24"/>
          <w:highlight w:val="none"/>
        </w:rPr>
        <w:t>应方案、投标人情况介绍等是否响应招标文件要求。如果商务技术文件实质上不响应招标文件各项要求，评标委员会将按无效标处理。</w:t>
      </w:r>
    </w:p>
    <w:p w14:paraId="2EFDDE13">
      <w:pPr>
        <w:spacing w:after="156" w:afterLines="50" w:line="440" w:lineRule="exact"/>
        <w:ind w:firstLine="236" w:firstLineChars="98"/>
        <w:rPr>
          <w:rFonts w:ascii="仿宋" w:hAnsi="仿宋" w:eastAsia="仿宋"/>
          <w:color w:val="auto"/>
          <w:sz w:val="24"/>
          <w:highlight w:val="none"/>
        </w:rPr>
      </w:pPr>
      <w:r>
        <w:rPr>
          <w:rFonts w:hint="eastAsia" w:ascii="仿宋" w:hAnsi="仿宋" w:eastAsia="仿宋"/>
          <w:b/>
          <w:color w:val="auto"/>
          <w:sz w:val="24"/>
          <w:highlight w:val="none"/>
        </w:rPr>
        <w:t>2.2技术得分计算方法如下</w:t>
      </w:r>
      <w:r>
        <w:rPr>
          <w:rFonts w:hint="eastAsia" w:ascii="仿宋" w:hAnsi="仿宋" w:eastAsia="仿宋"/>
          <w:color w:val="auto"/>
          <w:sz w:val="24"/>
          <w:highlight w:val="none"/>
        </w:rPr>
        <w:t xml:space="preserve">： </w:t>
      </w:r>
    </w:p>
    <w:p w14:paraId="619BD8DD">
      <w:pPr>
        <w:ind w:firstLine="240" w:firstLineChars="100"/>
        <w:rPr>
          <w:rFonts w:ascii="仿宋" w:hAnsi="仿宋" w:eastAsia="仿宋"/>
          <w:color w:val="auto"/>
          <w:sz w:val="24"/>
          <w:highlight w:val="none"/>
        </w:rPr>
      </w:pPr>
      <w:r>
        <w:rPr>
          <w:rFonts w:hint="eastAsia" w:ascii="仿宋" w:hAnsi="仿宋" w:eastAsia="仿宋"/>
          <w:color w:val="auto"/>
          <w:sz w:val="24"/>
          <w:highlight w:val="none"/>
        </w:rPr>
        <w:t>①技术评定分值为</w:t>
      </w:r>
      <w:r>
        <w:rPr>
          <w:rFonts w:hint="eastAsia" w:ascii="仿宋" w:hAnsi="仿宋" w:eastAsia="仿宋"/>
          <w:color w:val="auto"/>
          <w:sz w:val="24"/>
          <w:highlight w:val="none"/>
          <w:lang w:val="en-US" w:eastAsia="zh-CN"/>
        </w:rPr>
        <w:t>9</w:t>
      </w:r>
      <w:r>
        <w:rPr>
          <w:rFonts w:hint="eastAsia" w:ascii="仿宋" w:hAnsi="仿宋" w:eastAsia="仿宋"/>
          <w:color w:val="auto"/>
          <w:sz w:val="24"/>
          <w:highlight w:val="none"/>
        </w:rPr>
        <w:t>0分。</w:t>
      </w:r>
    </w:p>
    <w:p w14:paraId="29EAFC16">
      <w:pPr>
        <w:ind w:firstLine="240" w:firstLineChars="100"/>
        <w:rPr>
          <w:rFonts w:ascii="仿宋" w:hAnsi="仿宋" w:eastAsia="仿宋"/>
          <w:color w:val="auto"/>
          <w:sz w:val="24"/>
          <w:highlight w:val="none"/>
        </w:rPr>
      </w:pPr>
      <w:r>
        <w:rPr>
          <w:rFonts w:hint="eastAsia" w:ascii="仿宋" w:hAnsi="仿宋" w:eastAsia="仿宋"/>
          <w:color w:val="auto"/>
          <w:sz w:val="24"/>
          <w:highlight w:val="none"/>
        </w:rPr>
        <w:t>②评标委员会按评分标准（详见表）中的内容，进行评审打分，合计得出各投标人的技术得分。</w:t>
      </w:r>
    </w:p>
    <w:p w14:paraId="5B66C7E7">
      <w:pPr>
        <w:ind w:firstLine="240" w:firstLineChars="100"/>
        <w:rPr>
          <w:rFonts w:hint="eastAsia" w:ascii="仿宋" w:hAnsi="仿宋" w:eastAsia="仿宋"/>
          <w:color w:val="auto"/>
          <w:sz w:val="24"/>
          <w:highlight w:val="none"/>
        </w:rPr>
      </w:pPr>
      <w:r>
        <w:rPr>
          <w:rFonts w:hint="eastAsia" w:ascii="仿宋" w:hAnsi="仿宋" w:eastAsia="仿宋"/>
          <w:color w:val="auto"/>
          <w:sz w:val="24"/>
          <w:highlight w:val="none"/>
        </w:rPr>
        <w:t>③各投标人的技术得分由评委自行评议，技术得分评分的最终得分为所有评委评分的平均值。</w:t>
      </w:r>
    </w:p>
    <w:tbl>
      <w:tblPr>
        <w:tblStyle w:val="11"/>
        <w:tblpPr w:leftFromText="180" w:rightFromText="180" w:vertAnchor="text" w:horzAnchor="page" w:tblpXSpec="center" w:tblpY="28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092"/>
        <w:gridCol w:w="5977"/>
        <w:gridCol w:w="722"/>
      </w:tblGrid>
      <w:tr w14:paraId="7396A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429" w:type="pct"/>
            <w:vAlign w:val="center"/>
          </w:tcPr>
          <w:p w14:paraId="199BF77B">
            <w:pPr>
              <w:jc w:val="center"/>
              <w:rPr>
                <w:highlight w:val="none"/>
              </w:rPr>
            </w:pPr>
            <w:r>
              <w:rPr>
                <w:rFonts w:hint="eastAsia"/>
                <w:highlight w:val="none"/>
              </w:rPr>
              <w:t>序号</w:t>
            </w:r>
          </w:p>
        </w:tc>
        <w:tc>
          <w:tcPr>
            <w:tcW w:w="641" w:type="pct"/>
            <w:vAlign w:val="center"/>
          </w:tcPr>
          <w:p w14:paraId="0F71F836">
            <w:pPr>
              <w:jc w:val="center"/>
              <w:rPr>
                <w:highlight w:val="none"/>
              </w:rPr>
            </w:pPr>
            <w:r>
              <w:rPr>
                <w:rFonts w:hint="eastAsia"/>
                <w:highlight w:val="none"/>
              </w:rPr>
              <w:t>评分内容</w:t>
            </w:r>
          </w:p>
        </w:tc>
        <w:tc>
          <w:tcPr>
            <w:tcW w:w="3506" w:type="pct"/>
            <w:vAlign w:val="center"/>
          </w:tcPr>
          <w:p w14:paraId="224BF0E2">
            <w:pPr>
              <w:jc w:val="center"/>
              <w:rPr>
                <w:highlight w:val="none"/>
              </w:rPr>
            </w:pPr>
            <w:r>
              <w:rPr>
                <w:rFonts w:hint="eastAsia"/>
                <w:highlight w:val="none"/>
              </w:rPr>
              <w:t>评分标准</w:t>
            </w:r>
          </w:p>
        </w:tc>
        <w:tc>
          <w:tcPr>
            <w:tcW w:w="424" w:type="pct"/>
            <w:vAlign w:val="center"/>
          </w:tcPr>
          <w:p w14:paraId="5664C998">
            <w:pPr>
              <w:jc w:val="center"/>
              <w:rPr>
                <w:highlight w:val="none"/>
              </w:rPr>
            </w:pPr>
            <w:r>
              <w:rPr>
                <w:rFonts w:hint="eastAsia"/>
                <w:highlight w:val="none"/>
              </w:rPr>
              <w:t>分值</w:t>
            </w:r>
          </w:p>
        </w:tc>
      </w:tr>
      <w:tr w14:paraId="69E1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429" w:type="pct"/>
            <w:vAlign w:val="center"/>
          </w:tcPr>
          <w:p w14:paraId="76B51060">
            <w:pPr>
              <w:rPr>
                <w:highlight w:val="none"/>
              </w:rPr>
            </w:pPr>
            <w:r>
              <w:rPr>
                <w:rFonts w:hint="eastAsia"/>
                <w:highlight w:val="none"/>
              </w:rPr>
              <w:t>1</w:t>
            </w:r>
          </w:p>
        </w:tc>
        <w:tc>
          <w:tcPr>
            <w:tcW w:w="641" w:type="pct"/>
            <w:vAlign w:val="center"/>
          </w:tcPr>
          <w:p w14:paraId="1B422930">
            <w:pPr>
              <w:rPr>
                <w:highlight w:val="none"/>
              </w:rPr>
            </w:pPr>
            <w:r>
              <w:rPr>
                <w:rFonts w:hint="eastAsia"/>
                <w:highlight w:val="none"/>
              </w:rPr>
              <w:t>奖项</w:t>
            </w:r>
          </w:p>
        </w:tc>
        <w:tc>
          <w:tcPr>
            <w:tcW w:w="3506" w:type="pct"/>
            <w:vAlign w:val="center"/>
          </w:tcPr>
          <w:p w14:paraId="5432E915">
            <w:pPr>
              <w:pStyle w:val="7"/>
              <w:spacing w:line="400" w:lineRule="exact"/>
              <w:ind w:left="105" w:leftChars="50" w:firstLine="210" w:firstLineChars="100"/>
              <w:rPr>
                <w:rFonts w:hint="eastAsia" w:hAnsi="宋体"/>
                <w:szCs w:val="21"/>
                <w:highlight w:val="none"/>
              </w:rPr>
            </w:pPr>
            <w:r>
              <w:rPr>
                <w:szCs w:val="21"/>
                <w:highlight w:val="none"/>
              </w:rPr>
              <w:t>①</w:t>
            </w:r>
            <w:r>
              <w:rPr>
                <w:rFonts w:hint="eastAsia" w:hAnsi="宋体"/>
                <w:szCs w:val="21"/>
                <w:highlight w:val="none"/>
              </w:rPr>
              <w:t>投标人承担的国家级风景名胜区总体规划项目，自20</w:t>
            </w:r>
            <w:r>
              <w:rPr>
                <w:rFonts w:hAnsi="宋体"/>
                <w:szCs w:val="21"/>
                <w:highlight w:val="none"/>
              </w:rPr>
              <w:t>21</w:t>
            </w:r>
            <w:r>
              <w:rPr>
                <w:rFonts w:hint="eastAsia" w:hAnsi="宋体"/>
                <w:szCs w:val="21"/>
                <w:highlight w:val="none"/>
              </w:rPr>
              <w:t>年1月1日至今，获得过中国风景园林学会颁发的中国风景园林学会科学技术奖（规划设计奖）</w:t>
            </w:r>
            <w:r>
              <w:rPr>
                <w:rFonts w:hint="eastAsia" w:hAnsi="宋体"/>
                <w:szCs w:val="21"/>
                <w:highlight w:val="none"/>
                <w:lang w:eastAsia="zh-CN"/>
              </w:rPr>
              <w:t>或其他相当于</w:t>
            </w:r>
            <w:r>
              <w:rPr>
                <w:rFonts w:hint="eastAsia" w:hAnsi="宋体"/>
                <w:szCs w:val="21"/>
                <w:highlight w:val="none"/>
              </w:rPr>
              <w:t>的</w:t>
            </w:r>
            <w:r>
              <w:rPr>
                <w:rFonts w:hint="eastAsia" w:hAnsi="宋体"/>
                <w:szCs w:val="21"/>
                <w:highlight w:val="none"/>
              </w:rPr>
              <w:t>，特等奖或一等奖得</w:t>
            </w:r>
            <w:r>
              <w:rPr>
                <w:rFonts w:hAnsi="宋体"/>
                <w:szCs w:val="21"/>
                <w:highlight w:val="none"/>
              </w:rPr>
              <w:t>2</w:t>
            </w:r>
            <w:r>
              <w:rPr>
                <w:rFonts w:hint="eastAsia" w:hAnsi="宋体"/>
                <w:szCs w:val="21"/>
                <w:highlight w:val="none"/>
              </w:rPr>
              <w:t>分，二等奖得</w:t>
            </w:r>
            <w:r>
              <w:rPr>
                <w:rFonts w:hAnsi="宋体"/>
                <w:szCs w:val="21"/>
                <w:highlight w:val="none"/>
              </w:rPr>
              <w:t>1</w:t>
            </w:r>
            <w:r>
              <w:rPr>
                <w:rFonts w:hint="eastAsia" w:hAnsi="宋体"/>
                <w:szCs w:val="21"/>
                <w:highlight w:val="none"/>
              </w:rPr>
              <w:t>分，三等奖得</w:t>
            </w:r>
            <w:r>
              <w:rPr>
                <w:rFonts w:hAnsi="宋体"/>
                <w:szCs w:val="21"/>
                <w:highlight w:val="none"/>
              </w:rPr>
              <w:t>0.5</w:t>
            </w:r>
            <w:r>
              <w:rPr>
                <w:rFonts w:hint="eastAsia" w:hAnsi="宋体"/>
                <w:szCs w:val="21"/>
                <w:highlight w:val="none"/>
              </w:rPr>
              <w:t>分，最高得</w:t>
            </w:r>
            <w:r>
              <w:rPr>
                <w:rFonts w:hAnsi="宋体"/>
                <w:szCs w:val="21"/>
                <w:highlight w:val="none"/>
              </w:rPr>
              <w:t>2</w:t>
            </w:r>
            <w:r>
              <w:rPr>
                <w:rFonts w:hint="eastAsia" w:hAnsi="宋体"/>
                <w:szCs w:val="21"/>
                <w:highlight w:val="none"/>
              </w:rPr>
              <w:t>分；</w:t>
            </w:r>
          </w:p>
          <w:p w14:paraId="4024B1E1">
            <w:pPr>
              <w:pStyle w:val="7"/>
              <w:spacing w:line="400" w:lineRule="exact"/>
              <w:ind w:left="105" w:leftChars="50" w:firstLine="210" w:firstLineChars="100"/>
              <w:rPr>
                <w:rFonts w:hint="eastAsia" w:hAnsi="宋体"/>
                <w:szCs w:val="21"/>
                <w:highlight w:val="none"/>
              </w:rPr>
            </w:pPr>
            <w:r>
              <w:rPr>
                <w:szCs w:val="21"/>
                <w:highlight w:val="none"/>
              </w:rPr>
              <w:t>②</w:t>
            </w:r>
            <w:r>
              <w:rPr>
                <w:rFonts w:hint="eastAsia" w:hAnsi="宋体"/>
                <w:szCs w:val="21"/>
                <w:highlight w:val="none"/>
              </w:rPr>
              <w:t>投标人承担的交通类规划项目，自20</w:t>
            </w:r>
            <w:r>
              <w:rPr>
                <w:rFonts w:hAnsi="宋体"/>
                <w:szCs w:val="21"/>
                <w:highlight w:val="none"/>
              </w:rPr>
              <w:t>21</w:t>
            </w:r>
            <w:r>
              <w:rPr>
                <w:rFonts w:hint="eastAsia" w:hAnsi="宋体"/>
                <w:szCs w:val="21"/>
                <w:highlight w:val="none"/>
              </w:rPr>
              <w:t>年1月1日至今，获得过中国城市规划协会颁发的优秀城市（乡）规划设计奖项</w:t>
            </w:r>
            <w:r>
              <w:rPr>
                <w:rFonts w:hint="eastAsia" w:hAnsi="宋体"/>
                <w:szCs w:val="21"/>
                <w:highlight w:val="none"/>
                <w:lang w:eastAsia="zh-CN"/>
              </w:rPr>
              <w:t>或其他相当于</w:t>
            </w:r>
            <w:r>
              <w:rPr>
                <w:rFonts w:hint="eastAsia" w:hAnsi="宋体"/>
                <w:szCs w:val="21"/>
                <w:highlight w:val="none"/>
              </w:rPr>
              <w:t>的</w:t>
            </w:r>
            <w:r>
              <w:rPr>
                <w:rFonts w:hint="eastAsia" w:hAnsi="宋体"/>
                <w:szCs w:val="21"/>
                <w:highlight w:val="none"/>
              </w:rPr>
              <w:t>，特等奖或一等奖得</w:t>
            </w:r>
            <w:r>
              <w:rPr>
                <w:rFonts w:hAnsi="宋体"/>
                <w:szCs w:val="21"/>
                <w:highlight w:val="none"/>
              </w:rPr>
              <w:t>2</w:t>
            </w:r>
            <w:r>
              <w:rPr>
                <w:rFonts w:hint="eastAsia" w:hAnsi="宋体"/>
                <w:szCs w:val="21"/>
                <w:highlight w:val="none"/>
              </w:rPr>
              <w:t>分，二等奖得</w:t>
            </w:r>
            <w:r>
              <w:rPr>
                <w:rFonts w:hAnsi="宋体"/>
                <w:szCs w:val="21"/>
                <w:highlight w:val="none"/>
              </w:rPr>
              <w:t>1</w:t>
            </w:r>
            <w:r>
              <w:rPr>
                <w:rFonts w:hint="eastAsia" w:hAnsi="宋体"/>
                <w:szCs w:val="21"/>
                <w:highlight w:val="none"/>
              </w:rPr>
              <w:t>分，三等奖得</w:t>
            </w:r>
            <w:r>
              <w:rPr>
                <w:rFonts w:hAnsi="宋体"/>
                <w:szCs w:val="21"/>
                <w:highlight w:val="none"/>
              </w:rPr>
              <w:t>0.5</w:t>
            </w:r>
            <w:r>
              <w:rPr>
                <w:rFonts w:hint="eastAsia" w:hAnsi="宋体"/>
                <w:szCs w:val="21"/>
                <w:highlight w:val="none"/>
              </w:rPr>
              <w:t>分，最高得</w:t>
            </w:r>
            <w:r>
              <w:rPr>
                <w:rFonts w:hAnsi="宋体"/>
                <w:szCs w:val="21"/>
                <w:highlight w:val="none"/>
              </w:rPr>
              <w:t>2</w:t>
            </w:r>
            <w:r>
              <w:rPr>
                <w:rFonts w:hint="eastAsia" w:hAnsi="宋体"/>
                <w:szCs w:val="21"/>
                <w:highlight w:val="none"/>
              </w:rPr>
              <w:t>分；</w:t>
            </w:r>
          </w:p>
          <w:p w14:paraId="5AC8EA1D">
            <w:pPr>
              <w:pStyle w:val="7"/>
              <w:spacing w:line="400" w:lineRule="exact"/>
              <w:ind w:left="105" w:leftChars="50" w:firstLine="210" w:firstLineChars="100"/>
              <w:rPr>
                <w:rFonts w:hint="eastAsia" w:hAnsi="宋体"/>
                <w:szCs w:val="21"/>
                <w:highlight w:val="none"/>
                <w:lang w:eastAsia="zh-CN"/>
              </w:rPr>
            </w:pPr>
            <w:r>
              <w:rPr>
                <w:szCs w:val="21"/>
                <w:highlight w:val="none"/>
              </w:rPr>
              <w:t>③</w:t>
            </w:r>
            <w:r>
              <w:rPr>
                <w:rFonts w:hint="eastAsia" w:hAnsi="宋体"/>
                <w:szCs w:val="21"/>
                <w:highlight w:val="none"/>
              </w:rPr>
              <w:t>投标人自20</w:t>
            </w:r>
            <w:r>
              <w:rPr>
                <w:rFonts w:hAnsi="宋体"/>
                <w:szCs w:val="21"/>
                <w:highlight w:val="none"/>
              </w:rPr>
              <w:t>21</w:t>
            </w:r>
            <w:r>
              <w:rPr>
                <w:rFonts w:hint="eastAsia" w:hAnsi="宋体"/>
                <w:szCs w:val="21"/>
                <w:highlight w:val="none"/>
              </w:rPr>
              <w:t>年1月1日至今，获得过国家科学技术进步奖</w:t>
            </w:r>
            <w:r>
              <w:rPr>
                <w:rFonts w:hint="eastAsia" w:hAnsi="宋体"/>
                <w:szCs w:val="21"/>
                <w:highlight w:val="none"/>
                <w:lang w:eastAsia="zh-CN"/>
              </w:rPr>
              <w:t>或其他相当于</w:t>
            </w:r>
            <w:r>
              <w:rPr>
                <w:rFonts w:hint="eastAsia" w:hAnsi="宋体"/>
                <w:szCs w:val="21"/>
                <w:highlight w:val="none"/>
              </w:rPr>
              <w:t>的，每有1个得3分，省级科学技术进步奖</w:t>
            </w:r>
            <w:r>
              <w:rPr>
                <w:rFonts w:hint="eastAsia" w:hAnsi="宋体"/>
                <w:szCs w:val="21"/>
                <w:highlight w:val="none"/>
                <w:lang w:eastAsia="zh-CN"/>
              </w:rPr>
              <w:t>或其他相当于</w:t>
            </w:r>
            <w:r>
              <w:rPr>
                <w:rFonts w:hint="eastAsia" w:hAnsi="宋体"/>
                <w:szCs w:val="21"/>
                <w:highlight w:val="none"/>
              </w:rPr>
              <w:t>的</w:t>
            </w:r>
            <w:r>
              <w:rPr>
                <w:rFonts w:hint="eastAsia" w:hAnsi="宋体"/>
                <w:szCs w:val="21"/>
                <w:highlight w:val="none"/>
              </w:rPr>
              <w:t>，每有1个得2分，最高得8分</w:t>
            </w:r>
            <w:r>
              <w:rPr>
                <w:rFonts w:hint="eastAsia" w:hAnsi="宋体"/>
                <w:szCs w:val="21"/>
                <w:highlight w:val="none"/>
                <w:lang w:eastAsia="zh-CN"/>
              </w:rPr>
              <w:t>。</w:t>
            </w:r>
          </w:p>
          <w:p w14:paraId="68CA5185">
            <w:pPr>
              <w:pStyle w:val="7"/>
              <w:spacing w:line="400" w:lineRule="exact"/>
              <w:ind w:left="105" w:leftChars="50" w:firstLine="210" w:firstLineChars="100"/>
              <w:rPr>
                <w:rFonts w:hint="eastAsia" w:hAnsi="宋体"/>
                <w:szCs w:val="21"/>
                <w:highlight w:val="none"/>
              </w:rPr>
            </w:pPr>
            <w:r>
              <w:rPr>
                <w:rFonts w:hint="eastAsia" w:hAnsi="宋体"/>
                <w:szCs w:val="21"/>
                <w:highlight w:val="none"/>
              </w:rPr>
              <w:t>（以提供相关</w:t>
            </w:r>
            <w:r>
              <w:rPr>
                <w:rFonts w:hint="eastAsia" w:hAnsi="宋体"/>
                <w:szCs w:val="21"/>
                <w:highlight w:val="none"/>
              </w:rPr>
              <w:t>有效获奖证明文件</w:t>
            </w:r>
            <w:r>
              <w:rPr>
                <w:rFonts w:hint="eastAsia" w:hAnsi="宋体"/>
                <w:szCs w:val="21"/>
                <w:highlight w:val="none"/>
                <w:lang w:eastAsia="zh-CN"/>
              </w:rPr>
              <w:t>原件扫描件</w:t>
            </w:r>
            <w:r>
              <w:rPr>
                <w:rFonts w:hint="eastAsia" w:hAnsi="宋体"/>
                <w:szCs w:val="21"/>
                <w:highlight w:val="none"/>
              </w:rPr>
              <w:t>，时间以获奖证书时间为准，不提供不得分）。</w:t>
            </w:r>
          </w:p>
        </w:tc>
        <w:tc>
          <w:tcPr>
            <w:tcW w:w="424" w:type="pct"/>
            <w:vAlign w:val="center"/>
          </w:tcPr>
          <w:p w14:paraId="34A6463D">
            <w:pPr>
              <w:rPr>
                <w:highlight w:val="none"/>
              </w:rPr>
            </w:pPr>
            <w:r>
              <w:rPr>
                <w:rFonts w:hint="eastAsia"/>
                <w:highlight w:val="none"/>
              </w:rPr>
              <w:t>12</w:t>
            </w:r>
          </w:p>
        </w:tc>
      </w:tr>
      <w:tr w14:paraId="3CAEF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429" w:type="pct"/>
            <w:vAlign w:val="center"/>
          </w:tcPr>
          <w:p w14:paraId="4D137C6E">
            <w:pPr>
              <w:rPr>
                <w:highlight w:val="none"/>
              </w:rPr>
            </w:pPr>
            <w:r>
              <w:rPr>
                <w:rFonts w:hint="eastAsia"/>
                <w:highlight w:val="none"/>
              </w:rPr>
              <w:t>2</w:t>
            </w:r>
          </w:p>
        </w:tc>
        <w:tc>
          <w:tcPr>
            <w:tcW w:w="641" w:type="pct"/>
            <w:vAlign w:val="center"/>
          </w:tcPr>
          <w:p w14:paraId="7F996F5C">
            <w:pPr>
              <w:rPr>
                <w:highlight w:val="none"/>
              </w:rPr>
            </w:pPr>
            <w:r>
              <w:rPr>
                <w:rFonts w:hint="eastAsia"/>
                <w:highlight w:val="none"/>
              </w:rPr>
              <w:t>项目负责人（1人）</w:t>
            </w:r>
          </w:p>
        </w:tc>
        <w:tc>
          <w:tcPr>
            <w:tcW w:w="3506" w:type="pct"/>
            <w:vAlign w:val="center"/>
          </w:tcPr>
          <w:p w14:paraId="3C520FBD">
            <w:pPr>
              <w:pStyle w:val="7"/>
              <w:spacing w:line="400" w:lineRule="exact"/>
              <w:ind w:left="105" w:leftChars="50" w:firstLine="210" w:firstLineChars="100"/>
              <w:rPr>
                <w:rFonts w:hint="eastAsia" w:hAnsi="宋体"/>
                <w:szCs w:val="21"/>
                <w:highlight w:val="none"/>
              </w:rPr>
            </w:pPr>
            <w:r>
              <w:rPr>
                <w:rFonts w:hint="eastAsia" w:hAnsi="宋体"/>
                <w:szCs w:val="21"/>
                <w:highlight w:val="none"/>
              </w:rPr>
              <w:t>拟投入本项目的项目负责人具备以下相应职称、资格或从业能力的，按以下规定计分：</w:t>
            </w:r>
          </w:p>
          <w:p w14:paraId="33328E1E">
            <w:pPr>
              <w:pStyle w:val="7"/>
              <w:spacing w:line="400" w:lineRule="exact"/>
              <w:ind w:firstLine="504"/>
              <w:rPr>
                <w:rFonts w:hint="eastAsia" w:hAnsi="宋体"/>
                <w:highlight w:val="none"/>
              </w:rPr>
            </w:pPr>
            <w:r>
              <w:rPr>
                <w:rFonts w:hint="eastAsia" w:hAnsi="宋体"/>
                <w:highlight w:val="none"/>
              </w:rPr>
              <w:t>①项目负责人具备城市（乡）规划或风景园林相关专业副高级职称同时具有注册城市（乡）规划师资格的，得1分；具备城市（乡）规划或风景园林相关专业正高级职称同时具有注册城市（乡）规划师资格的，得3分；本项满分3分</w:t>
            </w:r>
          </w:p>
          <w:p w14:paraId="3582E12D">
            <w:pPr>
              <w:pStyle w:val="7"/>
              <w:spacing w:line="400" w:lineRule="exact"/>
              <w:ind w:firstLine="504"/>
              <w:rPr>
                <w:rFonts w:hint="eastAsia" w:hAnsi="宋体"/>
                <w:highlight w:val="none"/>
              </w:rPr>
            </w:pPr>
            <w:r>
              <w:rPr>
                <w:highlight w:val="none"/>
              </w:rPr>
              <w:t>②</w:t>
            </w:r>
            <w:r>
              <w:rPr>
                <w:rFonts w:hint="eastAsia" w:hAnsi="宋体"/>
                <w:highlight w:val="none"/>
              </w:rPr>
              <w:t>拟派项目负责人享受工程技术专业国务院特殊津贴的得3分。</w:t>
            </w:r>
          </w:p>
          <w:p w14:paraId="790551BD">
            <w:pPr>
              <w:pStyle w:val="7"/>
              <w:spacing w:line="400" w:lineRule="exact"/>
              <w:ind w:firstLine="504"/>
              <w:rPr>
                <w:rFonts w:hint="eastAsia" w:hAnsi="宋体"/>
                <w:highlight w:val="none"/>
              </w:rPr>
            </w:pPr>
            <w:r>
              <w:rPr>
                <w:highlight w:val="none"/>
              </w:rPr>
              <w:t>③</w:t>
            </w:r>
            <w:r>
              <w:rPr>
                <w:rFonts w:hint="eastAsia" w:hAnsi="宋体"/>
                <w:highlight w:val="none"/>
              </w:rPr>
              <w:t>拟派项目负责人具有</w:t>
            </w:r>
            <w:r>
              <w:rPr>
                <w:rFonts w:hint="eastAsia" w:hAnsi="宋体"/>
                <w:highlight w:val="none"/>
                <w:lang w:eastAsia="zh-CN"/>
              </w:rPr>
              <w:t>由相关</w:t>
            </w:r>
            <w:bookmarkStart w:id="0" w:name="_GoBack"/>
            <w:bookmarkEnd w:id="0"/>
            <w:r>
              <w:rPr>
                <w:rFonts w:hint="eastAsia" w:hAnsi="宋体"/>
                <w:highlight w:val="none"/>
                <w:lang w:eastAsia="zh-CN"/>
              </w:rPr>
              <w:t>政府部门颁发的</w:t>
            </w:r>
            <w:r>
              <w:rPr>
                <w:rFonts w:hint="eastAsia" w:hAnsi="宋体"/>
                <w:highlight w:val="none"/>
              </w:rPr>
              <w:t>全国工程勘察设计大师证书</w:t>
            </w:r>
            <w:r>
              <w:rPr>
                <w:rFonts w:hint="eastAsia" w:hAnsi="宋体"/>
                <w:highlight w:val="none"/>
              </w:rPr>
              <w:t>得3分。</w:t>
            </w:r>
          </w:p>
          <w:p w14:paraId="5C1DAA0F">
            <w:pPr>
              <w:pStyle w:val="7"/>
              <w:spacing w:line="400" w:lineRule="exact"/>
              <w:ind w:firstLine="504"/>
              <w:rPr>
                <w:rFonts w:hint="eastAsia" w:hAnsi="宋体"/>
                <w:szCs w:val="21"/>
                <w:highlight w:val="none"/>
              </w:rPr>
            </w:pPr>
            <w:r>
              <w:rPr>
                <w:rFonts w:hint="eastAsia" w:hAnsi="宋体"/>
                <w:highlight w:val="none"/>
              </w:rPr>
              <w:t>（以</w:t>
            </w:r>
            <w:r>
              <w:rPr>
                <w:rFonts w:hint="eastAsia" w:hAnsi="宋体"/>
                <w:szCs w:val="21"/>
                <w:highlight w:val="none"/>
              </w:rPr>
              <w:t>提供相关有效职称证书及资格证明复印件，不提供不得分</w:t>
            </w:r>
            <w:r>
              <w:rPr>
                <w:rFonts w:hint="eastAsia" w:hAnsi="宋体"/>
                <w:highlight w:val="none"/>
              </w:rPr>
              <w:t>）。</w:t>
            </w:r>
          </w:p>
        </w:tc>
        <w:tc>
          <w:tcPr>
            <w:tcW w:w="424" w:type="pct"/>
            <w:vAlign w:val="center"/>
          </w:tcPr>
          <w:p w14:paraId="7911D896">
            <w:pPr>
              <w:rPr>
                <w:highlight w:val="none"/>
              </w:rPr>
            </w:pPr>
            <w:r>
              <w:rPr>
                <w:rFonts w:hint="eastAsia"/>
                <w:highlight w:val="none"/>
              </w:rPr>
              <w:t>9</w:t>
            </w:r>
          </w:p>
        </w:tc>
      </w:tr>
      <w:tr w14:paraId="3F8EC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9" w:type="pct"/>
            <w:vAlign w:val="center"/>
          </w:tcPr>
          <w:p w14:paraId="200E7810">
            <w:pPr>
              <w:rPr>
                <w:highlight w:val="none"/>
              </w:rPr>
            </w:pPr>
            <w:r>
              <w:rPr>
                <w:rFonts w:hint="eastAsia"/>
                <w:highlight w:val="none"/>
              </w:rPr>
              <w:t>3</w:t>
            </w:r>
          </w:p>
        </w:tc>
        <w:tc>
          <w:tcPr>
            <w:tcW w:w="641" w:type="pct"/>
            <w:vAlign w:val="center"/>
          </w:tcPr>
          <w:p w14:paraId="6620CC7C">
            <w:pPr>
              <w:rPr>
                <w:highlight w:val="none"/>
              </w:rPr>
            </w:pPr>
            <w:r>
              <w:rPr>
                <w:rFonts w:hint="eastAsia"/>
                <w:highlight w:val="none"/>
              </w:rPr>
              <w:t>项目组成员</w:t>
            </w:r>
          </w:p>
        </w:tc>
        <w:tc>
          <w:tcPr>
            <w:tcW w:w="3506" w:type="pct"/>
            <w:vAlign w:val="center"/>
          </w:tcPr>
          <w:p w14:paraId="1351A69D">
            <w:pPr>
              <w:spacing w:line="400" w:lineRule="exact"/>
              <w:ind w:firstLine="210" w:firstLineChars="100"/>
              <w:rPr>
                <w:rFonts w:hint="eastAsia" w:ascii="宋体" w:hAnsi="宋体"/>
                <w:highlight w:val="none"/>
              </w:rPr>
            </w:pPr>
            <w:r>
              <w:rPr>
                <w:rFonts w:hint="eastAsia" w:ascii="宋体" w:hAnsi="宋体"/>
                <w:highlight w:val="none"/>
              </w:rPr>
              <w:t>除项目负责人外，投标人拟投入本项目的其他实施人员中满足以下要求的，本项累计最多得5</w:t>
            </w:r>
            <w:r>
              <w:rPr>
                <w:rFonts w:hint="eastAsia" w:ascii="宋体" w:hAnsi="宋体"/>
                <w:bCs/>
                <w:highlight w:val="none"/>
              </w:rPr>
              <w:t>分</w:t>
            </w:r>
            <w:r>
              <w:rPr>
                <w:rFonts w:hint="eastAsia" w:ascii="宋体" w:hAnsi="宋体"/>
                <w:highlight w:val="none"/>
              </w:rPr>
              <w:t>：</w:t>
            </w:r>
          </w:p>
          <w:p w14:paraId="24863BA7">
            <w:pPr>
              <w:spacing w:line="400" w:lineRule="exact"/>
              <w:ind w:firstLine="210" w:firstLineChars="100"/>
              <w:rPr>
                <w:rFonts w:hint="eastAsia" w:ascii="宋体" w:hAnsi="宋体"/>
                <w:highlight w:val="none"/>
              </w:rPr>
            </w:pPr>
            <w:r>
              <w:rPr>
                <w:rFonts w:hint="eastAsia" w:ascii="宋体" w:hAnsi="宋体"/>
                <w:highlight w:val="none"/>
              </w:rPr>
              <w:t>①除项目负责人外，投标人拟投入本项目的其他实施人员中满足城市（乡）规划、风景园林、建筑、城市交通或道路、市政给水排水</w:t>
            </w:r>
            <w:r>
              <w:rPr>
                <w:rFonts w:ascii="宋体" w:hAnsi="宋体"/>
                <w:highlight w:val="none"/>
              </w:rPr>
              <w:t>5</w:t>
            </w:r>
            <w:r>
              <w:rPr>
                <w:rFonts w:hint="eastAsia" w:ascii="宋体" w:hAnsi="宋体"/>
                <w:highlight w:val="none"/>
              </w:rPr>
              <w:t>个专业正高级工程师职称的，</w:t>
            </w:r>
            <w:r>
              <w:rPr>
                <w:rFonts w:hint="eastAsia" w:ascii="宋体" w:hAnsi="宋体"/>
                <w:bCs/>
                <w:highlight w:val="none"/>
              </w:rPr>
              <w:t>得2分</w:t>
            </w:r>
            <w:r>
              <w:rPr>
                <w:rFonts w:hint="eastAsia" w:ascii="宋体" w:hAnsi="宋体"/>
                <w:highlight w:val="none"/>
              </w:rPr>
              <w:t>；缺少其中任意一个专业不得分。</w:t>
            </w:r>
          </w:p>
          <w:p w14:paraId="4CAB350F">
            <w:pPr>
              <w:spacing w:line="400" w:lineRule="exact"/>
              <w:ind w:firstLine="210" w:firstLineChars="100"/>
              <w:rPr>
                <w:rFonts w:hint="eastAsia" w:ascii="宋体" w:hAnsi="宋体"/>
                <w:highlight w:val="none"/>
              </w:rPr>
            </w:pPr>
            <w:r>
              <w:rPr>
                <w:rFonts w:hint="eastAsia" w:ascii="宋体" w:hAnsi="宋体"/>
                <w:highlight w:val="none"/>
              </w:rPr>
              <w:t>②除项目负责人外，投标人拟投入本项目的其他实施人员中享受工程技术专业国务院特殊津贴的，每个得3分。本项最高得3分。</w:t>
            </w:r>
          </w:p>
          <w:p w14:paraId="5F1F4D8D">
            <w:pPr>
              <w:spacing w:line="400" w:lineRule="exact"/>
              <w:ind w:firstLine="210" w:firstLineChars="100"/>
              <w:rPr>
                <w:highlight w:val="none"/>
              </w:rPr>
            </w:pPr>
            <w:r>
              <w:rPr>
                <w:rFonts w:hint="eastAsia" w:ascii="宋体" w:hAnsi="宋体"/>
                <w:highlight w:val="none"/>
              </w:rPr>
              <w:t>注：以上</w:t>
            </w:r>
            <w:r>
              <w:rPr>
                <w:rFonts w:hint="eastAsia" w:ascii="宋体" w:hAnsi="宋体"/>
                <w:szCs w:val="20"/>
                <w:highlight w:val="none"/>
              </w:rPr>
              <w:t>①、</w:t>
            </w:r>
            <w:r>
              <w:rPr>
                <w:rFonts w:hint="eastAsia" w:ascii="宋体" w:hAnsi="宋体" w:cs="宋体"/>
                <w:highlight w:val="none"/>
              </w:rPr>
              <w:t>②项人员不可重复计分，</w:t>
            </w:r>
            <w:r>
              <w:rPr>
                <w:rFonts w:hint="eastAsia" w:ascii="宋体" w:hAnsi="宋体"/>
                <w:b/>
                <w:bCs/>
                <w:highlight w:val="none"/>
              </w:rPr>
              <w:t>以提供相关政府部门颁发的相关证书扫描件，不提供不得分。</w:t>
            </w:r>
          </w:p>
        </w:tc>
        <w:tc>
          <w:tcPr>
            <w:tcW w:w="424" w:type="pct"/>
            <w:vAlign w:val="center"/>
          </w:tcPr>
          <w:p w14:paraId="4EEEF08A">
            <w:pPr>
              <w:rPr>
                <w:highlight w:val="none"/>
              </w:rPr>
            </w:pPr>
            <w:r>
              <w:rPr>
                <w:rFonts w:hint="eastAsia"/>
                <w:highlight w:val="none"/>
              </w:rPr>
              <w:t>5</w:t>
            </w:r>
          </w:p>
        </w:tc>
      </w:tr>
      <w:tr w14:paraId="7AF6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9" w:type="pct"/>
            <w:vAlign w:val="center"/>
          </w:tcPr>
          <w:p w14:paraId="62A48C93">
            <w:pPr>
              <w:rPr>
                <w:highlight w:val="none"/>
              </w:rPr>
            </w:pPr>
            <w:r>
              <w:rPr>
                <w:rFonts w:hint="eastAsia"/>
                <w:highlight w:val="none"/>
              </w:rPr>
              <w:t>4</w:t>
            </w:r>
          </w:p>
        </w:tc>
        <w:tc>
          <w:tcPr>
            <w:tcW w:w="641" w:type="pct"/>
            <w:vAlign w:val="center"/>
          </w:tcPr>
          <w:p w14:paraId="5DB1C662">
            <w:pPr>
              <w:rPr>
                <w:highlight w:val="none"/>
              </w:rPr>
            </w:pPr>
            <w:r>
              <w:rPr>
                <w:rFonts w:hint="eastAsia"/>
                <w:highlight w:val="none"/>
              </w:rPr>
              <w:t>技术能力分</w:t>
            </w:r>
          </w:p>
        </w:tc>
        <w:tc>
          <w:tcPr>
            <w:tcW w:w="3506" w:type="pct"/>
            <w:vAlign w:val="center"/>
          </w:tcPr>
          <w:p w14:paraId="0814756C">
            <w:pPr>
              <w:spacing w:line="400" w:lineRule="exact"/>
              <w:ind w:firstLine="210" w:firstLineChars="100"/>
              <w:rPr>
                <w:rFonts w:hint="eastAsia" w:ascii="宋体" w:hAnsi="宋体"/>
                <w:highlight w:val="none"/>
              </w:rPr>
            </w:pPr>
            <w:r>
              <w:rPr>
                <w:rFonts w:hint="eastAsia" w:ascii="宋体" w:hAnsi="宋体"/>
                <w:highlight w:val="none"/>
              </w:rPr>
              <w:t>投标人主编过相关国家标准或规范（风景名胜区总体规划、风景名胜区详细规划、综合交通体系规划）的，每有一项得3分；本项最多得9分（以提供相关有效证明文件复印件，不提供不得分）。</w:t>
            </w:r>
          </w:p>
        </w:tc>
        <w:tc>
          <w:tcPr>
            <w:tcW w:w="424" w:type="pct"/>
            <w:vAlign w:val="center"/>
          </w:tcPr>
          <w:p w14:paraId="13E95F38">
            <w:pPr>
              <w:rPr>
                <w:highlight w:val="none"/>
              </w:rPr>
            </w:pPr>
            <w:r>
              <w:rPr>
                <w:rFonts w:hint="eastAsia"/>
                <w:highlight w:val="none"/>
              </w:rPr>
              <w:t>9</w:t>
            </w:r>
          </w:p>
        </w:tc>
      </w:tr>
      <w:tr w14:paraId="73881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9" w:type="pct"/>
            <w:vAlign w:val="center"/>
          </w:tcPr>
          <w:p w14:paraId="60FA6355">
            <w:pPr>
              <w:rPr>
                <w:highlight w:val="none"/>
              </w:rPr>
            </w:pPr>
            <w:r>
              <w:rPr>
                <w:rFonts w:hint="eastAsia"/>
                <w:highlight w:val="none"/>
              </w:rPr>
              <w:t>5</w:t>
            </w:r>
          </w:p>
        </w:tc>
        <w:tc>
          <w:tcPr>
            <w:tcW w:w="641" w:type="pct"/>
            <w:vAlign w:val="center"/>
          </w:tcPr>
          <w:p w14:paraId="00C19211">
            <w:pPr>
              <w:rPr>
                <w:highlight w:val="none"/>
              </w:rPr>
            </w:pPr>
            <w:r>
              <w:rPr>
                <w:rFonts w:hint="eastAsia"/>
                <w:highlight w:val="none"/>
              </w:rPr>
              <w:t>项目背景与工作目标的解读与理解</w:t>
            </w:r>
          </w:p>
        </w:tc>
        <w:tc>
          <w:tcPr>
            <w:tcW w:w="3506" w:type="pct"/>
            <w:vAlign w:val="center"/>
          </w:tcPr>
          <w:p w14:paraId="1D0D5604">
            <w:pPr>
              <w:pStyle w:val="7"/>
              <w:spacing w:line="400" w:lineRule="exact"/>
              <w:ind w:firstLine="420" w:firstLineChars="200"/>
              <w:rPr>
                <w:rFonts w:hint="eastAsia" w:hAnsi="宋体"/>
                <w:szCs w:val="21"/>
                <w:highlight w:val="none"/>
              </w:rPr>
            </w:pPr>
            <w:r>
              <w:rPr>
                <w:rFonts w:hint="eastAsia" w:hAnsi="宋体"/>
                <w:szCs w:val="21"/>
                <w:highlight w:val="none"/>
              </w:rPr>
              <w:t>对投标人提供的项目编制背景及拟解决的关键内容理解的准确性进行评审并打分：</w:t>
            </w:r>
          </w:p>
          <w:p w14:paraId="23A9A801">
            <w:pPr>
              <w:pStyle w:val="7"/>
              <w:spacing w:line="400" w:lineRule="exact"/>
              <w:ind w:firstLine="420" w:firstLineChars="200"/>
              <w:rPr>
                <w:rFonts w:hint="eastAsia" w:hAnsi="宋体"/>
                <w:szCs w:val="21"/>
                <w:highlight w:val="none"/>
              </w:rPr>
            </w:pPr>
            <w:r>
              <w:rPr>
                <w:rFonts w:hint="eastAsia" w:hAnsi="宋体"/>
                <w:szCs w:val="21"/>
                <w:highlight w:val="none"/>
              </w:rPr>
              <w:t>（最高4分，评分范围：1，2，3，4），未提供相关内容的不得分。</w:t>
            </w:r>
          </w:p>
        </w:tc>
        <w:tc>
          <w:tcPr>
            <w:tcW w:w="424" w:type="pct"/>
            <w:vAlign w:val="center"/>
          </w:tcPr>
          <w:p w14:paraId="3E9EF775">
            <w:pPr>
              <w:rPr>
                <w:highlight w:val="none"/>
              </w:rPr>
            </w:pPr>
            <w:r>
              <w:rPr>
                <w:rFonts w:hint="eastAsia"/>
                <w:highlight w:val="none"/>
              </w:rPr>
              <w:t>4</w:t>
            </w:r>
          </w:p>
        </w:tc>
      </w:tr>
      <w:tr w14:paraId="67C9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9" w:type="pct"/>
            <w:vAlign w:val="center"/>
          </w:tcPr>
          <w:p w14:paraId="4612EF2D">
            <w:pPr>
              <w:rPr>
                <w:highlight w:val="none"/>
              </w:rPr>
            </w:pPr>
            <w:r>
              <w:rPr>
                <w:rFonts w:hint="eastAsia"/>
                <w:highlight w:val="none"/>
              </w:rPr>
              <w:t>6</w:t>
            </w:r>
          </w:p>
        </w:tc>
        <w:tc>
          <w:tcPr>
            <w:tcW w:w="641" w:type="pct"/>
            <w:vMerge w:val="restart"/>
            <w:vAlign w:val="center"/>
          </w:tcPr>
          <w:p w14:paraId="5F6E6F62">
            <w:pPr>
              <w:rPr>
                <w:highlight w:val="none"/>
              </w:rPr>
            </w:pPr>
            <w:r>
              <w:rPr>
                <w:rFonts w:hint="eastAsia"/>
                <w:highlight w:val="none"/>
              </w:rPr>
              <w:t>项目编制思路与技术路线</w:t>
            </w:r>
          </w:p>
        </w:tc>
        <w:tc>
          <w:tcPr>
            <w:tcW w:w="3506" w:type="pct"/>
            <w:vAlign w:val="center"/>
          </w:tcPr>
          <w:p w14:paraId="2AB3DADE">
            <w:pPr>
              <w:pStyle w:val="7"/>
              <w:spacing w:line="400" w:lineRule="exact"/>
              <w:ind w:firstLine="420" w:firstLineChars="200"/>
              <w:rPr>
                <w:rFonts w:hint="eastAsia" w:hAnsi="宋体"/>
                <w:szCs w:val="21"/>
                <w:highlight w:val="none"/>
              </w:rPr>
            </w:pPr>
            <w:r>
              <w:rPr>
                <w:rFonts w:hint="eastAsia" w:hAnsi="宋体"/>
                <w:szCs w:val="21"/>
                <w:highlight w:val="none"/>
              </w:rPr>
              <w:t>对投标人提供的项目编制的基本思路、技术路线的清晰情况等进行评审并打分：</w:t>
            </w:r>
          </w:p>
          <w:p w14:paraId="50E04F70">
            <w:pPr>
              <w:pStyle w:val="7"/>
              <w:spacing w:line="400" w:lineRule="exact"/>
              <w:rPr>
                <w:highlight w:val="none"/>
              </w:rPr>
            </w:pPr>
            <w:r>
              <w:rPr>
                <w:rFonts w:hint="eastAsia"/>
                <w:highlight w:val="none"/>
              </w:rPr>
              <w:t>（最高4分，评分范围</w:t>
            </w:r>
            <w:r>
              <w:rPr>
                <w:rFonts w:hint="eastAsia" w:hAnsi="宋体"/>
                <w:szCs w:val="21"/>
                <w:highlight w:val="none"/>
              </w:rPr>
              <w:t>：1，2，3，4</w:t>
            </w:r>
            <w:r>
              <w:rPr>
                <w:rFonts w:hint="eastAsia"/>
                <w:highlight w:val="none"/>
              </w:rPr>
              <w:t>），未提供相关内容的不得分。</w:t>
            </w:r>
          </w:p>
        </w:tc>
        <w:tc>
          <w:tcPr>
            <w:tcW w:w="424" w:type="pct"/>
            <w:vAlign w:val="center"/>
          </w:tcPr>
          <w:p w14:paraId="48545EE4">
            <w:pPr>
              <w:rPr>
                <w:highlight w:val="none"/>
              </w:rPr>
            </w:pPr>
            <w:r>
              <w:rPr>
                <w:rFonts w:hint="eastAsia"/>
                <w:highlight w:val="none"/>
              </w:rPr>
              <w:t>4</w:t>
            </w:r>
          </w:p>
        </w:tc>
      </w:tr>
      <w:tr w14:paraId="586A2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9" w:type="pct"/>
            <w:vAlign w:val="center"/>
          </w:tcPr>
          <w:p w14:paraId="2E4B1334">
            <w:pPr>
              <w:rPr>
                <w:highlight w:val="none"/>
              </w:rPr>
            </w:pPr>
            <w:r>
              <w:rPr>
                <w:rFonts w:hint="eastAsia"/>
                <w:highlight w:val="none"/>
              </w:rPr>
              <w:t>7</w:t>
            </w:r>
          </w:p>
        </w:tc>
        <w:tc>
          <w:tcPr>
            <w:tcW w:w="641" w:type="pct"/>
            <w:vMerge w:val="continue"/>
            <w:vAlign w:val="center"/>
          </w:tcPr>
          <w:p w14:paraId="112C8896">
            <w:pPr>
              <w:rPr>
                <w:highlight w:val="none"/>
              </w:rPr>
            </w:pPr>
          </w:p>
        </w:tc>
        <w:tc>
          <w:tcPr>
            <w:tcW w:w="3506" w:type="pct"/>
            <w:vAlign w:val="center"/>
          </w:tcPr>
          <w:p w14:paraId="74809C09">
            <w:pPr>
              <w:pStyle w:val="7"/>
              <w:spacing w:line="400" w:lineRule="exact"/>
              <w:ind w:firstLine="420" w:firstLineChars="200"/>
              <w:rPr>
                <w:rFonts w:hint="eastAsia" w:hAnsi="宋体"/>
                <w:szCs w:val="21"/>
                <w:highlight w:val="none"/>
              </w:rPr>
            </w:pPr>
            <w:r>
              <w:rPr>
                <w:rFonts w:hint="eastAsia" w:hAnsi="宋体"/>
                <w:szCs w:val="21"/>
                <w:highlight w:val="none"/>
              </w:rPr>
              <w:t>对投标人提供的相关案例参考准确深入情况等进行评审并打分：</w:t>
            </w:r>
          </w:p>
          <w:p w14:paraId="04EEF24B">
            <w:pPr>
              <w:pStyle w:val="7"/>
              <w:spacing w:line="400" w:lineRule="exact"/>
              <w:rPr>
                <w:rFonts w:hint="eastAsia" w:hAnsi="宋体"/>
                <w:szCs w:val="21"/>
                <w:highlight w:val="none"/>
              </w:rPr>
            </w:pPr>
            <w:r>
              <w:rPr>
                <w:rFonts w:hint="eastAsia" w:hAnsi="宋体"/>
                <w:szCs w:val="21"/>
                <w:highlight w:val="none"/>
              </w:rPr>
              <w:t>（最高4分，评分范围：1，2，3，4），未提供相关内容的不得分。</w:t>
            </w:r>
          </w:p>
        </w:tc>
        <w:tc>
          <w:tcPr>
            <w:tcW w:w="424" w:type="pct"/>
            <w:vAlign w:val="center"/>
          </w:tcPr>
          <w:p w14:paraId="5DD1E5CF">
            <w:pPr>
              <w:rPr>
                <w:highlight w:val="none"/>
              </w:rPr>
            </w:pPr>
            <w:r>
              <w:rPr>
                <w:rFonts w:hint="eastAsia"/>
                <w:highlight w:val="none"/>
              </w:rPr>
              <w:t>4</w:t>
            </w:r>
          </w:p>
        </w:tc>
      </w:tr>
      <w:tr w14:paraId="1F7C9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429" w:type="pct"/>
            <w:vAlign w:val="center"/>
          </w:tcPr>
          <w:p w14:paraId="7BD014F1">
            <w:pPr>
              <w:rPr>
                <w:highlight w:val="none"/>
              </w:rPr>
            </w:pPr>
            <w:r>
              <w:rPr>
                <w:rFonts w:hint="eastAsia"/>
                <w:highlight w:val="none"/>
              </w:rPr>
              <w:t>8</w:t>
            </w:r>
          </w:p>
        </w:tc>
        <w:tc>
          <w:tcPr>
            <w:tcW w:w="641" w:type="pct"/>
            <w:vMerge w:val="restart"/>
            <w:vAlign w:val="center"/>
          </w:tcPr>
          <w:p w14:paraId="78C06738">
            <w:pPr>
              <w:rPr>
                <w:highlight w:val="none"/>
              </w:rPr>
            </w:pPr>
            <w:r>
              <w:rPr>
                <w:rFonts w:hint="eastAsia"/>
                <w:highlight w:val="none"/>
              </w:rPr>
              <w:t>对天台山风景名胜区的现状了解及12版总体规划实施评估</w:t>
            </w:r>
          </w:p>
        </w:tc>
        <w:tc>
          <w:tcPr>
            <w:tcW w:w="3506" w:type="pct"/>
            <w:vAlign w:val="center"/>
          </w:tcPr>
          <w:p w14:paraId="0844D159">
            <w:pPr>
              <w:pStyle w:val="7"/>
              <w:spacing w:line="400" w:lineRule="exact"/>
              <w:rPr>
                <w:rFonts w:hint="eastAsia" w:hAnsi="宋体"/>
                <w:szCs w:val="21"/>
                <w:highlight w:val="none"/>
              </w:rPr>
            </w:pPr>
            <w:r>
              <w:rPr>
                <w:rFonts w:hint="eastAsia" w:hAnsi="宋体"/>
                <w:szCs w:val="21"/>
                <w:highlight w:val="none"/>
              </w:rPr>
              <w:t>对投标人提供的天台山风景名胜区基本情况的了解进行评审并打分。</w:t>
            </w:r>
          </w:p>
          <w:p w14:paraId="531FFC80">
            <w:pPr>
              <w:pStyle w:val="7"/>
              <w:spacing w:line="400" w:lineRule="exact"/>
              <w:rPr>
                <w:highlight w:val="none"/>
              </w:rPr>
            </w:pPr>
            <w:r>
              <w:rPr>
                <w:rFonts w:hint="eastAsia"/>
                <w:highlight w:val="none"/>
              </w:rPr>
              <w:t>（最高2分，评分范围：0.5，1，1.5，2），未提供相关内容的不得分。</w:t>
            </w:r>
          </w:p>
        </w:tc>
        <w:tc>
          <w:tcPr>
            <w:tcW w:w="424" w:type="pct"/>
            <w:vAlign w:val="center"/>
          </w:tcPr>
          <w:p w14:paraId="0D26AB0C">
            <w:pPr>
              <w:rPr>
                <w:highlight w:val="none"/>
              </w:rPr>
            </w:pPr>
            <w:r>
              <w:rPr>
                <w:rFonts w:hint="eastAsia"/>
                <w:highlight w:val="none"/>
              </w:rPr>
              <w:t>2</w:t>
            </w:r>
          </w:p>
        </w:tc>
      </w:tr>
      <w:tr w14:paraId="247B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429" w:type="pct"/>
            <w:vAlign w:val="center"/>
          </w:tcPr>
          <w:p w14:paraId="09E3950F">
            <w:pPr>
              <w:rPr>
                <w:highlight w:val="none"/>
              </w:rPr>
            </w:pPr>
            <w:r>
              <w:rPr>
                <w:rFonts w:hint="eastAsia"/>
                <w:highlight w:val="none"/>
              </w:rPr>
              <w:t>9</w:t>
            </w:r>
          </w:p>
        </w:tc>
        <w:tc>
          <w:tcPr>
            <w:tcW w:w="641" w:type="pct"/>
            <w:vMerge w:val="continue"/>
            <w:vAlign w:val="center"/>
          </w:tcPr>
          <w:p w14:paraId="7ADA06BC">
            <w:pPr>
              <w:ind w:firstLine="506"/>
              <w:rPr>
                <w:rFonts w:hint="eastAsia" w:hAnsi="宋体"/>
                <w:b/>
                <w:bCs/>
                <w:szCs w:val="21"/>
                <w:highlight w:val="none"/>
              </w:rPr>
            </w:pPr>
          </w:p>
        </w:tc>
        <w:tc>
          <w:tcPr>
            <w:tcW w:w="3506" w:type="pct"/>
            <w:vAlign w:val="center"/>
          </w:tcPr>
          <w:p w14:paraId="19415389">
            <w:pPr>
              <w:pStyle w:val="7"/>
              <w:spacing w:line="400" w:lineRule="exact"/>
              <w:rPr>
                <w:rFonts w:hint="eastAsia" w:hAnsi="宋体"/>
                <w:szCs w:val="21"/>
                <w:highlight w:val="none"/>
              </w:rPr>
            </w:pPr>
            <w:r>
              <w:rPr>
                <w:rFonts w:hint="eastAsia" w:hAnsi="宋体"/>
                <w:szCs w:val="21"/>
                <w:highlight w:val="none"/>
              </w:rPr>
              <w:t>对投标人提供的12版风景名胜区规划适应性评估、资源保护状态评估进行评审并打分。</w:t>
            </w:r>
          </w:p>
          <w:p w14:paraId="7A2E5E59">
            <w:pPr>
              <w:pStyle w:val="7"/>
              <w:spacing w:line="400" w:lineRule="exact"/>
              <w:rPr>
                <w:highlight w:val="none"/>
              </w:rPr>
            </w:pPr>
            <w:r>
              <w:rPr>
                <w:rFonts w:hint="eastAsia"/>
                <w:highlight w:val="none"/>
              </w:rPr>
              <w:t>（最高4分，评分范围：1，2，3，4），未提供相关内容的不得分。</w:t>
            </w:r>
          </w:p>
        </w:tc>
        <w:tc>
          <w:tcPr>
            <w:tcW w:w="424" w:type="pct"/>
            <w:vAlign w:val="center"/>
          </w:tcPr>
          <w:p w14:paraId="5FE66348">
            <w:pPr>
              <w:rPr>
                <w:highlight w:val="none"/>
              </w:rPr>
            </w:pPr>
            <w:r>
              <w:rPr>
                <w:rFonts w:hint="eastAsia"/>
                <w:highlight w:val="none"/>
              </w:rPr>
              <w:t>4</w:t>
            </w:r>
          </w:p>
        </w:tc>
      </w:tr>
      <w:tr w14:paraId="344D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429" w:type="pct"/>
            <w:vAlign w:val="center"/>
          </w:tcPr>
          <w:p w14:paraId="3848D407">
            <w:pPr>
              <w:rPr>
                <w:highlight w:val="none"/>
              </w:rPr>
            </w:pPr>
            <w:r>
              <w:rPr>
                <w:rFonts w:hint="eastAsia"/>
                <w:highlight w:val="none"/>
              </w:rPr>
              <w:t>10</w:t>
            </w:r>
          </w:p>
        </w:tc>
        <w:tc>
          <w:tcPr>
            <w:tcW w:w="641" w:type="pct"/>
            <w:vMerge w:val="continue"/>
            <w:vAlign w:val="center"/>
          </w:tcPr>
          <w:p w14:paraId="5CFAF1B9">
            <w:pPr>
              <w:ind w:firstLine="506"/>
              <w:rPr>
                <w:rFonts w:hint="eastAsia" w:hAnsi="宋体"/>
                <w:b/>
                <w:bCs/>
                <w:szCs w:val="21"/>
                <w:highlight w:val="none"/>
              </w:rPr>
            </w:pPr>
          </w:p>
        </w:tc>
        <w:tc>
          <w:tcPr>
            <w:tcW w:w="3506" w:type="pct"/>
            <w:vAlign w:val="center"/>
          </w:tcPr>
          <w:p w14:paraId="2218369A">
            <w:pPr>
              <w:pStyle w:val="7"/>
              <w:spacing w:line="400" w:lineRule="exact"/>
              <w:rPr>
                <w:rFonts w:hint="eastAsia" w:hAnsi="宋体"/>
                <w:szCs w:val="21"/>
                <w:highlight w:val="none"/>
              </w:rPr>
            </w:pPr>
            <w:r>
              <w:rPr>
                <w:rFonts w:hint="eastAsia" w:hAnsi="宋体"/>
                <w:szCs w:val="21"/>
                <w:highlight w:val="none"/>
              </w:rPr>
              <w:t>对投标人提供的规划与建设评估，管理与政策评估进行评审并打分。</w:t>
            </w:r>
          </w:p>
          <w:p w14:paraId="15F3771B">
            <w:pPr>
              <w:pStyle w:val="7"/>
              <w:spacing w:line="400" w:lineRule="exact"/>
              <w:rPr>
                <w:rFonts w:hint="eastAsia" w:hAnsi="宋体"/>
                <w:szCs w:val="21"/>
                <w:highlight w:val="none"/>
              </w:rPr>
            </w:pPr>
            <w:r>
              <w:rPr>
                <w:rFonts w:hint="eastAsia" w:hAnsi="宋体"/>
                <w:szCs w:val="21"/>
                <w:highlight w:val="none"/>
              </w:rPr>
              <w:t>（最高4分，评分范围</w:t>
            </w:r>
            <w:r>
              <w:rPr>
                <w:rFonts w:hint="eastAsia"/>
                <w:highlight w:val="none"/>
              </w:rPr>
              <w:t>：1，2，3，4</w:t>
            </w:r>
            <w:r>
              <w:rPr>
                <w:rFonts w:hint="eastAsia" w:hAnsi="宋体"/>
                <w:szCs w:val="21"/>
                <w:highlight w:val="none"/>
              </w:rPr>
              <w:t>），未提供相关内容的不得分。</w:t>
            </w:r>
          </w:p>
        </w:tc>
        <w:tc>
          <w:tcPr>
            <w:tcW w:w="424" w:type="pct"/>
            <w:vAlign w:val="center"/>
          </w:tcPr>
          <w:p w14:paraId="382D1363">
            <w:pPr>
              <w:rPr>
                <w:highlight w:val="none"/>
              </w:rPr>
            </w:pPr>
            <w:r>
              <w:rPr>
                <w:rFonts w:hint="eastAsia"/>
                <w:highlight w:val="none"/>
              </w:rPr>
              <w:t>4</w:t>
            </w:r>
          </w:p>
        </w:tc>
      </w:tr>
      <w:tr w14:paraId="65E0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29" w:type="pct"/>
            <w:vAlign w:val="center"/>
          </w:tcPr>
          <w:p w14:paraId="1D888691">
            <w:pPr>
              <w:rPr>
                <w:highlight w:val="none"/>
              </w:rPr>
            </w:pPr>
            <w:r>
              <w:rPr>
                <w:rFonts w:hint="eastAsia"/>
                <w:highlight w:val="none"/>
              </w:rPr>
              <w:t>11</w:t>
            </w:r>
          </w:p>
        </w:tc>
        <w:tc>
          <w:tcPr>
            <w:tcW w:w="641" w:type="pct"/>
            <w:vAlign w:val="center"/>
          </w:tcPr>
          <w:p w14:paraId="199F1AF5">
            <w:pPr>
              <w:rPr>
                <w:highlight w:val="none"/>
              </w:rPr>
            </w:pPr>
            <w:r>
              <w:rPr>
                <w:rFonts w:hint="eastAsia"/>
                <w:highlight w:val="none"/>
              </w:rPr>
              <w:t>对天台山旅游交通现状情况的了解与掌握</w:t>
            </w:r>
          </w:p>
        </w:tc>
        <w:tc>
          <w:tcPr>
            <w:tcW w:w="3506" w:type="pct"/>
            <w:vAlign w:val="center"/>
          </w:tcPr>
          <w:p w14:paraId="07D9D7EA">
            <w:pPr>
              <w:pStyle w:val="7"/>
              <w:spacing w:line="400" w:lineRule="exact"/>
              <w:ind w:firstLine="420" w:firstLineChars="200"/>
              <w:rPr>
                <w:rFonts w:hint="eastAsia" w:hAnsi="宋体"/>
                <w:szCs w:val="21"/>
                <w:highlight w:val="none"/>
              </w:rPr>
            </w:pPr>
            <w:r>
              <w:rPr>
                <w:rFonts w:hint="eastAsia" w:hAnsi="宋体"/>
                <w:szCs w:val="21"/>
                <w:highlight w:val="none"/>
              </w:rPr>
              <w:t>对投标人提供的天台旅游交通现状特征与问题理解的准确性进行评审并打分：</w:t>
            </w:r>
          </w:p>
          <w:p w14:paraId="4B3CD43E">
            <w:pPr>
              <w:pStyle w:val="7"/>
              <w:spacing w:line="400" w:lineRule="exact"/>
              <w:ind w:firstLine="420" w:firstLineChars="200"/>
              <w:rPr>
                <w:rFonts w:hint="eastAsia" w:hAnsi="宋体"/>
                <w:szCs w:val="21"/>
                <w:highlight w:val="none"/>
              </w:rPr>
            </w:pPr>
            <w:r>
              <w:rPr>
                <w:rFonts w:hint="eastAsia" w:hAnsi="宋体"/>
                <w:szCs w:val="21"/>
                <w:highlight w:val="none"/>
              </w:rPr>
              <w:t>（最高5分，评分范围：1，2，3，4，5），未提供相关内容的不得分。</w:t>
            </w:r>
          </w:p>
        </w:tc>
        <w:tc>
          <w:tcPr>
            <w:tcW w:w="424" w:type="pct"/>
            <w:vAlign w:val="center"/>
          </w:tcPr>
          <w:p w14:paraId="77A73D1D">
            <w:pPr>
              <w:rPr>
                <w:highlight w:val="none"/>
              </w:rPr>
            </w:pPr>
            <w:r>
              <w:rPr>
                <w:rFonts w:hint="eastAsia"/>
                <w:highlight w:val="none"/>
              </w:rPr>
              <w:t>5</w:t>
            </w:r>
          </w:p>
        </w:tc>
      </w:tr>
      <w:tr w14:paraId="48D69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429" w:type="pct"/>
            <w:vAlign w:val="center"/>
          </w:tcPr>
          <w:p w14:paraId="71737AAE">
            <w:pPr>
              <w:rPr>
                <w:highlight w:val="none"/>
              </w:rPr>
            </w:pPr>
            <w:r>
              <w:rPr>
                <w:rFonts w:hint="eastAsia"/>
                <w:highlight w:val="none"/>
              </w:rPr>
              <w:t>12</w:t>
            </w:r>
          </w:p>
        </w:tc>
        <w:tc>
          <w:tcPr>
            <w:tcW w:w="641" w:type="pct"/>
            <w:vMerge w:val="restart"/>
            <w:vAlign w:val="center"/>
          </w:tcPr>
          <w:p w14:paraId="76365573">
            <w:pPr>
              <w:rPr>
                <w:highlight w:val="none"/>
              </w:rPr>
            </w:pPr>
            <w:r>
              <w:rPr>
                <w:rFonts w:hint="eastAsia"/>
                <w:highlight w:val="none"/>
              </w:rPr>
              <w:t>天台山风景名胜区总体规划修编内容设计与计划</w:t>
            </w:r>
          </w:p>
        </w:tc>
        <w:tc>
          <w:tcPr>
            <w:tcW w:w="3506" w:type="pct"/>
            <w:vAlign w:val="center"/>
          </w:tcPr>
          <w:p w14:paraId="1D7920E1">
            <w:pPr>
              <w:pStyle w:val="7"/>
              <w:spacing w:line="400" w:lineRule="exact"/>
              <w:rPr>
                <w:highlight w:val="none"/>
              </w:rPr>
            </w:pPr>
            <w:r>
              <w:rPr>
                <w:rFonts w:hint="eastAsia" w:hAnsi="宋体"/>
                <w:szCs w:val="21"/>
                <w:highlight w:val="none"/>
              </w:rPr>
              <w:t>对风景名胜区项目谋划及可行性分析、重点难点分析及可行性思路进行评审并打分：</w:t>
            </w:r>
          </w:p>
          <w:p w14:paraId="4AEF1434">
            <w:pPr>
              <w:pStyle w:val="7"/>
              <w:spacing w:line="400" w:lineRule="exact"/>
              <w:rPr>
                <w:highlight w:val="none"/>
              </w:rPr>
            </w:pPr>
            <w:r>
              <w:rPr>
                <w:rFonts w:hint="eastAsia"/>
                <w:highlight w:val="none"/>
              </w:rPr>
              <w:t>（最高4分，评分范围：1，2，3，4），未提供相关内容的不得分。</w:t>
            </w:r>
          </w:p>
        </w:tc>
        <w:tc>
          <w:tcPr>
            <w:tcW w:w="424" w:type="pct"/>
            <w:vAlign w:val="center"/>
          </w:tcPr>
          <w:p w14:paraId="50E6FF22">
            <w:pPr>
              <w:rPr>
                <w:highlight w:val="none"/>
              </w:rPr>
            </w:pPr>
            <w:r>
              <w:rPr>
                <w:rFonts w:hint="eastAsia"/>
                <w:highlight w:val="none"/>
              </w:rPr>
              <w:t>4</w:t>
            </w:r>
          </w:p>
        </w:tc>
      </w:tr>
      <w:tr w14:paraId="3DCE4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429" w:type="pct"/>
            <w:vAlign w:val="center"/>
          </w:tcPr>
          <w:p w14:paraId="6BB60401">
            <w:pPr>
              <w:rPr>
                <w:highlight w:val="none"/>
              </w:rPr>
            </w:pPr>
            <w:r>
              <w:rPr>
                <w:rFonts w:hint="eastAsia"/>
                <w:highlight w:val="none"/>
              </w:rPr>
              <w:t>13</w:t>
            </w:r>
          </w:p>
        </w:tc>
        <w:tc>
          <w:tcPr>
            <w:tcW w:w="641" w:type="pct"/>
            <w:vMerge w:val="continue"/>
            <w:vAlign w:val="center"/>
          </w:tcPr>
          <w:p w14:paraId="40C48BE1">
            <w:pPr>
              <w:rPr>
                <w:highlight w:val="none"/>
              </w:rPr>
            </w:pPr>
          </w:p>
        </w:tc>
        <w:tc>
          <w:tcPr>
            <w:tcW w:w="3506" w:type="pct"/>
            <w:vAlign w:val="center"/>
          </w:tcPr>
          <w:p w14:paraId="4F3717C5">
            <w:pPr>
              <w:pStyle w:val="7"/>
              <w:spacing w:line="400" w:lineRule="exact"/>
              <w:rPr>
                <w:rFonts w:hint="eastAsia" w:hAnsi="宋体"/>
                <w:szCs w:val="21"/>
                <w:highlight w:val="none"/>
              </w:rPr>
            </w:pPr>
            <w:r>
              <w:rPr>
                <w:rFonts w:hint="eastAsia" w:hAnsi="宋体"/>
                <w:szCs w:val="21"/>
                <w:highlight w:val="none"/>
              </w:rPr>
              <w:t>对投标人提供的天台山风景名胜区保育规划、游赏规划的准确性与可行性进行评审并打分：</w:t>
            </w:r>
          </w:p>
          <w:p w14:paraId="0F97C307">
            <w:pPr>
              <w:pStyle w:val="7"/>
              <w:spacing w:line="400" w:lineRule="exact"/>
              <w:rPr>
                <w:rFonts w:hint="eastAsia" w:hAnsi="宋体"/>
                <w:szCs w:val="21"/>
                <w:highlight w:val="none"/>
              </w:rPr>
            </w:pPr>
            <w:r>
              <w:rPr>
                <w:rFonts w:hint="eastAsia" w:hAnsi="宋体"/>
                <w:szCs w:val="21"/>
                <w:highlight w:val="none"/>
              </w:rPr>
              <w:t>（最高5分，评分范围：</w:t>
            </w:r>
            <w:r>
              <w:rPr>
                <w:rFonts w:hint="eastAsia"/>
                <w:highlight w:val="none"/>
              </w:rPr>
              <w:t>1，2，3，4</w:t>
            </w:r>
            <w:r>
              <w:rPr>
                <w:rFonts w:hint="eastAsia" w:hAnsi="宋体"/>
                <w:szCs w:val="21"/>
                <w:highlight w:val="none"/>
              </w:rPr>
              <w:t>，5），未提供相关内容的不得分。</w:t>
            </w:r>
          </w:p>
        </w:tc>
        <w:tc>
          <w:tcPr>
            <w:tcW w:w="424" w:type="pct"/>
            <w:vAlign w:val="center"/>
          </w:tcPr>
          <w:p w14:paraId="4C218A95">
            <w:pPr>
              <w:rPr>
                <w:highlight w:val="none"/>
              </w:rPr>
            </w:pPr>
            <w:r>
              <w:rPr>
                <w:rFonts w:hint="eastAsia"/>
                <w:highlight w:val="none"/>
              </w:rPr>
              <w:t>5</w:t>
            </w:r>
          </w:p>
        </w:tc>
      </w:tr>
      <w:tr w14:paraId="19A1F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 w:type="pct"/>
            <w:vAlign w:val="center"/>
          </w:tcPr>
          <w:p w14:paraId="2CC526F3">
            <w:pPr>
              <w:rPr>
                <w:highlight w:val="none"/>
              </w:rPr>
            </w:pPr>
            <w:r>
              <w:rPr>
                <w:rFonts w:hint="eastAsia"/>
                <w:highlight w:val="none"/>
              </w:rPr>
              <w:t>14</w:t>
            </w:r>
          </w:p>
        </w:tc>
        <w:tc>
          <w:tcPr>
            <w:tcW w:w="641" w:type="pct"/>
            <w:vMerge w:val="continue"/>
            <w:vAlign w:val="center"/>
          </w:tcPr>
          <w:p w14:paraId="2274150A">
            <w:pPr>
              <w:rPr>
                <w:highlight w:val="none"/>
              </w:rPr>
            </w:pPr>
          </w:p>
        </w:tc>
        <w:tc>
          <w:tcPr>
            <w:tcW w:w="3506" w:type="pct"/>
            <w:vAlign w:val="center"/>
          </w:tcPr>
          <w:p w14:paraId="5A57F586">
            <w:pPr>
              <w:pStyle w:val="7"/>
              <w:spacing w:line="400" w:lineRule="exact"/>
              <w:ind w:firstLine="420" w:firstLineChars="200"/>
              <w:rPr>
                <w:rFonts w:hint="eastAsia" w:hAnsi="宋体"/>
                <w:szCs w:val="21"/>
                <w:highlight w:val="none"/>
              </w:rPr>
            </w:pPr>
            <w:r>
              <w:rPr>
                <w:rFonts w:hint="eastAsia" w:hAnsi="宋体"/>
                <w:szCs w:val="21"/>
                <w:highlight w:val="none"/>
              </w:rPr>
              <w:t>对投标人提供的天台山风景名胜区设施规划、居民点协调发展规划等相关规划设想的准确性与可行性进行评审并打分：</w:t>
            </w:r>
          </w:p>
          <w:p w14:paraId="7B730E29">
            <w:pPr>
              <w:pStyle w:val="7"/>
              <w:spacing w:line="400" w:lineRule="exact"/>
              <w:rPr>
                <w:rFonts w:hint="eastAsia" w:hAnsi="宋体"/>
                <w:szCs w:val="21"/>
                <w:highlight w:val="none"/>
              </w:rPr>
            </w:pPr>
            <w:r>
              <w:rPr>
                <w:rFonts w:hint="eastAsia" w:hAnsi="宋体"/>
                <w:szCs w:val="21"/>
                <w:highlight w:val="none"/>
              </w:rPr>
              <w:t>（最高4分，评分范围：</w:t>
            </w:r>
            <w:r>
              <w:rPr>
                <w:rFonts w:hint="eastAsia"/>
                <w:highlight w:val="none"/>
              </w:rPr>
              <w:t>1，2，3，4</w:t>
            </w:r>
            <w:r>
              <w:rPr>
                <w:rFonts w:hint="eastAsia" w:hAnsi="宋体"/>
                <w:szCs w:val="21"/>
                <w:highlight w:val="none"/>
              </w:rPr>
              <w:t>），未提供相关内容的不得分。</w:t>
            </w:r>
          </w:p>
        </w:tc>
        <w:tc>
          <w:tcPr>
            <w:tcW w:w="424" w:type="pct"/>
            <w:vAlign w:val="center"/>
          </w:tcPr>
          <w:p w14:paraId="07F33E19">
            <w:pPr>
              <w:rPr>
                <w:highlight w:val="none"/>
              </w:rPr>
            </w:pPr>
            <w:r>
              <w:rPr>
                <w:rFonts w:hint="eastAsia"/>
                <w:highlight w:val="none"/>
              </w:rPr>
              <w:t>4</w:t>
            </w:r>
          </w:p>
        </w:tc>
      </w:tr>
      <w:tr w14:paraId="5674D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29" w:type="pct"/>
            <w:vAlign w:val="center"/>
          </w:tcPr>
          <w:p w14:paraId="7619D3FF">
            <w:pPr>
              <w:rPr>
                <w:highlight w:val="none"/>
              </w:rPr>
            </w:pPr>
            <w:r>
              <w:rPr>
                <w:rFonts w:hint="eastAsia"/>
                <w:highlight w:val="none"/>
              </w:rPr>
              <w:t>15</w:t>
            </w:r>
          </w:p>
        </w:tc>
        <w:tc>
          <w:tcPr>
            <w:tcW w:w="641" w:type="pct"/>
            <w:vAlign w:val="center"/>
          </w:tcPr>
          <w:p w14:paraId="57E6DD17">
            <w:pPr>
              <w:rPr>
                <w:highlight w:val="none"/>
              </w:rPr>
            </w:pPr>
            <w:r>
              <w:rPr>
                <w:highlight w:val="none"/>
              </w:rPr>
              <w:t>旅游交通专项编制内容设计与计划</w:t>
            </w:r>
          </w:p>
        </w:tc>
        <w:tc>
          <w:tcPr>
            <w:tcW w:w="3506" w:type="pct"/>
            <w:vAlign w:val="center"/>
          </w:tcPr>
          <w:p w14:paraId="4EBC9425">
            <w:pPr>
              <w:pStyle w:val="7"/>
              <w:spacing w:line="400" w:lineRule="exact"/>
              <w:ind w:firstLine="420" w:firstLineChars="200"/>
              <w:rPr>
                <w:rFonts w:hint="eastAsia" w:hAnsi="宋体"/>
                <w:szCs w:val="21"/>
                <w:highlight w:val="none"/>
              </w:rPr>
            </w:pPr>
            <w:r>
              <w:rPr>
                <w:rFonts w:hint="eastAsia" w:hAnsi="宋体"/>
                <w:szCs w:val="21"/>
                <w:highlight w:val="none"/>
              </w:rPr>
              <w:t>对投标人提供的旅游交通专项规划编制的核心内容的把握程度进行评审并打分：</w:t>
            </w:r>
          </w:p>
          <w:p w14:paraId="338C32A6">
            <w:pPr>
              <w:pStyle w:val="7"/>
              <w:spacing w:line="400" w:lineRule="exact"/>
              <w:ind w:firstLine="420" w:firstLineChars="200"/>
              <w:rPr>
                <w:highlight w:val="none"/>
              </w:rPr>
            </w:pPr>
            <w:r>
              <w:rPr>
                <w:rFonts w:hint="eastAsia"/>
                <w:highlight w:val="none"/>
              </w:rPr>
              <w:t>（最高6分，评分范围：1，2，3，4，5，6），未提供相关内容的不得分。</w:t>
            </w:r>
          </w:p>
        </w:tc>
        <w:tc>
          <w:tcPr>
            <w:tcW w:w="424" w:type="pct"/>
            <w:vAlign w:val="center"/>
          </w:tcPr>
          <w:p w14:paraId="247FD0AA">
            <w:pPr>
              <w:rPr>
                <w:highlight w:val="none"/>
              </w:rPr>
            </w:pPr>
            <w:r>
              <w:rPr>
                <w:rFonts w:hint="eastAsia"/>
                <w:highlight w:val="none"/>
              </w:rPr>
              <w:t>6</w:t>
            </w:r>
          </w:p>
        </w:tc>
      </w:tr>
      <w:tr w14:paraId="1369A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429" w:type="pct"/>
            <w:vAlign w:val="center"/>
          </w:tcPr>
          <w:p w14:paraId="5AC5735A">
            <w:pPr>
              <w:rPr>
                <w:highlight w:val="none"/>
              </w:rPr>
            </w:pPr>
            <w:r>
              <w:rPr>
                <w:rFonts w:hint="eastAsia"/>
                <w:highlight w:val="none"/>
              </w:rPr>
              <w:t>16</w:t>
            </w:r>
          </w:p>
        </w:tc>
        <w:tc>
          <w:tcPr>
            <w:tcW w:w="641" w:type="pct"/>
            <w:vMerge w:val="restart"/>
            <w:vAlign w:val="center"/>
          </w:tcPr>
          <w:p w14:paraId="63E7239A">
            <w:pPr>
              <w:rPr>
                <w:highlight w:val="none"/>
              </w:rPr>
            </w:pPr>
            <w:r>
              <w:rPr>
                <w:rFonts w:hint="eastAsia"/>
                <w:highlight w:val="none"/>
              </w:rPr>
              <w:t>工作</w:t>
            </w:r>
            <w:r>
              <w:rPr>
                <w:highlight w:val="none"/>
              </w:rPr>
              <w:t>计划</w:t>
            </w:r>
            <w:r>
              <w:rPr>
                <w:rFonts w:hint="eastAsia"/>
                <w:highlight w:val="none"/>
              </w:rPr>
              <w:t>与质量保证</w:t>
            </w:r>
          </w:p>
        </w:tc>
        <w:tc>
          <w:tcPr>
            <w:tcW w:w="3506" w:type="pct"/>
            <w:vAlign w:val="center"/>
          </w:tcPr>
          <w:p w14:paraId="354DB7F8">
            <w:pPr>
              <w:pStyle w:val="7"/>
              <w:spacing w:line="400" w:lineRule="exact"/>
              <w:ind w:firstLine="420" w:firstLineChars="200"/>
              <w:rPr>
                <w:rFonts w:hint="eastAsia" w:hAnsi="宋体"/>
                <w:szCs w:val="21"/>
                <w:highlight w:val="none"/>
              </w:rPr>
            </w:pPr>
            <w:r>
              <w:rPr>
                <w:rFonts w:hint="eastAsia" w:hAnsi="宋体"/>
                <w:szCs w:val="21"/>
                <w:highlight w:val="none"/>
              </w:rPr>
              <w:t>对投标人提供的工作进度计划安排的合理性进行评审并打分：</w:t>
            </w:r>
          </w:p>
          <w:p w14:paraId="01976397">
            <w:pPr>
              <w:pStyle w:val="7"/>
              <w:spacing w:line="400" w:lineRule="exact"/>
              <w:ind w:firstLine="420" w:firstLineChars="200"/>
              <w:rPr>
                <w:rFonts w:hint="eastAsia" w:hAnsi="宋体"/>
                <w:szCs w:val="21"/>
                <w:highlight w:val="none"/>
              </w:rPr>
            </w:pPr>
            <w:r>
              <w:rPr>
                <w:rFonts w:hint="eastAsia" w:hAnsi="宋体"/>
                <w:szCs w:val="21"/>
                <w:highlight w:val="none"/>
              </w:rPr>
              <w:t>（最高3分，评分范围：0.5，1，1.5，2，2.5，3），未提供相关内容的不得分。</w:t>
            </w:r>
          </w:p>
        </w:tc>
        <w:tc>
          <w:tcPr>
            <w:tcW w:w="424" w:type="pct"/>
            <w:vAlign w:val="center"/>
          </w:tcPr>
          <w:p w14:paraId="27D437B4">
            <w:pPr>
              <w:rPr>
                <w:highlight w:val="none"/>
              </w:rPr>
            </w:pPr>
            <w:r>
              <w:rPr>
                <w:rFonts w:hint="eastAsia"/>
                <w:highlight w:val="none"/>
              </w:rPr>
              <w:t>3</w:t>
            </w:r>
          </w:p>
        </w:tc>
      </w:tr>
      <w:tr w14:paraId="3EBC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429" w:type="pct"/>
            <w:vAlign w:val="center"/>
          </w:tcPr>
          <w:p w14:paraId="587C1FC2">
            <w:pPr>
              <w:rPr>
                <w:highlight w:val="none"/>
              </w:rPr>
            </w:pPr>
            <w:r>
              <w:rPr>
                <w:rFonts w:hint="eastAsia"/>
                <w:highlight w:val="none"/>
              </w:rPr>
              <w:t>17</w:t>
            </w:r>
          </w:p>
        </w:tc>
        <w:tc>
          <w:tcPr>
            <w:tcW w:w="641" w:type="pct"/>
            <w:vMerge w:val="continue"/>
            <w:vAlign w:val="center"/>
          </w:tcPr>
          <w:p w14:paraId="2CDB4349">
            <w:pPr>
              <w:ind w:firstLine="464"/>
              <w:rPr>
                <w:rStyle w:val="14"/>
                <w:rFonts w:hint="default"/>
                <w:b/>
                <w:bCs/>
                <w:color w:val="auto"/>
                <w:highlight w:val="none"/>
              </w:rPr>
            </w:pPr>
          </w:p>
        </w:tc>
        <w:tc>
          <w:tcPr>
            <w:tcW w:w="3506" w:type="pct"/>
            <w:vAlign w:val="center"/>
          </w:tcPr>
          <w:p w14:paraId="72B11598">
            <w:pPr>
              <w:pStyle w:val="7"/>
              <w:spacing w:line="400" w:lineRule="exact"/>
              <w:ind w:firstLine="420" w:firstLineChars="200"/>
              <w:rPr>
                <w:rFonts w:hint="eastAsia" w:hAnsi="宋体"/>
                <w:szCs w:val="21"/>
                <w:highlight w:val="none"/>
              </w:rPr>
            </w:pPr>
            <w:r>
              <w:rPr>
                <w:rFonts w:hint="eastAsia" w:hAnsi="宋体"/>
                <w:szCs w:val="21"/>
                <w:highlight w:val="none"/>
              </w:rPr>
              <w:t>对投标人提供的质量控制目标及措施的可行性进行评审并打分：</w:t>
            </w:r>
          </w:p>
          <w:p w14:paraId="0E964C67">
            <w:pPr>
              <w:pStyle w:val="7"/>
              <w:spacing w:line="400" w:lineRule="exact"/>
              <w:ind w:firstLine="420" w:firstLineChars="200"/>
              <w:rPr>
                <w:rFonts w:hint="eastAsia" w:hAnsi="宋体"/>
                <w:szCs w:val="21"/>
                <w:highlight w:val="none"/>
              </w:rPr>
            </w:pPr>
            <w:r>
              <w:rPr>
                <w:rFonts w:hint="eastAsia" w:hAnsi="宋体"/>
                <w:szCs w:val="21"/>
                <w:highlight w:val="none"/>
              </w:rPr>
              <w:t>（最高3分，评分范围：0.5，1，1.5，2，2.5，3），未提供相关内容的不得分。</w:t>
            </w:r>
          </w:p>
        </w:tc>
        <w:tc>
          <w:tcPr>
            <w:tcW w:w="424" w:type="pct"/>
            <w:vAlign w:val="center"/>
          </w:tcPr>
          <w:p w14:paraId="36FDB95A">
            <w:pPr>
              <w:rPr>
                <w:highlight w:val="none"/>
              </w:rPr>
            </w:pPr>
            <w:r>
              <w:rPr>
                <w:rFonts w:hint="eastAsia"/>
                <w:highlight w:val="none"/>
              </w:rPr>
              <w:t>3</w:t>
            </w:r>
          </w:p>
        </w:tc>
      </w:tr>
      <w:tr w14:paraId="17A1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429" w:type="pct"/>
            <w:vAlign w:val="center"/>
          </w:tcPr>
          <w:p w14:paraId="5E7EE3C4">
            <w:pPr>
              <w:rPr>
                <w:highlight w:val="none"/>
              </w:rPr>
            </w:pPr>
            <w:r>
              <w:rPr>
                <w:rFonts w:hint="eastAsia"/>
                <w:highlight w:val="none"/>
              </w:rPr>
              <w:t>18</w:t>
            </w:r>
          </w:p>
        </w:tc>
        <w:tc>
          <w:tcPr>
            <w:tcW w:w="641" w:type="pct"/>
            <w:vMerge w:val="continue"/>
            <w:vAlign w:val="center"/>
          </w:tcPr>
          <w:p w14:paraId="44F4AF11">
            <w:pPr>
              <w:ind w:firstLine="464"/>
              <w:rPr>
                <w:rStyle w:val="14"/>
                <w:rFonts w:hint="default"/>
                <w:b/>
                <w:bCs/>
                <w:color w:val="auto"/>
                <w:highlight w:val="none"/>
              </w:rPr>
            </w:pPr>
          </w:p>
        </w:tc>
        <w:tc>
          <w:tcPr>
            <w:tcW w:w="3506" w:type="pct"/>
            <w:vAlign w:val="center"/>
          </w:tcPr>
          <w:p w14:paraId="79ED0959">
            <w:pPr>
              <w:pStyle w:val="7"/>
              <w:spacing w:line="400" w:lineRule="exact"/>
              <w:ind w:firstLine="420" w:firstLineChars="200"/>
              <w:rPr>
                <w:rFonts w:hint="eastAsia" w:hAnsi="宋体"/>
                <w:szCs w:val="21"/>
                <w:highlight w:val="none"/>
              </w:rPr>
            </w:pPr>
            <w:r>
              <w:rPr>
                <w:rFonts w:hint="eastAsia" w:hAnsi="宋体"/>
                <w:szCs w:val="21"/>
                <w:highlight w:val="none"/>
              </w:rPr>
              <w:t>对投标人提供的服务承诺和配合措施的可行性进行评审并打分：</w:t>
            </w:r>
          </w:p>
          <w:p w14:paraId="158C83EF">
            <w:pPr>
              <w:pStyle w:val="7"/>
              <w:spacing w:line="400" w:lineRule="exact"/>
              <w:ind w:firstLine="420" w:firstLineChars="200"/>
              <w:rPr>
                <w:rFonts w:hint="eastAsia" w:hAnsi="宋体"/>
                <w:szCs w:val="21"/>
                <w:highlight w:val="none"/>
              </w:rPr>
            </w:pPr>
            <w:r>
              <w:rPr>
                <w:rFonts w:hint="eastAsia" w:hAnsi="宋体"/>
                <w:szCs w:val="21"/>
                <w:highlight w:val="none"/>
              </w:rPr>
              <w:t>（最高3分，评分范围：0.5，1，1.5，2，2.5，3），未提供相关内容的不得分。</w:t>
            </w:r>
          </w:p>
        </w:tc>
        <w:tc>
          <w:tcPr>
            <w:tcW w:w="424" w:type="pct"/>
            <w:vAlign w:val="center"/>
          </w:tcPr>
          <w:p w14:paraId="4AAE312E">
            <w:pPr>
              <w:rPr>
                <w:highlight w:val="none"/>
              </w:rPr>
            </w:pPr>
            <w:r>
              <w:rPr>
                <w:rFonts w:hint="eastAsia"/>
                <w:highlight w:val="none"/>
              </w:rPr>
              <w:t>3</w:t>
            </w:r>
          </w:p>
        </w:tc>
      </w:tr>
    </w:tbl>
    <w:p w14:paraId="6D1D79A1">
      <w:pPr>
        <w:rPr>
          <w:color w:val="auto"/>
          <w:highlight w:val="none"/>
        </w:rPr>
      </w:pPr>
    </w:p>
    <w:p w14:paraId="43211E6F">
      <w:pPr>
        <w:spacing w:after="156" w:afterLines="50" w:line="370" w:lineRule="exact"/>
        <w:ind w:firstLine="241" w:firstLineChars="100"/>
        <w:rPr>
          <w:rFonts w:ascii="仿宋" w:hAnsi="仿宋" w:eastAsia="仿宋"/>
          <w:b/>
          <w:color w:val="auto"/>
          <w:sz w:val="24"/>
          <w:highlight w:val="none"/>
        </w:rPr>
      </w:pPr>
      <w:r>
        <w:rPr>
          <w:rFonts w:hint="eastAsia" w:ascii="仿宋" w:hAnsi="仿宋" w:eastAsia="仿宋"/>
          <w:b/>
          <w:color w:val="auto"/>
          <w:sz w:val="24"/>
          <w:highlight w:val="none"/>
        </w:rPr>
        <w:t>3、报价文件评审</w:t>
      </w:r>
    </w:p>
    <w:p w14:paraId="5D15A822">
      <w:pPr>
        <w:widowControl/>
        <w:spacing w:before="156" w:beforeLines="50" w:after="156" w:afterLines="50" w:line="370" w:lineRule="exact"/>
        <w:ind w:firstLine="240" w:firstLineChars="100"/>
        <w:jc w:val="left"/>
        <w:rPr>
          <w:rFonts w:ascii="仿宋" w:hAnsi="仿宋" w:eastAsia="仿宋"/>
          <w:color w:val="auto"/>
          <w:sz w:val="24"/>
          <w:highlight w:val="none"/>
        </w:rPr>
      </w:pPr>
      <w:r>
        <w:rPr>
          <w:rFonts w:hint="eastAsia" w:ascii="仿宋" w:hAnsi="仿宋" w:eastAsia="仿宋"/>
          <w:color w:val="auto"/>
          <w:sz w:val="24"/>
          <w:highlight w:val="none"/>
        </w:rPr>
        <w:t>评标委员会对报价文件进行评审，如报价文件出现下列情形的按无效报价处理，该报价得分为零分，不予推荐为中标候选供应商。</w:t>
      </w:r>
    </w:p>
    <w:p w14:paraId="778F6438">
      <w:pPr>
        <w:widowControl/>
        <w:spacing w:before="156" w:beforeLines="50" w:after="156" w:afterLines="50" w:line="370" w:lineRule="exact"/>
        <w:ind w:firstLine="240" w:firstLineChars="100"/>
        <w:jc w:val="left"/>
        <w:rPr>
          <w:rFonts w:ascii="仿宋" w:hAnsi="仿宋" w:eastAsia="仿宋"/>
          <w:color w:val="auto"/>
          <w:sz w:val="24"/>
          <w:highlight w:val="none"/>
        </w:rPr>
      </w:pPr>
      <w:r>
        <w:rPr>
          <w:rFonts w:hint="eastAsia" w:ascii="仿宋" w:hAnsi="仿宋" w:eastAsia="仿宋"/>
          <w:color w:val="auto"/>
          <w:sz w:val="24"/>
          <w:highlight w:val="none"/>
        </w:rPr>
        <w:t>A、投标函、报价表内容填写不完整的；</w:t>
      </w:r>
    </w:p>
    <w:p w14:paraId="47F7817E">
      <w:pPr>
        <w:widowControl/>
        <w:spacing w:before="156" w:beforeLines="50" w:after="156" w:afterLines="50" w:line="370" w:lineRule="exact"/>
        <w:ind w:firstLine="240" w:firstLineChars="100"/>
        <w:jc w:val="left"/>
        <w:rPr>
          <w:rFonts w:ascii="仿宋" w:hAnsi="仿宋" w:eastAsia="仿宋"/>
          <w:color w:val="auto"/>
          <w:sz w:val="24"/>
          <w:highlight w:val="none"/>
        </w:rPr>
      </w:pPr>
      <w:r>
        <w:rPr>
          <w:rFonts w:hint="eastAsia" w:ascii="仿宋" w:hAnsi="仿宋" w:eastAsia="仿宋"/>
          <w:color w:val="auto"/>
          <w:sz w:val="24"/>
          <w:highlight w:val="none"/>
        </w:rPr>
        <w:t>B、服务期限等不符合招标文件要求的。</w:t>
      </w:r>
    </w:p>
    <w:p w14:paraId="30F92568">
      <w:pPr>
        <w:spacing w:after="156" w:afterLines="50" w:line="370" w:lineRule="exact"/>
        <w:ind w:firstLine="236" w:firstLineChars="98"/>
        <w:rPr>
          <w:rFonts w:ascii="仿宋" w:hAnsi="仿宋" w:eastAsia="仿宋"/>
          <w:b/>
          <w:color w:val="auto"/>
          <w:sz w:val="24"/>
          <w:highlight w:val="none"/>
        </w:rPr>
      </w:pPr>
      <w:r>
        <w:rPr>
          <w:rFonts w:hint="eastAsia" w:ascii="仿宋" w:hAnsi="仿宋" w:eastAsia="仿宋"/>
          <w:b/>
          <w:color w:val="auto"/>
          <w:sz w:val="24"/>
          <w:highlight w:val="none"/>
        </w:rPr>
        <w:t xml:space="preserve">3.1报价得分计算方法如下： </w:t>
      </w:r>
    </w:p>
    <w:p w14:paraId="4123747A">
      <w:pPr>
        <w:widowControl/>
        <w:spacing w:before="156" w:beforeLines="50" w:after="156" w:afterLines="50" w:line="370" w:lineRule="exact"/>
        <w:ind w:firstLine="240" w:firstLineChars="100"/>
        <w:jc w:val="left"/>
        <w:rPr>
          <w:rFonts w:ascii="仿宋" w:hAnsi="仿宋" w:eastAsia="仿宋"/>
          <w:color w:val="auto"/>
          <w:sz w:val="24"/>
          <w:highlight w:val="none"/>
        </w:rPr>
      </w:pPr>
      <w:r>
        <w:rPr>
          <w:rFonts w:hint="eastAsia" w:ascii="仿宋" w:hAnsi="仿宋" w:eastAsia="仿宋"/>
          <w:color w:val="auto"/>
          <w:sz w:val="24"/>
          <w:highlight w:val="none"/>
        </w:rPr>
        <w:t>①价格评定分值为</w:t>
      </w:r>
      <w:r>
        <w:rPr>
          <w:rFonts w:hint="eastAsia" w:ascii="仿宋" w:hAnsi="仿宋" w:eastAsia="仿宋"/>
          <w:color w:val="auto"/>
          <w:sz w:val="24"/>
          <w:highlight w:val="none"/>
          <w:lang w:val="en-US" w:eastAsia="zh-CN"/>
        </w:rPr>
        <w:t>1</w:t>
      </w:r>
      <w:r>
        <w:rPr>
          <w:rFonts w:hint="eastAsia" w:ascii="仿宋" w:hAnsi="仿宋" w:eastAsia="仿宋"/>
          <w:color w:val="auto"/>
          <w:sz w:val="24"/>
          <w:highlight w:val="none"/>
        </w:rPr>
        <w:t>0分。</w:t>
      </w:r>
    </w:p>
    <w:p w14:paraId="3F8CFB7B">
      <w:pPr>
        <w:widowControl/>
        <w:spacing w:before="156" w:beforeLines="50" w:after="156" w:afterLines="50" w:line="370" w:lineRule="exact"/>
        <w:ind w:firstLine="240" w:firstLineChars="100"/>
        <w:jc w:val="left"/>
        <w:rPr>
          <w:rFonts w:ascii="仿宋" w:hAnsi="仿宋" w:eastAsia="仿宋"/>
          <w:color w:val="auto"/>
          <w:sz w:val="24"/>
          <w:highlight w:val="none"/>
        </w:rPr>
      </w:pPr>
      <w:r>
        <w:rPr>
          <w:rFonts w:hint="eastAsia" w:ascii="仿宋" w:hAnsi="仿宋" w:eastAsia="仿宋"/>
          <w:color w:val="auto"/>
          <w:sz w:val="24"/>
          <w:highlight w:val="none"/>
        </w:rPr>
        <w:t>②评标基准价的确定：</w:t>
      </w:r>
    </w:p>
    <w:p w14:paraId="74C16AED">
      <w:pPr>
        <w:widowControl/>
        <w:spacing w:before="156" w:beforeLines="50" w:after="156" w:afterLines="50" w:line="370" w:lineRule="exact"/>
        <w:ind w:firstLine="240" w:firstLineChars="100"/>
        <w:jc w:val="left"/>
        <w:rPr>
          <w:rFonts w:ascii="仿宋" w:hAnsi="仿宋" w:eastAsia="仿宋"/>
          <w:color w:val="auto"/>
          <w:sz w:val="24"/>
          <w:highlight w:val="none"/>
        </w:rPr>
      </w:pPr>
      <w:r>
        <w:rPr>
          <w:rFonts w:hint="eastAsia" w:ascii="仿宋" w:hAnsi="仿宋" w:eastAsia="仿宋"/>
          <w:color w:val="auto"/>
          <w:sz w:val="24"/>
          <w:highlight w:val="none"/>
        </w:rPr>
        <w:t>A、评标委员会认为投标人的报价明显低于其他通过符合性审查投标人的报价，有可能影响产品质量或者不能诚信履约的，而投标人不能在评标委员会要求的时间内作出合理书面说明且提供相关证明材料的，或者评评标委员会认为其所作出的书面说明不合理的，该投标作无效标处理。</w:t>
      </w:r>
    </w:p>
    <w:p w14:paraId="00A6B10C">
      <w:pPr>
        <w:widowControl/>
        <w:spacing w:before="156" w:beforeLines="50" w:after="156" w:afterLines="50" w:line="370" w:lineRule="exact"/>
        <w:ind w:firstLine="240" w:firstLineChars="100"/>
        <w:jc w:val="left"/>
        <w:rPr>
          <w:rFonts w:ascii="仿宋" w:hAnsi="仿宋" w:eastAsia="仿宋"/>
          <w:color w:val="auto"/>
          <w:sz w:val="24"/>
          <w:highlight w:val="none"/>
        </w:rPr>
      </w:pPr>
      <w:r>
        <w:rPr>
          <w:rFonts w:hint="eastAsia" w:ascii="仿宋" w:hAnsi="仿宋" w:eastAsia="仿宋"/>
          <w:color w:val="auto"/>
          <w:sz w:val="24"/>
          <w:highlight w:val="none"/>
        </w:rPr>
        <w:t>B、价格分统一采用低价优先法计算,即满足招标文件要求且投标价格最低的有效投标报价为评标基准价,其价格分为满分。投标人的价格分按照下列公式计算:</w:t>
      </w:r>
    </w:p>
    <w:p w14:paraId="6200CFDD">
      <w:pPr>
        <w:widowControl/>
        <w:spacing w:before="156" w:beforeLines="50" w:after="156" w:afterLines="50" w:line="370" w:lineRule="exact"/>
        <w:ind w:firstLine="241" w:firstLineChars="100"/>
        <w:jc w:val="left"/>
        <w:rPr>
          <w:rFonts w:ascii="仿宋" w:hAnsi="仿宋" w:eastAsia="仿宋"/>
          <w:b/>
          <w:color w:val="auto"/>
          <w:sz w:val="24"/>
          <w:highlight w:val="none"/>
        </w:rPr>
      </w:pPr>
      <w:r>
        <w:rPr>
          <w:rFonts w:hint="eastAsia" w:ascii="仿宋" w:hAnsi="仿宋" w:eastAsia="仿宋"/>
          <w:b/>
          <w:color w:val="auto"/>
          <w:sz w:val="24"/>
          <w:highlight w:val="none"/>
        </w:rPr>
        <w:t>报价得分=(评标基准价/投标报价)×</w:t>
      </w:r>
      <w:r>
        <w:rPr>
          <w:rFonts w:hint="eastAsia" w:ascii="仿宋" w:hAnsi="仿宋" w:eastAsia="仿宋"/>
          <w:b/>
          <w:color w:val="auto"/>
          <w:sz w:val="24"/>
          <w:highlight w:val="none"/>
          <w:lang w:val="en-US" w:eastAsia="zh-CN"/>
        </w:rPr>
        <w:t>1</w:t>
      </w:r>
      <w:r>
        <w:rPr>
          <w:rFonts w:hint="eastAsia" w:ascii="仿宋" w:hAnsi="仿宋" w:eastAsia="仿宋"/>
          <w:b/>
          <w:color w:val="auto"/>
          <w:sz w:val="24"/>
          <w:highlight w:val="none"/>
        </w:rPr>
        <w:t>0%×100</w:t>
      </w:r>
    </w:p>
    <w:p w14:paraId="2B15162F">
      <w:pPr>
        <w:widowControl/>
        <w:spacing w:before="156" w:beforeLines="50" w:after="156" w:afterLines="50" w:line="300" w:lineRule="exact"/>
        <w:ind w:firstLine="240" w:firstLineChars="100"/>
        <w:jc w:val="left"/>
        <w:rPr>
          <w:rFonts w:hint="eastAsia" w:ascii="仿宋_GB2312" w:hAnsi="Courier New" w:eastAsia="仿宋_GB2312"/>
          <w:color w:val="auto"/>
          <w:sz w:val="24"/>
          <w:highlight w:val="none"/>
        </w:rPr>
      </w:pPr>
      <w:r>
        <w:rPr>
          <w:rFonts w:hint="eastAsia" w:ascii="仿宋_GB2312" w:hAnsi="Courier New" w:eastAsia="仿宋_GB2312"/>
          <w:color w:val="auto"/>
          <w:sz w:val="24"/>
          <w:highlight w:val="none"/>
        </w:rPr>
        <w:t>政府采购政策及优惠：（1）关于小型、微型企业（简称小微企业）投标：小微企业投标是指符合《中小企业划型标准规定》的投标人，通过投标提供本企业制造的货物、承担的工程或者服务，或者提供其他小微企业制造的货物。本项所指货物不包括使用大、中型企业注册商标的货物。小微企业投标应提供《小微企业声明函》、国家企业信用信息公示系统——小微企业名录”页面查询结果（查询时间为投标前一周内，并加盖单位公章）等相关证明材料（评标委员会据此进行核查）、《产品适用政府采购政策情况表》（见附件），如投标人提供其他小微企业制造的货物，应同时提供制造商的《小微企业声明函（制造商）》和国家企业信用信息公示系统——小微企业名录”页面查询结果（查询时间为投标前一周内，并加盖单位公章）等相关证明材料（评标委员会据此进行核查）；（2）监狱企业参加政府采购活动时，应当提供由省级以上监狱管理局、戒毒管理局（含新疆生产建设兵团）出具的属于监狱企业的证明文件和《产品适用政府采购政策情况表》（见附件），视同小型、微型企业，享受小微企业政府采购优惠政策；（3）残疾人福利性单位在参加政府采购活动时，应提供《残疾人福利性单位声明函》（见附件）和《产品适用政府采购政策情况表》（见附件），视同小型、微型企业，享受小微企业政府采购优惠政策。</w:t>
      </w:r>
    </w:p>
    <w:p w14:paraId="1D7A0AEB">
      <w:pPr>
        <w:widowControl/>
        <w:spacing w:before="156" w:beforeLines="50" w:after="156" w:afterLines="50" w:line="300" w:lineRule="exact"/>
        <w:ind w:firstLine="240" w:firstLineChars="100"/>
        <w:jc w:val="left"/>
        <w:rPr>
          <w:rFonts w:hint="eastAsia" w:ascii="仿宋_GB2312" w:hAnsi="Courier New" w:eastAsia="仿宋_GB2312"/>
          <w:b/>
          <w:color w:val="auto"/>
          <w:sz w:val="24"/>
          <w:highlight w:val="none"/>
        </w:rPr>
      </w:pPr>
      <w:r>
        <w:rPr>
          <w:rFonts w:hint="eastAsia" w:ascii="仿宋_GB2312" w:hAnsi="Courier New" w:eastAsia="仿宋_GB2312"/>
          <w:color w:val="auto"/>
          <w:sz w:val="24"/>
          <w:highlight w:val="none"/>
        </w:rPr>
        <w:t>具体优惠：对于小型微型企业产品的价格给</w:t>
      </w:r>
      <w:r>
        <w:rPr>
          <w:rFonts w:hint="eastAsia" w:ascii="仿宋_GB2312" w:hAnsi="Courier New" w:eastAsia="仿宋_GB2312"/>
          <w:color w:val="auto"/>
          <w:sz w:val="24"/>
          <w:highlight w:val="none"/>
        </w:rPr>
        <w:t>予</w:t>
      </w:r>
      <w:r>
        <w:rPr>
          <w:rFonts w:hint="eastAsia" w:ascii="仿宋_GB2312" w:hAnsi="Courier New" w:eastAsia="仿宋_GB2312"/>
          <w:color w:val="auto"/>
          <w:sz w:val="24"/>
          <w:highlight w:val="none"/>
          <w:lang w:val="en-US" w:eastAsia="zh-CN"/>
        </w:rPr>
        <w:t>2</w:t>
      </w:r>
      <w:r>
        <w:rPr>
          <w:rFonts w:hint="eastAsia" w:ascii="仿宋_GB2312" w:hAnsi="Courier New" w:eastAsia="仿宋_GB2312"/>
          <w:color w:val="auto"/>
          <w:sz w:val="24"/>
          <w:highlight w:val="none"/>
        </w:rPr>
        <w:t>0%的</w:t>
      </w:r>
      <w:r>
        <w:rPr>
          <w:rFonts w:hint="eastAsia" w:ascii="仿宋_GB2312" w:hAnsi="Courier New" w:eastAsia="仿宋_GB2312"/>
          <w:color w:val="auto"/>
          <w:sz w:val="24"/>
          <w:highlight w:val="none"/>
        </w:rPr>
        <w:t>扣除，用扣除后的价格计算评标基准价和投标报价。同一投标人（包括联合体），小微企业、监狱企业、残疾人福利性单位价格扣除优惠只享受一次，不得重复享受。</w:t>
      </w:r>
    </w:p>
    <w:p w14:paraId="6FAE8EBF">
      <w:pPr>
        <w:widowControl/>
        <w:spacing w:before="156" w:beforeLines="50" w:after="156" w:afterLines="50" w:line="370" w:lineRule="exact"/>
        <w:ind w:firstLine="240" w:firstLineChars="100"/>
        <w:jc w:val="left"/>
        <w:rPr>
          <w:rFonts w:ascii="仿宋" w:hAnsi="仿宋" w:eastAsia="仿宋"/>
          <w:color w:val="auto"/>
          <w:sz w:val="24"/>
          <w:highlight w:val="none"/>
        </w:rPr>
      </w:pPr>
      <w:r>
        <w:rPr>
          <w:rFonts w:hint="eastAsia" w:ascii="仿宋" w:hAnsi="仿宋" w:eastAsia="仿宋"/>
          <w:color w:val="auto"/>
          <w:sz w:val="24"/>
          <w:highlight w:val="none"/>
          <w:lang w:val="zh-CN"/>
        </w:rPr>
        <w:t>③评标委员会评</w:t>
      </w:r>
      <w:r>
        <w:rPr>
          <w:rFonts w:hint="eastAsia" w:ascii="仿宋" w:hAnsi="仿宋" w:eastAsia="仿宋"/>
          <w:color w:val="auto"/>
          <w:sz w:val="24"/>
          <w:highlight w:val="none"/>
        </w:rPr>
        <w:t>审复核过程中发现存在投标人自身原因引起的计算或结转差错、笔误，每发现一处报价得分扣0.3分。如因一处差错引起的连锁差错，只按一处差错扣分。</w:t>
      </w:r>
    </w:p>
    <w:p w14:paraId="7EB70160">
      <w:pPr>
        <w:spacing w:line="370" w:lineRule="exact"/>
        <w:rPr>
          <w:rFonts w:ascii="仿宋" w:hAnsi="仿宋" w:eastAsia="仿宋"/>
          <w:b/>
          <w:color w:val="auto"/>
          <w:sz w:val="24"/>
          <w:highlight w:val="none"/>
        </w:rPr>
      </w:pPr>
      <w:r>
        <w:rPr>
          <w:rFonts w:hint="eastAsia" w:ascii="仿宋" w:hAnsi="仿宋" w:eastAsia="仿宋"/>
          <w:b/>
          <w:color w:val="auto"/>
          <w:sz w:val="24"/>
          <w:highlight w:val="none"/>
        </w:rPr>
        <w:t xml:space="preserve">  4、评委对各部分得分汇总,得出本项目各投标人的最终得分：</w:t>
      </w:r>
    </w:p>
    <w:p w14:paraId="033F813E">
      <w:pPr>
        <w:spacing w:line="370" w:lineRule="exact"/>
        <w:rPr>
          <w:rFonts w:ascii="仿宋" w:hAnsi="仿宋" w:eastAsia="仿宋"/>
          <w:b/>
          <w:color w:val="auto"/>
          <w:sz w:val="24"/>
          <w:highlight w:val="none"/>
        </w:rPr>
      </w:pPr>
      <w:r>
        <w:rPr>
          <w:rFonts w:hint="eastAsia" w:ascii="仿宋" w:hAnsi="仿宋" w:eastAsia="仿宋"/>
          <w:b/>
          <w:color w:val="auto"/>
          <w:sz w:val="24"/>
          <w:highlight w:val="none"/>
        </w:rPr>
        <w:t xml:space="preserve">     投标人的总得分=技术得分+报价得分</w:t>
      </w:r>
    </w:p>
    <w:p w14:paraId="31E7550D">
      <w:pPr>
        <w:spacing w:after="156" w:afterLines="50" w:line="370" w:lineRule="exact"/>
        <w:ind w:firstLine="236" w:firstLineChars="98"/>
        <w:rPr>
          <w:rFonts w:ascii="仿宋" w:hAnsi="仿宋" w:eastAsia="仿宋"/>
          <w:b/>
          <w:color w:val="auto"/>
          <w:sz w:val="24"/>
          <w:highlight w:val="none"/>
        </w:rPr>
      </w:pPr>
      <w:r>
        <w:rPr>
          <w:rFonts w:hint="eastAsia" w:ascii="仿宋" w:hAnsi="仿宋" w:eastAsia="仿宋"/>
          <w:b/>
          <w:color w:val="auto"/>
          <w:sz w:val="24"/>
          <w:highlight w:val="none"/>
        </w:rPr>
        <w:t>5、中标候选供应商的确定：</w:t>
      </w:r>
    </w:p>
    <w:p w14:paraId="1D34A4F2">
      <w:pPr>
        <w:spacing w:line="370" w:lineRule="exact"/>
        <w:ind w:firstLine="236" w:firstLineChars="98"/>
        <w:rPr>
          <w:rFonts w:ascii="仿宋" w:hAnsi="仿宋" w:eastAsia="仿宋"/>
          <w:b/>
          <w:color w:val="auto"/>
          <w:sz w:val="24"/>
          <w:highlight w:val="none"/>
        </w:rPr>
      </w:pPr>
      <w:r>
        <w:rPr>
          <w:rFonts w:hint="eastAsia" w:ascii="仿宋" w:hAnsi="仿宋" w:eastAsia="仿宋"/>
          <w:b/>
          <w:color w:val="auto"/>
          <w:sz w:val="24"/>
          <w:highlight w:val="none"/>
        </w:rPr>
        <w:t>评标委员会按评标总得分由高到低顺序排列。推荐总得分最高的投标人为中标候选供应商；总得分相同的，取投标报价低者为中标候选供应商；总得分和投标报价都相同的，则抽签确定。</w:t>
      </w:r>
    </w:p>
    <w:p w14:paraId="4C58C6F3">
      <w:pPr>
        <w:rPr>
          <w:highlight w:val="none"/>
        </w:rPr>
      </w:pPr>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ÂËÎ_GB2312">
    <w:altName w:val="Arial"/>
    <w:panose1 w:val="00000000000000000000"/>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8E7EF">
    <w:pPr>
      <w:pStyle w:val="9"/>
      <w:framePr w:wrap="around" w:vAnchor="text" w:hAnchor="margin" w:xAlign="center" w:y="1"/>
      <w:rPr>
        <w:rStyle w:val="13"/>
      </w:rPr>
    </w:pPr>
    <w:r>
      <w:fldChar w:fldCharType="begin"/>
    </w:r>
    <w:r>
      <w:rPr>
        <w:rStyle w:val="13"/>
      </w:rPr>
      <w:instrText xml:space="preserve">PAGE  </w:instrText>
    </w:r>
    <w:r>
      <w:fldChar w:fldCharType="separate"/>
    </w:r>
    <w:r>
      <w:rPr>
        <w:rStyle w:val="13"/>
      </w:rPr>
      <w:t>20</w:t>
    </w:r>
    <w:r>
      <w:fldChar w:fldCharType="end"/>
    </w:r>
  </w:p>
  <w:p w14:paraId="12B2D609">
    <w:pPr>
      <w:pStyle w:val="9"/>
      <w:ind w:right="360"/>
      <w:rPr>
        <w:rStyle w:val="13"/>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47136">
    <w:pPr>
      <w:pStyle w:val="2"/>
      <w:ind w:left="0" w:leftChars="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E011BD"/>
    <w:multiLevelType w:val="singleLevel"/>
    <w:tmpl w:val="C5E011BD"/>
    <w:lvl w:ilvl="0" w:tentative="0">
      <w:start w:val="11"/>
      <w:numFmt w:val="chineseCounting"/>
      <w:suff w:val="nothing"/>
      <w:lvlText w:val="%1、"/>
      <w:lvlJc w:val="left"/>
      <w:rPr>
        <w:rFonts w:hint="eastAsia"/>
      </w:rPr>
    </w:lvl>
  </w:abstractNum>
  <w:abstractNum w:abstractNumId="1">
    <w:nsid w:val="150A4A54"/>
    <w:multiLevelType w:val="multilevel"/>
    <w:tmpl w:val="150A4A54"/>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E1E44"/>
    <w:rsid w:val="02587777"/>
    <w:rsid w:val="04BF62C5"/>
    <w:rsid w:val="17E7717C"/>
    <w:rsid w:val="26CD7785"/>
    <w:rsid w:val="28C777A5"/>
    <w:rsid w:val="40D043A1"/>
    <w:rsid w:val="461B60BF"/>
    <w:rsid w:val="520E1E44"/>
    <w:rsid w:val="5A7C1BE0"/>
    <w:rsid w:val="79062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120" w:line="240" w:lineRule="auto"/>
      <w:ind w:left="420" w:leftChars="200" w:firstLine="420"/>
    </w:pPr>
    <w:rPr>
      <w:szCs w:val="21"/>
    </w:rPr>
  </w:style>
  <w:style w:type="paragraph" w:styleId="3">
    <w:name w:val="Body Text Indent"/>
    <w:basedOn w:val="1"/>
    <w:qFormat/>
    <w:uiPriority w:val="99"/>
    <w:pPr>
      <w:spacing w:line="400" w:lineRule="atLeast"/>
      <w:ind w:left="210" w:firstLine="210"/>
    </w:pPr>
    <w:rPr>
      <w:rFonts w:ascii="宋体" w:hAnsi="宋体"/>
      <w:szCs w:val="20"/>
    </w:rPr>
  </w:style>
  <w:style w:type="paragraph" w:styleId="4">
    <w:name w:val="Normal Indent"/>
    <w:basedOn w:val="1"/>
    <w:next w:val="1"/>
    <w:qFormat/>
    <w:uiPriority w:val="0"/>
    <w:pPr>
      <w:ind w:firstLine="420"/>
    </w:pPr>
    <w:rPr>
      <w:rFonts w:ascii="宋体" w:hAnsi="Courier New"/>
      <w:szCs w:val="20"/>
    </w:rPr>
  </w:style>
  <w:style w:type="paragraph" w:styleId="5">
    <w:name w:val="Body Text"/>
    <w:basedOn w:val="1"/>
    <w:next w:val="6"/>
    <w:qFormat/>
    <w:uiPriority w:val="99"/>
    <w:rPr>
      <w:rFonts w:eastAsia="黑体"/>
      <w:b/>
      <w:bCs/>
      <w:spacing w:val="20"/>
      <w:kern w:val="52"/>
      <w:sz w:val="56"/>
    </w:rPr>
  </w:style>
  <w:style w:type="paragraph" w:styleId="6">
    <w:name w:val="Body Text First Indent"/>
    <w:basedOn w:val="5"/>
    <w:next w:val="1"/>
    <w:qFormat/>
    <w:uiPriority w:val="0"/>
    <w:pPr>
      <w:spacing w:line="312" w:lineRule="auto"/>
      <w:ind w:firstLine="420"/>
    </w:pPr>
  </w:style>
  <w:style w:type="paragraph" w:styleId="7">
    <w:name w:val="Plain Text"/>
    <w:basedOn w:val="1"/>
    <w:next w:val="8"/>
    <w:qFormat/>
    <w:uiPriority w:val="0"/>
    <w:rPr>
      <w:rFonts w:ascii="宋体" w:hAnsi="Courier New"/>
      <w:szCs w:val="20"/>
    </w:rPr>
  </w:style>
  <w:style w:type="paragraph" w:styleId="8">
    <w:name w:val="index 7"/>
    <w:basedOn w:val="1"/>
    <w:next w:val="1"/>
    <w:qFormat/>
    <w:uiPriority w:val="0"/>
    <w:pPr>
      <w:ind w:left="1200" w:leftChars="1200"/>
    </w:p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toc 6"/>
    <w:basedOn w:val="1"/>
    <w:next w:val="1"/>
    <w:qFormat/>
    <w:uiPriority w:val="39"/>
    <w:pPr>
      <w:ind w:left="1050"/>
      <w:jc w:val="left"/>
    </w:pPr>
    <w:rPr>
      <w:rFonts w:ascii="Calibri" w:hAnsi="Calibri" w:cs="Calibri"/>
      <w:sz w:val="18"/>
      <w:szCs w:val="18"/>
    </w:rPr>
  </w:style>
  <w:style w:type="character" w:styleId="13">
    <w:name w:val="page number"/>
    <w:qFormat/>
    <w:uiPriority w:val="0"/>
  </w:style>
  <w:style w:type="character" w:customStyle="1" w:styleId="14">
    <w:name w:val="fontstyle11"/>
    <w:qFormat/>
    <w:uiPriority w:val="0"/>
    <w:rPr>
      <w:rFonts w:hint="eastAsia" w:ascii="宋体" w:hAnsi="宋体" w:eastAsia="宋体" w:cs="Times New Roman"/>
      <w:color w:val="00000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9832</Words>
  <Characters>10075</Characters>
  <Lines>0</Lines>
  <Paragraphs>0</Paragraphs>
  <TotalTime>2</TotalTime>
  <ScaleCrop>false</ScaleCrop>
  <LinksUpToDate>false</LinksUpToDate>
  <CharactersWithSpaces>10720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2025-10-13T09:09:00Z</dcterms:created>
  <dc:creator>未知</dc:creator>
  <cp:lastModifiedBy>未知</cp:lastModifiedBy>
  <dcterms:modified xsi:type="dcterms:W3CDTF">2025-10-14T05:29:17Z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65098DF998A54F228257FAE2599A21E6_11</vt:lpwstr>
  </property>
  <property fmtid="{D5CDD505-2E9C-101B-9397-08002B2CF9AE}" pid="4" name="KSOTemplateDocerSaveRecord">
    <vt:lpwstr>eyJoZGlkIjoiZDcyMjUyOTgwM2EwOWM4MmJmOTY3MTQ4ZDM3MjMzZWQiLCJ1c2VySWQiOiIxOTQ4MjM2ODcifQ==</vt:lpwstr>
  </property>
</Properties>
</file>