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color w:val="000000" w:themeColor="text1"/>
          <w:kern w:val="44"/>
          <w:sz w:val="44"/>
          <w:szCs w:val="44"/>
          <w:highlight w:val="none"/>
          <w14:textFill>
            <w14:solidFill>
              <w14:schemeClr w14:val="tx1"/>
            </w14:solidFill>
          </w14:textFill>
        </w:rPr>
      </w:pPr>
      <w:bookmarkStart w:id="0" w:name="_GoBack"/>
      <w:r>
        <w:rPr>
          <w:rFonts w:ascii="Times New Roman" w:hAnsi="Times New Roman" w:eastAsia="方正小标宋简体" w:cs="Times New Roman"/>
          <w:bCs/>
          <w:color w:val="000000" w:themeColor="text1"/>
          <w:kern w:val="44"/>
          <w:sz w:val="44"/>
          <w:szCs w:val="44"/>
          <w:highlight w:val="none"/>
          <w14:textFill>
            <w14:solidFill>
              <w14:schemeClr w14:val="tx1"/>
            </w14:solidFill>
          </w14:textFill>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为便于供应商及时了解项目采办信息，现将</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中海石油（龙口）基地物流有限公司龙口基地三期项目（第二阶段）项目新建智能化库房工程</w:t>
      </w:r>
      <w:r>
        <w:rPr>
          <w:rFonts w:ascii="Times New Roman" w:hAnsi="Times New Roman" w:eastAsia="仿宋_GB2312" w:cs="Times New Roman"/>
          <w:color w:val="000000" w:themeColor="text1"/>
          <w:sz w:val="32"/>
          <w:szCs w:val="32"/>
          <w:highlight w:val="none"/>
          <w14:textFill>
            <w14:solidFill>
              <w14:schemeClr w14:val="tx1"/>
            </w14:solidFill>
          </w14:textFill>
        </w:rPr>
        <w:t>的采办计划公开如下：</w:t>
      </w:r>
    </w:p>
    <w:tbl>
      <w:tblPr>
        <w:tblStyle w:val="9"/>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84"/>
        <w:gridCol w:w="2732"/>
        <w:gridCol w:w="996"/>
        <w:gridCol w:w="3248"/>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3" w:type="dxa"/>
            <w:vAlign w:val="center"/>
          </w:tcPr>
          <w:p>
            <w:pPr>
              <w:jc w:val="center"/>
              <w:rPr>
                <w:rFonts w:ascii="Times New Roman" w:hAnsi="Times New Roman" w:eastAsia="仿宋" w:cs="Times New Roman"/>
                <w:color w:val="000000" w:themeColor="text1"/>
                <w:kern w:val="0"/>
                <w:sz w:val="24"/>
                <w:szCs w:val="24"/>
                <w:highlight w:val="none"/>
                <w14:textFill>
                  <w14:solidFill>
                    <w14:schemeClr w14:val="tx1"/>
                  </w14:solidFill>
                </w14:textFill>
              </w:rPr>
            </w:pPr>
            <w:r>
              <w:rPr>
                <w:rFonts w:ascii="Times New Roman" w:hAnsi="Times New Roman" w:eastAsia="仿宋" w:cs="Times New Roman"/>
                <w:color w:val="000000" w:themeColor="text1"/>
                <w:kern w:val="0"/>
                <w:sz w:val="24"/>
                <w:szCs w:val="24"/>
                <w:highlight w:val="none"/>
                <w14:textFill>
                  <w14:solidFill>
                    <w14:schemeClr w14:val="tx1"/>
                  </w14:solidFill>
                </w14:textFill>
              </w:rPr>
              <w:t>序号</w:t>
            </w:r>
          </w:p>
        </w:tc>
        <w:tc>
          <w:tcPr>
            <w:tcW w:w="1984" w:type="dxa"/>
            <w:vAlign w:val="center"/>
          </w:tcPr>
          <w:p>
            <w:pPr>
              <w:jc w:val="center"/>
              <w:rPr>
                <w:rFonts w:ascii="Times New Roman" w:hAnsi="Times New Roman" w:eastAsia="仿宋" w:cs="Times New Roman"/>
                <w:color w:val="000000" w:themeColor="text1"/>
                <w:kern w:val="0"/>
                <w:sz w:val="24"/>
                <w:szCs w:val="24"/>
                <w:highlight w:val="none"/>
                <w14:textFill>
                  <w14:solidFill>
                    <w14:schemeClr w14:val="tx1"/>
                  </w14:solidFill>
                </w14:textFill>
              </w:rPr>
            </w:pPr>
            <w:r>
              <w:rPr>
                <w:rFonts w:ascii="Times New Roman" w:hAnsi="Times New Roman" w:eastAsia="仿宋" w:cs="Times New Roman"/>
                <w:color w:val="000000" w:themeColor="text1"/>
                <w:kern w:val="0"/>
                <w:sz w:val="24"/>
                <w:szCs w:val="24"/>
                <w:highlight w:val="none"/>
                <w14:textFill>
                  <w14:solidFill>
                    <w14:schemeClr w14:val="tx1"/>
                  </w14:solidFill>
                </w14:textFill>
              </w:rPr>
              <w:t>采办包</w:t>
            </w:r>
          </w:p>
          <w:p>
            <w:pPr>
              <w:jc w:val="center"/>
              <w:rPr>
                <w:rFonts w:ascii="Times New Roman" w:hAnsi="Times New Roman" w:eastAsia="仿宋" w:cs="Times New Roman"/>
                <w:color w:val="000000" w:themeColor="text1"/>
                <w:kern w:val="0"/>
                <w:sz w:val="24"/>
                <w:szCs w:val="24"/>
                <w:highlight w:val="none"/>
                <w14:textFill>
                  <w14:solidFill>
                    <w14:schemeClr w14:val="tx1"/>
                  </w14:solidFill>
                </w14:textFill>
              </w:rPr>
            </w:pPr>
            <w:r>
              <w:rPr>
                <w:rFonts w:ascii="Times New Roman" w:hAnsi="Times New Roman" w:eastAsia="仿宋" w:cs="Times New Roman"/>
                <w:color w:val="000000" w:themeColor="text1"/>
                <w:kern w:val="0"/>
                <w:sz w:val="24"/>
                <w:szCs w:val="24"/>
                <w:highlight w:val="none"/>
                <w14:textFill>
                  <w14:solidFill>
                    <w14:schemeClr w14:val="tx1"/>
                  </w14:solidFill>
                </w14:textFill>
              </w:rPr>
              <w:t>名称</w:t>
            </w:r>
          </w:p>
        </w:tc>
        <w:tc>
          <w:tcPr>
            <w:tcW w:w="2732" w:type="dxa"/>
            <w:vAlign w:val="center"/>
          </w:tcPr>
          <w:p>
            <w:pPr>
              <w:jc w:val="center"/>
              <w:rPr>
                <w:rFonts w:ascii="Times New Roman" w:hAnsi="Times New Roman" w:eastAsia="仿宋" w:cs="Times New Roman"/>
                <w:color w:val="000000" w:themeColor="text1"/>
                <w:kern w:val="0"/>
                <w:sz w:val="24"/>
                <w:szCs w:val="24"/>
                <w:highlight w:val="none"/>
                <w14:textFill>
                  <w14:solidFill>
                    <w14:schemeClr w14:val="tx1"/>
                  </w14:solidFill>
                </w14:textFill>
              </w:rPr>
            </w:pPr>
            <w:r>
              <w:rPr>
                <w:rFonts w:ascii="Times New Roman" w:hAnsi="Times New Roman" w:eastAsia="仿宋" w:cs="Times New Roman"/>
                <w:color w:val="000000" w:themeColor="text1"/>
                <w:kern w:val="0"/>
                <w:sz w:val="24"/>
                <w:szCs w:val="24"/>
                <w:highlight w:val="none"/>
                <w14:textFill>
                  <w14:solidFill>
                    <w14:schemeClr w14:val="tx1"/>
                  </w14:solidFill>
                </w14:textFill>
              </w:rPr>
              <w:t>采购范围与主要技术指标</w:t>
            </w:r>
          </w:p>
        </w:tc>
        <w:tc>
          <w:tcPr>
            <w:tcW w:w="996" w:type="dxa"/>
            <w:vAlign w:val="center"/>
          </w:tcPr>
          <w:p>
            <w:pPr>
              <w:jc w:val="center"/>
              <w:rPr>
                <w:rFonts w:ascii="Times New Roman" w:hAnsi="Times New Roman" w:eastAsia="仿宋" w:cs="Times New Roman"/>
                <w:color w:val="000000" w:themeColor="text1"/>
                <w:kern w:val="0"/>
                <w:sz w:val="24"/>
                <w:szCs w:val="24"/>
                <w:highlight w:val="none"/>
                <w14:textFill>
                  <w14:solidFill>
                    <w14:schemeClr w14:val="tx1"/>
                  </w14:solidFill>
                </w14:textFill>
              </w:rPr>
            </w:pPr>
            <w:r>
              <w:rPr>
                <w:rFonts w:ascii="Times New Roman" w:hAnsi="Times New Roman" w:eastAsia="仿宋" w:cs="Times New Roman"/>
                <w:color w:val="000000" w:themeColor="text1"/>
                <w:kern w:val="0"/>
                <w:sz w:val="24"/>
                <w:szCs w:val="24"/>
                <w:highlight w:val="none"/>
                <w14:textFill>
                  <w14:solidFill>
                    <w14:schemeClr w14:val="tx1"/>
                  </w14:solidFill>
                </w14:textFill>
              </w:rPr>
              <w:t>预计发标时间</w:t>
            </w:r>
          </w:p>
          <w:p>
            <w:pPr>
              <w:jc w:val="center"/>
              <w:rPr>
                <w:rFonts w:ascii="Times New Roman" w:hAnsi="Times New Roman" w:eastAsia="仿宋" w:cs="Times New Roman"/>
                <w:color w:val="000000" w:themeColor="text1"/>
                <w:kern w:val="0"/>
                <w:sz w:val="24"/>
                <w:szCs w:val="24"/>
                <w:highlight w:val="none"/>
                <w14:textFill>
                  <w14:solidFill>
                    <w14:schemeClr w14:val="tx1"/>
                  </w14:solidFill>
                </w14:textFill>
              </w:rPr>
            </w:pPr>
            <w:r>
              <w:rPr>
                <w:rFonts w:ascii="Times New Roman" w:hAnsi="Times New Roman" w:eastAsia="仿宋" w:cs="Times New Roman"/>
                <w:color w:val="000000" w:themeColor="text1"/>
                <w:kern w:val="0"/>
                <w:sz w:val="24"/>
                <w:szCs w:val="24"/>
                <w:highlight w:val="none"/>
                <w14:textFill>
                  <w14:solidFill>
                    <w14:schemeClr w14:val="tx1"/>
                  </w14:solidFill>
                </w14:textFill>
              </w:rPr>
              <w:t>（填写到月）</w:t>
            </w:r>
          </w:p>
        </w:tc>
        <w:tc>
          <w:tcPr>
            <w:tcW w:w="3248" w:type="dxa"/>
            <w:vAlign w:val="center"/>
          </w:tcPr>
          <w:p>
            <w:pPr>
              <w:jc w:val="center"/>
              <w:rPr>
                <w:rFonts w:ascii="Times New Roman" w:hAnsi="Times New Roman" w:eastAsia="仿宋" w:cs="Times New Roman"/>
                <w:color w:val="000000" w:themeColor="text1"/>
                <w:kern w:val="0"/>
                <w:sz w:val="24"/>
                <w:szCs w:val="24"/>
                <w:highlight w:val="none"/>
                <w14:textFill>
                  <w14:solidFill>
                    <w14:schemeClr w14:val="tx1"/>
                  </w14:solidFill>
                </w14:textFill>
              </w:rPr>
            </w:pPr>
            <w:r>
              <w:rPr>
                <w:rFonts w:ascii="Times New Roman" w:hAnsi="Times New Roman" w:eastAsia="仿宋" w:cs="Times New Roman"/>
                <w:color w:val="000000" w:themeColor="text1"/>
                <w:kern w:val="0"/>
                <w:sz w:val="24"/>
                <w:szCs w:val="24"/>
                <w:highlight w:val="none"/>
                <w14:textFill>
                  <w14:solidFill>
                    <w14:schemeClr w14:val="tx1"/>
                  </w14:solidFill>
                </w14:textFill>
              </w:rPr>
              <w:t>供应商资质基本要求</w:t>
            </w:r>
          </w:p>
        </w:tc>
        <w:tc>
          <w:tcPr>
            <w:tcW w:w="744" w:type="dxa"/>
            <w:vAlign w:val="center"/>
          </w:tcPr>
          <w:p>
            <w:pPr>
              <w:jc w:val="center"/>
              <w:rPr>
                <w:rFonts w:ascii="Times New Roman" w:hAnsi="Times New Roman" w:eastAsia="仿宋" w:cs="Times New Roman"/>
                <w:color w:val="000000" w:themeColor="text1"/>
                <w:kern w:val="0"/>
                <w:sz w:val="24"/>
                <w:szCs w:val="24"/>
                <w:highlight w:val="none"/>
                <w14:textFill>
                  <w14:solidFill>
                    <w14:schemeClr w14:val="tx1"/>
                  </w14:solidFill>
                </w14:textFill>
              </w:rPr>
            </w:pPr>
            <w:r>
              <w:rPr>
                <w:rFonts w:ascii="Times New Roman" w:hAnsi="Times New Roman" w:eastAsia="仿宋" w:cs="Times New Roman"/>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3" w:type="dxa"/>
            <w:vAlign w:val="center"/>
          </w:tcPr>
          <w:p>
            <w:pPr>
              <w:jc w:val="center"/>
              <w:rPr>
                <w:rFonts w:hint="eastAsia" w:ascii="Times New Roman" w:hAnsi="Times New Roman" w:eastAsia="仿宋"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14:textFill>
                  <w14:solidFill>
                    <w14:schemeClr w14:val="tx1"/>
                  </w14:solidFill>
                </w14:textFill>
              </w:rPr>
              <w:t>1</w:t>
            </w:r>
          </w:p>
        </w:tc>
        <w:tc>
          <w:tcPr>
            <w:tcW w:w="1984" w:type="dxa"/>
            <w:vAlign w:val="center"/>
          </w:tcPr>
          <w:p>
            <w:pPr>
              <w:rPr>
                <w:rFonts w:hint="default" w:ascii="Times New Roman" w:hAnsi="Times New Roman" w:eastAsia="仿宋" w:cs="Times New Roman"/>
                <w:color w:val="000000" w:themeColor="text1"/>
                <w:kern w:val="0"/>
                <w:sz w:val="24"/>
                <w:szCs w:val="24"/>
                <w:highlight w:val="none"/>
                <w:u w:val="single"/>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u w:val="single"/>
                <w:lang w:val="en-US" w:eastAsia="zh-CN" w:bidi="ar-SA"/>
                <w14:textFill>
                  <w14:solidFill>
                    <w14:schemeClr w14:val="tx1"/>
                  </w14:solidFill>
                </w14:textFill>
              </w:rPr>
              <w:t xml:space="preserve"> 中海石油（龙口）基地物流有限公司龙口基地三期项目（第二阶段）项目新建智能化库房工程</w:t>
            </w:r>
          </w:p>
        </w:tc>
        <w:tc>
          <w:tcPr>
            <w:tcW w:w="2732" w:type="dxa"/>
            <w:vAlign w:val="center"/>
          </w:tcPr>
          <w:p>
            <w:pPr>
              <w:tabs>
                <w:tab w:val="left" w:pos="8835"/>
              </w:tabs>
              <w:spacing w:line="360" w:lineRule="auto"/>
              <w:rPr>
                <w:rFonts w:hint="eastAsia" w:ascii="Times New Roman" w:hAnsi="Times New Roman" w:eastAsia="仿宋"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u w:val="single"/>
                <w:lang w:val="en-US" w:eastAsia="zh-CN"/>
                <w14:textFill>
                  <w14:solidFill>
                    <w14:schemeClr w14:val="tx1"/>
                  </w14:solidFill>
                </w14:textFill>
              </w:rPr>
              <w:t>主要服务内容：</w:t>
            </w:r>
            <w:r>
              <w:rPr>
                <w:rFonts w:hint="eastAsia" w:ascii="Times New Roman" w:hAnsi="Times New Roman" w:eastAsia="仿宋" w:cs="Times New Roman"/>
                <w:color w:val="000000" w:themeColor="text1"/>
                <w:kern w:val="0"/>
                <w:sz w:val="24"/>
                <w:szCs w:val="24"/>
                <w:highlight w:val="none"/>
                <w:u w:val="single"/>
                <w:lang w:val="en-US" w:eastAsia="zh-CN" w:bidi="ar-SA"/>
                <w14:textFill>
                  <w14:solidFill>
                    <w14:schemeClr w14:val="tx1"/>
                  </w14:solidFill>
                </w14:textFill>
              </w:rPr>
              <w:t>新建智能化库房一座,用地面积：8249.38 ㎡，建筑面积:4387.25 ㎡，建筑高度为 14.15m（柱顶），库房内设有 2 间约 65 ㎡值班室及 1 间 约 65 ㎡设备间。仓库结构型式均为门式刚架结构，耐火等级：二级，火灾危险性：戊类。</w:t>
            </w:r>
          </w:p>
          <w:p>
            <w:pPr>
              <w:tabs>
                <w:tab w:val="left" w:pos="8835"/>
              </w:tabs>
              <w:spacing w:line="360" w:lineRule="auto"/>
              <w:rPr>
                <w:rFonts w:hint="eastAsia" w:ascii="Times New Roman" w:hAnsi="Times New Roman" w:eastAsia="仿宋" w:cs="Times New Roman"/>
                <w:color w:val="000000" w:themeColor="text1"/>
                <w:kern w:val="0"/>
                <w:sz w:val="24"/>
                <w:szCs w:val="24"/>
                <w:highlight w:val="none"/>
                <w:u w:val="single"/>
                <w:lang w:val="en-US" w:eastAsia="zh-CN"/>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u w:val="single"/>
                <w:lang w:val="en-US" w:eastAsia="zh-CN"/>
                <w14:textFill>
                  <w14:solidFill>
                    <w14:schemeClr w14:val="tx1"/>
                  </w14:solidFill>
                </w14:textFill>
              </w:rPr>
              <w:t>服务期：</w:t>
            </w:r>
            <w:r>
              <w:rPr>
                <w:rFonts w:hint="eastAsia" w:ascii="Times New Roman" w:hAnsi="Times New Roman" w:eastAsia="仿宋" w:cs="Times New Roman"/>
                <w:color w:val="000000" w:themeColor="text1"/>
                <w:kern w:val="0"/>
                <w:sz w:val="24"/>
                <w:szCs w:val="24"/>
                <w:highlight w:val="none"/>
                <w:u w:val="single"/>
                <w:lang w:val="en-US" w:eastAsia="zh-CN"/>
                <w14:textFill>
                  <w14:solidFill>
                    <w14:schemeClr w14:val="tx1"/>
                  </w14:solidFill>
                </w14:textFill>
              </w:rPr>
              <w:t>本项目计划工期为 150个日历日 ，具体开工时间以合同签订后甲方书面通知进场时间为准。</w:t>
            </w:r>
          </w:p>
          <w:p>
            <w:pPr>
              <w:tabs>
                <w:tab w:val="left" w:pos="8835"/>
              </w:tabs>
              <w:spacing w:line="360" w:lineRule="auto"/>
              <w:rPr>
                <w:rFonts w:hint="eastAsia" w:ascii="Times New Roman" w:hAnsi="Times New Roman" w:eastAsia="仿宋" w:cs="Times New Roman"/>
                <w:color w:val="000000" w:themeColor="text1"/>
                <w:kern w:val="0"/>
                <w:sz w:val="24"/>
                <w:szCs w:val="24"/>
                <w:highlight w:val="none"/>
                <w:u w:val="single"/>
                <w:lang w:eastAsia="zh-CN"/>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u w:val="single"/>
                <w:lang w:val="en-US" w:eastAsia="zh-CN"/>
                <w14:textFill>
                  <w14:solidFill>
                    <w14:schemeClr w14:val="tx1"/>
                  </w14:solidFill>
                </w14:textFill>
              </w:rPr>
              <w:t>服务地点：</w:t>
            </w:r>
            <w:r>
              <w:rPr>
                <w:rFonts w:hint="eastAsia" w:ascii="Times New Roman" w:hAnsi="Times New Roman" w:eastAsia="仿宋" w:cs="Times New Roman"/>
                <w:color w:val="000000" w:themeColor="text1"/>
                <w:kern w:val="0"/>
                <w:sz w:val="24"/>
                <w:szCs w:val="24"/>
                <w:highlight w:val="none"/>
                <w:u w:val="single"/>
                <w:lang w:val="en-US" w:eastAsia="zh-CN"/>
                <w14:textFill>
                  <w14:solidFill>
                    <w14:schemeClr w14:val="tx1"/>
                  </w14:solidFill>
                </w14:textFill>
              </w:rPr>
              <w:t>山东省龙口市环海中路，中海石油(龙口)基地物流有限公司已建堆场内部</w:t>
            </w:r>
          </w:p>
        </w:tc>
        <w:tc>
          <w:tcPr>
            <w:tcW w:w="996" w:type="dxa"/>
            <w:vAlign w:val="center"/>
          </w:tcPr>
          <w:p>
            <w:pPr>
              <w:rPr>
                <w:rFonts w:hint="default" w:ascii="Times New Roman" w:hAnsi="Times New Roman" w:eastAsia="仿宋" w:cs="Times New Roman"/>
                <w:color w:val="000000" w:themeColor="text1"/>
                <w:kern w:val="0"/>
                <w:sz w:val="24"/>
                <w:szCs w:val="24"/>
                <w:highlight w:val="none"/>
                <w:u w:val="single"/>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u w:val="single"/>
                <w:lang w:val="en-US" w:eastAsia="zh-CN"/>
                <w14:textFill>
                  <w14:solidFill>
                    <w14:schemeClr w14:val="tx1"/>
                  </w14:solidFill>
                </w14:textFill>
              </w:rPr>
              <w:t>2025年12月</w:t>
            </w:r>
          </w:p>
        </w:tc>
        <w:tc>
          <w:tcPr>
            <w:tcW w:w="3248" w:type="dxa"/>
            <w:vAlign w:val="center"/>
          </w:tcPr>
          <w:p>
            <w:pPr>
              <w:numPr>
                <w:ilvl w:val="0"/>
                <w:numId w:val="1"/>
              </w:numPr>
              <w:spacing w:line="360" w:lineRule="auto"/>
              <w:ind w:left="10" w:leftChars="0" w:hanging="10" w:firstLineChars="0"/>
              <w:rPr>
                <w:rFonts w:hint="default"/>
                <w:highlight w:val="none"/>
                <w:lang w:val="en-US" w:eastAsia="zh-CN"/>
              </w:rPr>
            </w:pPr>
            <w:r>
              <w:rPr>
                <w:rFonts w:hint="eastAsia"/>
                <w:highlight w:val="none"/>
                <w:lang w:val="en-US" w:eastAsia="zh-CN"/>
              </w:rPr>
              <w:t>营业执照要求：应答人须是中华人民共和国境内注册的独立法人单位，具有合法有效的企业法人营业执照、税务登记证及组织机构代码证或证照合一的营业执照；应答人须是中华人民共和国境内具有独立承担民事责任能力的法人，或具备国家认可经营资格的其他组织。</w:t>
            </w:r>
          </w:p>
          <w:p>
            <w:pPr>
              <w:numPr>
                <w:ilvl w:val="0"/>
                <w:numId w:val="1"/>
              </w:numPr>
              <w:spacing w:line="360" w:lineRule="auto"/>
              <w:ind w:left="10" w:leftChars="0" w:hanging="10" w:firstLineChars="0"/>
              <w:rPr>
                <w:rFonts w:hint="default"/>
                <w:highlight w:val="none"/>
                <w:lang w:val="en-US" w:eastAsia="zh-CN"/>
              </w:rPr>
            </w:pPr>
            <w:r>
              <w:rPr>
                <w:rFonts w:hint="eastAsia"/>
                <w:highlight w:val="none"/>
                <w:lang w:val="en-US" w:eastAsia="zh-CN"/>
              </w:rPr>
              <w:t>资质要求:1、具备建筑工程施工总承包二级及以上资质。2、提供有效的建设行政主管部门颁发安全生产许可证。</w:t>
            </w:r>
          </w:p>
          <w:p>
            <w:pPr>
              <w:numPr>
                <w:ilvl w:val="0"/>
                <w:numId w:val="1"/>
              </w:numPr>
              <w:spacing w:line="360" w:lineRule="auto"/>
              <w:ind w:left="10" w:leftChars="0" w:hanging="10" w:firstLineChars="0"/>
              <w:rPr>
                <w:rFonts w:hint="default"/>
                <w:highlight w:val="none"/>
                <w:lang w:val="en-US" w:eastAsia="zh-CN"/>
              </w:rPr>
            </w:pPr>
            <w:r>
              <w:rPr>
                <w:rFonts w:hint="eastAsia"/>
                <w:highlight w:val="none"/>
                <w:lang w:val="en-US" w:eastAsia="zh-CN"/>
              </w:rPr>
              <w:t>人员要求：项目经理1人，具有建筑工程专业一级注册建造师执业资格，持有安全生产考核合格证B证，提供近6个月投标单位缴纳的社保记录；技术负责人1人，具有房屋建筑类中级及以上职称或建筑工程专业一级注册建造师执业资格或机电工程相关专业的中级及以上职称，提供近6个月投标单位缴纳的社保记录。；HSE工程师1人，持有安全生产考核合格证C本，提供近6个月投标单位缴纳的社保记录。</w:t>
            </w:r>
          </w:p>
          <w:p>
            <w:pPr>
              <w:numPr>
                <w:ilvl w:val="0"/>
                <w:numId w:val="1"/>
              </w:numPr>
              <w:spacing w:line="360" w:lineRule="auto"/>
              <w:ind w:left="10" w:leftChars="0" w:hanging="10" w:firstLineChars="0"/>
              <w:rPr>
                <w:rFonts w:hint="default"/>
                <w:highlight w:val="none"/>
                <w:lang w:val="en-US" w:eastAsia="zh-CN"/>
              </w:rPr>
            </w:pPr>
            <w:r>
              <w:rPr>
                <w:rFonts w:hint="eastAsia"/>
                <w:highlight w:val="none"/>
                <w:lang w:val="en-US" w:eastAsia="zh-CN"/>
              </w:rPr>
              <w:t>业绩要求：自2022年1月1日起至投标截止日（以完工日期为准），至少具有2项（含）以上已完工的合同金额不低于2千万元的房屋建筑工程施工业绩，并提供业绩证明材料扫描件（证明材料包括：合同关键页（封面页、合同内容页、签约金额和签字页），验收报告或完工报告或中间交工验收报告等证明合作双方工作内容和工作已完成的证明文件（原件备查），未提供证明材料的业绩为无效业绩。</w:t>
            </w:r>
          </w:p>
        </w:tc>
        <w:tc>
          <w:tcPr>
            <w:tcW w:w="744" w:type="dxa"/>
            <w:vAlign w:val="center"/>
          </w:tcPr>
          <w:p>
            <w:pPr>
              <w:rPr>
                <w:rFonts w:ascii="Times New Roman" w:hAnsi="Times New Roman" w:eastAsia="仿宋" w:cs="Times New Roman"/>
                <w:color w:val="000000" w:themeColor="text1"/>
                <w:kern w:val="0"/>
                <w:sz w:val="24"/>
                <w:szCs w:val="24"/>
                <w:highlight w:val="none"/>
                <w:u w:val="single"/>
                <w14:textFill>
                  <w14:solidFill>
                    <w14:schemeClr w14:val="tx1"/>
                  </w14:solidFill>
                </w14:textFill>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本次公告有效期是（</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2025年11月25日</w:t>
      </w:r>
      <w:r>
        <w:rPr>
          <w:rFonts w:ascii="Times New Roman" w:hAnsi="Times New Roman" w:eastAsia="仿宋_GB2312" w:cs="Times New Roman"/>
          <w:color w:val="000000" w:themeColor="text1"/>
          <w:sz w:val="32"/>
          <w:szCs w:val="32"/>
          <w:highlight w:val="none"/>
          <w14:textFill>
            <w14:solidFill>
              <w14:schemeClr w14:val="tx1"/>
            </w14:solidFill>
          </w14:textFill>
        </w:rPr>
        <w:t>）至（</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2025年12月1日</w:t>
      </w:r>
      <w:r>
        <w:rPr>
          <w:rFonts w:ascii="Times New Roman" w:hAnsi="Times New Roman" w:eastAsia="仿宋_GB2312" w:cs="Times New Roman"/>
          <w:color w:val="000000" w:themeColor="text1"/>
          <w:sz w:val="32"/>
          <w:szCs w:val="32"/>
          <w:highlight w:val="none"/>
          <w14:textFill>
            <w14:solidFill>
              <w14:schemeClr w14:val="tx1"/>
            </w14:solidFill>
          </w14:textFill>
        </w:rPr>
        <w:t>）止。在此期间，有意参与某采办包的系统用户可在集团公司采办系统中提交反馈材料。</w:t>
      </w:r>
    </w:p>
    <w:p>
      <w:pPr>
        <w:tabs>
          <w:tab w:val="left" w:pos="993"/>
          <w:tab w:val="left" w:pos="1134"/>
          <w:tab w:val="left" w:pos="1418"/>
        </w:tabs>
        <w:spacing w:line="560" w:lineRule="exact"/>
        <w:ind w:firstLine="480" w:firstLineChars="200"/>
        <w:rPr>
          <w:rFonts w:ascii="宋体" w:hAnsi="宋体" w:eastAsia="宋体" w:cs="宋体"/>
          <w:i w:val="0"/>
          <w:iCs w:val="0"/>
          <w:caps w:val="0"/>
          <w:spacing w:val="0"/>
          <w:sz w:val="24"/>
          <w:szCs w:val="24"/>
          <w:highlight w:val="none"/>
          <w:shd w:val="clear" w:fill="FFFFFF"/>
        </w:rPr>
      </w:pPr>
      <w:r>
        <w:rPr>
          <w:rFonts w:ascii="宋体" w:hAnsi="宋体" w:eastAsia="宋体" w:cs="宋体"/>
          <w:i w:val="0"/>
          <w:iCs w:val="0"/>
          <w:caps w:val="0"/>
          <w:spacing w:val="0"/>
          <w:sz w:val="24"/>
          <w:szCs w:val="24"/>
          <w:highlight w:val="none"/>
          <w:shd w:val="clear" w:fill="FFFFFF"/>
        </w:rPr>
        <w:t>采办联系人：</w:t>
      </w:r>
      <w:r>
        <w:rPr>
          <w:rFonts w:hint="eastAsia" w:ascii="宋体" w:hAnsi="宋体" w:eastAsia="宋体" w:cs="宋体"/>
          <w:i w:val="0"/>
          <w:iCs w:val="0"/>
          <w:caps w:val="0"/>
          <w:spacing w:val="0"/>
          <w:sz w:val="24"/>
          <w:szCs w:val="24"/>
          <w:highlight w:val="none"/>
          <w:shd w:val="clear" w:fill="FFFFFF"/>
          <w:lang w:val="en-US" w:eastAsia="zh-CN"/>
        </w:rPr>
        <w:t>张立彬</w:t>
      </w:r>
      <w:r>
        <w:rPr>
          <w:rFonts w:ascii="宋体" w:hAnsi="宋体" w:eastAsia="宋体" w:cs="宋体"/>
          <w:i w:val="0"/>
          <w:iCs w:val="0"/>
          <w:caps w:val="0"/>
          <w:spacing w:val="0"/>
          <w:sz w:val="24"/>
          <w:szCs w:val="24"/>
          <w:highlight w:val="none"/>
          <w:shd w:val="clear" w:fill="FFFFFF"/>
        </w:rPr>
        <w:t>02</w:t>
      </w:r>
      <w:r>
        <w:rPr>
          <w:rFonts w:hint="eastAsia" w:ascii="宋体" w:hAnsi="宋体" w:eastAsia="宋体" w:cs="宋体"/>
          <w:i w:val="0"/>
          <w:iCs w:val="0"/>
          <w:caps w:val="0"/>
          <w:spacing w:val="0"/>
          <w:sz w:val="24"/>
          <w:szCs w:val="24"/>
          <w:highlight w:val="none"/>
          <w:shd w:val="clear" w:fill="FFFFFF"/>
          <w:lang w:val="en-US" w:eastAsia="zh-CN"/>
        </w:rPr>
        <w:t>2</w:t>
      </w:r>
      <w:r>
        <w:rPr>
          <w:rFonts w:ascii="宋体" w:hAnsi="宋体" w:eastAsia="宋体" w:cs="宋体"/>
          <w:i w:val="0"/>
          <w:iCs w:val="0"/>
          <w:caps w:val="0"/>
          <w:spacing w:val="0"/>
          <w:sz w:val="24"/>
          <w:szCs w:val="24"/>
          <w:highlight w:val="none"/>
          <w:shd w:val="clear" w:fill="FFFFFF"/>
        </w:rPr>
        <w:t>-</w:t>
      </w:r>
      <w:r>
        <w:rPr>
          <w:rFonts w:hint="eastAsia" w:ascii="宋体" w:hAnsi="宋体" w:eastAsia="宋体" w:cs="宋体"/>
          <w:i w:val="0"/>
          <w:iCs w:val="0"/>
          <w:caps w:val="0"/>
          <w:spacing w:val="0"/>
          <w:sz w:val="24"/>
          <w:szCs w:val="24"/>
          <w:highlight w:val="none"/>
          <w:shd w:val="clear" w:fill="FFFFFF"/>
          <w:lang w:val="en-US" w:eastAsia="zh-CN"/>
        </w:rPr>
        <w:t>25801011</w:t>
      </w:r>
      <w:r>
        <w:rPr>
          <w:rFonts w:ascii="宋体" w:hAnsi="宋体" w:eastAsia="宋体" w:cs="宋体"/>
          <w:i w:val="0"/>
          <w:iCs w:val="0"/>
          <w:caps w:val="0"/>
          <w:spacing w:val="0"/>
          <w:sz w:val="24"/>
          <w:szCs w:val="24"/>
          <w:highlight w:val="none"/>
          <w:shd w:val="clear" w:fill="FFFFFF"/>
        </w:rPr>
        <w:t xml:space="preserve">  </w:t>
      </w:r>
      <w:r>
        <w:rPr>
          <w:rFonts w:hint="eastAsia" w:ascii="宋体" w:hAnsi="宋体" w:eastAsia="宋体" w:cs="宋体"/>
          <w:i w:val="0"/>
          <w:iCs w:val="0"/>
          <w:caps w:val="0"/>
          <w:spacing w:val="0"/>
          <w:sz w:val="24"/>
          <w:szCs w:val="24"/>
          <w:highlight w:val="none"/>
          <w:shd w:val="clear" w:fill="FFFFFF"/>
          <w:lang w:val="en-US" w:eastAsia="zh-CN"/>
        </w:rPr>
        <w:fldChar w:fldCharType="begin"/>
      </w:r>
      <w:r>
        <w:rPr>
          <w:rFonts w:hint="eastAsia" w:ascii="宋体" w:hAnsi="宋体" w:eastAsia="宋体" w:cs="宋体"/>
          <w:i w:val="0"/>
          <w:iCs w:val="0"/>
          <w:caps w:val="0"/>
          <w:spacing w:val="0"/>
          <w:sz w:val="24"/>
          <w:szCs w:val="24"/>
          <w:highlight w:val="none"/>
          <w:shd w:val="clear" w:fill="FFFFFF"/>
          <w:lang w:val="en-US" w:eastAsia="zh-CN"/>
        </w:rPr>
        <w:instrText xml:space="preserve"> HYPERLINK "mailto:zhanglb18@cnooc.com.cn" </w:instrText>
      </w:r>
      <w:r>
        <w:rPr>
          <w:rFonts w:hint="eastAsia" w:ascii="宋体" w:hAnsi="宋体" w:eastAsia="宋体" w:cs="宋体"/>
          <w:i w:val="0"/>
          <w:iCs w:val="0"/>
          <w:caps w:val="0"/>
          <w:spacing w:val="0"/>
          <w:sz w:val="24"/>
          <w:szCs w:val="24"/>
          <w:highlight w:val="none"/>
          <w:shd w:val="clear" w:fill="FFFFFF"/>
          <w:lang w:val="en-US" w:eastAsia="zh-CN"/>
        </w:rPr>
        <w:fldChar w:fldCharType="separate"/>
      </w:r>
      <w:r>
        <w:rPr>
          <w:rStyle w:val="18"/>
          <w:rFonts w:hint="eastAsia" w:ascii="宋体" w:hAnsi="宋体" w:eastAsia="宋体" w:cs="宋体"/>
          <w:i w:val="0"/>
          <w:iCs w:val="0"/>
          <w:caps w:val="0"/>
          <w:spacing w:val="0"/>
          <w:sz w:val="24"/>
          <w:szCs w:val="24"/>
          <w:highlight w:val="none"/>
          <w:shd w:val="clear" w:fill="FFFFFF"/>
          <w:lang w:val="en-US" w:eastAsia="zh-CN"/>
        </w:rPr>
        <w:t>zhanglb18</w:t>
      </w:r>
      <w:r>
        <w:rPr>
          <w:rStyle w:val="18"/>
          <w:rFonts w:ascii="宋体" w:hAnsi="宋体" w:eastAsia="宋体" w:cs="宋体"/>
          <w:i w:val="0"/>
          <w:iCs w:val="0"/>
          <w:caps w:val="0"/>
          <w:spacing w:val="0"/>
          <w:sz w:val="24"/>
          <w:szCs w:val="24"/>
          <w:highlight w:val="none"/>
          <w:shd w:val="clear" w:fill="FFFFFF"/>
        </w:rPr>
        <w:t>@cnooc.com.cn</w:t>
      </w:r>
      <w:r>
        <w:rPr>
          <w:rFonts w:hint="eastAsia" w:ascii="宋体" w:hAnsi="宋体" w:eastAsia="宋体" w:cs="宋体"/>
          <w:i w:val="0"/>
          <w:iCs w:val="0"/>
          <w:caps w:val="0"/>
          <w:spacing w:val="0"/>
          <w:sz w:val="24"/>
          <w:szCs w:val="24"/>
          <w:highlight w:val="none"/>
          <w:shd w:val="clear" w:fill="FFFFFF"/>
          <w:lang w:val="en-US" w:eastAsia="zh-CN"/>
        </w:rPr>
        <w:fldChar w:fldCharType="end"/>
      </w:r>
    </w:p>
    <w:p>
      <w:pPr>
        <w:tabs>
          <w:tab w:val="left" w:pos="993"/>
          <w:tab w:val="left" w:pos="1134"/>
          <w:tab w:val="left" w:pos="1418"/>
        </w:tabs>
        <w:spacing w:line="560" w:lineRule="exact"/>
        <w:ind w:firstLine="480" w:firstLineChars="200"/>
        <w:rPr>
          <w:rFonts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如对上述公开内容真实、有效性存疑，请拨打社会监督电话：022-25802262，其他事项不受理</w:t>
      </w:r>
    </w:p>
    <w:p>
      <w:pPr>
        <w:tabs>
          <w:tab w:val="left" w:pos="993"/>
          <w:tab w:val="left" w:pos="1134"/>
          <w:tab w:val="left" w:pos="1418"/>
        </w:tabs>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p>
    <w:p>
      <w:pPr>
        <w:tabs>
          <w:tab w:val="left" w:pos="993"/>
          <w:tab w:val="left" w:pos="1134"/>
          <w:tab w:val="left" w:pos="1418"/>
        </w:tabs>
        <w:spacing w:line="600" w:lineRule="exact"/>
        <w:ind w:right="320" w:firstLine="960" w:firstLineChars="300"/>
        <w:jc w:val="right"/>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中海油能源发展股份有限公司</w:t>
      </w:r>
    </w:p>
    <w:p>
      <w:pPr>
        <w:tabs>
          <w:tab w:val="left" w:pos="993"/>
          <w:tab w:val="left" w:pos="1134"/>
          <w:tab w:val="left" w:pos="1418"/>
        </w:tabs>
        <w:spacing w:line="600" w:lineRule="exact"/>
        <w:ind w:right="320" w:firstLine="960" w:firstLineChars="300"/>
        <w:jc w:val="righ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采办共享中心</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2025年11月25日</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2E7E5"/>
    <w:multiLevelType w:val="singleLevel"/>
    <w:tmpl w:val="E962E7E5"/>
    <w:lvl w:ilvl="0" w:tentative="0">
      <w:start w:val="1"/>
      <w:numFmt w:val="decimal"/>
      <w:suff w:val="nothing"/>
      <w:lvlText w:val="（%1）"/>
      <w:lvlJc w:val="left"/>
      <w:pPr>
        <w:ind w:left="21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s>
  <w:rsids>
    <w:rsidRoot w:val="00AE20AB"/>
    <w:rsid w:val="00040102"/>
    <w:rsid w:val="002E3C4A"/>
    <w:rsid w:val="004029A6"/>
    <w:rsid w:val="008B2455"/>
    <w:rsid w:val="00AE20AB"/>
    <w:rsid w:val="00B90161"/>
    <w:rsid w:val="00ED277A"/>
    <w:rsid w:val="01D0649C"/>
    <w:rsid w:val="092B7F62"/>
    <w:rsid w:val="099B3DC7"/>
    <w:rsid w:val="0C6544AF"/>
    <w:rsid w:val="0E310D00"/>
    <w:rsid w:val="14664B9B"/>
    <w:rsid w:val="14DD3DDA"/>
    <w:rsid w:val="16D031CA"/>
    <w:rsid w:val="1DE6107C"/>
    <w:rsid w:val="216A4064"/>
    <w:rsid w:val="27540275"/>
    <w:rsid w:val="2C75754A"/>
    <w:rsid w:val="2F1D243A"/>
    <w:rsid w:val="302A0735"/>
    <w:rsid w:val="332F50F0"/>
    <w:rsid w:val="363C7D6F"/>
    <w:rsid w:val="38762C5A"/>
    <w:rsid w:val="3A9279DB"/>
    <w:rsid w:val="3B825B3F"/>
    <w:rsid w:val="3C7C6C1F"/>
    <w:rsid w:val="3CA47DF6"/>
    <w:rsid w:val="4071592F"/>
    <w:rsid w:val="42682AA6"/>
    <w:rsid w:val="457A5930"/>
    <w:rsid w:val="48A23F03"/>
    <w:rsid w:val="4B411FE4"/>
    <w:rsid w:val="4D304B7F"/>
    <w:rsid w:val="4FF60A89"/>
    <w:rsid w:val="50A357D9"/>
    <w:rsid w:val="55027593"/>
    <w:rsid w:val="559E3ACD"/>
    <w:rsid w:val="559E7BED"/>
    <w:rsid w:val="56ED527D"/>
    <w:rsid w:val="572E7E68"/>
    <w:rsid w:val="59A330AA"/>
    <w:rsid w:val="5DFD5D57"/>
    <w:rsid w:val="5EB32D6E"/>
    <w:rsid w:val="604F1378"/>
    <w:rsid w:val="629A1AE5"/>
    <w:rsid w:val="63D36576"/>
    <w:rsid w:val="67485E8C"/>
    <w:rsid w:val="67C5420A"/>
    <w:rsid w:val="74BC4837"/>
    <w:rsid w:val="790A5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1"/>
    <w:qFormat/>
    <w:uiPriority w:val="1"/>
    <w:pPr>
      <w:spacing w:before="36"/>
      <w:ind w:left="780"/>
    </w:pPr>
    <w:rPr>
      <w:rFonts w:ascii="宋体" w:hAnsi="宋体" w:eastAsia="宋体"/>
      <w:sz w:val="21"/>
      <w:szCs w:val="21"/>
    </w:rPr>
  </w:style>
  <w:style w:type="paragraph" w:styleId="4">
    <w:name w:val="Body Text Indent"/>
    <w:basedOn w:val="1"/>
    <w:unhideWhenUsed/>
    <w:qFormat/>
    <w:uiPriority w:val="0"/>
    <w:pPr>
      <w:spacing w:after="120"/>
      <w:ind w:left="420" w:leftChars="200"/>
    </w:pPr>
  </w:style>
  <w:style w:type="paragraph" w:styleId="5">
    <w:name w:val="footer"/>
    <w:basedOn w:val="1"/>
    <w:link w:val="27"/>
    <w:unhideWhenUsed/>
    <w:qFormat/>
    <w:uiPriority w:val="99"/>
    <w:pPr>
      <w:tabs>
        <w:tab w:val="center" w:pos="4153"/>
        <w:tab w:val="right" w:pos="8306"/>
      </w:tabs>
      <w:snapToGrid w:val="0"/>
      <w:jc w:val="left"/>
    </w:pPr>
    <w:rPr>
      <w:sz w:val="18"/>
      <w:szCs w:val="18"/>
    </w:rPr>
  </w:style>
  <w:style w:type="paragraph" w:styleId="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semiHidden/>
    <w:unhideWhenUsed/>
    <w:qFormat/>
    <w:uiPriority w:val="99"/>
    <w:pPr>
      <w:ind w:firstLine="420" w:firstLineChars="200"/>
    </w:pPr>
  </w:style>
  <w:style w:type="table" w:styleId="9">
    <w:name w:val="Table Grid"/>
    <w:basedOn w:val="8"/>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qFormat/>
    <w:uiPriority w:val="99"/>
    <w:rPr>
      <w:color w:val="333333"/>
      <w:u w:val="none"/>
    </w:rPr>
  </w:style>
  <w:style w:type="character" w:styleId="13">
    <w:name w:val="Emphasis"/>
    <w:basedOn w:val="10"/>
    <w:qFormat/>
    <w:uiPriority w:val="20"/>
    <w:rPr>
      <w:b/>
      <w:bCs/>
    </w:rPr>
  </w:style>
  <w:style w:type="character" w:styleId="14">
    <w:name w:val="HTML Definition"/>
    <w:basedOn w:val="10"/>
    <w:semiHidden/>
    <w:unhideWhenUsed/>
    <w:qFormat/>
    <w:uiPriority w:val="99"/>
  </w:style>
  <w:style w:type="character" w:styleId="15">
    <w:name w:val="HTML Typewriter"/>
    <w:basedOn w:val="10"/>
    <w:semiHidden/>
    <w:unhideWhenUsed/>
    <w:qFormat/>
    <w:uiPriority w:val="99"/>
    <w:rPr>
      <w:rFonts w:hint="default" w:ascii="monospace" w:hAnsi="monospace" w:eastAsia="monospace" w:cs="monospace"/>
      <w:sz w:val="20"/>
    </w:rPr>
  </w:style>
  <w:style w:type="character" w:styleId="16">
    <w:name w:val="HTML Acronym"/>
    <w:basedOn w:val="10"/>
    <w:semiHidden/>
    <w:unhideWhenUsed/>
    <w:qFormat/>
    <w:uiPriority w:val="99"/>
  </w:style>
  <w:style w:type="character" w:styleId="17">
    <w:name w:val="HTML Variable"/>
    <w:basedOn w:val="10"/>
    <w:semiHidden/>
    <w:unhideWhenUsed/>
    <w:qFormat/>
    <w:uiPriority w:val="99"/>
  </w:style>
  <w:style w:type="character" w:styleId="18">
    <w:name w:val="Hyperlink"/>
    <w:basedOn w:val="10"/>
    <w:semiHidden/>
    <w:unhideWhenUsed/>
    <w:qFormat/>
    <w:uiPriority w:val="99"/>
    <w:rPr>
      <w:color w:val="0000FF"/>
      <w:u w:val="single"/>
    </w:rPr>
  </w:style>
  <w:style w:type="character" w:styleId="19">
    <w:name w:val="HTML Code"/>
    <w:basedOn w:val="10"/>
    <w:semiHidden/>
    <w:unhideWhenUsed/>
    <w:qFormat/>
    <w:uiPriority w:val="99"/>
    <w:rPr>
      <w:rFonts w:hint="default" w:ascii="monospace" w:hAnsi="monospace" w:eastAsia="monospace" w:cs="monospace"/>
      <w:sz w:val="20"/>
    </w:rPr>
  </w:style>
  <w:style w:type="character" w:styleId="20">
    <w:name w:val="HTML Cite"/>
    <w:basedOn w:val="10"/>
    <w:semiHidden/>
    <w:unhideWhenUsed/>
    <w:qFormat/>
    <w:uiPriority w:val="99"/>
  </w:style>
  <w:style w:type="character" w:styleId="21">
    <w:name w:val="HTML Keyboard"/>
    <w:basedOn w:val="10"/>
    <w:semiHidden/>
    <w:unhideWhenUsed/>
    <w:qFormat/>
    <w:uiPriority w:val="99"/>
    <w:rPr>
      <w:rFonts w:hint="default" w:ascii="monospace" w:hAnsi="monospace" w:eastAsia="monospace" w:cs="monospace"/>
      <w:sz w:val="20"/>
      <w:shd w:val="clear" w:fill="F0F1F2"/>
    </w:rPr>
  </w:style>
  <w:style w:type="character" w:styleId="22">
    <w:name w:val="HTML Sample"/>
    <w:basedOn w:val="10"/>
    <w:semiHidden/>
    <w:unhideWhenUsed/>
    <w:qFormat/>
    <w:uiPriority w:val="99"/>
    <w:rPr>
      <w:rFonts w:ascii="monospace" w:hAnsi="monospace" w:eastAsia="monospace" w:cs="monospace"/>
    </w:rPr>
  </w:style>
  <w:style w:type="paragraph" w:customStyle="1" w:styleId="23">
    <w:name w:val="默认段落字体 Para Char"/>
    <w:basedOn w:val="24"/>
    <w:next w:val="25"/>
    <w:qFormat/>
    <w:uiPriority w:val="0"/>
    <w:pPr>
      <w:spacing w:before="80" w:after="80" w:line="360" w:lineRule="auto"/>
      <w:jc w:val="both"/>
    </w:pPr>
    <w:rPr>
      <w:rFonts w:ascii="Calibri" w:hAnsi="Calibri" w:eastAsia="宋体" w:cs="Times New Roman"/>
      <w:kern w:val="2"/>
      <w:sz w:val="24"/>
      <w:szCs w:val="20"/>
      <w:lang w:eastAsia="zh-CN"/>
    </w:rPr>
  </w:style>
  <w:style w:type="paragraph" w:customStyle="1" w:styleId="2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Normal_1"/>
    <w:next w:val="2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页眉 字符"/>
    <w:basedOn w:val="10"/>
    <w:link w:val="6"/>
    <w:qFormat/>
    <w:uiPriority w:val="99"/>
    <w:rPr>
      <w:sz w:val="18"/>
      <w:szCs w:val="18"/>
    </w:rPr>
  </w:style>
  <w:style w:type="character" w:customStyle="1" w:styleId="27">
    <w:name w:val="页脚 字符"/>
    <w:basedOn w:val="10"/>
    <w:link w:val="5"/>
    <w:qFormat/>
    <w:uiPriority w:val="99"/>
    <w:rPr>
      <w:sz w:val="18"/>
      <w:szCs w:val="18"/>
    </w:rPr>
  </w:style>
  <w:style w:type="paragraph" w:customStyle="1" w:styleId="28">
    <w:name w:val="Table Paragraph"/>
    <w:basedOn w:val="1"/>
    <w:qFormat/>
    <w:uiPriority w:val="0"/>
    <w:pPr>
      <w:jc w:val="left"/>
    </w:pPr>
    <w:rPr>
      <w:kern w:val="0"/>
      <w:sz w:val="22"/>
      <w:lang w:eastAsia="en-US"/>
    </w:rPr>
  </w:style>
  <w:style w:type="character" w:customStyle="1" w:styleId="29">
    <w:name w:val="ui-icon47"/>
    <w:basedOn w:val="10"/>
    <w:qFormat/>
    <w:uiPriority w:val="0"/>
  </w:style>
  <w:style w:type="character" w:customStyle="1" w:styleId="30">
    <w:name w:val="comboiconspan"/>
    <w:basedOn w:val="10"/>
    <w:qFormat/>
    <w:uiPriority w:val="0"/>
  </w:style>
  <w:style w:type="character" w:customStyle="1" w:styleId="31">
    <w:name w:val="comboiconspanclear"/>
    <w:basedOn w:val="10"/>
    <w:qFormat/>
    <w:uiPriority w:val="0"/>
  </w:style>
  <w:style w:type="character" w:customStyle="1" w:styleId="32">
    <w:name w:val="clear"/>
    <w:basedOn w:val="10"/>
    <w:qFormat/>
    <w:uiPriority w:val="0"/>
  </w:style>
  <w:style w:type="character" w:customStyle="1" w:styleId="33">
    <w:name w:val="select"/>
    <w:basedOn w:val="10"/>
    <w:qFormat/>
    <w:uiPriority w:val="0"/>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1064</Words>
  <Characters>1153</Characters>
  <Lines>2</Lines>
  <Paragraphs>1</Paragraphs>
  <TotalTime>145</TotalTime>
  <ScaleCrop>false</ScaleCrop>
  <LinksUpToDate>false</LinksUpToDate>
  <CharactersWithSpaces>1173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HP</cp:lastModifiedBy>
  <dcterms:modified xsi:type="dcterms:W3CDTF">2025-11-25T09:56:38Z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3734AFAE6C2F47679429E7FBAF45BEB5</vt:lpwstr>
  </property>
</Properties>
</file>