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黑体"/>
          <w:color w:val="000000"/>
          <w:sz w:val="32"/>
          <w:szCs w:val="28"/>
          <w:highlight w:val="none"/>
          <w:lang w:eastAsia="zh-CN"/>
        </w:rPr>
      </w:pPr>
      <w:r>
        <w:rPr>
          <w:rFonts w:hint="eastAsia" w:eastAsia="黑体"/>
          <w:color w:val="000000"/>
          <w:sz w:val="32"/>
          <w:szCs w:val="28"/>
          <w:highlight w:val="none"/>
          <w:lang w:eastAsia="zh-CN"/>
        </w:rPr>
        <w:t>省道娘阳线水峪至马家坡段路面养护工程施工监理</w:t>
      </w:r>
    </w:p>
    <w:p>
      <w:pPr>
        <w:jc w:val="center"/>
        <w:rPr>
          <w:rFonts w:hint="eastAsia" w:eastAsia="黑体"/>
          <w:color w:val="000000"/>
          <w:sz w:val="32"/>
          <w:szCs w:val="28"/>
          <w:highlight w:val="none"/>
          <w:lang w:eastAsia="zh-CN"/>
        </w:rPr>
      </w:pPr>
      <w:r>
        <w:rPr>
          <w:rFonts w:hint="eastAsia" w:eastAsia="黑体"/>
          <w:color w:val="000000"/>
          <w:sz w:val="32"/>
          <w:szCs w:val="28"/>
          <w:highlight w:val="none"/>
          <w:lang w:eastAsia="zh-CN"/>
        </w:rPr>
        <w:t>关键内容公开</w:t>
      </w:r>
    </w:p>
    <w:p>
      <w:pPr>
        <w:keepNext w:val="0"/>
        <w:keepLines w:val="0"/>
        <w:pageBreakBefore w:val="0"/>
        <w:kinsoku/>
        <w:wordWrap/>
        <w:overflowPunct/>
        <w:topLinePunct/>
        <w:autoSpaceDE/>
        <w:autoSpaceDN/>
        <w:bidi w:val="0"/>
        <w:adjustRightInd/>
        <w:snapToGrid w:val="0"/>
        <w:spacing w:line="380" w:lineRule="auto"/>
        <w:jc w:val="left"/>
        <w:textAlignment w:val="auto"/>
        <w:rPr>
          <w:rFonts w:hint="eastAsia" w:eastAsia="宋体"/>
          <w:color w:val="000000"/>
          <w:sz w:val="24"/>
          <w:highlight w:val="none"/>
          <w:lang w:eastAsia="zh-CN"/>
        </w:rPr>
      </w:pPr>
      <w:r>
        <w:rPr>
          <w:color w:val="000000"/>
          <w:sz w:val="24"/>
          <w:highlight w:val="none"/>
        </w:rPr>
        <w:t>招标项目所在地区：</w:t>
      </w:r>
      <w:r>
        <w:rPr>
          <w:rFonts w:hint="eastAsia"/>
          <w:color w:val="000000"/>
          <w:sz w:val="24"/>
          <w:highlight w:val="none"/>
          <w:lang w:eastAsia="zh-CN"/>
        </w:rPr>
        <w:t>阳泉市</w:t>
      </w:r>
    </w:p>
    <w:p>
      <w:pPr>
        <w:keepNext w:val="0"/>
        <w:keepLines w:val="0"/>
        <w:pageBreakBefore w:val="0"/>
        <w:numPr>
          <w:ilvl w:val="0"/>
          <w:numId w:val="0"/>
        </w:numPr>
        <w:kinsoku/>
        <w:wordWrap/>
        <w:overflowPunct/>
        <w:topLinePunct/>
        <w:autoSpaceDE/>
        <w:autoSpaceDN/>
        <w:bidi w:val="0"/>
        <w:adjustRightInd/>
        <w:snapToGrid w:val="0"/>
        <w:spacing w:line="380" w:lineRule="auto"/>
        <w:textAlignment w:val="auto"/>
        <w:outlineLvl w:val="1"/>
        <w:rPr>
          <w:rFonts w:eastAsia="黑体"/>
          <w:bCs/>
          <w:color w:val="000000"/>
          <w:sz w:val="28"/>
          <w:szCs w:val="28"/>
          <w:highlight w:val="none"/>
        </w:rPr>
      </w:pPr>
      <w:bookmarkStart w:id="0" w:name="_Toc396461573"/>
      <w:bookmarkStart w:id="1" w:name="_Toc396460405"/>
      <w:bookmarkStart w:id="2" w:name="_Toc447602673"/>
      <w:r>
        <w:rPr>
          <w:rFonts w:hint="eastAsia" w:eastAsia="黑体"/>
          <w:bCs/>
          <w:color w:val="000000"/>
          <w:sz w:val="28"/>
          <w:szCs w:val="28"/>
          <w:highlight w:val="none"/>
          <w:lang w:val="en-US" w:eastAsia="zh-CN"/>
        </w:rPr>
        <w:t>1、</w:t>
      </w:r>
      <w:r>
        <w:rPr>
          <w:rFonts w:eastAsia="黑体"/>
          <w:bCs/>
          <w:color w:val="000000"/>
          <w:sz w:val="28"/>
          <w:szCs w:val="28"/>
          <w:highlight w:val="none"/>
        </w:rPr>
        <w:t>招标条件</w:t>
      </w:r>
      <w:bookmarkEnd w:id="0"/>
      <w:bookmarkEnd w:id="1"/>
      <w:bookmarkEnd w:id="2"/>
    </w:p>
    <w:p>
      <w:pPr>
        <w:keepNext w:val="0"/>
        <w:keepLines w:val="0"/>
        <w:pageBreakBefore w:val="0"/>
        <w:shd w:val="clear"/>
        <w:kinsoku/>
        <w:overflowPunct/>
        <w:autoSpaceDE/>
        <w:autoSpaceDN/>
        <w:bidi w:val="0"/>
        <w:adjustRightInd/>
        <w:snapToGrid/>
        <w:spacing w:line="360" w:lineRule="auto"/>
        <w:ind w:firstLine="480" w:firstLineChars="200"/>
        <w:textAlignment w:val="auto"/>
        <w:rPr>
          <w:rFonts w:hint="eastAsia" w:ascii="Times New Roman" w:hAnsi="Times New Roman" w:eastAsia="宋体" w:cs="Times New Roman"/>
          <w:color w:val="000000"/>
          <w:sz w:val="24"/>
          <w:highlight w:val="none"/>
          <w:lang w:eastAsia="zh-CN"/>
        </w:rPr>
      </w:pPr>
      <w:r>
        <w:rPr>
          <w:rFonts w:hint="eastAsia" w:ascii="Times New Roman" w:hAnsi="Times New Roman" w:eastAsia="宋体" w:cs="Times New Roman"/>
          <w:color w:val="000000"/>
          <w:sz w:val="24"/>
          <w:highlight w:val="none"/>
          <w:lang w:eastAsia="zh-CN"/>
        </w:rPr>
        <w:t>本招标项目省道娘阳线水峪至马家坡段路面养护工程施工监理（招标项目编号：M1401000155101221</w:t>
      </w:r>
      <w:r>
        <w:rPr>
          <w:rFonts w:hint="eastAsia" w:cs="Times New Roman"/>
          <w:color w:val="000000"/>
          <w:sz w:val="24"/>
          <w:highlight w:val="none"/>
          <w:lang w:val="en-US" w:eastAsia="zh-CN"/>
        </w:rPr>
        <w:t>001</w:t>
      </w:r>
      <w:r>
        <w:rPr>
          <w:rFonts w:hint="eastAsia" w:ascii="Times New Roman" w:hAnsi="Times New Roman" w:eastAsia="宋体" w:cs="Times New Roman"/>
          <w:color w:val="000000"/>
          <w:sz w:val="24"/>
          <w:highlight w:val="none"/>
          <w:lang w:eastAsia="zh-CN"/>
        </w:rPr>
        <w:t>），</w:t>
      </w:r>
      <w:r>
        <w:rPr>
          <w:rFonts w:hint="eastAsia" w:ascii="Times New Roman" w:hAnsi="Times New Roman" w:eastAsia="宋体" w:cs="Times New Roman"/>
          <w:color w:val="000000"/>
          <w:sz w:val="24"/>
          <w:highlight w:val="none"/>
          <w:lang w:val="en-US" w:eastAsia="zh-CN"/>
        </w:rPr>
        <w:t>施工图设计已</w:t>
      </w:r>
      <w:r>
        <w:rPr>
          <w:rFonts w:hint="eastAsia" w:ascii="Times New Roman" w:hAnsi="Times New Roman" w:eastAsia="宋体" w:cs="Times New Roman"/>
          <w:color w:val="000000"/>
          <w:sz w:val="24"/>
          <w:highlight w:val="none"/>
          <w:lang w:eastAsia="zh-CN"/>
        </w:rPr>
        <w:t>由山西省交通运输厅以晋交审批发【</w:t>
      </w:r>
      <w:r>
        <w:rPr>
          <w:rFonts w:hint="eastAsia" w:ascii="Times New Roman" w:hAnsi="Times New Roman" w:eastAsia="宋体" w:cs="Times New Roman"/>
          <w:color w:val="000000"/>
          <w:sz w:val="24"/>
          <w:highlight w:val="none"/>
          <w:lang w:val="en-US" w:eastAsia="zh-CN"/>
        </w:rPr>
        <w:t>2023</w:t>
      </w:r>
      <w:r>
        <w:rPr>
          <w:rFonts w:hint="eastAsia" w:ascii="Times New Roman" w:hAnsi="Times New Roman" w:eastAsia="宋体" w:cs="Times New Roman"/>
          <w:color w:val="000000"/>
          <w:sz w:val="24"/>
          <w:highlight w:val="none"/>
          <w:lang w:eastAsia="zh-CN"/>
        </w:rPr>
        <w:t>】</w:t>
      </w:r>
      <w:r>
        <w:rPr>
          <w:rFonts w:hint="eastAsia" w:cs="Times New Roman"/>
          <w:color w:val="000000"/>
          <w:sz w:val="24"/>
          <w:highlight w:val="none"/>
          <w:lang w:val="en-US" w:eastAsia="zh-CN"/>
        </w:rPr>
        <w:t>369</w:t>
      </w:r>
      <w:r>
        <w:rPr>
          <w:rFonts w:hint="eastAsia" w:ascii="Times New Roman" w:hAnsi="Times New Roman" w:eastAsia="宋体" w:cs="Times New Roman"/>
          <w:color w:val="000000"/>
          <w:sz w:val="24"/>
          <w:highlight w:val="none"/>
          <w:lang w:eastAsia="zh-CN"/>
        </w:rPr>
        <w:t>号文件批准，项目资金来源为</w:t>
      </w:r>
      <w:r>
        <w:rPr>
          <w:rFonts w:hint="eastAsia" w:ascii="Times New Roman" w:hAnsi="Times New Roman" w:eastAsia="宋体" w:cs="Times New Roman"/>
          <w:color w:val="000000"/>
          <w:sz w:val="24"/>
          <w:highlight w:val="none"/>
          <w:lang w:val="en-US" w:eastAsia="zh-CN"/>
        </w:rPr>
        <w:t>政府还贷二级公路取消收费后补助资金、省财政一般公共预算资金或成品油税资金等财政资金</w:t>
      </w:r>
      <w:r>
        <w:rPr>
          <w:rFonts w:hint="eastAsia" w:ascii="Times New Roman" w:hAnsi="Times New Roman" w:eastAsia="宋体" w:cs="Times New Roman"/>
          <w:color w:val="000000"/>
          <w:sz w:val="24"/>
          <w:highlight w:val="none"/>
          <w:lang w:eastAsia="zh-CN"/>
        </w:rPr>
        <w:t>。招标人为</w:t>
      </w:r>
      <w:r>
        <w:rPr>
          <w:rFonts w:hint="eastAsia" w:cs="Times New Roman"/>
          <w:color w:val="000000"/>
          <w:sz w:val="24"/>
          <w:highlight w:val="none"/>
          <w:lang w:eastAsia="zh-CN"/>
        </w:rPr>
        <w:t>山西省公路局阳泉分局</w:t>
      </w:r>
      <w:r>
        <w:rPr>
          <w:rFonts w:hint="eastAsia" w:ascii="Times New Roman" w:hAnsi="Times New Roman" w:eastAsia="宋体" w:cs="Times New Roman"/>
          <w:color w:val="000000"/>
          <w:sz w:val="24"/>
          <w:highlight w:val="none"/>
          <w:lang w:eastAsia="zh-CN"/>
        </w:rPr>
        <w:t>（以下简称“招标人”），招标代理为</w:t>
      </w:r>
      <w:r>
        <w:rPr>
          <w:rFonts w:hint="eastAsia" w:cs="Times New Roman"/>
          <w:color w:val="000000"/>
          <w:sz w:val="24"/>
          <w:highlight w:val="none"/>
          <w:lang w:eastAsia="zh-CN"/>
        </w:rPr>
        <w:t>山西同昇昌项目管理咨询有限公司</w:t>
      </w:r>
      <w:r>
        <w:rPr>
          <w:rFonts w:hint="eastAsia" w:ascii="Times New Roman" w:hAnsi="Times New Roman" w:eastAsia="宋体" w:cs="Times New Roman"/>
          <w:color w:val="000000"/>
          <w:sz w:val="24"/>
          <w:highlight w:val="none"/>
          <w:lang w:eastAsia="zh-CN"/>
        </w:rPr>
        <w:t>（以下简称“招标代理），</w:t>
      </w:r>
      <w:r>
        <w:rPr>
          <w:rFonts w:hint="eastAsia" w:ascii="宋体" w:hAnsi="宋体"/>
          <w:color w:val="000000"/>
          <w:sz w:val="24"/>
          <w:highlight w:val="none"/>
        </w:rPr>
        <w:t>项目已具备招标条件，现对该项目的施工</w:t>
      </w:r>
      <w:r>
        <w:rPr>
          <w:rFonts w:hint="eastAsia" w:ascii="宋体" w:hAnsi="宋体"/>
          <w:color w:val="000000"/>
          <w:sz w:val="24"/>
          <w:highlight w:val="none"/>
          <w:lang w:eastAsia="zh-CN"/>
        </w:rPr>
        <w:t>监理</w:t>
      </w:r>
      <w:r>
        <w:rPr>
          <w:rFonts w:hint="eastAsia" w:ascii="宋体" w:hAnsi="宋体"/>
          <w:color w:val="000000"/>
          <w:sz w:val="24"/>
          <w:highlight w:val="none"/>
        </w:rPr>
        <w:t>以资格后审的方式进行公开招标</w:t>
      </w:r>
      <w:r>
        <w:rPr>
          <w:rFonts w:hint="eastAsia" w:ascii="宋体" w:hAnsi="宋体" w:cs="华文仿宋"/>
          <w:sz w:val="24"/>
          <w:highlight w:val="none"/>
        </w:rPr>
        <w:t>。</w:t>
      </w:r>
    </w:p>
    <w:p>
      <w:pPr>
        <w:keepNext w:val="0"/>
        <w:keepLines w:val="0"/>
        <w:pageBreakBefore w:val="0"/>
        <w:kinsoku/>
        <w:wordWrap/>
        <w:overflowPunct/>
        <w:topLinePunct/>
        <w:autoSpaceDE/>
        <w:autoSpaceDN/>
        <w:bidi w:val="0"/>
        <w:adjustRightInd/>
        <w:snapToGrid w:val="0"/>
        <w:spacing w:line="380" w:lineRule="auto"/>
        <w:textAlignment w:val="auto"/>
        <w:outlineLvl w:val="1"/>
        <w:rPr>
          <w:rFonts w:eastAsia="黑体"/>
          <w:bCs/>
          <w:color w:val="000000"/>
          <w:sz w:val="28"/>
          <w:szCs w:val="28"/>
          <w:highlight w:val="none"/>
        </w:rPr>
      </w:pPr>
      <w:bookmarkStart w:id="3" w:name="_Toc447602674"/>
      <w:r>
        <w:rPr>
          <w:rFonts w:eastAsia="黑体"/>
          <w:bCs/>
          <w:color w:val="000000"/>
          <w:sz w:val="28"/>
          <w:szCs w:val="28"/>
          <w:highlight w:val="none"/>
        </w:rPr>
        <w:t>2、项目概况与招标范围</w:t>
      </w:r>
      <w:bookmarkEnd w:id="3"/>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textAlignment w:val="auto"/>
        <w:rPr>
          <w:rFonts w:hint="eastAsia" w:ascii="Times New Roman" w:hAnsi="Times New Roman" w:eastAsia="宋体" w:cs="Times New Roman"/>
          <w:color w:val="auto"/>
          <w:szCs w:val="21"/>
          <w:highlight w:val="none"/>
          <w:lang w:eastAsia="zh-CN"/>
        </w:rPr>
      </w:pPr>
      <w:r>
        <w:rPr>
          <w:rFonts w:hint="eastAsia" w:ascii="宋体" w:hAnsi="宋体"/>
          <w:color w:val="000000"/>
          <w:sz w:val="24"/>
          <w:highlight w:val="none"/>
        </w:rPr>
        <w:t>2.1项目</w:t>
      </w:r>
      <w:r>
        <w:rPr>
          <w:color w:val="000000"/>
          <w:sz w:val="24"/>
          <w:highlight w:val="none"/>
        </w:rPr>
        <w:t>概况</w:t>
      </w:r>
      <w:r>
        <w:rPr>
          <w:rFonts w:hint="eastAsia" w:ascii="宋体" w:hAnsi="宋体"/>
          <w:color w:val="000000"/>
          <w:sz w:val="24"/>
          <w:highlight w:val="none"/>
        </w:rPr>
        <w:t>：</w:t>
      </w:r>
      <w:bookmarkStart w:id="4" w:name="_Hlk53352184"/>
      <w:r>
        <w:rPr>
          <w:rFonts w:hint="eastAsia"/>
          <w:color w:val="000000"/>
          <w:sz w:val="24"/>
          <w:highlight w:val="none"/>
          <w:lang w:eastAsia="zh-CN"/>
        </w:rPr>
        <w:t>省道315线水峪至马家坡段路面养护工程，工程起点K24+211，终点K49+424，全长25.213km，其中含一座中隧道（天子庙隧道）。技术标准均维持原有一级公路技术标准不变，以改善和提高路面结构等级为主。按上下行累计，功能性修复3.28公里，结构性修复47.15公里，同步处治路面局部病害，新建中央护栏，完善隧道机电设施和沿线排水设施等。</w:t>
      </w:r>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textAlignment w:val="auto"/>
        <w:rPr>
          <w:rFonts w:ascii="Times New Roman" w:hAnsi="Times New Roman" w:cs="Times New Roman"/>
          <w:color w:val="auto"/>
          <w:highlight w:val="none"/>
        </w:rPr>
      </w:pPr>
      <w:r>
        <w:rPr>
          <w:rFonts w:ascii="Times New Roman" w:hAnsi="Times New Roman" w:cs="Times New Roman"/>
          <w:color w:val="auto"/>
          <w:highlight w:val="none"/>
        </w:rPr>
        <w:t>2.2招标内容与范围：</w:t>
      </w:r>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80" w:firstLineChars="200"/>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本次招标范围为</w:t>
      </w:r>
      <w:r>
        <w:rPr>
          <w:rFonts w:hint="eastAsia" w:ascii="Times New Roman" w:hAnsi="Times New Roman" w:cs="Times New Roman"/>
          <w:color w:val="auto"/>
          <w:highlight w:val="none"/>
          <w:lang w:eastAsia="zh-CN"/>
        </w:rPr>
        <w:t>省道娘阳线水峪至马家坡段路面养护工程施工监理，</w:t>
      </w:r>
      <w:r>
        <w:rPr>
          <w:rFonts w:ascii="Times New Roman" w:hAnsi="Times New Roman" w:cs="Times New Roman"/>
          <w:color w:val="auto"/>
          <w:highlight w:val="none"/>
        </w:rPr>
        <w:t>共划分为</w:t>
      </w:r>
      <w:r>
        <w:rPr>
          <w:rFonts w:hint="eastAsia" w:ascii="Times New Roman" w:hAnsi="Times New Roman" w:cs="Times New Roman"/>
          <w:color w:val="auto"/>
          <w:highlight w:val="none"/>
          <w:lang w:val="en-US" w:eastAsia="zh-CN"/>
        </w:rPr>
        <w:t>1</w:t>
      </w:r>
      <w:r>
        <w:rPr>
          <w:rFonts w:ascii="Times New Roman" w:hAnsi="Times New Roman" w:cs="Times New Roman"/>
          <w:color w:val="auto"/>
          <w:highlight w:val="none"/>
        </w:rPr>
        <w:t>个标段，详见下表：</w:t>
      </w:r>
    </w:p>
    <w:tbl>
      <w:tblPr>
        <w:tblStyle w:val="10"/>
        <w:tblW w:w="95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7"/>
        <w:gridCol w:w="1981"/>
        <w:gridCol w:w="1658"/>
        <w:gridCol w:w="46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317" w:type="dxa"/>
            <w:vAlign w:val="center"/>
          </w:tcPr>
          <w:p>
            <w:pPr>
              <w:keepNext w:val="0"/>
              <w:keepLines w:val="0"/>
              <w:pageBreakBefore w:val="0"/>
              <w:shd w:val="clear"/>
              <w:tabs>
                <w:tab w:val="left" w:pos="0"/>
              </w:tabs>
              <w:kinsoku/>
              <w:overflowPunct/>
              <w:autoSpaceDE/>
              <w:autoSpaceDN/>
              <w:bidi w:val="0"/>
              <w:adjustRightInd/>
              <w:snapToGrid/>
              <w:spacing w:beforeLines="25" w:line="360" w:lineRule="auto"/>
              <w:jc w:val="center"/>
              <w:textAlignment w:val="auto"/>
              <w:rPr>
                <w:b/>
                <w:bCs/>
                <w:szCs w:val="21"/>
                <w:highlight w:val="none"/>
              </w:rPr>
            </w:pPr>
            <w:r>
              <w:rPr>
                <w:b/>
                <w:bCs/>
                <w:szCs w:val="21"/>
                <w:highlight w:val="none"/>
              </w:rPr>
              <w:t>标段</w:t>
            </w:r>
          </w:p>
        </w:tc>
        <w:tc>
          <w:tcPr>
            <w:tcW w:w="1981" w:type="dxa"/>
            <w:vAlign w:val="center"/>
          </w:tcPr>
          <w:p>
            <w:pPr>
              <w:keepNext w:val="0"/>
              <w:keepLines w:val="0"/>
              <w:pageBreakBefore w:val="0"/>
              <w:shd w:val="clear"/>
              <w:tabs>
                <w:tab w:val="left" w:pos="0"/>
              </w:tabs>
              <w:kinsoku/>
              <w:overflowPunct/>
              <w:autoSpaceDE/>
              <w:autoSpaceDN/>
              <w:bidi w:val="0"/>
              <w:adjustRightInd/>
              <w:snapToGrid/>
              <w:spacing w:beforeLines="25" w:line="360" w:lineRule="auto"/>
              <w:jc w:val="center"/>
              <w:textAlignment w:val="auto"/>
              <w:rPr>
                <w:b/>
                <w:bCs/>
                <w:szCs w:val="21"/>
                <w:highlight w:val="none"/>
              </w:rPr>
            </w:pPr>
            <w:r>
              <w:rPr>
                <w:b/>
                <w:bCs/>
                <w:szCs w:val="21"/>
                <w:highlight w:val="none"/>
              </w:rPr>
              <w:t>对应施工标段</w:t>
            </w:r>
          </w:p>
        </w:tc>
        <w:tc>
          <w:tcPr>
            <w:tcW w:w="1658" w:type="dxa"/>
            <w:vAlign w:val="center"/>
          </w:tcPr>
          <w:p>
            <w:pPr>
              <w:keepNext w:val="0"/>
              <w:keepLines w:val="0"/>
              <w:pageBreakBefore w:val="0"/>
              <w:shd w:val="clear"/>
              <w:tabs>
                <w:tab w:val="left" w:pos="0"/>
              </w:tabs>
              <w:kinsoku/>
              <w:overflowPunct/>
              <w:autoSpaceDE/>
              <w:autoSpaceDN/>
              <w:bidi w:val="0"/>
              <w:adjustRightInd/>
              <w:snapToGrid/>
              <w:spacing w:beforeLines="25" w:line="360" w:lineRule="auto"/>
              <w:jc w:val="center"/>
              <w:textAlignment w:val="auto"/>
              <w:rPr>
                <w:b/>
                <w:bCs/>
                <w:szCs w:val="21"/>
                <w:highlight w:val="none"/>
              </w:rPr>
            </w:pPr>
            <w:r>
              <w:rPr>
                <w:rFonts w:hint="eastAsia"/>
                <w:b/>
                <w:bCs/>
                <w:szCs w:val="21"/>
                <w:highlight w:val="none"/>
                <w:lang w:eastAsia="zh-CN"/>
              </w:rPr>
              <w:t>处治</w:t>
            </w:r>
            <w:r>
              <w:rPr>
                <w:b/>
                <w:bCs/>
                <w:szCs w:val="21"/>
                <w:highlight w:val="none"/>
              </w:rPr>
              <w:t>长度</w:t>
            </w:r>
          </w:p>
        </w:tc>
        <w:tc>
          <w:tcPr>
            <w:tcW w:w="4615" w:type="dxa"/>
            <w:vAlign w:val="center"/>
          </w:tcPr>
          <w:p>
            <w:pPr>
              <w:keepNext w:val="0"/>
              <w:keepLines w:val="0"/>
              <w:pageBreakBefore w:val="0"/>
              <w:shd w:val="clear"/>
              <w:tabs>
                <w:tab w:val="left" w:pos="0"/>
              </w:tabs>
              <w:kinsoku/>
              <w:overflowPunct/>
              <w:autoSpaceDE/>
              <w:autoSpaceDN/>
              <w:bidi w:val="0"/>
              <w:adjustRightInd/>
              <w:snapToGrid/>
              <w:spacing w:beforeLines="25" w:line="360" w:lineRule="auto"/>
              <w:jc w:val="center"/>
              <w:textAlignment w:val="auto"/>
              <w:rPr>
                <w:b/>
                <w:bCs/>
                <w:szCs w:val="21"/>
                <w:highlight w:val="none"/>
              </w:rPr>
            </w:pPr>
            <w:r>
              <w:rPr>
                <w:b/>
                <w:bCs/>
                <w:szCs w:val="21"/>
                <w:highlight w:val="none"/>
              </w:rPr>
              <w:t>主要工程内容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1317" w:type="dxa"/>
            <w:vAlign w:val="center"/>
          </w:tcPr>
          <w:p>
            <w:pPr>
              <w:keepNext w:val="0"/>
              <w:keepLines w:val="0"/>
              <w:pageBreakBefore w:val="0"/>
              <w:shd w:val="clear"/>
              <w:tabs>
                <w:tab w:val="left" w:pos="0"/>
              </w:tabs>
              <w:kinsoku/>
              <w:overflowPunct/>
              <w:autoSpaceDE/>
              <w:autoSpaceDN/>
              <w:bidi w:val="0"/>
              <w:adjustRightInd/>
              <w:snapToGrid/>
              <w:spacing w:beforeLines="25" w:line="360" w:lineRule="auto"/>
              <w:jc w:val="center"/>
              <w:textAlignment w:val="auto"/>
              <w:rPr>
                <w:szCs w:val="21"/>
                <w:highlight w:val="none"/>
              </w:rPr>
            </w:pPr>
            <w:r>
              <w:rPr>
                <w:szCs w:val="21"/>
                <w:highlight w:val="none"/>
              </w:rPr>
              <w:t>JL1</w:t>
            </w:r>
          </w:p>
        </w:tc>
        <w:tc>
          <w:tcPr>
            <w:tcW w:w="1981" w:type="dxa"/>
            <w:vAlign w:val="center"/>
          </w:tcPr>
          <w:p>
            <w:pPr>
              <w:keepNext w:val="0"/>
              <w:keepLines w:val="0"/>
              <w:pageBreakBefore w:val="0"/>
              <w:shd w:val="clear"/>
              <w:tabs>
                <w:tab w:val="left" w:pos="0"/>
              </w:tabs>
              <w:kinsoku/>
              <w:overflowPunct/>
              <w:autoSpaceDE/>
              <w:autoSpaceDN/>
              <w:bidi w:val="0"/>
              <w:adjustRightInd/>
              <w:snapToGrid/>
              <w:spacing w:line="360" w:lineRule="auto"/>
              <w:jc w:val="center"/>
              <w:textAlignment w:val="auto"/>
              <w:rPr>
                <w:rFonts w:hint="default" w:eastAsia="宋体"/>
                <w:szCs w:val="21"/>
                <w:highlight w:val="none"/>
                <w:lang w:val="en-US" w:eastAsia="zh-CN"/>
              </w:rPr>
            </w:pPr>
            <w:r>
              <w:rPr>
                <w:rFonts w:hint="eastAsia"/>
                <w:szCs w:val="21"/>
                <w:highlight w:val="none"/>
                <w:lang w:val="en-US" w:eastAsia="zh-CN"/>
              </w:rPr>
              <w:t>SG1</w:t>
            </w:r>
          </w:p>
        </w:tc>
        <w:tc>
          <w:tcPr>
            <w:tcW w:w="1658" w:type="dxa"/>
            <w:vAlign w:val="center"/>
          </w:tcPr>
          <w:p>
            <w:pPr>
              <w:keepNext w:val="0"/>
              <w:keepLines w:val="0"/>
              <w:pageBreakBefore w:val="0"/>
              <w:shd w:val="clear"/>
              <w:tabs>
                <w:tab w:val="left" w:pos="0"/>
              </w:tabs>
              <w:kinsoku/>
              <w:overflowPunct/>
              <w:autoSpaceDE/>
              <w:autoSpaceDN/>
              <w:bidi w:val="0"/>
              <w:adjustRightInd/>
              <w:snapToGrid/>
              <w:spacing w:line="360" w:lineRule="auto"/>
              <w:jc w:val="center"/>
              <w:textAlignment w:val="auto"/>
              <w:rPr>
                <w:szCs w:val="21"/>
                <w:highlight w:val="none"/>
              </w:rPr>
            </w:pPr>
            <w:r>
              <w:rPr>
                <w:rFonts w:hint="eastAsia"/>
                <w:szCs w:val="21"/>
                <w:highlight w:val="none"/>
                <w:lang w:val="en-US" w:eastAsia="zh-CN"/>
              </w:rPr>
              <w:t>50.43</w:t>
            </w:r>
            <w:r>
              <w:rPr>
                <w:szCs w:val="21"/>
                <w:highlight w:val="none"/>
              </w:rPr>
              <w:t>km</w:t>
            </w:r>
          </w:p>
        </w:tc>
        <w:tc>
          <w:tcPr>
            <w:tcW w:w="4615" w:type="dxa"/>
            <w:vAlign w:val="center"/>
          </w:tcPr>
          <w:p>
            <w:pPr>
              <w:keepNext w:val="0"/>
              <w:keepLines w:val="0"/>
              <w:pageBreakBefore w:val="0"/>
              <w:shd w:val="clear"/>
              <w:tabs>
                <w:tab w:val="left" w:pos="0"/>
              </w:tabs>
              <w:kinsoku/>
              <w:overflowPunct/>
              <w:autoSpaceDE/>
              <w:autoSpaceDN/>
              <w:bidi w:val="0"/>
              <w:adjustRightInd/>
              <w:snapToGrid/>
              <w:spacing w:beforeLines="25" w:line="360" w:lineRule="auto"/>
              <w:jc w:val="left"/>
              <w:textAlignment w:val="auto"/>
              <w:rPr>
                <w:szCs w:val="20"/>
                <w:highlight w:val="none"/>
              </w:rPr>
            </w:pPr>
            <w:r>
              <w:rPr>
                <w:rFonts w:hint="eastAsia"/>
                <w:szCs w:val="21"/>
                <w:highlight w:val="none"/>
                <w:lang w:val="en-US" w:eastAsia="zh-CN"/>
              </w:rPr>
              <w:t>SG1施工</w:t>
            </w:r>
            <w:r>
              <w:rPr>
                <w:szCs w:val="21"/>
                <w:highlight w:val="none"/>
              </w:rPr>
              <w:t>标段范围内全线路面</w:t>
            </w:r>
            <w:r>
              <w:rPr>
                <w:rFonts w:hint="eastAsia"/>
                <w:szCs w:val="21"/>
                <w:highlight w:val="none"/>
              </w:rPr>
              <w:t>功能性修复</w:t>
            </w:r>
            <w:r>
              <w:rPr>
                <w:rFonts w:hint="eastAsia"/>
                <w:szCs w:val="21"/>
                <w:highlight w:val="none"/>
                <w:lang w:eastAsia="zh-CN"/>
              </w:rPr>
              <w:t>、结构性修复</w:t>
            </w:r>
            <w:r>
              <w:rPr>
                <w:szCs w:val="21"/>
                <w:highlight w:val="none"/>
              </w:rPr>
              <w:t>、交安设施</w:t>
            </w:r>
            <w:r>
              <w:rPr>
                <w:rFonts w:hint="eastAsia"/>
                <w:szCs w:val="21"/>
                <w:highlight w:val="none"/>
                <w:lang w:eastAsia="zh-CN"/>
              </w:rPr>
              <w:t>、机电</w:t>
            </w:r>
            <w:r>
              <w:rPr>
                <w:szCs w:val="21"/>
                <w:highlight w:val="none"/>
              </w:rPr>
              <w:t>等工程的施工监理。</w:t>
            </w:r>
          </w:p>
        </w:tc>
      </w:tr>
    </w:tbl>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80" w:firstLineChars="200"/>
        <w:textAlignment w:val="auto"/>
        <w:rPr>
          <w:rFonts w:ascii="Times New Roman" w:hAnsi="Times New Roman" w:cs="Times New Roman"/>
          <w:color w:val="auto"/>
          <w:highlight w:val="none"/>
        </w:rPr>
      </w:pPr>
      <w:r>
        <w:rPr>
          <w:rFonts w:ascii="Times New Roman" w:hAnsi="Times New Roman" w:cs="Times New Roman"/>
          <w:color w:val="auto"/>
          <w:highlight w:val="none"/>
        </w:rPr>
        <w:t>2.3监理服务期</w:t>
      </w:r>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80" w:firstLineChars="200"/>
        <w:textAlignment w:val="auto"/>
        <w:rPr>
          <w:rFonts w:hint="default" w:ascii="Times New Roman" w:hAnsi="Times New Roman" w:eastAsia="宋体" w:cs="Times New Roman"/>
          <w:color w:val="000000"/>
          <w:kern w:val="2"/>
          <w:sz w:val="24"/>
          <w:szCs w:val="24"/>
          <w:highlight w:val="none"/>
          <w:lang w:val="en-US" w:eastAsia="zh-CN" w:bidi="ar-SA"/>
        </w:rPr>
      </w:pPr>
      <w:r>
        <w:rPr>
          <w:rFonts w:hint="eastAsia" w:ascii="Times New Roman" w:hAnsi="Times New Roman" w:cs="Times New Roman"/>
          <w:color w:val="auto"/>
          <w:highlight w:val="none"/>
          <w:lang w:val="en-US" w:eastAsia="zh-CN"/>
        </w:rPr>
        <w:t>JL1标段监理服务期：31个月（其中：施工准备阶段监理1个月，施工阶段监理18个月，交工验收与缺陷责任期阶段监理12个月）。</w:t>
      </w:r>
      <w:bookmarkEnd w:id="4"/>
    </w:p>
    <w:p>
      <w:pPr>
        <w:keepNext w:val="0"/>
        <w:keepLines w:val="0"/>
        <w:pageBreakBefore w:val="0"/>
        <w:kinsoku/>
        <w:wordWrap/>
        <w:overflowPunct/>
        <w:topLinePunct/>
        <w:autoSpaceDE/>
        <w:autoSpaceDN/>
        <w:bidi w:val="0"/>
        <w:adjustRightInd/>
        <w:snapToGrid w:val="0"/>
        <w:spacing w:line="380" w:lineRule="auto"/>
        <w:textAlignment w:val="auto"/>
        <w:outlineLvl w:val="1"/>
        <w:rPr>
          <w:rFonts w:eastAsia="黑体"/>
          <w:bCs/>
          <w:color w:val="000000"/>
          <w:sz w:val="28"/>
          <w:szCs w:val="28"/>
          <w:highlight w:val="none"/>
        </w:rPr>
      </w:pPr>
      <w:bookmarkStart w:id="5" w:name="_Toc447602675"/>
      <w:r>
        <w:rPr>
          <w:rFonts w:eastAsia="黑体"/>
          <w:bCs/>
          <w:color w:val="000000"/>
          <w:sz w:val="28"/>
          <w:szCs w:val="28"/>
          <w:highlight w:val="none"/>
        </w:rPr>
        <w:t>3、投标人资格要求</w:t>
      </w:r>
      <w:bookmarkEnd w:id="5"/>
    </w:p>
    <w:p>
      <w:pPr>
        <w:pStyle w:val="9"/>
        <w:keepNext w:val="0"/>
        <w:keepLines w:val="0"/>
        <w:pageBreakBefore w:val="0"/>
        <w:shd w:val="clear"/>
        <w:kinsoku/>
        <w:wordWrap w:val="0"/>
        <w:overflowPunct/>
        <w:autoSpaceDE/>
        <w:autoSpaceDN/>
        <w:bidi w:val="0"/>
        <w:adjustRightInd/>
        <w:snapToGrid/>
        <w:spacing w:before="0" w:beforeAutospacing="0" w:after="0" w:afterAutospacing="0" w:line="360" w:lineRule="auto"/>
        <w:ind w:firstLine="420"/>
        <w:textAlignment w:val="auto"/>
        <w:rPr>
          <w:rFonts w:ascii="Times New Roman" w:hAnsi="Times New Roman" w:cs="Times New Roman"/>
          <w:color w:val="auto"/>
          <w:highlight w:val="none"/>
        </w:rPr>
      </w:pPr>
      <w:bookmarkStart w:id="6" w:name="_Hlk53352221"/>
      <w:r>
        <w:rPr>
          <w:rFonts w:ascii="Times New Roman" w:hAnsi="Times New Roman" w:cs="Times New Roman"/>
          <w:color w:val="auto"/>
          <w:highlight w:val="none"/>
        </w:rPr>
        <w:t xml:space="preserve">3.1 </w:t>
      </w:r>
      <w:r>
        <w:rPr>
          <w:rFonts w:hint="eastAsia" w:ascii="Times New Roman" w:hAnsi="Times New Roman" w:cs="Times New Roman"/>
          <w:color w:val="auto"/>
          <w:highlight w:val="none"/>
        </w:rPr>
        <w:t>投标人具有独立法人资格，持有有效的企业法人营业执照，在人员、设备和信誉等方面具备相应的能力。投标人应进入交通运输部“全国公路建设市场信用信息管理系统”（http://glxy.mot.gov.cn/）中的公路工程施工监理资质企业名录，且投标人名称和资质与该名录中的相应企业名称和资质完全一致。资质及业绩满足以下要求</w:t>
      </w:r>
      <w:r>
        <w:rPr>
          <w:rFonts w:hint="eastAsia" w:ascii="Times New Roman" w:hAnsi="Times New Roman" w:cs="Times New Roman"/>
          <w:color w:val="auto"/>
          <w:highlight w:val="none"/>
          <w:lang w:eastAsia="zh-CN"/>
        </w:rPr>
        <w:t>：</w:t>
      </w:r>
    </w:p>
    <w:tbl>
      <w:tblPr>
        <w:tblStyle w:val="10"/>
        <w:tblW w:w="95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3582"/>
        <w:gridCol w:w="5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814" w:type="dxa"/>
            <w:noWrap w:val="0"/>
            <w:vAlign w:val="center"/>
          </w:tcPr>
          <w:p>
            <w:pPr>
              <w:keepNext w:val="0"/>
              <w:keepLines w:val="0"/>
              <w:pageBreakBefore w:val="0"/>
              <w:widowControl w:val="0"/>
              <w:shd w:val="clear"/>
              <w:tabs>
                <w:tab w:val="left" w:pos="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highlight w:val="none"/>
              </w:rPr>
            </w:pPr>
            <w:r>
              <w:rPr>
                <w:rFonts w:hint="eastAsia" w:ascii="宋体" w:hAnsi="宋体" w:eastAsia="宋体" w:cs="宋体"/>
                <w:b/>
                <w:bCs/>
                <w:highlight w:val="none"/>
              </w:rPr>
              <w:t>标段</w:t>
            </w:r>
          </w:p>
        </w:tc>
        <w:tc>
          <w:tcPr>
            <w:tcW w:w="3582" w:type="dxa"/>
            <w:noWrap w:val="0"/>
            <w:vAlign w:val="center"/>
          </w:tcPr>
          <w:p>
            <w:pPr>
              <w:keepNext w:val="0"/>
              <w:keepLines w:val="0"/>
              <w:pageBreakBefore w:val="0"/>
              <w:widowControl w:val="0"/>
              <w:shd w:val="clear"/>
              <w:tabs>
                <w:tab w:val="left" w:pos="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highlight w:val="none"/>
              </w:rPr>
            </w:pPr>
            <w:r>
              <w:rPr>
                <w:rFonts w:hint="eastAsia" w:ascii="宋体" w:hAnsi="宋体" w:eastAsia="宋体" w:cs="宋体"/>
                <w:b/>
                <w:bCs/>
                <w:highlight w:val="none"/>
              </w:rPr>
              <w:t>资质要求</w:t>
            </w:r>
          </w:p>
        </w:tc>
        <w:tc>
          <w:tcPr>
            <w:tcW w:w="5145" w:type="dxa"/>
            <w:noWrap w:val="0"/>
            <w:vAlign w:val="center"/>
          </w:tcPr>
          <w:p>
            <w:pPr>
              <w:keepNext w:val="0"/>
              <w:keepLines w:val="0"/>
              <w:pageBreakBefore w:val="0"/>
              <w:widowControl w:val="0"/>
              <w:shd w:val="clear"/>
              <w:tabs>
                <w:tab w:val="left" w:pos="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highlight w:val="none"/>
              </w:rPr>
            </w:pPr>
            <w:r>
              <w:rPr>
                <w:rFonts w:hint="eastAsia" w:ascii="宋体" w:hAnsi="宋体" w:eastAsia="宋体" w:cs="宋体"/>
                <w:b/>
                <w:bCs/>
                <w:highlight w:val="none"/>
              </w:rPr>
              <w:t>业绩要求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6" w:hRule="atLeast"/>
        </w:trPr>
        <w:tc>
          <w:tcPr>
            <w:tcW w:w="814" w:type="dxa"/>
            <w:noWrap w:val="0"/>
            <w:vAlign w:val="center"/>
          </w:tcPr>
          <w:p>
            <w:pPr>
              <w:keepNext w:val="0"/>
              <w:keepLines w:val="0"/>
              <w:pageBreakBefore w:val="0"/>
              <w:widowControl w:val="0"/>
              <w:shd w:val="clear"/>
              <w:tabs>
                <w:tab w:val="left" w:pos="0"/>
              </w:tabs>
              <w:kinsoku/>
              <w:wordWrap/>
              <w:overflowPunct/>
              <w:topLinePunct w:val="0"/>
              <w:autoSpaceDE/>
              <w:autoSpaceDN/>
              <w:bidi w:val="0"/>
              <w:adjustRightInd/>
              <w:snapToGrid/>
              <w:spacing w:line="360" w:lineRule="auto"/>
              <w:jc w:val="center"/>
              <w:textAlignment w:val="auto"/>
              <w:rPr>
                <w:rFonts w:hint="eastAsia" w:ascii="宋体" w:hAnsi="宋体" w:eastAsia="宋体" w:cs="宋体"/>
                <w:highlight w:val="none"/>
              </w:rPr>
            </w:pPr>
            <w:r>
              <w:rPr>
                <w:rFonts w:hint="eastAsia" w:ascii="宋体" w:hAnsi="宋体" w:eastAsia="宋体" w:cs="宋体"/>
                <w:highlight w:val="none"/>
              </w:rPr>
              <w:t>JL1</w:t>
            </w:r>
          </w:p>
        </w:tc>
        <w:tc>
          <w:tcPr>
            <w:tcW w:w="3582" w:type="dxa"/>
            <w:noWrap w:val="0"/>
            <w:vAlign w:val="center"/>
          </w:tcPr>
          <w:p>
            <w:pPr>
              <w:keepNext w:val="0"/>
              <w:keepLines w:val="0"/>
              <w:pageBreakBefore w:val="0"/>
              <w:widowControl w:val="0"/>
              <w:shd w:val="clear"/>
              <w:tabs>
                <w:tab w:val="left" w:pos="0"/>
              </w:tabs>
              <w:kinsoku/>
              <w:wordWrap/>
              <w:overflowPunct/>
              <w:topLinePunct w:val="0"/>
              <w:autoSpaceDE/>
              <w:autoSpaceDN/>
              <w:bidi w:val="0"/>
              <w:adjustRightInd/>
              <w:snapToGrid/>
              <w:spacing w:line="360" w:lineRule="auto"/>
              <w:jc w:val="left"/>
              <w:textAlignment w:val="auto"/>
              <w:rPr>
                <w:rFonts w:hint="eastAsia" w:ascii="宋体" w:hAnsi="宋体" w:eastAsia="宋体" w:cs="宋体"/>
                <w:highlight w:val="none"/>
                <w:lang w:eastAsia="zh-CN"/>
              </w:rPr>
            </w:pPr>
            <w:r>
              <w:rPr>
                <w:rFonts w:hint="eastAsia" w:ascii="Times New Roman" w:hAnsi="Times New Roman" w:cs="Times New Roman"/>
                <w:color w:val="000000"/>
                <w:kern w:val="2"/>
                <w:highlight w:val="none"/>
                <w:lang w:eastAsia="zh-CN"/>
              </w:rPr>
              <w:t>①</w:t>
            </w:r>
            <w:r>
              <w:rPr>
                <w:rFonts w:hint="eastAsia" w:ascii="宋体" w:hAnsi="宋体" w:eastAsia="宋体" w:cs="宋体"/>
                <w:highlight w:val="none"/>
              </w:rPr>
              <w:t>具备交通运输部颁发的</w:t>
            </w:r>
            <w:r>
              <w:rPr>
                <w:rFonts w:hint="eastAsia" w:ascii="宋体" w:hAnsi="宋体" w:eastAsia="宋体" w:cs="宋体"/>
                <w:highlight w:val="none"/>
                <w:lang w:eastAsia="zh-CN"/>
              </w:rPr>
              <w:t>公路工程专业乙级及以上监理资质。</w:t>
            </w:r>
          </w:p>
          <w:p>
            <w:pPr>
              <w:pStyle w:val="6"/>
              <w:spacing w:line="360" w:lineRule="auto"/>
              <w:rPr>
                <w:rFonts w:hint="eastAsia"/>
                <w:highlight w:val="none"/>
              </w:rPr>
            </w:pPr>
            <w:r>
              <w:rPr>
                <w:rFonts w:hint="eastAsia" w:ascii="Times New Roman" w:hAnsi="Times New Roman" w:eastAsia="宋体" w:cs="Times New Roman"/>
                <w:color w:val="000000"/>
                <w:kern w:val="2"/>
                <w:sz w:val="21"/>
                <w:szCs w:val="24"/>
                <w:highlight w:val="none"/>
                <w:lang w:val="en-US" w:eastAsia="zh-CN" w:bidi="ar-SA"/>
              </w:rPr>
              <w:t>②具备交通运输部颁发的有效的公路工程机电工程专项监理资质。</w:t>
            </w:r>
          </w:p>
        </w:tc>
        <w:tc>
          <w:tcPr>
            <w:tcW w:w="5145" w:type="dxa"/>
            <w:noWrap w:val="0"/>
            <w:vAlign w:val="center"/>
          </w:tcPr>
          <w:p>
            <w:pPr>
              <w:keepNext w:val="0"/>
              <w:keepLines w:val="0"/>
              <w:pageBreakBefore w:val="0"/>
              <w:widowControl w:val="0"/>
              <w:shd w:val="clear"/>
              <w:tabs>
                <w:tab w:val="left" w:pos="0"/>
              </w:tabs>
              <w:kinsoku/>
              <w:wordWrap/>
              <w:overflowPunct/>
              <w:topLinePunct w:val="0"/>
              <w:autoSpaceDE/>
              <w:autoSpaceDN/>
              <w:bidi w:val="0"/>
              <w:adjustRightInd/>
              <w:snapToGrid/>
              <w:spacing w:line="360" w:lineRule="auto"/>
              <w:jc w:val="left"/>
              <w:textAlignment w:val="auto"/>
              <w:rPr>
                <w:rFonts w:hint="eastAsia" w:ascii="宋体" w:hAnsi="宋体" w:eastAsia="宋体" w:cs="宋体"/>
                <w:highlight w:val="none"/>
              </w:rPr>
            </w:pPr>
            <w:r>
              <w:rPr>
                <w:rFonts w:hint="eastAsia" w:ascii="宋体" w:hAnsi="宋体" w:eastAsia="宋体" w:cs="宋体"/>
                <w:highlight w:val="none"/>
              </w:rPr>
              <w:t>近五年内（</w:t>
            </w:r>
            <w:r>
              <w:rPr>
                <w:rFonts w:hint="eastAsia" w:ascii="宋体" w:hAnsi="宋体" w:eastAsia="宋体" w:cs="宋体"/>
                <w:highlight w:val="none"/>
                <w:lang w:eastAsia="zh-CN"/>
              </w:rPr>
              <w:t>2018年</w:t>
            </w:r>
            <w:r>
              <w:rPr>
                <w:rFonts w:hint="eastAsia" w:ascii="宋体" w:hAnsi="宋体" w:eastAsia="宋体" w:cs="宋体"/>
                <w:highlight w:val="none"/>
                <w:lang w:val="en-US" w:eastAsia="zh-CN"/>
              </w:rPr>
              <w:t>11</w:t>
            </w:r>
            <w:r>
              <w:rPr>
                <w:rFonts w:hint="eastAsia" w:ascii="宋体" w:hAnsi="宋体" w:eastAsia="宋体" w:cs="宋体"/>
                <w:highlight w:val="none"/>
                <w:lang w:eastAsia="zh-CN"/>
              </w:rPr>
              <w:t>月1日</w:t>
            </w:r>
            <w:r>
              <w:rPr>
                <w:rFonts w:hint="eastAsia" w:ascii="宋体" w:hAnsi="宋体" w:eastAsia="宋体" w:cs="宋体"/>
                <w:highlight w:val="none"/>
              </w:rPr>
              <w:t>至投标文件递交截止日）通过交（竣)工验收并满足下列要求：</w:t>
            </w:r>
          </w:p>
          <w:p>
            <w:pPr>
              <w:keepNext w:val="0"/>
              <w:keepLines w:val="0"/>
              <w:pageBreakBefore w:val="0"/>
              <w:widowControl w:val="0"/>
              <w:shd w:val="clear"/>
              <w:tabs>
                <w:tab w:val="left" w:pos="0"/>
              </w:tabs>
              <w:kinsoku/>
              <w:wordWrap/>
              <w:overflowPunct/>
              <w:topLinePunct w:val="0"/>
              <w:autoSpaceDE/>
              <w:autoSpaceDN/>
              <w:bidi w:val="0"/>
              <w:adjustRightInd/>
              <w:snapToGrid/>
              <w:spacing w:line="360" w:lineRule="auto"/>
              <w:jc w:val="left"/>
              <w:textAlignment w:val="auto"/>
              <w:rPr>
                <w:rFonts w:hint="eastAsia" w:ascii="宋体" w:hAnsi="宋体" w:eastAsia="宋体" w:cs="宋体"/>
                <w:highlight w:val="none"/>
                <w:lang w:val="en-US" w:eastAsia="zh-CN"/>
              </w:rPr>
            </w:pPr>
            <w:r>
              <w:rPr>
                <w:rFonts w:hint="default" w:ascii="宋体" w:hAnsi="宋体" w:eastAsia="宋体" w:cs="宋体"/>
                <w:highlight w:val="none"/>
                <w:lang w:val="en-US" w:eastAsia="zh-CN"/>
              </w:rPr>
              <w:t>①</w:t>
            </w:r>
            <w:r>
              <w:rPr>
                <w:rFonts w:hint="eastAsia" w:ascii="宋体" w:hAnsi="宋体" w:cs="宋体"/>
                <w:highlight w:val="none"/>
                <w:lang w:val="en-US" w:eastAsia="zh-CN"/>
              </w:rPr>
              <w:t>至少独立完成过2项一级及以上公路路面工程施工监理业绩，其中至少1项单项里程不小于50公里</w:t>
            </w:r>
            <w:r>
              <w:rPr>
                <w:rFonts w:hint="eastAsia" w:ascii="宋体" w:hAnsi="宋体" w:eastAsia="宋体" w:cs="宋体"/>
                <w:highlight w:val="none"/>
                <w:lang w:eastAsia="zh-CN"/>
              </w:rPr>
              <w:t>。</w:t>
            </w:r>
          </w:p>
          <w:p>
            <w:pPr>
              <w:keepNext w:val="0"/>
              <w:keepLines w:val="0"/>
              <w:pageBreakBefore w:val="0"/>
              <w:widowControl w:val="0"/>
              <w:shd w:val="clear"/>
              <w:tabs>
                <w:tab w:val="left" w:pos="0"/>
              </w:tabs>
              <w:kinsoku/>
              <w:wordWrap/>
              <w:overflowPunct/>
              <w:topLinePunct w:val="0"/>
              <w:autoSpaceDE/>
              <w:autoSpaceDN/>
              <w:bidi w:val="0"/>
              <w:adjustRightInd/>
              <w:snapToGrid/>
              <w:spacing w:line="360" w:lineRule="auto"/>
              <w:jc w:val="left"/>
              <w:textAlignment w:val="auto"/>
              <w:rPr>
                <w:rFonts w:hint="default" w:ascii="宋体" w:hAnsi="宋体" w:eastAsia="宋体" w:cs="宋体"/>
                <w:highlight w:val="none"/>
                <w:lang w:val="en-US" w:eastAsia="zh-CN"/>
              </w:rPr>
            </w:pPr>
            <w:r>
              <w:rPr>
                <w:rFonts w:hint="default" w:ascii="宋体" w:hAnsi="宋体" w:eastAsia="宋体" w:cs="宋体"/>
                <w:highlight w:val="none"/>
                <w:lang w:val="en-US" w:eastAsia="zh-CN"/>
              </w:rPr>
              <w:t>②至少独立完成过1项且长度不少于50公里的一级及以上公路交通安全设施施工监理业绩。</w:t>
            </w:r>
          </w:p>
          <w:p>
            <w:pPr>
              <w:pStyle w:val="7"/>
              <w:spacing w:line="360" w:lineRule="auto"/>
              <w:rPr>
                <w:rFonts w:hint="default"/>
                <w:highlight w:val="none"/>
                <w:lang w:val="en-US" w:eastAsia="zh-CN"/>
              </w:rPr>
            </w:pPr>
            <w:r>
              <w:rPr>
                <w:rFonts w:hint="default" w:ascii="宋体" w:hAnsi="宋体" w:eastAsia="宋体" w:cs="宋体"/>
                <w:kern w:val="2"/>
                <w:sz w:val="21"/>
                <w:szCs w:val="24"/>
                <w:highlight w:val="none"/>
                <w:lang w:val="en-US" w:eastAsia="zh-CN" w:bidi="ar-SA"/>
              </w:rPr>
              <w:t>③</w:t>
            </w:r>
            <w:r>
              <w:rPr>
                <w:rFonts w:hint="eastAsia" w:ascii="宋体" w:hAnsi="宋体" w:eastAsia="宋体" w:cs="宋体"/>
                <w:kern w:val="2"/>
                <w:sz w:val="21"/>
                <w:szCs w:val="24"/>
                <w:highlight w:val="none"/>
                <w:lang w:val="en-US" w:eastAsia="zh-CN" w:bidi="ar-SA"/>
              </w:rPr>
              <w:t>至少独立完成过1项公路隧道机电工程</w:t>
            </w:r>
            <w:r>
              <w:rPr>
                <w:rFonts w:hint="eastAsia" w:ascii="宋体" w:hAnsi="宋体" w:cs="宋体"/>
                <w:kern w:val="2"/>
                <w:sz w:val="21"/>
                <w:szCs w:val="24"/>
                <w:highlight w:val="none"/>
                <w:lang w:val="en-US" w:eastAsia="zh-CN" w:bidi="ar-SA"/>
              </w:rPr>
              <w:t>施工</w:t>
            </w:r>
            <w:r>
              <w:rPr>
                <w:rFonts w:hint="eastAsia" w:ascii="宋体" w:hAnsi="宋体" w:eastAsia="宋体" w:cs="宋体"/>
                <w:kern w:val="2"/>
                <w:sz w:val="21"/>
                <w:szCs w:val="24"/>
                <w:highlight w:val="none"/>
                <w:lang w:val="en-US" w:eastAsia="zh-CN" w:bidi="ar-SA"/>
              </w:rPr>
              <w:t>监理（需包含隧道供配电、通风、照明内容）业绩</w:t>
            </w:r>
            <w:r>
              <w:rPr>
                <w:rFonts w:hint="eastAsia" w:ascii="宋体" w:hAnsi="宋体" w:cs="宋体"/>
                <w:kern w:val="2"/>
                <w:sz w:val="21"/>
                <w:szCs w:val="24"/>
                <w:highlight w:val="none"/>
                <w:lang w:val="en-US" w:eastAsia="zh-CN" w:bidi="ar-SA"/>
              </w:rPr>
              <w:t>。</w:t>
            </w:r>
          </w:p>
        </w:tc>
      </w:tr>
    </w:tbl>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注：</w:t>
      </w:r>
      <w:r>
        <w:rPr>
          <w:rFonts w:hint="eastAsia" w:cs="宋体"/>
          <w:b/>
          <w:bCs/>
          <w:color w:val="auto"/>
          <w:sz w:val="21"/>
          <w:szCs w:val="21"/>
          <w:highlight w:val="none"/>
          <w:lang w:val="en-US" w:eastAsia="zh-CN"/>
        </w:rPr>
        <w:t>（1）</w:t>
      </w:r>
      <w:r>
        <w:rPr>
          <w:rFonts w:hint="eastAsia" w:ascii="宋体" w:hAnsi="宋体" w:cs="宋体"/>
          <w:b/>
          <w:bCs/>
          <w:color w:val="auto"/>
          <w:sz w:val="21"/>
          <w:szCs w:val="21"/>
          <w:highlight w:val="none"/>
          <w:lang w:val="en-US" w:eastAsia="zh-CN"/>
        </w:rPr>
        <w:t>投标人企业业绩应附在“全国公路建设市场信用信息管理系统”或“山西省公路水运市场管理平台”查询到的企业“业绩信息”相关项目网页截图复印件，即包括“项目名称”“技术等级”“合同价”“交工日期”“主要工程量”“人员履约”等栏目在内的项目详细信息网页截图复印件</w:t>
      </w:r>
      <w:r>
        <w:rPr>
          <w:rFonts w:hint="eastAsia" w:cs="宋体"/>
          <w:b/>
          <w:bCs/>
          <w:color w:val="auto"/>
          <w:sz w:val="21"/>
          <w:szCs w:val="21"/>
          <w:highlight w:val="none"/>
          <w:lang w:val="en-US" w:eastAsia="zh-CN"/>
        </w:rPr>
        <w:t>；(2)如同一已完项目同时满足上述多项业绩要求时，可以分别认定该项目业绩。(3)以联合体形式投标的，联合体各成员共同满足上述要求。</w:t>
      </w:r>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textAlignment w:val="auto"/>
        <w:rPr>
          <w:rFonts w:ascii="Times New Roman" w:hAnsi="Times New Roman" w:cs="Times New Roman"/>
          <w:color w:val="auto"/>
          <w:highlight w:val="none"/>
        </w:rPr>
      </w:pPr>
      <w:r>
        <w:rPr>
          <w:rFonts w:ascii="Times New Roman" w:hAnsi="Times New Roman" w:cs="Times New Roman"/>
          <w:color w:val="auto"/>
          <w:highlight w:val="none"/>
        </w:rPr>
        <w:t>主要人员要求：</w:t>
      </w:r>
    </w:p>
    <w:tbl>
      <w:tblPr>
        <w:tblStyle w:val="11"/>
        <w:tblW w:w="95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8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959" w:type="dxa"/>
            <w:noWrap w:val="0"/>
            <w:vAlign w:val="center"/>
          </w:tcPr>
          <w:p>
            <w:pPr>
              <w:keepNext w:val="0"/>
              <w:keepLines w:val="0"/>
              <w:pageBreakBefore w:val="0"/>
              <w:widowControl w:val="0"/>
              <w:shd w:val="clear"/>
              <w:tabs>
                <w:tab w:val="left" w:pos="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highlight w:val="none"/>
              </w:rPr>
            </w:pPr>
            <w:r>
              <w:rPr>
                <w:rFonts w:hint="eastAsia" w:ascii="宋体" w:hAnsi="宋体" w:eastAsia="宋体" w:cs="宋体"/>
                <w:b/>
                <w:bCs/>
                <w:highlight w:val="none"/>
              </w:rPr>
              <w:t>标段</w:t>
            </w:r>
          </w:p>
        </w:tc>
        <w:tc>
          <w:tcPr>
            <w:tcW w:w="8593" w:type="dxa"/>
            <w:noWrap w:val="0"/>
            <w:vAlign w:val="center"/>
          </w:tcPr>
          <w:p>
            <w:pPr>
              <w:keepNext w:val="0"/>
              <w:keepLines w:val="0"/>
              <w:pageBreakBefore w:val="0"/>
              <w:widowControl w:val="0"/>
              <w:shd w:val="clear"/>
              <w:tabs>
                <w:tab w:val="left" w:pos="0"/>
              </w:tabs>
              <w:kinsoku/>
              <w:wordWrap/>
              <w:overflowPunct/>
              <w:topLinePunct w:val="0"/>
              <w:autoSpaceDE/>
              <w:autoSpaceDN/>
              <w:bidi w:val="0"/>
              <w:adjustRightInd/>
              <w:snapToGrid/>
              <w:spacing w:line="360" w:lineRule="auto"/>
              <w:jc w:val="center"/>
              <w:textAlignment w:val="auto"/>
              <w:rPr>
                <w:rFonts w:hint="default" w:ascii="宋体" w:hAnsi="宋体" w:eastAsia="宋体" w:cs="宋体"/>
                <w:b/>
                <w:bCs/>
                <w:highlight w:val="none"/>
                <w:lang w:val="en-US" w:eastAsia="zh-CN"/>
              </w:rPr>
            </w:pPr>
            <w:r>
              <w:rPr>
                <w:rFonts w:hint="eastAsia" w:ascii="宋体" w:hAnsi="宋体" w:eastAsia="宋体" w:cs="宋体"/>
                <w:b/>
                <w:bCs/>
                <w:highlight w:val="none"/>
              </w:rPr>
              <w:t>总监理工程师</w:t>
            </w:r>
            <w:r>
              <w:rPr>
                <w:rFonts w:hint="eastAsia" w:ascii="宋体" w:hAnsi="宋体" w:eastAsia="宋体" w:cs="宋体"/>
                <w:b/>
                <w:bCs/>
                <w:highlight w:val="none"/>
                <w:lang w:val="en-US" w:eastAsia="zh-CN"/>
              </w:rPr>
              <w:t>1名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2" w:hRule="atLeast"/>
        </w:trPr>
        <w:tc>
          <w:tcPr>
            <w:tcW w:w="959" w:type="dxa"/>
            <w:noWrap w:val="0"/>
            <w:vAlign w:val="center"/>
          </w:tcPr>
          <w:p>
            <w:pPr>
              <w:keepNext w:val="0"/>
              <w:keepLines w:val="0"/>
              <w:pageBreakBefore w:val="0"/>
              <w:widowControl w:val="0"/>
              <w:shd w:val="clear"/>
              <w:tabs>
                <w:tab w:val="left" w:pos="0"/>
              </w:tabs>
              <w:kinsoku/>
              <w:wordWrap/>
              <w:overflowPunct/>
              <w:topLinePunct w:val="0"/>
              <w:autoSpaceDE/>
              <w:autoSpaceDN/>
              <w:bidi w:val="0"/>
              <w:adjustRightInd/>
              <w:snapToGrid/>
              <w:spacing w:line="360" w:lineRule="auto"/>
              <w:jc w:val="center"/>
              <w:textAlignment w:val="auto"/>
              <w:rPr>
                <w:rFonts w:hint="eastAsia" w:ascii="宋体" w:hAnsi="宋体" w:eastAsia="宋体" w:cs="宋体"/>
                <w:highlight w:val="none"/>
              </w:rPr>
            </w:pPr>
            <w:r>
              <w:rPr>
                <w:rFonts w:hint="eastAsia" w:ascii="宋体" w:hAnsi="宋体" w:eastAsia="宋体" w:cs="宋体"/>
                <w:highlight w:val="none"/>
              </w:rPr>
              <w:t>JL1</w:t>
            </w:r>
          </w:p>
        </w:tc>
        <w:tc>
          <w:tcPr>
            <w:tcW w:w="8593" w:type="dxa"/>
            <w:noWrap w:val="0"/>
            <w:vAlign w:val="center"/>
          </w:tcPr>
          <w:p>
            <w:pPr>
              <w:keepNext w:val="0"/>
              <w:keepLines w:val="0"/>
              <w:pageBreakBefore w:val="0"/>
              <w:widowControl w:val="0"/>
              <w:shd w:val="clear"/>
              <w:tabs>
                <w:tab w:val="left" w:pos="0"/>
              </w:tabs>
              <w:kinsoku/>
              <w:wordWrap/>
              <w:overflowPunct/>
              <w:topLinePunct w:val="0"/>
              <w:autoSpaceDE/>
              <w:autoSpaceDN/>
              <w:bidi w:val="0"/>
              <w:adjustRightInd/>
              <w:snapToGrid/>
              <w:spacing w:line="360" w:lineRule="auto"/>
              <w:jc w:val="left"/>
              <w:textAlignment w:val="auto"/>
              <w:rPr>
                <w:rFonts w:hint="eastAsia" w:ascii="宋体" w:hAnsi="宋体" w:eastAsia="宋体" w:cs="宋体"/>
                <w:highlight w:val="none"/>
              </w:rPr>
            </w:pPr>
            <w:r>
              <w:rPr>
                <w:rFonts w:hint="eastAsia" w:ascii="宋体" w:hAnsi="宋体" w:eastAsia="宋体" w:cs="宋体"/>
                <w:highlight w:val="none"/>
              </w:rPr>
              <w:t>1.持有</w:t>
            </w:r>
            <w:r>
              <w:rPr>
                <w:rFonts w:hint="eastAsia" w:ascii="宋体" w:hAnsi="宋体" w:cs="宋体"/>
                <w:highlight w:val="none"/>
                <w:lang w:eastAsia="zh-CN"/>
              </w:rPr>
              <w:t>交通运输部核发的监理工程师资格证书或人力资源和社会保障部颁发交通运输专业监理工程资格证书</w:t>
            </w:r>
            <w:r>
              <w:rPr>
                <w:rFonts w:hint="eastAsia" w:ascii="宋体" w:hAnsi="宋体" w:eastAsia="宋体" w:cs="宋体"/>
                <w:highlight w:val="none"/>
              </w:rPr>
              <w:t>，高级工程师或以上职称（公路相关专业），必须在</w:t>
            </w:r>
            <w:r>
              <w:rPr>
                <w:rFonts w:hint="eastAsia" w:ascii="宋体" w:hAnsi="宋体" w:cs="宋体"/>
                <w:highlight w:val="none"/>
                <w:lang w:eastAsia="zh-CN"/>
              </w:rPr>
              <w:t>投标人单位注册登记</w:t>
            </w:r>
            <w:r>
              <w:rPr>
                <w:rFonts w:hint="eastAsia" w:ascii="宋体" w:hAnsi="宋体" w:eastAsia="宋体" w:cs="宋体"/>
                <w:highlight w:val="none"/>
              </w:rPr>
              <w:t>；</w:t>
            </w:r>
          </w:p>
          <w:p>
            <w:pPr>
              <w:keepNext w:val="0"/>
              <w:keepLines w:val="0"/>
              <w:pageBreakBefore w:val="0"/>
              <w:widowControl w:val="0"/>
              <w:shd w:val="clear"/>
              <w:tabs>
                <w:tab w:val="left" w:pos="0"/>
              </w:tabs>
              <w:kinsoku/>
              <w:wordWrap/>
              <w:overflowPunct/>
              <w:topLinePunct w:val="0"/>
              <w:autoSpaceDE/>
              <w:autoSpaceDN/>
              <w:bidi w:val="0"/>
              <w:adjustRightInd/>
              <w:snapToGrid/>
              <w:spacing w:line="360" w:lineRule="auto"/>
              <w:jc w:val="left"/>
              <w:textAlignment w:val="auto"/>
              <w:rPr>
                <w:rFonts w:hint="eastAsia" w:ascii="宋体" w:hAnsi="宋体" w:eastAsia="宋体" w:cs="宋体"/>
                <w:highlight w:val="none"/>
              </w:rPr>
            </w:pPr>
            <w:r>
              <w:rPr>
                <w:rFonts w:hint="eastAsia" w:ascii="宋体" w:hAnsi="宋体" w:eastAsia="宋体" w:cs="宋体"/>
                <w:highlight w:val="none"/>
              </w:rPr>
              <w:t>2.年龄在60</w:t>
            </w:r>
            <w:r>
              <w:rPr>
                <w:rFonts w:hint="eastAsia" w:ascii="宋体" w:hAnsi="宋体" w:eastAsia="宋体" w:cs="宋体"/>
                <w:highlight w:val="none"/>
                <w:lang w:val="en-US" w:eastAsia="zh-CN"/>
              </w:rPr>
              <w:t>周</w:t>
            </w:r>
            <w:r>
              <w:rPr>
                <w:rFonts w:hint="eastAsia" w:ascii="宋体" w:hAnsi="宋体" w:eastAsia="宋体" w:cs="宋体"/>
                <w:highlight w:val="none"/>
              </w:rPr>
              <w:t>岁以下，</w:t>
            </w:r>
            <w:r>
              <w:rPr>
                <w:rFonts w:hint="eastAsia" w:ascii="宋体" w:hAnsi="宋体" w:cs="宋体"/>
                <w:highlight w:val="none"/>
                <w:lang w:eastAsia="zh-CN"/>
              </w:rPr>
              <w:t>作为总监理工程师至少完成过</w:t>
            </w:r>
            <w:r>
              <w:rPr>
                <w:rFonts w:hint="eastAsia" w:ascii="宋体" w:hAnsi="宋体" w:cs="宋体"/>
                <w:highlight w:val="none"/>
                <w:lang w:val="en-US" w:eastAsia="zh-CN"/>
              </w:rPr>
              <w:t>1项一级及以上公路路面工程施工监理业绩</w:t>
            </w:r>
            <w:r>
              <w:rPr>
                <w:rFonts w:hint="eastAsia" w:ascii="宋体" w:hAnsi="宋体" w:eastAsia="宋体" w:cs="宋体"/>
                <w:highlight w:val="none"/>
              </w:rPr>
              <w:t>。</w:t>
            </w:r>
          </w:p>
          <w:p>
            <w:pPr>
              <w:pStyle w:val="6"/>
              <w:rPr>
                <w:rFonts w:hint="eastAsia" w:eastAsia="宋体"/>
                <w:lang w:val="en-US" w:eastAsia="zh-CN"/>
              </w:rPr>
            </w:pPr>
            <w:r>
              <w:rPr>
                <w:rFonts w:hint="eastAsia"/>
                <w:b/>
                <w:bCs/>
                <w:lang w:val="en-US" w:eastAsia="zh-CN"/>
              </w:rPr>
              <w:t>注：</w:t>
            </w:r>
            <w:r>
              <w:rPr>
                <w:rFonts w:hint="eastAsia" w:ascii="宋体" w:hAnsi="宋体" w:cs="宋体"/>
                <w:b/>
                <w:bCs/>
                <w:kern w:val="2"/>
                <w:sz w:val="21"/>
                <w:szCs w:val="24"/>
                <w:highlight w:val="none"/>
                <w:lang w:val="en-US" w:eastAsia="zh-CN" w:bidi="ar-SA"/>
              </w:rPr>
              <w:t>以联合体形式投标的，</w:t>
            </w:r>
            <w:r>
              <w:rPr>
                <w:rFonts w:hint="eastAsia"/>
                <w:b/>
                <w:bCs/>
                <w:lang w:val="en-US" w:eastAsia="zh-CN"/>
              </w:rPr>
              <w:t>总监理工程师应由联合体牵头人提供。</w:t>
            </w:r>
          </w:p>
        </w:tc>
      </w:tr>
    </w:tbl>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textAlignment w:val="auto"/>
        <w:rPr>
          <w:rFonts w:hint="eastAsia" w:ascii="Times New Roman" w:hAnsi="Times New Roman" w:cs="Times New Roman"/>
          <w:color w:val="auto"/>
          <w:highlight w:val="none"/>
          <w:lang w:val="en-US" w:eastAsia="zh-CN"/>
        </w:rPr>
      </w:pPr>
      <w:r>
        <w:rPr>
          <w:rFonts w:ascii="Times New Roman" w:hAnsi="Times New Roman" w:cs="Times New Roman"/>
          <w:color w:val="auto"/>
          <w:highlight w:val="none"/>
        </w:rPr>
        <w:t>3.</w:t>
      </w:r>
      <w:r>
        <w:rPr>
          <w:rFonts w:hint="eastAsia" w:ascii="Times New Roman" w:hAnsi="Times New Roman" w:cs="Times New Roman"/>
          <w:color w:val="auto"/>
          <w:highlight w:val="none"/>
          <w:lang w:val="en-US" w:eastAsia="zh-CN"/>
        </w:rPr>
        <w:t>2本项目接受联合体投标，联合体投标应满足下列要求：</w:t>
      </w:r>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a、联合体投标的联合体所有成员数量不得超过2家；</w:t>
      </w:r>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textAlignment w:val="auto"/>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b、联合体各方以及与其具有关联关系（单位负责人为同一人或存在控股、管理关系）的单位，不得再以自己名义单独或参加其他联合体参与本次投标；</w:t>
      </w:r>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textAlignment w:val="auto"/>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c、根据联合体协议分工工作内容，提供相应的业绩证明材料</w:t>
      </w:r>
      <w:r>
        <w:rPr>
          <w:rFonts w:ascii="Times New Roman" w:hAnsi="Times New Roman" w:cs="Times New Roman"/>
          <w:color w:val="auto"/>
          <w:highlight w:val="none"/>
        </w:rPr>
        <w:t>。</w:t>
      </w:r>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textAlignment w:val="auto"/>
        <w:rPr>
          <w:rFonts w:ascii="Times New Roman" w:hAnsi="Times New Roman" w:cs="Times New Roman"/>
          <w:color w:val="auto"/>
          <w:highlight w:val="none"/>
        </w:rPr>
      </w:pPr>
      <w:r>
        <w:rPr>
          <w:rFonts w:ascii="Times New Roman" w:hAnsi="Times New Roman" w:cs="Times New Roman"/>
          <w:color w:val="auto"/>
          <w:highlight w:val="none"/>
        </w:rPr>
        <w:t>3.</w:t>
      </w:r>
      <w:bookmarkStart w:id="7" w:name="_Hlk53349159"/>
      <w:r>
        <w:rPr>
          <w:rFonts w:hint="eastAsia" w:ascii="Times New Roman" w:hAnsi="Times New Roman" w:cs="Times New Roman"/>
          <w:color w:val="auto"/>
          <w:highlight w:val="none"/>
          <w:lang w:val="en-US" w:eastAsia="zh-CN"/>
        </w:rPr>
        <w:t>3</w:t>
      </w:r>
      <w:r>
        <w:rPr>
          <w:rFonts w:ascii="Times New Roman" w:hAnsi="Times New Roman" w:cs="Times New Roman"/>
          <w:color w:val="auto"/>
          <w:highlight w:val="none"/>
        </w:rPr>
        <w:t>与招标人存在利害关系</w:t>
      </w:r>
      <w:r>
        <w:rPr>
          <w:rFonts w:hint="eastAsia" w:ascii="Times New Roman" w:hAnsi="Times New Roman" w:cs="Times New Roman"/>
          <w:color w:val="auto"/>
          <w:highlight w:val="none"/>
          <w:lang w:eastAsia="zh-CN"/>
        </w:rPr>
        <w:t>且</w:t>
      </w:r>
      <w:r>
        <w:rPr>
          <w:rFonts w:ascii="Times New Roman" w:hAnsi="Times New Roman" w:cs="Times New Roman"/>
          <w:color w:val="auto"/>
          <w:highlight w:val="none"/>
        </w:rPr>
        <w:t>可能影响招标公正性的单位，不得参加投标。投标人具有下列情况之一的，不得同时参加本项目的投标，否则其投标均无效。</w:t>
      </w:r>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textAlignment w:val="auto"/>
        <w:rPr>
          <w:rFonts w:ascii="Times New Roman" w:hAnsi="Times New Roman" w:cs="Times New Roman"/>
          <w:color w:val="auto"/>
          <w:highlight w:val="none"/>
        </w:rPr>
      </w:pPr>
      <w:r>
        <w:rPr>
          <w:rFonts w:ascii="Times New Roman" w:hAnsi="Times New Roman" w:cs="Times New Roman"/>
          <w:color w:val="auto"/>
          <w:highlight w:val="none"/>
        </w:rPr>
        <w:t>3.</w:t>
      </w:r>
      <w:r>
        <w:rPr>
          <w:rFonts w:hint="eastAsia" w:ascii="Times New Roman" w:hAnsi="Times New Roman" w:cs="Times New Roman"/>
          <w:color w:val="auto"/>
          <w:highlight w:val="none"/>
          <w:lang w:val="en-US" w:eastAsia="zh-CN"/>
        </w:rPr>
        <w:t>3</w:t>
      </w:r>
      <w:r>
        <w:rPr>
          <w:rFonts w:ascii="Times New Roman" w:hAnsi="Times New Roman" w:cs="Times New Roman"/>
          <w:color w:val="auto"/>
          <w:highlight w:val="none"/>
        </w:rPr>
        <w:t>.1单位负责人为同一人或者存在控股、管理关系的不同单位；</w:t>
      </w:r>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textAlignment w:val="auto"/>
        <w:rPr>
          <w:rFonts w:ascii="Times New Roman" w:hAnsi="Times New Roman" w:cs="Times New Roman"/>
          <w:color w:val="auto"/>
          <w:highlight w:val="none"/>
        </w:rPr>
      </w:pPr>
      <w:r>
        <w:rPr>
          <w:rFonts w:ascii="Times New Roman" w:hAnsi="Times New Roman" w:cs="Times New Roman"/>
          <w:color w:val="auto"/>
          <w:highlight w:val="none"/>
        </w:rPr>
        <w:t>3.</w:t>
      </w:r>
      <w:r>
        <w:rPr>
          <w:rFonts w:hint="eastAsia" w:ascii="Times New Roman" w:hAnsi="Times New Roman" w:cs="Times New Roman"/>
          <w:color w:val="auto"/>
          <w:highlight w:val="none"/>
          <w:lang w:val="en-US" w:eastAsia="zh-CN"/>
        </w:rPr>
        <w:t>3</w:t>
      </w:r>
      <w:r>
        <w:rPr>
          <w:rFonts w:ascii="Times New Roman" w:hAnsi="Times New Roman" w:cs="Times New Roman"/>
          <w:color w:val="auto"/>
          <w:highlight w:val="none"/>
        </w:rPr>
        <w:t>.2具有投资参股关系的关联企业；</w:t>
      </w:r>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textAlignment w:val="auto"/>
        <w:rPr>
          <w:rFonts w:ascii="Times New Roman" w:hAnsi="Times New Roman" w:cs="Times New Roman"/>
          <w:color w:val="auto"/>
          <w:highlight w:val="none"/>
        </w:rPr>
      </w:pPr>
      <w:r>
        <w:rPr>
          <w:rFonts w:ascii="Times New Roman" w:hAnsi="Times New Roman" w:cs="Times New Roman"/>
          <w:color w:val="auto"/>
          <w:highlight w:val="none"/>
        </w:rPr>
        <w:t>3.</w:t>
      </w:r>
      <w:r>
        <w:rPr>
          <w:rFonts w:hint="eastAsia" w:ascii="Times New Roman" w:hAnsi="Times New Roman" w:cs="Times New Roman"/>
          <w:color w:val="auto"/>
          <w:highlight w:val="none"/>
          <w:lang w:val="en-US" w:eastAsia="zh-CN"/>
        </w:rPr>
        <w:t>3</w:t>
      </w:r>
      <w:r>
        <w:rPr>
          <w:rFonts w:ascii="Times New Roman" w:hAnsi="Times New Roman" w:cs="Times New Roman"/>
          <w:color w:val="auto"/>
          <w:highlight w:val="none"/>
        </w:rPr>
        <w:t>.3董事、监事、总经理、副总经理和财务负责人相互兼职的关联企业；</w:t>
      </w:r>
      <w:bookmarkEnd w:id="7"/>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textAlignment w:val="auto"/>
        <w:rPr>
          <w:rFonts w:hint="eastAsia"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3.</w:t>
      </w:r>
      <w:r>
        <w:rPr>
          <w:rFonts w:hint="eastAsia" w:ascii="Times New Roman" w:hAnsi="Times New Roman" w:cs="Times New Roman"/>
          <w:color w:val="auto"/>
          <w:kern w:val="0"/>
          <w:sz w:val="24"/>
          <w:szCs w:val="24"/>
          <w:highlight w:val="none"/>
          <w:lang w:val="en-US" w:eastAsia="zh-CN" w:bidi="ar-SA"/>
        </w:rPr>
        <w:t>4</w:t>
      </w:r>
      <w:r>
        <w:rPr>
          <w:rFonts w:hint="eastAsia" w:ascii="Times New Roman" w:hAnsi="Times New Roman" w:eastAsia="宋体" w:cs="Times New Roman"/>
          <w:color w:val="auto"/>
          <w:kern w:val="0"/>
          <w:sz w:val="24"/>
          <w:szCs w:val="24"/>
          <w:highlight w:val="none"/>
          <w:lang w:val="en-US" w:eastAsia="zh-CN" w:bidi="ar-SA"/>
        </w:rPr>
        <w:t>投标人、总监理工程师的相关业绩应是在交通运输部“全国公路建设市场信用信息管理系统”或在“山西省公路水运市场管理平台”中查询到的已建业绩。如查询不到或查询信息与投标人提供的信息不一致，其业绩不予认定。如近年来，投标人法人机构发生合法变更或重组或法人名称变更时，应提供相关部门的合法批件或其他相关证明材料来证明其所附业绩的继承性。</w:t>
      </w:r>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textAlignment w:val="auto"/>
        <w:rPr>
          <w:rFonts w:hint="eastAsia" w:ascii="Times New Roman" w:hAnsi="Times New Roman" w:eastAsia="宋体" w:cs="Times New Roman"/>
          <w:color w:val="auto"/>
          <w:kern w:val="0"/>
          <w:sz w:val="24"/>
          <w:szCs w:val="24"/>
          <w:highlight w:val="none"/>
          <w:lang w:val="en-US" w:eastAsia="zh-CN" w:bidi="ar-SA"/>
        </w:rPr>
      </w:pPr>
      <w:r>
        <w:rPr>
          <w:rFonts w:hint="eastAsia" w:ascii="Times New Roman" w:hAnsi="Times New Roman" w:cs="Times New Roman"/>
          <w:color w:val="auto"/>
          <w:highlight w:val="none"/>
          <w:lang w:val="en-US" w:eastAsia="zh-CN"/>
        </w:rPr>
        <w:t>3.5</w:t>
      </w:r>
      <w:r>
        <w:rPr>
          <w:rFonts w:ascii="Times New Roman" w:hAnsi="Times New Roman" w:cs="Times New Roman"/>
          <w:color w:val="auto"/>
          <w:highlight w:val="none"/>
        </w:rPr>
        <w:t>总监理工程师监理工程师资格证书必须在交通运输部“全国公路建设市场信用信息管理系统”中&lt;从业人员/监理人员&gt;信息查询中查询到。如查询不到或查询信息与投标人提供的信息不一致，其资格不予认定。</w:t>
      </w:r>
    </w:p>
    <w:p>
      <w:pPr>
        <w:keepNext w:val="0"/>
        <w:keepLines w:val="0"/>
        <w:pageBreakBefore w:val="0"/>
        <w:shd w:val="clear"/>
        <w:kinsoku/>
        <w:overflowPunct/>
        <w:autoSpaceDE/>
        <w:autoSpaceDN/>
        <w:bidi w:val="0"/>
        <w:adjustRightInd/>
        <w:snapToGrid/>
        <w:spacing w:line="360" w:lineRule="auto"/>
        <w:ind w:firstLine="480" w:firstLineChars="200"/>
        <w:textAlignment w:val="auto"/>
        <w:rPr>
          <w:rFonts w:ascii="Times New Roman" w:hAnsi="Times New Roman" w:eastAsia="宋体" w:cs="Times New Roman"/>
          <w:color w:val="auto"/>
          <w:kern w:val="0"/>
          <w:sz w:val="24"/>
          <w:szCs w:val="24"/>
          <w:highlight w:val="none"/>
          <w:lang w:val="en-US" w:eastAsia="zh-CN" w:bidi="ar-SA"/>
        </w:rPr>
      </w:pPr>
      <w:r>
        <w:rPr>
          <w:rFonts w:hint="eastAsia" w:ascii="Times New Roman" w:hAnsi="Times New Roman" w:eastAsia="宋体" w:cs="Times New Roman"/>
          <w:color w:val="auto"/>
          <w:kern w:val="0"/>
          <w:sz w:val="24"/>
          <w:szCs w:val="24"/>
          <w:highlight w:val="none"/>
          <w:lang w:val="en-US" w:eastAsia="zh-CN" w:bidi="ar-SA"/>
        </w:rPr>
        <w:t>3.</w:t>
      </w:r>
      <w:r>
        <w:rPr>
          <w:rFonts w:hint="eastAsia" w:cs="Times New Roman"/>
          <w:color w:val="auto"/>
          <w:kern w:val="0"/>
          <w:sz w:val="24"/>
          <w:szCs w:val="24"/>
          <w:highlight w:val="none"/>
          <w:lang w:val="en-US" w:eastAsia="zh-CN" w:bidi="ar-SA"/>
        </w:rPr>
        <w:t>6</w:t>
      </w:r>
      <w:r>
        <w:rPr>
          <w:rFonts w:hint="eastAsia" w:ascii="Times New Roman" w:hAnsi="Times New Roman" w:eastAsia="宋体" w:cs="Times New Roman"/>
          <w:color w:val="auto"/>
          <w:kern w:val="0"/>
          <w:sz w:val="24"/>
          <w:szCs w:val="24"/>
          <w:highlight w:val="none"/>
          <w:lang w:val="en-US" w:eastAsia="zh-CN" w:bidi="ar-SA"/>
        </w:rPr>
        <w:t>凡被交通运输部或山西省交通运输厅取消投标资格或禁止进入建设市场的施工监理企业，在处罚期内无资格参与本项目的投标。在交通运输部或山西省公路建设市场信用评价的考核定级中，被评价为D级的施工监理企业，在评价有效期内无资格参与本项目的投标。</w:t>
      </w:r>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textAlignment w:val="auto"/>
        <w:rPr>
          <w:rFonts w:hint="eastAsia" w:ascii="Times New Roman" w:hAnsi="Times New Roman" w:cs="Times New Roman"/>
          <w:color w:val="auto"/>
          <w:highlight w:val="none"/>
          <w:lang w:val="en-US" w:eastAsia="zh-CN"/>
        </w:rPr>
      </w:pPr>
      <w:r>
        <w:rPr>
          <w:rFonts w:ascii="Times New Roman" w:hAnsi="Times New Roman" w:cs="Times New Roman"/>
          <w:color w:val="auto"/>
          <w:highlight w:val="none"/>
        </w:rPr>
        <w:t>3.</w:t>
      </w:r>
      <w:r>
        <w:rPr>
          <w:rFonts w:hint="eastAsia" w:ascii="Times New Roman" w:hAnsi="Times New Roman" w:cs="Times New Roman"/>
          <w:color w:val="auto"/>
          <w:highlight w:val="none"/>
          <w:lang w:val="en-US" w:eastAsia="zh-CN"/>
        </w:rPr>
        <w:t>7投标人在近三年（2020年11月01日至今）监理过的工程，在工程建设领域因重、特大工程质量、安全事故受到省级及以上行政主管部门的通报，在山西省公路工程建设项目中发生重大工程质量、安全等事故并受到通报的无资格参与本项目的投标。</w:t>
      </w:r>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textAlignment w:val="auto"/>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3.8</w:t>
      </w:r>
      <w:r>
        <w:rPr>
          <w:rFonts w:hint="eastAsia" w:ascii="Times New Roman" w:hAnsi="Times New Roman" w:cs="Times New Roman"/>
          <w:color w:val="auto"/>
          <w:highlight w:val="none"/>
        </w:rPr>
        <w:t>投标人在“信用中国”网站平台中</w:t>
      </w:r>
      <w:r>
        <w:rPr>
          <w:rFonts w:hint="eastAsia" w:ascii="Times New Roman" w:hAnsi="Times New Roman" w:cs="Times New Roman"/>
          <w:color w:val="auto"/>
          <w:highlight w:val="none"/>
          <w:lang w:val="en-US" w:eastAsia="zh-CN"/>
        </w:rPr>
        <w:t>未</w:t>
      </w:r>
      <w:r>
        <w:rPr>
          <w:rFonts w:hint="eastAsia" w:ascii="Times New Roman" w:hAnsi="Times New Roman" w:cs="Times New Roman"/>
          <w:color w:val="auto"/>
          <w:highlight w:val="none"/>
        </w:rPr>
        <w:t>被列入</w:t>
      </w:r>
      <w:r>
        <w:rPr>
          <w:rFonts w:hint="eastAsia" w:ascii="Times New Roman" w:hAnsi="Times New Roman" w:cs="Times New Roman"/>
          <w:color w:val="auto"/>
          <w:highlight w:val="none"/>
          <w:lang w:eastAsia="zh-CN"/>
        </w:rPr>
        <w:t>严重失信主体</w:t>
      </w:r>
      <w:r>
        <w:rPr>
          <w:rFonts w:hint="eastAsia" w:ascii="Times New Roman" w:hAnsi="Times New Roman" w:cs="Times New Roman"/>
          <w:color w:val="auto"/>
          <w:highlight w:val="none"/>
        </w:rPr>
        <w:t>名单；在“国家企业信用信息公示系统”中</w:t>
      </w:r>
      <w:r>
        <w:rPr>
          <w:rFonts w:hint="eastAsia" w:ascii="Times New Roman" w:hAnsi="Times New Roman" w:cs="Times New Roman"/>
          <w:color w:val="auto"/>
          <w:highlight w:val="none"/>
          <w:lang w:val="en-US" w:eastAsia="zh-CN"/>
        </w:rPr>
        <w:t>未</w:t>
      </w:r>
      <w:r>
        <w:rPr>
          <w:rFonts w:hint="eastAsia" w:ascii="Times New Roman" w:hAnsi="Times New Roman" w:cs="Times New Roman"/>
          <w:color w:val="auto"/>
          <w:highlight w:val="none"/>
        </w:rPr>
        <w:t>被列入“严重违法失信企业名单（黑名单）”。</w:t>
      </w:r>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jc w:val="both"/>
        <w:textAlignment w:val="auto"/>
        <w:rPr>
          <w:rFonts w:hint="eastAsia" w:ascii="Times New Roman" w:hAnsi="Times New Roman" w:cs="Times New Roman"/>
          <w:color w:val="auto"/>
          <w:highlight w:val="none"/>
        </w:rPr>
      </w:pPr>
      <w:r>
        <w:rPr>
          <w:rFonts w:hint="eastAsia" w:ascii="Times New Roman" w:hAnsi="Times New Roman" w:cs="Times New Roman"/>
          <w:color w:val="auto"/>
          <w:highlight w:val="none"/>
        </w:rPr>
        <w:t>3</w:t>
      </w:r>
      <w:r>
        <w:rPr>
          <w:rFonts w:ascii="Times New Roman" w:hAnsi="Times New Roman" w:cs="Times New Roman"/>
          <w:color w:val="auto"/>
          <w:highlight w:val="none"/>
        </w:rPr>
        <w:t>.</w:t>
      </w:r>
      <w:r>
        <w:rPr>
          <w:rFonts w:hint="eastAsia" w:ascii="Times New Roman" w:hAnsi="Times New Roman" w:cs="Times New Roman"/>
          <w:color w:val="auto"/>
          <w:highlight w:val="none"/>
          <w:lang w:val="en-US" w:eastAsia="zh-CN"/>
        </w:rPr>
        <w:t>9</w:t>
      </w:r>
      <w:r>
        <w:rPr>
          <w:rFonts w:hint="eastAsia" w:ascii="Times New Roman" w:hAnsi="Times New Roman" w:cs="Times New Roman"/>
          <w:color w:val="auto"/>
          <w:highlight w:val="none"/>
        </w:rPr>
        <w:t>投标人及其法定代表人、拟任总监理工程师近三年（</w:t>
      </w:r>
      <w:r>
        <w:rPr>
          <w:rFonts w:hint="eastAsia" w:ascii="Times New Roman" w:hAnsi="Times New Roman" w:cs="Times New Roman"/>
          <w:color w:val="auto"/>
          <w:highlight w:val="none"/>
          <w:lang w:eastAsia="zh-CN"/>
        </w:rPr>
        <w:t>2020年</w:t>
      </w:r>
      <w:r>
        <w:rPr>
          <w:rFonts w:hint="eastAsia" w:ascii="Times New Roman" w:hAnsi="Times New Roman" w:cs="Times New Roman"/>
          <w:color w:val="auto"/>
          <w:highlight w:val="none"/>
          <w:lang w:val="en-US" w:eastAsia="zh-CN"/>
        </w:rPr>
        <w:t>11</w:t>
      </w:r>
      <w:r>
        <w:rPr>
          <w:rFonts w:hint="eastAsia" w:ascii="Times New Roman" w:hAnsi="Times New Roman" w:cs="Times New Roman"/>
          <w:color w:val="auto"/>
          <w:highlight w:val="none"/>
          <w:lang w:eastAsia="zh-CN"/>
        </w:rPr>
        <w:t>月</w:t>
      </w:r>
      <w:r>
        <w:rPr>
          <w:rFonts w:hint="eastAsia" w:ascii="Times New Roman" w:hAnsi="Times New Roman" w:cs="Times New Roman"/>
          <w:color w:val="auto"/>
          <w:highlight w:val="none"/>
        </w:rPr>
        <w:t>以来）无行贿犯罪行为。</w:t>
      </w:r>
    </w:p>
    <w:p>
      <w:pPr>
        <w:pStyle w:val="9"/>
        <w:keepNext w:val="0"/>
        <w:keepLines w:val="0"/>
        <w:pageBreakBefore w:val="0"/>
        <w:shd w:val="clear"/>
        <w:kinsoku/>
        <w:overflowPunct/>
        <w:autoSpaceDE/>
        <w:autoSpaceDN/>
        <w:bidi w:val="0"/>
        <w:adjustRightInd/>
        <w:snapToGrid/>
        <w:spacing w:before="0" w:beforeAutospacing="0" w:after="0" w:afterAutospacing="0" w:line="360" w:lineRule="auto"/>
        <w:ind w:firstLine="420"/>
        <w:jc w:val="both"/>
        <w:textAlignment w:val="auto"/>
        <w:rPr>
          <w:rFonts w:hint="eastAsia" w:ascii="Times New Roman" w:hAnsi="Times New Roman" w:cs="Times New Roman"/>
          <w:color w:val="000000"/>
          <w:kern w:val="2"/>
          <w:highlight w:val="none"/>
        </w:rPr>
      </w:pPr>
      <w:r>
        <w:rPr>
          <w:rFonts w:ascii="Times New Roman" w:hAnsi="Times New Roman" w:cs="Times New Roman"/>
          <w:color w:val="auto"/>
          <w:highlight w:val="none"/>
        </w:rPr>
        <w:t>3.</w:t>
      </w:r>
      <w:bookmarkEnd w:id="6"/>
      <w:r>
        <w:rPr>
          <w:rFonts w:hint="eastAsia" w:ascii="Times New Roman" w:hAnsi="Times New Roman" w:cs="Times New Roman"/>
          <w:color w:val="auto"/>
          <w:highlight w:val="none"/>
          <w:lang w:val="en-US" w:eastAsia="zh-CN"/>
        </w:rPr>
        <w:t>10本项目施工标段和施工监理标段同时招标，若存在3.3款所列关联管理关系的施工单位及对应监理单位综合得分同时排名第一时，则优先推荐施工标段为第一中标候选人，同时取消对应施工监理标段的第一中标候选人资格。</w:t>
      </w:r>
    </w:p>
    <w:p>
      <w:pPr>
        <w:pStyle w:val="2"/>
        <w:wordWrap w:val="0"/>
        <w:topLinePunct/>
        <w:spacing w:before="120" w:after="120" w:line="360" w:lineRule="auto"/>
        <w:rPr>
          <w:rFonts w:eastAsia="黑体" w:asciiTheme="minorHAnsi" w:hAnsiTheme="minorHAnsi" w:cstheme="minorBidi"/>
          <w:b w:val="0"/>
          <w:bCs/>
          <w:color w:val="000000"/>
          <w:kern w:val="2"/>
          <w:sz w:val="28"/>
          <w:szCs w:val="28"/>
          <w:highlight w:val="none"/>
          <w:lang w:val="en-US" w:eastAsia="zh-CN" w:bidi="ar-SA"/>
        </w:rPr>
      </w:pPr>
      <w:r>
        <w:rPr>
          <w:rFonts w:hint="eastAsia" w:eastAsia="黑体" w:asciiTheme="minorHAnsi" w:hAnsiTheme="minorHAnsi" w:cstheme="minorBidi"/>
          <w:b w:val="0"/>
          <w:bCs/>
          <w:color w:val="000000"/>
          <w:kern w:val="2"/>
          <w:sz w:val="28"/>
          <w:szCs w:val="28"/>
          <w:highlight w:val="none"/>
          <w:lang w:val="en-US" w:eastAsia="zh-CN" w:bidi="ar-SA"/>
        </w:rPr>
        <w:t>4、</w:t>
      </w:r>
      <w:r>
        <w:rPr>
          <w:rFonts w:eastAsia="黑体" w:asciiTheme="minorHAnsi" w:hAnsiTheme="minorHAnsi" w:cstheme="minorBidi"/>
          <w:b w:val="0"/>
          <w:bCs/>
          <w:color w:val="000000"/>
          <w:kern w:val="2"/>
          <w:sz w:val="28"/>
          <w:szCs w:val="28"/>
          <w:highlight w:val="none"/>
          <w:lang w:val="en-US" w:eastAsia="zh-CN" w:bidi="ar-SA"/>
        </w:rPr>
        <w:t>评标办法（</w:t>
      </w:r>
      <w:r>
        <w:rPr>
          <w:rFonts w:hint="eastAsia" w:eastAsia="黑体" w:cstheme="minorBidi"/>
          <w:b w:val="0"/>
          <w:bCs/>
          <w:color w:val="000000"/>
          <w:kern w:val="2"/>
          <w:sz w:val="28"/>
          <w:szCs w:val="28"/>
          <w:highlight w:val="none"/>
          <w:lang w:val="en-US" w:eastAsia="zh-CN" w:bidi="ar-SA"/>
        </w:rPr>
        <w:t>综合评分</w:t>
      </w:r>
      <w:r>
        <w:rPr>
          <w:rFonts w:eastAsia="黑体" w:asciiTheme="minorHAnsi" w:hAnsiTheme="minorHAnsi" w:cstheme="minorBidi"/>
          <w:b w:val="0"/>
          <w:bCs/>
          <w:color w:val="000000"/>
          <w:kern w:val="2"/>
          <w:sz w:val="28"/>
          <w:szCs w:val="28"/>
          <w:highlight w:val="none"/>
          <w:lang w:val="en-US" w:eastAsia="zh-CN" w:bidi="ar-SA"/>
        </w:rPr>
        <w:t>法）</w:t>
      </w:r>
    </w:p>
    <w:p>
      <w:pPr>
        <w:pStyle w:val="2"/>
        <w:shd w:val="clear"/>
        <w:spacing w:beforeLines="50" w:afterLines="50" w:line="440" w:lineRule="exact"/>
        <w:rPr>
          <w:rFonts w:eastAsia="黑体"/>
          <w:b w:val="0"/>
          <w:sz w:val="24"/>
          <w:szCs w:val="24"/>
          <w:highlight w:val="none"/>
        </w:rPr>
      </w:pPr>
      <w:bookmarkStart w:id="8" w:name="_Toc526785605"/>
      <w:bookmarkStart w:id="9" w:name="_Toc516551887"/>
      <w:bookmarkStart w:id="10" w:name="_Toc4578559"/>
      <w:bookmarkStart w:id="11" w:name="_Toc503235806"/>
      <w:r>
        <w:rPr>
          <w:rFonts w:eastAsia="黑体"/>
          <w:bCs w:val="0"/>
          <w:sz w:val="24"/>
          <w:highlight w:val="none"/>
        </w:rPr>
        <w:t>评标办法前附表</w:t>
      </w:r>
      <w:bookmarkEnd w:id="8"/>
      <w:bookmarkEnd w:id="9"/>
      <w:r>
        <w:rPr>
          <w:rStyle w:val="13"/>
          <w:rFonts w:eastAsia="黑体"/>
          <w:b w:val="0"/>
          <w:sz w:val="24"/>
          <w:szCs w:val="24"/>
          <w:highlight w:val="none"/>
        </w:rPr>
        <w:footnoteReference w:id="0"/>
      </w:r>
      <w:bookmarkEnd w:id="10"/>
    </w:p>
    <w:tbl>
      <w:tblPr>
        <w:tblStyle w:val="10"/>
        <w:tblW w:w="9090" w:type="dxa"/>
        <w:tblInd w:w="-306" w:type="dxa"/>
        <w:tblBorders>
          <w:top w:val="single" w:color="auto" w:sz="12" w:space="0"/>
          <w:left w:val="single" w:color="auto" w:sz="12" w:space="0"/>
          <w:bottom w:val="single" w:color="auto" w:sz="12" w:space="0"/>
          <w:right w:val="single" w:color="auto" w:sz="12" w:space="0"/>
          <w:insideH w:val="single" w:color="auto" w:sz="4" w:space="0"/>
          <w:insideV w:val="single" w:color="auto" w:sz="2" w:space="0"/>
        </w:tblBorders>
        <w:tblLayout w:type="fixed"/>
        <w:tblCellMar>
          <w:top w:w="0" w:type="dxa"/>
          <w:left w:w="108" w:type="dxa"/>
          <w:bottom w:w="0" w:type="dxa"/>
          <w:right w:w="108" w:type="dxa"/>
        </w:tblCellMar>
      </w:tblPr>
      <w:tblGrid>
        <w:gridCol w:w="1005"/>
        <w:gridCol w:w="1170"/>
        <w:gridCol w:w="691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2" w:space="0"/>
          </w:tblBorders>
          <w:tblCellMar>
            <w:top w:w="0" w:type="dxa"/>
            <w:left w:w="108" w:type="dxa"/>
            <w:bottom w:w="0" w:type="dxa"/>
            <w:right w:w="108" w:type="dxa"/>
          </w:tblCellMar>
        </w:tblPrEx>
        <w:trPr>
          <w:trHeight w:val="20" w:hRule="atLeast"/>
          <w:tblHeader/>
        </w:trPr>
        <w:tc>
          <w:tcPr>
            <w:tcW w:w="2175" w:type="dxa"/>
            <w:gridSpan w:val="2"/>
            <w:vAlign w:val="center"/>
          </w:tcPr>
          <w:p>
            <w:pPr>
              <w:shd w:val="clear"/>
              <w:spacing w:line="380" w:lineRule="atLeast"/>
              <w:jc w:val="center"/>
              <w:rPr>
                <w:rFonts w:eastAsia="黑体"/>
                <w:szCs w:val="21"/>
                <w:highlight w:val="none"/>
              </w:rPr>
            </w:pPr>
            <w:r>
              <w:rPr>
                <w:rFonts w:eastAsia="黑体"/>
                <w:szCs w:val="21"/>
                <w:highlight w:val="none"/>
              </w:rPr>
              <w:t>条款号</w:t>
            </w:r>
          </w:p>
        </w:tc>
        <w:tc>
          <w:tcPr>
            <w:tcW w:w="6915" w:type="dxa"/>
            <w:vAlign w:val="center"/>
          </w:tcPr>
          <w:p>
            <w:pPr>
              <w:shd w:val="clear"/>
              <w:spacing w:line="380" w:lineRule="atLeast"/>
              <w:jc w:val="center"/>
              <w:rPr>
                <w:rFonts w:eastAsia="黑体"/>
                <w:spacing w:val="4"/>
                <w:szCs w:val="21"/>
                <w:highlight w:val="none"/>
              </w:rPr>
            </w:pPr>
            <w:r>
              <w:rPr>
                <w:rFonts w:eastAsia="黑体"/>
                <w:spacing w:val="4"/>
                <w:szCs w:val="21"/>
                <w:highlight w:val="none"/>
              </w:rPr>
              <w:t>评审因素与评审标准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2" w:space="0"/>
          </w:tblBorders>
          <w:tblCellMar>
            <w:top w:w="0" w:type="dxa"/>
            <w:left w:w="108" w:type="dxa"/>
            <w:bottom w:w="0" w:type="dxa"/>
            <w:right w:w="108" w:type="dxa"/>
          </w:tblCellMar>
        </w:tblPrEx>
        <w:trPr>
          <w:trHeight w:val="20" w:hRule="atLeast"/>
        </w:trPr>
        <w:tc>
          <w:tcPr>
            <w:tcW w:w="1005" w:type="dxa"/>
            <w:vAlign w:val="center"/>
          </w:tcPr>
          <w:p>
            <w:pPr>
              <w:keepNext w:val="0"/>
              <w:keepLines w:val="0"/>
              <w:pageBreakBefore w:val="0"/>
              <w:widowControl w:val="0"/>
              <w:shd w:val="clear"/>
              <w:kinsoku/>
              <w:wordWrap/>
              <w:overflowPunct/>
              <w:autoSpaceDN/>
              <w:bidi w:val="0"/>
              <w:spacing w:line="360" w:lineRule="exact"/>
              <w:jc w:val="center"/>
              <w:textAlignment w:val="auto"/>
              <w:rPr>
                <w:szCs w:val="21"/>
                <w:highlight w:val="none"/>
              </w:rPr>
            </w:pPr>
            <w:r>
              <w:rPr>
                <w:szCs w:val="21"/>
                <w:highlight w:val="none"/>
              </w:rPr>
              <w:t>1</w:t>
            </w:r>
          </w:p>
        </w:tc>
        <w:tc>
          <w:tcPr>
            <w:tcW w:w="1170" w:type="dxa"/>
            <w:vAlign w:val="center"/>
          </w:tcPr>
          <w:p>
            <w:pPr>
              <w:keepNext w:val="0"/>
              <w:keepLines w:val="0"/>
              <w:pageBreakBefore w:val="0"/>
              <w:widowControl w:val="0"/>
              <w:shd w:val="clear"/>
              <w:kinsoku/>
              <w:wordWrap/>
              <w:overflowPunct/>
              <w:autoSpaceDN/>
              <w:bidi w:val="0"/>
              <w:spacing w:line="360" w:lineRule="exact"/>
              <w:jc w:val="center"/>
              <w:textAlignment w:val="auto"/>
              <w:rPr>
                <w:szCs w:val="21"/>
                <w:highlight w:val="none"/>
              </w:rPr>
            </w:pPr>
            <w:r>
              <w:rPr>
                <w:szCs w:val="21"/>
                <w:highlight w:val="none"/>
              </w:rPr>
              <w:t>评标方法</w:t>
            </w:r>
          </w:p>
        </w:tc>
        <w:tc>
          <w:tcPr>
            <w:tcW w:w="6915" w:type="dxa"/>
            <w:vAlign w:val="center"/>
          </w:tcPr>
          <w:p>
            <w:pPr>
              <w:keepNext w:val="0"/>
              <w:keepLines w:val="0"/>
              <w:pageBreakBefore w:val="0"/>
              <w:widowControl w:val="0"/>
              <w:shd w:val="clear"/>
              <w:kinsoku/>
              <w:wordWrap/>
              <w:overflowPunct/>
              <w:autoSpaceDN/>
              <w:bidi w:val="0"/>
              <w:spacing w:line="360" w:lineRule="exact"/>
              <w:ind w:firstLine="420" w:firstLineChars="200"/>
              <w:jc w:val="left"/>
              <w:textAlignment w:val="auto"/>
              <w:rPr>
                <w:szCs w:val="21"/>
                <w:highlight w:val="none"/>
              </w:rPr>
            </w:pPr>
            <w:r>
              <w:rPr>
                <w:szCs w:val="21"/>
                <w:highlight w:val="none"/>
              </w:rPr>
              <w:t>综合评分相等时，评标委员会依次按照以下优先顺序推荐中标候选人：</w:t>
            </w:r>
          </w:p>
          <w:p>
            <w:pPr>
              <w:keepNext w:val="0"/>
              <w:keepLines w:val="0"/>
              <w:pageBreakBefore w:val="0"/>
              <w:widowControl w:val="0"/>
              <w:shd w:val="clear"/>
              <w:kinsoku/>
              <w:wordWrap/>
              <w:overflowPunct/>
              <w:autoSpaceDN/>
              <w:bidi w:val="0"/>
              <w:spacing w:line="360" w:lineRule="exact"/>
              <w:jc w:val="left"/>
              <w:textAlignment w:val="auto"/>
              <w:rPr>
                <w:szCs w:val="21"/>
                <w:highlight w:val="none"/>
              </w:rPr>
            </w:pPr>
            <w:r>
              <w:rPr>
                <w:szCs w:val="21"/>
                <w:highlight w:val="none"/>
              </w:rPr>
              <w:t>（1）评标价低的投标人优先；</w:t>
            </w:r>
          </w:p>
          <w:p>
            <w:pPr>
              <w:keepNext w:val="0"/>
              <w:keepLines w:val="0"/>
              <w:pageBreakBefore w:val="0"/>
              <w:widowControl w:val="0"/>
              <w:shd w:val="clear"/>
              <w:kinsoku/>
              <w:wordWrap/>
              <w:overflowPunct/>
              <w:autoSpaceDN/>
              <w:bidi w:val="0"/>
              <w:spacing w:line="360" w:lineRule="exact"/>
              <w:jc w:val="left"/>
              <w:textAlignment w:val="auto"/>
              <w:rPr>
                <w:szCs w:val="21"/>
                <w:highlight w:val="none"/>
              </w:rPr>
            </w:pPr>
            <w:r>
              <w:rPr>
                <w:szCs w:val="21"/>
                <w:highlight w:val="none"/>
              </w:rPr>
              <w:t>（2）商务和技术得分较高的投标人优先；</w:t>
            </w:r>
          </w:p>
          <w:p>
            <w:pPr>
              <w:keepNext w:val="0"/>
              <w:keepLines w:val="0"/>
              <w:pageBreakBefore w:val="0"/>
              <w:widowControl w:val="0"/>
              <w:shd w:val="clear"/>
              <w:kinsoku/>
              <w:wordWrap/>
              <w:overflowPunct/>
              <w:autoSpaceDN/>
              <w:bidi w:val="0"/>
              <w:spacing w:line="360" w:lineRule="exact"/>
              <w:jc w:val="left"/>
              <w:textAlignment w:val="auto"/>
              <w:rPr>
                <w:szCs w:val="21"/>
                <w:highlight w:val="none"/>
              </w:rPr>
            </w:pPr>
            <w:r>
              <w:rPr>
                <w:szCs w:val="21"/>
                <w:highlight w:val="none"/>
              </w:rPr>
              <w:t>（3）信用评价等级较高者优先（注：以山西省交通运输厅最新发布的公路监理企业信用评价结果为准）；</w:t>
            </w:r>
          </w:p>
          <w:p>
            <w:pPr>
              <w:keepNext w:val="0"/>
              <w:keepLines w:val="0"/>
              <w:pageBreakBefore w:val="0"/>
              <w:widowControl w:val="0"/>
              <w:shd w:val="clear"/>
              <w:kinsoku/>
              <w:wordWrap/>
              <w:overflowPunct/>
              <w:topLinePunct/>
              <w:autoSpaceDN/>
              <w:bidi w:val="0"/>
              <w:spacing w:line="360" w:lineRule="exact"/>
              <w:textAlignment w:val="auto"/>
              <w:rPr>
                <w:szCs w:val="21"/>
                <w:highlight w:val="none"/>
              </w:rPr>
            </w:pPr>
            <w:r>
              <w:rPr>
                <w:szCs w:val="21"/>
                <w:highlight w:val="none"/>
              </w:rPr>
              <w:t>（4）按规定上传电子投标文件较早的投标人优先。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2" w:space="0"/>
          </w:tblBorders>
          <w:tblCellMar>
            <w:top w:w="0" w:type="dxa"/>
            <w:left w:w="108" w:type="dxa"/>
            <w:bottom w:w="0" w:type="dxa"/>
            <w:right w:w="108" w:type="dxa"/>
          </w:tblCellMar>
        </w:tblPrEx>
        <w:trPr>
          <w:trHeight w:val="20" w:hRule="atLeast"/>
        </w:trPr>
        <w:tc>
          <w:tcPr>
            <w:tcW w:w="1005" w:type="dxa"/>
            <w:vAlign w:val="center"/>
          </w:tcPr>
          <w:p>
            <w:pPr>
              <w:keepNext w:val="0"/>
              <w:keepLines w:val="0"/>
              <w:pageBreakBefore w:val="0"/>
              <w:widowControl w:val="0"/>
              <w:shd w:val="clear"/>
              <w:kinsoku/>
              <w:wordWrap/>
              <w:overflowPunct/>
              <w:autoSpaceDN/>
              <w:bidi w:val="0"/>
              <w:spacing w:line="360" w:lineRule="exact"/>
              <w:jc w:val="center"/>
              <w:textAlignment w:val="auto"/>
              <w:rPr>
                <w:szCs w:val="21"/>
                <w:highlight w:val="none"/>
              </w:rPr>
            </w:pPr>
            <w:r>
              <w:rPr>
                <w:szCs w:val="21"/>
                <w:highlight w:val="none"/>
              </w:rPr>
              <w:t>2.1.1</w:t>
            </w:r>
          </w:p>
          <w:p>
            <w:pPr>
              <w:keepNext w:val="0"/>
              <w:keepLines w:val="0"/>
              <w:pageBreakBefore w:val="0"/>
              <w:widowControl w:val="0"/>
              <w:shd w:val="clear"/>
              <w:kinsoku/>
              <w:wordWrap/>
              <w:overflowPunct/>
              <w:autoSpaceDN/>
              <w:bidi w:val="0"/>
              <w:spacing w:line="360" w:lineRule="exact"/>
              <w:jc w:val="center"/>
              <w:textAlignment w:val="auto"/>
              <w:rPr>
                <w:szCs w:val="21"/>
                <w:highlight w:val="none"/>
              </w:rPr>
            </w:pPr>
            <w:r>
              <w:rPr>
                <w:szCs w:val="21"/>
                <w:highlight w:val="none"/>
              </w:rPr>
              <w:t>2.1.3</w:t>
            </w:r>
          </w:p>
        </w:tc>
        <w:tc>
          <w:tcPr>
            <w:tcW w:w="1170" w:type="dxa"/>
            <w:vAlign w:val="center"/>
          </w:tcPr>
          <w:p>
            <w:pPr>
              <w:keepNext w:val="0"/>
              <w:keepLines w:val="0"/>
              <w:pageBreakBefore w:val="0"/>
              <w:widowControl w:val="0"/>
              <w:shd w:val="clear"/>
              <w:kinsoku/>
              <w:wordWrap/>
              <w:overflowPunct/>
              <w:autoSpaceDN/>
              <w:bidi w:val="0"/>
              <w:spacing w:line="360" w:lineRule="exact"/>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形式评审与响应性评审标准</w:t>
            </w:r>
          </w:p>
        </w:tc>
        <w:tc>
          <w:tcPr>
            <w:tcW w:w="6915" w:type="dxa"/>
            <w:vAlign w:val="center"/>
          </w:tcPr>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第一个信封（商务及技术文件）评审标准：</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（1）投标文件按照招标文件规定的格式、内容填写，字迹清晰可辨：</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a.投标函按招标文件规定填报了项目名称、补遗书编号（如有）、总监理工程师、监理服务期限、质量要求及安全目标等；</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b.投标函文字与招标文件规定一致，未进行实质性的修改和删减；</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c.投标文件组成齐全完整，内容均按规定填写。</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（2）投标文件上法定代表人的签字、投标人的单位章盖章齐全，符合招标文件规定。</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（3）投标人按照招标文件的规定提供了投标保证金：</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a.投标保证金金额符合招标文件规定的金额，且投标保证金有效期不少于投标有效期；</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b.若投标保证金采用现金形式提交，投标人应按投标人须知前附表第3.4.1项的规定，将投标保证金由投标人的基本账户转入招标人指定账户；投标文件中应提供投标保证金汇款凭单的彩色影印件；</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c.若投标保证金采用保函形式提交，保函及说明材料（如必需）的格式、开具保函的</w:t>
            </w:r>
            <w:r>
              <w:rPr>
                <w:rFonts w:hint="eastAsia" w:ascii="宋体" w:hAnsi="宋体" w:cs="宋体"/>
                <w:szCs w:val="21"/>
                <w:highlight w:val="none"/>
                <w:lang w:val="en-US" w:eastAsia="zh-CN"/>
              </w:rPr>
              <w:t>金融机构</w:t>
            </w:r>
            <w:r>
              <w:rPr>
                <w:rFonts w:hint="eastAsia" w:ascii="宋体" w:hAnsi="宋体" w:eastAsia="宋体" w:cs="宋体"/>
                <w:szCs w:val="21"/>
                <w:highlight w:val="none"/>
              </w:rPr>
              <w:t>、保函的有效期均满足招标文件要求，且按投标人须知前附表第3.4.1项规定提交了银行保函及说明材料（如必需）原件；投标文件中提供了保函及说明材料（如必需）的彩色影印件；</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d.汇款凭单或银行保函上标明了工程项目信息。</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（4）投标人法定代表人亲自签署投标文件的，提供了法定代表人身份证明，且法定代表人在法定代表人身份证明上签名。</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（5）投标人以联合体形式投标时，联合体满足招标文件的要求：</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投标人按照招标文件提供的格式签订了联合体协议书，明确各方承担连带责任，并明确了联合体牵头人。</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（6）同一投标人未提交两个以上不同的投标文件，但招标文件要求提交备选投标的除外。</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（7）投标文件中未出现有关投标报价的内容。</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（8）投标文件载明的招标项目完成期限符合招标文件规定。</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（9）投标文件对招标文件的实质性要求和条件作出响应。</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（10）权利义务符合招标文件规定：</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a.投标人应接受招标文件规定的风险划分原则，未提出新的风险划分办法；</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b.投标人未增加委托人的责任范围，或减少投标人义务；</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c.投标人未提出不同的支付办法；</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d.投标人对合同纠纷、事故处理办法未提出异议；</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e.投标人在投标活动中无欺诈行为；</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f.投标人未对合同条款有重要保留。</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投标文件未满足以上任一条件的，其投标视为无效，评标委员会将否决其投标。</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b/>
                <w:szCs w:val="21"/>
                <w:highlight w:val="none"/>
              </w:rPr>
            </w:pPr>
            <w:r>
              <w:rPr>
                <w:rFonts w:hint="eastAsia"/>
                <w:color w:val="auto"/>
                <w:highlight w:val="none"/>
                <w:lang w:val="zh-CN"/>
              </w:rPr>
              <w:t>（</w:t>
            </w:r>
            <w:r>
              <w:rPr>
                <w:rFonts w:hint="eastAsia"/>
                <w:color w:val="auto"/>
                <w:highlight w:val="none"/>
                <w:lang w:val="en-US" w:eastAsia="zh-CN"/>
              </w:rPr>
              <w:t>11</w:t>
            </w:r>
            <w:r>
              <w:rPr>
                <w:rFonts w:hint="eastAsia"/>
                <w:color w:val="auto"/>
                <w:highlight w:val="none"/>
                <w:lang w:val="zh-CN"/>
              </w:rPr>
              <w:t>）电子投标文件符合招</w:t>
            </w:r>
            <w:r>
              <w:rPr>
                <w:rFonts w:hint="eastAsia"/>
                <w:color w:val="auto"/>
                <w:highlight w:val="none"/>
              </w:rPr>
              <w:t>标文件规定且不存在投标人须知第10.</w:t>
            </w:r>
            <w:r>
              <w:rPr>
                <w:rFonts w:hint="eastAsia"/>
                <w:color w:val="auto"/>
                <w:highlight w:val="none"/>
                <w:lang w:val="en-US" w:eastAsia="zh-CN"/>
              </w:rPr>
              <w:t>6</w:t>
            </w:r>
            <w:r>
              <w:rPr>
                <w:rFonts w:hint="eastAsia"/>
                <w:color w:val="auto"/>
                <w:highlight w:val="none"/>
              </w:rPr>
              <w:t>款规定的情形。</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第二个信封（报价文件）评审标准：</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（1）投标文件按照招标文件规定的格式、内容填写，字迹清晰可辨，内容齐全完整：</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a.投标函按招标文件规定填报了项目名称、补遗书编号（如有）、投标价（包括大写金额和小写金额）；</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b.投标函、已标价报价清单说明文字与招标文件规定一致，未进行实质性修改和删减；</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c.投标文件组成齐全完整，内容均按规定填写。</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（2）投标文件上法定代表人的签字、投标人的单位章盖章齐全，符合招标文件规定。</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（3）投标报价未超过招标文件设定的最高投标限价</w:t>
            </w:r>
            <w:r>
              <w:rPr>
                <w:rFonts w:hint="eastAsia" w:ascii="宋体" w:hAnsi="宋体" w:cs="宋体"/>
                <w:szCs w:val="21"/>
                <w:highlight w:val="none"/>
                <w:lang w:eastAsia="zh-CN"/>
              </w:rPr>
              <w:t>，</w:t>
            </w:r>
            <w:r>
              <w:rPr>
                <w:rFonts w:hint="eastAsia" w:ascii="宋体" w:hAnsi="宋体" w:cs="宋体"/>
                <w:szCs w:val="21"/>
                <w:highlight w:val="none"/>
                <w:lang w:val="en-US" w:eastAsia="zh-CN"/>
              </w:rPr>
              <w:t>缺陷责任期费用未低于投标报价的10%</w:t>
            </w:r>
            <w:r>
              <w:rPr>
                <w:rFonts w:hint="eastAsia" w:ascii="宋体" w:hAnsi="宋体" w:eastAsia="宋体" w:cs="宋体"/>
                <w:szCs w:val="21"/>
                <w:highlight w:val="none"/>
              </w:rPr>
              <w:t>。</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（4）投标报价的大写金额能够确定具体数值。</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（5）同一投标人未提交两个以上不同的投标报价，但招标文件要求提交备选投标的除外。</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（6）投标文件份数符合招标文件第二章“投标人须知”第3.7.4项规定。</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color w:val="auto"/>
                <w:highlight w:val="none"/>
                <w:lang w:val="zh-CN"/>
              </w:rPr>
              <w:t>（</w:t>
            </w:r>
            <w:r>
              <w:rPr>
                <w:rFonts w:hint="eastAsia"/>
                <w:color w:val="auto"/>
                <w:highlight w:val="none"/>
                <w:lang w:val="en-US" w:eastAsia="zh-CN"/>
              </w:rPr>
              <w:t>7</w:t>
            </w:r>
            <w:r>
              <w:rPr>
                <w:rFonts w:hint="eastAsia"/>
                <w:color w:val="auto"/>
                <w:highlight w:val="none"/>
                <w:lang w:val="zh-CN"/>
              </w:rPr>
              <w:t>）电子投标文件符合招</w:t>
            </w:r>
            <w:r>
              <w:rPr>
                <w:rFonts w:hint="eastAsia"/>
                <w:color w:val="auto"/>
                <w:highlight w:val="none"/>
              </w:rPr>
              <w:t>标文件规定且不存在投标人须知第10.</w:t>
            </w:r>
            <w:r>
              <w:rPr>
                <w:rFonts w:hint="eastAsia"/>
                <w:color w:val="auto"/>
                <w:highlight w:val="none"/>
                <w:lang w:val="en-US" w:eastAsia="zh-CN"/>
              </w:rPr>
              <w:t>6</w:t>
            </w:r>
            <w:r>
              <w:rPr>
                <w:rFonts w:hint="eastAsia"/>
                <w:color w:val="auto"/>
                <w:highlight w:val="none"/>
              </w:rPr>
              <w:t>款规定的情形。</w:t>
            </w:r>
          </w:p>
          <w:p>
            <w:pPr>
              <w:keepNext w:val="0"/>
              <w:keepLines w:val="0"/>
              <w:pageBreakBefore w:val="0"/>
              <w:widowControl w:val="0"/>
              <w:shd w:val="clear"/>
              <w:kinsoku/>
              <w:wordWrap/>
              <w:overflowPunct/>
              <w:topLine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投标文件未满足以上任一条件的，其投标视为无效，评标委员会将否决其投标。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2" w:space="0"/>
          </w:tblBorders>
          <w:tblCellMar>
            <w:top w:w="0" w:type="dxa"/>
            <w:left w:w="108" w:type="dxa"/>
            <w:bottom w:w="0" w:type="dxa"/>
            <w:right w:w="108" w:type="dxa"/>
          </w:tblCellMar>
        </w:tblPrEx>
        <w:trPr>
          <w:trHeight w:val="20" w:hRule="atLeast"/>
        </w:trPr>
        <w:tc>
          <w:tcPr>
            <w:tcW w:w="1005" w:type="dxa"/>
            <w:vAlign w:val="center"/>
          </w:tcPr>
          <w:p>
            <w:pPr>
              <w:keepNext w:val="0"/>
              <w:keepLines w:val="0"/>
              <w:pageBreakBefore w:val="0"/>
              <w:widowControl w:val="0"/>
              <w:shd w:val="clear"/>
              <w:kinsoku/>
              <w:wordWrap/>
              <w:overflowPunct/>
              <w:autoSpaceDN/>
              <w:bidi w:val="0"/>
              <w:spacing w:line="360" w:lineRule="exact"/>
              <w:jc w:val="center"/>
              <w:textAlignment w:val="auto"/>
              <w:rPr>
                <w:szCs w:val="21"/>
                <w:highlight w:val="none"/>
              </w:rPr>
            </w:pPr>
            <w:r>
              <w:rPr>
                <w:szCs w:val="21"/>
                <w:highlight w:val="none"/>
              </w:rPr>
              <w:t>2.1.2</w:t>
            </w:r>
          </w:p>
        </w:tc>
        <w:tc>
          <w:tcPr>
            <w:tcW w:w="1170" w:type="dxa"/>
            <w:vAlign w:val="center"/>
          </w:tcPr>
          <w:p>
            <w:pPr>
              <w:keepNext w:val="0"/>
              <w:keepLines w:val="0"/>
              <w:pageBreakBefore w:val="0"/>
              <w:widowControl w:val="0"/>
              <w:shd w:val="clear"/>
              <w:kinsoku/>
              <w:wordWrap/>
              <w:overflowPunct/>
              <w:autoSpaceDN/>
              <w:bidi w:val="0"/>
              <w:spacing w:line="360" w:lineRule="exact"/>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资格评审标准</w:t>
            </w:r>
          </w:p>
        </w:tc>
        <w:tc>
          <w:tcPr>
            <w:tcW w:w="6915" w:type="dxa"/>
            <w:vAlign w:val="center"/>
          </w:tcPr>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（1）投标人具备有效的营业执照、组织机构代码证、监理资质证书和基本账户开户许可证。</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（2）投标人的资质等级符合招标文件投标人须知前附表附录1的规定。</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（3）投标人的企业业绩符合招标文件投标人须知前附表附录2的规定。</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（4）投标人的企业信誉符合招标文件投标人须知前附表附录3的规定。</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（5）投标人的主要人员资格、在岗情况符合招标文件投标人须知前附表附录4的规定。</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（6）投标人的财务状况符合招标文件投标人须知前附表附录</w:t>
            </w:r>
            <w:r>
              <w:rPr>
                <w:rFonts w:hint="eastAsia" w:ascii="宋体" w:hAnsi="宋体" w:cs="宋体"/>
                <w:szCs w:val="21"/>
                <w:highlight w:val="none"/>
                <w:lang w:val="en-US" w:eastAsia="zh-CN"/>
              </w:rPr>
              <w:t>5</w:t>
            </w:r>
            <w:r>
              <w:rPr>
                <w:rFonts w:hint="eastAsia" w:ascii="宋体" w:hAnsi="宋体" w:eastAsia="宋体" w:cs="宋体"/>
                <w:szCs w:val="21"/>
                <w:highlight w:val="none"/>
              </w:rPr>
              <w:t>的规定。</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（7）投标人不存在第二章“投标人须知”第1.4.3项或第1.4.4项规定的任何一种情形。</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（8）投标人符合第二章“投标人须知”第1.4.5项规定。</w:t>
            </w:r>
          </w:p>
          <w:p>
            <w:pPr>
              <w:keepNext w:val="0"/>
              <w:keepLines w:val="0"/>
              <w:pageBreakBefore w:val="0"/>
              <w:widowControl w:val="0"/>
              <w:shd w:val="clear"/>
              <w:kinsoku/>
              <w:wordWrap/>
              <w:overflowPunct/>
              <w:autoSpaceDN/>
              <w:bidi w:val="0"/>
              <w:spacing w:line="360" w:lineRule="exact"/>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投标文件未满足以上任一条件的，其投标视为无效，评标委员会将否决其投标。</w:t>
            </w:r>
          </w:p>
        </w:tc>
      </w:tr>
    </w:tbl>
    <w:p>
      <w:pPr>
        <w:keepNext w:val="0"/>
        <w:keepLines w:val="0"/>
        <w:pageBreakBefore w:val="0"/>
        <w:widowControl w:val="0"/>
        <w:shd w:val="clear"/>
        <w:kinsoku/>
        <w:wordWrap/>
        <w:overflowPunct/>
        <w:autoSpaceDN/>
        <w:bidi w:val="0"/>
        <w:spacing w:line="360" w:lineRule="exact"/>
        <w:jc w:val="right"/>
        <w:textAlignment w:val="auto"/>
        <w:rPr>
          <w:highlight w:val="none"/>
        </w:rPr>
      </w:pPr>
    </w:p>
    <w:tbl>
      <w:tblPr>
        <w:tblStyle w:val="10"/>
        <w:tblW w:w="9045" w:type="dxa"/>
        <w:tblInd w:w="-276"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75"/>
        <w:gridCol w:w="1125"/>
        <w:gridCol w:w="6945"/>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83" w:hRule="atLeast"/>
          <w:tblHeader/>
        </w:trPr>
        <w:tc>
          <w:tcPr>
            <w:tcW w:w="975" w:type="dxa"/>
            <w:vAlign w:val="center"/>
          </w:tcPr>
          <w:p>
            <w:pPr>
              <w:keepNext w:val="0"/>
              <w:keepLines w:val="0"/>
              <w:pageBreakBefore w:val="0"/>
              <w:widowControl w:val="0"/>
              <w:shd w:val="clear"/>
              <w:kinsoku/>
              <w:wordWrap/>
              <w:overflowPunct/>
              <w:autoSpaceDN/>
              <w:bidi w:val="0"/>
              <w:spacing w:line="360" w:lineRule="exact"/>
              <w:jc w:val="center"/>
              <w:textAlignment w:val="auto"/>
              <w:rPr>
                <w:rFonts w:eastAsia="黑体"/>
                <w:szCs w:val="21"/>
                <w:highlight w:val="none"/>
              </w:rPr>
            </w:pPr>
            <w:r>
              <w:rPr>
                <w:rFonts w:eastAsia="黑体"/>
                <w:szCs w:val="21"/>
                <w:highlight w:val="none"/>
              </w:rPr>
              <w:t>条款号</w:t>
            </w:r>
          </w:p>
        </w:tc>
        <w:tc>
          <w:tcPr>
            <w:tcW w:w="1125" w:type="dxa"/>
            <w:vAlign w:val="center"/>
          </w:tcPr>
          <w:p>
            <w:pPr>
              <w:keepNext w:val="0"/>
              <w:keepLines w:val="0"/>
              <w:pageBreakBefore w:val="0"/>
              <w:widowControl w:val="0"/>
              <w:shd w:val="clear"/>
              <w:kinsoku/>
              <w:wordWrap/>
              <w:overflowPunct/>
              <w:autoSpaceDN/>
              <w:bidi w:val="0"/>
              <w:spacing w:line="360" w:lineRule="exact"/>
              <w:jc w:val="center"/>
              <w:textAlignment w:val="auto"/>
              <w:rPr>
                <w:rFonts w:eastAsia="黑体"/>
                <w:szCs w:val="21"/>
                <w:highlight w:val="none"/>
              </w:rPr>
            </w:pPr>
            <w:r>
              <w:rPr>
                <w:rFonts w:eastAsia="黑体"/>
                <w:szCs w:val="21"/>
                <w:highlight w:val="none"/>
              </w:rPr>
              <w:t>条款内容</w:t>
            </w:r>
          </w:p>
        </w:tc>
        <w:tc>
          <w:tcPr>
            <w:tcW w:w="6945" w:type="dxa"/>
            <w:vAlign w:val="center"/>
          </w:tcPr>
          <w:p>
            <w:pPr>
              <w:keepNext w:val="0"/>
              <w:keepLines w:val="0"/>
              <w:pageBreakBefore w:val="0"/>
              <w:widowControl w:val="0"/>
              <w:shd w:val="clear"/>
              <w:kinsoku/>
              <w:wordWrap/>
              <w:overflowPunct/>
              <w:autoSpaceDN/>
              <w:bidi w:val="0"/>
              <w:spacing w:line="360" w:lineRule="exact"/>
              <w:jc w:val="center"/>
              <w:textAlignment w:val="auto"/>
              <w:rPr>
                <w:rFonts w:eastAsia="黑体"/>
                <w:szCs w:val="21"/>
                <w:highlight w:val="none"/>
              </w:rPr>
            </w:pPr>
            <w:r>
              <w:rPr>
                <w:rFonts w:eastAsia="黑体"/>
                <w:szCs w:val="21"/>
                <w:highlight w:val="none"/>
              </w:rPr>
              <w:t>编列内容</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82" w:hRule="atLeast"/>
        </w:trPr>
        <w:tc>
          <w:tcPr>
            <w:tcW w:w="975" w:type="dxa"/>
            <w:vAlign w:val="center"/>
          </w:tcPr>
          <w:p>
            <w:pPr>
              <w:keepNext w:val="0"/>
              <w:keepLines w:val="0"/>
              <w:pageBreakBefore w:val="0"/>
              <w:widowControl w:val="0"/>
              <w:shd w:val="clear"/>
              <w:kinsoku/>
              <w:wordWrap/>
              <w:overflowPunct/>
              <w:autoSpaceDN/>
              <w:bidi w:val="0"/>
              <w:spacing w:line="360" w:lineRule="exact"/>
              <w:jc w:val="center"/>
              <w:textAlignment w:val="auto"/>
              <w:rPr>
                <w:szCs w:val="21"/>
                <w:highlight w:val="none"/>
              </w:rPr>
            </w:pPr>
            <w:r>
              <w:rPr>
                <w:szCs w:val="21"/>
                <w:highlight w:val="none"/>
              </w:rPr>
              <w:t>2.2.1</w:t>
            </w:r>
          </w:p>
        </w:tc>
        <w:tc>
          <w:tcPr>
            <w:tcW w:w="1125" w:type="dxa"/>
            <w:vAlign w:val="center"/>
          </w:tcPr>
          <w:p>
            <w:pPr>
              <w:keepNext w:val="0"/>
              <w:keepLines w:val="0"/>
              <w:pageBreakBefore w:val="0"/>
              <w:widowControl w:val="0"/>
              <w:shd w:val="clear"/>
              <w:kinsoku/>
              <w:wordWrap/>
              <w:overflowPunct/>
              <w:autoSpaceDN/>
              <w:bidi w:val="0"/>
              <w:spacing w:line="360" w:lineRule="exact"/>
              <w:jc w:val="center"/>
              <w:textAlignment w:val="auto"/>
              <w:rPr>
                <w:szCs w:val="21"/>
                <w:highlight w:val="none"/>
              </w:rPr>
            </w:pPr>
            <w:r>
              <w:rPr>
                <w:szCs w:val="21"/>
                <w:highlight w:val="none"/>
              </w:rPr>
              <w:t>分值构成</w:t>
            </w:r>
          </w:p>
          <w:p>
            <w:pPr>
              <w:keepNext w:val="0"/>
              <w:keepLines w:val="0"/>
              <w:pageBreakBefore w:val="0"/>
              <w:widowControl w:val="0"/>
              <w:shd w:val="clear"/>
              <w:kinsoku/>
              <w:wordWrap/>
              <w:overflowPunct/>
              <w:autoSpaceDN/>
              <w:bidi w:val="0"/>
              <w:spacing w:line="360" w:lineRule="exact"/>
              <w:ind w:left="-105" w:leftChars="-50" w:right="-105" w:rightChars="-50"/>
              <w:jc w:val="center"/>
              <w:textAlignment w:val="auto"/>
              <w:rPr>
                <w:szCs w:val="21"/>
                <w:highlight w:val="none"/>
              </w:rPr>
            </w:pPr>
            <w:r>
              <w:rPr>
                <w:szCs w:val="21"/>
                <w:highlight w:val="none"/>
              </w:rPr>
              <w:t>（总分100分）</w:t>
            </w:r>
          </w:p>
        </w:tc>
        <w:tc>
          <w:tcPr>
            <w:tcW w:w="6945" w:type="dxa"/>
            <w:vAlign w:val="center"/>
          </w:tcPr>
          <w:p>
            <w:pPr>
              <w:keepNext w:val="0"/>
              <w:keepLines w:val="0"/>
              <w:pageBreakBefore w:val="0"/>
              <w:widowControl w:val="0"/>
              <w:shd w:val="clear"/>
              <w:kinsoku/>
              <w:wordWrap/>
              <w:overflowPunct/>
              <w:autoSpaceDN/>
              <w:bidi w:val="0"/>
              <w:spacing w:line="360" w:lineRule="exact"/>
              <w:ind w:firstLine="420" w:firstLineChars="200"/>
              <w:textAlignment w:val="auto"/>
              <w:rPr>
                <w:rFonts w:eastAsia="黑体"/>
                <w:szCs w:val="21"/>
                <w:highlight w:val="none"/>
              </w:rPr>
            </w:pPr>
            <w:r>
              <w:rPr>
                <w:rFonts w:eastAsia="黑体"/>
                <w:szCs w:val="21"/>
                <w:highlight w:val="none"/>
              </w:rPr>
              <w:t>第一个信封（商务及技术文件）评分分值构成：</w:t>
            </w:r>
          </w:p>
          <w:p>
            <w:pPr>
              <w:keepNext w:val="0"/>
              <w:keepLines w:val="0"/>
              <w:pageBreakBefore w:val="0"/>
              <w:widowControl w:val="0"/>
              <w:kinsoku/>
              <w:wordWrap/>
              <w:overflowPunct/>
              <w:autoSpaceDE w:val="0"/>
              <w:autoSpaceDN/>
              <w:bidi w:val="0"/>
              <w:adjustRightInd w:val="0"/>
              <w:snapToGrid w:val="0"/>
              <w:spacing w:line="360" w:lineRule="exact"/>
              <w:ind w:left="105" w:leftChars="50" w:right="105" w:rightChars="50" w:firstLine="210" w:firstLineChars="100"/>
              <w:textAlignment w:val="auto"/>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技术建议书：</w:t>
            </w:r>
            <w:r>
              <w:rPr>
                <w:rFonts w:hint="eastAsia" w:ascii="宋体" w:hAnsi="宋体" w:eastAsia="宋体" w:cs="宋体"/>
                <w:color w:val="auto"/>
                <w:szCs w:val="21"/>
                <w:highlight w:val="none"/>
                <w:u w:val="single"/>
                <w:lang w:val="en-US" w:eastAsia="zh-CN" w:bidi="ar"/>
              </w:rPr>
              <w:t>35</w:t>
            </w:r>
            <w:r>
              <w:rPr>
                <w:rFonts w:hint="eastAsia" w:ascii="宋体" w:hAnsi="宋体" w:eastAsia="宋体" w:cs="宋体"/>
                <w:color w:val="auto"/>
                <w:szCs w:val="21"/>
                <w:highlight w:val="none"/>
                <w:lang w:bidi="ar"/>
              </w:rPr>
              <w:t>分</w:t>
            </w:r>
          </w:p>
          <w:p>
            <w:pPr>
              <w:keepNext w:val="0"/>
              <w:keepLines w:val="0"/>
              <w:pageBreakBefore w:val="0"/>
              <w:widowControl w:val="0"/>
              <w:kinsoku/>
              <w:wordWrap/>
              <w:overflowPunct/>
              <w:autoSpaceDE w:val="0"/>
              <w:autoSpaceDN/>
              <w:bidi w:val="0"/>
              <w:adjustRightInd w:val="0"/>
              <w:snapToGrid w:val="0"/>
              <w:spacing w:line="360" w:lineRule="exact"/>
              <w:ind w:left="105" w:leftChars="50" w:right="105" w:rightChars="50" w:firstLine="210" w:firstLineChars="100"/>
              <w:textAlignment w:val="auto"/>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主要人员：</w:t>
            </w:r>
            <w:r>
              <w:rPr>
                <w:rFonts w:hint="eastAsia" w:ascii="宋体" w:hAnsi="宋体" w:eastAsia="宋体" w:cs="宋体"/>
                <w:color w:val="auto"/>
                <w:szCs w:val="21"/>
                <w:highlight w:val="none"/>
                <w:u w:val="single"/>
                <w:lang w:val="en-US" w:eastAsia="zh-CN" w:bidi="ar"/>
              </w:rPr>
              <w:t>30</w:t>
            </w:r>
            <w:r>
              <w:rPr>
                <w:rFonts w:hint="eastAsia" w:ascii="宋体" w:hAnsi="宋体" w:eastAsia="宋体" w:cs="宋体"/>
                <w:color w:val="auto"/>
                <w:szCs w:val="21"/>
                <w:highlight w:val="none"/>
                <w:lang w:bidi="ar"/>
              </w:rPr>
              <w:t>分</w:t>
            </w:r>
          </w:p>
          <w:p>
            <w:pPr>
              <w:keepNext w:val="0"/>
              <w:keepLines w:val="0"/>
              <w:pageBreakBefore w:val="0"/>
              <w:widowControl w:val="0"/>
              <w:kinsoku/>
              <w:wordWrap/>
              <w:overflowPunct/>
              <w:autoSpaceDE w:val="0"/>
              <w:autoSpaceDN/>
              <w:bidi w:val="0"/>
              <w:adjustRightInd w:val="0"/>
              <w:snapToGrid w:val="0"/>
              <w:spacing w:line="360" w:lineRule="exact"/>
              <w:ind w:left="105" w:leftChars="50" w:right="105" w:rightChars="50" w:firstLine="210" w:firstLineChars="100"/>
              <w:textAlignment w:val="auto"/>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业绩：</w:t>
            </w:r>
            <w:r>
              <w:rPr>
                <w:rFonts w:hint="eastAsia" w:ascii="宋体" w:hAnsi="宋体" w:eastAsia="宋体" w:cs="宋体"/>
                <w:color w:val="auto"/>
                <w:szCs w:val="21"/>
                <w:highlight w:val="none"/>
                <w:u w:val="single"/>
                <w:lang w:val="en-US" w:eastAsia="zh-CN" w:bidi="ar"/>
              </w:rPr>
              <w:t>20</w:t>
            </w:r>
            <w:r>
              <w:rPr>
                <w:rFonts w:hint="eastAsia" w:ascii="宋体" w:hAnsi="宋体" w:eastAsia="宋体" w:cs="宋体"/>
                <w:color w:val="auto"/>
                <w:szCs w:val="21"/>
                <w:highlight w:val="none"/>
                <w:lang w:bidi="ar"/>
              </w:rPr>
              <w:t>分</w:t>
            </w:r>
          </w:p>
          <w:p>
            <w:pPr>
              <w:keepNext w:val="0"/>
              <w:keepLines w:val="0"/>
              <w:pageBreakBefore w:val="0"/>
              <w:widowControl w:val="0"/>
              <w:kinsoku/>
              <w:wordWrap/>
              <w:overflowPunct/>
              <w:autoSpaceDE w:val="0"/>
              <w:autoSpaceDN/>
              <w:bidi w:val="0"/>
              <w:adjustRightInd w:val="0"/>
              <w:snapToGrid w:val="0"/>
              <w:spacing w:line="360" w:lineRule="exact"/>
              <w:ind w:left="105" w:leftChars="50" w:right="105" w:rightChars="50" w:firstLine="210" w:firstLineChars="100"/>
              <w:textAlignment w:val="auto"/>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履约信誉：</w:t>
            </w:r>
            <w:r>
              <w:rPr>
                <w:rFonts w:hint="eastAsia" w:ascii="宋体" w:hAnsi="宋体" w:eastAsia="宋体" w:cs="宋体"/>
                <w:color w:val="auto"/>
                <w:szCs w:val="21"/>
                <w:highlight w:val="none"/>
                <w:u w:val="single"/>
                <w:lang w:val="en-US" w:eastAsia="zh-CN" w:bidi="ar"/>
              </w:rPr>
              <w:t>5</w:t>
            </w:r>
            <w:r>
              <w:rPr>
                <w:rFonts w:hint="eastAsia" w:ascii="宋体" w:hAnsi="宋体" w:eastAsia="宋体" w:cs="宋体"/>
                <w:color w:val="auto"/>
                <w:szCs w:val="21"/>
                <w:highlight w:val="none"/>
                <w:lang w:bidi="ar"/>
              </w:rPr>
              <w:t>分</w:t>
            </w:r>
          </w:p>
          <w:p>
            <w:pPr>
              <w:keepNext w:val="0"/>
              <w:keepLines w:val="0"/>
              <w:pageBreakBefore w:val="0"/>
              <w:widowControl w:val="0"/>
              <w:shd w:val="clear"/>
              <w:kinsoku/>
              <w:wordWrap/>
              <w:overflowPunct/>
              <w:autoSpaceDN/>
              <w:bidi w:val="0"/>
              <w:spacing w:line="360" w:lineRule="exact"/>
              <w:ind w:firstLine="420" w:firstLineChars="200"/>
              <w:textAlignment w:val="auto"/>
              <w:rPr>
                <w:rFonts w:eastAsia="黑体"/>
                <w:szCs w:val="21"/>
                <w:highlight w:val="none"/>
              </w:rPr>
            </w:pPr>
            <w:r>
              <w:rPr>
                <w:rFonts w:eastAsia="黑体"/>
                <w:szCs w:val="21"/>
                <w:highlight w:val="none"/>
              </w:rPr>
              <w:t>第二个信封（报价文件）评分分值构成：</w:t>
            </w:r>
          </w:p>
          <w:p>
            <w:pPr>
              <w:keepNext w:val="0"/>
              <w:keepLines w:val="0"/>
              <w:pageBreakBefore w:val="0"/>
              <w:widowControl w:val="0"/>
              <w:shd w:val="clear"/>
              <w:kinsoku/>
              <w:wordWrap/>
              <w:overflowPunct/>
              <w:autoSpaceDN/>
              <w:bidi w:val="0"/>
              <w:spacing w:line="360" w:lineRule="exact"/>
              <w:ind w:firstLine="420" w:firstLineChars="200"/>
              <w:textAlignment w:val="auto"/>
              <w:rPr>
                <w:szCs w:val="21"/>
                <w:highlight w:val="none"/>
              </w:rPr>
            </w:pPr>
            <w:r>
              <w:rPr>
                <w:szCs w:val="21"/>
                <w:highlight w:val="none"/>
              </w:rPr>
              <w:t>评标价：</w:t>
            </w:r>
            <w:r>
              <w:rPr>
                <w:szCs w:val="21"/>
                <w:highlight w:val="none"/>
                <w:u w:val="single"/>
              </w:rPr>
              <w:t xml:space="preserve"> 10 </w:t>
            </w:r>
            <w:r>
              <w:rPr>
                <w:szCs w:val="21"/>
                <w:highlight w:val="none"/>
              </w:rPr>
              <w:t>分</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82" w:hRule="atLeast"/>
        </w:trPr>
        <w:tc>
          <w:tcPr>
            <w:tcW w:w="975" w:type="dxa"/>
            <w:vAlign w:val="center"/>
          </w:tcPr>
          <w:p>
            <w:pPr>
              <w:keepNext w:val="0"/>
              <w:keepLines w:val="0"/>
              <w:pageBreakBefore w:val="0"/>
              <w:widowControl w:val="0"/>
              <w:shd w:val="clear"/>
              <w:kinsoku/>
              <w:wordWrap/>
              <w:overflowPunct/>
              <w:autoSpaceDN/>
              <w:bidi w:val="0"/>
              <w:spacing w:line="360" w:lineRule="exact"/>
              <w:jc w:val="center"/>
              <w:textAlignment w:val="auto"/>
              <w:rPr>
                <w:szCs w:val="21"/>
                <w:highlight w:val="none"/>
              </w:rPr>
            </w:pPr>
            <w:r>
              <w:rPr>
                <w:szCs w:val="21"/>
                <w:highlight w:val="none"/>
              </w:rPr>
              <w:t>2.2.2</w:t>
            </w:r>
          </w:p>
        </w:tc>
        <w:tc>
          <w:tcPr>
            <w:tcW w:w="1125" w:type="dxa"/>
            <w:vAlign w:val="center"/>
          </w:tcPr>
          <w:p>
            <w:pPr>
              <w:keepNext w:val="0"/>
              <w:keepLines w:val="0"/>
              <w:pageBreakBefore w:val="0"/>
              <w:widowControl w:val="0"/>
              <w:shd w:val="clear"/>
              <w:kinsoku/>
              <w:wordWrap/>
              <w:overflowPunct/>
              <w:autoSpaceDN/>
              <w:bidi w:val="0"/>
              <w:spacing w:line="360" w:lineRule="exact"/>
              <w:jc w:val="center"/>
              <w:textAlignment w:val="auto"/>
              <w:rPr>
                <w:szCs w:val="21"/>
                <w:highlight w:val="none"/>
              </w:rPr>
            </w:pPr>
            <w:r>
              <w:rPr>
                <w:szCs w:val="21"/>
                <w:highlight w:val="none"/>
              </w:rPr>
              <w:t>评标基准价计算方法</w:t>
            </w:r>
          </w:p>
        </w:tc>
        <w:tc>
          <w:tcPr>
            <w:tcW w:w="6945" w:type="dxa"/>
            <w:vAlign w:val="center"/>
          </w:tcPr>
          <w:p>
            <w:pPr>
              <w:keepNext w:val="0"/>
              <w:keepLines w:val="0"/>
              <w:pageBreakBefore w:val="0"/>
              <w:widowControl w:val="0"/>
              <w:shd w:val="clear"/>
              <w:kinsoku/>
              <w:wordWrap/>
              <w:overflowPunct/>
              <w:autoSpaceDN/>
              <w:bidi w:val="0"/>
              <w:adjustRightInd w:val="0"/>
              <w:snapToGrid w:val="0"/>
              <w:spacing w:line="360" w:lineRule="exact"/>
              <w:textAlignment w:val="auto"/>
              <w:rPr>
                <w:szCs w:val="21"/>
                <w:highlight w:val="none"/>
              </w:rPr>
            </w:pPr>
            <w:r>
              <w:rPr>
                <w:szCs w:val="21"/>
                <w:highlight w:val="none"/>
              </w:rPr>
              <w:t>评标基准价的计算：</w:t>
            </w:r>
          </w:p>
          <w:p>
            <w:pPr>
              <w:keepNext w:val="0"/>
              <w:keepLines w:val="0"/>
              <w:pageBreakBefore w:val="0"/>
              <w:widowControl w:val="0"/>
              <w:shd w:val="clear"/>
              <w:kinsoku/>
              <w:wordWrap/>
              <w:overflowPunct/>
              <w:autoSpaceDN/>
              <w:bidi w:val="0"/>
              <w:adjustRightInd w:val="0"/>
              <w:snapToGrid w:val="0"/>
              <w:spacing w:line="360" w:lineRule="exact"/>
              <w:textAlignment w:val="auto"/>
              <w:rPr>
                <w:szCs w:val="21"/>
                <w:highlight w:val="none"/>
              </w:rPr>
            </w:pPr>
            <w:r>
              <w:rPr>
                <w:szCs w:val="21"/>
                <w:highlight w:val="none"/>
              </w:rPr>
              <w:t>（1）评标价的确定：</w:t>
            </w:r>
          </w:p>
          <w:p>
            <w:pPr>
              <w:keepNext w:val="0"/>
              <w:keepLines w:val="0"/>
              <w:pageBreakBefore w:val="0"/>
              <w:widowControl w:val="0"/>
              <w:shd w:val="clear"/>
              <w:kinsoku/>
              <w:wordWrap/>
              <w:overflowPunct/>
              <w:autoSpaceDN/>
              <w:bidi w:val="0"/>
              <w:adjustRightInd w:val="0"/>
              <w:snapToGrid w:val="0"/>
              <w:spacing w:line="360" w:lineRule="exact"/>
              <w:ind w:left="420" w:leftChars="200"/>
              <w:textAlignment w:val="auto"/>
              <w:rPr>
                <w:szCs w:val="21"/>
                <w:highlight w:val="none"/>
              </w:rPr>
            </w:pPr>
            <w:r>
              <w:rPr>
                <w:szCs w:val="21"/>
                <w:highlight w:val="none"/>
              </w:rPr>
              <w:t>有效评标价＝第二个信封开标现场未被宣布为无效投标的投标报价函文字报价</w:t>
            </w:r>
          </w:p>
          <w:p>
            <w:pPr>
              <w:keepNext w:val="0"/>
              <w:keepLines w:val="0"/>
              <w:pageBreakBefore w:val="0"/>
              <w:widowControl w:val="0"/>
              <w:shd w:val="clear"/>
              <w:kinsoku/>
              <w:wordWrap/>
              <w:overflowPunct/>
              <w:autoSpaceDN/>
              <w:bidi w:val="0"/>
              <w:adjustRightInd w:val="0"/>
              <w:snapToGrid w:val="0"/>
              <w:spacing w:line="360" w:lineRule="exact"/>
              <w:ind w:left="420" w:leftChars="200"/>
              <w:textAlignment w:val="auto"/>
              <w:rPr>
                <w:szCs w:val="21"/>
                <w:highlight w:val="none"/>
              </w:rPr>
            </w:pPr>
            <w:r>
              <w:rPr>
                <w:szCs w:val="21"/>
                <w:highlight w:val="none"/>
              </w:rPr>
              <w:t>出现第二章“投标人须知”第5.2.4项所规定情况的投标文件，应做投标无效处理，其投标报价视为无效报价，不参与任何计算。</w:t>
            </w:r>
          </w:p>
          <w:p>
            <w:pPr>
              <w:keepNext w:val="0"/>
              <w:keepLines w:val="0"/>
              <w:pageBreakBefore w:val="0"/>
              <w:widowControl w:val="0"/>
              <w:shd w:val="clear"/>
              <w:kinsoku/>
              <w:wordWrap/>
              <w:overflowPunct/>
              <w:autoSpaceDN/>
              <w:bidi w:val="0"/>
              <w:adjustRightInd w:val="0"/>
              <w:snapToGrid w:val="0"/>
              <w:spacing w:line="360" w:lineRule="exact"/>
              <w:textAlignment w:val="auto"/>
              <w:rPr>
                <w:szCs w:val="21"/>
                <w:highlight w:val="none"/>
              </w:rPr>
            </w:pPr>
            <w:r>
              <w:rPr>
                <w:szCs w:val="21"/>
                <w:highlight w:val="none"/>
              </w:rPr>
              <w:t>（2）确定最终控制价上限G2</w:t>
            </w:r>
          </w:p>
          <w:p>
            <w:pPr>
              <w:keepNext w:val="0"/>
              <w:keepLines w:val="0"/>
              <w:pageBreakBefore w:val="0"/>
              <w:widowControl w:val="0"/>
              <w:shd w:val="clear"/>
              <w:kinsoku/>
              <w:wordWrap/>
              <w:overflowPunct/>
              <w:autoSpaceDN/>
              <w:bidi w:val="0"/>
              <w:adjustRightInd w:val="0"/>
              <w:snapToGrid w:val="0"/>
              <w:spacing w:line="360" w:lineRule="exact"/>
              <w:ind w:left="420" w:leftChars="200"/>
              <w:textAlignment w:val="auto"/>
              <w:rPr>
                <w:szCs w:val="21"/>
                <w:highlight w:val="none"/>
              </w:rPr>
            </w:pPr>
            <w:r>
              <w:rPr>
                <w:szCs w:val="21"/>
                <w:highlight w:val="none"/>
              </w:rPr>
              <w:t>第一个信封开标现场随机抽取投标控制价上限的下浮系数X1。</w:t>
            </w:r>
          </w:p>
          <w:p>
            <w:pPr>
              <w:keepNext w:val="0"/>
              <w:keepLines w:val="0"/>
              <w:pageBreakBefore w:val="0"/>
              <w:widowControl w:val="0"/>
              <w:shd w:val="clear"/>
              <w:kinsoku/>
              <w:wordWrap/>
              <w:overflowPunct/>
              <w:autoSpaceDN/>
              <w:bidi w:val="0"/>
              <w:adjustRightInd w:val="0"/>
              <w:snapToGrid w:val="0"/>
              <w:spacing w:line="360" w:lineRule="exact"/>
              <w:ind w:left="420" w:leftChars="200"/>
              <w:textAlignment w:val="auto"/>
              <w:rPr>
                <w:szCs w:val="21"/>
                <w:highlight w:val="none"/>
              </w:rPr>
            </w:pPr>
            <w:r>
              <w:rPr>
                <w:szCs w:val="21"/>
                <w:highlight w:val="none"/>
              </w:rPr>
              <w:t>（X1为0.5%、1%、1.5%、2%、2.5%、3%六个数值中的一个）。</w:t>
            </w:r>
          </w:p>
          <w:p>
            <w:pPr>
              <w:keepNext w:val="0"/>
              <w:keepLines w:val="0"/>
              <w:pageBreakBefore w:val="0"/>
              <w:widowControl w:val="0"/>
              <w:shd w:val="clear"/>
              <w:kinsoku/>
              <w:wordWrap/>
              <w:overflowPunct/>
              <w:autoSpaceDN/>
              <w:bidi w:val="0"/>
              <w:adjustRightInd w:val="0"/>
              <w:snapToGrid w:val="0"/>
              <w:spacing w:line="360" w:lineRule="exact"/>
              <w:ind w:left="420" w:leftChars="200"/>
              <w:textAlignment w:val="auto"/>
              <w:rPr>
                <w:szCs w:val="21"/>
                <w:highlight w:val="none"/>
              </w:rPr>
            </w:pPr>
            <w:r>
              <w:rPr>
                <w:szCs w:val="21"/>
                <w:highlight w:val="none"/>
              </w:rPr>
              <w:t>最终控制价上限G2=G1×（1-X1）</w:t>
            </w:r>
          </w:p>
          <w:p>
            <w:pPr>
              <w:keepNext w:val="0"/>
              <w:keepLines w:val="0"/>
              <w:pageBreakBefore w:val="0"/>
              <w:widowControl w:val="0"/>
              <w:shd w:val="clear"/>
              <w:kinsoku/>
              <w:wordWrap/>
              <w:overflowPunct/>
              <w:autoSpaceDN/>
              <w:bidi w:val="0"/>
              <w:adjustRightInd w:val="0"/>
              <w:snapToGrid w:val="0"/>
              <w:spacing w:line="360" w:lineRule="exact"/>
              <w:ind w:left="420" w:leftChars="200"/>
              <w:textAlignment w:val="auto"/>
              <w:rPr>
                <w:szCs w:val="21"/>
                <w:highlight w:val="none"/>
              </w:rPr>
            </w:pPr>
            <w:r>
              <w:rPr>
                <w:szCs w:val="21"/>
                <w:highlight w:val="none"/>
              </w:rPr>
              <w:t>G1=各标段最高投标限价（含暂列金额）。</w:t>
            </w:r>
          </w:p>
          <w:p>
            <w:pPr>
              <w:keepNext w:val="0"/>
              <w:keepLines w:val="0"/>
              <w:pageBreakBefore w:val="0"/>
              <w:widowControl w:val="0"/>
              <w:shd w:val="clear"/>
              <w:kinsoku/>
              <w:wordWrap/>
              <w:overflowPunct/>
              <w:autoSpaceDN/>
              <w:bidi w:val="0"/>
              <w:adjustRightInd w:val="0"/>
              <w:snapToGrid w:val="0"/>
              <w:spacing w:line="360" w:lineRule="exact"/>
              <w:ind w:left="420" w:leftChars="200"/>
              <w:textAlignment w:val="auto"/>
              <w:rPr>
                <w:szCs w:val="21"/>
                <w:highlight w:val="none"/>
              </w:rPr>
            </w:pPr>
            <w:r>
              <w:rPr>
                <w:szCs w:val="21"/>
                <w:highlight w:val="none"/>
              </w:rPr>
              <w:t>如投标人评标价高于本标段的G2，则视其为超出招标人的支付能力，将不再参与后续任何计算，按投标无效处理。</w:t>
            </w:r>
          </w:p>
          <w:p>
            <w:pPr>
              <w:keepNext w:val="0"/>
              <w:keepLines w:val="0"/>
              <w:pageBreakBefore w:val="0"/>
              <w:widowControl w:val="0"/>
              <w:shd w:val="clear"/>
              <w:kinsoku/>
              <w:wordWrap/>
              <w:overflowPunct/>
              <w:autoSpaceDN/>
              <w:bidi w:val="0"/>
              <w:adjustRightInd w:val="0"/>
              <w:snapToGrid w:val="0"/>
              <w:spacing w:line="360" w:lineRule="exact"/>
              <w:textAlignment w:val="auto"/>
              <w:rPr>
                <w:szCs w:val="21"/>
                <w:highlight w:val="none"/>
              </w:rPr>
            </w:pPr>
            <w:r>
              <w:rPr>
                <w:szCs w:val="21"/>
                <w:highlight w:val="none"/>
              </w:rPr>
              <w:t>（3）确定理论成本价LC</w:t>
            </w:r>
          </w:p>
          <w:p>
            <w:pPr>
              <w:keepNext w:val="0"/>
              <w:keepLines w:val="0"/>
              <w:pageBreakBefore w:val="0"/>
              <w:widowControl w:val="0"/>
              <w:shd w:val="clear"/>
              <w:kinsoku/>
              <w:wordWrap/>
              <w:overflowPunct/>
              <w:autoSpaceDN/>
              <w:bidi w:val="0"/>
              <w:adjustRightInd w:val="0"/>
              <w:snapToGrid w:val="0"/>
              <w:spacing w:line="360" w:lineRule="exact"/>
              <w:ind w:firstLine="420" w:firstLineChars="200"/>
              <w:textAlignment w:val="auto"/>
              <w:rPr>
                <w:szCs w:val="21"/>
                <w:highlight w:val="none"/>
              </w:rPr>
            </w:pPr>
            <w:r>
              <w:rPr>
                <w:szCs w:val="21"/>
                <w:highlight w:val="none"/>
              </w:rPr>
              <w:t>所有不高于G2的有效评标价的算术平均值的50%（当有效评标价有5个及以上时，应去掉其中的最高值和最低值）与G2的50%相加后，乘以成本价系数Z所得数值为该标段的理论成本价。</w:t>
            </w:r>
          </w:p>
          <w:p>
            <w:pPr>
              <w:keepNext w:val="0"/>
              <w:keepLines w:val="0"/>
              <w:pageBreakBefore w:val="0"/>
              <w:widowControl w:val="0"/>
              <w:shd w:val="clear"/>
              <w:kinsoku/>
              <w:wordWrap/>
              <w:overflowPunct/>
              <w:autoSpaceDN/>
              <w:bidi w:val="0"/>
              <w:adjustRightInd w:val="0"/>
              <w:snapToGrid w:val="0"/>
              <w:spacing w:line="360" w:lineRule="exact"/>
              <w:ind w:left="420" w:leftChars="200"/>
              <w:textAlignment w:val="auto"/>
              <w:rPr>
                <w:szCs w:val="21"/>
                <w:highlight w:val="none"/>
                <w:lang w:val="pl-PL"/>
              </w:rPr>
            </w:pPr>
            <w:r>
              <w:rPr>
                <w:szCs w:val="21"/>
                <w:highlight w:val="none"/>
                <w:lang w:val="pl-PL"/>
              </w:rPr>
              <w:t>LC=（0.5×G2+0.5×SP1）×0.85</w:t>
            </w:r>
          </w:p>
          <w:p>
            <w:pPr>
              <w:keepNext w:val="0"/>
              <w:keepLines w:val="0"/>
              <w:pageBreakBefore w:val="0"/>
              <w:widowControl w:val="0"/>
              <w:shd w:val="clear"/>
              <w:kinsoku/>
              <w:wordWrap/>
              <w:overflowPunct/>
              <w:autoSpaceDN/>
              <w:bidi w:val="0"/>
              <w:adjustRightInd w:val="0"/>
              <w:snapToGrid w:val="0"/>
              <w:spacing w:line="360" w:lineRule="exact"/>
              <w:ind w:left="420" w:leftChars="200"/>
              <w:textAlignment w:val="auto"/>
              <w:rPr>
                <w:szCs w:val="21"/>
                <w:highlight w:val="none"/>
              </w:rPr>
            </w:pPr>
            <w:r>
              <w:rPr>
                <w:szCs w:val="21"/>
                <w:highlight w:val="none"/>
              </w:rPr>
              <w:t>SP1——该标段所有不高于G2的有效评标价的算术平均值（当有效评标价有5个及以上时，应去掉其中的最高值和最低值）</w:t>
            </w:r>
          </w:p>
          <w:p>
            <w:pPr>
              <w:keepNext w:val="0"/>
              <w:keepLines w:val="0"/>
              <w:pageBreakBefore w:val="0"/>
              <w:widowControl w:val="0"/>
              <w:shd w:val="clear"/>
              <w:kinsoku/>
              <w:wordWrap/>
              <w:overflowPunct/>
              <w:autoSpaceDN/>
              <w:bidi w:val="0"/>
              <w:adjustRightInd w:val="0"/>
              <w:snapToGrid w:val="0"/>
              <w:spacing w:line="360" w:lineRule="exact"/>
              <w:textAlignment w:val="auto"/>
              <w:rPr>
                <w:szCs w:val="21"/>
                <w:highlight w:val="none"/>
              </w:rPr>
            </w:pPr>
            <w:r>
              <w:rPr>
                <w:szCs w:val="21"/>
                <w:highlight w:val="none"/>
              </w:rPr>
              <w:t>（4）确定评标基准价JZ</w:t>
            </w:r>
          </w:p>
          <w:p>
            <w:pPr>
              <w:keepNext w:val="0"/>
              <w:keepLines w:val="0"/>
              <w:pageBreakBefore w:val="0"/>
              <w:widowControl w:val="0"/>
              <w:shd w:val="clear"/>
              <w:kinsoku/>
              <w:wordWrap/>
              <w:overflowPunct/>
              <w:autoSpaceDN/>
              <w:bidi w:val="0"/>
              <w:adjustRightInd w:val="0"/>
              <w:snapToGrid w:val="0"/>
              <w:spacing w:line="360" w:lineRule="exact"/>
              <w:ind w:firstLine="420" w:firstLineChars="200"/>
              <w:textAlignment w:val="auto"/>
              <w:rPr>
                <w:szCs w:val="21"/>
                <w:highlight w:val="none"/>
              </w:rPr>
            </w:pPr>
            <w:r>
              <w:rPr>
                <w:szCs w:val="21"/>
                <w:highlight w:val="none"/>
              </w:rPr>
              <w:t>评标基准价＝［最终投标控制价上限×加权系数＋有效评标价算术平均值×（1-加权系数）］×评标基准价系数</w:t>
            </w:r>
          </w:p>
          <w:p>
            <w:pPr>
              <w:keepNext w:val="0"/>
              <w:keepLines w:val="0"/>
              <w:pageBreakBefore w:val="0"/>
              <w:widowControl w:val="0"/>
              <w:shd w:val="clear"/>
              <w:kinsoku/>
              <w:wordWrap/>
              <w:overflowPunct/>
              <w:autoSpaceDN/>
              <w:bidi w:val="0"/>
              <w:adjustRightInd w:val="0"/>
              <w:snapToGrid w:val="0"/>
              <w:spacing w:line="360" w:lineRule="exact"/>
              <w:ind w:firstLine="420" w:firstLineChars="200"/>
              <w:textAlignment w:val="auto"/>
              <w:rPr>
                <w:szCs w:val="21"/>
                <w:highlight w:val="none"/>
              </w:rPr>
            </w:pPr>
            <w:r>
              <w:rPr>
                <w:szCs w:val="21"/>
                <w:highlight w:val="none"/>
              </w:rPr>
              <w:t>式中：加权系数（X2）应从0.3、0.35、0.4中选取，评标基准价系数（X3）应从0.96、0.97、0.98、0.99中选取，均由投标人代表或现场监督在开标现场随机抽取确定。</w:t>
            </w:r>
          </w:p>
          <w:p>
            <w:pPr>
              <w:keepNext w:val="0"/>
              <w:keepLines w:val="0"/>
              <w:pageBreakBefore w:val="0"/>
              <w:widowControl w:val="0"/>
              <w:shd w:val="clear"/>
              <w:kinsoku/>
              <w:wordWrap/>
              <w:overflowPunct/>
              <w:autoSpaceDN/>
              <w:bidi w:val="0"/>
              <w:adjustRightInd w:val="0"/>
              <w:snapToGrid w:val="0"/>
              <w:spacing w:line="360" w:lineRule="exact"/>
              <w:ind w:firstLine="420" w:firstLineChars="200"/>
              <w:textAlignment w:val="auto"/>
              <w:rPr>
                <w:szCs w:val="21"/>
                <w:highlight w:val="none"/>
              </w:rPr>
            </w:pPr>
            <w:r>
              <w:rPr>
                <w:szCs w:val="21"/>
                <w:highlight w:val="none"/>
              </w:rPr>
              <w:t>有效评标价指介于理论成本价（含）与最终投标控制价上限（含）范围内的评标价。当有效评标价数量大于5时，应去掉其中的最高和最低值，再进行有效评标价算术平均值计算。</w:t>
            </w:r>
          </w:p>
          <w:p>
            <w:pPr>
              <w:keepNext w:val="0"/>
              <w:keepLines w:val="0"/>
              <w:pageBreakBefore w:val="0"/>
              <w:widowControl w:val="0"/>
              <w:shd w:val="clear"/>
              <w:kinsoku/>
              <w:wordWrap/>
              <w:overflowPunct/>
              <w:autoSpaceDN/>
              <w:bidi w:val="0"/>
              <w:adjustRightInd w:val="0"/>
              <w:snapToGrid w:val="0"/>
              <w:spacing w:line="360" w:lineRule="exact"/>
              <w:ind w:firstLine="420" w:firstLineChars="200"/>
              <w:textAlignment w:val="auto"/>
              <w:rPr>
                <w:szCs w:val="21"/>
                <w:highlight w:val="none"/>
              </w:rPr>
            </w:pPr>
            <w:r>
              <w:rPr>
                <w:szCs w:val="21"/>
                <w:highlight w:val="none"/>
              </w:rPr>
              <w:t>在评标过程中，评标委员会应对招标人计算的评标基准价进行复核，存在计算错误的应予以修正并在评标报告中作出说明。除此之外，评标基准价在整个评标期间保持不变，不随任何因素发生变化。</w:t>
            </w:r>
          </w:p>
          <w:p>
            <w:pPr>
              <w:keepNext w:val="0"/>
              <w:keepLines w:val="0"/>
              <w:pageBreakBefore w:val="0"/>
              <w:widowControl w:val="0"/>
              <w:shd w:val="clear"/>
              <w:kinsoku/>
              <w:wordWrap/>
              <w:overflowPunct/>
              <w:autoSpaceDN/>
              <w:bidi w:val="0"/>
              <w:spacing w:line="360" w:lineRule="exact"/>
              <w:ind w:firstLine="420" w:firstLineChars="200"/>
              <w:textAlignment w:val="auto"/>
              <w:rPr>
                <w:szCs w:val="21"/>
                <w:highlight w:val="none"/>
              </w:rPr>
            </w:pPr>
            <w:r>
              <w:rPr>
                <w:szCs w:val="21"/>
                <w:highlight w:val="none"/>
              </w:rPr>
              <w:t>上述相关系数（X1、X2、X3）在开标现场由投标人推举代表按标段随机抽取。</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82" w:hRule="atLeast"/>
        </w:trPr>
        <w:tc>
          <w:tcPr>
            <w:tcW w:w="975" w:type="dxa"/>
            <w:vAlign w:val="center"/>
          </w:tcPr>
          <w:p>
            <w:pPr>
              <w:keepNext w:val="0"/>
              <w:keepLines w:val="0"/>
              <w:pageBreakBefore w:val="0"/>
              <w:widowControl w:val="0"/>
              <w:shd w:val="clear"/>
              <w:kinsoku/>
              <w:wordWrap/>
              <w:overflowPunct/>
              <w:autoSpaceDN/>
              <w:bidi w:val="0"/>
              <w:spacing w:line="360" w:lineRule="exact"/>
              <w:jc w:val="center"/>
              <w:textAlignment w:val="auto"/>
              <w:rPr>
                <w:szCs w:val="21"/>
                <w:highlight w:val="none"/>
              </w:rPr>
            </w:pPr>
            <w:r>
              <w:rPr>
                <w:szCs w:val="21"/>
                <w:highlight w:val="none"/>
              </w:rPr>
              <w:t>2.2.3</w:t>
            </w:r>
          </w:p>
        </w:tc>
        <w:tc>
          <w:tcPr>
            <w:tcW w:w="1125" w:type="dxa"/>
            <w:vAlign w:val="center"/>
          </w:tcPr>
          <w:p>
            <w:pPr>
              <w:keepNext w:val="0"/>
              <w:keepLines w:val="0"/>
              <w:pageBreakBefore w:val="0"/>
              <w:widowControl w:val="0"/>
              <w:shd w:val="clear"/>
              <w:kinsoku/>
              <w:wordWrap/>
              <w:overflowPunct/>
              <w:autoSpaceDN/>
              <w:bidi w:val="0"/>
              <w:spacing w:line="360" w:lineRule="exact"/>
              <w:ind w:left="-105" w:leftChars="-50" w:right="-105" w:rightChars="-50"/>
              <w:jc w:val="center"/>
              <w:textAlignment w:val="auto"/>
              <w:rPr>
                <w:spacing w:val="-10"/>
                <w:szCs w:val="21"/>
                <w:highlight w:val="none"/>
              </w:rPr>
            </w:pPr>
            <w:r>
              <w:rPr>
                <w:spacing w:val="-10"/>
                <w:szCs w:val="21"/>
                <w:highlight w:val="none"/>
              </w:rPr>
              <w:t>评标价的偏差率计算公式</w:t>
            </w:r>
          </w:p>
        </w:tc>
        <w:tc>
          <w:tcPr>
            <w:tcW w:w="6945" w:type="dxa"/>
            <w:vAlign w:val="center"/>
          </w:tcPr>
          <w:p>
            <w:pPr>
              <w:keepNext w:val="0"/>
              <w:keepLines w:val="0"/>
              <w:pageBreakBefore w:val="0"/>
              <w:widowControl w:val="0"/>
              <w:shd w:val="clear"/>
              <w:kinsoku/>
              <w:wordWrap/>
              <w:overflowPunct/>
              <w:autoSpaceDN/>
              <w:bidi w:val="0"/>
              <w:spacing w:line="360" w:lineRule="exact"/>
              <w:textAlignment w:val="auto"/>
              <w:rPr>
                <w:rFonts w:hint="eastAsia"/>
                <w:b w:val="0"/>
                <w:bCs/>
                <w:szCs w:val="21"/>
                <w:highlight w:val="none"/>
              </w:rPr>
            </w:pPr>
            <w:r>
              <w:rPr>
                <w:rFonts w:hint="eastAsia"/>
                <w:b w:val="0"/>
                <w:bCs/>
                <w:szCs w:val="21"/>
                <w:highlight w:val="none"/>
              </w:rPr>
              <w:t>偏差率=100%×|投标人评标价-评标基准价|/评标基准价</w:t>
            </w:r>
          </w:p>
          <w:p>
            <w:pPr>
              <w:keepNext w:val="0"/>
              <w:keepLines w:val="0"/>
              <w:pageBreakBefore w:val="0"/>
              <w:widowControl w:val="0"/>
              <w:shd w:val="clear"/>
              <w:kinsoku/>
              <w:wordWrap/>
              <w:overflowPunct/>
              <w:autoSpaceDN/>
              <w:bidi w:val="0"/>
              <w:spacing w:line="360" w:lineRule="exact"/>
              <w:textAlignment w:val="auto"/>
              <w:rPr>
                <w:b/>
                <w:szCs w:val="21"/>
                <w:highlight w:val="none"/>
              </w:rPr>
            </w:pPr>
            <w:r>
              <w:rPr>
                <w:rFonts w:hint="eastAsia"/>
                <w:b w:val="0"/>
                <w:bCs/>
                <w:szCs w:val="21"/>
                <w:highlight w:val="none"/>
              </w:rPr>
              <w:t>偏差率保留两位小数</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82" w:hRule="atLeast"/>
        </w:trPr>
        <w:tc>
          <w:tcPr>
            <w:tcW w:w="975" w:type="dxa"/>
            <w:vAlign w:val="center"/>
          </w:tcPr>
          <w:p>
            <w:pPr>
              <w:keepNext w:val="0"/>
              <w:keepLines w:val="0"/>
              <w:pageBreakBefore w:val="0"/>
              <w:widowControl w:val="0"/>
              <w:shd w:val="clear"/>
              <w:kinsoku/>
              <w:wordWrap/>
              <w:overflowPunct/>
              <w:autoSpaceDN/>
              <w:bidi w:val="0"/>
              <w:spacing w:line="360" w:lineRule="exact"/>
              <w:jc w:val="center"/>
              <w:textAlignment w:val="auto"/>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2.2.4（3）</w:t>
            </w:r>
          </w:p>
        </w:tc>
        <w:tc>
          <w:tcPr>
            <w:tcW w:w="1125" w:type="dxa"/>
            <w:vAlign w:val="center"/>
          </w:tcPr>
          <w:p>
            <w:pPr>
              <w:keepNext w:val="0"/>
              <w:keepLines w:val="0"/>
              <w:pageBreakBefore w:val="0"/>
              <w:widowControl w:val="0"/>
              <w:shd w:val="clear"/>
              <w:kinsoku/>
              <w:wordWrap/>
              <w:overflowPunct/>
              <w:autoSpaceDN/>
              <w:bidi w:val="0"/>
              <w:spacing w:line="360" w:lineRule="exact"/>
              <w:jc w:val="center"/>
              <w:textAlignment w:val="auto"/>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评标价</w:t>
            </w:r>
          </w:p>
        </w:tc>
        <w:tc>
          <w:tcPr>
            <w:tcW w:w="6945" w:type="dxa"/>
            <w:vAlign w:val="center"/>
          </w:tcPr>
          <w:p>
            <w:pPr>
              <w:keepNext w:val="0"/>
              <w:keepLines w:val="0"/>
              <w:pageBreakBefore w:val="0"/>
              <w:widowControl w:val="0"/>
              <w:shd w:val="clear"/>
              <w:kinsoku/>
              <w:wordWrap/>
              <w:overflowPunct/>
              <w:autoSpaceDN/>
              <w:bidi w:val="0"/>
              <w:spacing w:line="360" w:lineRule="exact"/>
              <w:jc w:val="left"/>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lang w:val="en-US" w:eastAsia="zh-CN"/>
              </w:rPr>
              <w:t>1</w:t>
            </w:r>
            <w:r>
              <w:rPr>
                <w:rFonts w:hint="eastAsia" w:ascii="Times New Roman" w:hAnsi="Times New Roman" w:eastAsia="宋体" w:cs="Times New Roman"/>
                <w:szCs w:val="21"/>
                <w:highlight w:val="none"/>
              </w:rPr>
              <w:t>0分</w:t>
            </w:r>
          </w:p>
          <w:p>
            <w:pPr>
              <w:keepNext w:val="0"/>
              <w:keepLines w:val="0"/>
              <w:pageBreakBefore w:val="0"/>
              <w:widowControl w:val="0"/>
              <w:shd w:val="clear"/>
              <w:kinsoku/>
              <w:wordWrap/>
              <w:overflowPunct/>
              <w:autoSpaceDN/>
              <w:bidi w:val="0"/>
              <w:spacing w:line="360" w:lineRule="exact"/>
              <w:jc w:val="left"/>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评标价得分计算公式示例：</w:t>
            </w:r>
          </w:p>
          <w:p>
            <w:pPr>
              <w:keepNext w:val="0"/>
              <w:keepLines w:val="0"/>
              <w:pageBreakBefore w:val="0"/>
              <w:widowControl w:val="0"/>
              <w:shd w:val="clear"/>
              <w:kinsoku/>
              <w:wordWrap/>
              <w:overflowPunct/>
              <w:autoSpaceDN/>
              <w:bidi w:val="0"/>
              <w:spacing w:line="360" w:lineRule="exact"/>
              <w:jc w:val="left"/>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（1）如果投标人的评标价＞评标基准价，则评标价得分=</w:t>
            </w:r>
            <w:r>
              <w:rPr>
                <w:rFonts w:hint="eastAsia" w:ascii="Times New Roman" w:hAnsi="Times New Roman" w:eastAsia="宋体" w:cs="Times New Roman"/>
                <w:szCs w:val="21"/>
                <w:highlight w:val="none"/>
                <w:lang w:val="en-US" w:eastAsia="zh-CN"/>
              </w:rPr>
              <w:t>1</w:t>
            </w:r>
            <w:r>
              <w:rPr>
                <w:rFonts w:hint="eastAsia" w:ascii="Times New Roman" w:hAnsi="Times New Roman" w:eastAsia="宋体" w:cs="Times New Roman"/>
                <w:szCs w:val="21"/>
                <w:highlight w:val="none"/>
              </w:rPr>
              <w:t>0</w:t>
            </w:r>
            <w:r>
              <w:rPr>
                <w:rFonts w:hint="eastAsia" w:ascii="Times New Roman" w:hAnsi="Times New Roman" w:eastAsia="宋体" w:cs="Times New Roman"/>
                <w:szCs w:val="21"/>
                <w:highlight w:val="none"/>
                <w:lang w:val="en-US" w:eastAsia="zh-CN"/>
              </w:rPr>
              <w:t>+</w:t>
            </w:r>
            <w:r>
              <w:rPr>
                <w:rFonts w:hint="eastAsia" w:ascii="Times New Roman" w:hAnsi="Times New Roman" w:eastAsia="宋体" w:cs="Times New Roman"/>
                <w:szCs w:val="21"/>
                <w:highlight w:val="none"/>
              </w:rPr>
              <w:t>偏差率×100×E1；</w:t>
            </w:r>
          </w:p>
          <w:p>
            <w:pPr>
              <w:keepNext w:val="0"/>
              <w:keepLines w:val="0"/>
              <w:pageBreakBefore w:val="0"/>
              <w:widowControl w:val="0"/>
              <w:shd w:val="clear"/>
              <w:kinsoku/>
              <w:wordWrap/>
              <w:overflowPunct/>
              <w:autoSpaceDN/>
              <w:bidi w:val="0"/>
              <w:spacing w:line="360" w:lineRule="exact"/>
              <w:jc w:val="left"/>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（2）如果投标人的评标价≤评标基准价，则评标价得分=</w:t>
            </w:r>
            <w:r>
              <w:rPr>
                <w:rFonts w:hint="eastAsia" w:ascii="Times New Roman" w:hAnsi="Times New Roman" w:eastAsia="宋体" w:cs="Times New Roman"/>
                <w:szCs w:val="21"/>
                <w:highlight w:val="none"/>
                <w:lang w:val="en-US" w:eastAsia="zh-CN"/>
              </w:rPr>
              <w:t>1</w:t>
            </w:r>
            <w:r>
              <w:rPr>
                <w:rFonts w:hint="eastAsia" w:ascii="Times New Roman" w:hAnsi="Times New Roman" w:eastAsia="宋体" w:cs="Times New Roman"/>
                <w:szCs w:val="21"/>
                <w:highlight w:val="none"/>
              </w:rPr>
              <w:t>0-偏差率×100×E2；</w:t>
            </w:r>
          </w:p>
          <w:p>
            <w:pPr>
              <w:keepNext w:val="0"/>
              <w:keepLines w:val="0"/>
              <w:pageBreakBefore w:val="0"/>
              <w:widowControl w:val="0"/>
              <w:shd w:val="clear"/>
              <w:kinsoku/>
              <w:wordWrap/>
              <w:overflowPunct/>
              <w:autoSpaceDN/>
              <w:bidi w:val="0"/>
              <w:spacing w:line="360" w:lineRule="exact"/>
              <w:jc w:val="left"/>
              <w:textAlignment w:val="auto"/>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rPr>
              <w:t>其中：E1=</w:t>
            </w:r>
            <w:r>
              <w:rPr>
                <w:rFonts w:hint="eastAsia" w:ascii="Times New Roman" w:hAnsi="Times New Roman" w:eastAsia="宋体" w:cs="Times New Roman"/>
                <w:szCs w:val="21"/>
                <w:highlight w:val="none"/>
                <w:lang w:val="en-US" w:eastAsia="zh-CN"/>
              </w:rPr>
              <w:t>1</w:t>
            </w:r>
            <w:r>
              <w:rPr>
                <w:rFonts w:hint="eastAsia" w:ascii="Times New Roman" w:hAnsi="Times New Roman" w:eastAsia="宋体" w:cs="Times New Roman"/>
                <w:szCs w:val="21"/>
                <w:highlight w:val="none"/>
              </w:rPr>
              <w:t>；E2=</w:t>
            </w:r>
            <w:r>
              <w:rPr>
                <w:rFonts w:hint="eastAsia" w:ascii="Times New Roman" w:hAnsi="Times New Roman" w:eastAsia="宋体" w:cs="Times New Roman"/>
                <w:szCs w:val="21"/>
                <w:highlight w:val="none"/>
                <w:lang w:val="en-US" w:eastAsia="zh-CN"/>
              </w:rPr>
              <w:t>0.5</w:t>
            </w:r>
          </w:p>
          <w:p>
            <w:pPr>
              <w:keepNext w:val="0"/>
              <w:keepLines w:val="0"/>
              <w:pageBreakBefore w:val="0"/>
              <w:widowControl w:val="0"/>
              <w:shd w:val="clear"/>
              <w:kinsoku/>
              <w:wordWrap/>
              <w:overflowPunct/>
              <w:autoSpaceDN/>
              <w:bidi w:val="0"/>
              <w:spacing w:line="360" w:lineRule="exact"/>
              <w:jc w:val="left"/>
              <w:textAlignment w:val="auto"/>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E1是评标价每高于评标基准价一个百分点的扣分值；E2是评标价每低于评标基准价一个百分点的扣分值。不足一个百分点按比例内插计算，</w:t>
            </w:r>
            <w:r>
              <w:rPr>
                <w:rFonts w:hint="eastAsia" w:ascii="Times New Roman" w:hAnsi="Times New Roman" w:eastAsia="宋体" w:cs="Times New Roman"/>
                <w:b/>
                <w:bCs/>
                <w:szCs w:val="21"/>
                <w:highlight w:val="none"/>
              </w:rPr>
              <w:t>得分保留三位小数。</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82" w:hRule="atLeast"/>
        </w:trPr>
        <w:tc>
          <w:tcPr>
            <w:tcW w:w="975" w:type="dxa"/>
            <w:vAlign w:val="center"/>
          </w:tcPr>
          <w:p>
            <w:pPr>
              <w:keepNext w:val="0"/>
              <w:keepLines w:val="0"/>
              <w:pageBreakBefore w:val="0"/>
              <w:widowControl w:val="0"/>
              <w:shd w:val="clear"/>
              <w:kinsoku/>
              <w:wordWrap/>
              <w:overflowPunct/>
              <w:autoSpaceDN/>
              <w:bidi w:val="0"/>
              <w:spacing w:line="360" w:lineRule="exact"/>
              <w:jc w:val="center"/>
              <w:textAlignment w:val="auto"/>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3.4.2</w:t>
            </w:r>
          </w:p>
        </w:tc>
        <w:tc>
          <w:tcPr>
            <w:tcW w:w="1125" w:type="dxa"/>
            <w:vAlign w:val="center"/>
          </w:tcPr>
          <w:p>
            <w:pPr>
              <w:keepNext w:val="0"/>
              <w:keepLines w:val="0"/>
              <w:pageBreakBefore w:val="0"/>
              <w:widowControl w:val="0"/>
              <w:shd w:val="clear"/>
              <w:kinsoku/>
              <w:wordWrap/>
              <w:overflowPunct/>
              <w:autoSpaceDN/>
              <w:bidi w:val="0"/>
              <w:spacing w:line="360" w:lineRule="exact"/>
              <w:jc w:val="center"/>
              <w:textAlignment w:val="auto"/>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算术性修正</w:t>
            </w:r>
          </w:p>
        </w:tc>
        <w:tc>
          <w:tcPr>
            <w:tcW w:w="6945" w:type="dxa"/>
            <w:vAlign w:val="center"/>
          </w:tcPr>
          <w:p>
            <w:pPr>
              <w:keepNext w:val="0"/>
              <w:keepLines w:val="0"/>
              <w:pageBreakBefore w:val="0"/>
              <w:widowControl w:val="0"/>
              <w:shd w:val="clear"/>
              <w:kinsoku/>
              <w:wordWrap/>
              <w:overflowPunct/>
              <w:autoSpaceDN/>
              <w:bidi w:val="0"/>
              <w:spacing w:line="360" w:lineRule="exact"/>
              <w:jc w:val="left"/>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（1）-（4）修改为：（1）投标文件中的大写金额与小写金额不一致的，以大写金额为准；</w:t>
            </w:r>
          </w:p>
          <w:p>
            <w:pPr>
              <w:keepNext w:val="0"/>
              <w:keepLines w:val="0"/>
              <w:pageBreakBefore w:val="0"/>
              <w:widowControl w:val="0"/>
              <w:shd w:val="clear"/>
              <w:kinsoku/>
              <w:wordWrap/>
              <w:overflowPunct/>
              <w:autoSpaceDN/>
              <w:bidi w:val="0"/>
              <w:spacing w:line="360" w:lineRule="exact"/>
              <w:jc w:val="left"/>
              <w:textAlignment w:val="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（2）合价金额累计与总价金额不一致的，以总价金额为准，修正合价金额；</w:t>
            </w:r>
          </w:p>
          <w:p>
            <w:pPr>
              <w:keepNext w:val="0"/>
              <w:keepLines w:val="0"/>
              <w:pageBreakBefore w:val="0"/>
              <w:widowControl w:val="0"/>
              <w:shd w:val="clear"/>
              <w:kinsoku/>
              <w:wordWrap/>
              <w:overflowPunct/>
              <w:autoSpaceDN/>
              <w:bidi w:val="0"/>
              <w:spacing w:line="360" w:lineRule="exact"/>
              <w:jc w:val="left"/>
              <w:textAlignment w:val="auto"/>
              <w:rPr>
                <w:rFonts w:ascii="Times New Roman" w:hAnsi="Times New Roman" w:eastAsia="宋体" w:cs="Times New Roman"/>
                <w:szCs w:val="21"/>
                <w:highlight w:val="none"/>
              </w:rPr>
            </w:pPr>
            <w:r>
              <w:rPr>
                <w:rFonts w:hint="eastAsia" w:ascii="Times New Roman" w:hAnsi="Times New Roman" w:eastAsia="宋体" w:cs="Times New Roman"/>
                <w:szCs w:val="21"/>
                <w:highlight w:val="none"/>
              </w:rPr>
              <w:t>（3）总价金额与依据单价计算出的结果不一致的，以总价金额为准修正单价。</w:t>
            </w:r>
          </w:p>
        </w:tc>
      </w:tr>
    </w:tbl>
    <w:p>
      <w:pPr>
        <w:shd w:val="clear"/>
        <w:jc w:val="right"/>
        <w:rPr>
          <w:highlight w:val="none"/>
        </w:rPr>
      </w:pPr>
    </w:p>
    <w:bookmarkEnd w:id="11"/>
    <w:p>
      <w:pPr>
        <w:jc w:val="right"/>
        <w:rPr>
          <w:rFonts w:hint="eastAsia" w:ascii="宋体" w:hAnsi="宋体" w:cs="宋体"/>
          <w:color w:val="auto"/>
          <w:sz w:val="24"/>
          <w:highlight w:val="none"/>
        </w:rPr>
      </w:pPr>
      <w:r>
        <w:rPr>
          <w:rFonts w:hint="eastAsia" w:ascii="宋体" w:hAnsi="宋体" w:cs="宋体"/>
          <w:color w:val="auto"/>
          <w:szCs w:val="21"/>
          <w:highlight w:val="none"/>
          <w:lang w:bidi="ar"/>
        </w:rPr>
        <w:t>续上表</w:t>
      </w:r>
    </w:p>
    <w:tbl>
      <w:tblPr>
        <w:tblStyle w:val="10"/>
        <w:tblW w:w="0" w:type="auto"/>
        <w:jc w:val="center"/>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0" w:type="dxa"/>
          <w:bottom w:w="0" w:type="dxa"/>
          <w:right w:w="0" w:type="dxa"/>
        </w:tblCellMar>
      </w:tblPr>
      <w:tblGrid>
        <w:gridCol w:w="932"/>
        <w:gridCol w:w="1085"/>
        <w:gridCol w:w="1081"/>
        <w:gridCol w:w="1182"/>
        <w:gridCol w:w="733"/>
        <w:gridCol w:w="4047"/>
      </w:tblGrid>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729" w:hRule="atLeast"/>
          <w:jc w:val="center"/>
        </w:trPr>
        <w:tc>
          <w:tcPr>
            <w:tcW w:w="932" w:type="dxa"/>
            <w:noWrap w:val="0"/>
            <w:vAlign w:val="center"/>
          </w:tcPr>
          <w:p>
            <w:pPr>
              <w:spacing w:line="290" w:lineRule="exact"/>
              <w:ind w:right="113"/>
              <w:jc w:val="center"/>
              <w:rPr>
                <w:rFonts w:hint="eastAsia" w:ascii="宋体" w:hAnsi="宋体" w:cs="宋体"/>
                <w:color w:val="auto"/>
                <w:szCs w:val="21"/>
                <w:highlight w:val="none"/>
              </w:rPr>
            </w:pPr>
            <w:r>
              <w:rPr>
                <w:rFonts w:hint="eastAsia" w:ascii="宋体" w:hAnsi="宋体" w:cs="宋体"/>
                <w:color w:val="auto"/>
                <w:szCs w:val="21"/>
                <w:highlight w:val="none"/>
                <w:lang w:bidi="ar"/>
              </w:rPr>
              <w:t>条款号</w:t>
            </w:r>
          </w:p>
        </w:tc>
        <w:tc>
          <w:tcPr>
            <w:tcW w:w="1085" w:type="dxa"/>
            <w:noWrap w:val="0"/>
            <w:vAlign w:val="center"/>
          </w:tcPr>
          <w:p>
            <w:pPr>
              <w:spacing w:line="290" w:lineRule="exact"/>
              <w:ind w:right="113"/>
              <w:jc w:val="center"/>
              <w:rPr>
                <w:rFonts w:hint="eastAsia" w:ascii="宋体" w:hAnsi="宋体" w:cs="宋体"/>
                <w:color w:val="auto"/>
                <w:szCs w:val="21"/>
                <w:highlight w:val="none"/>
              </w:rPr>
            </w:pPr>
            <w:r>
              <w:rPr>
                <w:rFonts w:hint="eastAsia" w:ascii="宋体" w:hAnsi="宋体" w:cs="宋体"/>
                <w:color w:val="auto"/>
                <w:szCs w:val="21"/>
                <w:highlight w:val="none"/>
                <w:lang w:bidi="ar"/>
              </w:rPr>
              <w:t>评分因素</w:t>
            </w:r>
          </w:p>
        </w:tc>
        <w:tc>
          <w:tcPr>
            <w:tcW w:w="1081" w:type="dxa"/>
            <w:noWrap w:val="0"/>
            <w:vAlign w:val="center"/>
          </w:tcPr>
          <w:p>
            <w:pPr>
              <w:spacing w:line="290" w:lineRule="exact"/>
              <w:ind w:right="113"/>
              <w:jc w:val="center"/>
              <w:rPr>
                <w:rFonts w:hint="eastAsia" w:ascii="宋体" w:hAnsi="宋体" w:cs="宋体"/>
                <w:color w:val="auto"/>
                <w:szCs w:val="21"/>
                <w:highlight w:val="none"/>
              </w:rPr>
            </w:pPr>
            <w:r>
              <w:rPr>
                <w:rFonts w:hint="eastAsia" w:ascii="宋体" w:hAnsi="宋体" w:cs="宋体"/>
                <w:color w:val="auto"/>
                <w:szCs w:val="21"/>
                <w:highlight w:val="none"/>
              </w:rPr>
              <w:t>评分因素权重分值</w:t>
            </w:r>
          </w:p>
        </w:tc>
        <w:tc>
          <w:tcPr>
            <w:tcW w:w="1182" w:type="dxa"/>
            <w:noWrap w:val="0"/>
            <w:vAlign w:val="center"/>
          </w:tcPr>
          <w:p>
            <w:pPr>
              <w:spacing w:line="290" w:lineRule="exact"/>
              <w:ind w:right="113"/>
              <w:jc w:val="center"/>
              <w:rPr>
                <w:rFonts w:hint="eastAsia" w:ascii="宋体" w:hAnsi="宋体" w:cs="宋体"/>
                <w:color w:val="auto"/>
                <w:szCs w:val="21"/>
                <w:highlight w:val="none"/>
              </w:rPr>
            </w:pPr>
            <w:r>
              <w:rPr>
                <w:rFonts w:hint="eastAsia" w:ascii="宋体" w:hAnsi="宋体" w:cs="宋体"/>
                <w:color w:val="auto"/>
                <w:szCs w:val="21"/>
                <w:highlight w:val="none"/>
              </w:rPr>
              <w:t>各评分因数细分项</w:t>
            </w:r>
          </w:p>
        </w:tc>
        <w:tc>
          <w:tcPr>
            <w:tcW w:w="733" w:type="dxa"/>
            <w:noWrap w:val="0"/>
            <w:vAlign w:val="center"/>
          </w:tcPr>
          <w:p>
            <w:pPr>
              <w:spacing w:line="290" w:lineRule="exact"/>
              <w:ind w:right="113"/>
              <w:jc w:val="center"/>
              <w:rPr>
                <w:rFonts w:hint="eastAsia" w:ascii="宋体" w:hAnsi="宋体" w:cs="宋体"/>
                <w:color w:val="auto"/>
                <w:szCs w:val="21"/>
                <w:highlight w:val="none"/>
              </w:rPr>
            </w:pPr>
            <w:r>
              <w:rPr>
                <w:rFonts w:hint="eastAsia" w:ascii="宋体" w:hAnsi="宋体" w:cs="宋体"/>
                <w:color w:val="auto"/>
                <w:szCs w:val="21"/>
                <w:highlight w:val="none"/>
              </w:rPr>
              <w:t>分值</w:t>
            </w:r>
          </w:p>
        </w:tc>
        <w:tc>
          <w:tcPr>
            <w:tcW w:w="4047" w:type="dxa"/>
            <w:noWrap w:val="0"/>
            <w:vAlign w:val="center"/>
          </w:tcPr>
          <w:p>
            <w:pPr>
              <w:spacing w:line="290" w:lineRule="exact"/>
              <w:ind w:right="113"/>
              <w:jc w:val="center"/>
              <w:rPr>
                <w:rFonts w:hint="eastAsia" w:ascii="宋体" w:hAnsi="宋体" w:cs="宋体"/>
                <w:color w:val="auto"/>
                <w:szCs w:val="21"/>
                <w:highlight w:val="none"/>
              </w:rPr>
            </w:pPr>
            <w:r>
              <w:rPr>
                <w:rFonts w:hint="eastAsia" w:ascii="宋体" w:hAnsi="宋体" w:cs="宋体"/>
                <w:color w:val="auto"/>
                <w:szCs w:val="21"/>
                <w:highlight w:val="none"/>
              </w:rPr>
              <w:t>评分标准</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2390" w:hRule="atLeast"/>
          <w:jc w:val="center"/>
        </w:trPr>
        <w:tc>
          <w:tcPr>
            <w:tcW w:w="932" w:type="dxa"/>
            <w:vMerge w:val="restart"/>
            <w:noWrap w:val="0"/>
            <w:vAlign w:val="center"/>
          </w:tcPr>
          <w:p>
            <w:pPr>
              <w:spacing w:line="280" w:lineRule="exact"/>
              <w:ind w:right="113"/>
              <w:jc w:val="center"/>
              <w:rPr>
                <w:rFonts w:hint="eastAsia" w:ascii="宋体" w:hAnsi="宋体" w:cs="宋体"/>
                <w:color w:val="auto"/>
                <w:szCs w:val="21"/>
                <w:highlight w:val="none"/>
              </w:rPr>
            </w:pPr>
            <w:r>
              <w:rPr>
                <w:rFonts w:hint="eastAsia" w:ascii="宋体" w:hAnsi="宋体" w:cs="宋体"/>
                <w:color w:val="auto"/>
                <w:szCs w:val="21"/>
                <w:highlight w:val="none"/>
              </w:rPr>
              <w:t>2.2.4（1）</w:t>
            </w:r>
          </w:p>
        </w:tc>
        <w:tc>
          <w:tcPr>
            <w:tcW w:w="1085" w:type="dxa"/>
            <w:vMerge w:val="restart"/>
            <w:noWrap w:val="0"/>
            <w:vAlign w:val="center"/>
          </w:tcPr>
          <w:p>
            <w:pPr>
              <w:spacing w:line="300" w:lineRule="exact"/>
              <w:ind w:left="113" w:right="113"/>
              <w:jc w:val="center"/>
              <w:rPr>
                <w:rFonts w:hint="eastAsia" w:ascii="宋体" w:hAnsi="宋体" w:cs="宋体"/>
                <w:color w:val="auto"/>
                <w:highlight w:val="none"/>
              </w:rPr>
            </w:pPr>
            <w:r>
              <w:rPr>
                <w:rFonts w:hint="eastAsia" w:ascii="宋体" w:hAnsi="宋体" w:cs="宋体"/>
                <w:color w:val="auto"/>
                <w:highlight w:val="none"/>
              </w:rPr>
              <w:t>技</w:t>
            </w:r>
          </w:p>
          <w:p>
            <w:pPr>
              <w:spacing w:line="300" w:lineRule="exact"/>
              <w:ind w:left="113" w:right="113"/>
              <w:jc w:val="center"/>
              <w:rPr>
                <w:rFonts w:hint="eastAsia" w:ascii="宋体" w:hAnsi="宋体" w:cs="宋体"/>
                <w:color w:val="auto"/>
                <w:highlight w:val="none"/>
              </w:rPr>
            </w:pPr>
            <w:r>
              <w:rPr>
                <w:rFonts w:hint="eastAsia" w:ascii="宋体" w:hAnsi="宋体" w:cs="宋体"/>
                <w:color w:val="auto"/>
                <w:highlight w:val="none"/>
              </w:rPr>
              <w:t>术</w:t>
            </w:r>
          </w:p>
          <w:p>
            <w:pPr>
              <w:spacing w:line="300" w:lineRule="exact"/>
              <w:ind w:left="113" w:right="113"/>
              <w:jc w:val="center"/>
              <w:rPr>
                <w:rFonts w:hint="eastAsia" w:ascii="宋体" w:hAnsi="宋体" w:cs="宋体"/>
                <w:color w:val="auto"/>
                <w:highlight w:val="none"/>
              </w:rPr>
            </w:pPr>
            <w:r>
              <w:rPr>
                <w:rFonts w:hint="eastAsia" w:ascii="宋体" w:hAnsi="宋体" w:cs="宋体"/>
                <w:color w:val="auto"/>
                <w:highlight w:val="none"/>
              </w:rPr>
              <w:t>建</w:t>
            </w:r>
          </w:p>
          <w:p>
            <w:pPr>
              <w:spacing w:line="300" w:lineRule="exact"/>
              <w:ind w:left="113" w:right="113"/>
              <w:jc w:val="center"/>
              <w:rPr>
                <w:rFonts w:hint="eastAsia" w:ascii="宋体" w:hAnsi="宋体" w:cs="宋体"/>
                <w:color w:val="auto"/>
                <w:highlight w:val="none"/>
              </w:rPr>
            </w:pPr>
            <w:r>
              <w:rPr>
                <w:rFonts w:hint="eastAsia" w:ascii="宋体" w:hAnsi="宋体" w:cs="宋体"/>
                <w:color w:val="auto"/>
                <w:highlight w:val="none"/>
              </w:rPr>
              <w:t>议</w:t>
            </w:r>
          </w:p>
          <w:p>
            <w:pPr>
              <w:spacing w:line="300" w:lineRule="exact"/>
              <w:ind w:left="113" w:right="113"/>
              <w:jc w:val="center"/>
              <w:rPr>
                <w:rFonts w:hint="eastAsia" w:ascii="宋体" w:hAnsi="宋体" w:cs="宋体"/>
                <w:color w:val="auto"/>
                <w:highlight w:val="none"/>
              </w:rPr>
            </w:pPr>
            <w:r>
              <w:rPr>
                <w:rFonts w:hint="eastAsia" w:ascii="宋体" w:hAnsi="宋体" w:cs="宋体"/>
                <w:color w:val="auto"/>
                <w:highlight w:val="none"/>
              </w:rPr>
              <w:t>书</w:t>
            </w:r>
          </w:p>
          <w:p>
            <w:pPr>
              <w:pStyle w:val="6"/>
              <w:rPr>
                <w:rFonts w:hint="eastAsia" w:ascii="宋体" w:hAnsi="宋体" w:cs="宋体"/>
                <w:color w:val="auto"/>
                <w:highlight w:val="none"/>
                <w:lang w:val="en-US" w:eastAsia="zh-CN"/>
              </w:rPr>
            </w:pPr>
          </w:p>
        </w:tc>
        <w:tc>
          <w:tcPr>
            <w:tcW w:w="1081" w:type="dxa"/>
            <w:vMerge w:val="restart"/>
            <w:noWrap w:val="0"/>
            <w:vAlign w:val="center"/>
          </w:tcPr>
          <w:p>
            <w:pPr>
              <w:pStyle w:val="9"/>
              <w:spacing w:before="0" w:beforeAutospacing="0" w:after="0" w:afterAutospacing="0" w:line="300" w:lineRule="exact"/>
              <w:ind w:left="105" w:leftChars="50"/>
              <w:jc w:val="center"/>
              <w:rPr>
                <w:rFonts w:hint="eastAsia" w:cs="宋体"/>
                <w:color w:val="auto"/>
                <w:sz w:val="21"/>
                <w:szCs w:val="21"/>
                <w:highlight w:val="none"/>
              </w:rPr>
            </w:pPr>
            <w:r>
              <w:rPr>
                <w:rFonts w:hint="eastAsia" w:cs="宋体"/>
                <w:color w:val="auto"/>
                <w:sz w:val="21"/>
                <w:szCs w:val="21"/>
                <w:highlight w:val="none"/>
                <w:u w:val="single"/>
                <w:lang w:val="en-US" w:eastAsia="zh-CN"/>
              </w:rPr>
              <w:t>35</w:t>
            </w:r>
            <w:r>
              <w:rPr>
                <w:rFonts w:hint="eastAsia" w:cs="宋体"/>
                <w:color w:val="auto"/>
                <w:sz w:val="21"/>
                <w:szCs w:val="21"/>
                <w:highlight w:val="none"/>
              </w:rPr>
              <w:t>分</w:t>
            </w:r>
          </w:p>
        </w:tc>
        <w:tc>
          <w:tcPr>
            <w:tcW w:w="1182" w:type="dxa"/>
            <w:noWrap w:val="0"/>
            <w:vAlign w:val="center"/>
          </w:tcPr>
          <w:p>
            <w:pPr>
              <w:spacing w:line="300" w:lineRule="exact"/>
              <w:jc w:val="center"/>
              <w:rPr>
                <w:rFonts w:hint="eastAsia" w:ascii="宋体" w:hAnsi="宋体" w:cs="宋体"/>
                <w:color w:val="auto"/>
                <w:kern w:val="0"/>
                <w:szCs w:val="21"/>
                <w:highlight w:val="none"/>
              </w:rPr>
            </w:pPr>
            <w:r>
              <w:rPr>
                <w:rFonts w:hint="eastAsia" w:ascii="宋体" w:hAnsi="宋体" w:cs="宋体"/>
                <w:color w:val="auto"/>
                <w:highlight w:val="none"/>
              </w:rPr>
              <w:t>对本招标项目监理工作范围和任务理解</w:t>
            </w:r>
          </w:p>
        </w:tc>
        <w:tc>
          <w:tcPr>
            <w:tcW w:w="733" w:type="dxa"/>
            <w:noWrap w:val="0"/>
            <w:vAlign w:val="center"/>
          </w:tcPr>
          <w:p>
            <w:pPr>
              <w:pStyle w:val="9"/>
              <w:spacing w:before="0" w:beforeAutospacing="0" w:after="0" w:afterAutospacing="0" w:line="300" w:lineRule="exact"/>
              <w:ind w:left="105" w:leftChars="50"/>
              <w:jc w:val="center"/>
              <w:rPr>
                <w:rFonts w:hint="eastAsia" w:cs="宋体"/>
                <w:color w:val="auto"/>
                <w:sz w:val="21"/>
                <w:szCs w:val="21"/>
                <w:highlight w:val="none"/>
              </w:rPr>
            </w:pPr>
            <w:r>
              <w:rPr>
                <w:rFonts w:hint="eastAsia" w:cs="宋体"/>
                <w:color w:val="auto"/>
                <w:sz w:val="21"/>
                <w:szCs w:val="21"/>
                <w:highlight w:val="none"/>
                <w:u w:val="single"/>
                <w:lang w:val="en-US" w:eastAsia="zh-CN"/>
              </w:rPr>
              <w:t>10</w:t>
            </w:r>
            <w:r>
              <w:rPr>
                <w:rFonts w:hint="eastAsia" w:cs="宋体"/>
                <w:color w:val="auto"/>
                <w:sz w:val="21"/>
                <w:szCs w:val="21"/>
                <w:highlight w:val="none"/>
              </w:rPr>
              <w:t>分</w:t>
            </w:r>
          </w:p>
        </w:tc>
        <w:tc>
          <w:tcPr>
            <w:tcW w:w="4047" w:type="dxa"/>
            <w:noWrap w:val="0"/>
            <w:vAlign w:val="center"/>
          </w:tcPr>
          <w:p>
            <w:pPr>
              <w:pStyle w:val="9"/>
              <w:spacing w:before="0" w:beforeAutospacing="0" w:after="0" w:afterAutospacing="0" w:line="360" w:lineRule="exact"/>
              <w:ind w:left="105" w:leftChars="50" w:right="105" w:rightChars="50"/>
              <w:rPr>
                <w:rFonts w:hint="eastAsia" w:cs="宋体"/>
                <w:color w:val="auto"/>
                <w:sz w:val="21"/>
                <w:szCs w:val="21"/>
                <w:highlight w:val="none"/>
              </w:rPr>
            </w:pPr>
            <w:r>
              <w:rPr>
                <w:rFonts w:hint="eastAsia" w:cs="宋体"/>
                <w:color w:val="auto"/>
                <w:sz w:val="21"/>
                <w:szCs w:val="21"/>
                <w:highlight w:val="none"/>
              </w:rPr>
              <w:t>本项基本分为</w:t>
            </w:r>
            <w:r>
              <w:rPr>
                <w:rFonts w:hint="eastAsia" w:cs="宋体"/>
                <w:color w:val="auto"/>
                <w:sz w:val="21"/>
                <w:szCs w:val="21"/>
                <w:highlight w:val="none"/>
                <w:lang w:val="en-US" w:eastAsia="zh-CN"/>
              </w:rPr>
              <w:t>6</w:t>
            </w:r>
            <w:r>
              <w:rPr>
                <w:rFonts w:hint="eastAsia" w:cs="宋体"/>
                <w:color w:val="auto"/>
                <w:sz w:val="21"/>
                <w:szCs w:val="21"/>
                <w:highlight w:val="none"/>
              </w:rPr>
              <w:t>分</w:t>
            </w:r>
          </w:p>
          <w:p>
            <w:pPr>
              <w:pStyle w:val="9"/>
              <w:spacing w:before="0" w:beforeAutospacing="0" w:after="0" w:afterAutospacing="0" w:line="360" w:lineRule="exact"/>
              <w:ind w:left="105" w:leftChars="50" w:right="105" w:rightChars="50"/>
              <w:rPr>
                <w:rFonts w:hint="eastAsia" w:cs="宋体"/>
                <w:color w:val="auto"/>
                <w:sz w:val="21"/>
                <w:szCs w:val="21"/>
                <w:highlight w:val="none"/>
              </w:rPr>
            </w:pPr>
            <w:r>
              <w:rPr>
                <w:rFonts w:hint="eastAsia" w:cs="宋体"/>
                <w:color w:val="auto"/>
                <w:sz w:val="21"/>
                <w:szCs w:val="21"/>
                <w:highlight w:val="none"/>
              </w:rPr>
              <w:t>依据监理合同中规定的监理服务的要求和范围，对拟投监理标段的监理工作安排、主要监理人员的岗位职责进行必要的阐述，理解准确，思路清晰，全面、合理，符合项目要求，最高加</w:t>
            </w:r>
            <w:r>
              <w:rPr>
                <w:rFonts w:hint="eastAsia" w:cs="宋体"/>
                <w:color w:val="auto"/>
                <w:sz w:val="21"/>
                <w:szCs w:val="21"/>
                <w:highlight w:val="none"/>
                <w:lang w:val="en-US" w:eastAsia="zh-CN"/>
              </w:rPr>
              <w:t>4</w:t>
            </w:r>
            <w:r>
              <w:rPr>
                <w:rFonts w:hint="eastAsia" w:cs="宋体"/>
                <w:color w:val="auto"/>
                <w:sz w:val="21"/>
                <w:szCs w:val="21"/>
                <w:highlight w:val="none"/>
              </w:rPr>
              <w:t>分。</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3222" w:hRule="atLeast"/>
          <w:jc w:val="center"/>
        </w:trPr>
        <w:tc>
          <w:tcPr>
            <w:tcW w:w="932" w:type="dxa"/>
            <w:vMerge w:val="continue"/>
            <w:noWrap w:val="0"/>
            <w:vAlign w:val="center"/>
          </w:tcPr>
          <w:p>
            <w:pPr>
              <w:spacing w:line="280" w:lineRule="exact"/>
              <w:ind w:right="113"/>
              <w:jc w:val="center"/>
              <w:rPr>
                <w:rFonts w:hint="eastAsia" w:ascii="宋体" w:hAnsi="宋体" w:cs="宋体"/>
                <w:color w:val="auto"/>
                <w:szCs w:val="21"/>
                <w:highlight w:val="none"/>
              </w:rPr>
            </w:pPr>
          </w:p>
        </w:tc>
        <w:tc>
          <w:tcPr>
            <w:tcW w:w="1085" w:type="dxa"/>
            <w:vMerge w:val="continue"/>
            <w:noWrap w:val="0"/>
            <w:vAlign w:val="center"/>
          </w:tcPr>
          <w:p>
            <w:pPr>
              <w:spacing w:line="300" w:lineRule="exact"/>
              <w:ind w:left="113" w:right="113"/>
              <w:jc w:val="center"/>
              <w:rPr>
                <w:rFonts w:hint="eastAsia" w:ascii="宋体" w:hAnsi="宋体" w:cs="宋体"/>
                <w:color w:val="auto"/>
                <w:szCs w:val="21"/>
                <w:highlight w:val="none"/>
              </w:rPr>
            </w:pPr>
          </w:p>
        </w:tc>
        <w:tc>
          <w:tcPr>
            <w:tcW w:w="1081" w:type="dxa"/>
            <w:vMerge w:val="continue"/>
            <w:noWrap w:val="0"/>
            <w:vAlign w:val="center"/>
          </w:tcPr>
          <w:p>
            <w:pPr>
              <w:pStyle w:val="9"/>
              <w:spacing w:before="0" w:beforeAutospacing="0" w:after="0" w:afterAutospacing="0" w:line="300" w:lineRule="exact"/>
              <w:ind w:left="105" w:leftChars="50"/>
              <w:jc w:val="center"/>
              <w:rPr>
                <w:rFonts w:hint="eastAsia" w:cs="宋体"/>
                <w:color w:val="auto"/>
                <w:sz w:val="21"/>
                <w:szCs w:val="21"/>
                <w:highlight w:val="none"/>
                <w:u w:val="single"/>
              </w:rPr>
            </w:pPr>
          </w:p>
        </w:tc>
        <w:tc>
          <w:tcPr>
            <w:tcW w:w="1182" w:type="dxa"/>
            <w:noWrap w:val="0"/>
            <w:vAlign w:val="center"/>
          </w:tcPr>
          <w:p>
            <w:pPr>
              <w:spacing w:line="300" w:lineRule="exact"/>
              <w:jc w:val="center"/>
              <w:rPr>
                <w:rFonts w:hint="eastAsia" w:ascii="宋体" w:hAnsi="宋体" w:cs="宋体"/>
                <w:color w:val="auto"/>
                <w:highlight w:val="none"/>
              </w:rPr>
            </w:pPr>
            <w:r>
              <w:rPr>
                <w:rFonts w:hint="eastAsia" w:ascii="宋体" w:hAnsi="宋体" w:cs="宋体"/>
                <w:color w:val="auto"/>
                <w:highlight w:val="none"/>
              </w:rPr>
              <w:t>监理工作</w:t>
            </w:r>
          </w:p>
          <w:p>
            <w:pPr>
              <w:spacing w:line="300" w:lineRule="exact"/>
              <w:jc w:val="center"/>
              <w:rPr>
                <w:rFonts w:hint="eastAsia" w:ascii="宋体" w:hAnsi="宋体" w:cs="宋体"/>
                <w:color w:val="auto"/>
                <w:highlight w:val="none"/>
              </w:rPr>
            </w:pPr>
            <w:r>
              <w:rPr>
                <w:rFonts w:hint="eastAsia" w:ascii="宋体" w:hAnsi="宋体" w:cs="宋体"/>
                <w:color w:val="auto"/>
                <w:highlight w:val="none"/>
              </w:rPr>
              <w:t>程序</w:t>
            </w:r>
          </w:p>
        </w:tc>
        <w:tc>
          <w:tcPr>
            <w:tcW w:w="733" w:type="dxa"/>
            <w:noWrap w:val="0"/>
            <w:vAlign w:val="center"/>
          </w:tcPr>
          <w:p>
            <w:pPr>
              <w:pStyle w:val="9"/>
              <w:spacing w:before="0" w:beforeAutospacing="0" w:after="0" w:afterAutospacing="0" w:line="300" w:lineRule="exact"/>
              <w:ind w:left="105" w:leftChars="50"/>
              <w:jc w:val="center"/>
              <w:rPr>
                <w:rFonts w:hint="eastAsia" w:cs="宋体"/>
                <w:color w:val="auto"/>
                <w:sz w:val="21"/>
                <w:szCs w:val="21"/>
                <w:highlight w:val="none"/>
                <w:u w:val="single"/>
              </w:rPr>
            </w:pPr>
            <w:r>
              <w:rPr>
                <w:rFonts w:hint="eastAsia" w:cs="宋体"/>
                <w:color w:val="auto"/>
                <w:sz w:val="21"/>
                <w:szCs w:val="21"/>
                <w:highlight w:val="none"/>
                <w:u w:val="single"/>
                <w:lang w:val="en-US" w:eastAsia="zh-CN"/>
              </w:rPr>
              <w:t>10</w:t>
            </w:r>
            <w:r>
              <w:rPr>
                <w:rFonts w:hint="eastAsia" w:cs="宋体"/>
                <w:color w:val="auto"/>
                <w:sz w:val="21"/>
                <w:szCs w:val="21"/>
                <w:highlight w:val="none"/>
              </w:rPr>
              <w:t>分</w:t>
            </w:r>
          </w:p>
        </w:tc>
        <w:tc>
          <w:tcPr>
            <w:tcW w:w="4047" w:type="dxa"/>
            <w:noWrap w:val="0"/>
            <w:vAlign w:val="center"/>
          </w:tcPr>
          <w:p>
            <w:pPr>
              <w:pStyle w:val="9"/>
              <w:spacing w:before="0" w:beforeAutospacing="0" w:after="0" w:afterAutospacing="0" w:line="360" w:lineRule="exact"/>
              <w:ind w:left="105" w:leftChars="50" w:right="105" w:rightChars="50"/>
              <w:rPr>
                <w:rFonts w:hint="eastAsia" w:cs="宋体"/>
                <w:color w:val="auto"/>
                <w:sz w:val="21"/>
                <w:szCs w:val="21"/>
                <w:highlight w:val="none"/>
              </w:rPr>
            </w:pPr>
            <w:r>
              <w:rPr>
                <w:rFonts w:hint="eastAsia" w:cs="宋体"/>
                <w:color w:val="auto"/>
                <w:sz w:val="21"/>
                <w:szCs w:val="21"/>
                <w:highlight w:val="none"/>
              </w:rPr>
              <w:t>本项基本分为</w:t>
            </w:r>
            <w:r>
              <w:rPr>
                <w:rFonts w:hint="eastAsia" w:cs="宋体"/>
                <w:color w:val="auto"/>
                <w:sz w:val="21"/>
                <w:szCs w:val="21"/>
                <w:highlight w:val="none"/>
                <w:lang w:val="en-US" w:eastAsia="zh-CN"/>
              </w:rPr>
              <w:t>6</w:t>
            </w:r>
            <w:r>
              <w:rPr>
                <w:rFonts w:hint="eastAsia" w:cs="宋体"/>
                <w:color w:val="auto"/>
                <w:sz w:val="21"/>
                <w:szCs w:val="21"/>
                <w:highlight w:val="none"/>
              </w:rPr>
              <w:t>分</w:t>
            </w:r>
          </w:p>
          <w:p>
            <w:pPr>
              <w:pStyle w:val="9"/>
              <w:spacing w:before="0" w:beforeAutospacing="0" w:after="0" w:afterAutospacing="0" w:line="360" w:lineRule="exact"/>
              <w:ind w:left="105" w:leftChars="50" w:right="105" w:rightChars="50"/>
              <w:rPr>
                <w:rFonts w:hint="eastAsia" w:cs="宋体"/>
                <w:color w:val="auto"/>
                <w:sz w:val="21"/>
                <w:szCs w:val="21"/>
                <w:highlight w:val="none"/>
              </w:rPr>
            </w:pPr>
            <w:r>
              <w:rPr>
                <w:rFonts w:hint="eastAsia" w:cs="宋体"/>
                <w:color w:val="auto"/>
                <w:sz w:val="21"/>
                <w:szCs w:val="21"/>
                <w:highlight w:val="none"/>
              </w:rPr>
              <w:t>结合监理工作的阶段划分，对工程质量控制、进度控制、施工安全控制、施工环境保护、费用控制、合同及其他事项管理、文件资料管理等方面，进行监理工作的方法与流程的简要阐述内容。内容齐全，阶段划分合理、正确，可实施性强，最高加</w:t>
            </w:r>
            <w:r>
              <w:rPr>
                <w:rFonts w:hint="eastAsia" w:cs="宋体"/>
                <w:color w:val="auto"/>
                <w:sz w:val="21"/>
                <w:szCs w:val="21"/>
                <w:highlight w:val="none"/>
                <w:lang w:val="en-US" w:eastAsia="zh-CN"/>
              </w:rPr>
              <w:t>4</w:t>
            </w:r>
            <w:r>
              <w:rPr>
                <w:rFonts w:hint="eastAsia" w:cs="宋体"/>
                <w:color w:val="auto"/>
                <w:sz w:val="21"/>
                <w:szCs w:val="21"/>
                <w:highlight w:val="none"/>
              </w:rPr>
              <w:t>分。</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2074" w:hRule="atLeast"/>
          <w:jc w:val="center"/>
        </w:trPr>
        <w:tc>
          <w:tcPr>
            <w:tcW w:w="932" w:type="dxa"/>
            <w:vMerge w:val="continue"/>
            <w:noWrap w:val="0"/>
            <w:vAlign w:val="center"/>
          </w:tcPr>
          <w:p>
            <w:pPr>
              <w:spacing w:line="280" w:lineRule="exact"/>
              <w:ind w:right="113"/>
              <w:jc w:val="center"/>
              <w:rPr>
                <w:rFonts w:hint="eastAsia" w:ascii="宋体" w:hAnsi="宋体" w:cs="宋体"/>
                <w:color w:val="auto"/>
                <w:szCs w:val="21"/>
                <w:highlight w:val="none"/>
              </w:rPr>
            </w:pPr>
          </w:p>
        </w:tc>
        <w:tc>
          <w:tcPr>
            <w:tcW w:w="1085" w:type="dxa"/>
            <w:vMerge w:val="continue"/>
            <w:noWrap w:val="0"/>
            <w:vAlign w:val="center"/>
          </w:tcPr>
          <w:p>
            <w:pPr>
              <w:spacing w:line="300" w:lineRule="exact"/>
              <w:ind w:left="113" w:right="113"/>
              <w:jc w:val="center"/>
              <w:rPr>
                <w:rFonts w:hint="eastAsia" w:ascii="宋体" w:hAnsi="宋体" w:cs="宋体"/>
                <w:color w:val="auto"/>
                <w:szCs w:val="21"/>
                <w:highlight w:val="none"/>
              </w:rPr>
            </w:pPr>
          </w:p>
        </w:tc>
        <w:tc>
          <w:tcPr>
            <w:tcW w:w="1081" w:type="dxa"/>
            <w:vMerge w:val="continue"/>
            <w:noWrap w:val="0"/>
            <w:vAlign w:val="center"/>
          </w:tcPr>
          <w:p>
            <w:pPr>
              <w:pStyle w:val="9"/>
              <w:spacing w:before="0" w:beforeAutospacing="0" w:after="0" w:afterAutospacing="0" w:line="300" w:lineRule="exact"/>
              <w:ind w:left="105" w:leftChars="50"/>
              <w:jc w:val="center"/>
              <w:rPr>
                <w:rFonts w:hint="eastAsia" w:cs="宋体"/>
                <w:color w:val="auto"/>
                <w:sz w:val="21"/>
                <w:szCs w:val="21"/>
                <w:highlight w:val="none"/>
                <w:u w:val="single"/>
              </w:rPr>
            </w:pPr>
          </w:p>
        </w:tc>
        <w:tc>
          <w:tcPr>
            <w:tcW w:w="1182" w:type="dxa"/>
            <w:noWrap w:val="0"/>
            <w:vAlign w:val="center"/>
          </w:tcPr>
          <w:p>
            <w:pPr>
              <w:spacing w:line="300" w:lineRule="exact"/>
              <w:jc w:val="center"/>
              <w:rPr>
                <w:rFonts w:hint="eastAsia" w:ascii="宋体" w:hAnsi="宋体" w:cs="宋体"/>
                <w:color w:val="auto"/>
                <w:highlight w:val="none"/>
              </w:rPr>
            </w:pPr>
            <w:r>
              <w:rPr>
                <w:rFonts w:hint="eastAsia" w:ascii="宋体" w:hAnsi="宋体" w:cs="宋体"/>
                <w:color w:val="auto"/>
                <w:highlight w:val="none"/>
              </w:rPr>
              <w:t>对本工程</w:t>
            </w:r>
          </w:p>
          <w:p>
            <w:pPr>
              <w:spacing w:line="300" w:lineRule="exact"/>
              <w:jc w:val="center"/>
              <w:rPr>
                <w:rFonts w:hint="eastAsia" w:ascii="宋体" w:hAnsi="宋体" w:cs="宋体"/>
                <w:color w:val="auto"/>
                <w:highlight w:val="none"/>
              </w:rPr>
            </w:pPr>
            <w:r>
              <w:rPr>
                <w:rFonts w:hint="eastAsia" w:ascii="宋体" w:hAnsi="宋体" w:cs="宋体"/>
                <w:color w:val="auto"/>
                <w:highlight w:val="none"/>
              </w:rPr>
              <w:t>重点、难点</w:t>
            </w:r>
          </w:p>
          <w:p>
            <w:pPr>
              <w:spacing w:line="300" w:lineRule="exact"/>
              <w:jc w:val="center"/>
              <w:rPr>
                <w:rFonts w:hint="eastAsia" w:ascii="宋体" w:hAnsi="宋体" w:cs="宋体"/>
                <w:color w:val="auto"/>
                <w:highlight w:val="none"/>
              </w:rPr>
            </w:pPr>
            <w:r>
              <w:rPr>
                <w:rFonts w:hint="eastAsia" w:ascii="宋体" w:hAnsi="宋体" w:cs="宋体"/>
                <w:color w:val="auto"/>
                <w:highlight w:val="none"/>
              </w:rPr>
              <w:t>分析</w:t>
            </w:r>
          </w:p>
        </w:tc>
        <w:tc>
          <w:tcPr>
            <w:tcW w:w="733" w:type="dxa"/>
            <w:noWrap w:val="0"/>
            <w:vAlign w:val="center"/>
          </w:tcPr>
          <w:p>
            <w:pPr>
              <w:pStyle w:val="9"/>
              <w:spacing w:before="0" w:beforeAutospacing="0" w:after="0" w:afterAutospacing="0" w:line="300" w:lineRule="exact"/>
              <w:ind w:left="105" w:leftChars="50"/>
              <w:jc w:val="center"/>
              <w:rPr>
                <w:rFonts w:hint="eastAsia" w:cs="宋体"/>
                <w:color w:val="auto"/>
                <w:sz w:val="21"/>
                <w:szCs w:val="21"/>
                <w:highlight w:val="none"/>
                <w:u w:val="single"/>
              </w:rPr>
            </w:pPr>
            <w:r>
              <w:rPr>
                <w:rFonts w:hint="eastAsia" w:cs="宋体"/>
                <w:color w:val="auto"/>
                <w:sz w:val="21"/>
                <w:szCs w:val="21"/>
                <w:highlight w:val="none"/>
                <w:u w:val="single"/>
                <w:lang w:val="en-US" w:eastAsia="zh-CN"/>
              </w:rPr>
              <w:t>8</w:t>
            </w:r>
            <w:r>
              <w:rPr>
                <w:rFonts w:hint="eastAsia" w:cs="宋体"/>
                <w:color w:val="auto"/>
                <w:sz w:val="21"/>
                <w:szCs w:val="21"/>
                <w:highlight w:val="none"/>
              </w:rPr>
              <w:t>分</w:t>
            </w:r>
          </w:p>
        </w:tc>
        <w:tc>
          <w:tcPr>
            <w:tcW w:w="4047" w:type="dxa"/>
            <w:noWrap w:val="0"/>
            <w:vAlign w:val="center"/>
          </w:tcPr>
          <w:p>
            <w:pPr>
              <w:spacing w:line="360" w:lineRule="exact"/>
              <w:ind w:left="105" w:leftChars="50" w:right="105" w:rightChars="50"/>
              <w:jc w:val="left"/>
              <w:rPr>
                <w:rFonts w:hint="eastAsia" w:ascii="宋体" w:hAnsi="宋体" w:cs="宋体"/>
                <w:color w:val="auto"/>
                <w:highlight w:val="none"/>
              </w:rPr>
            </w:pPr>
            <w:r>
              <w:rPr>
                <w:rFonts w:hint="eastAsia" w:ascii="宋体" w:hAnsi="宋体" w:cs="宋体"/>
                <w:color w:val="auto"/>
                <w:highlight w:val="none"/>
              </w:rPr>
              <w:t>本项基本分为</w:t>
            </w:r>
            <w:r>
              <w:rPr>
                <w:rFonts w:hint="eastAsia" w:ascii="宋体" w:hAnsi="宋体" w:cs="宋体"/>
                <w:color w:val="auto"/>
                <w:highlight w:val="none"/>
                <w:lang w:val="en-US" w:eastAsia="zh-CN"/>
              </w:rPr>
              <w:t>4.8</w:t>
            </w:r>
            <w:r>
              <w:rPr>
                <w:rFonts w:hint="eastAsia" w:ascii="宋体" w:hAnsi="宋体" w:cs="宋体"/>
                <w:color w:val="auto"/>
                <w:highlight w:val="none"/>
              </w:rPr>
              <w:t>分</w:t>
            </w:r>
          </w:p>
          <w:p>
            <w:pPr>
              <w:spacing w:line="360" w:lineRule="exact"/>
              <w:ind w:left="105" w:leftChars="50" w:right="105" w:rightChars="50"/>
              <w:jc w:val="left"/>
              <w:rPr>
                <w:rFonts w:hint="eastAsia" w:ascii="宋体" w:hAnsi="宋体" w:cs="宋体"/>
                <w:color w:val="auto"/>
                <w:kern w:val="0"/>
                <w:szCs w:val="21"/>
                <w:highlight w:val="none"/>
              </w:rPr>
            </w:pPr>
            <w:r>
              <w:rPr>
                <w:rFonts w:hint="eastAsia" w:ascii="宋体" w:hAnsi="宋体" w:cs="宋体"/>
                <w:color w:val="auto"/>
                <w:highlight w:val="none"/>
              </w:rPr>
              <w:t>对本工程监理工作需要特别给予重视的问题逐一论述并给出解决方法。分析透彻，对难点、重点把握准确；处理措施科学合理，最高加</w:t>
            </w:r>
            <w:r>
              <w:rPr>
                <w:rFonts w:hint="eastAsia" w:ascii="宋体" w:hAnsi="宋体" w:cs="宋体"/>
                <w:color w:val="auto"/>
                <w:highlight w:val="none"/>
                <w:lang w:val="en-US" w:eastAsia="zh-CN"/>
              </w:rPr>
              <w:t>3.2</w:t>
            </w:r>
            <w:r>
              <w:rPr>
                <w:rFonts w:hint="eastAsia" w:ascii="宋体" w:hAnsi="宋体" w:cs="宋体"/>
                <w:color w:val="auto"/>
                <w:highlight w:val="none"/>
              </w:rPr>
              <w:t>分。</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1952" w:hRule="atLeast"/>
          <w:jc w:val="center"/>
        </w:trPr>
        <w:tc>
          <w:tcPr>
            <w:tcW w:w="932" w:type="dxa"/>
            <w:vMerge w:val="continue"/>
            <w:noWrap w:val="0"/>
            <w:vAlign w:val="center"/>
          </w:tcPr>
          <w:p>
            <w:pPr>
              <w:spacing w:line="280" w:lineRule="exact"/>
              <w:ind w:right="113"/>
              <w:jc w:val="center"/>
              <w:rPr>
                <w:rFonts w:hint="eastAsia" w:ascii="宋体" w:hAnsi="宋体" w:cs="宋体"/>
                <w:color w:val="auto"/>
                <w:szCs w:val="21"/>
                <w:highlight w:val="none"/>
              </w:rPr>
            </w:pPr>
          </w:p>
        </w:tc>
        <w:tc>
          <w:tcPr>
            <w:tcW w:w="1085" w:type="dxa"/>
            <w:vMerge w:val="continue"/>
            <w:noWrap w:val="0"/>
            <w:vAlign w:val="center"/>
          </w:tcPr>
          <w:p>
            <w:pPr>
              <w:spacing w:line="300" w:lineRule="exact"/>
              <w:ind w:left="113" w:right="113"/>
              <w:jc w:val="center"/>
              <w:rPr>
                <w:rFonts w:hint="eastAsia" w:ascii="宋体" w:hAnsi="宋体" w:cs="宋体"/>
                <w:color w:val="auto"/>
                <w:szCs w:val="21"/>
                <w:highlight w:val="none"/>
              </w:rPr>
            </w:pPr>
          </w:p>
        </w:tc>
        <w:tc>
          <w:tcPr>
            <w:tcW w:w="1081" w:type="dxa"/>
            <w:vMerge w:val="continue"/>
            <w:noWrap w:val="0"/>
            <w:vAlign w:val="center"/>
          </w:tcPr>
          <w:p>
            <w:pPr>
              <w:pStyle w:val="9"/>
              <w:spacing w:before="0" w:beforeAutospacing="0" w:after="0" w:afterAutospacing="0" w:line="300" w:lineRule="exact"/>
              <w:ind w:left="105" w:leftChars="50"/>
              <w:jc w:val="center"/>
              <w:rPr>
                <w:rFonts w:hint="eastAsia" w:cs="宋体"/>
                <w:color w:val="auto"/>
                <w:sz w:val="21"/>
                <w:szCs w:val="21"/>
                <w:highlight w:val="none"/>
                <w:u w:val="single"/>
              </w:rPr>
            </w:pPr>
          </w:p>
        </w:tc>
        <w:tc>
          <w:tcPr>
            <w:tcW w:w="1182" w:type="dxa"/>
            <w:noWrap w:val="0"/>
            <w:vAlign w:val="center"/>
          </w:tcPr>
          <w:p>
            <w:pPr>
              <w:spacing w:line="300" w:lineRule="exact"/>
              <w:jc w:val="center"/>
              <w:rPr>
                <w:rFonts w:hint="eastAsia" w:ascii="宋体" w:hAnsi="宋体" w:cs="宋体"/>
                <w:color w:val="auto"/>
                <w:highlight w:val="none"/>
              </w:rPr>
            </w:pPr>
            <w:r>
              <w:rPr>
                <w:rFonts w:hint="eastAsia" w:ascii="宋体" w:hAnsi="宋体" w:cs="宋体"/>
                <w:color w:val="auto"/>
                <w:highlight w:val="none"/>
              </w:rPr>
              <w:t>对本工程   的建议</w:t>
            </w:r>
          </w:p>
        </w:tc>
        <w:tc>
          <w:tcPr>
            <w:tcW w:w="733" w:type="dxa"/>
            <w:noWrap w:val="0"/>
            <w:vAlign w:val="center"/>
          </w:tcPr>
          <w:p>
            <w:pPr>
              <w:pStyle w:val="9"/>
              <w:spacing w:before="0" w:beforeAutospacing="0" w:after="0" w:afterAutospacing="0" w:line="300" w:lineRule="exact"/>
              <w:ind w:left="105" w:leftChars="50"/>
              <w:jc w:val="center"/>
              <w:rPr>
                <w:rFonts w:hint="eastAsia" w:cs="宋体"/>
                <w:color w:val="auto"/>
                <w:sz w:val="21"/>
                <w:szCs w:val="21"/>
                <w:highlight w:val="none"/>
                <w:u w:val="single"/>
              </w:rPr>
            </w:pPr>
            <w:r>
              <w:rPr>
                <w:rFonts w:hint="eastAsia" w:cs="宋体"/>
                <w:color w:val="auto"/>
                <w:sz w:val="21"/>
                <w:szCs w:val="21"/>
                <w:highlight w:val="none"/>
                <w:u w:val="single"/>
                <w:lang w:val="en-US" w:eastAsia="zh-CN"/>
              </w:rPr>
              <w:t>7</w:t>
            </w:r>
            <w:r>
              <w:rPr>
                <w:rFonts w:hint="eastAsia" w:cs="宋体"/>
                <w:color w:val="auto"/>
                <w:sz w:val="21"/>
                <w:szCs w:val="21"/>
                <w:highlight w:val="none"/>
              </w:rPr>
              <w:t>分</w:t>
            </w:r>
          </w:p>
        </w:tc>
        <w:tc>
          <w:tcPr>
            <w:tcW w:w="4047" w:type="dxa"/>
            <w:noWrap w:val="0"/>
            <w:vAlign w:val="center"/>
          </w:tcPr>
          <w:p>
            <w:pPr>
              <w:spacing w:line="360" w:lineRule="exact"/>
              <w:ind w:left="105" w:leftChars="50" w:right="105" w:rightChars="50"/>
              <w:jc w:val="left"/>
              <w:rPr>
                <w:rFonts w:hint="eastAsia" w:ascii="宋体" w:hAnsi="宋体" w:cs="宋体"/>
                <w:color w:val="auto"/>
                <w:highlight w:val="none"/>
              </w:rPr>
            </w:pPr>
            <w:r>
              <w:rPr>
                <w:rFonts w:hint="eastAsia" w:ascii="宋体" w:hAnsi="宋体" w:cs="宋体"/>
                <w:color w:val="auto"/>
                <w:highlight w:val="none"/>
              </w:rPr>
              <w:t>本项基本分为</w:t>
            </w:r>
            <w:r>
              <w:rPr>
                <w:rFonts w:hint="eastAsia" w:ascii="宋体" w:hAnsi="宋体" w:cs="宋体"/>
                <w:color w:val="auto"/>
                <w:highlight w:val="none"/>
                <w:lang w:val="en-US" w:eastAsia="zh-CN"/>
              </w:rPr>
              <w:t>4.2</w:t>
            </w:r>
            <w:r>
              <w:rPr>
                <w:rFonts w:hint="eastAsia" w:ascii="宋体" w:hAnsi="宋体" w:cs="宋体"/>
                <w:color w:val="auto"/>
                <w:highlight w:val="none"/>
              </w:rPr>
              <w:t>分</w:t>
            </w:r>
          </w:p>
          <w:p>
            <w:pPr>
              <w:spacing w:line="360" w:lineRule="exact"/>
              <w:ind w:left="105" w:leftChars="50" w:right="105" w:rightChars="50"/>
              <w:jc w:val="left"/>
              <w:rPr>
                <w:rFonts w:hint="eastAsia" w:ascii="宋体" w:hAnsi="宋体" w:cs="宋体"/>
                <w:color w:val="auto"/>
                <w:kern w:val="0"/>
                <w:szCs w:val="21"/>
                <w:highlight w:val="none"/>
              </w:rPr>
            </w:pPr>
            <w:r>
              <w:rPr>
                <w:rFonts w:hint="eastAsia" w:ascii="宋体" w:hAnsi="宋体" w:cs="宋体"/>
                <w:color w:val="auto"/>
                <w:highlight w:val="none"/>
              </w:rPr>
              <w:t>为更好地完成本项目的监理工作，监理单位可根据以往的经验，对本工程监理工作提出建议。建议措施具体全面、可靠、合理，可实施性强，最高加</w:t>
            </w:r>
            <w:r>
              <w:rPr>
                <w:rFonts w:hint="eastAsia" w:ascii="宋体" w:hAnsi="宋体" w:cs="宋体"/>
                <w:color w:val="auto"/>
                <w:highlight w:val="none"/>
                <w:lang w:val="en-US" w:eastAsia="zh-CN"/>
              </w:rPr>
              <w:t>2.8</w:t>
            </w:r>
            <w:r>
              <w:rPr>
                <w:rFonts w:hint="eastAsia" w:ascii="宋体" w:hAnsi="宋体" w:cs="宋体"/>
                <w:color w:val="auto"/>
                <w:highlight w:val="none"/>
              </w:rPr>
              <w:t>分。</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2305" w:hRule="atLeast"/>
          <w:jc w:val="center"/>
        </w:trPr>
        <w:tc>
          <w:tcPr>
            <w:tcW w:w="932" w:type="dxa"/>
            <w:noWrap w:val="0"/>
            <w:vAlign w:val="center"/>
          </w:tcPr>
          <w:p>
            <w:pPr>
              <w:spacing w:line="280" w:lineRule="exact"/>
              <w:ind w:right="113"/>
              <w:jc w:val="center"/>
              <w:rPr>
                <w:rFonts w:hint="eastAsia" w:ascii="宋体" w:hAnsi="宋体" w:cs="宋体"/>
                <w:color w:val="auto"/>
                <w:szCs w:val="21"/>
                <w:highlight w:val="none"/>
              </w:rPr>
            </w:pPr>
            <w:r>
              <w:rPr>
                <w:rFonts w:hint="eastAsia" w:ascii="宋体" w:hAnsi="宋体" w:cs="宋体"/>
                <w:color w:val="auto"/>
                <w:szCs w:val="21"/>
                <w:highlight w:val="none"/>
              </w:rPr>
              <w:t>2.2.4（2）</w:t>
            </w:r>
          </w:p>
        </w:tc>
        <w:tc>
          <w:tcPr>
            <w:tcW w:w="1085" w:type="dxa"/>
            <w:noWrap w:val="0"/>
            <w:vAlign w:val="center"/>
          </w:tcPr>
          <w:p>
            <w:pPr>
              <w:spacing w:line="300" w:lineRule="exact"/>
              <w:ind w:left="113" w:right="113"/>
              <w:jc w:val="center"/>
              <w:rPr>
                <w:rFonts w:hint="eastAsia" w:ascii="宋体" w:hAnsi="宋体" w:cs="宋体"/>
                <w:color w:val="auto"/>
                <w:szCs w:val="21"/>
                <w:highlight w:val="none"/>
              </w:rPr>
            </w:pPr>
            <w:r>
              <w:rPr>
                <w:rFonts w:hint="eastAsia" w:ascii="宋体" w:hAnsi="宋体" w:cs="宋体"/>
                <w:color w:val="auto"/>
                <w:szCs w:val="21"/>
                <w:highlight w:val="none"/>
              </w:rPr>
              <w:t>主要人员</w:t>
            </w:r>
          </w:p>
        </w:tc>
        <w:tc>
          <w:tcPr>
            <w:tcW w:w="1081" w:type="dxa"/>
            <w:noWrap w:val="0"/>
            <w:vAlign w:val="center"/>
          </w:tcPr>
          <w:p>
            <w:pPr>
              <w:pStyle w:val="9"/>
              <w:spacing w:before="0" w:beforeAutospacing="0" w:after="0" w:afterAutospacing="0" w:line="300" w:lineRule="exact"/>
              <w:ind w:left="105" w:leftChars="50"/>
              <w:jc w:val="center"/>
              <w:rPr>
                <w:rFonts w:hint="eastAsia" w:cs="宋体"/>
                <w:color w:val="auto"/>
                <w:sz w:val="21"/>
                <w:szCs w:val="21"/>
                <w:highlight w:val="none"/>
                <w:u w:val="single"/>
              </w:rPr>
            </w:pPr>
            <w:r>
              <w:rPr>
                <w:rFonts w:hint="eastAsia" w:cs="宋体"/>
                <w:color w:val="auto"/>
                <w:sz w:val="21"/>
                <w:szCs w:val="21"/>
                <w:highlight w:val="none"/>
                <w:u w:val="single"/>
                <w:lang w:val="en-US" w:eastAsia="zh-CN"/>
              </w:rPr>
              <w:t>30</w:t>
            </w:r>
            <w:r>
              <w:rPr>
                <w:rFonts w:hint="eastAsia" w:cs="宋体"/>
                <w:color w:val="auto"/>
                <w:sz w:val="21"/>
                <w:szCs w:val="21"/>
                <w:highlight w:val="none"/>
              </w:rPr>
              <w:t>分</w:t>
            </w:r>
          </w:p>
        </w:tc>
        <w:tc>
          <w:tcPr>
            <w:tcW w:w="1182" w:type="dxa"/>
            <w:noWrap w:val="0"/>
            <w:vAlign w:val="center"/>
          </w:tcPr>
          <w:p>
            <w:pPr>
              <w:spacing w:line="300" w:lineRule="exact"/>
              <w:jc w:val="center"/>
              <w:rPr>
                <w:rFonts w:hint="default" w:ascii="宋体" w:hAnsi="宋体" w:eastAsia="宋体" w:cs="宋体"/>
                <w:color w:val="auto"/>
                <w:highlight w:val="none"/>
                <w:lang w:val="en-US" w:eastAsia="zh-CN"/>
              </w:rPr>
            </w:pPr>
            <w:r>
              <w:rPr>
                <w:rFonts w:hint="eastAsia" w:ascii="宋体" w:hAnsi="宋体" w:cs="宋体"/>
                <w:color w:val="auto"/>
                <w:szCs w:val="21"/>
                <w:highlight w:val="none"/>
              </w:rPr>
              <w:t>主要人员</w:t>
            </w:r>
          </w:p>
        </w:tc>
        <w:tc>
          <w:tcPr>
            <w:tcW w:w="4780" w:type="dxa"/>
            <w:gridSpan w:val="2"/>
            <w:noWrap w:val="0"/>
            <w:vAlign w:val="center"/>
          </w:tcPr>
          <w:p>
            <w:pPr>
              <w:spacing w:line="360" w:lineRule="exact"/>
              <w:ind w:left="105" w:leftChars="50" w:right="105" w:rightChars="50"/>
              <w:jc w:val="left"/>
              <w:rPr>
                <w:rFonts w:hint="eastAsia" w:ascii="宋体" w:hAnsi="宋体" w:cs="宋体"/>
                <w:color w:val="auto"/>
                <w:highlight w:val="none"/>
                <w:lang w:eastAsia="zh-CN"/>
              </w:rPr>
            </w:pPr>
            <w:r>
              <w:rPr>
                <w:rFonts w:hint="eastAsia" w:ascii="宋体" w:hAnsi="宋体" w:cs="宋体"/>
                <w:color w:val="auto"/>
                <w:highlight w:val="none"/>
                <w:lang w:eastAsia="zh-CN"/>
              </w:rPr>
              <w:t>满足资格审查要求得</w:t>
            </w:r>
            <w:r>
              <w:rPr>
                <w:rFonts w:hint="eastAsia" w:ascii="宋体" w:hAnsi="宋体" w:cs="宋体"/>
                <w:color w:val="auto"/>
                <w:highlight w:val="none"/>
                <w:lang w:val="en-US" w:eastAsia="zh-CN"/>
              </w:rPr>
              <w:t>18</w:t>
            </w:r>
            <w:r>
              <w:rPr>
                <w:rFonts w:hint="eastAsia" w:ascii="宋体" w:hAnsi="宋体" w:cs="宋体"/>
                <w:color w:val="auto"/>
                <w:highlight w:val="none"/>
                <w:lang w:eastAsia="zh-CN"/>
              </w:rPr>
              <w:t>分；</w:t>
            </w:r>
          </w:p>
          <w:p>
            <w:pPr>
              <w:spacing w:line="360" w:lineRule="exact"/>
              <w:ind w:left="105" w:leftChars="50" w:right="105" w:rightChars="50"/>
              <w:jc w:val="left"/>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总监理工程师每增加1</w:t>
            </w:r>
            <w:r>
              <w:rPr>
                <w:rFonts w:hint="eastAsia" w:ascii="宋体" w:hAnsi="宋体" w:eastAsia="宋体" w:cs="宋体"/>
                <w:color w:val="auto"/>
                <w:highlight w:val="none"/>
                <w:lang w:val="en-US" w:eastAsia="zh-CN"/>
              </w:rPr>
              <w:t>项一级及以上公路工程施工监理</w:t>
            </w:r>
            <w:r>
              <w:rPr>
                <w:rFonts w:hint="eastAsia" w:ascii="宋体" w:hAnsi="宋体" w:eastAsia="宋体" w:cs="宋体"/>
                <w:color w:val="auto"/>
                <w:highlight w:val="none"/>
                <w:lang w:eastAsia="zh-CN"/>
              </w:rPr>
              <w:t>业绩加</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lang w:eastAsia="zh-CN"/>
              </w:rPr>
              <w:t>分，最多加</w:t>
            </w:r>
            <w:r>
              <w:rPr>
                <w:rFonts w:hint="eastAsia" w:ascii="宋体" w:hAnsi="宋体" w:cs="宋体"/>
                <w:color w:val="auto"/>
                <w:highlight w:val="none"/>
                <w:lang w:val="en-US" w:eastAsia="zh-CN"/>
              </w:rPr>
              <w:t>12</w:t>
            </w:r>
            <w:r>
              <w:rPr>
                <w:rFonts w:hint="eastAsia" w:ascii="宋体" w:hAnsi="宋体" w:eastAsia="宋体" w:cs="宋体"/>
                <w:color w:val="auto"/>
                <w:highlight w:val="none"/>
                <w:lang w:eastAsia="zh-CN"/>
              </w:rPr>
              <w:t>分；</w:t>
            </w:r>
          </w:p>
          <w:p>
            <w:pPr>
              <w:spacing w:line="360" w:lineRule="exact"/>
              <w:ind w:left="105" w:leftChars="50" w:right="105" w:rightChars="50"/>
              <w:jc w:val="left"/>
              <w:rPr>
                <w:rFonts w:hint="eastAsia" w:ascii="宋体" w:hAnsi="宋体" w:eastAsia="宋体" w:cs="宋体"/>
                <w:color w:val="auto"/>
                <w:highlight w:val="none"/>
                <w:lang w:val="en-US" w:eastAsia="zh-CN"/>
              </w:rPr>
            </w:pPr>
          </w:p>
        </w:tc>
      </w:tr>
    </w:tbl>
    <w:p>
      <w:pPr>
        <w:jc w:val="right"/>
        <w:rPr>
          <w:rFonts w:hint="eastAsia" w:ascii="宋体" w:hAnsi="宋体" w:cs="宋体"/>
          <w:color w:val="auto"/>
          <w:szCs w:val="21"/>
          <w:highlight w:val="none"/>
        </w:rPr>
      </w:pPr>
      <w:r>
        <w:rPr>
          <w:rFonts w:hint="eastAsia" w:ascii="宋体" w:hAnsi="宋体" w:cs="宋体"/>
          <w:color w:val="auto"/>
          <w:sz w:val="24"/>
          <w:highlight w:val="none"/>
          <w:lang w:bidi="ar"/>
        </w:rPr>
        <w:br w:type="page"/>
      </w:r>
      <w:r>
        <w:rPr>
          <w:rFonts w:hint="eastAsia" w:ascii="宋体" w:hAnsi="宋体" w:cs="宋体"/>
          <w:color w:val="auto"/>
          <w:szCs w:val="21"/>
          <w:highlight w:val="none"/>
          <w:lang w:bidi="ar"/>
        </w:rPr>
        <w:t>续上表</w:t>
      </w:r>
    </w:p>
    <w:tbl>
      <w:tblPr>
        <w:tblStyle w:val="10"/>
        <w:tblW w:w="0" w:type="auto"/>
        <w:jc w:val="center"/>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fixed"/>
        <w:tblCellMar>
          <w:top w:w="0" w:type="dxa"/>
          <w:left w:w="0" w:type="dxa"/>
          <w:bottom w:w="0" w:type="dxa"/>
          <w:right w:w="0" w:type="dxa"/>
        </w:tblCellMar>
      </w:tblPr>
      <w:tblGrid>
        <w:gridCol w:w="933"/>
        <w:gridCol w:w="1086"/>
        <w:gridCol w:w="1083"/>
        <w:gridCol w:w="1183"/>
        <w:gridCol w:w="734"/>
        <w:gridCol w:w="4052"/>
      </w:tblGrid>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661" w:hRule="atLeast"/>
          <w:jc w:val="center"/>
        </w:trPr>
        <w:tc>
          <w:tcPr>
            <w:tcW w:w="933" w:type="dxa"/>
            <w:noWrap w:val="0"/>
            <w:vAlign w:val="center"/>
          </w:tcPr>
          <w:p>
            <w:pPr>
              <w:spacing w:line="290" w:lineRule="exact"/>
              <w:ind w:right="113"/>
              <w:jc w:val="center"/>
              <w:rPr>
                <w:rFonts w:hint="eastAsia" w:ascii="宋体" w:hAnsi="宋体" w:cs="宋体"/>
                <w:color w:val="auto"/>
                <w:szCs w:val="21"/>
                <w:highlight w:val="none"/>
              </w:rPr>
            </w:pPr>
            <w:r>
              <w:rPr>
                <w:rFonts w:hint="eastAsia" w:ascii="宋体" w:hAnsi="宋体" w:cs="宋体"/>
                <w:color w:val="auto"/>
                <w:szCs w:val="21"/>
                <w:highlight w:val="none"/>
                <w:lang w:bidi="ar"/>
              </w:rPr>
              <w:t>条款号</w:t>
            </w:r>
          </w:p>
        </w:tc>
        <w:tc>
          <w:tcPr>
            <w:tcW w:w="1086" w:type="dxa"/>
            <w:noWrap w:val="0"/>
            <w:vAlign w:val="center"/>
          </w:tcPr>
          <w:p>
            <w:pPr>
              <w:spacing w:line="290" w:lineRule="exact"/>
              <w:ind w:right="113"/>
              <w:jc w:val="center"/>
              <w:rPr>
                <w:rFonts w:hint="eastAsia" w:ascii="宋体" w:hAnsi="宋体" w:cs="宋体"/>
                <w:color w:val="auto"/>
                <w:szCs w:val="21"/>
                <w:highlight w:val="none"/>
              </w:rPr>
            </w:pPr>
            <w:r>
              <w:rPr>
                <w:rFonts w:hint="eastAsia" w:ascii="宋体" w:hAnsi="宋体" w:cs="宋体"/>
                <w:color w:val="auto"/>
                <w:szCs w:val="21"/>
                <w:highlight w:val="none"/>
                <w:lang w:bidi="ar"/>
              </w:rPr>
              <w:t>评分因素</w:t>
            </w:r>
          </w:p>
        </w:tc>
        <w:tc>
          <w:tcPr>
            <w:tcW w:w="1083" w:type="dxa"/>
            <w:noWrap w:val="0"/>
            <w:vAlign w:val="center"/>
          </w:tcPr>
          <w:p>
            <w:pPr>
              <w:spacing w:line="290" w:lineRule="exact"/>
              <w:ind w:right="113"/>
              <w:jc w:val="center"/>
              <w:rPr>
                <w:rFonts w:hint="eastAsia" w:ascii="宋体" w:hAnsi="宋体" w:cs="宋体"/>
                <w:color w:val="auto"/>
                <w:szCs w:val="21"/>
                <w:highlight w:val="none"/>
              </w:rPr>
            </w:pPr>
            <w:r>
              <w:rPr>
                <w:rFonts w:hint="eastAsia" w:ascii="宋体" w:hAnsi="宋体" w:cs="宋体"/>
                <w:color w:val="auto"/>
                <w:szCs w:val="21"/>
                <w:highlight w:val="none"/>
                <w:lang w:bidi="ar"/>
              </w:rPr>
              <w:t>评分因素权重分值</w:t>
            </w:r>
          </w:p>
        </w:tc>
        <w:tc>
          <w:tcPr>
            <w:tcW w:w="1183" w:type="dxa"/>
            <w:noWrap w:val="0"/>
            <w:vAlign w:val="center"/>
          </w:tcPr>
          <w:p>
            <w:pPr>
              <w:spacing w:line="290" w:lineRule="exact"/>
              <w:ind w:right="113"/>
              <w:jc w:val="center"/>
              <w:rPr>
                <w:rFonts w:hint="eastAsia" w:ascii="宋体" w:hAnsi="宋体" w:cs="宋体"/>
                <w:color w:val="auto"/>
                <w:szCs w:val="21"/>
                <w:highlight w:val="none"/>
              </w:rPr>
            </w:pPr>
            <w:r>
              <w:rPr>
                <w:rFonts w:hint="eastAsia" w:ascii="宋体" w:hAnsi="宋体" w:cs="宋体"/>
                <w:color w:val="auto"/>
                <w:szCs w:val="21"/>
                <w:highlight w:val="none"/>
                <w:lang w:bidi="ar"/>
              </w:rPr>
              <w:t>各评分因数细分项</w:t>
            </w:r>
          </w:p>
        </w:tc>
        <w:tc>
          <w:tcPr>
            <w:tcW w:w="734" w:type="dxa"/>
            <w:noWrap w:val="0"/>
            <w:vAlign w:val="center"/>
          </w:tcPr>
          <w:p>
            <w:pPr>
              <w:spacing w:line="290" w:lineRule="exact"/>
              <w:ind w:right="113"/>
              <w:jc w:val="center"/>
              <w:rPr>
                <w:rFonts w:hint="eastAsia" w:ascii="宋体" w:hAnsi="宋体" w:cs="宋体"/>
                <w:color w:val="auto"/>
                <w:szCs w:val="21"/>
                <w:highlight w:val="none"/>
              </w:rPr>
            </w:pPr>
            <w:r>
              <w:rPr>
                <w:rFonts w:hint="eastAsia" w:ascii="宋体" w:hAnsi="宋体" w:cs="宋体"/>
                <w:color w:val="auto"/>
                <w:szCs w:val="21"/>
                <w:highlight w:val="none"/>
                <w:lang w:bidi="ar"/>
              </w:rPr>
              <w:t>分值</w:t>
            </w:r>
          </w:p>
        </w:tc>
        <w:tc>
          <w:tcPr>
            <w:tcW w:w="4052" w:type="dxa"/>
            <w:noWrap w:val="0"/>
            <w:vAlign w:val="center"/>
          </w:tcPr>
          <w:p>
            <w:pPr>
              <w:spacing w:line="290" w:lineRule="exact"/>
              <w:ind w:right="113"/>
              <w:jc w:val="center"/>
              <w:rPr>
                <w:rFonts w:hint="eastAsia" w:ascii="宋体" w:hAnsi="宋体" w:cs="宋体"/>
                <w:color w:val="auto"/>
                <w:szCs w:val="21"/>
                <w:highlight w:val="none"/>
              </w:rPr>
            </w:pPr>
            <w:r>
              <w:rPr>
                <w:rFonts w:hint="eastAsia" w:ascii="宋体" w:hAnsi="宋体" w:cs="宋体"/>
                <w:color w:val="auto"/>
                <w:szCs w:val="21"/>
                <w:highlight w:val="none"/>
                <w:lang w:bidi="ar"/>
              </w:rPr>
              <w:t>评分标准</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1343" w:hRule="atLeast"/>
          <w:jc w:val="center"/>
        </w:trPr>
        <w:tc>
          <w:tcPr>
            <w:tcW w:w="933" w:type="dxa"/>
            <w:vMerge w:val="restart"/>
            <w:noWrap w:val="0"/>
            <w:vAlign w:val="center"/>
          </w:tcPr>
          <w:p>
            <w:pPr>
              <w:jc w:val="center"/>
              <w:rPr>
                <w:rFonts w:hint="eastAsia" w:ascii="宋体" w:hAnsi="宋体" w:cs="宋体"/>
                <w:color w:val="auto"/>
                <w:szCs w:val="21"/>
                <w:highlight w:val="none"/>
              </w:rPr>
            </w:pPr>
            <w:r>
              <w:rPr>
                <w:rFonts w:hint="eastAsia" w:ascii="宋体" w:hAnsi="宋体" w:cs="宋体"/>
                <w:color w:val="auto"/>
                <w:szCs w:val="21"/>
                <w:highlight w:val="none"/>
              </w:rPr>
              <w:t>2.2.4</w:t>
            </w:r>
          </w:p>
          <w:p>
            <w:pPr>
              <w:jc w:val="center"/>
              <w:rPr>
                <w:rFonts w:hint="eastAsia" w:ascii="宋体" w:hAnsi="宋体" w:cs="宋体"/>
                <w:color w:val="auto"/>
                <w:sz w:val="20"/>
                <w:szCs w:val="20"/>
                <w:highlight w:val="none"/>
              </w:rPr>
            </w:pPr>
            <w:r>
              <w:rPr>
                <w:rFonts w:hint="eastAsia" w:ascii="宋体" w:hAnsi="宋体" w:cs="宋体"/>
                <w:color w:val="auto"/>
                <w:szCs w:val="21"/>
                <w:highlight w:val="none"/>
              </w:rPr>
              <w:t>（4）</w:t>
            </w:r>
          </w:p>
        </w:tc>
        <w:tc>
          <w:tcPr>
            <w:tcW w:w="1086" w:type="dxa"/>
            <w:vMerge w:val="restart"/>
            <w:noWrap w:val="0"/>
            <w:vAlign w:val="center"/>
          </w:tcPr>
          <w:p>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rPr>
              <w:t>业绩与</w:t>
            </w:r>
            <w:r>
              <w:rPr>
                <w:rFonts w:hint="eastAsia" w:ascii="宋体" w:hAnsi="宋体" w:eastAsia="宋体" w:cs="宋体"/>
                <w:color w:val="auto"/>
                <w:sz w:val="20"/>
                <w:szCs w:val="20"/>
                <w:highlight w:val="none"/>
              </w:rPr>
              <w:t>履约</w:t>
            </w:r>
            <w:r>
              <w:rPr>
                <w:rFonts w:hint="eastAsia" w:ascii="宋体" w:hAnsi="宋体" w:cs="宋体"/>
                <w:color w:val="auto"/>
                <w:sz w:val="20"/>
                <w:szCs w:val="20"/>
                <w:highlight w:val="none"/>
              </w:rPr>
              <w:t>信誉</w:t>
            </w:r>
          </w:p>
        </w:tc>
        <w:tc>
          <w:tcPr>
            <w:tcW w:w="1083" w:type="dxa"/>
            <w:vMerge w:val="restart"/>
            <w:noWrap w:val="0"/>
            <w:vAlign w:val="center"/>
          </w:tcPr>
          <w:p>
            <w:pPr>
              <w:jc w:val="center"/>
              <w:rPr>
                <w:rFonts w:hint="eastAsia" w:ascii="宋体" w:hAnsi="宋体" w:cs="宋体"/>
                <w:color w:val="auto"/>
                <w:sz w:val="20"/>
                <w:szCs w:val="20"/>
                <w:highlight w:val="none"/>
              </w:rPr>
            </w:pPr>
            <w:r>
              <w:rPr>
                <w:rFonts w:hint="eastAsia" w:ascii="宋体" w:hAnsi="宋体" w:cs="宋体"/>
                <w:color w:val="auto"/>
                <w:sz w:val="20"/>
                <w:szCs w:val="20"/>
                <w:highlight w:val="none"/>
                <w:u w:val="single"/>
                <w:lang w:val="en-US" w:eastAsia="zh-CN"/>
              </w:rPr>
              <w:t>25</w:t>
            </w:r>
            <w:r>
              <w:rPr>
                <w:rFonts w:hint="eastAsia" w:ascii="宋体" w:hAnsi="宋体" w:cs="宋体"/>
                <w:color w:val="auto"/>
                <w:sz w:val="20"/>
                <w:szCs w:val="20"/>
                <w:highlight w:val="none"/>
              </w:rPr>
              <w:t>分</w:t>
            </w:r>
          </w:p>
        </w:tc>
        <w:tc>
          <w:tcPr>
            <w:tcW w:w="1183" w:type="dxa"/>
            <w:noWrap w:val="0"/>
            <w:vAlign w:val="center"/>
          </w:tcPr>
          <w:p>
            <w:pPr>
              <w:autoSpaceDE w:val="0"/>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bidi="ar"/>
              </w:rPr>
              <w:t>业绩</w:t>
            </w:r>
          </w:p>
        </w:tc>
        <w:tc>
          <w:tcPr>
            <w:tcW w:w="734" w:type="dxa"/>
            <w:noWrap w:val="0"/>
            <w:vAlign w:val="center"/>
          </w:tcPr>
          <w:p>
            <w:pPr>
              <w:pStyle w:val="9"/>
              <w:autoSpaceDE w:val="0"/>
              <w:spacing w:before="0" w:beforeAutospacing="0" w:after="0" w:afterAutospacing="0" w:line="300" w:lineRule="exact"/>
              <w:ind w:left="105" w:leftChars="50"/>
              <w:jc w:val="center"/>
              <w:rPr>
                <w:rFonts w:hint="eastAsia" w:cs="宋体"/>
                <w:color w:val="auto"/>
                <w:sz w:val="21"/>
                <w:szCs w:val="21"/>
                <w:highlight w:val="none"/>
                <w:u w:val="single"/>
              </w:rPr>
            </w:pPr>
            <w:r>
              <w:rPr>
                <w:rFonts w:hint="eastAsia" w:cs="宋体"/>
                <w:color w:val="auto"/>
                <w:sz w:val="21"/>
                <w:szCs w:val="21"/>
                <w:highlight w:val="none"/>
                <w:u w:val="single"/>
                <w:lang w:val="en-US" w:eastAsia="zh-CN" w:bidi="ar"/>
              </w:rPr>
              <w:t>20</w:t>
            </w:r>
            <w:r>
              <w:rPr>
                <w:rFonts w:hint="eastAsia" w:cs="宋体"/>
                <w:color w:val="auto"/>
                <w:sz w:val="21"/>
                <w:szCs w:val="21"/>
                <w:highlight w:val="none"/>
                <w:lang w:bidi="ar"/>
              </w:rPr>
              <w:t>分</w:t>
            </w:r>
          </w:p>
        </w:tc>
        <w:tc>
          <w:tcPr>
            <w:tcW w:w="4052" w:type="dxa"/>
            <w:noWrap w:val="0"/>
            <w:vAlign w:val="center"/>
          </w:tcPr>
          <w:p>
            <w:pPr>
              <w:autoSpaceDE w:val="0"/>
              <w:spacing w:line="360" w:lineRule="exact"/>
              <w:ind w:left="105" w:leftChars="50" w:right="105" w:rightChars="50"/>
              <w:jc w:val="left"/>
              <w:rPr>
                <w:rFonts w:hint="eastAsia" w:ascii="宋体" w:hAnsi="宋体" w:cs="宋体"/>
                <w:color w:val="auto"/>
                <w:szCs w:val="21"/>
                <w:highlight w:val="none"/>
                <w:lang w:bidi="ar"/>
              </w:rPr>
            </w:pPr>
            <w:r>
              <w:rPr>
                <w:rFonts w:hint="eastAsia" w:ascii="宋体" w:hAnsi="宋体" w:cs="宋体"/>
                <w:color w:val="auto"/>
                <w:szCs w:val="21"/>
                <w:highlight w:val="none"/>
                <w:lang w:bidi="ar"/>
              </w:rPr>
              <w:t>满足资格审查要求得</w:t>
            </w:r>
            <w:r>
              <w:rPr>
                <w:rFonts w:hint="eastAsia" w:ascii="宋体" w:hAnsi="宋体" w:cs="宋体"/>
                <w:color w:val="auto"/>
                <w:szCs w:val="21"/>
                <w:highlight w:val="none"/>
                <w:lang w:val="en-US" w:eastAsia="zh-CN" w:bidi="ar"/>
              </w:rPr>
              <w:t>12</w:t>
            </w:r>
            <w:r>
              <w:rPr>
                <w:rFonts w:hint="eastAsia" w:ascii="宋体" w:hAnsi="宋体" w:cs="宋体"/>
                <w:color w:val="auto"/>
                <w:szCs w:val="21"/>
                <w:highlight w:val="none"/>
                <w:lang w:bidi="ar"/>
              </w:rPr>
              <w:t>分；</w:t>
            </w:r>
          </w:p>
          <w:p>
            <w:pPr>
              <w:autoSpaceDE w:val="0"/>
              <w:spacing w:line="360" w:lineRule="exact"/>
              <w:ind w:left="105" w:leftChars="50" w:right="105" w:rightChars="50"/>
              <w:jc w:val="left"/>
              <w:rPr>
                <w:rFonts w:hint="eastAsia" w:ascii="宋体" w:hAnsi="宋体" w:eastAsia="宋体" w:cs="宋体"/>
                <w:color w:val="auto"/>
                <w:szCs w:val="21"/>
                <w:highlight w:val="none"/>
                <w:lang w:eastAsia="zh-CN" w:bidi="ar"/>
              </w:rPr>
            </w:pPr>
            <w:r>
              <w:rPr>
                <w:rFonts w:hint="eastAsia" w:ascii="宋体" w:hAnsi="宋体" w:cs="宋体"/>
                <w:color w:val="auto"/>
                <w:szCs w:val="21"/>
                <w:highlight w:val="none"/>
                <w:lang w:bidi="ar"/>
              </w:rPr>
              <w:t>在满足资格条件基础上，近五年内（20</w:t>
            </w:r>
            <w:r>
              <w:rPr>
                <w:rFonts w:hint="eastAsia" w:ascii="宋体" w:hAnsi="宋体" w:cs="宋体"/>
                <w:color w:val="auto"/>
                <w:szCs w:val="21"/>
                <w:highlight w:val="none"/>
                <w:lang w:val="en-US" w:eastAsia="zh-CN" w:bidi="ar"/>
              </w:rPr>
              <w:t>18</w:t>
            </w:r>
            <w:r>
              <w:rPr>
                <w:rFonts w:hint="eastAsia" w:ascii="宋体" w:hAnsi="宋体" w:cs="宋体"/>
                <w:color w:val="auto"/>
                <w:szCs w:val="21"/>
                <w:highlight w:val="none"/>
                <w:lang w:bidi="ar"/>
              </w:rPr>
              <w:t>年</w:t>
            </w:r>
            <w:r>
              <w:rPr>
                <w:rFonts w:hint="eastAsia" w:ascii="宋体" w:hAnsi="宋体" w:cs="宋体"/>
                <w:color w:val="auto"/>
                <w:szCs w:val="21"/>
                <w:highlight w:val="none"/>
                <w:lang w:val="en-US" w:eastAsia="zh-CN" w:bidi="ar"/>
              </w:rPr>
              <w:t>11月1日</w:t>
            </w:r>
            <w:r>
              <w:rPr>
                <w:rFonts w:hint="eastAsia" w:ascii="宋体" w:hAnsi="宋体" w:cs="宋体"/>
                <w:color w:val="auto"/>
                <w:szCs w:val="21"/>
                <w:highlight w:val="none"/>
                <w:lang w:bidi="ar"/>
              </w:rPr>
              <w:t>至</w:t>
            </w:r>
            <w:r>
              <w:rPr>
                <w:rFonts w:hint="eastAsia" w:ascii="宋体" w:hAnsi="宋体" w:cs="宋体"/>
                <w:color w:val="auto"/>
                <w:szCs w:val="21"/>
                <w:highlight w:val="none"/>
                <w:lang w:val="en-US" w:eastAsia="zh-CN" w:bidi="ar"/>
              </w:rPr>
              <w:t>今</w:t>
            </w:r>
            <w:r>
              <w:rPr>
                <w:rFonts w:hint="eastAsia" w:ascii="宋体" w:hAnsi="宋体" w:cs="宋体"/>
                <w:color w:val="auto"/>
                <w:szCs w:val="21"/>
                <w:highlight w:val="none"/>
                <w:lang w:bidi="ar"/>
              </w:rPr>
              <w:t>，以交&lt;竣&gt;工时间为准）每增加1项</w:t>
            </w:r>
            <w:r>
              <w:rPr>
                <w:rFonts w:hint="eastAsia" w:ascii="宋体" w:hAnsi="宋体" w:cs="宋体"/>
                <w:color w:val="auto"/>
                <w:szCs w:val="21"/>
                <w:highlight w:val="none"/>
                <w:lang w:val="en-US" w:eastAsia="zh-CN" w:bidi="ar"/>
              </w:rPr>
              <w:t>一级及以上公路工程施工监理业绩</w:t>
            </w:r>
            <w:r>
              <w:rPr>
                <w:rFonts w:hint="eastAsia" w:ascii="宋体" w:hAnsi="宋体" w:cs="宋体"/>
                <w:color w:val="auto"/>
                <w:szCs w:val="21"/>
                <w:highlight w:val="none"/>
                <w:lang w:bidi="ar"/>
              </w:rPr>
              <w:t>，加</w:t>
            </w:r>
            <w:r>
              <w:rPr>
                <w:rFonts w:hint="eastAsia" w:ascii="宋体" w:hAnsi="宋体" w:cs="宋体"/>
                <w:color w:val="auto"/>
                <w:szCs w:val="21"/>
                <w:highlight w:val="none"/>
                <w:lang w:val="en-US" w:eastAsia="zh-CN" w:bidi="ar"/>
              </w:rPr>
              <w:t>4</w:t>
            </w:r>
            <w:r>
              <w:rPr>
                <w:rFonts w:hint="eastAsia" w:ascii="宋体" w:hAnsi="宋体" w:cs="宋体"/>
                <w:color w:val="auto"/>
                <w:szCs w:val="21"/>
                <w:highlight w:val="none"/>
                <w:lang w:bidi="ar"/>
              </w:rPr>
              <w:t>分，本项最高加</w:t>
            </w:r>
            <w:r>
              <w:rPr>
                <w:rFonts w:hint="eastAsia" w:ascii="宋体" w:hAnsi="宋体" w:cs="宋体"/>
                <w:color w:val="auto"/>
                <w:szCs w:val="21"/>
                <w:highlight w:val="none"/>
                <w:lang w:val="en-US" w:eastAsia="zh-CN" w:bidi="ar"/>
              </w:rPr>
              <w:t>8</w:t>
            </w:r>
            <w:r>
              <w:rPr>
                <w:rFonts w:hint="eastAsia" w:ascii="宋体" w:hAnsi="宋体" w:cs="宋体"/>
                <w:color w:val="auto"/>
                <w:szCs w:val="21"/>
                <w:highlight w:val="none"/>
                <w:lang w:bidi="ar"/>
              </w:rPr>
              <w:t>分</w:t>
            </w:r>
            <w:r>
              <w:rPr>
                <w:rFonts w:hint="eastAsia" w:ascii="宋体" w:hAnsi="宋体" w:cs="宋体"/>
                <w:color w:val="auto"/>
                <w:szCs w:val="21"/>
                <w:highlight w:val="none"/>
                <w:lang w:eastAsia="zh-CN" w:bidi="ar"/>
              </w:rPr>
              <w:t>。</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0" w:type="dxa"/>
            <w:bottom w:w="0" w:type="dxa"/>
            <w:right w:w="0" w:type="dxa"/>
          </w:tblCellMar>
        </w:tblPrEx>
        <w:trPr>
          <w:trHeight w:val="4195" w:hRule="atLeast"/>
          <w:jc w:val="center"/>
        </w:trPr>
        <w:tc>
          <w:tcPr>
            <w:tcW w:w="933" w:type="dxa"/>
            <w:vMerge w:val="continue"/>
            <w:noWrap w:val="0"/>
            <w:vAlign w:val="center"/>
          </w:tcPr>
          <w:p>
            <w:pPr>
              <w:rPr>
                <w:rFonts w:hint="eastAsia" w:ascii="宋体" w:hAnsi="宋体" w:cs="宋体"/>
                <w:color w:val="auto"/>
                <w:sz w:val="20"/>
                <w:szCs w:val="20"/>
                <w:highlight w:val="none"/>
              </w:rPr>
            </w:pPr>
          </w:p>
        </w:tc>
        <w:tc>
          <w:tcPr>
            <w:tcW w:w="1086" w:type="dxa"/>
            <w:vMerge w:val="continue"/>
            <w:noWrap w:val="0"/>
            <w:vAlign w:val="center"/>
          </w:tcPr>
          <w:p>
            <w:pPr>
              <w:rPr>
                <w:rFonts w:hint="eastAsia" w:ascii="宋体" w:hAnsi="宋体" w:cs="宋体"/>
                <w:color w:val="auto"/>
                <w:sz w:val="20"/>
                <w:szCs w:val="20"/>
                <w:highlight w:val="none"/>
              </w:rPr>
            </w:pPr>
          </w:p>
        </w:tc>
        <w:tc>
          <w:tcPr>
            <w:tcW w:w="1083" w:type="dxa"/>
            <w:vMerge w:val="continue"/>
            <w:noWrap w:val="0"/>
            <w:vAlign w:val="center"/>
          </w:tcPr>
          <w:p>
            <w:pPr>
              <w:rPr>
                <w:rFonts w:hint="eastAsia" w:ascii="宋体" w:hAnsi="宋体" w:cs="宋体"/>
                <w:color w:val="auto"/>
                <w:sz w:val="20"/>
                <w:szCs w:val="20"/>
                <w:highlight w:val="none"/>
              </w:rPr>
            </w:pPr>
          </w:p>
        </w:tc>
        <w:tc>
          <w:tcPr>
            <w:tcW w:w="1183" w:type="dxa"/>
            <w:noWrap w:val="0"/>
            <w:vAlign w:val="center"/>
          </w:tcPr>
          <w:p>
            <w:pPr>
              <w:autoSpaceDE w:val="0"/>
              <w:spacing w:line="300" w:lineRule="exact"/>
              <w:jc w:val="center"/>
              <w:rPr>
                <w:rFonts w:hint="eastAsia" w:ascii="宋体" w:hAnsi="宋体" w:cs="宋体"/>
                <w:color w:val="auto"/>
                <w:szCs w:val="21"/>
                <w:highlight w:val="none"/>
                <w:lang w:bidi="ar"/>
              </w:rPr>
            </w:pPr>
            <w:r>
              <w:rPr>
                <w:rFonts w:hint="eastAsia" w:ascii="宋体" w:hAnsi="宋体" w:cs="宋体"/>
                <w:color w:val="auto"/>
                <w:szCs w:val="21"/>
                <w:highlight w:val="none"/>
                <w:lang w:bidi="ar"/>
              </w:rPr>
              <w:t>履约信誉</w:t>
            </w:r>
          </w:p>
        </w:tc>
        <w:tc>
          <w:tcPr>
            <w:tcW w:w="734" w:type="dxa"/>
            <w:noWrap w:val="0"/>
            <w:vAlign w:val="center"/>
          </w:tcPr>
          <w:p>
            <w:pPr>
              <w:pStyle w:val="9"/>
              <w:autoSpaceDE w:val="0"/>
              <w:spacing w:before="0" w:beforeAutospacing="0" w:after="0" w:afterAutospacing="0" w:line="300" w:lineRule="exact"/>
              <w:ind w:left="105" w:leftChars="50"/>
              <w:jc w:val="center"/>
              <w:rPr>
                <w:rFonts w:hint="eastAsia" w:cs="宋体"/>
                <w:color w:val="auto"/>
                <w:sz w:val="21"/>
                <w:szCs w:val="21"/>
                <w:highlight w:val="none"/>
                <w:u w:val="single"/>
                <w:lang w:bidi="ar"/>
              </w:rPr>
            </w:pPr>
            <w:r>
              <w:rPr>
                <w:rFonts w:hint="eastAsia" w:cs="宋体"/>
                <w:color w:val="auto"/>
                <w:sz w:val="21"/>
                <w:szCs w:val="21"/>
                <w:highlight w:val="none"/>
                <w:u w:val="single"/>
                <w:lang w:val="en-US" w:eastAsia="zh-CN" w:bidi="ar"/>
              </w:rPr>
              <w:t>5</w:t>
            </w:r>
            <w:r>
              <w:rPr>
                <w:rFonts w:hint="eastAsia" w:cs="宋体"/>
                <w:color w:val="auto"/>
                <w:sz w:val="21"/>
                <w:szCs w:val="21"/>
                <w:highlight w:val="none"/>
                <w:lang w:bidi="ar"/>
              </w:rPr>
              <w:t>分</w:t>
            </w:r>
          </w:p>
        </w:tc>
        <w:tc>
          <w:tcPr>
            <w:tcW w:w="4052" w:type="dxa"/>
            <w:noWrap w:val="0"/>
            <w:vAlign w:val="center"/>
          </w:tcPr>
          <w:p>
            <w:pPr>
              <w:autoSpaceDE w:val="0"/>
              <w:spacing w:line="360" w:lineRule="exact"/>
              <w:ind w:left="105" w:leftChars="50" w:right="105" w:rightChars="50"/>
              <w:jc w:val="left"/>
              <w:rPr>
                <w:rFonts w:hint="eastAsia" w:ascii="宋体" w:hAnsi="宋体" w:cs="宋体"/>
                <w:color w:val="auto"/>
                <w:szCs w:val="21"/>
                <w:highlight w:val="none"/>
                <w:lang w:val="en-US" w:eastAsia="zh-CN" w:bidi="ar"/>
              </w:rPr>
            </w:pPr>
            <w:r>
              <w:rPr>
                <w:rFonts w:hint="eastAsia" w:ascii="宋体" w:hAnsi="宋体" w:cs="宋体"/>
                <w:color w:val="auto"/>
                <w:szCs w:val="21"/>
                <w:highlight w:val="none"/>
                <w:lang w:val="en-US" w:eastAsia="zh-CN" w:bidi="ar"/>
              </w:rPr>
              <w:t>满足资格审查要求得3分。</w:t>
            </w:r>
          </w:p>
          <w:p>
            <w:pPr>
              <w:autoSpaceDE w:val="0"/>
              <w:spacing w:line="360" w:lineRule="exact"/>
              <w:ind w:left="105" w:leftChars="50" w:right="105" w:rightChars="50"/>
              <w:jc w:val="left"/>
              <w:rPr>
                <w:rFonts w:hint="eastAsia" w:ascii="宋体" w:hAnsi="宋体" w:cs="宋体"/>
                <w:color w:val="auto"/>
                <w:szCs w:val="21"/>
                <w:highlight w:val="none"/>
                <w:lang w:val="en-US" w:eastAsia="zh-CN" w:bidi="ar"/>
              </w:rPr>
            </w:pPr>
            <w:r>
              <w:rPr>
                <w:rFonts w:hint="eastAsia" w:ascii="宋体" w:hAnsi="宋体" w:cs="宋体"/>
                <w:color w:val="auto"/>
                <w:szCs w:val="21"/>
                <w:highlight w:val="none"/>
                <w:lang w:val="en-US" w:eastAsia="zh-CN" w:bidi="ar"/>
              </w:rPr>
              <w:t>信用评价等级连续三年为“AA级”的投标人，加2分；信用评价等级连续二年为“AA级”的投标人，加1.5分；信用评价等级连续一年为“AA级”的投标人，加1分；信用评价等级连续三年为“A级”的投标人，加0.5分；信用评价等级为“B级”的投标人，不加分；信用评价等级为“C级”的投标人，扣1分；</w:t>
            </w:r>
          </w:p>
          <w:p>
            <w:pPr>
              <w:autoSpaceDE w:val="0"/>
              <w:spacing w:line="360" w:lineRule="exact"/>
              <w:ind w:left="105" w:leftChars="50" w:right="105" w:rightChars="50"/>
              <w:jc w:val="left"/>
              <w:rPr>
                <w:rFonts w:hint="eastAsia" w:ascii="宋体" w:hAnsi="宋体" w:cs="宋体"/>
                <w:color w:val="auto"/>
                <w:szCs w:val="21"/>
                <w:highlight w:val="none"/>
                <w:lang w:bidi="ar"/>
              </w:rPr>
            </w:pPr>
            <w:r>
              <w:rPr>
                <w:rFonts w:hint="eastAsia" w:ascii="宋体" w:hAnsi="宋体" w:cs="宋体"/>
                <w:color w:val="auto"/>
                <w:szCs w:val="21"/>
                <w:highlight w:val="none"/>
                <w:lang w:val="en-US" w:eastAsia="zh-CN" w:bidi="ar"/>
              </w:rPr>
              <w:t>信用评价以最新发布的“山西省交通运输厅信用评价结果”为准，若在山西未列入信用评价的，信用评价以最新发布的“交通运输部信用评价结果”为准，若交通运输部也没有信用评价的按B级对待。</w:t>
            </w:r>
          </w:p>
        </w:tc>
      </w:tr>
    </w:tbl>
    <w:p>
      <w:pPr>
        <w:spacing w:before="16" w:line="400" w:lineRule="exact"/>
        <w:ind w:right="1316"/>
        <w:jc w:val="left"/>
        <w:rPr>
          <w:rFonts w:hint="eastAsia" w:ascii="宋体" w:hAnsi="宋体" w:cs="宋体"/>
          <w:b/>
          <w:color w:val="auto"/>
          <w:kern w:val="44"/>
          <w:sz w:val="24"/>
          <w:highlight w:val="none"/>
          <w:lang w:bidi="ar"/>
        </w:rPr>
      </w:pPr>
    </w:p>
    <w:p>
      <w:pPr>
        <w:spacing w:before="16" w:line="400" w:lineRule="exact"/>
        <w:ind w:right="1316"/>
        <w:jc w:val="left"/>
        <w:rPr>
          <w:rFonts w:hint="eastAsia" w:ascii="宋体" w:hAnsi="宋体" w:cs="宋体"/>
          <w:b/>
          <w:color w:val="auto"/>
          <w:kern w:val="44"/>
          <w:sz w:val="24"/>
          <w:highlight w:val="none"/>
          <w:lang w:bidi="ar"/>
        </w:rPr>
      </w:pPr>
    </w:p>
    <w:tbl>
      <w:tblPr>
        <w:tblStyle w:val="10"/>
        <w:tblW w:w="9075" w:type="dxa"/>
        <w:tblInd w:w="-276" w:type="dxa"/>
        <w:tblBorders>
          <w:top w:val="single" w:color="auto" w:sz="12" w:space="0"/>
          <w:left w:val="single" w:color="auto" w:sz="12" w:space="0"/>
          <w:bottom w:val="single" w:color="auto" w:sz="12" w:space="0"/>
          <w:right w:val="single" w:color="auto" w:sz="12" w:space="0"/>
          <w:insideH w:val="single" w:color="auto" w:sz="2" w:space="0"/>
          <w:insideV w:val="single" w:color="auto" w:sz="12" w:space="0"/>
        </w:tblBorders>
        <w:tblLayout w:type="fixed"/>
        <w:tblCellMar>
          <w:top w:w="0" w:type="dxa"/>
          <w:left w:w="108" w:type="dxa"/>
          <w:bottom w:w="0" w:type="dxa"/>
          <w:right w:w="108" w:type="dxa"/>
        </w:tblCellMar>
      </w:tblPr>
      <w:tblGrid>
        <w:gridCol w:w="9075"/>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12" w:space="0"/>
          </w:tblBorders>
          <w:tblCellMar>
            <w:top w:w="0" w:type="dxa"/>
            <w:left w:w="108" w:type="dxa"/>
            <w:bottom w:w="0" w:type="dxa"/>
            <w:right w:w="108" w:type="dxa"/>
          </w:tblCellMar>
        </w:tblPrEx>
        <w:trPr>
          <w:tblHeader/>
        </w:trPr>
        <w:tc>
          <w:tcPr>
            <w:tcW w:w="9075" w:type="dxa"/>
            <w:tcBorders>
              <w:top w:val="single" w:color="auto" w:sz="12" w:space="0"/>
              <w:bottom w:val="single" w:color="auto" w:sz="2" w:space="0"/>
            </w:tcBorders>
            <w:noWrap w:val="0"/>
            <w:vAlign w:val="center"/>
          </w:tcPr>
          <w:p>
            <w:pPr>
              <w:spacing w:line="360" w:lineRule="exact"/>
              <w:rPr>
                <w:color w:val="auto"/>
                <w:szCs w:val="21"/>
                <w:highlight w:val="none"/>
              </w:rPr>
            </w:pPr>
            <w:r>
              <w:rPr>
                <w:color w:val="auto"/>
                <w:szCs w:val="21"/>
                <w:highlight w:val="none"/>
              </w:rPr>
              <w:t>需要补充的其他内容：</w:t>
            </w:r>
          </w:p>
          <w:p>
            <w:pPr>
              <w:spacing w:line="360" w:lineRule="exact"/>
              <w:rPr>
                <w:color w:val="auto"/>
                <w:szCs w:val="21"/>
                <w:highlight w:val="none"/>
              </w:rPr>
            </w:pPr>
            <w:r>
              <w:rPr>
                <w:color w:val="auto"/>
                <w:szCs w:val="21"/>
                <w:highlight w:val="none"/>
              </w:rPr>
              <w:t>本项目采用双信封综合评分法进行评标，评标办法正文第3条部分条款内容细化如下：</w:t>
            </w:r>
          </w:p>
          <w:p>
            <w:pPr>
              <w:spacing w:line="360" w:lineRule="exact"/>
              <w:rPr>
                <w:color w:val="auto"/>
                <w:szCs w:val="21"/>
                <w:highlight w:val="none"/>
              </w:rPr>
            </w:pPr>
            <w:r>
              <w:rPr>
                <w:color w:val="auto"/>
                <w:szCs w:val="21"/>
                <w:highlight w:val="none"/>
              </w:rPr>
              <w:t>第3.1.1项内容细化为：</w:t>
            </w:r>
          </w:p>
          <w:p>
            <w:pPr>
              <w:spacing w:line="360" w:lineRule="exact"/>
              <w:ind w:left="540" w:hanging="539" w:hangingChars="257"/>
              <w:rPr>
                <w:color w:val="auto"/>
                <w:szCs w:val="21"/>
                <w:highlight w:val="none"/>
              </w:rPr>
            </w:pPr>
            <w:r>
              <w:rPr>
                <w:color w:val="auto"/>
                <w:szCs w:val="21"/>
                <w:highlight w:val="none"/>
              </w:rPr>
              <w:t>3.1.1评标委员会可以要求投标人提交第二章“投标人须知”第3.5.1项至第3.5.5项规定的有关证明和证件的原件，以便核验。评标委员会依据本章第2.1款规定的标准对投标文件第一个信封（商务及技术文件）进行初步评审。有一项不符合评审标准的，评标委员会应否决其投标。</w:t>
            </w:r>
          </w:p>
          <w:p>
            <w:pPr>
              <w:spacing w:line="360" w:lineRule="exact"/>
              <w:ind w:left="420" w:leftChars="200"/>
              <w:rPr>
                <w:color w:val="auto"/>
                <w:szCs w:val="21"/>
                <w:highlight w:val="none"/>
              </w:rPr>
            </w:pPr>
            <w:r>
              <w:rPr>
                <w:color w:val="auto"/>
                <w:szCs w:val="21"/>
                <w:highlight w:val="none"/>
              </w:rPr>
              <w:t>通过第一个信封初步评审的投标人不足3个时，不再进行后续评审，招标人将重新组织招标。</w:t>
            </w:r>
          </w:p>
          <w:p>
            <w:pPr>
              <w:spacing w:line="360" w:lineRule="exact"/>
              <w:rPr>
                <w:color w:val="auto"/>
                <w:szCs w:val="21"/>
                <w:highlight w:val="none"/>
              </w:rPr>
            </w:pPr>
            <w:r>
              <w:rPr>
                <w:color w:val="auto"/>
                <w:szCs w:val="21"/>
                <w:highlight w:val="none"/>
              </w:rPr>
              <w:t>第3.2款内容细化如下：</w:t>
            </w:r>
          </w:p>
          <w:p>
            <w:pPr>
              <w:spacing w:line="360" w:lineRule="exact"/>
              <w:rPr>
                <w:color w:val="auto"/>
                <w:szCs w:val="21"/>
                <w:highlight w:val="none"/>
              </w:rPr>
            </w:pPr>
            <w:r>
              <w:rPr>
                <w:color w:val="auto"/>
                <w:szCs w:val="21"/>
                <w:highlight w:val="none"/>
              </w:rPr>
              <w:t>3.2 第一个信封详细评审</w:t>
            </w:r>
          </w:p>
          <w:p>
            <w:pPr>
              <w:spacing w:line="360" w:lineRule="exact"/>
              <w:ind w:left="540" w:hanging="539" w:hangingChars="257"/>
              <w:rPr>
                <w:color w:val="auto"/>
                <w:szCs w:val="21"/>
                <w:highlight w:val="none"/>
              </w:rPr>
            </w:pPr>
            <w:r>
              <w:rPr>
                <w:color w:val="auto"/>
                <w:szCs w:val="21"/>
                <w:highlight w:val="none"/>
              </w:rPr>
              <w:t>3.2.1 评标委员会按本章第2.2款规定的量化因素和分值进行打分，并计算出各投标人的商务和技术得分。</w:t>
            </w:r>
          </w:p>
          <w:p>
            <w:pPr>
              <w:spacing w:line="360" w:lineRule="exact"/>
              <w:ind w:firstLine="420" w:firstLineChars="200"/>
              <w:rPr>
                <w:color w:val="auto"/>
                <w:szCs w:val="21"/>
                <w:highlight w:val="none"/>
              </w:rPr>
            </w:pPr>
            <w:r>
              <w:rPr>
                <w:color w:val="auto"/>
                <w:szCs w:val="21"/>
                <w:highlight w:val="none"/>
              </w:rPr>
              <w:t>（1）按本章第2.2.4项（1）目规定的评审因素和分值对技术建议书部分计算出得分A；</w:t>
            </w:r>
          </w:p>
          <w:p>
            <w:pPr>
              <w:spacing w:line="360" w:lineRule="exact"/>
              <w:ind w:firstLine="420" w:firstLineChars="200"/>
              <w:rPr>
                <w:color w:val="auto"/>
                <w:szCs w:val="21"/>
                <w:highlight w:val="none"/>
              </w:rPr>
            </w:pPr>
            <w:r>
              <w:rPr>
                <w:color w:val="auto"/>
                <w:szCs w:val="21"/>
                <w:highlight w:val="none"/>
              </w:rPr>
              <w:t>（2）按本章第2.2.4项（2）目规定的评审因素和分值对主要人员部分计算出得分B；</w:t>
            </w:r>
          </w:p>
          <w:p>
            <w:pPr>
              <w:spacing w:line="360" w:lineRule="exact"/>
              <w:ind w:firstLine="420" w:firstLineChars="200"/>
              <w:rPr>
                <w:color w:val="auto"/>
                <w:szCs w:val="21"/>
                <w:highlight w:val="none"/>
              </w:rPr>
            </w:pPr>
            <w:r>
              <w:rPr>
                <w:color w:val="auto"/>
                <w:szCs w:val="21"/>
                <w:highlight w:val="none"/>
              </w:rPr>
              <w:t>（3）按本章第2.2.4项（4）目规定的评审因素和分值对其他部分计算出得分D。</w:t>
            </w:r>
          </w:p>
          <w:p>
            <w:pPr>
              <w:spacing w:line="360" w:lineRule="exact"/>
              <w:rPr>
                <w:color w:val="auto"/>
                <w:szCs w:val="21"/>
                <w:highlight w:val="none"/>
              </w:rPr>
            </w:pPr>
            <w:r>
              <w:rPr>
                <w:color w:val="auto"/>
                <w:szCs w:val="21"/>
                <w:highlight w:val="none"/>
              </w:rPr>
              <w:t>3.2.2 投标人的商务和技术得分分值计算保留小数点后两位，小数点后第三位“四舍五入”。</w:t>
            </w:r>
          </w:p>
          <w:p>
            <w:pPr>
              <w:spacing w:line="360" w:lineRule="exact"/>
              <w:rPr>
                <w:color w:val="auto"/>
                <w:szCs w:val="21"/>
                <w:highlight w:val="none"/>
              </w:rPr>
            </w:pPr>
            <w:r>
              <w:rPr>
                <w:color w:val="auto"/>
                <w:szCs w:val="21"/>
                <w:highlight w:val="none"/>
              </w:rPr>
              <w:t>3.2.3 投标人的商务和技术得分=A+B+D。</w:t>
            </w:r>
          </w:p>
          <w:p>
            <w:pPr>
              <w:spacing w:line="360" w:lineRule="exact"/>
              <w:ind w:firstLine="420" w:firstLineChars="200"/>
              <w:rPr>
                <w:rFonts w:hint="eastAsia" w:eastAsia="宋体"/>
                <w:color w:val="auto"/>
                <w:szCs w:val="21"/>
                <w:highlight w:val="none"/>
                <w:lang w:eastAsia="zh-CN"/>
              </w:rPr>
            </w:pPr>
            <w:r>
              <w:rPr>
                <w:color w:val="auto"/>
                <w:szCs w:val="21"/>
                <w:highlight w:val="none"/>
              </w:rPr>
              <w:t>评标委员会对通过初步评审商务文件和技术建议书进行评分。每个投标人商务文件和技术建议书各分项的得分为评标委员会全体成员的对应分项打分去掉一个最高分和一个最低分后的算术平均值（当评标委员会成员人数为5人时不去掉最高和最低分），得分四舍五入，保留两位小数</w:t>
            </w:r>
            <w:r>
              <w:rPr>
                <w:rFonts w:hint="eastAsia"/>
                <w:color w:val="auto"/>
                <w:szCs w:val="21"/>
                <w:highlight w:val="none"/>
                <w:lang w:eastAsia="zh-CN"/>
              </w:rPr>
              <w:t>。</w:t>
            </w:r>
          </w:p>
          <w:p>
            <w:pPr>
              <w:spacing w:line="360" w:lineRule="exact"/>
              <w:ind w:left="822" w:leftChars="135" w:right="143" w:rightChars="68" w:hanging="539" w:hangingChars="257"/>
              <w:rPr>
                <w:color w:val="auto"/>
                <w:szCs w:val="21"/>
                <w:highlight w:val="none"/>
              </w:rPr>
            </w:pPr>
            <w:r>
              <w:rPr>
                <w:rFonts w:hint="eastAsia"/>
                <w:color w:val="auto"/>
                <w:szCs w:val="21"/>
                <w:highlight w:val="none"/>
              </w:rPr>
              <w:t>3</w:t>
            </w:r>
            <w:r>
              <w:rPr>
                <w:color w:val="auto"/>
                <w:szCs w:val="21"/>
                <w:highlight w:val="none"/>
              </w:rPr>
              <w:t>.6投标文件相关信息的核查</w:t>
            </w:r>
          </w:p>
          <w:p>
            <w:pPr>
              <w:spacing w:line="360" w:lineRule="exact"/>
              <w:ind w:left="822" w:leftChars="135" w:right="143" w:rightChars="68" w:hanging="539" w:hangingChars="257"/>
              <w:rPr>
                <w:rFonts w:hint="eastAsia"/>
                <w:color w:val="auto"/>
                <w:szCs w:val="21"/>
                <w:highlight w:val="none"/>
              </w:rPr>
            </w:pPr>
            <w:r>
              <w:rPr>
                <w:rFonts w:hint="eastAsia"/>
                <w:color w:val="auto"/>
                <w:szCs w:val="21"/>
                <w:highlight w:val="none"/>
              </w:rPr>
              <w:t>补充</w:t>
            </w:r>
            <w:r>
              <w:rPr>
                <w:color w:val="auto"/>
                <w:szCs w:val="21"/>
                <w:highlight w:val="none"/>
              </w:rPr>
              <w:t>3.6.3</w:t>
            </w:r>
            <w:r>
              <w:rPr>
                <w:rFonts w:hint="eastAsia"/>
                <w:color w:val="auto"/>
                <w:szCs w:val="21"/>
                <w:highlight w:val="none"/>
              </w:rPr>
              <w:t>投标人存在晋交建管发【2021】2号文规定的，否决其投标：</w:t>
            </w:r>
          </w:p>
          <w:p>
            <w:pPr>
              <w:spacing w:line="360" w:lineRule="exact"/>
              <w:ind w:left="822" w:leftChars="135" w:right="143" w:rightChars="68" w:hanging="539" w:hangingChars="257"/>
              <w:rPr>
                <w:rFonts w:hint="eastAsia"/>
                <w:color w:val="auto"/>
                <w:szCs w:val="21"/>
                <w:highlight w:val="none"/>
              </w:rPr>
            </w:pPr>
            <w:r>
              <w:rPr>
                <w:rFonts w:hint="eastAsia"/>
                <w:color w:val="auto"/>
                <w:szCs w:val="21"/>
                <w:highlight w:val="none"/>
              </w:rPr>
              <w:t>（1）不同投标人间不得有下列情形：</w:t>
            </w:r>
          </w:p>
          <w:p>
            <w:pPr>
              <w:spacing w:line="360" w:lineRule="exact"/>
              <w:ind w:left="822" w:leftChars="135" w:right="143" w:rightChars="68" w:hanging="539" w:hangingChars="257"/>
              <w:rPr>
                <w:rFonts w:hint="eastAsia"/>
                <w:color w:val="auto"/>
                <w:szCs w:val="21"/>
                <w:highlight w:val="none"/>
              </w:rPr>
            </w:pPr>
            <w:r>
              <w:rPr>
                <w:rFonts w:hint="eastAsia"/>
                <w:color w:val="auto"/>
                <w:szCs w:val="21"/>
                <w:highlight w:val="none"/>
              </w:rPr>
              <w:t>a.不同投标人的投标文件由同一电子设备编制、打印加密或者上传；</w:t>
            </w:r>
          </w:p>
          <w:p>
            <w:pPr>
              <w:spacing w:line="360" w:lineRule="exact"/>
              <w:ind w:left="822" w:leftChars="135" w:right="143" w:rightChars="68" w:hanging="539" w:hangingChars="257"/>
              <w:rPr>
                <w:rFonts w:hint="eastAsia"/>
                <w:color w:val="auto"/>
                <w:szCs w:val="21"/>
                <w:highlight w:val="none"/>
              </w:rPr>
            </w:pPr>
            <w:r>
              <w:rPr>
                <w:rFonts w:hint="eastAsia"/>
                <w:color w:val="auto"/>
                <w:szCs w:val="21"/>
                <w:highlight w:val="none"/>
              </w:rPr>
              <w:t>b.不同投标人的投标文件的实质性内容存在两处以上细节错误一致；</w:t>
            </w:r>
          </w:p>
          <w:p>
            <w:pPr>
              <w:spacing w:line="360" w:lineRule="exac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c.电子投标文件记录的MAC地址、硬盘序列号等硬件信息出现任一相同情况，包含不同投标人在不同批次投标活动中信息相同情况；</w:t>
            </w:r>
          </w:p>
          <w:p>
            <w:pPr>
              <w:spacing w:line="360" w:lineRule="exact"/>
              <w:ind w:left="822" w:leftChars="135" w:right="143" w:rightChars="68" w:hanging="539" w:hangingChars="257"/>
              <w:rPr>
                <w:rFonts w:hint="eastAsia"/>
                <w:color w:val="auto"/>
                <w:szCs w:val="21"/>
                <w:highlight w:val="none"/>
              </w:rPr>
            </w:pPr>
            <w:r>
              <w:rPr>
                <w:rFonts w:hint="eastAsia"/>
                <w:color w:val="auto"/>
                <w:szCs w:val="21"/>
                <w:highlight w:val="none"/>
              </w:rPr>
              <w:t>d.投标文件的制作、记录上传IP地址，投标人购买招标文件IP地址等信息出现任一相同情况。</w:t>
            </w:r>
          </w:p>
          <w:p>
            <w:pPr>
              <w:spacing w:line="360" w:lineRule="exact"/>
              <w:ind w:firstLine="420" w:firstLineChars="2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（2）发现（1）所列情形的，评标委员会应当否决相应投标文件并详细记录至评标报告。因此导致</w:t>
            </w:r>
            <w:r>
              <w:rPr>
                <w:rFonts w:hint="eastAsia" w:ascii="Times New Roman" w:hAnsi="Times New Roman" w:eastAsia="宋体" w:cs="Times New Roman"/>
                <w:color w:val="auto"/>
                <w:szCs w:val="21"/>
                <w:highlight w:val="none"/>
                <w:lang w:val="en-US" w:eastAsia="zh-CN"/>
              </w:rPr>
              <w:t>第二信封</w:t>
            </w:r>
            <w:r>
              <w:rPr>
                <w:rFonts w:hint="eastAsia" w:ascii="Times New Roman" w:hAnsi="Times New Roman" w:eastAsia="宋体" w:cs="Times New Roman"/>
                <w:color w:val="auto"/>
                <w:szCs w:val="21"/>
                <w:highlight w:val="none"/>
              </w:rPr>
              <w:t>有效投标不足3个使得投标明显缺乏竞争的，可以否决全部投标；未否决全部投标的，评标委员会应当在评标报告中阐明理由并推荐中标候选人。</w:t>
            </w:r>
          </w:p>
          <w:p>
            <w:pPr>
              <w:spacing w:line="360" w:lineRule="exact"/>
              <w:ind w:firstLine="210" w:firstLineChars="100"/>
              <w:rPr>
                <w:color w:val="auto"/>
                <w:szCs w:val="21"/>
                <w:highlight w:val="none"/>
              </w:rPr>
            </w:pPr>
            <w:r>
              <w:rPr>
                <w:rFonts w:hint="eastAsia"/>
                <w:color w:val="auto"/>
                <w:szCs w:val="21"/>
                <w:highlight w:val="none"/>
              </w:rPr>
              <w:t>（3）发现（1）所列情形的，招标人在评标结束后，应就相关投标人是否涉嫌围标串标行为进行调查取证，形成明确认定意见，逐级备案制交通运输主管部门。</w:t>
            </w:r>
          </w:p>
          <w:p>
            <w:pPr>
              <w:spacing w:line="360" w:lineRule="exact"/>
              <w:rPr>
                <w:color w:val="auto"/>
                <w:szCs w:val="21"/>
                <w:highlight w:val="none"/>
              </w:rPr>
            </w:pPr>
            <w:r>
              <w:rPr>
                <w:color w:val="auto"/>
                <w:szCs w:val="21"/>
                <w:highlight w:val="none"/>
              </w:rPr>
              <w:t>第3.8款内容细化如下：</w:t>
            </w:r>
          </w:p>
          <w:p>
            <w:pPr>
              <w:spacing w:line="360" w:lineRule="exact"/>
              <w:rPr>
                <w:color w:val="auto"/>
                <w:szCs w:val="21"/>
                <w:highlight w:val="none"/>
              </w:rPr>
            </w:pPr>
            <w:r>
              <w:rPr>
                <w:color w:val="auto"/>
                <w:szCs w:val="21"/>
                <w:highlight w:val="none"/>
              </w:rPr>
              <w:t>3.8   评标结果</w:t>
            </w:r>
          </w:p>
          <w:p>
            <w:pPr>
              <w:spacing w:line="360" w:lineRule="exact"/>
              <w:ind w:firstLine="210" w:firstLineChars="100"/>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3.8.1 评标委员会根据投标人得分由高到低的顺序，推荐1名中标候选人，</w:t>
            </w:r>
            <w:r>
              <w:rPr>
                <w:rFonts w:hint="eastAsia" w:ascii="Times New Roman" w:hAnsi="Times New Roman" w:eastAsia="宋体" w:cs="Times New Roman"/>
                <w:color w:val="auto"/>
                <w:szCs w:val="21"/>
                <w:highlight w:val="none"/>
                <w:lang w:val="en-US" w:eastAsia="zh-CN"/>
              </w:rPr>
              <w:t>本项目的施工和监理同时进行招标，如存在关联关系的施工和施工监理投标人同时被列为第一中标候选人的情况时，将按照优先施工中标候选人进行推荐中标候选人，同时取消对应施工监理的中标候选人资格。</w:t>
            </w:r>
          </w:p>
          <w:p>
            <w:pPr>
              <w:spacing w:line="360" w:lineRule="exact"/>
              <w:rPr>
                <w:rFonts w:eastAsia="黑体"/>
                <w:color w:val="auto"/>
                <w:szCs w:val="21"/>
                <w:highlight w:val="none"/>
              </w:rPr>
            </w:pPr>
            <w:r>
              <w:rPr>
                <w:color w:val="auto"/>
                <w:szCs w:val="21"/>
                <w:highlight w:val="none"/>
              </w:rPr>
              <w:t>3.8.2 评标委员会完成评标后，应当向招标人提交书面评标报告并推荐中标候选人。</w:t>
            </w:r>
          </w:p>
        </w:tc>
      </w:tr>
    </w:tbl>
    <w:p>
      <w:pPr>
        <w:spacing w:before="16" w:line="400" w:lineRule="exact"/>
        <w:ind w:right="1316"/>
        <w:jc w:val="left"/>
        <w:rPr>
          <w:rFonts w:hint="eastAsia" w:ascii="宋体" w:hAnsi="宋体" w:cs="宋体"/>
          <w:b/>
          <w:color w:val="auto"/>
          <w:sz w:val="24"/>
          <w:highlight w:val="none"/>
        </w:rPr>
      </w:pPr>
      <w:r>
        <w:rPr>
          <w:rFonts w:hint="eastAsia" w:ascii="宋体" w:hAnsi="宋体" w:cs="宋体"/>
          <w:b/>
          <w:color w:val="auto"/>
          <w:kern w:val="44"/>
          <w:sz w:val="24"/>
          <w:highlight w:val="none"/>
          <w:lang w:bidi="ar"/>
        </w:rPr>
        <w:br w:type="page"/>
      </w:r>
      <w:r>
        <w:rPr>
          <w:rFonts w:hint="eastAsia" w:ascii="宋体" w:hAnsi="宋体" w:cs="宋体"/>
          <w:b/>
          <w:color w:val="auto"/>
          <w:spacing w:val="5"/>
          <w:kern w:val="0"/>
          <w:sz w:val="24"/>
          <w:highlight w:val="none"/>
          <w:lang w:bidi="ar"/>
        </w:rPr>
        <w:t xml:space="preserve">1. </w:t>
      </w:r>
      <w:r>
        <w:rPr>
          <w:rFonts w:hint="eastAsia" w:ascii="宋体" w:hAnsi="宋体" w:cs="宋体"/>
          <w:b/>
          <w:color w:val="auto"/>
          <w:spacing w:val="-4"/>
          <w:kern w:val="0"/>
          <w:sz w:val="24"/>
          <w:highlight w:val="none"/>
          <w:lang w:bidi="ar"/>
        </w:rPr>
        <w:t>评标方法</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次评标采用综合评分法。评标委员会对满足招标文件实质性要求的投标文件，按照本章第2.2款规定的评分标准进行打分，并按得分由高到低顺序推荐中标候选人，或根据招标人授权直接确定中标人，但投标报价低于其成本的除外。综合评分相等时，评标委员会应按照评标办法前附表规定的优先次序推荐中标候选人或确定中标人。</w:t>
      </w:r>
    </w:p>
    <w:p>
      <w:pPr>
        <w:numPr>
          <w:ilvl w:val="0"/>
          <w:numId w:val="2"/>
        </w:numPr>
        <w:spacing w:line="400" w:lineRule="exact"/>
        <w:ind w:right="1316"/>
        <w:jc w:val="left"/>
        <w:rPr>
          <w:rFonts w:hint="eastAsia" w:ascii="宋体" w:hAnsi="宋体" w:cs="宋体"/>
          <w:b/>
          <w:color w:val="auto"/>
          <w:sz w:val="24"/>
          <w:highlight w:val="none"/>
        </w:rPr>
      </w:pPr>
      <w:r>
        <w:rPr>
          <w:rFonts w:hint="eastAsia" w:ascii="宋体" w:hAnsi="宋体" w:cs="宋体"/>
          <w:b/>
          <w:color w:val="auto"/>
          <w:spacing w:val="-9"/>
          <w:kern w:val="0"/>
          <w:sz w:val="24"/>
          <w:highlight w:val="none"/>
          <w:lang w:bidi="ar"/>
        </w:rPr>
        <w:t>评审标准</w:t>
      </w:r>
    </w:p>
    <w:p>
      <w:pPr>
        <w:pStyle w:val="9"/>
        <w:widowControl w:val="0"/>
        <w:spacing w:before="0" w:beforeAutospacing="0" w:after="0" w:afterAutospacing="0" w:line="400" w:lineRule="exact"/>
        <w:ind w:left="153" w:right="1315"/>
        <w:rPr>
          <w:rFonts w:hint="eastAsia" w:cs="宋体"/>
          <w:b/>
          <w:color w:val="auto"/>
          <w:highlight w:val="none"/>
        </w:rPr>
      </w:pPr>
      <w:r>
        <w:rPr>
          <w:rFonts w:hint="eastAsia" w:cs="宋体"/>
          <w:b/>
          <w:color w:val="auto"/>
          <w:highlight w:val="none"/>
          <w:lang w:bidi="ar"/>
        </w:rPr>
        <w:t>2.1 初步评审标准</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2.1.1 形式评审标准：见评标办法前附表</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2.1.2 资格评审标 ：见评标办法前附表（适用于未进行资格预审的）。</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2.1.2 资格评审标准：见资格预审文件第三章“资格审查办法 ”详细审查标准（适用于己进行资格预审的）。</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2.1.3 响应性评审标准：见评标办法前附表</w:t>
      </w:r>
    </w:p>
    <w:p>
      <w:pPr>
        <w:spacing w:line="400" w:lineRule="exact"/>
        <w:ind w:left="151" w:right="1316"/>
        <w:jc w:val="left"/>
        <w:rPr>
          <w:rFonts w:hint="eastAsia" w:ascii="宋体" w:hAnsi="宋体" w:cs="宋体"/>
          <w:b/>
          <w:color w:val="auto"/>
          <w:sz w:val="24"/>
          <w:highlight w:val="none"/>
        </w:rPr>
      </w:pPr>
      <w:r>
        <w:rPr>
          <w:rFonts w:hint="eastAsia" w:ascii="宋体" w:hAnsi="宋体" w:cs="宋体"/>
          <w:b/>
          <w:color w:val="auto"/>
          <w:spacing w:val="6"/>
          <w:kern w:val="0"/>
          <w:sz w:val="24"/>
          <w:highlight w:val="none"/>
          <w:lang w:bidi="ar"/>
        </w:rPr>
        <w:t>2.</w:t>
      </w:r>
      <w:r>
        <w:rPr>
          <w:rFonts w:hint="eastAsia" w:ascii="宋体" w:hAnsi="宋体" w:cs="宋体"/>
          <w:b/>
          <w:color w:val="auto"/>
          <w:kern w:val="0"/>
          <w:sz w:val="24"/>
          <w:highlight w:val="none"/>
          <w:lang w:bidi="ar"/>
        </w:rPr>
        <w:t>2</w:t>
      </w:r>
      <w:r>
        <w:rPr>
          <w:rFonts w:hint="eastAsia" w:ascii="宋体" w:hAnsi="宋体" w:cs="宋体"/>
          <w:b/>
          <w:color w:val="auto"/>
          <w:spacing w:val="15"/>
          <w:kern w:val="0"/>
          <w:sz w:val="24"/>
          <w:highlight w:val="none"/>
          <w:lang w:bidi="ar"/>
        </w:rPr>
        <w:t xml:space="preserve"> </w:t>
      </w:r>
      <w:r>
        <w:rPr>
          <w:rFonts w:hint="eastAsia" w:ascii="宋体" w:hAnsi="宋体" w:cs="宋体"/>
          <w:b/>
          <w:color w:val="auto"/>
          <w:kern w:val="0"/>
          <w:sz w:val="24"/>
          <w:highlight w:val="none"/>
          <w:lang w:bidi="ar"/>
        </w:rPr>
        <w:t>分值构成与评分标准</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2.2.1 分值构成</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（1）技术建议书：见评标办法前附表；</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（2）主要人员：见评标办法前附表；</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（3）评标价：见评标办法前附表；</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（4）其他评分因素：见评标办法前附表。</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2.2.2 评标基准价计算</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2.2.3 评标价的偏差率计算</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评标价的偏差率算公式：见评标办法前附表。</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2.2.4 评分标准</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（1）技术建议书评分标准：见评标办法前附表；</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（2）主要人员评分标准：见评标办法前附表；</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（3）评标价评分标准：见评标办法前附表；</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（4）其他因素评分标准：见评标办法前附表。</w:t>
      </w:r>
    </w:p>
    <w:p>
      <w:pPr>
        <w:spacing w:before="16" w:line="400" w:lineRule="exact"/>
        <w:rPr>
          <w:rFonts w:hint="eastAsia" w:ascii="宋体" w:hAnsi="宋体" w:cs="宋体"/>
          <w:b/>
          <w:color w:val="auto"/>
          <w:sz w:val="24"/>
          <w:highlight w:val="none"/>
        </w:rPr>
      </w:pPr>
      <w:r>
        <w:rPr>
          <w:rFonts w:hint="eastAsia" w:ascii="宋体" w:hAnsi="宋体" w:cs="宋体"/>
          <w:b/>
          <w:color w:val="auto"/>
          <w:kern w:val="0"/>
          <w:sz w:val="24"/>
          <w:highlight w:val="none"/>
          <w:lang w:bidi="ar"/>
        </w:rPr>
        <w:t xml:space="preserve">3. </w:t>
      </w:r>
      <w:r>
        <w:rPr>
          <w:rFonts w:hint="eastAsia" w:ascii="宋体" w:hAnsi="宋体" w:cs="宋体"/>
          <w:b/>
          <w:color w:val="auto"/>
          <w:spacing w:val="-4"/>
          <w:kern w:val="0"/>
          <w:sz w:val="24"/>
          <w:highlight w:val="none"/>
          <w:lang w:bidi="ar"/>
        </w:rPr>
        <w:t>评标程序</w:t>
      </w:r>
    </w:p>
    <w:p>
      <w:pPr>
        <w:spacing w:line="400" w:lineRule="exact"/>
        <w:ind w:left="153"/>
        <w:rPr>
          <w:rFonts w:hint="eastAsia" w:ascii="宋体" w:hAnsi="宋体" w:cs="宋体"/>
          <w:b/>
          <w:color w:val="auto"/>
          <w:sz w:val="24"/>
          <w:highlight w:val="none"/>
        </w:rPr>
      </w:pPr>
      <w:r>
        <w:rPr>
          <w:rFonts w:hint="eastAsia" w:ascii="宋体" w:hAnsi="宋体" w:cs="宋体"/>
          <w:b/>
          <w:color w:val="auto"/>
          <w:spacing w:val="6"/>
          <w:kern w:val="0"/>
          <w:sz w:val="24"/>
          <w:highlight w:val="none"/>
          <w:lang w:bidi="ar"/>
        </w:rPr>
        <w:t>3.</w:t>
      </w:r>
      <w:r>
        <w:rPr>
          <w:rFonts w:hint="eastAsia" w:ascii="宋体" w:hAnsi="宋体" w:cs="宋体"/>
          <w:b/>
          <w:color w:val="auto"/>
          <w:kern w:val="0"/>
          <w:sz w:val="24"/>
          <w:highlight w:val="none"/>
          <w:lang w:bidi="ar"/>
        </w:rPr>
        <w:t>1 第一个信封初步评审</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3.1.1 评标委员会可以要求投标人提交第二章“投标人须知”第3.5.1项至第3.5.5项规定的有关证明和证件的原件，以便核验。评标委员会依据本章第2.1款规定的标准对投标文件第一个信封（商务及技术文件）进行初步评审。有一项不符合评审标准的，评标委员会应否决其投标。（适用于未进行资格预审的）</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3.1.1 评标委员会依据本章第2.1.1项、第2.1.3项规定的评审标准对投标文件第一个信封（商务及技术文件）进行初步评审。有一项不符合评审标准的，评标委员会应否决其投标。当投标人资格预审申请文件的内容发生重大变化时，评标委员会依据本章第2.1.2项规定的标准对其更新资料进行评审。（适用于已进行资格预审的）</w:t>
      </w:r>
    </w:p>
    <w:p>
      <w:pPr>
        <w:spacing w:line="400" w:lineRule="exact"/>
        <w:ind w:left="153"/>
        <w:rPr>
          <w:rFonts w:hint="eastAsia" w:ascii="宋体" w:hAnsi="宋体" w:cs="宋体"/>
          <w:b/>
          <w:color w:val="auto"/>
          <w:spacing w:val="6"/>
          <w:kern w:val="0"/>
          <w:sz w:val="24"/>
          <w:highlight w:val="none"/>
          <w:lang w:bidi="ar"/>
        </w:rPr>
      </w:pPr>
      <w:r>
        <w:rPr>
          <w:rFonts w:hint="eastAsia" w:ascii="宋体" w:hAnsi="宋体" w:cs="宋体"/>
          <w:b/>
          <w:color w:val="auto"/>
          <w:spacing w:val="6"/>
          <w:kern w:val="0"/>
          <w:sz w:val="24"/>
          <w:highlight w:val="none"/>
          <w:lang w:bidi="ar"/>
        </w:rPr>
        <w:t>3.2 第一个信封详细评审</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3.2.1 评标委员会按本章第2.2款规定的量化因素和分值进行打分，并计算出各投标人的商务和技术得分。</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（l）按本章第2.2.4项（l）目规定的评审因素和分值对技术建议书部分计算出得分A;</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(2）按本章第2.2.4项（2）目规定的评审因素和分值对主要人员部分计算出得分B;</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(3）按本章第2.2.4项（4）目规定的评审因素和分值对其他部分计算出得分D。</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3.2.2 投标人的商务和技术得分分值计算保留小数点后两位，小数点后第三位“四舍五入”。</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3.2.3 投标人的商务和技术得分A+B+D。</w:t>
      </w:r>
    </w:p>
    <w:p>
      <w:pPr>
        <w:spacing w:line="400" w:lineRule="exact"/>
        <w:ind w:left="153"/>
        <w:rPr>
          <w:rFonts w:hint="eastAsia" w:ascii="宋体" w:hAnsi="宋体" w:cs="宋体"/>
          <w:b/>
          <w:color w:val="auto"/>
          <w:spacing w:val="6"/>
          <w:kern w:val="0"/>
          <w:sz w:val="24"/>
          <w:highlight w:val="none"/>
          <w:lang w:bidi="ar"/>
        </w:rPr>
      </w:pPr>
      <w:r>
        <w:rPr>
          <w:rFonts w:hint="eastAsia" w:ascii="宋体" w:hAnsi="宋体" w:cs="宋体"/>
          <w:b/>
          <w:color w:val="auto"/>
          <w:spacing w:val="6"/>
          <w:kern w:val="0"/>
          <w:sz w:val="24"/>
          <w:highlight w:val="none"/>
          <w:lang w:bidi="ar"/>
        </w:rPr>
        <w:t>3.3 第二个信封开标</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第一个信封（商务及技术文件）评审结束后，招标人将按照第二章“投标人须知”第5.1款规定的时间和地点对通过投标文件第一个信封（商务及技术文件）评审的投标文件第二个信封（报价文件）进行开标。</w:t>
      </w:r>
    </w:p>
    <w:p>
      <w:pPr>
        <w:spacing w:line="400" w:lineRule="exact"/>
        <w:ind w:left="153"/>
        <w:rPr>
          <w:rFonts w:hint="eastAsia" w:ascii="宋体" w:hAnsi="宋体" w:cs="宋体"/>
          <w:b/>
          <w:color w:val="auto"/>
          <w:spacing w:val="6"/>
          <w:kern w:val="0"/>
          <w:sz w:val="24"/>
          <w:highlight w:val="none"/>
          <w:lang w:bidi="ar"/>
        </w:rPr>
      </w:pPr>
      <w:r>
        <w:rPr>
          <w:rFonts w:hint="eastAsia" w:ascii="宋体" w:hAnsi="宋体" w:cs="宋体"/>
          <w:b/>
          <w:color w:val="auto"/>
          <w:spacing w:val="6"/>
          <w:kern w:val="0"/>
          <w:sz w:val="24"/>
          <w:highlight w:val="none"/>
          <w:lang w:bidi="ar"/>
        </w:rPr>
        <w:t>3.4 第二个信封初步评审</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3.4.1 评标委员会依据本章第2.1.1项、第2.1.3项规定的评审标准对投标文件第二个信封（报价文件）进行初步评审。有一项不符合评审标准，评标委员会应否决其投标。</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3.4.2 投标报价有算术错误的，评标委员会按以下原则对投标报价进行修正，修</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正的价格经投标人书面确认后具有约束力。投标人不接受修正价格的，评标委员会应否决其投标。</w:t>
      </w:r>
    </w:p>
    <w:p>
      <w:pPr>
        <w:adjustRightInd w:val="0"/>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（l）投标文件中的大写金额与小写金额不一致的，以大写金额为准；</w:t>
      </w:r>
    </w:p>
    <w:p>
      <w:pPr>
        <w:adjustRightInd w:val="0"/>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(2）总价金额与依据单价计算出的结果不一致的，以单价金额为准修正总价，但单价金额小数点有明显错误的除外；</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(3）当单价与数量相乘不等于合价时，以单价计算为准，如果单价有明显的小数点位置差错，应以标出的合价为准，同时对单价予以修正；</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(4）当各子目的合价累计不等于总价时，应以各子目合价累计数为准，修正总价。</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3.4.3 修正后的最终投标报价若超过最高投标限价（如有），评标委员会应否决其投标。</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3.4.4 修正后的最终投标报价仅作为签订合同的一个依据，不参与评标价得分的计算。</w:t>
      </w:r>
    </w:p>
    <w:p>
      <w:pPr>
        <w:spacing w:line="400" w:lineRule="exact"/>
        <w:ind w:left="153"/>
        <w:rPr>
          <w:rFonts w:hint="eastAsia" w:ascii="宋体" w:hAnsi="宋体" w:cs="宋体"/>
          <w:b/>
          <w:color w:val="auto"/>
          <w:spacing w:val="6"/>
          <w:kern w:val="0"/>
          <w:sz w:val="24"/>
          <w:highlight w:val="none"/>
          <w:lang w:bidi="ar"/>
        </w:rPr>
      </w:pPr>
      <w:r>
        <w:rPr>
          <w:rFonts w:hint="eastAsia" w:ascii="宋体" w:hAnsi="宋体" w:cs="宋体"/>
          <w:b/>
          <w:color w:val="auto"/>
          <w:spacing w:val="6"/>
          <w:kern w:val="0"/>
          <w:sz w:val="24"/>
          <w:highlight w:val="none"/>
          <w:lang w:bidi="ar"/>
        </w:rPr>
        <w:t>3.5 第二个信封详细评审</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3.5.1 评标委员会按本章第2.2.4项（3）目规定的评审因素和分值对评标价计算出得分C.。评标价得分分值计算保留小数点后两位，小数点后第三位“四舍五入”。</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3.5.2 投标人综合得分投标人的商务和技术得分＋C。</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3.5.3 评标委员会发现投标人的报价明显低于其他投标报价，使得其投标报价可能低于其个别成本的，应要求该投标人作出书面说明并提供相应的证明材料。投标人不能合理说明或不能提供相应证明材料的，评标委员会应认定该投标人以低于成本报价竞标，并否决其投标。</w:t>
      </w:r>
    </w:p>
    <w:p>
      <w:pPr>
        <w:spacing w:line="400" w:lineRule="exact"/>
        <w:ind w:left="153"/>
        <w:rPr>
          <w:rFonts w:hint="eastAsia" w:ascii="宋体" w:hAnsi="宋体" w:cs="宋体"/>
          <w:b/>
          <w:color w:val="auto"/>
          <w:spacing w:val="6"/>
          <w:kern w:val="0"/>
          <w:sz w:val="24"/>
          <w:highlight w:val="none"/>
          <w:lang w:bidi="ar"/>
        </w:rPr>
      </w:pPr>
      <w:r>
        <w:rPr>
          <w:rFonts w:hint="eastAsia" w:ascii="宋体" w:hAnsi="宋体" w:cs="宋体"/>
          <w:b/>
          <w:color w:val="auto"/>
          <w:spacing w:val="6"/>
          <w:kern w:val="0"/>
          <w:sz w:val="24"/>
          <w:highlight w:val="none"/>
          <w:lang w:bidi="ar"/>
        </w:rPr>
        <w:t>3.6 投标文件相关信息的核查</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3.6.1在评标过程中，评标委员会应根据情况对投标人的资质、业绩、主要人员资历和目前在岗情况、信用等级等信息进行核实。</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3.6.2 评标委员会应对在评标过程中发现的投标人与投标人之间、投标人与招标人之间存在的串通投标的情形进行评审和认定。投标人存在串通投标、弄虚作假、行贿等违法行为的，评标委员会应否决其投标。</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（1）有下列情形之一的，属于投标人相互串通投标：</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a.投标人之间协商投标报价等投标文件的实质性内容；</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b.投标人之间约定中标人：</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c.投标人之间约定部分投标人放弃投标或中标：</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d.属于同一集团、协会、商会等组织成员的投标人按照该组织要求协同投标；</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e.投标人之间为谋取中标或排斥特定投标人而采取的其他联合行动。</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(2）有下列情形之一的，视为投标人相互串通投标：</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a.不同投标人的投标文件由同一单位或个人编制：</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b.不同投标人委托同一单位或个人办理投标事宜；</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c.不同投标人的投标文件载明的项目管理成员为同人；</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d.不同投标人的投标文件异常一致或投标报价呈规律性差异：</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e.不同投标人的投标文件相互混装：</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f.不同投标人的投标保证金从同 一单位或个人的账户转出。</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(3）有下列情形之一的 ，属于招标人与投标人串通投标：</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a.招标人在开标前开启投标文件并将有关信息泄露给其他投标人；</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b.招标人直接或间接向投标人泄露标底、评标委员会成员等信息</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c.招标人明示或暗示投标人压低或抬高投标报价：</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d.招标人授意投标人撤换、修改投标文件；</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e.招标人明示或暗示投标人为特定投标人中标提供方便：</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f.招标人与投标人为谋求特定投标人中标而采取的其他串通行为。</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(4）投标人有下列情形之一的，属于弄虚作假的行为：</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a.使用通过受让或租借等方式获取的资格、资质证书投标：</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b.使用伪造、变造的许可证件：</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c.提供虚假的业绩；</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d.提供虚假的项目负责人或主要技术人员简历、劳动关系证明；</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e.提供虚假的信用状况；</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f.其他弄虚作假的行为。</w:t>
      </w:r>
    </w:p>
    <w:p>
      <w:pPr>
        <w:spacing w:line="400" w:lineRule="exact"/>
        <w:ind w:left="153"/>
        <w:rPr>
          <w:rFonts w:hint="eastAsia" w:ascii="宋体" w:hAnsi="宋体" w:cs="宋体"/>
          <w:b/>
          <w:color w:val="auto"/>
          <w:spacing w:val="6"/>
          <w:kern w:val="0"/>
          <w:sz w:val="24"/>
          <w:highlight w:val="none"/>
          <w:lang w:bidi="ar"/>
        </w:rPr>
      </w:pPr>
      <w:r>
        <w:rPr>
          <w:rFonts w:hint="eastAsia" w:ascii="宋体" w:hAnsi="宋体" w:cs="宋体"/>
          <w:b/>
          <w:color w:val="auto"/>
          <w:spacing w:val="6"/>
          <w:kern w:val="0"/>
          <w:sz w:val="24"/>
          <w:highlight w:val="none"/>
          <w:lang w:bidi="ar"/>
        </w:rPr>
        <w:t>3.7 投标文件的澄清和说明</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3.7.1 在评标过程中，评标委员会可以书面形式要求投标人对投标文件中含义不明确的内容、明显文字或计算错误进行书面澄清或说明。评标委员会不接受投标人主动提出的澄清、说明。投标人不按评标委员会要求澄清或说明的，评标委员会应否决其投标。</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3.7.2 澄清和说明不得超出投标文件的范围或改变投标文件的实质性内容（算术性错误的修正除外）。投标人的书面澄清、说明属于投标文件的组成部分。</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3.7.3 评标委员会不得暗示或诱导投标人作出澄清、说明，对投标人提交的澄清、</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说明有疑问的，可以要求投标人进一步澄清或说明，直至满足评标委员会的要求。</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3.7.4 凡超出招标文件规定的或给委托人带来未曾要求的利益的变化、偏差或其他因素在评标时不予考虑。</w:t>
      </w:r>
    </w:p>
    <w:p>
      <w:pPr>
        <w:spacing w:line="400" w:lineRule="exact"/>
        <w:ind w:left="153"/>
        <w:rPr>
          <w:rFonts w:hint="eastAsia" w:ascii="宋体" w:hAnsi="宋体" w:cs="宋体"/>
          <w:b/>
          <w:color w:val="auto"/>
          <w:spacing w:val="6"/>
          <w:kern w:val="0"/>
          <w:sz w:val="24"/>
          <w:highlight w:val="none"/>
          <w:lang w:bidi="ar"/>
        </w:rPr>
      </w:pPr>
      <w:r>
        <w:rPr>
          <w:rFonts w:hint="eastAsia" w:ascii="宋体" w:hAnsi="宋体" w:cs="宋体"/>
          <w:b/>
          <w:color w:val="auto"/>
          <w:spacing w:val="6"/>
          <w:kern w:val="0"/>
          <w:sz w:val="24"/>
          <w:highlight w:val="none"/>
          <w:lang w:bidi="ar"/>
        </w:rPr>
        <w:t>3.8 不得否决投标的情形</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投标文件存在第二章“投标人须知”第1.12.3项所列情形的，均视为细微偏差，评标委员会不得否决投标人的投标，应按照第二章“投标人须知”第1.12.4项规定的原则处理。</w:t>
      </w:r>
    </w:p>
    <w:p>
      <w:pPr>
        <w:spacing w:line="400" w:lineRule="exact"/>
        <w:ind w:left="153"/>
        <w:rPr>
          <w:rFonts w:hint="eastAsia" w:ascii="宋体" w:hAnsi="宋体" w:cs="宋体"/>
          <w:b/>
          <w:color w:val="auto"/>
          <w:spacing w:val="6"/>
          <w:kern w:val="0"/>
          <w:sz w:val="24"/>
          <w:highlight w:val="none"/>
          <w:lang w:bidi="ar"/>
        </w:rPr>
      </w:pPr>
      <w:r>
        <w:rPr>
          <w:rFonts w:hint="eastAsia" w:ascii="宋体" w:hAnsi="宋体" w:cs="宋体"/>
          <w:b/>
          <w:color w:val="auto"/>
          <w:spacing w:val="6"/>
          <w:kern w:val="0"/>
          <w:sz w:val="24"/>
          <w:highlight w:val="none"/>
          <w:lang w:bidi="ar"/>
        </w:rPr>
        <w:t>3.9 评标结果</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3.9.1 除第二章“投标人须知”前附表授权直接确定中标人外，评标委员会按照得分由高到低的顺序推荐中标候选人，并标明排序。</w:t>
      </w:r>
    </w:p>
    <w:p>
      <w:pPr>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3.9.2 评标委员会完成评标后，应向招标人提交书面评标报告。</w:t>
      </w:r>
    </w:p>
    <w:p>
      <w:pPr>
        <w:keepNext/>
        <w:keepLines/>
        <w:shd w:val="clear"/>
        <w:spacing w:beforeLines="50" w:afterLines="50" w:line="440" w:lineRule="exact"/>
        <w:outlineLvl w:val="0"/>
        <w:rPr>
          <w:rFonts w:eastAsia="黑体"/>
          <w:sz w:val="29"/>
          <w:szCs w:val="29"/>
          <w:highlight w:val="none"/>
        </w:rPr>
      </w:pPr>
      <w:r>
        <w:rPr>
          <w:rFonts w:eastAsia="黑体"/>
          <w:b/>
          <w:highlight w:val="none"/>
        </w:rPr>
        <w:br w:type="page"/>
      </w:r>
    </w:p>
    <w:p>
      <w:pPr>
        <w:pStyle w:val="2"/>
        <w:wordWrap w:val="0"/>
        <w:topLinePunct/>
        <w:spacing w:before="120" w:after="120" w:line="360" w:lineRule="auto"/>
        <w:rPr>
          <w:rFonts w:hint="eastAsia" w:eastAsia="黑体" w:asciiTheme="minorHAnsi" w:hAnsiTheme="minorHAnsi" w:cstheme="minorBidi"/>
          <w:b w:val="0"/>
          <w:bCs/>
          <w:color w:val="000000"/>
          <w:kern w:val="2"/>
          <w:sz w:val="28"/>
          <w:szCs w:val="28"/>
          <w:highlight w:val="none"/>
          <w:lang w:val="en-US" w:eastAsia="zh-CN" w:bidi="ar-SA"/>
        </w:rPr>
      </w:pPr>
      <w:r>
        <w:rPr>
          <w:rFonts w:hint="eastAsia" w:eastAsia="黑体" w:cstheme="minorBidi"/>
          <w:b w:val="0"/>
          <w:bCs/>
          <w:color w:val="000000"/>
          <w:kern w:val="2"/>
          <w:sz w:val="28"/>
          <w:szCs w:val="28"/>
          <w:highlight w:val="none"/>
          <w:lang w:val="en-US" w:eastAsia="zh-CN" w:bidi="ar-SA"/>
        </w:rPr>
        <w:t>5、</w:t>
      </w:r>
      <w:r>
        <w:rPr>
          <w:rFonts w:hint="eastAsia" w:eastAsia="黑体" w:asciiTheme="minorHAnsi" w:hAnsiTheme="minorHAnsi" w:cstheme="minorBidi"/>
          <w:b w:val="0"/>
          <w:bCs/>
          <w:color w:val="000000"/>
          <w:kern w:val="2"/>
          <w:sz w:val="28"/>
          <w:szCs w:val="28"/>
          <w:highlight w:val="none"/>
          <w:lang w:val="en-US" w:eastAsia="zh-CN" w:bidi="ar-SA"/>
        </w:rPr>
        <w:t>其他公示内容</w:t>
      </w:r>
    </w:p>
    <w:p>
      <w:pPr>
        <w:wordWrap w:val="0"/>
        <w:topLinePunct/>
        <w:rPr>
          <w:rFonts w:eastAsia="黑体"/>
          <w:color w:val="000000"/>
          <w:sz w:val="28"/>
          <w:szCs w:val="28"/>
          <w:highlight w:val="none"/>
        </w:rPr>
      </w:pPr>
      <w:bookmarkStart w:id="12" w:name="_Toc396460427"/>
      <w:bookmarkStart w:id="13" w:name="_Toc396461595"/>
      <w:r>
        <w:rPr>
          <w:rFonts w:eastAsia="黑体"/>
          <w:color w:val="000000"/>
          <w:sz w:val="28"/>
          <w:szCs w:val="28"/>
          <w:highlight w:val="none"/>
        </w:rPr>
        <w:t>附 录</w:t>
      </w:r>
      <w:bookmarkEnd w:id="12"/>
      <w:bookmarkEnd w:id="13"/>
    </w:p>
    <w:p>
      <w:pPr>
        <w:pStyle w:val="2"/>
        <w:shd w:val="clear"/>
        <w:spacing w:before="240" w:after="240" w:line="240" w:lineRule="atLeast"/>
        <w:jc w:val="center"/>
        <w:rPr>
          <w:b w:val="0"/>
          <w:highlight w:val="none"/>
        </w:rPr>
      </w:pPr>
      <w:bookmarkStart w:id="14" w:name="_Toc4578490"/>
      <w:bookmarkStart w:id="15" w:name="_Toc526785536"/>
      <w:bookmarkStart w:id="16" w:name="_Toc234832863"/>
      <w:r>
        <w:rPr>
          <w:rFonts w:eastAsia="黑体"/>
          <w:b w:val="0"/>
          <w:sz w:val="28"/>
          <w:szCs w:val="28"/>
          <w:highlight w:val="none"/>
        </w:rPr>
        <w:t>附录1  资格审查条件（资质最低要求）</w:t>
      </w:r>
      <w:bookmarkEnd w:id="14"/>
      <w:bookmarkEnd w:id="15"/>
      <w:bookmarkEnd w:id="16"/>
    </w:p>
    <w:tbl>
      <w:tblPr>
        <w:tblStyle w:val="10"/>
        <w:tblW w:w="5000" w:type="pct"/>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1658"/>
        <w:gridCol w:w="6864"/>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80" w:hRule="atLeast"/>
        </w:trPr>
        <w:tc>
          <w:tcPr>
            <w:tcW w:w="973" w:type="pct"/>
          </w:tcPr>
          <w:p>
            <w:pPr>
              <w:shd w:val="clear"/>
              <w:topLinePunct/>
              <w:spacing w:line="400" w:lineRule="exact"/>
              <w:jc w:val="center"/>
              <w:rPr>
                <w:rFonts w:eastAsia="黑体"/>
                <w:szCs w:val="21"/>
                <w:highlight w:val="none"/>
              </w:rPr>
            </w:pPr>
            <w:r>
              <w:rPr>
                <w:rFonts w:eastAsia="黑体"/>
                <w:szCs w:val="21"/>
                <w:highlight w:val="none"/>
              </w:rPr>
              <w:t>标段</w:t>
            </w:r>
          </w:p>
        </w:tc>
        <w:tc>
          <w:tcPr>
            <w:tcW w:w="4026" w:type="pct"/>
            <w:vAlign w:val="center"/>
          </w:tcPr>
          <w:p>
            <w:pPr>
              <w:shd w:val="clear"/>
              <w:topLinePunct/>
              <w:spacing w:line="400" w:lineRule="exact"/>
              <w:jc w:val="center"/>
              <w:rPr>
                <w:rFonts w:eastAsia="黑体"/>
                <w:szCs w:val="21"/>
                <w:highlight w:val="none"/>
              </w:rPr>
            </w:pPr>
            <w:r>
              <w:rPr>
                <w:rFonts w:eastAsia="黑体"/>
                <w:szCs w:val="21"/>
                <w:highlight w:val="none"/>
              </w:rPr>
              <w:t>企业资质等级要求</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968" w:hRule="atLeast"/>
        </w:trPr>
        <w:tc>
          <w:tcPr>
            <w:tcW w:w="973" w:type="pct"/>
            <w:vAlign w:val="center"/>
          </w:tcPr>
          <w:p>
            <w:pPr>
              <w:shd w:val="clear"/>
              <w:topLinePunct/>
              <w:spacing w:line="400" w:lineRule="exact"/>
              <w:jc w:val="center"/>
              <w:rPr>
                <w:szCs w:val="21"/>
                <w:highlight w:val="none"/>
              </w:rPr>
            </w:pPr>
            <w:r>
              <w:rPr>
                <w:szCs w:val="21"/>
                <w:highlight w:val="none"/>
              </w:rPr>
              <w:t>JL1</w:t>
            </w:r>
          </w:p>
        </w:tc>
        <w:tc>
          <w:tcPr>
            <w:tcW w:w="4026" w:type="pct"/>
            <w:vAlign w:val="center"/>
          </w:tcPr>
          <w:p>
            <w:pPr>
              <w:shd w:val="clear"/>
              <w:tabs>
                <w:tab w:val="left" w:pos="0"/>
              </w:tabs>
              <w:spacing w:line="360" w:lineRule="auto"/>
              <w:jc w:val="left"/>
              <w:rPr>
                <w:rFonts w:hint="eastAsia" w:ascii="宋体" w:hAnsi="宋体" w:cs="宋体"/>
                <w:szCs w:val="21"/>
                <w:highlight w:val="none"/>
                <w:lang w:eastAsia="zh-CN"/>
              </w:rPr>
            </w:pPr>
            <w:r>
              <w:rPr>
                <w:rFonts w:hint="eastAsia" w:ascii="Times New Roman" w:hAnsi="Times New Roman" w:cs="Times New Roman"/>
                <w:color w:val="000000"/>
                <w:kern w:val="2"/>
                <w:highlight w:val="none"/>
                <w:lang w:eastAsia="zh-CN"/>
              </w:rPr>
              <w:t>①</w:t>
            </w:r>
            <w:r>
              <w:rPr>
                <w:rFonts w:hint="eastAsia" w:ascii="宋体" w:hAnsi="宋体" w:cs="宋体"/>
                <w:szCs w:val="21"/>
                <w:highlight w:val="none"/>
              </w:rPr>
              <w:t>具备交通运输部颁发的</w:t>
            </w:r>
            <w:r>
              <w:rPr>
                <w:rFonts w:hint="eastAsia" w:ascii="宋体" w:hAnsi="宋体" w:cs="宋体"/>
                <w:szCs w:val="21"/>
                <w:highlight w:val="none"/>
                <w:lang w:eastAsia="zh-CN"/>
              </w:rPr>
              <w:t>公路工程专业乙级及以上监理资质。</w:t>
            </w:r>
          </w:p>
          <w:p>
            <w:pPr>
              <w:pStyle w:val="6"/>
              <w:spacing w:line="360" w:lineRule="auto"/>
              <w:rPr>
                <w:highlight w:val="none"/>
              </w:rPr>
            </w:pPr>
            <w:r>
              <w:rPr>
                <w:rFonts w:hint="eastAsia"/>
                <w:highlight w:val="none"/>
                <w:lang w:eastAsia="zh-CN"/>
              </w:rPr>
              <w:t>②</w:t>
            </w:r>
            <w:r>
              <w:rPr>
                <w:rFonts w:hint="eastAsia"/>
                <w:highlight w:val="none"/>
              </w:rPr>
              <w:t>具备交通运输部颁发的有效的公路工程机电工程专项监理资质。</w:t>
            </w:r>
          </w:p>
        </w:tc>
      </w:tr>
    </w:tbl>
    <w:p>
      <w:pPr>
        <w:pStyle w:val="2"/>
        <w:shd w:val="clear"/>
        <w:spacing w:before="240" w:after="240" w:line="240" w:lineRule="atLeast"/>
        <w:jc w:val="left"/>
        <w:rPr>
          <w:rFonts w:hint="eastAsia" w:eastAsia="黑体"/>
          <w:sz w:val="24"/>
          <w:highlight w:val="none"/>
          <w:lang w:eastAsia="zh-CN"/>
        </w:rPr>
      </w:pPr>
      <w:r>
        <w:rPr>
          <w:rFonts w:hint="eastAsia" w:eastAsia="黑体"/>
          <w:sz w:val="24"/>
          <w:highlight w:val="none"/>
        </w:rPr>
        <w:t>注：本要求为强制性基本要求，投标人如不满足上述强制性资格条件的，将被认为资格审查不合格</w:t>
      </w:r>
      <w:r>
        <w:rPr>
          <w:rFonts w:hint="eastAsia" w:eastAsia="黑体"/>
          <w:sz w:val="24"/>
          <w:highlight w:val="none"/>
          <w:lang w:eastAsia="zh-CN"/>
        </w:rPr>
        <w:t>，以联合体形式投标的，联合体各成员共同满足上述资格条件。</w:t>
      </w:r>
    </w:p>
    <w:p>
      <w:pPr>
        <w:pStyle w:val="2"/>
        <w:shd w:val="clear"/>
        <w:spacing w:before="240" w:after="240" w:line="240" w:lineRule="atLeast"/>
        <w:jc w:val="center"/>
        <w:rPr>
          <w:rFonts w:eastAsia="黑体"/>
          <w:b w:val="0"/>
          <w:sz w:val="28"/>
          <w:szCs w:val="28"/>
          <w:highlight w:val="none"/>
        </w:rPr>
      </w:pPr>
      <w:r>
        <w:rPr>
          <w:rFonts w:eastAsia="黑体"/>
          <w:sz w:val="24"/>
          <w:highlight w:val="none"/>
        </w:rPr>
        <w:br w:type="page"/>
      </w:r>
      <w:bookmarkStart w:id="17" w:name="_Toc526785537"/>
      <w:bookmarkStart w:id="18" w:name="_Toc4578491"/>
      <w:bookmarkStart w:id="19" w:name="_Toc234832865"/>
      <w:r>
        <w:rPr>
          <w:rFonts w:eastAsia="黑体"/>
          <w:b w:val="0"/>
          <w:sz w:val="28"/>
          <w:szCs w:val="28"/>
          <w:highlight w:val="none"/>
        </w:rPr>
        <w:t>附录2  资格审查条件（业绩最低要求）</w:t>
      </w:r>
      <w:bookmarkEnd w:id="17"/>
      <w:bookmarkEnd w:id="18"/>
      <w:bookmarkEnd w:id="19"/>
    </w:p>
    <w:p>
      <w:pPr>
        <w:shd w:val="clear"/>
        <w:adjustRightInd w:val="0"/>
        <w:snapToGrid w:val="0"/>
        <w:spacing w:line="300" w:lineRule="exact"/>
        <w:rPr>
          <w:rFonts w:eastAsia="隶书"/>
          <w:b/>
          <w:sz w:val="32"/>
          <w:highlight w:val="none"/>
        </w:rPr>
      </w:pPr>
    </w:p>
    <w:tbl>
      <w:tblPr>
        <w:tblStyle w:val="10"/>
        <w:tblW w:w="5000" w:type="pct"/>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1009"/>
        <w:gridCol w:w="7513"/>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63" w:hRule="atLeast"/>
        </w:trPr>
        <w:tc>
          <w:tcPr>
            <w:tcW w:w="592" w:type="pct"/>
            <w:vAlign w:val="center"/>
          </w:tcPr>
          <w:p>
            <w:pPr>
              <w:shd w:val="clear"/>
              <w:topLinePunct/>
              <w:spacing w:line="400" w:lineRule="exact"/>
              <w:jc w:val="center"/>
              <w:rPr>
                <w:rFonts w:eastAsia="黑体"/>
                <w:szCs w:val="21"/>
                <w:highlight w:val="none"/>
              </w:rPr>
            </w:pPr>
            <w:r>
              <w:rPr>
                <w:rFonts w:eastAsia="黑体"/>
                <w:szCs w:val="21"/>
                <w:highlight w:val="none"/>
              </w:rPr>
              <w:t>标段</w:t>
            </w:r>
          </w:p>
        </w:tc>
        <w:tc>
          <w:tcPr>
            <w:tcW w:w="4407" w:type="pct"/>
            <w:vAlign w:val="center"/>
          </w:tcPr>
          <w:p>
            <w:pPr>
              <w:shd w:val="clear"/>
              <w:topLinePunct/>
              <w:spacing w:line="400" w:lineRule="exact"/>
              <w:jc w:val="center"/>
              <w:rPr>
                <w:rFonts w:eastAsia="黑体"/>
                <w:szCs w:val="21"/>
                <w:highlight w:val="none"/>
              </w:rPr>
            </w:pPr>
            <w:r>
              <w:rPr>
                <w:rFonts w:eastAsia="黑体"/>
                <w:szCs w:val="21"/>
                <w:highlight w:val="none"/>
              </w:rPr>
              <w:t>业绩要求</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132" w:hRule="atLeast"/>
        </w:trPr>
        <w:tc>
          <w:tcPr>
            <w:tcW w:w="592" w:type="pct"/>
            <w:vAlign w:val="center"/>
          </w:tcPr>
          <w:p>
            <w:pPr>
              <w:shd w:val="clear"/>
              <w:topLinePunct/>
              <w:spacing w:line="400" w:lineRule="exact"/>
              <w:ind w:firstLine="420" w:firstLineChars="200"/>
              <w:rPr>
                <w:szCs w:val="21"/>
                <w:highlight w:val="none"/>
              </w:rPr>
            </w:pPr>
            <w:r>
              <w:rPr>
                <w:szCs w:val="21"/>
                <w:highlight w:val="none"/>
              </w:rPr>
              <w:t>JL1</w:t>
            </w:r>
          </w:p>
        </w:tc>
        <w:tc>
          <w:tcPr>
            <w:tcW w:w="4407" w:type="pct"/>
            <w:vAlign w:val="center"/>
          </w:tcPr>
          <w:p>
            <w:pPr>
              <w:keepNext w:val="0"/>
              <w:keepLines w:val="0"/>
              <w:pageBreakBefore w:val="0"/>
              <w:widowControl w:val="0"/>
              <w:shd w:val="clear"/>
              <w:tabs>
                <w:tab w:val="left" w:pos="0"/>
              </w:tabs>
              <w:kinsoku/>
              <w:wordWrap/>
              <w:overflowPunct/>
              <w:topLinePunct w:val="0"/>
              <w:autoSpaceDE/>
              <w:autoSpaceDN/>
              <w:bidi w:val="0"/>
              <w:adjustRightInd/>
              <w:snapToGrid/>
              <w:spacing w:line="360" w:lineRule="auto"/>
              <w:jc w:val="left"/>
              <w:textAlignment w:val="auto"/>
              <w:rPr>
                <w:rFonts w:hint="eastAsia" w:ascii="宋体" w:hAnsi="宋体" w:eastAsia="宋体" w:cs="宋体"/>
                <w:highlight w:val="none"/>
              </w:rPr>
            </w:pPr>
            <w:r>
              <w:rPr>
                <w:rFonts w:hint="eastAsia" w:ascii="宋体" w:hAnsi="宋体" w:eastAsia="宋体" w:cs="宋体"/>
                <w:highlight w:val="none"/>
              </w:rPr>
              <w:t>近五年内（</w:t>
            </w:r>
            <w:r>
              <w:rPr>
                <w:rFonts w:hint="eastAsia" w:ascii="宋体" w:hAnsi="宋体" w:cs="宋体"/>
                <w:highlight w:val="none"/>
                <w:lang w:eastAsia="zh-CN"/>
              </w:rPr>
              <w:t>2018年</w:t>
            </w:r>
            <w:r>
              <w:rPr>
                <w:rFonts w:hint="eastAsia" w:ascii="宋体" w:hAnsi="宋体" w:cs="宋体"/>
                <w:highlight w:val="none"/>
                <w:lang w:val="en-US" w:eastAsia="zh-CN"/>
              </w:rPr>
              <w:t>11</w:t>
            </w:r>
            <w:r>
              <w:rPr>
                <w:rFonts w:hint="eastAsia" w:ascii="宋体" w:hAnsi="宋体" w:cs="宋体"/>
                <w:highlight w:val="none"/>
                <w:lang w:eastAsia="zh-CN"/>
              </w:rPr>
              <w:t>月1日</w:t>
            </w:r>
            <w:r>
              <w:rPr>
                <w:rFonts w:hint="eastAsia" w:ascii="宋体" w:hAnsi="宋体" w:eastAsia="宋体" w:cs="宋体"/>
                <w:highlight w:val="none"/>
              </w:rPr>
              <w:t>至投标文件递交截止日）通过交（竣)工验收并满足下列要求：</w:t>
            </w:r>
          </w:p>
          <w:p>
            <w:pPr>
              <w:keepNext w:val="0"/>
              <w:keepLines w:val="0"/>
              <w:pageBreakBefore w:val="0"/>
              <w:widowControl w:val="0"/>
              <w:shd w:val="clear"/>
              <w:tabs>
                <w:tab w:val="left" w:pos="0"/>
              </w:tabs>
              <w:kinsoku/>
              <w:wordWrap/>
              <w:overflowPunct/>
              <w:topLinePunct w:val="0"/>
              <w:autoSpaceDE/>
              <w:autoSpaceDN/>
              <w:bidi w:val="0"/>
              <w:adjustRightInd/>
              <w:snapToGrid/>
              <w:spacing w:line="360" w:lineRule="auto"/>
              <w:jc w:val="left"/>
              <w:textAlignment w:val="auto"/>
              <w:rPr>
                <w:rFonts w:hint="eastAsia" w:ascii="宋体" w:hAnsi="宋体" w:eastAsia="宋体" w:cs="宋体"/>
                <w:highlight w:val="none"/>
                <w:lang w:val="en-US" w:eastAsia="zh-CN"/>
              </w:rPr>
            </w:pPr>
            <w:r>
              <w:rPr>
                <w:rFonts w:hint="default" w:ascii="宋体" w:hAnsi="宋体" w:eastAsia="宋体" w:cs="宋体"/>
                <w:highlight w:val="none"/>
                <w:lang w:val="en-US" w:eastAsia="zh-CN"/>
              </w:rPr>
              <w:t>①</w:t>
            </w:r>
            <w:r>
              <w:rPr>
                <w:rFonts w:hint="eastAsia" w:ascii="宋体" w:hAnsi="宋体" w:cs="宋体"/>
                <w:highlight w:val="none"/>
                <w:lang w:val="en-US" w:eastAsia="zh-CN"/>
              </w:rPr>
              <w:t>至少独立完成过2项一级及以上公路路面工程施工监理业绩，其中至少1项单项里程不小于50公里</w:t>
            </w:r>
            <w:r>
              <w:rPr>
                <w:rFonts w:hint="eastAsia" w:ascii="宋体" w:hAnsi="宋体" w:eastAsia="宋体" w:cs="宋体"/>
                <w:highlight w:val="none"/>
                <w:lang w:eastAsia="zh-CN"/>
              </w:rPr>
              <w:t>。</w:t>
            </w:r>
          </w:p>
          <w:p>
            <w:pPr>
              <w:keepNext w:val="0"/>
              <w:keepLines w:val="0"/>
              <w:pageBreakBefore w:val="0"/>
              <w:widowControl w:val="0"/>
              <w:shd w:val="clear"/>
              <w:tabs>
                <w:tab w:val="left" w:pos="0"/>
              </w:tabs>
              <w:kinsoku/>
              <w:wordWrap/>
              <w:overflowPunct/>
              <w:topLinePunct w:val="0"/>
              <w:autoSpaceDE/>
              <w:autoSpaceDN/>
              <w:bidi w:val="0"/>
              <w:adjustRightInd/>
              <w:snapToGrid/>
              <w:spacing w:line="360" w:lineRule="auto"/>
              <w:jc w:val="left"/>
              <w:textAlignment w:val="auto"/>
              <w:rPr>
                <w:rFonts w:hint="default" w:ascii="宋体" w:hAnsi="宋体" w:eastAsia="宋体" w:cs="宋体"/>
                <w:highlight w:val="none"/>
                <w:lang w:val="en-US" w:eastAsia="zh-CN"/>
              </w:rPr>
            </w:pPr>
            <w:r>
              <w:rPr>
                <w:rFonts w:hint="default" w:ascii="宋体" w:hAnsi="宋体" w:eastAsia="宋体" w:cs="宋体"/>
                <w:highlight w:val="none"/>
                <w:lang w:val="en-US" w:eastAsia="zh-CN"/>
              </w:rPr>
              <w:t>②至少独立完成过1项且长度不少于50公里的一级及以上公路交通安全设施施工监理业绩。</w:t>
            </w:r>
          </w:p>
          <w:p>
            <w:pPr>
              <w:pStyle w:val="7"/>
              <w:spacing w:line="360" w:lineRule="auto"/>
              <w:rPr>
                <w:rFonts w:hint="default" w:ascii="宋体" w:hAnsi="宋体" w:eastAsia="宋体" w:cs="宋体"/>
                <w:kern w:val="2"/>
                <w:sz w:val="21"/>
                <w:szCs w:val="24"/>
                <w:highlight w:val="none"/>
                <w:lang w:val="en-US" w:eastAsia="zh-CN" w:bidi="ar-SA"/>
              </w:rPr>
            </w:pPr>
            <w:r>
              <w:rPr>
                <w:rFonts w:hint="default" w:ascii="宋体" w:hAnsi="宋体" w:eastAsia="宋体" w:cs="宋体"/>
                <w:kern w:val="2"/>
                <w:sz w:val="21"/>
                <w:szCs w:val="24"/>
                <w:highlight w:val="none"/>
                <w:lang w:val="en-US" w:eastAsia="zh-CN" w:bidi="ar-SA"/>
              </w:rPr>
              <w:t>③</w:t>
            </w:r>
            <w:r>
              <w:rPr>
                <w:rFonts w:hint="eastAsia" w:ascii="宋体" w:hAnsi="宋体" w:eastAsia="宋体" w:cs="宋体"/>
                <w:kern w:val="2"/>
                <w:sz w:val="21"/>
                <w:szCs w:val="24"/>
                <w:highlight w:val="none"/>
                <w:lang w:val="en-US" w:eastAsia="zh-CN" w:bidi="ar-SA"/>
              </w:rPr>
              <w:t>至少独立完成过1项公路隧道机电工程</w:t>
            </w:r>
            <w:r>
              <w:rPr>
                <w:rFonts w:hint="eastAsia" w:ascii="宋体" w:hAnsi="宋体" w:cs="宋体"/>
                <w:kern w:val="2"/>
                <w:sz w:val="21"/>
                <w:szCs w:val="24"/>
                <w:highlight w:val="none"/>
                <w:lang w:val="en-US" w:eastAsia="zh-CN" w:bidi="ar-SA"/>
              </w:rPr>
              <w:t>施工</w:t>
            </w:r>
            <w:r>
              <w:rPr>
                <w:rFonts w:hint="eastAsia" w:ascii="宋体" w:hAnsi="宋体" w:eastAsia="宋体" w:cs="宋体"/>
                <w:kern w:val="2"/>
                <w:sz w:val="21"/>
                <w:szCs w:val="24"/>
                <w:highlight w:val="none"/>
                <w:lang w:val="en-US" w:eastAsia="zh-CN" w:bidi="ar-SA"/>
              </w:rPr>
              <w:t>监理（需包含隧道供配电、通风、照明内容）业绩</w:t>
            </w:r>
            <w:r>
              <w:rPr>
                <w:rFonts w:hint="eastAsia" w:ascii="宋体" w:hAnsi="宋体" w:cs="宋体"/>
                <w:kern w:val="2"/>
                <w:sz w:val="21"/>
                <w:szCs w:val="24"/>
                <w:highlight w:val="none"/>
                <w:lang w:val="en-US" w:eastAsia="zh-CN" w:bidi="ar-SA"/>
              </w:rPr>
              <w:t>。</w:t>
            </w:r>
          </w:p>
          <w:p>
            <w:pPr>
              <w:pStyle w:val="7"/>
              <w:rPr>
                <w:rFonts w:hint="eastAsia"/>
                <w:lang w:eastAsia="zh-CN"/>
              </w:rPr>
            </w:pPr>
            <w:r>
              <w:rPr>
                <w:rFonts w:hint="default" w:ascii="宋体" w:hAnsi="宋体" w:eastAsia="宋体" w:cs="宋体"/>
                <w:b/>
                <w:bCs/>
                <w:kern w:val="2"/>
                <w:sz w:val="21"/>
                <w:szCs w:val="24"/>
                <w:highlight w:val="none"/>
                <w:lang w:val="en-US" w:eastAsia="zh-CN" w:bidi="ar-SA"/>
              </w:rPr>
              <w:t>注：如同一已完项目同时满足上述多项业绩要求时，可以分别认定该项目业绩。</w:t>
            </w:r>
          </w:p>
        </w:tc>
      </w:tr>
    </w:tbl>
    <w:p>
      <w:pPr>
        <w:shd w:val="clear"/>
        <w:adjustRightInd w:val="0"/>
        <w:snapToGrid w:val="0"/>
        <w:spacing w:line="300" w:lineRule="exact"/>
        <w:rPr>
          <w:rFonts w:eastAsia="隶书"/>
          <w:b/>
          <w:sz w:val="32"/>
          <w:highlight w:val="none"/>
        </w:rPr>
      </w:pPr>
    </w:p>
    <w:p>
      <w:pPr>
        <w:shd w:val="clear"/>
        <w:adjustRightInd w:val="0"/>
        <w:snapToGrid w:val="0"/>
        <w:spacing w:line="360" w:lineRule="auto"/>
        <w:rPr>
          <w:rFonts w:hint="eastAsia" w:ascii="Times New Roman" w:hAnsi="Times New Roman" w:eastAsia="黑体" w:cs="Times New Roman"/>
          <w:b/>
          <w:bCs/>
          <w:kern w:val="44"/>
          <w:sz w:val="24"/>
          <w:szCs w:val="44"/>
          <w:highlight w:val="none"/>
          <w:lang w:val="en-US" w:eastAsia="zh-CN" w:bidi="ar-SA"/>
        </w:rPr>
      </w:pPr>
      <w:r>
        <w:rPr>
          <w:rFonts w:hint="eastAsia" w:ascii="Times New Roman" w:hAnsi="Times New Roman" w:eastAsia="黑体" w:cs="Times New Roman"/>
          <w:b/>
          <w:bCs/>
          <w:kern w:val="44"/>
          <w:sz w:val="24"/>
          <w:szCs w:val="44"/>
          <w:highlight w:val="none"/>
          <w:lang w:val="en-US" w:eastAsia="zh-CN" w:bidi="ar-SA"/>
        </w:rPr>
        <w:t>注：1、“近年完成的类似项目”应是已列入规定网站的业绩，时间要求：项目工程交工（或竣工）时间在项目工程交工（或竣工）时间在</w:t>
      </w:r>
      <w:r>
        <w:rPr>
          <w:rFonts w:hint="eastAsia" w:eastAsia="黑体" w:cs="Times New Roman"/>
          <w:b/>
          <w:bCs/>
          <w:kern w:val="44"/>
          <w:sz w:val="24"/>
          <w:szCs w:val="44"/>
          <w:highlight w:val="none"/>
          <w:lang w:val="en-US" w:eastAsia="zh-CN" w:bidi="ar-SA"/>
        </w:rPr>
        <w:t>2018年11月1日</w:t>
      </w:r>
      <w:r>
        <w:rPr>
          <w:rFonts w:hint="eastAsia" w:ascii="Times New Roman" w:hAnsi="Times New Roman" w:eastAsia="黑体" w:cs="Times New Roman"/>
          <w:b/>
          <w:bCs/>
          <w:kern w:val="44"/>
          <w:sz w:val="24"/>
          <w:szCs w:val="44"/>
          <w:highlight w:val="none"/>
          <w:lang w:val="en-US" w:eastAsia="zh-CN" w:bidi="ar-SA"/>
        </w:rPr>
        <w:t>至投标文件递交截止日。</w:t>
      </w:r>
    </w:p>
    <w:p>
      <w:pPr>
        <w:numPr>
          <w:ilvl w:val="0"/>
          <w:numId w:val="3"/>
        </w:numPr>
        <w:shd w:val="clear"/>
        <w:adjustRightInd w:val="0"/>
        <w:snapToGrid w:val="0"/>
        <w:spacing w:line="360" w:lineRule="auto"/>
        <w:rPr>
          <w:rFonts w:hint="eastAsia" w:ascii="Times New Roman" w:hAnsi="Times New Roman" w:eastAsia="黑体" w:cs="Times New Roman"/>
          <w:b/>
          <w:bCs/>
          <w:kern w:val="44"/>
          <w:sz w:val="24"/>
          <w:szCs w:val="44"/>
          <w:highlight w:val="none"/>
          <w:lang w:val="en-US" w:eastAsia="zh-CN" w:bidi="ar-SA"/>
        </w:rPr>
      </w:pPr>
      <w:r>
        <w:rPr>
          <w:rFonts w:hint="eastAsia" w:ascii="Times New Roman" w:hAnsi="Times New Roman" w:eastAsia="黑体" w:cs="Times New Roman"/>
          <w:b/>
          <w:bCs/>
          <w:kern w:val="44"/>
          <w:sz w:val="24"/>
          <w:szCs w:val="44"/>
          <w:highlight w:val="none"/>
          <w:lang w:val="en-US" w:eastAsia="zh-CN" w:bidi="ar-SA"/>
        </w:rPr>
        <w:t>“近年完成的类似项目情况表”应附在规定网站中查询到的企业“业绩信息”相关项目带网址的网页截图复印件，即包括“项目名称”“技术等级”“合同价”“交工日期（竣工日期）”“主要工程量”“人员履约”等栏目在内的项目详细信息带网址网页截图复印件。除网页截图复印件外，投标人无须再提供任何业绩证明材料。</w:t>
      </w:r>
    </w:p>
    <w:p>
      <w:pPr>
        <w:numPr>
          <w:ilvl w:val="0"/>
          <w:numId w:val="0"/>
        </w:numPr>
        <w:shd w:val="clear"/>
        <w:adjustRightInd w:val="0"/>
        <w:snapToGrid w:val="0"/>
        <w:spacing w:line="360" w:lineRule="auto"/>
        <w:rPr>
          <w:rFonts w:hint="eastAsia" w:ascii="Times New Roman" w:hAnsi="Times New Roman" w:eastAsia="黑体" w:cs="Times New Roman"/>
          <w:b/>
          <w:bCs/>
          <w:kern w:val="44"/>
          <w:sz w:val="24"/>
          <w:szCs w:val="44"/>
          <w:highlight w:val="none"/>
          <w:lang w:val="en-US" w:eastAsia="zh-CN" w:bidi="ar-SA"/>
        </w:rPr>
      </w:pPr>
      <w:r>
        <w:rPr>
          <w:rFonts w:hint="eastAsia" w:ascii="Times New Roman" w:hAnsi="Times New Roman" w:eastAsia="黑体" w:cs="Times New Roman"/>
          <w:b/>
          <w:bCs/>
          <w:kern w:val="44"/>
          <w:sz w:val="24"/>
          <w:szCs w:val="44"/>
          <w:highlight w:val="none"/>
          <w:lang w:val="en-US" w:eastAsia="zh-CN" w:bidi="ar-SA"/>
        </w:rPr>
        <w:t>3、如近年来，投标人法人机构发生合法变更或重组或法人名称变更时，应提供相关部门的合法批件或其他相关证明材料来证明其所附业绩的继承性。</w:t>
      </w:r>
    </w:p>
    <w:p>
      <w:pPr>
        <w:numPr>
          <w:ilvl w:val="0"/>
          <w:numId w:val="0"/>
        </w:numPr>
        <w:shd w:val="clear"/>
        <w:adjustRightInd w:val="0"/>
        <w:snapToGrid w:val="0"/>
        <w:spacing w:line="360" w:lineRule="auto"/>
        <w:rPr>
          <w:rFonts w:hint="eastAsia" w:ascii="Times New Roman" w:hAnsi="Times New Roman" w:eastAsia="黑体" w:cs="Times New Roman"/>
          <w:b/>
          <w:bCs/>
          <w:kern w:val="44"/>
          <w:sz w:val="24"/>
          <w:szCs w:val="44"/>
          <w:highlight w:val="none"/>
          <w:lang w:val="en-US" w:eastAsia="zh-CN" w:bidi="ar-SA"/>
        </w:rPr>
      </w:pPr>
      <w:r>
        <w:rPr>
          <w:rFonts w:hint="eastAsia" w:ascii="Times New Roman" w:hAnsi="Times New Roman" w:eastAsia="黑体" w:cs="Times New Roman"/>
          <w:b/>
          <w:bCs/>
          <w:kern w:val="44"/>
          <w:sz w:val="24"/>
          <w:szCs w:val="44"/>
          <w:highlight w:val="none"/>
          <w:lang w:val="en-US" w:eastAsia="zh-CN" w:bidi="ar-SA"/>
        </w:rPr>
        <w:t>4、如投标人未提供相关网页截图复印件或投标人提供的相关项目在规定网站查询的信息无法证实投标人满足招标文件规定的资格审查条件（业绩最低要求），则相关业绩不予认定。</w:t>
      </w:r>
    </w:p>
    <w:p>
      <w:pPr>
        <w:numPr>
          <w:ilvl w:val="0"/>
          <w:numId w:val="0"/>
        </w:numPr>
        <w:shd w:val="clear"/>
        <w:adjustRightInd w:val="0"/>
        <w:snapToGrid w:val="0"/>
        <w:spacing w:line="360" w:lineRule="auto"/>
        <w:rPr>
          <w:rFonts w:hint="eastAsia" w:ascii="Times New Roman" w:hAnsi="Times New Roman" w:eastAsia="黑体" w:cs="Times New Roman"/>
          <w:b/>
          <w:bCs/>
          <w:kern w:val="44"/>
          <w:sz w:val="24"/>
          <w:szCs w:val="44"/>
          <w:highlight w:val="none"/>
          <w:lang w:val="en-US" w:eastAsia="zh-CN" w:bidi="ar-SA"/>
        </w:rPr>
      </w:pPr>
      <w:r>
        <w:rPr>
          <w:rFonts w:hint="eastAsia" w:ascii="Times New Roman" w:hAnsi="Times New Roman" w:eastAsia="黑体" w:cs="Times New Roman"/>
          <w:b/>
          <w:bCs/>
          <w:kern w:val="44"/>
          <w:sz w:val="24"/>
          <w:szCs w:val="44"/>
          <w:highlight w:val="none"/>
          <w:lang w:val="en-US" w:eastAsia="zh-CN" w:bidi="ar-SA"/>
        </w:rPr>
        <w:t>5、以联合体形式投标的，联合体各成员共同满足上述要求。</w:t>
      </w:r>
    </w:p>
    <w:p>
      <w:pPr>
        <w:numPr>
          <w:ilvl w:val="0"/>
          <w:numId w:val="0"/>
        </w:numPr>
        <w:shd w:val="clear"/>
        <w:adjustRightInd w:val="0"/>
        <w:snapToGrid w:val="0"/>
        <w:spacing w:line="360" w:lineRule="auto"/>
        <w:rPr>
          <w:rFonts w:hint="default"/>
          <w:highlight w:val="none"/>
          <w:lang w:val="en-US" w:eastAsia="zh-CN"/>
        </w:rPr>
      </w:pPr>
      <w:r>
        <w:rPr>
          <w:rFonts w:hint="eastAsia" w:eastAsia="黑体" w:cs="Times New Roman"/>
          <w:b/>
          <w:bCs/>
          <w:kern w:val="44"/>
          <w:sz w:val="24"/>
          <w:szCs w:val="44"/>
          <w:highlight w:val="none"/>
          <w:lang w:val="en-US" w:eastAsia="zh-CN" w:bidi="ar-SA"/>
        </w:rPr>
        <w:t>6、</w:t>
      </w:r>
      <w:r>
        <w:rPr>
          <w:rFonts w:hint="eastAsia" w:ascii="Times New Roman" w:hAnsi="Times New Roman" w:eastAsia="黑体" w:cs="Times New Roman"/>
          <w:b/>
          <w:bCs/>
          <w:kern w:val="44"/>
          <w:sz w:val="24"/>
          <w:szCs w:val="44"/>
          <w:highlight w:val="none"/>
          <w:lang w:val="en-US" w:eastAsia="zh-CN" w:bidi="ar-SA"/>
        </w:rPr>
        <w:t>本要求为强制性基本要求，投标人如不满足上述强制性资格条件中的任何一条，将被认为资格审查不合格。</w:t>
      </w:r>
      <w:bookmarkStart w:id="29" w:name="_GoBack"/>
      <w:bookmarkEnd w:id="29"/>
    </w:p>
    <w:p>
      <w:pPr>
        <w:pStyle w:val="2"/>
        <w:shd w:val="clear"/>
        <w:spacing w:before="240" w:after="240" w:line="240" w:lineRule="atLeast"/>
        <w:jc w:val="center"/>
        <w:rPr>
          <w:rFonts w:eastAsia="黑体"/>
          <w:sz w:val="28"/>
          <w:szCs w:val="28"/>
          <w:highlight w:val="none"/>
        </w:rPr>
      </w:pPr>
      <w:bookmarkStart w:id="20" w:name="_Toc4578492"/>
      <w:bookmarkStart w:id="21" w:name="_Toc234832866"/>
      <w:bookmarkStart w:id="22" w:name="_Toc526785538"/>
      <w:r>
        <w:rPr>
          <w:rFonts w:eastAsia="黑体"/>
          <w:sz w:val="28"/>
          <w:szCs w:val="28"/>
          <w:highlight w:val="none"/>
        </w:rPr>
        <w:t>附录3  资格审查条件（信誉最低要求）</w:t>
      </w:r>
      <w:bookmarkEnd w:id="20"/>
      <w:bookmarkEnd w:id="21"/>
      <w:bookmarkEnd w:id="22"/>
    </w:p>
    <w:tbl>
      <w:tblPr>
        <w:tblStyle w:val="10"/>
        <w:tblW w:w="4998" w:type="pct"/>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1424"/>
        <w:gridCol w:w="7095"/>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6" w:hRule="atLeast"/>
        </w:trPr>
        <w:tc>
          <w:tcPr>
            <w:tcW w:w="836" w:type="pct"/>
            <w:vAlign w:val="center"/>
          </w:tcPr>
          <w:p>
            <w:pPr>
              <w:shd w:val="clear"/>
              <w:wordWrap w:val="0"/>
              <w:topLinePunct/>
              <w:spacing w:line="400" w:lineRule="exact"/>
              <w:jc w:val="center"/>
              <w:rPr>
                <w:rFonts w:hint="eastAsia" w:eastAsia="黑体"/>
                <w:szCs w:val="21"/>
                <w:highlight w:val="none"/>
                <w:lang w:val="en-US" w:eastAsia="zh-CN"/>
              </w:rPr>
            </w:pPr>
            <w:r>
              <w:rPr>
                <w:rFonts w:hint="eastAsia" w:eastAsia="黑体"/>
                <w:szCs w:val="21"/>
                <w:highlight w:val="none"/>
                <w:lang w:val="en-US" w:eastAsia="zh-CN"/>
              </w:rPr>
              <w:t>标段</w:t>
            </w:r>
          </w:p>
        </w:tc>
        <w:tc>
          <w:tcPr>
            <w:tcW w:w="4163" w:type="pct"/>
            <w:vAlign w:val="center"/>
          </w:tcPr>
          <w:p>
            <w:pPr>
              <w:shd w:val="clear"/>
              <w:wordWrap w:val="0"/>
              <w:topLinePunct/>
              <w:spacing w:line="400" w:lineRule="exact"/>
              <w:jc w:val="center"/>
              <w:rPr>
                <w:rFonts w:eastAsia="黑体"/>
                <w:szCs w:val="21"/>
                <w:highlight w:val="none"/>
              </w:rPr>
            </w:pPr>
            <w:r>
              <w:rPr>
                <w:rFonts w:eastAsia="黑体"/>
                <w:szCs w:val="21"/>
                <w:highlight w:val="none"/>
              </w:rPr>
              <w:t>信誉要求</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871" w:hRule="atLeast"/>
        </w:trPr>
        <w:tc>
          <w:tcPr>
            <w:tcW w:w="836" w:type="pct"/>
            <w:vAlign w:val="center"/>
          </w:tcPr>
          <w:p>
            <w:pPr>
              <w:shd w:val="clear"/>
              <w:snapToGrid w:val="0"/>
              <w:spacing w:beforeLines="50" w:line="360" w:lineRule="auto"/>
              <w:ind w:firstLine="420" w:firstLineChars="200"/>
              <w:jc w:val="left"/>
              <w:rPr>
                <w:rFonts w:hint="default" w:eastAsia="宋体"/>
                <w:color w:val="000000"/>
                <w:highlight w:val="none"/>
                <w:lang w:val="en-US" w:eastAsia="zh-CN"/>
              </w:rPr>
            </w:pPr>
            <w:r>
              <w:rPr>
                <w:rFonts w:hint="eastAsia"/>
                <w:color w:val="000000"/>
                <w:highlight w:val="none"/>
                <w:lang w:val="en-US" w:eastAsia="zh-CN"/>
              </w:rPr>
              <w:t>JL1</w:t>
            </w:r>
          </w:p>
        </w:tc>
        <w:tc>
          <w:tcPr>
            <w:tcW w:w="4163" w:type="pct"/>
            <w:vAlign w:val="center"/>
          </w:tcPr>
          <w:p>
            <w:pPr>
              <w:widowControl/>
              <w:numPr>
                <w:ilvl w:val="0"/>
                <w:numId w:val="0"/>
              </w:numPr>
              <w:shd w:val="clear"/>
              <w:spacing w:line="400" w:lineRule="exact"/>
              <w:rPr>
                <w:rFonts w:hint="eastAsia" w:ascii="Times New Roman" w:hAnsi="Times New Roman" w:cs="Times New Roman"/>
                <w:highlight w:val="none"/>
                <w:lang w:val="en-US" w:eastAsia="zh-CN"/>
              </w:rPr>
            </w:pPr>
            <w:r>
              <w:rPr>
                <w:rFonts w:hint="eastAsia" w:ascii="Times New Roman" w:hAnsi="Times New Roman" w:cs="Times New Roman"/>
                <w:highlight w:val="none"/>
                <w:lang w:val="en-US" w:eastAsia="zh-CN"/>
              </w:rPr>
              <w:t>1.</w:t>
            </w:r>
            <w:r>
              <w:rPr>
                <w:rFonts w:hint="eastAsia" w:ascii="Times New Roman" w:hAnsi="Times New Roman" w:cs="Times New Roman"/>
                <w:highlight w:val="none"/>
              </w:rPr>
              <w:t>投标人未处于被责令停业，投标资格被暂停或取消，财产被接管或冻结，或破产状态；</w:t>
            </w:r>
          </w:p>
          <w:p>
            <w:pPr>
              <w:widowControl/>
              <w:numPr>
                <w:ilvl w:val="0"/>
                <w:numId w:val="0"/>
              </w:numPr>
              <w:shd w:val="clear"/>
              <w:spacing w:line="400" w:lineRule="exact"/>
              <w:rPr>
                <w:rFonts w:hint="eastAsia" w:ascii="Times New Roman" w:hAnsi="Times New Roman" w:cs="Times New Roman"/>
                <w:highlight w:val="none"/>
              </w:rPr>
            </w:pPr>
            <w:r>
              <w:rPr>
                <w:rFonts w:hint="eastAsia" w:ascii="Times New Roman" w:hAnsi="Times New Roman" w:cs="Times New Roman"/>
                <w:highlight w:val="none"/>
                <w:lang w:val="en-US" w:eastAsia="zh-CN"/>
              </w:rPr>
              <w:t>2.</w:t>
            </w:r>
            <w:r>
              <w:rPr>
                <w:rFonts w:hint="eastAsia" w:ascii="Times New Roman" w:hAnsi="Times New Roman" w:cs="Times New Roman"/>
                <w:highlight w:val="none"/>
              </w:rPr>
              <w:t>投标人未进入清算程序，或被宣告破产，或其他丧失履约能力的情形；</w:t>
            </w:r>
          </w:p>
          <w:p>
            <w:pPr>
              <w:widowControl/>
              <w:shd w:val="clear"/>
              <w:spacing w:line="400" w:lineRule="exact"/>
              <w:rPr>
                <w:rFonts w:hint="eastAsia" w:ascii="Times New Roman" w:hAnsi="Times New Roman" w:cs="Times New Roman"/>
                <w:highlight w:val="none"/>
              </w:rPr>
            </w:pPr>
            <w:r>
              <w:rPr>
                <w:rFonts w:hint="eastAsia" w:ascii="Times New Roman" w:hAnsi="Times New Roman" w:cs="Times New Roman"/>
                <w:highlight w:val="none"/>
                <w:lang w:val="en-US" w:eastAsia="zh-CN"/>
              </w:rPr>
              <w:t>3</w:t>
            </w:r>
            <w:r>
              <w:rPr>
                <w:rFonts w:hint="eastAsia" w:ascii="Times New Roman" w:hAnsi="Times New Roman" w:cs="Times New Roman"/>
                <w:highlight w:val="none"/>
              </w:rPr>
              <w:t>.投标人在近三年（</w:t>
            </w:r>
            <w:r>
              <w:rPr>
                <w:rFonts w:hint="eastAsia" w:ascii="Times New Roman" w:hAnsi="Times New Roman" w:cs="Times New Roman"/>
                <w:highlight w:val="none"/>
                <w:lang w:eastAsia="zh-CN"/>
              </w:rPr>
              <w:t>2020年</w:t>
            </w:r>
            <w:r>
              <w:rPr>
                <w:rFonts w:hint="eastAsia" w:cs="Times New Roman"/>
                <w:highlight w:val="none"/>
                <w:lang w:val="en-US" w:eastAsia="zh-CN"/>
              </w:rPr>
              <w:t>11</w:t>
            </w:r>
            <w:r>
              <w:rPr>
                <w:rFonts w:hint="eastAsia" w:cs="Times New Roman"/>
                <w:highlight w:val="none"/>
                <w:lang w:eastAsia="zh-CN"/>
              </w:rPr>
              <w:t>月</w:t>
            </w:r>
            <w:r>
              <w:rPr>
                <w:rFonts w:hint="eastAsia" w:ascii="Times New Roman" w:hAnsi="Times New Roman" w:cs="Times New Roman"/>
                <w:highlight w:val="none"/>
              </w:rPr>
              <w:t>至今）监理过的工程，未在建设领域因重、特大工程质量、安全事故受到省级及以上行政主管部门的通报，未在山西省公路工程建设项目中发生重大工程质量、安全等事故并受到通报；</w:t>
            </w:r>
          </w:p>
          <w:p>
            <w:pPr>
              <w:widowControl/>
              <w:shd w:val="clear"/>
              <w:spacing w:line="400" w:lineRule="exact"/>
              <w:rPr>
                <w:highlight w:val="none"/>
              </w:rPr>
            </w:pPr>
            <w:r>
              <w:rPr>
                <w:rFonts w:hint="eastAsia" w:ascii="Times New Roman" w:hAnsi="Times New Roman" w:cs="Times New Roman"/>
                <w:highlight w:val="none"/>
                <w:lang w:val="en-US" w:eastAsia="zh-CN"/>
              </w:rPr>
              <w:t>4</w:t>
            </w:r>
            <w:r>
              <w:rPr>
                <w:rFonts w:hint="eastAsia" w:ascii="Times New Roman" w:hAnsi="Times New Roman" w:cs="Times New Roman"/>
                <w:highlight w:val="none"/>
              </w:rPr>
              <w:t>.投标人在山西省公路建设市场未</w:t>
            </w:r>
            <w:r>
              <w:rPr>
                <w:rFonts w:hint="eastAsia"/>
                <w:highlight w:val="none"/>
              </w:rPr>
              <w:t>发生严重不履约行为；</w:t>
            </w:r>
          </w:p>
          <w:p>
            <w:pPr>
              <w:widowControl/>
              <w:shd w:val="clear"/>
              <w:spacing w:line="400" w:lineRule="exact"/>
              <w:rPr>
                <w:highlight w:val="none"/>
              </w:rPr>
            </w:pPr>
            <w:r>
              <w:rPr>
                <w:rFonts w:hint="eastAsia"/>
                <w:highlight w:val="none"/>
                <w:lang w:val="en-US" w:eastAsia="zh-CN"/>
              </w:rPr>
              <w:t>5</w:t>
            </w:r>
            <w:r>
              <w:rPr>
                <w:rFonts w:hint="eastAsia"/>
                <w:highlight w:val="none"/>
              </w:rPr>
              <w:t>.投标人在交通运输部、山西省公路建设市场施工监理企业信用评价的考核定级中，未被评价为D级，或曾被评价为D级但处罚期限已过；</w:t>
            </w:r>
          </w:p>
          <w:p>
            <w:pPr>
              <w:widowControl/>
              <w:shd w:val="clear"/>
              <w:spacing w:line="400" w:lineRule="exact"/>
              <w:rPr>
                <w:highlight w:val="none"/>
              </w:rPr>
            </w:pPr>
            <w:r>
              <w:rPr>
                <w:rFonts w:hint="eastAsia"/>
                <w:highlight w:val="none"/>
                <w:lang w:val="en-US" w:eastAsia="zh-CN"/>
              </w:rPr>
              <w:t>6</w:t>
            </w:r>
            <w:r>
              <w:rPr>
                <w:rFonts w:hint="eastAsia"/>
                <w:highlight w:val="none"/>
              </w:rPr>
              <w:t>.投标人目前没有受到交通运输部或山西省交通厅做出的，取消投标资格或禁止进入公路建设市场且处于有效期内的行政处罚；</w:t>
            </w:r>
          </w:p>
          <w:p>
            <w:pPr>
              <w:widowControl/>
              <w:shd w:val="clear"/>
              <w:spacing w:line="400" w:lineRule="exact"/>
              <w:rPr>
                <w:highlight w:val="none"/>
              </w:rPr>
            </w:pPr>
            <w:r>
              <w:rPr>
                <w:rFonts w:hint="eastAsia"/>
                <w:highlight w:val="none"/>
                <w:lang w:val="en-US" w:eastAsia="zh-CN"/>
              </w:rPr>
              <w:t>7</w:t>
            </w:r>
            <w:r>
              <w:rPr>
                <w:rFonts w:hint="eastAsia"/>
                <w:highlight w:val="none"/>
              </w:rPr>
              <w:t>.投标人及其法定代表人、拟派总监理工程师 近三年内（</w:t>
            </w:r>
            <w:r>
              <w:rPr>
                <w:rFonts w:hint="eastAsia"/>
                <w:highlight w:val="none"/>
                <w:lang w:eastAsia="zh-CN"/>
              </w:rPr>
              <w:t>2020年</w:t>
            </w:r>
            <w:r>
              <w:rPr>
                <w:rFonts w:hint="eastAsia"/>
                <w:highlight w:val="none"/>
                <w:lang w:val="en-US" w:eastAsia="zh-CN"/>
              </w:rPr>
              <w:t>11</w:t>
            </w:r>
            <w:r>
              <w:rPr>
                <w:rFonts w:hint="eastAsia"/>
                <w:highlight w:val="none"/>
                <w:lang w:eastAsia="zh-CN"/>
              </w:rPr>
              <w:t>月</w:t>
            </w:r>
            <w:r>
              <w:rPr>
                <w:rFonts w:hint="eastAsia"/>
                <w:highlight w:val="none"/>
              </w:rPr>
              <w:t>1日至今）无行贿犯罪行为（投标人须提供无行贿犯罪行为的书面承诺书）；</w:t>
            </w:r>
          </w:p>
          <w:p>
            <w:pPr>
              <w:widowControl/>
              <w:shd w:val="clear"/>
              <w:spacing w:line="400" w:lineRule="exact"/>
              <w:rPr>
                <w:highlight w:val="none"/>
              </w:rPr>
            </w:pPr>
            <w:r>
              <w:rPr>
                <w:rFonts w:hint="eastAsia"/>
                <w:highlight w:val="none"/>
                <w:lang w:val="en-US" w:eastAsia="zh-CN"/>
              </w:rPr>
              <w:t>8</w:t>
            </w:r>
            <w:r>
              <w:rPr>
                <w:rFonts w:hint="eastAsia"/>
                <w:highlight w:val="none"/>
              </w:rPr>
              <w:t>.投标人在国家企业信用信息公示系统（</w:t>
            </w:r>
            <w:r>
              <w:rPr>
                <w:highlight w:val="none"/>
              </w:rPr>
              <w:fldChar w:fldCharType="begin"/>
            </w:r>
            <w:r>
              <w:rPr>
                <w:highlight w:val="none"/>
              </w:rPr>
              <w:instrText xml:space="preserve"> HYPERLINK "http://www.gsxt.gov.cn/" \h </w:instrText>
            </w:r>
            <w:r>
              <w:rPr>
                <w:highlight w:val="none"/>
              </w:rPr>
              <w:fldChar w:fldCharType="separate"/>
            </w:r>
            <w:r>
              <w:rPr>
                <w:rFonts w:hint="eastAsia"/>
                <w:highlight w:val="none"/>
              </w:rPr>
              <w:t>http://www.gsxt.gov.cn/</w:t>
            </w:r>
            <w:r>
              <w:rPr>
                <w:rFonts w:hint="eastAsia"/>
                <w:highlight w:val="none"/>
              </w:rPr>
              <w:fldChar w:fldCharType="end"/>
            </w:r>
            <w:r>
              <w:rPr>
                <w:rFonts w:hint="eastAsia"/>
                <w:highlight w:val="none"/>
              </w:rPr>
              <w:t>）中未被列入严重违法失信企业名单；</w:t>
            </w:r>
          </w:p>
          <w:p>
            <w:pPr>
              <w:widowControl/>
              <w:shd w:val="clear"/>
              <w:spacing w:line="400" w:lineRule="exact"/>
              <w:rPr>
                <w:highlight w:val="none"/>
              </w:rPr>
            </w:pPr>
            <w:r>
              <w:rPr>
                <w:rFonts w:hint="eastAsia"/>
                <w:highlight w:val="none"/>
                <w:lang w:val="en-US" w:eastAsia="zh-CN"/>
              </w:rPr>
              <w:t>9</w:t>
            </w:r>
            <w:r>
              <w:rPr>
                <w:rFonts w:hint="eastAsia"/>
                <w:highlight w:val="none"/>
              </w:rPr>
              <w:t>.在“信用中国”网站（http://www.creditchina.gov.cn/）中未被列入</w:t>
            </w:r>
            <w:r>
              <w:rPr>
                <w:rFonts w:hint="eastAsia"/>
                <w:highlight w:val="none"/>
                <w:lang w:eastAsia="zh-CN"/>
              </w:rPr>
              <w:t>严重失信主体</w:t>
            </w:r>
            <w:r>
              <w:rPr>
                <w:rFonts w:hint="eastAsia"/>
                <w:highlight w:val="none"/>
              </w:rPr>
              <w:t>名单。</w:t>
            </w:r>
          </w:p>
          <w:p>
            <w:pPr>
              <w:shd w:val="clear"/>
              <w:snapToGrid w:val="0"/>
              <w:spacing w:beforeLines="50" w:line="360" w:lineRule="auto"/>
              <w:ind w:firstLine="420" w:firstLineChars="200"/>
              <w:jc w:val="left"/>
              <w:rPr>
                <w:spacing w:val="-4"/>
                <w:szCs w:val="21"/>
                <w:highlight w:val="none"/>
              </w:rPr>
            </w:pPr>
            <w:r>
              <w:rPr>
                <w:rFonts w:hint="eastAsia"/>
                <w:highlight w:val="none"/>
              </w:rPr>
              <w:t>（投标人如未如实填报，一经查实，取消其投标资格）</w:t>
            </w:r>
          </w:p>
        </w:tc>
      </w:tr>
    </w:tbl>
    <w:p>
      <w:pPr>
        <w:shd w:val="clear"/>
        <w:adjustRightInd w:val="0"/>
        <w:snapToGrid w:val="0"/>
        <w:spacing w:line="300" w:lineRule="exact"/>
        <w:rPr>
          <w:rFonts w:eastAsia="隶书"/>
          <w:sz w:val="32"/>
          <w:highlight w:val="none"/>
        </w:rPr>
      </w:pPr>
    </w:p>
    <w:p>
      <w:pPr>
        <w:shd w:val="clear"/>
        <w:adjustRightInd w:val="0"/>
        <w:snapToGrid w:val="0"/>
        <w:spacing w:line="360" w:lineRule="auto"/>
        <w:rPr>
          <w:rFonts w:hint="eastAsia" w:ascii="Times New Roman" w:hAnsi="Times New Roman" w:eastAsia="黑体" w:cs="Times New Roman"/>
          <w:b/>
          <w:bCs/>
          <w:kern w:val="44"/>
          <w:sz w:val="24"/>
          <w:szCs w:val="44"/>
          <w:highlight w:val="none"/>
          <w:lang w:val="en-US" w:eastAsia="zh-CN" w:bidi="ar-SA"/>
        </w:rPr>
      </w:pPr>
      <w:r>
        <w:rPr>
          <w:rFonts w:hint="eastAsia" w:ascii="Times New Roman" w:hAnsi="Times New Roman" w:eastAsia="黑体" w:cs="Times New Roman"/>
          <w:b/>
          <w:bCs/>
          <w:kern w:val="44"/>
          <w:sz w:val="24"/>
          <w:szCs w:val="44"/>
          <w:highlight w:val="none"/>
          <w:lang w:val="en-US" w:eastAsia="zh-CN" w:bidi="ar-SA"/>
        </w:rPr>
        <w:t>注：本要求为强制性基本要求，投标人如不满足上述强制性资格条件中的任何一条，将被认为资格审查不合格</w:t>
      </w:r>
      <w:r>
        <w:rPr>
          <w:rFonts w:hint="eastAsia" w:eastAsia="黑体" w:cs="Times New Roman"/>
          <w:b/>
          <w:bCs/>
          <w:kern w:val="44"/>
          <w:sz w:val="24"/>
          <w:szCs w:val="44"/>
          <w:highlight w:val="none"/>
          <w:lang w:val="en-US" w:eastAsia="zh-CN" w:bidi="ar-SA"/>
        </w:rPr>
        <w:t>，</w:t>
      </w:r>
      <w:r>
        <w:rPr>
          <w:rFonts w:hint="eastAsia" w:ascii="宋体" w:hAnsi="宋体" w:eastAsia="宋体" w:cs="宋体"/>
          <w:b/>
          <w:color w:val="auto"/>
          <w:szCs w:val="21"/>
          <w:highlight w:val="none"/>
        </w:rPr>
        <w:t>以联合体形式投标的，联合体各成员单位均不得存在上述情况</w:t>
      </w:r>
      <w:r>
        <w:rPr>
          <w:rFonts w:hint="eastAsia" w:ascii="Times New Roman" w:hAnsi="Times New Roman" w:eastAsia="黑体" w:cs="Times New Roman"/>
          <w:b/>
          <w:bCs/>
          <w:kern w:val="44"/>
          <w:sz w:val="24"/>
          <w:szCs w:val="44"/>
          <w:highlight w:val="none"/>
          <w:lang w:val="en-US" w:eastAsia="zh-CN" w:bidi="ar-SA"/>
        </w:rPr>
        <w:t>。</w:t>
      </w:r>
    </w:p>
    <w:p>
      <w:pPr>
        <w:pStyle w:val="6"/>
        <w:shd w:val="clear"/>
        <w:rPr>
          <w:rFonts w:eastAsia="隶书"/>
          <w:sz w:val="32"/>
          <w:highlight w:val="none"/>
        </w:rPr>
      </w:pPr>
    </w:p>
    <w:p>
      <w:pPr>
        <w:pStyle w:val="6"/>
        <w:shd w:val="clear"/>
        <w:rPr>
          <w:rFonts w:eastAsia="隶书"/>
          <w:sz w:val="32"/>
          <w:highlight w:val="none"/>
        </w:rPr>
      </w:pPr>
    </w:p>
    <w:p>
      <w:pPr>
        <w:pStyle w:val="6"/>
        <w:shd w:val="clear"/>
        <w:rPr>
          <w:rFonts w:eastAsia="隶书"/>
          <w:sz w:val="32"/>
          <w:highlight w:val="none"/>
        </w:rPr>
      </w:pPr>
    </w:p>
    <w:p>
      <w:pPr>
        <w:shd w:val="clear"/>
        <w:adjustRightInd w:val="0"/>
        <w:snapToGrid w:val="0"/>
        <w:spacing w:line="300" w:lineRule="exact"/>
        <w:rPr>
          <w:rFonts w:eastAsia="隶书"/>
          <w:sz w:val="32"/>
          <w:highlight w:val="none"/>
        </w:rPr>
      </w:pPr>
    </w:p>
    <w:p>
      <w:pPr>
        <w:shd w:val="clear"/>
        <w:adjustRightInd w:val="0"/>
        <w:snapToGrid w:val="0"/>
        <w:spacing w:line="300" w:lineRule="auto"/>
        <w:rPr>
          <w:bCs/>
          <w:highlight w:val="none"/>
        </w:rPr>
      </w:pPr>
      <w:r>
        <w:rPr>
          <w:bCs/>
          <w:highlight w:val="none"/>
        </w:rPr>
        <w:br w:type="page"/>
      </w:r>
    </w:p>
    <w:p>
      <w:pPr>
        <w:pStyle w:val="2"/>
        <w:shd w:val="clear"/>
        <w:spacing w:before="0" w:after="0" w:line="400" w:lineRule="exact"/>
        <w:jc w:val="center"/>
        <w:rPr>
          <w:rFonts w:eastAsia="黑体"/>
          <w:sz w:val="28"/>
          <w:szCs w:val="28"/>
          <w:highlight w:val="none"/>
        </w:rPr>
      </w:pPr>
      <w:bookmarkStart w:id="23" w:name="_Toc234832867"/>
      <w:bookmarkStart w:id="24" w:name="_Toc4578493"/>
      <w:bookmarkStart w:id="25" w:name="_Toc526785539"/>
      <w:r>
        <w:rPr>
          <w:rFonts w:eastAsia="黑体"/>
          <w:sz w:val="28"/>
          <w:szCs w:val="28"/>
          <w:highlight w:val="none"/>
        </w:rPr>
        <w:t>附录4  资格审查条件（主要人员最低要求）</w:t>
      </w:r>
      <w:bookmarkEnd w:id="23"/>
      <w:bookmarkEnd w:id="24"/>
      <w:bookmarkEnd w:id="25"/>
    </w:p>
    <w:p>
      <w:pPr>
        <w:shd w:val="clear"/>
        <w:rPr>
          <w:highlight w:val="none"/>
        </w:rPr>
      </w:pPr>
    </w:p>
    <w:tbl>
      <w:tblPr>
        <w:tblStyle w:val="10"/>
        <w:tblW w:w="4732"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autofit"/>
        <w:tblCellMar>
          <w:top w:w="0" w:type="dxa"/>
          <w:left w:w="108" w:type="dxa"/>
          <w:bottom w:w="0" w:type="dxa"/>
          <w:right w:w="108" w:type="dxa"/>
        </w:tblCellMar>
      </w:tblPr>
      <w:tblGrid>
        <w:gridCol w:w="1118"/>
        <w:gridCol w:w="1351"/>
        <w:gridCol w:w="5596"/>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9" w:hRule="atLeast"/>
          <w:jc w:val="center"/>
        </w:trPr>
        <w:tc>
          <w:tcPr>
            <w:tcW w:w="693" w:type="pct"/>
          </w:tcPr>
          <w:p>
            <w:pPr>
              <w:shd w:val="clear"/>
              <w:snapToGrid w:val="0"/>
              <w:spacing w:line="360" w:lineRule="auto"/>
              <w:jc w:val="center"/>
              <w:rPr>
                <w:rFonts w:eastAsia="黑体"/>
                <w:szCs w:val="21"/>
                <w:highlight w:val="none"/>
              </w:rPr>
            </w:pPr>
            <w:r>
              <w:rPr>
                <w:rFonts w:eastAsia="黑体"/>
                <w:szCs w:val="21"/>
                <w:highlight w:val="none"/>
              </w:rPr>
              <w:t>标段</w:t>
            </w:r>
          </w:p>
        </w:tc>
        <w:tc>
          <w:tcPr>
            <w:tcW w:w="837" w:type="pct"/>
            <w:vAlign w:val="center"/>
          </w:tcPr>
          <w:p>
            <w:pPr>
              <w:shd w:val="clear"/>
              <w:snapToGrid w:val="0"/>
              <w:spacing w:line="360" w:lineRule="auto"/>
              <w:jc w:val="center"/>
              <w:rPr>
                <w:rFonts w:eastAsia="黑体"/>
                <w:szCs w:val="21"/>
                <w:highlight w:val="none"/>
              </w:rPr>
            </w:pPr>
            <w:r>
              <w:rPr>
                <w:rFonts w:eastAsia="黑体"/>
                <w:szCs w:val="21"/>
                <w:highlight w:val="none"/>
              </w:rPr>
              <w:t>人员</w:t>
            </w:r>
            <w:r>
              <w:rPr>
                <w:rFonts w:hint="eastAsia" w:eastAsia="黑体"/>
                <w:szCs w:val="21"/>
                <w:highlight w:val="none"/>
              </w:rPr>
              <w:t>及数量</w:t>
            </w:r>
          </w:p>
        </w:tc>
        <w:tc>
          <w:tcPr>
            <w:tcW w:w="3468" w:type="pct"/>
            <w:vAlign w:val="center"/>
          </w:tcPr>
          <w:p>
            <w:pPr>
              <w:shd w:val="clear"/>
              <w:snapToGrid w:val="0"/>
              <w:spacing w:line="360" w:lineRule="auto"/>
              <w:jc w:val="center"/>
              <w:rPr>
                <w:rFonts w:eastAsia="黑体"/>
                <w:szCs w:val="21"/>
                <w:highlight w:val="none"/>
              </w:rPr>
            </w:pPr>
            <w:r>
              <w:rPr>
                <w:rFonts w:eastAsia="黑体"/>
                <w:szCs w:val="21"/>
                <w:highlight w:val="none"/>
              </w:rPr>
              <w:t>资格要求</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419" w:hRule="atLeast"/>
          <w:jc w:val="center"/>
        </w:trPr>
        <w:tc>
          <w:tcPr>
            <w:tcW w:w="693" w:type="pct"/>
            <w:vAlign w:val="center"/>
          </w:tcPr>
          <w:p>
            <w:pPr>
              <w:shd w:val="clear"/>
              <w:snapToGrid w:val="0"/>
              <w:spacing w:line="360" w:lineRule="auto"/>
              <w:jc w:val="center"/>
              <w:rPr>
                <w:szCs w:val="21"/>
                <w:highlight w:val="none"/>
              </w:rPr>
            </w:pPr>
            <w:r>
              <w:rPr>
                <w:szCs w:val="21"/>
                <w:highlight w:val="none"/>
              </w:rPr>
              <w:t>JL1</w:t>
            </w:r>
          </w:p>
        </w:tc>
        <w:tc>
          <w:tcPr>
            <w:tcW w:w="837" w:type="pct"/>
            <w:vAlign w:val="center"/>
          </w:tcPr>
          <w:p>
            <w:pPr>
              <w:shd w:val="clear"/>
              <w:snapToGrid w:val="0"/>
              <w:spacing w:line="360" w:lineRule="auto"/>
              <w:jc w:val="center"/>
              <w:rPr>
                <w:szCs w:val="21"/>
                <w:highlight w:val="none"/>
              </w:rPr>
            </w:pPr>
            <w:r>
              <w:rPr>
                <w:szCs w:val="21"/>
                <w:highlight w:val="none"/>
              </w:rPr>
              <w:t>总监理</w:t>
            </w:r>
          </w:p>
          <w:p>
            <w:pPr>
              <w:shd w:val="clear"/>
              <w:snapToGrid w:val="0"/>
              <w:spacing w:line="360" w:lineRule="auto"/>
              <w:jc w:val="center"/>
              <w:rPr>
                <w:rFonts w:hint="eastAsia" w:eastAsia="宋体"/>
                <w:szCs w:val="21"/>
                <w:highlight w:val="none"/>
                <w:lang w:eastAsia="zh-CN"/>
              </w:rPr>
            </w:pPr>
            <w:r>
              <w:rPr>
                <w:szCs w:val="21"/>
                <w:highlight w:val="none"/>
              </w:rPr>
              <w:t>工程师</w:t>
            </w:r>
            <w:r>
              <w:rPr>
                <w:rFonts w:hint="eastAsia"/>
                <w:szCs w:val="21"/>
                <w:highlight w:val="none"/>
                <w:lang w:eastAsia="zh-CN"/>
              </w:rPr>
              <w:t>1名</w:t>
            </w:r>
          </w:p>
        </w:tc>
        <w:tc>
          <w:tcPr>
            <w:tcW w:w="3468" w:type="pct"/>
            <w:vAlign w:val="center"/>
          </w:tcPr>
          <w:p>
            <w:pPr>
              <w:keepNext w:val="0"/>
              <w:keepLines w:val="0"/>
              <w:pageBreakBefore w:val="0"/>
              <w:widowControl w:val="0"/>
              <w:shd w:val="clear"/>
              <w:tabs>
                <w:tab w:val="left" w:pos="0"/>
              </w:tabs>
              <w:kinsoku/>
              <w:wordWrap/>
              <w:overflowPunct/>
              <w:topLinePunct w:val="0"/>
              <w:autoSpaceDE/>
              <w:autoSpaceDN/>
              <w:bidi w:val="0"/>
              <w:adjustRightInd/>
              <w:snapToGrid/>
              <w:spacing w:before="157" w:beforeLines="50" w:line="360" w:lineRule="auto"/>
              <w:jc w:val="left"/>
              <w:textAlignment w:val="auto"/>
              <w:rPr>
                <w:rFonts w:hint="eastAsia" w:ascii="宋体" w:hAnsi="宋体" w:eastAsia="宋体" w:cs="宋体"/>
                <w:highlight w:val="none"/>
              </w:rPr>
            </w:pPr>
            <w:r>
              <w:rPr>
                <w:rFonts w:hint="eastAsia" w:ascii="宋体" w:hAnsi="宋体" w:eastAsia="宋体" w:cs="宋体"/>
                <w:highlight w:val="none"/>
              </w:rPr>
              <w:t>1.持有</w:t>
            </w:r>
            <w:r>
              <w:rPr>
                <w:rFonts w:hint="eastAsia" w:ascii="宋体" w:hAnsi="宋体" w:cs="宋体"/>
                <w:highlight w:val="none"/>
                <w:lang w:eastAsia="zh-CN"/>
              </w:rPr>
              <w:t>交通运输部核发的监理工程师资格证书或人力资源和社会保障部颁发交通运输专业监理工程资格证书</w:t>
            </w:r>
            <w:r>
              <w:rPr>
                <w:rFonts w:hint="eastAsia" w:ascii="宋体" w:hAnsi="宋体" w:eastAsia="宋体" w:cs="宋体"/>
                <w:highlight w:val="none"/>
              </w:rPr>
              <w:t>，高级工程师或以上职称（公路相关专业），必须在</w:t>
            </w:r>
            <w:r>
              <w:rPr>
                <w:rFonts w:hint="eastAsia" w:ascii="宋体" w:hAnsi="宋体" w:cs="宋体"/>
                <w:highlight w:val="none"/>
                <w:lang w:eastAsia="zh-CN"/>
              </w:rPr>
              <w:t>投标人单位注册登记</w:t>
            </w:r>
            <w:r>
              <w:rPr>
                <w:rFonts w:hint="eastAsia" w:ascii="宋体" w:hAnsi="宋体" w:eastAsia="宋体" w:cs="宋体"/>
                <w:highlight w:val="none"/>
              </w:rPr>
              <w:t>；</w:t>
            </w:r>
          </w:p>
          <w:p>
            <w:pPr>
              <w:pStyle w:val="6"/>
              <w:keepNext w:val="0"/>
              <w:keepLines w:val="0"/>
              <w:pageBreakBefore w:val="0"/>
              <w:widowControl w:val="0"/>
              <w:shd w:val="clear"/>
              <w:kinsoku/>
              <w:wordWrap/>
              <w:overflowPunct/>
              <w:topLinePunct w:val="0"/>
              <w:autoSpaceDE/>
              <w:autoSpaceDN/>
              <w:bidi w:val="0"/>
              <w:adjustRightInd/>
              <w:snapToGrid/>
              <w:spacing w:before="157" w:beforeLines="50" w:line="360" w:lineRule="auto"/>
              <w:textAlignment w:val="auto"/>
              <w:rPr>
                <w:rFonts w:ascii="宋体" w:hAnsi="宋体" w:cs="宋体"/>
                <w:szCs w:val="21"/>
                <w:highlight w:val="none"/>
              </w:rPr>
            </w:pPr>
            <w:r>
              <w:rPr>
                <w:rFonts w:hint="eastAsia" w:ascii="宋体" w:hAnsi="宋体" w:eastAsia="宋体" w:cs="宋体"/>
                <w:highlight w:val="none"/>
              </w:rPr>
              <w:t>2.年龄在60</w:t>
            </w:r>
            <w:r>
              <w:rPr>
                <w:rFonts w:hint="eastAsia" w:ascii="宋体" w:hAnsi="宋体" w:eastAsia="宋体" w:cs="宋体"/>
                <w:highlight w:val="none"/>
                <w:lang w:val="en-US" w:eastAsia="zh-CN"/>
              </w:rPr>
              <w:t>周</w:t>
            </w:r>
            <w:r>
              <w:rPr>
                <w:rFonts w:hint="eastAsia" w:ascii="宋体" w:hAnsi="宋体" w:eastAsia="宋体" w:cs="宋体"/>
                <w:highlight w:val="none"/>
              </w:rPr>
              <w:t>岁以下，</w:t>
            </w:r>
            <w:r>
              <w:rPr>
                <w:rFonts w:hint="eastAsia" w:ascii="宋体" w:hAnsi="宋体" w:cs="宋体"/>
                <w:highlight w:val="none"/>
                <w:lang w:eastAsia="zh-CN"/>
              </w:rPr>
              <w:t>作为总监理工程师至少完成过</w:t>
            </w:r>
            <w:r>
              <w:rPr>
                <w:rFonts w:hint="eastAsia" w:ascii="宋体" w:hAnsi="宋体" w:cs="宋体"/>
                <w:highlight w:val="none"/>
                <w:lang w:val="en-US" w:eastAsia="zh-CN"/>
              </w:rPr>
              <w:t>1项一级及以上公路路面工程施工监理业绩</w:t>
            </w:r>
            <w:r>
              <w:rPr>
                <w:rFonts w:hint="eastAsia" w:ascii="宋体" w:hAnsi="宋体" w:eastAsia="宋体" w:cs="宋体"/>
                <w:highlight w:val="none"/>
              </w:rPr>
              <w:t>。</w:t>
            </w:r>
          </w:p>
        </w:tc>
      </w:tr>
    </w:tbl>
    <w:p>
      <w:pPr>
        <w:shd w:val="clear"/>
        <w:wordWrap w:val="0"/>
        <w:topLinePunct/>
        <w:adjustRightInd w:val="0"/>
        <w:snapToGrid w:val="0"/>
        <w:spacing w:line="300" w:lineRule="exact"/>
        <w:jc w:val="center"/>
        <w:outlineLvl w:val="2"/>
        <w:rPr>
          <w:rFonts w:eastAsia="黑体"/>
          <w:color w:val="000000"/>
          <w:sz w:val="28"/>
          <w:szCs w:val="28"/>
          <w:highlight w:val="none"/>
        </w:rPr>
      </w:pPr>
      <w:bookmarkStart w:id="26" w:name="_Toc396461597"/>
      <w:bookmarkStart w:id="27" w:name="_Toc447602683"/>
      <w:bookmarkStart w:id="28" w:name="_Toc396460429"/>
    </w:p>
    <w:p>
      <w:pPr>
        <w:shd w:val="clear"/>
        <w:wordWrap w:val="0"/>
        <w:topLinePunct/>
        <w:adjustRightInd w:val="0"/>
        <w:snapToGrid w:val="0"/>
        <w:spacing w:line="360" w:lineRule="auto"/>
        <w:jc w:val="left"/>
        <w:outlineLvl w:val="2"/>
        <w:rPr>
          <w:rFonts w:hint="eastAsia" w:ascii="Times New Roman" w:hAnsi="Times New Roman" w:eastAsia="黑体" w:cs="Times New Roman"/>
          <w:b/>
          <w:bCs/>
          <w:kern w:val="44"/>
          <w:sz w:val="24"/>
          <w:szCs w:val="44"/>
          <w:highlight w:val="none"/>
          <w:lang w:val="en-US" w:eastAsia="zh-CN" w:bidi="ar-SA"/>
        </w:rPr>
      </w:pPr>
      <w:r>
        <w:rPr>
          <w:rFonts w:hint="eastAsia" w:ascii="Times New Roman" w:hAnsi="Times New Roman" w:eastAsia="黑体" w:cs="Times New Roman"/>
          <w:b/>
          <w:bCs/>
          <w:kern w:val="44"/>
          <w:sz w:val="24"/>
          <w:szCs w:val="44"/>
          <w:highlight w:val="none"/>
          <w:lang w:val="en-US" w:eastAsia="zh-CN" w:bidi="ar-SA"/>
        </w:rPr>
        <w:t>注：1、“拟委任的主要人员资历表”应附总监理工程师的身份证、职称资格证书以及资格审查条件所要求的其他相关证书（如监理工程师证书）的复印件，以及在社保系统打印的缴费明细。（至少缴纳至2022年12月）。</w:t>
      </w:r>
    </w:p>
    <w:p>
      <w:pPr>
        <w:shd w:val="clear"/>
        <w:wordWrap w:val="0"/>
        <w:topLinePunct/>
        <w:adjustRightInd w:val="0"/>
        <w:snapToGrid w:val="0"/>
        <w:spacing w:line="360" w:lineRule="auto"/>
        <w:jc w:val="left"/>
        <w:outlineLvl w:val="2"/>
        <w:rPr>
          <w:rFonts w:hint="eastAsia" w:ascii="Times New Roman" w:hAnsi="Times New Roman" w:eastAsia="黑体" w:cs="Times New Roman"/>
          <w:b/>
          <w:bCs/>
          <w:kern w:val="44"/>
          <w:sz w:val="24"/>
          <w:szCs w:val="44"/>
          <w:highlight w:val="none"/>
          <w:lang w:val="en-US" w:eastAsia="zh-CN" w:bidi="ar-SA"/>
        </w:rPr>
      </w:pPr>
      <w:r>
        <w:rPr>
          <w:rFonts w:hint="eastAsia" w:ascii="Times New Roman" w:hAnsi="Times New Roman" w:eastAsia="黑体" w:cs="Times New Roman"/>
          <w:b/>
          <w:bCs/>
          <w:kern w:val="44"/>
          <w:sz w:val="24"/>
          <w:szCs w:val="44"/>
          <w:highlight w:val="none"/>
          <w:lang w:val="en-US" w:eastAsia="zh-CN" w:bidi="ar-SA"/>
        </w:rPr>
        <w:t>2、“拟委任的主要人员资历表”还应附规定网站中载明的、能够证明总监理工程师具有相关业绩带网址的网页截图复印件。除网页截图复印件外，投标人无须再提供任何业绩证明材料。</w:t>
      </w:r>
    </w:p>
    <w:p>
      <w:pPr>
        <w:shd w:val="clear"/>
        <w:wordWrap w:val="0"/>
        <w:topLinePunct/>
        <w:adjustRightInd w:val="0"/>
        <w:snapToGrid w:val="0"/>
        <w:spacing w:line="360" w:lineRule="auto"/>
        <w:jc w:val="left"/>
        <w:outlineLvl w:val="2"/>
        <w:rPr>
          <w:rFonts w:hint="eastAsia" w:ascii="Times New Roman" w:hAnsi="Times New Roman" w:eastAsia="黑体" w:cs="Times New Roman"/>
          <w:b/>
          <w:bCs/>
          <w:kern w:val="44"/>
          <w:sz w:val="24"/>
          <w:szCs w:val="44"/>
          <w:highlight w:val="none"/>
          <w:lang w:val="en-US" w:eastAsia="zh-CN" w:bidi="ar-SA"/>
        </w:rPr>
      </w:pPr>
      <w:r>
        <w:rPr>
          <w:rFonts w:hint="eastAsia" w:ascii="Times New Roman" w:hAnsi="Times New Roman" w:eastAsia="黑体" w:cs="Times New Roman"/>
          <w:b/>
          <w:bCs/>
          <w:kern w:val="44"/>
          <w:sz w:val="24"/>
          <w:szCs w:val="44"/>
          <w:highlight w:val="none"/>
          <w:lang w:val="en-US" w:eastAsia="zh-CN" w:bidi="ar-SA"/>
        </w:rPr>
        <w:t>3、如投标人未提供相关网页截图复印件或投标人提供的相关信息在规定网站查询的信息无法证实投标人满足招标文件规定的资格审查条件（总监理工程师最低要求），则该项不予认定。</w:t>
      </w:r>
    </w:p>
    <w:p>
      <w:pPr>
        <w:shd w:val="clear"/>
        <w:wordWrap w:val="0"/>
        <w:topLinePunct/>
        <w:adjustRightInd w:val="0"/>
        <w:snapToGrid w:val="0"/>
        <w:spacing w:line="360" w:lineRule="auto"/>
        <w:jc w:val="left"/>
        <w:outlineLvl w:val="2"/>
        <w:rPr>
          <w:rFonts w:hint="eastAsia" w:ascii="Times New Roman" w:hAnsi="Times New Roman" w:eastAsia="黑体" w:cs="Times New Roman"/>
          <w:b/>
          <w:bCs/>
          <w:kern w:val="44"/>
          <w:sz w:val="24"/>
          <w:szCs w:val="44"/>
          <w:highlight w:val="none"/>
          <w:lang w:val="en-US" w:eastAsia="zh-CN" w:bidi="ar-SA"/>
        </w:rPr>
      </w:pPr>
      <w:r>
        <w:rPr>
          <w:rFonts w:hint="eastAsia" w:ascii="Times New Roman" w:hAnsi="Times New Roman" w:eastAsia="黑体" w:cs="Times New Roman"/>
          <w:b/>
          <w:bCs/>
          <w:kern w:val="44"/>
          <w:sz w:val="24"/>
          <w:szCs w:val="44"/>
          <w:highlight w:val="none"/>
          <w:lang w:val="en-US" w:eastAsia="zh-CN" w:bidi="ar-SA"/>
        </w:rPr>
        <w:t>4、如总监理工程师目前仍在其他项目上任职，则投标人应提供承诺上述人员能够到岗本项目的书面承诺。</w:t>
      </w:r>
    </w:p>
    <w:p>
      <w:pPr>
        <w:pStyle w:val="6"/>
        <w:shd w:val="clear"/>
        <w:rPr>
          <w:rFonts w:hint="eastAsia" w:ascii="Times New Roman" w:hAnsi="Times New Roman" w:eastAsia="黑体" w:cs="Times New Roman"/>
          <w:b/>
          <w:bCs/>
          <w:kern w:val="44"/>
          <w:sz w:val="24"/>
          <w:szCs w:val="44"/>
          <w:highlight w:val="none"/>
          <w:lang w:val="en-US" w:eastAsia="zh-CN" w:bidi="ar-SA"/>
        </w:rPr>
      </w:pPr>
      <w:r>
        <w:rPr>
          <w:rFonts w:hint="eastAsia" w:ascii="Times New Roman" w:hAnsi="Times New Roman" w:eastAsia="黑体" w:cs="Times New Roman"/>
          <w:b/>
          <w:bCs/>
          <w:kern w:val="44"/>
          <w:sz w:val="24"/>
          <w:szCs w:val="44"/>
          <w:highlight w:val="none"/>
          <w:lang w:val="en-US" w:eastAsia="zh-CN" w:bidi="ar-SA"/>
        </w:rPr>
        <w:t>5、以联合体形式投标的，总监理工程师应由联合体牵头人提供</w:t>
      </w:r>
    </w:p>
    <w:p>
      <w:pPr>
        <w:pStyle w:val="6"/>
        <w:shd w:val="clear"/>
        <w:rPr>
          <w:rFonts w:hint="eastAsia" w:ascii="Times New Roman" w:hAnsi="Times New Roman" w:eastAsia="黑体" w:cs="Times New Roman"/>
          <w:b/>
          <w:bCs/>
          <w:kern w:val="44"/>
          <w:sz w:val="24"/>
          <w:szCs w:val="44"/>
          <w:highlight w:val="none"/>
          <w:lang w:val="en-US" w:eastAsia="zh-CN" w:bidi="ar-SA"/>
        </w:rPr>
      </w:pPr>
      <w:r>
        <w:rPr>
          <w:rFonts w:hint="eastAsia" w:eastAsia="黑体" w:cs="Times New Roman"/>
          <w:b/>
          <w:bCs/>
          <w:kern w:val="44"/>
          <w:sz w:val="24"/>
          <w:szCs w:val="44"/>
          <w:highlight w:val="none"/>
          <w:lang w:val="en-US" w:eastAsia="zh-CN" w:bidi="ar-SA"/>
        </w:rPr>
        <w:t>6、</w:t>
      </w:r>
      <w:r>
        <w:rPr>
          <w:rFonts w:hint="eastAsia" w:ascii="Times New Roman" w:hAnsi="Times New Roman" w:eastAsia="黑体" w:cs="Times New Roman"/>
          <w:b/>
          <w:bCs/>
          <w:kern w:val="44"/>
          <w:sz w:val="24"/>
          <w:szCs w:val="44"/>
          <w:highlight w:val="none"/>
          <w:lang w:val="en-US" w:eastAsia="zh-CN" w:bidi="ar-SA"/>
        </w:rPr>
        <w:t>本要求为强制性基本要求，投标人如不满足上述强制性资格条件的，将被认为资格审查不合格。</w:t>
      </w:r>
    </w:p>
    <w:p>
      <w:pPr>
        <w:pStyle w:val="6"/>
        <w:shd w:val="clear"/>
        <w:rPr>
          <w:highlight w:val="none"/>
        </w:rPr>
      </w:pPr>
    </w:p>
    <w:p>
      <w:pPr>
        <w:shd w:val="clear"/>
        <w:wordWrap w:val="0"/>
        <w:topLinePunct/>
        <w:adjustRightInd w:val="0"/>
        <w:snapToGrid w:val="0"/>
        <w:spacing w:line="300" w:lineRule="exact"/>
        <w:jc w:val="both"/>
        <w:outlineLvl w:val="2"/>
        <w:rPr>
          <w:rFonts w:eastAsia="黑体"/>
          <w:color w:val="000000"/>
          <w:sz w:val="28"/>
          <w:szCs w:val="28"/>
          <w:highlight w:val="none"/>
        </w:rPr>
      </w:pPr>
    </w:p>
    <w:p>
      <w:pPr>
        <w:shd w:val="clear"/>
        <w:wordWrap w:val="0"/>
        <w:topLinePunct/>
        <w:adjustRightInd w:val="0"/>
        <w:snapToGrid w:val="0"/>
        <w:spacing w:line="300" w:lineRule="exact"/>
        <w:jc w:val="center"/>
        <w:outlineLvl w:val="2"/>
        <w:rPr>
          <w:rFonts w:eastAsia="黑体"/>
          <w:color w:val="000000"/>
          <w:sz w:val="28"/>
          <w:szCs w:val="28"/>
          <w:highlight w:val="none"/>
        </w:rPr>
      </w:pPr>
    </w:p>
    <w:p>
      <w:pPr>
        <w:shd w:val="clear"/>
        <w:wordWrap w:val="0"/>
        <w:topLinePunct/>
        <w:adjustRightInd w:val="0"/>
        <w:snapToGrid w:val="0"/>
        <w:spacing w:line="300" w:lineRule="exact"/>
        <w:jc w:val="center"/>
        <w:outlineLvl w:val="2"/>
        <w:rPr>
          <w:rFonts w:eastAsia="黑体"/>
          <w:color w:val="000000"/>
          <w:sz w:val="28"/>
          <w:szCs w:val="28"/>
          <w:highlight w:val="none"/>
        </w:rPr>
      </w:pPr>
    </w:p>
    <w:p>
      <w:pPr>
        <w:shd w:val="clear"/>
        <w:wordWrap w:val="0"/>
        <w:topLinePunct/>
        <w:adjustRightInd w:val="0"/>
        <w:snapToGrid w:val="0"/>
        <w:spacing w:line="300" w:lineRule="exact"/>
        <w:jc w:val="both"/>
        <w:outlineLvl w:val="2"/>
        <w:rPr>
          <w:rFonts w:eastAsia="黑体"/>
          <w:color w:val="000000"/>
          <w:sz w:val="28"/>
          <w:szCs w:val="28"/>
          <w:highlight w:val="none"/>
        </w:rPr>
      </w:pPr>
    </w:p>
    <w:p>
      <w:pPr>
        <w:shd w:val="clear"/>
        <w:wordWrap w:val="0"/>
        <w:topLinePunct/>
        <w:adjustRightInd w:val="0"/>
        <w:snapToGrid w:val="0"/>
        <w:spacing w:line="300" w:lineRule="exact"/>
        <w:jc w:val="center"/>
        <w:outlineLvl w:val="2"/>
        <w:rPr>
          <w:rFonts w:eastAsia="黑体"/>
          <w:color w:val="000000"/>
          <w:sz w:val="28"/>
          <w:szCs w:val="28"/>
          <w:highlight w:val="none"/>
        </w:rPr>
      </w:pPr>
    </w:p>
    <w:p>
      <w:pPr>
        <w:rPr>
          <w:rFonts w:eastAsia="黑体"/>
          <w:sz w:val="28"/>
          <w:szCs w:val="28"/>
          <w:highlight w:val="none"/>
        </w:rPr>
      </w:pPr>
      <w:r>
        <w:rPr>
          <w:rFonts w:eastAsia="黑体"/>
          <w:sz w:val="28"/>
          <w:szCs w:val="28"/>
          <w:highlight w:val="none"/>
        </w:rPr>
        <w:br w:type="page"/>
      </w:r>
    </w:p>
    <w:p>
      <w:pPr>
        <w:pStyle w:val="2"/>
        <w:shd w:val="clear"/>
        <w:spacing w:before="0" w:after="0" w:line="400" w:lineRule="exact"/>
        <w:jc w:val="center"/>
        <w:rPr>
          <w:rFonts w:eastAsia="黑体"/>
          <w:sz w:val="28"/>
          <w:szCs w:val="28"/>
          <w:highlight w:val="none"/>
        </w:rPr>
      </w:pPr>
      <w:r>
        <w:rPr>
          <w:rFonts w:eastAsia="黑体"/>
          <w:sz w:val="28"/>
          <w:szCs w:val="28"/>
          <w:highlight w:val="none"/>
        </w:rPr>
        <w:t>附录5 资格审查条件（财务最低要求）</w:t>
      </w:r>
      <w:bookmarkEnd w:id="26"/>
      <w:bookmarkEnd w:id="27"/>
      <w:bookmarkEnd w:id="28"/>
    </w:p>
    <w:p>
      <w:pPr>
        <w:shd w:val="clear"/>
        <w:wordWrap w:val="0"/>
        <w:topLinePunct/>
        <w:adjustRightInd w:val="0"/>
        <w:snapToGrid w:val="0"/>
        <w:spacing w:line="300" w:lineRule="exact"/>
        <w:rPr>
          <w:rFonts w:eastAsia="黑体"/>
          <w:color w:val="000000"/>
          <w:sz w:val="28"/>
          <w:szCs w:val="28"/>
          <w:highlight w:val="none"/>
        </w:rPr>
      </w:pPr>
    </w:p>
    <w:tbl>
      <w:tblPr>
        <w:tblStyle w:val="10"/>
        <w:tblW w:w="0" w:type="auto"/>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526"/>
        <w:gridCol w:w="7192"/>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PrEx>
        <w:trPr>
          <w:trHeight w:val="489" w:hRule="atLeast"/>
        </w:trPr>
        <w:tc>
          <w:tcPr>
            <w:tcW w:w="1526" w:type="dxa"/>
            <w:vAlign w:val="center"/>
          </w:tcPr>
          <w:p>
            <w:pPr>
              <w:shd w:val="clear"/>
              <w:wordWrap w:val="0"/>
              <w:topLinePunct/>
              <w:spacing w:line="400" w:lineRule="exact"/>
              <w:jc w:val="center"/>
              <w:rPr>
                <w:rFonts w:eastAsia="黑体"/>
                <w:color w:val="000000"/>
                <w:szCs w:val="21"/>
                <w:highlight w:val="none"/>
              </w:rPr>
            </w:pPr>
            <w:r>
              <w:rPr>
                <w:rFonts w:eastAsia="黑体"/>
                <w:color w:val="000000"/>
                <w:szCs w:val="21"/>
                <w:highlight w:val="none"/>
              </w:rPr>
              <w:t>标段</w:t>
            </w:r>
          </w:p>
        </w:tc>
        <w:tc>
          <w:tcPr>
            <w:tcW w:w="7192" w:type="dxa"/>
            <w:vAlign w:val="center"/>
          </w:tcPr>
          <w:p>
            <w:pPr>
              <w:shd w:val="clear"/>
              <w:wordWrap w:val="0"/>
              <w:topLinePunct/>
              <w:spacing w:line="400" w:lineRule="exact"/>
              <w:jc w:val="center"/>
              <w:rPr>
                <w:rFonts w:eastAsia="黑体"/>
                <w:color w:val="000000"/>
                <w:szCs w:val="21"/>
                <w:highlight w:val="none"/>
              </w:rPr>
            </w:pPr>
            <w:r>
              <w:rPr>
                <w:rFonts w:eastAsia="黑体"/>
                <w:color w:val="000000"/>
                <w:szCs w:val="21"/>
                <w:highlight w:val="none"/>
              </w:rPr>
              <w:t>财务最低要求</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694" w:hRule="atLeast"/>
        </w:trPr>
        <w:tc>
          <w:tcPr>
            <w:tcW w:w="1526" w:type="dxa"/>
            <w:vAlign w:val="center"/>
          </w:tcPr>
          <w:p>
            <w:pPr>
              <w:shd w:val="clear"/>
              <w:wordWrap w:val="0"/>
              <w:topLinePunct/>
              <w:spacing w:line="400" w:lineRule="exact"/>
              <w:jc w:val="center"/>
              <w:rPr>
                <w:rFonts w:eastAsia="仿宋_GB2312"/>
                <w:color w:val="000000"/>
                <w:kern w:val="0"/>
                <w:sz w:val="28"/>
                <w:szCs w:val="28"/>
                <w:highlight w:val="none"/>
              </w:rPr>
            </w:pPr>
            <w:r>
              <w:rPr>
                <w:rFonts w:eastAsia="黑体"/>
                <w:color w:val="000000"/>
                <w:szCs w:val="21"/>
                <w:highlight w:val="none"/>
              </w:rPr>
              <w:t>JL1</w:t>
            </w:r>
          </w:p>
        </w:tc>
        <w:tc>
          <w:tcPr>
            <w:tcW w:w="7192" w:type="dxa"/>
            <w:vAlign w:val="center"/>
          </w:tcPr>
          <w:p>
            <w:pPr>
              <w:shd w:val="clear"/>
              <w:spacing w:line="380" w:lineRule="exact"/>
              <w:ind w:firstLine="420" w:firstLineChars="200"/>
              <w:jc w:val="left"/>
              <w:rPr>
                <w:rFonts w:eastAsia="仿宋_GB2312"/>
                <w:color w:val="000000"/>
                <w:kern w:val="0"/>
                <w:sz w:val="28"/>
                <w:szCs w:val="28"/>
                <w:highlight w:val="none"/>
              </w:rPr>
            </w:pPr>
            <w:r>
              <w:rPr>
                <w:color w:val="000000"/>
                <w:szCs w:val="21"/>
                <w:highlight w:val="none"/>
              </w:rPr>
              <w:t>投标人在</w:t>
            </w:r>
            <w:r>
              <w:rPr>
                <w:rFonts w:hint="eastAsia"/>
                <w:color w:val="000000"/>
                <w:szCs w:val="21"/>
                <w:highlight w:val="none"/>
                <w:lang w:eastAsia="zh-CN"/>
              </w:rPr>
              <w:t>2022年度的年末流动资产与流动负债比大于1</w:t>
            </w:r>
            <w:r>
              <w:rPr>
                <w:color w:val="000000"/>
                <w:szCs w:val="21"/>
                <w:highlight w:val="none"/>
              </w:rPr>
              <w:t>；</w:t>
            </w:r>
          </w:p>
        </w:tc>
      </w:tr>
    </w:tbl>
    <w:p>
      <w:pPr>
        <w:shd w:val="clear"/>
        <w:wordWrap w:val="0"/>
        <w:topLinePunct/>
        <w:adjustRightInd w:val="0"/>
        <w:snapToGrid w:val="0"/>
        <w:spacing w:line="300" w:lineRule="exact"/>
        <w:jc w:val="center"/>
        <w:rPr>
          <w:rFonts w:eastAsia="黑体"/>
          <w:color w:val="000000"/>
          <w:sz w:val="28"/>
          <w:szCs w:val="28"/>
          <w:highlight w:val="none"/>
        </w:rPr>
      </w:pPr>
    </w:p>
    <w:p>
      <w:pPr>
        <w:shd w:val="clear"/>
        <w:adjustRightInd w:val="0"/>
        <w:snapToGrid w:val="0"/>
        <w:spacing w:line="300" w:lineRule="exact"/>
        <w:rPr>
          <w:rFonts w:hint="eastAsia" w:ascii="Times New Roman" w:hAnsi="Times New Roman" w:eastAsia="黑体" w:cs="Times New Roman"/>
          <w:b/>
          <w:bCs/>
          <w:kern w:val="44"/>
          <w:sz w:val="24"/>
          <w:szCs w:val="44"/>
          <w:highlight w:val="none"/>
          <w:lang w:val="en-US" w:eastAsia="zh-CN" w:bidi="ar-SA"/>
        </w:rPr>
      </w:pPr>
      <w:r>
        <w:rPr>
          <w:rFonts w:hint="eastAsia" w:ascii="Times New Roman" w:hAnsi="Times New Roman" w:eastAsia="黑体" w:cs="Times New Roman"/>
          <w:b/>
          <w:bCs/>
          <w:kern w:val="44"/>
          <w:sz w:val="24"/>
          <w:szCs w:val="44"/>
          <w:highlight w:val="none"/>
          <w:lang w:val="en-US" w:eastAsia="zh-CN" w:bidi="ar-SA"/>
        </w:rPr>
        <w:t>注：本要求为强制性基本要求，投标人如不满足上述强制性资格条件的，将被认为资格审查不合格</w:t>
      </w:r>
      <w:r>
        <w:rPr>
          <w:rFonts w:hint="eastAsia" w:eastAsia="黑体" w:cs="Times New Roman"/>
          <w:b/>
          <w:bCs/>
          <w:kern w:val="44"/>
          <w:sz w:val="24"/>
          <w:szCs w:val="44"/>
          <w:highlight w:val="none"/>
          <w:lang w:val="en-US" w:eastAsia="zh-CN" w:bidi="ar-SA"/>
        </w:rPr>
        <w:t>，以联合体形式投标的，联合体各成员均须满足上述要求</w:t>
      </w:r>
      <w:r>
        <w:rPr>
          <w:rFonts w:hint="eastAsia" w:ascii="Times New Roman" w:hAnsi="Times New Roman" w:eastAsia="黑体" w:cs="Times New Roman"/>
          <w:b/>
          <w:bCs/>
          <w:kern w:val="44"/>
          <w:sz w:val="24"/>
          <w:szCs w:val="44"/>
          <w:highlight w:val="none"/>
          <w:lang w:val="en-US" w:eastAsia="zh-CN" w:bidi="ar-SA"/>
        </w:rPr>
        <w:t>。</w:t>
      </w:r>
    </w:p>
    <w:p>
      <w:pPr>
        <w:pStyle w:val="7"/>
        <w:rPr>
          <w:rFonts w:hint="eastAsia"/>
          <w:lang w:val="en-US" w:eastAsia="zh-CN"/>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隶书">
    <w:altName w:val="微软雅黑"/>
    <w:panose1 w:val="0201050906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hint="eastAsia"/>
        <w:sz w:val="17"/>
        <w:szCs w:val="17"/>
        <w:lang w:eastAsia="zh-CN"/>
      </w:rPr>
    </w:pPr>
    <w:r>
      <w:rPr>
        <w:bCs/>
        <w:sz w:val="17"/>
        <w:szCs w:val="17"/>
      </w:rPr>
      <w:fldChar w:fldCharType="begin"/>
    </w:r>
    <w:r>
      <w:rPr>
        <w:bCs/>
        <w:sz w:val="17"/>
        <w:szCs w:val="17"/>
      </w:rPr>
      <w:instrText xml:space="preserve">PAGE</w:instrText>
    </w:r>
    <w:r>
      <w:rPr>
        <w:bCs/>
        <w:sz w:val="17"/>
        <w:szCs w:val="17"/>
      </w:rPr>
      <w:fldChar w:fldCharType="separate"/>
    </w:r>
    <w:r>
      <w:rPr>
        <w:bCs/>
        <w:sz w:val="17"/>
        <w:szCs w:val="17"/>
      </w:rPr>
      <w:t>104</w:t>
    </w:r>
    <w:r>
      <w:rPr>
        <w:bCs/>
        <w:sz w:val="17"/>
        <w:szCs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8"/>
        <w:spacing w:line="300" w:lineRule="atLeast"/>
        <w:ind w:left="180" w:hanging="180" w:hangingChars="100"/>
        <w:rPr>
          <w:szCs w:val="18"/>
        </w:rPr>
      </w:pPr>
      <w:r>
        <w:rPr>
          <w:rStyle w:val="13"/>
          <w:rFonts w:hint="eastAsia" w:ascii="宋体" w:hAnsi="宋体" w:cs="宋体"/>
        </w:rPr>
        <w:footnoteRef/>
      </w:r>
      <w:r>
        <w:rPr>
          <w:rFonts w:hint="eastAsia" w:ascii="宋体" w:hAnsi="宋体"/>
          <w:szCs w:val="18"/>
        </w:rPr>
        <w:t>“</w:t>
      </w:r>
      <w:r>
        <w:rPr>
          <w:rFonts w:hint="eastAsia"/>
          <w:szCs w:val="18"/>
        </w:rPr>
        <w:t>评标办法前附表</w:t>
      </w:r>
      <w:r>
        <w:rPr>
          <w:rFonts w:hint="eastAsia" w:ascii="宋体" w:hAnsi="宋体"/>
          <w:szCs w:val="18"/>
        </w:rPr>
        <w:t>”</w:t>
      </w:r>
      <w:r>
        <w:rPr>
          <w:rFonts w:hint="eastAsia"/>
          <w:szCs w:val="18"/>
        </w:rPr>
        <w:t>用于进一步明确正文中的未尽事宜，由招标人根据招标项目具体特点和实际需要编制和填写。评标办法前附表是对评标办法正文的补充和细化，应对照评标办法正文中同一编号的条款一起阅读和理解。</w:t>
      </w:r>
      <w:r>
        <w:rPr>
          <w:rFonts w:hint="eastAsia" w:ascii="黑体" w:hAnsi="黑体" w:eastAsia="黑体"/>
          <w:szCs w:val="18"/>
        </w:rPr>
        <w:t>如前附表与正文不一致时，以前附表的规定为准。</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C4B6E1"/>
    <w:multiLevelType w:val="singleLevel"/>
    <w:tmpl w:val="9DC4B6E1"/>
    <w:lvl w:ilvl="0" w:tentative="0">
      <w:start w:val="2"/>
      <w:numFmt w:val="decimal"/>
      <w:suff w:val="nothing"/>
      <w:lvlText w:val="%1、"/>
      <w:lvlJc w:val="left"/>
    </w:lvl>
  </w:abstractNum>
  <w:abstractNum w:abstractNumId="1">
    <w:nsid w:val="F2695E1F"/>
    <w:multiLevelType w:val="multilevel"/>
    <w:tmpl w:val="F2695E1F"/>
    <w:lvl w:ilvl="0" w:tentative="0">
      <w:start w:val="2"/>
      <w:numFmt w:val="decimal"/>
      <w:suff w:val="space"/>
      <w:lvlText w:val="%1."/>
      <w:lvlJc w:val="left"/>
      <w:pPr>
        <w:tabs>
          <w:tab w:val="left" w:pos="0"/>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7BBD47F9"/>
    <w:multiLevelType w:val="multilevel"/>
    <w:tmpl w:val="7BBD47F9"/>
    <w:lvl w:ilvl="0" w:tentative="0">
      <w:start w:val="1"/>
      <w:numFmt w:val="decimal"/>
      <w:lvlText w:val="%1."/>
      <w:lvlJc w:val="left"/>
      <w:pPr>
        <w:tabs>
          <w:tab w:val="left" w:pos="425"/>
        </w:tabs>
        <w:ind w:left="425" w:hanging="425"/>
      </w:pPr>
    </w:lvl>
    <w:lvl w:ilvl="1" w:tentative="0">
      <w:start w:val="1"/>
      <w:numFmt w:val="decimal"/>
      <w:pStyle w:val="3"/>
      <w:lvlText w:val="%1.%2."/>
      <w:lvlJc w:val="left"/>
      <w:pPr>
        <w:tabs>
          <w:tab w:val="left" w:pos="747"/>
        </w:tabs>
        <w:ind w:left="747" w:hanging="567"/>
      </w:pPr>
    </w:lvl>
    <w:lvl w:ilvl="2" w:tentative="0">
      <w:start w:val="1"/>
      <w:numFmt w:val="decimal"/>
      <w:pStyle w:val="5"/>
      <w:lvlText w:val="%1.%2.%3."/>
      <w:lvlJc w:val="left"/>
      <w:pPr>
        <w:tabs>
          <w:tab w:val="left" w:pos="3229"/>
        </w:tabs>
        <w:ind w:left="322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mZDA3YTdmMWRiYTkxOGJjMTJiZmQ3ZDJiZmYyZTgifQ=="/>
  </w:docVars>
  <w:rsids>
    <w:rsidRoot w:val="00000000"/>
    <w:rsid w:val="01316095"/>
    <w:rsid w:val="02437FE5"/>
    <w:rsid w:val="03300B74"/>
    <w:rsid w:val="05033514"/>
    <w:rsid w:val="0523414B"/>
    <w:rsid w:val="09DF1E9B"/>
    <w:rsid w:val="0A4E6E4F"/>
    <w:rsid w:val="0B2175AD"/>
    <w:rsid w:val="0C5A6BC6"/>
    <w:rsid w:val="0C736120"/>
    <w:rsid w:val="0CBC5416"/>
    <w:rsid w:val="0E3B7A5A"/>
    <w:rsid w:val="0E625A7E"/>
    <w:rsid w:val="0E7512D7"/>
    <w:rsid w:val="0E906343"/>
    <w:rsid w:val="0EAE01D5"/>
    <w:rsid w:val="10045679"/>
    <w:rsid w:val="10064C43"/>
    <w:rsid w:val="10834E88"/>
    <w:rsid w:val="10970028"/>
    <w:rsid w:val="11091997"/>
    <w:rsid w:val="11FA6ADD"/>
    <w:rsid w:val="12D00B9D"/>
    <w:rsid w:val="12EB1067"/>
    <w:rsid w:val="141F375B"/>
    <w:rsid w:val="17C63225"/>
    <w:rsid w:val="18195F29"/>
    <w:rsid w:val="19DD2662"/>
    <w:rsid w:val="1A1C095E"/>
    <w:rsid w:val="1A8D1892"/>
    <w:rsid w:val="1C8B2F38"/>
    <w:rsid w:val="1DA405DC"/>
    <w:rsid w:val="1F137D35"/>
    <w:rsid w:val="20671621"/>
    <w:rsid w:val="21DF5765"/>
    <w:rsid w:val="22163A4B"/>
    <w:rsid w:val="23021578"/>
    <w:rsid w:val="24A90073"/>
    <w:rsid w:val="2596429A"/>
    <w:rsid w:val="27467BF8"/>
    <w:rsid w:val="27B50FA0"/>
    <w:rsid w:val="2C0E3266"/>
    <w:rsid w:val="2D8D16AD"/>
    <w:rsid w:val="2DF636BC"/>
    <w:rsid w:val="2DF8371A"/>
    <w:rsid w:val="30A77B3C"/>
    <w:rsid w:val="36A749B5"/>
    <w:rsid w:val="37A52CD8"/>
    <w:rsid w:val="39963EBE"/>
    <w:rsid w:val="3B0D1CF3"/>
    <w:rsid w:val="3B8C53F7"/>
    <w:rsid w:val="3CEF0966"/>
    <w:rsid w:val="3E787EB3"/>
    <w:rsid w:val="3E873340"/>
    <w:rsid w:val="3F444A51"/>
    <w:rsid w:val="3F941D59"/>
    <w:rsid w:val="400D2A26"/>
    <w:rsid w:val="41203AB4"/>
    <w:rsid w:val="43C52DE7"/>
    <w:rsid w:val="459D05B9"/>
    <w:rsid w:val="476502E9"/>
    <w:rsid w:val="48685C58"/>
    <w:rsid w:val="48D173F5"/>
    <w:rsid w:val="4A0D7212"/>
    <w:rsid w:val="4BC87C0B"/>
    <w:rsid w:val="4C3324EA"/>
    <w:rsid w:val="4C3A1A34"/>
    <w:rsid w:val="4CF75741"/>
    <w:rsid w:val="4D4B02A5"/>
    <w:rsid w:val="504F0C8D"/>
    <w:rsid w:val="50BE34BA"/>
    <w:rsid w:val="510E3EA0"/>
    <w:rsid w:val="520C26B9"/>
    <w:rsid w:val="53D91D29"/>
    <w:rsid w:val="54367C69"/>
    <w:rsid w:val="54E53340"/>
    <w:rsid w:val="594534A5"/>
    <w:rsid w:val="5AF71447"/>
    <w:rsid w:val="5B935EF6"/>
    <w:rsid w:val="5BFF68B8"/>
    <w:rsid w:val="5F2463C0"/>
    <w:rsid w:val="5F437E20"/>
    <w:rsid w:val="60A77B3F"/>
    <w:rsid w:val="60D05622"/>
    <w:rsid w:val="61A53DE6"/>
    <w:rsid w:val="64BC7CA0"/>
    <w:rsid w:val="654206A0"/>
    <w:rsid w:val="6585509B"/>
    <w:rsid w:val="674921F7"/>
    <w:rsid w:val="67735F56"/>
    <w:rsid w:val="67F0317C"/>
    <w:rsid w:val="68053EA4"/>
    <w:rsid w:val="686831B5"/>
    <w:rsid w:val="6A6A4AD9"/>
    <w:rsid w:val="6BE134A7"/>
    <w:rsid w:val="6C3443C2"/>
    <w:rsid w:val="6C7831F0"/>
    <w:rsid w:val="6D6D3924"/>
    <w:rsid w:val="6DEF5FC1"/>
    <w:rsid w:val="70F76357"/>
    <w:rsid w:val="711766CD"/>
    <w:rsid w:val="71CD1D9F"/>
    <w:rsid w:val="722C7243"/>
    <w:rsid w:val="73837D93"/>
    <w:rsid w:val="7496262F"/>
    <w:rsid w:val="754F5BAD"/>
    <w:rsid w:val="769B03C7"/>
    <w:rsid w:val="77EE5AAC"/>
    <w:rsid w:val="7859276B"/>
    <w:rsid w:val="78792729"/>
    <w:rsid w:val="79C75176"/>
    <w:rsid w:val="7AED65E1"/>
    <w:rsid w:val="7BEC4CEA"/>
    <w:rsid w:val="7BF36B44"/>
    <w:rsid w:val="7DCD0798"/>
    <w:rsid w:val="7E6A74B5"/>
    <w:rsid w:val="7F5F7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99"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4"/>
    <w:qFormat/>
    <w:uiPriority w:val="99"/>
    <w:pPr>
      <w:keepNext/>
      <w:keepLines/>
      <w:numPr>
        <w:ilvl w:val="1"/>
        <w:numId w:val="1"/>
      </w:numPr>
      <w:spacing w:before="260" w:after="260" w:line="480" w:lineRule="exact"/>
      <w:jc w:val="center"/>
      <w:outlineLvl w:val="1"/>
    </w:pPr>
    <w:rPr>
      <w:rFonts w:ascii="宋体" w:hAnsi="宋体" w:eastAsia="黑体"/>
      <w:bCs/>
      <w:i/>
      <w:iCs/>
      <w:sz w:val="24"/>
      <w:szCs w:val="20"/>
    </w:rPr>
  </w:style>
  <w:style w:type="paragraph" w:styleId="5">
    <w:name w:val="heading 3"/>
    <w:basedOn w:val="1"/>
    <w:next w:val="4"/>
    <w:qFormat/>
    <w:uiPriority w:val="99"/>
    <w:pPr>
      <w:keepNext/>
      <w:keepLines/>
      <w:widowControl/>
      <w:numPr>
        <w:ilvl w:val="2"/>
        <w:numId w:val="1"/>
      </w:numPr>
      <w:spacing w:before="120" w:after="120" w:line="360" w:lineRule="auto"/>
      <w:jc w:val="center"/>
      <w:outlineLvl w:val="2"/>
    </w:pPr>
    <w:rPr>
      <w:b/>
      <w:kern w:val="0"/>
      <w:sz w:val="32"/>
      <w:szCs w:val="20"/>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420" w:firstLineChars="200"/>
    </w:pPr>
  </w:style>
  <w:style w:type="paragraph" w:styleId="6">
    <w:name w:val="Body Text"/>
    <w:basedOn w:val="1"/>
    <w:next w:val="1"/>
    <w:qFormat/>
    <w:uiPriority w:val="0"/>
    <w:pPr>
      <w:spacing w:after="120"/>
    </w:p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footnote text"/>
    <w:basedOn w:val="1"/>
    <w:qFormat/>
    <w:uiPriority w:val="99"/>
    <w:pPr>
      <w:adjustRightInd w:val="0"/>
      <w:snapToGrid w:val="0"/>
      <w:spacing w:line="420" w:lineRule="atLeast"/>
      <w:ind w:firstLine="454"/>
      <w:jc w:val="left"/>
      <w:textAlignment w:val="baseline"/>
    </w:pPr>
    <w:rPr>
      <w:kern w:val="0"/>
      <w:sz w:val="18"/>
      <w:szCs w:val="20"/>
    </w:rPr>
  </w:style>
  <w:style w:type="paragraph" w:styleId="9">
    <w:name w:val="Normal (Web)"/>
    <w:basedOn w:val="1"/>
    <w:next w:val="1"/>
    <w:qFormat/>
    <w:uiPriority w:val="0"/>
    <w:pPr>
      <w:widowControl/>
      <w:spacing w:before="100" w:beforeAutospacing="1" w:after="100" w:afterAutospacing="1"/>
      <w:jc w:val="left"/>
    </w:pPr>
    <w:rPr>
      <w:rFonts w:ascii="宋体" w:hAnsi="宋体" w:cs="宋体"/>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footnote reference"/>
    <w:qFormat/>
    <w:uiPriority w:val="99"/>
    <w:rPr>
      <w:vertAlign w:val="superscript"/>
    </w:rPr>
  </w:style>
  <w:style w:type="paragraph" w:customStyle="1" w:styleId="14">
    <w:name w:val="样式 标题 3 + (中文) 黑体 小四 非加粗 段前: 7.8 磅 段后: 0 磅 行距: 固定值 20 磅"/>
    <w:basedOn w:val="5"/>
    <w:qFormat/>
    <w:uiPriority w:val="99"/>
    <w:pPr>
      <w:widowControl w:val="0"/>
      <w:numPr>
        <w:ilvl w:val="0"/>
        <w:numId w:val="0"/>
      </w:numPr>
      <w:tabs>
        <w:tab w:val="clear" w:pos="3229"/>
      </w:tabs>
      <w:spacing w:before="0" w:after="0" w:line="400" w:lineRule="exact"/>
      <w:jc w:val="both"/>
    </w:pPr>
    <w:rPr>
      <w:rFonts w:eastAsia="黑体" w:cs="宋体"/>
      <w:b w:val="0"/>
      <w:kern w:val="2"/>
      <w:sz w:val="24"/>
    </w:rPr>
  </w:style>
  <w:style w:type="character" w:customStyle="1" w:styleId="15">
    <w:name w:val="font161"/>
    <w:qFormat/>
    <w:uiPriority w:val="99"/>
    <w:rPr>
      <w:b/>
      <w:bCs/>
      <w:sz w:val="32"/>
      <w:szCs w:val="32"/>
    </w:rPr>
  </w:style>
  <w:style w:type="paragraph" w:customStyle="1" w:styleId="16">
    <w:name w:val="第一条-3级"/>
    <w:basedOn w:val="17"/>
    <w:uiPriority w:val="99"/>
    <w:pPr>
      <w:adjustRightInd w:val="0"/>
      <w:snapToGrid w:val="0"/>
      <w:spacing w:before="240" w:afterLines="50" w:line="360" w:lineRule="auto"/>
      <w:jc w:val="left"/>
      <w:outlineLvl w:val="2"/>
    </w:pPr>
    <w:rPr>
      <w:rFonts w:cs="Times New Roman"/>
      <w:lang w:val="en-US" w:eastAsia="zh-CN"/>
    </w:rPr>
  </w:style>
  <w:style w:type="paragraph" w:customStyle="1" w:styleId="17">
    <w:name w:val="样式 标题 2 + Times New Roman 四号 非加粗 段前: 5 磅 段后: 0 磅 行距: 固定值 20..."/>
    <w:basedOn w:val="3"/>
    <w:uiPriority w:val="99"/>
    <w:pPr>
      <w:numPr>
        <w:ilvl w:val="0"/>
        <w:numId w:val="0"/>
      </w:numPr>
      <w:tabs>
        <w:tab w:val="clear" w:pos="747"/>
      </w:tabs>
      <w:spacing w:before="100" w:after="0" w:line="400" w:lineRule="exact"/>
      <w:jc w:val="both"/>
    </w:pPr>
    <w:rPr>
      <w:rFonts w:ascii="Times New Roman" w:hAnsi="Times New Roman" w:cs="宋体"/>
      <w:bCs w:val="0"/>
      <w:i w:val="0"/>
      <w:iCs w:val="0"/>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2023-07-14T08:53:00Z</dcterms:created>
  <dc:creator>Administrator</dc:creator>
  <cp:lastModifiedBy>WPS_1699842243</cp:lastModifiedBy>
  <dcterms:modified xsi:type="dcterms:W3CDTF">2023-11-16T00:34:12Z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107A64B477AE48A69243114F391B0679_12</vt:lpwstr>
  </property>
</Properties>
</file>