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27E08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已标价工程量清单</w:t>
      </w:r>
    </w:p>
    <w:p w14:paraId="1779CD34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</w:t>
      </w:r>
    </w:p>
    <w:p w14:paraId="4C386BEE">
      <w:pPr>
        <w:spacing w:line="360" w:lineRule="auto"/>
        <w:ind w:firstLine="420" w:firstLineChars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.已标价工程量清单应按工程量清单报价相关要求进行填报；</w:t>
      </w:r>
    </w:p>
    <w:p w14:paraId="2B91625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0"/>
        <w:jc w:val="both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.已标价工程量清单的扉页（仅指报价总价扉页）应由注册或登记在本单位的造价人员签字并盖执业印章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。供应商委托工程造价咨询企业编制已标价工程量清单的，应在施工响应文件中附工程造价咨询委托合同，由注册或登记在工程造价咨询企业的造价人员签字并盖执业印章。</w:t>
      </w:r>
    </w:p>
    <w:p w14:paraId="0375F454">
      <w:pPr>
        <w:spacing w:line="360" w:lineRule="auto"/>
        <w:ind w:firstLine="420" w:firstLineChars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.已标价工程量清单原件扫描成PDF格式，以附件形式上传，作为响应文件的组成部分。</w:t>
      </w:r>
      <w:bookmarkStart w:id="0" w:name="_GoBack"/>
      <w:bookmarkEnd w:id="0"/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9D9187"/>
    <w:rsid w:val="001D4EBE"/>
    <w:rsid w:val="005057F6"/>
    <w:rsid w:val="0075781D"/>
    <w:rsid w:val="00854545"/>
    <w:rsid w:val="00962EE1"/>
    <w:rsid w:val="00A54483"/>
    <w:rsid w:val="00F45B1B"/>
    <w:rsid w:val="2231326C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124</Characters>
  <Lines>1</Lines>
  <Paragraphs>1</Paragraphs>
  <TotalTime>0</TotalTime>
  <ScaleCrop>false</ScaleCrop>
  <LinksUpToDate>false</LinksUpToDate>
  <CharactersWithSpaces>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2023-11-21T06:45:00Z</dcterms:created>
  <dc:creator>linyan</dc:creator>
  <cp:lastModifiedBy>183----6509</cp:lastModifiedBy>
  <dcterms:modified xsi:type="dcterms:W3CDTF">2025-04-11T08:17:03Z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eyJoZGlkIjoiMWM5MmI3NWY1ZGRjMDA2NzMxOTkzYTg3ZmFhYzg1ZDQiLCJ1c2VySWQiOiI0MDA0NjczMzgifQ==</vt:lpwstr>
  </property>
  <property fmtid="{D5CDD505-2E9C-101B-9397-08002B2CF9AE}" pid="4" name="ICV">
    <vt:lpwstr>00696F1189704703BE66916749525322_12</vt:lpwstr>
  </property>
</Properties>
</file>