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A19C3E">
      <w:pPr>
        <w:keepNext w:val="0"/>
        <w:keepLines w:val="0"/>
        <w:pageBreakBefore w:val="0"/>
        <w:widowControl w:val="0"/>
        <w:suppressAutoHyphens/>
        <w:kinsoku/>
        <w:wordWrap/>
        <w:overflowPunct/>
        <w:topLinePunct w:val="0"/>
        <w:autoSpaceDE/>
        <w:autoSpaceDN/>
        <w:bidi w:val="0"/>
        <w:adjustRightInd/>
        <w:snapToGrid/>
        <w:spacing w:after="313" w:afterLines="100" w:line="592" w:lineRule="exact"/>
        <w:jc w:val="center"/>
        <w:textAlignment w:val="auto"/>
        <w:rPr>
          <w:rFonts w:hint="default" w:ascii="Times New Roman" w:hAnsi="Times New Roman" w:eastAsia="仿宋_GB2312" w:cs="Times New Roman"/>
          <w:color w:val="auto"/>
          <w:sz w:val="36"/>
          <w:szCs w:val="36"/>
          <w:highlight w:val="none"/>
        </w:rPr>
      </w:pPr>
      <w:r>
        <w:rPr>
          <w:rFonts w:hint="default" w:ascii="Times New Roman" w:hAnsi="Times New Roman" w:eastAsia="方正小标宋简体" w:cs="Times New Roman"/>
          <w:color w:val="auto"/>
          <w:sz w:val="40"/>
          <w:szCs w:val="40"/>
          <w:highlight w:val="none"/>
        </w:rPr>
        <w:t>合肥市科技馆202</w:t>
      </w:r>
      <w:r>
        <w:rPr>
          <w:rFonts w:hint="default" w:ascii="Times New Roman" w:hAnsi="Times New Roman" w:eastAsia="方正小标宋简体" w:cs="Times New Roman"/>
          <w:color w:val="auto"/>
          <w:sz w:val="40"/>
          <w:szCs w:val="40"/>
          <w:highlight w:val="none"/>
          <w:lang w:val="en-US" w:eastAsia="zh-CN"/>
        </w:rPr>
        <w:t>6</w:t>
      </w:r>
      <w:r>
        <w:rPr>
          <w:rFonts w:hint="default" w:ascii="Times New Roman" w:hAnsi="Times New Roman" w:eastAsia="方正小标宋简体" w:cs="Times New Roman"/>
          <w:color w:val="auto"/>
          <w:sz w:val="40"/>
          <w:szCs w:val="40"/>
          <w:highlight w:val="none"/>
        </w:rPr>
        <w:t>年度保险采购项目招标文件</w:t>
      </w:r>
    </w:p>
    <w:p w14:paraId="7E731A73">
      <w:pPr>
        <w:keepNext w:val="0"/>
        <w:keepLines w:val="0"/>
        <w:pageBreakBefore w:val="0"/>
        <w:widowControl/>
        <w:numPr>
          <w:ilvl w:val="0"/>
          <w:numId w:val="0"/>
        </w:numPr>
        <w:suppressAutoHyphens/>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黑体简体" w:cs="Times New Roman"/>
          <w:b w:val="0"/>
          <w:bCs/>
          <w:color w:val="auto"/>
          <w:sz w:val="32"/>
          <w:szCs w:val="32"/>
          <w:highlight w:val="none"/>
          <w:lang w:val="en-US" w:eastAsia="zh-CN"/>
        </w:rPr>
      </w:pPr>
      <w:r>
        <w:rPr>
          <w:rFonts w:hint="default" w:ascii="Times New Roman" w:hAnsi="Times New Roman" w:eastAsia="方正黑体简体" w:cs="Times New Roman"/>
          <w:b w:val="0"/>
          <w:bCs/>
          <w:color w:val="auto"/>
          <w:sz w:val="32"/>
          <w:szCs w:val="32"/>
          <w:highlight w:val="none"/>
          <w:lang w:val="en-US" w:eastAsia="zh-CN"/>
        </w:rPr>
        <w:t>一、保险项目</w:t>
      </w:r>
    </w:p>
    <w:p w14:paraId="61FF2AD4">
      <w:pPr>
        <w:keepNext w:val="0"/>
        <w:keepLines w:val="0"/>
        <w:pageBreakBefore w:val="0"/>
        <w:widowControl/>
        <w:suppressAutoHyphens/>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本项目采购保险险种为财产一切险、公众责任险、现金险、雇主责任险、团体人身意外伤害险。</w:t>
      </w:r>
    </w:p>
    <w:p w14:paraId="7F2BFE90">
      <w:pPr>
        <w:keepNext w:val="0"/>
        <w:keepLines w:val="0"/>
        <w:pageBreakBefore w:val="0"/>
        <w:widowControl/>
        <w:suppressAutoHyphens/>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eastAsia" w:eastAsia="方正黑体简体" w:cs="Times New Roman"/>
          <w:b w:val="0"/>
          <w:bCs/>
          <w:color w:val="auto"/>
          <w:sz w:val="32"/>
          <w:szCs w:val="32"/>
          <w:highlight w:val="none"/>
          <w:lang w:val="en-US" w:eastAsia="zh-CN"/>
        </w:rPr>
        <w:t>二、</w:t>
      </w:r>
      <w:r>
        <w:rPr>
          <w:rFonts w:hint="default" w:ascii="Times New Roman" w:hAnsi="Times New Roman" w:eastAsia="方正黑体简体" w:cs="Times New Roman"/>
          <w:b w:val="0"/>
          <w:bCs/>
          <w:color w:val="auto"/>
          <w:sz w:val="32"/>
          <w:szCs w:val="32"/>
          <w:highlight w:val="none"/>
          <w:lang w:val="en-US" w:eastAsia="zh-CN"/>
        </w:rPr>
        <w:t>保险方案</w:t>
      </w:r>
    </w:p>
    <w:tbl>
      <w:tblPr>
        <w:tblStyle w:val="26"/>
        <w:tblpPr w:leftFromText="180" w:rightFromText="180" w:vertAnchor="text" w:tblpXSpec="left" w:tblpY="1"/>
        <w:tblOverlap w:val="never"/>
        <w:tblW w:w="8703" w:type="dxa"/>
        <w:tblInd w:w="0" w:type="dxa"/>
        <w:tblLayout w:type="fixed"/>
        <w:tblCellMar>
          <w:top w:w="0" w:type="dxa"/>
          <w:left w:w="108" w:type="dxa"/>
          <w:bottom w:w="0" w:type="dxa"/>
          <w:right w:w="108" w:type="dxa"/>
        </w:tblCellMar>
      </w:tblPr>
      <w:tblGrid>
        <w:gridCol w:w="501"/>
        <w:gridCol w:w="1438"/>
        <w:gridCol w:w="3403"/>
        <w:gridCol w:w="1759"/>
        <w:gridCol w:w="1602"/>
      </w:tblGrid>
      <w:tr w14:paraId="5009FF29">
        <w:tblPrEx>
          <w:tblCellMar>
            <w:top w:w="0" w:type="dxa"/>
            <w:left w:w="108" w:type="dxa"/>
            <w:bottom w:w="0" w:type="dxa"/>
            <w:right w:w="108" w:type="dxa"/>
          </w:tblCellMar>
        </w:tblPrEx>
        <w:trPr>
          <w:trHeight w:val="964" w:hRule="atLeast"/>
        </w:trPr>
        <w:tc>
          <w:tcPr>
            <w:tcW w:w="5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06A25A">
            <w:pPr>
              <w:shd w:val="clear" w:color="auto" w:fill="FFFFFF"/>
              <w:spacing w:before="100" w:beforeAutospacing="1" w:after="100" w:afterAutospacing="1"/>
              <w:jc w:val="center"/>
              <w:rPr>
                <w:rFonts w:hint="default" w:ascii="Times New Roman" w:hAnsi="Times New Roman" w:eastAsia="仿宋_GB2312" w:cs="Times New Roman"/>
                <w:b/>
                <w:bCs/>
                <w:color w:val="auto"/>
                <w:kern w:val="2"/>
                <w:sz w:val="24"/>
                <w:szCs w:val="24"/>
                <w:highlight w:val="none"/>
                <w:lang w:val="en-US" w:eastAsia="zh-CN" w:bidi="ar-SA"/>
              </w:rPr>
            </w:pPr>
            <w:r>
              <w:rPr>
                <w:rFonts w:hint="default" w:ascii="Times New Roman" w:hAnsi="Times New Roman" w:eastAsia="仿宋_GB2312" w:cs="Times New Roman"/>
                <w:b/>
                <w:bCs/>
                <w:color w:val="auto"/>
                <w:kern w:val="2"/>
                <w:sz w:val="24"/>
                <w:szCs w:val="24"/>
                <w:highlight w:val="none"/>
                <w:lang w:val="en-US" w:eastAsia="zh-CN" w:bidi="ar-SA"/>
              </w:rPr>
              <w:t>序号</w:t>
            </w:r>
          </w:p>
        </w:tc>
        <w:tc>
          <w:tcPr>
            <w:tcW w:w="1438" w:type="dxa"/>
            <w:tcBorders>
              <w:top w:val="single" w:color="auto" w:sz="4" w:space="0"/>
              <w:left w:val="nil"/>
              <w:bottom w:val="single" w:color="auto" w:sz="4" w:space="0"/>
              <w:right w:val="single" w:color="auto" w:sz="4" w:space="0"/>
            </w:tcBorders>
            <w:shd w:val="clear" w:color="auto" w:fill="auto"/>
            <w:noWrap/>
            <w:vAlign w:val="center"/>
          </w:tcPr>
          <w:p w14:paraId="3CA13D51">
            <w:pPr>
              <w:shd w:val="clear" w:color="auto" w:fill="FFFFFF"/>
              <w:spacing w:before="100" w:beforeAutospacing="1" w:after="100" w:afterAutospacing="1"/>
              <w:jc w:val="center"/>
              <w:rPr>
                <w:rFonts w:hint="default" w:ascii="Times New Roman" w:hAnsi="Times New Roman" w:eastAsia="仿宋_GB2312" w:cs="Times New Roman"/>
                <w:b/>
                <w:bCs/>
                <w:color w:val="auto"/>
                <w:kern w:val="2"/>
                <w:sz w:val="24"/>
                <w:szCs w:val="24"/>
                <w:highlight w:val="none"/>
                <w:lang w:val="en-US" w:eastAsia="zh-CN" w:bidi="ar-SA"/>
              </w:rPr>
            </w:pPr>
            <w:r>
              <w:rPr>
                <w:rFonts w:hint="default" w:ascii="Times New Roman" w:hAnsi="Times New Roman" w:eastAsia="仿宋_GB2312" w:cs="Times New Roman"/>
                <w:b/>
                <w:bCs/>
                <w:color w:val="auto"/>
                <w:kern w:val="2"/>
                <w:sz w:val="24"/>
                <w:szCs w:val="24"/>
                <w:highlight w:val="none"/>
                <w:lang w:val="en-US" w:eastAsia="zh-CN" w:bidi="ar-SA"/>
              </w:rPr>
              <w:t>保险项目</w:t>
            </w:r>
          </w:p>
        </w:tc>
        <w:tc>
          <w:tcPr>
            <w:tcW w:w="3403" w:type="dxa"/>
            <w:tcBorders>
              <w:top w:val="single" w:color="auto" w:sz="4" w:space="0"/>
              <w:left w:val="nil"/>
              <w:bottom w:val="single" w:color="auto" w:sz="4" w:space="0"/>
              <w:right w:val="single" w:color="auto" w:sz="4" w:space="0"/>
            </w:tcBorders>
            <w:shd w:val="clear" w:color="auto" w:fill="auto"/>
            <w:noWrap/>
            <w:vAlign w:val="center"/>
          </w:tcPr>
          <w:p w14:paraId="6DFAE632">
            <w:pPr>
              <w:shd w:val="clear" w:color="auto" w:fill="FFFFFF"/>
              <w:tabs>
                <w:tab w:val="left" w:pos="618"/>
                <w:tab w:val="center" w:pos="2924"/>
              </w:tabs>
              <w:spacing w:before="100" w:beforeAutospacing="1" w:after="100" w:afterAutospacing="1"/>
              <w:jc w:val="center"/>
              <w:rPr>
                <w:rFonts w:hint="default" w:ascii="Times New Roman" w:hAnsi="Times New Roman" w:eastAsia="仿宋_GB2312" w:cs="Times New Roman"/>
                <w:b/>
                <w:bCs/>
                <w:color w:val="auto"/>
                <w:kern w:val="2"/>
                <w:sz w:val="24"/>
                <w:szCs w:val="24"/>
                <w:highlight w:val="none"/>
                <w:lang w:val="en-US" w:eastAsia="zh-CN" w:bidi="ar-SA"/>
              </w:rPr>
            </w:pPr>
            <w:r>
              <w:rPr>
                <w:rFonts w:hint="default" w:ascii="Times New Roman" w:hAnsi="Times New Roman" w:eastAsia="仿宋_GB2312" w:cs="Times New Roman"/>
                <w:b/>
                <w:bCs/>
                <w:color w:val="auto"/>
                <w:kern w:val="2"/>
                <w:sz w:val="24"/>
                <w:szCs w:val="24"/>
                <w:highlight w:val="none"/>
                <w:lang w:val="en-US" w:eastAsia="zh-CN" w:bidi="ar-SA"/>
              </w:rPr>
              <w:t>保额</w:t>
            </w:r>
          </w:p>
        </w:tc>
        <w:tc>
          <w:tcPr>
            <w:tcW w:w="1759" w:type="dxa"/>
            <w:tcBorders>
              <w:top w:val="single" w:color="auto" w:sz="4" w:space="0"/>
              <w:left w:val="nil"/>
              <w:bottom w:val="single" w:color="auto" w:sz="4" w:space="0"/>
              <w:right w:val="single" w:color="auto" w:sz="4" w:space="0"/>
            </w:tcBorders>
            <w:shd w:val="clear" w:color="auto" w:fill="auto"/>
            <w:noWrap/>
            <w:vAlign w:val="center"/>
          </w:tcPr>
          <w:p w14:paraId="4C75E1B1">
            <w:pPr>
              <w:shd w:val="clear" w:color="auto" w:fill="FFFFFF"/>
              <w:spacing w:before="100" w:beforeAutospacing="1" w:after="100" w:afterAutospacing="1"/>
              <w:jc w:val="center"/>
              <w:rPr>
                <w:rFonts w:hint="default" w:ascii="Times New Roman" w:hAnsi="Times New Roman" w:eastAsia="仿宋_GB2312" w:cs="Times New Roman"/>
                <w:b/>
                <w:bCs/>
                <w:color w:val="auto"/>
                <w:kern w:val="2"/>
                <w:sz w:val="24"/>
                <w:szCs w:val="24"/>
                <w:highlight w:val="none"/>
                <w:lang w:val="en-US" w:eastAsia="zh-CN" w:bidi="ar-SA"/>
              </w:rPr>
            </w:pPr>
            <w:r>
              <w:rPr>
                <w:rFonts w:hint="default" w:ascii="Times New Roman" w:hAnsi="Times New Roman" w:eastAsia="仿宋_GB2312" w:cs="Times New Roman"/>
                <w:b/>
                <w:bCs/>
                <w:color w:val="auto"/>
                <w:kern w:val="2"/>
                <w:sz w:val="24"/>
                <w:szCs w:val="24"/>
                <w:highlight w:val="none"/>
                <w:lang w:val="en-US" w:eastAsia="zh-CN" w:bidi="ar-SA"/>
              </w:rPr>
              <w:t>免赔额/免赔率</w:t>
            </w:r>
          </w:p>
        </w:tc>
        <w:tc>
          <w:tcPr>
            <w:tcW w:w="1602" w:type="dxa"/>
            <w:tcBorders>
              <w:top w:val="single" w:color="auto" w:sz="4" w:space="0"/>
              <w:left w:val="nil"/>
              <w:bottom w:val="single" w:color="auto" w:sz="4" w:space="0"/>
              <w:right w:val="single" w:color="auto" w:sz="4" w:space="0"/>
            </w:tcBorders>
            <w:shd w:val="clear" w:color="auto" w:fill="auto"/>
            <w:noWrap/>
            <w:vAlign w:val="center"/>
          </w:tcPr>
          <w:p w14:paraId="6D70A192">
            <w:pPr>
              <w:shd w:val="clear" w:color="auto" w:fill="FFFFFF"/>
              <w:spacing w:before="100" w:beforeAutospacing="1" w:after="100" w:afterAutospacing="1"/>
              <w:jc w:val="center"/>
              <w:rPr>
                <w:rFonts w:hint="default" w:ascii="Times New Roman" w:hAnsi="Times New Roman" w:eastAsia="仿宋_GB2312" w:cs="Times New Roman"/>
                <w:b/>
                <w:bCs/>
                <w:color w:val="auto"/>
                <w:kern w:val="2"/>
                <w:sz w:val="24"/>
                <w:szCs w:val="24"/>
                <w:highlight w:val="none"/>
                <w:lang w:val="en-US" w:eastAsia="zh-CN" w:bidi="ar-SA"/>
              </w:rPr>
            </w:pPr>
            <w:r>
              <w:rPr>
                <w:rFonts w:hint="default" w:ascii="Times New Roman" w:hAnsi="Times New Roman" w:eastAsia="仿宋_GB2312" w:cs="Times New Roman"/>
                <w:b/>
                <w:bCs/>
                <w:color w:val="auto"/>
                <w:kern w:val="2"/>
                <w:sz w:val="24"/>
                <w:szCs w:val="24"/>
                <w:highlight w:val="none"/>
                <w:lang w:val="en-US" w:eastAsia="zh-CN" w:bidi="ar-SA"/>
              </w:rPr>
              <w:t>备注</w:t>
            </w:r>
          </w:p>
        </w:tc>
      </w:tr>
      <w:tr w14:paraId="222F9431">
        <w:tblPrEx>
          <w:tblCellMar>
            <w:top w:w="0" w:type="dxa"/>
            <w:left w:w="108" w:type="dxa"/>
            <w:bottom w:w="0" w:type="dxa"/>
            <w:right w:w="108" w:type="dxa"/>
          </w:tblCellMar>
        </w:tblPrEx>
        <w:trPr>
          <w:trHeight w:val="964" w:hRule="atLeast"/>
        </w:trPr>
        <w:tc>
          <w:tcPr>
            <w:tcW w:w="501" w:type="dxa"/>
            <w:tcBorders>
              <w:top w:val="nil"/>
              <w:left w:val="single" w:color="auto" w:sz="4" w:space="0"/>
              <w:bottom w:val="single" w:color="auto" w:sz="4" w:space="0"/>
              <w:right w:val="single" w:color="auto" w:sz="4" w:space="0"/>
            </w:tcBorders>
            <w:shd w:val="clear" w:color="auto" w:fill="auto"/>
            <w:noWrap/>
            <w:vAlign w:val="center"/>
          </w:tcPr>
          <w:p w14:paraId="7B17FB00">
            <w:pPr>
              <w:shd w:val="clear" w:color="auto" w:fill="FFFFFF"/>
              <w:spacing w:before="100" w:beforeAutospacing="1" w:after="100" w:afterAutospacing="1"/>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w:t>
            </w:r>
          </w:p>
        </w:tc>
        <w:tc>
          <w:tcPr>
            <w:tcW w:w="1438" w:type="dxa"/>
            <w:tcBorders>
              <w:top w:val="nil"/>
              <w:left w:val="nil"/>
              <w:bottom w:val="single" w:color="auto" w:sz="4" w:space="0"/>
              <w:right w:val="single" w:color="auto" w:sz="4" w:space="0"/>
            </w:tcBorders>
            <w:shd w:val="clear" w:color="auto" w:fill="auto"/>
            <w:noWrap/>
            <w:vAlign w:val="center"/>
          </w:tcPr>
          <w:p w14:paraId="2B62F652">
            <w:pPr>
              <w:widowControl/>
              <w:jc w:val="center"/>
              <w:rPr>
                <w:rFonts w:hint="default" w:ascii="Times New Roman" w:hAnsi="Times New Roman" w:eastAsia="仿宋_GB2312" w:cs="Times New Roman"/>
                <w:b/>
                <w:bCs/>
                <w:color w:val="auto"/>
                <w:kern w:val="0"/>
                <w:sz w:val="24"/>
                <w:highlight w:val="none"/>
              </w:rPr>
            </w:pPr>
            <w:r>
              <w:rPr>
                <w:rFonts w:hint="default" w:ascii="Times New Roman" w:hAnsi="Times New Roman" w:eastAsia="仿宋_GB2312" w:cs="Times New Roman"/>
                <w:b/>
                <w:bCs/>
                <w:color w:val="auto"/>
                <w:kern w:val="2"/>
                <w:sz w:val="24"/>
                <w:szCs w:val="24"/>
                <w:highlight w:val="none"/>
                <w:lang w:val="en-US" w:eastAsia="zh-CN" w:bidi="ar-SA"/>
              </w:rPr>
              <w:t>财产一切险</w:t>
            </w:r>
          </w:p>
        </w:tc>
        <w:tc>
          <w:tcPr>
            <w:tcW w:w="3403" w:type="dxa"/>
            <w:tcBorders>
              <w:top w:val="nil"/>
              <w:left w:val="nil"/>
              <w:bottom w:val="single" w:color="auto" w:sz="4" w:space="0"/>
              <w:right w:val="single" w:color="auto" w:sz="4" w:space="0"/>
            </w:tcBorders>
            <w:shd w:val="clear" w:color="auto" w:fill="auto"/>
            <w:noWrap/>
            <w:vAlign w:val="center"/>
          </w:tcPr>
          <w:p w14:paraId="1E00EEDD">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1.预计</w:t>
            </w:r>
            <w:r>
              <w:rPr>
                <w:rFonts w:hint="eastAsia" w:eastAsia="仿宋_GB2312" w:cs="Times New Roman"/>
                <w:color w:val="auto"/>
                <w:kern w:val="2"/>
                <w:sz w:val="24"/>
                <w:szCs w:val="24"/>
                <w:highlight w:val="none"/>
                <w:lang w:val="en-US" w:eastAsia="zh-CN" w:bidi="ar-SA"/>
              </w:rPr>
              <w:t>科技馆</w:t>
            </w:r>
            <w:r>
              <w:rPr>
                <w:rFonts w:hint="default" w:ascii="Times New Roman" w:hAnsi="Times New Roman" w:eastAsia="仿宋_GB2312" w:cs="Times New Roman"/>
                <w:color w:val="auto"/>
                <w:kern w:val="2"/>
                <w:sz w:val="24"/>
                <w:szCs w:val="24"/>
                <w:highlight w:val="none"/>
                <w:lang w:val="en-US" w:eastAsia="zh-CN" w:bidi="ar-SA"/>
              </w:rPr>
              <w:t>资产</w:t>
            </w:r>
            <w:r>
              <w:rPr>
                <w:rFonts w:hint="eastAsia" w:ascii="Times New Roman" w:hAnsi="Times New Roman" w:eastAsia="仿宋_GB2312" w:cs="Times New Roman"/>
                <w:color w:val="auto"/>
                <w:kern w:val="2"/>
                <w:sz w:val="24"/>
                <w:szCs w:val="24"/>
                <w:highlight w:val="none"/>
                <w:lang w:val="en-US" w:eastAsia="zh-CN" w:bidi="ar-SA"/>
              </w:rPr>
              <w:t>8.36</w:t>
            </w:r>
            <w:r>
              <w:rPr>
                <w:rFonts w:hint="default" w:ascii="Times New Roman" w:hAnsi="Times New Roman" w:eastAsia="仿宋_GB2312" w:cs="Times New Roman"/>
                <w:color w:val="auto"/>
                <w:kern w:val="2"/>
                <w:sz w:val="24"/>
                <w:szCs w:val="24"/>
                <w:highlight w:val="none"/>
                <w:lang w:val="en-US" w:eastAsia="zh-CN" w:bidi="ar-SA"/>
              </w:rPr>
              <w:t>亿元</w:t>
            </w:r>
            <w:r>
              <w:rPr>
                <w:rFonts w:hint="eastAsia" w:eastAsia="仿宋_GB2312" w:cs="Times New Roman"/>
                <w:color w:val="auto"/>
                <w:kern w:val="2"/>
                <w:sz w:val="24"/>
                <w:szCs w:val="24"/>
                <w:highlight w:val="none"/>
                <w:lang w:val="en-US" w:eastAsia="zh-CN" w:bidi="ar-SA"/>
              </w:rPr>
              <w:t>，其中科技馆主体建筑约5.72亿元，配套设施设备约2.64亿元</w:t>
            </w:r>
            <w:r>
              <w:rPr>
                <w:rFonts w:hint="default" w:ascii="Times New Roman" w:hAnsi="Times New Roman" w:eastAsia="仿宋_GB2312" w:cs="Times New Roman"/>
                <w:color w:val="auto"/>
                <w:kern w:val="2"/>
                <w:sz w:val="24"/>
                <w:szCs w:val="24"/>
                <w:highlight w:val="none"/>
                <w:lang w:val="en-US" w:eastAsia="zh-CN" w:bidi="ar-SA"/>
              </w:rPr>
              <w:t>。预计投保时间为2026年3月31日-2027年3月31日。</w:t>
            </w:r>
          </w:p>
          <w:p w14:paraId="28FF42FC">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textAlignment w:val="auto"/>
              <w:rPr>
                <w:rFonts w:hint="default" w:ascii="Times New Roman" w:hAnsi="Times New Roman" w:eastAsia="仿宋_GB2312" w:cs="Times New Roman"/>
                <w:color w:val="auto"/>
                <w:kern w:val="2"/>
                <w:sz w:val="24"/>
                <w:szCs w:val="24"/>
                <w:highlight w:val="none"/>
                <w:lang w:val="en-US" w:eastAsia="zh-CN" w:bidi="ar-SA"/>
              </w:rPr>
            </w:pPr>
            <w:r>
              <w:rPr>
                <w:rFonts w:hint="eastAsia" w:ascii="Times New Roman" w:hAnsi="Times New Roman" w:eastAsia="仿宋_GB2312" w:cs="Times New Roman"/>
                <w:color w:val="auto"/>
                <w:kern w:val="2"/>
                <w:sz w:val="24"/>
                <w:szCs w:val="24"/>
                <w:highlight w:val="none"/>
                <w:lang w:val="en-US" w:eastAsia="zh-CN" w:bidi="ar-SA"/>
              </w:rPr>
              <w:t>2.附加地震扩展条款、附加盗窃险扩展条款、</w:t>
            </w:r>
            <w:r>
              <w:rPr>
                <w:rFonts w:hint="eastAsia" w:eastAsia="仿宋_GB2312" w:cs="Times New Roman"/>
                <w:color w:val="auto"/>
                <w:kern w:val="2"/>
                <w:sz w:val="24"/>
                <w:szCs w:val="24"/>
                <w:highlight w:val="none"/>
                <w:lang w:val="en-US" w:eastAsia="zh-CN" w:bidi="ar-SA"/>
              </w:rPr>
              <w:t>附加增加资产扩展条款、附加其他物品特约保险条款、附加保险标的物叙述保险、附加紧急抢险保险条款、附加索赔期限特别条款、附加扩展机器损坏保险。</w:t>
            </w:r>
          </w:p>
          <w:p w14:paraId="2F4E5DE3">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textAlignment w:val="auto"/>
              <w:rPr>
                <w:rFonts w:hint="eastAsia" w:eastAsia="仿宋_GB2312" w:cs="Times New Roman"/>
                <w:color w:val="auto"/>
                <w:kern w:val="2"/>
                <w:sz w:val="24"/>
                <w:szCs w:val="24"/>
                <w:highlight w:val="none"/>
                <w:lang w:val="en-US" w:eastAsia="zh-CN" w:bidi="ar-SA"/>
              </w:rPr>
            </w:pPr>
            <w:r>
              <w:rPr>
                <w:rFonts w:hint="eastAsia" w:eastAsia="仿宋_GB2312" w:cs="Times New Roman"/>
                <w:color w:val="auto"/>
                <w:kern w:val="2"/>
                <w:sz w:val="24"/>
                <w:szCs w:val="24"/>
                <w:highlight w:val="none"/>
                <w:lang w:val="en-US" w:eastAsia="zh-CN" w:bidi="ar-SA"/>
              </w:rPr>
              <w:t>3.</w:t>
            </w:r>
            <w:r>
              <w:rPr>
                <w:rFonts w:hint="eastAsia" w:ascii="Times New Roman" w:hAnsi="Times New Roman" w:eastAsia="仿宋_GB2312" w:cs="Times New Roman"/>
                <w:color w:val="auto"/>
                <w:kern w:val="2"/>
                <w:sz w:val="24"/>
                <w:szCs w:val="24"/>
                <w:highlight w:val="none"/>
                <w:lang w:val="en-US" w:eastAsia="zh-CN" w:bidi="ar-SA"/>
              </w:rPr>
              <w:t>附加恐怖活动扩展条款</w:t>
            </w:r>
            <w:r>
              <w:rPr>
                <w:rFonts w:hint="eastAsia" w:eastAsia="仿宋_GB2312" w:cs="Times New Roman"/>
                <w:color w:val="auto"/>
                <w:kern w:val="2"/>
                <w:sz w:val="24"/>
                <w:szCs w:val="24"/>
                <w:highlight w:val="none"/>
                <w:lang w:val="en-US" w:eastAsia="zh-CN" w:bidi="ar-SA"/>
              </w:rPr>
              <w:t>，每次事故赔偿限额不超过主险保险金额的70%。</w:t>
            </w:r>
          </w:p>
          <w:p w14:paraId="4C01920C">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textAlignment w:val="auto"/>
              <w:rPr>
                <w:rFonts w:hint="eastAsia" w:ascii="Times New Roman" w:hAnsi="Times New Roman" w:eastAsia="仿宋_GB2312" w:cs="Times New Roman"/>
                <w:color w:val="auto"/>
                <w:kern w:val="2"/>
                <w:sz w:val="24"/>
                <w:szCs w:val="24"/>
                <w:highlight w:val="none"/>
                <w:lang w:val="en-US" w:eastAsia="zh-CN" w:bidi="ar-SA"/>
              </w:rPr>
            </w:pPr>
            <w:r>
              <w:rPr>
                <w:rFonts w:hint="eastAsia" w:eastAsia="仿宋_GB2312" w:cs="Times New Roman"/>
                <w:color w:val="auto"/>
                <w:kern w:val="2"/>
                <w:sz w:val="24"/>
                <w:szCs w:val="24"/>
                <w:highlight w:val="none"/>
                <w:lang w:val="en-US" w:eastAsia="zh-CN" w:bidi="ar-SA"/>
              </w:rPr>
              <w:t>4.附</w:t>
            </w:r>
            <w:r>
              <w:rPr>
                <w:rFonts w:hint="eastAsia" w:ascii="Times New Roman" w:hAnsi="Times New Roman" w:eastAsia="仿宋_GB2312" w:cs="Times New Roman"/>
                <w:color w:val="auto"/>
                <w:kern w:val="2"/>
                <w:sz w:val="24"/>
                <w:szCs w:val="24"/>
                <w:highlight w:val="none"/>
                <w:lang w:val="en-US" w:eastAsia="zh-CN" w:bidi="ar-SA"/>
              </w:rPr>
              <w:t>加便携式设备扩展条款，每次事故赔偿限额5万元。</w:t>
            </w:r>
          </w:p>
          <w:p w14:paraId="7C5621A4">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textAlignment w:val="auto"/>
              <w:rPr>
                <w:rFonts w:hint="eastAsia" w:ascii="Times New Roman" w:hAnsi="Times New Roman" w:eastAsia="仿宋_GB2312" w:cs="Times New Roman"/>
                <w:color w:val="auto"/>
                <w:kern w:val="2"/>
                <w:sz w:val="24"/>
                <w:szCs w:val="24"/>
                <w:highlight w:val="none"/>
                <w:lang w:val="en-US" w:eastAsia="zh-CN" w:bidi="ar-SA"/>
              </w:rPr>
            </w:pPr>
            <w:r>
              <w:rPr>
                <w:rFonts w:hint="eastAsia" w:ascii="Times New Roman" w:hAnsi="Times New Roman" w:eastAsia="仿宋_GB2312" w:cs="Times New Roman"/>
                <w:color w:val="auto"/>
                <w:kern w:val="2"/>
                <w:sz w:val="24"/>
                <w:szCs w:val="24"/>
                <w:highlight w:val="none"/>
                <w:lang w:val="en-US" w:eastAsia="zh-CN" w:bidi="ar-SA"/>
              </w:rPr>
              <w:t>5.附加雇员个人物品扩展条款，每人的最高赔偿限额5000元/人；每次事故赔偿限额20万元；累计赔偿限额20万元。</w:t>
            </w:r>
          </w:p>
          <w:p w14:paraId="19DFC83C">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textAlignment w:val="auto"/>
              <w:rPr>
                <w:rFonts w:hint="eastAsia" w:eastAsia="仿宋_GB2312" w:cs="Times New Roman"/>
                <w:color w:val="auto"/>
                <w:kern w:val="2"/>
                <w:sz w:val="24"/>
                <w:szCs w:val="24"/>
                <w:highlight w:val="none"/>
                <w:lang w:val="en-US" w:eastAsia="zh-CN" w:bidi="ar-SA"/>
              </w:rPr>
            </w:pPr>
            <w:r>
              <w:rPr>
                <w:rFonts w:hint="eastAsia" w:eastAsia="仿宋_GB2312" w:cs="Times New Roman"/>
                <w:color w:val="auto"/>
                <w:kern w:val="2"/>
                <w:sz w:val="24"/>
                <w:szCs w:val="24"/>
                <w:highlight w:val="none"/>
                <w:lang w:val="en-US" w:eastAsia="zh-CN" w:bidi="ar-SA"/>
              </w:rPr>
              <w:t>6.附加园林、绿化保险条款，累计赔偿限额10万元。</w:t>
            </w:r>
          </w:p>
          <w:p w14:paraId="7ACB914E">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textAlignment w:val="auto"/>
              <w:rPr>
                <w:rFonts w:hint="eastAsia" w:eastAsia="仿宋_GB2312" w:cs="Times New Roman"/>
                <w:color w:val="auto"/>
                <w:kern w:val="2"/>
                <w:sz w:val="24"/>
                <w:szCs w:val="24"/>
                <w:highlight w:val="none"/>
                <w:lang w:val="en-US" w:eastAsia="zh-CN" w:bidi="ar-SA"/>
              </w:rPr>
            </w:pPr>
            <w:r>
              <w:rPr>
                <w:rFonts w:hint="eastAsia" w:eastAsia="仿宋_GB2312" w:cs="Times New Roman"/>
                <w:color w:val="auto"/>
                <w:kern w:val="2"/>
                <w:sz w:val="24"/>
                <w:szCs w:val="24"/>
                <w:highlight w:val="none"/>
                <w:lang w:val="en-US" w:eastAsia="zh-CN" w:bidi="ar-SA"/>
              </w:rPr>
              <w:t>7.附加场内道路保险条款，累计赔偿限额20万元。</w:t>
            </w:r>
          </w:p>
          <w:p w14:paraId="1BCCFE58">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textAlignment w:val="auto"/>
              <w:rPr>
                <w:rFonts w:hint="default" w:eastAsia="仿宋_GB2312" w:cs="Times New Roman"/>
                <w:color w:val="auto"/>
                <w:kern w:val="2"/>
                <w:sz w:val="24"/>
                <w:szCs w:val="24"/>
                <w:highlight w:val="none"/>
                <w:lang w:val="en-US" w:eastAsia="zh-CN" w:bidi="ar-SA"/>
              </w:rPr>
            </w:pPr>
            <w:r>
              <w:rPr>
                <w:rFonts w:hint="eastAsia" w:eastAsia="仿宋_GB2312" w:cs="Times New Roman"/>
                <w:color w:val="auto"/>
                <w:kern w:val="2"/>
                <w:sz w:val="24"/>
                <w:szCs w:val="24"/>
                <w:highlight w:val="none"/>
                <w:lang w:val="en-US" w:eastAsia="zh-CN" w:bidi="ar-SA"/>
              </w:rPr>
              <w:t>8.附加建筑物外部附属设施特约保险条款，累计赔偿限额为20万元。</w:t>
            </w:r>
          </w:p>
        </w:tc>
        <w:tc>
          <w:tcPr>
            <w:tcW w:w="1759" w:type="dxa"/>
            <w:tcBorders>
              <w:top w:val="nil"/>
              <w:left w:val="nil"/>
              <w:bottom w:val="single" w:color="auto" w:sz="4" w:space="0"/>
              <w:right w:val="single" w:color="auto" w:sz="4" w:space="0"/>
            </w:tcBorders>
            <w:shd w:val="clear" w:color="auto" w:fill="auto"/>
            <w:noWrap/>
            <w:vAlign w:val="center"/>
          </w:tcPr>
          <w:p w14:paraId="7DB01ADE">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无</w:t>
            </w:r>
          </w:p>
        </w:tc>
        <w:tc>
          <w:tcPr>
            <w:tcW w:w="1602" w:type="dxa"/>
            <w:tcBorders>
              <w:top w:val="nil"/>
              <w:left w:val="nil"/>
              <w:bottom w:val="single" w:color="auto" w:sz="4" w:space="0"/>
              <w:right w:val="single" w:color="auto" w:sz="4" w:space="0"/>
            </w:tcBorders>
            <w:shd w:val="clear" w:color="auto" w:fill="auto"/>
            <w:noWrap/>
            <w:vAlign w:val="center"/>
          </w:tcPr>
          <w:p w14:paraId="04EE59A0">
            <w:pPr>
              <w:widowControl/>
              <w:jc w:val="center"/>
              <w:rPr>
                <w:rFonts w:hint="default" w:ascii="Times New Roman" w:hAnsi="Times New Roman" w:eastAsia="仿宋_GB2312" w:cs="Times New Roman"/>
                <w:color w:val="auto"/>
                <w:kern w:val="0"/>
                <w:sz w:val="24"/>
                <w:highlight w:val="none"/>
                <w:lang w:val="en-US" w:eastAsia="zh-CN"/>
              </w:rPr>
            </w:pPr>
            <w:r>
              <w:rPr>
                <w:rFonts w:hint="default" w:ascii="Times New Roman" w:hAnsi="Times New Roman" w:eastAsia="仿宋_GB2312" w:cs="Times New Roman"/>
                <w:color w:val="auto"/>
                <w:kern w:val="0"/>
                <w:sz w:val="24"/>
                <w:highlight w:val="none"/>
                <w:lang w:val="en-US" w:eastAsia="zh-CN"/>
              </w:rPr>
              <w:t>/</w:t>
            </w:r>
          </w:p>
        </w:tc>
      </w:tr>
      <w:tr w14:paraId="3B871637">
        <w:tblPrEx>
          <w:tblCellMar>
            <w:top w:w="0" w:type="dxa"/>
            <w:left w:w="108" w:type="dxa"/>
            <w:bottom w:w="0" w:type="dxa"/>
            <w:right w:w="108" w:type="dxa"/>
          </w:tblCellMar>
        </w:tblPrEx>
        <w:trPr>
          <w:trHeight w:val="964" w:hRule="atLeast"/>
        </w:trPr>
        <w:tc>
          <w:tcPr>
            <w:tcW w:w="501" w:type="dxa"/>
            <w:tcBorders>
              <w:top w:val="nil"/>
              <w:left w:val="single" w:color="auto" w:sz="4" w:space="0"/>
              <w:bottom w:val="single" w:color="auto" w:sz="4" w:space="0"/>
              <w:right w:val="single" w:color="auto" w:sz="4" w:space="0"/>
            </w:tcBorders>
            <w:shd w:val="clear" w:color="auto" w:fill="auto"/>
            <w:noWrap/>
            <w:vAlign w:val="center"/>
          </w:tcPr>
          <w:p w14:paraId="02461E24">
            <w:pPr>
              <w:shd w:val="clear" w:color="auto" w:fill="FFFFFF"/>
              <w:spacing w:before="100" w:beforeAutospacing="1" w:after="100" w:afterAutospacing="1"/>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w:t>
            </w:r>
          </w:p>
        </w:tc>
        <w:tc>
          <w:tcPr>
            <w:tcW w:w="1438" w:type="dxa"/>
            <w:tcBorders>
              <w:top w:val="nil"/>
              <w:left w:val="nil"/>
              <w:bottom w:val="single" w:color="auto" w:sz="4" w:space="0"/>
              <w:right w:val="single" w:color="auto" w:sz="4" w:space="0"/>
            </w:tcBorders>
            <w:shd w:val="clear" w:color="auto" w:fill="auto"/>
            <w:noWrap/>
            <w:vAlign w:val="center"/>
          </w:tcPr>
          <w:p w14:paraId="3F81749A">
            <w:pPr>
              <w:widowControl/>
              <w:jc w:val="center"/>
              <w:rPr>
                <w:rFonts w:hint="default" w:ascii="Times New Roman" w:hAnsi="Times New Roman" w:eastAsia="仿宋_GB2312" w:cs="Times New Roman"/>
                <w:b/>
                <w:bCs/>
                <w:color w:val="auto"/>
                <w:kern w:val="2"/>
                <w:sz w:val="24"/>
                <w:szCs w:val="24"/>
                <w:highlight w:val="none"/>
                <w:lang w:val="en-US" w:eastAsia="zh-CN" w:bidi="ar-SA"/>
              </w:rPr>
            </w:pPr>
          </w:p>
          <w:p w14:paraId="05C7F82F">
            <w:pPr>
              <w:widowControl/>
              <w:jc w:val="center"/>
              <w:rPr>
                <w:rFonts w:hint="default" w:ascii="Times New Roman" w:hAnsi="Times New Roman" w:eastAsia="仿宋_GB2312" w:cs="Times New Roman"/>
                <w:b/>
                <w:bCs/>
                <w:color w:val="auto"/>
                <w:kern w:val="2"/>
                <w:sz w:val="24"/>
                <w:szCs w:val="24"/>
                <w:highlight w:val="none"/>
                <w:lang w:val="en-US" w:eastAsia="zh-CN" w:bidi="ar-SA"/>
              </w:rPr>
            </w:pPr>
            <w:r>
              <w:rPr>
                <w:rFonts w:hint="default" w:ascii="Times New Roman" w:hAnsi="Times New Roman" w:eastAsia="仿宋_GB2312" w:cs="Times New Roman"/>
                <w:b/>
                <w:bCs/>
                <w:color w:val="auto"/>
                <w:kern w:val="2"/>
                <w:sz w:val="24"/>
                <w:szCs w:val="24"/>
                <w:highlight w:val="none"/>
                <w:lang w:val="en-US" w:eastAsia="zh-CN" w:bidi="ar-SA"/>
              </w:rPr>
              <w:t>公众责任险</w:t>
            </w:r>
          </w:p>
          <w:p w14:paraId="1F3BBBA2">
            <w:pPr>
              <w:widowControl/>
              <w:jc w:val="left"/>
              <w:rPr>
                <w:rFonts w:hint="default" w:ascii="Times New Roman" w:hAnsi="Times New Roman" w:eastAsia="仿宋_GB2312" w:cs="Times New Roman"/>
                <w:color w:val="auto"/>
                <w:kern w:val="0"/>
                <w:sz w:val="24"/>
                <w:highlight w:val="none"/>
              </w:rPr>
            </w:pPr>
          </w:p>
        </w:tc>
        <w:tc>
          <w:tcPr>
            <w:tcW w:w="3403" w:type="dxa"/>
            <w:tcBorders>
              <w:top w:val="nil"/>
              <w:left w:val="nil"/>
              <w:bottom w:val="single" w:color="auto" w:sz="4" w:space="0"/>
              <w:right w:val="single" w:color="auto" w:sz="4" w:space="0"/>
            </w:tcBorders>
            <w:shd w:val="clear" w:color="auto" w:fill="auto"/>
            <w:vAlign w:val="center"/>
          </w:tcPr>
          <w:p w14:paraId="41CCDD09">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1.每次事故每人人身伤亡赔偿限额100万元，每次事故每人医疗费用责任限额20万元，每次事故每人财产损失赔偿限额20万元。累计赔偿限额 500万元，每次事故人身伤亡责任限额300万元，每次事故医药费用赔偿限额30万元，每次事故财产损失责任限额30万元。</w:t>
            </w:r>
          </w:p>
          <w:p w14:paraId="2176CD4A">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2.附加停车场责任</w:t>
            </w:r>
            <w:r>
              <w:rPr>
                <w:rFonts w:hint="eastAsia" w:eastAsia="仿宋_GB2312" w:cs="Times New Roman"/>
                <w:color w:val="auto"/>
                <w:kern w:val="2"/>
                <w:sz w:val="24"/>
                <w:szCs w:val="24"/>
                <w:highlight w:val="none"/>
                <w:lang w:val="en-US" w:eastAsia="zh-CN" w:bidi="ar-SA"/>
              </w:rPr>
              <w:t>条款，</w:t>
            </w:r>
            <w:r>
              <w:rPr>
                <w:rFonts w:hint="default" w:ascii="Times New Roman" w:hAnsi="Times New Roman" w:eastAsia="仿宋_GB2312" w:cs="Times New Roman"/>
                <w:color w:val="auto"/>
                <w:kern w:val="2"/>
                <w:sz w:val="24"/>
                <w:szCs w:val="24"/>
                <w:highlight w:val="none"/>
                <w:lang w:val="en-US" w:eastAsia="zh-CN" w:bidi="ar-SA"/>
              </w:rPr>
              <w:t>每次事故赔偿限额100万元。</w:t>
            </w:r>
          </w:p>
          <w:p w14:paraId="673C4961">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textAlignment w:val="auto"/>
              <w:rPr>
                <w:rFonts w:hint="default" w:ascii="Times New Roman" w:hAnsi="Times New Roman" w:eastAsia="仿宋_GB2312" w:cs="Times New Roman"/>
                <w:color w:val="auto"/>
                <w:kern w:val="2"/>
                <w:sz w:val="24"/>
                <w:szCs w:val="24"/>
                <w:highlight w:val="none"/>
                <w:lang w:val="en-US" w:eastAsia="zh-CN" w:bidi="ar-SA"/>
              </w:rPr>
            </w:pPr>
            <w:r>
              <w:rPr>
                <w:rFonts w:hint="eastAsia" w:eastAsia="仿宋_GB2312" w:cs="Times New Roman"/>
                <w:color w:val="auto"/>
                <w:kern w:val="2"/>
                <w:sz w:val="24"/>
                <w:szCs w:val="24"/>
                <w:highlight w:val="none"/>
                <w:lang w:val="en-US" w:eastAsia="zh-CN" w:bidi="ar-SA"/>
              </w:rPr>
              <w:t>3.</w:t>
            </w:r>
            <w:r>
              <w:rPr>
                <w:rFonts w:hint="default" w:ascii="Times New Roman" w:hAnsi="Times New Roman" w:eastAsia="仿宋_GB2312" w:cs="Times New Roman"/>
                <w:color w:val="auto"/>
                <w:kern w:val="2"/>
                <w:sz w:val="24"/>
                <w:szCs w:val="24"/>
                <w:highlight w:val="none"/>
                <w:lang w:val="en-US" w:eastAsia="zh-CN" w:bidi="ar-SA"/>
              </w:rPr>
              <w:t>附加食品、饮料责任条款，每次事故赔偿限额50万元</w:t>
            </w:r>
            <w:r>
              <w:rPr>
                <w:rFonts w:hint="eastAsia" w:eastAsia="仿宋_GB2312" w:cs="Times New Roman"/>
                <w:color w:val="auto"/>
                <w:kern w:val="2"/>
                <w:sz w:val="24"/>
                <w:szCs w:val="24"/>
                <w:highlight w:val="none"/>
                <w:lang w:val="en-US" w:eastAsia="zh-CN" w:bidi="ar-SA"/>
              </w:rPr>
              <w:t>，</w:t>
            </w:r>
            <w:r>
              <w:rPr>
                <w:rFonts w:hint="default" w:ascii="Times New Roman" w:hAnsi="Times New Roman" w:eastAsia="仿宋_GB2312" w:cs="Times New Roman"/>
                <w:color w:val="auto"/>
                <w:kern w:val="2"/>
                <w:sz w:val="24"/>
                <w:szCs w:val="24"/>
                <w:highlight w:val="none"/>
                <w:lang w:val="en-US" w:eastAsia="zh-CN" w:bidi="ar-SA"/>
              </w:rPr>
              <w:t>每次事故每人赔偿限额5万元</w:t>
            </w:r>
            <w:r>
              <w:rPr>
                <w:rFonts w:hint="eastAsia" w:eastAsia="仿宋_GB2312" w:cs="Times New Roman"/>
                <w:color w:val="auto"/>
                <w:kern w:val="2"/>
                <w:sz w:val="24"/>
                <w:szCs w:val="24"/>
                <w:highlight w:val="none"/>
                <w:lang w:val="en-US" w:eastAsia="zh-CN" w:bidi="ar-SA"/>
              </w:rPr>
              <w:t>，</w:t>
            </w:r>
            <w:r>
              <w:rPr>
                <w:rFonts w:hint="default" w:ascii="Times New Roman" w:hAnsi="Times New Roman" w:eastAsia="仿宋_GB2312" w:cs="Times New Roman"/>
                <w:color w:val="auto"/>
                <w:kern w:val="2"/>
                <w:sz w:val="24"/>
                <w:szCs w:val="24"/>
                <w:highlight w:val="none"/>
                <w:lang w:val="en-US" w:eastAsia="zh-CN" w:bidi="ar-SA"/>
              </w:rPr>
              <w:t>累计事故赔偿限额100万元</w:t>
            </w:r>
            <w:r>
              <w:rPr>
                <w:rFonts w:hint="eastAsia" w:eastAsia="仿宋_GB2312" w:cs="Times New Roman"/>
                <w:color w:val="auto"/>
                <w:kern w:val="2"/>
                <w:sz w:val="24"/>
                <w:szCs w:val="24"/>
                <w:highlight w:val="none"/>
                <w:lang w:val="en-US" w:eastAsia="zh-CN" w:bidi="ar-SA"/>
              </w:rPr>
              <w:t>。</w:t>
            </w:r>
          </w:p>
          <w:p w14:paraId="41515150">
            <w:pPr>
              <w:pStyle w:val="6"/>
              <w:ind w:left="0" w:leftChars="0" w:firstLine="0" w:firstLineChars="0"/>
              <w:rPr>
                <w:rFonts w:hint="eastAsia" w:eastAsia="仿宋_GB2312" w:cs="Times New Roman"/>
                <w:color w:val="auto"/>
                <w:kern w:val="2"/>
                <w:sz w:val="24"/>
                <w:szCs w:val="24"/>
                <w:highlight w:val="none"/>
                <w:lang w:val="en-US" w:eastAsia="zh-CN" w:bidi="ar-SA"/>
              </w:rPr>
            </w:pPr>
            <w:r>
              <w:rPr>
                <w:rFonts w:hint="eastAsia" w:eastAsia="仿宋_GB2312" w:cs="Times New Roman"/>
                <w:color w:val="auto"/>
                <w:kern w:val="2"/>
                <w:sz w:val="24"/>
                <w:szCs w:val="24"/>
                <w:highlight w:val="none"/>
                <w:lang w:val="en-US" w:eastAsia="zh-CN" w:bidi="ar-SA"/>
              </w:rPr>
              <w:t>4.附加超医保范围医疗费用责任保险条款，单次赔偿限额2万元，累计赔偿限额10万元。</w:t>
            </w:r>
          </w:p>
          <w:p w14:paraId="14C3A69D">
            <w:pPr>
              <w:pStyle w:val="6"/>
              <w:ind w:left="0" w:leftChars="0" w:firstLine="0" w:firstLineChars="0"/>
              <w:rPr>
                <w:rFonts w:hint="eastAsia" w:eastAsia="仿宋_GB2312" w:cs="Times New Roman"/>
                <w:color w:val="auto"/>
                <w:kern w:val="2"/>
                <w:sz w:val="24"/>
                <w:szCs w:val="24"/>
                <w:highlight w:val="none"/>
                <w:lang w:val="en-US" w:eastAsia="zh-CN" w:bidi="ar-SA"/>
              </w:rPr>
            </w:pPr>
            <w:r>
              <w:rPr>
                <w:rFonts w:hint="eastAsia" w:eastAsia="仿宋_GB2312" w:cs="Times New Roman"/>
                <w:color w:val="auto"/>
                <w:kern w:val="2"/>
                <w:sz w:val="24"/>
                <w:szCs w:val="24"/>
                <w:highlight w:val="none"/>
                <w:lang w:val="en-US" w:eastAsia="zh-CN" w:bidi="ar-SA"/>
              </w:rPr>
              <w:t>5.附加恐怖活动条款、</w:t>
            </w:r>
            <w:r>
              <w:rPr>
                <w:rFonts w:hint="default" w:ascii="Times New Roman" w:hAnsi="Times New Roman" w:eastAsia="仿宋_GB2312" w:cs="Times New Roman"/>
                <w:color w:val="auto"/>
                <w:kern w:val="2"/>
                <w:sz w:val="24"/>
                <w:szCs w:val="24"/>
                <w:highlight w:val="none"/>
                <w:lang w:val="en-US" w:eastAsia="zh-CN" w:bidi="ar-SA"/>
              </w:rPr>
              <w:t>附加电梯责任</w:t>
            </w:r>
            <w:r>
              <w:rPr>
                <w:rFonts w:hint="eastAsia" w:eastAsia="仿宋_GB2312" w:cs="Times New Roman"/>
                <w:color w:val="auto"/>
                <w:kern w:val="2"/>
                <w:sz w:val="24"/>
                <w:szCs w:val="24"/>
                <w:highlight w:val="none"/>
                <w:lang w:val="en-US" w:eastAsia="zh-CN" w:bidi="ar-SA"/>
              </w:rPr>
              <w:t>条款、附加展览会责任条款、附加雇员及合伙人条款、附加消防队与水损条款。</w:t>
            </w:r>
          </w:p>
          <w:p w14:paraId="1E9D86BD">
            <w:pPr>
              <w:pStyle w:val="6"/>
              <w:ind w:left="0" w:leftChars="0" w:firstLine="0" w:firstLineChars="0"/>
              <w:rPr>
                <w:rFonts w:hint="default" w:eastAsia="仿宋_GB2312" w:cs="Times New Roman"/>
                <w:color w:val="auto"/>
                <w:kern w:val="2"/>
                <w:sz w:val="24"/>
                <w:szCs w:val="24"/>
                <w:highlight w:val="none"/>
                <w:lang w:val="en-US" w:eastAsia="zh-CN" w:bidi="ar-SA"/>
              </w:rPr>
            </w:pPr>
            <w:r>
              <w:rPr>
                <w:rFonts w:hint="eastAsia" w:eastAsia="仿宋_GB2312" w:cs="Times New Roman"/>
                <w:color w:val="auto"/>
                <w:kern w:val="2"/>
                <w:sz w:val="24"/>
                <w:szCs w:val="24"/>
                <w:highlight w:val="none"/>
                <w:lang w:val="en-US" w:eastAsia="zh-CN" w:bidi="ar-SA"/>
              </w:rPr>
              <w:t>6.附加火灾、爆炸、烟熏、水损责任条款。</w:t>
            </w:r>
          </w:p>
        </w:tc>
        <w:tc>
          <w:tcPr>
            <w:tcW w:w="1759" w:type="dxa"/>
            <w:tcBorders>
              <w:top w:val="nil"/>
              <w:left w:val="nil"/>
              <w:bottom w:val="single" w:color="auto" w:sz="4" w:space="0"/>
              <w:right w:val="single" w:color="auto" w:sz="4" w:space="0"/>
            </w:tcBorders>
            <w:shd w:val="clear" w:color="auto" w:fill="auto"/>
            <w:noWrap/>
            <w:vAlign w:val="center"/>
          </w:tcPr>
          <w:p w14:paraId="72298E7E">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无</w:t>
            </w:r>
          </w:p>
        </w:tc>
        <w:tc>
          <w:tcPr>
            <w:tcW w:w="1602" w:type="dxa"/>
            <w:tcBorders>
              <w:top w:val="nil"/>
              <w:left w:val="nil"/>
              <w:bottom w:val="single" w:color="auto" w:sz="4" w:space="0"/>
              <w:right w:val="single" w:color="auto" w:sz="4" w:space="0"/>
            </w:tcBorders>
            <w:shd w:val="clear" w:color="auto" w:fill="auto"/>
            <w:noWrap/>
            <w:vAlign w:val="center"/>
          </w:tcPr>
          <w:p w14:paraId="2C6D4373">
            <w:pPr>
              <w:widowControl/>
              <w:jc w:val="left"/>
              <w:rPr>
                <w:rFonts w:hint="default" w:ascii="Times New Roman" w:hAnsi="Times New Roman" w:eastAsia="仿宋_GB2312" w:cs="Times New Roman"/>
                <w:color w:val="auto"/>
                <w:kern w:val="0"/>
                <w:sz w:val="24"/>
                <w:highlight w:val="none"/>
                <w:lang w:val="en-US"/>
              </w:rPr>
            </w:pPr>
            <w:r>
              <w:rPr>
                <w:rFonts w:hint="default" w:ascii="Times New Roman" w:hAnsi="Times New Roman" w:eastAsia="仿宋_GB2312" w:cs="Times New Roman"/>
                <w:color w:val="auto"/>
                <w:kern w:val="2"/>
                <w:sz w:val="24"/>
                <w:szCs w:val="24"/>
                <w:highlight w:val="none"/>
                <w:lang w:val="en-US" w:eastAsia="zh-CN" w:bidi="ar-SA"/>
              </w:rPr>
              <w:t>为合肥市科技馆黄山路馆区、蜀西湖馆区同时投保，</w:t>
            </w:r>
            <w:bookmarkStart w:id="79" w:name="_GoBack"/>
            <w:bookmarkEnd w:id="79"/>
            <w:r>
              <w:rPr>
                <w:rFonts w:hint="default" w:ascii="Times New Roman" w:hAnsi="Times New Roman" w:eastAsia="仿宋_GB2312" w:cs="Times New Roman"/>
                <w:color w:val="auto"/>
                <w:kern w:val="2"/>
                <w:sz w:val="24"/>
                <w:szCs w:val="24"/>
                <w:highlight w:val="none"/>
                <w:lang w:val="en-US" w:eastAsia="zh-CN" w:bidi="ar-SA"/>
              </w:rPr>
              <w:t>黄山路馆区面积15000㎡，年接待量</w:t>
            </w:r>
            <w:r>
              <w:rPr>
                <w:rFonts w:hint="eastAsia" w:eastAsia="仿宋_GB2312" w:cs="Times New Roman"/>
                <w:color w:val="auto"/>
                <w:kern w:val="2"/>
                <w:sz w:val="24"/>
                <w:szCs w:val="24"/>
                <w:highlight w:val="none"/>
                <w:lang w:val="en-US" w:eastAsia="zh-CN" w:bidi="ar-SA"/>
              </w:rPr>
              <w:t>23</w:t>
            </w:r>
            <w:r>
              <w:rPr>
                <w:rFonts w:hint="default" w:ascii="Times New Roman" w:hAnsi="Times New Roman" w:eastAsia="仿宋_GB2312" w:cs="Times New Roman"/>
                <w:color w:val="auto"/>
                <w:kern w:val="2"/>
                <w:sz w:val="24"/>
                <w:szCs w:val="24"/>
                <w:highlight w:val="none"/>
                <w:lang w:val="en-US" w:eastAsia="zh-CN" w:bidi="ar-SA"/>
              </w:rPr>
              <w:t>万人次；蜀西湖馆区面积50000㎡，年接待量1</w:t>
            </w:r>
            <w:r>
              <w:rPr>
                <w:rFonts w:hint="eastAsia" w:eastAsia="仿宋_GB2312" w:cs="Times New Roman"/>
                <w:color w:val="auto"/>
                <w:kern w:val="2"/>
                <w:sz w:val="24"/>
                <w:szCs w:val="24"/>
                <w:highlight w:val="none"/>
                <w:lang w:val="en-US" w:eastAsia="zh-CN" w:bidi="ar-SA"/>
              </w:rPr>
              <w:t>60</w:t>
            </w:r>
            <w:r>
              <w:rPr>
                <w:rFonts w:hint="default" w:ascii="Times New Roman" w:hAnsi="Times New Roman" w:eastAsia="仿宋_GB2312" w:cs="Times New Roman"/>
                <w:color w:val="auto"/>
                <w:kern w:val="2"/>
                <w:sz w:val="24"/>
                <w:szCs w:val="24"/>
                <w:highlight w:val="none"/>
                <w:lang w:val="en-US" w:eastAsia="zh-CN" w:bidi="ar-SA"/>
              </w:rPr>
              <w:t>万人次</w:t>
            </w:r>
            <w:r>
              <w:rPr>
                <w:rFonts w:hint="eastAsia" w:eastAsia="仿宋_GB2312" w:cs="Times New Roman"/>
                <w:color w:val="auto"/>
                <w:kern w:val="2"/>
                <w:sz w:val="24"/>
                <w:szCs w:val="24"/>
                <w:highlight w:val="none"/>
                <w:lang w:val="en-US" w:eastAsia="zh-CN" w:bidi="ar-SA"/>
              </w:rPr>
              <w:t>，接待对象以青少年为主。</w:t>
            </w:r>
          </w:p>
        </w:tc>
      </w:tr>
      <w:tr w14:paraId="0FC61DEC">
        <w:tblPrEx>
          <w:tblCellMar>
            <w:top w:w="0" w:type="dxa"/>
            <w:left w:w="108" w:type="dxa"/>
            <w:bottom w:w="0" w:type="dxa"/>
            <w:right w:w="108" w:type="dxa"/>
          </w:tblCellMar>
        </w:tblPrEx>
        <w:trPr>
          <w:trHeight w:val="964" w:hRule="atLeast"/>
        </w:trPr>
        <w:tc>
          <w:tcPr>
            <w:tcW w:w="501" w:type="dxa"/>
            <w:tcBorders>
              <w:top w:val="nil"/>
              <w:left w:val="single" w:color="auto" w:sz="4" w:space="0"/>
              <w:bottom w:val="single" w:color="auto" w:sz="4" w:space="0"/>
              <w:right w:val="single" w:color="auto" w:sz="4" w:space="0"/>
            </w:tcBorders>
            <w:shd w:val="clear" w:color="auto" w:fill="auto"/>
            <w:noWrap/>
            <w:vAlign w:val="center"/>
          </w:tcPr>
          <w:p w14:paraId="70B14E4D">
            <w:pPr>
              <w:shd w:val="clear" w:color="auto" w:fill="FFFFFF"/>
              <w:spacing w:before="100" w:beforeAutospacing="1" w:after="100" w:afterAutospacing="1"/>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3</w:t>
            </w:r>
          </w:p>
        </w:tc>
        <w:tc>
          <w:tcPr>
            <w:tcW w:w="1438" w:type="dxa"/>
            <w:tcBorders>
              <w:top w:val="nil"/>
              <w:left w:val="nil"/>
              <w:bottom w:val="single" w:color="auto" w:sz="4" w:space="0"/>
              <w:right w:val="single" w:color="auto" w:sz="4" w:space="0"/>
            </w:tcBorders>
            <w:shd w:val="clear" w:color="auto" w:fill="auto"/>
            <w:noWrap/>
            <w:vAlign w:val="center"/>
          </w:tcPr>
          <w:p w14:paraId="718852D3">
            <w:pPr>
              <w:widowControl/>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b/>
                <w:bCs/>
                <w:color w:val="auto"/>
                <w:kern w:val="2"/>
                <w:sz w:val="24"/>
                <w:szCs w:val="24"/>
                <w:highlight w:val="none"/>
                <w:lang w:val="en-US" w:eastAsia="zh-CN" w:bidi="ar-SA"/>
              </w:rPr>
              <w:t>雇主责任险</w:t>
            </w:r>
          </w:p>
        </w:tc>
        <w:tc>
          <w:tcPr>
            <w:tcW w:w="3403" w:type="dxa"/>
            <w:tcBorders>
              <w:top w:val="nil"/>
              <w:left w:val="nil"/>
              <w:bottom w:val="single" w:color="auto" w:sz="4" w:space="0"/>
              <w:right w:val="single" w:color="auto" w:sz="4" w:space="0"/>
            </w:tcBorders>
            <w:shd w:val="clear" w:color="auto" w:fill="auto"/>
            <w:noWrap/>
            <w:vAlign w:val="center"/>
          </w:tcPr>
          <w:p w14:paraId="5917222E">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人身意外事故/残疾保险50万元，附加意外伤害医疗10万元，附加误工100元/天</w:t>
            </w:r>
            <w:r>
              <w:rPr>
                <w:rFonts w:hint="eastAsia" w:eastAsia="仿宋_GB2312" w:cs="Times New Roman"/>
                <w:color w:val="auto"/>
                <w:kern w:val="2"/>
                <w:sz w:val="24"/>
                <w:szCs w:val="24"/>
                <w:highlight w:val="none"/>
                <w:lang w:val="en-US" w:eastAsia="zh-CN" w:bidi="ar-SA"/>
              </w:rPr>
              <w:t>，附加社交活动和文娱活动责任保险条款、附加就餐责任保险条款、附加超医保范围医疗费用责任保险条款。</w:t>
            </w:r>
          </w:p>
        </w:tc>
        <w:tc>
          <w:tcPr>
            <w:tcW w:w="1759" w:type="dxa"/>
            <w:tcBorders>
              <w:top w:val="nil"/>
              <w:left w:val="nil"/>
              <w:bottom w:val="single" w:color="auto" w:sz="4" w:space="0"/>
              <w:right w:val="single" w:color="auto" w:sz="4" w:space="0"/>
            </w:tcBorders>
            <w:shd w:val="clear" w:color="auto" w:fill="auto"/>
            <w:noWrap/>
            <w:vAlign w:val="center"/>
          </w:tcPr>
          <w:p w14:paraId="381EFEBA">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无</w:t>
            </w:r>
          </w:p>
        </w:tc>
        <w:tc>
          <w:tcPr>
            <w:tcW w:w="1602" w:type="dxa"/>
            <w:tcBorders>
              <w:top w:val="nil"/>
              <w:left w:val="nil"/>
              <w:bottom w:val="single" w:color="auto" w:sz="4" w:space="0"/>
              <w:right w:val="single" w:color="auto" w:sz="4" w:space="0"/>
            </w:tcBorders>
            <w:shd w:val="clear" w:color="auto" w:fill="auto"/>
            <w:noWrap/>
            <w:vAlign w:val="center"/>
          </w:tcPr>
          <w:p w14:paraId="523A91EE">
            <w:pPr>
              <w:widowControl/>
              <w:jc w:val="both"/>
              <w:rPr>
                <w:rFonts w:hint="default" w:ascii="Times New Roman" w:hAnsi="Times New Roman" w:eastAsia="仿宋_GB2312" w:cs="Times New Roman"/>
                <w:color w:val="auto"/>
                <w:kern w:val="2"/>
                <w:sz w:val="24"/>
                <w:szCs w:val="24"/>
                <w:highlight w:val="none"/>
                <w:lang w:val="en-US" w:eastAsia="zh-CN" w:bidi="ar-SA"/>
              </w:rPr>
            </w:pPr>
            <w:r>
              <w:rPr>
                <w:rFonts w:hint="eastAsia" w:eastAsia="仿宋_GB2312" w:cs="Times New Roman"/>
                <w:color w:val="auto"/>
                <w:kern w:val="2"/>
                <w:sz w:val="24"/>
                <w:szCs w:val="24"/>
                <w:highlight w:val="none"/>
                <w:lang w:val="en-US" w:eastAsia="zh-CN" w:bidi="ar-SA"/>
              </w:rPr>
              <w:t>为科技馆职工投保，</w:t>
            </w:r>
            <w:r>
              <w:rPr>
                <w:rFonts w:hint="default" w:ascii="Times New Roman" w:hAnsi="Times New Roman" w:eastAsia="仿宋_GB2312" w:cs="Times New Roman"/>
                <w:color w:val="auto"/>
                <w:kern w:val="2"/>
                <w:sz w:val="24"/>
                <w:szCs w:val="24"/>
                <w:highlight w:val="none"/>
                <w:lang w:val="en-US" w:eastAsia="zh-CN" w:bidi="ar-SA"/>
              </w:rPr>
              <w:t>投保人数5</w:t>
            </w:r>
            <w:r>
              <w:rPr>
                <w:rFonts w:hint="eastAsia" w:eastAsia="仿宋_GB2312" w:cs="Times New Roman"/>
                <w:color w:val="auto"/>
                <w:kern w:val="2"/>
                <w:sz w:val="24"/>
                <w:szCs w:val="24"/>
                <w:highlight w:val="none"/>
                <w:lang w:val="en-US" w:eastAsia="zh-CN" w:bidi="ar-SA"/>
              </w:rPr>
              <w:t>6</w:t>
            </w:r>
            <w:r>
              <w:rPr>
                <w:rFonts w:hint="default" w:ascii="Times New Roman" w:hAnsi="Times New Roman" w:eastAsia="仿宋_GB2312" w:cs="Times New Roman"/>
                <w:color w:val="auto"/>
                <w:kern w:val="2"/>
                <w:sz w:val="24"/>
                <w:szCs w:val="24"/>
                <w:highlight w:val="none"/>
                <w:lang w:val="en-US" w:eastAsia="zh-CN" w:bidi="ar-SA"/>
              </w:rPr>
              <w:t>人</w:t>
            </w:r>
            <w:r>
              <w:rPr>
                <w:rFonts w:hint="eastAsia" w:eastAsia="仿宋_GB2312" w:cs="Times New Roman"/>
                <w:color w:val="auto"/>
                <w:kern w:val="2"/>
                <w:sz w:val="24"/>
                <w:szCs w:val="24"/>
                <w:highlight w:val="none"/>
                <w:lang w:val="en-US" w:eastAsia="zh-CN" w:bidi="ar-SA"/>
              </w:rPr>
              <w:t>。</w:t>
            </w:r>
          </w:p>
        </w:tc>
      </w:tr>
      <w:tr w14:paraId="655F2F92">
        <w:tblPrEx>
          <w:tblCellMar>
            <w:top w:w="0" w:type="dxa"/>
            <w:left w:w="108" w:type="dxa"/>
            <w:bottom w:w="0" w:type="dxa"/>
            <w:right w:w="108" w:type="dxa"/>
          </w:tblCellMar>
        </w:tblPrEx>
        <w:trPr>
          <w:trHeight w:val="964" w:hRule="atLeast"/>
        </w:trPr>
        <w:tc>
          <w:tcPr>
            <w:tcW w:w="501" w:type="dxa"/>
            <w:tcBorders>
              <w:top w:val="nil"/>
              <w:left w:val="single" w:color="auto" w:sz="4" w:space="0"/>
              <w:bottom w:val="single" w:color="auto" w:sz="4" w:space="0"/>
              <w:right w:val="single" w:color="auto" w:sz="4" w:space="0"/>
            </w:tcBorders>
            <w:shd w:val="clear" w:color="auto" w:fill="auto"/>
            <w:noWrap/>
            <w:vAlign w:val="center"/>
          </w:tcPr>
          <w:p w14:paraId="020AF3F8">
            <w:pPr>
              <w:shd w:val="clear" w:color="auto" w:fill="FFFFFF"/>
              <w:spacing w:before="100" w:beforeAutospacing="1" w:after="100" w:afterAutospacing="1"/>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4</w:t>
            </w:r>
          </w:p>
        </w:tc>
        <w:tc>
          <w:tcPr>
            <w:tcW w:w="1438" w:type="dxa"/>
            <w:tcBorders>
              <w:top w:val="nil"/>
              <w:left w:val="nil"/>
              <w:bottom w:val="single" w:color="auto" w:sz="4" w:space="0"/>
              <w:right w:val="single" w:color="auto" w:sz="4" w:space="0"/>
            </w:tcBorders>
            <w:shd w:val="clear" w:color="auto" w:fill="auto"/>
            <w:noWrap/>
            <w:vAlign w:val="center"/>
          </w:tcPr>
          <w:p w14:paraId="052329F7">
            <w:pPr>
              <w:widowControl/>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b/>
                <w:bCs/>
                <w:color w:val="auto"/>
                <w:kern w:val="2"/>
                <w:sz w:val="24"/>
                <w:szCs w:val="24"/>
                <w:highlight w:val="none"/>
                <w:lang w:val="en-US" w:eastAsia="zh-CN" w:bidi="ar-SA"/>
              </w:rPr>
              <w:t>现金保险</w:t>
            </w:r>
          </w:p>
        </w:tc>
        <w:tc>
          <w:tcPr>
            <w:tcW w:w="3403" w:type="dxa"/>
            <w:tcBorders>
              <w:top w:val="nil"/>
              <w:left w:val="nil"/>
              <w:bottom w:val="single" w:color="auto" w:sz="4" w:space="0"/>
              <w:right w:val="single" w:color="auto" w:sz="4" w:space="0"/>
            </w:tcBorders>
            <w:shd w:val="clear" w:color="auto" w:fill="auto"/>
            <w:noWrap/>
            <w:vAlign w:val="center"/>
          </w:tcPr>
          <w:p w14:paraId="26C7D5D0">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总保险金额5万元；其中：在途资金3万元；库存资金2万元。</w:t>
            </w:r>
          </w:p>
        </w:tc>
        <w:tc>
          <w:tcPr>
            <w:tcW w:w="1759" w:type="dxa"/>
            <w:tcBorders>
              <w:top w:val="nil"/>
              <w:left w:val="nil"/>
              <w:bottom w:val="single" w:color="auto" w:sz="4" w:space="0"/>
              <w:right w:val="single" w:color="auto" w:sz="4" w:space="0"/>
            </w:tcBorders>
            <w:shd w:val="clear" w:color="auto" w:fill="auto"/>
            <w:noWrap/>
            <w:vAlign w:val="center"/>
          </w:tcPr>
          <w:p w14:paraId="48C1A4D9">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无</w:t>
            </w:r>
          </w:p>
        </w:tc>
        <w:tc>
          <w:tcPr>
            <w:tcW w:w="1602" w:type="dxa"/>
            <w:tcBorders>
              <w:top w:val="nil"/>
              <w:left w:val="nil"/>
              <w:bottom w:val="single" w:color="auto" w:sz="4" w:space="0"/>
              <w:right w:val="single" w:color="auto" w:sz="4" w:space="0"/>
            </w:tcBorders>
            <w:shd w:val="clear" w:color="auto" w:fill="auto"/>
            <w:noWrap/>
            <w:vAlign w:val="center"/>
          </w:tcPr>
          <w:p w14:paraId="69519911">
            <w:pPr>
              <w:widowControl/>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w:t>
            </w:r>
          </w:p>
        </w:tc>
      </w:tr>
      <w:tr w14:paraId="6941B69E">
        <w:tblPrEx>
          <w:tblCellMar>
            <w:top w:w="0" w:type="dxa"/>
            <w:left w:w="108" w:type="dxa"/>
            <w:bottom w:w="0" w:type="dxa"/>
            <w:right w:w="108" w:type="dxa"/>
          </w:tblCellMar>
        </w:tblPrEx>
        <w:trPr>
          <w:trHeight w:val="964" w:hRule="atLeast"/>
        </w:trPr>
        <w:tc>
          <w:tcPr>
            <w:tcW w:w="501" w:type="dxa"/>
            <w:tcBorders>
              <w:top w:val="nil"/>
              <w:left w:val="single" w:color="auto" w:sz="4" w:space="0"/>
              <w:bottom w:val="single" w:color="auto" w:sz="4" w:space="0"/>
              <w:right w:val="single" w:color="auto" w:sz="4" w:space="0"/>
            </w:tcBorders>
            <w:shd w:val="clear" w:color="auto" w:fill="auto"/>
            <w:noWrap/>
            <w:vAlign w:val="center"/>
          </w:tcPr>
          <w:p w14:paraId="16023BBC">
            <w:pPr>
              <w:shd w:val="clear" w:color="auto" w:fill="FFFFFF"/>
              <w:spacing w:before="100" w:beforeAutospacing="1" w:after="100" w:afterAutospacing="1"/>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5</w:t>
            </w:r>
          </w:p>
        </w:tc>
        <w:tc>
          <w:tcPr>
            <w:tcW w:w="1438" w:type="dxa"/>
            <w:tcBorders>
              <w:top w:val="nil"/>
              <w:left w:val="nil"/>
              <w:bottom w:val="single" w:color="auto" w:sz="4" w:space="0"/>
              <w:right w:val="single" w:color="auto" w:sz="4" w:space="0"/>
            </w:tcBorders>
            <w:shd w:val="clear" w:color="auto" w:fill="auto"/>
            <w:noWrap/>
            <w:vAlign w:val="center"/>
          </w:tcPr>
          <w:p w14:paraId="48938CE0">
            <w:pPr>
              <w:widowControl/>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b/>
                <w:bCs/>
                <w:color w:val="auto"/>
                <w:kern w:val="2"/>
                <w:sz w:val="24"/>
                <w:szCs w:val="24"/>
                <w:highlight w:val="none"/>
                <w:lang w:val="en-US" w:eastAsia="zh-CN" w:bidi="ar-SA"/>
              </w:rPr>
              <w:t>团体意外险</w:t>
            </w:r>
          </w:p>
        </w:tc>
        <w:tc>
          <w:tcPr>
            <w:tcW w:w="3403" w:type="dxa"/>
            <w:tcBorders>
              <w:top w:val="nil"/>
              <w:left w:val="nil"/>
              <w:bottom w:val="single" w:color="auto" w:sz="4" w:space="0"/>
              <w:right w:val="single" w:color="auto" w:sz="4" w:space="0"/>
            </w:tcBorders>
            <w:shd w:val="clear" w:color="auto" w:fill="auto"/>
            <w:noWrap/>
            <w:vAlign w:val="center"/>
          </w:tcPr>
          <w:p w14:paraId="31A7D2D2">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人身意外事故/残疾保险</w:t>
            </w:r>
            <w:r>
              <w:rPr>
                <w:rFonts w:hint="eastAsia" w:eastAsia="仿宋_GB2312" w:cs="Times New Roman"/>
                <w:color w:val="auto"/>
                <w:kern w:val="2"/>
                <w:sz w:val="24"/>
                <w:szCs w:val="24"/>
                <w:highlight w:val="none"/>
                <w:lang w:val="en-US" w:eastAsia="zh-CN" w:bidi="ar-SA"/>
              </w:rPr>
              <w:t>5</w:t>
            </w:r>
            <w:r>
              <w:rPr>
                <w:rFonts w:hint="default" w:ascii="Times New Roman" w:hAnsi="Times New Roman" w:eastAsia="仿宋_GB2312" w:cs="Times New Roman"/>
                <w:color w:val="auto"/>
                <w:kern w:val="2"/>
                <w:sz w:val="24"/>
                <w:szCs w:val="24"/>
                <w:highlight w:val="none"/>
                <w:lang w:val="en-US" w:eastAsia="zh-CN" w:bidi="ar-SA"/>
              </w:rPr>
              <w:t>0万元，附加意外伤害医疗</w:t>
            </w:r>
            <w:r>
              <w:rPr>
                <w:rFonts w:hint="eastAsia" w:eastAsia="仿宋_GB2312" w:cs="Times New Roman"/>
                <w:color w:val="auto"/>
                <w:kern w:val="2"/>
                <w:sz w:val="24"/>
                <w:szCs w:val="24"/>
                <w:highlight w:val="none"/>
                <w:lang w:val="en-US" w:eastAsia="zh-CN" w:bidi="ar-SA"/>
              </w:rPr>
              <w:t>5</w:t>
            </w:r>
            <w:r>
              <w:rPr>
                <w:rFonts w:hint="default" w:ascii="Times New Roman" w:hAnsi="Times New Roman" w:eastAsia="仿宋_GB2312" w:cs="Times New Roman"/>
                <w:color w:val="auto"/>
                <w:kern w:val="2"/>
                <w:sz w:val="24"/>
                <w:szCs w:val="24"/>
                <w:highlight w:val="none"/>
                <w:lang w:val="en-US" w:eastAsia="zh-CN" w:bidi="ar-SA"/>
              </w:rPr>
              <w:t>万元，附加</w:t>
            </w:r>
            <w:r>
              <w:rPr>
                <w:rFonts w:hint="eastAsia" w:eastAsia="仿宋_GB2312" w:cs="Times New Roman"/>
                <w:color w:val="auto"/>
                <w:kern w:val="2"/>
                <w:sz w:val="24"/>
                <w:szCs w:val="24"/>
                <w:highlight w:val="none"/>
                <w:lang w:val="en-US" w:eastAsia="zh-CN" w:bidi="ar-SA"/>
              </w:rPr>
              <w:t>意外伤害</w:t>
            </w:r>
            <w:r>
              <w:rPr>
                <w:rFonts w:hint="default" w:ascii="Times New Roman" w:hAnsi="Times New Roman" w:eastAsia="仿宋_GB2312" w:cs="Times New Roman"/>
                <w:color w:val="auto"/>
                <w:kern w:val="2"/>
                <w:sz w:val="24"/>
                <w:szCs w:val="24"/>
                <w:highlight w:val="none"/>
                <w:lang w:val="en-US" w:eastAsia="zh-CN" w:bidi="ar-SA"/>
              </w:rPr>
              <w:t>住院津贴100元/天</w:t>
            </w:r>
            <w:r>
              <w:rPr>
                <w:rFonts w:hint="eastAsia" w:eastAsia="仿宋_GB2312" w:cs="Times New Roman"/>
                <w:color w:val="auto"/>
                <w:kern w:val="2"/>
                <w:sz w:val="24"/>
                <w:szCs w:val="24"/>
                <w:highlight w:val="none"/>
                <w:lang w:val="en-US" w:eastAsia="zh-CN" w:bidi="ar-SA"/>
              </w:rPr>
              <w:t>，附加超龄人员保险（附加65岁-70岁，保障内容与65岁以下投保人员完全一致）、附加救护车费用保险（每人每次事故赔偿限额1000元）、附加扩展中暑保险</w:t>
            </w:r>
            <w:r>
              <w:rPr>
                <w:rFonts w:hint="default" w:ascii="Times New Roman" w:hAnsi="Times New Roman" w:eastAsia="仿宋_GB2312" w:cs="Times New Roman"/>
                <w:color w:val="auto"/>
                <w:kern w:val="2"/>
                <w:sz w:val="24"/>
                <w:szCs w:val="24"/>
                <w:highlight w:val="none"/>
                <w:lang w:val="en-US" w:eastAsia="zh-CN" w:bidi="ar-SA"/>
              </w:rPr>
              <w:t>。</w:t>
            </w:r>
          </w:p>
        </w:tc>
        <w:tc>
          <w:tcPr>
            <w:tcW w:w="1759" w:type="dxa"/>
            <w:tcBorders>
              <w:top w:val="nil"/>
              <w:left w:val="nil"/>
              <w:bottom w:val="single" w:color="auto" w:sz="4" w:space="0"/>
              <w:right w:val="single" w:color="auto" w:sz="4" w:space="0"/>
            </w:tcBorders>
            <w:shd w:val="clear" w:color="auto" w:fill="auto"/>
            <w:noWrap/>
            <w:vAlign w:val="center"/>
          </w:tcPr>
          <w:p w14:paraId="42E1D645">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无</w:t>
            </w:r>
          </w:p>
        </w:tc>
        <w:tc>
          <w:tcPr>
            <w:tcW w:w="1602" w:type="dxa"/>
            <w:tcBorders>
              <w:top w:val="nil"/>
              <w:left w:val="nil"/>
              <w:bottom w:val="single" w:color="auto" w:sz="4" w:space="0"/>
              <w:right w:val="single" w:color="auto" w:sz="4" w:space="0"/>
            </w:tcBorders>
            <w:shd w:val="clear" w:color="auto" w:fill="auto"/>
            <w:noWrap/>
            <w:vAlign w:val="center"/>
          </w:tcPr>
          <w:p w14:paraId="788CE7F6">
            <w:pPr>
              <w:widowControl/>
              <w:jc w:val="both"/>
              <w:rPr>
                <w:rFonts w:hint="default" w:ascii="Times New Roman" w:hAnsi="Times New Roman" w:eastAsia="仿宋_GB2312" w:cs="Times New Roman"/>
                <w:color w:val="auto"/>
                <w:kern w:val="2"/>
                <w:sz w:val="24"/>
                <w:szCs w:val="24"/>
                <w:highlight w:val="none"/>
                <w:lang w:val="en-US" w:eastAsia="zh-CN" w:bidi="ar-SA"/>
              </w:rPr>
            </w:pPr>
            <w:r>
              <w:rPr>
                <w:rFonts w:hint="eastAsia" w:eastAsia="仿宋_GB2312" w:cs="Times New Roman"/>
                <w:color w:val="auto"/>
                <w:kern w:val="2"/>
                <w:sz w:val="24"/>
                <w:szCs w:val="24"/>
                <w:highlight w:val="none"/>
                <w:lang w:val="en-US" w:eastAsia="zh-CN" w:bidi="ar-SA"/>
              </w:rPr>
              <w:t>为来科技馆服务的志愿者投保，</w:t>
            </w:r>
            <w:r>
              <w:rPr>
                <w:rFonts w:hint="default" w:ascii="Times New Roman" w:hAnsi="Times New Roman" w:eastAsia="仿宋_GB2312" w:cs="Times New Roman"/>
                <w:color w:val="auto"/>
                <w:kern w:val="2"/>
                <w:sz w:val="24"/>
                <w:szCs w:val="24"/>
                <w:highlight w:val="none"/>
                <w:lang w:val="en-US" w:eastAsia="zh-CN" w:bidi="ar-SA"/>
              </w:rPr>
              <w:t>投保人数</w:t>
            </w:r>
            <w:r>
              <w:rPr>
                <w:rFonts w:hint="eastAsia" w:eastAsia="仿宋_GB2312" w:cs="Times New Roman"/>
                <w:color w:val="auto"/>
                <w:kern w:val="2"/>
                <w:sz w:val="24"/>
                <w:szCs w:val="24"/>
                <w:highlight w:val="none"/>
                <w:lang w:val="en-US" w:eastAsia="zh-CN" w:bidi="ar-SA"/>
              </w:rPr>
              <w:t>70</w:t>
            </w:r>
            <w:r>
              <w:rPr>
                <w:rFonts w:hint="default" w:ascii="Times New Roman" w:hAnsi="Times New Roman" w:eastAsia="仿宋_GB2312" w:cs="Times New Roman"/>
                <w:color w:val="auto"/>
                <w:kern w:val="2"/>
                <w:sz w:val="24"/>
                <w:szCs w:val="24"/>
                <w:highlight w:val="none"/>
                <w:lang w:val="en-US" w:eastAsia="zh-CN" w:bidi="ar-SA"/>
              </w:rPr>
              <w:t>人</w:t>
            </w:r>
            <w:r>
              <w:rPr>
                <w:rFonts w:hint="eastAsia" w:eastAsia="仿宋_GB2312" w:cs="Times New Roman"/>
                <w:color w:val="auto"/>
                <w:kern w:val="2"/>
                <w:sz w:val="24"/>
                <w:szCs w:val="24"/>
                <w:highlight w:val="none"/>
                <w:lang w:val="en-US" w:eastAsia="zh-CN" w:bidi="ar-SA"/>
              </w:rPr>
              <w:t>。</w:t>
            </w:r>
          </w:p>
        </w:tc>
      </w:tr>
    </w:tbl>
    <w:p w14:paraId="6A39E099">
      <w:pPr>
        <w:keepNext w:val="0"/>
        <w:keepLines w:val="0"/>
        <w:pageBreakBefore w:val="0"/>
        <w:widowControl/>
        <w:numPr>
          <w:ilvl w:val="0"/>
          <w:numId w:val="1"/>
        </w:numPr>
        <w:suppressAutoHyphens/>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黑体简体" w:cs="Times New Roman"/>
          <w:b w:val="0"/>
          <w:bCs/>
          <w:color w:val="auto"/>
          <w:sz w:val="32"/>
          <w:szCs w:val="32"/>
          <w:highlight w:val="none"/>
          <w:lang w:val="en-US" w:eastAsia="zh-CN"/>
        </w:rPr>
      </w:pPr>
      <w:r>
        <w:rPr>
          <w:rFonts w:hint="default" w:ascii="Times New Roman" w:hAnsi="Times New Roman" w:eastAsia="方正黑体简体" w:cs="Times New Roman"/>
          <w:b w:val="0"/>
          <w:bCs/>
          <w:color w:val="auto"/>
          <w:sz w:val="32"/>
          <w:szCs w:val="32"/>
          <w:highlight w:val="none"/>
          <w:lang w:val="en-US" w:eastAsia="zh-CN"/>
        </w:rPr>
        <w:br w:type="page"/>
      </w:r>
    </w:p>
    <w:p w14:paraId="609400D6">
      <w:pPr>
        <w:keepNext w:val="0"/>
        <w:keepLines w:val="0"/>
        <w:pageBreakBefore w:val="0"/>
        <w:widowControl/>
        <w:numPr>
          <w:ilvl w:val="0"/>
          <w:numId w:val="0"/>
        </w:numPr>
        <w:suppressAutoHyphens/>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黑体简体" w:cs="Times New Roman"/>
          <w:b w:val="0"/>
          <w:bCs/>
          <w:color w:val="auto"/>
          <w:sz w:val="32"/>
          <w:szCs w:val="32"/>
          <w:highlight w:val="none"/>
          <w:lang w:val="en-US" w:eastAsia="zh-CN"/>
        </w:rPr>
      </w:pPr>
      <w:r>
        <w:rPr>
          <w:rFonts w:hint="default" w:ascii="Times New Roman" w:hAnsi="Times New Roman" w:eastAsia="方正黑体简体" w:cs="Times New Roman"/>
          <w:b w:val="0"/>
          <w:bCs/>
          <w:color w:val="auto"/>
          <w:sz w:val="32"/>
          <w:szCs w:val="32"/>
          <w:highlight w:val="none"/>
          <w:lang w:val="en-US" w:eastAsia="zh-CN"/>
        </w:rPr>
        <w:t>三、报价及费用结算</w:t>
      </w:r>
    </w:p>
    <w:p w14:paraId="76AA4E90">
      <w:pPr>
        <w:keepNext w:val="0"/>
        <w:keepLines w:val="0"/>
        <w:pageBreakBefore w:val="0"/>
        <w:widowControl/>
        <w:suppressAutoHyphens/>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1、投标人根据采购需求按险种分项报价后汇总形成总价，报价币种为人民币。投标人如对本项目进行报价，即表示认可采购人提出的要求，且不可撤回。投标报价应包括为完成本项目约定服务内容所需的一切费用，成交后不再追加任何费用，不得转包，不得超过最高限价。后续产生资产增减、人员变动等情况时，保险费按照中标费率增加或减少。</w:t>
      </w:r>
    </w:p>
    <w:p w14:paraId="22435B1F">
      <w:pPr>
        <w:keepNext w:val="0"/>
        <w:keepLines w:val="0"/>
        <w:pageBreakBefore w:val="0"/>
        <w:widowControl/>
        <w:suppressAutoHyphens/>
        <w:kinsoku/>
        <w:wordWrap/>
        <w:overflowPunct/>
        <w:topLinePunct w:val="0"/>
        <w:autoSpaceDE/>
        <w:autoSpaceDN/>
        <w:bidi w:val="0"/>
        <w:adjustRightInd/>
        <w:snapToGrid/>
        <w:spacing w:line="240" w:lineRule="auto"/>
        <w:ind w:firstLine="643" w:firstLineChars="200"/>
        <w:jc w:val="both"/>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注：投标人对于本项目的计价、结算方式、采购需求、保险条款须无条件响应，否则投标无效。采购人有权对未明确的内容在实施时确定，投标人须无条件响应。</w:t>
      </w:r>
    </w:p>
    <w:p w14:paraId="12B8E93F">
      <w:pPr>
        <w:keepNext w:val="0"/>
        <w:keepLines w:val="0"/>
        <w:pageBreakBefore w:val="0"/>
        <w:widowControl/>
        <w:suppressAutoHyphens/>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2、保险费支付方式：兹经双方同意，本保险单的保险费于</w:t>
      </w:r>
      <w:r>
        <w:rPr>
          <w:rFonts w:hint="eastAsia" w:eastAsia="仿宋_GB2312" w:cs="Times New Roman"/>
          <w:color w:val="auto"/>
          <w:sz w:val="32"/>
          <w:szCs w:val="32"/>
          <w:highlight w:val="none"/>
          <w:lang w:val="en-US" w:eastAsia="zh-CN"/>
        </w:rPr>
        <w:t>合同签订后</w:t>
      </w:r>
      <w:r>
        <w:rPr>
          <w:rFonts w:hint="default" w:ascii="Times New Roman" w:hAnsi="Times New Roman" w:eastAsia="仿宋_GB2312" w:cs="Times New Roman"/>
          <w:color w:val="auto"/>
          <w:sz w:val="32"/>
          <w:szCs w:val="32"/>
          <w:highlight w:val="none"/>
          <w:lang w:eastAsia="zh-CN"/>
        </w:rPr>
        <w:t>，一次性支付。</w:t>
      </w:r>
    </w:p>
    <w:p w14:paraId="53268D2B">
      <w:pPr>
        <w:keepNext w:val="0"/>
        <w:keepLines w:val="0"/>
        <w:pageBreakBefore w:val="0"/>
        <w:widowControl/>
        <w:suppressAutoHyphens/>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3、保险费用按照实际投保人员和当月投保的资产负债表进行投保。遇到巨大变动时，财产一切险费用按照资产实际移交时间及移交时资产负债表数额进行投保计算。</w:t>
      </w:r>
    </w:p>
    <w:p w14:paraId="00E75BED">
      <w:pPr>
        <w:keepNext w:val="0"/>
        <w:keepLines w:val="0"/>
        <w:pageBreakBefore w:val="0"/>
        <w:widowControl/>
        <w:suppressAutoHyphens/>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4、中标人需按照中标服务方案帮助我馆第三方工作人员投保雇主责任险，相关费用由承保人与第三方代理公司直接结算。</w:t>
      </w:r>
    </w:p>
    <w:p w14:paraId="49B97A5E">
      <w:pPr>
        <w:keepNext w:val="0"/>
        <w:keepLines w:val="0"/>
        <w:pageBreakBefore w:val="0"/>
        <w:widowControl/>
        <w:suppressAutoHyphens/>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eastAsia"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eastAsia="zh-CN"/>
        </w:rPr>
        <w:t>、投标人不得向其他方透露通过该保险项目而得到采购方的相关资料。</w:t>
      </w:r>
    </w:p>
    <w:p w14:paraId="5E15D232">
      <w:pPr>
        <w:keepNext w:val="0"/>
        <w:keepLines w:val="0"/>
        <w:pageBreakBefore w:val="0"/>
        <w:widowControl/>
        <w:suppressAutoHyphens/>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6、服务期间，如产生司法判决，中标人须按司法判决结果严格执行。</w:t>
      </w:r>
    </w:p>
    <w:p w14:paraId="706AAED0">
      <w:pPr>
        <w:keepNext w:val="0"/>
        <w:keepLines w:val="0"/>
        <w:pageBreakBefore w:val="0"/>
        <w:widowControl/>
        <w:suppressAutoHyphens/>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color w:val="auto"/>
          <w:highlight w:val="none"/>
          <w:lang w:eastAsia="zh-CN"/>
        </w:rPr>
      </w:pPr>
      <w:r>
        <w:rPr>
          <w:rFonts w:hint="eastAsia"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lang w:eastAsia="zh-CN"/>
        </w:rPr>
        <w:t>、中标人要按照承诺的服务内容提供及时、便捷的服务。</w:t>
      </w:r>
      <w:r>
        <w:rPr>
          <w:rFonts w:hint="eastAsia" w:eastAsia="仿宋_GB2312" w:cs="Times New Roman"/>
          <w:color w:val="auto"/>
          <w:sz w:val="32"/>
          <w:szCs w:val="32"/>
          <w:highlight w:val="none"/>
          <w:lang w:val="en-US" w:eastAsia="zh-CN"/>
        </w:rPr>
        <w:t>若服务期间中标人存在服务质量欠佳且拒不整改等问题，经考核年度服务质量不合格，将列入黑名单，后续不得参与一切和我馆相关的保险项目。</w:t>
      </w:r>
    </w:p>
    <w:p w14:paraId="71EA13D9">
      <w:pPr>
        <w:keepNext w:val="0"/>
        <w:keepLines w:val="0"/>
        <w:pageBreakBefore w:val="0"/>
        <w:widowControl/>
        <w:numPr>
          <w:ilvl w:val="0"/>
          <w:numId w:val="0"/>
        </w:numPr>
        <w:suppressAutoHyphens/>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黑体简体" w:cs="Times New Roman"/>
          <w:b w:val="0"/>
          <w:bCs/>
          <w:color w:val="auto"/>
          <w:sz w:val="32"/>
          <w:szCs w:val="32"/>
          <w:highlight w:val="none"/>
          <w:lang w:val="en-US" w:eastAsia="zh-CN"/>
        </w:rPr>
      </w:pPr>
      <w:r>
        <w:rPr>
          <w:rFonts w:hint="default" w:ascii="Times New Roman" w:hAnsi="Times New Roman" w:eastAsia="方正黑体简体" w:cs="Times New Roman"/>
          <w:b w:val="0"/>
          <w:bCs/>
          <w:color w:val="auto"/>
          <w:sz w:val="32"/>
          <w:szCs w:val="32"/>
          <w:highlight w:val="none"/>
          <w:lang w:val="en-US" w:eastAsia="zh-CN"/>
        </w:rPr>
        <w:t>四、评标方法</w:t>
      </w:r>
    </w:p>
    <w:p w14:paraId="348A5852">
      <w:pPr>
        <w:keepNext w:val="0"/>
        <w:keepLines w:val="0"/>
        <w:pageBreakBefore w:val="0"/>
        <w:widowControl/>
        <w:suppressAutoHyphens/>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此次采购采用综合评分法评审。综合评分法，是指响应文件满足招标公告全部实质性要求且按评审内容的量化指标评审得分最高的投标人为成交候选投标人的评审方法。</w:t>
      </w:r>
    </w:p>
    <w:p w14:paraId="5A1BF2D0">
      <w:pPr>
        <w:keepNext w:val="0"/>
        <w:keepLines w:val="0"/>
        <w:pageBreakBefore w:val="0"/>
        <w:widowControl/>
        <w:suppressAutoHyphens/>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具体评分细则如下：</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3"/>
        <w:gridCol w:w="812"/>
        <w:gridCol w:w="865"/>
        <w:gridCol w:w="1066"/>
        <w:gridCol w:w="4420"/>
        <w:gridCol w:w="876"/>
      </w:tblGrid>
      <w:tr w14:paraId="50F2B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0" w:type="auto"/>
            <w:noWrap w:val="0"/>
            <w:vAlign w:val="center"/>
          </w:tcPr>
          <w:p w14:paraId="28C0DB6E">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b/>
                <w:bCs/>
                <w:color w:val="auto"/>
                <w:kern w:val="2"/>
                <w:sz w:val="24"/>
                <w:szCs w:val="24"/>
                <w:highlight w:val="none"/>
                <w:lang w:val="en-US" w:eastAsia="zh-CN" w:bidi="ar-SA"/>
              </w:rPr>
            </w:pPr>
            <w:r>
              <w:rPr>
                <w:rFonts w:hint="default" w:ascii="Times New Roman" w:hAnsi="Times New Roman" w:eastAsia="仿宋_GB2312" w:cs="Times New Roman"/>
                <w:b/>
                <w:bCs/>
                <w:color w:val="auto"/>
                <w:kern w:val="2"/>
                <w:sz w:val="24"/>
                <w:szCs w:val="24"/>
                <w:highlight w:val="none"/>
                <w:lang w:val="en-US" w:eastAsia="zh-CN" w:bidi="ar-SA"/>
              </w:rPr>
              <w:t>序号</w:t>
            </w:r>
          </w:p>
        </w:tc>
        <w:tc>
          <w:tcPr>
            <w:tcW w:w="0" w:type="auto"/>
            <w:noWrap w:val="0"/>
            <w:vAlign w:val="center"/>
          </w:tcPr>
          <w:p w14:paraId="40CA7194">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b/>
                <w:bCs/>
                <w:color w:val="auto"/>
                <w:kern w:val="2"/>
                <w:sz w:val="24"/>
                <w:szCs w:val="24"/>
                <w:highlight w:val="none"/>
                <w:lang w:val="en-US" w:eastAsia="zh-CN" w:bidi="ar-SA"/>
              </w:rPr>
            </w:pPr>
          </w:p>
        </w:tc>
        <w:tc>
          <w:tcPr>
            <w:tcW w:w="0" w:type="auto"/>
            <w:noWrap w:val="0"/>
            <w:vAlign w:val="center"/>
          </w:tcPr>
          <w:p w14:paraId="12C12E84">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b/>
                <w:bCs/>
                <w:color w:val="auto"/>
                <w:kern w:val="2"/>
                <w:sz w:val="24"/>
                <w:szCs w:val="24"/>
                <w:highlight w:val="none"/>
                <w:lang w:val="en-US" w:eastAsia="zh-CN" w:bidi="ar-SA"/>
              </w:rPr>
            </w:pPr>
            <w:r>
              <w:rPr>
                <w:rFonts w:hint="default" w:ascii="Times New Roman" w:hAnsi="Times New Roman" w:eastAsia="仿宋_GB2312" w:cs="Times New Roman"/>
                <w:b/>
                <w:bCs/>
                <w:color w:val="auto"/>
                <w:kern w:val="2"/>
                <w:sz w:val="24"/>
                <w:szCs w:val="24"/>
                <w:highlight w:val="none"/>
                <w:lang w:val="en-US" w:eastAsia="zh-CN" w:bidi="ar-SA"/>
              </w:rPr>
              <w:t>评分项目</w:t>
            </w:r>
          </w:p>
        </w:tc>
        <w:tc>
          <w:tcPr>
            <w:tcW w:w="0" w:type="auto"/>
            <w:noWrap w:val="0"/>
            <w:vAlign w:val="center"/>
          </w:tcPr>
          <w:p w14:paraId="3E76B24D">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b/>
                <w:bCs/>
                <w:color w:val="auto"/>
                <w:kern w:val="2"/>
                <w:sz w:val="24"/>
                <w:szCs w:val="24"/>
                <w:highlight w:val="none"/>
                <w:lang w:val="en-US" w:eastAsia="zh-CN" w:bidi="ar-SA"/>
              </w:rPr>
            </w:pPr>
          </w:p>
        </w:tc>
        <w:tc>
          <w:tcPr>
            <w:tcW w:w="0" w:type="auto"/>
            <w:noWrap w:val="0"/>
            <w:vAlign w:val="center"/>
          </w:tcPr>
          <w:p w14:paraId="6592F1EA">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b/>
                <w:bCs/>
                <w:color w:val="auto"/>
                <w:kern w:val="2"/>
                <w:sz w:val="24"/>
                <w:szCs w:val="24"/>
                <w:highlight w:val="none"/>
                <w:lang w:val="en-US" w:eastAsia="zh-CN" w:bidi="ar-SA"/>
              </w:rPr>
            </w:pPr>
            <w:r>
              <w:rPr>
                <w:rFonts w:hint="default" w:ascii="Times New Roman" w:hAnsi="Times New Roman" w:eastAsia="仿宋_GB2312" w:cs="Times New Roman"/>
                <w:b/>
                <w:bCs/>
                <w:color w:val="auto"/>
                <w:kern w:val="2"/>
                <w:sz w:val="24"/>
                <w:szCs w:val="24"/>
                <w:highlight w:val="none"/>
                <w:lang w:val="en-US" w:eastAsia="zh-CN" w:bidi="ar-SA"/>
              </w:rPr>
              <w:t>评分内容及标准</w:t>
            </w:r>
          </w:p>
        </w:tc>
        <w:tc>
          <w:tcPr>
            <w:tcW w:w="0" w:type="auto"/>
            <w:noWrap w:val="0"/>
            <w:vAlign w:val="center"/>
          </w:tcPr>
          <w:p w14:paraId="202DF5B9">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b/>
                <w:bCs/>
                <w:color w:val="auto"/>
                <w:kern w:val="2"/>
                <w:sz w:val="24"/>
                <w:szCs w:val="24"/>
                <w:highlight w:val="none"/>
                <w:lang w:val="en-US" w:eastAsia="zh-CN" w:bidi="ar-SA"/>
              </w:rPr>
            </w:pPr>
            <w:r>
              <w:rPr>
                <w:rFonts w:hint="default" w:ascii="Times New Roman" w:hAnsi="Times New Roman" w:eastAsia="仿宋_GB2312" w:cs="Times New Roman"/>
                <w:b/>
                <w:bCs/>
                <w:color w:val="auto"/>
                <w:kern w:val="2"/>
                <w:sz w:val="24"/>
                <w:szCs w:val="24"/>
                <w:highlight w:val="none"/>
                <w:lang w:val="en-US" w:eastAsia="zh-CN" w:bidi="ar-SA"/>
              </w:rPr>
              <w:t>得分</w:t>
            </w:r>
          </w:p>
        </w:tc>
      </w:tr>
      <w:tr w14:paraId="1C91C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0" w:hRule="atLeast"/>
        </w:trPr>
        <w:tc>
          <w:tcPr>
            <w:tcW w:w="0" w:type="auto"/>
            <w:vMerge w:val="restart"/>
            <w:noWrap w:val="0"/>
            <w:vAlign w:val="center"/>
          </w:tcPr>
          <w:p w14:paraId="25220519">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b/>
                <w:bCs/>
                <w:color w:val="auto"/>
                <w:kern w:val="2"/>
                <w:sz w:val="24"/>
                <w:szCs w:val="24"/>
                <w:highlight w:val="none"/>
                <w:lang w:val="en-US" w:eastAsia="zh-CN" w:bidi="ar-SA"/>
              </w:rPr>
            </w:pPr>
            <w:r>
              <w:rPr>
                <w:rFonts w:hint="default" w:ascii="Times New Roman" w:hAnsi="Times New Roman" w:eastAsia="仿宋_GB2312" w:cs="Times New Roman"/>
                <w:b/>
                <w:bCs/>
                <w:color w:val="auto"/>
                <w:kern w:val="2"/>
                <w:sz w:val="24"/>
                <w:szCs w:val="24"/>
                <w:highlight w:val="none"/>
                <w:lang w:val="en-US" w:eastAsia="zh-CN" w:bidi="ar-SA"/>
              </w:rPr>
              <w:t>1</w:t>
            </w:r>
          </w:p>
        </w:tc>
        <w:tc>
          <w:tcPr>
            <w:tcW w:w="0" w:type="auto"/>
            <w:vMerge w:val="restart"/>
            <w:noWrap w:val="0"/>
            <w:vAlign w:val="center"/>
          </w:tcPr>
          <w:p w14:paraId="01286FA2">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b/>
                <w:bCs/>
                <w:color w:val="auto"/>
                <w:kern w:val="2"/>
                <w:sz w:val="24"/>
                <w:szCs w:val="24"/>
                <w:highlight w:val="none"/>
                <w:lang w:val="en-US" w:eastAsia="zh-CN" w:bidi="ar-SA"/>
              </w:rPr>
            </w:pPr>
            <w:r>
              <w:rPr>
                <w:rFonts w:hint="eastAsia" w:eastAsia="仿宋_GB2312" w:cs="Times New Roman"/>
                <w:b/>
                <w:bCs/>
                <w:color w:val="auto"/>
                <w:kern w:val="2"/>
                <w:sz w:val="24"/>
                <w:szCs w:val="24"/>
                <w:highlight w:val="none"/>
                <w:lang w:val="en-US" w:eastAsia="zh-CN" w:bidi="ar-SA"/>
              </w:rPr>
              <w:t>资信</w:t>
            </w:r>
            <w:r>
              <w:rPr>
                <w:rFonts w:hint="eastAsia" w:eastAsia="仿宋_GB2312" w:cs="Times New Roman"/>
                <w:b/>
                <w:bCs/>
                <w:color w:val="auto"/>
                <w:kern w:val="2"/>
                <w:sz w:val="24"/>
                <w:szCs w:val="24"/>
                <w:highlight w:val="none"/>
                <w:lang w:val="en-US" w:eastAsia="zh-CN" w:bidi="ar-SA"/>
              </w:rPr>
              <w:br w:type="textWrapping"/>
            </w:r>
            <w:r>
              <w:rPr>
                <w:rFonts w:hint="eastAsia" w:eastAsia="仿宋_GB2312" w:cs="Times New Roman"/>
                <w:b/>
                <w:bCs/>
                <w:color w:val="auto"/>
                <w:kern w:val="2"/>
                <w:sz w:val="24"/>
                <w:szCs w:val="24"/>
                <w:highlight w:val="none"/>
                <w:lang w:val="en-US" w:eastAsia="zh-CN" w:bidi="ar-SA"/>
              </w:rPr>
              <w:t>（40分）</w:t>
            </w:r>
          </w:p>
        </w:tc>
        <w:tc>
          <w:tcPr>
            <w:tcW w:w="0" w:type="auto"/>
            <w:vMerge w:val="restart"/>
            <w:noWrap w:val="0"/>
            <w:vAlign w:val="center"/>
          </w:tcPr>
          <w:p w14:paraId="33922875">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b/>
                <w:bCs/>
                <w:color w:val="auto"/>
                <w:kern w:val="2"/>
                <w:sz w:val="24"/>
                <w:szCs w:val="24"/>
                <w:highlight w:val="none"/>
                <w:lang w:val="en-US" w:eastAsia="zh-CN" w:bidi="ar-SA"/>
              </w:rPr>
            </w:pPr>
            <w:r>
              <w:rPr>
                <w:rFonts w:hint="default" w:ascii="Times New Roman" w:hAnsi="Times New Roman" w:eastAsia="仿宋_GB2312" w:cs="Times New Roman"/>
                <w:b/>
                <w:bCs/>
                <w:color w:val="auto"/>
                <w:kern w:val="2"/>
                <w:sz w:val="24"/>
                <w:szCs w:val="24"/>
                <w:highlight w:val="none"/>
                <w:lang w:val="en-US" w:eastAsia="zh-CN" w:bidi="ar-SA"/>
              </w:rPr>
              <w:t>供应商资质</w:t>
            </w:r>
          </w:p>
          <w:p w14:paraId="7D5D88CF">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b/>
                <w:bCs/>
                <w:color w:val="auto"/>
                <w:kern w:val="2"/>
                <w:sz w:val="24"/>
                <w:szCs w:val="24"/>
                <w:highlight w:val="none"/>
                <w:lang w:val="en-US" w:eastAsia="zh-CN" w:bidi="ar-SA"/>
              </w:rPr>
            </w:pPr>
            <w:r>
              <w:rPr>
                <w:rFonts w:hint="default" w:ascii="Times New Roman" w:hAnsi="Times New Roman" w:eastAsia="仿宋_GB2312" w:cs="Times New Roman"/>
                <w:b/>
                <w:bCs/>
                <w:color w:val="auto"/>
                <w:kern w:val="2"/>
                <w:sz w:val="24"/>
                <w:szCs w:val="24"/>
                <w:highlight w:val="none"/>
                <w:lang w:val="en-US" w:eastAsia="zh-CN" w:bidi="ar-SA"/>
              </w:rPr>
              <w:t>（20分）</w:t>
            </w:r>
          </w:p>
        </w:tc>
        <w:tc>
          <w:tcPr>
            <w:tcW w:w="0" w:type="auto"/>
            <w:noWrap w:val="0"/>
            <w:vAlign w:val="center"/>
          </w:tcPr>
          <w:p w14:paraId="4D6FF04D">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b/>
                <w:bCs/>
                <w:color w:val="auto"/>
                <w:kern w:val="2"/>
                <w:sz w:val="24"/>
                <w:szCs w:val="24"/>
                <w:highlight w:val="none"/>
                <w:lang w:val="en-US" w:eastAsia="zh-CN" w:bidi="ar-SA"/>
              </w:rPr>
            </w:pPr>
            <w:r>
              <w:rPr>
                <w:rFonts w:hint="eastAsia" w:eastAsia="仿宋_GB2312" w:cs="Times New Roman"/>
                <w:b/>
                <w:bCs/>
                <w:color w:val="auto"/>
                <w:kern w:val="2"/>
                <w:sz w:val="24"/>
                <w:szCs w:val="24"/>
                <w:highlight w:val="none"/>
                <w:lang w:val="en-US" w:eastAsia="zh-CN" w:bidi="ar-SA"/>
              </w:rPr>
              <w:t>投标人2024</w:t>
            </w:r>
            <w:r>
              <w:rPr>
                <w:rFonts w:hint="default" w:ascii="Times New Roman" w:hAnsi="Times New Roman" w:eastAsia="仿宋_GB2312" w:cs="Times New Roman"/>
                <w:b/>
                <w:bCs/>
                <w:color w:val="auto"/>
                <w:kern w:val="2"/>
                <w:sz w:val="24"/>
                <w:szCs w:val="24"/>
                <w:highlight w:val="none"/>
                <w:lang w:val="en-US" w:eastAsia="zh-CN" w:bidi="ar-SA"/>
              </w:rPr>
              <w:t>年度业务规模</w:t>
            </w:r>
          </w:p>
          <w:p w14:paraId="1C288CDC">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b/>
                <w:bCs/>
                <w:color w:val="auto"/>
                <w:kern w:val="2"/>
                <w:sz w:val="24"/>
                <w:szCs w:val="24"/>
                <w:highlight w:val="none"/>
                <w:lang w:val="en-US" w:eastAsia="zh-CN" w:bidi="ar-SA"/>
              </w:rPr>
            </w:pPr>
            <w:r>
              <w:rPr>
                <w:rFonts w:hint="eastAsia" w:eastAsia="仿宋_GB2312" w:cs="Times New Roman"/>
                <w:b/>
                <w:bCs/>
                <w:color w:val="auto"/>
                <w:kern w:val="2"/>
                <w:sz w:val="24"/>
                <w:szCs w:val="24"/>
                <w:highlight w:val="none"/>
                <w:lang w:val="en-US" w:eastAsia="zh-CN" w:bidi="ar-SA"/>
              </w:rPr>
              <w:t>（10分）</w:t>
            </w:r>
          </w:p>
        </w:tc>
        <w:tc>
          <w:tcPr>
            <w:tcW w:w="0" w:type="auto"/>
            <w:noWrap w:val="0"/>
            <w:vAlign w:val="center"/>
          </w:tcPr>
          <w:p w14:paraId="159F2265">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投标人2024年度在安徽省业务总保险费金额小于或等于</w:t>
            </w:r>
            <w:r>
              <w:rPr>
                <w:rFonts w:hint="eastAsia" w:eastAsia="仿宋_GB2312" w:cs="Times New Roman"/>
                <w:color w:val="auto"/>
                <w:kern w:val="2"/>
                <w:sz w:val="24"/>
                <w:szCs w:val="24"/>
                <w:highlight w:val="none"/>
                <w:lang w:val="en-US" w:eastAsia="zh-CN" w:bidi="ar-SA"/>
              </w:rPr>
              <w:t>20</w:t>
            </w:r>
            <w:r>
              <w:rPr>
                <w:rFonts w:hint="default" w:ascii="Times New Roman" w:hAnsi="Times New Roman" w:eastAsia="仿宋_GB2312" w:cs="Times New Roman"/>
                <w:color w:val="auto"/>
                <w:kern w:val="2"/>
                <w:sz w:val="24"/>
                <w:szCs w:val="24"/>
                <w:highlight w:val="none"/>
                <w:lang w:val="en-US" w:eastAsia="zh-CN" w:bidi="ar-SA"/>
              </w:rPr>
              <w:t>亿元得基本分</w:t>
            </w:r>
            <w:r>
              <w:rPr>
                <w:rFonts w:hint="eastAsia" w:eastAsia="仿宋_GB2312" w:cs="Times New Roman"/>
                <w:color w:val="auto"/>
                <w:kern w:val="2"/>
                <w:sz w:val="24"/>
                <w:szCs w:val="24"/>
                <w:highlight w:val="none"/>
                <w:lang w:val="en-US" w:eastAsia="zh-CN" w:bidi="ar-SA"/>
              </w:rPr>
              <w:t>4</w:t>
            </w:r>
            <w:r>
              <w:rPr>
                <w:rFonts w:hint="default" w:ascii="Times New Roman" w:hAnsi="Times New Roman" w:eastAsia="仿宋_GB2312" w:cs="Times New Roman"/>
                <w:color w:val="auto"/>
                <w:kern w:val="2"/>
                <w:sz w:val="24"/>
                <w:szCs w:val="24"/>
                <w:highlight w:val="none"/>
                <w:lang w:val="en-US" w:eastAsia="zh-CN" w:bidi="ar-SA"/>
              </w:rPr>
              <w:t>分，在</w:t>
            </w:r>
            <w:r>
              <w:rPr>
                <w:rFonts w:hint="eastAsia" w:eastAsia="仿宋_GB2312" w:cs="Times New Roman"/>
                <w:color w:val="auto"/>
                <w:kern w:val="2"/>
                <w:sz w:val="24"/>
                <w:szCs w:val="24"/>
                <w:highlight w:val="none"/>
                <w:lang w:val="en-US" w:eastAsia="zh-CN" w:bidi="ar-SA"/>
              </w:rPr>
              <w:t>2</w:t>
            </w:r>
            <w:r>
              <w:rPr>
                <w:rFonts w:hint="default" w:ascii="Times New Roman" w:hAnsi="Times New Roman" w:eastAsia="仿宋_GB2312" w:cs="Times New Roman"/>
                <w:color w:val="auto"/>
                <w:kern w:val="2"/>
                <w:sz w:val="24"/>
                <w:szCs w:val="24"/>
                <w:highlight w:val="none"/>
                <w:lang w:val="en-US" w:eastAsia="zh-CN" w:bidi="ar-SA"/>
              </w:rPr>
              <w:t>0亿元的基础上每增加</w:t>
            </w:r>
            <w:r>
              <w:rPr>
                <w:rFonts w:hint="eastAsia" w:eastAsia="仿宋_GB2312" w:cs="Times New Roman"/>
                <w:color w:val="auto"/>
                <w:kern w:val="2"/>
                <w:sz w:val="24"/>
                <w:szCs w:val="24"/>
                <w:highlight w:val="none"/>
                <w:lang w:val="en-US" w:eastAsia="zh-CN" w:bidi="ar-SA"/>
              </w:rPr>
              <w:t>1</w:t>
            </w:r>
            <w:r>
              <w:rPr>
                <w:rFonts w:hint="default" w:ascii="Times New Roman" w:hAnsi="Times New Roman" w:eastAsia="仿宋_GB2312" w:cs="Times New Roman"/>
                <w:color w:val="auto"/>
                <w:kern w:val="2"/>
                <w:sz w:val="24"/>
                <w:szCs w:val="24"/>
                <w:highlight w:val="none"/>
                <w:lang w:val="en-US" w:eastAsia="zh-CN" w:bidi="ar-SA"/>
              </w:rPr>
              <w:t xml:space="preserve">0亿元加2分，满分10分。          </w:t>
            </w:r>
          </w:p>
          <w:p w14:paraId="1EC950D6">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b/>
                <w:bCs/>
                <w:color w:val="auto"/>
                <w:kern w:val="2"/>
                <w:sz w:val="24"/>
                <w:szCs w:val="24"/>
                <w:highlight w:val="none"/>
                <w:lang w:val="en-US" w:eastAsia="zh-CN" w:bidi="ar-SA"/>
              </w:rPr>
              <w:t>注：需提供加盖单位公章的审计报告或财务报表等佐证材料。</w:t>
            </w:r>
          </w:p>
        </w:tc>
        <w:tc>
          <w:tcPr>
            <w:tcW w:w="0" w:type="auto"/>
            <w:vMerge w:val="restart"/>
            <w:noWrap w:val="0"/>
            <w:vAlign w:val="center"/>
          </w:tcPr>
          <w:p w14:paraId="2E8A9E79">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eastAsia" w:eastAsia="仿宋_GB2312" w:cs="Times New Roman"/>
                <w:color w:val="auto"/>
                <w:kern w:val="2"/>
                <w:sz w:val="24"/>
                <w:szCs w:val="24"/>
                <w:highlight w:val="none"/>
                <w:lang w:val="en-US" w:eastAsia="zh-CN" w:bidi="ar-SA"/>
              </w:rPr>
              <w:t>40分</w:t>
            </w:r>
          </w:p>
        </w:tc>
      </w:tr>
      <w:tr w14:paraId="53BFB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0" w:type="auto"/>
            <w:vMerge w:val="continue"/>
            <w:noWrap w:val="0"/>
            <w:vAlign w:val="center"/>
          </w:tcPr>
          <w:p w14:paraId="56CEB107">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b/>
                <w:bCs/>
                <w:color w:val="auto"/>
                <w:kern w:val="2"/>
                <w:sz w:val="24"/>
                <w:szCs w:val="24"/>
                <w:highlight w:val="none"/>
                <w:lang w:val="en-US" w:eastAsia="zh-CN" w:bidi="ar-SA"/>
              </w:rPr>
            </w:pPr>
          </w:p>
        </w:tc>
        <w:tc>
          <w:tcPr>
            <w:tcW w:w="0" w:type="auto"/>
            <w:vMerge w:val="continue"/>
            <w:noWrap w:val="0"/>
            <w:vAlign w:val="center"/>
          </w:tcPr>
          <w:p w14:paraId="76FD0537">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b/>
                <w:bCs/>
                <w:color w:val="auto"/>
                <w:kern w:val="2"/>
                <w:sz w:val="24"/>
                <w:szCs w:val="24"/>
                <w:highlight w:val="none"/>
                <w:lang w:val="en-US" w:eastAsia="zh-CN" w:bidi="ar-SA"/>
              </w:rPr>
            </w:pPr>
          </w:p>
        </w:tc>
        <w:tc>
          <w:tcPr>
            <w:tcW w:w="0" w:type="auto"/>
            <w:vMerge w:val="continue"/>
            <w:noWrap w:val="0"/>
            <w:vAlign w:val="center"/>
          </w:tcPr>
          <w:p w14:paraId="16DE4840">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b/>
                <w:bCs/>
                <w:color w:val="auto"/>
                <w:kern w:val="2"/>
                <w:sz w:val="24"/>
                <w:szCs w:val="24"/>
                <w:highlight w:val="none"/>
                <w:lang w:val="en-US" w:eastAsia="zh-CN" w:bidi="ar-SA"/>
              </w:rPr>
            </w:pPr>
          </w:p>
        </w:tc>
        <w:tc>
          <w:tcPr>
            <w:tcW w:w="0" w:type="auto"/>
            <w:noWrap w:val="0"/>
            <w:vAlign w:val="center"/>
          </w:tcPr>
          <w:p w14:paraId="1EA26269">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b/>
                <w:bCs/>
                <w:color w:val="auto"/>
                <w:kern w:val="2"/>
                <w:sz w:val="24"/>
                <w:szCs w:val="24"/>
                <w:highlight w:val="none"/>
                <w:lang w:val="en-US" w:eastAsia="zh-CN" w:bidi="ar-SA"/>
              </w:rPr>
            </w:pPr>
            <w:r>
              <w:rPr>
                <w:rFonts w:hint="default" w:ascii="Times New Roman" w:hAnsi="Times New Roman" w:eastAsia="仿宋_GB2312" w:cs="Times New Roman"/>
                <w:b/>
                <w:bCs/>
                <w:color w:val="auto"/>
                <w:kern w:val="2"/>
                <w:sz w:val="24"/>
                <w:szCs w:val="24"/>
                <w:highlight w:val="none"/>
                <w:lang w:val="en-US" w:eastAsia="zh-CN" w:bidi="ar-SA"/>
              </w:rPr>
              <w:t>单一法定范围最大承保能力（5分）</w:t>
            </w:r>
          </w:p>
        </w:tc>
        <w:tc>
          <w:tcPr>
            <w:tcW w:w="0" w:type="auto"/>
            <w:noWrap w:val="0"/>
            <w:vAlign w:val="center"/>
          </w:tcPr>
          <w:p w14:paraId="110EE896">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 xml:space="preserve">投标人2024年资本金与公积金之和超过50亿元的得3分，超过90亿元的得5分，低于50亿元不得分。              </w:t>
            </w:r>
          </w:p>
          <w:p w14:paraId="6D0B7AF7">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b/>
                <w:bCs/>
                <w:color w:val="auto"/>
                <w:kern w:val="2"/>
                <w:sz w:val="24"/>
                <w:szCs w:val="24"/>
                <w:highlight w:val="none"/>
                <w:lang w:val="en-US" w:eastAsia="zh-CN" w:bidi="ar-SA"/>
              </w:rPr>
              <w:t>注：需提供加盖单位公章的审计报告或财务报表等佐证材料。</w:t>
            </w:r>
          </w:p>
        </w:tc>
        <w:tc>
          <w:tcPr>
            <w:tcW w:w="0" w:type="auto"/>
            <w:vMerge w:val="continue"/>
            <w:noWrap w:val="0"/>
            <w:vAlign w:val="center"/>
          </w:tcPr>
          <w:p w14:paraId="1B526E2A">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color w:val="auto"/>
                <w:kern w:val="2"/>
                <w:sz w:val="24"/>
                <w:szCs w:val="24"/>
                <w:highlight w:val="none"/>
                <w:lang w:val="en-US" w:eastAsia="zh-CN" w:bidi="ar-SA"/>
              </w:rPr>
            </w:pPr>
          </w:p>
        </w:tc>
      </w:tr>
      <w:tr w14:paraId="4FFED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trPr>
        <w:tc>
          <w:tcPr>
            <w:tcW w:w="0" w:type="auto"/>
            <w:vMerge w:val="continue"/>
            <w:noWrap w:val="0"/>
            <w:vAlign w:val="center"/>
          </w:tcPr>
          <w:p w14:paraId="26064C94">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b/>
                <w:bCs/>
                <w:color w:val="auto"/>
                <w:kern w:val="2"/>
                <w:sz w:val="24"/>
                <w:szCs w:val="24"/>
                <w:highlight w:val="none"/>
                <w:lang w:val="en-US" w:eastAsia="zh-CN" w:bidi="ar-SA"/>
              </w:rPr>
            </w:pPr>
          </w:p>
        </w:tc>
        <w:tc>
          <w:tcPr>
            <w:tcW w:w="0" w:type="auto"/>
            <w:vMerge w:val="continue"/>
            <w:noWrap w:val="0"/>
            <w:vAlign w:val="center"/>
          </w:tcPr>
          <w:p w14:paraId="674FD624">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b/>
                <w:bCs/>
                <w:color w:val="auto"/>
                <w:kern w:val="2"/>
                <w:sz w:val="24"/>
                <w:szCs w:val="24"/>
                <w:highlight w:val="none"/>
                <w:lang w:val="en-US" w:eastAsia="zh-CN" w:bidi="ar-SA"/>
              </w:rPr>
            </w:pPr>
          </w:p>
        </w:tc>
        <w:tc>
          <w:tcPr>
            <w:tcW w:w="0" w:type="auto"/>
            <w:vMerge w:val="continue"/>
            <w:noWrap w:val="0"/>
            <w:vAlign w:val="center"/>
          </w:tcPr>
          <w:p w14:paraId="328EDF1E">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b/>
                <w:bCs/>
                <w:color w:val="auto"/>
                <w:kern w:val="2"/>
                <w:sz w:val="24"/>
                <w:szCs w:val="24"/>
                <w:highlight w:val="none"/>
                <w:lang w:val="en-US" w:eastAsia="zh-CN" w:bidi="ar-SA"/>
              </w:rPr>
            </w:pPr>
          </w:p>
        </w:tc>
        <w:tc>
          <w:tcPr>
            <w:tcW w:w="0" w:type="auto"/>
            <w:noWrap w:val="0"/>
            <w:vAlign w:val="center"/>
          </w:tcPr>
          <w:p w14:paraId="001ABFF3">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b/>
                <w:bCs/>
                <w:color w:val="auto"/>
                <w:kern w:val="2"/>
                <w:sz w:val="24"/>
                <w:szCs w:val="24"/>
                <w:highlight w:val="none"/>
                <w:lang w:val="en-US" w:eastAsia="zh-CN" w:bidi="ar-SA"/>
              </w:rPr>
            </w:pPr>
            <w:r>
              <w:rPr>
                <w:rFonts w:hint="default" w:ascii="Times New Roman" w:hAnsi="Times New Roman" w:eastAsia="仿宋_GB2312" w:cs="Times New Roman"/>
                <w:b/>
                <w:bCs/>
                <w:color w:val="auto"/>
                <w:kern w:val="2"/>
                <w:sz w:val="24"/>
                <w:szCs w:val="24"/>
                <w:highlight w:val="none"/>
                <w:lang w:val="en-US" w:eastAsia="zh-CN" w:bidi="ar-SA"/>
              </w:rPr>
              <w:t>核心偿付能力</w:t>
            </w:r>
          </w:p>
          <w:p w14:paraId="7843765C">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b/>
                <w:bCs/>
                <w:color w:val="auto"/>
                <w:kern w:val="2"/>
                <w:sz w:val="24"/>
                <w:szCs w:val="24"/>
                <w:highlight w:val="none"/>
                <w:lang w:val="en-US" w:eastAsia="zh-CN" w:bidi="ar-SA"/>
              </w:rPr>
            </w:pPr>
            <w:r>
              <w:rPr>
                <w:rFonts w:hint="default" w:ascii="Times New Roman" w:hAnsi="Times New Roman" w:eastAsia="仿宋_GB2312" w:cs="Times New Roman"/>
                <w:b/>
                <w:bCs/>
                <w:color w:val="auto"/>
                <w:kern w:val="2"/>
                <w:sz w:val="24"/>
                <w:szCs w:val="24"/>
                <w:highlight w:val="none"/>
                <w:lang w:val="en-US" w:eastAsia="zh-CN" w:bidi="ar-SA"/>
              </w:rPr>
              <w:t>（5分）</w:t>
            </w:r>
          </w:p>
        </w:tc>
        <w:tc>
          <w:tcPr>
            <w:tcW w:w="0" w:type="auto"/>
            <w:noWrap w:val="0"/>
            <w:vAlign w:val="center"/>
          </w:tcPr>
          <w:p w14:paraId="0BA4BB17">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left"/>
              <w:textAlignment w:val="auto"/>
              <w:rPr>
                <w:rFonts w:hint="default"/>
                <w:color w:val="auto"/>
                <w:highlight w:val="none"/>
                <w:lang w:val="en-US" w:eastAsia="zh-CN"/>
              </w:rPr>
            </w:pPr>
            <w:r>
              <w:rPr>
                <w:rFonts w:hint="default" w:ascii="Times New Roman" w:hAnsi="Times New Roman" w:eastAsia="仿宋_GB2312" w:cs="Times New Roman"/>
                <w:color w:val="auto"/>
                <w:kern w:val="2"/>
                <w:sz w:val="24"/>
                <w:szCs w:val="24"/>
                <w:highlight w:val="none"/>
                <w:lang w:val="en-US" w:eastAsia="zh-CN" w:bidi="ar-SA"/>
              </w:rPr>
              <w:t xml:space="preserve">投标人2024年核心偿付能力充足率＞200%得5分；200%～175%（含175%）得3分；175%～150%（含150%）得1分；150%以下不得分。                 </w:t>
            </w:r>
            <w:r>
              <w:rPr>
                <w:rFonts w:hint="default" w:ascii="Times New Roman" w:hAnsi="Times New Roman" w:eastAsia="仿宋_GB2312" w:cs="Times New Roman"/>
                <w:b/>
                <w:bCs/>
                <w:color w:val="auto"/>
                <w:kern w:val="2"/>
                <w:sz w:val="24"/>
                <w:szCs w:val="24"/>
                <w:highlight w:val="none"/>
                <w:lang w:val="en-US" w:eastAsia="zh-CN" w:bidi="ar-SA"/>
              </w:rPr>
              <w:t>注：需提供加盖单位公章的审计报告或财务报表等佐证材料。</w:t>
            </w:r>
          </w:p>
        </w:tc>
        <w:tc>
          <w:tcPr>
            <w:tcW w:w="0" w:type="auto"/>
            <w:vMerge w:val="continue"/>
            <w:noWrap w:val="0"/>
            <w:vAlign w:val="center"/>
          </w:tcPr>
          <w:p w14:paraId="3DE09407">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color w:val="auto"/>
                <w:kern w:val="2"/>
                <w:sz w:val="24"/>
                <w:szCs w:val="24"/>
                <w:highlight w:val="none"/>
                <w:lang w:val="en-US" w:eastAsia="zh-CN" w:bidi="ar-SA"/>
              </w:rPr>
            </w:pPr>
          </w:p>
        </w:tc>
      </w:tr>
      <w:tr w14:paraId="10222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trPr>
        <w:tc>
          <w:tcPr>
            <w:tcW w:w="0" w:type="auto"/>
            <w:vMerge w:val="continue"/>
            <w:noWrap w:val="0"/>
            <w:vAlign w:val="center"/>
          </w:tcPr>
          <w:p w14:paraId="1B88963C">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b/>
                <w:bCs/>
                <w:color w:val="auto"/>
                <w:kern w:val="2"/>
                <w:sz w:val="24"/>
                <w:szCs w:val="24"/>
                <w:highlight w:val="none"/>
                <w:lang w:val="en-US" w:eastAsia="zh-CN" w:bidi="ar-SA"/>
              </w:rPr>
            </w:pPr>
          </w:p>
        </w:tc>
        <w:tc>
          <w:tcPr>
            <w:tcW w:w="0" w:type="auto"/>
            <w:vMerge w:val="continue"/>
            <w:noWrap w:val="0"/>
            <w:vAlign w:val="center"/>
          </w:tcPr>
          <w:p w14:paraId="6A1008E4">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b/>
                <w:bCs/>
                <w:color w:val="auto"/>
                <w:kern w:val="2"/>
                <w:sz w:val="24"/>
                <w:szCs w:val="24"/>
                <w:highlight w:val="none"/>
                <w:lang w:val="en-US" w:eastAsia="zh-CN" w:bidi="ar-SA"/>
              </w:rPr>
            </w:pPr>
          </w:p>
        </w:tc>
        <w:tc>
          <w:tcPr>
            <w:tcW w:w="0" w:type="auto"/>
            <w:gridSpan w:val="2"/>
            <w:shd w:val="clear" w:color="auto" w:fill="auto"/>
            <w:noWrap w:val="0"/>
            <w:vAlign w:val="center"/>
          </w:tcPr>
          <w:p w14:paraId="14C0698D">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b/>
                <w:bCs/>
                <w:color w:val="auto"/>
                <w:kern w:val="2"/>
                <w:sz w:val="24"/>
                <w:szCs w:val="24"/>
                <w:highlight w:val="none"/>
                <w:lang w:val="en-US" w:eastAsia="zh-CN" w:bidi="ar-SA"/>
              </w:rPr>
            </w:pPr>
            <w:r>
              <w:rPr>
                <w:rFonts w:hint="default" w:ascii="Times New Roman" w:hAnsi="Times New Roman" w:eastAsia="仿宋_GB2312" w:cs="Times New Roman"/>
                <w:b/>
                <w:bCs/>
                <w:color w:val="auto"/>
                <w:kern w:val="2"/>
                <w:sz w:val="24"/>
                <w:szCs w:val="24"/>
                <w:highlight w:val="none"/>
                <w:lang w:val="en-US" w:eastAsia="zh-CN" w:bidi="ar-SA"/>
              </w:rPr>
              <w:t>供应商业绩</w:t>
            </w:r>
          </w:p>
          <w:p w14:paraId="7AACA063">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b/>
                <w:bCs/>
                <w:color w:val="auto"/>
                <w:kern w:val="2"/>
                <w:sz w:val="24"/>
                <w:szCs w:val="24"/>
                <w:highlight w:val="none"/>
                <w:lang w:val="en-US" w:eastAsia="zh-CN" w:bidi="ar-SA"/>
              </w:rPr>
            </w:pPr>
            <w:r>
              <w:rPr>
                <w:rFonts w:hint="default" w:ascii="Times New Roman" w:hAnsi="Times New Roman" w:eastAsia="仿宋_GB2312" w:cs="Times New Roman"/>
                <w:b/>
                <w:bCs/>
                <w:color w:val="auto"/>
                <w:kern w:val="2"/>
                <w:sz w:val="24"/>
                <w:szCs w:val="24"/>
                <w:highlight w:val="none"/>
                <w:lang w:val="en-US" w:eastAsia="zh-CN" w:bidi="ar-SA"/>
              </w:rPr>
              <w:t>（</w:t>
            </w:r>
            <w:r>
              <w:rPr>
                <w:rFonts w:hint="eastAsia" w:eastAsia="仿宋_GB2312" w:cs="Times New Roman"/>
                <w:b/>
                <w:bCs/>
                <w:color w:val="auto"/>
                <w:kern w:val="2"/>
                <w:sz w:val="24"/>
                <w:szCs w:val="24"/>
                <w:highlight w:val="none"/>
                <w:lang w:val="en-US" w:eastAsia="zh-CN" w:bidi="ar-SA"/>
              </w:rPr>
              <w:t>10</w:t>
            </w:r>
            <w:r>
              <w:rPr>
                <w:rFonts w:hint="default" w:ascii="Times New Roman" w:hAnsi="Times New Roman" w:eastAsia="仿宋_GB2312" w:cs="Times New Roman"/>
                <w:b/>
                <w:bCs/>
                <w:color w:val="auto"/>
                <w:kern w:val="2"/>
                <w:sz w:val="24"/>
                <w:szCs w:val="24"/>
                <w:highlight w:val="none"/>
                <w:lang w:val="en-US" w:eastAsia="zh-CN" w:bidi="ar-SA"/>
              </w:rPr>
              <w:t>分）</w:t>
            </w:r>
          </w:p>
        </w:tc>
        <w:tc>
          <w:tcPr>
            <w:tcW w:w="0" w:type="auto"/>
            <w:shd w:val="clear" w:color="auto" w:fill="auto"/>
            <w:noWrap w:val="0"/>
            <w:vAlign w:val="center"/>
          </w:tcPr>
          <w:p w14:paraId="2D3A6A2C">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投标人自202</w:t>
            </w:r>
            <w:r>
              <w:rPr>
                <w:rFonts w:hint="eastAsia" w:eastAsia="仿宋_GB2312" w:cs="Times New Roman"/>
                <w:color w:val="auto"/>
                <w:kern w:val="2"/>
                <w:sz w:val="24"/>
                <w:szCs w:val="24"/>
                <w:highlight w:val="none"/>
                <w:lang w:val="en-US" w:eastAsia="zh-CN" w:bidi="ar-SA"/>
              </w:rPr>
              <w:t>1</w:t>
            </w:r>
            <w:r>
              <w:rPr>
                <w:rFonts w:hint="default" w:ascii="Times New Roman" w:hAnsi="Times New Roman" w:eastAsia="仿宋_GB2312" w:cs="Times New Roman"/>
                <w:color w:val="auto"/>
                <w:kern w:val="2"/>
                <w:sz w:val="24"/>
                <w:szCs w:val="24"/>
                <w:highlight w:val="none"/>
                <w:lang w:val="en-US" w:eastAsia="zh-CN" w:bidi="ar-SA"/>
              </w:rPr>
              <w:t>年1月1日以来，具有公共场馆类公众险、财产险的承保经验的，每提供一个服务案例得2分，</w:t>
            </w:r>
            <w:r>
              <w:rPr>
                <w:rFonts w:hint="eastAsia" w:eastAsia="仿宋_GB2312" w:cs="Times New Roman"/>
                <w:color w:val="auto"/>
                <w:kern w:val="2"/>
                <w:sz w:val="24"/>
                <w:szCs w:val="24"/>
                <w:highlight w:val="none"/>
                <w:lang w:val="en-US" w:eastAsia="zh-CN" w:bidi="ar-SA"/>
              </w:rPr>
              <w:t>满分10</w:t>
            </w:r>
            <w:r>
              <w:rPr>
                <w:rFonts w:hint="default" w:ascii="Times New Roman" w:hAnsi="Times New Roman" w:eastAsia="仿宋_GB2312" w:cs="Times New Roman"/>
                <w:color w:val="auto"/>
                <w:kern w:val="2"/>
                <w:sz w:val="24"/>
                <w:szCs w:val="24"/>
                <w:highlight w:val="none"/>
                <w:lang w:val="en-US" w:eastAsia="zh-CN" w:bidi="ar-SA"/>
              </w:rPr>
              <w:t>分。</w:t>
            </w:r>
            <w:r>
              <w:rPr>
                <w:rFonts w:hint="default" w:ascii="Times New Roman" w:hAnsi="Times New Roman" w:eastAsia="仿宋_GB2312" w:cs="Times New Roman"/>
                <w:color w:val="auto"/>
                <w:kern w:val="2"/>
                <w:sz w:val="24"/>
                <w:szCs w:val="24"/>
                <w:highlight w:val="none"/>
                <w:lang w:val="en-US" w:eastAsia="zh-CN" w:bidi="ar-SA"/>
              </w:rPr>
              <w:br w:type="textWrapping"/>
            </w:r>
            <w:r>
              <w:rPr>
                <w:rFonts w:hint="default" w:ascii="Times New Roman" w:hAnsi="Times New Roman" w:eastAsia="仿宋_GB2312" w:cs="Times New Roman"/>
                <w:b/>
                <w:bCs/>
                <w:color w:val="auto"/>
                <w:kern w:val="2"/>
                <w:sz w:val="24"/>
                <w:szCs w:val="24"/>
                <w:highlight w:val="none"/>
                <w:lang w:val="en-US" w:eastAsia="zh-CN" w:bidi="ar-SA"/>
              </w:rPr>
              <w:t>注：服务时间要求至少为一年，同一单位不同服务年度视为不同服务方案，需提供加盖单位公章的合同或保单等佐证材料。</w:t>
            </w:r>
          </w:p>
        </w:tc>
        <w:tc>
          <w:tcPr>
            <w:tcW w:w="0" w:type="auto"/>
            <w:vMerge w:val="continue"/>
            <w:shd w:val="clear" w:color="auto" w:fill="auto"/>
            <w:noWrap w:val="0"/>
            <w:vAlign w:val="center"/>
          </w:tcPr>
          <w:p w14:paraId="7E573955">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color w:val="auto"/>
                <w:kern w:val="2"/>
                <w:sz w:val="24"/>
                <w:szCs w:val="24"/>
                <w:highlight w:val="none"/>
                <w:lang w:val="en-US" w:eastAsia="zh-CN" w:bidi="ar-SA"/>
              </w:rPr>
            </w:pPr>
          </w:p>
        </w:tc>
      </w:tr>
      <w:tr w14:paraId="7F261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trPr>
        <w:tc>
          <w:tcPr>
            <w:tcW w:w="0" w:type="auto"/>
            <w:vMerge w:val="continue"/>
            <w:noWrap w:val="0"/>
            <w:vAlign w:val="center"/>
          </w:tcPr>
          <w:p w14:paraId="5940923F">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b/>
                <w:bCs/>
                <w:color w:val="auto"/>
                <w:kern w:val="2"/>
                <w:sz w:val="24"/>
                <w:szCs w:val="24"/>
                <w:highlight w:val="none"/>
                <w:lang w:val="en-US" w:eastAsia="zh-CN" w:bidi="ar-SA"/>
              </w:rPr>
            </w:pPr>
          </w:p>
        </w:tc>
        <w:tc>
          <w:tcPr>
            <w:tcW w:w="0" w:type="auto"/>
            <w:vMerge w:val="continue"/>
            <w:noWrap w:val="0"/>
            <w:vAlign w:val="center"/>
          </w:tcPr>
          <w:p w14:paraId="7BD41AD8">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b/>
                <w:bCs/>
                <w:color w:val="auto"/>
                <w:kern w:val="2"/>
                <w:sz w:val="24"/>
                <w:szCs w:val="24"/>
                <w:highlight w:val="none"/>
                <w:lang w:val="en-US" w:eastAsia="zh-CN" w:bidi="ar-SA"/>
              </w:rPr>
            </w:pPr>
          </w:p>
        </w:tc>
        <w:tc>
          <w:tcPr>
            <w:tcW w:w="0" w:type="auto"/>
            <w:gridSpan w:val="2"/>
            <w:shd w:val="clear" w:color="auto" w:fill="auto"/>
            <w:noWrap w:val="0"/>
            <w:vAlign w:val="center"/>
          </w:tcPr>
          <w:p w14:paraId="3073F01F">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b/>
                <w:bCs/>
                <w:color w:val="auto"/>
                <w:kern w:val="2"/>
                <w:sz w:val="24"/>
                <w:szCs w:val="24"/>
                <w:highlight w:val="none"/>
                <w:lang w:val="en-US" w:eastAsia="zh-CN" w:bidi="ar-SA"/>
              </w:rPr>
            </w:pPr>
            <w:r>
              <w:rPr>
                <w:rFonts w:hint="default" w:ascii="Times New Roman" w:hAnsi="Times New Roman" w:eastAsia="仿宋_GB2312" w:cs="Times New Roman"/>
                <w:b/>
                <w:bCs/>
                <w:color w:val="auto"/>
                <w:kern w:val="2"/>
                <w:sz w:val="24"/>
                <w:szCs w:val="24"/>
                <w:highlight w:val="none"/>
                <w:lang w:val="en-US" w:eastAsia="zh-CN" w:bidi="ar-SA"/>
              </w:rPr>
              <w:t>理赔案例</w:t>
            </w:r>
          </w:p>
          <w:p w14:paraId="61472501">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b/>
                <w:bCs/>
                <w:color w:val="auto"/>
                <w:kern w:val="2"/>
                <w:sz w:val="24"/>
                <w:szCs w:val="24"/>
                <w:highlight w:val="none"/>
                <w:lang w:val="en-US" w:eastAsia="zh-CN" w:bidi="ar-SA"/>
              </w:rPr>
            </w:pPr>
            <w:r>
              <w:rPr>
                <w:rFonts w:hint="default" w:ascii="Times New Roman" w:hAnsi="Times New Roman" w:eastAsia="仿宋_GB2312" w:cs="Times New Roman"/>
                <w:b/>
                <w:bCs/>
                <w:color w:val="auto"/>
                <w:kern w:val="2"/>
                <w:sz w:val="24"/>
                <w:szCs w:val="24"/>
                <w:highlight w:val="none"/>
                <w:lang w:val="en-US" w:eastAsia="zh-CN" w:bidi="ar-SA"/>
              </w:rPr>
              <w:t>（</w:t>
            </w:r>
            <w:r>
              <w:rPr>
                <w:rFonts w:hint="eastAsia" w:eastAsia="仿宋_GB2312" w:cs="Times New Roman"/>
                <w:b/>
                <w:bCs/>
                <w:color w:val="auto"/>
                <w:kern w:val="2"/>
                <w:sz w:val="24"/>
                <w:szCs w:val="24"/>
                <w:highlight w:val="none"/>
                <w:lang w:val="en-US" w:eastAsia="zh-CN" w:bidi="ar-SA"/>
              </w:rPr>
              <w:t>10</w:t>
            </w:r>
            <w:r>
              <w:rPr>
                <w:rFonts w:hint="default" w:ascii="Times New Roman" w:hAnsi="Times New Roman" w:eastAsia="仿宋_GB2312" w:cs="Times New Roman"/>
                <w:b/>
                <w:bCs/>
                <w:color w:val="auto"/>
                <w:kern w:val="2"/>
                <w:sz w:val="24"/>
                <w:szCs w:val="24"/>
                <w:highlight w:val="none"/>
                <w:lang w:val="en-US" w:eastAsia="zh-CN" w:bidi="ar-SA"/>
              </w:rPr>
              <w:t>分）</w:t>
            </w:r>
          </w:p>
        </w:tc>
        <w:tc>
          <w:tcPr>
            <w:tcW w:w="0" w:type="auto"/>
            <w:shd w:val="clear" w:color="auto" w:fill="auto"/>
            <w:noWrap w:val="0"/>
            <w:vAlign w:val="center"/>
          </w:tcPr>
          <w:p w14:paraId="401DD4ED">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Autospacing="0" w:afterAutospacing="0"/>
              <w:ind w:left="0" w:leftChars="0" w:firstLine="0" w:firstLineChars="0"/>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投标人自2021年1月1日以来，每提供一个责任险赔款金额大于5万元的理赔案例，得</w:t>
            </w:r>
            <w:r>
              <w:rPr>
                <w:rFonts w:hint="eastAsia" w:eastAsia="仿宋_GB2312" w:cs="Times New Roman"/>
                <w:color w:val="auto"/>
                <w:kern w:val="2"/>
                <w:sz w:val="24"/>
                <w:szCs w:val="24"/>
                <w:highlight w:val="none"/>
                <w:lang w:val="en-US" w:eastAsia="zh-CN" w:bidi="ar-SA"/>
              </w:rPr>
              <w:t>2</w:t>
            </w:r>
            <w:r>
              <w:rPr>
                <w:rFonts w:hint="default" w:ascii="Times New Roman" w:hAnsi="Times New Roman" w:eastAsia="仿宋_GB2312" w:cs="Times New Roman"/>
                <w:color w:val="auto"/>
                <w:kern w:val="2"/>
                <w:sz w:val="24"/>
                <w:szCs w:val="24"/>
                <w:highlight w:val="none"/>
                <w:lang w:val="en-US" w:eastAsia="zh-CN" w:bidi="ar-SA"/>
              </w:rPr>
              <w:t>分，满分</w:t>
            </w:r>
            <w:r>
              <w:rPr>
                <w:rFonts w:hint="eastAsia" w:eastAsia="仿宋_GB2312" w:cs="Times New Roman"/>
                <w:color w:val="auto"/>
                <w:kern w:val="2"/>
                <w:sz w:val="24"/>
                <w:szCs w:val="24"/>
                <w:highlight w:val="none"/>
                <w:lang w:val="en-US" w:eastAsia="zh-CN" w:bidi="ar-SA"/>
              </w:rPr>
              <w:t>10</w:t>
            </w:r>
            <w:r>
              <w:rPr>
                <w:rFonts w:hint="default" w:ascii="Times New Roman" w:hAnsi="Times New Roman" w:eastAsia="仿宋_GB2312" w:cs="Times New Roman"/>
                <w:color w:val="auto"/>
                <w:kern w:val="2"/>
                <w:sz w:val="24"/>
                <w:szCs w:val="24"/>
                <w:highlight w:val="none"/>
                <w:lang w:val="en-US" w:eastAsia="zh-CN" w:bidi="ar-SA"/>
              </w:rPr>
              <w:t>分。</w:t>
            </w:r>
            <w:r>
              <w:rPr>
                <w:rFonts w:hint="default" w:ascii="Times New Roman" w:hAnsi="Times New Roman" w:eastAsia="仿宋_GB2312" w:cs="Times New Roman"/>
                <w:color w:val="auto"/>
                <w:kern w:val="2"/>
                <w:sz w:val="24"/>
                <w:szCs w:val="24"/>
                <w:highlight w:val="none"/>
                <w:lang w:val="en-US" w:eastAsia="zh-CN" w:bidi="ar-SA"/>
              </w:rPr>
              <w:br w:type="textWrapping"/>
            </w:r>
            <w:r>
              <w:rPr>
                <w:rFonts w:hint="default" w:ascii="Times New Roman" w:hAnsi="Times New Roman" w:eastAsia="仿宋_GB2312" w:cs="Times New Roman"/>
                <w:b/>
                <w:bCs/>
                <w:color w:val="auto"/>
                <w:kern w:val="2"/>
                <w:sz w:val="24"/>
                <w:szCs w:val="24"/>
                <w:highlight w:val="none"/>
                <w:lang w:val="en-US" w:eastAsia="zh-CN" w:bidi="ar-SA"/>
              </w:rPr>
              <w:t>注：在途案例、未完成资金赔付的案例不计入理赔案例，需提供加盖单位公章的赔偿协议或转账凭证等佐证材料。</w:t>
            </w:r>
          </w:p>
        </w:tc>
        <w:tc>
          <w:tcPr>
            <w:tcW w:w="0" w:type="auto"/>
            <w:vMerge w:val="continue"/>
            <w:shd w:val="clear" w:color="auto" w:fill="auto"/>
            <w:noWrap w:val="0"/>
            <w:vAlign w:val="center"/>
          </w:tcPr>
          <w:p w14:paraId="66AA8DE4">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color w:val="auto"/>
                <w:kern w:val="2"/>
                <w:sz w:val="24"/>
                <w:szCs w:val="24"/>
                <w:highlight w:val="none"/>
                <w:lang w:val="en-US" w:eastAsia="zh-CN" w:bidi="ar-SA"/>
              </w:rPr>
            </w:pPr>
          </w:p>
        </w:tc>
      </w:tr>
      <w:tr w14:paraId="4C2A1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5" w:hRule="atLeast"/>
        </w:trPr>
        <w:tc>
          <w:tcPr>
            <w:tcW w:w="0" w:type="auto"/>
            <w:vMerge w:val="restart"/>
            <w:noWrap w:val="0"/>
            <w:vAlign w:val="center"/>
          </w:tcPr>
          <w:p w14:paraId="02A5D40B">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b/>
                <w:bCs/>
                <w:color w:val="auto"/>
                <w:kern w:val="2"/>
                <w:sz w:val="24"/>
                <w:szCs w:val="24"/>
                <w:highlight w:val="none"/>
                <w:lang w:val="en-US" w:eastAsia="zh-CN" w:bidi="ar-SA"/>
              </w:rPr>
            </w:pPr>
            <w:r>
              <w:rPr>
                <w:rFonts w:hint="default" w:ascii="Times New Roman" w:hAnsi="Times New Roman" w:eastAsia="仿宋_GB2312" w:cs="Times New Roman"/>
                <w:b/>
                <w:bCs/>
                <w:color w:val="auto"/>
                <w:kern w:val="2"/>
                <w:sz w:val="24"/>
                <w:szCs w:val="24"/>
                <w:highlight w:val="none"/>
                <w:lang w:val="en-US" w:eastAsia="zh-CN" w:bidi="ar-SA"/>
              </w:rPr>
              <w:t>2</w:t>
            </w:r>
          </w:p>
        </w:tc>
        <w:tc>
          <w:tcPr>
            <w:tcW w:w="0" w:type="auto"/>
            <w:vMerge w:val="restart"/>
            <w:noWrap w:val="0"/>
            <w:vAlign w:val="center"/>
          </w:tcPr>
          <w:p w14:paraId="6AAADEF7">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b/>
                <w:bCs/>
                <w:color w:val="auto"/>
                <w:kern w:val="2"/>
                <w:sz w:val="24"/>
                <w:szCs w:val="24"/>
                <w:highlight w:val="none"/>
                <w:lang w:val="en-US" w:eastAsia="zh-CN" w:bidi="ar-SA"/>
              </w:rPr>
            </w:pPr>
            <w:r>
              <w:rPr>
                <w:rFonts w:hint="eastAsia" w:eastAsia="仿宋_GB2312" w:cs="Times New Roman"/>
                <w:b/>
                <w:bCs/>
                <w:color w:val="auto"/>
                <w:kern w:val="2"/>
                <w:sz w:val="24"/>
                <w:szCs w:val="24"/>
                <w:highlight w:val="none"/>
                <w:lang w:val="en-US" w:eastAsia="zh-CN" w:bidi="ar-SA"/>
              </w:rPr>
              <w:t>技术（50分）</w:t>
            </w:r>
          </w:p>
        </w:tc>
        <w:tc>
          <w:tcPr>
            <w:tcW w:w="0" w:type="auto"/>
            <w:vMerge w:val="restart"/>
            <w:noWrap w:val="0"/>
            <w:vAlign w:val="center"/>
          </w:tcPr>
          <w:p w14:paraId="20CE1B1B">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b/>
                <w:bCs/>
                <w:color w:val="auto"/>
                <w:kern w:val="2"/>
                <w:sz w:val="24"/>
                <w:szCs w:val="24"/>
                <w:highlight w:val="none"/>
                <w:lang w:val="en-US" w:eastAsia="zh-CN" w:bidi="ar-SA"/>
              </w:rPr>
            </w:pPr>
            <w:r>
              <w:rPr>
                <w:rFonts w:hint="default" w:ascii="Times New Roman" w:hAnsi="Times New Roman" w:eastAsia="仿宋_GB2312" w:cs="Times New Roman"/>
                <w:b/>
                <w:bCs/>
                <w:color w:val="auto"/>
                <w:kern w:val="2"/>
                <w:sz w:val="24"/>
                <w:szCs w:val="24"/>
                <w:highlight w:val="none"/>
                <w:lang w:val="en-US" w:eastAsia="zh-CN" w:bidi="ar-SA"/>
              </w:rPr>
              <w:t>服务方案（</w:t>
            </w:r>
            <w:r>
              <w:rPr>
                <w:rFonts w:hint="eastAsia" w:eastAsia="仿宋_GB2312" w:cs="Times New Roman"/>
                <w:b/>
                <w:bCs/>
                <w:color w:val="auto"/>
                <w:kern w:val="2"/>
                <w:sz w:val="24"/>
                <w:szCs w:val="24"/>
                <w:highlight w:val="none"/>
                <w:lang w:val="en-US" w:eastAsia="zh-CN" w:bidi="ar-SA"/>
              </w:rPr>
              <w:t>50</w:t>
            </w:r>
            <w:r>
              <w:rPr>
                <w:rFonts w:hint="default" w:ascii="Times New Roman" w:hAnsi="Times New Roman" w:eastAsia="仿宋_GB2312" w:cs="Times New Roman"/>
                <w:b/>
                <w:bCs/>
                <w:color w:val="auto"/>
                <w:kern w:val="2"/>
                <w:sz w:val="24"/>
                <w:szCs w:val="24"/>
                <w:highlight w:val="none"/>
                <w:lang w:val="en-US" w:eastAsia="zh-CN" w:bidi="ar-SA"/>
              </w:rPr>
              <w:t>分）</w:t>
            </w:r>
          </w:p>
        </w:tc>
        <w:tc>
          <w:tcPr>
            <w:tcW w:w="0" w:type="auto"/>
            <w:noWrap w:val="0"/>
            <w:vAlign w:val="center"/>
          </w:tcPr>
          <w:p w14:paraId="3EAB1871">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eastAsia" w:eastAsia="仿宋_GB2312" w:cs="Times New Roman"/>
                <w:b/>
                <w:bCs/>
                <w:color w:val="auto"/>
                <w:kern w:val="2"/>
                <w:sz w:val="24"/>
                <w:szCs w:val="24"/>
                <w:highlight w:val="none"/>
                <w:lang w:val="en-US" w:eastAsia="zh-CN" w:bidi="ar-SA"/>
              </w:rPr>
            </w:pPr>
            <w:r>
              <w:rPr>
                <w:rFonts w:hint="eastAsia" w:eastAsia="仿宋_GB2312" w:cs="Times New Roman"/>
                <w:b/>
                <w:bCs/>
                <w:color w:val="auto"/>
                <w:kern w:val="2"/>
                <w:sz w:val="24"/>
                <w:szCs w:val="24"/>
                <w:highlight w:val="none"/>
                <w:lang w:val="en-US" w:eastAsia="zh-CN" w:bidi="ar-SA"/>
              </w:rPr>
              <w:t>保险</w:t>
            </w:r>
          </w:p>
          <w:p w14:paraId="0883725A">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b/>
                <w:bCs/>
                <w:color w:val="auto"/>
                <w:kern w:val="2"/>
                <w:sz w:val="24"/>
                <w:szCs w:val="24"/>
                <w:highlight w:val="none"/>
                <w:lang w:val="en-US" w:eastAsia="zh-CN" w:bidi="ar-SA"/>
              </w:rPr>
            </w:pPr>
            <w:r>
              <w:rPr>
                <w:rFonts w:hint="eastAsia" w:eastAsia="仿宋_GB2312" w:cs="Times New Roman"/>
                <w:b/>
                <w:bCs/>
                <w:color w:val="auto"/>
                <w:kern w:val="2"/>
                <w:sz w:val="24"/>
                <w:szCs w:val="24"/>
                <w:highlight w:val="none"/>
                <w:lang w:val="en-US" w:eastAsia="zh-CN" w:bidi="ar-SA"/>
              </w:rPr>
              <w:t>方案</w:t>
            </w:r>
          </w:p>
          <w:p w14:paraId="068DF8CD">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b/>
                <w:bCs/>
                <w:color w:val="auto"/>
                <w:kern w:val="2"/>
                <w:sz w:val="24"/>
                <w:szCs w:val="24"/>
                <w:highlight w:val="none"/>
                <w:lang w:val="en-US" w:eastAsia="zh-CN" w:bidi="ar-SA"/>
              </w:rPr>
            </w:pPr>
            <w:r>
              <w:rPr>
                <w:rFonts w:hint="default" w:ascii="Times New Roman" w:hAnsi="Times New Roman" w:eastAsia="仿宋_GB2312" w:cs="Times New Roman"/>
                <w:b/>
                <w:bCs/>
                <w:color w:val="auto"/>
                <w:kern w:val="2"/>
                <w:sz w:val="24"/>
                <w:szCs w:val="24"/>
                <w:highlight w:val="none"/>
                <w:lang w:val="en-US" w:eastAsia="zh-CN" w:bidi="ar-SA"/>
              </w:rPr>
              <w:t>（</w:t>
            </w:r>
            <w:r>
              <w:rPr>
                <w:rFonts w:hint="eastAsia" w:eastAsia="仿宋_GB2312" w:cs="Times New Roman"/>
                <w:b/>
                <w:bCs/>
                <w:color w:val="auto"/>
                <w:kern w:val="2"/>
                <w:sz w:val="24"/>
                <w:szCs w:val="24"/>
                <w:highlight w:val="none"/>
                <w:lang w:val="en-US" w:eastAsia="zh-CN" w:bidi="ar-SA"/>
              </w:rPr>
              <w:t>30</w:t>
            </w:r>
            <w:r>
              <w:rPr>
                <w:rFonts w:hint="default" w:ascii="Times New Roman" w:hAnsi="Times New Roman" w:eastAsia="仿宋_GB2312" w:cs="Times New Roman"/>
                <w:b/>
                <w:bCs/>
                <w:color w:val="auto"/>
                <w:kern w:val="2"/>
                <w:sz w:val="24"/>
                <w:szCs w:val="24"/>
                <w:highlight w:val="none"/>
                <w:lang w:val="en-US" w:eastAsia="zh-CN" w:bidi="ar-SA"/>
              </w:rPr>
              <w:t>分）</w:t>
            </w:r>
          </w:p>
        </w:tc>
        <w:tc>
          <w:tcPr>
            <w:tcW w:w="0" w:type="auto"/>
            <w:noWrap w:val="0"/>
            <w:vAlign w:val="center"/>
          </w:tcPr>
          <w:p w14:paraId="3572C84A">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textAlignment w:val="auto"/>
              <w:rPr>
                <w:rFonts w:hint="eastAsia" w:eastAsia="仿宋_GB2312" w:cs="Times New Roman"/>
                <w:b w:val="0"/>
                <w:bCs w:val="0"/>
                <w:color w:val="auto"/>
                <w:kern w:val="2"/>
                <w:sz w:val="24"/>
                <w:szCs w:val="24"/>
                <w:highlight w:val="none"/>
                <w:lang w:val="en-US" w:eastAsia="zh-CN" w:bidi="ar-SA"/>
              </w:rPr>
            </w:pPr>
            <w:r>
              <w:rPr>
                <w:rFonts w:hint="eastAsia" w:eastAsia="仿宋_GB2312" w:cs="Times New Roman"/>
                <w:b w:val="0"/>
                <w:bCs w:val="0"/>
                <w:color w:val="auto"/>
                <w:kern w:val="2"/>
                <w:sz w:val="24"/>
                <w:szCs w:val="24"/>
                <w:highlight w:val="none"/>
                <w:lang w:val="en-US" w:eastAsia="zh-CN" w:bidi="ar-SA"/>
              </w:rPr>
              <w:t>本招标文件中所列保险方案仅为基础保障要求，投标人可根据科技馆实际情况提供超出保障额度或保障范围的保险方案。（包括但不限于增加主险或附加险保额、增加更有实际保障意义的附加险或扩展条款）</w:t>
            </w:r>
          </w:p>
          <w:p w14:paraId="3CB273DA">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投标人</w:t>
            </w:r>
            <w:r>
              <w:rPr>
                <w:rFonts w:hint="eastAsia" w:eastAsia="仿宋_GB2312" w:cs="Times New Roman"/>
                <w:color w:val="auto"/>
                <w:kern w:val="2"/>
                <w:sz w:val="24"/>
                <w:szCs w:val="24"/>
                <w:highlight w:val="none"/>
                <w:lang w:val="en-US" w:eastAsia="zh-CN" w:bidi="ar-SA"/>
              </w:rPr>
              <w:t>提供的保险方案，经</w:t>
            </w:r>
            <w:r>
              <w:rPr>
                <w:rFonts w:hint="default" w:ascii="Times New Roman" w:hAnsi="Times New Roman" w:eastAsia="仿宋_GB2312" w:cs="Times New Roman"/>
                <w:color w:val="auto"/>
                <w:kern w:val="2"/>
                <w:sz w:val="24"/>
                <w:szCs w:val="24"/>
                <w:highlight w:val="none"/>
                <w:lang w:val="en-US" w:eastAsia="zh-CN" w:bidi="ar-SA"/>
              </w:rPr>
              <w:t>评审小组</w:t>
            </w:r>
            <w:r>
              <w:rPr>
                <w:rFonts w:hint="eastAsia" w:eastAsia="仿宋_GB2312" w:cs="Times New Roman"/>
                <w:color w:val="auto"/>
                <w:kern w:val="2"/>
                <w:sz w:val="24"/>
                <w:szCs w:val="24"/>
                <w:highlight w:val="none"/>
                <w:lang w:val="en-US" w:eastAsia="zh-CN" w:bidi="ar-SA"/>
              </w:rPr>
              <w:t>综合排名，排名第1的</w:t>
            </w:r>
            <w:r>
              <w:rPr>
                <w:rFonts w:hint="default" w:ascii="Times New Roman" w:hAnsi="Times New Roman" w:eastAsia="仿宋_GB2312" w:cs="Times New Roman"/>
                <w:color w:val="auto"/>
                <w:kern w:val="2"/>
                <w:sz w:val="24"/>
                <w:szCs w:val="24"/>
                <w:highlight w:val="none"/>
                <w:lang w:val="en-US" w:eastAsia="zh-CN" w:bidi="ar-SA"/>
              </w:rPr>
              <w:t>得</w:t>
            </w:r>
            <w:r>
              <w:rPr>
                <w:rFonts w:hint="eastAsia" w:eastAsia="仿宋_GB2312" w:cs="Times New Roman"/>
                <w:color w:val="auto"/>
                <w:kern w:val="2"/>
                <w:sz w:val="24"/>
                <w:szCs w:val="24"/>
                <w:highlight w:val="none"/>
                <w:lang w:val="en-US" w:eastAsia="zh-CN" w:bidi="ar-SA"/>
              </w:rPr>
              <w:t>30</w:t>
            </w:r>
            <w:r>
              <w:rPr>
                <w:rFonts w:hint="default" w:ascii="Times New Roman" w:hAnsi="Times New Roman" w:eastAsia="仿宋_GB2312" w:cs="Times New Roman"/>
                <w:color w:val="auto"/>
                <w:kern w:val="2"/>
                <w:sz w:val="24"/>
                <w:szCs w:val="24"/>
                <w:highlight w:val="none"/>
                <w:lang w:val="en-US" w:eastAsia="zh-CN" w:bidi="ar-SA"/>
              </w:rPr>
              <w:t>分，</w:t>
            </w:r>
            <w:r>
              <w:rPr>
                <w:rFonts w:hint="eastAsia" w:eastAsia="仿宋_GB2312" w:cs="Times New Roman"/>
                <w:color w:val="auto"/>
                <w:kern w:val="2"/>
                <w:sz w:val="24"/>
                <w:szCs w:val="24"/>
                <w:highlight w:val="none"/>
                <w:lang w:val="en-US" w:eastAsia="zh-CN" w:bidi="ar-SA"/>
              </w:rPr>
              <w:t>排名第2的</w:t>
            </w:r>
            <w:r>
              <w:rPr>
                <w:rFonts w:hint="default" w:ascii="Times New Roman" w:hAnsi="Times New Roman" w:eastAsia="仿宋_GB2312" w:cs="Times New Roman"/>
                <w:color w:val="auto"/>
                <w:kern w:val="2"/>
                <w:sz w:val="24"/>
                <w:szCs w:val="24"/>
                <w:highlight w:val="none"/>
                <w:lang w:val="en-US" w:eastAsia="zh-CN" w:bidi="ar-SA"/>
              </w:rPr>
              <w:t>得</w:t>
            </w:r>
            <w:r>
              <w:rPr>
                <w:rFonts w:hint="eastAsia" w:eastAsia="仿宋_GB2312" w:cs="Times New Roman"/>
                <w:color w:val="auto"/>
                <w:kern w:val="2"/>
                <w:sz w:val="24"/>
                <w:szCs w:val="24"/>
                <w:highlight w:val="none"/>
                <w:lang w:val="en-US" w:eastAsia="zh-CN" w:bidi="ar-SA"/>
              </w:rPr>
              <w:t>20</w:t>
            </w:r>
            <w:r>
              <w:rPr>
                <w:rFonts w:hint="default" w:ascii="Times New Roman" w:hAnsi="Times New Roman" w:eastAsia="仿宋_GB2312" w:cs="Times New Roman"/>
                <w:color w:val="auto"/>
                <w:kern w:val="2"/>
                <w:sz w:val="24"/>
                <w:szCs w:val="24"/>
                <w:highlight w:val="none"/>
                <w:lang w:val="en-US" w:eastAsia="zh-CN" w:bidi="ar-SA"/>
              </w:rPr>
              <w:t>分，</w:t>
            </w:r>
            <w:r>
              <w:rPr>
                <w:rFonts w:hint="eastAsia" w:eastAsia="仿宋_GB2312" w:cs="Times New Roman"/>
                <w:color w:val="auto"/>
                <w:kern w:val="2"/>
                <w:sz w:val="24"/>
                <w:szCs w:val="24"/>
                <w:highlight w:val="none"/>
                <w:lang w:val="en-US" w:eastAsia="zh-CN" w:bidi="ar-SA"/>
              </w:rPr>
              <w:t>排名第3的</w:t>
            </w:r>
            <w:r>
              <w:rPr>
                <w:rFonts w:hint="default" w:ascii="Times New Roman" w:hAnsi="Times New Roman" w:eastAsia="仿宋_GB2312" w:cs="Times New Roman"/>
                <w:color w:val="auto"/>
                <w:kern w:val="2"/>
                <w:sz w:val="24"/>
                <w:szCs w:val="24"/>
                <w:highlight w:val="none"/>
                <w:lang w:val="en-US" w:eastAsia="zh-CN" w:bidi="ar-SA"/>
              </w:rPr>
              <w:t>得</w:t>
            </w:r>
            <w:r>
              <w:rPr>
                <w:rFonts w:hint="eastAsia" w:eastAsia="仿宋_GB2312" w:cs="Times New Roman"/>
                <w:color w:val="auto"/>
                <w:kern w:val="2"/>
                <w:sz w:val="24"/>
                <w:szCs w:val="24"/>
                <w:highlight w:val="none"/>
                <w:lang w:val="en-US" w:eastAsia="zh-CN" w:bidi="ar-SA"/>
              </w:rPr>
              <w:t>10</w:t>
            </w:r>
            <w:r>
              <w:rPr>
                <w:rFonts w:hint="default" w:ascii="Times New Roman" w:hAnsi="Times New Roman" w:eastAsia="仿宋_GB2312" w:cs="Times New Roman"/>
                <w:color w:val="auto"/>
                <w:kern w:val="2"/>
                <w:sz w:val="24"/>
                <w:szCs w:val="24"/>
                <w:highlight w:val="none"/>
                <w:lang w:val="en-US" w:eastAsia="zh-CN" w:bidi="ar-SA"/>
              </w:rPr>
              <w:t>分</w:t>
            </w:r>
            <w:r>
              <w:rPr>
                <w:rFonts w:hint="eastAsia" w:eastAsia="仿宋_GB2312" w:cs="Times New Roman"/>
                <w:color w:val="auto"/>
                <w:kern w:val="2"/>
                <w:sz w:val="24"/>
                <w:szCs w:val="24"/>
                <w:highlight w:val="none"/>
                <w:lang w:val="en-US" w:eastAsia="zh-CN" w:bidi="ar-SA"/>
              </w:rPr>
              <w:t>，排名第4名及以后不得分</w:t>
            </w:r>
            <w:r>
              <w:rPr>
                <w:rFonts w:hint="default" w:ascii="Times New Roman" w:hAnsi="Times New Roman" w:eastAsia="仿宋_GB2312" w:cs="Times New Roman"/>
                <w:color w:val="auto"/>
                <w:kern w:val="2"/>
                <w:sz w:val="24"/>
                <w:szCs w:val="24"/>
                <w:highlight w:val="none"/>
                <w:lang w:val="en-US" w:eastAsia="zh-CN" w:bidi="ar-SA"/>
              </w:rPr>
              <w:t>。</w:t>
            </w:r>
          </w:p>
        </w:tc>
        <w:tc>
          <w:tcPr>
            <w:tcW w:w="0" w:type="auto"/>
            <w:vMerge w:val="restart"/>
            <w:noWrap w:val="0"/>
            <w:vAlign w:val="center"/>
          </w:tcPr>
          <w:p w14:paraId="37B38AB6">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eastAsia" w:eastAsia="仿宋_GB2312" w:cs="Times New Roman"/>
                <w:color w:val="auto"/>
                <w:kern w:val="2"/>
                <w:sz w:val="24"/>
                <w:szCs w:val="24"/>
                <w:highlight w:val="none"/>
                <w:lang w:val="en-US" w:eastAsia="zh-CN" w:bidi="ar-SA"/>
              </w:rPr>
              <w:t>50</w:t>
            </w:r>
            <w:r>
              <w:rPr>
                <w:rFonts w:hint="default" w:ascii="Times New Roman" w:hAnsi="Times New Roman" w:eastAsia="仿宋_GB2312" w:cs="Times New Roman"/>
                <w:color w:val="auto"/>
                <w:kern w:val="2"/>
                <w:sz w:val="24"/>
                <w:szCs w:val="24"/>
                <w:highlight w:val="none"/>
                <w:lang w:val="en-US" w:eastAsia="zh-CN" w:bidi="ar-SA"/>
              </w:rPr>
              <w:t>分</w:t>
            </w:r>
          </w:p>
        </w:tc>
      </w:tr>
      <w:tr w14:paraId="6F4CE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5" w:hRule="atLeast"/>
        </w:trPr>
        <w:tc>
          <w:tcPr>
            <w:tcW w:w="0" w:type="auto"/>
            <w:vMerge w:val="continue"/>
            <w:noWrap w:val="0"/>
            <w:vAlign w:val="center"/>
          </w:tcPr>
          <w:p w14:paraId="054B437E">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b/>
                <w:bCs/>
                <w:color w:val="auto"/>
                <w:kern w:val="2"/>
                <w:sz w:val="24"/>
                <w:szCs w:val="24"/>
                <w:highlight w:val="none"/>
                <w:lang w:val="en-US" w:eastAsia="zh-CN" w:bidi="ar-SA"/>
              </w:rPr>
            </w:pPr>
          </w:p>
        </w:tc>
        <w:tc>
          <w:tcPr>
            <w:tcW w:w="0" w:type="auto"/>
            <w:vMerge w:val="continue"/>
            <w:noWrap w:val="0"/>
            <w:vAlign w:val="center"/>
          </w:tcPr>
          <w:p w14:paraId="4DBFD470">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b/>
                <w:bCs/>
                <w:color w:val="auto"/>
                <w:kern w:val="2"/>
                <w:sz w:val="24"/>
                <w:szCs w:val="24"/>
                <w:highlight w:val="none"/>
                <w:lang w:val="en-US" w:eastAsia="zh-CN" w:bidi="ar-SA"/>
              </w:rPr>
            </w:pPr>
          </w:p>
        </w:tc>
        <w:tc>
          <w:tcPr>
            <w:tcW w:w="0" w:type="auto"/>
            <w:vMerge w:val="continue"/>
            <w:noWrap w:val="0"/>
            <w:vAlign w:val="center"/>
          </w:tcPr>
          <w:p w14:paraId="40351086">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b/>
                <w:bCs/>
                <w:color w:val="auto"/>
                <w:kern w:val="2"/>
                <w:sz w:val="24"/>
                <w:szCs w:val="24"/>
                <w:highlight w:val="none"/>
                <w:lang w:val="en-US" w:eastAsia="zh-CN" w:bidi="ar-SA"/>
              </w:rPr>
            </w:pPr>
          </w:p>
        </w:tc>
        <w:tc>
          <w:tcPr>
            <w:tcW w:w="0" w:type="auto"/>
            <w:noWrap w:val="0"/>
            <w:vAlign w:val="center"/>
          </w:tcPr>
          <w:p w14:paraId="055DCD48">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eastAsia" w:eastAsia="仿宋_GB2312" w:cs="Times New Roman"/>
                <w:b/>
                <w:bCs/>
                <w:color w:val="auto"/>
                <w:kern w:val="2"/>
                <w:sz w:val="24"/>
                <w:szCs w:val="24"/>
                <w:highlight w:val="none"/>
                <w:lang w:val="en-US" w:eastAsia="zh-CN" w:bidi="ar-SA"/>
              </w:rPr>
            </w:pPr>
            <w:r>
              <w:rPr>
                <w:rFonts w:hint="eastAsia" w:eastAsia="仿宋_GB2312" w:cs="Times New Roman"/>
                <w:b/>
                <w:bCs/>
                <w:color w:val="auto"/>
                <w:kern w:val="2"/>
                <w:sz w:val="24"/>
                <w:szCs w:val="24"/>
                <w:highlight w:val="none"/>
                <w:lang w:val="en-US" w:eastAsia="zh-CN" w:bidi="ar-SA"/>
              </w:rPr>
              <w:t>服务</w:t>
            </w:r>
          </w:p>
          <w:p w14:paraId="0A89E9DB">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b/>
                <w:bCs/>
                <w:color w:val="auto"/>
                <w:kern w:val="2"/>
                <w:sz w:val="24"/>
                <w:szCs w:val="24"/>
                <w:highlight w:val="none"/>
                <w:lang w:val="en-US" w:eastAsia="zh-CN" w:bidi="ar-SA"/>
              </w:rPr>
            </w:pPr>
            <w:r>
              <w:rPr>
                <w:rFonts w:hint="default" w:ascii="Times New Roman" w:hAnsi="Times New Roman" w:eastAsia="仿宋_GB2312" w:cs="Times New Roman"/>
                <w:b/>
                <w:bCs/>
                <w:color w:val="auto"/>
                <w:kern w:val="2"/>
                <w:sz w:val="24"/>
                <w:szCs w:val="24"/>
                <w:highlight w:val="none"/>
                <w:lang w:val="en-US" w:eastAsia="zh-CN" w:bidi="ar-SA"/>
              </w:rPr>
              <w:t>方案</w:t>
            </w:r>
          </w:p>
          <w:p w14:paraId="05E1B3DE">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b/>
                <w:bCs/>
                <w:color w:val="auto"/>
                <w:kern w:val="2"/>
                <w:sz w:val="24"/>
                <w:szCs w:val="24"/>
                <w:highlight w:val="none"/>
                <w:lang w:val="en-US" w:eastAsia="zh-CN" w:bidi="ar-SA"/>
              </w:rPr>
            </w:pPr>
            <w:r>
              <w:rPr>
                <w:rFonts w:hint="default" w:ascii="Times New Roman" w:hAnsi="Times New Roman" w:eastAsia="仿宋_GB2312" w:cs="Times New Roman"/>
                <w:b/>
                <w:bCs/>
                <w:color w:val="auto"/>
                <w:kern w:val="2"/>
                <w:sz w:val="24"/>
                <w:szCs w:val="24"/>
                <w:highlight w:val="none"/>
                <w:lang w:val="en-US" w:eastAsia="zh-CN" w:bidi="ar-SA"/>
              </w:rPr>
              <w:t>（</w:t>
            </w:r>
            <w:r>
              <w:rPr>
                <w:rFonts w:hint="eastAsia" w:eastAsia="仿宋_GB2312" w:cs="Times New Roman"/>
                <w:b/>
                <w:bCs/>
                <w:color w:val="auto"/>
                <w:kern w:val="2"/>
                <w:sz w:val="24"/>
                <w:szCs w:val="24"/>
                <w:highlight w:val="none"/>
                <w:lang w:val="en-US" w:eastAsia="zh-CN" w:bidi="ar-SA"/>
              </w:rPr>
              <w:t>9</w:t>
            </w:r>
            <w:r>
              <w:rPr>
                <w:rFonts w:hint="default" w:ascii="Times New Roman" w:hAnsi="Times New Roman" w:eastAsia="仿宋_GB2312" w:cs="Times New Roman"/>
                <w:b/>
                <w:bCs/>
                <w:color w:val="auto"/>
                <w:kern w:val="2"/>
                <w:sz w:val="24"/>
                <w:szCs w:val="24"/>
                <w:highlight w:val="none"/>
                <w:lang w:val="en-US" w:eastAsia="zh-CN" w:bidi="ar-SA"/>
              </w:rPr>
              <w:t>分）</w:t>
            </w:r>
          </w:p>
        </w:tc>
        <w:tc>
          <w:tcPr>
            <w:tcW w:w="0" w:type="auto"/>
            <w:noWrap w:val="0"/>
            <w:vAlign w:val="center"/>
          </w:tcPr>
          <w:p w14:paraId="11DDD202">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textAlignment w:val="auto"/>
              <w:rPr>
                <w:rFonts w:hint="eastAsia" w:eastAsia="仿宋_GB2312" w:cs="Times New Roman"/>
                <w:b/>
                <w:bCs/>
                <w:color w:val="auto"/>
                <w:kern w:val="2"/>
                <w:sz w:val="24"/>
                <w:szCs w:val="24"/>
                <w:highlight w:val="none"/>
                <w:lang w:val="en-US" w:eastAsia="zh-CN" w:bidi="ar-SA"/>
              </w:rPr>
            </w:pPr>
            <w:r>
              <w:rPr>
                <w:rFonts w:hint="eastAsia" w:eastAsia="仿宋_GB2312" w:cs="Times New Roman"/>
                <w:color w:val="auto"/>
                <w:kern w:val="2"/>
                <w:sz w:val="24"/>
                <w:szCs w:val="24"/>
                <w:highlight w:val="none"/>
                <w:lang w:val="en-US" w:eastAsia="zh-CN" w:bidi="ar-SA"/>
              </w:rPr>
              <w:t>投标人确定专人负责整个保险服务期内的对接、咨询与理赔事宜，</w:t>
            </w:r>
            <w:r>
              <w:rPr>
                <w:rFonts w:hint="default" w:ascii="Times New Roman" w:hAnsi="Times New Roman" w:eastAsia="仿宋_GB2312" w:cs="Times New Roman"/>
                <w:color w:val="auto"/>
                <w:kern w:val="2"/>
                <w:sz w:val="24"/>
                <w:szCs w:val="24"/>
                <w:highlight w:val="none"/>
                <w:lang w:val="en-US" w:eastAsia="zh-CN" w:bidi="ar-SA"/>
              </w:rPr>
              <w:t>服务人员安排合理，服务范围具体明确，服务方案针对性强、可操作性强得</w:t>
            </w:r>
            <w:r>
              <w:rPr>
                <w:rFonts w:hint="eastAsia" w:eastAsia="仿宋_GB2312" w:cs="Times New Roman"/>
                <w:color w:val="auto"/>
                <w:kern w:val="2"/>
                <w:sz w:val="24"/>
                <w:szCs w:val="24"/>
                <w:highlight w:val="none"/>
                <w:lang w:val="en-US" w:eastAsia="zh-CN" w:bidi="ar-SA"/>
              </w:rPr>
              <w:t>7</w:t>
            </w:r>
            <w:r>
              <w:rPr>
                <w:rFonts w:hint="default" w:ascii="Times New Roman" w:hAnsi="Times New Roman" w:eastAsia="仿宋_GB2312" w:cs="Times New Roman"/>
                <w:color w:val="auto"/>
                <w:kern w:val="2"/>
                <w:sz w:val="24"/>
                <w:szCs w:val="24"/>
                <w:highlight w:val="none"/>
                <w:lang w:val="en-US" w:eastAsia="zh-CN" w:bidi="ar-SA"/>
              </w:rPr>
              <w:t>～</w:t>
            </w:r>
            <w:r>
              <w:rPr>
                <w:rFonts w:hint="eastAsia" w:eastAsia="仿宋_GB2312" w:cs="Times New Roman"/>
                <w:color w:val="auto"/>
                <w:kern w:val="2"/>
                <w:sz w:val="24"/>
                <w:szCs w:val="24"/>
                <w:highlight w:val="none"/>
                <w:lang w:val="en-US" w:eastAsia="zh-CN" w:bidi="ar-SA"/>
              </w:rPr>
              <w:t>9</w:t>
            </w:r>
            <w:r>
              <w:rPr>
                <w:rFonts w:hint="default" w:ascii="Times New Roman" w:hAnsi="Times New Roman" w:eastAsia="仿宋_GB2312" w:cs="Times New Roman"/>
                <w:color w:val="auto"/>
                <w:kern w:val="2"/>
                <w:sz w:val="24"/>
                <w:szCs w:val="24"/>
                <w:highlight w:val="none"/>
                <w:lang w:val="en-US" w:eastAsia="zh-CN" w:bidi="ar-SA"/>
              </w:rPr>
              <w:t>分；服务人员安排较合理，服务范围较明确，服务方案有一定的针对性和操作性得</w:t>
            </w:r>
            <w:r>
              <w:rPr>
                <w:rFonts w:hint="eastAsia" w:eastAsia="仿宋_GB2312" w:cs="Times New Roman"/>
                <w:color w:val="auto"/>
                <w:kern w:val="2"/>
                <w:sz w:val="24"/>
                <w:szCs w:val="24"/>
                <w:highlight w:val="none"/>
                <w:lang w:val="en-US" w:eastAsia="zh-CN" w:bidi="ar-SA"/>
              </w:rPr>
              <w:t>4</w:t>
            </w:r>
            <w:r>
              <w:rPr>
                <w:rFonts w:hint="default" w:ascii="Times New Roman" w:hAnsi="Times New Roman" w:eastAsia="仿宋_GB2312" w:cs="Times New Roman"/>
                <w:color w:val="auto"/>
                <w:kern w:val="2"/>
                <w:sz w:val="24"/>
                <w:szCs w:val="24"/>
                <w:highlight w:val="none"/>
                <w:lang w:val="en-US" w:eastAsia="zh-CN" w:bidi="ar-SA"/>
              </w:rPr>
              <w:t>～</w:t>
            </w:r>
            <w:r>
              <w:rPr>
                <w:rFonts w:hint="eastAsia" w:eastAsia="仿宋_GB2312" w:cs="Times New Roman"/>
                <w:color w:val="auto"/>
                <w:kern w:val="2"/>
                <w:sz w:val="24"/>
                <w:szCs w:val="24"/>
                <w:highlight w:val="none"/>
                <w:lang w:val="en-US" w:eastAsia="zh-CN" w:bidi="ar-SA"/>
              </w:rPr>
              <w:t>6</w:t>
            </w:r>
            <w:r>
              <w:rPr>
                <w:rFonts w:hint="default" w:ascii="Times New Roman" w:hAnsi="Times New Roman" w:eastAsia="仿宋_GB2312" w:cs="Times New Roman"/>
                <w:color w:val="auto"/>
                <w:kern w:val="2"/>
                <w:sz w:val="24"/>
                <w:szCs w:val="24"/>
                <w:highlight w:val="none"/>
                <w:lang w:val="en-US" w:eastAsia="zh-CN" w:bidi="ar-SA"/>
              </w:rPr>
              <w:t>分；服务人员安排不够合理，服务范围不够明确、服务方案针对性、操作性不够强得</w:t>
            </w:r>
            <w:r>
              <w:rPr>
                <w:rFonts w:hint="eastAsia" w:eastAsia="仿宋_GB2312" w:cs="Times New Roman"/>
                <w:color w:val="auto"/>
                <w:kern w:val="2"/>
                <w:sz w:val="24"/>
                <w:szCs w:val="24"/>
                <w:highlight w:val="none"/>
                <w:lang w:val="en-US" w:eastAsia="zh-CN" w:bidi="ar-SA"/>
              </w:rPr>
              <w:t>1</w:t>
            </w:r>
            <w:r>
              <w:rPr>
                <w:rFonts w:hint="default" w:ascii="Times New Roman" w:hAnsi="Times New Roman" w:eastAsia="仿宋_GB2312" w:cs="Times New Roman"/>
                <w:color w:val="auto"/>
                <w:kern w:val="2"/>
                <w:sz w:val="24"/>
                <w:szCs w:val="24"/>
                <w:highlight w:val="none"/>
                <w:lang w:val="en-US" w:eastAsia="zh-CN" w:bidi="ar-SA"/>
              </w:rPr>
              <w:t>～</w:t>
            </w:r>
            <w:r>
              <w:rPr>
                <w:rFonts w:hint="eastAsia" w:eastAsia="仿宋_GB2312" w:cs="Times New Roman"/>
                <w:color w:val="auto"/>
                <w:kern w:val="2"/>
                <w:sz w:val="24"/>
                <w:szCs w:val="24"/>
                <w:highlight w:val="none"/>
                <w:lang w:val="en-US" w:eastAsia="zh-CN" w:bidi="ar-SA"/>
              </w:rPr>
              <w:t>3</w:t>
            </w:r>
            <w:r>
              <w:rPr>
                <w:rFonts w:hint="default" w:ascii="Times New Roman" w:hAnsi="Times New Roman" w:eastAsia="仿宋_GB2312" w:cs="Times New Roman"/>
                <w:color w:val="auto"/>
                <w:kern w:val="2"/>
                <w:sz w:val="24"/>
                <w:szCs w:val="24"/>
                <w:highlight w:val="none"/>
                <w:lang w:val="en-US" w:eastAsia="zh-CN" w:bidi="ar-SA"/>
              </w:rPr>
              <w:t>分；未提供的不得分。</w:t>
            </w:r>
          </w:p>
        </w:tc>
        <w:tc>
          <w:tcPr>
            <w:tcW w:w="0" w:type="auto"/>
            <w:vMerge w:val="continue"/>
            <w:noWrap w:val="0"/>
            <w:vAlign w:val="center"/>
          </w:tcPr>
          <w:p w14:paraId="5859E54A">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eastAsia" w:eastAsia="仿宋_GB2312" w:cs="Times New Roman"/>
                <w:color w:val="auto"/>
                <w:kern w:val="2"/>
                <w:sz w:val="24"/>
                <w:szCs w:val="24"/>
                <w:highlight w:val="none"/>
                <w:lang w:val="en-US" w:eastAsia="zh-CN" w:bidi="ar-SA"/>
              </w:rPr>
            </w:pPr>
          </w:p>
        </w:tc>
      </w:tr>
      <w:tr w14:paraId="6076D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trPr>
        <w:tc>
          <w:tcPr>
            <w:tcW w:w="0" w:type="auto"/>
            <w:vMerge w:val="continue"/>
            <w:noWrap w:val="0"/>
            <w:vAlign w:val="center"/>
          </w:tcPr>
          <w:p w14:paraId="564743D4">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b/>
                <w:bCs/>
                <w:color w:val="auto"/>
                <w:kern w:val="2"/>
                <w:sz w:val="24"/>
                <w:szCs w:val="24"/>
                <w:highlight w:val="none"/>
                <w:lang w:val="en-US" w:eastAsia="zh-CN" w:bidi="ar-SA"/>
              </w:rPr>
            </w:pPr>
          </w:p>
        </w:tc>
        <w:tc>
          <w:tcPr>
            <w:tcW w:w="0" w:type="auto"/>
            <w:vMerge w:val="continue"/>
            <w:noWrap w:val="0"/>
            <w:vAlign w:val="center"/>
          </w:tcPr>
          <w:p w14:paraId="7FDFAA91">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b/>
                <w:bCs/>
                <w:color w:val="auto"/>
                <w:kern w:val="2"/>
                <w:sz w:val="24"/>
                <w:szCs w:val="24"/>
                <w:highlight w:val="none"/>
                <w:lang w:val="en-US" w:eastAsia="zh-CN" w:bidi="ar-SA"/>
              </w:rPr>
            </w:pPr>
          </w:p>
        </w:tc>
        <w:tc>
          <w:tcPr>
            <w:tcW w:w="0" w:type="auto"/>
            <w:vMerge w:val="continue"/>
            <w:noWrap w:val="0"/>
            <w:vAlign w:val="center"/>
          </w:tcPr>
          <w:p w14:paraId="08FF8874">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b/>
                <w:bCs/>
                <w:color w:val="auto"/>
                <w:kern w:val="2"/>
                <w:sz w:val="24"/>
                <w:szCs w:val="24"/>
                <w:highlight w:val="none"/>
                <w:lang w:val="en-US" w:eastAsia="zh-CN" w:bidi="ar-SA"/>
              </w:rPr>
            </w:pPr>
          </w:p>
        </w:tc>
        <w:tc>
          <w:tcPr>
            <w:tcW w:w="0" w:type="auto"/>
            <w:noWrap w:val="0"/>
            <w:vAlign w:val="center"/>
          </w:tcPr>
          <w:p w14:paraId="6392F177">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eastAsia" w:eastAsia="仿宋_GB2312" w:cs="Times New Roman"/>
                <w:b/>
                <w:bCs/>
                <w:color w:val="auto"/>
                <w:kern w:val="2"/>
                <w:sz w:val="24"/>
                <w:szCs w:val="24"/>
                <w:highlight w:val="none"/>
                <w:lang w:val="en-US" w:eastAsia="zh-CN" w:bidi="ar-SA"/>
              </w:rPr>
            </w:pPr>
            <w:r>
              <w:rPr>
                <w:rFonts w:hint="eastAsia" w:eastAsia="仿宋_GB2312" w:cs="Times New Roman"/>
                <w:b/>
                <w:bCs/>
                <w:color w:val="auto"/>
                <w:kern w:val="2"/>
                <w:sz w:val="24"/>
                <w:szCs w:val="24"/>
                <w:highlight w:val="none"/>
                <w:lang w:val="en-US" w:eastAsia="zh-CN" w:bidi="ar-SA"/>
              </w:rPr>
              <w:t>理赔</w:t>
            </w:r>
          </w:p>
          <w:p w14:paraId="779E170E">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eastAsia" w:eastAsia="仿宋_GB2312" w:cs="Times New Roman"/>
                <w:b/>
                <w:bCs/>
                <w:color w:val="auto"/>
                <w:kern w:val="2"/>
                <w:sz w:val="24"/>
                <w:szCs w:val="24"/>
                <w:highlight w:val="none"/>
                <w:lang w:val="en-US" w:eastAsia="zh-CN" w:bidi="ar-SA"/>
              </w:rPr>
            </w:pPr>
            <w:r>
              <w:rPr>
                <w:rFonts w:hint="eastAsia" w:eastAsia="仿宋_GB2312" w:cs="Times New Roman"/>
                <w:b/>
                <w:bCs/>
                <w:color w:val="auto"/>
                <w:kern w:val="2"/>
                <w:sz w:val="24"/>
                <w:szCs w:val="24"/>
                <w:highlight w:val="none"/>
                <w:lang w:val="en-US" w:eastAsia="zh-CN" w:bidi="ar-SA"/>
              </w:rPr>
              <w:t>方案</w:t>
            </w:r>
          </w:p>
          <w:p w14:paraId="1221085D">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b/>
                <w:bCs/>
                <w:color w:val="auto"/>
                <w:kern w:val="2"/>
                <w:sz w:val="24"/>
                <w:szCs w:val="24"/>
                <w:highlight w:val="none"/>
                <w:lang w:val="en-US" w:eastAsia="zh-CN" w:bidi="ar-SA"/>
              </w:rPr>
            </w:pPr>
            <w:r>
              <w:rPr>
                <w:rFonts w:hint="eastAsia" w:eastAsia="仿宋_GB2312" w:cs="Times New Roman"/>
                <w:b/>
                <w:bCs/>
                <w:color w:val="auto"/>
                <w:kern w:val="2"/>
                <w:sz w:val="24"/>
                <w:szCs w:val="24"/>
                <w:highlight w:val="none"/>
                <w:lang w:val="en-US" w:eastAsia="zh-CN" w:bidi="ar-SA"/>
              </w:rPr>
              <w:t>（9分）</w:t>
            </w:r>
          </w:p>
        </w:tc>
        <w:tc>
          <w:tcPr>
            <w:tcW w:w="0" w:type="auto"/>
            <w:noWrap w:val="0"/>
            <w:vAlign w:val="center"/>
          </w:tcPr>
          <w:p w14:paraId="7A0F68AC">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投标人提供本项目理赔流程 (包括但不限于接听报案、理赔响应时间、现场查勘、定损及赔付结案等)，</w:t>
            </w:r>
            <w:r>
              <w:rPr>
                <w:rFonts w:hint="eastAsia" w:eastAsia="仿宋_GB2312" w:cs="Times New Roman"/>
                <w:color w:val="auto"/>
                <w:kern w:val="2"/>
                <w:sz w:val="24"/>
                <w:szCs w:val="24"/>
                <w:highlight w:val="none"/>
                <w:lang w:val="en-US" w:eastAsia="zh-CN" w:bidi="ar-SA"/>
              </w:rPr>
              <w:t>理赔流程</w:t>
            </w:r>
            <w:r>
              <w:rPr>
                <w:rFonts w:hint="default" w:ascii="Times New Roman" w:hAnsi="Times New Roman" w:eastAsia="仿宋_GB2312" w:cs="Times New Roman"/>
                <w:color w:val="auto"/>
                <w:kern w:val="2"/>
                <w:sz w:val="24"/>
                <w:szCs w:val="24"/>
                <w:highlight w:val="none"/>
                <w:lang w:val="en-US" w:eastAsia="zh-CN" w:bidi="ar-SA"/>
              </w:rPr>
              <w:t>完善、易于操作的得</w:t>
            </w:r>
            <w:r>
              <w:rPr>
                <w:rFonts w:hint="eastAsia" w:eastAsia="仿宋_GB2312" w:cs="Times New Roman"/>
                <w:color w:val="auto"/>
                <w:kern w:val="2"/>
                <w:sz w:val="24"/>
                <w:szCs w:val="24"/>
                <w:highlight w:val="none"/>
                <w:lang w:val="en-US" w:eastAsia="zh-CN" w:bidi="ar-SA"/>
              </w:rPr>
              <w:t>5</w:t>
            </w:r>
            <w:r>
              <w:rPr>
                <w:rFonts w:hint="default" w:ascii="Times New Roman" w:hAnsi="Times New Roman" w:eastAsia="仿宋_GB2312" w:cs="Times New Roman"/>
                <w:color w:val="auto"/>
                <w:kern w:val="2"/>
                <w:sz w:val="24"/>
                <w:szCs w:val="24"/>
                <w:highlight w:val="none"/>
                <w:lang w:val="en-US" w:eastAsia="zh-CN" w:bidi="ar-SA"/>
              </w:rPr>
              <w:t>～</w:t>
            </w:r>
            <w:r>
              <w:rPr>
                <w:rFonts w:hint="eastAsia" w:eastAsia="仿宋_GB2312" w:cs="Times New Roman"/>
                <w:color w:val="auto"/>
                <w:kern w:val="2"/>
                <w:sz w:val="24"/>
                <w:szCs w:val="24"/>
                <w:highlight w:val="none"/>
                <w:lang w:val="en-US" w:eastAsia="zh-CN" w:bidi="ar-SA"/>
              </w:rPr>
              <w:t>9</w:t>
            </w:r>
            <w:r>
              <w:rPr>
                <w:rFonts w:hint="default" w:ascii="Times New Roman" w:hAnsi="Times New Roman" w:eastAsia="仿宋_GB2312" w:cs="Times New Roman"/>
                <w:color w:val="auto"/>
                <w:kern w:val="2"/>
                <w:sz w:val="24"/>
                <w:szCs w:val="24"/>
                <w:highlight w:val="none"/>
                <w:lang w:val="en-US" w:eastAsia="zh-CN" w:bidi="ar-SA"/>
              </w:rPr>
              <w:t>分；理赔流程不够完善、操作性不够强得</w:t>
            </w:r>
            <w:r>
              <w:rPr>
                <w:rFonts w:hint="eastAsia" w:eastAsia="仿宋_GB2312" w:cs="Times New Roman"/>
                <w:color w:val="auto"/>
                <w:kern w:val="2"/>
                <w:sz w:val="24"/>
                <w:szCs w:val="24"/>
                <w:highlight w:val="none"/>
                <w:lang w:val="en-US" w:eastAsia="zh-CN" w:bidi="ar-SA"/>
              </w:rPr>
              <w:t>1</w:t>
            </w:r>
            <w:r>
              <w:rPr>
                <w:rFonts w:hint="default" w:ascii="Times New Roman" w:hAnsi="Times New Roman" w:eastAsia="仿宋_GB2312" w:cs="Times New Roman"/>
                <w:color w:val="auto"/>
                <w:kern w:val="2"/>
                <w:sz w:val="24"/>
                <w:szCs w:val="24"/>
                <w:highlight w:val="none"/>
                <w:lang w:val="en-US" w:eastAsia="zh-CN" w:bidi="ar-SA"/>
              </w:rPr>
              <w:t>～</w:t>
            </w:r>
            <w:r>
              <w:rPr>
                <w:rFonts w:hint="eastAsia" w:eastAsia="仿宋_GB2312" w:cs="Times New Roman"/>
                <w:color w:val="auto"/>
                <w:kern w:val="2"/>
                <w:sz w:val="24"/>
                <w:szCs w:val="24"/>
                <w:highlight w:val="none"/>
                <w:lang w:val="en-US" w:eastAsia="zh-CN" w:bidi="ar-SA"/>
              </w:rPr>
              <w:t>4</w:t>
            </w:r>
            <w:r>
              <w:rPr>
                <w:rFonts w:hint="default" w:ascii="Times New Roman" w:hAnsi="Times New Roman" w:eastAsia="仿宋_GB2312" w:cs="Times New Roman"/>
                <w:color w:val="auto"/>
                <w:kern w:val="2"/>
                <w:sz w:val="24"/>
                <w:szCs w:val="24"/>
                <w:highlight w:val="none"/>
                <w:lang w:val="en-US" w:eastAsia="zh-CN" w:bidi="ar-SA"/>
              </w:rPr>
              <w:t>分；未提供的不得分。</w:t>
            </w:r>
          </w:p>
        </w:tc>
        <w:tc>
          <w:tcPr>
            <w:tcW w:w="0" w:type="auto"/>
            <w:vMerge w:val="continue"/>
            <w:noWrap w:val="0"/>
            <w:vAlign w:val="center"/>
          </w:tcPr>
          <w:p w14:paraId="53F748FE">
            <w:pPr>
              <w:jc w:val="center"/>
              <w:rPr>
                <w:rFonts w:hint="default" w:ascii="Times New Roman" w:hAnsi="Times New Roman" w:eastAsia="仿宋_GB2312" w:cs="Times New Roman"/>
                <w:color w:val="auto"/>
                <w:sz w:val="24"/>
                <w:szCs w:val="24"/>
                <w:highlight w:val="none"/>
              </w:rPr>
            </w:pPr>
          </w:p>
        </w:tc>
      </w:tr>
      <w:tr w14:paraId="4F7A2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5" w:hRule="atLeast"/>
        </w:trPr>
        <w:tc>
          <w:tcPr>
            <w:tcW w:w="0" w:type="auto"/>
            <w:vMerge w:val="continue"/>
            <w:noWrap w:val="0"/>
            <w:vAlign w:val="center"/>
          </w:tcPr>
          <w:p w14:paraId="17F6AAE6">
            <w:pPr>
              <w:jc w:val="center"/>
              <w:rPr>
                <w:rFonts w:hint="default" w:ascii="Times New Roman" w:hAnsi="Times New Roman" w:eastAsia="仿宋_GB2312" w:cs="Times New Roman"/>
                <w:b/>
                <w:bCs/>
                <w:color w:val="auto"/>
                <w:sz w:val="24"/>
                <w:szCs w:val="24"/>
                <w:highlight w:val="none"/>
              </w:rPr>
            </w:pPr>
          </w:p>
        </w:tc>
        <w:tc>
          <w:tcPr>
            <w:tcW w:w="0" w:type="auto"/>
            <w:vMerge w:val="continue"/>
            <w:noWrap w:val="0"/>
            <w:vAlign w:val="center"/>
          </w:tcPr>
          <w:p w14:paraId="01CFCFB6">
            <w:pPr>
              <w:jc w:val="center"/>
              <w:rPr>
                <w:rFonts w:hint="default" w:ascii="Times New Roman" w:hAnsi="Times New Roman" w:eastAsia="仿宋_GB2312" w:cs="Times New Roman"/>
                <w:b/>
                <w:bCs/>
                <w:color w:val="auto"/>
                <w:sz w:val="24"/>
                <w:szCs w:val="24"/>
                <w:highlight w:val="none"/>
              </w:rPr>
            </w:pPr>
          </w:p>
        </w:tc>
        <w:tc>
          <w:tcPr>
            <w:tcW w:w="0" w:type="auto"/>
            <w:vMerge w:val="continue"/>
            <w:noWrap w:val="0"/>
            <w:vAlign w:val="center"/>
          </w:tcPr>
          <w:p w14:paraId="15A29807">
            <w:pPr>
              <w:jc w:val="center"/>
              <w:rPr>
                <w:rFonts w:hint="default" w:ascii="Times New Roman" w:hAnsi="Times New Roman" w:eastAsia="仿宋_GB2312" w:cs="Times New Roman"/>
                <w:b/>
                <w:bCs/>
                <w:color w:val="auto"/>
                <w:sz w:val="24"/>
                <w:szCs w:val="24"/>
                <w:highlight w:val="none"/>
              </w:rPr>
            </w:pPr>
          </w:p>
        </w:tc>
        <w:tc>
          <w:tcPr>
            <w:tcW w:w="0" w:type="auto"/>
            <w:noWrap w:val="0"/>
            <w:vAlign w:val="center"/>
          </w:tcPr>
          <w:p w14:paraId="339A7797">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b/>
                <w:bCs/>
                <w:color w:val="auto"/>
                <w:kern w:val="2"/>
                <w:sz w:val="24"/>
                <w:szCs w:val="24"/>
                <w:highlight w:val="none"/>
                <w:lang w:val="en-US" w:eastAsia="zh-CN" w:bidi="ar-SA"/>
              </w:rPr>
            </w:pPr>
            <w:r>
              <w:rPr>
                <w:rFonts w:hint="default" w:ascii="Times New Roman" w:hAnsi="Times New Roman" w:eastAsia="仿宋_GB2312" w:cs="Times New Roman"/>
                <w:b/>
                <w:bCs/>
                <w:color w:val="auto"/>
                <w:kern w:val="2"/>
                <w:sz w:val="24"/>
                <w:szCs w:val="24"/>
                <w:highlight w:val="none"/>
                <w:lang w:val="en-US" w:eastAsia="zh-CN" w:bidi="ar-SA"/>
              </w:rPr>
              <w:t>培训</w:t>
            </w:r>
          </w:p>
          <w:p w14:paraId="53FF6A82">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b/>
                <w:bCs/>
                <w:color w:val="auto"/>
                <w:kern w:val="2"/>
                <w:sz w:val="24"/>
                <w:szCs w:val="24"/>
                <w:highlight w:val="none"/>
                <w:lang w:val="en-US" w:eastAsia="zh-CN" w:bidi="ar-SA"/>
              </w:rPr>
            </w:pPr>
            <w:r>
              <w:rPr>
                <w:rFonts w:hint="default" w:ascii="Times New Roman" w:hAnsi="Times New Roman" w:eastAsia="仿宋_GB2312" w:cs="Times New Roman"/>
                <w:b/>
                <w:bCs/>
                <w:color w:val="auto"/>
                <w:kern w:val="2"/>
                <w:sz w:val="24"/>
                <w:szCs w:val="24"/>
                <w:highlight w:val="none"/>
                <w:lang w:val="en-US" w:eastAsia="zh-CN" w:bidi="ar-SA"/>
              </w:rPr>
              <w:t>计划</w:t>
            </w:r>
          </w:p>
          <w:p w14:paraId="278E8BF8">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b/>
                <w:bCs/>
                <w:color w:val="auto"/>
                <w:kern w:val="2"/>
                <w:sz w:val="24"/>
                <w:szCs w:val="24"/>
                <w:highlight w:val="none"/>
                <w:lang w:val="en-US" w:eastAsia="zh-CN" w:bidi="ar-SA"/>
              </w:rPr>
            </w:pPr>
            <w:r>
              <w:rPr>
                <w:rFonts w:hint="default" w:ascii="Times New Roman" w:hAnsi="Times New Roman" w:eastAsia="仿宋_GB2312" w:cs="Times New Roman"/>
                <w:b/>
                <w:bCs/>
                <w:color w:val="auto"/>
                <w:kern w:val="2"/>
                <w:sz w:val="24"/>
                <w:szCs w:val="24"/>
                <w:highlight w:val="none"/>
                <w:lang w:val="en-US" w:eastAsia="zh-CN" w:bidi="ar-SA"/>
              </w:rPr>
              <w:t>（</w:t>
            </w:r>
            <w:r>
              <w:rPr>
                <w:rFonts w:hint="eastAsia" w:eastAsia="仿宋_GB2312" w:cs="Times New Roman"/>
                <w:b/>
                <w:bCs/>
                <w:color w:val="auto"/>
                <w:kern w:val="2"/>
                <w:sz w:val="24"/>
                <w:szCs w:val="24"/>
                <w:highlight w:val="none"/>
                <w:lang w:val="en-US" w:eastAsia="zh-CN" w:bidi="ar-SA"/>
              </w:rPr>
              <w:t>2</w:t>
            </w:r>
            <w:r>
              <w:rPr>
                <w:rFonts w:hint="default" w:ascii="Times New Roman" w:hAnsi="Times New Roman" w:eastAsia="仿宋_GB2312" w:cs="Times New Roman"/>
                <w:b/>
                <w:bCs/>
                <w:color w:val="auto"/>
                <w:kern w:val="2"/>
                <w:sz w:val="24"/>
                <w:szCs w:val="24"/>
                <w:highlight w:val="none"/>
                <w:lang w:val="en-US" w:eastAsia="zh-CN" w:bidi="ar-SA"/>
              </w:rPr>
              <w:t>分）</w:t>
            </w:r>
          </w:p>
        </w:tc>
        <w:tc>
          <w:tcPr>
            <w:tcW w:w="0" w:type="auto"/>
            <w:noWrap w:val="0"/>
            <w:vAlign w:val="center"/>
          </w:tcPr>
          <w:p w14:paraId="1E534D9E">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投标人提供本项目在保险期内的采购人培训计划，培训计划详细具体，培训内容丰富，针对性强的，得</w:t>
            </w:r>
            <w:r>
              <w:rPr>
                <w:rFonts w:hint="eastAsia" w:eastAsia="仿宋_GB2312" w:cs="Times New Roman"/>
                <w:color w:val="auto"/>
                <w:kern w:val="2"/>
                <w:sz w:val="24"/>
                <w:szCs w:val="24"/>
                <w:highlight w:val="none"/>
                <w:lang w:val="en-US" w:eastAsia="zh-CN" w:bidi="ar-SA"/>
              </w:rPr>
              <w:t>2</w:t>
            </w:r>
            <w:r>
              <w:rPr>
                <w:rFonts w:hint="default" w:ascii="Times New Roman" w:hAnsi="Times New Roman" w:eastAsia="仿宋_GB2312" w:cs="Times New Roman"/>
                <w:color w:val="auto"/>
                <w:kern w:val="2"/>
                <w:sz w:val="24"/>
                <w:szCs w:val="24"/>
                <w:highlight w:val="none"/>
                <w:lang w:val="en-US" w:eastAsia="zh-CN" w:bidi="ar-SA"/>
              </w:rPr>
              <w:t>分;培训计划较具体，培训内容较丰富，具有一定的针对性</w:t>
            </w:r>
            <w:r>
              <w:rPr>
                <w:rFonts w:hint="eastAsia" w:eastAsia="仿宋_GB2312" w:cs="Times New Roman"/>
                <w:color w:val="auto"/>
                <w:kern w:val="2"/>
                <w:sz w:val="24"/>
                <w:szCs w:val="24"/>
                <w:highlight w:val="none"/>
                <w:lang w:val="en-US" w:eastAsia="zh-CN" w:bidi="ar-SA"/>
              </w:rPr>
              <w:t>的</w:t>
            </w:r>
            <w:r>
              <w:rPr>
                <w:rFonts w:hint="default" w:ascii="Times New Roman" w:hAnsi="Times New Roman" w:eastAsia="仿宋_GB2312" w:cs="Times New Roman"/>
                <w:color w:val="auto"/>
                <w:kern w:val="2"/>
                <w:sz w:val="24"/>
                <w:szCs w:val="24"/>
                <w:highlight w:val="none"/>
                <w:lang w:val="en-US" w:eastAsia="zh-CN" w:bidi="ar-SA"/>
              </w:rPr>
              <w:t>得</w:t>
            </w:r>
            <w:r>
              <w:rPr>
                <w:rFonts w:hint="eastAsia" w:eastAsia="仿宋_GB2312" w:cs="Times New Roman"/>
                <w:color w:val="auto"/>
                <w:kern w:val="2"/>
                <w:sz w:val="24"/>
                <w:szCs w:val="24"/>
                <w:highlight w:val="none"/>
                <w:lang w:val="en-US" w:eastAsia="zh-CN" w:bidi="ar-SA"/>
              </w:rPr>
              <w:t>1</w:t>
            </w:r>
            <w:r>
              <w:rPr>
                <w:rFonts w:hint="default" w:ascii="Times New Roman" w:hAnsi="Times New Roman" w:eastAsia="仿宋_GB2312" w:cs="Times New Roman"/>
                <w:color w:val="auto"/>
                <w:kern w:val="2"/>
                <w:sz w:val="24"/>
                <w:szCs w:val="24"/>
                <w:highlight w:val="none"/>
                <w:lang w:val="en-US" w:eastAsia="zh-CN" w:bidi="ar-SA"/>
              </w:rPr>
              <w:t>分</w:t>
            </w:r>
            <w:r>
              <w:rPr>
                <w:rFonts w:hint="eastAsia" w:eastAsia="仿宋_GB2312" w:cs="Times New Roman"/>
                <w:color w:val="auto"/>
                <w:kern w:val="2"/>
                <w:sz w:val="24"/>
                <w:szCs w:val="24"/>
                <w:highlight w:val="none"/>
                <w:lang w:val="en-US" w:eastAsia="zh-CN" w:bidi="ar-SA"/>
              </w:rPr>
              <w:t>；</w:t>
            </w:r>
            <w:r>
              <w:rPr>
                <w:rFonts w:hint="default" w:ascii="Times New Roman" w:hAnsi="Times New Roman" w:eastAsia="仿宋_GB2312" w:cs="Times New Roman"/>
                <w:color w:val="auto"/>
                <w:kern w:val="2"/>
                <w:sz w:val="24"/>
                <w:szCs w:val="24"/>
                <w:highlight w:val="none"/>
                <w:lang w:val="en-US" w:eastAsia="zh-CN" w:bidi="ar-SA"/>
              </w:rPr>
              <w:t>培训计划不够具体，培训内容不够丰富，针对性不强</w:t>
            </w:r>
            <w:r>
              <w:rPr>
                <w:rFonts w:hint="eastAsia" w:eastAsia="仿宋_GB2312" w:cs="Times New Roman"/>
                <w:color w:val="auto"/>
                <w:kern w:val="2"/>
                <w:sz w:val="24"/>
                <w:szCs w:val="24"/>
                <w:highlight w:val="none"/>
                <w:lang w:val="en-US" w:eastAsia="zh-CN" w:bidi="ar-SA"/>
              </w:rPr>
              <w:t>的或</w:t>
            </w:r>
            <w:r>
              <w:rPr>
                <w:rFonts w:hint="default" w:ascii="Times New Roman" w:hAnsi="Times New Roman" w:eastAsia="仿宋_GB2312" w:cs="Times New Roman"/>
                <w:color w:val="auto"/>
                <w:kern w:val="2"/>
                <w:sz w:val="24"/>
                <w:szCs w:val="24"/>
                <w:highlight w:val="none"/>
                <w:lang w:val="en-US" w:eastAsia="zh-CN" w:bidi="ar-SA"/>
              </w:rPr>
              <w:t>未提供的不得分。</w:t>
            </w:r>
          </w:p>
        </w:tc>
        <w:tc>
          <w:tcPr>
            <w:tcW w:w="0" w:type="auto"/>
            <w:vMerge w:val="continue"/>
            <w:noWrap w:val="0"/>
            <w:vAlign w:val="center"/>
          </w:tcPr>
          <w:p w14:paraId="5D89F809">
            <w:pPr>
              <w:jc w:val="center"/>
              <w:rPr>
                <w:rFonts w:hint="default" w:ascii="Times New Roman" w:hAnsi="Times New Roman" w:eastAsia="仿宋_GB2312" w:cs="Times New Roman"/>
                <w:color w:val="auto"/>
                <w:sz w:val="24"/>
                <w:szCs w:val="24"/>
                <w:highlight w:val="none"/>
              </w:rPr>
            </w:pPr>
          </w:p>
        </w:tc>
      </w:tr>
      <w:tr w14:paraId="4993C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9" w:hRule="atLeast"/>
        </w:trPr>
        <w:tc>
          <w:tcPr>
            <w:tcW w:w="0" w:type="auto"/>
            <w:noWrap w:val="0"/>
            <w:vAlign w:val="center"/>
          </w:tcPr>
          <w:p w14:paraId="19F70838">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b/>
                <w:bCs/>
                <w:color w:val="auto"/>
                <w:kern w:val="2"/>
                <w:sz w:val="24"/>
                <w:szCs w:val="24"/>
                <w:highlight w:val="none"/>
                <w:lang w:val="en-US" w:eastAsia="zh-CN" w:bidi="ar-SA"/>
              </w:rPr>
            </w:pPr>
            <w:r>
              <w:rPr>
                <w:rFonts w:hint="eastAsia" w:eastAsia="仿宋_GB2312" w:cs="Times New Roman"/>
                <w:b/>
                <w:bCs/>
                <w:color w:val="auto"/>
                <w:kern w:val="2"/>
                <w:sz w:val="24"/>
                <w:szCs w:val="24"/>
                <w:highlight w:val="none"/>
                <w:lang w:val="en-US" w:eastAsia="zh-CN" w:bidi="ar-SA"/>
              </w:rPr>
              <w:t>3</w:t>
            </w:r>
          </w:p>
        </w:tc>
        <w:tc>
          <w:tcPr>
            <w:tcW w:w="0" w:type="auto"/>
            <w:noWrap w:val="0"/>
            <w:vAlign w:val="center"/>
          </w:tcPr>
          <w:p w14:paraId="4F988717">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eastAsia" w:eastAsia="仿宋_GB2312" w:cs="Times New Roman"/>
                <w:b/>
                <w:bCs/>
                <w:color w:val="auto"/>
                <w:kern w:val="2"/>
                <w:sz w:val="24"/>
                <w:szCs w:val="24"/>
                <w:highlight w:val="none"/>
                <w:lang w:val="en-US" w:eastAsia="zh-CN" w:bidi="ar-SA"/>
              </w:rPr>
            </w:pPr>
            <w:r>
              <w:rPr>
                <w:rFonts w:hint="eastAsia" w:eastAsia="仿宋_GB2312" w:cs="Times New Roman"/>
                <w:b/>
                <w:bCs/>
                <w:color w:val="auto"/>
                <w:kern w:val="2"/>
                <w:sz w:val="24"/>
                <w:szCs w:val="24"/>
                <w:highlight w:val="none"/>
                <w:lang w:val="en-US" w:eastAsia="zh-CN" w:bidi="ar-SA"/>
              </w:rPr>
              <w:t>价格</w:t>
            </w:r>
          </w:p>
          <w:p w14:paraId="2675FD96">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default" w:eastAsia="仿宋_GB2312" w:cs="Times New Roman"/>
                <w:b/>
                <w:bCs/>
                <w:color w:val="auto"/>
                <w:kern w:val="2"/>
                <w:sz w:val="24"/>
                <w:szCs w:val="24"/>
                <w:highlight w:val="none"/>
                <w:lang w:val="en-US" w:eastAsia="zh-CN" w:bidi="ar-SA"/>
              </w:rPr>
            </w:pPr>
            <w:r>
              <w:rPr>
                <w:rFonts w:hint="eastAsia" w:eastAsia="仿宋_GB2312" w:cs="Times New Roman"/>
                <w:b/>
                <w:bCs/>
                <w:color w:val="auto"/>
                <w:kern w:val="2"/>
                <w:sz w:val="24"/>
                <w:szCs w:val="24"/>
                <w:highlight w:val="none"/>
                <w:lang w:val="en-US" w:eastAsia="zh-CN" w:bidi="ar-SA"/>
              </w:rPr>
              <w:t>（10分）</w:t>
            </w:r>
          </w:p>
        </w:tc>
        <w:tc>
          <w:tcPr>
            <w:tcW w:w="0" w:type="auto"/>
            <w:gridSpan w:val="2"/>
            <w:noWrap w:val="0"/>
            <w:vAlign w:val="center"/>
          </w:tcPr>
          <w:p w14:paraId="4E6231BF">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b/>
                <w:bCs/>
                <w:color w:val="auto"/>
                <w:kern w:val="2"/>
                <w:sz w:val="24"/>
                <w:szCs w:val="24"/>
                <w:highlight w:val="none"/>
                <w:lang w:val="en-US" w:eastAsia="zh-CN" w:bidi="ar-SA"/>
              </w:rPr>
            </w:pPr>
            <w:r>
              <w:rPr>
                <w:rFonts w:hint="default" w:ascii="Times New Roman" w:hAnsi="Times New Roman" w:eastAsia="仿宋_GB2312" w:cs="Times New Roman"/>
                <w:b/>
                <w:bCs/>
                <w:color w:val="auto"/>
                <w:kern w:val="2"/>
                <w:sz w:val="24"/>
                <w:szCs w:val="24"/>
                <w:highlight w:val="none"/>
                <w:lang w:val="en-US" w:eastAsia="zh-CN" w:bidi="ar-SA"/>
              </w:rPr>
              <w:t>价格</w:t>
            </w:r>
          </w:p>
          <w:p w14:paraId="1D598479">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b/>
                <w:bCs/>
                <w:color w:val="auto"/>
                <w:kern w:val="2"/>
                <w:sz w:val="24"/>
                <w:szCs w:val="24"/>
                <w:highlight w:val="none"/>
                <w:lang w:val="en-US" w:eastAsia="zh-CN" w:bidi="ar-SA"/>
              </w:rPr>
            </w:pPr>
            <w:r>
              <w:rPr>
                <w:rFonts w:hint="default" w:ascii="Times New Roman" w:hAnsi="Times New Roman" w:eastAsia="仿宋_GB2312" w:cs="Times New Roman"/>
                <w:b/>
                <w:bCs/>
                <w:color w:val="auto"/>
                <w:kern w:val="2"/>
                <w:sz w:val="24"/>
                <w:szCs w:val="24"/>
                <w:highlight w:val="none"/>
                <w:lang w:val="en-US" w:eastAsia="zh-CN" w:bidi="ar-SA"/>
              </w:rPr>
              <w:t>（1</w:t>
            </w:r>
            <w:r>
              <w:rPr>
                <w:rFonts w:hint="eastAsia" w:eastAsia="仿宋_GB2312" w:cs="Times New Roman"/>
                <w:b/>
                <w:bCs/>
                <w:color w:val="auto"/>
                <w:kern w:val="2"/>
                <w:sz w:val="24"/>
                <w:szCs w:val="24"/>
                <w:highlight w:val="none"/>
                <w:lang w:val="en-US" w:eastAsia="zh-CN" w:bidi="ar-SA"/>
              </w:rPr>
              <w:t>0</w:t>
            </w:r>
            <w:r>
              <w:rPr>
                <w:rFonts w:hint="default" w:ascii="Times New Roman" w:hAnsi="Times New Roman" w:eastAsia="仿宋_GB2312" w:cs="Times New Roman"/>
                <w:b/>
                <w:bCs/>
                <w:color w:val="auto"/>
                <w:kern w:val="2"/>
                <w:sz w:val="24"/>
                <w:szCs w:val="24"/>
                <w:highlight w:val="none"/>
                <w:lang w:val="en-US" w:eastAsia="zh-CN" w:bidi="ar-SA"/>
              </w:rPr>
              <w:t>分）</w:t>
            </w:r>
          </w:p>
        </w:tc>
        <w:tc>
          <w:tcPr>
            <w:tcW w:w="0" w:type="auto"/>
            <w:noWrap w:val="0"/>
            <w:vAlign w:val="center"/>
          </w:tcPr>
          <w:p w14:paraId="32EB1B21">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满足招标文件要求的报价为评标价。</w:t>
            </w:r>
          </w:p>
          <w:p w14:paraId="03E7EF78">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所有评标价的算术平均值为评标基准价（</w:t>
            </w:r>
            <w:r>
              <w:rPr>
                <w:rFonts w:hint="default" w:ascii="Times New Roman" w:hAnsi="Times New Roman" w:eastAsia="仿宋_GB2312" w:cs="Times New Roman"/>
                <w:color w:val="auto"/>
                <w:kern w:val="2"/>
                <w:sz w:val="24"/>
                <w:szCs w:val="24"/>
                <w:highlight w:val="none"/>
                <w:lang w:val="en-US" w:eastAsia="zh-CN" w:bidi="ar-SA"/>
              </w:rPr>
              <w:t>评标</w:t>
            </w:r>
            <w:r>
              <w:rPr>
                <w:rFonts w:hint="eastAsia" w:eastAsia="仿宋_GB2312" w:cs="Times New Roman"/>
                <w:color w:val="auto"/>
                <w:kern w:val="2"/>
                <w:sz w:val="24"/>
                <w:szCs w:val="24"/>
                <w:highlight w:val="none"/>
                <w:lang w:val="en-US" w:eastAsia="zh-CN" w:bidi="ar-SA"/>
              </w:rPr>
              <w:t>基准价</w:t>
            </w:r>
            <w:r>
              <w:rPr>
                <w:rFonts w:hint="default" w:ascii="Times New Roman" w:hAnsi="Times New Roman" w:eastAsia="仿宋_GB2312" w:cs="Times New Roman"/>
                <w:color w:val="auto"/>
                <w:kern w:val="2"/>
                <w:sz w:val="24"/>
                <w:szCs w:val="24"/>
                <w:highlight w:val="none"/>
                <w:lang w:val="en-US" w:eastAsia="zh-CN" w:bidi="ar-SA"/>
              </w:rPr>
              <w:t>保留小数点后两位</w:t>
            </w:r>
            <w:r>
              <w:rPr>
                <w:rFonts w:hint="eastAsia" w:ascii="仿宋_GB2312" w:hAnsi="仿宋_GB2312" w:eastAsia="仿宋_GB2312" w:cs="仿宋_GB2312"/>
                <w:color w:val="auto"/>
                <w:kern w:val="2"/>
                <w:sz w:val="24"/>
                <w:szCs w:val="24"/>
                <w:highlight w:val="none"/>
                <w:lang w:val="en-US" w:eastAsia="zh-CN" w:bidi="ar-SA"/>
              </w:rPr>
              <w:t>）。</w:t>
            </w:r>
          </w:p>
          <w:p w14:paraId="3F7494A1">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评标价得分=（1-|评标基准价-投标人评标价|/评标基准价）*1</w:t>
            </w:r>
            <w:r>
              <w:rPr>
                <w:rFonts w:hint="eastAsia" w:eastAsia="仿宋_GB2312" w:cs="Times New Roman"/>
                <w:color w:val="auto"/>
                <w:kern w:val="2"/>
                <w:sz w:val="24"/>
                <w:szCs w:val="24"/>
                <w:highlight w:val="none"/>
                <w:lang w:val="en-US" w:eastAsia="zh-CN" w:bidi="ar-SA"/>
              </w:rPr>
              <w:t>0</w:t>
            </w:r>
          </w:p>
          <w:p w14:paraId="3D46F36D">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当评标价得分为负时，均按0分计算。评标价得分保留小数点后两位。</w:t>
            </w:r>
          </w:p>
          <w:p w14:paraId="7E809E02">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b/>
                <w:bCs/>
                <w:color w:val="auto"/>
                <w:kern w:val="2"/>
                <w:sz w:val="24"/>
                <w:szCs w:val="24"/>
                <w:highlight w:val="none"/>
                <w:lang w:val="en-US" w:eastAsia="zh-CN" w:bidi="ar-SA"/>
              </w:rPr>
              <w:t>注：需提供加盖单位公章的《合肥市科技馆202</w:t>
            </w:r>
            <w:r>
              <w:rPr>
                <w:rFonts w:hint="eastAsia" w:eastAsia="仿宋_GB2312" w:cs="Times New Roman"/>
                <w:b/>
                <w:bCs/>
                <w:color w:val="auto"/>
                <w:kern w:val="2"/>
                <w:sz w:val="24"/>
                <w:szCs w:val="24"/>
                <w:highlight w:val="none"/>
                <w:lang w:val="en-US" w:eastAsia="zh-CN" w:bidi="ar-SA"/>
              </w:rPr>
              <w:t>6</w:t>
            </w:r>
            <w:r>
              <w:rPr>
                <w:rFonts w:hint="default" w:ascii="Times New Roman" w:hAnsi="Times New Roman" w:eastAsia="仿宋_GB2312" w:cs="Times New Roman"/>
                <w:b/>
                <w:bCs/>
                <w:color w:val="auto"/>
                <w:kern w:val="2"/>
                <w:sz w:val="24"/>
                <w:szCs w:val="24"/>
                <w:highlight w:val="none"/>
                <w:lang w:val="en-US" w:eastAsia="zh-CN" w:bidi="ar-SA"/>
              </w:rPr>
              <w:t>年度保险采购项目报价单》原件</w:t>
            </w:r>
          </w:p>
        </w:tc>
        <w:tc>
          <w:tcPr>
            <w:tcW w:w="0" w:type="auto"/>
            <w:noWrap w:val="0"/>
            <w:vAlign w:val="center"/>
          </w:tcPr>
          <w:p w14:paraId="31D4137E">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w:t>
            </w:r>
            <w:r>
              <w:rPr>
                <w:rFonts w:hint="eastAsia" w:eastAsia="仿宋_GB2312" w:cs="Times New Roman"/>
                <w:color w:val="auto"/>
                <w:kern w:val="2"/>
                <w:sz w:val="24"/>
                <w:szCs w:val="24"/>
                <w:highlight w:val="none"/>
                <w:lang w:val="en-US" w:eastAsia="zh-CN" w:bidi="ar-SA"/>
              </w:rPr>
              <w:t>0</w:t>
            </w:r>
            <w:r>
              <w:rPr>
                <w:rFonts w:hint="default" w:ascii="Times New Roman" w:hAnsi="Times New Roman" w:eastAsia="仿宋_GB2312" w:cs="Times New Roman"/>
                <w:color w:val="auto"/>
                <w:kern w:val="2"/>
                <w:sz w:val="24"/>
                <w:szCs w:val="24"/>
                <w:highlight w:val="none"/>
                <w:lang w:val="en-US" w:eastAsia="zh-CN" w:bidi="ar-SA"/>
              </w:rPr>
              <w:t>分</w:t>
            </w:r>
          </w:p>
        </w:tc>
      </w:tr>
      <w:tr w14:paraId="0C675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0" w:type="auto"/>
            <w:noWrap w:val="0"/>
            <w:vAlign w:val="center"/>
          </w:tcPr>
          <w:p w14:paraId="23351FFC">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b/>
                <w:bCs/>
                <w:color w:val="auto"/>
                <w:kern w:val="2"/>
                <w:sz w:val="24"/>
                <w:szCs w:val="24"/>
                <w:highlight w:val="none"/>
                <w:lang w:val="en-US" w:eastAsia="zh-CN" w:bidi="ar-SA"/>
              </w:rPr>
            </w:pPr>
            <w:r>
              <w:rPr>
                <w:rFonts w:hint="default" w:ascii="Times New Roman" w:hAnsi="Times New Roman" w:eastAsia="仿宋_GB2312" w:cs="Times New Roman"/>
                <w:b/>
                <w:bCs/>
                <w:color w:val="auto"/>
                <w:kern w:val="2"/>
                <w:sz w:val="24"/>
                <w:szCs w:val="24"/>
                <w:highlight w:val="none"/>
                <w:lang w:val="en-US" w:eastAsia="zh-CN" w:bidi="ar-SA"/>
              </w:rPr>
              <w:t>合计</w:t>
            </w:r>
          </w:p>
        </w:tc>
        <w:tc>
          <w:tcPr>
            <w:tcW w:w="0" w:type="auto"/>
            <w:noWrap w:val="0"/>
            <w:vAlign w:val="center"/>
          </w:tcPr>
          <w:p w14:paraId="4F00059B">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b/>
                <w:bCs/>
                <w:color w:val="auto"/>
                <w:kern w:val="2"/>
                <w:sz w:val="24"/>
                <w:szCs w:val="24"/>
                <w:highlight w:val="none"/>
                <w:lang w:val="en-US" w:eastAsia="zh-CN" w:bidi="ar-SA"/>
              </w:rPr>
            </w:pPr>
          </w:p>
        </w:tc>
        <w:tc>
          <w:tcPr>
            <w:tcW w:w="0" w:type="auto"/>
            <w:gridSpan w:val="2"/>
            <w:noWrap w:val="0"/>
            <w:vAlign w:val="center"/>
          </w:tcPr>
          <w:p w14:paraId="17766F5C">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b/>
                <w:bCs/>
                <w:color w:val="auto"/>
                <w:kern w:val="2"/>
                <w:sz w:val="24"/>
                <w:szCs w:val="24"/>
                <w:highlight w:val="none"/>
                <w:lang w:val="en-US" w:eastAsia="zh-CN" w:bidi="ar-SA"/>
              </w:rPr>
            </w:pPr>
            <w:r>
              <w:rPr>
                <w:rFonts w:hint="default" w:ascii="Times New Roman" w:hAnsi="Times New Roman" w:eastAsia="仿宋_GB2312" w:cs="Times New Roman"/>
                <w:b/>
                <w:bCs/>
                <w:color w:val="auto"/>
                <w:kern w:val="2"/>
                <w:sz w:val="24"/>
                <w:szCs w:val="24"/>
                <w:highlight w:val="none"/>
                <w:lang w:val="en-US" w:eastAsia="zh-CN" w:bidi="ar-SA"/>
              </w:rPr>
              <w:t>100分</w:t>
            </w:r>
          </w:p>
        </w:tc>
        <w:tc>
          <w:tcPr>
            <w:tcW w:w="0" w:type="auto"/>
            <w:noWrap w:val="0"/>
            <w:vAlign w:val="center"/>
          </w:tcPr>
          <w:p w14:paraId="2A4E6B49">
            <w:pPr>
              <w:widowControl/>
              <w:textAlignment w:val="center"/>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kern w:val="2"/>
                <w:sz w:val="24"/>
                <w:szCs w:val="24"/>
                <w:highlight w:val="none"/>
                <w:lang w:val="en-US" w:eastAsia="zh-CN" w:bidi="ar-SA"/>
              </w:rPr>
              <w:t>投标人最终得分取各评委打分算术平均值(保留小数点后两位〕。</w:t>
            </w:r>
          </w:p>
        </w:tc>
        <w:tc>
          <w:tcPr>
            <w:tcW w:w="0" w:type="auto"/>
            <w:noWrap/>
            <w:vAlign w:val="center"/>
          </w:tcPr>
          <w:p w14:paraId="491501BD">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100分</w:t>
            </w:r>
          </w:p>
        </w:tc>
      </w:tr>
    </w:tbl>
    <w:p w14:paraId="5849416F">
      <w:pPr>
        <w:rPr>
          <w:rFonts w:hint="default" w:ascii="Times New Roman" w:hAnsi="Times New Roman" w:eastAsia="仿宋_GB2312" w:cs="Times New Roman"/>
          <w:color w:val="auto"/>
          <w:sz w:val="24"/>
          <w:highlight w:val="none"/>
        </w:rPr>
      </w:pPr>
    </w:p>
    <w:p w14:paraId="58A6A018">
      <w:pPr>
        <w:keepNext w:val="0"/>
        <w:keepLines w:val="0"/>
        <w:pageBreakBefore w:val="0"/>
        <w:widowControl/>
        <w:numPr>
          <w:ilvl w:val="0"/>
          <w:numId w:val="0"/>
        </w:numPr>
        <w:suppressAutoHyphens/>
        <w:kinsoku/>
        <w:wordWrap/>
        <w:overflowPunct/>
        <w:topLinePunct w:val="0"/>
        <w:autoSpaceDE/>
        <w:autoSpaceDN/>
        <w:bidi w:val="0"/>
        <w:adjustRightInd/>
        <w:snapToGrid/>
        <w:spacing w:line="240" w:lineRule="auto"/>
        <w:jc w:val="both"/>
        <w:textAlignment w:val="auto"/>
        <w:rPr>
          <w:rFonts w:hint="default" w:ascii="Times New Roman" w:hAnsi="Times New Roman" w:eastAsia="方正黑体简体" w:cs="Times New Roman"/>
          <w:b w:val="0"/>
          <w:bCs/>
          <w:color w:val="auto"/>
          <w:sz w:val="32"/>
          <w:szCs w:val="32"/>
          <w:highlight w:val="none"/>
          <w:lang w:val="en-US" w:eastAsia="zh-CN"/>
        </w:rPr>
      </w:pPr>
      <w:r>
        <w:rPr>
          <w:rFonts w:hint="default" w:ascii="Times New Roman" w:hAnsi="Times New Roman" w:eastAsia="方正黑体简体" w:cs="Times New Roman"/>
          <w:b w:val="0"/>
          <w:bCs/>
          <w:color w:val="auto"/>
          <w:sz w:val="32"/>
          <w:szCs w:val="32"/>
          <w:highlight w:val="none"/>
          <w:lang w:val="en-US" w:eastAsia="zh-CN"/>
        </w:rPr>
        <w:t>附件：</w:t>
      </w:r>
    </w:p>
    <w:p w14:paraId="28CF0AEC">
      <w:pPr>
        <w:keepNext w:val="0"/>
        <w:keepLines w:val="0"/>
        <w:pageBreakBefore w:val="0"/>
        <w:widowControl/>
        <w:numPr>
          <w:ilvl w:val="0"/>
          <w:numId w:val="0"/>
        </w:numPr>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b/>
          <w:bCs/>
          <w:color w:val="auto"/>
          <w:sz w:val="28"/>
          <w:szCs w:val="28"/>
          <w:highlight w:val="none"/>
        </w:rPr>
        <w:t>财产一切险条款</w:t>
      </w:r>
    </w:p>
    <w:p w14:paraId="52432BCD">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宋体" w:hAnsi="宋体" w:eastAsia="宋体" w:cs="宋体"/>
          <w:b/>
          <w:bCs/>
          <w:color w:val="auto"/>
          <w:sz w:val="21"/>
          <w:szCs w:val="21"/>
          <w:highlight w:val="none"/>
        </w:rPr>
      </w:pPr>
      <w:bookmarkStart w:id="0" w:name="总则"/>
      <w:r>
        <w:rPr>
          <w:rFonts w:hint="eastAsia" w:ascii="宋体" w:hAnsi="宋体" w:eastAsia="宋体" w:cs="宋体"/>
          <w:b/>
          <w:bCs/>
          <w:color w:val="auto"/>
          <w:sz w:val="21"/>
          <w:szCs w:val="21"/>
          <w:highlight w:val="none"/>
        </w:rPr>
        <w:t>总则</w:t>
      </w:r>
      <w:bookmarkEnd w:id="0"/>
    </w:p>
    <w:p w14:paraId="02B92FC5">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 xml:space="preserve">第一条 </w:t>
      </w:r>
      <w:r>
        <w:rPr>
          <w:rFonts w:hint="eastAsia" w:ascii="宋体" w:hAnsi="宋体" w:eastAsia="宋体" w:cs="宋体"/>
          <w:color w:val="auto"/>
          <w:sz w:val="21"/>
          <w:szCs w:val="21"/>
          <w:highlight w:val="none"/>
        </w:rPr>
        <w:t>本保险合同由保险条款、投保单、保险单或其他保险凭证以及批单组成。凡涉及本保险合同的约定，均应采用书面形式。</w:t>
      </w:r>
    </w:p>
    <w:p w14:paraId="619746C5">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第二条</w:t>
      </w:r>
      <w:r>
        <w:rPr>
          <w:rFonts w:hint="eastAsia" w:ascii="宋体" w:hAnsi="宋体" w:eastAsia="宋体" w:cs="宋体"/>
          <w:color w:val="auto"/>
          <w:sz w:val="21"/>
          <w:szCs w:val="21"/>
          <w:highlight w:val="none"/>
        </w:rPr>
        <w:t xml:space="preserve"> 保险标的的所有人、共有人、承租人、使用人及相关政府管理部门，均可以作为本保险合同的投保人或被保险人。</w:t>
      </w:r>
    </w:p>
    <w:p w14:paraId="2AC3A2AA">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保险标的</w:t>
      </w:r>
    </w:p>
    <w:p w14:paraId="6C424226">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第三条</w:t>
      </w:r>
      <w:r>
        <w:rPr>
          <w:rFonts w:hint="eastAsia" w:ascii="宋体" w:hAnsi="宋体" w:eastAsia="宋体" w:cs="宋体"/>
          <w:color w:val="auto"/>
          <w:sz w:val="21"/>
          <w:szCs w:val="21"/>
          <w:highlight w:val="none"/>
        </w:rPr>
        <w:t xml:space="preserve"> 本保险合同载明地址内的下列财产可作为保险标的：</w:t>
      </w:r>
    </w:p>
    <w:p w14:paraId="12F8C580">
      <w:pPr>
        <w:keepNext w:val="0"/>
        <w:keepLines w:val="0"/>
        <w:pageBreakBefore w:val="0"/>
        <w:kinsoku/>
        <w:wordWrap/>
        <w:overflowPunct/>
        <w:topLinePunct w:val="0"/>
        <w:bidi w:val="0"/>
        <w:adjustRightInd/>
        <w:snapToGrid/>
        <w:spacing w:before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（一）属于被保险人所有或与他人共有而由被保险人负责的财产；</w:t>
      </w:r>
    </w:p>
    <w:p w14:paraId="4F0FE1E0">
      <w:pPr>
        <w:keepNext w:val="0"/>
        <w:keepLines w:val="0"/>
        <w:pageBreakBefore w:val="0"/>
        <w:kinsoku/>
        <w:wordWrap/>
        <w:overflowPunct/>
        <w:topLinePunct w:val="0"/>
        <w:bidi w:val="0"/>
        <w:adjustRightInd/>
        <w:snapToGrid/>
        <w:spacing w:before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（二）由被保险人经营管理或替他人保管的财产；</w:t>
      </w:r>
    </w:p>
    <w:p w14:paraId="0A26334B">
      <w:pPr>
        <w:keepNext w:val="0"/>
        <w:keepLines w:val="0"/>
        <w:pageBreakBefore w:val="0"/>
        <w:kinsoku/>
        <w:wordWrap/>
        <w:overflowPunct/>
        <w:topLinePunct w:val="0"/>
        <w:bidi w:val="0"/>
        <w:adjustRightInd/>
        <w:snapToGrid/>
        <w:spacing w:before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（三）其他具有法律上承认的与被保险人有经济利害关系的财产。</w:t>
      </w:r>
    </w:p>
    <w:p w14:paraId="0490E2FA">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第四条 本保险合同载明地址内的下列财产未经保险合同双方特别约定并在保险合同中载明保险价值的，不属于本保险合同的保险标的：</w:t>
      </w:r>
    </w:p>
    <w:p w14:paraId="6B3F32F4">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（一）堤堰、水闸、铁路、道路、涵洞、隧道、桥梁、码头；</w:t>
      </w:r>
    </w:p>
    <w:p w14:paraId="18EE033A">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（二）矿井（坑）内的设备和物资；</w:t>
      </w:r>
    </w:p>
    <w:p w14:paraId="26BBFB41">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（三）便携式通讯装置、便携式计算机设备、便携式照相摄像器材以及其他便携式装置、设备；</w:t>
      </w:r>
    </w:p>
    <w:p w14:paraId="54643731">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（四）尚未交付使用或验收的工程。</w:t>
      </w:r>
    </w:p>
    <w:p w14:paraId="5FF5F6E7">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第五条 下列财产不属于本保险合同的保险标的：</w:t>
      </w:r>
    </w:p>
    <w:p w14:paraId="2F5522F4">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 金银、珠宝、钻石、玉器、首饰、古币、古玩、古书、古画、邮票、字画、艺术品、稀有金属等珍贵财物；</w:t>
      </w:r>
    </w:p>
    <w:p w14:paraId="12D2A52D">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（二）土地、矿藏、水资源及其他自然资源；</w:t>
      </w:r>
    </w:p>
    <w:p w14:paraId="7EE45A9C">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（三）矿井、矿坑；</w:t>
      </w:r>
    </w:p>
    <w:p w14:paraId="6F46E1D7">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（四）货币、票证、有价证券以及有现金价值的磁卡、集成电路（IC）卡等卡类；</w:t>
      </w:r>
    </w:p>
    <w:p w14:paraId="6C98F12F">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（五）文件、账册、图表、技术资料、计算机软件、计算机数据资料等无法鉴定价值的财产；</w:t>
      </w:r>
    </w:p>
    <w:p w14:paraId="68F0B46C">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（六）枪支弹药； </w:t>
      </w:r>
    </w:p>
    <w:p w14:paraId="0469FD2B">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（七）违章建筑、危险建筑、非法占用的财产；</w:t>
      </w:r>
    </w:p>
    <w:p w14:paraId="32BE2502">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（八）领取公共行驶执照的机动车辆；</w:t>
      </w:r>
    </w:p>
    <w:p w14:paraId="3AC2A951">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i/>
          <w:iCs/>
          <w:color w:val="auto"/>
          <w:sz w:val="21"/>
          <w:szCs w:val="21"/>
          <w:highlight w:val="none"/>
        </w:rPr>
      </w:pPr>
      <w:r>
        <w:rPr>
          <w:rFonts w:hint="eastAsia" w:ascii="宋体" w:hAnsi="宋体" w:eastAsia="宋体" w:cs="宋体"/>
          <w:b/>
          <w:color w:val="auto"/>
          <w:sz w:val="21"/>
          <w:szCs w:val="21"/>
          <w:highlight w:val="none"/>
        </w:rPr>
        <w:t>（九）动物、植物、农作物。</w:t>
      </w:r>
    </w:p>
    <w:p w14:paraId="77FE4DB0">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保险责任</w:t>
      </w:r>
    </w:p>
    <w:p w14:paraId="7BF540B6">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第六条</w:t>
      </w:r>
      <w:r>
        <w:rPr>
          <w:rFonts w:hint="eastAsia" w:ascii="宋体" w:hAnsi="宋体" w:eastAsia="宋体" w:cs="宋体"/>
          <w:color w:val="auto"/>
          <w:sz w:val="21"/>
          <w:szCs w:val="21"/>
          <w:highlight w:val="none"/>
        </w:rPr>
        <w:t xml:space="preserve"> 在保险期间内，由于自然灾害或意外事故造成</w:t>
      </w:r>
      <w:r>
        <w:rPr>
          <w:rFonts w:hint="eastAsia" w:ascii="宋体" w:hAnsi="宋体" w:eastAsia="宋体" w:cs="宋体"/>
          <w:bCs/>
          <w:color w:val="auto"/>
          <w:sz w:val="21"/>
          <w:szCs w:val="21"/>
          <w:highlight w:val="none"/>
        </w:rPr>
        <w:t>保险标的直接物质损坏或灭失（以下简称“损失”）</w:t>
      </w:r>
      <w:r>
        <w:rPr>
          <w:rFonts w:hint="eastAsia" w:ascii="宋体" w:hAnsi="宋体" w:eastAsia="宋体" w:cs="宋体"/>
          <w:color w:val="auto"/>
          <w:sz w:val="21"/>
          <w:szCs w:val="21"/>
          <w:highlight w:val="none"/>
        </w:rPr>
        <w:t>，保险人按照本保险合同的约定负责赔偿。</w:t>
      </w:r>
    </w:p>
    <w:p w14:paraId="786FBFFC">
      <w:pPr>
        <w:pStyle w:val="19"/>
        <w:keepNext w:val="0"/>
        <w:keepLines w:val="0"/>
        <w:pageBreakBefore w:val="0"/>
        <w:kinsoku/>
        <w:wordWrap/>
        <w:overflowPunct/>
        <w:topLinePunct w:val="0"/>
        <w:bidi w:val="0"/>
        <w:adjustRightInd/>
        <w:snapToGrid/>
        <w:spacing w:beforeAutospacing="0"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前款原因造成的保险事故发生时，为抢救保险标的或防止灾害蔓延，采取必要的、合理的措施而造成保险标的的损失，保险人按照本保险合同的约定也负责赔偿。</w:t>
      </w:r>
    </w:p>
    <w:p w14:paraId="224114AC">
      <w:pPr>
        <w:pStyle w:val="19"/>
        <w:keepNext w:val="0"/>
        <w:keepLines w:val="0"/>
        <w:pageBreakBefore w:val="0"/>
        <w:kinsoku/>
        <w:wordWrap/>
        <w:overflowPunct/>
        <w:topLinePunct w:val="0"/>
        <w:bidi w:val="0"/>
        <w:adjustRightInd/>
        <w:snapToGrid/>
        <w:spacing w:beforeAutospacing="0" w:line="360" w:lineRule="auto"/>
        <w:ind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 xml:space="preserve">第七条 </w:t>
      </w:r>
      <w:r>
        <w:rPr>
          <w:rFonts w:hint="eastAsia" w:ascii="宋体" w:hAnsi="宋体" w:eastAsia="宋体" w:cs="宋体"/>
          <w:b w:val="0"/>
          <w:color w:val="auto"/>
          <w:sz w:val="21"/>
          <w:szCs w:val="21"/>
          <w:highlight w:val="none"/>
        </w:rPr>
        <w:t>保险事故发生后，被保险人为防止或减少保险标的的损失所支付的必要的、合理的费用，保险人按照本保险合同的约定也负责赔偿。</w:t>
      </w:r>
    </w:p>
    <w:p w14:paraId="0967260A">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责任免除</w:t>
      </w:r>
    </w:p>
    <w:p w14:paraId="0B5659E8">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第八条</w:t>
      </w:r>
      <w:r>
        <w:rPr>
          <w:rFonts w:hint="eastAsia" w:ascii="宋体" w:hAnsi="宋体" w:eastAsia="宋体" w:cs="宋体"/>
          <w:color w:val="auto"/>
          <w:sz w:val="21"/>
          <w:szCs w:val="21"/>
          <w:highlight w:val="none"/>
        </w:rPr>
        <w:t xml:space="preserve"> </w:t>
      </w:r>
      <w:r>
        <w:rPr>
          <w:rFonts w:hint="eastAsia" w:ascii="宋体" w:hAnsi="宋体" w:eastAsia="宋体" w:cs="宋体"/>
          <w:b/>
          <w:color w:val="auto"/>
          <w:sz w:val="21"/>
          <w:szCs w:val="21"/>
          <w:highlight w:val="none"/>
        </w:rPr>
        <w:t>下列</w:t>
      </w:r>
      <w:r>
        <w:rPr>
          <w:rFonts w:hint="eastAsia" w:ascii="宋体" w:hAnsi="宋体" w:cs="宋体"/>
          <w:b/>
          <w:color w:val="auto"/>
          <w:sz w:val="21"/>
          <w:szCs w:val="21"/>
          <w:highlight w:val="none"/>
          <w:lang w:val="en-US" w:eastAsia="zh-CN"/>
        </w:rPr>
        <w:t>任何</w:t>
      </w:r>
      <w:r>
        <w:rPr>
          <w:rFonts w:hint="eastAsia" w:ascii="宋体" w:hAnsi="宋体" w:eastAsia="宋体" w:cs="宋体"/>
          <w:b/>
          <w:color w:val="auto"/>
          <w:sz w:val="21"/>
          <w:szCs w:val="21"/>
          <w:highlight w:val="none"/>
        </w:rPr>
        <w:t>原因造成的损失、费用，保险人不负责赔偿：</w:t>
      </w:r>
    </w:p>
    <w:p w14:paraId="0097C1AC">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（一）投保人、被保险人及其代表的故意、重大过失或犯罪行为；</w:t>
      </w:r>
    </w:p>
    <w:p w14:paraId="7C4B2EC4">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（二）行政行为或司法行为； </w:t>
      </w:r>
    </w:p>
    <w:p w14:paraId="380D4D1C">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（三）战争、类似战争行为、敌对行动、军事行动、武装冲突、罢工、骚乱、暴动、政变、谋反、恐怖活动； </w:t>
      </w:r>
    </w:p>
    <w:p w14:paraId="6611D01B">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（四）地震、海啸及其次生灾害；</w:t>
      </w:r>
    </w:p>
    <w:p w14:paraId="4E6B3655">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（五）核辐射、核爆炸、核污染及其他放射性污染；</w:t>
      </w:r>
    </w:p>
    <w:p w14:paraId="4CCDCA82">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（六）大气污染、土地污染、水污染及其他非放射性污染，但因保险事故造成的非放射性污染不在此限；</w:t>
      </w:r>
    </w:p>
    <w:p w14:paraId="16B25D1C">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（七）保险标的的内在或潜在缺陷、自然磨损、自然损耗，大气（气候或气温）变化、正常水位变化或其他渐变原因，物质本身变化、霉烂、受潮、鼠咬、虫蛀、鸟啄、氧化、锈蚀、渗漏、烘焙；</w:t>
      </w:r>
    </w:p>
    <w:p w14:paraId="09A70179">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（八）盗窃、抢劫。</w:t>
      </w:r>
    </w:p>
    <w:p w14:paraId="61E482EC">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第九条 下列</w:t>
      </w:r>
      <w:r>
        <w:rPr>
          <w:rFonts w:hint="eastAsia" w:ascii="宋体" w:hAnsi="宋体" w:cs="宋体"/>
          <w:b/>
          <w:color w:val="auto"/>
          <w:sz w:val="21"/>
          <w:szCs w:val="21"/>
          <w:highlight w:val="none"/>
          <w:lang w:val="en-US" w:eastAsia="zh-CN"/>
        </w:rPr>
        <w:t>任何</w:t>
      </w:r>
      <w:r>
        <w:rPr>
          <w:rFonts w:hint="eastAsia" w:ascii="宋体" w:hAnsi="宋体" w:eastAsia="宋体" w:cs="宋体"/>
          <w:b/>
          <w:color w:val="auto"/>
          <w:sz w:val="21"/>
          <w:szCs w:val="21"/>
          <w:highlight w:val="none"/>
        </w:rPr>
        <w:t>损失、费用，保险人也不负责赔偿：</w:t>
      </w:r>
    </w:p>
    <w:p w14:paraId="0B946011">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（一）保险标的遭受保险事故引起的间接损失；</w:t>
      </w:r>
    </w:p>
    <w:p w14:paraId="267F066F">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（二）设计错误、原材料缺陷或工艺不善造成保险标的本身的损失；</w:t>
      </w:r>
    </w:p>
    <w:p w14:paraId="7F4DF5ED">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广告牌、天线、霓虹灯、太阳能装置等建筑物外部附属设施，存放于露天或简易建筑物内的保险标的以及简易建筑，由于雷电、暴雨、洪水、暴风、龙卷风、冰雹、台风、飓风、暴雪、冰凌、沙尘暴造成的损失；</w:t>
      </w:r>
    </w:p>
    <w:p w14:paraId="206177F6">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（四）锅炉及压力容器爆炸造成其本身的损失；</w:t>
      </w:r>
    </w:p>
    <w:p w14:paraId="4C781C46">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（五）非外力造成机械或电气设备本身的损失；</w:t>
      </w:r>
    </w:p>
    <w:p w14:paraId="5908EFEB">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（六）被保险人及其雇员的操作不当、技术缺陷造成被操作的机械或电气设备的损失；</w:t>
      </w:r>
    </w:p>
    <w:p w14:paraId="2CEC5FA6">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（七）盘点时发现的短缺；</w:t>
      </w:r>
    </w:p>
    <w:p w14:paraId="135449A6">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（八）供电、供水、供气及其他能源供应中断造成的损失和费用；</w:t>
      </w:r>
    </w:p>
    <w:p w14:paraId="53FFE57E">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（九）保险标的遭受保险事故后，在修复或替换过程中，被保险人进行的变更、性能增加或改进所产生的额外费用；</w:t>
      </w:r>
    </w:p>
    <w:p w14:paraId="2564F7E9">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（十）网络安全事故造成的损失和费用。但是，网络安全事故导致火灾、爆炸或喷淋设备泄漏所造成保险标的物质灭失或损坏，在本保险</w:t>
      </w:r>
      <w:r>
        <w:rPr>
          <w:rFonts w:hint="eastAsia" w:ascii="宋体" w:hAnsi="宋体" w:cs="宋体"/>
          <w:b/>
          <w:color w:val="auto"/>
          <w:sz w:val="21"/>
          <w:szCs w:val="21"/>
          <w:highlight w:val="none"/>
          <w:lang w:val="en-US" w:eastAsia="zh-CN"/>
        </w:rPr>
        <w:t>合同</w:t>
      </w:r>
      <w:r>
        <w:rPr>
          <w:rFonts w:hint="eastAsia" w:ascii="宋体" w:hAnsi="宋体" w:eastAsia="宋体" w:cs="宋体"/>
          <w:b/>
          <w:color w:val="auto"/>
          <w:sz w:val="21"/>
          <w:szCs w:val="21"/>
          <w:highlight w:val="none"/>
        </w:rPr>
        <w:t>下，将不被视为网络安全事件造成的损失。</w:t>
      </w:r>
    </w:p>
    <w:p w14:paraId="1BBFBF2A">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（十一）本保险合同中载明的免赔额或按本保险合同中载明的免赔率计算的免赔额。</w:t>
      </w:r>
    </w:p>
    <w:p w14:paraId="1E762F68">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保险价值、保险金额与免赔额（率）</w:t>
      </w:r>
    </w:p>
    <w:p w14:paraId="0CABB60F">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 xml:space="preserve">第十条 </w:t>
      </w:r>
      <w:r>
        <w:rPr>
          <w:rFonts w:hint="eastAsia" w:ascii="宋体" w:hAnsi="宋体" w:eastAsia="宋体" w:cs="宋体"/>
          <w:bCs/>
          <w:color w:val="auto"/>
          <w:sz w:val="21"/>
          <w:szCs w:val="21"/>
          <w:highlight w:val="none"/>
        </w:rPr>
        <w:t>保险标的的保险价值确定方式可以为出险时的重置价值、出险时的账面余额、出险时的市场价值或其他价值，由投保人与保险人协商确定，并在本保险合同中载明。</w:t>
      </w:r>
    </w:p>
    <w:p w14:paraId="398A616C">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第十一条</w:t>
      </w:r>
      <w:r>
        <w:rPr>
          <w:rFonts w:hint="eastAsia" w:ascii="宋体" w:hAnsi="宋体" w:eastAsia="宋体" w:cs="宋体"/>
          <w:color w:val="auto"/>
          <w:sz w:val="21"/>
          <w:szCs w:val="21"/>
          <w:highlight w:val="none"/>
        </w:rPr>
        <w:t xml:space="preserve"> 保险金额由投保人参照保险价值自行确定，并在保险合同中载明。</w:t>
      </w:r>
    </w:p>
    <w:p w14:paraId="710E6398">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第十二</w:t>
      </w:r>
      <w:r>
        <w:rPr>
          <w:rFonts w:hint="eastAsia" w:ascii="宋体" w:hAnsi="宋体" w:eastAsia="宋体" w:cs="宋体"/>
          <w:b/>
          <w:color w:val="auto"/>
          <w:sz w:val="21"/>
          <w:szCs w:val="21"/>
          <w:highlight w:val="none"/>
        </w:rPr>
        <w:t>条</w:t>
      </w:r>
      <w:r>
        <w:rPr>
          <w:rFonts w:hint="eastAsia" w:ascii="宋体" w:hAnsi="宋体" w:eastAsia="宋体" w:cs="宋体"/>
          <w:color w:val="auto"/>
          <w:sz w:val="21"/>
          <w:szCs w:val="21"/>
          <w:highlight w:val="none"/>
        </w:rPr>
        <w:t xml:space="preserve"> </w:t>
      </w:r>
      <w:r>
        <w:rPr>
          <w:rFonts w:hint="eastAsia" w:ascii="宋体" w:hAnsi="宋体" w:eastAsia="宋体" w:cs="宋体"/>
          <w:b/>
          <w:color w:val="auto"/>
          <w:sz w:val="21"/>
          <w:szCs w:val="21"/>
          <w:highlight w:val="none"/>
        </w:rPr>
        <w:t>免赔额（率）由投保人与保险人在订立保险合同时协商确定，并在保险合同中载明。</w:t>
      </w:r>
    </w:p>
    <w:p w14:paraId="61AD4A54">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保险期间</w:t>
      </w:r>
    </w:p>
    <w:p w14:paraId="51FB6716">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第十三条 </w:t>
      </w:r>
      <w:r>
        <w:rPr>
          <w:rFonts w:hint="eastAsia" w:ascii="宋体" w:hAnsi="宋体" w:eastAsia="宋体" w:cs="宋体"/>
          <w:color w:val="auto"/>
          <w:sz w:val="21"/>
          <w:szCs w:val="21"/>
          <w:highlight w:val="none"/>
        </w:rPr>
        <w:t>除另有约定外，保险期间为一年，</w:t>
      </w:r>
      <w:r>
        <w:rPr>
          <w:rFonts w:hint="eastAsia" w:ascii="宋体" w:hAnsi="宋体" w:cs="宋体"/>
          <w:color w:val="auto"/>
          <w:sz w:val="21"/>
          <w:szCs w:val="21"/>
          <w:highlight w:val="none"/>
          <w:lang w:val="en-US" w:eastAsia="zh-CN"/>
        </w:rPr>
        <w:t>具体</w:t>
      </w:r>
      <w:r>
        <w:rPr>
          <w:rFonts w:hint="eastAsia" w:ascii="宋体" w:hAnsi="宋体" w:eastAsia="宋体" w:cs="宋体"/>
          <w:color w:val="auto"/>
          <w:sz w:val="21"/>
          <w:szCs w:val="21"/>
          <w:highlight w:val="none"/>
        </w:rPr>
        <w:t>起讫时间</w:t>
      </w:r>
      <w:r>
        <w:rPr>
          <w:rFonts w:hint="eastAsia" w:ascii="宋体" w:hAnsi="宋体" w:cs="宋体"/>
          <w:color w:val="auto"/>
          <w:sz w:val="21"/>
          <w:szCs w:val="21"/>
          <w:highlight w:val="none"/>
          <w:lang w:val="en-US" w:eastAsia="zh-CN"/>
        </w:rPr>
        <w:t>以</w:t>
      </w:r>
      <w:r>
        <w:rPr>
          <w:rFonts w:hint="eastAsia" w:ascii="宋体" w:hAnsi="宋体" w:eastAsia="宋体" w:cs="宋体"/>
          <w:color w:val="auto"/>
          <w:sz w:val="21"/>
          <w:szCs w:val="21"/>
          <w:highlight w:val="none"/>
        </w:rPr>
        <w:t>保险单载明的为准。</w:t>
      </w:r>
    </w:p>
    <w:p w14:paraId="505224C9">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保险人义务</w:t>
      </w:r>
    </w:p>
    <w:p w14:paraId="1F865C6F">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 xml:space="preserve">第十四条 </w:t>
      </w:r>
      <w:r>
        <w:rPr>
          <w:rFonts w:hint="eastAsia" w:ascii="宋体" w:hAnsi="宋体" w:eastAsia="宋体" w:cs="宋体"/>
          <w:color w:val="auto"/>
          <w:sz w:val="21"/>
          <w:szCs w:val="21"/>
          <w:highlight w:val="none"/>
        </w:rPr>
        <w:t>订立保险合同时，采用保险人提供的格式条款的，保险人向投保人提供的投保单应当附格式条款，保险人应当向投保人说明保险合同的内容。对保险合同中免除保险人责任的条款，保险人在订立合同时应当在投保单、保险单或者其他保险凭证上作出足以引起投保人注意的提示，并对该条款的内容以书面或者口头形式向投保人作出明确说明；未作提示或者明确说明的，该条款不产生效力。</w:t>
      </w:r>
    </w:p>
    <w:p w14:paraId="13733543">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 xml:space="preserve">第十五条 </w:t>
      </w:r>
      <w:r>
        <w:rPr>
          <w:rFonts w:hint="eastAsia" w:ascii="宋体" w:hAnsi="宋体" w:eastAsia="宋体" w:cs="宋体"/>
          <w:color w:val="auto"/>
          <w:sz w:val="21"/>
          <w:szCs w:val="21"/>
          <w:highlight w:val="none"/>
        </w:rPr>
        <w:t>本保险合同成立后，保险人应当及时向投保人签发保险单或其他保险凭证。</w:t>
      </w:r>
    </w:p>
    <w:p w14:paraId="085DD9EB">
      <w:pPr>
        <w:keepNext w:val="0"/>
        <w:keepLines w:val="0"/>
        <w:pageBreakBefore w:val="0"/>
        <w:kinsoku/>
        <w:wordWrap/>
        <w:overflowPunct/>
        <w:topLinePunct w:val="0"/>
        <w:bidi w:val="0"/>
        <w:adjustRightInd/>
        <w:snapToGrid/>
        <w:spacing w:beforeAutospacing="0" w:line="360" w:lineRule="auto"/>
        <w:ind w:firstLine="422" w:firstLineChars="200"/>
        <w:textAlignment w:val="auto"/>
        <w:rPr>
          <w:rStyle w:val="59"/>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 xml:space="preserve">第十六条 </w:t>
      </w:r>
      <w:r>
        <w:rPr>
          <w:rFonts w:hint="eastAsia" w:ascii="宋体" w:hAnsi="宋体" w:eastAsia="宋体" w:cs="宋体"/>
          <w:color w:val="auto"/>
          <w:sz w:val="21"/>
          <w:szCs w:val="21"/>
          <w:highlight w:val="none"/>
        </w:rPr>
        <w:t>保险人依据第二十条所取得的保险合同解除权，</w:t>
      </w:r>
      <w:r>
        <w:rPr>
          <w:rStyle w:val="59"/>
          <w:rFonts w:hint="eastAsia" w:ascii="宋体" w:hAnsi="宋体" w:eastAsia="宋体" w:cs="宋体"/>
          <w:color w:val="auto"/>
          <w:sz w:val="21"/>
          <w:szCs w:val="21"/>
          <w:highlight w:val="none"/>
        </w:rPr>
        <w:t>自保险人知道有解除事由之日起，超过三十日不行使而消灭。自保险合同成立之日起超过二年的，保险人不得解除合同；发生保险事故的，保险人承担赔偿责任。</w:t>
      </w:r>
    </w:p>
    <w:p w14:paraId="68D0F00E">
      <w:pPr>
        <w:keepNext w:val="0"/>
        <w:keepLines w:val="0"/>
        <w:pageBreakBefore w:val="0"/>
        <w:kinsoku/>
        <w:wordWrap/>
        <w:overflowPunct/>
        <w:topLinePunct w:val="0"/>
        <w:bidi w:val="0"/>
        <w:adjustRightInd/>
        <w:snapToGrid/>
        <w:spacing w:beforeAutospacing="0" w:line="360" w:lineRule="auto"/>
        <w:ind w:firstLine="420" w:firstLineChars="200"/>
        <w:textAlignment w:val="auto"/>
        <w:rPr>
          <w:rFonts w:hint="eastAsia" w:ascii="宋体" w:hAnsi="宋体" w:eastAsia="宋体" w:cs="宋体"/>
          <w:color w:val="auto"/>
          <w:sz w:val="21"/>
          <w:szCs w:val="21"/>
          <w:highlight w:val="none"/>
        </w:rPr>
      </w:pPr>
      <w:r>
        <w:rPr>
          <w:rStyle w:val="59"/>
          <w:rFonts w:hint="eastAsia" w:ascii="宋体" w:hAnsi="宋体" w:eastAsia="宋体" w:cs="宋体"/>
          <w:color w:val="auto"/>
          <w:sz w:val="21"/>
          <w:szCs w:val="21"/>
          <w:highlight w:val="none"/>
        </w:rPr>
        <w:t>保险人在合同订立时已经知道投保人未如实告知的情况的，保险人不得解除合同；发生保险事故的，保险人应当承担赔偿责任。</w:t>
      </w:r>
    </w:p>
    <w:p w14:paraId="452B6E69">
      <w:pPr>
        <w:keepNext w:val="0"/>
        <w:keepLines w:val="0"/>
        <w:pageBreakBefore w:val="0"/>
        <w:kinsoku/>
        <w:wordWrap/>
        <w:overflowPunct/>
        <w:topLinePunct w:val="0"/>
        <w:bidi w:val="0"/>
        <w:adjustRightInd/>
        <w:snapToGrid/>
        <w:spacing w:beforeAutospacing="0" w:line="360" w:lineRule="auto"/>
        <w:ind w:firstLine="422" w:firstLineChars="200"/>
        <w:textAlignment w:val="auto"/>
        <w:rPr>
          <w:rStyle w:val="59"/>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 xml:space="preserve">第十七条 </w:t>
      </w:r>
      <w:r>
        <w:rPr>
          <w:rStyle w:val="59"/>
          <w:rFonts w:hint="eastAsia" w:ascii="宋体" w:hAnsi="宋体" w:eastAsia="宋体" w:cs="宋体"/>
          <w:color w:val="auto"/>
          <w:sz w:val="21"/>
          <w:szCs w:val="21"/>
          <w:highlight w:val="none"/>
        </w:rPr>
        <w:t>保险人按照第二十六条的约定，认为</w:t>
      </w:r>
      <w:r>
        <w:rPr>
          <w:rStyle w:val="59"/>
          <w:rFonts w:hint="eastAsia" w:ascii="宋体" w:hAnsi="宋体" w:cs="宋体"/>
          <w:color w:val="auto"/>
          <w:sz w:val="21"/>
          <w:szCs w:val="21"/>
          <w:highlight w:val="none"/>
          <w:lang w:val="en-US" w:eastAsia="zh-CN"/>
        </w:rPr>
        <w:t>投保人、</w:t>
      </w:r>
      <w:r>
        <w:rPr>
          <w:rStyle w:val="59"/>
          <w:rFonts w:hint="eastAsia" w:ascii="宋体" w:hAnsi="宋体" w:eastAsia="宋体" w:cs="宋体"/>
          <w:color w:val="auto"/>
          <w:sz w:val="21"/>
          <w:szCs w:val="21"/>
          <w:highlight w:val="none"/>
        </w:rPr>
        <w:t>被保险人提供的有关索赔的证明和资料不完整的，应当及时一次性通知投保人、被保险人补充提供。</w:t>
      </w:r>
    </w:p>
    <w:p w14:paraId="218BE2DC">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 xml:space="preserve">第十八条 </w:t>
      </w:r>
      <w:r>
        <w:rPr>
          <w:rFonts w:hint="eastAsia" w:ascii="宋体" w:hAnsi="宋体" w:eastAsia="宋体" w:cs="宋体"/>
          <w:color w:val="auto"/>
          <w:sz w:val="21"/>
          <w:szCs w:val="21"/>
          <w:highlight w:val="none"/>
        </w:rPr>
        <w:t>保险人收到被保险人的赔偿保险金的请求后，应当及时作出是否属于保险责任的核定；情形复杂的，应当在三十日内作出核定，但保险合同另有约定的除外。</w:t>
      </w:r>
    </w:p>
    <w:p w14:paraId="5D88E8D4">
      <w:pPr>
        <w:keepNext w:val="0"/>
        <w:keepLines w:val="0"/>
        <w:pageBreakBefore w:val="0"/>
        <w:kinsoku/>
        <w:wordWrap/>
        <w:overflowPunct/>
        <w:topLinePunct w:val="0"/>
        <w:bidi w:val="0"/>
        <w:adjustRightInd/>
        <w:snapToGrid/>
        <w:spacing w:beforeAutospacing="0" w:line="360" w:lineRule="auto"/>
        <w:ind w:firstLine="420" w:firstLineChars="200"/>
        <w:textAlignment w:val="auto"/>
        <w:rPr>
          <w:rStyle w:val="59"/>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保险人应当将核定结果通知被保险人；对属于保险责任的，在与被保险人达成赔偿保险金的协议后十日内，履行赔偿保险金义务。保险合同对赔偿保险金的期限</w:t>
      </w:r>
      <w:r>
        <w:rPr>
          <w:rFonts w:hint="eastAsia" w:ascii="宋体" w:hAnsi="宋体" w:cs="宋体"/>
          <w:color w:val="auto"/>
          <w:sz w:val="21"/>
          <w:szCs w:val="21"/>
          <w:highlight w:val="none"/>
          <w:lang w:val="en-US" w:eastAsia="zh-CN"/>
        </w:rPr>
        <w:t>另</w:t>
      </w:r>
      <w:r>
        <w:rPr>
          <w:rFonts w:hint="eastAsia" w:ascii="宋体" w:hAnsi="宋体" w:eastAsia="宋体" w:cs="宋体"/>
          <w:color w:val="auto"/>
          <w:sz w:val="21"/>
          <w:szCs w:val="21"/>
          <w:highlight w:val="none"/>
        </w:rPr>
        <w:t>有约定的，保险人应当按照约定履行赔偿保险金的义务。保险人依照前款约定作出核定后，</w:t>
      </w:r>
      <w:r>
        <w:rPr>
          <w:rStyle w:val="59"/>
          <w:rFonts w:hint="eastAsia" w:ascii="宋体" w:hAnsi="宋体" w:eastAsia="宋体" w:cs="宋体"/>
          <w:color w:val="auto"/>
          <w:sz w:val="21"/>
          <w:szCs w:val="21"/>
          <w:highlight w:val="none"/>
        </w:rPr>
        <w:t>对不属于保险责任的，应当自作出核定之日起三日内向被保险人发出拒绝赔偿保险金通知书，并说明理由</w:t>
      </w:r>
      <w:r>
        <w:rPr>
          <w:rFonts w:hint="eastAsia" w:ascii="宋体" w:hAnsi="宋体" w:eastAsia="宋体" w:cs="宋体"/>
          <w:color w:val="auto"/>
          <w:sz w:val="21"/>
          <w:szCs w:val="21"/>
          <w:highlight w:val="none"/>
        </w:rPr>
        <w:t>。</w:t>
      </w:r>
    </w:p>
    <w:p w14:paraId="4F430F89">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i/>
          <w:iCs/>
          <w:color w:val="auto"/>
          <w:sz w:val="21"/>
          <w:szCs w:val="21"/>
          <w:highlight w:val="none"/>
        </w:rPr>
      </w:pPr>
      <w:r>
        <w:rPr>
          <w:rFonts w:hint="eastAsia" w:ascii="宋体" w:hAnsi="宋体" w:eastAsia="宋体" w:cs="宋体"/>
          <w:b/>
          <w:bCs/>
          <w:color w:val="auto"/>
          <w:sz w:val="21"/>
          <w:szCs w:val="21"/>
          <w:highlight w:val="none"/>
        </w:rPr>
        <w:t xml:space="preserve">第十九条 </w:t>
      </w:r>
      <w:r>
        <w:rPr>
          <w:rStyle w:val="59"/>
          <w:rFonts w:hint="eastAsia" w:ascii="宋体" w:hAnsi="宋体" w:eastAsia="宋体" w:cs="宋体"/>
          <w:color w:val="auto"/>
          <w:sz w:val="21"/>
          <w:szCs w:val="21"/>
          <w:highlight w:val="none"/>
        </w:rPr>
        <w:t>保险人自收到赔偿的请求和有关证明、资料之日起六十日内，对其赔偿保险金的数额不能确定的，应当根据已有证明和资料可以确定的数额先予支付；保险人最终确定赔偿的数额后，应当支付相应的差额。</w:t>
      </w:r>
      <w:r>
        <w:rPr>
          <w:rStyle w:val="38"/>
          <w:rFonts w:hint="eastAsia" w:ascii="宋体" w:hAnsi="宋体" w:eastAsia="宋体" w:cs="宋体"/>
          <w:color w:val="auto"/>
          <w:sz w:val="21"/>
          <w:szCs w:val="21"/>
          <w:highlight w:val="none"/>
        </w:rPr>
        <w:t> </w:t>
      </w:r>
    </w:p>
    <w:p w14:paraId="11977F0D">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投保人、被保险人义务</w:t>
      </w:r>
    </w:p>
    <w:p w14:paraId="63F0A55B">
      <w:pPr>
        <w:pStyle w:val="12"/>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第二十条</w:t>
      </w:r>
      <w:r>
        <w:rPr>
          <w:rFonts w:hint="eastAsia" w:ascii="宋体" w:hAnsi="宋体" w:eastAsia="宋体" w:cs="宋体"/>
          <w:color w:val="auto"/>
          <w:sz w:val="21"/>
          <w:szCs w:val="21"/>
          <w:highlight w:val="none"/>
        </w:rPr>
        <w:t xml:space="preserve"> 投保人应履行如实告知义务，如实回答保险人就保险标的或被保险人的有关情况提出的询问，并如实填写投保单。</w:t>
      </w:r>
    </w:p>
    <w:p w14:paraId="49F88C02">
      <w:pPr>
        <w:pStyle w:val="10"/>
        <w:keepNext w:val="0"/>
        <w:keepLines w:val="0"/>
        <w:pageBreakBefore w:val="0"/>
        <w:kinsoku/>
        <w:wordWrap/>
        <w:overflowPunct/>
        <w:topLinePunct w:val="0"/>
        <w:bidi w:val="0"/>
        <w:adjustRightInd/>
        <w:snapToGrid/>
        <w:spacing w:beforeAutospacing="0" w:line="360" w:lineRule="auto"/>
        <w:ind w:firstLine="643"/>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投保人故意或者因重大过失未履行前款规定的如实告知义务，足以影响保险人决定是否同意承保或者提高保险费率的，保险人有权解除合同。</w:t>
      </w:r>
    </w:p>
    <w:p w14:paraId="70847C13">
      <w:pPr>
        <w:pStyle w:val="10"/>
        <w:keepNext w:val="0"/>
        <w:keepLines w:val="0"/>
        <w:pageBreakBefore w:val="0"/>
        <w:kinsoku/>
        <w:wordWrap/>
        <w:overflowPunct/>
        <w:topLinePunct w:val="0"/>
        <w:bidi w:val="0"/>
        <w:adjustRightInd/>
        <w:snapToGrid/>
        <w:spacing w:beforeAutospacing="0" w:line="360" w:lineRule="auto"/>
        <w:ind w:firstLine="643"/>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投保人故意不履行如实告知义务的，保险人对于合同解除前发生的保险事故，不承担赔偿责任，并不退还保险费。</w:t>
      </w:r>
    </w:p>
    <w:p w14:paraId="7E20538E">
      <w:pPr>
        <w:pStyle w:val="10"/>
        <w:keepNext w:val="0"/>
        <w:keepLines w:val="0"/>
        <w:pageBreakBefore w:val="0"/>
        <w:kinsoku/>
        <w:wordWrap/>
        <w:overflowPunct/>
        <w:topLinePunct w:val="0"/>
        <w:bidi w:val="0"/>
        <w:adjustRightInd/>
        <w:snapToGrid/>
        <w:spacing w:beforeAutospacing="0" w:line="360" w:lineRule="auto"/>
        <w:ind w:firstLine="643"/>
        <w:textAlignment w:val="auto"/>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投保人因重大过失未履行如实告知义务，对保险事故的发生有严重影响的，保险人对于合同解除前发生的保险事故，不承担赔偿责任，</w:t>
      </w:r>
      <w:r>
        <w:rPr>
          <w:rFonts w:hint="eastAsia" w:ascii="宋体" w:hAnsi="宋体" w:eastAsia="宋体" w:cs="宋体"/>
          <w:b/>
          <w:bCs/>
          <w:color w:val="auto"/>
          <w:sz w:val="21"/>
          <w:szCs w:val="21"/>
          <w:highlight w:val="none"/>
        </w:rPr>
        <w:t>但应当退还保险费。</w:t>
      </w:r>
    </w:p>
    <w:p w14:paraId="2AC1AD9B">
      <w:pPr>
        <w:pStyle w:val="12"/>
        <w:keepNext w:val="0"/>
        <w:keepLines w:val="0"/>
        <w:pageBreakBefore w:val="0"/>
        <w:widowControl w:val="0"/>
        <w:kinsoku/>
        <w:wordWrap/>
        <w:overflowPunct/>
        <w:topLinePunct w:val="0"/>
        <w:bidi w:val="0"/>
        <w:adjustRightInd/>
        <w:snapToGrid/>
        <w:spacing w:line="360" w:lineRule="auto"/>
        <w:ind w:firstLine="422" w:firstLineChars="200"/>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color w:val="auto"/>
          <w:sz w:val="21"/>
          <w:szCs w:val="21"/>
          <w:highlight w:val="none"/>
        </w:rPr>
        <w:t xml:space="preserve">第二十一条 </w:t>
      </w:r>
      <w:r>
        <w:rPr>
          <w:rFonts w:hint="eastAsia" w:ascii="宋体" w:hAnsi="宋体" w:eastAsia="宋体" w:cs="宋体"/>
          <w:b w:val="0"/>
          <w:bCs w:val="0"/>
          <w:color w:val="auto"/>
          <w:sz w:val="21"/>
          <w:szCs w:val="21"/>
          <w:highlight w:val="none"/>
        </w:rPr>
        <w:t>除另有约定外</w:t>
      </w:r>
      <w:r>
        <w:rPr>
          <w:rFonts w:hint="eastAsia" w:ascii="宋体" w:hAnsi="宋体" w:eastAsia="宋体" w:cs="宋体"/>
          <w:bCs/>
          <w:color w:val="auto"/>
          <w:sz w:val="21"/>
          <w:szCs w:val="21"/>
          <w:highlight w:val="none"/>
        </w:rPr>
        <w:t>，投保人应在保险合同成立时一次交清保险费。采用分期支付保险费的，投保人应按照本保险合同的约定，按时支付保险费。</w:t>
      </w:r>
    </w:p>
    <w:p w14:paraId="4314334D">
      <w:pPr>
        <w:pStyle w:val="10"/>
        <w:keepNext w:val="0"/>
        <w:keepLines w:val="0"/>
        <w:pageBreakBefore w:val="0"/>
        <w:kinsoku/>
        <w:wordWrap/>
        <w:overflowPunct/>
        <w:topLinePunct w:val="0"/>
        <w:bidi w:val="0"/>
        <w:adjustRightInd/>
        <w:snapToGrid/>
        <w:spacing w:beforeAutospacing="0" w:line="360" w:lineRule="auto"/>
        <w:ind w:firstLine="643"/>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第二十二条</w:t>
      </w:r>
      <w:r>
        <w:rPr>
          <w:rFonts w:hint="eastAsia" w:ascii="宋体" w:hAnsi="宋体" w:eastAsia="宋体" w:cs="宋体"/>
          <w:color w:val="auto"/>
          <w:sz w:val="21"/>
          <w:szCs w:val="21"/>
          <w:highlight w:val="none"/>
        </w:rPr>
        <w:t xml:space="preserve"> 被保险人应当遵守国家有关消防、安全、生产操作、劳动保护等方面的相关法律、法规及规定，加强管理，采取合理的预防措施，尽力避免或减少责任事故的发生，维护保险标的的安全。</w:t>
      </w:r>
    </w:p>
    <w:p w14:paraId="65E2CB47">
      <w:pPr>
        <w:keepNext w:val="0"/>
        <w:keepLines w:val="0"/>
        <w:pageBreakBefore w:val="0"/>
        <w:kinsoku/>
        <w:wordWrap/>
        <w:overflowPunct/>
        <w:topLinePunct w:val="0"/>
        <w:bidi w:val="0"/>
        <w:adjustRightInd/>
        <w:snapToGrid/>
        <w:spacing w:before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保险人可以对被保险人遵守前款约定的情况进行检查，向投保人、被保险人提出消除不安全因素和隐患的书面建议，投保人、被保险人应该认真付诸实施。</w:t>
      </w:r>
    </w:p>
    <w:p w14:paraId="5CCE59F2">
      <w:pPr>
        <w:pStyle w:val="12"/>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投保人、被保险人未按照约定履行其对保险标的的安全应尽责任的，保险人有权要求增加保险费或者解除合同。</w:t>
      </w:r>
    </w:p>
    <w:p w14:paraId="0C63890F">
      <w:pPr>
        <w:pStyle w:val="12"/>
        <w:keepNext w:val="0"/>
        <w:keepLines w:val="0"/>
        <w:pageBreakBefore w:val="0"/>
        <w:kinsoku/>
        <w:wordWrap/>
        <w:overflowPunct/>
        <w:topLinePunct w:val="0"/>
        <w:bidi w:val="0"/>
        <w:adjustRightInd/>
        <w:snapToGrid/>
        <w:spacing w:beforeAutospacing="0" w:line="360" w:lineRule="auto"/>
        <w:ind w:firstLine="422" w:firstLineChars="200"/>
        <w:textAlignment w:val="auto"/>
        <w:rPr>
          <w:rStyle w:val="59"/>
          <w:rFonts w:hint="eastAsia" w:ascii="宋体" w:hAnsi="宋体" w:eastAsia="宋体" w:cs="宋体"/>
          <w:bCs/>
          <w:color w:val="auto"/>
          <w:sz w:val="21"/>
          <w:szCs w:val="21"/>
          <w:highlight w:val="none"/>
        </w:rPr>
      </w:pPr>
      <w:r>
        <w:rPr>
          <w:rFonts w:hint="eastAsia" w:ascii="宋体" w:hAnsi="宋体" w:eastAsia="宋体" w:cs="宋体"/>
          <w:b/>
          <w:bCs/>
          <w:color w:val="auto"/>
          <w:sz w:val="21"/>
          <w:szCs w:val="21"/>
          <w:highlight w:val="none"/>
        </w:rPr>
        <w:t>第二十三条</w:t>
      </w:r>
      <w:r>
        <w:rPr>
          <w:rFonts w:hint="eastAsia" w:ascii="宋体" w:hAnsi="宋体" w:eastAsia="宋体" w:cs="宋体"/>
          <w:color w:val="auto"/>
          <w:sz w:val="21"/>
          <w:szCs w:val="21"/>
          <w:highlight w:val="none"/>
        </w:rPr>
        <w:t xml:space="preserve"> </w:t>
      </w:r>
      <w:r>
        <w:rPr>
          <w:rStyle w:val="59"/>
          <w:rFonts w:hint="eastAsia" w:ascii="宋体" w:hAnsi="宋体" w:eastAsia="宋体" w:cs="宋体"/>
          <w:color w:val="auto"/>
          <w:sz w:val="21"/>
          <w:szCs w:val="21"/>
          <w:highlight w:val="none"/>
        </w:rPr>
        <w:t>保险标的转让的，被保险人或者受让人应当及时通知保险人。</w:t>
      </w:r>
    </w:p>
    <w:p w14:paraId="1926026D">
      <w:pPr>
        <w:pStyle w:val="12"/>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因保险标的转让导致危险程度显著增加的，保险人自收到前款规定的通知之日起三十日内，可以按照合同约定增加保险费或者解除合同。保险人解除合同的，应当将已收取的保险费，按照合同约定扣除自保险责任开始之日起至合同解除之日止应收的部分后，退还投保人。</w:t>
      </w:r>
    </w:p>
    <w:p w14:paraId="301D3C85">
      <w:pPr>
        <w:pStyle w:val="12"/>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b/>
          <w:color w:val="auto"/>
          <w:sz w:val="21"/>
          <w:szCs w:val="21"/>
          <w:highlight w:val="none"/>
        </w:rPr>
      </w:pPr>
      <w:r>
        <w:rPr>
          <w:rStyle w:val="59"/>
          <w:rFonts w:hint="eastAsia" w:ascii="宋体" w:hAnsi="宋体" w:eastAsia="宋体" w:cs="宋体"/>
          <w:b/>
          <w:color w:val="auto"/>
          <w:sz w:val="21"/>
          <w:szCs w:val="21"/>
          <w:highlight w:val="none"/>
        </w:rPr>
        <w:t>被保险人、受让人未履行本条规定的通知义务的，因转让导致保险标的危险程度显著增加而发生的保险事故，保险人不承担赔偿责任。</w:t>
      </w:r>
    </w:p>
    <w:p w14:paraId="03EAD768">
      <w:pPr>
        <w:pStyle w:val="12"/>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第二十四条</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z w:val="21"/>
          <w:szCs w:val="21"/>
          <w:highlight w:val="none"/>
        </w:rPr>
        <w:t>在合同有效期内，保险标的占用与使用性质、保险标的地址</w:t>
      </w:r>
      <w:r>
        <w:rPr>
          <w:rFonts w:hint="eastAsia" w:cs="宋体"/>
          <w:b/>
          <w:bCs/>
          <w:color w:val="auto"/>
          <w:sz w:val="21"/>
          <w:szCs w:val="21"/>
          <w:highlight w:val="none"/>
          <w:lang w:val="en-US" w:eastAsia="zh-CN"/>
        </w:rPr>
        <w:t>或</w:t>
      </w:r>
      <w:r>
        <w:rPr>
          <w:rFonts w:hint="eastAsia" w:ascii="宋体" w:hAnsi="宋体" w:eastAsia="宋体" w:cs="宋体"/>
          <w:b/>
          <w:bCs/>
          <w:color w:val="auto"/>
          <w:sz w:val="21"/>
          <w:szCs w:val="21"/>
          <w:highlight w:val="none"/>
        </w:rPr>
        <w:t>保险合同其他重要事项</w:t>
      </w:r>
      <w:r>
        <w:rPr>
          <w:rFonts w:hint="eastAsia" w:cs="宋体"/>
          <w:b/>
          <w:bCs/>
          <w:color w:val="auto"/>
          <w:sz w:val="21"/>
          <w:szCs w:val="21"/>
          <w:highlight w:val="none"/>
          <w:lang w:val="en-US" w:eastAsia="zh-CN"/>
        </w:rPr>
        <w:t>发生</w:t>
      </w:r>
      <w:r>
        <w:rPr>
          <w:rFonts w:hint="eastAsia" w:ascii="宋体" w:hAnsi="宋体" w:eastAsia="宋体" w:cs="宋体"/>
          <w:b/>
          <w:bCs/>
          <w:color w:val="auto"/>
          <w:sz w:val="21"/>
          <w:szCs w:val="21"/>
          <w:highlight w:val="none"/>
        </w:rPr>
        <w:t>变更</w:t>
      </w:r>
      <w:r>
        <w:rPr>
          <w:rFonts w:hint="eastAsia" w:cs="宋体"/>
          <w:b/>
          <w:bCs/>
          <w:color w:val="auto"/>
          <w:sz w:val="21"/>
          <w:szCs w:val="21"/>
          <w:highlight w:val="none"/>
          <w:lang w:eastAsia="zh-CN"/>
        </w:rPr>
        <w:t>，</w:t>
      </w:r>
      <w:r>
        <w:rPr>
          <w:rFonts w:hint="eastAsia" w:ascii="宋体" w:hAnsi="宋体" w:eastAsia="宋体" w:cs="宋体"/>
          <w:b/>
          <w:bCs/>
          <w:color w:val="auto"/>
          <w:sz w:val="21"/>
          <w:szCs w:val="21"/>
          <w:highlight w:val="none"/>
        </w:rPr>
        <w:t>可能导致保险标的危险程度显著增加的</w:t>
      </w:r>
      <w:r>
        <w:rPr>
          <w:rFonts w:hint="eastAsia" w:cs="宋体"/>
          <w:b/>
          <w:bCs/>
          <w:color w:val="auto"/>
          <w:sz w:val="21"/>
          <w:szCs w:val="21"/>
          <w:highlight w:val="none"/>
          <w:lang w:eastAsia="zh-CN"/>
        </w:rPr>
        <w:t>，</w:t>
      </w:r>
      <w:r>
        <w:rPr>
          <w:rFonts w:hint="eastAsia" w:ascii="宋体" w:hAnsi="宋体" w:eastAsia="宋体" w:cs="宋体"/>
          <w:b/>
          <w:bCs/>
          <w:color w:val="auto"/>
          <w:sz w:val="21"/>
          <w:szCs w:val="21"/>
          <w:highlight w:val="none"/>
        </w:rPr>
        <w:t>被保险人应及时书面通知保险人</w:t>
      </w:r>
      <w:r>
        <w:rPr>
          <w:rFonts w:hint="eastAsia" w:cs="宋体"/>
          <w:b/>
          <w:bCs/>
          <w:color w:val="auto"/>
          <w:sz w:val="21"/>
          <w:szCs w:val="21"/>
          <w:highlight w:val="none"/>
          <w:lang w:eastAsia="zh-CN"/>
        </w:rPr>
        <w:t>；</w:t>
      </w:r>
      <w:r>
        <w:rPr>
          <w:rFonts w:hint="eastAsia" w:cs="宋体"/>
          <w:b/>
          <w:bCs/>
          <w:color w:val="auto"/>
          <w:sz w:val="21"/>
          <w:szCs w:val="21"/>
          <w:highlight w:val="none"/>
          <w:lang w:val="en-US" w:eastAsia="zh-CN"/>
        </w:rPr>
        <w:t>该变更</w:t>
      </w:r>
      <w:r>
        <w:rPr>
          <w:rFonts w:hint="eastAsia" w:ascii="宋体" w:hAnsi="宋体" w:eastAsia="宋体" w:cs="宋体"/>
          <w:b/>
          <w:bCs/>
          <w:color w:val="auto"/>
          <w:sz w:val="21"/>
          <w:szCs w:val="21"/>
          <w:highlight w:val="none"/>
        </w:rPr>
        <w:t>足以影响保险人决定是否继续承保或是否增加保险费的，保险人有权要求增加保险费或者解除合同。</w:t>
      </w:r>
    </w:p>
    <w:p w14:paraId="610D86D2">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被保险人未履行前款约定的通知义务的，因保险标的的危险程度显著增加而发生的保险事故，保险人不承担赔偿责任。</w:t>
      </w:r>
    </w:p>
    <w:p w14:paraId="7D74E756">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第二十五条</w:t>
      </w:r>
      <w:r>
        <w:rPr>
          <w:rFonts w:hint="eastAsia" w:ascii="宋体" w:hAnsi="宋体" w:eastAsia="宋体" w:cs="宋体"/>
          <w:color w:val="auto"/>
          <w:sz w:val="21"/>
          <w:szCs w:val="21"/>
          <w:highlight w:val="none"/>
        </w:rPr>
        <w:t xml:space="preserve"> 知道保险事故发生后，被保险人应</w:t>
      </w:r>
      <w:r>
        <w:rPr>
          <w:rFonts w:hint="eastAsia" w:ascii="宋体" w:hAnsi="宋体" w:cs="宋体"/>
          <w:color w:val="auto"/>
          <w:sz w:val="21"/>
          <w:szCs w:val="21"/>
          <w:highlight w:val="none"/>
          <w:lang w:val="en-US" w:eastAsia="zh-CN"/>
        </w:rPr>
        <w:t>当</w:t>
      </w:r>
      <w:r>
        <w:rPr>
          <w:rFonts w:hint="eastAsia" w:ascii="宋体" w:hAnsi="宋体" w:eastAsia="宋体" w:cs="宋体"/>
          <w:color w:val="auto"/>
          <w:sz w:val="21"/>
          <w:szCs w:val="21"/>
          <w:highlight w:val="none"/>
        </w:rPr>
        <w:t>：</w:t>
      </w:r>
    </w:p>
    <w:p w14:paraId="359E1492">
      <w:pPr>
        <w:keepNext w:val="0"/>
        <w:keepLines w:val="0"/>
        <w:pageBreakBefore w:val="0"/>
        <w:kinsoku/>
        <w:wordWrap/>
        <w:overflowPunct/>
        <w:topLinePunct w:val="0"/>
        <w:bidi w:val="0"/>
        <w:adjustRightInd/>
        <w:snapToGrid/>
        <w:spacing w:before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（一）尽力采取必要、合理的措施，防止或减少损失，否则，</w:t>
      </w:r>
      <w:r>
        <w:rPr>
          <w:rFonts w:hint="eastAsia" w:ascii="宋体" w:hAnsi="宋体" w:eastAsia="宋体" w:cs="宋体"/>
          <w:b/>
          <w:color w:val="auto"/>
          <w:sz w:val="21"/>
          <w:szCs w:val="21"/>
          <w:highlight w:val="none"/>
        </w:rPr>
        <w:t>对因此扩大的损失，保险人不承担赔偿责任；</w:t>
      </w:r>
    </w:p>
    <w:p w14:paraId="5EA2BEB7">
      <w:pPr>
        <w:keepNext w:val="0"/>
        <w:keepLines w:val="0"/>
        <w:pageBreakBefore w:val="0"/>
        <w:kinsoku/>
        <w:wordWrap/>
        <w:overflowPunct/>
        <w:topLinePunct w:val="0"/>
        <w:bidi w:val="0"/>
        <w:adjustRightInd/>
        <w:snapToGrid/>
        <w:spacing w:before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（二）立即通知保险人，并书面说明事故发生的原因、经过和损失情况；</w:t>
      </w:r>
      <w:r>
        <w:rPr>
          <w:rStyle w:val="59"/>
          <w:rFonts w:hint="eastAsia" w:ascii="宋体" w:hAnsi="宋体" w:eastAsia="宋体" w:cs="宋体"/>
          <w:b/>
          <w:color w:val="auto"/>
          <w:sz w:val="21"/>
          <w:szCs w:val="21"/>
          <w:highlight w:val="none"/>
        </w:rPr>
        <w:t>故意或者因重大过失未及时通知，致使保险事故的性质、原因、损失程度等难以确定的，保险人对无法确定的部分，不承担赔偿责任，但保险人通过其他途径已经及时知道或者应当及时知道保险事故发生的除外；</w:t>
      </w:r>
    </w:p>
    <w:p w14:paraId="0831668C">
      <w:pPr>
        <w:keepNext w:val="0"/>
        <w:keepLines w:val="0"/>
        <w:pageBreakBefore w:val="0"/>
        <w:kinsoku/>
        <w:wordWrap/>
        <w:overflowPunct/>
        <w:topLinePunct w:val="0"/>
        <w:bidi w:val="0"/>
        <w:adjustRightInd/>
        <w:snapToGrid/>
        <w:spacing w:before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（三）保护事故现场，允许并且协助保险人进行事故调查；</w:t>
      </w:r>
      <w:r>
        <w:rPr>
          <w:rFonts w:hint="eastAsia" w:ascii="宋体" w:hAnsi="宋体" w:eastAsia="宋体" w:cs="宋体"/>
          <w:b/>
          <w:bCs/>
          <w:color w:val="auto"/>
          <w:sz w:val="21"/>
          <w:szCs w:val="21"/>
          <w:highlight w:val="none"/>
        </w:rPr>
        <w:t>对于拒绝或者妨碍保险人进行事故调查导致无法确定事故原因或核实损失情况的，保险人对无法核实的部分不承担赔偿责任。</w:t>
      </w:r>
    </w:p>
    <w:p w14:paraId="7866A54B">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 xml:space="preserve">第二十六条 </w:t>
      </w:r>
      <w:r>
        <w:rPr>
          <w:rFonts w:hint="eastAsia" w:ascii="宋体" w:hAnsi="宋体" w:eastAsia="宋体" w:cs="宋体"/>
          <w:color w:val="auto"/>
          <w:sz w:val="21"/>
          <w:szCs w:val="21"/>
          <w:highlight w:val="none"/>
        </w:rPr>
        <w:t>被保险人请求赔偿时，</w:t>
      </w:r>
      <w:r>
        <w:rPr>
          <w:rFonts w:hint="eastAsia" w:ascii="宋体" w:hAnsi="宋体" w:cs="宋体"/>
          <w:color w:val="auto"/>
          <w:sz w:val="21"/>
          <w:szCs w:val="21"/>
          <w:highlight w:val="none"/>
          <w:lang w:val="en-US" w:eastAsia="zh-CN"/>
        </w:rPr>
        <w:t>投保人、被保险人</w:t>
      </w:r>
      <w:r>
        <w:rPr>
          <w:rFonts w:hint="eastAsia" w:ascii="宋体" w:hAnsi="宋体" w:eastAsia="宋体" w:cs="宋体"/>
          <w:color w:val="auto"/>
          <w:sz w:val="21"/>
          <w:szCs w:val="21"/>
          <w:highlight w:val="none"/>
        </w:rPr>
        <w:t>应向保险人提供下列证明和资料：</w:t>
      </w:r>
    </w:p>
    <w:p w14:paraId="43260149">
      <w:pPr>
        <w:keepNext w:val="0"/>
        <w:keepLines w:val="0"/>
        <w:pageBreakBefore w:val="0"/>
        <w:kinsoku/>
        <w:wordWrap/>
        <w:overflowPunct/>
        <w:topLinePunct w:val="0"/>
        <w:bidi w:val="0"/>
        <w:adjustRightInd/>
        <w:snapToGrid/>
        <w:spacing w:before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（一）保险单正本、索赔申请、财产损失清单、技术鉴定证明、事故报告书、救护费用发票、必要的帐簿、单据和有关部门的证明；</w:t>
      </w:r>
    </w:p>
    <w:p w14:paraId="045F1B14">
      <w:pPr>
        <w:keepNext w:val="0"/>
        <w:keepLines w:val="0"/>
        <w:pageBreakBefore w:val="0"/>
        <w:kinsoku/>
        <w:wordWrap/>
        <w:overflowPunct/>
        <w:topLinePunct w:val="0"/>
        <w:bidi w:val="0"/>
        <w:adjustRightInd/>
        <w:snapToGrid/>
        <w:spacing w:before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（二）投保人、被保险人所能提供的与确认保险事故的性质、原因、损失程度等有关的其他证明和资料。</w:t>
      </w:r>
    </w:p>
    <w:p w14:paraId="57834F06">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投保人、被保险人未履行前款约定的</w:t>
      </w:r>
      <w:r>
        <w:rPr>
          <w:rFonts w:hint="eastAsia" w:ascii="宋体" w:hAnsi="宋体" w:cs="宋体"/>
          <w:b/>
          <w:color w:val="auto"/>
          <w:sz w:val="21"/>
          <w:szCs w:val="21"/>
          <w:highlight w:val="none"/>
          <w:lang w:val="en-US" w:eastAsia="zh-CN"/>
        </w:rPr>
        <w:t>证明和资料</w:t>
      </w:r>
      <w:r>
        <w:rPr>
          <w:rFonts w:hint="eastAsia" w:ascii="宋体" w:hAnsi="宋体" w:eastAsia="宋体" w:cs="宋体"/>
          <w:b/>
          <w:color w:val="auto"/>
          <w:sz w:val="21"/>
          <w:szCs w:val="21"/>
          <w:highlight w:val="none"/>
        </w:rPr>
        <w:t>提供义务，导致保险人无法核实损失情况的，保险人对无法核实的部分不承担赔偿责任。</w:t>
      </w:r>
    </w:p>
    <w:p w14:paraId="004BA13D">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赔偿处理</w:t>
      </w:r>
    </w:p>
    <w:p w14:paraId="28128E8D">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第二十七条</w:t>
      </w:r>
      <w:r>
        <w:rPr>
          <w:rFonts w:hint="eastAsia" w:ascii="宋体" w:hAnsi="宋体" w:eastAsia="宋体" w:cs="宋体"/>
          <w:color w:val="auto"/>
          <w:sz w:val="21"/>
          <w:szCs w:val="21"/>
          <w:highlight w:val="none"/>
        </w:rPr>
        <w:t xml:space="preserve"> 保险标的发生保险责任范围内的损失，保险人有权选择下列方式赔偿：</w:t>
      </w:r>
    </w:p>
    <w:p w14:paraId="1D7B9EDB">
      <w:pPr>
        <w:keepNext w:val="0"/>
        <w:keepLines w:val="0"/>
        <w:pageBreakBefore w:val="0"/>
        <w:kinsoku/>
        <w:wordWrap/>
        <w:overflowPunct/>
        <w:topLinePunct w:val="0"/>
        <w:bidi w:val="0"/>
        <w:adjustRightInd/>
        <w:snapToGrid/>
        <w:spacing w:before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（一）货币赔偿：保险人以支付保险金的方式赔偿；</w:t>
      </w:r>
    </w:p>
    <w:p w14:paraId="46CD0F2D">
      <w:pPr>
        <w:keepNext w:val="0"/>
        <w:keepLines w:val="0"/>
        <w:pageBreakBefore w:val="0"/>
        <w:kinsoku/>
        <w:wordWrap/>
        <w:overflowPunct/>
        <w:topLinePunct w:val="0"/>
        <w:bidi w:val="0"/>
        <w:adjustRightInd/>
        <w:snapToGrid/>
        <w:spacing w:before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（二）实物赔偿：保险人以实物替换受损标的，该实物应具有保险标的出险前同等的类型、结构、状态和性能；</w:t>
      </w:r>
    </w:p>
    <w:p w14:paraId="4CA0A922">
      <w:pPr>
        <w:keepNext w:val="0"/>
        <w:keepLines w:val="0"/>
        <w:pageBreakBefore w:val="0"/>
        <w:kinsoku/>
        <w:wordWrap/>
        <w:overflowPunct/>
        <w:topLinePunct w:val="0"/>
        <w:bidi w:val="0"/>
        <w:adjustRightInd/>
        <w:snapToGrid/>
        <w:spacing w:before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（三）实际修复：保险人自行或委托他人修理修复受损标的。</w:t>
      </w:r>
    </w:p>
    <w:p w14:paraId="67082060">
      <w:pPr>
        <w:pStyle w:val="22"/>
        <w:keepNext w:val="0"/>
        <w:keepLines w:val="0"/>
        <w:pageBreakBefore w:val="0"/>
        <w:widowControl/>
        <w:suppressLineNumbers w:val="0"/>
        <w:kinsoku/>
        <w:wordWrap/>
        <w:overflowPunct/>
        <w:topLinePunct w:val="0"/>
        <w:bidi w:val="0"/>
        <w:adjustRightInd/>
        <w:snapToGrid/>
        <w:spacing w:beforeAutospacing="0" w:after="0" w:afterAutospacing="0" w:line="360" w:lineRule="auto"/>
        <w:ind w:left="0" w:firstLine="42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如保险人采用实物赔偿或实际修复方式，即保险人以自己的名义购入实物资产或修理服务并支付相应货款和服务费的方式进行赔付的，被保险人须与保险人在实物赔付前签订《实物赔付确认书》。</w:t>
      </w:r>
    </w:p>
    <w:p w14:paraId="010AA6FE">
      <w:pPr>
        <w:pStyle w:val="10"/>
        <w:keepNext w:val="0"/>
        <w:keepLines w:val="0"/>
        <w:pageBreakBefore w:val="0"/>
        <w:kinsoku/>
        <w:wordWrap/>
        <w:overflowPunct/>
        <w:topLinePunct w:val="0"/>
        <w:bidi w:val="0"/>
        <w:adjustRightInd/>
        <w:snapToGrid/>
        <w:spacing w:beforeAutospacing="0" w:line="360" w:lineRule="auto"/>
        <w:ind w:firstLine="643"/>
        <w:textAlignment w:val="auto"/>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第二十八条</w:t>
      </w:r>
      <w:r>
        <w:rPr>
          <w:rFonts w:hint="eastAsia" w:ascii="宋体" w:hAnsi="宋体" w:eastAsia="宋体" w:cs="宋体"/>
          <w:color w:val="auto"/>
          <w:sz w:val="21"/>
          <w:szCs w:val="21"/>
          <w:highlight w:val="none"/>
        </w:rPr>
        <w:t xml:space="preserve"> 保险标的遭受损失后，如果有残余价值，</w:t>
      </w:r>
      <w:r>
        <w:rPr>
          <w:rFonts w:hint="eastAsia" w:ascii="宋体" w:hAnsi="宋体" w:eastAsia="宋体" w:cs="宋体"/>
          <w:color w:val="auto"/>
          <w:kern w:val="0"/>
          <w:sz w:val="21"/>
          <w:szCs w:val="21"/>
          <w:highlight w:val="none"/>
        </w:rPr>
        <w:t>应由双方协商处理。</w:t>
      </w:r>
      <w:r>
        <w:rPr>
          <w:rFonts w:hint="eastAsia" w:ascii="宋体" w:hAnsi="宋体" w:eastAsia="宋体" w:cs="宋体"/>
          <w:b/>
          <w:bCs/>
          <w:color w:val="auto"/>
          <w:kern w:val="0"/>
          <w:sz w:val="21"/>
          <w:szCs w:val="21"/>
          <w:highlight w:val="none"/>
        </w:rPr>
        <w:t>如折归被保险人，由双方协商确定其价值，并在保险赔款中扣除。</w:t>
      </w:r>
    </w:p>
    <w:p w14:paraId="3064CE63">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第二十九条</w:t>
      </w:r>
      <w:r>
        <w:rPr>
          <w:rFonts w:hint="eastAsia" w:ascii="宋体" w:hAnsi="宋体" w:eastAsia="宋体" w:cs="宋体"/>
          <w:color w:val="auto"/>
          <w:sz w:val="21"/>
          <w:szCs w:val="21"/>
          <w:highlight w:val="none"/>
        </w:rPr>
        <w:t xml:space="preserve"> 保险标的发生保险责任范围内的损失，保险人按以下方式计算</w:t>
      </w:r>
      <w:r>
        <w:rPr>
          <w:rFonts w:hint="eastAsia" w:ascii="宋体" w:hAnsi="宋体" w:cs="宋体"/>
          <w:color w:val="auto"/>
          <w:sz w:val="21"/>
          <w:szCs w:val="21"/>
          <w:highlight w:val="none"/>
          <w:lang w:val="en-US" w:eastAsia="zh-CN"/>
        </w:rPr>
        <w:t>保险损失金额</w:t>
      </w:r>
      <w:r>
        <w:rPr>
          <w:rFonts w:hint="eastAsia" w:ascii="宋体" w:hAnsi="宋体" w:eastAsia="宋体" w:cs="宋体"/>
          <w:color w:val="auto"/>
          <w:sz w:val="21"/>
          <w:szCs w:val="21"/>
          <w:highlight w:val="none"/>
        </w:rPr>
        <w:t>：</w:t>
      </w:r>
    </w:p>
    <w:p w14:paraId="140C192A">
      <w:pPr>
        <w:pStyle w:val="10"/>
        <w:keepNext w:val="0"/>
        <w:keepLines w:val="0"/>
        <w:pageBreakBefore w:val="0"/>
        <w:kinsoku/>
        <w:wordWrap/>
        <w:overflowPunct/>
        <w:topLinePunct w:val="0"/>
        <w:bidi w:val="0"/>
        <w:adjustRightInd/>
        <w:snapToGrid/>
        <w:spacing w:beforeAutospacing="0" w:line="360" w:lineRule="auto"/>
        <w:ind w:firstLine="643"/>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（一）保险金额等于或高于保险价值时，按实际损失计算，最高不超过保险价值；</w:t>
      </w:r>
    </w:p>
    <w:p w14:paraId="3C50BDDA">
      <w:pPr>
        <w:pStyle w:val="10"/>
        <w:keepNext w:val="0"/>
        <w:keepLines w:val="0"/>
        <w:pageBreakBefore w:val="0"/>
        <w:kinsoku/>
        <w:wordWrap/>
        <w:overflowPunct/>
        <w:topLinePunct w:val="0"/>
        <w:bidi w:val="0"/>
        <w:adjustRightInd/>
        <w:snapToGrid/>
        <w:spacing w:beforeAutospacing="0" w:line="360" w:lineRule="auto"/>
        <w:ind w:firstLine="643"/>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（二）保险金额低于保险价值时，按保险金额与保险价值的比例乘以实际损失计算，最高不超过保险金额；</w:t>
      </w:r>
    </w:p>
    <w:p w14:paraId="4C6D4B2A">
      <w:pPr>
        <w:pStyle w:val="10"/>
        <w:keepNext w:val="0"/>
        <w:keepLines w:val="0"/>
        <w:pageBreakBefore w:val="0"/>
        <w:kinsoku/>
        <w:wordWrap/>
        <w:overflowPunct/>
        <w:topLinePunct w:val="0"/>
        <w:bidi w:val="0"/>
        <w:adjustRightInd/>
        <w:snapToGrid/>
        <w:spacing w:beforeAutospacing="0" w:line="36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（三）若本保险合同所列标的不止一项时，应分项按照本条约定处理。</w:t>
      </w:r>
    </w:p>
    <w:p w14:paraId="5100BFBA">
      <w:pPr>
        <w:pStyle w:val="10"/>
        <w:keepNext w:val="0"/>
        <w:keepLines w:val="0"/>
        <w:pageBreakBefore w:val="0"/>
        <w:kinsoku/>
        <w:wordWrap/>
        <w:overflowPunct/>
        <w:topLinePunct w:val="0"/>
        <w:bidi w:val="0"/>
        <w:adjustRightInd/>
        <w:snapToGrid/>
        <w:spacing w:beforeAutospacing="0" w:line="360" w:lineRule="auto"/>
        <w:ind w:firstLine="643"/>
        <w:textAlignment w:val="auto"/>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 xml:space="preserve">第三十条 </w:t>
      </w:r>
      <w:r>
        <w:rPr>
          <w:rFonts w:hint="eastAsia" w:ascii="宋体" w:hAnsi="宋体" w:eastAsia="宋体" w:cs="宋体"/>
          <w:color w:val="auto"/>
          <w:sz w:val="21"/>
          <w:szCs w:val="21"/>
          <w:highlight w:val="none"/>
        </w:rPr>
        <w:t>每次事故保险人的赔偿金额为根据第二十九条约定计算的金额</w:t>
      </w:r>
      <w:r>
        <w:rPr>
          <w:rFonts w:hint="eastAsia" w:ascii="宋体" w:hAnsi="宋体" w:eastAsia="宋体" w:cs="宋体"/>
          <w:b/>
          <w:bCs/>
          <w:color w:val="auto"/>
          <w:sz w:val="21"/>
          <w:szCs w:val="21"/>
          <w:highlight w:val="none"/>
        </w:rPr>
        <w:t>扣除每次事故免赔额后的金额</w:t>
      </w:r>
      <w:r>
        <w:rPr>
          <w:rFonts w:hint="eastAsia" w:ascii="宋体" w:hAnsi="宋体" w:eastAsia="宋体" w:cs="宋体"/>
          <w:color w:val="auto"/>
          <w:sz w:val="21"/>
          <w:szCs w:val="21"/>
          <w:highlight w:val="none"/>
        </w:rPr>
        <w:t>，或者为根据第二十九条约定计算的金额</w:t>
      </w:r>
      <w:r>
        <w:rPr>
          <w:rFonts w:hint="eastAsia" w:ascii="宋体" w:hAnsi="宋体" w:eastAsia="宋体" w:cs="宋体"/>
          <w:b/>
          <w:bCs/>
          <w:color w:val="auto"/>
          <w:sz w:val="21"/>
          <w:szCs w:val="21"/>
          <w:highlight w:val="none"/>
        </w:rPr>
        <w:t>扣除该金额与免赔率乘积后的金额。</w:t>
      </w:r>
    </w:p>
    <w:p w14:paraId="05A473F9">
      <w:pPr>
        <w:pStyle w:val="10"/>
        <w:keepNext w:val="0"/>
        <w:keepLines w:val="0"/>
        <w:pageBreakBefore w:val="0"/>
        <w:kinsoku/>
        <w:wordWrap/>
        <w:overflowPunct/>
        <w:topLinePunct w:val="0"/>
        <w:bidi w:val="0"/>
        <w:adjustRightInd/>
        <w:snapToGrid/>
        <w:spacing w:beforeAutospacing="0" w:line="360" w:lineRule="auto"/>
        <w:ind w:firstLine="643"/>
        <w:textAlignment w:val="auto"/>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 xml:space="preserve">第三十一条 </w:t>
      </w:r>
      <w:r>
        <w:rPr>
          <w:rFonts w:hint="eastAsia" w:ascii="宋体" w:hAnsi="宋体" w:eastAsia="宋体" w:cs="宋体"/>
          <w:color w:val="auto"/>
          <w:sz w:val="21"/>
          <w:szCs w:val="21"/>
          <w:highlight w:val="none"/>
        </w:rPr>
        <w:t>保险标的的保险金额大于或等于其保险价值时，被保险人为防止或减少保险标的的损失所支付的必要的、合理的费用，在保险标的损失赔偿金额之外另行计算，</w:t>
      </w:r>
      <w:r>
        <w:rPr>
          <w:rFonts w:hint="eastAsia" w:ascii="宋体" w:hAnsi="宋体" w:eastAsia="宋体" w:cs="宋体"/>
          <w:b/>
          <w:bCs/>
          <w:color w:val="auto"/>
          <w:sz w:val="21"/>
          <w:szCs w:val="21"/>
          <w:highlight w:val="none"/>
        </w:rPr>
        <w:t>最高不超过被施救保险标的的保险价值。</w:t>
      </w:r>
    </w:p>
    <w:p w14:paraId="41A8D757">
      <w:pPr>
        <w:pStyle w:val="10"/>
        <w:keepNext w:val="0"/>
        <w:keepLines w:val="0"/>
        <w:pageBreakBefore w:val="0"/>
        <w:kinsoku/>
        <w:wordWrap/>
        <w:overflowPunct/>
        <w:topLinePunct w:val="0"/>
        <w:bidi w:val="0"/>
        <w:adjustRightInd/>
        <w:snapToGrid/>
        <w:spacing w:beforeAutospacing="0" w:line="360" w:lineRule="auto"/>
        <w:ind w:firstLine="643"/>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保险标的的保险金额小于其保险价值时，上述费用按被施救保险标的的保险金额与其保险价值的比例在保险标的损失赔偿金额之外另行计算，最高不超过被施救保险标的的保险金额。</w:t>
      </w:r>
    </w:p>
    <w:p w14:paraId="15248460">
      <w:pPr>
        <w:pStyle w:val="10"/>
        <w:keepNext w:val="0"/>
        <w:keepLines w:val="0"/>
        <w:pageBreakBefore w:val="0"/>
        <w:kinsoku/>
        <w:wordWrap/>
        <w:overflowPunct/>
        <w:topLinePunct w:val="0"/>
        <w:bidi w:val="0"/>
        <w:adjustRightInd/>
        <w:snapToGrid/>
        <w:spacing w:beforeAutospacing="0" w:line="360" w:lineRule="auto"/>
        <w:ind w:firstLine="643"/>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被施救的财产中，含有本保险合同未承保财产的，按被施救保险标的的保险价值与全部被施救财产价值的比例分摊施救费用。</w:t>
      </w:r>
    </w:p>
    <w:p w14:paraId="3F90DF5C">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第三十二条</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z w:val="21"/>
          <w:szCs w:val="21"/>
          <w:highlight w:val="none"/>
        </w:rPr>
        <w:t>保险事故发生时，如果存在重复保险，本保险人按照本保险合同的相应保险金额与其他保险合同及本保险合同相应保险金额总和的比例承担赔偿责任。</w:t>
      </w:r>
    </w:p>
    <w:p w14:paraId="05F3A6E9">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其他保险人应承担的赔偿金额，本保险人不负责垫付。若被保险人未如实告知导致保险人多支付赔偿金的，本保险人有权向被保险人追回多支付的部分。</w:t>
      </w:r>
    </w:p>
    <w:p w14:paraId="6453AD70">
      <w:pPr>
        <w:keepNext w:val="0"/>
        <w:keepLines w:val="0"/>
        <w:pageBreakBefore w:val="0"/>
        <w:kinsoku/>
        <w:wordWrap/>
        <w:overflowPunct/>
        <w:topLinePunct w:val="0"/>
        <w:autoSpaceDE w:val="0"/>
        <w:autoSpaceDN w:val="0"/>
        <w:bidi w:val="0"/>
        <w:adjustRightInd/>
        <w:snapToGrid/>
        <w:spacing w:beforeAutospacing="0"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第三十三条</w:t>
      </w:r>
      <w:r>
        <w:rPr>
          <w:rFonts w:hint="eastAsia" w:ascii="宋体" w:hAnsi="宋体" w:eastAsia="宋体" w:cs="宋体"/>
          <w:color w:val="auto"/>
          <w:sz w:val="21"/>
          <w:szCs w:val="21"/>
          <w:highlight w:val="none"/>
        </w:rPr>
        <w:t xml:space="preserve"> 保险标的发生部分损失，保险人履行赔偿义务后，本保险合同的保险金额自损失发生之日起按保险人的赔偿金额相应减少，</w:t>
      </w:r>
      <w:r>
        <w:rPr>
          <w:rFonts w:hint="eastAsia" w:ascii="宋体" w:hAnsi="宋体" w:eastAsia="宋体" w:cs="宋体"/>
          <w:b/>
          <w:bCs/>
          <w:color w:val="auto"/>
          <w:sz w:val="21"/>
          <w:szCs w:val="21"/>
          <w:highlight w:val="none"/>
        </w:rPr>
        <w:t>保险人不退还保险金额减少部分的保险费。</w:t>
      </w:r>
      <w:r>
        <w:rPr>
          <w:rFonts w:hint="eastAsia" w:ascii="宋体" w:hAnsi="宋体" w:eastAsia="宋体" w:cs="宋体"/>
          <w:color w:val="auto"/>
          <w:sz w:val="21"/>
          <w:szCs w:val="21"/>
          <w:highlight w:val="none"/>
        </w:rPr>
        <w:t>如投保人请求恢复至原保险金额，应按原约定的保险费率另行支付恢复部分从投保人请求的恢复日期起至保险期间届满之日止按日比例计算的保险费。</w:t>
      </w:r>
    </w:p>
    <w:p w14:paraId="15A3B51A">
      <w:pPr>
        <w:keepNext w:val="0"/>
        <w:keepLines w:val="0"/>
        <w:pageBreakBefore w:val="0"/>
        <w:tabs>
          <w:tab w:val="left" w:pos="2160"/>
        </w:tabs>
        <w:kinsoku/>
        <w:wordWrap/>
        <w:overflowPunct/>
        <w:topLinePunct w:val="0"/>
        <w:bidi w:val="0"/>
        <w:adjustRightInd/>
        <w:snapToGrid/>
        <w:spacing w:beforeAutospacing="0" w:line="360" w:lineRule="auto"/>
        <w:ind w:firstLine="422" w:firstLineChars="200"/>
        <w:textAlignment w:val="auto"/>
        <w:rPr>
          <w:rStyle w:val="59"/>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第三十四条</w:t>
      </w:r>
      <w:r>
        <w:rPr>
          <w:rFonts w:hint="eastAsia" w:ascii="宋体" w:hAnsi="宋体" w:eastAsia="宋体" w:cs="宋体"/>
          <w:color w:val="auto"/>
          <w:sz w:val="21"/>
          <w:szCs w:val="21"/>
          <w:highlight w:val="none"/>
        </w:rPr>
        <w:t xml:space="preserve"> 发</w:t>
      </w:r>
      <w:r>
        <w:rPr>
          <w:rStyle w:val="59"/>
          <w:rFonts w:hint="eastAsia" w:ascii="宋体" w:hAnsi="宋体" w:eastAsia="宋体" w:cs="宋体"/>
          <w:color w:val="auto"/>
          <w:sz w:val="21"/>
          <w:szCs w:val="21"/>
          <w:highlight w:val="none"/>
        </w:rPr>
        <w:t>生保险责任范围内的损失，应由有关责任方负责赔偿的，保险人自向被保险人赔偿保险金之日起，在赔偿金额范围内代位行使被保险人对有关责任方请求赔偿的权利，被保险人应当向保险人提供必要的文件和所知道的有关情况。</w:t>
      </w:r>
    </w:p>
    <w:p w14:paraId="375F47A7">
      <w:pPr>
        <w:keepNext w:val="0"/>
        <w:keepLines w:val="0"/>
        <w:pageBreakBefore w:val="0"/>
        <w:tabs>
          <w:tab w:val="left" w:pos="2160"/>
        </w:tabs>
        <w:kinsoku/>
        <w:wordWrap/>
        <w:overflowPunct/>
        <w:topLinePunct w:val="0"/>
        <w:bidi w:val="0"/>
        <w:adjustRightInd/>
        <w:snapToGrid/>
        <w:spacing w:beforeAutospacing="0" w:line="360" w:lineRule="auto"/>
        <w:ind w:firstLine="422" w:firstLineChars="200"/>
        <w:textAlignment w:val="auto"/>
        <w:rPr>
          <w:rStyle w:val="59"/>
          <w:rFonts w:hint="eastAsia" w:ascii="宋体" w:hAnsi="宋体" w:eastAsia="宋体" w:cs="宋体"/>
          <w:b/>
          <w:bCs/>
          <w:color w:val="auto"/>
          <w:sz w:val="21"/>
          <w:szCs w:val="21"/>
          <w:highlight w:val="none"/>
        </w:rPr>
      </w:pPr>
      <w:r>
        <w:rPr>
          <w:rStyle w:val="59"/>
          <w:rFonts w:hint="eastAsia" w:ascii="宋体" w:hAnsi="宋体" w:eastAsia="宋体" w:cs="宋体"/>
          <w:b/>
          <w:bCs/>
          <w:color w:val="auto"/>
          <w:sz w:val="21"/>
          <w:szCs w:val="21"/>
          <w:highlight w:val="none"/>
        </w:rPr>
        <w:t>被保险人已经从有关责任方取得赔偿的，保险人赔偿保险金时，可以相应扣减被保险人已从有关责任方取得的赔偿金额。</w:t>
      </w:r>
    </w:p>
    <w:p w14:paraId="3C3EC21A">
      <w:pPr>
        <w:keepNext w:val="0"/>
        <w:keepLines w:val="0"/>
        <w:pageBreakBefore w:val="0"/>
        <w:kinsoku/>
        <w:wordWrap/>
        <w:overflowPunct/>
        <w:topLinePunct w:val="0"/>
        <w:bidi w:val="0"/>
        <w:adjustRightInd/>
        <w:snapToGrid/>
        <w:spacing w:beforeAutospacing="0" w:line="360" w:lineRule="auto"/>
        <w:ind w:firstLine="422" w:firstLineChars="200"/>
        <w:textAlignment w:val="auto"/>
        <w:rPr>
          <w:rStyle w:val="59"/>
          <w:rFonts w:hint="eastAsia" w:ascii="宋体" w:hAnsi="宋体" w:eastAsia="宋体" w:cs="宋体"/>
          <w:b/>
          <w:color w:val="auto"/>
          <w:sz w:val="21"/>
          <w:szCs w:val="21"/>
          <w:highlight w:val="none"/>
        </w:rPr>
      </w:pPr>
      <w:r>
        <w:rPr>
          <w:rStyle w:val="59"/>
          <w:rFonts w:hint="eastAsia" w:ascii="宋体" w:hAnsi="宋体" w:eastAsia="宋体" w:cs="宋体"/>
          <w:b/>
          <w:color w:val="auto"/>
          <w:sz w:val="21"/>
          <w:szCs w:val="21"/>
          <w:highlight w:val="none"/>
        </w:rPr>
        <w:t>保险事故发生后，在保险人未赔偿保险金之前，被保险人放弃对有关责任方请求赔偿权利的，保险人不承担赔偿责任；</w:t>
      </w:r>
      <w:r>
        <w:rPr>
          <w:rStyle w:val="59"/>
          <w:rFonts w:hint="eastAsia" w:ascii="宋体" w:hAnsi="宋体" w:eastAsia="宋体" w:cs="宋体"/>
          <w:color w:val="auto"/>
          <w:sz w:val="21"/>
          <w:szCs w:val="21"/>
          <w:highlight w:val="none"/>
        </w:rPr>
        <w:t>保险人向被保险人赔偿保险金后，被保险人未经保险人同意放弃对有关责任方请求赔偿权利的，该行为无效；</w:t>
      </w:r>
      <w:r>
        <w:rPr>
          <w:rStyle w:val="59"/>
          <w:rFonts w:hint="eastAsia" w:ascii="宋体" w:hAnsi="宋体" w:eastAsia="宋体" w:cs="宋体"/>
          <w:b/>
          <w:color w:val="auto"/>
          <w:sz w:val="21"/>
          <w:szCs w:val="21"/>
          <w:highlight w:val="none"/>
        </w:rPr>
        <w:t>由于被保险人故意或者因重大过失致使保险人不能行使代位请求赔偿的权利的，保险人可以扣减或者要求返还相应的保险金。</w:t>
      </w:r>
    </w:p>
    <w:p w14:paraId="5521BD2C">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第三十五条</w:t>
      </w:r>
      <w:r>
        <w:rPr>
          <w:rFonts w:hint="eastAsia" w:ascii="宋体" w:hAnsi="宋体" w:eastAsia="宋体" w:cs="宋体"/>
          <w:color w:val="auto"/>
          <w:sz w:val="21"/>
          <w:szCs w:val="21"/>
          <w:highlight w:val="none"/>
        </w:rPr>
        <w:t xml:space="preserve"> </w:t>
      </w:r>
      <w:r>
        <w:rPr>
          <w:rStyle w:val="59"/>
          <w:rFonts w:hint="eastAsia" w:ascii="宋体" w:hAnsi="宋体" w:eastAsia="宋体" w:cs="宋体"/>
          <w:color w:val="auto"/>
          <w:sz w:val="21"/>
          <w:szCs w:val="21"/>
          <w:highlight w:val="none"/>
        </w:rPr>
        <w:t>被保险人向保险人请求赔偿的诉讼时效适用现行有效法律的规定。</w:t>
      </w:r>
      <w:r>
        <w:rPr>
          <w:rStyle w:val="38"/>
          <w:rFonts w:hint="eastAsia" w:ascii="宋体" w:hAnsi="宋体" w:eastAsia="宋体" w:cs="宋体"/>
          <w:color w:val="auto"/>
          <w:sz w:val="21"/>
          <w:szCs w:val="21"/>
          <w:highlight w:val="none"/>
        </w:rPr>
        <w:t> </w:t>
      </w:r>
    </w:p>
    <w:p w14:paraId="08393978">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争议处理和法律适用</w:t>
      </w:r>
    </w:p>
    <w:p w14:paraId="31C882BD">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第三十六条</w:t>
      </w:r>
      <w:r>
        <w:rPr>
          <w:rFonts w:hint="eastAsia" w:ascii="宋体" w:hAnsi="宋体" w:eastAsia="宋体" w:cs="宋体"/>
          <w:color w:val="auto"/>
          <w:sz w:val="21"/>
          <w:szCs w:val="21"/>
          <w:highlight w:val="none"/>
        </w:rPr>
        <w:t xml:space="preserve"> 因履行本保险合同发生的争议，由当事人协商解决，也可向相关调解组织申请调解。</w:t>
      </w:r>
    </w:p>
    <w:p w14:paraId="71349179">
      <w:pPr>
        <w:keepNext w:val="0"/>
        <w:keepLines w:val="0"/>
        <w:pageBreakBefore w:val="0"/>
        <w:kinsoku/>
        <w:wordWrap/>
        <w:overflowPunct/>
        <w:topLinePunct w:val="0"/>
        <w:bidi w:val="0"/>
        <w:adjustRightInd/>
        <w:snapToGrid/>
        <w:spacing w:before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协商或调解不成的，可提交保险合同载明的仲裁机构仲裁；保险合同未载明仲裁机构</w:t>
      </w:r>
      <w:r>
        <w:rPr>
          <w:rFonts w:hint="eastAsia" w:ascii="宋体" w:hAnsi="宋体" w:cs="宋体"/>
          <w:color w:val="auto"/>
          <w:sz w:val="21"/>
          <w:szCs w:val="21"/>
          <w:highlight w:val="none"/>
          <w:lang w:val="en-US" w:eastAsia="zh-CN"/>
        </w:rPr>
        <w:t>且</w:t>
      </w:r>
      <w:r>
        <w:rPr>
          <w:rFonts w:hint="eastAsia" w:ascii="宋体" w:hAnsi="宋体" w:eastAsia="宋体" w:cs="宋体"/>
          <w:color w:val="auto"/>
          <w:sz w:val="21"/>
          <w:szCs w:val="21"/>
          <w:highlight w:val="none"/>
        </w:rPr>
        <w:t>争议发生后未达成仲裁协议的，可依法向有管辖权的人民法院起诉。</w:t>
      </w:r>
    </w:p>
    <w:p w14:paraId="0E44DEE2">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第三十七条</w:t>
      </w:r>
      <w:r>
        <w:rPr>
          <w:rFonts w:hint="eastAsia" w:ascii="宋体" w:hAnsi="宋体" w:eastAsia="宋体" w:cs="宋体"/>
          <w:color w:val="auto"/>
          <w:sz w:val="21"/>
          <w:szCs w:val="21"/>
          <w:highlight w:val="none"/>
        </w:rPr>
        <w:t xml:space="preserve"> 与本保险合同有关的以及履行本保险合同产生的一切争议，适用中华人民共和国法律（不包括港澳台地区法律）。</w:t>
      </w:r>
    </w:p>
    <w:p w14:paraId="6ABA93E7">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其他事项</w:t>
      </w:r>
    </w:p>
    <w:p w14:paraId="7A86E9FF">
      <w:pPr>
        <w:keepNext w:val="0"/>
        <w:keepLines w:val="0"/>
        <w:pageBreakBefore w:val="0"/>
        <w:kinsoku/>
        <w:wordWrap/>
        <w:overflowPunct/>
        <w:topLinePunct w:val="0"/>
        <w:bidi w:val="0"/>
        <w:adjustRightInd/>
        <w:snapToGrid/>
        <w:spacing w:beforeAutospacing="0" w:line="360" w:lineRule="auto"/>
        <w:ind w:firstLine="422" w:firstLineChars="200"/>
        <w:textAlignment w:val="auto"/>
        <w:rPr>
          <w:rStyle w:val="38"/>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第三十八条</w:t>
      </w:r>
      <w:r>
        <w:rPr>
          <w:rFonts w:hint="eastAsia" w:ascii="宋体" w:hAnsi="宋体" w:eastAsia="宋体" w:cs="宋体"/>
          <w:color w:val="auto"/>
          <w:sz w:val="21"/>
          <w:szCs w:val="21"/>
          <w:highlight w:val="none"/>
        </w:rPr>
        <w:t xml:space="preserve"> </w:t>
      </w:r>
      <w:r>
        <w:rPr>
          <w:rStyle w:val="59"/>
          <w:rFonts w:hint="eastAsia" w:ascii="宋体" w:hAnsi="宋体" w:eastAsia="宋体" w:cs="宋体"/>
          <w:color w:val="auto"/>
          <w:sz w:val="21"/>
          <w:szCs w:val="21"/>
          <w:highlight w:val="none"/>
        </w:rPr>
        <w:t>保险标的发生部分损失的，自保险人赔偿之日起三十日内，投保人可以解除合同；除合同另有约定外，保险人也可以解除合同，但应当提前十五日通知投保人。</w:t>
      </w:r>
    </w:p>
    <w:p w14:paraId="1624CC03">
      <w:pPr>
        <w:keepNext w:val="0"/>
        <w:keepLines w:val="0"/>
        <w:pageBreakBefore w:val="0"/>
        <w:kinsoku/>
        <w:wordWrap/>
        <w:overflowPunct/>
        <w:topLinePunct w:val="0"/>
        <w:bidi w:val="0"/>
        <w:adjustRightInd/>
        <w:snapToGrid/>
        <w:spacing w:beforeAutospacing="0" w:line="360" w:lineRule="auto"/>
        <w:ind w:firstLine="420" w:firstLineChars="200"/>
        <w:textAlignment w:val="auto"/>
        <w:rPr>
          <w:rStyle w:val="59"/>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w:t>
      </w:r>
      <w:r>
        <w:rPr>
          <w:rStyle w:val="59"/>
          <w:rFonts w:hint="eastAsia" w:ascii="宋体" w:hAnsi="宋体" w:eastAsia="宋体" w:cs="宋体"/>
          <w:color w:val="auto"/>
          <w:sz w:val="21"/>
          <w:szCs w:val="21"/>
          <w:highlight w:val="none"/>
        </w:rPr>
        <w:t>解除的，保险人应当将保险标的未受损失部分的保险费，按照合同约定</w:t>
      </w:r>
      <w:r>
        <w:rPr>
          <w:rStyle w:val="59"/>
          <w:rFonts w:hint="eastAsia" w:ascii="宋体" w:hAnsi="宋体" w:eastAsia="宋体" w:cs="宋体"/>
          <w:b/>
          <w:bCs/>
          <w:color w:val="auto"/>
          <w:sz w:val="21"/>
          <w:szCs w:val="21"/>
          <w:highlight w:val="none"/>
        </w:rPr>
        <w:t>扣除自保险责任开始之日起至合同解除之日止应收的部分后</w:t>
      </w:r>
      <w:r>
        <w:rPr>
          <w:rStyle w:val="59"/>
          <w:rFonts w:hint="eastAsia" w:ascii="宋体" w:hAnsi="宋体" w:eastAsia="宋体" w:cs="宋体"/>
          <w:color w:val="auto"/>
          <w:sz w:val="21"/>
          <w:szCs w:val="21"/>
          <w:highlight w:val="none"/>
        </w:rPr>
        <w:t>，退还投保人。</w:t>
      </w:r>
    </w:p>
    <w:p w14:paraId="2AB245B0">
      <w:pPr>
        <w:keepNext w:val="0"/>
        <w:keepLines w:val="0"/>
        <w:pageBreakBefore w:val="0"/>
        <w:kinsoku/>
        <w:wordWrap/>
        <w:overflowPunct/>
        <w:topLinePunct w:val="0"/>
        <w:bidi w:val="0"/>
        <w:adjustRightInd/>
        <w:snapToGrid/>
        <w:spacing w:beforeAutospacing="0" w:line="360" w:lineRule="auto"/>
        <w:ind w:firstLine="422" w:firstLineChars="200"/>
        <w:textAlignment w:val="auto"/>
        <w:rPr>
          <w:rStyle w:val="59"/>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第三十九条</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z w:val="21"/>
          <w:szCs w:val="21"/>
          <w:highlight w:val="none"/>
        </w:rPr>
        <w:t>保险责任开始前，投保人要求解除保险合同的，应当按保险合同约定的比例向保险人支付退保手续费</w:t>
      </w:r>
      <w:r>
        <w:rPr>
          <w:rFonts w:hint="eastAsia" w:ascii="宋体" w:hAnsi="宋体" w:eastAsia="宋体" w:cs="宋体"/>
          <w:color w:val="auto"/>
          <w:sz w:val="21"/>
          <w:szCs w:val="21"/>
          <w:highlight w:val="none"/>
        </w:rPr>
        <w:t>，具体比例由投保人和保险人协商确定，并在保险单中载明，保险人应当退还保险费。</w:t>
      </w:r>
    </w:p>
    <w:p w14:paraId="04FD913C">
      <w:pPr>
        <w:keepNext w:val="0"/>
        <w:keepLines w:val="0"/>
        <w:pageBreakBefore w:val="0"/>
        <w:kinsoku/>
        <w:wordWrap/>
        <w:overflowPunct/>
        <w:topLinePunct w:val="0"/>
        <w:bidi w:val="0"/>
        <w:adjustRightInd/>
        <w:snapToGrid/>
        <w:spacing w:beforeAutospacing="0" w:line="360" w:lineRule="auto"/>
        <w:ind w:firstLine="422" w:firstLineChars="200"/>
        <w:textAlignment w:val="auto"/>
        <w:rPr>
          <w:rStyle w:val="59"/>
          <w:rFonts w:hint="eastAsia" w:ascii="宋体" w:hAnsi="宋体" w:eastAsia="宋体" w:cs="宋体"/>
          <w:b/>
          <w:bCs/>
          <w:color w:val="auto"/>
          <w:sz w:val="21"/>
          <w:szCs w:val="21"/>
          <w:highlight w:val="none"/>
        </w:rPr>
      </w:pPr>
      <w:r>
        <w:rPr>
          <w:rStyle w:val="59"/>
          <w:rFonts w:hint="eastAsia" w:ascii="宋体" w:hAnsi="宋体" w:eastAsia="宋体" w:cs="宋体"/>
          <w:b/>
          <w:bCs/>
          <w:color w:val="auto"/>
          <w:sz w:val="21"/>
          <w:szCs w:val="21"/>
          <w:highlight w:val="none"/>
        </w:rPr>
        <w:t>保险责任开始后，投保人要求解除保险合同的，自通知保险人之日起，保险合同解除，保险人按短期费率计收保险责任开始之日起至合同解除之日止期间的保险费，并退还剩余部分保险费。</w:t>
      </w:r>
    </w:p>
    <w:p w14:paraId="4EB6FE38">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第四十条</w:t>
      </w:r>
      <w:r>
        <w:rPr>
          <w:rFonts w:hint="eastAsia" w:ascii="宋体" w:hAnsi="宋体" w:eastAsia="宋体" w:cs="宋体"/>
          <w:color w:val="auto"/>
          <w:sz w:val="21"/>
          <w:szCs w:val="21"/>
          <w:highlight w:val="none"/>
        </w:rPr>
        <w:t xml:space="preserve"> 保险标的发生全部损失，属于保险责任的，保险人在履行赔偿义务后，本保险合同终止；</w:t>
      </w:r>
      <w:r>
        <w:rPr>
          <w:rFonts w:hint="eastAsia" w:ascii="宋体" w:hAnsi="宋体" w:eastAsia="宋体" w:cs="宋体"/>
          <w:b/>
          <w:bCs/>
          <w:color w:val="auto"/>
          <w:sz w:val="21"/>
          <w:szCs w:val="21"/>
          <w:highlight w:val="none"/>
        </w:rPr>
        <w:t>不属于保险责任的，本保险合同终止，保险人按短期费率计收自保险责任开始之日起至损失发生之日止期间的保险费，并退还剩余部分保险费。</w:t>
      </w:r>
    </w:p>
    <w:p w14:paraId="7938B1AE">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第四十一条</w:t>
      </w:r>
      <w:r>
        <w:rPr>
          <w:rFonts w:hint="eastAsia" w:ascii="宋体" w:hAnsi="宋体" w:eastAsia="宋体" w:cs="宋体"/>
          <w:color w:val="auto"/>
          <w:sz w:val="21"/>
          <w:szCs w:val="21"/>
          <w:highlight w:val="none"/>
        </w:rPr>
        <w:t xml:space="preserve"> 本保险合同约定与《中华人民共和国保险法》等法律规定相悖之处，以法律规定为准。本保险合同未尽事宜，以法律规定为准。</w:t>
      </w:r>
    </w:p>
    <w:p w14:paraId="3EA1A2E6">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释义</w:t>
      </w:r>
    </w:p>
    <w:p w14:paraId="3A0F15AB">
      <w:pPr>
        <w:pStyle w:val="9"/>
        <w:keepNext w:val="0"/>
        <w:keepLines w:val="0"/>
        <w:pageBreakBefore w:val="0"/>
        <w:kinsoku/>
        <w:wordWrap/>
        <w:overflowPunct/>
        <w:topLinePunct w:val="0"/>
        <w:bidi w:val="0"/>
        <w:adjustRightInd/>
        <w:snapToGrid/>
        <w:spacing w:beforeAutospacing="0" w:line="360" w:lineRule="auto"/>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 xml:space="preserve">第四十二条 </w:t>
      </w:r>
      <w:r>
        <w:rPr>
          <w:rFonts w:hint="eastAsia" w:ascii="宋体" w:hAnsi="宋体" w:eastAsia="宋体" w:cs="宋体"/>
          <w:b w:val="0"/>
          <w:color w:val="auto"/>
          <w:sz w:val="21"/>
          <w:szCs w:val="21"/>
          <w:highlight w:val="none"/>
        </w:rPr>
        <w:t>本保险合同涉及下列术语时，适用下列释义：</w:t>
      </w:r>
    </w:p>
    <w:p w14:paraId="2E5CC788">
      <w:pPr>
        <w:keepNext w:val="0"/>
        <w:keepLines w:val="0"/>
        <w:pageBreakBefore w:val="0"/>
        <w:kinsoku/>
        <w:wordWrap/>
        <w:overflowPunct/>
        <w:topLinePunct w:val="0"/>
        <w:bidi w:val="0"/>
        <w:adjustRightInd/>
        <w:snapToGrid/>
        <w:spacing w:before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（一）火灾</w:t>
      </w:r>
    </w:p>
    <w:p w14:paraId="0C4611FB">
      <w:pPr>
        <w:keepNext w:val="0"/>
        <w:keepLines w:val="0"/>
        <w:pageBreakBefore w:val="0"/>
        <w:kinsoku/>
        <w:wordWrap/>
        <w:overflowPunct/>
        <w:topLinePunct w:val="0"/>
        <w:bidi w:val="0"/>
        <w:adjustRightInd/>
        <w:snapToGrid/>
        <w:spacing w:before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在时间或空间上失去控制的燃烧所造成的灾害。构成本保险的火灾责任必须同时具备以下三个条件：</w:t>
      </w:r>
    </w:p>
    <w:p w14:paraId="3A52EAC0">
      <w:pPr>
        <w:keepNext w:val="0"/>
        <w:keepLines w:val="0"/>
        <w:pageBreakBefore w:val="0"/>
        <w:kinsoku/>
        <w:wordWrap/>
        <w:overflowPunct/>
        <w:topLinePunct w:val="0"/>
        <w:bidi w:val="0"/>
        <w:adjustRightInd/>
        <w:snapToGrid/>
        <w:spacing w:before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1．有燃烧现象，即有热有光有火焰；</w:t>
      </w:r>
    </w:p>
    <w:p w14:paraId="7EC7DD5D">
      <w:pPr>
        <w:keepNext w:val="0"/>
        <w:keepLines w:val="0"/>
        <w:pageBreakBefore w:val="0"/>
        <w:kinsoku/>
        <w:wordWrap/>
        <w:overflowPunct/>
        <w:topLinePunct w:val="0"/>
        <w:bidi w:val="0"/>
        <w:adjustRightInd/>
        <w:snapToGrid/>
        <w:spacing w:before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2．偶然、意外发生燃烧；</w:t>
      </w:r>
    </w:p>
    <w:p w14:paraId="34EF22AF">
      <w:pPr>
        <w:keepNext w:val="0"/>
        <w:keepLines w:val="0"/>
        <w:pageBreakBefore w:val="0"/>
        <w:kinsoku/>
        <w:wordWrap/>
        <w:overflowPunct/>
        <w:topLinePunct w:val="0"/>
        <w:bidi w:val="0"/>
        <w:adjustRightInd/>
        <w:snapToGrid/>
        <w:spacing w:before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3．燃烧失去控制并有蔓延扩大的趋势。</w:t>
      </w:r>
    </w:p>
    <w:p w14:paraId="7D15A134">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因此，仅有燃烧现象并不等于构成本保险中的火灾。在生产、生活中有目的用火，如为了防疫而焚毁</w:t>
      </w:r>
      <w:r>
        <w:rPr>
          <w:rFonts w:hint="eastAsia" w:ascii="宋体" w:hAnsi="宋体" w:cs="宋体"/>
          <w:b/>
          <w:bCs/>
          <w:color w:val="auto"/>
          <w:sz w:val="21"/>
          <w:szCs w:val="21"/>
          <w:highlight w:val="none"/>
          <w:lang w:val="en-US" w:eastAsia="zh-CN"/>
        </w:rPr>
        <w:t>沾</w:t>
      </w:r>
      <w:r>
        <w:rPr>
          <w:rFonts w:hint="eastAsia" w:ascii="宋体" w:hAnsi="宋体" w:eastAsia="宋体" w:cs="宋体"/>
          <w:b/>
          <w:bCs/>
          <w:color w:val="auto"/>
          <w:sz w:val="21"/>
          <w:szCs w:val="21"/>
          <w:highlight w:val="none"/>
        </w:rPr>
        <w:t>污的衣物，点火烧荒等属正常燃烧，不同于火灾。</w:t>
      </w:r>
    </w:p>
    <w:p w14:paraId="3087DA43">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因烘、烤、烫、烙造成焦糊变质等损失，既无燃烧现象，又无蔓延扩大趋势，也不属于火灾。</w:t>
      </w:r>
    </w:p>
    <w:p w14:paraId="2AD55EFA">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电机、电器、电气设备因使用过度、超电压、碰线、</w:t>
      </w:r>
      <w:r>
        <w:rPr>
          <w:rFonts w:hint="eastAsia" w:ascii="宋体" w:hAnsi="宋体" w:eastAsia="宋体" w:cs="宋体"/>
          <w:b/>
          <w:bCs/>
          <w:color w:val="auto"/>
          <w:sz w:val="21"/>
          <w:szCs w:val="21"/>
          <w:highlight w:val="none"/>
          <w:lang w:val="en-US" w:eastAsia="zh-CN"/>
        </w:rPr>
        <w:t>拉弧</w:t>
      </w:r>
      <w:r>
        <w:rPr>
          <w:rFonts w:hint="eastAsia" w:ascii="宋体" w:hAnsi="宋体" w:eastAsia="宋体" w:cs="宋体"/>
          <w:b/>
          <w:bCs/>
          <w:color w:val="auto"/>
          <w:sz w:val="21"/>
          <w:szCs w:val="21"/>
          <w:highlight w:val="none"/>
        </w:rPr>
        <w:t>、漏电、自身发热所造成的本身损毁，不属于火灾。</w:t>
      </w:r>
      <w:r>
        <w:rPr>
          <w:rFonts w:hint="eastAsia" w:ascii="宋体" w:hAnsi="宋体" w:eastAsia="宋体" w:cs="宋体"/>
          <w:color w:val="auto"/>
          <w:sz w:val="21"/>
          <w:szCs w:val="21"/>
          <w:highlight w:val="none"/>
        </w:rPr>
        <w:t>但如果发生了燃烧并失去控制蔓延扩大，才构成火灾，并对电机、电器、电气设备本身的损失负责赔偿。</w:t>
      </w:r>
    </w:p>
    <w:p w14:paraId="3B9EB42E">
      <w:pPr>
        <w:keepNext w:val="0"/>
        <w:keepLines w:val="0"/>
        <w:pageBreakBefore w:val="0"/>
        <w:kinsoku/>
        <w:wordWrap/>
        <w:overflowPunct/>
        <w:topLinePunct w:val="0"/>
        <w:bidi w:val="0"/>
        <w:adjustRightInd/>
        <w:snapToGrid/>
        <w:spacing w:before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（二）爆炸</w:t>
      </w:r>
    </w:p>
    <w:p w14:paraId="6AE05AF8">
      <w:pPr>
        <w:keepNext w:val="0"/>
        <w:keepLines w:val="0"/>
        <w:pageBreakBefore w:val="0"/>
        <w:kinsoku/>
        <w:wordWrap/>
        <w:overflowPunct/>
        <w:topLinePunct w:val="0"/>
        <w:bidi w:val="0"/>
        <w:adjustRightInd/>
        <w:snapToGrid/>
        <w:spacing w:before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爆炸分物理性爆炸和化学性爆炸。</w:t>
      </w:r>
    </w:p>
    <w:p w14:paraId="6EDEDE56">
      <w:pPr>
        <w:keepNext w:val="0"/>
        <w:keepLines w:val="0"/>
        <w:pageBreakBefore w:val="0"/>
        <w:kinsoku/>
        <w:wordWrap/>
        <w:overflowPunct/>
        <w:topLinePunct w:val="0"/>
        <w:bidi w:val="0"/>
        <w:adjustRightInd/>
        <w:snapToGrid/>
        <w:spacing w:before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物理性爆炸：由于液体变为蒸汽或气体膨胀，压力急剧增加并大大超过容器所能承受的极限压力，因而发生爆炸。如锅炉、空气压缩机、压缩气体钢瓶、液化气罐爆炸等。关于锅炉、压力容器爆炸的定义是：‘锅炉或压力容器在使用中或试压时发生破裂，使压力瞬时降到等于外界大气压力的事故，称为“爆炸事故”。</w:t>
      </w:r>
    </w:p>
    <w:p w14:paraId="28E33B75">
      <w:pPr>
        <w:keepNext w:val="0"/>
        <w:keepLines w:val="0"/>
        <w:pageBreakBefore w:val="0"/>
        <w:kinsoku/>
        <w:wordWrap/>
        <w:overflowPunct/>
        <w:topLinePunct w:val="0"/>
        <w:bidi w:val="0"/>
        <w:adjustRightInd/>
        <w:snapToGrid/>
        <w:spacing w:before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2．化学性爆炸：物体在瞬息分解或燃烧时放出大量的热和气体，并以很大的压力向四周扩散的现象。如火药爆炸、可燃性粉尘纤维爆炸、可燃气体爆炸及各种化学物品的爆炸等。</w:t>
      </w:r>
    </w:p>
    <w:p w14:paraId="71DB2963">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因物体本身的瑕疵，使用损耗或产品质量低劣以及由于容器内部承受“负压’（内压比外压小）造成的损失，不属于爆炸。</w:t>
      </w:r>
    </w:p>
    <w:p w14:paraId="2C090BD7">
      <w:pPr>
        <w:keepNext w:val="0"/>
        <w:keepLines w:val="0"/>
        <w:pageBreakBefore w:val="0"/>
        <w:kinsoku/>
        <w:wordWrap/>
        <w:overflowPunct/>
        <w:topLinePunct w:val="0"/>
        <w:bidi w:val="0"/>
        <w:adjustRightInd/>
        <w:snapToGrid/>
        <w:spacing w:before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（三）雷击</w:t>
      </w:r>
    </w:p>
    <w:p w14:paraId="41AA4DAD">
      <w:pPr>
        <w:keepNext w:val="0"/>
        <w:keepLines w:val="0"/>
        <w:pageBreakBefore w:val="0"/>
        <w:kinsoku/>
        <w:wordWrap/>
        <w:overflowPunct/>
        <w:topLinePunct w:val="0"/>
        <w:bidi w:val="0"/>
        <w:adjustRightInd/>
        <w:snapToGrid/>
        <w:spacing w:before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雷击指由雷电造成的灾害。雷电为积雨云中、云间或云地之间产生的放电现象。雷击的破坏形式分直接雷击与感应雷击两种。</w:t>
      </w:r>
    </w:p>
    <w:p w14:paraId="278DDD43">
      <w:pPr>
        <w:keepNext w:val="0"/>
        <w:keepLines w:val="0"/>
        <w:pageBreakBefore w:val="0"/>
        <w:kinsoku/>
        <w:wordWrap/>
        <w:overflowPunct/>
        <w:topLinePunct w:val="0"/>
        <w:bidi w:val="0"/>
        <w:adjustRightInd/>
        <w:snapToGrid/>
        <w:spacing w:before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1．直接雷击：由于雷电直接击中保险标的造成损失，属直接雷击。</w:t>
      </w:r>
    </w:p>
    <w:p w14:paraId="3191EA19">
      <w:pPr>
        <w:keepNext w:val="0"/>
        <w:keepLines w:val="0"/>
        <w:pageBreakBefore w:val="0"/>
        <w:kinsoku/>
        <w:wordWrap/>
        <w:overflowPunct/>
        <w:topLinePunct w:val="0"/>
        <w:bidi w:val="0"/>
        <w:adjustRightInd/>
        <w:snapToGrid/>
        <w:spacing w:before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2．感应雷击：由于雷击产生的静电感应或电磁感应使屋内对地绝缘金属物体产生高电位放出火花引起的火灾，导致电器本身的损毁，或因雷电的高电压感应，致使电器部件的损毁，属感应雷击。    </w:t>
      </w:r>
    </w:p>
    <w:p w14:paraId="20A23BB2">
      <w:pPr>
        <w:keepNext w:val="0"/>
        <w:keepLines w:val="0"/>
        <w:pageBreakBefore w:val="0"/>
        <w:kinsoku/>
        <w:wordWrap/>
        <w:overflowPunct/>
        <w:topLinePunct w:val="0"/>
        <w:bidi w:val="0"/>
        <w:adjustRightInd/>
        <w:snapToGrid/>
        <w:spacing w:before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（四）暴雨：指每小时降雨量达16毫米以上，或连续12小时降雨量达30毫米以上，或连续24小时降雨量达50毫米以上的降雨。</w:t>
      </w:r>
    </w:p>
    <w:p w14:paraId="166993FB">
      <w:pPr>
        <w:keepNext w:val="0"/>
        <w:keepLines w:val="0"/>
        <w:pageBreakBefore w:val="0"/>
        <w:kinsoku/>
        <w:wordWrap/>
        <w:overflowPunct/>
        <w:topLinePunct w:val="0"/>
        <w:bidi w:val="0"/>
        <w:adjustRightInd/>
        <w:snapToGrid/>
        <w:spacing w:beforeAutospacing="0" w:line="360" w:lineRule="auto"/>
        <w:ind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（五）洪水：指山洪暴发、江河泛滥、潮水上岸及倒灌。</w:t>
      </w:r>
      <w:r>
        <w:rPr>
          <w:rFonts w:hint="eastAsia" w:ascii="宋体" w:hAnsi="宋体" w:eastAsia="宋体" w:cs="宋体"/>
          <w:b/>
          <w:bCs/>
          <w:color w:val="auto"/>
          <w:sz w:val="21"/>
          <w:szCs w:val="21"/>
          <w:highlight w:val="none"/>
        </w:rPr>
        <w:t>但规律性的涨潮、自动灭火设施漏水以及在常年水位以下或地下渗水、水管</w:t>
      </w:r>
      <w:r>
        <w:rPr>
          <w:rFonts w:hint="eastAsia" w:ascii="宋体" w:hAnsi="宋体" w:eastAsia="宋体" w:cs="宋体"/>
          <w:b/>
          <w:bCs/>
          <w:color w:val="auto"/>
          <w:sz w:val="21"/>
          <w:szCs w:val="21"/>
          <w:highlight w:val="none"/>
          <w:lang w:val="en-US" w:eastAsia="zh-CN"/>
        </w:rPr>
        <w:t>爆</w:t>
      </w:r>
      <w:r>
        <w:rPr>
          <w:rFonts w:hint="eastAsia" w:ascii="宋体" w:hAnsi="宋体" w:eastAsia="宋体" w:cs="宋体"/>
          <w:b/>
          <w:bCs/>
          <w:color w:val="auto"/>
          <w:sz w:val="21"/>
          <w:szCs w:val="21"/>
          <w:highlight w:val="none"/>
        </w:rPr>
        <w:t>裂不属于洪水。</w:t>
      </w:r>
    </w:p>
    <w:p w14:paraId="6795114F">
      <w:pPr>
        <w:keepNext w:val="0"/>
        <w:keepLines w:val="0"/>
        <w:pageBreakBefore w:val="0"/>
        <w:kinsoku/>
        <w:wordWrap/>
        <w:overflowPunct/>
        <w:topLinePunct w:val="0"/>
        <w:bidi w:val="0"/>
        <w:adjustRightInd/>
        <w:snapToGrid/>
        <w:spacing w:before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（六）暴风：指风力达8级、风速在17.2米/秒以上的自然风。</w:t>
      </w:r>
    </w:p>
    <w:p w14:paraId="193B2FDE">
      <w:pPr>
        <w:keepNext w:val="0"/>
        <w:keepLines w:val="0"/>
        <w:pageBreakBefore w:val="0"/>
        <w:kinsoku/>
        <w:wordWrap/>
        <w:overflowPunct/>
        <w:topLinePunct w:val="0"/>
        <w:bidi w:val="0"/>
        <w:adjustRightInd/>
        <w:snapToGrid/>
        <w:spacing w:before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（七）龙卷风：指一种范围小而时间短的猛烈旋风，陆地上平均最大风速在79米/秒-103米/秒，极端最大风速在100米/秒以上。</w:t>
      </w:r>
    </w:p>
    <w:p w14:paraId="2D89273B">
      <w:pPr>
        <w:keepNext w:val="0"/>
        <w:keepLines w:val="0"/>
        <w:pageBreakBefore w:val="0"/>
        <w:kinsoku/>
        <w:wordWrap/>
        <w:overflowPunct/>
        <w:topLinePunct w:val="0"/>
        <w:bidi w:val="0"/>
        <w:adjustRightInd/>
        <w:snapToGrid/>
        <w:spacing w:before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（八）冰雹：指从强烈对流的积雨云中降落到地面的冰块或冰球，直径大于5毫米，核心坚硬的固体降水。</w:t>
      </w:r>
    </w:p>
    <w:p w14:paraId="053B2789">
      <w:pPr>
        <w:keepNext w:val="0"/>
        <w:keepLines w:val="0"/>
        <w:pageBreakBefore w:val="0"/>
        <w:kinsoku/>
        <w:wordWrap/>
        <w:overflowPunct/>
        <w:topLinePunct w:val="0"/>
        <w:bidi w:val="0"/>
        <w:adjustRightInd/>
        <w:snapToGrid/>
        <w:spacing w:before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九）台风、飓风：台风指中心附近最大平均风力12级或以上，即风速在32.6米/秒以上的热带气旋；飓风是一种与台风性质相同、但出现的位置区域不同的热带气旋，台风出现在西北太平洋海域，而飓风出现在印度洋、大西洋海域。</w:t>
      </w:r>
    </w:p>
    <w:p w14:paraId="115CAE2E">
      <w:pPr>
        <w:keepNext w:val="0"/>
        <w:keepLines w:val="0"/>
        <w:pageBreakBefore w:val="0"/>
        <w:kinsoku/>
        <w:wordWrap/>
        <w:overflowPunct/>
        <w:topLinePunct w:val="0"/>
        <w:bidi w:val="0"/>
        <w:adjustRightInd/>
        <w:snapToGrid/>
        <w:spacing w:before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（十）沙尘暴：指强风将地面大量尘沙吹起，使空气很混浊，水平能见度小于1公里的天气现象。</w:t>
      </w:r>
    </w:p>
    <w:p w14:paraId="5BD6E5B6">
      <w:pPr>
        <w:keepNext w:val="0"/>
        <w:keepLines w:val="0"/>
        <w:pageBreakBefore w:val="0"/>
        <w:kinsoku/>
        <w:wordWrap/>
        <w:overflowPunct/>
        <w:topLinePunct w:val="0"/>
        <w:bidi w:val="0"/>
        <w:adjustRightInd/>
        <w:snapToGrid/>
        <w:spacing w:before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（十一）暴雪：指连续12小时的降雪量大于或等于10毫米的降雪现象。</w:t>
      </w:r>
    </w:p>
    <w:p w14:paraId="2E97189E">
      <w:pPr>
        <w:keepNext w:val="0"/>
        <w:keepLines w:val="0"/>
        <w:pageBreakBefore w:val="0"/>
        <w:kinsoku/>
        <w:wordWrap/>
        <w:overflowPunct/>
        <w:topLinePunct w:val="0"/>
        <w:bidi w:val="0"/>
        <w:adjustRightInd/>
        <w:snapToGrid/>
        <w:spacing w:before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（十二）冰凌：指春季江河解冻期时冰块飘浮遇阻，堆积成坝，堵塞江道，造成水位急剧上升，以致江水溢出江道，漫延成灾。</w:t>
      </w:r>
    </w:p>
    <w:p w14:paraId="2CC62AF2">
      <w:pPr>
        <w:keepNext w:val="0"/>
        <w:keepLines w:val="0"/>
        <w:pageBreakBefore w:val="0"/>
        <w:kinsoku/>
        <w:wordWrap/>
        <w:overflowPunct/>
        <w:topLinePunct w:val="0"/>
        <w:bidi w:val="0"/>
        <w:adjustRightInd/>
        <w:snapToGrid/>
        <w:spacing w:before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陆上有些地区，如山谷风口或酷寒致使雨雪在物体上结成冰块，</w:t>
      </w:r>
      <w:r>
        <w:rPr>
          <w:rFonts w:hint="eastAsia" w:ascii="宋体" w:hAnsi="宋体" w:eastAsia="宋体" w:cs="宋体"/>
          <w:color w:val="auto"/>
          <w:sz w:val="21"/>
          <w:szCs w:val="21"/>
          <w:highlight w:val="none"/>
          <w:lang w:val="en-US" w:eastAsia="zh-CN"/>
        </w:rPr>
        <w:t>呈</w:t>
      </w:r>
      <w:r>
        <w:rPr>
          <w:rFonts w:hint="eastAsia" w:ascii="宋体" w:hAnsi="宋体" w:eastAsia="宋体" w:cs="宋体"/>
          <w:color w:val="auto"/>
          <w:sz w:val="21"/>
          <w:szCs w:val="21"/>
          <w:highlight w:val="none"/>
        </w:rPr>
        <w:t>下垂形状，越结越厚，重量增加，由于下垂的拉力致使物体毁坏，也属冰凌。</w:t>
      </w:r>
    </w:p>
    <w:p w14:paraId="46954CF2">
      <w:pPr>
        <w:keepNext w:val="0"/>
        <w:keepLines w:val="0"/>
        <w:pageBreakBefore w:val="0"/>
        <w:kinsoku/>
        <w:wordWrap/>
        <w:overflowPunct/>
        <w:topLinePunct w:val="0"/>
        <w:bidi w:val="0"/>
        <w:adjustRightInd/>
        <w:snapToGrid/>
        <w:spacing w:before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（十三）突发性滑坡：斜坡上不稳的岩土体或人为堆积物在重力作用下突然整体向下滑动的现象。</w:t>
      </w:r>
    </w:p>
    <w:p w14:paraId="355F78BA">
      <w:pPr>
        <w:keepNext w:val="0"/>
        <w:keepLines w:val="0"/>
        <w:pageBreakBefore w:val="0"/>
        <w:kinsoku/>
        <w:wordWrap/>
        <w:overflowPunct/>
        <w:topLinePunct w:val="0"/>
        <w:bidi w:val="0"/>
        <w:adjustRightInd/>
        <w:snapToGrid/>
        <w:spacing w:before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（十四）崩塌：石崖、土崖、岩石受自然风化、雨蚀造成崩溃下塌，以及大量积雪在重力作用下从高处突然崩塌滚落。</w:t>
      </w:r>
    </w:p>
    <w:p w14:paraId="3BB955D9">
      <w:pPr>
        <w:keepNext w:val="0"/>
        <w:keepLines w:val="0"/>
        <w:pageBreakBefore w:val="0"/>
        <w:kinsoku/>
        <w:wordWrap/>
        <w:overflowPunct/>
        <w:topLinePunct w:val="0"/>
        <w:bidi w:val="0"/>
        <w:adjustRightInd/>
        <w:snapToGrid/>
        <w:spacing w:before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（十五）泥石流：由于雨水、冰雪融化等水源激发的、含有大量泥沙石块的特殊洪流。</w:t>
      </w:r>
    </w:p>
    <w:p w14:paraId="05BBCCA0">
      <w:pPr>
        <w:keepNext w:val="0"/>
        <w:keepLines w:val="0"/>
        <w:pageBreakBefore w:val="0"/>
        <w:kinsoku/>
        <w:wordWrap/>
        <w:overflowPunct/>
        <w:topLinePunct w:val="0"/>
        <w:bidi w:val="0"/>
        <w:adjustRightInd/>
        <w:snapToGrid/>
        <w:spacing w:beforeAutospacing="0" w:line="360" w:lineRule="auto"/>
        <w:ind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（十六）地面突然下陷下沉：地壳因为自然变异，地层收缩而发生突然塌陷。对于因海潮、河流、大雨侵蚀或在建筑房屋前没有掌握地层情况，地下有孔穴、矿穴，以致地面突然塌陷，也属地面突然下陷下沉。</w:t>
      </w:r>
      <w:r>
        <w:rPr>
          <w:rFonts w:hint="eastAsia" w:ascii="宋体" w:hAnsi="宋体" w:eastAsia="宋体" w:cs="宋体"/>
          <w:b/>
          <w:bCs/>
          <w:color w:val="auto"/>
          <w:sz w:val="21"/>
          <w:szCs w:val="21"/>
          <w:highlight w:val="none"/>
        </w:rPr>
        <w:t>但未按建筑施工要求导致建筑地基下沉、裂缝、倒塌等，不在此列。</w:t>
      </w:r>
    </w:p>
    <w:p w14:paraId="73F1239B">
      <w:pPr>
        <w:keepNext w:val="0"/>
        <w:keepLines w:val="0"/>
        <w:pageBreakBefore w:val="0"/>
        <w:kinsoku/>
        <w:wordWrap/>
        <w:overflowPunct/>
        <w:topLinePunct w:val="0"/>
        <w:bidi w:val="0"/>
        <w:adjustRightInd/>
        <w:snapToGrid/>
        <w:spacing w:before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（十七）自然灾害：指雷击、暴雨、洪水、暴风、龙卷风、冰雹、台风、飓风、沙尘暴、暴雪、冰凌、突发性滑坡、崩塌、泥石流、地面突然下陷下沉及其他人力不可抗拒的破坏力强大的自然现象。</w:t>
      </w:r>
    </w:p>
    <w:p w14:paraId="567594AB">
      <w:pPr>
        <w:keepNext w:val="0"/>
        <w:keepLines w:val="0"/>
        <w:pageBreakBefore w:val="0"/>
        <w:kinsoku/>
        <w:wordWrap/>
        <w:overflowPunct/>
        <w:topLinePunct w:val="0"/>
        <w:bidi w:val="0"/>
        <w:adjustRightInd/>
        <w:snapToGrid/>
        <w:spacing w:before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（十八）意外事故：指不可预料的以及被保险人无法控制并造成物质损失的突发性事件，包括火灾和爆炸。</w:t>
      </w:r>
    </w:p>
    <w:p w14:paraId="222C72EE">
      <w:pPr>
        <w:keepNext w:val="0"/>
        <w:keepLines w:val="0"/>
        <w:pageBreakBefore w:val="0"/>
        <w:kinsoku/>
        <w:wordWrap/>
        <w:overflowPunct/>
        <w:topLinePunct w:val="0"/>
        <w:bidi w:val="0"/>
        <w:adjustRightInd/>
        <w:snapToGrid/>
        <w:spacing w:before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（十九）重大过失行为：指行为人不但没有遵守法律规范对其较高要求，甚至连人们都应当注意并能注意的一般标准也未达到的行为。</w:t>
      </w:r>
    </w:p>
    <w:p w14:paraId="15E91925">
      <w:pPr>
        <w:keepNext w:val="0"/>
        <w:keepLines w:val="0"/>
        <w:pageBreakBefore w:val="0"/>
        <w:kinsoku/>
        <w:wordWrap/>
        <w:overflowPunct/>
        <w:topLinePunct w:val="0"/>
        <w:bidi w:val="0"/>
        <w:adjustRightInd/>
        <w:snapToGrid/>
        <w:spacing w:before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（二十）恐怖活动：指任何人以某一组织的名义或参与某一组织使用武力或暴力对任何政府进行恐吓或施加影响而采取的行动。</w:t>
      </w:r>
    </w:p>
    <w:p w14:paraId="303E5222">
      <w:pPr>
        <w:keepNext w:val="0"/>
        <w:keepLines w:val="0"/>
        <w:pageBreakBefore w:val="0"/>
        <w:kinsoku/>
        <w:wordWrap/>
        <w:overflowPunct/>
        <w:topLinePunct w:val="0"/>
        <w:bidi w:val="0"/>
        <w:adjustRightInd/>
        <w:snapToGrid/>
        <w:spacing w:before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（二十一）地震：地壳发生的震动。</w:t>
      </w:r>
    </w:p>
    <w:p w14:paraId="1766144E">
      <w:pPr>
        <w:keepNext w:val="0"/>
        <w:keepLines w:val="0"/>
        <w:pageBreakBefore w:val="0"/>
        <w:kinsoku/>
        <w:wordWrap/>
        <w:overflowPunct/>
        <w:topLinePunct w:val="0"/>
        <w:bidi w:val="0"/>
        <w:adjustRightInd/>
        <w:snapToGrid/>
        <w:spacing w:before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（二十二）海啸：海啸是指由海底地震，火山爆发或水下滑坡、塌陷所激发的海洋巨波。</w:t>
      </w:r>
    </w:p>
    <w:p w14:paraId="060E1543">
      <w:pPr>
        <w:keepNext w:val="0"/>
        <w:keepLines w:val="0"/>
        <w:pageBreakBefore w:val="0"/>
        <w:kinsoku/>
        <w:wordWrap/>
        <w:overflowPunct/>
        <w:topLinePunct w:val="0"/>
        <w:bidi w:val="0"/>
        <w:adjustRightInd/>
        <w:snapToGrid/>
        <w:spacing w:before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（二十三）行政行为、司法行为：指各级政府部门、执法机关或依法履行公共管理、社会管理职能的机构下令破坏、征用、罚没保险标的的行为。</w:t>
      </w:r>
    </w:p>
    <w:p w14:paraId="60AF7418">
      <w:pPr>
        <w:keepNext w:val="0"/>
        <w:keepLines w:val="0"/>
        <w:pageBreakBefore w:val="0"/>
        <w:kinsoku/>
        <w:wordWrap/>
        <w:overflowPunct/>
        <w:topLinePunct w:val="0"/>
        <w:bidi w:val="0"/>
        <w:adjustRightInd/>
        <w:snapToGrid/>
        <w:spacing w:before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十四）简易建筑：指符合下列条件之一的建筑：（1）使用竹木、芦席、蓬布、茅草、油毛毡、塑料膜、尼龙布、玻璃钢瓦等材料为顶或墙体的建筑；（2）顶部封闭，但直立面非封闭部分的面积与直立面总面积的比例超过10％的建筑；（3）屋顶与所有墙体之间的最大距离超过一米的建筑。</w:t>
      </w:r>
    </w:p>
    <w:p w14:paraId="58A234E1">
      <w:pPr>
        <w:keepNext w:val="0"/>
        <w:keepLines w:val="0"/>
        <w:pageBreakBefore w:val="0"/>
        <w:kinsoku/>
        <w:wordWrap/>
        <w:overflowPunct/>
        <w:topLinePunct w:val="0"/>
        <w:bidi w:val="0"/>
        <w:adjustRightInd/>
        <w:snapToGrid/>
        <w:spacing w:beforeAutospacing="0" w:line="360" w:lineRule="auto"/>
        <w:ind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（二十五）重置价值：指替换、重建受损保险标的，以使其达到全新状态而发生的费用，</w:t>
      </w:r>
      <w:r>
        <w:rPr>
          <w:rFonts w:hint="eastAsia" w:ascii="宋体" w:hAnsi="宋体" w:eastAsia="宋体" w:cs="宋体"/>
          <w:b/>
          <w:bCs/>
          <w:color w:val="auto"/>
          <w:sz w:val="21"/>
          <w:szCs w:val="21"/>
          <w:highlight w:val="none"/>
        </w:rPr>
        <w:t>但不包括被保险人进行的任何变更、性能增加或改进所产生的额外费用。</w:t>
      </w:r>
    </w:p>
    <w:p w14:paraId="4A60FAC5">
      <w:pPr>
        <w:keepNext w:val="0"/>
        <w:keepLines w:val="0"/>
        <w:pageBreakBefore w:val="0"/>
        <w:kinsoku/>
        <w:wordWrap/>
        <w:overflowPunct/>
        <w:topLinePunct w:val="0"/>
        <w:bidi w:val="0"/>
        <w:adjustRightInd/>
        <w:snapToGrid/>
        <w:spacing w:before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（二十六）网络安全事故：因网络受到攻击、侵入、干扰、破坏和非法使用以及意外事故，导致网络处于不稳定、不可靠运行的状态，造成网络数据的完整性、保密性和可用性受到影响的情形。</w:t>
      </w:r>
    </w:p>
    <w:p w14:paraId="3F99C92C">
      <w:pPr>
        <w:keepNext w:val="0"/>
        <w:keepLines w:val="0"/>
        <w:pageBreakBefore w:val="0"/>
        <w:kinsoku/>
        <w:wordWrap/>
        <w:overflowPunct/>
        <w:topLinePunct w:val="0"/>
        <w:bidi w:val="0"/>
        <w:adjustRightInd/>
        <w:snapToGrid/>
        <w:spacing w:beforeAutospacing="0" w:line="360" w:lineRule="auto"/>
        <w:ind w:firstLine="420" w:firstLineChars="200"/>
        <w:textAlignment w:val="auto"/>
        <w:rPr>
          <w:rFonts w:hint="eastAsia" w:ascii="宋体" w:hAnsi="宋体" w:eastAsia="宋体" w:cs="宋体"/>
          <w:color w:val="auto"/>
          <w:sz w:val="21"/>
          <w:szCs w:val="21"/>
          <w:highlight w:val="none"/>
        </w:rPr>
      </w:pPr>
    </w:p>
    <w:p w14:paraId="59F52A02">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b/>
          <w:bCs/>
          <w:color w:val="auto"/>
          <w:sz w:val="21"/>
          <w:szCs w:val="21"/>
          <w:highlight w:val="none"/>
        </w:rPr>
      </w:pPr>
      <w:bookmarkStart w:id="1" w:name="_Hlt29017149"/>
      <w:bookmarkEnd w:id="1"/>
      <w:bookmarkStart w:id="2" w:name="_Hlt29017273"/>
      <w:bookmarkEnd w:id="2"/>
      <w:r>
        <w:rPr>
          <w:rFonts w:hint="eastAsia" w:ascii="宋体" w:hAnsi="宋体" w:eastAsia="宋体" w:cs="宋体"/>
          <w:b/>
          <w:color w:val="auto"/>
          <w:sz w:val="21"/>
          <w:szCs w:val="21"/>
          <w:highlight w:val="none"/>
        </w:rPr>
        <w:t>附录：</w:t>
      </w:r>
      <w:r>
        <w:rPr>
          <w:rFonts w:hint="eastAsia" w:ascii="宋体" w:hAnsi="宋体" w:eastAsia="宋体" w:cs="宋体"/>
          <w:b/>
          <w:bCs/>
          <w:color w:val="auto"/>
          <w:sz w:val="21"/>
          <w:szCs w:val="21"/>
          <w:highlight w:val="none"/>
        </w:rPr>
        <w:t>短期费率表</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5"/>
        <w:gridCol w:w="540"/>
        <w:gridCol w:w="540"/>
        <w:gridCol w:w="540"/>
        <w:gridCol w:w="540"/>
        <w:gridCol w:w="540"/>
        <w:gridCol w:w="540"/>
        <w:gridCol w:w="540"/>
        <w:gridCol w:w="540"/>
        <w:gridCol w:w="540"/>
        <w:gridCol w:w="540"/>
        <w:gridCol w:w="537"/>
        <w:gridCol w:w="531"/>
      </w:tblGrid>
      <w:tr w14:paraId="32C84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5" w:type="dxa"/>
            <w:vAlign w:val="center"/>
          </w:tcPr>
          <w:p w14:paraId="2463042C">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保险</w:t>
            </w:r>
          </w:p>
          <w:p w14:paraId="7BA61E68">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期间</w:t>
            </w:r>
          </w:p>
        </w:tc>
        <w:tc>
          <w:tcPr>
            <w:tcW w:w="540" w:type="dxa"/>
            <w:vAlign w:val="center"/>
          </w:tcPr>
          <w:p w14:paraId="5ECB2611">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p>
          <w:p w14:paraId="6022D7EC">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p w14:paraId="19D13C6E">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月</w:t>
            </w:r>
          </w:p>
        </w:tc>
        <w:tc>
          <w:tcPr>
            <w:tcW w:w="540" w:type="dxa"/>
            <w:vAlign w:val="center"/>
          </w:tcPr>
          <w:p w14:paraId="4C39AA48">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w:t>
            </w:r>
          </w:p>
          <w:p w14:paraId="09447911">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p w14:paraId="2DF06C86">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月</w:t>
            </w:r>
          </w:p>
        </w:tc>
        <w:tc>
          <w:tcPr>
            <w:tcW w:w="540" w:type="dxa"/>
            <w:vAlign w:val="center"/>
          </w:tcPr>
          <w:p w14:paraId="481007E8">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w:t>
            </w:r>
          </w:p>
          <w:p w14:paraId="171D4326">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p w14:paraId="28B83040">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月</w:t>
            </w:r>
          </w:p>
        </w:tc>
        <w:tc>
          <w:tcPr>
            <w:tcW w:w="540" w:type="dxa"/>
            <w:vAlign w:val="center"/>
          </w:tcPr>
          <w:p w14:paraId="443B561B">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w:t>
            </w:r>
          </w:p>
          <w:p w14:paraId="4531C0E7">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p w14:paraId="04C3EE29">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月</w:t>
            </w:r>
          </w:p>
        </w:tc>
        <w:tc>
          <w:tcPr>
            <w:tcW w:w="540" w:type="dxa"/>
            <w:vAlign w:val="center"/>
          </w:tcPr>
          <w:p w14:paraId="118ECA50">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w:t>
            </w:r>
          </w:p>
          <w:p w14:paraId="69F36771">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p w14:paraId="4D8F7D29">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月</w:t>
            </w:r>
          </w:p>
        </w:tc>
        <w:tc>
          <w:tcPr>
            <w:tcW w:w="540" w:type="dxa"/>
            <w:vAlign w:val="center"/>
          </w:tcPr>
          <w:p w14:paraId="20E16544">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w:t>
            </w:r>
          </w:p>
          <w:p w14:paraId="0FFB33DA">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p w14:paraId="03DB0478">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月</w:t>
            </w:r>
          </w:p>
        </w:tc>
        <w:tc>
          <w:tcPr>
            <w:tcW w:w="540" w:type="dxa"/>
            <w:vAlign w:val="center"/>
          </w:tcPr>
          <w:p w14:paraId="5EF21706">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w:t>
            </w:r>
          </w:p>
          <w:p w14:paraId="1EB5A7FA">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p w14:paraId="72C8642A">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月</w:t>
            </w:r>
          </w:p>
        </w:tc>
        <w:tc>
          <w:tcPr>
            <w:tcW w:w="540" w:type="dxa"/>
            <w:vAlign w:val="center"/>
          </w:tcPr>
          <w:p w14:paraId="5A117E26">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w:t>
            </w:r>
          </w:p>
          <w:p w14:paraId="356E7BB1">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p w14:paraId="08371941">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月</w:t>
            </w:r>
          </w:p>
        </w:tc>
        <w:tc>
          <w:tcPr>
            <w:tcW w:w="540" w:type="dxa"/>
            <w:vAlign w:val="center"/>
          </w:tcPr>
          <w:p w14:paraId="165D07AA">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九</w:t>
            </w:r>
          </w:p>
          <w:p w14:paraId="4BF1007C">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p w14:paraId="6D521C5D">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月</w:t>
            </w:r>
          </w:p>
        </w:tc>
        <w:tc>
          <w:tcPr>
            <w:tcW w:w="540" w:type="dxa"/>
            <w:vAlign w:val="center"/>
          </w:tcPr>
          <w:p w14:paraId="3A19D90E">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w:t>
            </w:r>
          </w:p>
          <w:p w14:paraId="69188A0A">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p w14:paraId="31655B5A">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月</w:t>
            </w:r>
          </w:p>
        </w:tc>
        <w:tc>
          <w:tcPr>
            <w:tcW w:w="537" w:type="dxa"/>
            <w:vAlign w:val="center"/>
          </w:tcPr>
          <w:p w14:paraId="66522737">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w:t>
            </w:r>
          </w:p>
          <w:p w14:paraId="5133F479">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p>
          <w:p w14:paraId="70F25CBE">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p w14:paraId="69AFFEC9">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月</w:t>
            </w:r>
          </w:p>
        </w:tc>
        <w:tc>
          <w:tcPr>
            <w:tcW w:w="531" w:type="dxa"/>
            <w:vAlign w:val="center"/>
          </w:tcPr>
          <w:p w14:paraId="2ADC8F0D">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w:t>
            </w:r>
          </w:p>
          <w:p w14:paraId="72C2950A">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w:t>
            </w:r>
          </w:p>
          <w:p w14:paraId="0D379724">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p w14:paraId="73602EFD">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月</w:t>
            </w:r>
          </w:p>
        </w:tc>
      </w:tr>
      <w:tr w14:paraId="6D066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5" w:type="dxa"/>
            <w:vAlign w:val="center"/>
          </w:tcPr>
          <w:p w14:paraId="3AF104C0">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年费率的百分比</w:t>
            </w:r>
          </w:p>
        </w:tc>
        <w:tc>
          <w:tcPr>
            <w:tcW w:w="540" w:type="dxa"/>
            <w:vAlign w:val="center"/>
          </w:tcPr>
          <w:p w14:paraId="1FF6A1C4">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540" w:type="dxa"/>
            <w:vAlign w:val="center"/>
          </w:tcPr>
          <w:p w14:paraId="52190B29">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540" w:type="dxa"/>
            <w:vAlign w:val="center"/>
          </w:tcPr>
          <w:p w14:paraId="11D439C5">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w:t>
            </w:r>
          </w:p>
        </w:tc>
        <w:tc>
          <w:tcPr>
            <w:tcW w:w="540" w:type="dxa"/>
            <w:vAlign w:val="center"/>
          </w:tcPr>
          <w:p w14:paraId="66D576FC">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w:t>
            </w:r>
          </w:p>
        </w:tc>
        <w:tc>
          <w:tcPr>
            <w:tcW w:w="540" w:type="dxa"/>
            <w:vAlign w:val="center"/>
          </w:tcPr>
          <w:p w14:paraId="5464C552">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w:t>
            </w:r>
          </w:p>
        </w:tc>
        <w:tc>
          <w:tcPr>
            <w:tcW w:w="540" w:type="dxa"/>
            <w:vAlign w:val="center"/>
          </w:tcPr>
          <w:p w14:paraId="70261FE1">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60</w:t>
            </w:r>
          </w:p>
        </w:tc>
        <w:tc>
          <w:tcPr>
            <w:tcW w:w="540" w:type="dxa"/>
            <w:vAlign w:val="center"/>
          </w:tcPr>
          <w:p w14:paraId="50964823">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70</w:t>
            </w:r>
          </w:p>
        </w:tc>
        <w:tc>
          <w:tcPr>
            <w:tcW w:w="540" w:type="dxa"/>
            <w:vAlign w:val="center"/>
          </w:tcPr>
          <w:p w14:paraId="5FD30E72">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80</w:t>
            </w:r>
          </w:p>
        </w:tc>
        <w:tc>
          <w:tcPr>
            <w:tcW w:w="540" w:type="dxa"/>
            <w:vAlign w:val="center"/>
          </w:tcPr>
          <w:p w14:paraId="7C7706B0">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85</w:t>
            </w:r>
          </w:p>
        </w:tc>
        <w:tc>
          <w:tcPr>
            <w:tcW w:w="540" w:type="dxa"/>
            <w:vAlign w:val="center"/>
          </w:tcPr>
          <w:p w14:paraId="007ECEA8">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90</w:t>
            </w:r>
          </w:p>
        </w:tc>
        <w:tc>
          <w:tcPr>
            <w:tcW w:w="537" w:type="dxa"/>
            <w:vAlign w:val="center"/>
          </w:tcPr>
          <w:p w14:paraId="2EFA23ED">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95</w:t>
            </w:r>
          </w:p>
        </w:tc>
        <w:tc>
          <w:tcPr>
            <w:tcW w:w="531" w:type="dxa"/>
            <w:vAlign w:val="center"/>
          </w:tcPr>
          <w:p w14:paraId="3712BBE6">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w:t>
            </w:r>
          </w:p>
        </w:tc>
      </w:tr>
    </w:tbl>
    <w:p w14:paraId="1B5C85FD">
      <w:pPr>
        <w:keepNext w:val="0"/>
        <w:keepLines w:val="0"/>
        <w:pageBreakBefore w:val="0"/>
        <w:kinsoku/>
        <w:wordWrap/>
        <w:overflowPunct/>
        <w:topLinePunct w:val="0"/>
        <w:bidi w:val="0"/>
        <w:adjustRightInd/>
        <w:snapToGrid/>
        <w:spacing w:before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注：不足一个月的部分按一个月计收。</w:t>
      </w:r>
    </w:p>
    <w:p w14:paraId="25E6B087">
      <w:pPr>
        <w:spacing w:line="400" w:lineRule="exact"/>
        <w:ind w:firstLine="480" w:firstLineChars="200"/>
        <w:rPr>
          <w:rFonts w:hint="default" w:ascii="Times New Roman" w:hAnsi="Times New Roman" w:eastAsia="仿宋_GB2312" w:cs="Times New Roman"/>
          <w:color w:val="auto"/>
          <w:kern w:val="0"/>
          <w:sz w:val="24"/>
          <w:highlight w:val="none"/>
        </w:rPr>
      </w:pPr>
    </w:p>
    <w:p w14:paraId="3E4169B5">
      <w:pPr>
        <w:spacing w:line="400" w:lineRule="exact"/>
        <w:ind w:firstLine="480" w:firstLineChars="200"/>
        <w:rPr>
          <w:rFonts w:hint="default" w:ascii="Times New Roman" w:hAnsi="Times New Roman" w:eastAsia="仿宋_GB2312" w:cs="Times New Roman"/>
          <w:color w:val="auto"/>
          <w:kern w:val="0"/>
          <w:sz w:val="24"/>
          <w:highlight w:val="none"/>
        </w:rPr>
      </w:pPr>
    </w:p>
    <w:p w14:paraId="6C169BD5">
      <w:pPr>
        <w:keepNext w:val="0"/>
        <w:keepLines w:val="0"/>
        <w:pageBreakBefore w:val="0"/>
        <w:kinsoku/>
        <w:wordWrap/>
        <w:overflowPunct/>
        <w:topLinePunct w:val="0"/>
        <w:bidi w:val="0"/>
        <w:adjustRightInd/>
        <w:snapToGrid/>
        <w:spacing w:beforeAutospacing="0" w:line="360" w:lineRule="auto"/>
        <w:ind w:left="0" w:leftChars="0" w:firstLine="480" w:firstLineChars="200"/>
        <w:textAlignment w:val="auto"/>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rPr>
        <w:t>并附加以下条款</w:t>
      </w:r>
      <w:r>
        <w:rPr>
          <w:rFonts w:hint="default" w:ascii="Times New Roman" w:hAnsi="Times New Roman" w:eastAsia="仿宋_GB2312" w:cs="Times New Roman"/>
          <w:color w:val="auto"/>
          <w:sz w:val="24"/>
          <w:szCs w:val="24"/>
          <w:highlight w:val="none"/>
          <w:lang w:eastAsia="zh-CN"/>
        </w:rPr>
        <w:t>：</w:t>
      </w:r>
    </w:p>
    <w:p w14:paraId="2A47C083">
      <w:pPr>
        <w:keepNext w:val="0"/>
        <w:keepLines w:val="0"/>
        <w:pageBreakBefore w:val="0"/>
        <w:kinsoku/>
        <w:wordWrap/>
        <w:overflowPunct/>
        <w:topLinePunct w:val="0"/>
        <w:bidi w:val="0"/>
        <w:adjustRightInd/>
        <w:snapToGrid/>
        <w:spacing w:beforeAutospacing="0" w:line="360" w:lineRule="auto"/>
        <w:ind w:left="0" w:leftChars="0" w:firstLine="482" w:firstLineChars="200"/>
        <w:textAlignment w:val="auto"/>
        <w:rPr>
          <w:rFonts w:hint="default" w:ascii="Times New Roman" w:hAnsi="Times New Roman" w:eastAsia="仿宋_GB2312" w:cs="Times New Roman"/>
          <w:b/>
          <w:bCs/>
          <w:color w:val="auto"/>
          <w:sz w:val="24"/>
          <w:szCs w:val="24"/>
          <w:highlight w:val="none"/>
        </w:rPr>
      </w:pPr>
      <w:r>
        <w:rPr>
          <w:rFonts w:hint="eastAsia" w:ascii="Times New Roman" w:hAnsi="Times New Roman" w:eastAsia="仿宋_GB2312" w:cs="Times New Roman"/>
          <w:b/>
          <w:bCs/>
          <w:color w:val="auto"/>
          <w:sz w:val="24"/>
          <w:szCs w:val="24"/>
          <w:highlight w:val="none"/>
        </w:rPr>
        <w:t>（1）地震扩展条款</w:t>
      </w:r>
    </w:p>
    <w:p w14:paraId="42AC0F56">
      <w:pPr>
        <w:keepNext w:val="0"/>
        <w:keepLines w:val="0"/>
        <w:pageBreakBefore w:val="0"/>
        <w:kinsoku/>
        <w:wordWrap/>
        <w:overflowPunct/>
        <w:topLinePunct w:val="0"/>
        <w:bidi w:val="0"/>
        <w:adjustRightInd/>
        <w:snapToGrid/>
        <w:spacing w:beforeAutospacing="0" w:line="360" w:lineRule="auto"/>
        <w:ind w:left="0" w:leftChars="0" w:firstLine="480" w:firstLineChars="200"/>
        <w:textAlignment w:val="auto"/>
        <w:rPr>
          <w:rFonts w:hint="eastAsia"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（一）保险责任：因烈度达到保险财产所在地抗震设防标准的地震或由此引起的海啸、火灾、爆炸所致保险标的的直接损失。保险标的因连续72小时内遭受一次或多次地震(余震)所致损失应视为一单独事故。</w:t>
      </w:r>
    </w:p>
    <w:p w14:paraId="71F86893">
      <w:pPr>
        <w:keepNext w:val="0"/>
        <w:keepLines w:val="0"/>
        <w:pageBreakBefore w:val="0"/>
        <w:kinsoku/>
        <w:wordWrap/>
        <w:overflowPunct/>
        <w:topLinePunct w:val="0"/>
        <w:bidi w:val="0"/>
        <w:adjustRightInd/>
        <w:snapToGrid/>
        <w:spacing w:beforeAutospacing="0" w:line="360" w:lineRule="auto"/>
        <w:ind w:left="0" w:leftChars="0" w:firstLine="480" w:firstLineChars="200"/>
        <w:textAlignment w:val="auto"/>
        <w:rPr>
          <w:rFonts w:hint="eastAsia"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（二）下列原因造成的损失、费用，保险人不负责赔偿：</w:t>
      </w:r>
    </w:p>
    <w:p w14:paraId="4935A512">
      <w:pPr>
        <w:keepNext w:val="0"/>
        <w:keepLines w:val="0"/>
        <w:pageBreakBefore w:val="0"/>
        <w:kinsoku/>
        <w:wordWrap/>
        <w:overflowPunct/>
        <w:topLinePunct w:val="0"/>
        <w:bidi w:val="0"/>
        <w:adjustRightInd/>
        <w:snapToGrid/>
        <w:spacing w:beforeAutospacing="0" w:line="360" w:lineRule="auto"/>
        <w:ind w:left="0" w:leftChars="0" w:firstLine="480" w:firstLineChars="200"/>
        <w:textAlignment w:val="auto"/>
        <w:rPr>
          <w:rFonts w:hint="eastAsia"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1．因建筑物未达到国家建筑质量要求(包括抗震设防标准)所致保险财产的损失。</w:t>
      </w:r>
    </w:p>
    <w:p w14:paraId="553D9AED">
      <w:pPr>
        <w:keepNext w:val="0"/>
        <w:keepLines w:val="0"/>
        <w:pageBreakBefore w:val="0"/>
        <w:kinsoku/>
        <w:wordWrap/>
        <w:overflowPunct/>
        <w:topLinePunct w:val="0"/>
        <w:bidi w:val="0"/>
        <w:adjustRightInd/>
        <w:snapToGrid/>
        <w:spacing w:beforeAutospacing="0" w:line="360" w:lineRule="auto"/>
        <w:ind w:left="0" w:leftChars="0" w:firstLine="480" w:firstLineChars="200"/>
        <w:textAlignment w:val="auto"/>
        <w:rPr>
          <w:rFonts w:hint="eastAsia"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2．因地震、海啸导致的营业中断或其他间接损失。</w:t>
      </w:r>
    </w:p>
    <w:p w14:paraId="0CFB50AD">
      <w:pPr>
        <w:keepNext w:val="0"/>
        <w:keepLines w:val="0"/>
        <w:pageBreakBefore w:val="0"/>
        <w:kinsoku/>
        <w:wordWrap/>
        <w:overflowPunct/>
        <w:topLinePunct w:val="0"/>
        <w:bidi w:val="0"/>
        <w:adjustRightInd/>
        <w:snapToGrid/>
        <w:spacing w:beforeAutospacing="0" w:line="360" w:lineRule="auto"/>
        <w:ind w:left="0" w:leftChars="0" w:firstLine="480" w:firstLineChars="200"/>
        <w:textAlignment w:val="auto"/>
        <w:rPr>
          <w:rFonts w:hint="eastAsia"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3．由核反应、核辐射或放射性污染引发的损失。</w:t>
      </w:r>
    </w:p>
    <w:p w14:paraId="2408EBB9">
      <w:pPr>
        <w:keepNext w:val="0"/>
        <w:keepLines w:val="0"/>
        <w:pageBreakBefore w:val="0"/>
        <w:kinsoku/>
        <w:wordWrap/>
        <w:overflowPunct/>
        <w:topLinePunct w:val="0"/>
        <w:bidi w:val="0"/>
        <w:adjustRightInd/>
        <w:snapToGrid/>
        <w:spacing w:beforeAutospacing="0" w:line="360" w:lineRule="auto"/>
        <w:ind w:left="0" w:leftChars="0" w:firstLine="482" w:firstLineChars="200"/>
        <w:textAlignment w:val="auto"/>
        <w:rPr>
          <w:rFonts w:hint="default" w:ascii="Times New Roman" w:hAnsi="Times New Roman" w:eastAsia="仿宋_GB2312" w:cs="Times New Roman"/>
          <w:b/>
          <w:bCs/>
          <w:color w:val="auto"/>
          <w:sz w:val="24"/>
          <w:szCs w:val="24"/>
          <w:highlight w:val="none"/>
        </w:rPr>
      </w:pPr>
      <w:r>
        <w:rPr>
          <w:rFonts w:hint="eastAsia" w:ascii="Times New Roman" w:hAnsi="Times New Roman" w:eastAsia="仿宋_GB2312" w:cs="Times New Roman"/>
          <w:b/>
          <w:bCs/>
          <w:color w:val="auto"/>
          <w:sz w:val="24"/>
          <w:szCs w:val="24"/>
          <w:highlight w:val="none"/>
        </w:rPr>
        <w:t>（2）盗窃险扩展条款</w:t>
      </w:r>
    </w:p>
    <w:p w14:paraId="63339706">
      <w:pPr>
        <w:keepNext w:val="0"/>
        <w:keepLines w:val="0"/>
        <w:pageBreakBefore w:val="0"/>
        <w:kinsoku/>
        <w:wordWrap/>
        <w:overflowPunct/>
        <w:topLinePunct w:val="0"/>
        <w:bidi w:val="0"/>
        <w:adjustRightInd/>
        <w:snapToGrid/>
        <w:spacing w:beforeAutospacing="0" w:line="360" w:lineRule="auto"/>
        <w:ind w:left="0" w:leftChars="0" w:firstLine="480" w:firstLineChars="200"/>
        <w:textAlignment w:val="auto"/>
        <w:rPr>
          <w:rFonts w:hint="eastAsia"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兹经双方同意，在保险期间内，对由于使用暴力手段进出保险标的坐落地址或被电子监测系统记录的，并经公安部门证明确系盗窃或抢劫行为造成保险标的的损失，保险人按照本附加险合同的约定负责赔偿。下列损失、费用，保险人不负责赔偿：</w:t>
      </w:r>
    </w:p>
    <w:p w14:paraId="2F1C79BE">
      <w:pPr>
        <w:keepNext w:val="0"/>
        <w:keepLines w:val="0"/>
        <w:pageBreakBefore w:val="0"/>
        <w:kinsoku/>
        <w:wordWrap/>
        <w:overflowPunct/>
        <w:topLinePunct w:val="0"/>
        <w:bidi w:val="0"/>
        <w:adjustRightInd/>
        <w:snapToGrid/>
        <w:spacing w:beforeAutospacing="0" w:line="360" w:lineRule="auto"/>
        <w:ind w:left="0" w:leftChars="0" w:firstLine="480" w:firstLineChars="200"/>
        <w:textAlignment w:val="auto"/>
        <w:rPr>
          <w:rFonts w:hint="eastAsia"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（一）被保险人的雇员、家庭成员、寄宿人员或其他利益方直接或间接参与盗窃及内外串通、故意纵容他人盗窃或抢劫所致的损失；</w:t>
      </w:r>
    </w:p>
    <w:p w14:paraId="454EA2B0">
      <w:pPr>
        <w:keepNext w:val="0"/>
        <w:keepLines w:val="0"/>
        <w:pageBreakBefore w:val="0"/>
        <w:kinsoku/>
        <w:wordWrap/>
        <w:overflowPunct/>
        <w:topLinePunct w:val="0"/>
        <w:bidi w:val="0"/>
        <w:adjustRightInd/>
        <w:snapToGrid/>
        <w:spacing w:beforeAutospacing="0" w:line="360" w:lineRule="auto"/>
        <w:ind w:left="0" w:leftChars="0" w:firstLine="480" w:firstLineChars="200"/>
        <w:textAlignment w:val="auto"/>
        <w:rPr>
          <w:rFonts w:hint="eastAsia"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（二）保险标的座落地址发生火灾、爆炸时保险标的遭受的盗窃损失；</w:t>
      </w:r>
    </w:p>
    <w:p w14:paraId="5D8F349A">
      <w:pPr>
        <w:keepNext w:val="0"/>
        <w:keepLines w:val="0"/>
        <w:pageBreakBefore w:val="0"/>
        <w:kinsoku/>
        <w:wordWrap/>
        <w:overflowPunct/>
        <w:topLinePunct w:val="0"/>
        <w:bidi w:val="0"/>
        <w:adjustRightInd/>
        <w:snapToGrid/>
        <w:spacing w:beforeAutospacing="0" w:line="360" w:lineRule="auto"/>
        <w:ind w:left="0" w:leftChars="0" w:firstLine="480" w:firstLineChars="200"/>
        <w:textAlignment w:val="auto"/>
        <w:rPr>
          <w:rFonts w:hint="eastAsia"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（三）无合格的防盗措施、无专人看管或无详细记录情况下发生的损失；</w:t>
      </w:r>
    </w:p>
    <w:p w14:paraId="77246D37">
      <w:pPr>
        <w:keepNext w:val="0"/>
        <w:keepLines w:val="0"/>
        <w:pageBreakBefore w:val="0"/>
        <w:kinsoku/>
        <w:wordWrap/>
        <w:overflowPunct/>
        <w:topLinePunct w:val="0"/>
        <w:bidi w:val="0"/>
        <w:adjustRightInd/>
        <w:snapToGrid/>
        <w:spacing w:beforeAutospacing="0" w:line="360" w:lineRule="auto"/>
        <w:ind w:left="0" w:leftChars="0" w:firstLine="480" w:firstLineChars="200"/>
        <w:textAlignment w:val="auto"/>
        <w:rPr>
          <w:rFonts w:hint="eastAsia"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（四）盘点时发现的短缺。</w:t>
      </w:r>
    </w:p>
    <w:p w14:paraId="47AB2C25">
      <w:pPr>
        <w:keepNext w:val="0"/>
        <w:keepLines w:val="0"/>
        <w:pageBreakBefore w:val="0"/>
        <w:kinsoku/>
        <w:wordWrap/>
        <w:overflowPunct/>
        <w:topLinePunct w:val="0"/>
        <w:bidi w:val="0"/>
        <w:adjustRightInd/>
        <w:snapToGrid/>
        <w:spacing w:beforeAutospacing="0" w:line="360" w:lineRule="auto"/>
        <w:ind w:left="0" w:leftChars="0" w:firstLine="480" w:firstLineChars="200"/>
        <w:textAlignment w:val="auto"/>
        <w:rPr>
          <w:rFonts w:hint="eastAsia"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保险人履行赔偿义务后破案追回的保险标的仍归被保险人，被保险人应将已获赔款退还保险人；对被追回保险标的的损失部分，保险人按照本保险合同的约定进行赔偿。</w:t>
      </w:r>
    </w:p>
    <w:p w14:paraId="7CB78079">
      <w:pPr>
        <w:keepNext w:val="0"/>
        <w:keepLines w:val="0"/>
        <w:pageBreakBefore w:val="0"/>
        <w:kinsoku/>
        <w:wordWrap/>
        <w:overflowPunct/>
        <w:topLinePunct w:val="0"/>
        <w:bidi w:val="0"/>
        <w:adjustRightInd/>
        <w:snapToGrid/>
        <w:spacing w:beforeAutospacing="0" w:line="360" w:lineRule="auto"/>
        <w:ind w:left="0" w:leftChars="0" w:firstLine="482" w:firstLineChars="200"/>
        <w:textAlignment w:val="auto"/>
        <w:rPr>
          <w:rFonts w:hint="default" w:ascii="Times New Roman" w:hAnsi="Times New Roman" w:eastAsia="仿宋_GB2312" w:cs="Times New Roman"/>
          <w:b/>
          <w:bCs/>
          <w:color w:val="auto"/>
          <w:sz w:val="24"/>
          <w:szCs w:val="24"/>
          <w:highlight w:val="none"/>
        </w:rPr>
      </w:pPr>
      <w:r>
        <w:rPr>
          <w:rFonts w:hint="eastAsia" w:ascii="Times New Roman" w:hAnsi="Times New Roman" w:eastAsia="仿宋_GB2312" w:cs="Times New Roman"/>
          <w:b/>
          <w:bCs/>
          <w:color w:val="auto"/>
          <w:sz w:val="24"/>
          <w:szCs w:val="24"/>
          <w:highlight w:val="none"/>
        </w:rPr>
        <w:t>（3）恐怖活动扩展条款</w:t>
      </w:r>
    </w:p>
    <w:p w14:paraId="3B519CCD">
      <w:pPr>
        <w:keepNext w:val="0"/>
        <w:keepLines w:val="0"/>
        <w:pageBreakBefore w:val="0"/>
        <w:kinsoku/>
        <w:wordWrap/>
        <w:overflowPunct/>
        <w:topLinePunct w:val="0"/>
        <w:bidi w:val="0"/>
        <w:adjustRightInd/>
        <w:snapToGrid/>
        <w:spacing w:beforeAutospacing="0" w:line="360" w:lineRule="auto"/>
        <w:ind w:left="0" w:leftChars="0" w:firstLine="480" w:firstLineChars="200"/>
        <w:textAlignment w:val="auto"/>
        <w:rPr>
          <w:rFonts w:hint="default"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经双方同意，由于恐怖活动引起火灾、爆炸而造成保险标的的损失，保险人按照本保险合同的约定负责赔偿。</w:t>
      </w:r>
    </w:p>
    <w:p w14:paraId="0FADC808">
      <w:pPr>
        <w:keepNext w:val="0"/>
        <w:keepLines w:val="0"/>
        <w:pageBreakBefore w:val="0"/>
        <w:kinsoku/>
        <w:wordWrap/>
        <w:overflowPunct/>
        <w:topLinePunct w:val="0"/>
        <w:bidi w:val="0"/>
        <w:adjustRightInd/>
        <w:snapToGrid/>
        <w:spacing w:beforeAutospacing="0" w:line="360" w:lineRule="auto"/>
        <w:ind w:left="0" w:leftChars="0" w:firstLine="480" w:firstLineChars="200"/>
        <w:textAlignment w:val="auto"/>
        <w:rPr>
          <w:rFonts w:hint="default"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但对下列损失，保险人不负责赔偿：</w:t>
      </w:r>
    </w:p>
    <w:p w14:paraId="4590D26E">
      <w:pPr>
        <w:keepNext w:val="0"/>
        <w:keepLines w:val="0"/>
        <w:pageBreakBefore w:val="0"/>
        <w:kinsoku/>
        <w:wordWrap/>
        <w:overflowPunct/>
        <w:topLinePunct w:val="0"/>
        <w:bidi w:val="0"/>
        <w:adjustRightInd/>
        <w:snapToGrid/>
        <w:spacing w:beforeAutospacing="0" w:line="360" w:lineRule="auto"/>
        <w:ind w:left="0" w:leftChars="0" w:firstLine="480" w:firstLineChars="200"/>
        <w:textAlignment w:val="auto"/>
        <w:rPr>
          <w:rFonts w:hint="default"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（一）公共当局没收、临时或永久征用所致的损失；</w:t>
      </w:r>
    </w:p>
    <w:p w14:paraId="06BA3816">
      <w:pPr>
        <w:keepNext w:val="0"/>
        <w:keepLines w:val="0"/>
        <w:pageBreakBefore w:val="0"/>
        <w:kinsoku/>
        <w:wordWrap/>
        <w:overflowPunct/>
        <w:topLinePunct w:val="0"/>
        <w:bidi w:val="0"/>
        <w:adjustRightInd/>
        <w:snapToGrid/>
        <w:spacing w:beforeAutospacing="0" w:line="360" w:lineRule="auto"/>
        <w:ind w:left="0" w:leftChars="0" w:firstLine="480" w:firstLineChars="200"/>
        <w:textAlignment w:val="auto"/>
        <w:rPr>
          <w:rFonts w:hint="default"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（二）由于建筑物临时或永久被非法占据所致的损失；</w:t>
      </w:r>
    </w:p>
    <w:p w14:paraId="46B594CF">
      <w:pPr>
        <w:keepNext w:val="0"/>
        <w:keepLines w:val="0"/>
        <w:pageBreakBefore w:val="0"/>
        <w:kinsoku/>
        <w:wordWrap/>
        <w:overflowPunct/>
        <w:topLinePunct w:val="0"/>
        <w:bidi w:val="0"/>
        <w:adjustRightInd/>
        <w:snapToGrid/>
        <w:spacing w:beforeAutospacing="0" w:line="360" w:lineRule="auto"/>
        <w:ind w:left="0" w:leftChars="0" w:firstLine="480" w:firstLineChars="200"/>
        <w:textAlignment w:val="auto"/>
        <w:rPr>
          <w:rFonts w:hint="default"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（三）由于核辐射、核爆炸、核污染及其他放射性污染所致的损失。</w:t>
      </w:r>
    </w:p>
    <w:p w14:paraId="167A40C8">
      <w:pPr>
        <w:keepNext w:val="0"/>
        <w:keepLines w:val="0"/>
        <w:pageBreakBefore w:val="0"/>
        <w:kinsoku/>
        <w:wordWrap/>
        <w:overflowPunct/>
        <w:topLinePunct w:val="0"/>
        <w:bidi w:val="0"/>
        <w:adjustRightInd/>
        <w:snapToGrid/>
        <w:spacing w:beforeAutospacing="0" w:line="360" w:lineRule="auto"/>
        <w:ind w:left="0" w:leftChars="0" w:firstLine="480" w:firstLineChars="200"/>
        <w:textAlignment w:val="auto"/>
        <w:rPr>
          <w:rFonts w:hint="default"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每次事故赔偿限额不超过主险保险金额的70%。</w:t>
      </w:r>
    </w:p>
    <w:p w14:paraId="20A140F5">
      <w:pPr>
        <w:keepNext w:val="0"/>
        <w:keepLines w:val="0"/>
        <w:pageBreakBefore w:val="0"/>
        <w:kinsoku/>
        <w:wordWrap/>
        <w:overflowPunct/>
        <w:topLinePunct w:val="0"/>
        <w:bidi w:val="0"/>
        <w:adjustRightInd/>
        <w:snapToGrid/>
        <w:spacing w:beforeAutospacing="0" w:line="360" w:lineRule="auto"/>
        <w:ind w:left="0" w:leftChars="0" w:firstLine="480" w:firstLineChars="200"/>
        <w:textAlignment w:val="auto"/>
        <w:rPr>
          <w:rFonts w:hint="default"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每次事故免赔额不得低于人民币10万元。</w:t>
      </w:r>
    </w:p>
    <w:p w14:paraId="02230093">
      <w:pPr>
        <w:keepNext w:val="0"/>
        <w:keepLines w:val="0"/>
        <w:pageBreakBefore w:val="0"/>
        <w:kinsoku/>
        <w:wordWrap/>
        <w:overflowPunct/>
        <w:topLinePunct w:val="0"/>
        <w:bidi w:val="0"/>
        <w:adjustRightInd/>
        <w:snapToGrid/>
        <w:spacing w:beforeAutospacing="0" w:line="360" w:lineRule="auto"/>
        <w:ind w:left="0" w:leftChars="0" w:firstLine="480" w:firstLineChars="200"/>
        <w:textAlignment w:val="auto"/>
        <w:rPr>
          <w:rFonts w:hint="default"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保险人可解除本附加条款项下的责任，但须提前48小时向投保人签发解约通知书解除本附加合同。</w:t>
      </w:r>
    </w:p>
    <w:p w14:paraId="52126BB7">
      <w:pPr>
        <w:keepNext w:val="0"/>
        <w:keepLines w:val="0"/>
        <w:pageBreakBefore w:val="0"/>
        <w:kinsoku/>
        <w:wordWrap/>
        <w:overflowPunct/>
        <w:topLinePunct w:val="0"/>
        <w:bidi w:val="0"/>
        <w:adjustRightInd/>
        <w:snapToGrid/>
        <w:spacing w:beforeAutospacing="0" w:line="360" w:lineRule="auto"/>
        <w:ind w:left="0" w:leftChars="0" w:firstLine="480" w:firstLineChars="200"/>
        <w:textAlignment w:val="auto"/>
        <w:rPr>
          <w:rFonts w:hint="default"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本附加条款与主条款内容相悖之处，以本附加条款为准；未尽之处，以主条款为准。</w:t>
      </w:r>
    </w:p>
    <w:p w14:paraId="0FAB8996">
      <w:pPr>
        <w:keepNext w:val="0"/>
        <w:keepLines w:val="0"/>
        <w:pageBreakBefore w:val="0"/>
        <w:kinsoku/>
        <w:wordWrap/>
        <w:overflowPunct/>
        <w:topLinePunct w:val="0"/>
        <w:bidi w:val="0"/>
        <w:adjustRightInd/>
        <w:snapToGrid/>
        <w:spacing w:beforeAutospacing="0" w:line="360" w:lineRule="auto"/>
        <w:ind w:left="0" w:leftChars="0" w:firstLine="482" w:firstLineChars="200"/>
        <w:textAlignment w:val="auto"/>
        <w:rPr>
          <w:rFonts w:hint="default" w:ascii="Times New Roman" w:hAnsi="Times New Roman" w:eastAsia="仿宋_GB2312" w:cs="Times New Roman"/>
          <w:b/>
          <w:bCs/>
          <w:color w:val="auto"/>
          <w:sz w:val="24"/>
          <w:szCs w:val="24"/>
          <w:highlight w:val="none"/>
        </w:rPr>
      </w:pPr>
      <w:r>
        <w:rPr>
          <w:rFonts w:hint="eastAsia" w:ascii="Times New Roman" w:hAnsi="Times New Roman" w:eastAsia="仿宋_GB2312" w:cs="Times New Roman"/>
          <w:b/>
          <w:bCs/>
          <w:color w:val="auto"/>
          <w:sz w:val="24"/>
          <w:szCs w:val="24"/>
          <w:highlight w:val="none"/>
        </w:rPr>
        <w:t>（4）增加资产扩展条款</w:t>
      </w:r>
    </w:p>
    <w:p w14:paraId="6638DAD8">
      <w:pPr>
        <w:keepNext w:val="0"/>
        <w:keepLines w:val="0"/>
        <w:pageBreakBefore w:val="0"/>
        <w:kinsoku/>
        <w:wordWrap/>
        <w:overflowPunct/>
        <w:topLinePunct w:val="0"/>
        <w:bidi w:val="0"/>
        <w:adjustRightInd/>
        <w:snapToGrid/>
        <w:spacing w:beforeAutospacing="0" w:line="360" w:lineRule="auto"/>
        <w:ind w:left="0" w:leftChars="0" w:firstLine="480" w:firstLineChars="200"/>
        <w:textAlignment w:val="auto"/>
        <w:rPr>
          <w:rFonts w:hint="eastAsia" w:ascii="Times New Roman" w:hAnsi="Times New Roman" w:eastAsia="仿宋_GB2312" w:cs="Times New Roman"/>
          <w:color w:val="auto"/>
          <w:sz w:val="24"/>
          <w:szCs w:val="24"/>
          <w:highlight w:val="none"/>
        </w:rPr>
      </w:pPr>
      <w:bookmarkStart w:id="3" w:name="_Toc158793198"/>
      <w:bookmarkStart w:id="4" w:name="_Toc171494720"/>
      <w:bookmarkStart w:id="5" w:name="_Toc171494882"/>
      <w:bookmarkStart w:id="6" w:name="_Toc146074098"/>
      <w:r>
        <w:rPr>
          <w:rFonts w:hint="eastAsia" w:ascii="Times New Roman" w:hAnsi="Times New Roman" w:eastAsia="仿宋_GB2312" w:cs="Times New Roman"/>
          <w:color w:val="auto"/>
          <w:sz w:val="24"/>
          <w:szCs w:val="24"/>
          <w:highlight w:val="none"/>
        </w:rPr>
        <w:t>本保险合同生效后，被保险人所申报的并经保险人确认的坐落于中华人民共和国境内（不包括香港、澳门、台湾）的新增加资产，但不包括财产本身的升值及存货，保险人按照本附加险合同的约定承担保险责任，但在保险期间内新增加资产的金额应不超过本保险合同中载明的相应限额。超过限额部分，保险人有权决定是否同意承保或者提高保险费率。</w:t>
      </w:r>
    </w:p>
    <w:p w14:paraId="0FEAD9C6">
      <w:pPr>
        <w:keepNext w:val="0"/>
        <w:keepLines w:val="0"/>
        <w:pageBreakBefore w:val="0"/>
        <w:kinsoku/>
        <w:wordWrap/>
        <w:overflowPunct/>
        <w:topLinePunct w:val="0"/>
        <w:bidi w:val="0"/>
        <w:adjustRightInd/>
        <w:snapToGrid/>
        <w:spacing w:beforeAutospacing="0" w:line="360" w:lineRule="auto"/>
        <w:ind w:left="0" w:leftChars="0" w:firstLine="480" w:firstLineChars="200"/>
        <w:textAlignment w:val="auto"/>
        <w:rPr>
          <w:rFonts w:hint="eastAsia"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被保险人须每季度末结束后的10个工作日内申报增加资产的价值，且投保人应按相应的费率支付新增加资产部分自资产增加之日起至保险期间届满之日止期间的保险费。如被保险人未按时申报增加资产价值，保险人不承担新增加资产的赔偿责任。</w:t>
      </w:r>
    </w:p>
    <w:p w14:paraId="75D29F7B">
      <w:pPr>
        <w:keepNext w:val="0"/>
        <w:keepLines w:val="0"/>
        <w:pageBreakBefore w:val="0"/>
        <w:kinsoku/>
        <w:wordWrap/>
        <w:overflowPunct/>
        <w:topLinePunct w:val="0"/>
        <w:bidi w:val="0"/>
        <w:adjustRightInd/>
        <w:snapToGrid/>
        <w:spacing w:beforeAutospacing="0" w:line="360" w:lineRule="auto"/>
        <w:ind w:left="0" w:leftChars="0" w:firstLine="482" w:firstLineChars="200"/>
        <w:textAlignment w:val="auto"/>
        <w:rPr>
          <w:rFonts w:hint="default" w:ascii="Times New Roman" w:hAnsi="Times New Roman" w:eastAsia="仿宋_GB2312" w:cs="Times New Roman"/>
          <w:b/>
          <w:bCs/>
          <w:color w:val="auto"/>
          <w:sz w:val="24"/>
          <w:szCs w:val="24"/>
          <w:highlight w:val="none"/>
        </w:rPr>
      </w:pPr>
      <w:r>
        <w:rPr>
          <w:rFonts w:hint="eastAsia" w:ascii="Times New Roman" w:hAnsi="Times New Roman" w:eastAsia="仿宋_GB2312" w:cs="Times New Roman"/>
          <w:b/>
          <w:bCs/>
          <w:color w:val="auto"/>
          <w:sz w:val="24"/>
          <w:szCs w:val="24"/>
          <w:highlight w:val="none"/>
        </w:rPr>
        <w:t>（5）便携式设备扩展条款</w:t>
      </w:r>
      <w:bookmarkEnd w:id="3"/>
      <w:bookmarkEnd w:id="4"/>
      <w:bookmarkEnd w:id="5"/>
      <w:bookmarkEnd w:id="6"/>
    </w:p>
    <w:p w14:paraId="6CA97C4B">
      <w:pPr>
        <w:keepNext w:val="0"/>
        <w:keepLines w:val="0"/>
        <w:pageBreakBefore w:val="0"/>
        <w:kinsoku/>
        <w:wordWrap/>
        <w:overflowPunct/>
        <w:topLinePunct w:val="0"/>
        <w:bidi w:val="0"/>
        <w:adjustRightInd/>
        <w:snapToGrid/>
        <w:spacing w:beforeAutospacing="0" w:line="360" w:lineRule="auto"/>
        <w:ind w:left="0" w:leftChars="0" w:firstLine="480" w:firstLineChars="200"/>
        <w:textAlignment w:val="auto"/>
        <w:rPr>
          <w:rFonts w:hint="default"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经双方同意，由于保险事故造成放置在本保险合同中载明地址内的并在本保险合同中列明的便携式通讯装置、便携式计算机设备、便携式照相摄像器材的直接物质损失，保险人按照本保险合同的约定负责赔偿。</w:t>
      </w:r>
    </w:p>
    <w:p w14:paraId="5F48C621">
      <w:pPr>
        <w:keepNext w:val="0"/>
        <w:keepLines w:val="0"/>
        <w:pageBreakBefore w:val="0"/>
        <w:kinsoku/>
        <w:wordWrap/>
        <w:overflowPunct/>
        <w:topLinePunct w:val="0"/>
        <w:bidi w:val="0"/>
        <w:adjustRightInd/>
        <w:snapToGrid/>
        <w:spacing w:beforeAutospacing="0" w:line="360" w:lineRule="auto"/>
        <w:ind w:left="0" w:leftChars="0" w:firstLine="480" w:firstLineChars="200"/>
        <w:textAlignment w:val="auto"/>
        <w:rPr>
          <w:rFonts w:hint="default"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本附加条款与主条款内容相悖之处，以本附加条款为准；未尽之处，以主条款为准。</w:t>
      </w:r>
    </w:p>
    <w:p w14:paraId="1D206518">
      <w:pPr>
        <w:keepNext w:val="0"/>
        <w:keepLines w:val="0"/>
        <w:pageBreakBefore w:val="0"/>
        <w:kinsoku/>
        <w:wordWrap/>
        <w:overflowPunct/>
        <w:topLinePunct w:val="0"/>
        <w:bidi w:val="0"/>
        <w:adjustRightInd/>
        <w:snapToGrid/>
        <w:spacing w:beforeAutospacing="0" w:line="360" w:lineRule="auto"/>
        <w:ind w:left="0" w:leftChars="0" w:firstLine="480" w:firstLineChars="200"/>
        <w:textAlignment w:val="auto"/>
        <w:rPr>
          <w:rFonts w:hint="default"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每次事故赔偿限额5万元。</w:t>
      </w:r>
    </w:p>
    <w:p w14:paraId="4349DA7D">
      <w:pPr>
        <w:keepNext w:val="0"/>
        <w:keepLines w:val="0"/>
        <w:pageBreakBefore w:val="0"/>
        <w:kinsoku/>
        <w:wordWrap/>
        <w:overflowPunct/>
        <w:topLinePunct w:val="0"/>
        <w:bidi w:val="0"/>
        <w:adjustRightInd/>
        <w:snapToGrid/>
        <w:spacing w:beforeAutospacing="0" w:line="360" w:lineRule="auto"/>
        <w:ind w:left="0" w:leftChars="0" w:firstLine="482" w:firstLineChars="200"/>
        <w:textAlignment w:val="auto"/>
        <w:rPr>
          <w:rFonts w:hint="default" w:ascii="Times New Roman" w:hAnsi="Times New Roman" w:eastAsia="仿宋_GB2312" w:cs="Times New Roman"/>
          <w:b/>
          <w:bCs/>
          <w:color w:val="auto"/>
          <w:sz w:val="24"/>
          <w:szCs w:val="24"/>
          <w:highlight w:val="none"/>
        </w:rPr>
      </w:pPr>
      <w:r>
        <w:rPr>
          <w:rFonts w:hint="eastAsia" w:ascii="Times New Roman" w:hAnsi="Times New Roman" w:eastAsia="仿宋_GB2312" w:cs="Times New Roman"/>
          <w:b/>
          <w:bCs/>
          <w:color w:val="auto"/>
          <w:sz w:val="24"/>
          <w:szCs w:val="24"/>
          <w:highlight w:val="none"/>
        </w:rPr>
        <w:t>（6）雇员个人物品扩展条款</w:t>
      </w:r>
    </w:p>
    <w:p w14:paraId="3A2E094D">
      <w:pPr>
        <w:keepNext w:val="0"/>
        <w:keepLines w:val="0"/>
        <w:pageBreakBefore w:val="0"/>
        <w:kinsoku/>
        <w:wordWrap/>
        <w:overflowPunct/>
        <w:topLinePunct w:val="0"/>
        <w:bidi w:val="0"/>
        <w:adjustRightInd/>
        <w:snapToGrid/>
        <w:spacing w:beforeAutospacing="0" w:line="360" w:lineRule="auto"/>
        <w:ind w:left="0" w:leftChars="0" w:firstLine="480" w:firstLineChars="200"/>
        <w:textAlignment w:val="auto"/>
        <w:rPr>
          <w:rFonts w:hint="eastAsia"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在保险期间内，由于保险事故造成在保险标的地址内、并在本保险合同中列明的被保险人雇员的个人物品损失，保险人按照本附加险合同的约定负责赔偿。但对货币、票证、有价证券、有现金价值的磁卡、集成电路（IC）卡等卡类、金银、珠宝、钻石、玉器、首饰、古币、古玩、古书、古画、邮票、字画、艺术品、稀有金属的损失，保险人不负责赔偿。</w:t>
      </w:r>
    </w:p>
    <w:p w14:paraId="40B29198">
      <w:pPr>
        <w:keepNext w:val="0"/>
        <w:keepLines w:val="0"/>
        <w:pageBreakBefore w:val="0"/>
        <w:kinsoku/>
        <w:wordWrap/>
        <w:overflowPunct/>
        <w:topLinePunct w:val="0"/>
        <w:bidi w:val="0"/>
        <w:adjustRightInd/>
        <w:snapToGrid/>
        <w:spacing w:beforeAutospacing="0" w:line="360" w:lineRule="auto"/>
        <w:ind w:left="0" w:leftChars="0" w:firstLine="480" w:firstLineChars="200"/>
        <w:textAlignment w:val="auto"/>
        <w:rPr>
          <w:rFonts w:hint="default"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每人的最高赔偿限额为人民币5000元/人；每次事故赔偿限额为人民币20万元；累计赔偿限额为人民币20万元。</w:t>
      </w:r>
    </w:p>
    <w:p w14:paraId="2394767D">
      <w:pPr>
        <w:keepNext w:val="0"/>
        <w:keepLines w:val="0"/>
        <w:pageBreakBefore w:val="0"/>
        <w:kinsoku/>
        <w:wordWrap/>
        <w:overflowPunct/>
        <w:topLinePunct w:val="0"/>
        <w:bidi w:val="0"/>
        <w:adjustRightInd/>
        <w:snapToGrid/>
        <w:spacing w:beforeAutospacing="0" w:line="360" w:lineRule="auto"/>
        <w:ind w:left="0" w:leftChars="0" w:firstLine="480" w:firstLineChars="200"/>
        <w:textAlignment w:val="auto"/>
        <w:rPr>
          <w:rFonts w:hint="default"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免赔额：人民币500元</w:t>
      </w:r>
    </w:p>
    <w:p w14:paraId="1188A015">
      <w:pPr>
        <w:keepNext w:val="0"/>
        <w:keepLines w:val="0"/>
        <w:pageBreakBefore w:val="0"/>
        <w:kinsoku/>
        <w:wordWrap/>
        <w:overflowPunct/>
        <w:topLinePunct w:val="0"/>
        <w:bidi w:val="0"/>
        <w:adjustRightInd/>
        <w:snapToGrid/>
        <w:spacing w:beforeAutospacing="0" w:line="360" w:lineRule="auto"/>
        <w:ind w:left="0" w:leftChars="0" w:firstLine="482" w:firstLineChars="200"/>
        <w:textAlignment w:val="auto"/>
        <w:rPr>
          <w:rFonts w:hint="default" w:ascii="Times New Roman" w:hAnsi="Times New Roman" w:eastAsia="仿宋_GB2312" w:cs="Times New Roman"/>
          <w:b/>
          <w:bCs/>
          <w:color w:val="auto"/>
          <w:sz w:val="24"/>
          <w:szCs w:val="24"/>
          <w:highlight w:val="none"/>
        </w:rPr>
      </w:pPr>
      <w:r>
        <w:rPr>
          <w:rFonts w:hint="eastAsia" w:ascii="Times New Roman" w:hAnsi="Times New Roman" w:eastAsia="仿宋_GB2312" w:cs="Times New Roman"/>
          <w:b/>
          <w:bCs/>
          <w:color w:val="auto"/>
          <w:sz w:val="24"/>
          <w:szCs w:val="24"/>
          <w:highlight w:val="none"/>
        </w:rPr>
        <w:t>（7）附加其他物品特约保险条款</w:t>
      </w:r>
    </w:p>
    <w:p w14:paraId="7B8EDD30">
      <w:pPr>
        <w:keepNext w:val="0"/>
        <w:keepLines w:val="0"/>
        <w:pageBreakBefore w:val="0"/>
        <w:kinsoku/>
        <w:wordWrap/>
        <w:overflowPunct/>
        <w:topLinePunct w:val="0"/>
        <w:bidi w:val="0"/>
        <w:adjustRightInd/>
        <w:snapToGrid/>
        <w:spacing w:beforeAutospacing="0" w:line="360" w:lineRule="auto"/>
        <w:ind w:left="0" w:leftChars="0" w:firstLine="480" w:firstLineChars="200"/>
        <w:textAlignment w:val="auto"/>
        <w:rPr>
          <w:rFonts w:hint="eastAsia"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在保险期间内，由于保险事故造成其他物品的损失，保险人按照本附加险合同的约定负责赔偿。</w:t>
      </w:r>
    </w:p>
    <w:p w14:paraId="21750B38">
      <w:pPr>
        <w:keepNext w:val="0"/>
        <w:keepLines w:val="0"/>
        <w:pageBreakBefore w:val="0"/>
        <w:kinsoku/>
        <w:wordWrap/>
        <w:overflowPunct/>
        <w:topLinePunct w:val="0"/>
        <w:bidi w:val="0"/>
        <w:adjustRightInd/>
        <w:snapToGrid/>
        <w:spacing w:beforeAutospacing="0" w:line="360" w:lineRule="auto"/>
        <w:ind w:left="0" w:leftChars="0" w:firstLine="480" w:firstLineChars="200"/>
        <w:textAlignment w:val="auto"/>
        <w:rPr>
          <w:rFonts w:hint="eastAsia"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本附加险条款所称“其他物品”是指下列被保险人所有的或管控的：</w:t>
      </w:r>
    </w:p>
    <w:p w14:paraId="364C6BB3">
      <w:pPr>
        <w:keepNext w:val="0"/>
        <w:keepLines w:val="0"/>
        <w:pageBreakBefore w:val="0"/>
        <w:kinsoku/>
        <w:wordWrap/>
        <w:overflowPunct/>
        <w:topLinePunct w:val="0"/>
        <w:bidi w:val="0"/>
        <w:adjustRightInd/>
        <w:snapToGrid/>
        <w:spacing w:beforeAutospacing="0" w:line="360" w:lineRule="auto"/>
        <w:ind w:left="0" w:leftChars="0" w:firstLine="480" w:firstLineChars="200"/>
        <w:textAlignment w:val="auto"/>
        <w:rPr>
          <w:rFonts w:hint="eastAsia"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（一）单证、手稿、商务帐册、计算机软件及资料，但仅限于其载体材料的价值以及为恢复原有数据及资料而发生的费用，保险人在该项下的赔偿责任以本保险合同中载明的相应赔偿限额为限；</w:t>
      </w:r>
    </w:p>
    <w:p w14:paraId="37C003C3">
      <w:pPr>
        <w:keepNext w:val="0"/>
        <w:keepLines w:val="0"/>
        <w:pageBreakBefore w:val="0"/>
        <w:kinsoku/>
        <w:wordWrap/>
        <w:overflowPunct/>
        <w:topLinePunct w:val="0"/>
        <w:bidi w:val="0"/>
        <w:adjustRightInd/>
        <w:snapToGrid/>
        <w:spacing w:beforeAutospacing="0" w:line="360" w:lineRule="auto"/>
        <w:ind w:left="0" w:leftChars="0" w:firstLine="480" w:firstLineChars="200"/>
        <w:textAlignment w:val="auto"/>
        <w:rPr>
          <w:rFonts w:hint="eastAsia"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（二）被保险人未另投保的模板、模具、模型、设计图纸的重新制作费用，但不包括设计费用；</w:t>
      </w:r>
    </w:p>
    <w:p w14:paraId="76709CC9">
      <w:pPr>
        <w:keepNext w:val="0"/>
        <w:keepLines w:val="0"/>
        <w:pageBreakBefore w:val="0"/>
        <w:kinsoku/>
        <w:wordWrap/>
        <w:overflowPunct/>
        <w:topLinePunct w:val="0"/>
        <w:bidi w:val="0"/>
        <w:adjustRightInd/>
        <w:snapToGrid/>
        <w:spacing w:beforeAutospacing="0" w:line="360" w:lineRule="auto"/>
        <w:ind w:left="0" w:leftChars="0" w:firstLine="480" w:firstLineChars="200"/>
        <w:textAlignment w:val="auto"/>
        <w:rPr>
          <w:rFonts w:hint="eastAsia"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（三）被保险人雇员的衣物及其他个人物品，保险人对每一雇员的赔偿责任以本保险单中载明的相应赔偿限额为限。</w:t>
      </w:r>
    </w:p>
    <w:p w14:paraId="75AB9A7D">
      <w:pPr>
        <w:keepNext w:val="0"/>
        <w:keepLines w:val="0"/>
        <w:pageBreakBefore w:val="0"/>
        <w:kinsoku/>
        <w:wordWrap/>
        <w:overflowPunct/>
        <w:topLinePunct w:val="0"/>
        <w:bidi w:val="0"/>
        <w:adjustRightInd/>
        <w:snapToGrid/>
        <w:spacing w:beforeAutospacing="0" w:line="360" w:lineRule="auto"/>
        <w:ind w:left="0" w:leftChars="0" w:firstLine="480" w:firstLineChars="200"/>
        <w:textAlignment w:val="auto"/>
        <w:rPr>
          <w:rFonts w:hint="eastAsia"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本附加条款项下保险人的赔偿责任不超过本保险单中载明的相应赔偿限额。</w:t>
      </w:r>
    </w:p>
    <w:p w14:paraId="7D13E294">
      <w:pPr>
        <w:keepNext w:val="0"/>
        <w:keepLines w:val="0"/>
        <w:pageBreakBefore w:val="0"/>
        <w:kinsoku/>
        <w:wordWrap/>
        <w:overflowPunct/>
        <w:topLinePunct w:val="0"/>
        <w:bidi w:val="0"/>
        <w:adjustRightInd/>
        <w:snapToGrid/>
        <w:spacing w:beforeAutospacing="0" w:line="360" w:lineRule="auto"/>
        <w:ind w:left="0" w:leftChars="0" w:firstLine="482" w:firstLineChars="200"/>
        <w:textAlignment w:val="auto"/>
        <w:rPr>
          <w:rFonts w:hint="default" w:ascii="Times New Roman" w:hAnsi="Times New Roman" w:eastAsia="仿宋_GB2312" w:cs="Times New Roman"/>
          <w:b/>
          <w:bCs/>
          <w:color w:val="auto"/>
          <w:sz w:val="24"/>
          <w:szCs w:val="24"/>
          <w:highlight w:val="none"/>
        </w:rPr>
      </w:pPr>
      <w:r>
        <w:rPr>
          <w:rFonts w:hint="eastAsia" w:ascii="Times New Roman" w:hAnsi="Times New Roman" w:eastAsia="仿宋_GB2312" w:cs="Times New Roman"/>
          <w:b/>
          <w:bCs/>
          <w:color w:val="auto"/>
          <w:sz w:val="24"/>
          <w:szCs w:val="24"/>
          <w:highlight w:val="none"/>
        </w:rPr>
        <w:t>（8）园林、绿化保险条款</w:t>
      </w:r>
    </w:p>
    <w:p w14:paraId="1B1859B5">
      <w:pPr>
        <w:keepNext w:val="0"/>
        <w:keepLines w:val="0"/>
        <w:pageBreakBefore w:val="0"/>
        <w:kinsoku/>
        <w:wordWrap/>
        <w:overflowPunct/>
        <w:topLinePunct w:val="0"/>
        <w:bidi w:val="0"/>
        <w:adjustRightInd/>
        <w:snapToGrid/>
        <w:spacing w:beforeAutospacing="0" w:line="360" w:lineRule="auto"/>
        <w:ind w:left="0" w:leftChars="0" w:firstLine="480" w:firstLineChars="200"/>
        <w:textAlignment w:val="auto"/>
        <w:rPr>
          <w:rFonts w:hint="default"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兹经双方同意，本公司同意赔偿由于保险事故造成被保险人的园林、绿化的枯死或倾斜扶正费用，赔偿范围为苗木价，包括苗木费、苗木包装、运输到施工现场费用，但累计赔偿限额为10万元，每次事故免赔额0元。</w:t>
      </w:r>
    </w:p>
    <w:p w14:paraId="2A2AD73B">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本保险单所载其他条件不变。</w:t>
      </w:r>
    </w:p>
    <w:p w14:paraId="3C6DB405">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b/>
          <w:bCs/>
          <w:color w:val="auto"/>
          <w:kern w:val="2"/>
          <w:sz w:val="24"/>
          <w:szCs w:val="24"/>
          <w:highlight w:val="none"/>
          <w:lang w:val="en-US" w:eastAsia="zh-CN" w:bidi="ar-SA"/>
        </w:rPr>
      </w:pPr>
      <w:r>
        <w:rPr>
          <w:rFonts w:hint="default" w:ascii="Times New Roman" w:hAnsi="Times New Roman" w:eastAsia="仿宋_GB2312" w:cs="Times New Roman"/>
          <w:b/>
          <w:bCs/>
          <w:color w:val="auto"/>
          <w:kern w:val="2"/>
          <w:sz w:val="24"/>
          <w:szCs w:val="24"/>
          <w:highlight w:val="none"/>
          <w:lang w:val="en-US" w:eastAsia="zh-CN" w:bidi="ar-SA"/>
        </w:rPr>
        <w:t>（9）附加保险标的物叙述保险</w:t>
      </w:r>
    </w:p>
    <w:p w14:paraId="4716AB02">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保险人与被保险人对于本保险单所载之保险标的物之定义发生异议时，保险人同意以被保险人按国家统一会计制度编制的财产账册分类为理赔基准</w:t>
      </w:r>
    </w:p>
    <w:p w14:paraId="447D79EE">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本保险单所载其他条件不变</w:t>
      </w:r>
    </w:p>
    <w:p w14:paraId="7C97047E">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2" w:firstLineChars="200"/>
        <w:textAlignment w:val="auto"/>
        <w:rPr>
          <w:rFonts w:hint="default" w:ascii="Times New Roman" w:hAnsi="Times New Roman" w:eastAsia="仿宋_GB2312" w:cs="Times New Roman"/>
          <w:b/>
          <w:bCs/>
          <w:color w:val="auto"/>
          <w:sz w:val="24"/>
          <w:szCs w:val="24"/>
          <w:highlight w:val="none"/>
        </w:rPr>
      </w:pPr>
      <w:r>
        <w:rPr>
          <w:rFonts w:hint="eastAsia" w:ascii="Times New Roman" w:hAnsi="Times New Roman" w:eastAsia="仿宋_GB2312" w:cs="Times New Roman"/>
          <w:b/>
          <w:bCs/>
          <w:color w:val="auto"/>
          <w:sz w:val="24"/>
          <w:szCs w:val="24"/>
          <w:highlight w:val="none"/>
        </w:rPr>
        <w:t>（</w:t>
      </w:r>
      <w:r>
        <w:rPr>
          <w:rFonts w:hint="eastAsia" w:eastAsia="仿宋_GB2312" w:cs="Times New Roman"/>
          <w:b/>
          <w:bCs/>
          <w:color w:val="auto"/>
          <w:sz w:val="24"/>
          <w:szCs w:val="24"/>
          <w:highlight w:val="none"/>
          <w:lang w:val="en-US" w:eastAsia="zh-CN"/>
        </w:rPr>
        <w:t>10</w:t>
      </w:r>
      <w:r>
        <w:rPr>
          <w:rFonts w:hint="eastAsia" w:ascii="Times New Roman" w:hAnsi="Times New Roman" w:eastAsia="仿宋_GB2312" w:cs="Times New Roman"/>
          <w:b/>
          <w:bCs/>
          <w:color w:val="auto"/>
          <w:sz w:val="24"/>
          <w:szCs w:val="24"/>
          <w:highlight w:val="none"/>
        </w:rPr>
        <w:t>）附加紧急抢险保险条款</w:t>
      </w:r>
    </w:p>
    <w:p w14:paraId="5FE144F4">
      <w:pPr>
        <w:keepNext w:val="0"/>
        <w:keepLines w:val="0"/>
        <w:pageBreakBefore w:val="0"/>
        <w:kinsoku/>
        <w:wordWrap/>
        <w:overflowPunct/>
        <w:topLinePunct w:val="0"/>
        <w:bidi w:val="0"/>
        <w:adjustRightInd/>
        <w:snapToGrid/>
        <w:spacing w:beforeAutospacing="0" w:line="360" w:lineRule="auto"/>
        <w:ind w:left="0" w:leftChars="0" w:firstLine="480" w:firstLineChars="200"/>
        <w:textAlignment w:val="auto"/>
        <w:rPr>
          <w:rFonts w:hint="default"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兹经双方同意，保险事故发生后，如保险人在接到被保险人出险通知两小时内未到达事故现场，且对紧急抢险措施未提出反对意见，被保险人可按照规范要求以及生产与安全需要，立即组织抢险、抢修工作，但被保险人应认真做好相关记录，并在条件许可时对第一现场情况进行拍照或录像。</w:t>
      </w:r>
    </w:p>
    <w:p w14:paraId="3ABC8D2B">
      <w:pPr>
        <w:keepNext w:val="0"/>
        <w:keepLines w:val="0"/>
        <w:pageBreakBefore w:val="0"/>
        <w:kinsoku/>
        <w:wordWrap/>
        <w:overflowPunct/>
        <w:topLinePunct w:val="0"/>
        <w:bidi w:val="0"/>
        <w:adjustRightInd/>
        <w:snapToGrid/>
        <w:spacing w:beforeAutospacing="0" w:line="360" w:lineRule="auto"/>
        <w:ind w:left="0" w:leftChars="0" w:firstLine="482" w:firstLineChars="200"/>
        <w:textAlignment w:val="auto"/>
        <w:rPr>
          <w:rFonts w:hint="default" w:ascii="Times New Roman" w:hAnsi="Times New Roman" w:eastAsia="仿宋_GB2312" w:cs="Times New Roman"/>
          <w:b/>
          <w:bCs/>
          <w:color w:val="auto"/>
          <w:sz w:val="24"/>
          <w:szCs w:val="24"/>
          <w:highlight w:val="none"/>
        </w:rPr>
      </w:pPr>
      <w:r>
        <w:rPr>
          <w:rFonts w:hint="eastAsia" w:ascii="Times New Roman" w:hAnsi="Times New Roman" w:eastAsia="仿宋_GB2312" w:cs="Times New Roman"/>
          <w:b/>
          <w:bCs/>
          <w:color w:val="auto"/>
          <w:sz w:val="24"/>
          <w:szCs w:val="24"/>
          <w:highlight w:val="none"/>
        </w:rPr>
        <w:t>（1</w:t>
      </w:r>
      <w:r>
        <w:rPr>
          <w:rFonts w:hint="eastAsia" w:eastAsia="仿宋_GB2312" w:cs="Times New Roman"/>
          <w:b/>
          <w:bCs/>
          <w:color w:val="auto"/>
          <w:sz w:val="24"/>
          <w:szCs w:val="24"/>
          <w:highlight w:val="none"/>
          <w:lang w:val="en-US" w:eastAsia="zh-CN"/>
        </w:rPr>
        <w:t>1</w:t>
      </w:r>
      <w:r>
        <w:rPr>
          <w:rFonts w:hint="eastAsia" w:ascii="Times New Roman" w:hAnsi="Times New Roman" w:eastAsia="仿宋_GB2312" w:cs="Times New Roman"/>
          <w:b/>
          <w:bCs/>
          <w:color w:val="auto"/>
          <w:sz w:val="24"/>
          <w:szCs w:val="24"/>
          <w:highlight w:val="none"/>
        </w:rPr>
        <w:t>）索赔期限特别条款</w:t>
      </w:r>
    </w:p>
    <w:p w14:paraId="2DB748D1">
      <w:pPr>
        <w:keepNext w:val="0"/>
        <w:keepLines w:val="0"/>
        <w:pageBreakBefore w:val="0"/>
        <w:kinsoku/>
        <w:wordWrap/>
        <w:overflowPunct/>
        <w:topLinePunct w:val="0"/>
        <w:bidi w:val="0"/>
        <w:adjustRightInd/>
        <w:snapToGrid/>
        <w:spacing w:beforeAutospacing="0" w:line="360" w:lineRule="auto"/>
        <w:ind w:left="0" w:leftChars="0" w:firstLine="480" w:firstLineChars="200"/>
        <w:textAlignment w:val="auto"/>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兹经各方同意，发生本附加险合同责任范围内损失后，被保险人可经保险人同意延长的期限内向保险人提供书面的索赔资料。被保险人在上述期限期满后提出索赔的，由此增加的费用由被保险人自行承担。</w:t>
      </w:r>
    </w:p>
    <w:p w14:paraId="4432B9C8">
      <w:pPr>
        <w:keepNext w:val="0"/>
        <w:keepLines w:val="0"/>
        <w:pageBreakBefore w:val="0"/>
        <w:kinsoku/>
        <w:wordWrap/>
        <w:overflowPunct/>
        <w:topLinePunct w:val="0"/>
        <w:bidi w:val="0"/>
        <w:adjustRightInd/>
        <w:snapToGrid/>
        <w:spacing w:beforeAutospacing="0" w:line="360" w:lineRule="auto"/>
        <w:ind w:left="0" w:leftChars="0" w:firstLine="482" w:firstLineChars="200"/>
        <w:textAlignment w:val="auto"/>
        <w:rPr>
          <w:rFonts w:hint="eastAsia" w:ascii="宋体" w:hAnsi="宋体" w:eastAsia="宋体" w:cs="宋体"/>
          <w:color w:val="auto"/>
          <w:sz w:val="24"/>
          <w:szCs w:val="24"/>
          <w:highlight w:val="none"/>
        </w:rPr>
      </w:pPr>
      <w:r>
        <w:rPr>
          <w:rFonts w:hint="eastAsia" w:ascii="Times New Roman" w:hAnsi="Times New Roman" w:eastAsia="仿宋_GB2312" w:cs="Times New Roman"/>
          <w:b/>
          <w:bCs/>
          <w:color w:val="auto"/>
          <w:sz w:val="24"/>
          <w:szCs w:val="24"/>
          <w:highlight w:val="none"/>
          <w:lang w:val="en-US" w:eastAsia="zh-CN"/>
        </w:rPr>
        <w:t>（1</w:t>
      </w:r>
      <w:r>
        <w:rPr>
          <w:rFonts w:hint="eastAsia" w:eastAsia="仿宋_GB2312" w:cs="Times New Roman"/>
          <w:b/>
          <w:bCs/>
          <w:color w:val="auto"/>
          <w:sz w:val="24"/>
          <w:szCs w:val="24"/>
          <w:highlight w:val="none"/>
          <w:lang w:val="en-US" w:eastAsia="zh-CN"/>
        </w:rPr>
        <w:t>2</w:t>
      </w:r>
      <w:r>
        <w:rPr>
          <w:rFonts w:hint="eastAsia" w:ascii="Times New Roman" w:hAnsi="Times New Roman" w:eastAsia="仿宋_GB2312" w:cs="Times New Roman"/>
          <w:b/>
          <w:bCs/>
          <w:color w:val="auto"/>
          <w:sz w:val="24"/>
          <w:szCs w:val="24"/>
          <w:highlight w:val="none"/>
          <w:lang w:val="en-US" w:eastAsia="zh-CN"/>
        </w:rPr>
        <w:t>）附加扩展机器损坏保险</w:t>
      </w:r>
    </w:p>
    <w:p w14:paraId="0F60CB9B">
      <w:pPr>
        <w:keepNext w:val="0"/>
        <w:keepLines w:val="0"/>
        <w:pageBreakBefore w:val="0"/>
        <w:kinsoku/>
        <w:wordWrap/>
        <w:overflowPunct/>
        <w:topLinePunct w:val="0"/>
        <w:bidi w:val="0"/>
        <w:adjustRightInd/>
        <w:snapToGrid/>
        <w:spacing w:beforeAutospacing="0" w:line="360" w:lineRule="auto"/>
        <w:ind w:left="0" w:leftChars="0" w:firstLine="480" w:firstLineChars="200"/>
        <w:textAlignment w:val="auto"/>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投保附加险的条件</w:t>
      </w:r>
    </w:p>
    <w:p w14:paraId="37A53B84">
      <w:pPr>
        <w:keepNext w:val="0"/>
        <w:keepLines w:val="0"/>
        <w:pageBreakBefore w:val="0"/>
        <w:kinsoku/>
        <w:wordWrap/>
        <w:overflowPunct/>
        <w:topLinePunct w:val="0"/>
        <w:bidi w:val="0"/>
        <w:adjustRightInd/>
        <w:snapToGrid/>
        <w:spacing w:beforeAutospacing="0" w:line="360" w:lineRule="auto"/>
        <w:ind w:left="0" w:leftChars="0" w:firstLine="480" w:firstLineChars="200"/>
        <w:textAlignment w:val="auto"/>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第一条</w:t>
      </w:r>
      <w:r>
        <w:rPr>
          <w:rFonts w:hint="eastAsia" w:eastAsia="仿宋_GB2312" w:cs="Times New Roman"/>
          <w:color w:val="auto"/>
          <w:sz w:val="24"/>
          <w:szCs w:val="24"/>
          <w:highlight w:val="none"/>
          <w:lang w:val="en-US" w:eastAsia="zh-CN"/>
        </w:rPr>
        <w:t xml:space="preserve"> </w:t>
      </w:r>
      <w:r>
        <w:rPr>
          <w:rFonts w:hint="eastAsia" w:ascii="Times New Roman" w:hAnsi="Times New Roman" w:eastAsia="仿宋_GB2312" w:cs="Times New Roman"/>
          <w:color w:val="auto"/>
          <w:sz w:val="24"/>
          <w:szCs w:val="24"/>
          <w:highlight w:val="none"/>
          <w:lang w:val="en-US" w:eastAsia="zh-CN"/>
        </w:rPr>
        <w:t>本条款系本保险单约定的主险条款的一般附加险条款，只有在投保了企财险类主险的基础上，方可投保本附加险。</w:t>
      </w:r>
    </w:p>
    <w:p w14:paraId="6A28B076">
      <w:pPr>
        <w:keepNext w:val="0"/>
        <w:keepLines w:val="0"/>
        <w:pageBreakBefore w:val="0"/>
        <w:kinsoku/>
        <w:wordWrap/>
        <w:overflowPunct/>
        <w:topLinePunct w:val="0"/>
        <w:bidi w:val="0"/>
        <w:adjustRightInd/>
        <w:snapToGrid/>
        <w:spacing w:beforeAutospacing="0" w:line="360" w:lineRule="auto"/>
        <w:ind w:left="0" w:leftChars="0" w:firstLine="480" w:firstLineChars="200"/>
        <w:textAlignment w:val="auto"/>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附加险内容</w:t>
      </w:r>
    </w:p>
    <w:p w14:paraId="49718DBA">
      <w:pPr>
        <w:keepNext w:val="0"/>
        <w:keepLines w:val="0"/>
        <w:pageBreakBefore w:val="0"/>
        <w:kinsoku/>
        <w:wordWrap/>
        <w:overflowPunct/>
        <w:topLinePunct w:val="0"/>
        <w:bidi w:val="0"/>
        <w:adjustRightInd/>
        <w:snapToGrid/>
        <w:spacing w:beforeAutospacing="0" w:line="360" w:lineRule="auto"/>
        <w:ind w:left="0" w:leftChars="0" w:firstLine="480" w:firstLineChars="200"/>
        <w:textAlignment w:val="auto"/>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第二条</w:t>
      </w:r>
      <w:r>
        <w:rPr>
          <w:rFonts w:hint="eastAsia" w:eastAsia="仿宋_GB2312" w:cs="Times New Roman"/>
          <w:color w:val="auto"/>
          <w:sz w:val="24"/>
          <w:szCs w:val="24"/>
          <w:highlight w:val="none"/>
          <w:lang w:val="en-US" w:eastAsia="zh-CN"/>
        </w:rPr>
        <w:t xml:space="preserve"> </w:t>
      </w:r>
      <w:r>
        <w:rPr>
          <w:rFonts w:hint="eastAsia" w:ascii="Times New Roman" w:hAnsi="Times New Roman" w:eastAsia="仿宋_GB2312" w:cs="Times New Roman"/>
          <w:color w:val="auto"/>
          <w:sz w:val="24"/>
          <w:szCs w:val="24"/>
          <w:highlight w:val="none"/>
          <w:lang w:val="en-US" w:eastAsia="zh-CN"/>
        </w:rPr>
        <w:t>在保险期间内，本附加险合同扩展承保因下列原因引起或构成的任何突然的、不可预料的意外事故造成机器设备（包括电子数据处理系统）的损失，包括机械、电气、机电、电子、液压的故障、失灵、紊乱、破坏或任何非操作原因（如由铸造缺陷、设计错误、生产故障、安装中、工艺不善、缺乏技能、疏忽、锅炉内水不足、物理爆炸、离心力导致断裂、短路、暴风）等。</w:t>
      </w:r>
    </w:p>
    <w:p w14:paraId="66C0303E">
      <w:pPr>
        <w:keepNext w:val="0"/>
        <w:keepLines w:val="0"/>
        <w:pageBreakBefore w:val="0"/>
        <w:kinsoku/>
        <w:wordWrap/>
        <w:overflowPunct/>
        <w:topLinePunct w:val="0"/>
        <w:bidi w:val="0"/>
        <w:adjustRightInd/>
        <w:snapToGrid/>
        <w:spacing w:beforeAutospacing="0" w:line="360" w:lineRule="auto"/>
        <w:ind w:left="0" w:leftChars="0" w:firstLine="480" w:firstLineChars="200"/>
        <w:textAlignment w:val="auto"/>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保险人不赔偿：</w:t>
      </w:r>
    </w:p>
    <w:p w14:paraId="48E346AC">
      <w:pPr>
        <w:keepNext w:val="0"/>
        <w:keepLines w:val="0"/>
        <w:pageBreakBefore w:val="0"/>
        <w:kinsoku/>
        <w:wordWrap/>
        <w:overflowPunct/>
        <w:topLinePunct w:val="0"/>
        <w:bidi w:val="0"/>
        <w:adjustRightInd/>
        <w:snapToGrid/>
        <w:spacing w:beforeAutospacing="0" w:line="360" w:lineRule="auto"/>
        <w:ind w:left="0" w:leftChars="0" w:firstLine="480" w:firstLineChars="200"/>
        <w:textAlignment w:val="auto"/>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保单明细表中列明的每次事故免赔额；但如果一次事故涉及多项财产损失，保险人仅扣除其中最高的单次事故免赔额；2.各种可调换或替代的工具，比如：钻头、模具、印刷滚筒、以及其使用的各种部件等低值易耗品，比如：耐火层、粉碎槌、玻璃、传送带、缆绳、金属线、轮胎以及一切操作中的媒介物等（如润滑油、燃料、催化剂）；3.火灾、直接雷击、化学爆炸（但不包括锅炉内通气管道爆炸）、飞行器或其他空中运行物体坠落、偷窃、盗窃或恐吓、建筑物倒塌、洪水、地震、地崩、山崩、地面突然坍塌、雪崩、台风、暴风、飓风、龙卷风、火山爆发及其他类似自然灾害所造成的损失；4.被保险人及其代表已经知道或应该知道的被保险机器及其附属设备在本保险开始前已经存在的缺点或缺陷；5.被保险人及其代表的故意或重大过失行为；6.机器设备运行所必然引起的直接损失，如自然磨损、氧化、腐蚀、锈蚀、孔蚀、锅垢等，但上述原因引起的其他损失则不属于责任免除；7.保险事故发生后引起的各种间接损失或责任。本附加险合同项下的每次事故赔偿金额不超过本保险单中载明的相应限额。本附加险合同项下的免赔额以本保险单中载明的免赔额或载明的免赔率计算的免赔额为准，两者以高者为准。</w:t>
      </w:r>
    </w:p>
    <w:p w14:paraId="1D61FB62">
      <w:pPr>
        <w:keepNext w:val="0"/>
        <w:keepLines w:val="0"/>
        <w:pageBreakBefore w:val="0"/>
        <w:kinsoku/>
        <w:wordWrap/>
        <w:overflowPunct/>
        <w:topLinePunct w:val="0"/>
        <w:bidi w:val="0"/>
        <w:adjustRightInd/>
        <w:snapToGrid/>
        <w:spacing w:beforeAutospacing="0" w:line="360" w:lineRule="auto"/>
        <w:ind w:left="0" w:leftChars="0" w:firstLine="480" w:firstLineChars="200"/>
        <w:textAlignment w:val="auto"/>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主险与附加险关系</w:t>
      </w:r>
    </w:p>
    <w:p w14:paraId="72762D1B">
      <w:pPr>
        <w:keepNext w:val="0"/>
        <w:keepLines w:val="0"/>
        <w:pageBreakBefore w:val="0"/>
        <w:kinsoku/>
        <w:wordWrap/>
        <w:overflowPunct/>
        <w:topLinePunct w:val="0"/>
        <w:bidi w:val="0"/>
        <w:adjustRightInd/>
        <w:snapToGrid/>
        <w:spacing w:beforeAutospacing="0" w:line="360" w:lineRule="auto"/>
        <w:ind w:left="0" w:leftChars="0" w:firstLine="480" w:firstLineChars="200"/>
        <w:textAlignment w:val="auto"/>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第三条</w:t>
      </w:r>
      <w:r>
        <w:rPr>
          <w:rFonts w:hint="eastAsia" w:eastAsia="仿宋_GB2312" w:cs="Times New Roman"/>
          <w:color w:val="auto"/>
          <w:sz w:val="24"/>
          <w:szCs w:val="24"/>
          <w:highlight w:val="none"/>
          <w:lang w:val="en-US" w:eastAsia="zh-CN"/>
        </w:rPr>
        <w:t xml:space="preserve"> </w:t>
      </w:r>
      <w:r>
        <w:rPr>
          <w:rFonts w:hint="eastAsia" w:ascii="Times New Roman" w:hAnsi="Times New Roman" w:eastAsia="仿宋_GB2312" w:cs="Times New Roman"/>
          <w:color w:val="auto"/>
          <w:sz w:val="24"/>
          <w:szCs w:val="24"/>
          <w:highlight w:val="none"/>
          <w:lang w:val="en-US" w:eastAsia="zh-CN"/>
        </w:rPr>
        <w:t>凡涉及本附加险合同的约定，均应采用书面形式。主险合同与本附加险合同相抵触之处，以本附加险合同为准；本附加险合同未约定事项，以主险合同为准。主险合同效力终止，本附加险合同效力亦同时终止；主险合同无效，本附加险合同亦无效。</w:t>
      </w:r>
    </w:p>
    <w:p w14:paraId="7B623BD3">
      <w:pPr>
        <w:keepNext w:val="0"/>
        <w:keepLines w:val="0"/>
        <w:pageBreakBefore w:val="0"/>
        <w:kinsoku/>
        <w:wordWrap/>
        <w:overflowPunct/>
        <w:topLinePunct w:val="0"/>
        <w:bidi w:val="0"/>
        <w:adjustRightInd/>
        <w:snapToGrid/>
        <w:spacing w:beforeAutospacing="0" w:line="360" w:lineRule="auto"/>
        <w:ind w:left="0" w:leftChars="0" w:firstLine="482" w:firstLineChars="200"/>
        <w:textAlignment w:val="auto"/>
        <w:rPr>
          <w:rFonts w:hint="eastAsia" w:ascii="Times New Roman" w:hAnsi="Times New Roman" w:eastAsia="仿宋_GB2312" w:cs="Times New Roman"/>
          <w:b/>
          <w:bCs/>
          <w:color w:val="auto"/>
          <w:sz w:val="24"/>
          <w:szCs w:val="24"/>
          <w:highlight w:val="none"/>
        </w:rPr>
      </w:pPr>
      <w:r>
        <w:rPr>
          <w:rFonts w:hint="eastAsia" w:ascii="Times New Roman" w:hAnsi="Times New Roman" w:eastAsia="仿宋_GB2312" w:cs="Times New Roman"/>
          <w:b/>
          <w:bCs/>
          <w:color w:val="auto"/>
          <w:sz w:val="24"/>
          <w:szCs w:val="24"/>
          <w:highlight w:val="none"/>
          <w:lang w:eastAsia="zh-CN"/>
        </w:rPr>
        <w:t>（</w:t>
      </w:r>
      <w:r>
        <w:rPr>
          <w:rFonts w:hint="eastAsia" w:ascii="Times New Roman" w:hAnsi="Times New Roman" w:eastAsia="仿宋_GB2312" w:cs="Times New Roman"/>
          <w:b/>
          <w:bCs/>
          <w:color w:val="auto"/>
          <w:sz w:val="24"/>
          <w:szCs w:val="24"/>
          <w:highlight w:val="none"/>
          <w:lang w:val="en-US" w:eastAsia="zh-CN"/>
        </w:rPr>
        <w:t>1</w:t>
      </w:r>
      <w:r>
        <w:rPr>
          <w:rFonts w:hint="eastAsia" w:eastAsia="仿宋_GB2312" w:cs="Times New Roman"/>
          <w:b/>
          <w:bCs/>
          <w:color w:val="auto"/>
          <w:sz w:val="24"/>
          <w:szCs w:val="24"/>
          <w:highlight w:val="none"/>
          <w:lang w:val="en-US" w:eastAsia="zh-CN"/>
        </w:rPr>
        <w:t>3</w:t>
      </w:r>
      <w:r>
        <w:rPr>
          <w:rFonts w:hint="eastAsia" w:ascii="Times New Roman" w:hAnsi="Times New Roman" w:eastAsia="仿宋_GB2312" w:cs="Times New Roman"/>
          <w:b/>
          <w:bCs/>
          <w:color w:val="auto"/>
          <w:sz w:val="24"/>
          <w:szCs w:val="24"/>
          <w:highlight w:val="none"/>
          <w:lang w:eastAsia="zh-CN"/>
        </w:rPr>
        <w:t>）</w:t>
      </w:r>
      <w:r>
        <w:rPr>
          <w:rFonts w:hint="eastAsia" w:ascii="Times New Roman" w:hAnsi="Times New Roman" w:eastAsia="仿宋_GB2312" w:cs="Times New Roman"/>
          <w:b/>
          <w:bCs/>
          <w:color w:val="auto"/>
          <w:sz w:val="24"/>
          <w:szCs w:val="24"/>
          <w:highlight w:val="none"/>
        </w:rPr>
        <w:t>附加场内道路保险条款</w:t>
      </w:r>
    </w:p>
    <w:p w14:paraId="6DD2A3C4">
      <w:pPr>
        <w:keepNext w:val="0"/>
        <w:keepLines w:val="0"/>
        <w:pageBreakBefore w:val="0"/>
        <w:kinsoku/>
        <w:wordWrap/>
        <w:overflowPunct/>
        <w:topLinePunct w:val="0"/>
        <w:bidi w:val="0"/>
        <w:adjustRightInd/>
        <w:snapToGrid/>
        <w:spacing w:beforeAutospacing="0" w:line="360" w:lineRule="auto"/>
        <w:ind w:left="0" w:leftChars="0" w:firstLine="480" w:firstLineChars="200"/>
        <w:textAlignment w:val="auto"/>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本保险扩展承保场内道路，因保险合同列明责任导致的事故，保险人负责赔偿。</w:t>
      </w:r>
    </w:p>
    <w:p w14:paraId="4B80CBAC">
      <w:pPr>
        <w:keepNext w:val="0"/>
        <w:keepLines w:val="0"/>
        <w:pageBreakBefore w:val="0"/>
        <w:kinsoku/>
        <w:wordWrap/>
        <w:overflowPunct/>
        <w:topLinePunct w:val="0"/>
        <w:bidi w:val="0"/>
        <w:adjustRightInd/>
        <w:snapToGrid/>
        <w:spacing w:beforeAutospacing="0" w:line="360" w:lineRule="auto"/>
        <w:ind w:left="0" w:leftChars="0" w:firstLine="480" w:firstLineChars="200"/>
        <w:textAlignment w:val="auto"/>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本附加险合同项下的每次事故赔偿金额不超过本保险单中载明的相应限额。</w:t>
      </w:r>
    </w:p>
    <w:p w14:paraId="32C35C5D">
      <w:pPr>
        <w:keepNext w:val="0"/>
        <w:keepLines w:val="0"/>
        <w:pageBreakBefore w:val="0"/>
        <w:kinsoku/>
        <w:wordWrap/>
        <w:overflowPunct/>
        <w:topLinePunct w:val="0"/>
        <w:bidi w:val="0"/>
        <w:adjustRightInd/>
        <w:snapToGrid/>
        <w:spacing w:beforeAutospacing="0" w:line="360" w:lineRule="auto"/>
        <w:ind w:left="0" w:leftChars="0" w:firstLine="480" w:firstLineChars="200"/>
        <w:textAlignment w:val="auto"/>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本附加险合同项下的免赔额以本保险单中载明的免赔额或载明的免赔率计算的免赔额为准，两者以高者为准。</w:t>
      </w:r>
    </w:p>
    <w:p w14:paraId="58C3D3FF">
      <w:pPr>
        <w:keepNext w:val="0"/>
        <w:keepLines w:val="0"/>
        <w:pageBreakBefore w:val="0"/>
        <w:kinsoku/>
        <w:wordWrap/>
        <w:overflowPunct/>
        <w:topLinePunct w:val="0"/>
        <w:bidi w:val="0"/>
        <w:adjustRightInd/>
        <w:snapToGrid/>
        <w:spacing w:beforeAutospacing="0" w:line="360" w:lineRule="auto"/>
        <w:ind w:left="0" w:leftChars="0" w:firstLine="480" w:firstLineChars="200"/>
        <w:textAlignment w:val="auto"/>
        <w:rPr>
          <w:rFonts w:hint="eastAsia" w:ascii="Times New Roman" w:hAnsi="Times New Roman" w:eastAsia="仿宋_GB2312" w:cs="Times New Roman"/>
          <w:color w:val="auto"/>
          <w:sz w:val="24"/>
          <w:szCs w:val="24"/>
          <w:highlight w:val="none"/>
          <w:lang w:eastAsia="zh-CN"/>
        </w:rPr>
      </w:pPr>
      <w:r>
        <w:rPr>
          <w:rFonts w:hint="eastAsia" w:ascii="Times New Roman" w:hAnsi="Times New Roman" w:eastAsia="仿宋_GB2312" w:cs="Times New Roman"/>
          <w:color w:val="auto"/>
          <w:sz w:val="24"/>
          <w:szCs w:val="24"/>
          <w:highlight w:val="none"/>
        </w:rPr>
        <w:t>累计赔偿限额为</w:t>
      </w:r>
      <w:r>
        <w:rPr>
          <w:rFonts w:hint="eastAsia" w:ascii="Times New Roman" w:hAnsi="Times New Roman" w:eastAsia="仿宋_GB2312" w:cs="Times New Roman"/>
          <w:color w:val="auto"/>
          <w:sz w:val="24"/>
          <w:szCs w:val="24"/>
          <w:highlight w:val="none"/>
          <w:lang w:val="en-US" w:eastAsia="zh-CN"/>
        </w:rPr>
        <w:t>2</w:t>
      </w:r>
      <w:r>
        <w:rPr>
          <w:rFonts w:hint="eastAsia" w:ascii="Times New Roman" w:hAnsi="Times New Roman" w:eastAsia="仿宋_GB2312" w:cs="Times New Roman"/>
          <w:color w:val="auto"/>
          <w:sz w:val="24"/>
          <w:szCs w:val="24"/>
          <w:highlight w:val="none"/>
        </w:rPr>
        <w:t>0万元，每次事故免赔额0元。</w:t>
      </w:r>
    </w:p>
    <w:p w14:paraId="25BD1377">
      <w:pPr>
        <w:keepNext w:val="0"/>
        <w:keepLines w:val="0"/>
        <w:pageBreakBefore w:val="0"/>
        <w:kinsoku/>
        <w:wordWrap/>
        <w:overflowPunct/>
        <w:topLinePunct w:val="0"/>
        <w:bidi w:val="0"/>
        <w:adjustRightInd/>
        <w:snapToGrid/>
        <w:spacing w:beforeAutospacing="0" w:line="360" w:lineRule="auto"/>
        <w:ind w:left="0" w:leftChars="0" w:firstLine="482" w:firstLineChars="200"/>
        <w:textAlignment w:val="auto"/>
        <w:rPr>
          <w:rFonts w:hint="default" w:ascii="Times New Roman" w:hAnsi="Times New Roman" w:eastAsia="仿宋_GB2312" w:cs="Times New Roman"/>
          <w:b/>
          <w:bCs/>
          <w:color w:val="auto"/>
          <w:sz w:val="24"/>
          <w:szCs w:val="24"/>
          <w:highlight w:val="none"/>
        </w:rPr>
      </w:pPr>
      <w:r>
        <w:rPr>
          <w:rFonts w:hint="eastAsia" w:ascii="Times New Roman" w:hAnsi="Times New Roman" w:eastAsia="仿宋_GB2312" w:cs="Times New Roman"/>
          <w:b/>
          <w:bCs/>
          <w:color w:val="auto"/>
          <w:sz w:val="24"/>
          <w:szCs w:val="24"/>
          <w:highlight w:val="none"/>
          <w:lang w:val="en-US" w:eastAsia="zh-CN"/>
        </w:rPr>
        <w:t>(1</w:t>
      </w:r>
      <w:r>
        <w:rPr>
          <w:rFonts w:hint="eastAsia" w:eastAsia="仿宋_GB2312" w:cs="Times New Roman"/>
          <w:b/>
          <w:bCs/>
          <w:color w:val="auto"/>
          <w:sz w:val="24"/>
          <w:szCs w:val="24"/>
          <w:highlight w:val="none"/>
          <w:lang w:val="en-US" w:eastAsia="zh-CN"/>
        </w:rPr>
        <w:t>4</w:t>
      </w:r>
      <w:r>
        <w:rPr>
          <w:rFonts w:hint="eastAsia" w:ascii="Times New Roman" w:hAnsi="Times New Roman" w:eastAsia="仿宋_GB2312" w:cs="Times New Roman"/>
          <w:b/>
          <w:bCs/>
          <w:color w:val="auto"/>
          <w:sz w:val="24"/>
          <w:szCs w:val="24"/>
          <w:highlight w:val="none"/>
          <w:lang w:val="en-US" w:eastAsia="zh-CN"/>
        </w:rPr>
        <w:t>)</w:t>
      </w:r>
      <w:r>
        <w:rPr>
          <w:rFonts w:hint="default" w:ascii="Times New Roman" w:hAnsi="Times New Roman" w:eastAsia="仿宋_GB2312" w:cs="Times New Roman"/>
          <w:b/>
          <w:bCs/>
          <w:color w:val="auto"/>
          <w:sz w:val="24"/>
          <w:szCs w:val="24"/>
          <w:highlight w:val="none"/>
        </w:rPr>
        <w:t>附加建筑物外部附属设施特约保险条款</w:t>
      </w:r>
    </w:p>
    <w:p w14:paraId="0CE80F67">
      <w:pPr>
        <w:keepNext w:val="0"/>
        <w:keepLines w:val="0"/>
        <w:pageBreakBefore w:val="0"/>
        <w:kinsoku/>
        <w:wordWrap/>
        <w:overflowPunct/>
        <w:topLinePunct w:val="0"/>
        <w:bidi w:val="0"/>
        <w:adjustRightInd/>
        <w:snapToGrid/>
        <w:spacing w:beforeAutospacing="0" w:line="360" w:lineRule="auto"/>
        <w:ind w:left="0" w:leftChars="0" w:firstLine="480" w:firstLineChars="20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在保险期间内，由于暴风、暴雨、龙卷风、台风、飓风、雷击、冰雹、暴雪、冰凌、洪水造成保险单载明的保险标的外部的广告牌、天线、太阳能装置、霓虹灯等的直接物质损失，保险人按照本附加险合同的约定负责赔偿。</w:t>
      </w:r>
    </w:p>
    <w:p w14:paraId="307E7E1E">
      <w:pPr>
        <w:keepNext w:val="0"/>
        <w:keepLines w:val="0"/>
        <w:pageBreakBefore w:val="0"/>
        <w:kinsoku/>
        <w:wordWrap/>
        <w:overflowPunct/>
        <w:topLinePunct w:val="0"/>
        <w:bidi w:val="0"/>
        <w:adjustRightInd/>
        <w:snapToGrid/>
        <w:spacing w:beforeAutospacing="0" w:line="360" w:lineRule="auto"/>
        <w:ind w:left="0" w:leftChars="0" w:firstLine="480" w:firstLineChars="20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被保险人保证按相关规范对上述设施进行定期检查并采取合理的维护措施。</w:t>
      </w:r>
      <w:r>
        <w:rPr>
          <w:rFonts w:hint="default" w:ascii="Times New Roman" w:hAnsi="Times New Roman" w:eastAsia="仿宋_GB2312" w:cs="Times New Roman"/>
          <w:color w:val="auto"/>
          <w:sz w:val="24"/>
          <w:szCs w:val="24"/>
          <w:highlight w:val="none"/>
        </w:rPr>
        <w:br w:type="textWrapping"/>
      </w:r>
      <w:r>
        <w:rPr>
          <w:rFonts w:hint="eastAsia" w:ascii="Times New Roman" w:hAnsi="Times New Roman" w:eastAsia="仿宋_GB2312" w:cs="Times New Roman"/>
          <w:color w:val="auto"/>
          <w:sz w:val="24"/>
          <w:szCs w:val="24"/>
          <w:highlight w:val="none"/>
        </w:rPr>
        <w:t>累计赔偿限额为</w:t>
      </w:r>
      <w:r>
        <w:rPr>
          <w:rFonts w:hint="eastAsia" w:ascii="Times New Roman" w:hAnsi="Times New Roman" w:eastAsia="仿宋_GB2312" w:cs="Times New Roman"/>
          <w:color w:val="auto"/>
          <w:sz w:val="24"/>
          <w:szCs w:val="24"/>
          <w:highlight w:val="none"/>
          <w:lang w:val="en-US" w:eastAsia="zh-CN"/>
        </w:rPr>
        <w:t>2</w:t>
      </w:r>
      <w:r>
        <w:rPr>
          <w:rFonts w:hint="eastAsia" w:ascii="Times New Roman" w:hAnsi="Times New Roman" w:eastAsia="仿宋_GB2312" w:cs="Times New Roman"/>
          <w:color w:val="auto"/>
          <w:sz w:val="24"/>
          <w:szCs w:val="24"/>
          <w:highlight w:val="none"/>
        </w:rPr>
        <w:t>0万元，每次事故免赔额0元。</w:t>
      </w:r>
    </w:p>
    <w:p w14:paraId="633230D5">
      <w:pPr>
        <w:spacing w:line="400" w:lineRule="exact"/>
        <w:rPr>
          <w:rFonts w:hint="default" w:ascii="Times New Roman" w:hAnsi="Times New Roman" w:eastAsia="仿宋_GB2312" w:cs="Times New Roman"/>
          <w:color w:val="auto"/>
          <w:sz w:val="24"/>
          <w:highlight w:val="none"/>
        </w:rPr>
      </w:pPr>
    </w:p>
    <w:p w14:paraId="24F6D373">
      <w:pPr>
        <w:spacing w:line="400" w:lineRule="exact"/>
        <w:rPr>
          <w:rFonts w:hint="default" w:ascii="Times New Roman" w:hAnsi="Times New Roman" w:eastAsia="仿宋_GB2312" w:cs="Times New Roman"/>
          <w:color w:val="auto"/>
          <w:sz w:val="24"/>
          <w:highlight w:val="none"/>
        </w:rPr>
      </w:pPr>
    </w:p>
    <w:p w14:paraId="76A9DFB7">
      <w:pPr>
        <w:spacing w:line="400" w:lineRule="exact"/>
        <w:rPr>
          <w:rFonts w:hint="default" w:ascii="Times New Roman" w:hAnsi="Times New Roman" w:eastAsia="仿宋_GB2312" w:cs="Times New Roman"/>
          <w:color w:val="auto"/>
          <w:sz w:val="24"/>
          <w:highlight w:val="none"/>
        </w:rPr>
      </w:pPr>
    </w:p>
    <w:p w14:paraId="06CC864F">
      <w:pPr>
        <w:spacing w:line="400" w:lineRule="exact"/>
        <w:rPr>
          <w:rFonts w:hint="default" w:ascii="Times New Roman" w:hAnsi="Times New Roman" w:eastAsia="仿宋_GB2312" w:cs="Times New Roman"/>
          <w:color w:val="auto"/>
          <w:sz w:val="24"/>
          <w:highlight w:val="none"/>
        </w:rPr>
      </w:pPr>
    </w:p>
    <w:p w14:paraId="28E6B891">
      <w:pPr>
        <w:spacing w:line="400" w:lineRule="exact"/>
        <w:rPr>
          <w:rFonts w:hint="default" w:ascii="Times New Roman" w:hAnsi="Times New Roman" w:eastAsia="仿宋_GB2312" w:cs="Times New Roman"/>
          <w:color w:val="auto"/>
          <w:sz w:val="24"/>
          <w:highlight w:val="none"/>
        </w:rPr>
      </w:pPr>
    </w:p>
    <w:p w14:paraId="4195A58A">
      <w:pPr>
        <w:spacing w:line="400" w:lineRule="exact"/>
        <w:rPr>
          <w:rFonts w:hint="default" w:ascii="Times New Roman" w:hAnsi="Times New Roman" w:eastAsia="仿宋_GB2312" w:cs="Times New Roman"/>
          <w:color w:val="auto"/>
          <w:sz w:val="24"/>
          <w:highlight w:val="none"/>
        </w:rPr>
      </w:pPr>
    </w:p>
    <w:p w14:paraId="0D17503B">
      <w:pPr>
        <w:spacing w:line="400" w:lineRule="exact"/>
        <w:rPr>
          <w:rFonts w:hint="default" w:ascii="Times New Roman" w:hAnsi="Times New Roman" w:eastAsia="仿宋_GB2312" w:cs="Times New Roman"/>
          <w:color w:val="auto"/>
          <w:sz w:val="24"/>
          <w:highlight w:val="none"/>
        </w:rPr>
      </w:pPr>
    </w:p>
    <w:p w14:paraId="1738A2DE">
      <w:pPr>
        <w:spacing w:line="400" w:lineRule="exact"/>
        <w:rPr>
          <w:rFonts w:hint="default" w:ascii="Times New Roman" w:hAnsi="Times New Roman" w:eastAsia="仿宋_GB2312" w:cs="Times New Roman"/>
          <w:color w:val="auto"/>
          <w:sz w:val="24"/>
          <w:highlight w:val="none"/>
        </w:rPr>
      </w:pPr>
    </w:p>
    <w:p w14:paraId="2F428F0B">
      <w:pPr>
        <w:spacing w:line="400" w:lineRule="exact"/>
        <w:rPr>
          <w:rFonts w:hint="default" w:ascii="Times New Roman" w:hAnsi="Times New Roman" w:eastAsia="仿宋_GB2312" w:cs="Times New Roman"/>
          <w:color w:val="auto"/>
          <w:sz w:val="24"/>
          <w:highlight w:val="none"/>
        </w:rPr>
      </w:pPr>
    </w:p>
    <w:p w14:paraId="3176FD45">
      <w:pPr>
        <w:spacing w:line="400" w:lineRule="exact"/>
        <w:rPr>
          <w:rFonts w:hint="default" w:ascii="Times New Roman" w:hAnsi="Times New Roman" w:eastAsia="仿宋_GB2312" w:cs="Times New Roman"/>
          <w:color w:val="auto"/>
          <w:sz w:val="24"/>
          <w:highlight w:val="none"/>
        </w:rPr>
      </w:pPr>
    </w:p>
    <w:p w14:paraId="3A3566FA">
      <w:pPr>
        <w:spacing w:line="400" w:lineRule="exact"/>
        <w:rPr>
          <w:rFonts w:hint="default" w:ascii="Times New Roman" w:hAnsi="Times New Roman" w:eastAsia="仿宋_GB2312" w:cs="Times New Roman"/>
          <w:color w:val="auto"/>
          <w:sz w:val="24"/>
          <w:highlight w:val="none"/>
        </w:rPr>
      </w:pPr>
    </w:p>
    <w:p w14:paraId="78BDAB18">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b/>
          <w:color w:val="auto"/>
          <w:sz w:val="28"/>
          <w:szCs w:val="28"/>
          <w:highlight w:val="none"/>
        </w:rPr>
        <w:t>公众责任保险条款</w:t>
      </w:r>
    </w:p>
    <w:p w14:paraId="2F92617B">
      <w:pPr>
        <w:adjustRightInd w:val="0"/>
        <w:snapToGrid w:val="0"/>
        <w:spacing w:after="156" w:afterLines="50"/>
        <w:jc w:val="center"/>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sz w:val="24"/>
          <w:highlight w:val="none"/>
        </w:rPr>
        <w:t>总则</w:t>
      </w:r>
    </w:p>
    <w:p w14:paraId="6B1BE5C3">
      <w:pPr>
        <w:adjustRightInd w:val="0"/>
        <w:snapToGrid w:val="0"/>
        <w:spacing w:after="156" w:afterLines="50"/>
        <w:ind w:firstLine="482"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b/>
          <w:bCs/>
          <w:color w:val="auto"/>
          <w:sz w:val="24"/>
          <w:highlight w:val="none"/>
        </w:rPr>
        <w:t>第一条</w:t>
      </w:r>
      <w:r>
        <w:rPr>
          <w:rFonts w:hint="default" w:ascii="Times New Roman" w:hAnsi="Times New Roman" w:eastAsia="仿宋_GB2312" w:cs="Times New Roman"/>
          <w:color w:val="auto"/>
          <w:sz w:val="24"/>
          <w:highlight w:val="none"/>
        </w:rPr>
        <w:t>本保险合同由保险条款、投保单、保险单、保险凭证以及批单组成。凡涉及本保险合同的约定，均应采用书面形式。</w:t>
      </w:r>
    </w:p>
    <w:p w14:paraId="27993A95">
      <w:pPr>
        <w:adjustRightInd w:val="0"/>
        <w:snapToGrid w:val="0"/>
        <w:spacing w:after="156" w:afterLines="50"/>
        <w:ind w:firstLine="482"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b/>
          <w:bCs/>
          <w:color w:val="auto"/>
          <w:sz w:val="24"/>
          <w:highlight w:val="none"/>
        </w:rPr>
        <w:t>第二条</w:t>
      </w:r>
      <w:r>
        <w:rPr>
          <w:rFonts w:hint="default" w:ascii="Times New Roman" w:hAnsi="Times New Roman" w:eastAsia="仿宋_GB2312" w:cs="Times New Roman"/>
          <w:color w:val="auto"/>
          <w:sz w:val="24"/>
          <w:highlight w:val="none"/>
        </w:rPr>
        <w:t>中华人民共和国境内的各类机关、企事业单位、个体经济组织以及其他组织，均可作为本保险合同的被保险人。</w:t>
      </w:r>
    </w:p>
    <w:p w14:paraId="55AB83F7">
      <w:pPr>
        <w:adjustRightInd w:val="0"/>
        <w:snapToGrid w:val="0"/>
        <w:spacing w:after="156" w:afterLines="50"/>
        <w:jc w:val="center"/>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sz w:val="24"/>
          <w:highlight w:val="none"/>
        </w:rPr>
        <w:t>保险责任</w:t>
      </w:r>
    </w:p>
    <w:p w14:paraId="592A52F2">
      <w:pPr>
        <w:adjustRightInd w:val="0"/>
        <w:snapToGrid w:val="0"/>
        <w:spacing w:after="156" w:afterLines="50"/>
        <w:ind w:firstLine="482"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b/>
          <w:bCs/>
          <w:color w:val="auto"/>
          <w:sz w:val="24"/>
          <w:highlight w:val="none"/>
        </w:rPr>
        <w:t>第三条</w:t>
      </w:r>
      <w:r>
        <w:rPr>
          <w:rFonts w:hint="default" w:ascii="Times New Roman" w:hAnsi="Times New Roman" w:eastAsia="仿宋_GB2312" w:cs="Times New Roman"/>
          <w:color w:val="auto"/>
          <w:sz w:val="24"/>
          <w:highlight w:val="none"/>
        </w:rPr>
        <w:t>在保险期间内，被保险人在保险单载明的区域范围内因经营业务发生意外事故，造成第三者的人身伤亡或财产损失，依照中华人民共和国法律（不包括港澳台地区法律）应由被保险人承担的经济赔偿责任，保险人按照本保险合同约定负责赔偿。</w:t>
      </w:r>
    </w:p>
    <w:p w14:paraId="5B8AD08A">
      <w:pPr>
        <w:snapToGrid w:val="0"/>
        <w:spacing w:after="156" w:afterLines="50"/>
        <w:ind w:firstLine="482" w:firstLineChars="200"/>
        <w:rPr>
          <w:rFonts w:hint="default" w:ascii="Times New Roman" w:hAnsi="Times New Roman" w:eastAsia="仿宋_GB2312" w:cs="Times New Roman"/>
          <w:snapToGrid w:val="0"/>
          <w:color w:val="auto"/>
          <w:kern w:val="0"/>
          <w:sz w:val="24"/>
          <w:highlight w:val="none"/>
        </w:rPr>
      </w:pPr>
      <w:r>
        <w:rPr>
          <w:rFonts w:hint="default" w:ascii="Times New Roman" w:hAnsi="Times New Roman" w:eastAsia="仿宋_GB2312" w:cs="Times New Roman"/>
          <w:b/>
          <w:bCs/>
          <w:snapToGrid w:val="0"/>
          <w:color w:val="auto"/>
          <w:kern w:val="0"/>
          <w:sz w:val="24"/>
          <w:highlight w:val="none"/>
        </w:rPr>
        <w:t>第四条</w:t>
      </w:r>
      <w:r>
        <w:rPr>
          <w:rFonts w:hint="default" w:ascii="Times New Roman" w:hAnsi="Times New Roman" w:eastAsia="仿宋_GB2312" w:cs="Times New Roman"/>
          <w:snapToGrid w:val="0"/>
          <w:color w:val="auto"/>
          <w:kern w:val="0"/>
          <w:sz w:val="24"/>
          <w:highlight w:val="none"/>
        </w:rPr>
        <w:t>在保险期间内，发生本条款第三条所规定的意外事故造成第三者的人身伤亡，受害人或其近亲属提出精神损害赔偿的，</w:t>
      </w:r>
      <w:r>
        <w:rPr>
          <w:rFonts w:hint="default" w:ascii="Times New Roman" w:hAnsi="Times New Roman" w:eastAsia="仿宋_GB2312" w:cs="Times New Roman"/>
          <w:color w:val="auto"/>
          <w:sz w:val="24"/>
          <w:highlight w:val="none"/>
        </w:rPr>
        <w:t>依照中华人民共和国（不包括港澳台地区）法院判决应由</w:t>
      </w:r>
      <w:r>
        <w:rPr>
          <w:rFonts w:hint="default" w:ascii="Times New Roman" w:hAnsi="Times New Roman" w:eastAsia="仿宋_GB2312" w:cs="Times New Roman"/>
          <w:snapToGrid w:val="0"/>
          <w:color w:val="auto"/>
          <w:kern w:val="0"/>
          <w:sz w:val="24"/>
          <w:highlight w:val="none"/>
        </w:rPr>
        <w:t>被保险人承担的精神损害赔偿责任，保险人按照本保险合同约定负责赔偿。</w:t>
      </w:r>
    </w:p>
    <w:p w14:paraId="30CCB43B">
      <w:pPr>
        <w:adjustRightInd w:val="0"/>
        <w:snapToGrid w:val="0"/>
        <w:spacing w:after="156" w:afterLines="50"/>
        <w:ind w:firstLine="482"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b/>
          <w:bCs/>
          <w:color w:val="auto"/>
          <w:sz w:val="24"/>
          <w:highlight w:val="none"/>
        </w:rPr>
        <w:t>第五条</w:t>
      </w:r>
      <w:r>
        <w:rPr>
          <w:rFonts w:hint="default" w:ascii="Times New Roman" w:hAnsi="Times New Roman" w:eastAsia="仿宋_GB2312" w:cs="Times New Roman"/>
          <w:color w:val="auto"/>
          <w:sz w:val="24"/>
          <w:highlight w:val="none"/>
        </w:rPr>
        <w:t>保险事故发生后，被保险人因保险事故而被提起仲裁或者诉讼的，对应由被保险人支付的仲裁或诉讼费用以及事先经保险人书面同意支付的其他必要的、合理的费用（以下简称“法律费用”），保险人按照本保险合同约定也负责赔偿。</w:t>
      </w:r>
    </w:p>
    <w:p w14:paraId="446C3CEE">
      <w:pPr>
        <w:adjustRightInd w:val="0"/>
        <w:snapToGrid w:val="0"/>
        <w:spacing w:after="156" w:afterLines="50"/>
        <w:jc w:val="center"/>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sz w:val="24"/>
          <w:highlight w:val="none"/>
        </w:rPr>
        <w:t>责任免除</w:t>
      </w:r>
    </w:p>
    <w:p w14:paraId="4580DCA6">
      <w:pPr>
        <w:adjustRightInd w:val="0"/>
        <w:snapToGrid w:val="0"/>
        <w:spacing w:after="156" w:afterLines="50"/>
        <w:ind w:firstLine="482" w:firstLineChars="200"/>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bCs/>
          <w:color w:val="auto"/>
          <w:sz w:val="24"/>
          <w:highlight w:val="none"/>
        </w:rPr>
        <w:t>第六条</w:t>
      </w:r>
      <w:r>
        <w:rPr>
          <w:rFonts w:hint="default" w:ascii="Times New Roman" w:hAnsi="Times New Roman" w:eastAsia="仿宋_GB2312" w:cs="Times New Roman"/>
          <w:b/>
          <w:color w:val="auto"/>
          <w:sz w:val="24"/>
          <w:highlight w:val="none"/>
        </w:rPr>
        <w:t>下列原因造成的损失、费用和责任，保险人不负责赔偿：</w:t>
      </w:r>
    </w:p>
    <w:p w14:paraId="6A0C8FDA">
      <w:pPr>
        <w:adjustRightInd w:val="0"/>
        <w:snapToGrid w:val="0"/>
        <w:spacing w:after="156" w:afterLines="50"/>
        <w:ind w:firstLine="482" w:firstLineChars="200"/>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（一）投保人、被保险人及其代表的故意行为或重大过失；</w:t>
      </w:r>
    </w:p>
    <w:p w14:paraId="6BC5E0F3">
      <w:pPr>
        <w:adjustRightInd w:val="0"/>
        <w:snapToGrid w:val="0"/>
        <w:spacing w:after="156" w:afterLines="50"/>
        <w:ind w:firstLine="482" w:firstLineChars="200"/>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（二）战争、敌对行动、军事行为、武装冲突、罢工、骚乱、暴动、恐怖活动；</w:t>
      </w:r>
    </w:p>
    <w:p w14:paraId="3CABEC66">
      <w:pPr>
        <w:adjustRightInd w:val="0"/>
        <w:snapToGrid w:val="0"/>
        <w:spacing w:after="156" w:afterLines="50"/>
        <w:ind w:firstLine="482" w:firstLineChars="200"/>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（三）核辐射、核爆炸、核污染及其他放射性污染；</w:t>
      </w:r>
    </w:p>
    <w:p w14:paraId="5486772F">
      <w:pPr>
        <w:adjustRightInd w:val="0"/>
        <w:snapToGrid w:val="0"/>
        <w:spacing w:after="156" w:afterLines="50"/>
        <w:ind w:firstLine="482" w:firstLineChars="200"/>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（四）大气污染、土地污染、水污染及其他各种污染；</w:t>
      </w:r>
    </w:p>
    <w:p w14:paraId="4FE2B131">
      <w:pPr>
        <w:adjustRightInd w:val="0"/>
        <w:snapToGrid w:val="0"/>
        <w:spacing w:after="156" w:afterLines="50"/>
        <w:ind w:firstLine="482"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b/>
          <w:color w:val="auto"/>
          <w:sz w:val="24"/>
          <w:highlight w:val="none"/>
        </w:rPr>
        <w:t>（五）行政行为或司法行为；</w:t>
      </w:r>
    </w:p>
    <w:p w14:paraId="6B6FEA08">
      <w:pPr>
        <w:snapToGrid w:val="0"/>
        <w:spacing w:after="156" w:afterLines="50"/>
        <w:ind w:firstLine="482" w:firstLineChars="200"/>
        <w:rPr>
          <w:rFonts w:hint="default" w:ascii="Times New Roman" w:hAnsi="Times New Roman" w:eastAsia="仿宋_GB2312" w:cs="Times New Roman"/>
          <w:b/>
          <w:snapToGrid w:val="0"/>
          <w:color w:val="auto"/>
          <w:kern w:val="0"/>
          <w:sz w:val="24"/>
          <w:highlight w:val="none"/>
        </w:rPr>
      </w:pPr>
      <w:r>
        <w:rPr>
          <w:rFonts w:hint="default" w:ascii="Times New Roman" w:hAnsi="Times New Roman" w:eastAsia="仿宋_GB2312" w:cs="Times New Roman"/>
          <w:b/>
          <w:snapToGrid w:val="0"/>
          <w:color w:val="auto"/>
          <w:kern w:val="0"/>
          <w:sz w:val="24"/>
          <w:highlight w:val="none"/>
        </w:rPr>
        <w:t>（六）地震、台风、暴雨、洪水等自然灾害；</w:t>
      </w:r>
    </w:p>
    <w:p w14:paraId="354B19CB">
      <w:pPr>
        <w:snapToGrid w:val="0"/>
        <w:spacing w:after="156" w:afterLines="50"/>
        <w:ind w:firstLine="482" w:firstLineChars="200"/>
        <w:rPr>
          <w:rFonts w:hint="default" w:ascii="Times New Roman" w:hAnsi="Times New Roman" w:eastAsia="仿宋_GB2312" w:cs="Times New Roman"/>
          <w:b/>
          <w:snapToGrid w:val="0"/>
          <w:color w:val="auto"/>
          <w:kern w:val="0"/>
          <w:sz w:val="24"/>
          <w:highlight w:val="none"/>
        </w:rPr>
      </w:pPr>
      <w:r>
        <w:rPr>
          <w:rFonts w:hint="default" w:ascii="Times New Roman" w:hAnsi="Times New Roman" w:eastAsia="仿宋_GB2312" w:cs="Times New Roman"/>
          <w:b/>
          <w:snapToGrid w:val="0"/>
          <w:color w:val="auto"/>
          <w:kern w:val="0"/>
          <w:sz w:val="24"/>
          <w:highlight w:val="none"/>
        </w:rPr>
        <w:t>（七）火灾、爆炸、烟熏；</w:t>
      </w:r>
    </w:p>
    <w:p w14:paraId="611F86A9">
      <w:pPr>
        <w:snapToGrid w:val="0"/>
        <w:spacing w:after="156" w:afterLines="50"/>
        <w:ind w:firstLine="482" w:firstLineChars="200"/>
        <w:rPr>
          <w:rFonts w:hint="default" w:ascii="Times New Roman" w:hAnsi="Times New Roman" w:eastAsia="仿宋_GB2312" w:cs="Times New Roman"/>
          <w:b/>
          <w:snapToGrid w:val="0"/>
          <w:color w:val="auto"/>
          <w:kern w:val="0"/>
          <w:sz w:val="24"/>
          <w:highlight w:val="none"/>
        </w:rPr>
      </w:pPr>
      <w:r>
        <w:rPr>
          <w:rFonts w:hint="default" w:ascii="Times New Roman" w:hAnsi="Times New Roman" w:eastAsia="仿宋_GB2312" w:cs="Times New Roman"/>
          <w:b/>
          <w:snapToGrid w:val="0"/>
          <w:color w:val="auto"/>
          <w:kern w:val="0"/>
          <w:sz w:val="24"/>
          <w:highlight w:val="none"/>
        </w:rPr>
        <w:t>（八）被保险人超越经营范围的行为；</w:t>
      </w:r>
    </w:p>
    <w:p w14:paraId="42FC4CD2">
      <w:pPr>
        <w:snapToGrid w:val="0"/>
        <w:spacing w:after="156" w:afterLines="50"/>
        <w:ind w:firstLine="482" w:firstLineChars="200"/>
        <w:rPr>
          <w:rFonts w:hint="default" w:ascii="Times New Roman" w:hAnsi="Times New Roman" w:eastAsia="仿宋_GB2312" w:cs="Times New Roman"/>
          <w:b/>
          <w:snapToGrid w:val="0"/>
          <w:color w:val="auto"/>
          <w:kern w:val="0"/>
          <w:sz w:val="24"/>
          <w:highlight w:val="none"/>
        </w:rPr>
      </w:pPr>
      <w:r>
        <w:rPr>
          <w:rFonts w:hint="default" w:ascii="Times New Roman" w:hAnsi="Times New Roman" w:eastAsia="仿宋_GB2312" w:cs="Times New Roman"/>
          <w:b/>
          <w:snapToGrid w:val="0"/>
          <w:color w:val="auto"/>
          <w:kern w:val="0"/>
          <w:sz w:val="24"/>
          <w:highlight w:val="none"/>
        </w:rPr>
        <w:t>（九）被保险人侵害他人姓名权、名称权、肖像权、名誉权、荣誉权以及个人隐私的行为；</w:t>
      </w:r>
    </w:p>
    <w:p w14:paraId="50994FD1">
      <w:pPr>
        <w:snapToGrid w:val="0"/>
        <w:spacing w:after="156" w:afterLines="50"/>
        <w:ind w:firstLine="482" w:firstLineChars="200"/>
        <w:rPr>
          <w:rFonts w:hint="default" w:ascii="Times New Roman" w:hAnsi="Times New Roman" w:eastAsia="仿宋_GB2312" w:cs="Times New Roman"/>
          <w:b/>
          <w:snapToGrid w:val="0"/>
          <w:color w:val="auto"/>
          <w:kern w:val="0"/>
          <w:sz w:val="24"/>
          <w:highlight w:val="none"/>
        </w:rPr>
      </w:pPr>
      <w:r>
        <w:rPr>
          <w:rFonts w:hint="default" w:ascii="Times New Roman" w:hAnsi="Times New Roman" w:eastAsia="仿宋_GB2312" w:cs="Times New Roman"/>
          <w:b/>
          <w:snapToGrid w:val="0"/>
          <w:color w:val="auto"/>
          <w:kern w:val="0"/>
          <w:sz w:val="24"/>
          <w:highlight w:val="none"/>
        </w:rPr>
        <w:t>（十）被保险人侵害他人商标权、专利权、著作权以及商业秘密的行为；</w:t>
      </w:r>
    </w:p>
    <w:p w14:paraId="5D53FDA2">
      <w:pPr>
        <w:snapToGrid w:val="0"/>
        <w:spacing w:after="156" w:afterLines="50"/>
        <w:ind w:firstLine="482" w:firstLineChars="200"/>
        <w:rPr>
          <w:rFonts w:hint="default" w:ascii="Times New Roman" w:hAnsi="Times New Roman" w:eastAsia="仿宋_GB2312" w:cs="Times New Roman"/>
          <w:b/>
          <w:snapToGrid w:val="0"/>
          <w:color w:val="auto"/>
          <w:kern w:val="0"/>
          <w:sz w:val="24"/>
          <w:highlight w:val="none"/>
        </w:rPr>
      </w:pPr>
      <w:r>
        <w:rPr>
          <w:rFonts w:hint="default" w:ascii="Times New Roman" w:hAnsi="Times New Roman" w:eastAsia="仿宋_GB2312" w:cs="Times New Roman"/>
          <w:b/>
          <w:snapToGrid w:val="0"/>
          <w:color w:val="auto"/>
          <w:kern w:val="0"/>
          <w:sz w:val="24"/>
          <w:highlight w:val="none"/>
        </w:rPr>
        <w:t>（十一）被保险人所有、管理的机动车辆、核设施、航空航天器、铁路机车、海上设施、船舶、起重机械、电梯、升降机、自动扶梯导致的损失。</w:t>
      </w:r>
    </w:p>
    <w:p w14:paraId="61B4303A">
      <w:pPr>
        <w:adjustRightInd w:val="0"/>
        <w:snapToGrid w:val="0"/>
        <w:spacing w:after="156" w:afterLines="50"/>
        <w:ind w:firstLine="482" w:firstLineChars="200"/>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bCs/>
          <w:color w:val="auto"/>
          <w:sz w:val="24"/>
          <w:highlight w:val="none"/>
        </w:rPr>
        <w:t>第七条</w:t>
      </w:r>
      <w:r>
        <w:rPr>
          <w:rFonts w:hint="default" w:ascii="Times New Roman" w:hAnsi="Times New Roman" w:eastAsia="仿宋_GB2312" w:cs="Times New Roman"/>
          <w:b/>
          <w:color w:val="auto"/>
          <w:sz w:val="24"/>
          <w:highlight w:val="none"/>
        </w:rPr>
        <w:t>下列损失、费用和责任，保险人不负责赔偿：</w:t>
      </w:r>
    </w:p>
    <w:p w14:paraId="49E4AC80">
      <w:pPr>
        <w:adjustRightInd w:val="0"/>
        <w:snapToGrid w:val="0"/>
        <w:spacing w:after="156" w:afterLines="50"/>
        <w:ind w:firstLine="482" w:firstLineChars="200"/>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（一）被保险人或其雇员的人身伤亡及其所有或管理的财产的损失；</w:t>
      </w:r>
    </w:p>
    <w:p w14:paraId="76DD1E39">
      <w:pPr>
        <w:adjustRightInd w:val="0"/>
        <w:snapToGrid w:val="0"/>
        <w:spacing w:after="156" w:afterLines="50"/>
        <w:ind w:firstLine="482" w:firstLineChars="200"/>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（二）被保险人应该承担的合同责任，但无合同存在时依法仍然应由被保险人承担的经济赔偿责任不在此限；</w:t>
      </w:r>
    </w:p>
    <w:p w14:paraId="5A9293F6">
      <w:pPr>
        <w:adjustRightInd w:val="0"/>
        <w:snapToGrid w:val="0"/>
        <w:spacing w:after="156" w:afterLines="50"/>
        <w:ind w:firstLine="482" w:firstLineChars="200"/>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（三）罚款、罚金及惩罚性赔偿；</w:t>
      </w:r>
    </w:p>
    <w:p w14:paraId="299350A3">
      <w:pPr>
        <w:tabs>
          <w:tab w:val="left" w:pos="1800"/>
        </w:tabs>
        <w:snapToGrid w:val="0"/>
        <w:spacing w:after="156" w:afterLines="50"/>
        <w:ind w:firstLine="482" w:firstLineChars="200"/>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（四）</w:t>
      </w:r>
      <w:r>
        <w:rPr>
          <w:rFonts w:hint="default" w:ascii="Times New Roman" w:hAnsi="Times New Roman" w:eastAsia="仿宋_GB2312" w:cs="Times New Roman"/>
          <w:b/>
          <w:snapToGrid w:val="0"/>
          <w:color w:val="auto"/>
          <w:kern w:val="0"/>
          <w:sz w:val="24"/>
          <w:highlight w:val="none"/>
        </w:rPr>
        <w:t>非人民法院以判决方式做出的</w:t>
      </w:r>
      <w:r>
        <w:rPr>
          <w:rFonts w:hint="default" w:ascii="Times New Roman" w:hAnsi="Times New Roman" w:eastAsia="仿宋_GB2312" w:cs="Times New Roman"/>
          <w:b/>
          <w:color w:val="auto"/>
          <w:sz w:val="24"/>
          <w:highlight w:val="none"/>
        </w:rPr>
        <w:t>精神损害赔偿，但</w:t>
      </w:r>
      <w:r>
        <w:rPr>
          <w:rFonts w:hint="default" w:ascii="Times New Roman" w:hAnsi="Times New Roman" w:eastAsia="仿宋_GB2312" w:cs="Times New Roman"/>
          <w:b/>
          <w:snapToGrid w:val="0"/>
          <w:color w:val="auto"/>
          <w:kern w:val="0"/>
          <w:sz w:val="24"/>
          <w:highlight w:val="none"/>
        </w:rPr>
        <w:t>保险人事先书面同意的不在此限</w:t>
      </w:r>
      <w:r>
        <w:rPr>
          <w:rFonts w:hint="default" w:ascii="Times New Roman" w:hAnsi="Times New Roman" w:eastAsia="仿宋_GB2312" w:cs="Times New Roman"/>
          <w:b/>
          <w:color w:val="auto"/>
          <w:sz w:val="24"/>
          <w:highlight w:val="none"/>
        </w:rPr>
        <w:t>；</w:t>
      </w:r>
    </w:p>
    <w:p w14:paraId="6E402313">
      <w:pPr>
        <w:adjustRightInd w:val="0"/>
        <w:snapToGrid w:val="0"/>
        <w:spacing w:after="156" w:afterLines="50"/>
        <w:ind w:firstLine="482" w:firstLineChars="200"/>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（五）间接损失；</w:t>
      </w:r>
    </w:p>
    <w:p w14:paraId="181EC7CC">
      <w:pPr>
        <w:adjustRightInd w:val="0"/>
        <w:snapToGrid w:val="0"/>
        <w:spacing w:after="156" w:afterLines="50"/>
        <w:ind w:firstLine="482" w:firstLineChars="200"/>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（六）</w:t>
      </w:r>
      <w:r>
        <w:rPr>
          <w:rFonts w:hint="default" w:ascii="Times New Roman" w:hAnsi="Times New Roman" w:eastAsia="仿宋_GB2312" w:cs="Times New Roman"/>
          <w:b/>
          <w:snapToGrid w:val="0"/>
          <w:color w:val="auto"/>
          <w:spacing w:val="-6"/>
          <w:kern w:val="0"/>
          <w:sz w:val="24"/>
          <w:highlight w:val="none"/>
        </w:rPr>
        <w:t>投保人、被保险人在投保之前已经知道或可以合理预见的索赔情况；</w:t>
      </w:r>
    </w:p>
    <w:p w14:paraId="76A85336">
      <w:pPr>
        <w:snapToGrid w:val="0"/>
        <w:spacing w:after="156" w:afterLines="50"/>
        <w:ind w:firstLine="482" w:firstLineChars="200"/>
        <w:rPr>
          <w:rFonts w:hint="default" w:ascii="Times New Roman" w:hAnsi="Times New Roman" w:eastAsia="仿宋_GB2312" w:cs="Times New Roman"/>
          <w:b/>
          <w:snapToGrid w:val="0"/>
          <w:color w:val="auto"/>
          <w:kern w:val="0"/>
          <w:sz w:val="24"/>
          <w:highlight w:val="none"/>
        </w:rPr>
      </w:pPr>
      <w:r>
        <w:rPr>
          <w:rFonts w:hint="default" w:ascii="Times New Roman" w:hAnsi="Times New Roman" w:eastAsia="仿宋_GB2312" w:cs="Times New Roman"/>
          <w:b/>
          <w:snapToGrid w:val="0"/>
          <w:color w:val="auto"/>
          <w:kern w:val="0"/>
          <w:sz w:val="24"/>
          <w:highlight w:val="none"/>
        </w:rPr>
        <w:t>（七）被保险人或其雇员出售、赠与的产品、货物、商品所导致的损失；</w:t>
      </w:r>
    </w:p>
    <w:p w14:paraId="1B48993F">
      <w:pPr>
        <w:snapToGrid w:val="0"/>
        <w:spacing w:after="156" w:afterLines="50"/>
        <w:ind w:firstLine="482" w:firstLineChars="200"/>
        <w:rPr>
          <w:rFonts w:hint="default" w:ascii="Times New Roman" w:hAnsi="Times New Roman" w:eastAsia="仿宋_GB2312" w:cs="Times New Roman"/>
          <w:b/>
          <w:snapToGrid w:val="0"/>
          <w:color w:val="auto"/>
          <w:kern w:val="0"/>
          <w:sz w:val="24"/>
          <w:highlight w:val="none"/>
        </w:rPr>
      </w:pPr>
      <w:r>
        <w:rPr>
          <w:rFonts w:hint="default" w:ascii="Times New Roman" w:hAnsi="Times New Roman" w:eastAsia="仿宋_GB2312" w:cs="Times New Roman"/>
          <w:b/>
          <w:snapToGrid w:val="0"/>
          <w:color w:val="auto"/>
          <w:kern w:val="0"/>
          <w:sz w:val="24"/>
          <w:highlight w:val="none"/>
        </w:rPr>
        <w:t>（八）因建设工程施工引起的任何人身伤害和财产损失；</w:t>
      </w:r>
    </w:p>
    <w:p w14:paraId="38740070">
      <w:pPr>
        <w:snapToGrid w:val="0"/>
        <w:spacing w:after="156" w:afterLines="50"/>
        <w:ind w:firstLine="482" w:firstLineChars="200"/>
        <w:rPr>
          <w:rFonts w:hint="default" w:ascii="Times New Roman" w:hAnsi="Times New Roman" w:eastAsia="仿宋_GB2312" w:cs="Times New Roman"/>
          <w:b/>
          <w:snapToGrid w:val="0"/>
          <w:color w:val="auto"/>
          <w:kern w:val="0"/>
          <w:sz w:val="24"/>
          <w:highlight w:val="none"/>
        </w:rPr>
      </w:pPr>
      <w:r>
        <w:rPr>
          <w:rFonts w:hint="default" w:ascii="Times New Roman" w:hAnsi="Times New Roman" w:eastAsia="仿宋_GB2312" w:cs="Times New Roman"/>
          <w:b/>
          <w:snapToGrid w:val="0"/>
          <w:color w:val="auto"/>
          <w:kern w:val="0"/>
          <w:sz w:val="24"/>
          <w:highlight w:val="none"/>
        </w:rPr>
        <w:t>（九）患传染病以及食物、饮料、酒精中毒造成的损失；</w:t>
      </w:r>
    </w:p>
    <w:p w14:paraId="5935972D">
      <w:pPr>
        <w:snapToGrid w:val="0"/>
        <w:spacing w:after="156" w:afterLines="50"/>
        <w:ind w:firstLine="482" w:firstLineChars="200"/>
        <w:rPr>
          <w:rFonts w:hint="default" w:ascii="Times New Roman" w:hAnsi="Times New Roman" w:eastAsia="仿宋_GB2312" w:cs="Times New Roman"/>
          <w:b/>
          <w:snapToGrid w:val="0"/>
          <w:color w:val="auto"/>
          <w:kern w:val="0"/>
          <w:sz w:val="24"/>
          <w:highlight w:val="none"/>
        </w:rPr>
      </w:pPr>
      <w:r>
        <w:rPr>
          <w:rFonts w:hint="default" w:ascii="Times New Roman" w:hAnsi="Times New Roman" w:eastAsia="仿宋_GB2312" w:cs="Times New Roman"/>
          <w:b/>
          <w:snapToGrid w:val="0"/>
          <w:color w:val="auto"/>
          <w:kern w:val="0"/>
          <w:sz w:val="24"/>
          <w:highlight w:val="none"/>
        </w:rPr>
        <w:t>（十）被保险人或其雇员因从事医师、药剂师、美容师、会计师、审计师、设计师、监理师、评估师、律师等专门职业造成的损失；</w:t>
      </w:r>
    </w:p>
    <w:p w14:paraId="6555CE9B">
      <w:pPr>
        <w:snapToGrid w:val="0"/>
        <w:spacing w:after="156" w:afterLines="50"/>
        <w:ind w:firstLine="482" w:firstLineChars="200"/>
        <w:rPr>
          <w:rFonts w:hint="default" w:ascii="Times New Roman" w:hAnsi="Times New Roman" w:eastAsia="仿宋_GB2312" w:cs="Times New Roman"/>
          <w:b/>
          <w:snapToGrid w:val="0"/>
          <w:color w:val="auto"/>
          <w:kern w:val="0"/>
          <w:sz w:val="24"/>
          <w:highlight w:val="none"/>
        </w:rPr>
      </w:pPr>
      <w:r>
        <w:rPr>
          <w:rFonts w:hint="default" w:ascii="Times New Roman" w:hAnsi="Times New Roman" w:eastAsia="仿宋_GB2312" w:cs="Times New Roman"/>
          <w:b/>
          <w:snapToGrid w:val="0"/>
          <w:color w:val="auto"/>
          <w:kern w:val="0"/>
          <w:sz w:val="24"/>
          <w:highlight w:val="none"/>
        </w:rPr>
        <w:t>（十一）被保险人或其雇员因从事加工、修理、改进、承揽等工作造成委托人的损失；</w:t>
      </w:r>
    </w:p>
    <w:p w14:paraId="2E404CDA">
      <w:pPr>
        <w:snapToGrid w:val="0"/>
        <w:spacing w:after="156" w:afterLines="50"/>
        <w:ind w:firstLine="482" w:firstLineChars="200"/>
        <w:rPr>
          <w:rFonts w:hint="default" w:ascii="Times New Roman" w:hAnsi="Times New Roman" w:eastAsia="仿宋_GB2312" w:cs="Times New Roman"/>
          <w:b/>
          <w:snapToGrid w:val="0"/>
          <w:color w:val="auto"/>
          <w:kern w:val="0"/>
          <w:sz w:val="24"/>
          <w:highlight w:val="none"/>
        </w:rPr>
      </w:pPr>
      <w:r>
        <w:rPr>
          <w:rFonts w:hint="default" w:ascii="Times New Roman" w:hAnsi="Times New Roman" w:eastAsia="仿宋_GB2312" w:cs="Times New Roman"/>
          <w:b/>
          <w:snapToGrid w:val="0"/>
          <w:color w:val="auto"/>
          <w:kern w:val="0"/>
          <w:sz w:val="24"/>
          <w:highlight w:val="none"/>
        </w:rPr>
        <w:t>（十二）停放车辆车内财产的损失或因刮蹭、碰撞、倾覆造成停放车辆的损失；</w:t>
      </w:r>
    </w:p>
    <w:p w14:paraId="55F6D7AC">
      <w:pPr>
        <w:snapToGrid w:val="0"/>
        <w:spacing w:after="156" w:afterLines="50"/>
        <w:ind w:firstLine="482" w:firstLineChars="200"/>
        <w:rPr>
          <w:rFonts w:hint="default" w:ascii="Times New Roman" w:hAnsi="Times New Roman" w:eastAsia="仿宋_GB2312" w:cs="Times New Roman"/>
          <w:b/>
          <w:snapToGrid w:val="0"/>
          <w:color w:val="auto"/>
          <w:kern w:val="0"/>
          <w:sz w:val="24"/>
          <w:highlight w:val="none"/>
        </w:rPr>
      </w:pPr>
      <w:r>
        <w:rPr>
          <w:rFonts w:hint="default" w:ascii="Times New Roman" w:hAnsi="Times New Roman" w:eastAsia="仿宋_GB2312" w:cs="Times New Roman"/>
          <w:b/>
          <w:snapToGrid w:val="0"/>
          <w:color w:val="auto"/>
          <w:kern w:val="0"/>
          <w:sz w:val="24"/>
          <w:highlight w:val="none"/>
        </w:rPr>
        <w:t>（十三）在中华人民共和国境外（包括港澳台地区）所发生的任何事故所造成的损失；</w:t>
      </w:r>
    </w:p>
    <w:p w14:paraId="43676EB5">
      <w:pPr>
        <w:snapToGrid w:val="0"/>
        <w:spacing w:after="156" w:afterLines="50"/>
        <w:ind w:firstLine="482" w:firstLineChars="200"/>
        <w:rPr>
          <w:rFonts w:hint="default" w:ascii="Times New Roman" w:hAnsi="Times New Roman" w:eastAsia="仿宋_GB2312" w:cs="Times New Roman"/>
          <w:b/>
          <w:snapToGrid w:val="0"/>
          <w:color w:val="auto"/>
          <w:kern w:val="0"/>
          <w:sz w:val="24"/>
          <w:highlight w:val="none"/>
        </w:rPr>
      </w:pPr>
      <w:r>
        <w:rPr>
          <w:rFonts w:hint="default" w:ascii="Times New Roman" w:hAnsi="Times New Roman" w:eastAsia="仿宋_GB2312" w:cs="Times New Roman"/>
          <w:b/>
          <w:snapToGrid w:val="0"/>
          <w:color w:val="auto"/>
          <w:kern w:val="0"/>
          <w:sz w:val="24"/>
          <w:highlight w:val="none"/>
        </w:rPr>
        <w:t>（十四）在保险单列明的区域范围外所发生的任何损失；</w:t>
      </w:r>
    </w:p>
    <w:p w14:paraId="4695DD00">
      <w:pPr>
        <w:adjustRightInd w:val="0"/>
        <w:snapToGrid w:val="0"/>
        <w:spacing w:after="156" w:afterLines="50"/>
        <w:ind w:firstLine="482" w:firstLineChars="200"/>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（十五）本保险合同中载明的免赔额。</w:t>
      </w:r>
    </w:p>
    <w:p w14:paraId="642A904F">
      <w:pPr>
        <w:adjustRightInd w:val="0"/>
        <w:snapToGrid w:val="0"/>
        <w:spacing w:after="156" w:afterLines="50"/>
        <w:ind w:firstLine="482"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b/>
          <w:bCs/>
          <w:color w:val="auto"/>
          <w:sz w:val="24"/>
          <w:highlight w:val="none"/>
        </w:rPr>
        <w:t>第八条</w:t>
      </w:r>
      <w:r>
        <w:rPr>
          <w:rFonts w:hint="default" w:ascii="Times New Roman" w:hAnsi="Times New Roman" w:eastAsia="仿宋_GB2312" w:cs="Times New Roman"/>
          <w:b/>
          <w:color w:val="auto"/>
          <w:sz w:val="24"/>
          <w:highlight w:val="none"/>
        </w:rPr>
        <w:t>其他不属于本保险责任范围内的损失、费用和责任，保险人不负责赔偿。</w:t>
      </w:r>
    </w:p>
    <w:p w14:paraId="5DE84789">
      <w:pPr>
        <w:adjustRightInd w:val="0"/>
        <w:snapToGrid w:val="0"/>
        <w:spacing w:after="156" w:afterLines="50"/>
        <w:ind w:firstLine="482" w:firstLineChars="200"/>
        <w:jc w:val="center"/>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sz w:val="24"/>
          <w:highlight w:val="none"/>
        </w:rPr>
        <w:t>赔偿限额与免赔额</w:t>
      </w:r>
    </w:p>
    <w:p w14:paraId="3635B7E2">
      <w:pPr>
        <w:adjustRightInd w:val="0"/>
        <w:snapToGrid w:val="0"/>
        <w:spacing w:after="156" w:afterLines="50"/>
        <w:ind w:firstLine="482"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b/>
          <w:bCs/>
          <w:color w:val="auto"/>
          <w:sz w:val="24"/>
          <w:highlight w:val="none"/>
        </w:rPr>
        <w:t>第九条</w:t>
      </w:r>
      <w:r>
        <w:rPr>
          <w:rFonts w:hint="default" w:ascii="Times New Roman" w:hAnsi="Times New Roman" w:eastAsia="仿宋_GB2312" w:cs="Times New Roman"/>
          <w:color w:val="auto"/>
          <w:sz w:val="24"/>
          <w:highlight w:val="none"/>
        </w:rPr>
        <w:t>赔偿限额包括每次事故</w:t>
      </w:r>
      <w:r>
        <w:rPr>
          <w:rFonts w:hint="default" w:ascii="Times New Roman" w:hAnsi="Times New Roman" w:eastAsia="仿宋_GB2312" w:cs="Times New Roman"/>
          <w:bCs/>
          <w:color w:val="auto"/>
          <w:sz w:val="24"/>
          <w:highlight w:val="none"/>
        </w:rPr>
        <w:t>赔偿限额</w:t>
      </w:r>
      <w:r>
        <w:rPr>
          <w:rFonts w:hint="default" w:ascii="Times New Roman" w:hAnsi="Times New Roman" w:eastAsia="仿宋_GB2312" w:cs="Times New Roman"/>
          <w:color w:val="auto"/>
          <w:sz w:val="24"/>
          <w:highlight w:val="none"/>
        </w:rPr>
        <w:t>、每次事故每人</w:t>
      </w:r>
      <w:r>
        <w:rPr>
          <w:rFonts w:hint="default" w:ascii="Times New Roman" w:hAnsi="Times New Roman" w:eastAsia="仿宋_GB2312" w:cs="Times New Roman"/>
          <w:bCs/>
          <w:color w:val="auto"/>
          <w:sz w:val="24"/>
          <w:highlight w:val="none"/>
        </w:rPr>
        <w:t>赔偿限额</w:t>
      </w:r>
      <w:r>
        <w:rPr>
          <w:rFonts w:hint="default" w:ascii="Times New Roman" w:hAnsi="Times New Roman" w:eastAsia="仿宋_GB2312" w:cs="Times New Roman"/>
          <w:color w:val="auto"/>
          <w:sz w:val="24"/>
          <w:highlight w:val="none"/>
        </w:rPr>
        <w:t>、每次事故人身伤亡赔偿限额、每次事故财产损失赔偿限额、累计赔偿限额，由投保人与保险人协商确定，并在保险合同中载明。</w:t>
      </w:r>
    </w:p>
    <w:p w14:paraId="0C0E0EBE">
      <w:pPr>
        <w:adjustRightInd w:val="0"/>
        <w:snapToGrid w:val="0"/>
        <w:spacing w:after="156" w:afterLines="50"/>
        <w:ind w:firstLine="482"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b/>
          <w:bCs/>
          <w:color w:val="auto"/>
          <w:sz w:val="24"/>
          <w:highlight w:val="none"/>
        </w:rPr>
        <w:t>第十条</w:t>
      </w:r>
      <w:r>
        <w:rPr>
          <w:rFonts w:hint="default" w:ascii="Times New Roman" w:hAnsi="Times New Roman" w:eastAsia="仿宋_GB2312" w:cs="Times New Roman"/>
          <w:color w:val="auto"/>
          <w:sz w:val="24"/>
          <w:highlight w:val="none"/>
        </w:rPr>
        <w:t>每次事故免赔额由投保人与保险人在签订保险合同时协商确定，并在保险合同中载明。</w:t>
      </w:r>
    </w:p>
    <w:p w14:paraId="3F3BA446">
      <w:pPr>
        <w:adjustRightInd w:val="0"/>
        <w:snapToGrid w:val="0"/>
        <w:spacing w:after="156" w:afterLines="50"/>
        <w:jc w:val="center"/>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sz w:val="24"/>
          <w:highlight w:val="none"/>
        </w:rPr>
        <w:t>保险期间</w:t>
      </w:r>
    </w:p>
    <w:p w14:paraId="6F211BBA">
      <w:pPr>
        <w:adjustRightInd w:val="0"/>
        <w:snapToGrid w:val="0"/>
        <w:spacing w:after="156" w:afterLines="50"/>
        <w:ind w:firstLine="482"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b/>
          <w:bCs/>
          <w:color w:val="auto"/>
          <w:sz w:val="24"/>
          <w:highlight w:val="none"/>
        </w:rPr>
        <w:t>第十一条</w:t>
      </w:r>
      <w:r>
        <w:rPr>
          <w:rFonts w:hint="default" w:ascii="Times New Roman" w:hAnsi="Times New Roman" w:eastAsia="仿宋_GB2312" w:cs="Times New Roman"/>
          <w:color w:val="auto"/>
          <w:sz w:val="24"/>
          <w:highlight w:val="none"/>
        </w:rPr>
        <w:t>除另有约定外，保险期间为一年，以保险单载明的起讫时间为准。</w:t>
      </w:r>
    </w:p>
    <w:p w14:paraId="50F4A51B">
      <w:pPr>
        <w:adjustRightInd w:val="0"/>
        <w:snapToGrid w:val="0"/>
        <w:spacing w:after="156" w:afterLines="50"/>
        <w:jc w:val="center"/>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sz w:val="24"/>
          <w:highlight w:val="none"/>
        </w:rPr>
        <w:t>保险人义务</w:t>
      </w:r>
    </w:p>
    <w:p w14:paraId="2EF16A3E">
      <w:pPr>
        <w:adjustRightInd w:val="0"/>
        <w:snapToGrid w:val="0"/>
        <w:spacing w:after="156" w:afterLines="50"/>
        <w:ind w:firstLine="482" w:firstLineChars="200"/>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sz w:val="24"/>
          <w:highlight w:val="none"/>
        </w:rPr>
        <w:t>第十二条</w:t>
      </w:r>
      <w:r>
        <w:rPr>
          <w:rFonts w:hint="default" w:ascii="Times New Roman" w:hAnsi="Times New Roman" w:eastAsia="仿宋_GB2312" w:cs="Times New Roman"/>
          <w:color w:val="auto"/>
          <w:sz w:val="24"/>
          <w:highlight w:val="none"/>
        </w:rPr>
        <w:t>本保险合同成立后，保险人应当及时向投保人签发保险单或其他保险凭证。</w:t>
      </w:r>
    </w:p>
    <w:p w14:paraId="15316EB9">
      <w:pPr>
        <w:adjustRightInd w:val="0"/>
        <w:snapToGrid w:val="0"/>
        <w:spacing w:after="156" w:afterLines="50"/>
        <w:ind w:firstLine="482" w:firstLineChars="200"/>
        <w:rPr>
          <w:rStyle w:val="59"/>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b/>
          <w:bCs/>
          <w:color w:val="auto"/>
          <w:sz w:val="24"/>
          <w:highlight w:val="none"/>
        </w:rPr>
        <w:t>第十三条</w:t>
      </w:r>
      <w:r>
        <w:rPr>
          <w:rStyle w:val="59"/>
          <w:rFonts w:hint="default" w:ascii="Times New Roman" w:hAnsi="Times New Roman" w:eastAsia="仿宋_GB2312" w:cs="Times New Roman"/>
          <w:color w:val="auto"/>
          <w:sz w:val="24"/>
          <w:highlight w:val="none"/>
        </w:rPr>
        <w:t>保险人按照</w:t>
      </w:r>
      <w:r>
        <w:rPr>
          <w:rFonts w:hint="default" w:ascii="Times New Roman" w:hAnsi="Times New Roman" w:eastAsia="仿宋_GB2312" w:cs="Times New Roman"/>
          <w:color w:val="auto"/>
          <w:sz w:val="24"/>
          <w:highlight w:val="none"/>
        </w:rPr>
        <w:t>第二十三条</w:t>
      </w:r>
      <w:r>
        <w:rPr>
          <w:rStyle w:val="59"/>
          <w:rFonts w:hint="default" w:ascii="Times New Roman" w:hAnsi="Times New Roman" w:eastAsia="仿宋_GB2312" w:cs="Times New Roman"/>
          <w:color w:val="auto"/>
          <w:sz w:val="24"/>
          <w:highlight w:val="none"/>
        </w:rPr>
        <w:t>的约定，认为被保险人提供的有关索赔的证明和资料不完整的，应当及时一次性通知投保人、被保险人补充提供。</w:t>
      </w:r>
    </w:p>
    <w:p w14:paraId="562FAFAA">
      <w:pPr>
        <w:adjustRightInd w:val="0"/>
        <w:snapToGrid w:val="0"/>
        <w:spacing w:after="156" w:afterLines="50"/>
        <w:ind w:firstLine="482"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b/>
          <w:bCs/>
          <w:color w:val="auto"/>
          <w:sz w:val="24"/>
          <w:highlight w:val="none"/>
        </w:rPr>
        <w:t>第十四条</w:t>
      </w:r>
      <w:r>
        <w:rPr>
          <w:rFonts w:hint="default" w:ascii="Times New Roman" w:hAnsi="Times New Roman" w:eastAsia="仿宋_GB2312" w:cs="Times New Roman"/>
          <w:color w:val="auto"/>
          <w:sz w:val="24"/>
          <w:highlight w:val="none"/>
        </w:rPr>
        <w:t>保险人收到被保险人的赔偿保险金的请求后，应当及时作出是否属于保险责任的核定；情形复杂的，保险人将在确定是否属于保险责任的基本材料收集齐全后，尽快做出核定。</w:t>
      </w:r>
    </w:p>
    <w:p w14:paraId="094609B1">
      <w:pPr>
        <w:adjustRightInd w:val="0"/>
        <w:snapToGrid w:val="0"/>
        <w:spacing w:after="156" w:afterLines="50"/>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保险人应当将核定结果通知被保险人；对属于保险责任的，在与被保险人达成赔偿保险金的协议后十日内，履行赔偿保险金义务。保险合同对赔偿保险金的期限有约定的，保险人应当按照约定履行赔偿保险金的义务。保险人依照前款的规定作出核定后，对不属于保险责任的，应当自作出核定之日起三日内向被保险人发出拒绝赔偿保险金通知书，并说明理由。</w:t>
      </w:r>
    </w:p>
    <w:p w14:paraId="57C1319A">
      <w:pPr>
        <w:adjustRightInd w:val="0"/>
        <w:snapToGrid w:val="0"/>
        <w:spacing w:after="156" w:afterLines="50"/>
        <w:ind w:firstLine="482" w:firstLineChars="200"/>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sz w:val="24"/>
          <w:highlight w:val="none"/>
        </w:rPr>
        <w:t>第十五条</w:t>
      </w:r>
      <w:r>
        <w:rPr>
          <w:rStyle w:val="59"/>
          <w:rFonts w:hint="default" w:ascii="Times New Roman" w:hAnsi="Times New Roman" w:eastAsia="仿宋_GB2312" w:cs="Times New Roman"/>
          <w:color w:val="auto"/>
          <w:sz w:val="24"/>
          <w:highlight w:val="none"/>
        </w:rPr>
        <w:t>保险人自收到</w:t>
      </w:r>
      <w:r>
        <w:rPr>
          <w:rFonts w:hint="default" w:ascii="Times New Roman" w:hAnsi="Times New Roman" w:eastAsia="仿宋_GB2312" w:cs="Times New Roman"/>
          <w:color w:val="auto"/>
          <w:sz w:val="24"/>
          <w:highlight w:val="none"/>
        </w:rPr>
        <w:t>赔偿</w:t>
      </w:r>
      <w:r>
        <w:rPr>
          <w:rStyle w:val="59"/>
          <w:rFonts w:hint="default" w:ascii="Times New Roman" w:hAnsi="Times New Roman" w:eastAsia="仿宋_GB2312" w:cs="Times New Roman"/>
          <w:color w:val="auto"/>
          <w:sz w:val="24"/>
          <w:highlight w:val="none"/>
        </w:rPr>
        <w:t>保险金的请求和有关证明、资料之日起六十日内，对其赔偿保险金的数额不能确定的，应当根据已有证明和资料可以确定的数额先予支付；保险人最终确定赔偿的数额后，应当支付相应的差额。</w:t>
      </w:r>
      <w:r>
        <w:rPr>
          <w:rStyle w:val="38"/>
          <w:rFonts w:hint="default" w:ascii="Times New Roman" w:hAnsi="Times New Roman" w:eastAsia="仿宋_GB2312" w:cs="Times New Roman"/>
          <w:color w:val="auto"/>
          <w:sz w:val="24"/>
          <w:highlight w:val="none"/>
        </w:rPr>
        <w:t> </w:t>
      </w:r>
    </w:p>
    <w:p w14:paraId="7018FC45">
      <w:pPr>
        <w:adjustRightInd w:val="0"/>
        <w:snapToGrid w:val="0"/>
        <w:spacing w:after="156" w:afterLines="50"/>
        <w:jc w:val="center"/>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sz w:val="24"/>
          <w:highlight w:val="none"/>
        </w:rPr>
        <w:t>投保人、被保险人义务</w:t>
      </w:r>
    </w:p>
    <w:p w14:paraId="3B0E4A75">
      <w:pPr>
        <w:adjustRightInd w:val="0"/>
        <w:snapToGrid w:val="0"/>
        <w:spacing w:after="156" w:afterLines="50"/>
        <w:ind w:firstLine="482"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b/>
          <w:bCs/>
          <w:color w:val="auto"/>
          <w:sz w:val="24"/>
          <w:highlight w:val="none"/>
        </w:rPr>
        <w:t>第十六条</w:t>
      </w:r>
      <w:bookmarkStart w:id="7" w:name="OLE_LINK2"/>
      <w:bookmarkStart w:id="8" w:name="OLE_LINK1"/>
      <w:r>
        <w:rPr>
          <w:rFonts w:hint="default" w:ascii="Times New Roman" w:hAnsi="Times New Roman" w:eastAsia="仿宋_GB2312" w:cs="Times New Roman"/>
          <w:color w:val="auto"/>
          <w:sz w:val="24"/>
          <w:highlight w:val="none"/>
        </w:rPr>
        <w:t>订立保险合同，保险人就保险标的或者被保险人的有关情况提出询问的，投保人应当如实告知。</w:t>
      </w:r>
    </w:p>
    <w:p w14:paraId="41FE830B">
      <w:pPr>
        <w:adjustRightInd w:val="0"/>
        <w:snapToGrid w:val="0"/>
        <w:spacing w:after="156" w:afterLines="50"/>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投保人故意或者因重大过失未履行前款规定的如实告知义务，足以影响保险人决定是否同意承保或者提高保险费率的，保险人有权解除保险合同。</w:t>
      </w:r>
    </w:p>
    <w:p w14:paraId="67FFA376">
      <w:pPr>
        <w:adjustRightInd w:val="0"/>
        <w:snapToGrid w:val="0"/>
        <w:spacing w:after="156" w:afterLines="50"/>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前款规定的合同解除权，自保险人知道有解除事由之日起，超过三十日不行使而消灭。自合同成立之日起超过二年的，保险人不得解除合同；发生保险事故的，保险人应当承担赔偿保险金的责任。</w:t>
      </w:r>
    </w:p>
    <w:p w14:paraId="16D49C15">
      <w:pPr>
        <w:adjustRightInd w:val="0"/>
        <w:snapToGrid w:val="0"/>
        <w:spacing w:after="156" w:afterLines="50"/>
        <w:ind w:firstLine="482" w:firstLineChars="200"/>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投保人故意不履行如实告知义务的，保险人对于合同解除前发生的保险事故，不承担赔偿保险金的责任，并不退还保险费。</w:t>
      </w:r>
    </w:p>
    <w:p w14:paraId="7EA079D1">
      <w:pPr>
        <w:adjustRightInd w:val="0"/>
        <w:snapToGrid w:val="0"/>
        <w:spacing w:after="156" w:afterLines="50"/>
        <w:ind w:firstLine="482" w:firstLineChars="200"/>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投保人因重大过失未履行如实告知义务，对保险事故的发生有严重影响的，保险人对于合同解除前发生的保险事故，不承担赔偿保险金的责任，但应当退还保险费。</w:t>
      </w:r>
    </w:p>
    <w:p w14:paraId="1DBA68A4">
      <w:pPr>
        <w:adjustRightInd w:val="0"/>
        <w:snapToGrid w:val="0"/>
        <w:spacing w:after="156" w:afterLines="50"/>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保险人在合同订立时已经知道投保人未如实告知的情况的，保险人不得解除合同；发生保险事故的，保险人应当承担赔偿保险金的责任。</w:t>
      </w:r>
    </w:p>
    <w:bookmarkEnd w:id="7"/>
    <w:bookmarkEnd w:id="8"/>
    <w:p w14:paraId="44766667">
      <w:pPr>
        <w:adjustRightInd w:val="0"/>
        <w:snapToGrid w:val="0"/>
        <w:spacing w:after="156" w:afterLines="50"/>
        <w:ind w:firstLine="482"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b/>
          <w:bCs/>
          <w:color w:val="auto"/>
          <w:sz w:val="24"/>
          <w:highlight w:val="none"/>
        </w:rPr>
        <w:t>第十七条</w:t>
      </w:r>
      <w:r>
        <w:rPr>
          <w:rFonts w:hint="default" w:ascii="Times New Roman" w:hAnsi="Times New Roman" w:eastAsia="仿宋_GB2312" w:cs="Times New Roman"/>
          <w:color w:val="auto"/>
          <w:sz w:val="24"/>
          <w:highlight w:val="none"/>
        </w:rPr>
        <w:t>除另有约定外，投保人应当在保险合同成立时交付保险费。</w:t>
      </w:r>
    </w:p>
    <w:p w14:paraId="334F8B8A">
      <w:pPr>
        <w:adjustRightInd w:val="0"/>
        <w:snapToGrid w:val="0"/>
        <w:spacing w:after="156" w:afterLines="50"/>
        <w:ind w:firstLine="482" w:firstLineChars="200"/>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约定一次性交付保险费的，投保人在约定交费日后交付保险费的，保险人对交费之前发生的保险事故不承担保险责任。</w:t>
      </w:r>
    </w:p>
    <w:p w14:paraId="10CD0A70">
      <w:pPr>
        <w:adjustRightInd w:val="0"/>
        <w:snapToGrid w:val="0"/>
        <w:spacing w:after="156" w:afterLines="50"/>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约定分期交付保险费的，保险人按照保险事故发生前保险人实际收取保险费总额与投保人应当交付的保险费的比例承担保险责任，投保人应当交付的保险费是指截至保险事故发生时投保人按约定分期应该缴纳的保费总额。</w:t>
      </w:r>
    </w:p>
    <w:p w14:paraId="194D435C">
      <w:pPr>
        <w:adjustRightInd w:val="0"/>
        <w:snapToGrid w:val="0"/>
        <w:spacing w:after="156" w:afterLines="50"/>
        <w:ind w:firstLine="482"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b/>
          <w:bCs/>
          <w:color w:val="auto"/>
          <w:sz w:val="24"/>
          <w:highlight w:val="none"/>
        </w:rPr>
        <w:t>第十八条</w:t>
      </w:r>
      <w:r>
        <w:rPr>
          <w:rFonts w:hint="default" w:ascii="Times New Roman" w:hAnsi="Times New Roman" w:eastAsia="仿宋_GB2312" w:cs="Times New Roman"/>
          <w:color w:val="auto"/>
          <w:sz w:val="24"/>
          <w:highlight w:val="none"/>
        </w:rPr>
        <w:t>被保险人应严格遵守以及国家有关消防、安全、生产操作等方面的规定，加强管理，采取合理的预防措施，尽力避免或减少责任事故的发生。</w:t>
      </w:r>
    </w:p>
    <w:p w14:paraId="73510525">
      <w:pPr>
        <w:adjustRightInd w:val="0"/>
        <w:snapToGrid w:val="0"/>
        <w:spacing w:after="156" w:afterLines="50"/>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保险人可以对被保险人遵守前款约定的情况进行检查，向投保人、被保险人提出消除不安全因素和隐患的书面建议，投保人、被保险人应该认真付诸实施。</w:t>
      </w:r>
      <w:r>
        <w:rPr>
          <w:rFonts w:hint="default" w:ascii="Times New Roman" w:hAnsi="Times New Roman" w:eastAsia="仿宋_GB2312" w:cs="Times New Roman"/>
          <w:snapToGrid w:val="0"/>
          <w:color w:val="auto"/>
          <w:kern w:val="0"/>
          <w:sz w:val="24"/>
          <w:highlight w:val="none"/>
        </w:rPr>
        <w:t>但前述检查并不构成保险人对被保险人的任何承诺。</w:t>
      </w:r>
    </w:p>
    <w:p w14:paraId="0BB407D0">
      <w:pPr>
        <w:adjustRightInd w:val="0"/>
        <w:snapToGrid w:val="0"/>
        <w:spacing w:after="156" w:afterLines="50"/>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投保人、被保险人未按照约定履行上述安全义务的，保险人有权要求增加保险费或者解除合同。</w:t>
      </w:r>
    </w:p>
    <w:p w14:paraId="52D998B1">
      <w:pPr>
        <w:adjustRightInd w:val="0"/>
        <w:snapToGrid w:val="0"/>
        <w:spacing w:after="156" w:afterLines="50"/>
        <w:ind w:firstLine="482"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b/>
          <w:bCs/>
          <w:color w:val="auto"/>
          <w:sz w:val="24"/>
          <w:highlight w:val="none"/>
        </w:rPr>
        <w:t>第十九条</w:t>
      </w:r>
      <w:r>
        <w:rPr>
          <w:rFonts w:hint="default" w:ascii="Times New Roman" w:hAnsi="Times New Roman" w:eastAsia="仿宋_GB2312" w:cs="Times New Roman"/>
          <w:color w:val="auto"/>
          <w:sz w:val="24"/>
          <w:highlight w:val="none"/>
        </w:rPr>
        <w:t>在保险合同有效期内，保险标的的危险程度显著增加的，被保险人应当及时通知保险人，保险人可以根据费率表的规定增加保险费或者解除合同。</w:t>
      </w:r>
    </w:p>
    <w:p w14:paraId="7ACA9895">
      <w:pPr>
        <w:adjustRightInd w:val="0"/>
        <w:snapToGrid w:val="0"/>
        <w:spacing w:after="156" w:afterLines="50"/>
        <w:ind w:firstLine="482" w:firstLineChars="200"/>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被保险人未履行前款约定的通知义务的，因保险标的的危险程度显著增加而发生的保险事故，保险人不承担赔偿保险金的责任。</w:t>
      </w:r>
    </w:p>
    <w:p w14:paraId="42340EE6">
      <w:pPr>
        <w:adjustRightInd w:val="0"/>
        <w:snapToGrid w:val="0"/>
        <w:spacing w:after="156" w:afterLines="50"/>
        <w:ind w:firstLine="482"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b/>
          <w:bCs/>
          <w:color w:val="auto"/>
          <w:sz w:val="24"/>
          <w:highlight w:val="none"/>
        </w:rPr>
        <w:t>第二十条</w:t>
      </w:r>
      <w:r>
        <w:rPr>
          <w:rFonts w:hint="default" w:ascii="Times New Roman" w:hAnsi="Times New Roman" w:eastAsia="仿宋_GB2312" w:cs="Times New Roman"/>
          <w:color w:val="auto"/>
          <w:sz w:val="24"/>
          <w:highlight w:val="none"/>
        </w:rPr>
        <w:t>知道保险事故发生后，被保险人应该：</w:t>
      </w:r>
    </w:p>
    <w:p w14:paraId="05774DF0">
      <w:pPr>
        <w:adjustRightInd w:val="0"/>
        <w:snapToGrid w:val="0"/>
        <w:spacing w:after="156" w:afterLines="50"/>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（一）尽力采取必要、合理的措施，防止或减少损失，</w:t>
      </w:r>
      <w:r>
        <w:rPr>
          <w:rFonts w:hint="default" w:ascii="Times New Roman" w:hAnsi="Times New Roman" w:eastAsia="仿宋_GB2312" w:cs="Times New Roman"/>
          <w:b/>
          <w:color w:val="auto"/>
          <w:sz w:val="24"/>
          <w:highlight w:val="none"/>
        </w:rPr>
        <w:t>否则，对因此扩大的损失，保险人不承担赔偿责任；</w:t>
      </w:r>
    </w:p>
    <w:p w14:paraId="1BA94F6B">
      <w:pPr>
        <w:adjustRightInd w:val="0"/>
        <w:snapToGrid w:val="0"/>
        <w:spacing w:after="156" w:afterLines="50"/>
        <w:ind w:firstLine="480" w:firstLineChars="200"/>
        <w:rPr>
          <w:rStyle w:val="59"/>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（二）及时通知保险人，并书面说明事故发生的原因、经过和损失情况；</w:t>
      </w:r>
      <w:r>
        <w:rPr>
          <w:rStyle w:val="59"/>
          <w:rFonts w:hint="default" w:ascii="Times New Roman" w:hAnsi="Times New Roman" w:eastAsia="仿宋_GB2312" w:cs="Times New Roman"/>
          <w:b/>
          <w:color w:val="auto"/>
          <w:sz w:val="24"/>
          <w:highlight w:val="none"/>
        </w:rPr>
        <w:t>故意或者因重大过失未及时通知，致使保险事故的性质、原因、损失程度等难以确定的，保险人对无法确定的部分，不承担赔偿责任，</w:t>
      </w:r>
      <w:r>
        <w:rPr>
          <w:rStyle w:val="59"/>
          <w:rFonts w:hint="default" w:ascii="Times New Roman" w:hAnsi="Times New Roman" w:eastAsia="仿宋_GB2312" w:cs="Times New Roman"/>
          <w:color w:val="auto"/>
          <w:sz w:val="24"/>
          <w:highlight w:val="none"/>
        </w:rPr>
        <w:t>但保险人通过其他途径已经及时知道或者应当及时知道保险事故发生的除外；</w:t>
      </w:r>
    </w:p>
    <w:p w14:paraId="153F546C">
      <w:pPr>
        <w:adjustRightInd w:val="0"/>
        <w:snapToGrid w:val="0"/>
        <w:spacing w:after="156" w:afterLines="50"/>
        <w:ind w:firstLine="480" w:firstLineChars="200"/>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color w:val="auto"/>
          <w:sz w:val="24"/>
          <w:highlight w:val="none"/>
        </w:rPr>
        <w:t>（三）保护事故现场，允许并且协助保险人进行事故调查；</w:t>
      </w:r>
      <w:r>
        <w:rPr>
          <w:rFonts w:hint="default" w:ascii="Times New Roman" w:hAnsi="Times New Roman" w:eastAsia="仿宋_GB2312" w:cs="Times New Roman"/>
          <w:b/>
          <w:color w:val="auto"/>
          <w:sz w:val="24"/>
          <w:highlight w:val="none"/>
        </w:rPr>
        <w:t>对于拒绝或者妨碍保险人进行事故调查导致无法确定事故原因或核实损失情况的，保险人对无法确定或核实的部分，不承担赔偿责任；</w:t>
      </w:r>
    </w:p>
    <w:p w14:paraId="29588F4F">
      <w:pPr>
        <w:adjustRightInd w:val="0"/>
        <w:snapToGrid w:val="0"/>
        <w:spacing w:after="156" w:afterLines="50"/>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（四）涉及违法、犯罪的，应立即向公安部门报案，</w:t>
      </w:r>
      <w:r>
        <w:rPr>
          <w:rFonts w:hint="default" w:ascii="Times New Roman" w:hAnsi="Times New Roman" w:eastAsia="仿宋_GB2312" w:cs="Times New Roman"/>
          <w:b/>
          <w:color w:val="auto"/>
          <w:sz w:val="24"/>
          <w:highlight w:val="none"/>
        </w:rPr>
        <w:t>否则，对因此扩大的损失，保险人不承担赔偿责任。</w:t>
      </w:r>
    </w:p>
    <w:p w14:paraId="19E6EF2F">
      <w:pPr>
        <w:adjustRightInd w:val="0"/>
        <w:snapToGrid w:val="0"/>
        <w:spacing w:after="156" w:afterLines="50"/>
        <w:ind w:firstLine="482"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b/>
          <w:bCs/>
          <w:color w:val="auto"/>
          <w:sz w:val="24"/>
          <w:highlight w:val="none"/>
        </w:rPr>
        <w:t>第二十一条</w:t>
      </w:r>
      <w:r>
        <w:rPr>
          <w:rFonts w:hint="default" w:ascii="Times New Roman" w:hAnsi="Times New Roman" w:eastAsia="仿宋_GB2312" w:cs="Times New Roman"/>
          <w:color w:val="auto"/>
          <w:sz w:val="24"/>
          <w:highlight w:val="none"/>
        </w:rPr>
        <w:t>被保险人收到受害人的损害赔偿请求时，应立即通知保险人。</w:t>
      </w:r>
      <w:r>
        <w:rPr>
          <w:rStyle w:val="59"/>
          <w:rFonts w:hint="default" w:ascii="Times New Roman" w:hAnsi="Times New Roman" w:eastAsia="仿宋_GB2312" w:cs="Times New Roman"/>
          <w:color w:val="auto"/>
          <w:sz w:val="24"/>
          <w:highlight w:val="none"/>
        </w:rPr>
        <w:t>未经保险人书面同意，被保险人对受害人作出的任何承诺、拒绝、出价、约定、付款或赔偿，保险人不受其约束。</w:t>
      </w:r>
      <w:r>
        <w:rPr>
          <w:rStyle w:val="59"/>
          <w:rFonts w:hint="default" w:ascii="Times New Roman" w:hAnsi="Times New Roman" w:eastAsia="仿宋_GB2312" w:cs="Times New Roman"/>
          <w:b/>
          <w:color w:val="auto"/>
          <w:sz w:val="24"/>
          <w:highlight w:val="none"/>
        </w:rPr>
        <w:t>对于被保险人自行承诺或支付的赔偿金额，保险人有权重新核定，不属于本保险责任范围或超出应赔偿限额的，保险人不承担赔偿责任。</w:t>
      </w:r>
      <w:r>
        <w:rPr>
          <w:rStyle w:val="59"/>
          <w:rFonts w:hint="default" w:ascii="Times New Roman" w:hAnsi="Times New Roman" w:eastAsia="仿宋_GB2312" w:cs="Times New Roman"/>
          <w:color w:val="auto"/>
          <w:sz w:val="24"/>
          <w:highlight w:val="none"/>
        </w:rPr>
        <w:t>在处理索赔过程中，保险人有权自行处理由其承担最终赔偿责任的任何索赔案件，被保险人有义务向保险人提供其所能提供的资料和协助</w:t>
      </w:r>
      <w:r>
        <w:rPr>
          <w:rFonts w:hint="default" w:ascii="Times New Roman" w:hAnsi="Times New Roman" w:eastAsia="仿宋_GB2312" w:cs="Times New Roman"/>
          <w:b/>
          <w:color w:val="auto"/>
          <w:sz w:val="24"/>
          <w:highlight w:val="none"/>
        </w:rPr>
        <w:t>。</w:t>
      </w:r>
    </w:p>
    <w:p w14:paraId="104D304C">
      <w:pPr>
        <w:adjustRightInd w:val="0"/>
        <w:snapToGrid w:val="0"/>
        <w:spacing w:after="156" w:afterLines="50"/>
        <w:ind w:firstLine="482"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b/>
          <w:bCs/>
          <w:color w:val="auto"/>
          <w:sz w:val="24"/>
          <w:highlight w:val="none"/>
        </w:rPr>
        <w:t>第二十二条</w:t>
      </w:r>
      <w:r>
        <w:rPr>
          <w:rFonts w:hint="default" w:ascii="Times New Roman" w:hAnsi="Times New Roman" w:eastAsia="仿宋_GB2312" w:cs="Times New Roman"/>
          <w:color w:val="auto"/>
          <w:sz w:val="24"/>
          <w:highlight w:val="none"/>
        </w:rPr>
        <w:t>被保险人获悉可能发生诉讼、仲裁时，应立即以书面形式通知保险人；接到法院传票或其他法律文书后，应将其副本及时送交保险人。保险人有权以被保险人的名义处理有关诉讼或仲裁事宜，被保险人应提供有关文件，并给予必要的协助。</w:t>
      </w:r>
    </w:p>
    <w:p w14:paraId="066C0FFE">
      <w:pPr>
        <w:adjustRightInd w:val="0"/>
        <w:snapToGrid w:val="0"/>
        <w:spacing w:after="156" w:afterLines="50"/>
        <w:ind w:firstLine="482" w:firstLineChars="200"/>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对因未及时提供上述通知或必要协助导致扩大的损失，保险人不承担赔偿责任。</w:t>
      </w:r>
    </w:p>
    <w:p w14:paraId="4136C939">
      <w:pPr>
        <w:adjustRightInd w:val="0"/>
        <w:snapToGrid w:val="0"/>
        <w:spacing w:after="156" w:afterLines="50"/>
        <w:ind w:firstLine="482"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b/>
          <w:bCs/>
          <w:color w:val="auto"/>
          <w:sz w:val="24"/>
          <w:highlight w:val="none"/>
        </w:rPr>
        <w:t>第二十三条</w:t>
      </w:r>
      <w:r>
        <w:rPr>
          <w:rFonts w:hint="default" w:ascii="Times New Roman" w:hAnsi="Times New Roman" w:eastAsia="仿宋_GB2312" w:cs="Times New Roman"/>
          <w:color w:val="auto"/>
          <w:sz w:val="24"/>
          <w:highlight w:val="none"/>
        </w:rPr>
        <w:t>被保险人请求赔偿时，应向保险人提供下列证明和资料：</w:t>
      </w:r>
    </w:p>
    <w:p w14:paraId="46F3AE9C">
      <w:pPr>
        <w:adjustRightInd w:val="0"/>
        <w:snapToGrid w:val="0"/>
        <w:spacing w:after="156" w:afterLines="50"/>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（一）保险单正本；</w:t>
      </w:r>
    </w:p>
    <w:p w14:paraId="071857F5">
      <w:pPr>
        <w:adjustRightInd w:val="0"/>
        <w:snapToGrid w:val="0"/>
        <w:spacing w:after="156" w:afterLines="50"/>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（二）被保险人或其代表填具的索赔申请书；</w:t>
      </w:r>
    </w:p>
    <w:p w14:paraId="150CE9FD">
      <w:pPr>
        <w:adjustRightInd w:val="0"/>
        <w:snapToGrid w:val="0"/>
        <w:spacing w:after="156" w:afterLines="50"/>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（三）受害人向被保险人提出索赔的相关材料；</w:t>
      </w:r>
    </w:p>
    <w:p w14:paraId="1DA7ECE9">
      <w:pPr>
        <w:adjustRightInd w:val="0"/>
        <w:snapToGrid w:val="0"/>
        <w:spacing w:after="156" w:afterLines="50"/>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四）造成受害人人身伤害的，应包括：受害人的病历、诊断证明、医疗费等医疗原始单据；受害人的人身伤害程度证明：受害人伤残的，应当提供具备相关法律法规要求的伤残鉴定资格的医疗机构出具的伤残程度证明；受害人死亡的，公安机关或医疗机构出具的死亡证明书；</w:t>
      </w:r>
    </w:p>
    <w:p w14:paraId="5FB0830F">
      <w:pPr>
        <w:adjustRightInd w:val="0"/>
        <w:snapToGrid w:val="0"/>
        <w:spacing w:after="156" w:afterLines="50"/>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（五）造成受害人财产损失的，应包括：损失、费用清单；</w:t>
      </w:r>
    </w:p>
    <w:p w14:paraId="56D45537">
      <w:pPr>
        <w:adjustRightInd w:val="0"/>
        <w:snapToGrid w:val="0"/>
        <w:spacing w:after="156" w:afterLines="50"/>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（六）被保险人与受害人所签订的赔偿协议书或和解书；经判决或仲裁的，应提供判决文书或仲裁裁决文书；</w:t>
      </w:r>
    </w:p>
    <w:p w14:paraId="6435E2C3">
      <w:pPr>
        <w:adjustRightInd w:val="0"/>
        <w:snapToGrid w:val="0"/>
        <w:spacing w:after="156" w:afterLines="50"/>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（七）投保人、被保险人所能提供的与确认保险事故的性质、原因、损失程度等有关的其他证明和资料。</w:t>
      </w:r>
    </w:p>
    <w:p w14:paraId="2DFEA991">
      <w:pPr>
        <w:adjustRightInd w:val="0"/>
        <w:snapToGrid w:val="0"/>
        <w:spacing w:after="156" w:afterLines="50"/>
        <w:ind w:firstLine="482" w:firstLineChars="200"/>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被保险人未履行前款约定的索赔材料提供义务，导致保险人无法核实损失情况的，保险人对无法核实部分不承担赔偿责任。</w:t>
      </w:r>
    </w:p>
    <w:p w14:paraId="43C43312">
      <w:pPr>
        <w:adjustRightInd w:val="0"/>
        <w:snapToGrid w:val="0"/>
        <w:spacing w:after="156" w:afterLines="50"/>
        <w:jc w:val="center"/>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sz w:val="24"/>
          <w:highlight w:val="none"/>
        </w:rPr>
        <w:t>赔偿处理</w:t>
      </w:r>
    </w:p>
    <w:p w14:paraId="54F2DEB2">
      <w:pPr>
        <w:adjustRightInd w:val="0"/>
        <w:snapToGrid w:val="0"/>
        <w:spacing w:after="156" w:afterLines="50"/>
        <w:ind w:firstLine="482"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b/>
          <w:bCs/>
          <w:color w:val="auto"/>
          <w:sz w:val="24"/>
          <w:highlight w:val="none"/>
        </w:rPr>
        <w:t>第二十四条</w:t>
      </w:r>
      <w:r>
        <w:rPr>
          <w:rFonts w:hint="default" w:ascii="Times New Roman" w:hAnsi="Times New Roman" w:eastAsia="仿宋_GB2312" w:cs="Times New Roman"/>
          <w:color w:val="auto"/>
          <w:sz w:val="24"/>
          <w:highlight w:val="none"/>
        </w:rPr>
        <w:t>保险人的赔偿以下列方式之一确定的被保险人的赔偿责任为基础：</w:t>
      </w:r>
    </w:p>
    <w:p w14:paraId="782CD324">
      <w:pPr>
        <w:adjustRightInd w:val="0"/>
        <w:snapToGrid w:val="0"/>
        <w:spacing w:after="156" w:afterLines="50"/>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（一）被保险人和向其提出损害赔偿请求的受害人协商并经保险人确认；</w:t>
      </w:r>
    </w:p>
    <w:p w14:paraId="3DD4E785">
      <w:pPr>
        <w:adjustRightInd w:val="0"/>
        <w:snapToGrid w:val="0"/>
        <w:spacing w:after="156" w:afterLines="50"/>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（二）仲裁机构裁决；</w:t>
      </w:r>
    </w:p>
    <w:p w14:paraId="704480FC">
      <w:pPr>
        <w:adjustRightInd w:val="0"/>
        <w:snapToGrid w:val="0"/>
        <w:spacing w:after="156" w:afterLines="50"/>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（三）人民法院判决；</w:t>
      </w:r>
    </w:p>
    <w:p w14:paraId="792F159B">
      <w:pPr>
        <w:adjustRightInd w:val="0"/>
        <w:snapToGrid w:val="0"/>
        <w:spacing w:after="156" w:afterLines="50"/>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（四）保险人认可的其他方式。</w:t>
      </w:r>
    </w:p>
    <w:p w14:paraId="3E2FF71B">
      <w:pPr>
        <w:adjustRightInd w:val="0"/>
        <w:snapToGrid w:val="0"/>
        <w:spacing w:after="156" w:afterLines="50"/>
        <w:ind w:firstLine="482" w:firstLineChars="200"/>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bCs/>
          <w:color w:val="auto"/>
          <w:sz w:val="24"/>
          <w:highlight w:val="none"/>
        </w:rPr>
        <w:t>第二十五条</w:t>
      </w:r>
      <w:r>
        <w:rPr>
          <w:rFonts w:hint="default" w:ascii="Times New Roman" w:hAnsi="Times New Roman" w:eastAsia="仿宋_GB2312" w:cs="Times New Roman"/>
          <w:b/>
          <w:color w:val="auto"/>
          <w:sz w:val="24"/>
          <w:highlight w:val="none"/>
        </w:rPr>
        <w:t>被保险人给第三者造成损害，被保险人未向该第三者赔偿的，保险人不负责向被保险人赔偿保险金。</w:t>
      </w:r>
    </w:p>
    <w:p w14:paraId="1E8078EB">
      <w:pPr>
        <w:adjustRightInd w:val="0"/>
        <w:snapToGrid w:val="0"/>
        <w:spacing w:after="156" w:afterLines="50"/>
        <w:ind w:firstLine="482"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b/>
          <w:bCs/>
          <w:color w:val="auto"/>
          <w:sz w:val="24"/>
          <w:highlight w:val="none"/>
        </w:rPr>
        <w:t>第二十六条</w:t>
      </w:r>
      <w:r>
        <w:rPr>
          <w:rFonts w:hint="default" w:ascii="Times New Roman" w:hAnsi="Times New Roman" w:eastAsia="仿宋_GB2312" w:cs="Times New Roman"/>
          <w:color w:val="auto"/>
          <w:sz w:val="24"/>
          <w:highlight w:val="none"/>
        </w:rPr>
        <w:t>发生保险责任范围内的损失，保险人按以下方式计算赔偿：</w:t>
      </w:r>
    </w:p>
    <w:p w14:paraId="0FC8925E">
      <w:pPr>
        <w:adjustRightInd w:val="0"/>
        <w:snapToGrid w:val="0"/>
        <w:spacing w:after="156" w:afterLines="50"/>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一）对于每次事故造成的损失，保险人在每次事故赔偿限额内计算赔偿，其中对每人的赔偿金额不得超过每次事故每人赔偿限额，对每次事故多人人身伤亡的赔偿金额不得超过每次事故人身伤亡赔偿限额，对每次事故多人财产损失的赔偿金额不得超过每次事故财产损失赔偿限额，对每次事故承担的法律费用的赔偿金额不超过每次事故赔偿限额的10%，但合同另有约定的除外。</w:t>
      </w:r>
    </w:p>
    <w:p w14:paraId="66F0AD65">
      <w:pPr>
        <w:adjustRightInd w:val="0"/>
        <w:snapToGrid w:val="0"/>
        <w:spacing w:after="156" w:afterLines="50"/>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（二）在依据本条第（一）项计算的基础上，保险人在扣除每次事故免赔额后进行赔偿；</w:t>
      </w:r>
    </w:p>
    <w:p w14:paraId="71CF961D">
      <w:pPr>
        <w:adjustRightInd w:val="0"/>
        <w:snapToGrid w:val="0"/>
        <w:spacing w:after="156" w:afterLines="50"/>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（三）在保险期间内，保险人对多次事故承担的本条款第三、四、五条规定的赔偿金额之和累计不超过累计赔偿限额。</w:t>
      </w:r>
    </w:p>
    <w:p w14:paraId="345C1F40">
      <w:pPr>
        <w:tabs>
          <w:tab w:val="left" w:pos="1800"/>
        </w:tabs>
        <w:snapToGrid w:val="0"/>
        <w:spacing w:after="156" w:afterLines="50"/>
        <w:ind w:firstLine="482" w:firstLineChars="200"/>
        <w:rPr>
          <w:rFonts w:hint="default" w:ascii="Times New Roman" w:hAnsi="Times New Roman" w:eastAsia="仿宋_GB2312" w:cs="Times New Roman"/>
          <w:snapToGrid w:val="0"/>
          <w:color w:val="auto"/>
          <w:kern w:val="0"/>
          <w:sz w:val="24"/>
          <w:highlight w:val="none"/>
        </w:rPr>
      </w:pPr>
      <w:bookmarkStart w:id="9" w:name="OLE_LINK5"/>
      <w:r>
        <w:rPr>
          <w:rFonts w:hint="default" w:ascii="Times New Roman" w:hAnsi="Times New Roman" w:eastAsia="仿宋_GB2312" w:cs="Times New Roman"/>
          <w:b/>
          <w:bCs/>
          <w:snapToGrid w:val="0"/>
          <w:color w:val="auto"/>
          <w:kern w:val="0"/>
          <w:sz w:val="24"/>
          <w:highlight w:val="none"/>
        </w:rPr>
        <w:t>第二十七条</w:t>
      </w:r>
      <w:r>
        <w:rPr>
          <w:rFonts w:hint="default" w:ascii="Times New Roman" w:hAnsi="Times New Roman" w:eastAsia="仿宋_GB2312" w:cs="Times New Roman"/>
          <w:snapToGrid w:val="0"/>
          <w:color w:val="auto"/>
          <w:kern w:val="0"/>
          <w:sz w:val="24"/>
          <w:highlight w:val="none"/>
        </w:rPr>
        <w:t>发生保险事故造成财产损失的，应当尽量修复。修理前被保险人须会同保险人检验，确定修理项目、方式和费用。否则，保险人有权重新核定或拒绝赔偿。</w:t>
      </w:r>
    </w:p>
    <w:p w14:paraId="5484D5B6">
      <w:pPr>
        <w:tabs>
          <w:tab w:val="left" w:pos="1800"/>
        </w:tabs>
        <w:snapToGrid w:val="0"/>
        <w:spacing w:after="156" w:afterLines="50"/>
        <w:ind w:firstLine="482" w:firstLineChars="200"/>
        <w:rPr>
          <w:rFonts w:hint="default" w:ascii="Times New Roman" w:hAnsi="Times New Roman" w:eastAsia="仿宋_GB2312" w:cs="Times New Roman"/>
          <w:snapToGrid w:val="0"/>
          <w:color w:val="auto"/>
          <w:kern w:val="0"/>
          <w:sz w:val="24"/>
          <w:highlight w:val="none"/>
        </w:rPr>
      </w:pPr>
      <w:r>
        <w:rPr>
          <w:rFonts w:hint="default" w:ascii="Times New Roman" w:hAnsi="Times New Roman" w:eastAsia="仿宋_GB2312" w:cs="Times New Roman"/>
          <w:b/>
          <w:bCs/>
          <w:snapToGrid w:val="0"/>
          <w:color w:val="auto"/>
          <w:kern w:val="0"/>
          <w:sz w:val="24"/>
          <w:highlight w:val="none"/>
        </w:rPr>
        <w:t>第二十八条</w:t>
      </w:r>
      <w:r>
        <w:rPr>
          <w:rFonts w:hint="default" w:ascii="Times New Roman" w:hAnsi="Times New Roman" w:eastAsia="仿宋_GB2312" w:cs="Times New Roman"/>
          <w:snapToGrid w:val="0"/>
          <w:color w:val="auto"/>
          <w:kern w:val="0"/>
          <w:sz w:val="24"/>
          <w:highlight w:val="none"/>
        </w:rPr>
        <w:t>死亡赔偿金按照事故发生地城镇居民人均可支配收入或农村居民人均纯收入标准，按二十年计算。但六十岁以上的，年龄每增加一岁减少一年；七十五岁以上的，按五年计算。</w:t>
      </w:r>
    </w:p>
    <w:p w14:paraId="31C00342">
      <w:pPr>
        <w:tabs>
          <w:tab w:val="left" w:pos="1800"/>
        </w:tabs>
        <w:snapToGrid w:val="0"/>
        <w:spacing w:after="156" w:afterLines="50"/>
        <w:ind w:firstLine="480" w:firstLineChars="200"/>
        <w:rPr>
          <w:rFonts w:hint="default" w:ascii="Times New Roman" w:hAnsi="Times New Roman" w:eastAsia="仿宋_GB2312" w:cs="Times New Roman"/>
          <w:snapToGrid w:val="0"/>
          <w:color w:val="auto"/>
          <w:kern w:val="0"/>
          <w:sz w:val="24"/>
          <w:highlight w:val="none"/>
        </w:rPr>
      </w:pPr>
      <w:r>
        <w:rPr>
          <w:rFonts w:hint="default" w:ascii="Times New Roman" w:hAnsi="Times New Roman" w:eastAsia="仿宋_GB2312" w:cs="Times New Roman"/>
          <w:snapToGrid w:val="0"/>
          <w:color w:val="auto"/>
          <w:kern w:val="0"/>
          <w:sz w:val="24"/>
          <w:highlight w:val="none"/>
        </w:rPr>
        <w:t>死亡赔偿金＝城镇居民人均可支配收入（或农村居民人均纯收入）×计算年限</w:t>
      </w:r>
    </w:p>
    <w:p w14:paraId="182B5712">
      <w:pPr>
        <w:tabs>
          <w:tab w:val="left" w:pos="1800"/>
        </w:tabs>
        <w:snapToGrid w:val="0"/>
        <w:spacing w:after="156" w:afterLines="50"/>
        <w:ind w:firstLine="482" w:firstLineChars="200"/>
        <w:rPr>
          <w:rFonts w:hint="default" w:ascii="Times New Roman" w:hAnsi="Times New Roman" w:eastAsia="仿宋_GB2312" w:cs="Times New Roman"/>
          <w:snapToGrid w:val="0"/>
          <w:color w:val="auto"/>
          <w:kern w:val="0"/>
          <w:sz w:val="24"/>
          <w:highlight w:val="none"/>
        </w:rPr>
      </w:pPr>
      <w:r>
        <w:rPr>
          <w:rFonts w:hint="default" w:ascii="Times New Roman" w:hAnsi="Times New Roman" w:eastAsia="仿宋_GB2312" w:cs="Times New Roman"/>
          <w:b/>
          <w:bCs/>
          <w:snapToGrid w:val="0"/>
          <w:color w:val="auto"/>
          <w:kern w:val="0"/>
          <w:sz w:val="24"/>
          <w:highlight w:val="none"/>
        </w:rPr>
        <w:t>第二十九条</w:t>
      </w:r>
      <w:r>
        <w:rPr>
          <w:rFonts w:hint="default" w:ascii="Times New Roman" w:hAnsi="Times New Roman" w:eastAsia="仿宋_GB2312" w:cs="Times New Roman"/>
          <w:snapToGrid w:val="0"/>
          <w:color w:val="auto"/>
          <w:kern w:val="0"/>
          <w:sz w:val="24"/>
          <w:highlight w:val="none"/>
        </w:rPr>
        <w:t>残疾赔偿金根据受害人丧失劳动能力程度或伤残等级参照死亡赔偿金的标准计算。</w:t>
      </w:r>
    </w:p>
    <w:p w14:paraId="1C04BE04">
      <w:pPr>
        <w:tabs>
          <w:tab w:val="left" w:pos="1800"/>
        </w:tabs>
        <w:snapToGrid w:val="0"/>
        <w:spacing w:after="156" w:afterLines="50"/>
        <w:ind w:firstLine="480" w:firstLineChars="200"/>
        <w:rPr>
          <w:rFonts w:hint="default" w:ascii="Times New Roman" w:hAnsi="Times New Roman" w:eastAsia="仿宋_GB2312" w:cs="Times New Roman"/>
          <w:snapToGrid w:val="0"/>
          <w:color w:val="auto"/>
          <w:kern w:val="0"/>
          <w:sz w:val="24"/>
          <w:highlight w:val="none"/>
        </w:rPr>
      </w:pPr>
      <w:r>
        <w:rPr>
          <w:rFonts w:hint="default" w:ascii="Times New Roman" w:hAnsi="Times New Roman" w:eastAsia="仿宋_GB2312" w:cs="Times New Roman"/>
          <w:snapToGrid w:val="0"/>
          <w:color w:val="auto"/>
          <w:kern w:val="0"/>
          <w:sz w:val="24"/>
          <w:highlight w:val="none"/>
        </w:rPr>
        <w:t>伤残赔偿金＝死亡赔偿金×伤残赔偿系数</w:t>
      </w:r>
    </w:p>
    <w:tbl>
      <w:tblPr>
        <w:tblStyle w:val="26"/>
        <w:tblW w:w="89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5"/>
        <w:gridCol w:w="3776"/>
        <w:gridCol w:w="3070"/>
      </w:tblGrid>
      <w:tr w14:paraId="596F4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2125" w:type="dxa"/>
            <w:vAlign w:val="center"/>
          </w:tcPr>
          <w:p w14:paraId="71C2AECE">
            <w:pPr>
              <w:snapToGrid w:val="0"/>
              <w:jc w:val="center"/>
              <w:rPr>
                <w:rFonts w:hint="default" w:ascii="Times New Roman" w:hAnsi="Times New Roman" w:eastAsia="仿宋_GB2312" w:cs="Times New Roman"/>
                <w:b/>
                <w:bCs/>
                <w:snapToGrid w:val="0"/>
                <w:color w:val="auto"/>
                <w:kern w:val="0"/>
                <w:sz w:val="24"/>
                <w:highlight w:val="none"/>
              </w:rPr>
            </w:pPr>
            <w:r>
              <w:rPr>
                <w:rFonts w:hint="default" w:ascii="Times New Roman" w:hAnsi="Times New Roman" w:eastAsia="仿宋_GB2312" w:cs="Times New Roman"/>
                <w:b/>
                <w:bCs/>
                <w:snapToGrid w:val="0"/>
                <w:color w:val="auto"/>
                <w:kern w:val="0"/>
                <w:sz w:val="24"/>
                <w:highlight w:val="none"/>
              </w:rPr>
              <w:t>伤残等级</w:t>
            </w:r>
          </w:p>
        </w:tc>
        <w:tc>
          <w:tcPr>
            <w:tcW w:w="3776" w:type="dxa"/>
            <w:vAlign w:val="center"/>
          </w:tcPr>
          <w:p w14:paraId="7D3E9A7E">
            <w:pPr>
              <w:snapToGrid w:val="0"/>
              <w:jc w:val="center"/>
              <w:rPr>
                <w:rFonts w:hint="default" w:ascii="Times New Roman" w:hAnsi="Times New Roman" w:eastAsia="仿宋_GB2312" w:cs="Times New Roman"/>
                <w:b/>
                <w:bCs/>
                <w:snapToGrid w:val="0"/>
                <w:color w:val="auto"/>
                <w:kern w:val="0"/>
                <w:sz w:val="24"/>
                <w:highlight w:val="none"/>
              </w:rPr>
            </w:pPr>
            <w:r>
              <w:rPr>
                <w:rFonts w:hint="default" w:ascii="Times New Roman" w:hAnsi="Times New Roman" w:eastAsia="仿宋_GB2312" w:cs="Times New Roman"/>
                <w:b/>
                <w:bCs/>
                <w:snapToGrid w:val="0"/>
                <w:color w:val="auto"/>
                <w:kern w:val="0"/>
                <w:sz w:val="24"/>
                <w:highlight w:val="none"/>
              </w:rPr>
              <w:t>丧失劳动能力程度</w:t>
            </w:r>
          </w:p>
        </w:tc>
        <w:tc>
          <w:tcPr>
            <w:tcW w:w="3070" w:type="dxa"/>
            <w:vAlign w:val="center"/>
          </w:tcPr>
          <w:p w14:paraId="3CD8F59A">
            <w:pPr>
              <w:snapToGrid w:val="0"/>
              <w:jc w:val="center"/>
              <w:rPr>
                <w:rFonts w:hint="default" w:ascii="Times New Roman" w:hAnsi="Times New Roman" w:eastAsia="仿宋_GB2312" w:cs="Times New Roman"/>
                <w:b/>
                <w:bCs/>
                <w:snapToGrid w:val="0"/>
                <w:color w:val="auto"/>
                <w:kern w:val="0"/>
                <w:sz w:val="24"/>
                <w:highlight w:val="none"/>
              </w:rPr>
            </w:pPr>
            <w:r>
              <w:rPr>
                <w:rFonts w:hint="default" w:ascii="Times New Roman" w:hAnsi="Times New Roman" w:eastAsia="仿宋_GB2312" w:cs="Times New Roman"/>
                <w:b/>
                <w:bCs/>
                <w:snapToGrid w:val="0"/>
                <w:color w:val="auto"/>
                <w:kern w:val="0"/>
                <w:sz w:val="24"/>
                <w:highlight w:val="none"/>
              </w:rPr>
              <w:t>伤残赔偿系数</w:t>
            </w:r>
          </w:p>
        </w:tc>
      </w:tr>
      <w:tr w14:paraId="78FD8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2125" w:type="dxa"/>
            <w:vAlign w:val="center"/>
          </w:tcPr>
          <w:p w14:paraId="51FDD335">
            <w:pPr>
              <w:snapToGrid w:val="0"/>
              <w:jc w:val="center"/>
              <w:rPr>
                <w:rFonts w:hint="default" w:ascii="Times New Roman" w:hAnsi="Times New Roman" w:eastAsia="仿宋_GB2312" w:cs="Times New Roman"/>
                <w:snapToGrid w:val="0"/>
                <w:color w:val="auto"/>
                <w:kern w:val="0"/>
                <w:sz w:val="24"/>
                <w:highlight w:val="none"/>
              </w:rPr>
            </w:pPr>
            <w:r>
              <w:rPr>
                <w:rFonts w:hint="default" w:ascii="Times New Roman" w:hAnsi="Times New Roman" w:eastAsia="仿宋_GB2312" w:cs="Times New Roman"/>
                <w:snapToGrid w:val="0"/>
                <w:color w:val="auto"/>
                <w:kern w:val="0"/>
                <w:sz w:val="24"/>
                <w:highlight w:val="none"/>
              </w:rPr>
              <w:t>1级</w:t>
            </w:r>
          </w:p>
        </w:tc>
        <w:tc>
          <w:tcPr>
            <w:tcW w:w="3776" w:type="dxa"/>
            <w:vAlign w:val="center"/>
          </w:tcPr>
          <w:p w14:paraId="3A5C5545">
            <w:pPr>
              <w:snapToGrid w:val="0"/>
              <w:jc w:val="center"/>
              <w:rPr>
                <w:rFonts w:hint="default" w:ascii="Times New Roman" w:hAnsi="Times New Roman" w:eastAsia="仿宋_GB2312" w:cs="Times New Roman"/>
                <w:snapToGrid w:val="0"/>
                <w:color w:val="auto"/>
                <w:kern w:val="0"/>
                <w:sz w:val="24"/>
                <w:highlight w:val="none"/>
              </w:rPr>
            </w:pPr>
            <w:r>
              <w:rPr>
                <w:rFonts w:hint="default" w:ascii="Times New Roman" w:hAnsi="Times New Roman" w:eastAsia="仿宋_GB2312" w:cs="Times New Roman"/>
                <w:snapToGrid w:val="0"/>
                <w:color w:val="auto"/>
                <w:kern w:val="0"/>
                <w:sz w:val="24"/>
                <w:highlight w:val="none"/>
              </w:rPr>
              <w:t>100%</w:t>
            </w:r>
          </w:p>
        </w:tc>
        <w:tc>
          <w:tcPr>
            <w:tcW w:w="3070" w:type="dxa"/>
            <w:vAlign w:val="center"/>
          </w:tcPr>
          <w:p w14:paraId="7B168E00">
            <w:pPr>
              <w:snapToGrid w:val="0"/>
              <w:jc w:val="center"/>
              <w:rPr>
                <w:rFonts w:hint="default" w:ascii="Times New Roman" w:hAnsi="Times New Roman" w:eastAsia="仿宋_GB2312" w:cs="Times New Roman"/>
                <w:snapToGrid w:val="0"/>
                <w:color w:val="auto"/>
                <w:kern w:val="0"/>
                <w:sz w:val="24"/>
                <w:highlight w:val="none"/>
              </w:rPr>
            </w:pPr>
            <w:r>
              <w:rPr>
                <w:rFonts w:hint="default" w:ascii="Times New Roman" w:hAnsi="Times New Roman" w:eastAsia="仿宋_GB2312" w:cs="Times New Roman"/>
                <w:snapToGrid w:val="0"/>
                <w:color w:val="auto"/>
                <w:kern w:val="0"/>
                <w:sz w:val="24"/>
                <w:highlight w:val="none"/>
              </w:rPr>
              <w:t>1.0</w:t>
            </w:r>
          </w:p>
        </w:tc>
      </w:tr>
      <w:tr w14:paraId="46FDD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2125" w:type="dxa"/>
            <w:vAlign w:val="center"/>
          </w:tcPr>
          <w:p w14:paraId="375E56D6">
            <w:pPr>
              <w:snapToGrid w:val="0"/>
              <w:jc w:val="center"/>
              <w:rPr>
                <w:rFonts w:hint="default" w:ascii="Times New Roman" w:hAnsi="Times New Roman" w:eastAsia="仿宋_GB2312" w:cs="Times New Roman"/>
                <w:snapToGrid w:val="0"/>
                <w:color w:val="auto"/>
                <w:kern w:val="0"/>
                <w:sz w:val="24"/>
                <w:highlight w:val="none"/>
              </w:rPr>
            </w:pPr>
            <w:r>
              <w:rPr>
                <w:rFonts w:hint="default" w:ascii="Times New Roman" w:hAnsi="Times New Roman" w:eastAsia="仿宋_GB2312" w:cs="Times New Roman"/>
                <w:snapToGrid w:val="0"/>
                <w:color w:val="auto"/>
                <w:kern w:val="0"/>
                <w:sz w:val="24"/>
                <w:highlight w:val="none"/>
              </w:rPr>
              <w:t>2级</w:t>
            </w:r>
          </w:p>
        </w:tc>
        <w:tc>
          <w:tcPr>
            <w:tcW w:w="3776" w:type="dxa"/>
            <w:vAlign w:val="center"/>
          </w:tcPr>
          <w:p w14:paraId="78F5315E">
            <w:pPr>
              <w:snapToGrid w:val="0"/>
              <w:jc w:val="center"/>
              <w:rPr>
                <w:rFonts w:hint="default" w:ascii="Times New Roman" w:hAnsi="Times New Roman" w:eastAsia="仿宋_GB2312" w:cs="Times New Roman"/>
                <w:snapToGrid w:val="0"/>
                <w:color w:val="auto"/>
                <w:kern w:val="0"/>
                <w:sz w:val="24"/>
                <w:highlight w:val="none"/>
              </w:rPr>
            </w:pPr>
            <w:r>
              <w:rPr>
                <w:rFonts w:hint="default" w:ascii="Times New Roman" w:hAnsi="Times New Roman" w:eastAsia="仿宋_GB2312" w:cs="Times New Roman"/>
                <w:snapToGrid w:val="0"/>
                <w:color w:val="auto"/>
                <w:kern w:val="0"/>
                <w:sz w:val="24"/>
                <w:highlight w:val="none"/>
              </w:rPr>
              <w:t>90%</w:t>
            </w:r>
          </w:p>
        </w:tc>
        <w:tc>
          <w:tcPr>
            <w:tcW w:w="3070" w:type="dxa"/>
            <w:vAlign w:val="center"/>
          </w:tcPr>
          <w:p w14:paraId="57AFB991">
            <w:pPr>
              <w:snapToGrid w:val="0"/>
              <w:jc w:val="center"/>
              <w:rPr>
                <w:rFonts w:hint="default" w:ascii="Times New Roman" w:hAnsi="Times New Roman" w:eastAsia="仿宋_GB2312" w:cs="Times New Roman"/>
                <w:snapToGrid w:val="0"/>
                <w:color w:val="auto"/>
                <w:kern w:val="0"/>
                <w:sz w:val="24"/>
                <w:highlight w:val="none"/>
              </w:rPr>
            </w:pPr>
            <w:r>
              <w:rPr>
                <w:rFonts w:hint="default" w:ascii="Times New Roman" w:hAnsi="Times New Roman" w:eastAsia="仿宋_GB2312" w:cs="Times New Roman"/>
                <w:snapToGrid w:val="0"/>
                <w:color w:val="auto"/>
                <w:kern w:val="0"/>
                <w:sz w:val="24"/>
                <w:highlight w:val="none"/>
              </w:rPr>
              <w:t>0.9</w:t>
            </w:r>
          </w:p>
        </w:tc>
      </w:tr>
      <w:tr w14:paraId="68385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2125" w:type="dxa"/>
            <w:vAlign w:val="center"/>
          </w:tcPr>
          <w:p w14:paraId="3AFC9B09">
            <w:pPr>
              <w:snapToGrid w:val="0"/>
              <w:jc w:val="center"/>
              <w:rPr>
                <w:rFonts w:hint="default" w:ascii="Times New Roman" w:hAnsi="Times New Roman" w:eastAsia="仿宋_GB2312" w:cs="Times New Roman"/>
                <w:snapToGrid w:val="0"/>
                <w:color w:val="auto"/>
                <w:kern w:val="0"/>
                <w:sz w:val="24"/>
                <w:highlight w:val="none"/>
              </w:rPr>
            </w:pPr>
            <w:r>
              <w:rPr>
                <w:rFonts w:hint="default" w:ascii="Times New Roman" w:hAnsi="Times New Roman" w:eastAsia="仿宋_GB2312" w:cs="Times New Roman"/>
                <w:snapToGrid w:val="0"/>
                <w:color w:val="auto"/>
                <w:kern w:val="0"/>
                <w:sz w:val="24"/>
                <w:highlight w:val="none"/>
              </w:rPr>
              <w:t>3级</w:t>
            </w:r>
          </w:p>
        </w:tc>
        <w:tc>
          <w:tcPr>
            <w:tcW w:w="3776" w:type="dxa"/>
            <w:vAlign w:val="center"/>
          </w:tcPr>
          <w:p w14:paraId="574E1463">
            <w:pPr>
              <w:snapToGrid w:val="0"/>
              <w:jc w:val="center"/>
              <w:rPr>
                <w:rFonts w:hint="default" w:ascii="Times New Roman" w:hAnsi="Times New Roman" w:eastAsia="仿宋_GB2312" w:cs="Times New Roman"/>
                <w:snapToGrid w:val="0"/>
                <w:color w:val="auto"/>
                <w:kern w:val="0"/>
                <w:sz w:val="24"/>
                <w:highlight w:val="none"/>
              </w:rPr>
            </w:pPr>
            <w:r>
              <w:rPr>
                <w:rFonts w:hint="default" w:ascii="Times New Roman" w:hAnsi="Times New Roman" w:eastAsia="仿宋_GB2312" w:cs="Times New Roman"/>
                <w:snapToGrid w:val="0"/>
                <w:color w:val="auto"/>
                <w:kern w:val="0"/>
                <w:sz w:val="24"/>
                <w:highlight w:val="none"/>
              </w:rPr>
              <w:t>80%</w:t>
            </w:r>
          </w:p>
        </w:tc>
        <w:tc>
          <w:tcPr>
            <w:tcW w:w="3070" w:type="dxa"/>
            <w:vAlign w:val="center"/>
          </w:tcPr>
          <w:p w14:paraId="28363E69">
            <w:pPr>
              <w:snapToGrid w:val="0"/>
              <w:jc w:val="center"/>
              <w:rPr>
                <w:rFonts w:hint="default" w:ascii="Times New Roman" w:hAnsi="Times New Roman" w:eastAsia="仿宋_GB2312" w:cs="Times New Roman"/>
                <w:snapToGrid w:val="0"/>
                <w:color w:val="auto"/>
                <w:kern w:val="0"/>
                <w:sz w:val="24"/>
                <w:highlight w:val="none"/>
              </w:rPr>
            </w:pPr>
            <w:r>
              <w:rPr>
                <w:rFonts w:hint="default" w:ascii="Times New Roman" w:hAnsi="Times New Roman" w:eastAsia="仿宋_GB2312" w:cs="Times New Roman"/>
                <w:snapToGrid w:val="0"/>
                <w:color w:val="auto"/>
                <w:kern w:val="0"/>
                <w:sz w:val="24"/>
                <w:highlight w:val="none"/>
              </w:rPr>
              <w:t>0.8</w:t>
            </w:r>
          </w:p>
        </w:tc>
      </w:tr>
      <w:tr w14:paraId="6B17E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2125" w:type="dxa"/>
            <w:vAlign w:val="center"/>
          </w:tcPr>
          <w:p w14:paraId="6107929D">
            <w:pPr>
              <w:snapToGrid w:val="0"/>
              <w:jc w:val="center"/>
              <w:rPr>
                <w:rFonts w:hint="default" w:ascii="Times New Roman" w:hAnsi="Times New Roman" w:eastAsia="仿宋_GB2312" w:cs="Times New Roman"/>
                <w:snapToGrid w:val="0"/>
                <w:color w:val="auto"/>
                <w:kern w:val="0"/>
                <w:sz w:val="24"/>
                <w:highlight w:val="none"/>
              </w:rPr>
            </w:pPr>
            <w:r>
              <w:rPr>
                <w:rFonts w:hint="default" w:ascii="Times New Roman" w:hAnsi="Times New Roman" w:eastAsia="仿宋_GB2312" w:cs="Times New Roman"/>
                <w:snapToGrid w:val="0"/>
                <w:color w:val="auto"/>
                <w:kern w:val="0"/>
                <w:sz w:val="24"/>
                <w:highlight w:val="none"/>
              </w:rPr>
              <w:t>4级</w:t>
            </w:r>
          </w:p>
        </w:tc>
        <w:tc>
          <w:tcPr>
            <w:tcW w:w="3776" w:type="dxa"/>
            <w:vAlign w:val="center"/>
          </w:tcPr>
          <w:p w14:paraId="216057FE">
            <w:pPr>
              <w:snapToGrid w:val="0"/>
              <w:jc w:val="center"/>
              <w:rPr>
                <w:rFonts w:hint="default" w:ascii="Times New Roman" w:hAnsi="Times New Roman" w:eastAsia="仿宋_GB2312" w:cs="Times New Roman"/>
                <w:snapToGrid w:val="0"/>
                <w:color w:val="auto"/>
                <w:kern w:val="0"/>
                <w:sz w:val="24"/>
                <w:highlight w:val="none"/>
              </w:rPr>
            </w:pPr>
            <w:r>
              <w:rPr>
                <w:rFonts w:hint="default" w:ascii="Times New Roman" w:hAnsi="Times New Roman" w:eastAsia="仿宋_GB2312" w:cs="Times New Roman"/>
                <w:snapToGrid w:val="0"/>
                <w:color w:val="auto"/>
                <w:kern w:val="0"/>
                <w:sz w:val="24"/>
                <w:highlight w:val="none"/>
              </w:rPr>
              <w:t>70%</w:t>
            </w:r>
          </w:p>
        </w:tc>
        <w:tc>
          <w:tcPr>
            <w:tcW w:w="3070" w:type="dxa"/>
            <w:vAlign w:val="center"/>
          </w:tcPr>
          <w:p w14:paraId="119B92CE">
            <w:pPr>
              <w:snapToGrid w:val="0"/>
              <w:jc w:val="center"/>
              <w:rPr>
                <w:rFonts w:hint="default" w:ascii="Times New Roman" w:hAnsi="Times New Roman" w:eastAsia="仿宋_GB2312" w:cs="Times New Roman"/>
                <w:snapToGrid w:val="0"/>
                <w:color w:val="auto"/>
                <w:kern w:val="0"/>
                <w:sz w:val="24"/>
                <w:highlight w:val="none"/>
              </w:rPr>
            </w:pPr>
            <w:r>
              <w:rPr>
                <w:rFonts w:hint="default" w:ascii="Times New Roman" w:hAnsi="Times New Roman" w:eastAsia="仿宋_GB2312" w:cs="Times New Roman"/>
                <w:snapToGrid w:val="0"/>
                <w:color w:val="auto"/>
                <w:kern w:val="0"/>
                <w:sz w:val="24"/>
                <w:highlight w:val="none"/>
              </w:rPr>
              <w:t>0.7</w:t>
            </w:r>
          </w:p>
        </w:tc>
      </w:tr>
      <w:tr w14:paraId="034BE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2125" w:type="dxa"/>
            <w:vAlign w:val="center"/>
          </w:tcPr>
          <w:p w14:paraId="2E7E5FAD">
            <w:pPr>
              <w:snapToGrid w:val="0"/>
              <w:jc w:val="center"/>
              <w:rPr>
                <w:rFonts w:hint="default" w:ascii="Times New Roman" w:hAnsi="Times New Roman" w:eastAsia="仿宋_GB2312" w:cs="Times New Roman"/>
                <w:snapToGrid w:val="0"/>
                <w:color w:val="auto"/>
                <w:kern w:val="0"/>
                <w:sz w:val="24"/>
                <w:highlight w:val="none"/>
              </w:rPr>
            </w:pPr>
            <w:r>
              <w:rPr>
                <w:rFonts w:hint="default" w:ascii="Times New Roman" w:hAnsi="Times New Roman" w:eastAsia="仿宋_GB2312" w:cs="Times New Roman"/>
                <w:snapToGrid w:val="0"/>
                <w:color w:val="auto"/>
                <w:kern w:val="0"/>
                <w:sz w:val="24"/>
                <w:highlight w:val="none"/>
              </w:rPr>
              <w:t>5级</w:t>
            </w:r>
          </w:p>
        </w:tc>
        <w:tc>
          <w:tcPr>
            <w:tcW w:w="3776" w:type="dxa"/>
            <w:vAlign w:val="center"/>
          </w:tcPr>
          <w:p w14:paraId="3EA8ACB6">
            <w:pPr>
              <w:snapToGrid w:val="0"/>
              <w:jc w:val="center"/>
              <w:rPr>
                <w:rFonts w:hint="default" w:ascii="Times New Roman" w:hAnsi="Times New Roman" w:eastAsia="仿宋_GB2312" w:cs="Times New Roman"/>
                <w:snapToGrid w:val="0"/>
                <w:color w:val="auto"/>
                <w:kern w:val="0"/>
                <w:sz w:val="24"/>
                <w:highlight w:val="none"/>
              </w:rPr>
            </w:pPr>
            <w:r>
              <w:rPr>
                <w:rFonts w:hint="default" w:ascii="Times New Roman" w:hAnsi="Times New Roman" w:eastAsia="仿宋_GB2312" w:cs="Times New Roman"/>
                <w:snapToGrid w:val="0"/>
                <w:color w:val="auto"/>
                <w:kern w:val="0"/>
                <w:sz w:val="24"/>
                <w:highlight w:val="none"/>
              </w:rPr>
              <w:t>60%</w:t>
            </w:r>
          </w:p>
        </w:tc>
        <w:tc>
          <w:tcPr>
            <w:tcW w:w="3070" w:type="dxa"/>
            <w:vAlign w:val="center"/>
          </w:tcPr>
          <w:p w14:paraId="750C75D9">
            <w:pPr>
              <w:snapToGrid w:val="0"/>
              <w:jc w:val="center"/>
              <w:rPr>
                <w:rFonts w:hint="default" w:ascii="Times New Roman" w:hAnsi="Times New Roman" w:eastAsia="仿宋_GB2312" w:cs="Times New Roman"/>
                <w:snapToGrid w:val="0"/>
                <w:color w:val="auto"/>
                <w:kern w:val="0"/>
                <w:sz w:val="24"/>
                <w:highlight w:val="none"/>
              </w:rPr>
            </w:pPr>
            <w:r>
              <w:rPr>
                <w:rFonts w:hint="default" w:ascii="Times New Roman" w:hAnsi="Times New Roman" w:eastAsia="仿宋_GB2312" w:cs="Times New Roman"/>
                <w:snapToGrid w:val="0"/>
                <w:color w:val="auto"/>
                <w:kern w:val="0"/>
                <w:sz w:val="24"/>
                <w:highlight w:val="none"/>
              </w:rPr>
              <w:t>0.6</w:t>
            </w:r>
          </w:p>
        </w:tc>
      </w:tr>
      <w:tr w14:paraId="0394F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2125" w:type="dxa"/>
            <w:vAlign w:val="center"/>
          </w:tcPr>
          <w:p w14:paraId="4D14A32B">
            <w:pPr>
              <w:snapToGrid w:val="0"/>
              <w:jc w:val="center"/>
              <w:rPr>
                <w:rFonts w:hint="default" w:ascii="Times New Roman" w:hAnsi="Times New Roman" w:eastAsia="仿宋_GB2312" w:cs="Times New Roman"/>
                <w:snapToGrid w:val="0"/>
                <w:color w:val="auto"/>
                <w:kern w:val="0"/>
                <w:sz w:val="24"/>
                <w:highlight w:val="none"/>
              </w:rPr>
            </w:pPr>
            <w:r>
              <w:rPr>
                <w:rFonts w:hint="default" w:ascii="Times New Roman" w:hAnsi="Times New Roman" w:eastAsia="仿宋_GB2312" w:cs="Times New Roman"/>
                <w:snapToGrid w:val="0"/>
                <w:color w:val="auto"/>
                <w:kern w:val="0"/>
                <w:sz w:val="24"/>
                <w:highlight w:val="none"/>
              </w:rPr>
              <w:t>6级</w:t>
            </w:r>
          </w:p>
        </w:tc>
        <w:tc>
          <w:tcPr>
            <w:tcW w:w="3776" w:type="dxa"/>
            <w:vAlign w:val="center"/>
          </w:tcPr>
          <w:p w14:paraId="791F563C">
            <w:pPr>
              <w:snapToGrid w:val="0"/>
              <w:jc w:val="center"/>
              <w:rPr>
                <w:rFonts w:hint="default" w:ascii="Times New Roman" w:hAnsi="Times New Roman" w:eastAsia="仿宋_GB2312" w:cs="Times New Roman"/>
                <w:snapToGrid w:val="0"/>
                <w:color w:val="auto"/>
                <w:kern w:val="0"/>
                <w:sz w:val="24"/>
                <w:highlight w:val="none"/>
              </w:rPr>
            </w:pPr>
            <w:r>
              <w:rPr>
                <w:rFonts w:hint="default" w:ascii="Times New Roman" w:hAnsi="Times New Roman" w:eastAsia="仿宋_GB2312" w:cs="Times New Roman"/>
                <w:snapToGrid w:val="0"/>
                <w:color w:val="auto"/>
                <w:kern w:val="0"/>
                <w:sz w:val="24"/>
                <w:highlight w:val="none"/>
              </w:rPr>
              <w:t>50%</w:t>
            </w:r>
          </w:p>
        </w:tc>
        <w:tc>
          <w:tcPr>
            <w:tcW w:w="3070" w:type="dxa"/>
            <w:vAlign w:val="center"/>
          </w:tcPr>
          <w:p w14:paraId="098805CA">
            <w:pPr>
              <w:snapToGrid w:val="0"/>
              <w:jc w:val="center"/>
              <w:rPr>
                <w:rFonts w:hint="default" w:ascii="Times New Roman" w:hAnsi="Times New Roman" w:eastAsia="仿宋_GB2312" w:cs="Times New Roman"/>
                <w:snapToGrid w:val="0"/>
                <w:color w:val="auto"/>
                <w:kern w:val="0"/>
                <w:sz w:val="24"/>
                <w:highlight w:val="none"/>
              </w:rPr>
            </w:pPr>
            <w:r>
              <w:rPr>
                <w:rFonts w:hint="default" w:ascii="Times New Roman" w:hAnsi="Times New Roman" w:eastAsia="仿宋_GB2312" w:cs="Times New Roman"/>
                <w:snapToGrid w:val="0"/>
                <w:color w:val="auto"/>
                <w:kern w:val="0"/>
                <w:sz w:val="24"/>
                <w:highlight w:val="none"/>
              </w:rPr>
              <w:t>0.5</w:t>
            </w:r>
          </w:p>
        </w:tc>
      </w:tr>
      <w:tr w14:paraId="23AA3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2125" w:type="dxa"/>
            <w:vAlign w:val="center"/>
          </w:tcPr>
          <w:p w14:paraId="2F4BA076">
            <w:pPr>
              <w:snapToGrid w:val="0"/>
              <w:jc w:val="center"/>
              <w:rPr>
                <w:rFonts w:hint="default" w:ascii="Times New Roman" w:hAnsi="Times New Roman" w:eastAsia="仿宋_GB2312" w:cs="Times New Roman"/>
                <w:snapToGrid w:val="0"/>
                <w:color w:val="auto"/>
                <w:kern w:val="0"/>
                <w:sz w:val="24"/>
                <w:highlight w:val="none"/>
              </w:rPr>
            </w:pPr>
            <w:r>
              <w:rPr>
                <w:rFonts w:hint="default" w:ascii="Times New Roman" w:hAnsi="Times New Roman" w:eastAsia="仿宋_GB2312" w:cs="Times New Roman"/>
                <w:snapToGrid w:val="0"/>
                <w:color w:val="auto"/>
                <w:kern w:val="0"/>
                <w:sz w:val="24"/>
                <w:highlight w:val="none"/>
              </w:rPr>
              <w:t>7级</w:t>
            </w:r>
          </w:p>
        </w:tc>
        <w:tc>
          <w:tcPr>
            <w:tcW w:w="3776" w:type="dxa"/>
            <w:vAlign w:val="center"/>
          </w:tcPr>
          <w:p w14:paraId="7D526C92">
            <w:pPr>
              <w:snapToGrid w:val="0"/>
              <w:jc w:val="center"/>
              <w:rPr>
                <w:rFonts w:hint="default" w:ascii="Times New Roman" w:hAnsi="Times New Roman" w:eastAsia="仿宋_GB2312" w:cs="Times New Roman"/>
                <w:snapToGrid w:val="0"/>
                <w:color w:val="auto"/>
                <w:kern w:val="0"/>
                <w:sz w:val="24"/>
                <w:highlight w:val="none"/>
              </w:rPr>
            </w:pPr>
            <w:r>
              <w:rPr>
                <w:rFonts w:hint="default" w:ascii="Times New Roman" w:hAnsi="Times New Roman" w:eastAsia="仿宋_GB2312" w:cs="Times New Roman"/>
                <w:snapToGrid w:val="0"/>
                <w:color w:val="auto"/>
                <w:kern w:val="0"/>
                <w:sz w:val="24"/>
                <w:highlight w:val="none"/>
              </w:rPr>
              <w:t>40%</w:t>
            </w:r>
          </w:p>
        </w:tc>
        <w:tc>
          <w:tcPr>
            <w:tcW w:w="3070" w:type="dxa"/>
            <w:vAlign w:val="center"/>
          </w:tcPr>
          <w:p w14:paraId="30F8399B">
            <w:pPr>
              <w:snapToGrid w:val="0"/>
              <w:jc w:val="center"/>
              <w:rPr>
                <w:rFonts w:hint="default" w:ascii="Times New Roman" w:hAnsi="Times New Roman" w:eastAsia="仿宋_GB2312" w:cs="Times New Roman"/>
                <w:snapToGrid w:val="0"/>
                <w:color w:val="auto"/>
                <w:kern w:val="0"/>
                <w:sz w:val="24"/>
                <w:highlight w:val="none"/>
              </w:rPr>
            </w:pPr>
            <w:r>
              <w:rPr>
                <w:rFonts w:hint="default" w:ascii="Times New Roman" w:hAnsi="Times New Roman" w:eastAsia="仿宋_GB2312" w:cs="Times New Roman"/>
                <w:snapToGrid w:val="0"/>
                <w:color w:val="auto"/>
                <w:kern w:val="0"/>
                <w:sz w:val="24"/>
                <w:highlight w:val="none"/>
              </w:rPr>
              <w:t>0.4</w:t>
            </w:r>
          </w:p>
        </w:tc>
      </w:tr>
      <w:tr w14:paraId="504B7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2125" w:type="dxa"/>
            <w:vAlign w:val="center"/>
          </w:tcPr>
          <w:p w14:paraId="04133EAA">
            <w:pPr>
              <w:snapToGrid w:val="0"/>
              <w:jc w:val="center"/>
              <w:rPr>
                <w:rFonts w:hint="default" w:ascii="Times New Roman" w:hAnsi="Times New Roman" w:eastAsia="仿宋_GB2312" w:cs="Times New Roman"/>
                <w:snapToGrid w:val="0"/>
                <w:color w:val="auto"/>
                <w:kern w:val="0"/>
                <w:sz w:val="24"/>
                <w:highlight w:val="none"/>
              </w:rPr>
            </w:pPr>
            <w:r>
              <w:rPr>
                <w:rFonts w:hint="default" w:ascii="Times New Roman" w:hAnsi="Times New Roman" w:eastAsia="仿宋_GB2312" w:cs="Times New Roman"/>
                <w:snapToGrid w:val="0"/>
                <w:color w:val="auto"/>
                <w:kern w:val="0"/>
                <w:sz w:val="24"/>
                <w:highlight w:val="none"/>
              </w:rPr>
              <w:t>8级</w:t>
            </w:r>
          </w:p>
        </w:tc>
        <w:tc>
          <w:tcPr>
            <w:tcW w:w="3776" w:type="dxa"/>
            <w:vAlign w:val="center"/>
          </w:tcPr>
          <w:p w14:paraId="3EF085AB">
            <w:pPr>
              <w:snapToGrid w:val="0"/>
              <w:jc w:val="center"/>
              <w:rPr>
                <w:rFonts w:hint="default" w:ascii="Times New Roman" w:hAnsi="Times New Roman" w:eastAsia="仿宋_GB2312" w:cs="Times New Roman"/>
                <w:snapToGrid w:val="0"/>
                <w:color w:val="auto"/>
                <w:kern w:val="0"/>
                <w:sz w:val="24"/>
                <w:highlight w:val="none"/>
              </w:rPr>
            </w:pPr>
            <w:r>
              <w:rPr>
                <w:rFonts w:hint="default" w:ascii="Times New Roman" w:hAnsi="Times New Roman" w:eastAsia="仿宋_GB2312" w:cs="Times New Roman"/>
                <w:snapToGrid w:val="0"/>
                <w:color w:val="auto"/>
                <w:kern w:val="0"/>
                <w:sz w:val="24"/>
                <w:highlight w:val="none"/>
              </w:rPr>
              <w:t>30%</w:t>
            </w:r>
          </w:p>
        </w:tc>
        <w:tc>
          <w:tcPr>
            <w:tcW w:w="3070" w:type="dxa"/>
            <w:vAlign w:val="center"/>
          </w:tcPr>
          <w:p w14:paraId="111FF556">
            <w:pPr>
              <w:snapToGrid w:val="0"/>
              <w:jc w:val="center"/>
              <w:rPr>
                <w:rFonts w:hint="default" w:ascii="Times New Roman" w:hAnsi="Times New Roman" w:eastAsia="仿宋_GB2312" w:cs="Times New Roman"/>
                <w:snapToGrid w:val="0"/>
                <w:color w:val="auto"/>
                <w:kern w:val="0"/>
                <w:sz w:val="24"/>
                <w:highlight w:val="none"/>
              </w:rPr>
            </w:pPr>
            <w:r>
              <w:rPr>
                <w:rFonts w:hint="default" w:ascii="Times New Roman" w:hAnsi="Times New Roman" w:eastAsia="仿宋_GB2312" w:cs="Times New Roman"/>
                <w:snapToGrid w:val="0"/>
                <w:color w:val="auto"/>
                <w:kern w:val="0"/>
                <w:sz w:val="24"/>
                <w:highlight w:val="none"/>
              </w:rPr>
              <w:t>0.3</w:t>
            </w:r>
          </w:p>
        </w:tc>
      </w:tr>
      <w:tr w14:paraId="0E435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2125" w:type="dxa"/>
            <w:vAlign w:val="center"/>
          </w:tcPr>
          <w:p w14:paraId="41FA3D00">
            <w:pPr>
              <w:snapToGrid w:val="0"/>
              <w:jc w:val="center"/>
              <w:rPr>
                <w:rFonts w:hint="default" w:ascii="Times New Roman" w:hAnsi="Times New Roman" w:eastAsia="仿宋_GB2312" w:cs="Times New Roman"/>
                <w:snapToGrid w:val="0"/>
                <w:color w:val="auto"/>
                <w:kern w:val="0"/>
                <w:sz w:val="24"/>
                <w:highlight w:val="none"/>
              </w:rPr>
            </w:pPr>
            <w:r>
              <w:rPr>
                <w:rFonts w:hint="default" w:ascii="Times New Roman" w:hAnsi="Times New Roman" w:eastAsia="仿宋_GB2312" w:cs="Times New Roman"/>
                <w:snapToGrid w:val="0"/>
                <w:color w:val="auto"/>
                <w:kern w:val="0"/>
                <w:sz w:val="24"/>
                <w:highlight w:val="none"/>
              </w:rPr>
              <w:t>9级</w:t>
            </w:r>
          </w:p>
        </w:tc>
        <w:tc>
          <w:tcPr>
            <w:tcW w:w="3776" w:type="dxa"/>
            <w:vAlign w:val="center"/>
          </w:tcPr>
          <w:p w14:paraId="5C465EFC">
            <w:pPr>
              <w:snapToGrid w:val="0"/>
              <w:jc w:val="center"/>
              <w:rPr>
                <w:rFonts w:hint="default" w:ascii="Times New Roman" w:hAnsi="Times New Roman" w:eastAsia="仿宋_GB2312" w:cs="Times New Roman"/>
                <w:snapToGrid w:val="0"/>
                <w:color w:val="auto"/>
                <w:kern w:val="0"/>
                <w:sz w:val="24"/>
                <w:highlight w:val="none"/>
              </w:rPr>
            </w:pPr>
            <w:r>
              <w:rPr>
                <w:rFonts w:hint="default" w:ascii="Times New Roman" w:hAnsi="Times New Roman" w:eastAsia="仿宋_GB2312" w:cs="Times New Roman"/>
                <w:snapToGrid w:val="0"/>
                <w:color w:val="auto"/>
                <w:kern w:val="0"/>
                <w:sz w:val="24"/>
                <w:highlight w:val="none"/>
              </w:rPr>
              <w:t>20%</w:t>
            </w:r>
          </w:p>
        </w:tc>
        <w:tc>
          <w:tcPr>
            <w:tcW w:w="3070" w:type="dxa"/>
            <w:vAlign w:val="center"/>
          </w:tcPr>
          <w:p w14:paraId="26E0F687">
            <w:pPr>
              <w:snapToGrid w:val="0"/>
              <w:jc w:val="center"/>
              <w:rPr>
                <w:rFonts w:hint="default" w:ascii="Times New Roman" w:hAnsi="Times New Roman" w:eastAsia="仿宋_GB2312" w:cs="Times New Roman"/>
                <w:snapToGrid w:val="0"/>
                <w:color w:val="auto"/>
                <w:kern w:val="0"/>
                <w:sz w:val="24"/>
                <w:highlight w:val="none"/>
              </w:rPr>
            </w:pPr>
            <w:r>
              <w:rPr>
                <w:rFonts w:hint="default" w:ascii="Times New Roman" w:hAnsi="Times New Roman" w:eastAsia="仿宋_GB2312" w:cs="Times New Roman"/>
                <w:snapToGrid w:val="0"/>
                <w:color w:val="auto"/>
                <w:kern w:val="0"/>
                <w:sz w:val="24"/>
                <w:highlight w:val="none"/>
              </w:rPr>
              <w:t>0.2</w:t>
            </w:r>
          </w:p>
        </w:tc>
      </w:tr>
      <w:tr w14:paraId="77313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2125" w:type="dxa"/>
            <w:vAlign w:val="center"/>
          </w:tcPr>
          <w:p w14:paraId="5C58E9D3">
            <w:pPr>
              <w:snapToGrid w:val="0"/>
              <w:jc w:val="center"/>
              <w:rPr>
                <w:rFonts w:hint="default" w:ascii="Times New Roman" w:hAnsi="Times New Roman" w:eastAsia="仿宋_GB2312" w:cs="Times New Roman"/>
                <w:snapToGrid w:val="0"/>
                <w:color w:val="auto"/>
                <w:kern w:val="0"/>
                <w:sz w:val="24"/>
                <w:highlight w:val="none"/>
              </w:rPr>
            </w:pPr>
            <w:r>
              <w:rPr>
                <w:rFonts w:hint="default" w:ascii="Times New Roman" w:hAnsi="Times New Roman" w:eastAsia="仿宋_GB2312" w:cs="Times New Roman"/>
                <w:snapToGrid w:val="0"/>
                <w:color w:val="auto"/>
                <w:kern w:val="0"/>
                <w:sz w:val="24"/>
                <w:highlight w:val="none"/>
              </w:rPr>
              <w:t>10级</w:t>
            </w:r>
          </w:p>
        </w:tc>
        <w:tc>
          <w:tcPr>
            <w:tcW w:w="3776" w:type="dxa"/>
            <w:vAlign w:val="center"/>
          </w:tcPr>
          <w:p w14:paraId="570A6A55">
            <w:pPr>
              <w:snapToGrid w:val="0"/>
              <w:jc w:val="center"/>
              <w:rPr>
                <w:rFonts w:hint="default" w:ascii="Times New Roman" w:hAnsi="Times New Roman" w:eastAsia="仿宋_GB2312" w:cs="Times New Roman"/>
                <w:snapToGrid w:val="0"/>
                <w:color w:val="auto"/>
                <w:kern w:val="0"/>
                <w:sz w:val="24"/>
                <w:highlight w:val="none"/>
              </w:rPr>
            </w:pPr>
            <w:r>
              <w:rPr>
                <w:rFonts w:hint="default" w:ascii="Times New Roman" w:hAnsi="Times New Roman" w:eastAsia="仿宋_GB2312" w:cs="Times New Roman"/>
                <w:snapToGrid w:val="0"/>
                <w:color w:val="auto"/>
                <w:kern w:val="0"/>
                <w:sz w:val="24"/>
                <w:highlight w:val="none"/>
              </w:rPr>
              <w:t>10%</w:t>
            </w:r>
          </w:p>
        </w:tc>
        <w:tc>
          <w:tcPr>
            <w:tcW w:w="3070" w:type="dxa"/>
            <w:vAlign w:val="center"/>
          </w:tcPr>
          <w:p w14:paraId="168141A5">
            <w:pPr>
              <w:snapToGrid w:val="0"/>
              <w:jc w:val="center"/>
              <w:rPr>
                <w:rFonts w:hint="default" w:ascii="Times New Roman" w:hAnsi="Times New Roman" w:eastAsia="仿宋_GB2312" w:cs="Times New Roman"/>
                <w:snapToGrid w:val="0"/>
                <w:color w:val="auto"/>
                <w:kern w:val="0"/>
                <w:sz w:val="24"/>
                <w:highlight w:val="none"/>
              </w:rPr>
            </w:pPr>
            <w:r>
              <w:rPr>
                <w:rFonts w:hint="default" w:ascii="Times New Roman" w:hAnsi="Times New Roman" w:eastAsia="仿宋_GB2312" w:cs="Times New Roman"/>
                <w:snapToGrid w:val="0"/>
                <w:color w:val="auto"/>
                <w:kern w:val="0"/>
                <w:sz w:val="24"/>
                <w:highlight w:val="none"/>
              </w:rPr>
              <w:t>0.1</w:t>
            </w:r>
          </w:p>
        </w:tc>
      </w:tr>
    </w:tbl>
    <w:p w14:paraId="1A45E2A0">
      <w:pPr>
        <w:tabs>
          <w:tab w:val="left" w:pos="1800"/>
        </w:tabs>
        <w:snapToGrid w:val="0"/>
        <w:spacing w:before="156" w:beforeLines="50" w:after="156" w:afterLines="50"/>
        <w:ind w:firstLine="482" w:firstLineChars="200"/>
        <w:rPr>
          <w:rFonts w:hint="default" w:ascii="Times New Roman" w:hAnsi="Times New Roman" w:eastAsia="仿宋_GB2312" w:cs="Times New Roman"/>
          <w:snapToGrid w:val="0"/>
          <w:color w:val="auto"/>
          <w:kern w:val="0"/>
          <w:sz w:val="24"/>
          <w:highlight w:val="none"/>
        </w:rPr>
      </w:pPr>
      <w:r>
        <w:rPr>
          <w:rFonts w:hint="default" w:ascii="Times New Roman" w:hAnsi="Times New Roman" w:eastAsia="仿宋_GB2312" w:cs="Times New Roman"/>
          <w:b/>
          <w:bCs/>
          <w:snapToGrid w:val="0"/>
          <w:color w:val="auto"/>
          <w:kern w:val="0"/>
          <w:sz w:val="24"/>
          <w:highlight w:val="none"/>
        </w:rPr>
        <w:t>第三十条</w:t>
      </w:r>
      <w:r>
        <w:rPr>
          <w:rFonts w:hint="default" w:ascii="Times New Roman" w:hAnsi="Times New Roman" w:eastAsia="仿宋_GB2312" w:cs="Times New Roman"/>
          <w:snapToGrid w:val="0"/>
          <w:color w:val="auto"/>
          <w:kern w:val="0"/>
          <w:sz w:val="24"/>
          <w:highlight w:val="none"/>
        </w:rPr>
        <w:t>保险人将结合病历、诊断证明等材料审核诊疗费、治疗费、化验费、药费、住院费等用以治疗人身伤害的费用，</w:t>
      </w:r>
      <w:r>
        <w:rPr>
          <w:rFonts w:hint="default" w:ascii="Times New Roman" w:hAnsi="Times New Roman" w:eastAsia="仿宋_GB2312" w:cs="Times New Roman"/>
          <w:b/>
          <w:snapToGrid w:val="0"/>
          <w:color w:val="auto"/>
          <w:kern w:val="0"/>
          <w:sz w:val="24"/>
          <w:highlight w:val="none"/>
        </w:rPr>
        <w:t>对超出《国家基本医疗保险和工伤保险药品目录》的药品费用、超出事故发生地基本医疗保险诊疗项目范围和标准的任何费用，保险人不负责赔偿。</w:t>
      </w:r>
    </w:p>
    <w:p w14:paraId="66C470C6">
      <w:pPr>
        <w:snapToGrid w:val="0"/>
        <w:spacing w:after="156" w:afterLines="50"/>
        <w:ind w:firstLine="482" w:firstLineChars="200"/>
        <w:rPr>
          <w:rFonts w:hint="default" w:ascii="Times New Roman" w:hAnsi="Times New Roman" w:eastAsia="仿宋_GB2312" w:cs="Times New Roman"/>
          <w:snapToGrid w:val="0"/>
          <w:color w:val="auto"/>
          <w:kern w:val="0"/>
          <w:sz w:val="24"/>
          <w:highlight w:val="none"/>
        </w:rPr>
      </w:pPr>
      <w:r>
        <w:rPr>
          <w:rFonts w:hint="default" w:ascii="Times New Roman" w:hAnsi="Times New Roman" w:eastAsia="仿宋_GB2312" w:cs="Times New Roman"/>
          <w:b/>
          <w:bCs/>
          <w:snapToGrid w:val="0"/>
          <w:color w:val="auto"/>
          <w:kern w:val="0"/>
          <w:sz w:val="24"/>
          <w:highlight w:val="none"/>
        </w:rPr>
        <w:t>第三十一条</w:t>
      </w:r>
      <w:r>
        <w:rPr>
          <w:rFonts w:hint="default" w:ascii="Times New Roman" w:hAnsi="Times New Roman" w:eastAsia="仿宋_GB2312" w:cs="Times New Roman"/>
          <w:snapToGrid w:val="0"/>
          <w:color w:val="auto"/>
          <w:kern w:val="0"/>
          <w:sz w:val="24"/>
          <w:highlight w:val="none"/>
        </w:rPr>
        <w:t>误工费用的赔偿根据受害人误工时间和收入状况确定。</w:t>
      </w:r>
    </w:p>
    <w:p w14:paraId="6490708F">
      <w:pPr>
        <w:snapToGrid w:val="0"/>
        <w:spacing w:after="156" w:afterLines="50"/>
        <w:ind w:firstLine="480" w:firstLineChars="200"/>
        <w:rPr>
          <w:rFonts w:hint="default" w:ascii="Times New Roman" w:hAnsi="Times New Roman" w:eastAsia="仿宋_GB2312" w:cs="Times New Roman"/>
          <w:snapToGrid w:val="0"/>
          <w:color w:val="auto"/>
          <w:kern w:val="0"/>
          <w:sz w:val="24"/>
          <w:highlight w:val="none"/>
        </w:rPr>
      </w:pPr>
      <w:r>
        <w:rPr>
          <w:rFonts w:hint="default" w:ascii="Times New Roman" w:hAnsi="Times New Roman" w:eastAsia="仿宋_GB2312" w:cs="Times New Roman"/>
          <w:snapToGrid w:val="0"/>
          <w:color w:val="auto"/>
          <w:kern w:val="0"/>
          <w:sz w:val="24"/>
          <w:highlight w:val="none"/>
        </w:rPr>
        <w:t>受害人有固定收入的，按照其实际减少的收入计算，</w:t>
      </w:r>
      <w:r>
        <w:rPr>
          <w:rFonts w:hint="default" w:ascii="Times New Roman" w:hAnsi="Times New Roman" w:eastAsia="仿宋_GB2312" w:cs="Times New Roman"/>
          <w:b/>
          <w:snapToGrid w:val="0"/>
          <w:color w:val="auto"/>
          <w:kern w:val="0"/>
          <w:sz w:val="24"/>
          <w:highlight w:val="none"/>
        </w:rPr>
        <w:t>但对超过事故发生地上一年度职工平均工资三倍以上的部分，保险人不负责赔偿。</w:t>
      </w:r>
    </w:p>
    <w:p w14:paraId="674C3CED">
      <w:pPr>
        <w:snapToGrid w:val="0"/>
        <w:spacing w:after="156" w:afterLines="50"/>
        <w:ind w:firstLine="480" w:firstLineChars="200"/>
        <w:rPr>
          <w:rFonts w:hint="default" w:ascii="Times New Roman" w:hAnsi="Times New Roman" w:eastAsia="仿宋_GB2312" w:cs="Times New Roman"/>
          <w:snapToGrid w:val="0"/>
          <w:color w:val="auto"/>
          <w:kern w:val="0"/>
          <w:sz w:val="24"/>
          <w:highlight w:val="none"/>
        </w:rPr>
      </w:pPr>
      <w:r>
        <w:rPr>
          <w:rFonts w:hint="default" w:ascii="Times New Roman" w:hAnsi="Times New Roman" w:eastAsia="仿宋_GB2312" w:cs="Times New Roman"/>
          <w:snapToGrid w:val="0"/>
          <w:color w:val="auto"/>
          <w:kern w:val="0"/>
          <w:sz w:val="24"/>
          <w:highlight w:val="none"/>
        </w:rPr>
        <w:t>受害人无固定收入的，误工费用的赔付标准以不超过事故发生地上一年度职工平均工资为限。</w:t>
      </w:r>
    </w:p>
    <w:p w14:paraId="5F4C1692">
      <w:pPr>
        <w:snapToGrid w:val="0"/>
        <w:spacing w:after="156" w:afterLines="50"/>
        <w:ind w:firstLine="482" w:firstLineChars="200"/>
        <w:rPr>
          <w:rFonts w:hint="default" w:ascii="Times New Roman" w:hAnsi="Times New Roman" w:eastAsia="仿宋_GB2312" w:cs="Times New Roman"/>
          <w:snapToGrid w:val="0"/>
          <w:color w:val="auto"/>
          <w:kern w:val="0"/>
          <w:sz w:val="24"/>
          <w:highlight w:val="none"/>
        </w:rPr>
      </w:pPr>
      <w:r>
        <w:rPr>
          <w:rFonts w:hint="default" w:ascii="Times New Roman" w:hAnsi="Times New Roman" w:eastAsia="仿宋_GB2312" w:cs="Times New Roman"/>
          <w:b/>
          <w:bCs/>
          <w:snapToGrid w:val="0"/>
          <w:color w:val="auto"/>
          <w:kern w:val="0"/>
          <w:sz w:val="24"/>
          <w:highlight w:val="none"/>
        </w:rPr>
        <w:t>第三十二条</w:t>
      </w:r>
      <w:r>
        <w:rPr>
          <w:rFonts w:hint="default" w:ascii="Times New Roman" w:hAnsi="Times New Roman" w:eastAsia="仿宋_GB2312" w:cs="Times New Roman"/>
          <w:snapToGrid w:val="0"/>
          <w:color w:val="auto"/>
          <w:kern w:val="0"/>
          <w:sz w:val="24"/>
          <w:highlight w:val="none"/>
        </w:rPr>
        <w:t>护理费用的赔付标准不超过事故发生地上一年度职工平均工资的50%。</w:t>
      </w:r>
    </w:p>
    <w:p w14:paraId="712085FF">
      <w:pPr>
        <w:adjustRightInd w:val="0"/>
        <w:snapToGrid w:val="0"/>
        <w:spacing w:after="156" w:afterLines="50"/>
        <w:ind w:firstLine="482"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b/>
          <w:bCs/>
          <w:color w:val="auto"/>
          <w:sz w:val="24"/>
          <w:highlight w:val="none"/>
        </w:rPr>
        <w:t>第三十三条</w:t>
      </w:r>
      <w:r>
        <w:rPr>
          <w:rFonts w:hint="default" w:ascii="Times New Roman" w:hAnsi="Times New Roman" w:eastAsia="仿宋_GB2312" w:cs="Times New Roman"/>
          <w:color w:val="auto"/>
          <w:sz w:val="24"/>
          <w:highlight w:val="none"/>
        </w:rPr>
        <w:t>发生保险事故时，如果被保险人的损失在有相同保障的其他保险项下也能够获得赔偿，则</w:t>
      </w:r>
      <w:bookmarkStart w:id="10" w:name="OLE_LINK4"/>
      <w:bookmarkStart w:id="11" w:name="OLE_LINK3"/>
      <w:r>
        <w:rPr>
          <w:rFonts w:hint="default" w:ascii="Times New Roman" w:hAnsi="Times New Roman" w:eastAsia="仿宋_GB2312" w:cs="Times New Roman"/>
          <w:color w:val="auto"/>
          <w:sz w:val="24"/>
          <w:highlight w:val="none"/>
        </w:rPr>
        <w:t>本保险人按照本保险合同的赔偿限额与其他保险合同及本保险合同的赔偿限额总和的比例承担赔偿责任。</w:t>
      </w:r>
    </w:p>
    <w:p w14:paraId="7E1D8C61">
      <w:pPr>
        <w:adjustRightInd w:val="0"/>
        <w:snapToGrid w:val="0"/>
        <w:spacing w:after="156" w:afterLines="50"/>
        <w:ind w:firstLine="482"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b/>
          <w:color w:val="auto"/>
          <w:sz w:val="24"/>
          <w:highlight w:val="none"/>
        </w:rPr>
        <w:t>其他保险人应承担的赔偿金额，本保险人不负责垫付。</w:t>
      </w:r>
      <w:bookmarkEnd w:id="10"/>
      <w:bookmarkEnd w:id="11"/>
      <w:r>
        <w:rPr>
          <w:rFonts w:hint="default" w:ascii="Times New Roman" w:hAnsi="Times New Roman" w:eastAsia="仿宋_GB2312" w:cs="Times New Roman"/>
          <w:color w:val="auto"/>
          <w:sz w:val="24"/>
          <w:highlight w:val="none"/>
        </w:rPr>
        <w:t>若被保险人未如实告知导致保险人多支付赔偿金的，保险人有权向被保险人追回多支付的部分。</w:t>
      </w:r>
    </w:p>
    <w:bookmarkEnd w:id="9"/>
    <w:p w14:paraId="47CE24F1">
      <w:pPr>
        <w:adjustRightInd w:val="0"/>
        <w:snapToGrid w:val="0"/>
        <w:spacing w:after="156" w:afterLines="50"/>
        <w:ind w:firstLine="482"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b/>
          <w:bCs/>
          <w:color w:val="auto"/>
          <w:sz w:val="24"/>
          <w:highlight w:val="none"/>
        </w:rPr>
        <w:t>第三十四条</w:t>
      </w:r>
      <w:r>
        <w:rPr>
          <w:rFonts w:hint="default" w:ascii="Times New Roman" w:hAnsi="Times New Roman" w:eastAsia="仿宋_GB2312" w:cs="Times New Roman"/>
          <w:color w:val="auto"/>
          <w:sz w:val="24"/>
          <w:highlight w:val="none"/>
        </w:rPr>
        <w:t>发生保险责任范围内的损失，应由有关责任方负责赔偿的，保险人自向被保险人赔偿保险金之日起，在赔偿金额范围内代位行使被保险人对有关责任方请求赔偿的权利，被保险人应当向保险人提供必要的文件和所知道的有关情况。</w:t>
      </w:r>
    </w:p>
    <w:p w14:paraId="62571EA8">
      <w:pPr>
        <w:adjustRightInd w:val="0"/>
        <w:snapToGrid w:val="0"/>
        <w:spacing w:after="156" w:afterLines="50"/>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被保险人已经从有关责任方取得赔偿的，保险人赔偿保险金时，可以相应扣减被保险人已从有关责任方取得的赔偿金额。</w:t>
      </w:r>
    </w:p>
    <w:p w14:paraId="43560D53">
      <w:pPr>
        <w:adjustRightInd w:val="0"/>
        <w:snapToGrid w:val="0"/>
        <w:spacing w:after="156" w:afterLines="50"/>
        <w:ind w:firstLine="482"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b/>
          <w:color w:val="auto"/>
          <w:sz w:val="24"/>
          <w:highlight w:val="none"/>
        </w:rPr>
        <w:t>保险事故发生后，在保险人未赔偿保险金之前，被保险人放弃对有关责任方请求赔偿权利的，保险人不承担赔偿责任；</w:t>
      </w:r>
      <w:r>
        <w:rPr>
          <w:rFonts w:hint="default" w:ascii="Times New Roman" w:hAnsi="Times New Roman" w:eastAsia="仿宋_GB2312" w:cs="Times New Roman"/>
          <w:color w:val="auto"/>
          <w:sz w:val="24"/>
          <w:highlight w:val="none"/>
        </w:rPr>
        <w:t>保险人向被保险人赔偿保险金后，被保险人未经保险人同意放弃对有关责任方请求赔偿权利的，该行为无效；由于被保险人故意或者因重大过失致使保险人不能行使代位请求赔偿的权利的，保险人可以扣减或者要求返还相应的保险金。</w:t>
      </w:r>
    </w:p>
    <w:p w14:paraId="0C74EE8B">
      <w:pPr>
        <w:adjustRightInd w:val="0"/>
        <w:snapToGrid w:val="0"/>
        <w:spacing w:after="156" w:afterLines="50"/>
        <w:ind w:firstLine="482" w:firstLineChars="200"/>
        <w:rPr>
          <w:rFonts w:hint="default" w:ascii="Times New Roman" w:hAnsi="Times New Roman" w:eastAsia="仿宋_GB2312" w:cs="Times New Roman"/>
          <w:snapToGrid w:val="0"/>
          <w:color w:val="auto"/>
          <w:kern w:val="0"/>
          <w:sz w:val="24"/>
          <w:highlight w:val="none"/>
        </w:rPr>
      </w:pPr>
      <w:r>
        <w:rPr>
          <w:rFonts w:hint="default" w:ascii="Times New Roman" w:hAnsi="Times New Roman" w:eastAsia="仿宋_GB2312" w:cs="Times New Roman"/>
          <w:b/>
          <w:snapToGrid w:val="0"/>
          <w:color w:val="auto"/>
          <w:kern w:val="0"/>
          <w:sz w:val="24"/>
          <w:highlight w:val="none"/>
        </w:rPr>
        <w:t>第三十五条</w:t>
      </w:r>
      <w:r>
        <w:rPr>
          <w:rFonts w:hint="default" w:ascii="Times New Roman" w:hAnsi="Times New Roman" w:eastAsia="仿宋_GB2312" w:cs="Times New Roman"/>
          <w:snapToGrid w:val="0"/>
          <w:color w:val="auto"/>
          <w:kern w:val="0"/>
          <w:sz w:val="24"/>
          <w:highlight w:val="none"/>
        </w:rPr>
        <w:t>保险人受理报案、进行现场查勘、核损定价、参与案件诉讼、向被保险人提供建议等行为，均不构成保险人对赔偿责任的承诺。</w:t>
      </w:r>
    </w:p>
    <w:p w14:paraId="00DDF6B3">
      <w:pPr>
        <w:adjustRightInd w:val="0"/>
        <w:snapToGrid w:val="0"/>
        <w:spacing w:after="156" w:afterLines="50"/>
        <w:ind w:firstLine="482" w:firstLineChars="200"/>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color w:val="auto"/>
          <w:sz w:val="24"/>
          <w:highlight w:val="none"/>
        </w:rPr>
        <w:t>第三十六条</w:t>
      </w:r>
      <w:r>
        <w:rPr>
          <w:rStyle w:val="59"/>
          <w:rFonts w:hint="default" w:ascii="Times New Roman" w:hAnsi="Times New Roman" w:eastAsia="仿宋_GB2312" w:cs="Times New Roman"/>
          <w:color w:val="auto"/>
          <w:sz w:val="24"/>
          <w:highlight w:val="none"/>
        </w:rPr>
        <w:t>被保险人向保险人请求赔偿保险金的诉讼时效期间为二年，自其知道或者应当知道保险事故发生之日起计算。</w:t>
      </w:r>
    </w:p>
    <w:p w14:paraId="7A4A949F">
      <w:pPr>
        <w:adjustRightInd w:val="0"/>
        <w:snapToGrid w:val="0"/>
        <w:spacing w:after="156" w:afterLines="50"/>
        <w:jc w:val="center"/>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sz w:val="24"/>
          <w:highlight w:val="none"/>
        </w:rPr>
        <w:t>争议处理和法律适用</w:t>
      </w:r>
    </w:p>
    <w:p w14:paraId="7E250B36">
      <w:pPr>
        <w:adjustRightInd w:val="0"/>
        <w:snapToGrid w:val="0"/>
        <w:spacing w:after="156" w:afterLines="50"/>
        <w:ind w:firstLine="482"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b/>
          <w:bCs/>
          <w:color w:val="auto"/>
          <w:sz w:val="24"/>
          <w:highlight w:val="none"/>
        </w:rPr>
        <w:t>第三十七条</w:t>
      </w:r>
      <w:r>
        <w:rPr>
          <w:rFonts w:hint="default" w:ascii="Times New Roman" w:hAnsi="Times New Roman" w:eastAsia="仿宋_GB2312" w:cs="Times New Roman"/>
          <w:color w:val="auto"/>
          <w:sz w:val="24"/>
          <w:highlight w:val="none"/>
        </w:rPr>
        <w:t>因履行本保险合同发生的争议，由当事人协商解决。协商不成的，提交保险单载明的仲裁机构仲裁；保险单未载明仲裁机构且争议发生后未达成仲裁协议的，依法向中华人民共和国人民法院起诉。</w:t>
      </w:r>
    </w:p>
    <w:p w14:paraId="1A6E17D0">
      <w:pPr>
        <w:adjustRightInd w:val="0"/>
        <w:snapToGrid w:val="0"/>
        <w:spacing w:after="156" w:afterLines="50"/>
        <w:ind w:firstLine="482"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b/>
          <w:bCs/>
          <w:color w:val="auto"/>
          <w:sz w:val="24"/>
          <w:highlight w:val="none"/>
        </w:rPr>
        <w:t>第三十八条</w:t>
      </w:r>
      <w:r>
        <w:rPr>
          <w:rFonts w:hint="default" w:ascii="Times New Roman" w:hAnsi="Times New Roman" w:eastAsia="仿宋_GB2312" w:cs="Times New Roman"/>
          <w:color w:val="auto"/>
          <w:sz w:val="24"/>
          <w:highlight w:val="none"/>
        </w:rPr>
        <w:t>本保险合同的争议处理适用中华人民共和国法律（不包括港澳台地区法律）。</w:t>
      </w:r>
    </w:p>
    <w:p w14:paraId="79F44E52">
      <w:pPr>
        <w:adjustRightInd w:val="0"/>
        <w:snapToGrid w:val="0"/>
        <w:spacing w:after="156" w:afterLines="50"/>
        <w:jc w:val="center"/>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sz w:val="24"/>
          <w:highlight w:val="none"/>
        </w:rPr>
        <w:t>其他事项</w:t>
      </w:r>
    </w:p>
    <w:p w14:paraId="4F2ED2DC">
      <w:pPr>
        <w:ind w:firstLine="482"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b/>
          <w:color w:val="auto"/>
          <w:sz w:val="24"/>
          <w:highlight w:val="none"/>
        </w:rPr>
        <w:t>第三十九条</w:t>
      </w:r>
      <w:r>
        <w:rPr>
          <w:rFonts w:hint="default" w:ascii="Times New Roman" w:hAnsi="Times New Roman" w:eastAsia="仿宋_GB2312" w:cs="Times New Roman"/>
          <w:color w:val="auto"/>
          <w:sz w:val="24"/>
          <w:highlight w:val="none"/>
        </w:rPr>
        <w:t>投保人和保险人可以协商变更合同内容。</w:t>
      </w:r>
    </w:p>
    <w:p w14:paraId="72037411">
      <w:pPr>
        <w:adjustRightInd w:val="0"/>
        <w:snapToGrid w:val="0"/>
        <w:spacing w:after="156" w:afterLines="50"/>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变更保险合同的，应当由保险人在保险单或者其他保险凭证上批注或附贴批单，或者投保人和保险人订立变更的书面协议。</w:t>
      </w:r>
    </w:p>
    <w:p w14:paraId="70D0255A">
      <w:pPr>
        <w:adjustRightInd w:val="0"/>
        <w:snapToGrid w:val="0"/>
        <w:spacing w:after="156" w:afterLines="50"/>
        <w:ind w:firstLine="482"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b/>
          <w:color w:val="auto"/>
          <w:sz w:val="24"/>
          <w:highlight w:val="none"/>
        </w:rPr>
        <w:t>第四十条</w:t>
      </w:r>
      <w:r>
        <w:rPr>
          <w:rFonts w:hint="default" w:ascii="Times New Roman" w:hAnsi="Times New Roman" w:eastAsia="仿宋_GB2312" w:cs="Times New Roman"/>
          <w:color w:val="auto"/>
          <w:sz w:val="24"/>
          <w:highlight w:val="none"/>
        </w:rPr>
        <w:t>投保人可随时书面申请解除本保险合同，本保险合同自保险人收到投保人的书面申请之日的二十四时起终止。保险责任开始前，投保人要求解除合同的，保险人扣除3%手续费后，剩余部分的保险费退还投保人；保险责任开始后，投保人要求解除合同的，对保险责任开始之日起至合同解除之日止期间的保险费，按短期费率计收，剩余部分退还投保人。</w:t>
      </w:r>
    </w:p>
    <w:p w14:paraId="7996FE16">
      <w:pPr>
        <w:adjustRightInd w:val="0"/>
        <w:snapToGrid w:val="0"/>
        <w:spacing w:after="156" w:afterLines="50"/>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保险人亦可解除本保险合同。保险责任开始前，保险人要求解除合同的，不得向投保人收取手续费并应退还已收取的保险费；保险责任开始后，保险人可提前十五天通知投保人解除合同，对保险责任开始之日起至合同解除之日止期间的保险费，按日比例计收，剩余部分退还投保人。</w:t>
      </w:r>
    </w:p>
    <w:p w14:paraId="2954CB55">
      <w:pPr>
        <w:adjustRightInd w:val="0"/>
        <w:snapToGrid w:val="0"/>
        <w:spacing w:after="156" w:afterLines="50"/>
        <w:ind w:firstLine="482" w:firstLineChars="200"/>
        <w:rPr>
          <w:rStyle w:val="59"/>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b/>
          <w:color w:val="auto"/>
          <w:sz w:val="24"/>
          <w:highlight w:val="none"/>
        </w:rPr>
        <w:t>第四十一条</w:t>
      </w:r>
      <w:r>
        <w:rPr>
          <w:rStyle w:val="59"/>
          <w:rFonts w:hint="default" w:ascii="Times New Roman" w:hAnsi="Times New Roman" w:eastAsia="仿宋_GB2312" w:cs="Times New Roman"/>
          <w:color w:val="auto"/>
          <w:sz w:val="24"/>
          <w:highlight w:val="none"/>
        </w:rPr>
        <w:t>发生保险事故且保险人已承担赔偿责任的，自保险人赔偿之日起三十日内，投保人可以解除合同；除合同另有约定外，保险人也可以解除合同，但应当提前十五日通知投保人。</w:t>
      </w:r>
    </w:p>
    <w:p w14:paraId="4F189A75">
      <w:pPr>
        <w:adjustRightInd w:val="0"/>
        <w:snapToGrid w:val="0"/>
        <w:spacing w:after="156" w:afterLines="50"/>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保险合同依据前款规定</w:t>
      </w:r>
      <w:r>
        <w:rPr>
          <w:rStyle w:val="59"/>
          <w:rFonts w:hint="default" w:ascii="Times New Roman" w:hAnsi="Times New Roman" w:eastAsia="仿宋_GB2312" w:cs="Times New Roman"/>
          <w:color w:val="auto"/>
          <w:sz w:val="24"/>
          <w:highlight w:val="none"/>
        </w:rPr>
        <w:t>解除的，保险人应当将累计赔偿限额扣除累计已赔偿金额后剩余部分的保险费，按照合同约定扣除自保险责任开始之日起至合同解除之日止应收的部分后，退还投保人。</w:t>
      </w:r>
    </w:p>
    <w:p w14:paraId="402A8B00">
      <w:pPr>
        <w:adjustRightInd w:val="0"/>
        <w:snapToGrid w:val="0"/>
        <w:spacing w:after="156" w:afterLines="50"/>
        <w:jc w:val="center"/>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释义</w:t>
      </w:r>
    </w:p>
    <w:p w14:paraId="4BC89698">
      <w:pPr>
        <w:snapToGrid w:val="0"/>
        <w:spacing w:after="156" w:afterLines="50"/>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snapToGrid w:val="0"/>
          <w:color w:val="auto"/>
          <w:kern w:val="0"/>
          <w:sz w:val="24"/>
          <w:highlight w:val="none"/>
        </w:rPr>
        <w:t>【传染病】是指《传染病防治法》所规定的各种传染病。</w:t>
      </w:r>
    </w:p>
    <w:p w14:paraId="1FB37B78">
      <w:pPr>
        <w:adjustRightInd w:val="0"/>
        <w:snapToGrid w:val="0"/>
        <w:spacing w:after="156" w:afterLines="50"/>
        <w:jc w:val="center"/>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sz w:val="24"/>
          <w:highlight w:val="none"/>
        </w:rPr>
        <w:t>附录：</w:t>
      </w:r>
    </w:p>
    <w:p w14:paraId="1197CD9D">
      <w:pPr>
        <w:adjustRightInd w:val="0"/>
        <w:snapToGrid w:val="0"/>
        <w:spacing w:after="156" w:afterLines="50"/>
        <w:jc w:val="center"/>
        <w:rPr>
          <w:rFonts w:hint="default" w:ascii="Times New Roman" w:hAnsi="Times New Roman" w:eastAsia="仿宋_GB2312" w:cs="Times New Roman"/>
          <w:b/>
          <w:snapToGrid w:val="0"/>
          <w:color w:val="auto"/>
          <w:kern w:val="0"/>
          <w:sz w:val="24"/>
          <w:highlight w:val="none"/>
        </w:rPr>
      </w:pPr>
      <w:r>
        <w:rPr>
          <w:rFonts w:hint="default" w:ascii="Times New Roman" w:hAnsi="Times New Roman" w:eastAsia="仿宋_GB2312" w:cs="Times New Roman"/>
          <w:b/>
          <w:snapToGrid w:val="0"/>
          <w:color w:val="auto"/>
          <w:kern w:val="0"/>
          <w:sz w:val="24"/>
          <w:highlight w:val="none"/>
        </w:rPr>
        <w:t>短期费率表</w:t>
      </w:r>
    </w:p>
    <w:tbl>
      <w:tblPr>
        <w:tblStyle w:val="26"/>
        <w:tblW w:w="8768" w:type="dxa"/>
        <w:jc w:val="center"/>
        <w:tblBorders>
          <w:top w:val="single" w:color="auto" w:sz="4" w:space="0"/>
          <w:left w:val="single" w:color="auto" w:sz="4" w:space="0"/>
          <w:bottom w:val="single" w:color="000000" w:sz="4" w:space="0"/>
          <w:right w:val="single" w:color="auto" w:sz="4" w:space="0"/>
          <w:insideH w:val="single" w:color="000000" w:sz="4" w:space="0"/>
          <w:insideV w:val="single" w:color="auto" w:sz="4" w:space="0"/>
        </w:tblBorders>
        <w:tblLayout w:type="fixed"/>
        <w:tblCellMar>
          <w:top w:w="0" w:type="dxa"/>
          <w:left w:w="0" w:type="dxa"/>
          <w:bottom w:w="0" w:type="dxa"/>
          <w:right w:w="0" w:type="dxa"/>
        </w:tblCellMar>
      </w:tblPr>
      <w:tblGrid>
        <w:gridCol w:w="2368"/>
        <w:gridCol w:w="533"/>
        <w:gridCol w:w="533"/>
        <w:gridCol w:w="534"/>
        <w:gridCol w:w="533"/>
        <w:gridCol w:w="533"/>
        <w:gridCol w:w="534"/>
        <w:gridCol w:w="533"/>
        <w:gridCol w:w="533"/>
        <w:gridCol w:w="534"/>
        <w:gridCol w:w="533"/>
        <w:gridCol w:w="533"/>
        <w:gridCol w:w="534"/>
      </w:tblGrid>
      <w:tr w14:paraId="28940684">
        <w:tblPrEx>
          <w:tblBorders>
            <w:top w:val="single" w:color="auto" w:sz="4" w:space="0"/>
            <w:left w:val="single" w:color="auto" w:sz="4" w:space="0"/>
            <w:bottom w:val="single" w:color="000000" w:sz="4" w:space="0"/>
            <w:right w:val="single" w:color="auto" w:sz="4" w:space="0"/>
            <w:insideH w:val="single" w:color="000000" w:sz="4" w:space="0"/>
            <w:insideV w:val="single" w:color="auto" w:sz="4" w:space="0"/>
          </w:tblBorders>
          <w:tblCellMar>
            <w:top w:w="0" w:type="dxa"/>
            <w:left w:w="0" w:type="dxa"/>
            <w:bottom w:w="0" w:type="dxa"/>
            <w:right w:w="0" w:type="dxa"/>
          </w:tblCellMar>
        </w:tblPrEx>
        <w:trPr>
          <w:cantSplit/>
          <w:trHeight w:val="435" w:hRule="atLeast"/>
          <w:jc w:val="center"/>
        </w:trPr>
        <w:tc>
          <w:tcPr>
            <w:tcW w:w="2368" w:type="dxa"/>
            <w:tcBorders>
              <w:top w:val="single" w:color="auto" w:sz="4" w:space="0"/>
            </w:tcBorders>
            <w:vAlign w:val="center"/>
          </w:tcPr>
          <w:p w14:paraId="035E0BA1">
            <w:pPr>
              <w:snapToGrid w:val="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保险期间已经过月数（个月）</w:t>
            </w:r>
          </w:p>
        </w:tc>
        <w:tc>
          <w:tcPr>
            <w:tcW w:w="533" w:type="dxa"/>
            <w:tcBorders>
              <w:top w:val="single" w:color="auto" w:sz="4" w:space="0"/>
            </w:tcBorders>
            <w:vAlign w:val="center"/>
          </w:tcPr>
          <w:p w14:paraId="7C8114E9">
            <w:pPr>
              <w:snapToGrid w:val="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w:t>
            </w:r>
          </w:p>
        </w:tc>
        <w:tc>
          <w:tcPr>
            <w:tcW w:w="533" w:type="dxa"/>
            <w:tcBorders>
              <w:top w:val="single" w:color="auto" w:sz="4" w:space="0"/>
            </w:tcBorders>
            <w:vAlign w:val="center"/>
          </w:tcPr>
          <w:p w14:paraId="2E3AE288">
            <w:pPr>
              <w:snapToGrid w:val="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w:t>
            </w:r>
          </w:p>
        </w:tc>
        <w:tc>
          <w:tcPr>
            <w:tcW w:w="534" w:type="dxa"/>
            <w:tcBorders>
              <w:top w:val="single" w:color="auto" w:sz="4" w:space="0"/>
            </w:tcBorders>
            <w:vAlign w:val="center"/>
          </w:tcPr>
          <w:p w14:paraId="3EA5C250">
            <w:pPr>
              <w:snapToGrid w:val="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w:t>
            </w:r>
          </w:p>
        </w:tc>
        <w:tc>
          <w:tcPr>
            <w:tcW w:w="533" w:type="dxa"/>
            <w:tcBorders>
              <w:top w:val="single" w:color="auto" w:sz="4" w:space="0"/>
            </w:tcBorders>
            <w:vAlign w:val="center"/>
          </w:tcPr>
          <w:p w14:paraId="4C7D446E">
            <w:pPr>
              <w:snapToGrid w:val="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4</w:t>
            </w:r>
          </w:p>
        </w:tc>
        <w:tc>
          <w:tcPr>
            <w:tcW w:w="533" w:type="dxa"/>
            <w:tcBorders>
              <w:top w:val="single" w:color="auto" w:sz="4" w:space="0"/>
            </w:tcBorders>
            <w:vAlign w:val="center"/>
          </w:tcPr>
          <w:p w14:paraId="2887BFED">
            <w:pPr>
              <w:snapToGrid w:val="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5</w:t>
            </w:r>
          </w:p>
        </w:tc>
        <w:tc>
          <w:tcPr>
            <w:tcW w:w="534" w:type="dxa"/>
            <w:tcBorders>
              <w:top w:val="single" w:color="auto" w:sz="4" w:space="0"/>
            </w:tcBorders>
            <w:vAlign w:val="center"/>
          </w:tcPr>
          <w:p w14:paraId="1EC1D858">
            <w:pPr>
              <w:snapToGrid w:val="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6</w:t>
            </w:r>
          </w:p>
        </w:tc>
        <w:tc>
          <w:tcPr>
            <w:tcW w:w="533" w:type="dxa"/>
            <w:tcBorders>
              <w:top w:val="single" w:color="auto" w:sz="4" w:space="0"/>
            </w:tcBorders>
            <w:vAlign w:val="center"/>
          </w:tcPr>
          <w:p w14:paraId="2A8F735B">
            <w:pPr>
              <w:snapToGrid w:val="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7</w:t>
            </w:r>
          </w:p>
        </w:tc>
        <w:tc>
          <w:tcPr>
            <w:tcW w:w="533" w:type="dxa"/>
            <w:tcBorders>
              <w:top w:val="single" w:color="auto" w:sz="4" w:space="0"/>
            </w:tcBorders>
            <w:vAlign w:val="center"/>
          </w:tcPr>
          <w:p w14:paraId="05E421DD">
            <w:pPr>
              <w:snapToGrid w:val="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8</w:t>
            </w:r>
          </w:p>
        </w:tc>
        <w:tc>
          <w:tcPr>
            <w:tcW w:w="534" w:type="dxa"/>
            <w:tcBorders>
              <w:top w:val="single" w:color="auto" w:sz="4" w:space="0"/>
            </w:tcBorders>
            <w:vAlign w:val="center"/>
          </w:tcPr>
          <w:p w14:paraId="3A8734CF">
            <w:pPr>
              <w:snapToGrid w:val="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9</w:t>
            </w:r>
          </w:p>
        </w:tc>
        <w:tc>
          <w:tcPr>
            <w:tcW w:w="533" w:type="dxa"/>
            <w:tcBorders>
              <w:top w:val="single" w:color="auto" w:sz="4" w:space="0"/>
            </w:tcBorders>
            <w:vAlign w:val="center"/>
          </w:tcPr>
          <w:p w14:paraId="3507B8BA">
            <w:pPr>
              <w:snapToGrid w:val="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10</w:t>
            </w:r>
          </w:p>
        </w:tc>
        <w:tc>
          <w:tcPr>
            <w:tcW w:w="533" w:type="dxa"/>
            <w:tcBorders>
              <w:top w:val="single" w:color="auto" w:sz="4" w:space="0"/>
            </w:tcBorders>
            <w:vAlign w:val="center"/>
          </w:tcPr>
          <w:p w14:paraId="75FD6018">
            <w:pPr>
              <w:snapToGrid w:val="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11</w:t>
            </w:r>
          </w:p>
        </w:tc>
        <w:tc>
          <w:tcPr>
            <w:tcW w:w="534" w:type="dxa"/>
            <w:tcBorders>
              <w:top w:val="single" w:color="auto" w:sz="4" w:space="0"/>
            </w:tcBorders>
            <w:vAlign w:val="center"/>
          </w:tcPr>
          <w:p w14:paraId="1330C312">
            <w:pPr>
              <w:snapToGrid w:val="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12</w:t>
            </w:r>
          </w:p>
        </w:tc>
      </w:tr>
      <w:tr w14:paraId="695BBD96">
        <w:tblPrEx>
          <w:tblBorders>
            <w:top w:val="single" w:color="auto" w:sz="4" w:space="0"/>
            <w:left w:val="single" w:color="auto" w:sz="4" w:space="0"/>
            <w:bottom w:val="single" w:color="000000" w:sz="4" w:space="0"/>
            <w:right w:val="single" w:color="auto" w:sz="4" w:space="0"/>
            <w:insideH w:val="single" w:color="000000" w:sz="4" w:space="0"/>
            <w:insideV w:val="single" w:color="auto" w:sz="4" w:space="0"/>
          </w:tblBorders>
          <w:tblCellMar>
            <w:top w:w="0" w:type="dxa"/>
            <w:left w:w="0" w:type="dxa"/>
            <w:bottom w:w="0" w:type="dxa"/>
            <w:right w:w="0" w:type="dxa"/>
          </w:tblCellMar>
        </w:tblPrEx>
        <w:trPr>
          <w:cantSplit/>
          <w:trHeight w:val="435" w:hRule="atLeast"/>
          <w:jc w:val="center"/>
        </w:trPr>
        <w:tc>
          <w:tcPr>
            <w:tcW w:w="2368" w:type="dxa"/>
            <w:vAlign w:val="center"/>
          </w:tcPr>
          <w:p w14:paraId="690A98FC">
            <w:pPr>
              <w:snapToGrid w:val="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年费率的比例（％）</w:t>
            </w:r>
          </w:p>
        </w:tc>
        <w:tc>
          <w:tcPr>
            <w:tcW w:w="533" w:type="dxa"/>
            <w:vAlign w:val="center"/>
          </w:tcPr>
          <w:p w14:paraId="6F75E4F1">
            <w:pPr>
              <w:snapToGrid w:val="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10</w:t>
            </w:r>
          </w:p>
        </w:tc>
        <w:tc>
          <w:tcPr>
            <w:tcW w:w="533" w:type="dxa"/>
            <w:vAlign w:val="center"/>
          </w:tcPr>
          <w:p w14:paraId="14720644">
            <w:pPr>
              <w:snapToGrid w:val="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20</w:t>
            </w:r>
          </w:p>
        </w:tc>
        <w:tc>
          <w:tcPr>
            <w:tcW w:w="534" w:type="dxa"/>
            <w:vAlign w:val="center"/>
          </w:tcPr>
          <w:p w14:paraId="500813CC">
            <w:pPr>
              <w:snapToGrid w:val="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30</w:t>
            </w:r>
          </w:p>
        </w:tc>
        <w:tc>
          <w:tcPr>
            <w:tcW w:w="533" w:type="dxa"/>
            <w:vAlign w:val="center"/>
          </w:tcPr>
          <w:p w14:paraId="2E96F120">
            <w:pPr>
              <w:snapToGrid w:val="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40</w:t>
            </w:r>
          </w:p>
        </w:tc>
        <w:tc>
          <w:tcPr>
            <w:tcW w:w="533" w:type="dxa"/>
            <w:vAlign w:val="center"/>
          </w:tcPr>
          <w:p w14:paraId="7759CE66">
            <w:pPr>
              <w:snapToGrid w:val="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50</w:t>
            </w:r>
          </w:p>
        </w:tc>
        <w:tc>
          <w:tcPr>
            <w:tcW w:w="534" w:type="dxa"/>
            <w:vAlign w:val="center"/>
          </w:tcPr>
          <w:p w14:paraId="0CD424C3">
            <w:pPr>
              <w:snapToGrid w:val="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60</w:t>
            </w:r>
          </w:p>
        </w:tc>
        <w:tc>
          <w:tcPr>
            <w:tcW w:w="533" w:type="dxa"/>
            <w:vAlign w:val="center"/>
          </w:tcPr>
          <w:p w14:paraId="53C3D68C">
            <w:pPr>
              <w:snapToGrid w:val="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70</w:t>
            </w:r>
          </w:p>
        </w:tc>
        <w:tc>
          <w:tcPr>
            <w:tcW w:w="533" w:type="dxa"/>
            <w:vAlign w:val="center"/>
          </w:tcPr>
          <w:p w14:paraId="059B8A08">
            <w:pPr>
              <w:snapToGrid w:val="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80</w:t>
            </w:r>
          </w:p>
        </w:tc>
        <w:tc>
          <w:tcPr>
            <w:tcW w:w="534" w:type="dxa"/>
            <w:vAlign w:val="center"/>
          </w:tcPr>
          <w:p w14:paraId="2393E4D5">
            <w:pPr>
              <w:snapToGrid w:val="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85</w:t>
            </w:r>
          </w:p>
        </w:tc>
        <w:tc>
          <w:tcPr>
            <w:tcW w:w="533" w:type="dxa"/>
            <w:vAlign w:val="center"/>
          </w:tcPr>
          <w:p w14:paraId="53D98CC0">
            <w:pPr>
              <w:snapToGrid w:val="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90</w:t>
            </w:r>
          </w:p>
        </w:tc>
        <w:tc>
          <w:tcPr>
            <w:tcW w:w="533" w:type="dxa"/>
            <w:vAlign w:val="center"/>
          </w:tcPr>
          <w:p w14:paraId="2B1E37D1">
            <w:pPr>
              <w:snapToGrid w:val="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95</w:t>
            </w:r>
          </w:p>
        </w:tc>
        <w:tc>
          <w:tcPr>
            <w:tcW w:w="534" w:type="dxa"/>
            <w:vAlign w:val="center"/>
          </w:tcPr>
          <w:p w14:paraId="7E85941C">
            <w:pPr>
              <w:snapToGrid w:val="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100</w:t>
            </w:r>
          </w:p>
        </w:tc>
      </w:tr>
    </w:tbl>
    <w:p w14:paraId="0CF2D82A">
      <w:pPr>
        <w:adjustRightInd w:val="0"/>
        <w:snapToGrid w:val="0"/>
        <w:spacing w:after="156" w:afterLines="50"/>
        <w:ind w:firstLine="480" w:firstLineChars="200"/>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snapToGrid w:val="0"/>
          <w:color w:val="auto"/>
          <w:kern w:val="0"/>
          <w:sz w:val="24"/>
          <w:highlight w:val="none"/>
        </w:rPr>
        <w:t>（注：保险期间已经过月数不足一月的按一月计算）。</w:t>
      </w:r>
    </w:p>
    <w:p w14:paraId="4F093F8B">
      <w:pPr>
        <w:spacing w:line="400" w:lineRule="exact"/>
        <w:ind w:firstLine="480" w:firstLineChars="200"/>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并附加以下条款</w:t>
      </w:r>
    </w:p>
    <w:p w14:paraId="194AE39A">
      <w:pPr>
        <w:snapToGrid w:val="0"/>
        <w:spacing w:line="400" w:lineRule="exact"/>
        <w:ind w:firstLine="480" w:firstLineChars="200"/>
        <w:rPr>
          <w:rFonts w:hint="default" w:ascii="Times New Roman" w:hAnsi="Times New Roman" w:eastAsia="仿宋_GB2312" w:cs="Times New Roman"/>
          <w:color w:val="auto"/>
          <w:sz w:val="24"/>
          <w:highlight w:val="none"/>
        </w:rPr>
      </w:pPr>
      <w:bookmarkStart w:id="12" w:name="_Toc470682662"/>
      <w:bookmarkStart w:id="13" w:name="_Toc461274909"/>
      <w:bookmarkStart w:id="14" w:name="_Toc442702781"/>
      <w:r>
        <w:rPr>
          <w:rFonts w:hint="default" w:ascii="Times New Roman" w:hAnsi="Times New Roman" w:eastAsia="仿宋_GB2312" w:cs="Times New Roman"/>
          <w:color w:val="auto"/>
          <w:sz w:val="24"/>
          <w:highlight w:val="none"/>
        </w:rPr>
        <w:t>（1）恐怖活动条款</w:t>
      </w:r>
      <w:bookmarkEnd w:id="12"/>
      <w:bookmarkEnd w:id="13"/>
    </w:p>
    <w:p w14:paraId="4F54E2EB">
      <w:pPr>
        <w:snapToGrid w:val="0"/>
        <w:spacing w:line="400" w:lineRule="exact"/>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兹经合同双方同意，鉴于被保险人已缴付了附加保险费，本保险扩展承保本保险单明细表中列明的经营场所出现任何恐怖分子或组织进行恐怖活动直接造成第三者人身伤亡或财产损失时被保险人依法应负的赔偿责任。</w:t>
      </w:r>
    </w:p>
    <w:p w14:paraId="108808F6">
      <w:pPr>
        <w:snapToGrid w:val="0"/>
        <w:spacing w:line="400" w:lineRule="exact"/>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本保险单所载其他条件不变。</w:t>
      </w:r>
    </w:p>
    <w:p w14:paraId="493BB8C2">
      <w:pPr>
        <w:snapToGrid w:val="0"/>
        <w:spacing w:line="400" w:lineRule="exact"/>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附加保险费：</w:t>
      </w:r>
    </w:p>
    <w:p w14:paraId="60BB2317">
      <w:pPr>
        <w:snapToGrid w:val="0"/>
        <w:spacing w:line="400" w:lineRule="exact"/>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本附加条款与主条款内容相悖之处，以本附加条款为准；未尽之处，以主条款为准。</w:t>
      </w:r>
    </w:p>
    <w:p w14:paraId="72B0CA29">
      <w:pPr>
        <w:snapToGrid w:val="0"/>
        <w:spacing w:line="400" w:lineRule="exact"/>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（2）停车场责任条款</w:t>
      </w:r>
    </w:p>
    <w:p w14:paraId="477BC24C">
      <w:pPr>
        <w:snapToGrid w:val="0"/>
        <w:spacing w:line="400" w:lineRule="exact"/>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一、总则</w:t>
      </w:r>
    </w:p>
    <w:p w14:paraId="7F9E819F">
      <w:pPr>
        <w:snapToGrid w:val="0"/>
        <w:spacing w:line="400" w:lineRule="exact"/>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在投保主险的基础上，投保人可以投保本附加险。</w:t>
      </w:r>
    </w:p>
    <w:p w14:paraId="198EF9F5">
      <w:pPr>
        <w:snapToGrid w:val="0"/>
        <w:spacing w:line="400" w:lineRule="exact"/>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二、保险责任</w:t>
      </w:r>
    </w:p>
    <w:p w14:paraId="73F49209">
      <w:pPr>
        <w:snapToGrid w:val="0"/>
        <w:spacing w:line="400" w:lineRule="exact"/>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在本保险单明细表中列明地点范围内停车场由于意外事故造成第三者的人身伤亡或财产损失(包括车辆的失窃)依法应由被保险人承担的赔偿责任，保险人负责赔偿。</w:t>
      </w:r>
    </w:p>
    <w:p w14:paraId="02279676">
      <w:pPr>
        <w:snapToGrid w:val="0"/>
        <w:spacing w:line="400" w:lineRule="exact"/>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三、责任免除</w:t>
      </w:r>
    </w:p>
    <w:p w14:paraId="283132CE">
      <w:pPr>
        <w:snapToGrid w:val="0"/>
        <w:spacing w:line="400" w:lineRule="exact"/>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由于下列原因造成的保险事故，保险人不负赔偿责任:</w:t>
      </w:r>
    </w:p>
    <w:p w14:paraId="478EB51B">
      <w:pPr>
        <w:snapToGrid w:val="0"/>
        <w:spacing w:line="400" w:lineRule="exact"/>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(一)驾驶人员的故意行为;</w:t>
      </w:r>
    </w:p>
    <w:p w14:paraId="0818FAF9">
      <w:pPr>
        <w:snapToGrid w:val="0"/>
        <w:spacing w:line="400" w:lineRule="exact"/>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(二) 酒后开车或无有效驾驶证;</w:t>
      </w:r>
    </w:p>
    <w:p w14:paraId="4568EABB">
      <w:pPr>
        <w:snapToGrid w:val="0"/>
        <w:spacing w:line="400" w:lineRule="exact"/>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(三)受本车货物撞击;</w:t>
      </w:r>
    </w:p>
    <w:p w14:paraId="7FBB2067">
      <w:pPr>
        <w:snapToGrid w:val="0"/>
        <w:spacing w:line="400" w:lineRule="exact"/>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(四)自然磨损、朽蚀、轮胎自身爆裂或车辆本身故障;</w:t>
      </w:r>
    </w:p>
    <w:p w14:paraId="417AA1E4">
      <w:pPr>
        <w:snapToGrid w:val="0"/>
        <w:spacing w:line="400" w:lineRule="exact"/>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(五)因停车场缺乏应有保卫人员和安全防范措施。</w:t>
      </w:r>
    </w:p>
    <w:p w14:paraId="38B0CAD4">
      <w:pPr>
        <w:snapToGrid w:val="0"/>
        <w:spacing w:line="400" w:lineRule="exact"/>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四、赔偿限额及费率</w:t>
      </w:r>
    </w:p>
    <w:p w14:paraId="30CF89E7">
      <w:pPr>
        <w:snapToGrid w:val="0"/>
        <w:spacing w:line="400" w:lineRule="exact"/>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本附加条款每次事故赔偿分限额为100 万元，但本保险单项下每次事故总赔偿金额不得超过本保险单明细表中列明的每次事故赔偿限额，在本保险有效期内不得超过明细表中列明的累计赔偿限额。</w:t>
      </w:r>
    </w:p>
    <w:p w14:paraId="4F3CFB0A">
      <w:pPr>
        <w:snapToGrid w:val="0"/>
        <w:spacing w:line="400" w:lineRule="exact"/>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五、公众责任保险单所载其他条件不变。</w:t>
      </w:r>
    </w:p>
    <w:p w14:paraId="5315559E">
      <w:pPr>
        <w:snapToGrid w:val="0"/>
        <w:spacing w:line="400" w:lineRule="exact"/>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（3）电梯责任条款</w:t>
      </w:r>
    </w:p>
    <w:p w14:paraId="60054B61">
      <w:pPr>
        <w:snapToGrid w:val="0"/>
        <w:spacing w:line="400" w:lineRule="exact"/>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兹经合同双方同意，鉴于被保险人已支付附加保险费，本保险扩展承保本保险单明细表中列明地点范围内的电梯、升降机</w:t>
      </w:r>
      <w:r>
        <w:rPr>
          <w:rFonts w:hint="eastAsia" w:eastAsia="仿宋_GB2312" w:cs="Times New Roman"/>
          <w:color w:val="auto"/>
          <w:sz w:val="24"/>
          <w:highlight w:val="none"/>
          <w:lang w:eastAsia="zh-CN"/>
        </w:rPr>
        <w:t>、</w:t>
      </w:r>
      <w:r>
        <w:rPr>
          <w:rFonts w:hint="eastAsia" w:eastAsia="仿宋_GB2312" w:cs="Times New Roman"/>
          <w:color w:val="auto"/>
          <w:sz w:val="24"/>
          <w:highlight w:val="none"/>
          <w:lang w:val="en-US" w:eastAsia="zh-CN"/>
        </w:rPr>
        <w:t>自动扶梯</w:t>
      </w:r>
      <w:r>
        <w:rPr>
          <w:rFonts w:hint="default" w:ascii="Times New Roman" w:hAnsi="Times New Roman" w:eastAsia="仿宋_GB2312" w:cs="Times New Roman"/>
          <w:color w:val="auto"/>
          <w:sz w:val="24"/>
          <w:highlight w:val="none"/>
        </w:rPr>
        <w:t>在正常使用过程中发生意外事故造成第三者人身伤亡或财产损失时被保险人依法应负的赔偿责任。</w:t>
      </w:r>
    </w:p>
    <w:p w14:paraId="1A38F903">
      <w:pPr>
        <w:snapToGrid w:val="0"/>
        <w:spacing w:line="400" w:lineRule="exact"/>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被保险人应持有有关当局颁发的电梯、升降机合格证书，并保证由合格的技术人员定期对电梯、升降机进行检查和维修。</w:t>
      </w:r>
    </w:p>
    <w:p w14:paraId="138433D2">
      <w:pPr>
        <w:snapToGrid w:val="0"/>
        <w:spacing w:line="400" w:lineRule="exact"/>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本保单所载其他条件不变。</w:t>
      </w:r>
    </w:p>
    <w:p w14:paraId="1CD3664B">
      <w:pPr>
        <w:snapToGrid w:val="0"/>
        <w:spacing w:line="400" w:lineRule="exact"/>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附加保险费：</w:t>
      </w:r>
    </w:p>
    <w:p w14:paraId="0FB157C8">
      <w:pPr>
        <w:spacing w:line="400" w:lineRule="exac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本附加条款与主条款内容相悖之处，以本附加条款为准；未尽之处，以主条款为准。</w:t>
      </w:r>
    </w:p>
    <w:p w14:paraId="4C3DE6D6">
      <w:pPr>
        <w:snapToGrid w:val="0"/>
        <w:spacing w:line="400" w:lineRule="exact"/>
        <w:ind w:firstLine="480" w:firstLineChars="200"/>
        <w:rPr>
          <w:rFonts w:hint="default" w:ascii="Times New Roman" w:hAnsi="Times New Roman" w:eastAsia="仿宋_GB2312" w:cs="Times New Roman"/>
          <w:color w:val="auto"/>
          <w:sz w:val="24"/>
          <w:highlight w:val="none"/>
        </w:rPr>
      </w:pPr>
      <w:bookmarkStart w:id="15" w:name="_Toc470682680"/>
      <w:bookmarkStart w:id="16" w:name="_Toc461274931"/>
      <w:r>
        <w:rPr>
          <w:rFonts w:hint="default" w:ascii="Times New Roman" w:hAnsi="Times New Roman" w:eastAsia="仿宋_GB2312" w:cs="Times New Roman"/>
          <w:color w:val="auto"/>
          <w:sz w:val="24"/>
          <w:highlight w:val="none"/>
        </w:rPr>
        <w:t>（4）展览会责任条款</w:t>
      </w:r>
    </w:p>
    <w:p w14:paraId="4E2ACDF9">
      <w:pPr>
        <w:snapToGrid w:val="0"/>
        <w:spacing w:line="400" w:lineRule="exact"/>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兹经双方同意，鉴于投保人已支付了附加保险费，本保险扩展承保被保险人参加展览会或产品推广会活动过程中造成第三者人身伤亡、财产损失时依法应承担的经济赔偿责任。 本保单所载其他条件不变。</w:t>
      </w:r>
    </w:p>
    <w:p w14:paraId="179A18A5">
      <w:pPr>
        <w:snapToGrid w:val="0"/>
        <w:spacing w:line="400" w:lineRule="exact"/>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本附加条款与主条款内容相悖之处，以本附加条款为准；未尽之处，以主条款为准。</w:t>
      </w:r>
    </w:p>
    <w:bookmarkEnd w:id="15"/>
    <w:bookmarkEnd w:id="16"/>
    <w:p w14:paraId="08A60DF5">
      <w:pPr>
        <w:snapToGrid w:val="0"/>
        <w:spacing w:line="400" w:lineRule="exact"/>
        <w:ind w:firstLine="480" w:firstLineChars="200"/>
        <w:rPr>
          <w:rFonts w:hint="default" w:ascii="Times New Roman" w:hAnsi="Times New Roman" w:eastAsia="仿宋_GB2312" w:cs="Times New Roman"/>
          <w:color w:val="auto"/>
          <w:sz w:val="24"/>
          <w:highlight w:val="none"/>
        </w:rPr>
      </w:pPr>
      <w:bookmarkStart w:id="17" w:name="_Toc470682682"/>
      <w:bookmarkStart w:id="18" w:name="_Toc461274935"/>
      <w:r>
        <w:rPr>
          <w:rFonts w:hint="default" w:ascii="Times New Roman" w:hAnsi="Times New Roman" w:eastAsia="仿宋_GB2312" w:cs="Times New Roman"/>
          <w:color w:val="auto"/>
          <w:sz w:val="24"/>
          <w:highlight w:val="none"/>
        </w:rPr>
        <w:t xml:space="preserve">（5）雇员及合伙人条款 </w:t>
      </w:r>
    </w:p>
    <w:p w14:paraId="2FE6C084">
      <w:pPr>
        <w:snapToGrid w:val="0"/>
        <w:spacing w:line="400" w:lineRule="exact"/>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兹经双方同意，被保险人的雇员及合伙人应视为包括在“被保险人名称”之中，但他们应遵守及履行本保险的条款及条件。本保单所载其他条件不变。</w:t>
      </w:r>
    </w:p>
    <w:p w14:paraId="416C388C">
      <w:pPr>
        <w:snapToGrid w:val="0"/>
        <w:spacing w:line="400" w:lineRule="exact"/>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本附加条款与主条款内容相悖之处，以本附加条款为准；未尽之处，以主条款为准。</w:t>
      </w:r>
      <w:bookmarkEnd w:id="17"/>
      <w:bookmarkEnd w:id="18"/>
      <w:bookmarkStart w:id="19" w:name="_Toc461274937"/>
      <w:bookmarkStart w:id="20" w:name="_Toc442695452"/>
    </w:p>
    <w:p w14:paraId="59816877">
      <w:pPr>
        <w:snapToGrid w:val="0"/>
        <w:spacing w:line="400" w:lineRule="exact"/>
        <w:ind w:firstLine="480" w:firstLineChars="200"/>
        <w:rPr>
          <w:rFonts w:hint="default" w:ascii="Times New Roman" w:hAnsi="Times New Roman" w:eastAsia="仿宋_GB2312" w:cs="Times New Roman"/>
          <w:color w:val="auto"/>
          <w:sz w:val="24"/>
          <w:highlight w:val="none"/>
        </w:rPr>
      </w:pPr>
      <w:bookmarkStart w:id="21" w:name="_Toc470682684"/>
      <w:r>
        <w:rPr>
          <w:rFonts w:hint="default" w:ascii="Times New Roman" w:hAnsi="Times New Roman" w:eastAsia="仿宋_GB2312" w:cs="Times New Roman"/>
          <w:color w:val="auto"/>
          <w:sz w:val="24"/>
          <w:highlight w:val="none"/>
        </w:rPr>
        <w:t>（6）</w:t>
      </w:r>
      <w:bookmarkEnd w:id="19"/>
      <w:bookmarkEnd w:id="20"/>
      <w:bookmarkEnd w:id="21"/>
      <w:r>
        <w:rPr>
          <w:rFonts w:hint="default" w:ascii="Times New Roman" w:hAnsi="Times New Roman" w:eastAsia="仿宋_GB2312" w:cs="Times New Roman"/>
          <w:color w:val="auto"/>
          <w:sz w:val="24"/>
          <w:highlight w:val="none"/>
        </w:rPr>
        <w:t xml:space="preserve">火灾、爆炸、烟熏、水损责任条款 </w:t>
      </w:r>
    </w:p>
    <w:p w14:paraId="56D64616">
      <w:pPr>
        <w:snapToGrid w:val="0"/>
        <w:spacing w:line="400" w:lineRule="exact"/>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兹经双方同意，鉴于投保人已支付了附加保险费，本保险扩展承保本保险单明细表中列明地点范围内因水灾、爆炸、烟熏或水损造成第三者人身伤亡或财产损失时依法应由被保险人承担的经济赔偿责任，不得超过本保险期间内保险单明细表中列明的责任限额。</w:t>
      </w:r>
    </w:p>
    <w:p w14:paraId="23C977C8">
      <w:pPr>
        <w:snapToGrid w:val="0"/>
        <w:spacing w:line="400" w:lineRule="exact"/>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本保单所载其他条件不变。</w:t>
      </w:r>
    </w:p>
    <w:p w14:paraId="3E937C13">
      <w:pPr>
        <w:snapToGrid w:val="0"/>
        <w:spacing w:line="400" w:lineRule="exact"/>
        <w:ind w:firstLine="480" w:firstLineChars="200"/>
        <w:rPr>
          <w:rFonts w:hint="default" w:ascii="Times New Roman" w:hAnsi="Times New Roman" w:eastAsia="仿宋_GB2312" w:cs="Times New Roman"/>
          <w:color w:val="auto"/>
          <w:sz w:val="24"/>
          <w:highlight w:val="none"/>
          <w:u w:val="single"/>
        </w:rPr>
      </w:pPr>
      <w:r>
        <w:rPr>
          <w:rFonts w:hint="default" w:ascii="Times New Roman" w:hAnsi="Times New Roman" w:eastAsia="仿宋_GB2312" w:cs="Times New Roman"/>
          <w:color w:val="auto"/>
          <w:sz w:val="24"/>
          <w:highlight w:val="none"/>
        </w:rPr>
        <w:t>附加保险费：</w:t>
      </w:r>
    </w:p>
    <w:p w14:paraId="6F421B1F">
      <w:pPr>
        <w:snapToGrid w:val="0"/>
        <w:spacing w:line="400" w:lineRule="exact"/>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本附加条款与主条款内容相悖之处，以本附加条款为准；未尽之处，以主条款为准。</w:t>
      </w:r>
      <w:bookmarkStart w:id="22" w:name="_Toc470682686"/>
      <w:bookmarkStart w:id="23" w:name="_Toc442695455"/>
      <w:bookmarkStart w:id="24" w:name="_Toc461274941"/>
    </w:p>
    <w:p w14:paraId="09756B47">
      <w:pPr>
        <w:snapToGrid w:val="0"/>
        <w:spacing w:line="400" w:lineRule="exact"/>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（7）</w:t>
      </w:r>
      <w:bookmarkEnd w:id="22"/>
      <w:bookmarkEnd w:id="23"/>
      <w:bookmarkEnd w:id="24"/>
      <w:r>
        <w:rPr>
          <w:rFonts w:hint="default" w:ascii="Times New Roman" w:hAnsi="Times New Roman" w:eastAsia="仿宋_GB2312" w:cs="Times New Roman"/>
          <w:color w:val="auto"/>
          <w:sz w:val="24"/>
          <w:highlight w:val="none"/>
        </w:rPr>
        <w:t>消防队与水损条款</w:t>
      </w:r>
    </w:p>
    <w:p w14:paraId="66F2C60C">
      <w:pPr>
        <w:snapToGrid w:val="0"/>
        <w:spacing w:line="400" w:lineRule="exact"/>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兹经双方同意，鉴于投保人已支付了附加保险费，本保险扩展承保因本保险单明细表中列明的营业场所发生火灾时，消防部门使用水或化学剂进行灭火而造成第三者财产损失时，依法应由被保险人承担的经济赔偿责任。本保单所载其他条件不变。</w:t>
      </w:r>
    </w:p>
    <w:p w14:paraId="706D1BE0">
      <w:pPr>
        <w:snapToGrid w:val="0"/>
        <w:spacing w:line="400" w:lineRule="exact"/>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本附加条款与主条款内容相悖之处，以本附加条款为准；未尽之处，以主条款为准。</w:t>
      </w:r>
    </w:p>
    <w:p w14:paraId="0C121F1A">
      <w:pPr>
        <w:snapToGrid w:val="0"/>
        <w:spacing w:line="400" w:lineRule="exact"/>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（8）食品、饮料责任条款</w:t>
      </w:r>
    </w:p>
    <w:p w14:paraId="4FBD14FA">
      <w:pPr>
        <w:snapToGrid w:val="0"/>
        <w:spacing w:line="400" w:lineRule="exact"/>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兹经双方同意,鉴于投保人已支付了附加保险费,本保险扩展承保被保险人在本保险单明细表中列明地点范围内因其提供的食品、饮料或掺有异物的食品、饮料造成第三者人身伤亡或财产损失时应承担的经济赔偿责任。被保险人应克尽职责防止出售或提供任何不洁的或不符合相关标准的食品或饮料。</w:t>
      </w:r>
    </w:p>
    <w:p w14:paraId="23125651">
      <w:pPr>
        <w:snapToGrid w:val="0"/>
        <w:spacing w:line="400" w:lineRule="exact"/>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本条款项下承担的赔偿责任不超过以下列明的限额。</w:t>
      </w:r>
    </w:p>
    <w:p w14:paraId="2DB2F75A">
      <w:pPr>
        <w:snapToGrid w:val="0"/>
        <w:spacing w:line="400" w:lineRule="exact"/>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本保险单所载其他条件不变。</w:t>
      </w:r>
    </w:p>
    <w:p w14:paraId="664C16C6">
      <w:pPr>
        <w:snapToGrid w:val="0"/>
        <w:spacing w:line="400" w:lineRule="exac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每次事故赔偿限额：50万元；每次事故每人赔偿限额：5万元；累计事故赔偿限额：100万元；每次事故免赔额：0</w:t>
      </w:r>
    </w:p>
    <w:p w14:paraId="139FF0E8">
      <w:pPr>
        <w:snapToGrid w:val="0"/>
        <w:spacing w:line="400" w:lineRule="exact"/>
        <w:ind w:firstLine="480" w:firstLineChars="200"/>
        <w:rPr>
          <w:rFonts w:hint="default" w:ascii="Times New Roman" w:hAnsi="Times New Roman" w:eastAsia="仿宋_GB2312" w:cs="Times New Roman"/>
          <w:color w:val="auto"/>
          <w:sz w:val="24"/>
          <w:highlight w:val="none"/>
          <w:u w:val="single"/>
        </w:rPr>
      </w:pPr>
      <w:r>
        <w:rPr>
          <w:rFonts w:hint="default" w:ascii="Times New Roman" w:hAnsi="Times New Roman" w:eastAsia="仿宋_GB2312" w:cs="Times New Roman"/>
          <w:color w:val="auto"/>
          <w:sz w:val="24"/>
          <w:highlight w:val="none"/>
        </w:rPr>
        <w:t>附加保险费：</w:t>
      </w:r>
    </w:p>
    <w:p w14:paraId="53A7EFF4">
      <w:pPr>
        <w:snapToGrid w:val="0"/>
        <w:spacing w:line="400" w:lineRule="exact"/>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本附加条款与主条款内容相悖之处，以本附加条款为准；未尽之处，以主条款为准。</w:t>
      </w:r>
    </w:p>
    <w:p w14:paraId="67EBFC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b w:val="0"/>
          <w:bCs w:val="0"/>
          <w:color w:val="auto"/>
          <w:sz w:val="24"/>
          <w:szCs w:val="24"/>
          <w:highlight w:val="none"/>
          <w:lang w:eastAsia="zh-CN"/>
        </w:rPr>
        <w:t>（</w:t>
      </w:r>
      <w:r>
        <w:rPr>
          <w:rFonts w:hint="default" w:ascii="Times New Roman" w:hAnsi="Times New Roman" w:eastAsia="仿宋_GB2312" w:cs="Times New Roman"/>
          <w:b w:val="0"/>
          <w:bCs w:val="0"/>
          <w:color w:val="auto"/>
          <w:sz w:val="24"/>
          <w:szCs w:val="24"/>
          <w:highlight w:val="none"/>
          <w:lang w:val="en-US" w:eastAsia="zh-CN"/>
        </w:rPr>
        <w:t>9</w:t>
      </w:r>
      <w:r>
        <w:rPr>
          <w:rFonts w:hint="default" w:ascii="Times New Roman" w:hAnsi="Times New Roman" w:eastAsia="仿宋_GB2312" w:cs="Times New Roman"/>
          <w:b w:val="0"/>
          <w:bCs w:val="0"/>
          <w:color w:val="auto"/>
          <w:sz w:val="24"/>
          <w:szCs w:val="24"/>
          <w:highlight w:val="none"/>
          <w:lang w:eastAsia="zh-CN"/>
        </w:rPr>
        <w:t>）</w:t>
      </w:r>
      <w:r>
        <w:rPr>
          <w:rFonts w:hint="default" w:ascii="Times New Roman" w:hAnsi="Times New Roman" w:eastAsia="仿宋_GB2312" w:cs="Times New Roman"/>
          <w:b w:val="0"/>
          <w:bCs w:val="0"/>
          <w:color w:val="auto"/>
          <w:sz w:val="24"/>
          <w:szCs w:val="24"/>
          <w:highlight w:val="none"/>
        </w:rPr>
        <w:t>附加超医保范围医疗费用责任保险条款</w:t>
      </w:r>
    </w:p>
    <w:p w14:paraId="7BC896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rPr>
        <w:t>在保险期间内，发生保险责任范围内的保险事故，对受害人在二级及以上医疗机构就诊支出的，属于当地基本医疗保险及工伤保险规定的完全自费或部分自费医疗费用(不包括保健品、补品)，在被保险人依法应承担的经济赔偿责任范围内，保险人按照本附加险合同约定负责赔偿</w:t>
      </w:r>
      <w:r>
        <w:rPr>
          <w:rFonts w:hint="eastAsia" w:eastAsia="仿宋_GB2312" w:cs="Times New Roman"/>
          <w:color w:val="auto"/>
          <w:sz w:val="24"/>
          <w:szCs w:val="24"/>
          <w:highlight w:val="none"/>
          <w:lang w:eastAsia="zh-CN"/>
        </w:rPr>
        <w:t>。</w:t>
      </w:r>
    </w:p>
    <w:p w14:paraId="54F166D6">
      <w:pPr>
        <w:numPr>
          <w:ilvl w:val="0"/>
          <w:numId w:val="0"/>
        </w:numPr>
        <w:ind w:firstLine="480" w:firstLineChars="200"/>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单次赔偿限额2000</w:t>
      </w:r>
      <w:r>
        <w:rPr>
          <w:rFonts w:hint="eastAsia" w:eastAsia="仿宋_GB2312" w:cs="Times New Roman"/>
          <w:color w:val="auto"/>
          <w:sz w:val="24"/>
          <w:szCs w:val="24"/>
          <w:highlight w:val="none"/>
          <w:lang w:val="en-US" w:eastAsia="zh-CN"/>
        </w:rPr>
        <w:t>0</w:t>
      </w:r>
      <w:r>
        <w:rPr>
          <w:rFonts w:hint="default" w:ascii="Times New Roman" w:hAnsi="Times New Roman" w:eastAsia="仿宋_GB2312" w:cs="Times New Roman"/>
          <w:color w:val="auto"/>
          <w:sz w:val="24"/>
          <w:szCs w:val="24"/>
          <w:highlight w:val="none"/>
          <w:lang w:val="en-US" w:eastAsia="zh-CN"/>
        </w:rPr>
        <w:t>元，累计赔偿限额</w:t>
      </w:r>
      <w:r>
        <w:rPr>
          <w:rFonts w:hint="eastAsia" w:eastAsia="仿宋_GB2312" w:cs="Times New Roman"/>
          <w:color w:val="auto"/>
          <w:sz w:val="24"/>
          <w:szCs w:val="24"/>
          <w:highlight w:val="none"/>
          <w:lang w:val="en-US" w:eastAsia="zh-CN"/>
        </w:rPr>
        <w:t>10</w:t>
      </w:r>
      <w:r>
        <w:rPr>
          <w:rFonts w:hint="default" w:ascii="Times New Roman" w:hAnsi="Times New Roman" w:eastAsia="仿宋_GB2312" w:cs="Times New Roman"/>
          <w:color w:val="auto"/>
          <w:sz w:val="24"/>
          <w:szCs w:val="24"/>
          <w:highlight w:val="none"/>
          <w:lang w:val="en-US" w:eastAsia="zh-CN"/>
        </w:rPr>
        <w:t>0000元</w:t>
      </w:r>
      <w:r>
        <w:rPr>
          <w:rFonts w:hint="eastAsia" w:eastAsia="仿宋_GB2312" w:cs="Times New Roman"/>
          <w:color w:val="auto"/>
          <w:sz w:val="24"/>
          <w:szCs w:val="24"/>
          <w:highlight w:val="none"/>
          <w:lang w:val="en-US" w:eastAsia="zh-CN"/>
        </w:rPr>
        <w:t>。</w:t>
      </w:r>
    </w:p>
    <w:p w14:paraId="4358D0AD">
      <w:pPr>
        <w:numPr>
          <w:ilvl w:val="0"/>
          <w:numId w:val="0"/>
        </w:numPr>
        <w:rPr>
          <w:rFonts w:hint="default" w:ascii="Times New Roman" w:hAnsi="Times New Roman" w:eastAsia="仿宋_GB2312" w:cs="Times New Roman"/>
          <w:color w:val="auto"/>
          <w:sz w:val="24"/>
          <w:szCs w:val="24"/>
          <w:highlight w:val="none"/>
          <w:lang w:val="en-US" w:eastAsia="zh-CN"/>
        </w:rPr>
      </w:pPr>
    </w:p>
    <w:p w14:paraId="01DC6DD9">
      <w:pPr>
        <w:spacing w:line="400" w:lineRule="exact"/>
        <w:jc w:val="center"/>
        <w:outlineLvl w:val="0"/>
        <w:rPr>
          <w:rFonts w:hint="default" w:ascii="Times New Roman" w:hAnsi="Times New Roman" w:eastAsia="仿宋_GB2312" w:cs="Times New Roman"/>
          <w:b/>
          <w:bCs/>
          <w:color w:val="auto"/>
          <w:sz w:val="24"/>
          <w:highlight w:val="none"/>
        </w:rPr>
      </w:pPr>
    </w:p>
    <w:p w14:paraId="18A43FE0">
      <w:pPr>
        <w:spacing w:line="400" w:lineRule="exact"/>
        <w:jc w:val="center"/>
        <w:outlineLvl w:val="0"/>
        <w:rPr>
          <w:rFonts w:hint="default" w:ascii="Times New Roman" w:hAnsi="Times New Roman" w:eastAsia="仿宋_GB2312" w:cs="Times New Roman"/>
          <w:b/>
          <w:bCs/>
          <w:color w:val="auto"/>
          <w:sz w:val="24"/>
          <w:highlight w:val="none"/>
        </w:rPr>
      </w:pPr>
    </w:p>
    <w:p w14:paraId="6FE6D421">
      <w:pPr>
        <w:spacing w:line="400" w:lineRule="exact"/>
        <w:jc w:val="center"/>
        <w:outlineLvl w:val="0"/>
        <w:rPr>
          <w:rFonts w:hint="default" w:ascii="Times New Roman" w:hAnsi="Times New Roman" w:eastAsia="仿宋_GB2312" w:cs="Times New Roman"/>
          <w:b/>
          <w:bCs/>
          <w:color w:val="auto"/>
          <w:sz w:val="24"/>
          <w:highlight w:val="none"/>
        </w:rPr>
      </w:pPr>
    </w:p>
    <w:p w14:paraId="080F764B">
      <w:pPr>
        <w:spacing w:line="400" w:lineRule="exact"/>
        <w:jc w:val="center"/>
        <w:outlineLvl w:val="0"/>
        <w:rPr>
          <w:rFonts w:hint="default" w:ascii="Times New Roman" w:hAnsi="Times New Roman" w:eastAsia="仿宋_GB2312" w:cs="Times New Roman"/>
          <w:b/>
          <w:bCs/>
          <w:color w:val="auto"/>
          <w:sz w:val="24"/>
          <w:highlight w:val="none"/>
        </w:rPr>
      </w:pPr>
    </w:p>
    <w:p w14:paraId="0258610A">
      <w:pPr>
        <w:spacing w:line="400" w:lineRule="exact"/>
        <w:jc w:val="center"/>
        <w:outlineLvl w:val="0"/>
        <w:rPr>
          <w:rFonts w:hint="default" w:ascii="Times New Roman" w:hAnsi="Times New Roman" w:eastAsia="仿宋_GB2312" w:cs="Times New Roman"/>
          <w:b/>
          <w:bCs/>
          <w:color w:val="auto"/>
          <w:sz w:val="24"/>
          <w:highlight w:val="none"/>
        </w:rPr>
      </w:pPr>
    </w:p>
    <w:p w14:paraId="44A0BC76">
      <w:pPr>
        <w:spacing w:line="400" w:lineRule="exact"/>
        <w:jc w:val="center"/>
        <w:outlineLvl w:val="0"/>
        <w:rPr>
          <w:rFonts w:hint="default" w:ascii="Times New Roman" w:hAnsi="Times New Roman" w:eastAsia="仿宋_GB2312" w:cs="Times New Roman"/>
          <w:b/>
          <w:bCs/>
          <w:color w:val="auto"/>
          <w:sz w:val="24"/>
          <w:highlight w:val="none"/>
        </w:rPr>
      </w:pPr>
    </w:p>
    <w:p w14:paraId="3A1CBF4D">
      <w:pPr>
        <w:spacing w:line="400" w:lineRule="exact"/>
        <w:jc w:val="center"/>
        <w:outlineLvl w:val="0"/>
        <w:rPr>
          <w:rFonts w:hint="default" w:ascii="Times New Roman" w:hAnsi="Times New Roman" w:eastAsia="仿宋_GB2312" w:cs="Times New Roman"/>
          <w:b/>
          <w:bCs/>
          <w:color w:val="auto"/>
          <w:sz w:val="24"/>
          <w:highlight w:val="none"/>
        </w:rPr>
      </w:pPr>
    </w:p>
    <w:p w14:paraId="36FDF78A">
      <w:pPr>
        <w:spacing w:line="400" w:lineRule="exact"/>
        <w:jc w:val="center"/>
        <w:outlineLvl w:val="0"/>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sz w:val="28"/>
          <w:szCs w:val="28"/>
          <w:highlight w:val="none"/>
        </w:rPr>
        <w:t>雇主责任保险条款</w:t>
      </w:r>
    </w:p>
    <w:p w14:paraId="3970A58D">
      <w:pPr>
        <w:pageBreakBefore w:val="0"/>
        <w:kinsoku/>
        <w:wordWrap/>
        <w:overflowPunct/>
        <w:topLinePunct w:val="0"/>
        <w:autoSpaceDE/>
        <w:autoSpaceDN/>
        <w:bidi w:val="0"/>
        <w:spacing w:line="360" w:lineRule="auto"/>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总则</w:t>
      </w:r>
    </w:p>
    <w:p w14:paraId="3C44909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第一条</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本保险合同由保险条款、投保单、保险单、保险凭证</w:t>
      </w:r>
      <w:r>
        <w:rPr>
          <w:rFonts w:hint="eastAsia" w:ascii="仿宋" w:hAnsi="仿宋" w:eastAsia="仿宋" w:cs="仿宋"/>
          <w:color w:val="auto"/>
          <w:sz w:val="24"/>
          <w:szCs w:val="24"/>
          <w:highlight w:val="none"/>
          <w:lang w:val="en-US" w:eastAsia="zh-CN"/>
        </w:rPr>
        <w:t>以及</w:t>
      </w:r>
      <w:r>
        <w:rPr>
          <w:rFonts w:hint="eastAsia" w:ascii="仿宋" w:hAnsi="仿宋" w:eastAsia="仿宋" w:cs="仿宋"/>
          <w:color w:val="auto"/>
          <w:sz w:val="24"/>
          <w:szCs w:val="24"/>
          <w:highlight w:val="none"/>
        </w:rPr>
        <w:t>批单组成。凡涉及本保险合同的约定，均应采用书面形式。</w:t>
      </w:r>
    </w:p>
    <w:p w14:paraId="292A5E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本保险合同不能免除被保险人</w:t>
      </w:r>
      <w:r>
        <w:rPr>
          <w:rFonts w:hint="eastAsia" w:ascii="仿宋" w:hAnsi="仿宋" w:eastAsia="仿宋" w:cs="仿宋"/>
          <w:b w:val="0"/>
          <w:bCs w:val="0"/>
          <w:color w:val="auto"/>
          <w:sz w:val="24"/>
          <w:szCs w:val="24"/>
          <w:highlight w:val="none"/>
          <w:lang w:val="en-US" w:eastAsia="zh-CN"/>
        </w:rPr>
        <w:t>为其雇员投保工伤保险的法定义务。</w:t>
      </w:r>
    </w:p>
    <w:p w14:paraId="52BC95A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第二条</w:t>
      </w:r>
      <w:r>
        <w:rPr>
          <w:rFonts w:hint="eastAsia" w:ascii="仿宋" w:hAnsi="仿宋" w:eastAsia="仿宋" w:cs="仿宋"/>
          <w:color w:val="auto"/>
          <w:sz w:val="24"/>
          <w:szCs w:val="24"/>
          <w:highlight w:val="none"/>
          <w:lang w:val="en-US" w:eastAsia="zh-CN"/>
        </w:rPr>
        <w:t xml:space="preserve"> 投保人是指与保险人订立保险合同，并按照合同约定负有支付保险费义务的人。</w:t>
      </w:r>
    </w:p>
    <w:p w14:paraId="482E5FD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中华人民共和国境内</w:t>
      </w:r>
      <w:r>
        <w:rPr>
          <w:rFonts w:hint="eastAsia" w:ascii="仿宋" w:hAnsi="仿宋" w:eastAsia="仿宋" w:cs="仿宋"/>
          <w:color w:val="auto"/>
          <w:kern w:val="0"/>
          <w:sz w:val="24"/>
          <w:szCs w:val="24"/>
          <w:highlight w:val="none"/>
          <w:lang w:val="en-US" w:eastAsia="zh-CN"/>
        </w:rPr>
        <w:t>依法设立</w:t>
      </w:r>
      <w:r>
        <w:rPr>
          <w:rFonts w:hint="eastAsia" w:ascii="仿宋" w:hAnsi="仿宋" w:eastAsia="仿宋" w:cs="仿宋"/>
          <w:color w:val="auto"/>
          <w:kern w:val="0"/>
          <w:sz w:val="24"/>
          <w:szCs w:val="24"/>
          <w:highlight w:val="none"/>
        </w:rPr>
        <w:t>的企业、事业单位、社会团体、</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"https://baike.baidu.com/item/%E6%B0%91%E5%8A%9E%E9%9D%9E%E4%BC%81%E4%B8%9A%E5%8D%95%E4%BD%8D" \t "_blank"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kern w:val="0"/>
          <w:sz w:val="24"/>
          <w:szCs w:val="24"/>
          <w:highlight w:val="none"/>
        </w:rPr>
        <w:t>民办非企业单位</w: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、基金会、律师事务所、会计师事务所等组织和有雇工的</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"https://baike.baidu.com/item/%E4%B8%AA%E4%BD%93%E5%B7%A5%E5%95%86%E6%88%B7" \t "_blank"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kern w:val="0"/>
          <w:sz w:val="24"/>
          <w:szCs w:val="24"/>
          <w:highlight w:val="none"/>
        </w:rPr>
        <w:t>个体工商户</w: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lang w:val="en-US" w:eastAsia="zh-CN"/>
        </w:rPr>
        <w:t>等</w:t>
      </w:r>
      <w:r>
        <w:rPr>
          <w:rFonts w:hint="eastAsia" w:ascii="仿宋" w:hAnsi="仿宋" w:eastAsia="仿宋" w:cs="仿宋"/>
          <w:color w:val="auto"/>
          <w:kern w:val="0"/>
          <w:sz w:val="24"/>
          <w:szCs w:val="24"/>
          <w:highlight w:val="none"/>
        </w:rPr>
        <w:t>，均可作为本保险合同的被保险人</w:t>
      </w:r>
      <w:r>
        <w:rPr>
          <w:rFonts w:hint="eastAsia" w:ascii="仿宋" w:hAnsi="仿宋" w:eastAsia="仿宋" w:cs="仿宋"/>
          <w:color w:val="auto"/>
          <w:sz w:val="24"/>
          <w:szCs w:val="24"/>
          <w:highlight w:val="none"/>
        </w:rPr>
        <w:t>。</w:t>
      </w:r>
    </w:p>
    <w:p w14:paraId="73A4771B">
      <w:pPr>
        <w:pageBreakBefore w:val="0"/>
        <w:kinsoku/>
        <w:wordWrap/>
        <w:overflowPunct/>
        <w:topLinePunct w:val="0"/>
        <w:autoSpaceDE/>
        <w:autoSpaceDN/>
        <w:bidi w:val="0"/>
        <w:spacing w:line="360" w:lineRule="auto"/>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保险责任</w:t>
      </w:r>
    </w:p>
    <w:p w14:paraId="675A1B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第三条</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在保险期间内，被保险人的雇员</w:t>
      </w:r>
      <w:r>
        <w:rPr>
          <w:rFonts w:hint="eastAsia" w:ascii="仿宋" w:hAnsi="仿宋" w:eastAsia="仿宋" w:cs="仿宋"/>
          <w:color w:val="auto"/>
          <w:sz w:val="24"/>
          <w:szCs w:val="24"/>
          <w:highlight w:val="none"/>
          <w:lang w:val="en-US" w:eastAsia="zh-CN"/>
        </w:rPr>
        <w:t>在承保区域内</w:t>
      </w:r>
      <w:r>
        <w:rPr>
          <w:rFonts w:hint="eastAsia" w:ascii="仿宋" w:hAnsi="仿宋" w:eastAsia="仿宋" w:cs="仿宋"/>
          <w:color w:val="auto"/>
          <w:sz w:val="24"/>
          <w:szCs w:val="24"/>
          <w:highlight w:val="none"/>
        </w:rPr>
        <w:t>因从事保险单载明的业务工作而遭受意外</w:t>
      </w:r>
      <w:r>
        <w:rPr>
          <w:rFonts w:hint="eastAsia" w:ascii="仿宋" w:hAnsi="仿宋" w:eastAsia="仿宋" w:cs="仿宋"/>
          <w:color w:val="auto"/>
          <w:sz w:val="24"/>
          <w:szCs w:val="24"/>
          <w:highlight w:val="none"/>
          <w:lang w:val="en-US" w:eastAsia="zh-CN"/>
        </w:rPr>
        <w:t>事故</w:t>
      </w:r>
      <w:r>
        <w:rPr>
          <w:rFonts w:hint="eastAsia" w:ascii="仿宋" w:hAnsi="仿宋" w:eastAsia="仿宋" w:cs="仿宋"/>
          <w:color w:val="auto"/>
          <w:sz w:val="24"/>
          <w:szCs w:val="24"/>
          <w:highlight w:val="none"/>
        </w:rPr>
        <w:t>，包括但不限于下列情形，导致负伤、残疾或死亡，</w:t>
      </w:r>
      <w:r>
        <w:rPr>
          <w:rFonts w:hint="eastAsia" w:ascii="仿宋" w:hAnsi="仿宋" w:eastAsia="仿宋" w:cs="仿宋"/>
          <w:color w:val="auto"/>
          <w:sz w:val="24"/>
          <w:szCs w:val="24"/>
          <w:highlight w:val="none"/>
          <w:lang w:val="en-US" w:eastAsia="zh-CN"/>
        </w:rPr>
        <w:t>依照《工伤保险条例》</w:t>
      </w:r>
      <w:r>
        <w:rPr>
          <w:rFonts w:hint="eastAsia" w:ascii="仿宋" w:hAnsi="仿宋" w:eastAsia="仿宋" w:cs="仿宋"/>
          <w:color w:val="auto"/>
          <w:sz w:val="24"/>
          <w:szCs w:val="24"/>
          <w:highlight w:val="none"/>
        </w:rPr>
        <w:t>应由被保险人承担的经济赔偿责任，保险人按照本保险合同约定负责赔偿：</w:t>
      </w:r>
    </w:p>
    <w:p w14:paraId="664CEF7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（一）在工作时间和工作场所内，因工作原因受到事故伤害；</w:t>
      </w:r>
    </w:p>
    <w:p w14:paraId="06E1DB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（二）工作时间前后在工作场所内，从事与工作有关的预备性或者收尾性工作受到事故伤害；</w:t>
      </w:r>
    </w:p>
    <w:p w14:paraId="0E98EE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（三）在工作时间和工作场所内，因履行工作职责受到暴力等意外伤害；</w:t>
      </w:r>
    </w:p>
    <w:p w14:paraId="40CA332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（四）因工外出期间，由于工作原因受到伤害或者发生事故下落不明；</w:t>
      </w:r>
    </w:p>
    <w:p w14:paraId="71F332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（五）在上下班途中，受到非本人主要责任的交通事故或者城市轨道交通、客运轮渡、火车事故伤害；</w:t>
      </w:r>
    </w:p>
    <w:p w14:paraId="46E34FE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（六）在工作时间和工作岗位，突发疾病死亡或者在48小时之内经抢救无效死亡；</w:t>
      </w:r>
    </w:p>
    <w:p w14:paraId="345F15D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（七）在抢险救灾等维护国家利益、公共利益活动中受到伤害；</w:t>
      </w:r>
    </w:p>
    <w:p w14:paraId="5DDD8A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（八）原在军队服役，因战、因公负伤致残，已取得革命伤残军人证，到用人单位后旧伤复发；</w:t>
      </w:r>
    </w:p>
    <w:p w14:paraId="3478BC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（九）法律、行政法规规定应当认定为工伤的其他情形。</w:t>
      </w:r>
    </w:p>
    <w:p w14:paraId="1E36A64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第四条</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保险事故发生后，被保险人因保险事故而被提起仲裁或者诉讼的，对应由被保险人支付的仲裁或诉讼费用以及事先经保险人书面同意支付的其他必要的、合理的</w:t>
      </w:r>
      <w:r>
        <w:rPr>
          <w:rFonts w:hint="eastAsia" w:ascii="仿宋" w:hAnsi="仿宋" w:eastAsia="仿宋" w:cs="仿宋"/>
          <w:color w:val="auto"/>
          <w:sz w:val="24"/>
          <w:szCs w:val="24"/>
          <w:highlight w:val="none"/>
          <w:lang w:val="en-US" w:eastAsia="zh-CN"/>
        </w:rPr>
        <w:t>法律费用</w:t>
      </w:r>
      <w:r>
        <w:rPr>
          <w:rFonts w:hint="eastAsia" w:ascii="仿宋" w:hAnsi="仿宋" w:eastAsia="仿宋" w:cs="仿宋"/>
          <w:color w:val="auto"/>
          <w:sz w:val="24"/>
          <w:szCs w:val="24"/>
          <w:highlight w:val="none"/>
        </w:rPr>
        <w:t>（以下简称“法律费用”），保险人按照本保险合同约定也负责赔偿。</w:t>
      </w:r>
    </w:p>
    <w:p w14:paraId="5E1E8097">
      <w:pPr>
        <w:pageBreakBefore w:val="0"/>
        <w:kinsoku/>
        <w:wordWrap/>
        <w:overflowPunct/>
        <w:topLinePunct w:val="0"/>
        <w:autoSpaceDE/>
        <w:autoSpaceDN/>
        <w:bidi w:val="0"/>
        <w:spacing w:line="360" w:lineRule="auto"/>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责任免除</w:t>
      </w:r>
    </w:p>
    <w:p w14:paraId="694C1CB6">
      <w:pPr>
        <w:keepNext w:val="0"/>
        <w:keepLines w:val="0"/>
        <w:pageBreakBefore w:val="0"/>
        <w:widowControl w:val="0"/>
        <w:numPr>
          <w:ilvl w:val="0"/>
          <w:numId w:val="0"/>
        </w:numPr>
        <w:kinsoku/>
        <w:wordWrap/>
        <w:overflowPunct/>
        <w:topLinePunct w:val="0"/>
        <w:autoSpaceDE/>
        <w:autoSpaceDN/>
        <w:bidi w:val="0"/>
        <w:spacing w:line="360" w:lineRule="auto"/>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 xml:space="preserve">第五条 </w:t>
      </w:r>
      <w:r>
        <w:rPr>
          <w:rFonts w:hint="eastAsia" w:ascii="仿宋" w:hAnsi="仿宋" w:eastAsia="仿宋" w:cs="仿宋"/>
          <w:b/>
          <w:color w:val="auto"/>
          <w:sz w:val="24"/>
          <w:szCs w:val="24"/>
          <w:highlight w:val="none"/>
        </w:rPr>
        <w:t>下列原因造成的损失、费用和责任，保险人不负责赔偿：</w:t>
      </w:r>
    </w:p>
    <w:p w14:paraId="4DDE47D8">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bCs w:val="0"/>
          <w:color w:val="auto"/>
          <w:sz w:val="24"/>
          <w:szCs w:val="24"/>
          <w:highlight w:val="none"/>
        </w:rPr>
        <w:t>（一）</w:t>
      </w:r>
      <w:r>
        <w:rPr>
          <w:rFonts w:hint="eastAsia" w:ascii="仿宋" w:hAnsi="仿宋" w:eastAsia="仿宋" w:cs="仿宋"/>
          <w:b/>
          <w:color w:val="auto"/>
          <w:sz w:val="24"/>
          <w:szCs w:val="24"/>
          <w:highlight w:val="none"/>
        </w:rPr>
        <w:t>投保人、被保险人及其代表的故意、</w:t>
      </w:r>
      <w:r>
        <w:rPr>
          <w:rFonts w:hint="eastAsia" w:ascii="仿宋" w:hAnsi="仿宋" w:eastAsia="仿宋" w:cs="仿宋"/>
          <w:b/>
          <w:color w:val="auto"/>
          <w:sz w:val="24"/>
          <w:szCs w:val="24"/>
          <w:highlight w:val="none"/>
          <w:lang w:val="en-US" w:eastAsia="zh-CN"/>
        </w:rPr>
        <w:t>违法或</w:t>
      </w:r>
      <w:r>
        <w:rPr>
          <w:rFonts w:hint="eastAsia" w:ascii="仿宋" w:hAnsi="仿宋" w:eastAsia="仿宋" w:cs="仿宋"/>
          <w:b/>
          <w:color w:val="auto"/>
          <w:sz w:val="24"/>
          <w:szCs w:val="24"/>
          <w:highlight w:val="none"/>
        </w:rPr>
        <w:t>犯罪行为；</w:t>
      </w:r>
    </w:p>
    <w:p w14:paraId="6C31400D">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（二）战争、敌对行动、军事行为、武装冲突、罢工、骚乱、暴动、恐怖活动；</w:t>
      </w:r>
    </w:p>
    <w:p w14:paraId="33C2C300">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t>（三）核辐射、核爆炸、核污染及其他放射性污染</w:t>
      </w:r>
      <w:r>
        <w:rPr>
          <w:rFonts w:hint="eastAsia" w:ascii="仿宋" w:hAnsi="仿宋" w:eastAsia="仿宋" w:cs="仿宋"/>
          <w:b/>
          <w:color w:val="auto"/>
          <w:sz w:val="24"/>
          <w:szCs w:val="24"/>
          <w:highlight w:val="none"/>
          <w:lang w:eastAsia="zh-CN"/>
        </w:rPr>
        <w:t>；</w:t>
      </w:r>
    </w:p>
    <w:p w14:paraId="477531B2">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四</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大气污染、土地污染、水污染及其他各种污染</w:t>
      </w:r>
      <w:r>
        <w:rPr>
          <w:rFonts w:hint="eastAsia" w:ascii="仿宋" w:hAnsi="仿宋" w:eastAsia="仿宋" w:cs="仿宋"/>
          <w:b/>
          <w:color w:val="auto"/>
          <w:sz w:val="24"/>
          <w:szCs w:val="24"/>
          <w:highlight w:val="none"/>
          <w:lang w:eastAsia="zh-CN"/>
        </w:rPr>
        <w:t>；</w:t>
      </w:r>
    </w:p>
    <w:p w14:paraId="4EEA3C80">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val="en-US" w:eastAsia="zh-CN"/>
        </w:rPr>
        <w:t>五</w:t>
      </w:r>
      <w:r>
        <w:rPr>
          <w:rFonts w:hint="eastAsia" w:ascii="仿宋" w:hAnsi="仿宋" w:eastAsia="仿宋" w:cs="仿宋"/>
          <w:b/>
          <w:color w:val="auto"/>
          <w:sz w:val="24"/>
          <w:szCs w:val="24"/>
          <w:highlight w:val="none"/>
        </w:rPr>
        <w:t>）行政行为或司法行为；</w:t>
      </w:r>
    </w:p>
    <w:p w14:paraId="6628DDC3">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val="en-US" w:eastAsia="zh-CN"/>
        </w:rPr>
        <w:t>六</w:t>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val="en-US" w:eastAsia="zh-CN"/>
        </w:rPr>
        <w:t>地震及其次生灾害</w:t>
      </w:r>
      <w:r>
        <w:rPr>
          <w:rFonts w:hint="eastAsia" w:ascii="仿宋" w:hAnsi="仿宋" w:eastAsia="仿宋" w:cs="仿宋"/>
          <w:b/>
          <w:color w:val="auto"/>
          <w:sz w:val="24"/>
          <w:szCs w:val="24"/>
          <w:highlight w:val="none"/>
        </w:rPr>
        <w:t>；</w:t>
      </w:r>
    </w:p>
    <w:p w14:paraId="1393EF19">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val="en-US" w:eastAsia="zh-CN"/>
        </w:rPr>
        <w:t>七</w:t>
      </w:r>
      <w:r>
        <w:rPr>
          <w:rFonts w:hint="eastAsia" w:ascii="仿宋" w:hAnsi="仿宋" w:eastAsia="仿宋" w:cs="仿宋"/>
          <w:b/>
          <w:color w:val="auto"/>
          <w:sz w:val="24"/>
          <w:szCs w:val="24"/>
          <w:highlight w:val="none"/>
        </w:rPr>
        <w:t>）雇员犯罪、自杀</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自残、斗殴，或受酒精、毒品、药品影响；</w:t>
      </w:r>
    </w:p>
    <w:p w14:paraId="5D75D745">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val="en-US" w:eastAsia="zh-CN"/>
        </w:rPr>
        <w:t>八</w:t>
      </w:r>
      <w:r>
        <w:rPr>
          <w:rFonts w:hint="eastAsia" w:ascii="仿宋" w:hAnsi="仿宋" w:eastAsia="仿宋" w:cs="仿宋"/>
          <w:b/>
          <w:color w:val="auto"/>
          <w:sz w:val="24"/>
          <w:szCs w:val="24"/>
          <w:highlight w:val="none"/>
        </w:rPr>
        <w:t>）雇员因疾病（包括职业病</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传染病</w:t>
      </w:r>
      <w:r>
        <w:rPr>
          <w:rFonts w:hint="eastAsia" w:ascii="仿宋" w:hAnsi="仿宋" w:eastAsia="仿宋" w:cs="仿宋"/>
          <w:b/>
          <w:color w:val="auto"/>
          <w:sz w:val="24"/>
          <w:szCs w:val="24"/>
          <w:highlight w:val="none"/>
        </w:rPr>
        <w:t>）、分娩、流产以及因上述原因接受医疗救治的，但属于本条款第三条第（六）项约定的不在此限；</w:t>
      </w:r>
    </w:p>
    <w:p w14:paraId="1DAF64B2">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九</w:t>
      </w:r>
      <w:r>
        <w:rPr>
          <w:rFonts w:hint="eastAsia" w:ascii="仿宋" w:hAnsi="仿宋" w:eastAsia="仿宋" w:cs="仿宋"/>
          <w:b/>
          <w:bCs/>
          <w:color w:val="auto"/>
          <w:sz w:val="24"/>
          <w:szCs w:val="24"/>
          <w:highlight w:val="none"/>
          <w:lang w:eastAsia="zh-CN"/>
        </w:rPr>
        <w:t>）</w:t>
      </w:r>
      <w:r>
        <w:rPr>
          <w:rFonts w:hint="eastAsia" w:ascii="仿宋" w:hAnsi="仿宋" w:eastAsia="仿宋" w:cs="仿宋"/>
          <w:b/>
          <w:color w:val="auto"/>
          <w:sz w:val="24"/>
          <w:szCs w:val="24"/>
          <w:highlight w:val="none"/>
          <w:lang w:val="en-US" w:eastAsia="zh-CN"/>
        </w:rPr>
        <w:t>雇员在保险单载明的</w:t>
      </w:r>
      <w:r>
        <w:rPr>
          <w:rFonts w:hint="eastAsia" w:ascii="仿宋" w:hAnsi="仿宋" w:eastAsia="仿宋" w:cs="仿宋"/>
          <w:b/>
          <w:color w:val="auto"/>
          <w:sz w:val="24"/>
          <w:szCs w:val="24"/>
          <w:highlight w:val="none"/>
        </w:rPr>
        <w:t>承保区域外发生的</w:t>
      </w:r>
      <w:r>
        <w:rPr>
          <w:rFonts w:hint="eastAsia" w:ascii="仿宋" w:hAnsi="仿宋" w:eastAsia="仿宋" w:cs="仿宋"/>
          <w:b/>
          <w:color w:val="auto"/>
          <w:sz w:val="24"/>
          <w:szCs w:val="24"/>
          <w:highlight w:val="none"/>
          <w:lang w:val="en-US" w:eastAsia="zh-CN"/>
        </w:rPr>
        <w:t>保险事故</w:t>
      </w:r>
      <w:r>
        <w:rPr>
          <w:rFonts w:hint="eastAsia" w:ascii="仿宋" w:hAnsi="仿宋" w:eastAsia="仿宋" w:cs="仿宋"/>
          <w:b/>
          <w:color w:val="auto"/>
          <w:sz w:val="24"/>
          <w:szCs w:val="24"/>
          <w:highlight w:val="none"/>
        </w:rPr>
        <w:t>，但属于</w:t>
      </w:r>
      <w:r>
        <w:rPr>
          <w:rFonts w:hint="eastAsia" w:ascii="仿宋" w:hAnsi="仿宋" w:eastAsia="仿宋" w:cs="仿宋"/>
          <w:b/>
          <w:color w:val="auto"/>
          <w:sz w:val="24"/>
          <w:szCs w:val="24"/>
          <w:highlight w:val="none"/>
          <w:lang w:val="en-US" w:eastAsia="zh-CN"/>
        </w:rPr>
        <w:t>本条款</w:t>
      </w:r>
      <w:r>
        <w:rPr>
          <w:rFonts w:hint="eastAsia" w:ascii="仿宋" w:hAnsi="仿宋" w:eastAsia="仿宋" w:cs="仿宋"/>
          <w:b/>
          <w:color w:val="auto"/>
          <w:sz w:val="24"/>
          <w:szCs w:val="24"/>
          <w:highlight w:val="none"/>
        </w:rPr>
        <w:t>第三条第（</w:t>
      </w:r>
      <w:r>
        <w:rPr>
          <w:rFonts w:hint="eastAsia" w:ascii="仿宋" w:hAnsi="仿宋" w:eastAsia="仿宋" w:cs="仿宋"/>
          <w:b/>
          <w:color w:val="auto"/>
          <w:sz w:val="24"/>
          <w:szCs w:val="24"/>
          <w:highlight w:val="none"/>
          <w:lang w:val="en-US" w:eastAsia="zh-CN"/>
        </w:rPr>
        <w:t>四</w:t>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val="en-US" w:eastAsia="zh-CN"/>
        </w:rPr>
        <w:t>项</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第</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五</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项约定</w:t>
      </w:r>
      <w:r>
        <w:rPr>
          <w:rFonts w:hint="eastAsia" w:ascii="仿宋" w:hAnsi="仿宋" w:eastAsia="仿宋" w:cs="仿宋"/>
          <w:b/>
          <w:color w:val="auto"/>
          <w:sz w:val="24"/>
          <w:szCs w:val="24"/>
          <w:highlight w:val="none"/>
        </w:rPr>
        <w:t>的不在此限</w:t>
      </w:r>
      <w:r>
        <w:rPr>
          <w:rFonts w:hint="eastAsia" w:ascii="仿宋" w:hAnsi="仿宋" w:eastAsia="仿宋" w:cs="仿宋"/>
          <w:b/>
          <w:bCs/>
          <w:color w:val="auto"/>
          <w:sz w:val="24"/>
          <w:szCs w:val="24"/>
          <w:highlight w:val="none"/>
          <w:lang w:val="en-US" w:eastAsia="zh-CN"/>
        </w:rPr>
        <w:t>；</w:t>
      </w:r>
    </w:p>
    <w:p w14:paraId="28D190D7">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仿宋" w:hAnsi="仿宋" w:eastAsia="仿宋" w:cs="仿宋"/>
          <w:b/>
          <w:snapToGrid/>
          <w:color w:val="auto"/>
          <w:sz w:val="24"/>
          <w:szCs w:val="24"/>
          <w:highlight w:val="none"/>
        </w:rPr>
      </w:pP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十</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雇员无有效驾驶证驾驶机动车辆或</w:t>
      </w:r>
      <w:r>
        <w:rPr>
          <w:rFonts w:hint="eastAsia" w:ascii="仿宋" w:hAnsi="仿宋" w:eastAsia="仿宋" w:cs="仿宋"/>
          <w:b/>
          <w:snapToGrid w:val="0"/>
          <w:color w:val="auto"/>
          <w:sz w:val="24"/>
          <w:szCs w:val="24"/>
          <w:highlight w:val="none"/>
        </w:rPr>
        <w:t>无有效资格证书而使用各种专用机械、特种设备、特种车辆或类似设备装置</w:t>
      </w:r>
      <w:r>
        <w:rPr>
          <w:rFonts w:hint="eastAsia" w:ascii="仿宋" w:hAnsi="仿宋" w:eastAsia="仿宋" w:cs="仿宋"/>
          <w:b/>
          <w:snapToGrid w:val="0"/>
          <w:color w:val="auto"/>
          <w:sz w:val="24"/>
          <w:szCs w:val="24"/>
          <w:highlight w:val="none"/>
          <w:lang w:eastAsia="zh-CN"/>
        </w:rPr>
        <w:t>；</w:t>
      </w:r>
    </w:p>
    <w:p w14:paraId="3E16501C">
      <w:pPr>
        <w:keepNext w:val="0"/>
        <w:keepLines w:val="0"/>
        <w:pageBreakBefore w:val="0"/>
        <w:widowControl w:val="0"/>
        <w:numPr>
          <w:ilvl w:val="0"/>
          <w:numId w:val="0"/>
        </w:numPr>
        <w:kinsoku/>
        <w:wordWrap/>
        <w:overflowPunct/>
        <w:topLinePunct w:val="0"/>
        <w:autoSpaceDE/>
        <w:autoSpaceDN/>
        <w:bidi w:val="0"/>
        <w:spacing w:line="360" w:lineRule="auto"/>
        <w:ind w:firstLine="482" w:firstLineChars="200"/>
        <w:textAlignment w:val="auto"/>
        <w:rPr>
          <w:rFonts w:hint="eastAsia" w:ascii="仿宋" w:hAnsi="仿宋" w:eastAsia="仿宋" w:cs="仿宋"/>
          <w:b/>
          <w:snapToGrid/>
          <w:color w:val="auto"/>
          <w:sz w:val="24"/>
          <w:szCs w:val="24"/>
          <w:highlight w:val="none"/>
          <w:lang w:val="en-US" w:eastAsia="zh-CN"/>
        </w:rPr>
      </w:pPr>
      <w:r>
        <w:rPr>
          <w:rFonts w:hint="eastAsia" w:ascii="仿宋" w:hAnsi="仿宋" w:eastAsia="仿宋" w:cs="仿宋"/>
          <w:b/>
          <w:snapToGrid/>
          <w:color w:val="auto"/>
          <w:sz w:val="24"/>
          <w:szCs w:val="24"/>
          <w:highlight w:val="none"/>
          <w:lang w:val="en-US" w:eastAsia="zh-CN"/>
        </w:rPr>
        <w:t>（十一）雇员从事高处作业未采取必要的安全防护措施；</w:t>
      </w:r>
    </w:p>
    <w:p w14:paraId="5AB54BC5">
      <w:pPr>
        <w:keepNext w:val="0"/>
        <w:keepLines w:val="0"/>
        <w:pageBreakBefore w:val="0"/>
        <w:widowControl w:val="0"/>
        <w:numPr>
          <w:ilvl w:val="0"/>
          <w:numId w:val="0"/>
        </w:numPr>
        <w:kinsoku/>
        <w:wordWrap/>
        <w:overflowPunct/>
        <w:topLinePunct w:val="0"/>
        <w:autoSpaceDE/>
        <w:autoSpaceDN/>
        <w:bidi w:val="0"/>
        <w:spacing w:line="360" w:lineRule="auto"/>
        <w:ind w:firstLine="482" w:firstLineChars="200"/>
        <w:textAlignment w:val="auto"/>
        <w:rPr>
          <w:rFonts w:hint="eastAsia" w:ascii="仿宋" w:hAnsi="仿宋" w:eastAsia="仿宋" w:cs="仿宋"/>
          <w:b/>
          <w:snapToGrid/>
          <w:color w:val="auto"/>
          <w:sz w:val="24"/>
          <w:szCs w:val="24"/>
          <w:highlight w:val="none"/>
          <w:lang w:val="en-US" w:eastAsia="zh-CN"/>
        </w:rPr>
      </w:pPr>
      <w:r>
        <w:rPr>
          <w:rFonts w:hint="eastAsia" w:ascii="仿宋" w:hAnsi="仿宋" w:eastAsia="仿宋" w:cs="仿宋"/>
          <w:b/>
          <w:snapToGrid/>
          <w:color w:val="auto"/>
          <w:sz w:val="24"/>
          <w:szCs w:val="24"/>
          <w:highlight w:val="none"/>
          <w:lang w:val="en-US" w:eastAsia="zh-CN"/>
        </w:rPr>
        <w:t>（十二）雇员职业工种或实际工作单位与投保时不一致，但上述事项变更在保险事故发生前已及时通知并经保险人书面同意的不在此限；</w:t>
      </w:r>
    </w:p>
    <w:p w14:paraId="413D261F">
      <w:pPr>
        <w:keepNext w:val="0"/>
        <w:keepLines w:val="0"/>
        <w:pageBreakBefore w:val="0"/>
        <w:widowControl w:val="0"/>
        <w:numPr>
          <w:ilvl w:val="0"/>
          <w:numId w:val="0"/>
        </w:numPr>
        <w:kinsoku/>
        <w:wordWrap/>
        <w:overflowPunct/>
        <w:topLinePunct w:val="0"/>
        <w:autoSpaceDE/>
        <w:autoSpaceDN/>
        <w:bidi w:val="0"/>
        <w:spacing w:line="360" w:lineRule="auto"/>
        <w:ind w:firstLine="482" w:firstLineChars="200"/>
        <w:textAlignment w:val="auto"/>
        <w:rPr>
          <w:rFonts w:hint="eastAsia" w:ascii="仿宋" w:hAnsi="仿宋" w:eastAsia="仿宋" w:cs="仿宋"/>
          <w:b/>
          <w:snapToGrid/>
          <w:color w:val="auto"/>
          <w:sz w:val="24"/>
          <w:szCs w:val="24"/>
          <w:highlight w:val="none"/>
          <w:lang w:val="en-US" w:eastAsia="zh-CN"/>
        </w:rPr>
      </w:pPr>
      <w:r>
        <w:rPr>
          <w:rFonts w:hint="eastAsia" w:ascii="仿宋" w:hAnsi="仿宋" w:eastAsia="仿宋" w:cs="仿宋"/>
          <w:b/>
          <w:snapToGrid/>
          <w:color w:val="auto"/>
          <w:sz w:val="24"/>
          <w:szCs w:val="24"/>
          <w:highlight w:val="none"/>
          <w:lang w:val="en-US" w:eastAsia="zh-CN"/>
        </w:rPr>
        <w:t>（十三）雇员参加被保险人组织或指派参加其他单位的社会、体育、文化、娱乐等活动。</w:t>
      </w:r>
    </w:p>
    <w:p w14:paraId="14C5E0AD">
      <w:pPr>
        <w:keepNext w:val="0"/>
        <w:keepLines w:val="0"/>
        <w:pageBreakBefore w:val="0"/>
        <w:widowControl w:val="0"/>
        <w:numPr>
          <w:ilvl w:val="0"/>
          <w:numId w:val="0"/>
        </w:numPr>
        <w:kinsoku/>
        <w:wordWrap/>
        <w:overflowPunct/>
        <w:topLinePunct w:val="0"/>
        <w:autoSpaceDE/>
        <w:autoSpaceDN/>
        <w:bidi w:val="0"/>
        <w:spacing w:line="360" w:lineRule="auto"/>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 xml:space="preserve">第六条 </w:t>
      </w:r>
      <w:r>
        <w:rPr>
          <w:rFonts w:hint="eastAsia" w:ascii="仿宋" w:hAnsi="仿宋" w:eastAsia="仿宋" w:cs="仿宋"/>
          <w:b/>
          <w:color w:val="auto"/>
          <w:sz w:val="24"/>
          <w:szCs w:val="24"/>
          <w:highlight w:val="none"/>
        </w:rPr>
        <w:t>下列损失、费用和责任，保险人不负责赔偿：</w:t>
      </w:r>
    </w:p>
    <w:p w14:paraId="6EA34CD0">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（一）罚款、罚金及惩罚性赔款；</w:t>
      </w:r>
    </w:p>
    <w:p w14:paraId="2F22ECD4">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（二）精神损害赔偿；</w:t>
      </w:r>
    </w:p>
    <w:p w14:paraId="702D23CE">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三</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任何间接损失、财产损失；</w:t>
      </w:r>
    </w:p>
    <w:p w14:paraId="485E7158">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仿宋" w:hAnsi="仿宋" w:eastAsia="仿宋" w:cs="仿宋"/>
          <w:b/>
          <w:snapToGrid w:val="0"/>
          <w:color w:val="auto"/>
          <w:sz w:val="24"/>
          <w:szCs w:val="24"/>
          <w:highlight w:val="none"/>
        </w:rPr>
      </w:pP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val="en-US" w:eastAsia="zh-CN"/>
        </w:rPr>
        <w:t>四</w:t>
      </w:r>
      <w:r>
        <w:rPr>
          <w:rFonts w:hint="eastAsia" w:ascii="仿宋" w:hAnsi="仿宋" w:eastAsia="仿宋" w:cs="仿宋"/>
          <w:b/>
          <w:color w:val="auto"/>
          <w:sz w:val="24"/>
          <w:szCs w:val="24"/>
          <w:highlight w:val="none"/>
        </w:rPr>
        <w:t>）超出</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工伤保险诊疗项目目录</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工伤保险药品目录</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工伤保险住院服务标准</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的</w:t>
      </w:r>
      <w:r>
        <w:rPr>
          <w:rFonts w:hint="eastAsia" w:ascii="仿宋" w:hAnsi="仿宋" w:eastAsia="仿宋" w:cs="仿宋"/>
          <w:b/>
          <w:snapToGrid w:val="0"/>
          <w:color w:val="auto"/>
          <w:sz w:val="24"/>
          <w:szCs w:val="24"/>
          <w:highlight w:val="none"/>
        </w:rPr>
        <w:t>医疗费用；</w:t>
      </w:r>
    </w:p>
    <w:p w14:paraId="2E447030">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val="en-US" w:eastAsia="zh-CN"/>
        </w:rPr>
        <w:t>五</w:t>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val="en-US" w:eastAsia="zh-CN"/>
        </w:rPr>
        <w:t>通过</w:t>
      </w:r>
      <w:r>
        <w:rPr>
          <w:rFonts w:hint="eastAsia" w:ascii="仿宋" w:hAnsi="仿宋" w:eastAsia="仿宋" w:cs="仿宋"/>
          <w:b/>
          <w:snapToGrid w:val="0"/>
          <w:color w:val="auto"/>
          <w:sz w:val="24"/>
          <w:szCs w:val="24"/>
          <w:highlight w:val="none"/>
          <w:lang w:val="en-US" w:eastAsia="zh-CN"/>
        </w:rPr>
        <w:t>工伤保险</w:t>
      </w:r>
      <w:r>
        <w:rPr>
          <w:rFonts w:hint="eastAsia" w:ascii="仿宋" w:hAnsi="仿宋" w:eastAsia="仿宋" w:cs="仿宋"/>
          <w:b/>
          <w:snapToGrid w:val="0"/>
          <w:color w:val="auto"/>
          <w:sz w:val="24"/>
          <w:szCs w:val="24"/>
          <w:highlight w:val="none"/>
        </w:rPr>
        <w:t>等途径已</w:t>
      </w:r>
      <w:r>
        <w:rPr>
          <w:rFonts w:hint="eastAsia" w:ascii="仿宋" w:hAnsi="仿宋" w:eastAsia="仿宋" w:cs="仿宋"/>
          <w:b/>
          <w:snapToGrid w:val="0"/>
          <w:color w:val="auto"/>
          <w:sz w:val="24"/>
          <w:szCs w:val="24"/>
          <w:highlight w:val="none"/>
          <w:lang w:val="en-US" w:eastAsia="zh-CN"/>
        </w:rPr>
        <w:t>报销</w:t>
      </w:r>
      <w:r>
        <w:rPr>
          <w:rFonts w:hint="eastAsia" w:ascii="仿宋" w:hAnsi="仿宋" w:eastAsia="仿宋" w:cs="仿宋"/>
          <w:b/>
          <w:snapToGrid w:val="0"/>
          <w:color w:val="auto"/>
          <w:sz w:val="24"/>
          <w:szCs w:val="24"/>
          <w:highlight w:val="none"/>
        </w:rPr>
        <w:t>支付的医疗费用；</w:t>
      </w:r>
    </w:p>
    <w:p w14:paraId="30DDF89F">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val="en-US" w:eastAsia="zh-CN"/>
        </w:rPr>
        <w:t>六</w:t>
      </w:r>
      <w:r>
        <w:rPr>
          <w:rFonts w:hint="eastAsia" w:ascii="仿宋" w:hAnsi="仿宋" w:eastAsia="仿宋" w:cs="仿宋"/>
          <w:b/>
          <w:color w:val="auto"/>
          <w:sz w:val="24"/>
          <w:szCs w:val="24"/>
          <w:highlight w:val="none"/>
        </w:rPr>
        <w:t>）雇员在中华人民共和国境外（包括港、澳、台地区）发生的人身伤亡；</w:t>
      </w:r>
    </w:p>
    <w:p w14:paraId="087335CF">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val="en-US" w:eastAsia="zh-CN"/>
        </w:rPr>
        <w:t>七</w:t>
      </w:r>
      <w:r>
        <w:rPr>
          <w:rFonts w:hint="eastAsia" w:ascii="仿宋" w:hAnsi="仿宋" w:eastAsia="仿宋" w:cs="仿宋"/>
          <w:b/>
          <w:color w:val="auto"/>
          <w:sz w:val="24"/>
          <w:szCs w:val="24"/>
          <w:highlight w:val="none"/>
        </w:rPr>
        <w:t>）被保险人对其承包商的雇员的赔偿责任；</w:t>
      </w:r>
    </w:p>
    <w:p w14:paraId="6FEF1421">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八</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被保险人依法应承担的一次性工伤医疗/伤残就业补助金、伤残津贴；</w:t>
      </w:r>
    </w:p>
    <w:p w14:paraId="7F1EA780">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val="en-US" w:eastAsia="zh-CN"/>
        </w:rPr>
        <w:t>九</w:t>
      </w:r>
      <w:r>
        <w:rPr>
          <w:rFonts w:hint="eastAsia" w:ascii="仿宋" w:hAnsi="仿宋" w:eastAsia="仿宋" w:cs="仿宋"/>
          <w:b/>
          <w:color w:val="auto"/>
          <w:sz w:val="24"/>
          <w:szCs w:val="24"/>
          <w:highlight w:val="none"/>
        </w:rPr>
        <w:t>）保险单载明的免赔额</w:t>
      </w:r>
      <w:r>
        <w:rPr>
          <w:rFonts w:hint="eastAsia" w:ascii="仿宋" w:hAnsi="仿宋" w:eastAsia="仿宋" w:cs="仿宋"/>
          <w:b/>
          <w:color w:val="auto"/>
          <w:sz w:val="24"/>
          <w:szCs w:val="24"/>
          <w:highlight w:val="none"/>
          <w:lang w:val="en-US" w:eastAsia="zh-CN"/>
        </w:rPr>
        <w:t>或按免赔率计算的金额。</w:t>
      </w:r>
    </w:p>
    <w:p w14:paraId="30B88C10">
      <w:pPr>
        <w:pageBreakBefore w:val="0"/>
        <w:kinsoku/>
        <w:wordWrap/>
        <w:overflowPunct/>
        <w:topLinePunct w:val="0"/>
        <w:autoSpaceDE/>
        <w:autoSpaceDN/>
        <w:bidi w:val="0"/>
        <w:spacing w:line="360" w:lineRule="auto"/>
        <w:jc w:val="center"/>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责任限额与免赔额</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率</w:t>
      </w:r>
      <w:r>
        <w:rPr>
          <w:rFonts w:hint="eastAsia" w:ascii="仿宋" w:hAnsi="仿宋" w:eastAsia="仿宋" w:cs="仿宋"/>
          <w:b/>
          <w:bCs/>
          <w:color w:val="auto"/>
          <w:sz w:val="24"/>
          <w:szCs w:val="24"/>
          <w:highlight w:val="none"/>
          <w:lang w:eastAsia="zh-CN"/>
        </w:rPr>
        <w:t>）</w:t>
      </w:r>
    </w:p>
    <w:p w14:paraId="2909637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第七条</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除另有约定外，责任限额包括每人伤亡责任限额、每人医疗费用责任限额、</w:t>
      </w:r>
      <w:r>
        <w:rPr>
          <w:rFonts w:hint="eastAsia" w:ascii="仿宋" w:hAnsi="仿宋" w:eastAsia="仿宋" w:cs="仿宋"/>
          <w:color w:val="auto"/>
          <w:sz w:val="24"/>
          <w:szCs w:val="24"/>
          <w:highlight w:val="none"/>
          <w:lang w:val="en-US" w:eastAsia="zh-CN"/>
        </w:rPr>
        <w:t>每人法律费用责任限额、</w:t>
      </w:r>
      <w:r>
        <w:rPr>
          <w:rFonts w:hint="eastAsia" w:ascii="仿宋" w:hAnsi="仿宋" w:eastAsia="仿宋" w:cs="仿宋"/>
          <w:color w:val="auto"/>
          <w:sz w:val="24"/>
          <w:szCs w:val="24"/>
          <w:highlight w:val="none"/>
        </w:rPr>
        <w:t>每次事故责任限额</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法律费用责任限额及累计责任限额</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同时也可根据不同事故情形、雇员职业工种、雇员年龄结构等单独约定分项责任限额。</w:t>
      </w:r>
    </w:p>
    <w:p w14:paraId="0524F4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各项责任限额由投保人和保险人协商确定，并在保险单中载明。</w:t>
      </w:r>
    </w:p>
    <w:p w14:paraId="2F9E0AC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 xml:space="preserve">第八条 </w:t>
      </w:r>
      <w:r>
        <w:rPr>
          <w:rFonts w:hint="eastAsia" w:ascii="仿宋" w:hAnsi="仿宋" w:eastAsia="仿宋" w:cs="仿宋"/>
          <w:b/>
          <w:color w:val="auto"/>
          <w:sz w:val="24"/>
          <w:szCs w:val="24"/>
          <w:highlight w:val="none"/>
        </w:rPr>
        <w:t>每人医疗费用免赔额</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率</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由投保人和保险人协商确定，并在保险单中载明。</w:t>
      </w:r>
    </w:p>
    <w:p w14:paraId="428F4AF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同时约定了免赔额和免赔率的，免赔金额以免赔额和按照免赔率计算的金额二者高者为准。</w:t>
      </w:r>
    </w:p>
    <w:p w14:paraId="463A0B7C">
      <w:pPr>
        <w:pageBreakBefore w:val="0"/>
        <w:kinsoku/>
        <w:wordWrap/>
        <w:overflowPunct/>
        <w:topLinePunct w:val="0"/>
        <w:autoSpaceDE/>
        <w:autoSpaceDN/>
        <w:bidi w:val="0"/>
        <w:spacing w:line="360" w:lineRule="auto"/>
        <w:jc w:val="center"/>
        <w:textAlignment w:val="auto"/>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保险费</w:t>
      </w:r>
    </w:p>
    <w:p w14:paraId="15071C4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 xml:space="preserve">第九条 </w:t>
      </w:r>
      <w:r>
        <w:rPr>
          <w:rFonts w:hint="eastAsia" w:ascii="仿宋" w:hAnsi="仿宋" w:eastAsia="仿宋" w:cs="仿宋"/>
          <w:b w:val="0"/>
          <w:bCs/>
          <w:color w:val="auto"/>
          <w:sz w:val="24"/>
          <w:szCs w:val="24"/>
          <w:highlight w:val="none"/>
          <w:lang w:val="en-US" w:eastAsia="zh-CN"/>
        </w:rPr>
        <w:t>保险费可选择下列方式之一计算：</w:t>
      </w:r>
    </w:p>
    <w:p w14:paraId="5A93582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（一）以责任限额计算：根据被保险人提供的雇员名单，按照保险单载明的各项责任限额乘以所适用的保险费率计算收取。</w:t>
      </w:r>
    </w:p>
    <w:p w14:paraId="5F0D0A9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（二）以工资总额计算：根据被保险人预计支付的年度工资/薪金、加班费、奖金及其他津贴的总金额，乘以所适用的保险费率计算收取预收保险费。</w:t>
      </w:r>
    </w:p>
    <w:p w14:paraId="06B2B93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保险期间结束后的三十日内，被保险人应提供保险期间内实际支付的工资/薪金、加班费、奖金及其他津贴的总金额，乘以所适用的保险费率计算收取实际保险费。</w:t>
      </w:r>
    </w:p>
    <w:p w14:paraId="0E53312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实际保险费若高于预收保险费，投保人应补交其差额，反之，保险人退还其差额。投保人缴纳的实际保险费不得低于保险合同约定的最低应收保费。</w:t>
      </w:r>
    </w:p>
    <w:p w14:paraId="7C34C969">
      <w:pPr>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保险期间</w:t>
      </w:r>
    </w:p>
    <w:p w14:paraId="527C77BB">
      <w:pPr>
        <w:pageBreakBefore w:val="0"/>
        <w:numPr>
          <w:ilvl w:val="0"/>
          <w:numId w:val="0"/>
        </w:numPr>
        <w:kinsoku/>
        <w:wordWrap/>
        <w:overflowPunct/>
        <w:topLinePunct w:val="0"/>
        <w:autoSpaceDE/>
        <w:autoSpaceDN/>
        <w:bidi w:val="0"/>
        <w:spacing w:line="360" w:lineRule="auto"/>
        <w:ind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第十条</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除另有约定外，保险期间为一年，以保险单载明的起讫时间为准。</w:t>
      </w:r>
    </w:p>
    <w:p w14:paraId="768426D4">
      <w:pPr>
        <w:pageBreakBefore w:val="0"/>
        <w:kinsoku/>
        <w:wordWrap/>
        <w:overflowPunct/>
        <w:topLinePunct w:val="0"/>
        <w:autoSpaceDE/>
        <w:autoSpaceDN/>
        <w:bidi w:val="0"/>
        <w:spacing w:line="360" w:lineRule="auto"/>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保险人义务</w:t>
      </w:r>
    </w:p>
    <w:p w14:paraId="246EDD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 xml:space="preserve">第十一条 </w:t>
      </w:r>
      <w:r>
        <w:rPr>
          <w:rFonts w:hint="eastAsia" w:ascii="仿宋" w:hAnsi="仿宋" w:eastAsia="仿宋" w:cs="仿宋"/>
          <w:b w:val="0"/>
          <w:bCs w:val="0"/>
          <w:color w:val="auto"/>
          <w:sz w:val="24"/>
          <w:szCs w:val="24"/>
          <w:highlight w:val="none"/>
          <w:lang w:val="en-US" w:eastAsia="zh-CN"/>
        </w:rPr>
        <w:t>订立本保险合同时，保险人应向投保人说明本合同的条款内容，并明确本合同不能免除被保险人为其雇员投保工伤保险的法定义务。对保险合同中免除保险人责任的条款，保险人在订立合同时应当在投保单、保险单或者其他保险凭证上作出足以引起投保人注意的提示，并对该条款的内容以书面或者口头形式向投保人作出明确说明；未作提示或者明确说明的，该条款不产生效力。</w:t>
      </w:r>
    </w:p>
    <w:p w14:paraId="78659F3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第十二条</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本保险合同成立后，保险人应当及时向投保人签发保险单或其他保险凭证。</w:t>
      </w:r>
    </w:p>
    <w:p w14:paraId="44662E2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第十三条</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保险人依本保险条款</w:t>
      </w:r>
      <w:r>
        <w:rPr>
          <w:rFonts w:hint="eastAsia" w:ascii="仿宋" w:hAnsi="仿宋" w:eastAsia="仿宋" w:cs="仿宋"/>
          <w:b/>
          <w:bCs/>
          <w:color w:val="auto"/>
          <w:sz w:val="24"/>
          <w:szCs w:val="24"/>
          <w:highlight w:val="none"/>
        </w:rPr>
        <w:t>第十</w:t>
      </w:r>
      <w:r>
        <w:rPr>
          <w:rFonts w:hint="eastAsia" w:ascii="仿宋" w:hAnsi="仿宋" w:eastAsia="仿宋" w:cs="仿宋"/>
          <w:b/>
          <w:bCs/>
          <w:color w:val="auto"/>
          <w:sz w:val="24"/>
          <w:szCs w:val="24"/>
          <w:highlight w:val="none"/>
          <w:lang w:val="en-US" w:eastAsia="zh-CN"/>
        </w:rPr>
        <w:t>七</w:t>
      </w:r>
      <w:r>
        <w:rPr>
          <w:rFonts w:hint="eastAsia" w:ascii="仿宋" w:hAnsi="仿宋" w:eastAsia="仿宋" w:cs="仿宋"/>
          <w:b/>
          <w:bCs/>
          <w:color w:val="auto"/>
          <w:sz w:val="24"/>
          <w:szCs w:val="24"/>
          <w:highlight w:val="none"/>
        </w:rPr>
        <w:t>条</w:t>
      </w:r>
      <w:r>
        <w:rPr>
          <w:rFonts w:hint="eastAsia" w:ascii="仿宋" w:hAnsi="仿宋" w:eastAsia="仿宋" w:cs="仿宋"/>
          <w:color w:val="auto"/>
          <w:sz w:val="24"/>
          <w:szCs w:val="24"/>
          <w:highlight w:val="none"/>
        </w:rPr>
        <w:t>取得的合同解除权，自保险人知道有解除事由之日起，超过三十日不行使而消灭。</w:t>
      </w:r>
    </w:p>
    <w:p w14:paraId="374D09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保险人在保险合同订立时已经知道投保人未如实告知的情况的，保险人不得解除合同；发生保险事故的，保险人应当承担赔偿责任。</w:t>
      </w:r>
    </w:p>
    <w:p w14:paraId="2C02D2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Style w:val="59"/>
          <w:rFonts w:hint="eastAsia" w:ascii="仿宋" w:hAnsi="仿宋" w:eastAsia="仿宋" w:cs="仿宋"/>
          <w:b/>
          <w:bCs/>
          <w:color w:val="auto"/>
          <w:sz w:val="24"/>
          <w:szCs w:val="24"/>
          <w:highlight w:val="none"/>
        </w:rPr>
      </w:pPr>
      <w:r>
        <w:rPr>
          <w:rFonts w:hint="eastAsia" w:ascii="仿宋" w:hAnsi="仿宋" w:eastAsia="仿宋" w:cs="仿宋"/>
          <w:b/>
          <w:bCs w:val="0"/>
          <w:color w:val="auto"/>
          <w:sz w:val="24"/>
          <w:szCs w:val="24"/>
          <w:highlight w:val="none"/>
          <w:lang w:val="en-US" w:eastAsia="zh-CN"/>
        </w:rPr>
        <w:t>第十四条</w:t>
      </w:r>
      <w:r>
        <w:rPr>
          <w:rFonts w:hint="eastAsia" w:ascii="仿宋" w:hAnsi="仿宋" w:eastAsia="仿宋" w:cs="仿宋"/>
          <w:bCs/>
          <w:color w:val="auto"/>
          <w:sz w:val="24"/>
          <w:szCs w:val="24"/>
          <w:highlight w:val="none"/>
          <w:lang w:val="en-US" w:eastAsia="zh-CN"/>
        </w:rPr>
        <w:t xml:space="preserve"> </w:t>
      </w:r>
      <w:r>
        <w:rPr>
          <w:rFonts w:hint="eastAsia" w:ascii="仿宋" w:hAnsi="仿宋" w:eastAsia="仿宋" w:cs="仿宋"/>
          <w:bCs/>
          <w:color w:val="auto"/>
          <w:sz w:val="24"/>
          <w:szCs w:val="24"/>
          <w:highlight w:val="none"/>
        </w:rPr>
        <w:t>保险事故发生后，投保人、</w:t>
      </w:r>
      <w:r>
        <w:rPr>
          <w:rStyle w:val="59"/>
          <w:rFonts w:hint="eastAsia" w:ascii="仿宋" w:hAnsi="仿宋" w:eastAsia="仿宋" w:cs="仿宋"/>
          <w:color w:val="auto"/>
          <w:sz w:val="24"/>
          <w:szCs w:val="24"/>
          <w:highlight w:val="none"/>
        </w:rPr>
        <w:t>被保险人提供的有关索赔的证明和资料不完整的，保险人应当及时一次性通知投保人、被保险人补充提供。</w:t>
      </w:r>
    </w:p>
    <w:p w14:paraId="4597FA5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Style w:val="59"/>
          <w:rFonts w:hint="eastAsia" w:ascii="仿宋" w:hAnsi="仿宋" w:eastAsia="仿宋" w:cs="仿宋"/>
          <w:b/>
          <w:bCs/>
          <w:color w:val="auto"/>
          <w:sz w:val="24"/>
          <w:szCs w:val="24"/>
          <w:highlight w:val="none"/>
        </w:rPr>
      </w:pPr>
      <w:r>
        <w:rPr>
          <w:rStyle w:val="59"/>
          <w:rFonts w:hint="eastAsia" w:ascii="仿宋" w:hAnsi="仿宋" w:eastAsia="仿宋" w:cs="仿宋"/>
          <w:b/>
          <w:bCs/>
          <w:color w:val="auto"/>
          <w:sz w:val="24"/>
          <w:szCs w:val="24"/>
          <w:highlight w:val="none"/>
          <w:lang w:val="en-US" w:eastAsia="zh-CN"/>
        </w:rPr>
        <w:t>第十五条</w:t>
      </w:r>
      <w:r>
        <w:rPr>
          <w:rStyle w:val="59"/>
          <w:rFonts w:hint="eastAsia" w:ascii="仿宋" w:hAnsi="仿宋" w:eastAsia="仿宋" w:cs="仿宋"/>
          <w:color w:val="auto"/>
          <w:sz w:val="24"/>
          <w:szCs w:val="24"/>
          <w:highlight w:val="none"/>
          <w:lang w:val="en-US" w:eastAsia="zh-CN"/>
        </w:rPr>
        <w:t xml:space="preserve"> </w:t>
      </w:r>
      <w:r>
        <w:rPr>
          <w:rStyle w:val="59"/>
          <w:rFonts w:hint="eastAsia" w:ascii="仿宋" w:hAnsi="仿宋" w:eastAsia="仿宋" w:cs="仿宋"/>
          <w:color w:val="auto"/>
          <w:sz w:val="24"/>
          <w:szCs w:val="24"/>
          <w:highlight w:val="none"/>
        </w:rPr>
        <w:t>保险人收到被保险人的赔偿请求后，应当及时就是否属于保险责任作出核定，并将核定结果通知被保险人。</w:t>
      </w:r>
      <w:r>
        <w:rPr>
          <w:rFonts w:hint="eastAsia" w:ascii="仿宋" w:hAnsi="仿宋" w:eastAsia="仿宋" w:cs="仿宋"/>
          <w:color w:val="auto"/>
          <w:sz w:val="24"/>
          <w:szCs w:val="24"/>
          <w:highlight w:val="none"/>
        </w:rPr>
        <w:t>情形复杂的，</w:t>
      </w:r>
      <w:r>
        <w:rPr>
          <w:rStyle w:val="59"/>
          <w:rFonts w:hint="eastAsia" w:ascii="仿宋" w:hAnsi="仿宋" w:eastAsia="仿宋" w:cs="仿宋"/>
          <w:color w:val="auto"/>
          <w:sz w:val="24"/>
          <w:szCs w:val="24"/>
          <w:highlight w:val="none"/>
        </w:rPr>
        <w:t>保险人在收到被保险人的赔偿请求后三十日内未能核定保险责任的，保险人与被保险人根据实际情形商议合理期间，保险人在商定的期间内作出核定结果并通知被保险人。</w:t>
      </w:r>
    </w:p>
    <w:p w14:paraId="4C0970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bCs/>
          <w:color w:val="auto"/>
          <w:sz w:val="24"/>
          <w:szCs w:val="24"/>
          <w:highlight w:val="none"/>
        </w:rPr>
      </w:pPr>
      <w:r>
        <w:rPr>
          <w:rStyle w:val="59"/>
          <w:rFonts w:hint="eastAsia" w:ascii="仿宋" w:hAnsi="仿宋" w:eastAsia="仿宋" w:cs="仿宋"/>
          <w:color w:val="auto"/>
          <w:sz w:val="24"/>
          <w:szCs w:val="24"/>
          <w:highlight w:val="none"/>
        </w:rPr>
        <w:t>对属于保险责任的，在与被保险人达成有关赔偿金额的协议后十日内，履行赔偿义务。保险人依照前款的规定作出核定后，对不属于保险责任的，应当自作出核定之日起三日内向被保险人发出拒绝赔偿保险金通知书，并说明理由。</w:t>
      </w:r>
    </w:p>
    <w:p w14:paraId="65C794A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第十六条</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保险人自收到赔偿保险金的请求和有关证明、资料之日起六十日内，对其赔偿保险金的数额不能确定的，应当根据已有证明和资料可以确定的数额先予支付；保险人最终确定赔偿的数额后，应当支付相应的差额。</w:t>
      </w:r>
    </w:p>
    <w:p w14:paraId="2A53FABF">
      <w:pPr>
        <w:pageBreakBefore w:val="0"/>
        <w:kinsoku/>
        <w:wordWrap/>
        <w:overflowPunct/>
        <w:topLinePunct w:val="0"/>
        <w:autoSpaceDE/>
        <w:autoSpaceDN/>
        <w:bidi w:val="0"/>
        <w:spacing w:line="360" w:lineRule="auto"/>
        <w:ind w:firstLine="482" w:firstLineChars="20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投保人、被保险人义务</w:t>
      </w:r>
    </w:p>
    <w:p w14:paraId="04DEBF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bCs/>
          <w:color w:val="auto"/>
          <w:sz w:val="24"/>
          <w:szCs w:val="24"/>
          <w:highlight w:val="none"/>
        </w:rPr>
      </w:pPr>
      <w:r>
        <w:rPr>
          <w:rFonts w:hint="eastAsia" w:ascii="仿宋" w:hAnsi="仿宋" w:eastAsia="仿宋" w:cs="仿宋"/>
          <w:b/>
          <w:bCs w:val="0"/>
          <w:color w:val="auto"/>
          <w:sz w:val="24"/>
          <w:szCs w:val="24"/>
          <w:highlight w:val="none"/>
          <w:lang w:val="en-US" w:eastAsia="zh-CN"/>
        </w:rPr>
        <w:t>第十七条</w:t>
      </w:r>
      <w:r>
        <w:rPr>
          <w:rFonts w:hint="eastAsia" w:ascii="仿宋" w:hAnsi="仿宋" w:eastAsia="仿宋" w:cs="仿宋"/>
          <w:bCs/>
          <w:color w:val="auto"/>
          <w:sz w:val="24"/>
          <w:szCs w:val="24"/>
          <w:highlight w:val="none"/>
          <w:lang w:val="en-US" w:eastAsia="zh-CN"/>
        </w:rPr>
        <w:t xml:space="preserve"> </w:t>
      </w:r>
      <w:r>
        <w:rPr>
          <w:rFonts w:hint="eastAsia" w:ascii="仿宋" w:hAnsi="仿宋" w:eastAsia="仿宋" w:cs="仿宋"/>
          <w:bCs/>
          <w:color w:val="auto"/>
          <w:sz w:val="24"/>
          <w:szCs w:val="24"/>
          <w:highlight w:val="none"/>
        </w:rPr>
        <w:t>投保人应履行如实告知义务，如实回答保险人就被保险人</w:t>
      </w:r>
      <w:r>
        <w:rPr>
          <w:rFonts w:hint="eastAsia" w:ascii="仿宋" w:hAnsi="仿宋" w:eastAsia="仿宋" w:cs="仿宋"/>
          <w:bCs/>
          <w:color w:val="auto"/>
          <w:sz w:val="24"/>
          <w:szCs w:val="24"/>
          <w:highlight w:val="none"/>
          <w:lang w:val="en-US" w:eastAsia="zh-CN"/>
        </w:rPr>
        <w:t>用工关系、雇员是否参保工伤保险、雇员职业工种等</w:t>
      </w:r>
      <w:r>
        <w:rPr>
          <w:rFonts w:hint="eastAsia" w:ascii="仿宋" w:hAnsi="仿宋" w:eastAsia="仿宋" w:cs="仿宋"/>
          <w:bCs/>
          <w:color w:val="auto"/>
          <w:sz w:val="24"/>
          <w:szCs w:val="24"/>
          <w:highlight w:val="none"/>
        </w:rPr>
        <w:t>有关情况提出的询问，并如实填写投保单。</w:t>
      </w:r>
    </w:p>
    <w:p w14:paraId="62B64059">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投保人故意或者因重大过失未履行前款规定的如实告知义务，足以影响保险人决定是否同意承保或者提高保险费率的，保险人有权解除保险合同。</w:t>
      </w:r>
    </w:p>
    <w:p w14:paraId="3E57AC0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投保人故意不履行如实告知义务的，保险人对于保险合同解除前发生的保险事故，不承担赔偿责任，并不退还保险费。</w:t>
      </w:r>
    </w:p>
    <w:p w14:paraId="7174F23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投保人因重大过失未履行如实告知义务，对保险事故的发生有严重影响的，保险人对于保险合同解除前发生的保险事故，不承担赔偿责任，但应当退还保险费。</w:t>
      </w:r>
    </w:p>
    <w:p w14:paraId="3E85BB5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第十八条</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除本保险合同另有约定外，投保人应在保险合同成立时一次交清保险费。采用分期支付保险费的，投保人应按照本保险合同的约定，按时支付保险费。</w:t>
      </w:r>
    </w:p>
    <w:p w14:paraId="0CE2E9A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b/>
          <w:bCs w:val="0"/>
          <w:color w:val="auto"/>
          <w:sz w:val="24"/>
          <w:szCs w:val="24"/>
          <w:highlight w:val="none"/>
          <w:lang w:val="en-US" w:eastAsia="zh-CN"/>
        </w:rPr>
        <w:t>第十九条</w:t>
      </w:r>
      <w:r>
        <w:rPr>
          <w:rFonts w:hint="eastAsia" w:ascii="仿宋" w:hAnsi="仿宋" w:eastAsia="仿宋" w:cs="仿宋"/>
          <w:bCs/>
          <w:color w:val="auto"/>
          <w:sz w:val="24"/>
          <w:szCs w:val="24"/>
          <w:highlight w:val="none"/>
          <w:lang w:val="en-US" w:eastAsia="zh-CN"/>
        </w:rPr>
        <w:t xml:space="preserve"> </w:t>
      </w:r>
      <w:r>
        <w:rPr>
          <w:rFonts w:hint="eastAsia" w:ascii="仿宋" w:hAnsi="仿宋" w:eastAsia="仿宋" w:cs="仿宋"/>
          <w:bCs/>
          <w:color w:val="auto"/>
          <w:sz w:val="24"/>
          <w:szCs w:val="24"/>
          <w:highlight w:val="none"/>
        </w:rPr>
        <w:t>被保险人</w:t>
      </w:r>
      <w:r>
        <w:rPr>
          <w:rFonts w:hint="eastAsia" w:ascii="仿宋" w:hAnsi="仿宋" w:eastAsia="仿宋" w:cs="仿宋"/>
          <w:color w:val="auto"/>
          <w:sz w:val="24"/>
          <w:szCs w:val="24"/>
          <w:highlight w:val="none"/>
        </w:rPr>
        <w:t>应严格遵守国家有关消防、安全、生产操作、劳动保护等方面的规定，加强安全管理，采取合理的预防措施，尽力避免或减少雇员伤害事故的发生。</w:t>
      </w:r>
    </w:p>
    <w:p w14:paraId="16434AC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保险人可以对被保险人遵守前款约定的情况进行检查，向投保人、被保险人提出消除不安全因素和隐患的书面建议，投保人、被保险人应该认真付诸实施。</w:t>
      </w:r>
    </w:p>
    <w:p w14:paraId="4A14DF05">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投保人、被保险人未按照约定履行上述安全义务的，保险人有权要求增加保险费或者解除合同。</w:t>
      </w:r>
    </w:p>
    <w:p w14:paraId="65EDF6F7">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val="en-US" w:eastAsia="zh-CN"/>
        </w:rPr>
        <w:t xml:space="preserve">第二十条 </w:t>
      </w:r>
      <w:r>
        <w:rPr>
          <w:rFonts w:hint="eastAsia" w:ascii="仿宋" w:hAnsi="仿宋" w:eastAsia="仿宋" w:cs="仿宋"/>
          <w:b w:val="0"/>
          <w:bCs w:val="0"/>
          <w:color w:val="auto"/>
          <w:kern w:val="0"/>
          <w:sz w:val="24"/>
          <w:szCs w:val="24"/>
          <w:highlight w:val="none"/>
          <w:lang w:val="en-US" w:eastAsia="zh-CN"/>
        </w:rPr>
        <w:t>以责任限额计算保险费的，投保人</w:t>
      </w:r>
      <w:r>
        <w:rPr>
          <w:rFonts w:hint="eastAsia" w:ascii="仿宋" w:hAnsi="仿宋" w:eastAsia="仿宋" w:cs="仿宋"/>
          <w:b w:val="0"/>
          <w:bCs w:val="0"/>
          <w:color w:val="auto"/>
          <w:kern w:val="0"/>
          <w:sz w:val="24"/>
          <w:szCs w:val="24"/>
          <w:highlight w:val="none"/>
        </w:rPr>
        <w:t>在投保时应将其</w:t>
      </w:r>
      <w:r>
        <w:rPr>
          <w:rFonts w:hint="eastAsia" w:ascii="仿宋" w:hAnsi="仿宋" w:eastAsia="仿宋" w:cs="仿宋"/>
          <w:b w:val="0"/>
          <w:bCs w:val="0"/>
          <w:color w:val="auto"/>
          <w:kern w:val="0"/>
          <w:sz w:val="24"/>
          <w:szCs w:val="24"/>
          <w:highlight w:val="none"/>
          <w:lang w:val="en-US" w:eastAsia="zh-CN"/>
        </w:rPr>
        <w:t>雇员</w:t>
      </w:r>
      <w:r>
        <w:rPr>
          <w:rFonts w:hint="eastAsia" w:ascii="仿宋" w:hAnsi="仿宋" w:eastAsia="仿宋" w:cs="仿宋"/>
          <w:b w:val="0"/>
          <w:bCs w:val="0"/>
          <w:color w:val="auto"/>
          <w:kern w:val="0"/>
          <w:sz w:val="24"/>
          <w:szCs w:val="24"/>
          <w:highlight w:val="none"/>
        </w:rPr>
        <w:t>名单提交保险人，在保险期间内，被保险人的</w:t>
      </w:r>
      <w:r>
        <w:rPr>
          <w:rFonts w:hint="eastAsia" w:ascii="仿宋" w:hAnsi="仿宋" w:eastAsia="仿宋" w:cs="仿宋"/>
          <w:b w:val="0"/>
          <w:bCs w:val="0"/>
          <w:color w:val="auto"/>
          <w:kern w:val="0"/>
          <w:sz w:val="24"/>
          <w:szCs w:val="24"/>
          <w:highlight w:val="none"/>
          <w:lang w:val="en-US" w:eastAsia="zh-CN"/>
        </w:rPr>
        <w:t>雇员</w:t>
      </w:r>
      <w:r>
        <w:rPr>
          <w:rFonts w:hint="eastAsia" w:ascii="仿宋" w:hAnsi="仿宋" w:eastAsia="仿宋" w:cs="仿宋"/>
          <w:b w:val="0"/>
          <w:bCs w:val="0"/>
          <w:color w:val="auto"/>
          <w:kern w:val="0"/>
          <w:sz w:val="24"/>
          <w:szCs w:val="24"/>
          <w:highlight w:val="none"/>
        </w:rPr>
        <w:t>名单发生变动的，被保险人应及时通知保险人并办理批改手续，保险人将出具批单增减保险费。</w:t>
      </w:r>
      <w:r>
        <w:rPr>
          <w:rFonts w:hint="eastAsia" w:ascii="仿宋" w:hAnsi="仿宋" w:eastAsia="仿宋" w:cs="仿宋"/>
          <w:b/>
          <w:bCs/>
          <w:color w:val="auto"/>
          <w:kern w:val="0"/>
          <w:sz w:val="24"/>
          <w:szCs w:val="24"/>
          <w:highlight w:val="none"/>
        </w:rPr>
        <w:t>未及时通知保险人办理批改手续的，对未在保险合同和批单中列明的</w:t>
      </w:r>
      <w:r>
        <w:rPr>
          <w:rFonts w:hint="eastAsia" w:ascii="仿宋" w:hAnsi="仿宋" w:eastAsia="仿宋" w:cs="仿宋"/>
          <w:b/>
          <w:bCs/>
          <w:color w:val="auto"/>
          <w:kern w:val="0"/>
          <w:sz w:val="24"/>
          <w:szCs w:val="24"/>
          <w:highlight w:val="none"/>
          <w:lang w:val="en-US" w:eastAsia="zh-CN"/>
        </w:rPr>
        <w:t>雇员</w:t>
      </w:r>
      <w:r>
        <w:rPr>
          <w:rFonts w:hint="eastAsia" w:ascii="仿宋" w:hAnsi="仿宋" w:eastAsia="仿宋" w:cs="仿宋"/>
          <w:b/>
          <w:bCs/>
          <w:color w:val="auto"/>
          <w:kern w:val="0"/>
          <w:sz w:val="24"/>
          <w:szCs w:val="24"/>
          <w:highlight w:val="none"/>
        </w:rPr>
        <w:t>，保险人不承担赔偿责任。</w:t>
      </w:r>
    </w:p>
    <w:p w14:paraId="7AD4DAD5">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以工资总额计算保险费的，被保险人应记录雇员姓名及其工资/薪金、加班费、奖金及其他津贴等明细供保险人查阅。</w:t>
      </w:r>
    </w:p>
    <w:p w14:paraId="7C6B3E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第二十一条</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在保险期间内，如</w:t>
      </w:r>
      <w:r>
        <w:rPr>
          <w:rFonts w:hint="eastAsia" w:ascii="仿宋" w:hAnsi="仿宋" w:eastAsia="仿宋" w:cs="仿宋"/>
          <w:color w:val="auto"/>
          <w:kern w:val="0"/>
          <w:sz w:val="24"/>
          <w:szCs w:val="24"/>
          <w:highlight w:val="none"/>
        </w:rPr>
        <w:t>企业</w:t>
      </w:r>
      <w:r>
        <w:rPr>
          <w:rFonts w:hint="eastAsia" w:ascii="仿宋" w:hAnsi="仿宋" w:eastAsia="仿宋" w:cs="仿宋"/>
          <w:color w:val="auto"/>
          <w:kern w:val="0"/>
          <w:sz w:val="24"/>
          <w:szCs w:val="24"/>
          <w:highlight w:val="none"/>
          <w:lang w:eastAsia="zh-CN"/>
        </w:rPr>
        <w:t>生产经营范围变化</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雇员</w:t>
      </w:r>
      <w:r>
        <w:rPr>
          <w:rFonts w:hint="eastAsia" w:ascii="仿宋" w:hAnsi="仿宋" w:eastAsia="仿宋" w:cs="仿宋"/>
          <w:color w:val="auto"/>
          <w:kern w:val="0"/>
          <w:sz w:val="24"/>
          <w:szCs w:val="24"/>
          <w:highlight w:val="none"/>
        </w:rPr>
        <w:t>人数变更</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雇员职业工种变更、雇员工作单位变更</w:t>
      </w:r>
      <w:r>
        <w:rPr>
          <w:rFonts w:hint="eastAsia" w:ascii="仿宋" w:hAnsi="仿宋" w:eastAsia="仿宋" w:cs="仿宋"/>
          <w:color w:val="auto"/>
          <w:kern w:val="0"/>
          <w:sz w:val="24"/>
          <w:szCs w:val="24"/>
          <w:highlight w:val="none"/>
          <w:lang w:eastAsia="zh-CN"/>
        </w:rPr>
        <w:t>等</w:t>
      </w:r>
      <w:r>
        <w:rPr>
          <w:rFonts w:hint="eastAsia" w:ascii="仿宋" w:hAnsi="仿宋" w:eastAsia="仿宋" w:cs="仿宋"/>
          <w:color w:val="auto"/>
          <w:sz w:val="24"/>
          <w:szCs w:val="24"/>
          <w:highlight w:val="none"/>
          <w:lang w:val="en-US" w:eastAsia="zh-CN"/>
        </w:rPr>
        <w:t>导致保险标的</w:t>
      </w:r>
      <w:r>
        <w:rPr>
          <w:rFonts w:hint="eastAsia" w:ascii="仿宋" w:hAnsi="仿宋" w:eastAsia="仿宋" w:cs="仿宋"/>
          <w:color w:val="auto"/>
          <w:sz w:val="24"/>
          <w:szCs w:val="24"/>
          <w:highlight w:val="none"/>
        </w:rPr>
        <w:t>危险程度显著增加的，</w:t>
      </w:r>
      <w:r>
        <w:rPr>
          <w:rFonts w:hint="eastAsia" w:ascii="仿宋" w:hAnsi="仿宋" w:eastAsia="仿宋" w:cs="仿宋"/>
          <w:b/>
          <w:bCs/>
          <w:color w:val="auto"/>
          <w:sz w:val="24"/>
          <w:szCs w:val="24"/>
          <w:highlight w:val="none"/>
        </w:rPr>
        <w:t>被保险人应当按照合同约定及时通知保险人，保险人可以按照合同约定增加保险费或者解除合同。</w:t>
      </w:r>
    </w:p>
    <w:p w14:paraId="2ED10C18">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被保险人未履行前款约定的通知义务的，因保险标的的危险程度显著增加而发生的保险事故，保险人不承担赔偿责任。</w:t>
      </w:r>
    </w:p>
    <w:p w14:paraId="6F0F8BB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第二十二条</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发生可能引起本保险项下索赔的损害事故，被保险人应该：</w:t>
      </w:r>
    </w:p>
    <w:p w14:paraId="0619E12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（一）尽力采取必要、合理的措施，防止或减少损失，</w:t>
      </w:r>
      <w:r>
        <w:rPr>
          <w:rFonts w:hint="eastAsia" w:ascii="仿宋" w:hAnsi="仿宋" w:eastAsia="仿宋" w:cs="仿宋"/>
          <w:b/>
          <w:color w:val="auto"/>
          <w:sz w:val="24"/>
          <w:szCs w:val="24"/>
          <w:highlight w:val="none"/>
        </w:rPr>
        <w:t>否则，对因此扩大的损失，保险人不承担赔偿责任；</w:t>
      </w:r>
    </w:p>
    <w:p w14:paraId="13E1BC9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Style w:val="59"/>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w:t>
      </w:r>
      <w:r>
        <w:rPr>
          <w:rFonts w:hint="eastAsia" w:ascii="仿宋" w:hAnsi="仿宋" w:eastAsia="仿宋" w:cs="仿宋"/>
          <w:color w:val="auto"/>
          <w:sz w:val="24"/>
          <w:szCs w:val="24"/>
          <w:highlight w:val="none"/>
          <w:lang w:val="en-US" w:eastAsia="zh-CN"/>
        </w:rPr>
        <w:t>投保人、</w:t>
      </w:r>
      <w:r>
        <w:rPr>
          <w:rFonts w:hint="eastAsia" w:ascii="仿宋" w:hAnsi="仿宋" w:eastAsia="仿宋" w:cs="仿宋"/>
          <w:color w:val="auto"/>
          <w:sz w:val="24"/>
          <w:szCs w:val="24"/>
          <w:highlight w:val="none"/>
        </w:rPr>
        <w:t>被保险人知道保险事故发生后</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应当在</w:t>
      </w:r>
      <w:r>
        <w:rPr>
          <w:rFonts w:hint="eastAsia" w:ascii="仿宋" w:hAnsi="仿宋" w:eastAsia="仿宋" w:cs="仿宋"/>
          <w:color w:val="auto"/>
          <w:sz w:val="24"/>
          <w:szCs w:val="24"/>
          <w:highlight w:val="none"/>
        </w:rPr>
        <w:t>48小时内</w:t>
      </w:r>
      <w:r>
        <w:rPr>
          <w:rFonts w:hint="eastAsia" w:ascii="仿宋" w:hAnsi="仿宋" w:eastAsia="仿宋" w:cs="仿宋"/>
          <w:color w:val="auto"/>
          <w:sz w:val="24"/>
          <w:szCs w:val="24"/>
          <w:highlight w:val="none"/>
          <w:lang w:val="en-US" w:eastAsia="zh-CN"/>
        </w:rPr>
        <w:t>通知保险人</w:t>
      </w:r>
      <w:r>
        <w:rPr>
          <w:rStyle w:val="59"/>
          <w:rFonts w:hint="eastAsia" w:ascii="仿宋" w:hAnsi="仿宋" w:eastAsia="仿宋" w:cs="仿宋"/>
          <w:color w:val="auto"/>
          <w:sz w:val="24"/>
          <w:szCs w:val="24"/>
          <w:highlight w:val="none"/>
        </w:rPr>
        <w:t>；</w:t>
      </w:r>
      <w:r>
        <w:rPr>
          <w:rFonts w:hint="eastAsia" w:ascii="仿宋" w:hAnsi="仿宋" w:eastAsia="仿宋" w:cs="仿宋"/>
          <w:b/>
          <w:color w:val="auto"/>
          <w:sz w:val="24"/>
          <w:szCs w:val="24"/>
          <w:highlight w:val="none"/>
        </w:rPr>
        <w:t>故意或者因重大过失未及时通知，致使保险事故的性质、原因、损失程度等难以确定的，保险人对无法确定的部分，不承担赔偿或者给付保险金的责任，但保险人通过其他途径已经及时知道或者应当及时知道保险事故发生的除外</w:t>
      </w:r>
      <w:r>
        <w:rPr>
          <w:rFonts w:hint="eastAsia" w:ascii="仿宋" w:hAnsi="仿宋" w:eastAsia="仿宋" w:cs="仿宋"/>
          <w:b/>
          <w:color w:val="auto"/>
          <w:sz w:val="24"/>
          <w:szCs w:val="24"/>
          <w:highlight w:val="none"/>
          <w:lang w:eastAsia="zh-CN"/>
        </w:rPr>
        <w:t>；</w:t>
      </w:r>
    </w:p>
    <w:p w14:paraId="7FC19FF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color w:val="auto"/>
          <w:sz w:val="24"/>
          <w:szCs w:val="24"/>
          <w:highlight w:val="none"/>
        </w:rPr>
        <w:t>（三）保护事故现场，允许并且协助保险人进行事故调查；对于拒绝或者妨碍保险人进行事故调查导致无法确定事故原因或核实损失情况的，</w:t>
      </w:r>
      <w:r>
        <w:rPr>
          <w:rFonts w:hint="eastAsia" w:ascii="仿宋" w:hAnsi="仿宋" w:eastAsia="仿宋" w:cs="仿宋"/>
          <w:b/>
          <w:bCs/>
          <w:color w:val="auto"/>
          <w:sz w:val="24"/>
          <w:szCs w:val="24"/>
          <w:highlight w:val="none"/>
        </w:rPr>
        <w:t>保险人对无法确定或核实的部分不承担赔偿责任</w:t>
      </w:r>
      <w:r>
        <w:rPr>
          <w:rFonts w:hint="eastAsia" w:ascii="仿宋" w:hAnsi="仿宋" w:eastAsia="仿宋" w:cs="仿宋"/>
          <w:b/>
          <w:bCs/>
          <w:color w:val="auto"/>
          <w:sz w:val="24"/>
          <w:szCs w:val="24"/>
          <w:highlight w:val="none"/>
          <w:lang w:eastAsia="zh-CN"/>
        </w:rPr>
        <w:t>；</w:t>
      </w:r>
    </w:p>
    <w:p w14:paraId="6A63603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四</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bCs/>
          <w:color w:val="auto"/>
          <w:sz w:val="24"/>
          <w:szCs w:val="24"/>
          <w:highlight w:val="none"/>
          <w:lang w:eastAsia="zh-CN"/>
        </w:rPr>
        <w:t>在保险人完成事故调查前，被保险人不得</w:t>
      </w:r>
      <w:r>
        <w:rPr>
          <w:rFonts w:hint="eastAsia" w:ascii="仿宋" w:hAnsi="仿宋" w:eastAsia="仿宋" w:cs="仿宋"/>
          <w:b/>
          <w:bCs/>
          <w:color w:val="auto"/>
          <w:sz w:val="24"/>
          <w:szCs w:val="24"/>
          <w:highlight w:val="none"/>
          <w:lang w:val="en-US" w:eastAsia="zh-CN"/>
        </w:rPr>
        <w:t>批退</w:t>
      </w:r>
      <w:r>
        <w:rPr>
          <w:rFonts w:hint="eastAsia" w:ascii="仿宋" w:hAnsi="仿宋" w:eastAsia="仿宋" w:cs="仿宋"/>
          <w:b/>
          <w:bCs/>
          <w:color w:val="auto"/>
          <w:sz w:val="24"/>
          <w:szCs w:val="24"/>
          <w:highlight w:val="none"/>
          <w:lang w:eastAsia="zh-CN"/>
        </w:rPr>
        <w:t>已出险</w:t>
      </w:r>
      <w:r>
        <w:rPr>
          <w:rFonts w:hint="eastAsia" w:ascii="仿宋" w:hAnsi="仿宋" w:eastAsia="仿宋" w:cs="仿宋"/>
          <w:b/>
          <w:bCs/>
          <w:color w:val="auto"/>
          <w:sz w:val="24"/>
          <w:szCs w:val="24"/>
          <w:highlight w:val="none"/>
          <w:lang w:val="en-US" w:eastAsia="zh-CN"/>
        </w:rPr>
        <w:t>的</w:t>
      </w:r>
      <w:r>
        <w:rPr>
          <w:rFonts w:hint="eastAsia" w:ascii="仿宋" w:hAnsi="仿宋" w:eastAsia="仿宋" w:cs="仿宋"/>
          <w:b/>
          <w:bCs/>
          <w:color w:val="auto"/>
          <w:sz w:val="24"/>
          <w:szCs w:val="24"/>
          <w:highlight w:val="none"/>
          <w:lang w:eastAsia="zh-CN"/>
        </w:rPr>
        <w:t>雇员，</w:t>
      </w:r>
      <w:r>
        <w:rPr>
          <w:rFonts w:hint="eastAsia" w:ascii="仿宋" w:hAnsi="仿宋" w:eastAsia="仿宋" w:cs="仿宋"/>
          <w:b/>
          <w:bCs/>
          <w:color w:val="auto"/>
          <w:sz w:val="24"/>
          <w:szCs w:val="24"/>
          <w:highlight w:val="none"/>
          <w:lang w:val="en-US" w:eastAsia="zh-CN"/>
        </w:rPr>
        <w:t>否则保险人不承担赔偿责任。</w:t>
      </w:r>
    </w:p>
    <w:p w14:paraId="4C0F515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第二十三条</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被保险人收到受伤害雇员或其代理人的损害赔偿请求时，应立即通知保险人。</w:t>
      </w:r>
      <w:r>
        <w:rPr>
          <w:rStyle w:val="59"/>
          <w:rFonts w:hint="eastAsia" w:ascii="仿宋" w:hAnsi="仿宋" w:eastAsia="仿宋" w:cs="仿宋"/>
          <w:b/>
          <w:bCs/>
          <w:color w:val="auto"/>
          <w:sz w:val="24"/>
          <w:szCs w:val="24"/>
          <w:highlight w:val="none"/>
        </w:rPr>
        <w:t>未经保险人书面同意，</w:t>
      </w:r>
      <w:r>
        <w:rPr>
          <w:rFonts w:hint="eastAsia" w:ascii="仿宋" w:hAnsi="仿宋" w:eastAsia="仿宋" w:cs="仿宋"/>
          <w:b/>
          <w:bCs/>
          <w:color w:val="auto"/>
          <w:sz w:val="24"/>
          <w:szCs w:val="24"/>
          <w:highlight w:val="none"/>
        </w:rPr>
        <w:t>被保险人对该雇员或其代理人作出的任何承诺、拒绝、出价、约定、付款或赔偿，保险人不受其约束。</w:t>
      </w:r>
      <w:r>
        <w:rPr>
          <w:rStyle w:val="59"/>
          <w:rFonts w:hint="eastAsia" w:ascii="仿宋" w:hAnsi="仿宋" w:eastAsia="仿宋" w:cs="仿宋"/>
          <w:b/>
          <w:bCs/>
          <w:color w:val="auto"/>
          <w:sz w:val="24"/>
          <w:szCs w:val="24"/>
          <w:highlight w:val="none"/>
        </w:rPr>
        <w:t>对于被保险人自行承诺或支付的赔偿金额，保险人有权重新核定，不属于本保险责任范围或超出应赔偿限额的，保险人不承担赔偿责任。</w:t>
      </w:r>
      <w:r>
        <w:rPr>
          <w:rStyle w:val="59"/>
          <w:rFonts w:hint="eastAsia" w:ascii="仿宋" w:hAnsi="仿宋" w:eastAsia="仿宋" w:cs="仿宋"/>
          <w:color w:val="auto"/>
          <w:sz w:val="24"/>
          <w:szCs w:val="24"/>
          <w:highlight w:val="none"/>
        </w:rPr>
        <w:t>在处理索赔过程中，保险人有权自行处理由其承担最终赔偿责任的任何索赔案件，被保险人有义务向保险人提供其所能提供的资料和协助</w:t>
      </w:r>
      <w:r>
        <w:rPr>
          <w:rFonts w:hint="eastAsia" w:ascii="仿宋" w:hAnsi="仿宋" w:eastAsia="仿宋" w:cs="仿宋"/>
          <w:b/>
          <w:bCs/>
          <w:color w:val="auto"/>
          <w:sz w:val="24"/>
          <w:szCs w:val="24"/>
          <w:highlight w:val="none"/>
        </w:rPr>
        <w:t>。</w:t>
      </w:r>
    </w:p>
    <w:p w14:paraId="6B96F4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第二十四条</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被保险人获悉可能发生诉讼、仲裁时，应立即以书面形式通知保险人；接到法院传票或其他法律文书后，应将其副本及时送交保险人。保险人有权以被保险人的名义处理有关诉讼或仲裁事宜，被保险人应提供有关文件，并给予必要的协助。</w:t>
      </w:r>
    </w:p>
    <w:p w14:paraId="3C0B58B7">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对因未及时提供上述通知或必要协助引起或扩大的损失，保险人不承担赔偿责任。</w:t>
      </w:r>
    </w:p>
    <w:p w14:paraId="2A58640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bCs/>
          <w:color w:val="auto"/>
          <w:sz w:val="24"/>
          <w:szCs w:val="24"/>
          <w:highlight w:val="none"/>
        </w:rPr>
      </w:pPr>
      <w:r>
        <w:rPr>
          <w:rFonts w:hint="eastAsia" w:ascii="仿宋" w:hAnsi="仿宋" w:eastAsia="仿宋" w:cs="仿宋"/>
          <w:b/>
          <w:bCs w:val="0"/>
          <w:color w:val="auto"/>
          <w:sz w:val="24"/>
          <w:szCs w:val="24"/>
          <w:highlight w:val="none"/>
          <w:lang w:val="en-US" w:eastAsia="zh-CN"/>
        </w:rPr>
        <w:t>第二十五条</w:t>
      </w:r>
      <w:r>
        <w:rPr>
          <w:rFonts w:hint="eastAsia" w:ascii="仿宋" w:hAnsi="仿宋" w:eastAsia="仿宋" w:cs="仿宋"/>
          <w:bCs/>
          <w:color w:val="auto"/>
          <w:sz w:val="24"/>
          <w:szCs w:val="24"/>
          <w:highlight w:val="none"/>
          <w:lang w:val="en-US" w:eastAsia="zh-CN"/>
        </w:rPr>
        <w:t xml:space="preserve"> </w:t>
      </w:r>
      <w:r>
        <w:rPr>
          <w:rFonts w:hint="eastAsia" w:ascii="仿宋" w:hAnsi="仿宋" w:eastAsia="仿宋" w:cs="仿宋"/>
          <w:bCs/>
          <w:color w:val="auto"/>
          <w:sz w:val="24"/>
          <w:szCs w:val="24"/>
          <w:highlight w:val="none"/>
        </w:rPr>
        <w:t>被保险人请求赔偿时，应向保险人提交下列索赔文件：</w:t>
      </w:r>
    </w:p>
    <w:p w14:paraId="15D6C82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（一）保险单正本；</w:t>
      </w:r>
    </w:p>
    <w:p w14:paraId="7910ED4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（二）索赔申请书；</w:t>
      </w:r>
    </w:p>
    <w:p w14:paraId="51B721B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（三）能够确认被保险人与受伤害雇员存在劳动关系的人事、薪资证明等材料；</w:t>
      </w:r>
    </w:p>
    <w:p w14:paraId="2375623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（四）公安等有关主管部门出具的事故证明；</w:t>
      </w:r>
    </w:p>
    <w:p w14:paraId="07AA75C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（五）该雇员就医治疗的诊疗证明、病历（原件）及医疗费用原始单据；该雇员残疾的，由</w:t>
      </w:r>
      <w:r>
        <w:rPr>
          <w:rFonts w:hint="eastAsia" w:ascii="仿宋" w:hAnsi="仿宋" w:eastAsia="仿宋" w:cs="仿宋"/>
          <w:b/>
          <w:bCs/>
          <w:color w:val="auto"/>
          <w:sz w:val="24"/>
          <w:szCs w:val="24"/>
          <w:highlight w:val="none"/>
        </w:rPr>
        <w:t>保险人认可的伤残鉴定机构</w:t>
      </w:r>
      <w:r>
        <w:rPr>
          <w:rFonts w:hint="eastAsia" w:ascii="仿宋" w:hAnsi="仿宋" w:eastAsia="仿宋" w:cs="仿宋"/>
          <w:bCs/>
          <w:color w:val="auto"/>
          <w:sz w:val="24"/>
          <w:szCs w:val="24"/>
          <w:highlight w:val="none"/>
        </w:rPr>
        <w:t>出具的伤残程度证明；该雇员死亡的，由公安机关或医疗机构出具的死亡证明；宣告死亡的，由人民法院出具的宣告死亡判决；</w:t>
      </w:r>
    </w:p>
    <w:p w14:paraId="2924B11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（六）被保险人与</w:t>
      </w:r>
      <w:r>
        <w:rPr>
          <w:rFonts w:hint="eastAsia" w:ascii="仿宋" w:hAnsi="仿宋" w:eastAsia="仿宋" w:cs="仿宋"/>
          <w:color w:val="auto"/>
          <w:sz w:val="24"/>
          <w:szCs w:val="24"/>
          <w:highlight w:val="none"/>
        </w:rPr>
        <w:t>该</w:t>
      </w:r>
      <w:r>
        <w:rPr>
          <w:rFonts w:hint="eastAsia" w:ascii="仿宋" w:hAnsi="仿宋" w:eastAsia="仿宋" w:cs="仿宋"/>
          <w:bCs/>
          <w:color w:val="auto"/>
          <w:sz w:val="24"/>
          <w:szCs w:val="24"/>
          <w:highlight w:val="none"/>
        </w:rPr>
        <w:t>雇员或其代理人签订的赔偿协议书或和解书，</w:t>
      </w:r>
      <w:r>
        <w:rPr>
          <w:rFonts w:hint="eastAsia" w:ascii="仿宋" w:hAnsi="仿宋" w:eastAsia="仿宋" w:cs="仿宋"/>
          <w:color w:val="auto"/>
          <w:sz w:val="24"/>
          <w:szCs w:val="24"/>
          <w:highlight w:val="none"/>
        </w:rPr>
        <w:t>经判决或仲裁的，应提供判决文书或仲裁裁决文书；</w:t>
      </w:r>
    </w:p>
    <w:p w14:paraId="40FB906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（七）投保人、被保险人所能提供的其他与确认保险事故的性质、原因、损失程度等有关的证明和资料。</w:t>
      </w:r>
    </w:p>
    <w:p w14:paraId="619F539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被保险人未履行前款约定的索赔材料提供义务，导致保险人无法核实损失情况的，保险人对无法核实部分不承担赔偿责任。</w:t>
      </w:r>
    </w:p>
    <w:p w14:paraId="712E49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第二十六条</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发生保险责任范围内的损失，应由有关责任方负责赔偿的，被保险人应行使或保留向该责任方请求赔偿的权利。</w:t>
      </w:r>
    </w:p>
    <w:p w14:paraId="2EE2C82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保险事故发生后，保险人未履行赔偿义务之前，被保险人放弃对有关责任方请求赔偿的权利的，保险人不承担赔偿责任。</w:t>
      </w:r>
    </w:p>
    <w:p w14:paraId="4B88229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保险人向被保险人赔偿保险金后，在赔偿金额范围内代位行使被保险人对有关责任方请求赔偿的权利，被保险人未经保险人同意放弃对有关责任方请求赔偿的权利的，该行为无效。</w:t>
      </w:r>
    </w:p>
    <w:p w14:paraId="428005B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在保险人向有关责任方行使代位请求赔偿权利时，被保险人应当向保险人提供必要的文件和其所知道的有关情况。</w:t>
      </w:r>
    </w:p>
    <w:p w14:paraId="3DFBB89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由于被保险人的故意或者重大过失致使保险人不能行使代位请求赔偿的权利的，保险人可以扣减或者要求返还相应的赔偿金额。</w:t>
      </w:r>
    </w:p>
    <w:p w14:paraId="777EB797">
      <w:pPr>
        <w:pageBreakBefore w:val="0"/>
        <w:kinsoku/>
        <w:wordWrap/>
        <w:overflowPunct/>
        <w:topLinePunct w:val="0"/>
        <w:autoSpaceDE/>
        <w:autoSpaceDN/>
        <w:bidi w:val="0"/>
        <w:spacing w:line="360" w:lineRule="auto"/>
        <w:ind w:firstLine="482" w:firstLineChars="20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赔偿处理</w:t>
      </w:r>
    </w:p>
    <w:p w14:paraId="2130F8C2">
      <w:pPr>
        <w:keepNext w:val="0"/>
        <w:keepLines w:val="0"/>
        <w:pageBreakBefore w:val="0"/>
        <w:widowControl w:val="0"/>
        <w:numPr>
          <w:ilvl w:val="0"/>
          <w:numId w:val="0"/>
        </w:numPr>
        <w:kinsoku/>
        <w:wordWrap/>
        <w:overflowPunct/>
        <w:topLinePunct w:val="0"/>
        <w:autoSpaceDE/>
        <w:autoSpaceDN/>
        <w:bidi w:val="0"/>
        <w:spacing w:line="360" w:lineRule="auto"/>
        <w:ind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第二十七条</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保险人的赔偿以下列方式之一确定的被保险人的赔偿责任为基础：</w:t>
      </w:r>
    </w:p>
    <w:p w14:paraId="0BC0CFD8">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（一）被保险人和受伤害雇员或其代理人协商并经保险人确认；</w:t>
      </w:r>
    </w:p>
    <w:p w14:paraId="5D8F56EF">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（二）仲裁机构裁决；</w:t>
      </w:r>
    </w:p>
    <w:p w14:paraId="743326D6">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（三）人民法院判决；</w:t>
      </w:r>
    </w:p>
    <w:p w14:paraId="52867FAD">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（四）保险人认可的其他方式。</w:t>
      </w:r>
    </w:p>
    <w:p w14:paraId="62FD5135">
      <w:pPr>
        <w:keepNext w:val="0"/>
        <w:keepLines w:val="0"/>
        <w:pageBreakBefore w:val="0"/>
        <w:widowControl w:val="0"/>
        <w:numPr>
          <w:ilvl w:val="0"/>
          <w:numId w:val="0"/>
        </w:numPr>
        <w:kinsoku/>
        <w:wordWrap/>
        <w:overflowPunct/>
        <w:topLinePunct w:val="0"/>
        <w:autoSpaceDE/>
        <w:autoSpaceDN/>
        <w:bidi w:val="0"/>
        <w:spacing w:line="360"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color w:val="auto"/>
          <w:sz w:val="24"/>
          <w:szCs w:val="24"/>
          <w:highlight w:val="none"/>
          <w:lang w:val="en-US" w:eastAsia="zh-CN"/>
        </w:rPr>
        <w:t xml:space="preserve">第二十八条 </w:t>
      </w:r>
      <w:r>
        <w:rPr>
          <w:rFonts w:hint="eastAsia" w:ascii="仿宋" w:hAnsi="仿宋" w:eastAsia="仿宋" w:cs="仿宋"/>
          <w:b/>
          <w:color w:val="auto"/>
          <w:sz w:val="24"/>
          <w:szCs w:val="24"/>
          <w:highlight w:val="none"/>
        </w:rPr>
        <w:t>雇员遭受保险责任范围内的事故伤害</w:t>
      </w:r>
      <w:r>
        <w:rPr>
          <w:rFonts w:hint="eastAsia" w:ascii="仿宋" w:hAnsi="仿宋" w:eastAsia="仿宋" w:cs="仿宋"/>
          <w:b/>
          <w:bCs/>
          <w:color w:val="auto"/>
          <w:sz w:val="24"/>
          <w:szCs w:val="24"/>
          <w:highlight w:val="none"/>
        </w:rPr>
        <w:t>，被保险人未向该雇员赔偿的，保险人不负责向被保险人赔偿保险金。</w:t>
      </w:r>
    </w:p>
    <w:p w14:paraId="5C34DDCF">
      <w:pPr>
        <w:keepNext w:val="0"/>
        <w:keepLines w:val="0"/>
        <w:pageBreakBefore w:val="0"/>
        <w:widowControl w:val="0"/>
        <w:numPr>
          <w:ilvl w:val="0"/>
          <w:numId w:val="0"/>
        </w:numPr>
        <w:kinsoku/>
        <w:wordWrap/>
        <w:overflowPunct/>
        <w:topLinePunct w:val="0"/>
        <w:autoSpaceDE/>
        <w:autoSpaceDN/>
        <w:bidi w:val="0"/>
        <w:spacing w:line="360" w:lineRule="auto"/>
        <w:ind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第二十九条</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发生保险责任范围内的损失，保险人</w:t>
      </w:r>
      <w:r>
        <w:rPr>
          <w:rFonts w:hint="eastAsia" w:ascii="仿宋" w:hAnsi="仿宋" w:eastAsia="仿宋" w:cs="仿宋"/>
          <w:color w:val="auto"/>
          <w:sz w:val="24"/>
          <w:szCs w:val="24"/>
          <w:highlight w:val="none"/>
          <w:lang w:val="en-US" w:eastAsia="zh-CN"/>
        </w:rPr>
        <w:t>依据《工伤保险条例》按照</w:t>
      </w:r>
      <w:r>
        <w:rPr>
          <w:rFonts w:hint="eastAsia" w:ascii="仿宋" w:hAnsi="仿宋" w:eastAsia="仿宋" w:cs="仿宋"/>
          <w:color w:val="auto"/>
          <w:sz w:val="24"/>
          <w:szCs w:val="24"/>
          <w:highlight w:val="none"/>
        </w:rPr>
        <w:t>以下方式</w:t>
      </w:r>
      <w:r>
        <w:rPr>
          <w:rFonts w:hint="eastAsia" w:ascii="仿宋" w:hAnsi="仿宋" w:eastAsia="仿宋" w:cs="仿宋"/>
          <w:color w:val="auto"/>
          <w:sz w:val="24"/>
          <w:szCs w:val="24"/>
          <w:highlight w:val="none"/>
          <w:lang w:val="en-US" w:eastAsia="zh-CN"/>
        </w:rPr>
        <w:t>计算</w:t>
      </w:r>
      <w:r>
        <w:rPr>
          <w:rFonts w:hint="eastAsia" w:ascii="仿宋" w:hAnsi="仿宋" w:eastAsia="仿宋" w:cs="仿宋"/>
          <w:color w:val="auto"/>
          <w:sz w:val="24"/>
          <w:szCs w:val="24"/>
          <w:highlight w:val="none"/>
        </w:rPr>
        <w:t>赔偿：</w:t>
      </w:r>
    </w:p>
    <w:p w14:paraId="68361BC7">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（一）雇员死亡的，</w:t>
      </w:r>
      <w:r>
        <w:rPr>
          <w:rFonts w:hint="eastAsia" w:ascii="仿宋" w:hAnsi="仿宋" w:eastAsia="仿宋" w:cs="仿宋"/>
          <w:color w:val="auto"/>
          <w:sz w:val="24"/>
          <w:szCs w:val="24"/>
          <w:highlight w:val="none"/>
          <w:lang w:val="en-US" w:eastAsia="zh-CN"/>
        </w:rPr>
        <w:t>保险人</w:t>
      </w:r>
      <w:r>
        <w:rPr>
          <w:rFonts w:hint="eastAsia" w:ascii="仿宋" w:hAnsi="仿宋" w:eastAsia="仿宋" w:cs="仿宋"/>
          <w:color w:val="auto"/>
          <w:sz w:val="24"/>
          <w:szCs w:val="24"/>
          <w:highlight w:val="none"/>
        </w:rPr>
        <w:t>在每人伤亡责任限额内</w:t>
      </w:r>
      <w:r>
        <w:rPr>
          <w:rFonts w:hint="eastAsia" w:ascii="仿宋" w:hAnsi="仿宋" w:eastAsia="仿宋" w:cs="仿宋"/>
          <w:color w:val="auto"/>
          <w:sz w:val="24"/>
          <w:szCs w:val="24"/>
          <w:highlight w:val="none"/>
          <w:lang w:val="en-US" w:eastAsia="zh-CN"/>
        </w:rPr>
        <w:t>计算</w:t>
      </w:r>
      <w:r>
        <w:rPr>
          <w:rFonts w:hint="eastAsia" w:ascii="仿宋" w:hAnsi="仿宋" w:eastAsia="仿宋" w:cs="仿宋"/>
          <w:color w:val="auto"/>
          <w:sz w:val="24"/>
          <w:szCs w:val="24"/>
          <w:highlight w:val="none"/>
        </w:rPr>
        <w:t>赔偿；</w:t>
      </w:r>
    </w:p>
    <w:p w14:paraId="15E0C1F8">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（二）雇员残疾的，</w:t>
      </w:r>
      <w:r>
        <w:rPr>
          <w:rFonts w:hint="eastAsia" w:ascii="仿宋" w:hAnsi="仿宋" w:eastAsia="仿宋" w:cs="仿宋"/>
          <w:color w:val="auto"/>
          <w:sz w:val="24"/>
          <w:szCs w:val="24"/>
          <w:highlight w:val="none"/>
          <w:lang w:val="en-US" w:eastAsia="zh-CN"/>
        </w:rPr>
        <w:t>伤残等级</w:t>
      </w:r>
      <w:r>
        <w:rPr>
          <w:rFonts w:hint="eastAsia" w:ascii="仿宋" w:hAnsi="仿宋" w:eastAsia="仿宋" w:cs="仿宋"/>
          <w:color w:val="auto"/>
          <w:sz w:val="24"/>
          <w:szCs w:val="24"/>
          <w:highlight w:val="none"/>
        </w:rPr>
        <w:t>由</w:t>
      </w:r>
      <w:r>
        <w:rPr>
          <w:rFonts w:hint="eastAsia" w:ascii="仿宋" w:hAnsi="仿宋" w:eastAsia="仿宋" w:cs="仿宋"/>
          <w:bCs/>
          <w:color w:val="auto"/>
          <w:sz w:val="24"/>
          <w:szCs w:val="24"/>
          <w:highlight w:val="none"/>
        </w:rPr>
        <w:t>保险人认可的伤残鉴定机构</w:t>
      </w:r>
      <w:r>
        <w:rPr>
          <w:rFonts w:hint="eastAsia" w:ascii="仿宋" w:hAnsi="仿宋" w:eastAsia="仿宋" w:cs="仿宋"/>
          <w:color w:val="auto"/>
          <w:sz w:val="24"/>
          <w:szCs w:val="24"/>
          <w:highlight w:val="none"/>
        </w:rPr>
        <w:t>依据《劳动能力鉴定 职工工伤与职业病致残等级》（国家质量监督检验检疫总局、国家标准化管理委员会批准发布GB／T16180—2014）确定</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保险人按照所附</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伤残赔偿比例表</w:t>
      </w:r>
      <w:r>
        <w:rPr>
          <w:rFonts w:hint="eastAsia" w:ascii="仿宋" w:hAnsi="仿宋" w:eastAsia="仿宋" w:cs="仿宋"/>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在伤残等级对应</w:t>
      </w:r>
      <w:r>
        <w:rPr>
          <w:rFonts w:hint="eastAsia" w:ascii="仿宋" w:hAnsi="仿宋" w:eastAsia="仿宋" w:cs="仿宋"/>
          <w:b/>
          <w:bCs/>
          <w:color w:val="auto"/>
          <w:sz w:val="24"/>
          <w:szCs w:val="24"/>
          <w:highlight w:val="none"/>
        </w:rPr>
        <w:t>的</w:t>
      </w:r>
      <w:r>
        <w:rPr>
          <w:rFonts w:hint="eastAsia" w:ascii="仿宋" w:hAnsi="仿宋" w:eastAsia="仿宋" w:cs="仿宋"/>
          <w:b/>
          <w:bCs/>
          <w:color w:val="auto"/>
          <w:sz w:val="24"/>
          <w:szCs w:val="24"/>
          <w:highlight w:val="none"/>
          <w:lang w:val="en-US" w:eastAsia="zh-CN"/>
        </w:rPr>
        <w:t>比例</w:t>
      </w:r>
      <w:r>
        <w:rPr>
          <w:rFonts w:hint="eastAsia" w:ascii="仿宋" w:hAnsi="仿宋" w:eastAsia="仿宋" w:cs="仿宋"/>
          <w:b/>
          <w:bCs/>
          <w:color w:val="auto"/>
          <w:sz w:val="24"/>
          <w:szCs w:val="24"/>
          <w:highlight w:val="none"/>
        </w:rPr>
        <w:t>乘以每人伤亡责任限额</w:t>
      </w:r>
      <w:r>
        <w:rPr>
          <w:rFonts w:hint="eastAsia" w:ascii="仿宋" w:hAnsi="仿宋" w:eastAsia="仿宋" w:cs="仿宋"/>
          <w:b/>
          <w:bCs/>
          <w:color w:val="auto"/>
          <w:sz w:val="24"/>
          <w:szCs w:val="24"/>
          <w:highlight w:val="none"/>
          <w:lang w:eastAsia="zh-CN"/>
        </w:rPr>
        <w:t>的</w:t>
      </w:r>
      <w:r>
        <w:rPr>
          <w:rFonts w:hint="eastAsia" w:ascii="仿宋" w:hAnsi="仿宋" w:eastAsia="仿宋" w:cs="仿宋"/>
          <w:b/>
          <w:bCs/>
          <w:color w:val="auto"/>
          <w:sz w:val="24"/>
          <w:szCs w:val="24"/>
          <w:highlight w:val="none"/>
          <w:lang w:val="en-US" w:eastAsia="zh-CN"/>
        </w:rPr>
        <w:t>数额内计算</w:t>
      </w:r>
      <w:r>
        <w:rPr>
          <w:rFonts w:hint="eastAsia" w:ascii="仿宋" w:hAnsi="仿宋" w:eastAsia="仿宋" w:cs="仿宋"/>
          <w:b/>
          <w:bCs/>
          <w:color w:val="auto"/>
          <w:sz w:val="24"/>
          <w:szCs w:val="24"/>
          <w:highlight w:val="none"/>
        </w:rPr>
        <w:t>赔偿</w:t>
      </w:r>
      <w:r>
        <w:rPr>
          <w:rFonts w:hint="eastAsia" w:ascii="仿宋" w:hAnsi="仿宋" w:eastAsia="仿宋" w:cs="仿宋"/>
          <w:color w:val="auto"/>
          <w:sz w:val="24"/>
          <w:szCs w:val="24"/>
          <w:highlight w:val="none"/>
        </w:rPr>
        <w:t>；</w:t>
      </w:r>
    </w:p>
    <w:p w14:paraId="189E2A92">
      <w:pPr>
        <w:keepNext w:val="0"/>
        <w:keepLines w:val="0"/>
        <w:pageBreakBefore w:val="0"/>
        <w:widowControl w:val="0"/>
        <w:numPr>
          <w:ilvl w:val="0"/>
          <w:numId w:val="2"/>
        </w:numPr>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雇员暂时丧失工作能力</w:t>
      </w:r>
      <w:r>
        <w:rPr>
          <w:rFonts w:hint="eastAsia" w:ascii="仿宋" w:hAnsi="仿宋" w:eastAsia="仿宋" w:cs="仿宋"/>
          <w:color w:val="auto"/>
          <w:sz w:val="24"/>
          <w:szCs w:val="24"/>
          <w:highlight w:val="none"/>
          <w:lang w:val="en-US" w:eastAsia="zh-CN"/>
        </w:rPr>
        <w:t>的，</w:t>
      </w:r>
      <w:r>
        <w:rPr>
          <w:rFonts w:hint="eastAsia" w:ascii="仿宋" w:hAnsi="仿宋" w:eastAsia="仿宋" w:cs="仿宋"/>
          <w:color w:val="auto"/>
          <w:sz w:val="24"/>
          <w:szCs w:val="24"/>
          <w:highlight w:val="none"/>
        </w:rPr>
        <w:t>经二级（含）以上或保险人认可的医疗机构证明</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保险人按以下方式赔偿误工费用：</w:t>
      </w:r>
    </w:p>
    <w:p w14:paraId="7D1B02CB">
      <w:pPr>
        <w:keepNext w:val="0"/>
        <w:keepLines w:val="0"/>
        <w:pageBreakBefore w:val="0"/>
        <w:widowControl w:val="0"/>
        <w:numPr>
          <w:ilvl w:val="0"/>
          <w:numId w:val="0"/>
        </w:numP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雇员</w:t>
      </w:r>
      <w:r>
        <w:rPr>
          <w:rFonts w:hint="eastAsia" w:ascii="仿宋" w:hAnsi="仿宋" w:eastAsia="仿宋" w:cs="仿宋"/>
          <w:b w:val="0"/>
          <w:bCs w:val="0"/>
          <w:color w:val="auto"/>
          <w:sz w:val="24"/>
          <w:szCs w:val="24"/>
          <w:highlight w:val="none"/>
        </w:rPr>
        <w:t>所在地最低月工资标准÷30×</w:t>
      </w:r>
      <w:r>
        <w:rPr>
          <w:rFonts w:hint="eastAsia" w:ascii="仿宋" w:hAnsi="仿宋" w:eastAsia="仿宋" w:cs="仿宋"/>
          <w:b/>
          <w:bCs/>
          <w:color w:val="auto"/>
          <w:sz w:val="24"/>
          <w:szCs w:val="24"/>
          <w:highlight w:val="none"/>
        </w:rPr>
        <w:t>（实际暂时丧失工作能力天数-5天）</w:t>
      </w:r>
      <w:r>
        <w:rPr>
          <w:rFonts w:hint="eastAsia" w:ascii="仿宋" w:hAnsi="仿宋" w:eastAsia="仿宋" w:cs="仿宋"/>
          <w:b w:val="0"/>
          <w:bCs w:val="0"/>
          <w:color w:val="auto"/>
          <w:sz w:val="24"/>
          <w:szCs w:val="24"/>
          <w:highlight w:val="none"/>
        </w:rPr>
        <w:t>，医疗期满或确定残疾程度后停发，最长不超过365天；</w:t>
      </w:r>
    </w:p>
    <w:p w14:paraId="6D9925F9">
      <w:pPr>
        <w:keepNext w:val="0"/>
        <w:keepLines w:val="0"/>
        <w:pageBreakBefore w:val="0"/>
        <w:widowControl w:val="0"/>
        <w:numPr>
          <w:ilvl w:val="0"/>
          <w:numId w:val="0"/>
        </w:numPr>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每人误工费用责任限额包含在每人伤亡责任限额内</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如最终鉴定为残疾的，保险人对残疾赔偿金与误工费用的赔偿金额之和，以本条第（二）款计算的责任限额为限</w:t>
      </w:r>
      <w:r>
        <w:rPr>
          <w:rFonts w:hint="eastAsia" w:ascii="仿宋" w:hAnsi="仿宋" w:eastAsia="仿宋" w:cs="仿宋"/>
          <w:color w:val="auto"/>
          <w:sz w:val="24"/>
          <w:szCs w:val="24"/>
          <w:highlight w:val="none"/>
          <w:lang w:eastAsia="zh-CN"/>
        </w:rPr>
        <w:t>。</w:t>
      </w:r>
    </w:p>
    <w:p w14:paraId="1A4630EB">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（四）被保险人</w:t>
      </w:r>
      <w:r>
        <w:rPr>
          <w:rFonts w:hint="eastAsia" w:ascii="仿宋" w:hAnsi="仿宋" w:eastAsia="仿宋" w:cs="仿宋"/>
          <w:color w:val="auto"/>
          <w:sz w:val="24"/>
          <w:szCs w:val="24"/>
          <w:highlight w:val="none"/>
          <w:lang w:val="en-US" w:eastAsia="zh-CN"/>
        </w:rPr>
        <w:t>依法</w:t>
      </w:r>
      <w:r>
        <w:rPr>
          <w:rFonts w:hint="eastAsia" w:ascii="仿宋" w:hAnsi="仿宋" w:eastAsia="仿宋" w:cs="仿宋"/>
          <w:color w:val="auto"/>
          <w:sz w:val="24"/>
          <w:szCs w:val="24"/>
          <w:highlight w:val="none"/>
        </w:rPr>
        <w:t>承担的诊疗项目、药品、住院服务</w:t>
      </w:r>
      <w:r>
        <w:rPr>
          <w:rFonts w:hint="eastAsia" w:ascii="仿宋" w:hAnsi="仿宋" w:eastAsia="仿宋" w:cs="仿宋"/>
          <w:color w:val="auto"/>
          <w:sz w:val="24"/>
          <w:szCs w:val="24"/>
          <w:highlight w:val="none"/>
          <w:lang w:val="en-US" w:eastAsia="zh-CN"/>
        </w:rPr>
        <w:t>等医疗</w:t>
      </w:r>
      <w:r>
        <w:rPr>
          <w:rFonts w:hint="eastAsia" w:ascii="仿宋" w:hAnsi="仿宋" w:eastAsia="仿宋" w:cs="仿宋"/>
          <w:color w:val="auto"/>
          <w:sz w:val="24"/>
          <w:szCs w:val="24"/>
          <w:highlight w:val="none"/>
        </w:rPr>
        <w:t>费用，保险人均按照国家工伤保险待遇规定的标准，</w:t>
      </w:r>
      <w:r>
        <w:rPr>
          <w:rFonts w:hint="eastAsia" w:ascii="仿宋" w:hAnsi="仿宋" w:eastAsia="仿宋" w:cs="仿宋"/>
          <w:b/>
          <w:bCs/>
          <w:color w:val="auto"/>
          <w:sz w:val="24"/>
          <w:szCs w:val="24"/>
          <w:highlight w:val="none"/>
        </w:rPr>
        <w:t>扣除每人医疗费用免赔额或按照免赔率计算的免赔</w:t>
      </w:r>
      <w:r>
        <w:rPr>
          <w:rFonts w:hint="eastAsia" w:ascii="仿宋" w:hAnsi="仿宋" w:eastAsia="仿宋" w:cs="仿宋"/>
          <w:b/>
          <w:bCs/>
          <w:color w:val="auto"/>
          <w:sz w:val="24"/>
          <w:szCs w:val="24"/>
          <w:highlight w:val="none"/>
          <w:lang w:val="en-US" w:eastAsia="zh-CN"/>
        </w:rPr>
        <w:t>金</w:t>
      </w:r>
      <w:r>
        <w:rPr>
          <w:rFonts w:hint="eastAsia" w:ascii="仿宋" w:hAnsi="仿宋" w:eastAsia="仿宋" w:cs="仿宋"/>
          <w:b/>
          <w:bCs/>
          <w:color w:val="auto"/>
          <w:sz w:val="24"/>
          <w:szCs w:val="24"/>
          <w:highlight w:val="none"/>
        </w:rPr>
        <w:t>额后</w:t>
      </w:r>
      <w:r>
        <w:rPr>
          <w:rFonts w:hint="eastAsia" w:ascii="仿宋" w:hAnsi="仿宋" w:eastAsia="仿宋" w:cs="仿宋"/>
          <w:color w:val="auto"/>
          <w:sz w:val="24"/>
          <w:szCs w:val="24"/>
          <w:highlight w:val="none"/>
        </w:rPr>
        <w:t>，在每人医疗费用责任限额内据实赔偿。</w:t>
      </w:r>
    </w:p>
    <w:p w14:paraId="7B0175F3">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snapToGrid w:val="0"/>
          <w:color w:val="auto"/>
          <w:sz w:val="24"/>
          <w:szCs w:val="24"/>
          <w:highlight w:val="none"/>
        </w:rPr>
      </w:pPr>
      <w:r>
        <w:rPr>
          <w:rFonts w:hint="eastAsia" w:ascii="仿宋" w:hAnsi="仿宋" w:eastAsia="仿宋" w:cs="仿宋"/>
          <w:color w:val="auto"/>
          <w:sz w:val="24"/>
          <w:szCs w:val="24"/>
          <w:highlight w:val="none"/>
        </w:rPr>
        <w:t>除紧急抢救外，雇员均应在二级（含）以上或保险人认可的医疗机构就诊</w:t>
      </w:r>
      <w:r>
        <w:rPr>
          <w:rFonts w:hint="eastAsia" w:ascii="仿宋" w:hAnsi="仿宋" w:eastAsia="仿宋" w:cs="仿宋"/>
          <w:snapToGrid w:val="0"/>
          <w:color w:val="auto"/>
          <w:sz w:val="24"/>
          <w:szCs w:val="24"/>
          <w:highlight w:val="none"/>
        </w:rPr>
        <w:t>。</w:t>
      </w:r>
    </w:p>
    <w:p w14:paraId="631661B3">
      <w:pPr>
        <w:keepNext w:val="0"/>
        <w:keepLines w:val="0"/>
        <w:pageBreakBefore w:val="0"/>
        <w:widowControl w:val="0"/>
        <w:numPr>
          <w:ilvl w:val="0"/>
          <w:numId w:val="0"/>
        </w:numPr>
        <w:kinsoku/>
        <w:wordWrap/>
        <w:overflowPunct/>
        <w:topLinePunct w:val="0"/>
        <w:autoSpaceDE/>
        <w:autoSpaceDN/>
        <w:bidi w:val="0"/>
        <w:spacing w:line="360" w:lineRule="auto"/>
        <w:ind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第三十条</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在保险期间内，发生一次或多次保险事故时，保险人按照以下方式处理：</w:t>
      </w:r>
    </w:p>
    <w:p w14:paraId="13042C26">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（一）保险人针对每名雇员赔偿的</w:t>
      </w:r>
      <w:r>
        <w:rPr>
          <w:rFonts w:hint="eastAsia" w:ascii="仿宋" w:hAnsi="仿宋" w:eastAsia="仿宋" w:cs="仿宋"/>
          <w:color w:val="auto"/>
          <w:sz w:val="24"/>
          <w:szCs w:val="24"/>
          <w:highlight w:val="none"/>
          <w:lang w:val="en-US" w:eastAsia="zh-CN"/>
        </w:rPr>
        <w:t>死亡</w:t>
      </w:r>
      <w:r>
        <w:rPr>
          <w:rFonts w:hint="eastAsia" w:ascii="仿宋" w:hAnsi="仿宋" w:eastAsia="仿宋" w:cs="仿宋"/>
          <w:color w:val="auto"/>
          <w:sz w:val="24"/>
          <w:szCs w:val="24"/>
          <w:highlight w:val="none"/>
        </w:rPr>
        <w:t>赔偿金</w:t>
      </w:r>
      <w:r>
        <w:rPr>
          <w:rFonts w:hint="eastAsia" w:ascii="仿宋" w:hAnsi="仿宋" w:eastAsia="仿宋" w:cs="仿宋"/>
          <w:color w:val="auto"/>
          <w:sz w:val="24"/>
          <w:szCs w:val="24"/>
          <w:highlight w:val="none"/>
          <w:lang w:val="en-US" w:eastAsia="zh-CN"/>
        </w:rPr>
        <w:t>、残疾</w:t>
      </w:r>
      <w:r>
        <w:rPr>
          <w:rFonts w:hint="eastAsia" w:ascii="仿宋" w:hAnsi="仿宋" w:eastAsia="仿宋" w:cs="仿宋"/>
          <w:color w:val="auto"/>
          <w:sz w:val="24"/>
          <w:szCs w:val="24"/>
          <w:highlight w:val="none"/>
        </w:rPr>
        <w:t xml:space="preserve">赔偿金、误工费用之和不超过每人伤亡责任限额；针对每名雇员赔偿的医疗费用不超过每人医疗费用责任限额； </w:t>
      </w:r>
      <w:r>
        <w:rPr>
          <w:rFonts w:hint="eastAsia" w:ascii="仿宋" w:hAnsi="仿宋" w:eastAsia="仿宋" w:cs="仿宋"/>
          <w:color w:val="auto"/>
          <w:sz w:val="24"/>
          <w:szCs w:val="24"/>
          <w:highlight w:val="none"/>
          <w:lang w:val="en-US" w:eastAsia="zh-CN"/>
        </w:rPr>
        <w:t>针对每名雇员赔偿的法律费用不超过每人法律费用责任限额；</w:t>
      </w:r>
    </w:p>
    <w:p w14:paraId="5100207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rPr>
        <w:t>）发生一次保险事故造成一名及以上雇员伤害的，保险人针对</w:t>
      </w:r>
      <w:r>
        <w:rPr>
          <w:rFonts w:hint="eastAsia" w:ascii="仿宋" w:hAnsi="仿宋" w:eastAsia="仿宋" w:cs="仿宋"/>
          <w:color w:val="auto"/>
          <w:sz w:val="24"/>
          <w:szCs w:val="24"/>
          <w:highlight w:val="none"/>
          <w:lang w:val="en-US" w:eastAsia="zh-CN"/>
        </w:rPr>
        <w:t>全部受伤害</w:t>
      </w:r>
      <w:r>
        <w:rPr>
          <w:rFonts w:hint="eastAsia" w:ascii="仿宋" w:hAnsi="仿宋" w:eastAsia="仿宋" w:cs="仿宋"/>
          <w:color w:val="auto"/>
          <w:sz w:val="24"/>
          <w:szCs w:val="24"/>
          <w:highlight w:val="none"/>
        </w:rPr>
        <w:t>雇员的赔偿金额之和不超过每次事故责任限额；</w:t>
      </w:r>
    </w:p>
    <w:p w14:paraId="280DC99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rPr>
        <w:t>）对应由被保险人支付的法律费用的累计赔偿金额不超过法律费用责任限额；</w:t>
      </w:r>
    </w:p>
    <w:p w14:paraId="039B2229">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（四）保险人对多次保险事故的累计赔偿金额不超过累计责任限额</w:t>
      </w:r>
      <w:r>
        <w:rPr>
          <w:rFonts w:hint="eastAsia" w:ascii="仿宋" w:hAnsi="仿宋" w:eastAsia="仿宋" w:cs="仿宋"/>
          <w:color w:val="auto"/>
          <w:sz w:val="24"/>
          <w:szCs w:val="24"/>
          <w:highlight w:val="none"/>
          <w:lang w:eastAsia="zh-CN"/>
        </w:rPr>
        <w:t>。</w:t>
      </w:r>
    </w:p>
    <w:p w14:paraId="7743CB2A">
      <w:pPr>
        <w:keepNext w:val="0"/>
        <w:keepLines w:val="0"/>
        <w:pageBreakBefore w:val="0"/>
        <w:widowControl w:val="0"/>
        <w:numPr>
          <w:ilvl w:val="0"/>
          <w:numId w:val="0"/>
        </w:numPr>
        <w:kinsoku/>
        <w:wordWrap/>
        <w:overflowPunct/>
        <w:topLinePunct w:val="0"/>
        <w:autoSpaceDE/>
        <w:autoSpaceDN/>
        <w:bidi w:val="0"/>
        <w:spacing w:line="360" w:lineRule="auto"/>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lang w:val="en-US" w:eastAsia="zh-CN"/>
        </w:rPr>
        <w:t>第三十一条</w:t>
      </w:r>
      <w:r>
        <w:rPr>
          <w:rFonts w:hint="eastAsia" w:ascii="仿宋" w:hAnsi="仿宋" w:eastAsia="仿宋" w:cs="仿宋"/>
          <w:color w:val="auto"/>
          <w:sz w:val="24"/>
          <w:szCs w:val="24"/>
          <w:highlight w:val="none"/>
          <w:lang w:val="en-US" w:eastAsia="zh-CN"/>
        </w:rPr>
        <w:t xml:space="preserve"> 以责任限额计算保险费的，</w:t>
      </w:r>
      <w:r>
        <w:rPr>
          <w:rFonts w:hint="eastAsia" w:ascii="仿宋" w:hAnsi="仿宋" w:eastAsia="仿宋" w:cs="仿宋"/>
          <w:color w:val="auto"/>
          <w:sz w:val="24"/>
          <w:szCs w:val="24"/>
          <w:highlight w:val="none"/>
        </w:rPr>
        <w:t>保险人按照被保险人提供的雇员名单承担赔偿责任。</w:t>
      </w:r>
      <w:r>
        <w:rPr>
          <w:rFonts w:hint="eastAsia" w:ascii="仿宋" w:hAnsi="仿宋" w:eastAsia="仿宋" w:cs="仿宋"/>
          <w:b/>
          <w:color w:val="auto"/>
          <w:sz w:val="24"/>
          <w:szCs w:val="24"/>
          <w:highlight w:val="none"/>
        </w:rPr>
        <w:t>被保险人对名单以外的雇员承担的赔偿责任，保险人不负责赔偿。</w:t>
      </w:r>
    </w:p>
    <w:p w14:paraId="38E991D6">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 xml:space="preserve">第三十二条 </w:t>
      </w:r>
      <w:r>
        <w:rPr>
          <w:rFonts w:hint="eastAsia" w:ascii="仿宋" w:hAnsi="仿宋" w:eastAsia="仿宋" w:cs="仿宋"/>
          <w:b/>
          <w:bCs/>
          <w:color w:val="auto"/>
          <w:sz w:val="24"/>
          <w:szCs w:val="24"/>
          <w:highlight w:val="none"/>
        </w:rPr>
        <w:t xml:space="preserve">保险事故发生时，如果被保险人的损失在有相同保障的其他保险项下也能够获得赔偿，保险人按照本保险合同的相应责任限额与其他保险合同及本保险合同相应责任限额总和的比例承担赔偿责任。 </w:t>
      </w:r>
    </w:p>
    <w:p w14:paraId="60163FFD">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仿宋" w:hAnsi="仿宋" w:eastAsia="仿宋" w:cs="仿宋"/>
          <w:b/>
          <w:bCs/>
          <w:color w:val="auto"/>
          <w:sz w:val="24"/>
          <w:szCs w:val="24"/>
          <w:highlight w:val="none"/>
          <w:lang w:val="en-US"/>
        </w:rPr>
      </w:pPr>
      <w:r>
        <w:rPr>
          <w:rFonts w:hint="eastAsia" w:ascii="仿宋" w:hAnsi="仿宋" w:eastAsia="仿宋" w:cs="仿宋"/>
          <w:b/>
          <w:bCs/>
          <w:color w:val="auto"/>
          <w:sz w:val="24"/>
          <w:szCs w:val="24"/>
          <w:highlight w:val="none"/>
        </w:rPr>
        <w:t>其他保险人应承担的赔偿金额，本保险人不负责垫付。被保险人未如实告知导致保险人多支付赔偿金的，保险人有权向被保险人追回多支付的部分。</w:t>
      </w:r>
    </w:p>
    <w:p w14:paraId="726963EE">
      <w:pPr>
        <w:pageBreakBefore w:val="0"/>
        <w:kinsoku/>
        <w:wordWrap/>
        <w:overflowPunct/>
        <w:topLinePunct w:val="0"/>
        <w:autoSpaceDE/>
        <w:autoSpaceDN/>
        <w:bidi w:val="0"/>
        <w:spacing w:line="360" w:lineRule="auto"/>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争议处理</w:t>
      </w:r>
    </w:p>
    <w:p w14:paraId="3D5AFB3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第三十三条</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合同争议解决方式由当事人在保险合同中约定的下列</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rPr>
        <w:t>种方式中选择一种：</w:t>
      </w:r>
    </w:p>
    <w:p w14:paraId="69FE3D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一</w:t>
      </w:r>
      <w:r>
        <w:rPr>
          <w:rFonts w:hint="eastAsia" w:ascii="仿宋" w:hAnsi="仿宋" w:eastAsia="仿宋" w:cs="仿宋"/>
          <w:color w:val="auto"/>
          <w:sz w:val="24"/>
          <w:szCs w:val="24"/>
          <w:highlight w:val="none"/>
          <w:lang w:eastAsia="zh-CN"/>
        </w:rPr>
        <w:t>）因履行本</w:t>
      </w:r>
      <w:r>
        <w:rPr>
          <w:rFonts w:hint="eastAsia" w:ascii="仿宋" w:hAnsi="仿宋" w:eastAsia="仿宋" w:cs="仿宋"/>
          <w:color w:val="auto"/>
          <w:sz w:val="24"/>
          <w:szCs w:val="24"/>
          <w:highlight w:val="none"/>
          <w:lang w:val="en-US" w:eastAsia="zh-CN"/>
        </w:rPr>
        <w:t>保险</w:t>
      </w:r>
      <w:r>
        <w:rPr>
          <w:rFonts w:hint="eastAsia" w:ascii="仿宋" w:hAnsi="仿宋" w:eastAsia="仿宋" w:cs="仿宋"/>
          <w:color w:val="auto"/>
          <w:sz w:val="24"/>
          <w:szCs w:val="24"/>
          <w:highlight w:val="none"/>
          <w:lang w:eastAsia="zh-CN"/>
        </w:rPr>
        <w:t>合同发生的争议，由当事人协商解决，协商不成的，向调解组织申请调解；</w:t>
      </w:r>
    </w:p>
    <w:p w14:paraId="45E8EA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rPr>
        <w:t>）因履行本保险合同发生的争议，由当事人协商解决，协商不成的，提交保险单载明的仲裁委员会仲裁；</w:t>
      </w:r>
    </w:p>
    <w:p w14:paraId="138687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rPr>
        <w:t>）因履行本保险合同发生的争议，由当事人协商解决，协商不成的，依法向人民法院起诉。</w:t>
      </w:r>
    </w:p>
    <w:p w14:paraId="6AE5AE7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第三十四条</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与本保险合同有关的以及履行本保险合同产生的一切争议处理适用中华人民共和国法律（不包括港澳台地区法律）。</w:t>
      </w:r>
    </w:p>
    <w:p w14:paraId="06B70ECF">
      <w:pPr>
        <w:pageBreakBefore w:val="0"/>
        <w:kinsoku/>
        <w:wordWrap/>
        <w:overflowPunct/>
        <w:topLinePunct w:val="0"/>
        <w:autoSpaceDE/>
        <w:autoSpaceDN/>
        <w:bidi w:val="0"/>
        <w:spacing w:line="360" w:lineRule="auto"/>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其他事项</w:t>
      </w:r>
    </w:p>
    <w:p w14:paraId="6C32EA5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第三十五条</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保险责任开始前，投保人要求解除保险合同的，</w:t>
      </w:r>
      <w:r>
        <w:rPr>
          <w:rFonts w:hint="eastAsia" w:ascii="仿宋" w:hAnsi="仿宋" w:eastAsia="仿宋" w:cs="仿宋"/>
          <w:b/>
          <w:bCs/>
          <w:color w:val="auto"/>
          <w:sz w:val="24"/>
          <w:szCs w:val="24"/>
          <w:highlight w:val="none"/>
        </w:rPr>
        <w:t>应当按照保险合同约定的比例向保险人支付退保手续费，具体比例由投保人和保险人协商确定，并在保险单中载明</w:t>
      </w:r>
      <w:r>
        <w:rPr>
          <w:rFonts w:hint="eastAsia" w:ascii="仿宋" w:hAnsi="仿宋" w:eastAsia="仿宋" w:cs="仿宋"/>
          <w:color w:val="auto"/>
          <w:sz w:val="24"/>
          <w:szCs w:val="24"/>
          <w:highlight w:val="none"/>
        </w:rPr>
        <w:t>，保险人应当退还保险费。</w:t>
      </w:r>
    </w:p>
    <w:p w14:paraId="746CB4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保险责任开始后，投保人要求解除保险合同的，自通知保险人之日起，保险合同解除，</w:t>
      </w:r>
      <w:r>
        <w:rPr>
          <w:rFonts w:hint="eastAsia" w:ascii="仿宋" w:hAnsi="仿宋" w:eastAsia="仿宋" w:cs="仿宋"/>
          <w:b/>
          <w:bCs/>
          <w:color w:val="auto"/>
          <w:sz w:val="24"/>
          <w:szCs w:val="24"/>
          <w:highlight w:val="none"/>
        </w:rPr>
        <w:t>保险人按照保险责任开始之日起至合同解除之日止期间与保险期间的日比例计收保险费，并退还剩余部分保险费。</w:t>
      </w:r>
    </w:p>
    <w:p w14:paraId="6BF7BB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第三十六条</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本保险合同约定与《中华人民共和国保险法》等法律规定相悖之处，以法律规定为准。本保险合同未尽事宜，以法律规定为准。</w:t>
      </w:r>
      <w:bookmarkStart w:id="25" w:name="_Hlt3713713"/>
      <w:bookmarkEnd w:id="25"/>
      <w:bookmarkStart w:id="26" w:name="_Hlt5776656"/>
      <w:bookmarkEnd w:id="26"/>
      <w:bookmarkStart w:id="27" w:name="_Hlt3713550"/>
      <w:bookmarkEnd w:id="27"/>
      <w:bookmarkStart w:id="28" w:name="_Hlt3962613"/>
      <w:bookmarkEnd w:id="28"/>
      <w:bookmarkStart w:id="29" w:name="_Hlt3713473"/>
      <w:bookmarkEnd w:id="29"/>
      <w:bookmarkStart w:id="30" w:name="_Hlt3713260"/>
      <w:bookmarkEnd w:id="30"/>
      <w:bookmarkStart w:id="31" w:name="_Hlt5776690"/>
      <w:bookmarkEnd w:id="31"/>
      <w:bookmarkStart w:id="32" w:name="_Hlt3962593"/>
      <w:bookmarkEnd w:id="32"/>
      <w:bookmarkStart w:id="33" w:name="_Hlt5777173"/>
      <w:bookmarkEnd w:id="33"/>
      <w:bookmarkStart w:id="34" w:name="_Hlt3713934"/>
      <w:bookmarkEnd w:id="34"/>
    </w:p>
    <w:p w14:paraId="717201F0">
      <w:pPr>
        <w:pageBreakBefore w:val="0"/>
        <w:kinsoku/>
        <w:wordWrap/>
        <w:overflowPunct/>
        <w:topLinePunct w:val="0"/>
        <w:autoSpaceDE/>
        <w:autoSpaceDN/>
        <w:bidi w:val="0"/>
        <w:spacing w:line="360" w:lineRule="auto"/>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释义</w:t>
      </w:r>
    </w:p>
    <w:p w14:paraId="4766D3FF">
      <w:pPr>
        <w:keepNext w:val="0"/>
        <w:keepLines w:val="0"/>
        <w:pageBreakBefore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第三十七条</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本保险合同涉及下列术语时，适用下列释义：</w:t>
      </w:r>
    </w:p>
    <w:p w14:paraId="3E02A8D1">
      <w:pPr>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【雇员】</w:t>
      </w:r>
      <w:r>
        <w:rPr>
          <w:rFonts w:hint="eastAsia" w:ascii="仿宋" w:hAnsi="仿宋" w:eastAsia="仿宋" w:cs="仿宋"/>
          <w:color w:val="auto"/>
          <w:sz w:val="24"/>
          <w:szCs w:val="24"/>
          <w:highlight w:val="none"/>
        </w:rPr>
        <w:t>指</w:t>
      </w:r>
      <w:r>
        <w:rPr>
          <w:rFonts w:hint="eastAsia" w:ascii="仿宋" w:hAnsi="仿宋" w:eastAsia="仿宋" w:cs="仿宋"/>
          <w:color w:val="auto"/>
          <w:sz w:val="24"/>
          <w:szCs w:val="24"/>
          <w:highlight w:val="none"/>
          <w:lang w:val="en-US" w:eastAsia="zh-CN"/>
        </w:rPr>
        <w:t>依法与被保险人签订劳动合同建立劳动关系，或虽未签订劳动合同但根据《关于确立劳动关系有关事项的通知》可确立为劳动关系的人员</w:t>
      </w:r>
      <w:r>
        <w:rPr>
          <w:rFonts w:hint="eastAsia" w:ascii="仿宋" w:hAnsi="仿宋" w:eastAsia="仿宋" w:cs="仿宋"/>
          <w:b/>
          <w:bCs/>
          <w:color w:val="auto"/>
          <w:sz w:val="24"/>
          <w:szCs w:val="24"/>
          <w:highlight w:val="none"/>
        </w:rPr>
        <w:t>。</w:t>
      </w:r>
    </w:p>
    <w:p w14:paraId="5E065C57">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意外事故</w:t>
      </w:r>
      <w:r>
        <w:rPr>
          <w:rFonts w:hint="eastAsia" w:ascii="仿宋" w:hAnsi="仿宋" w:eastAsia="仿宋" w:cs="仿宋"/>
          <w:color w:val="auto"/>
          <w:sz w:val="24"/>
          <w:szCs w:val="24"/>
          <w:highlight w:val="none"/>
          <w:lang w:eastAsia="zh-CN"/>
        </w:rPr>
        <w:t>】指外来的、突然的、非本意的、非疾病所导致的客观事件，并以此客观事件为直接且单独原因导致身体伤害或财产损失。所有持续或重复受实质上相同损害情形而导致的身体伤害或财产损失为一次事故。</w:t>
      </w:r>
    </w:p>
    <w:p w14:paraId="2BAFF653">
      <w:pPr>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b/>
          <w:color w:val="auto"/>
          <w:sz w:val="24"/>
          <w:szCs w:val="24"/>
          <w:highlight w:val="none"/>
        </w:rPr>
        <w:t>【依法】</w:t>
      </w:r>
      <w:r>
        <w:rPr>
          <w:rFonts w:hint="eastAsia" w:ascii="仿宋" w:hAnsi="仿宋" w:eastAsia="仿宋" w:cs="仿宋"/>
          <w:color w:val="auto"/>
          <w:sz w:val="24"/>
          <w:szCs w:val="24"/>
          <w:highlight w:val="none"/>
        </w:rPr>
        <w:t>指依照中华人民共和国法律（不包括港、澳、台地区法律）。</w:t>
      </w:r>
    </w:p>
    <w:p w14:paraId="3B17FC4E">
      <w:pPr>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bCs/>
          <w:color w:val="auto"/>
          <w:sz w:val="24"/>
          <w:szCs w:val="24"/>
          <w:highlight w:val="none"/>
        </w:rPr>
      </w:pPr>
      <w:r>
        <w:rPr>
          <w:rFonts w:hint="eastAsia" w:ascii="仿宋" w:hAnsi="仿宋" w:eastAsia="仿宋" w:cs="仿宋"/>
          <w:b/>
          <w:bCs/>
          <w:color w:val="auto"/>
          <w:sz w:val="24"/>
          <w:szCs w:val="24"/>
          <w:highlight w:val="none"/>
        </w:rPr>
        <w:t>【职业病】</w:t>
      </w:r>
      <w:r>
        <w:rPr>
          <w:rFonts w:hint="eastAsia" w:ascii="仿宋" w:hAnsi="仿宋" w:eastAsia="仿宋" w:cs="仿宋"/>
          <w:bCs/>
          <w:color w:val="auto"/>
          <w:sz w:val="24"/>
          <w:szCs w:val="24"/>
          <w:highlight w:val="none"/>
        </w:rPr>
        <w:t>指企业、事业单位和个体经济组织等用人单位的劳动者在职业活动中，因接触粉尘、放射性物质和其他有毒、有害因素而引起的疾病。 职业病的分类和目录由国务院卫生行政部门会同国务院劳动保障行政部门制定、调整并公布。</w:t>
      </w:r>
    </w:p>
    <w:p w14:paraId="79A0ACFE">
      <w:pPr>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上下班途中</w:t>
      </w:r>
      <w:r>
        <w:rPr>
          <w:rFonts w:hint="eastAsia" w:ascii="仿宋" w:hAnsi="仿宋" w:eastAsia="仿宋" w:cs="仿宋"/>
          <w:b/>
          <w:bCs/>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指下列情形之一：</w:t>
      </w:r>
    </w:p>
    <w:p w14:paraId="75608DD6">
      <w:pPr>
        <w:pStyle w:val="2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（一）在合理时间内往返于工作地与住所地、经常居住地、单位宿舍的合理路线的上下班途中；</w:t>
      </w:r>
    </w:p>
    <w:p w14:paraId="243B9018">
      <w:pPr>
        <w:pStyle w:val="2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（二）在合理时间内往返于工作地与配偶、父母、子女居住地的合理路线的上下班途中；</w:t>
      </w:r>
    </w:p>
    <w:p w14:paraId="57D5F101">
      <w:pPr>
        <w:pStyle w:val="2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（三）从事属于日常工作生活所需要的活动，且在合理时间和合理路线的上下班途中；</w:t>
      </w:r>
    </w:p>
    <w:p w14:paraId="0249F66D">
      <w:pPr>
        <w:pStyle w:val="2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（四）在合理时间内其他合理路线的上下班途中。</w:t>
      </w:r>
    </w:p>
    <w:p w14:paraId="638F0497">
      <w:pPr>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因工外出</w:t>
      </w:r>
      <w:r>
        <w:rPr>
          <w:rFonts w:hint="eastAsia" w:ascii="仿宋" w:hAnsi="仿宋" w:eastAsia="仿宋" w:cs="仿宋"/>
          <w:b/>
          <w:bCs/>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指下列情形之一：</w:t>
      </w:r>
    </w:p>
    <w:p w14:paraId="43014501">
      <w:pPr>
        <w:pStyle w:val="2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（一）职工受用人单位指派或者因工作需要在工作场所以外从事与工作职责有关的活动期间；</w:t>
      </w:r>
    </w:p>
    <w:p w14:paraId="74FFB70E">
      <w:pPr>
        <w:pStyle w:val="2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（二）职工受用人单位指派外出学习或者开会期间；</w:t>
      </w:r>
    </w:p>
    <w:p w14:paraId="0A09401A">
      <w:pPr>
        <w:pStyle w:val="2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（三）职工因工作需要的其他外出活动期间。</w:t>
      </w:r>
    </w:p>
    <w:p w14:paraId="59C83E58">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color w:val="auto"/>
          <w:kern w:val="0"/>
          <w:sz w:val="24"/>
          <w:szCs w:val="24"/>
          <w:highlight w:val="none"/>
        </w:rPr>
        <w:t>职工因工外出期间从事与工作或者受用人单位指派外出学习、开会无关的个人活动受到伤害</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不认定为工伤</w:t>
      </w:r>
      <w:r>
        <w:rPr>
          <w:rFonts w:hint="eastAsia" w:ascii="仿宋" w:hAnsi="仿宋" w:eastAsia="仿宋" w:cs="仿宋"/>
          <w:color w:val="auto"/>
          <w:kern w:val="0"/>
          <w:sz w:val="24"/>
          <w:szCs w:val="24"/>
          <w:highlight w:val="none"/>
          <w:lang w:eastAsia="zh-CN"/>
        </w:rPr>
        <w:t>。</w:t>
      </w:r>
    </w:p>
    <w:p w14:paraId="2E79FFB4">
      <w:pPr>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bCs/>
          <w:color w:val="auto"/>
          <w:sz w:val="24"/>
          <w:szCs w:val="24"/>
          <w:highlight w:val="none"/>
        </w:rPr>
      </w:pPr>
      <w:r>
        <w:rPr>
          <w:rFonts w:hint="eastAsia" w:ascii="仿宋" w:hAnsi="仿宋" w:eastAsia="仿宋" w:cs="仿宋"/>
          <w:b/>
          <w:bCs/>
          <w:color w:val="auto"/>
          <w:sz w:val="24"/>
          <w:szCs w:val="24"/>
          <w:highlight w:val="none"/>
        </w:rPr>
        <w:t>【无有效驾驶证驾驶】</w:t>
      </w:r>
      <w:r>
        <w:rPr>
          <w:rFonts w:hint="eastAsia" w:ascii="仿宋" w:hAnsi="仿宋" w:eastAsia="仿宋" w:cs="仿宋"/>
          <w:bCs/>
          <w:color w:val="auto"/>
          <w:sz w:val="24"/>
          <w:szCs w:val="24"/>
          <w:highlight w:val="none"/>
        </w:rPr>
        <w:t>指下列情形之一：</w:t>
      </w:r>
    </w:p>
    <w:p w14:paraId="0FE9D637">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（一）无驾驶证，驾驶证被依法扣留、暂扣、吊销、注销期间；</w:t>
      </w:r>
    </w:p>
    <w:p w14:paraId="4BBD8468">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（二）驾驶与驾驶证载明的准驾车型不相符合的车辆；</w:t>
      </w:r>
    </w:p>
    <w:p w14:paraId="27C5FE11">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（三）持审验不合格的驾驶证驾驶。</w:t>
      </w:r>
    </w:p>
    <w:p w14:paraId="5143383F">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w:t>
      </w:r>
      <w:r>
        <w:rPr>
          <w:rFonts w:hint="eastAsia" w:ascii="仿宋" w:hAnsi="仿宋" w:eastAsia="仿宋" w:cs="仿宋"/>
          <w:b/>
          <w:bCs w:val="0"/>
          <w:color w:val="auto"/>
          <w:sz w:val="24"/>
          <w:szCs w:val="24"/>
          <w:highlight w:val="none"/>
          <w:lang w:val="en-US" w:eastAsia="zh-CN"/>
        </w:rPr>
        <w:t>高处作业</w:t>
      </w:r>
      <w:r>
        <w:rPr>
          <w:rFonts w:hint="eastAsia" w:ascii="仿宋" w:hAnsi="仿宋" w:eastAsia="仿宋" w:cs="仿宋"/>
          <w:bCs/>
          <w:color w:val="auto"/>
          <w:sz w:val="24"/>
          <w:szCs w:val="24"/>
          <w:highlight w:val="none"/>
          <w:lang w:eastAsia="zh-CN"/>
        </w:rPr>
        <w:t>】指在距坠落高度基准面2m或2m以上高处进行的作业，以国家最新发布的《高处作业分级标准》中的定义为准。</w:t>
      </w:r>
    </w:p>
    <w:p w14:paraId="0E57777E">
      <w:pPr>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bCs/>
          <w:color w:val="auto"/>
          <w:sz w:val="24"/>
          <w:szCs w:val="24"/>
          <w:highlight w:val="none"/>
        </w:rPr>
      </w:pPr>
      <w:r>
        <w:rPr>
          <w:rFonts w:hint="eastAsia" w:ascii="仿宋" w:hAnsi="仿宋" w:eastAsia="仿宋" w:cs="仿宋"/>
          <w:b/>
          <w:bCs/>
          <w:color w:val="auto"/>
          <w:sz w:val="24"/>
          <w:szCs w:val="24"/>
          <w:highlight w:val="none"/>
        </w:rPr>
        <w:t>【保险人认可的伤残鉴定机构】</w:t>
      </w:r>
      <w:r>
        <w:rPr>
          <w:rFonts w:hint="eastAsia" w:ascii="仿宋" w:hAnsi="仿宋" w:eastAsia="仿宋" w:cs="仿宋"/>
          <w:bCs/>
          <w:color w:val="auto"/>
          <w:sz w:val="24"/>
          <w:szCs w:val="24"/>
          <w:highlight w:val="none"/>
        </w:rPr>
        <w:t>指司法鉴定机构以及国家卫生部医院等级分类中的二级（含）以上的医疗机构。</w:t>
      </w:r>
    </w:p>
    <w:p w14:paraId="1BC1F118">
      <w:pPr>
        <w:pageBreakBefore w:val="0"/>
        <w:kinsoku/>
        <w:wordWrap/>
        <w:overflowPunct/>
        <w:topLinePunct w:val="0"/>
        <w:autoSpaceDE/>
        <w:autoSpaceDN/>
        <w:bidi w:val="0"/>
        <w:spacing w:line="360" w:lineRule="auto"/>
        <w:ind w:firstLine="480" w:firstLineChars="200"/>
        <w:textAlignment w:val="auto"/>
        <w:rPr>
          <w:rFonts w:hint="eastAsia" w:ascii="仿宋" w:hAnsi="仿宋" w:eastAsia="仿宋" w:cs="仿宋"/>
          <w:bCs/>
          <w:color w:val="auto"/>
          <w:sz w:val="24"/>
          <w:szCs w:val="24"/>
          <w:highlight w:val="none"/>
        </w:rPr>
      </w:pPr>
    </w:p>
    <w:p w14:paraId="6B178A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br w:type="page"/>
      </w:r>
      <w:r>
        <w:rPr>
          <w:rFonts w:hint="eastAsia" w:ascii="仿宋" w:hAnsi="仿宋" w:eastAsia="仿宋" w:cs="仿宋"/>
          <w:b/>
          <w:bCs/>
          <w:color w:val="auto"/>
          <w:sz w:val="24"/>
          <w:szCs w:val="24"/>
          <w:highlight w:val="none"/>
        </w:rPr>
        <w:t>附表：伤残赔偿比例表</w:t>
      </w:r>
    </w:p>
    <w:tbl>
      <w:tblPr>
        <w:tblStyle w:val="26"/>
        <w:tblW w:w="83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6"/>
        <w:gridCol w:w="4785"/>
        <w:gridCol w:w="1771"/>
      </w:tblGrid>
      <w:tr w14:paraId="6165E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504" w:type="dxa"/>
            <w:noWrap w:val="0"/>
            <w:vAlign w:val="top"/>
          </w:tcPr>
          <w:p w14:paraId="0053DC11">
            <w:pPr>
              <w:pageBreakBefore w:val="0"/>
              <w:kinsoku/>
              <w:wordWrap/>
              <w:overflowPunct/>
              <w:topLinePunct w:val="0"/>
              <w:autoSpaceDE/>
              <w:autoSpaceDN/>
              <w:bidi w:val="0"/>
              <w:spacing w:line="360" w:lineRule="auto"/>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项目</w:t>
            </w:r>
          </w:p>
        </w:tc>
        <w:tc>
          <w:tcPr>
            <w:tcW w:w="3918" w:type="dxa"/>
            <w:noWrap w:val="0"/>
            <w:vAlign w:val="top"/>
          </w:tcPr>
          <w:p w14:paraId="7999D261">
            <w:pPr>
              <w:pageBreakBefore w:val="0"/>
              <w:kinsoku/>
              <w:wordWrap/>
              <w:overflowPunct/>
              <w:topLinePunct w:val="0"/>
              <w:autoSpaceDE/>
              <w:autoSpaceDN/>
              <w:bidi w:val="0"/>
              <w:spacing w:line="360" w:lineRule="auto"/>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伤残</w:t>
            </w:r>
            <w:r>
              <w:rPr>
                <w:rFonts w:hint="eastAsia" w:ascii="仿宋" w:hAnsi="仿宋" w:eastAsia="仿宋" w:cs="仿宋"/>
                <w:b/>
                <w:bCs/>
                <w:color w:val="auto"/>
                <w:sz w:val="24"/>
                <w:szCs w:val="24"/>
                <w:highlight w:val="none"/>
                <w:lang w:val="en-US" w:eastAsia="zh-CN"/>
              </w:rPr>
              <w:t>等级</w:t>
            </w:r>
          </w:p>
        </w:tc>
        <w:tc>
          <w:tcPr>
            <w:tcW w:w="1450" w:type="dxa"/>
            <w:noWrap w:val="0"/>
            <w:vAlign w:val="top"/>
          </w:tcPr>
          <w:p w14:paraId="2D3F7B5B">
            <w:pPr>
              <w:pageBreakBefore w:val="0"/>
              <w:kinsoku/>
              <w:wordWrap/>
              <w:overflowPunct/>
              <w:topLinePunct w:val="0"/>
              <w:autoSpaceDE/>
              <w:autoSpaceDN/>
              <w:bidi w:val="0"/>
              <w:spacing w:line="360" w:lineRule="auto"/>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比例</w:t>
            </w:r>
          </w:p>
        </w:tc>
      </w:tr>
      <w:tr w14:paraId="65A83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504" w:type="dxa"/>
            <w:noWrap w:val="0"/>
            <w:vAlign w:val="top"/>
          </w:tcPr>
          <w:p w14:paraId="08F5BE7A">
            <w:pPr>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w:t>
            </w:r>
          </w:p>
        </w:tc>
        <w:tc>
          <w:tcPr>
            <w:tcW w:w="3918" w:type="dxa"/>
            <w:noWrap w:val="0"/>
            <w:vAlign w:val="top"/>
          </w:tcPr>
          <w:p w14:paraId="259EC844">
            <w:pPr>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一级伤残</w:t>
            </w:r>
          </w:p>
        </w:tc>
        <w:tc>
          <w:tcPr>
            <w:tcW w:w="1450" w:type="dxa"/>
            <w:noWrap w:val="0"/>
            <w:vAlign w:val="top"/>
          </w:tcPr>
          <w:p w14:paraId="0DF03737">
            <w:pPr>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100%</w:t>
            </w:r>
          </w:p>
        </w:tc>
      </w:tr>
      <w:tr w14:paraId="428BE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504" w:type="dxa"/>
            <w:noWrap w:val="0"/>
            <w:vAlign w:val="top"/>
          </w:tcPr>
          <w:p w14:paraId="296EBA00">
            <w:pPr>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w:t>
            </w:r>
          </w:p>
        </w:tc>
        <w:tc>
          <w:tcPr>
            <w:tcW w:w="3918" w:type="dxa"/>
            <w:noWrap w:val="0"/>
            <w:vAlign w:val="top"/>
          </w:tcPr>
          <w:p w14:paraId="2C54EFE4">
            <w:pPr>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二级伤残</w:t>
            </w:r>
          </w:p>
        </w:tc>
        <w:tc>
          <w:tcPr>
            <w:tcW w:w="1450" w:type="dxa"/>
            <w:noWrap w:val="0"/>
            <w:vAlign w:val="top"/>
          </w:tcPr>
          <w:p w14:paraId="31671D71">
            <w:pPr>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80%</w:t>
            </w:r>
          </w:p>
        </w:tc>
      </w:tr>
      <w:tr w14:paraId="14590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504" w:type="dxa"/>
            <w:noWrap w:val="0"/>
            <w:vAlign w:val="top"/>
          </w:tcPr>
          <w:p w14:paraId="53CAD2BF">
            <w:pPr>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w:t>
            </w:r>
          </w:p>
        </w:tc>
        <w:tc>
          <w:tcPr>
            <w:tcW w:w="3918" w:type="dxa"/>
            <w:noWrap w:val="0"/>
            <w:vAlign w:val="top"/>
          </w:tcPr>
          <w:p w14:paraId="0CE2D017">
            <w:pPr>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三级伤残</w:t>
            </w:r>
          </w:p>
        </w:tc>
        <w:tc>
          <w:tcPr>
            <w:tcW w:w="1450" w:type="dxa"/>
            <w:noWrap w:val="0"/>
            <w:vAlign w:val="top"/>
          </w:tcPr>
          <w:p w14:paraId="2FB2A208">
            <w:pPr>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65%</w:t>
            </w:r>
          </w:p>
        </w:tc>
      </w:tr>
      <w:tr w14:paraId="17BFF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504" w:type="dxa"/>
            <w:noWrap w:val="0"/>
            <w:vAlign w:val="top"/>
          </w:tcPr>
          <w:p w14:paraId="4A8EC414">
            <w:pPr>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w:t>
            </w:r>
          </w:p>
        </w:tc>
        <w:tc>
          <w:tcPr>
            <w:tcW w:w="3918" w:type="dxa"/>
            <w:noWrap w:val="0"/>
            <w:vAlign w:val="top"/>
          </w:tcPr>
          <w:p w14:paraId="3E9CD17C">
            <w:pPr>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四级伤残</w:t>
            </w:r>
          </w:p>
        </w:tc>
        <w:tc>
          <w:tcPr>
            <w:tcW w:w="1450" w:type="dxa"/>
            <w:noWrap w:val="0"/>
            <w:vAlign w:val="top"/>
          </w:tcPr>
          <w:p w14:paraId="557E1A1F">
            <w:pPr>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55%</w:t>
            </w:r>
          </w:p>
        </w:tc>
      </w:tr>
      <w:tr w14:paraId="433DF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504" w:type="dxa"/>
            <w:noWrap w:val="0"/>
            <w:vAlign w:val="top"/>
          </w:tcPr>
          <w:p w14:paraId="49DC4F96">
            <w:pPr>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w:t>
            </w:r>
          </w:p>
        </w:tc>
        <w:tc>
          <w:tcPr>
            <w:tcW w:w="3918" w:type="dxa"/>
            <w:noWrap w:val="0"/>
            <w:vAlign w:val="top"/>
          </w:tcPr>
          <w:p w14:paraId="41650D35">
            <w:pPr>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五级伤残</w:t>
            </w:r>
          </w:p>
        </w:tc>
        <w:tc>
          <w:tcPr>
            <w:tcW w:w="1450" w:type="dxa"/>
            <w:noWrap w:val="0"/>
            <w:vAlign w:val="top"/>
          </w:tcPr>
          <w:p w14:paraId="09ACF65E">
            <w:pPr>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45%</w:t>
            </w:r>
          </w:p>
        </w:tc>
      </w:tr>
      <w:tr w14:paraId="39E64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504" w:type="dxa"/>
            <w:noWrap w:val="0"/>
            <w:vAlign w:val="top"/>
          </w:tcPr>
          <w:p w14:paraId="54C90BA5">
            <w:pPr>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w:t>
            </w:r>
          </w:p>
        </w:tc>
        <w:tc>
          <w:tcPr>
            <w:tcW w:w="3918" w:type="dxa"/>
            <w:noWrap w:val="0"/>
            <w:vAlign w:val="top"/>
          </w:tcPr>
          <w:p w14:paraId="7A789E20">
            <w:pPr>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六级伤残</w:t>
            </w:r>
          </w:p>
        </w:tc>
        <w:tc>
          <w:tcPr>
            <w:tcW w:w="1450" w:type="dxa"/>
            <w:noWrap w:val="0"/>
            <w:vAlign w:val="top"/>
          </w:tcPr>
          <w:p w14:paraId="687F07B9">
            <w:pPr>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w:t>
            </w:r>
          </w:p>
        </w:tc>
      </w:tr>
      <w:tr w14:paraId="3D206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504" w:type="dxa"/>
            <w:noWrap w:val="0"/>
            <w:vAlign w:val="top"/>
          </w:tcPr>
          <w:p w14:paraId="33198388">
            <w:pPr>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w:t>
            </w:r>
          </w:p>
        </w:tc>
        <w:tc>
          <w:tcPr>
            <w:tcW w:w="3918" w:type="dxa"/>
            <w:noWrap w:val="0"/>
            <w:vAlign w:val="top"/>
          </w:tcPr>
          <w:p w14:paraId="514417DA">
            <w:pPr>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七级伤残</w:t>
            </w:r>
          </w:p>
        </w:tc>
        <w:tc>
          <w:tcPr>
            <w:tcW w:w="1450" w:type="dxa"/>
            <w:noWrap w:val="0"/>
            <w:vAlign w:val="top"/>
          </w:tcPr>
          <w:p w14:paraId="6ABF4DF6">
            <w:pPr>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w:t>
            </w:r>
          </w:p>
        </w:tc>
      </w:tr>
      <w:tr w14:paraId="3096D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504" w:type="dxa"/>
            <w:noWrap w:val="0"/>
            <w:vAlign w:val="top"/>
          </w:tcPr>
          <w:p w14:paraId="15541792">
            <w:pPr>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w:t>
            </w:r>
          </w:p>
        </w:tc>
        <w:tc>
          <w:tcPr>
            <w:tcW w:w="3918" w:type="dxa"/>
            <w:noWrap w:val="0"/>
            <w:vAlign w:val="top"/>
          </w:tcPr>
          <w:p w14:paraId="7F409FA0">
            <w:pPr>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八级伤残</w:t>
            </w:r>
          </w:p>
        </w:tc>
        <w:tc>
          <w:tcPr>
            <w:tcW w:w="1450" w:type="dxa"/>
            <w:noWrap w:val="0"/>
            <w:vAlign w:val="top"/>
          </w:tcPr>
          <w:p w14:paraId="62E370B0">
            <w:pPr>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r>
      <w:tr w14:paraId="3DD5E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504" w:type="dxa"/>
            <w:noWrap w:val="0"/>
            <w:vAlign w:val="top"/>
          </w:tcPr>
          <w:p w14:paraId="2C2DEB36">
            <w:pPr>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（九）</w:t>
            </w:r>
          </w:p>
        </w:tc>
        <w:tc>
          <w:tcPr>
            <w:tcW w:w="3918" w:type="dxa"/>
            <w:noWrap w:val="0"/>
            <w:vAlign w:val="top"/>
          </w:tcPr>
          <w:p w14:paraId="2388FDC9">
            <w:pPr>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九级伤残</w:t>
            </w:r>
          </w:p>
        </w:tc>
        <w:tc>
          <w:tcPr>
            <w:tcW w:w="1450" w:type="dxa"/>
            <w:noWrap w:val="0"/>
            <w:vAlign w:val="top"/>
          </w:tcPr>
          <w:p w14:paraId="185E370D">
            <w:pPr>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r>
      <w:tr w14:paraId="03AE0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504" w:type="dxa"/>
            <w:noWrap w:val="0"/>
            <w:vAlign w:val="top"/>
          </w:tcPr>
          <w:p w14:paraId="45E42D6D">
            <w:pPr>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w:t>
            </w:r>
          </w:p>
        </w:tc>
        <w:tc>
          <w:tcPr>
            <w:tcW w:w="3918" w:type="dxa"/>
            <w:noWrap w:val="0"/>
            <w:vAlign w:val="top"/>
          </w:tcPr>
          <w:p w14:paraId="46DF3F52">
            <w:pPr>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十级伤残</w:t>
            </w:r>
          </w:p>
        </w:tc>
        <w:tc>
          <w:tcPr>
            <w:tcW w:w="1450" w:type="dxa"/>
            <w:noWrap w:val="0"/>
            <w:vAlign w:val="top"/>
          </w:tcPr>
          <w:p w14:paraId="0EC3270B">
            <w:pPr>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r>
    </w:tbl>
    <w:p w14:paraId="42851DAB">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注：伤残</w:t>
      </w:r>
      <w:r>
        <w:rPr>
          <w:rFonts w:hint="eastAsia" w:ascii="仿宋" w:hAnsi="仿宋" w:eastAsia="仿宋" w:cs="仿宋"/>
          <w:color w:val="auto"/>
          <w:sz w:val="24"/>
          <w:szCs w:val="24"/>
          <w:highlight w:val="none"/>
          <w:lang w:val="en-US" w:eastAsia="zh-CN"/>
        </w:rPr>
        <w:t>等级</w:t>
      </w:r>
      <w:r>
        <w:rPr>
          <w:rFonts w:hint="eastAsia" w:ascii="仿宋" w:hAnsi="仿宋" w:eastAsia="仿宋" w:cs="仿宋"/>
          <w:color w:val="auto"/>
          <w:sz w:val="24"/>
          <w:szCs w:val="24"/>
          <w:highlight w:val="none"/>
        </w:rPr>
        <w:t>依照《劳动能力鉴定 职工工伤与职业病致残等级》（国家质量监督检验检疫总局、国家标准化管理委员会批准发布GB/T 16180-2014）鉴定</w:t>
      </w:r>
    </w:p>
    <w:p w14:paraId="352D435B">
      <w:pPr>
        <w:pageBreakBefore w:val="0"/>
        <w:kinsoku/>
        <w:wordWrap/>
        <w:overflowPunct/>
        <w:topLinePunct w:val="0"/>
        <w:autoSpaceDE/>
        <w:autoSpaceDN/>
        <w:bidi w:val="0"/>
        <w:spacing w:line="360" w:lineRule="auto"/>
        <w:textAlignment w:val="auto"/>
        <w:rPr>
          <w:rFonts w:hint="eastAsia" w:ascii="仿宋" w:hAnsi="仿宋" w:eastAsia="仿宋" w:cs="仿宋"/>
          <w:color w:val="auto"/>
          <w:sz w:val="24"/>
          <w:szCs w:val="24"/>
          <w:highlight w:val="none"/>
        </w:rPr>
      </w:pPr>
    </w:p>
    <w:p w14:paraId="6FB6EC05">
      <w:pPr>
        <w:pageBreakBefore w:val="0"/>
        <w:kinsoku/>
        <w:wordWrap/>
        <w:overflowPunct/>
        <w:topLinePunct w:val="0"/>
        <w:autoSpaceDE/>
        <w:autoSpaceDN/>
        <w:bidi w:val="0"/>
        <w:spacing w:line="360" w:lineRule="auto"/>
        <w:textAlignment w:val="auto"/>
        <w:rPr>
          <w:rFonts w:hint="eastAsia" w:ascii="仿宋" w:hAnsi="仿宋" w:eastAsia="仿宋" w:cs="仿宋"/>
          <w:color w:val="auto"/>
          <w:sz w:val="24"/>
          <w:szCs w:val="24"/>
          <w:highlight w:val="none"/>
        </w:rPr>
      </w:pPr>
    </w:p>
    <w:p w14:paraId="1093975A">
      <w:pPr>
        <w:pageBreakBefore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rPr>
        <w:t>附加险条款</w:t>
      </w:r>
      <w:r>
        <w:rPr>
          <w:rFonts w:hint="eastAsia" w:ascii="仿宋" w:hAnsi="仿宋" w:eastAsia="仿宋" w:cs="仿宋"/>
          <w:color w:val="auto"/>
          <w:kern w:val="0"/>
          <w:sz w:val="24"/>
          <w:szCs w:val="24"/>
          <w:highlight w:val="none"/>
          <w:lang w:eastAsia="zh-CN"/>
        </w:rPr>
        <w:t>：</w:t>
      </w:r>
    </w:p>
    <w:p w14:paraId="644D8421">
      <w:pPr>
        <w:keepNext w:val="0"/>
        <w:keepLines w:val="0"/>
        <w:pageBreakBefore w:val="0"/>
        <w:numPr>
          <w:ilvl w:val="0"/>
          <w:numId w:val="3"/>
        </w:numPr>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附加误工费用责任保险条款</w:t>
      </w:r>
    </w:p>
    <w:p w14:paraId="7D13F6FC">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在保险期间内，</w:t>
      </w:r>
      <w:r>
        <w:rPr>
          <w:rFonts w:hint="eastAsia" w:ascii="仿宋" w:hAnsi="仿宋" w:eastAsia="仿宋" w:cs="仿宋"/>
          <w:color w:val="auto"/>
          <w:sz w:val="24"/>
          <w:szCs w:val="24"/>
          <w:highlight w:val="none"/>
          <w:lang w:val="en-US" w:eastAsia="zh-CN"/>
        </w:rPr>
        <w:t>因发生本保险合同约定的保险事故导致雇员暂时丧失工作能力的，依照主险所约定的法律依据应由被保险人承担的误工费用赔偿责任，保险人按照本附加险合同约定负责赔偿。</w:t>
      </w:r>
    </w:p>
    <w:p w14:paraId="54166C04">
      <w:pPr>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除另有约定外，</w:t>
      </w:r>
      <w:r>
        <w:rPr>
          <w:rFonts w:hint="eastAsia" w:ascii="仿宋" w:hAnsi="仿宋" w:eastAsia="仿宋" w:cs="仿宋"/>
          <w:b/>
          <w:color w:val="auto"/>
          <w:sz w:val="24"/>
          <w:szCs w:val="24"/>
          <w:highlight w:val="none"/>
        </w:rPr>
        <w:t>误工</w:t>
      </w:r>
      <w:r>
        <w:rPr>
          <w:rFonts w:hint="eastAsia" w:ascii="仿宋" w:hAnsi="仿宋" w:eastAsia="仿宋" w:cs="仿宋"/>
          <w:b/>
          <w:color w:val="auto"/>
          <w:sz w:val="24"/>
          <w:szCs w:val="24"/>
          <w:highlight w:val="none"/>
          <w:lang w:val="en-US" w:eastAsia="zh-CN"/>
        </w:rPr>
        <w:t>费用</w:t>
      </w:r>
      <w:r>
        <w:rPr>
          <w:rFonts w:hint="eastAsia" w:ascii="仿宋" w:hAnsi="仿宋" w:eastAsia="仿宋" w:cs="仿宋"/>
          <w:b/>
          <w:color w:val="auto"/>
          <w:sz w:val="24"/>
          <w:szCs w:val="24"/>
          <w:highlight w:val="none"/>
        </w:rPr>
        <w:t>标准、免赔天数</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每次事故/累计赔偿</w:t>
      </w:r>
      <w:r>
        <w:rPr>
          <w:rFonts w:hint="eastAsia" w:ascii="仿宋" w:hAnsi="仿宋" w:eastAsia="仿宋" w:cs="仿宋"/>
          <w:b/>
          <w:color w:val="auto"/>
          <w:sz w:val="24"/>
          <w:szCs w:val="24"/>
          <w:highlight w:val="none"/>
        </w:rPr>
        <w:t>天数</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以保险单载明为准。</w:t>
      </w:r>
    </w:p>
    <w:p w14:paraId="32D7E080">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雇员暂时丧失工作能力的</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经二级（含）以上或保险人认可的医疗机构证明，</w:t>
      </w:r>
      <w:r>
        <w:rPr>
          <w:rFonts w:hint="eastAsia" w:ascii="仿宋" w:hAnsi="仿宋" w:eastAsia="仿宋" w:cs="仿宋"/>
          <w:color w:val="auto"/>
          <w:sz w:val="24"/>
          <w:szCs w:val="24"/>
          <w:highlight w:val="none"/>
        </w:rPr>
        <w:t>保险人</w:t>
      </w:r>
      <w:r>
        <w:rPr>
          <w:rFonts w:hint="eastAsia" w:ascii="仿宋" w:hAnsi="仿宋" w:eastAsia="仿宋" w:cs="仿宋"/>
          <w:color w:val="auto"/>
          <w:sz w:val="24"/>
          <w:szCs w:val="24"/>
          <w:highlight w:val="none"/>
          <w:lang w:val="en-US" w:eastAsia="zh-CN"/>
        </w:rPr>
        <w:t>在主险约定的每人伤亡责任限额内，</w:t>
      </w:r>
      <w:r>
        <w:rPr>
          <w:rFonts w:hint="eastAsia" w:ascii="仿宋" w:hAnsi="仿宋" w:eastAsia="仿宋" w:cs="仿宋"/>
          <w:color w:val="auto"/>
          <w:sz w:val="24"/>
          <w:szCs w:val="24"/>
          <w:highlight w:val="none"/>
        </w:rPr>
        <w:t>按照以下方式进行赔偿：</w:t>
      </w:r>
    </w:p>
    <w:p w14:paraId="7E99E529">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赔偿金额为误工费用标准×（</w:t>
      </w:r>
      <w:r>
        <w:rPr>
          <w:rFonts w:hint="eastAsia" w:ascii="仿宋" w:hAnsi="仿宋" w:eastAsia="仿宋" w:cs="仿宋"/>
          <w:b/>
          <w:bCs/>
          <w:color w:val="auto"/>
          <w:sz w:val="24"/>
          <w:szCs w:val="24"/>
          <w:highlight w:val="none"/>
        </w:rPr>
        <w:t>实际暂时丧失工作能力天数-免赔天数</w:t>
      </w:r>
      <w:r>
        <w:rPr>
          <w:rFonts w:hint="eastAsia" w:ascii="仿宋" w:hAnsi="仿宋" w:eastAsia="仿宋" w:cs="仿宋"/>
          <w:color w:val="auto"/>
          <w:sz w:val="24"/>
          <w:szCs w:val="24"/>
          <w:highlight w:val="none"/>
        </w:rPr>
        <w:t>），医疗期满或确定残疾程度后停发</w:t>
      </w:r>
      <w:r>
        <w:rPr>
          <w:rFonts w:hint="eastAsia" w:ascii="仿宋" w:hAnsi="仿宋" w:eastAsia="仿宋" w:cs="仿宋"/>
          <w:color w:val="auto"/>
          <w:sz w:val="24"/>
          <w:szCs w:val="24"/>
          <w:highlight w:val="none"/>
          <w:lang w:eastAsia="zh-CN"/>
        </w:rPr>
        <w:t>；</w:t>
      </w:r>
    </w:p>
    <w:p w14:paraId="2AAA1D35">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2、在保险期间内，</w:t>
      </w:r>
      <w:r>
        <w:rPr>
          <w:rFonts w:hint="eastAsia" w:ascii="仿宋" w:hAnsi="仿宋" w:eastAsia="仿宋" w:cs="仿宋"/>
          <w:color w:val="auto"/>
          <w:sz w:val="24"/>
          <w:szCs w:val="24"/>
          <w:highlight w:val="none"/>
        </w:rPr>
        <w:t>单次事故最长不超过每次事故赔偿天数，累计最长不超过累计赔偿天数</w:t>
      </w:r>
      <w:r>
        <w:rPr>
          <w:rFonts w:hint="eastAsia" w:ascii="仿宋" w:hAnsi="仿宋" w:eastAsia="仿宋" w:cs="仿宋"/>
          <w:color w:val="auto"/>
          <w:sz w:val="24"/>
          <w:szCs w:val="24"/>
          <w:highlight w:val="none"/>
          <w:lang w:eastAsia="zh-CN"/>
        </w:rPr>
        <w:t>。</w:t>
      </w:r>
    </w:p>
    <w:p w14:paraId="56CA0252">
      <w:pPr>
        <w:pStyle w:val="21"/>
        <w:keepNext w:val="0"/>
        <w:keepLines w:val="0"/>
        <w:pageBreakBefore w:val="0"/>
        <w:widowControl/>
        <w:shd w:val="clear" w:color="auto" w:fill="FFFFFF"/>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kern w:val="2"/>
          <w:sz w:val="24"/>
          <w:szCs w:val="24"/>
          <w:highlight w:val="none"/>
          <w:lang w:val="en-US" w:eastAsia="zh-CN" w:bidi="ar-SA"/>
        </w:rPr>
        <w:t>本附加险的责任限额均包含在主险保险责任适用的责任限额内，而非主险责任限额的累加，与主险的误工费用赔偿不可兼得。</w:t>
      </w:r>
    </w:p>
    <w:p w14:paraId="0AABAA8E">
      <w:pPr>
        <w:pStyle w:val="21"/>
        <w:keepNext w:val="0"/>
        <w:keepLines w:val="0"/>
        <w:pageBreakBefore w:val="0"/>
        <w:widowControl/>
        <w:shd w:val="clear" w:color="auto" w:fill="FFFFFF"/>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kern w:val="2"/>
          <w:sz w:val="24"/>
          <w:szCs w:val="24"/>
          <w:highlight w:val="none"/>
          <w:lang w:val="en-US" w:eastAsia="zh-CN" w:bidi="ar-SA"/>
        </w:rPr>
        <w:t>（二）附加社交活动和文娱活动责任保险条款</w:t>
      </w:r>
    </w:p>
    <w:p w14:paraId="46C25E7D">
      <w:pPr>
        <w:pStyle w:val="21"/>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在保险期间内，被保险人的雇员参加被保险人组织或指派参加其他单位的社会、体育、文化、娱乐等活动时，因发生本保险合同约定的保险事故造成人身伤亡的，依照主险所约定的法律依据应由被保险人承担的经济赔偿责任，保险人按照本附加险合同约定负责赔偿。</w:t>
      </w:r>
    </w:p>
    <w:p w14:paraId="7F93CCAB">
      <w:pPr>
        <w:pStyle w:val="21"/>
        <w:keepNext w:val="0"/>
        <w:keepLines w:val="0"/>
        <w:pageBreakBefore w:val="0"/>
        <w:widowControl/>
        <w:shd w:val="clear" w:color="auto" w:fill="FFFFFF"/>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kern w:val="2"/>
          <w:sz w:val="24"/>
          <w:szCs w:val="24"/>
          <w:highlight w:val="none"/>
          <w:lang w:val="en-US" w:eastAsia="zh-CN" w:bidi="ar-SA"/>
        </w:rPr>
        <w:t>本附加险的责任限额均包含在主险保险责任适用的责任限额内，而非主险责任限额的累加。</w:t>
      </w:r>
    </w:p>
    <w:p w14:paraId="6083A4C7">
      <w:pPr>
        <w:pStyle w:val="21"/>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60" w:lineRule="auto"/>
        <w:ind w:leftChars="200"/>
        <w:jc w:val="both"/>
        <w:textAlignment w:val="auto"/>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kern w:val="2"/>
          <w:sz w:val="24"/>
          <w:szCs w:val="24"/>
          <w:highlight w:val="none"/>
          <w:lang w:val="en-US" w:eastAsia="zh-CN" w:bidi="ar-SA"/>
        </w:rPr>
        <w:t>（三）附加就餐责任保险条款</w:t>
      </w:r>
    </w:p>
    <w:p w14:paraId="1A3131EA">
      <w:pPr>
        <w:pStyle w:val="21"/>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在保险期间内，被保险人的雇员在被保险人提供的就餐场所内就餐时，因发生意外事故或食物中毒造成人身伤亡的，依照主险所约定的法律依据应由被保险人承担的经济赔偿责任，保险人按照本附加险合同约定负责赔偿。</w:t>
      </w:r>
    </w:p>
    <w:p w14:paraId="5753EB8A">
      <w:pPr>
        <w:pStyle w:val="21"/>
        <w:keepNext w:val="0"/>
        <w:keepLines w:val="0"/>
        <w:pageBreakBefore w:val="0"/>
        <w:widowControl/>
        <w:numPr>
          <w:ilvl w:val="0"/>
          <w:numId w:val="4"/>
        </w:numPr>
        <w:shd w:val="clear" w:color="auto" w:fill="FFFFFF"/>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本附加险的责任限额均包含在主险保险责任适用的责任限额内，而非主险责任限额的累加。</w:t>
      </w:r>
    </w:p>
    <w:p w14:paraId="3CD72FA6">
      <w:pPr>
        <w:pStyle w:val="21"/>
        <w:keepNext w:val="0"/>
        <w:keepLines w:val="0"/>
        <w:pageBreakBefore w:val="0"/>
        <w:widowControl/>
        <w:numPr>
          <w:ilvl w:val="0"/>
          <w:numId w:val="2"/>
        </w:numPr>
        <w:shd w:val="clear" w:color="auto" w:fill="FFFFFF"/>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kern w:val="2"/>
          <w:sz w:val="24"/>
          <w:szCs w:val="24"/>
          <w:highlight w:val="none"/>
          <w:lang w:val="en-US" w:eastAsia="zh-CN" w:bidi="ar-SA"/>
        </w:rPr>
        <w:t>附加超医保范围医疗费用责任保险条款</w:t>
      </w:r>
    </w:p>
    <w:p w14:paraId="10064E5F">
      <w:pPr>
        <w:pStyle w:val="21"/>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在保险期间内，发生保险责任范围内的保险事故，对受害人在二级及以上医疗机构就诊支出的，属于当地基本医疗保险及工伤保险规定的完全自费或部分自费医疗费用（不包括保健品、补品），在被保险人依法应承担的经济赔偿责任范围内，保险人按照本附加险合同约定负责赔偿。</w:t>
      </w:r>
    </w:p>
    <w:p w14:paraId="0159A931">
      <w:pPr>
        <w:pStyle w:val="21"/>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除另有约定外，本附加险设置每人超医保范围医疗费用责任限额，并在主险医疗费用责任限额项下赔偿。</w:t>
      </w:r>
    </w:p>
    <w:p w14:paraId="2AC8244D">
      <w:pPr>
        <w:pStyle w:val="21"/>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本附加险的责任限额均包含在主险保险责任适用的责任限额内，而非主险责任限额的累加。</w:t>
      </w:r>
    </w:p>
    <w:p w14:paraId="62867D42">
      <w:pPr>
        <w:spacing w:line="400" w:lineRule="exact"/>
        <w:rPr>
          <w:rFonts w:hint="default" w:ascii="Times New Roman" w:hAnsi="Times New Roman" w:eastAsia="仿宋_GB2312" w:cs="Times New Roman"/>
          <w:color w:val="auto"/>
          <w:sz w:val="24"/>
          <w:highlight w:val="none"/>
        </w:rPr>
      </w:pPr>
    </w:p>
    <w:p w14:paraId="33C0774B">
      <w:pPr>
        <w:spacing w:line="400" w:lineRule="exact"/>
        <w:rPr>
          <w:rFonts w:hint="default" w:ascii="Times New Roman" w:hAnsi="Times New Roman" w:eastAsia="仿宋_GB2312" w:cs="Times New Roman"/>
          <w:color w:val="auto"/>
          <w:sz w:val="24"/>
          <w:highlight w:val="none"/>
        </w:rPr>
      </w:pPr>
    </w:p>
    <w:p w14:paraId="3C963255">
      <w:pPr>
        <w:spacing w:line="400" w:lineRule="exact"/>
        <w:rPr>
          <w:rFonts w:hint="default" w:ascii="Times New Roman" w:hAnsi="Times New Roman" w:eastAsia="仿宋_GB2312" w:cs="Times New Roman"/>
          <w:color w:val="auto"/>
          <w:sz w:val="24"/>
          <w:highlight w:val="none"/>
        </w:rPr>
      </w:pPr>
    </w:p>
    <w:p w14:paraId="4C81C5E5">
      <w:pPr>
        <w:spacing w:line="400" w:lineRule="exact"/>
        <w:rPr>
          <w:rFonts w:hint="default" w:ascii="Times New Roman" w:hAnsi="Times New Roman" w:eastAsia="仿宋_GB2312" w:cs="Times New Roman"/>
          <w:color w:val="auto"/>
          <w:sz w:val="24"/>
          <w:highlight w:val="none"/>
        </w:rPr>
      </w:pPr>
    </w:p>
    <w:p w14:paraId="14170C0D">
      <w:pPr>
        <w:spacing w:line="400" w:lineRule="exact"/>
        <w:rPr>
          <w:rFonts w:hint="default" w:ascii="Times New Roman" w:hAnsi="Times New Roman" w:eastAsia="仿宋_GB2312" w:cs="Times New Roman"/>
          <w:color w:val="auto"/>
          <w:sz w:val="24"/>
          <w:highlight w:val="none"/>
        </w:rPr>
      </w:pPr>
    </w:p>
    <w:p w14:paraId="7F7115CE">
      <w:pPr>
        <w:spacing w:line="400" w:lineRule="exact"/>
        <w:rPr>
          <w:rFonts w:hint="default" w:ascii="Times New Roman" w:hAnsi="Times New Roman" w:eastAsia="仿宋_GB2312" w:cs="Times New Roman"/>
          <w:color w:val="auto"/>
          <w:sz w:val="24"/>
          <w:highlight w:val="none"/>
        </w:rPr>
      </w:pPr>
    </w:p>
    <w:bookmarkEnd w:id="14"/>
    <w:p w14:paraId="16E69028">
      <w:pPr>
        <w:autoSpaceDE w:val="0"/>
        <w:autoSpaceDN w:val="0"/>
        <w:adjustRightInd w:val="0"/>
        <w:spacing w:after="156" w:afterLines="50"/>
        <w:jc w:val="center"/>
        <w:outlineLvl w:val="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b/>
          <w:bCs/>
          <w:color w:val="auto"/>
          <w:kern w:val="0"/>
          <w:sz w:val="28"/>
          <w:szCs w:val="28"/>
          <w:highlight w:val="none"/>
          <w:lang w:val="zh-CN"/>
        </w:rPr>
        <w:t>现金保险条款</w:t>
      </w:r>
    </w:p>
    <w:p w14:paraId="70C13044">
      <w:pPr>
        <w:pStyle w:val="2"/>
        <w:keepLines w:val="0"/>
        <w:pageBreakBefore w:val="0"/>
        <w:kinsoku/>
        <w:wordWrap/>
        <w:overflowPunct/>
        <w:topLinePunct w:val="0"/>
        <w:autoSpaceDE/>
        <w:autoSpaceDN/>
        <w:bidi w:val="0"/>
        <w:adjustRightInd w:val="0"/>
        <w:snapToGrid w:val="0"/>
        <w:spacing w:after="0" w:afterLines="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4"/>
          <w:szCs w:val="24"/>
          <w:highlight w:val="none"/>
        </w:rPr>
        <w:t>总则</w:t>
      </w:r>
    </w:p>
    <w:p w14:paraId="697F0505">
      <w:pPr>
        <w:keepLines w:val="0"/>
        <w:pageBreakBefore w:val="0"/>
        <w:numPr>
          <w:ilvl w:val="0"/>
          <w:numId w:val="5"/>
        </w:numPr>
        <w:kinsoku/>
        <w:wordWrap/>
        <w:overflowPunct/>
        <w:topLinePunct w:val="0"/>
        <w:autoSpaceDE/>
        <w:autoSpaceDN/>
        <w:bidi w:val="0"/>
        <w:adjustRightInd w:val="0"/>
        <w:snapToGrid w:val="0"/>
        <w:spacing w:after="0" w:afterLines="0"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本保险合同由保险条款、投保单、保险单或其他保险凭证以及批单组成。凡涉及本保险合同的约定，均应采用书面形式。</w:t>
      </w:r>
    </w:p>
    <w:p w14:paraId="4C33F9C6">
      <w:pPr>
        <w:keepLines w:val="0"/>
        <w:pageBreakBefore w:val="0"/>
        <w:numPr>
          <w:ilvl w:val="0"/>
          <w:numId w:val="5"/>
        </w:numPr>
        <w:kinsoku/>
        <w:wordWrap/>
        <w:overflowPunct/>
        <w:topLinePunct w:val="0"/>
        <w:autoSpaceDE/>
        <w:autoSpaceDN/>
        <w:bidi w:val="0"/>
        <w:adjustRightInd w:val="0"/>
        <w:snapToGrid w:val="0"/>
        <w:spacing w:after="0" w:afterLines="0" w:line="360" w:lineRule="auto"/>
        <w:ind w:left="0"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凡经国家有关管理部门批准，在中华人民共和国境内经营现金业务的金融机构或非金融机构，均可作为本保险合同的投保人或被保险人。</w:t>
      </w:r>
    </w:p>
    <w:p w14:paraId="4A899C39">
      <w:pPr>
        <w:pStyle w:val="2"/>
        <w:keepLines w:val="0"/>
        <w:pageBreakBefore w:val="0"/>
        <w:kinsoku/>
        <w:wordWrap/>
        <w:overflowPunct/>
        <w:topLinePunct w:val="0"/>
        <w:autoSpaceDE/>
        <w:autoSpaceDN/>
        <w:bidi w:val="0"/>
        <w:adjustRightInd w:val="0"/>
        <w:snapToGrid w:val="0"/>
        <w:spacing w:after="0" w:afterLines="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保险标的</w:t>
      </w:r>
    </w:p>
    <w:p w14:paraId="71357B5F">
      <w:pPr>
        <w:keepLines w:val="0"/>
        <w:pageBreakBefore w:val="0"/>
        <w:numPr>
          <w:ilvl w:val="0"/>
          <w:numId w:val="5"/>
        </w:numPr>
        <w:kinsoku/>
        <w:wordWrap/>
        <w:overflowPunct/>
        <w:topLinePunct w:val="0"/>
        <w:autoSpaceDE/>
        <w:autoSpaceDN/>
        <w:bidi w:val="0"/>
        <w:adjustRightInd w:val="0"/>
        <w:snapToGrid w:val="0"/>
        <w:spacing w:after="0" w:afterLines="0"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凡属于被保险人所有，或替他人保管或与他人共有的现金、政府债券、支票、现金银行汇票和邮政汇票均可作为保险标的。</w:t>
      </w:r>
    </w:p>
    <w:p w14:paraId="3F150603">
      <w:pPr>
        <w:pStyle w:val="2"/>
        <w:keepLines w:val="0"/>
        <w:pageBreakBefore w:val="0"/>
        <w:kinsoku/>
        <w:wordWrap/>
        <w:overflowPunct/>
        <w:topLinePunct w:val="0"/>
        <w:autoSpaceDE/>
        <w:autoSpaceDN/>
        <w:bidi w:val="0"/>
        <w:adjustRightInd w:val="0"/>
        <w:snapToGrid w:val="0"/>
        <w:spacing w:after="0" w:afterLines="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保险责任</w:t>
      </w:r>
    </w:p>
    <w:p w14:paraId="6CC9EC54">
      <w:pPr>
        <w:keepLines w:val="0"/>
        <w:pageBreakBefore w:val="0"/>
        <w:numPr>
          <w:ilvl w:val="0"/>
          <w:numId w:val="5"/>
        </w:numPr>
        <w:kinsoku/>
        <w:wordWrap/>
        <w:overflowPunct/>
        <w:topLinePunct w:val="0"/>
        <w:autoSpaceDE/>
        <w:autoSpaceDN/>
        <w:bidi w:val="0"/>
        <w:adjustRightInd w:val="0"/>
        <w:snapToGrid w:val="0"/>
        <w:spacing w:after="0" w:afterLines="0"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在本保险期间内，本保险单中列明的地点范围内，由于下列原因造成保险标的的损失，保险人按照本保险合同的约定负责赔偿：</w:t>
      </w:r>
    </w:p>
    <w:p w14:paraId="3A399A3A">
      <w:pPr>
        <w:keepLines w:val="0"/>
        <w:pageBreakBefore w:val="0"/>
        <w:kinsoku/>
        <w:wordWrap/>
        <w:overflowPunct/>
        <w:topLinePunct w:val="0"/>
        <w:autoSpaceDE/>
        <w:autoSpaceDN/>
        <w:bidi w:val="0"/>
        <w:adjustRightInd w:val="0"/>
        <w:snapToGrid w:val="0"/>
        <w:spacing w:after="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（一）火灾、爆炸、洪水；</w:t>
      </w:r>
    </w:p>
    <w:p w14:paraId="588FD086">
      <w:pPr>
        <w:keepLines w:val="0"/>
        <w:pageBreakBefore w:val="0"/>
        <w:kinsoku/>
        <w:wordWrap/>
        <w:overflowPunct/>
        <w:topLinePunct w:val="0"/>
        <w:autoSpaceDE/>
        <w:autoSpaceDN/>
        <w:bidi w:val="0"/>
        <w:adjustRightInd w:val="0"/>
        <w:snapToGrid w:val="0"/>
        <w:spacing w:after="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（二）被保险人的雇员在前往银行送款或自银行提款回程中遭受抢劫；</w:t>
      </w:r>
    </w:p>
    <w:p w14:paraId="0E717C9A">
      <w:pPr>
        <w:keepLines w:val="0"/>
        <w:pageBreakBefore w:val="0"/>
        <w:kinsoku/>
        <w:wordWrap/>
        <w:overflowPunct/>
        <w:topLinePunct w:val="0"/>
        <w:autoSpaceDE/>
        <w:autoSpaceDN/>
        <w:bidi w:val="0"/>
        <w:adjustRightInd w:val="0"/>
        <w:snapToGrid w:val="0"/>
        <w:spacing w:after="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（三）存放在金库、保险箱（柜）内遭受盗窃或抢劫；</w:t>
      </w:r>
    </w:p>
    <w:p w14:paraId="49E78329">
      <w:pPr>
        <w:keepLines w:val="0"/>
        <w:pageBreakBefore w:val="0"/>
        <w:kinsoku/>
        <w:wordWrap/>
        <w:overflowPunct/>
        <w:topLinePunct w:val="0"/>
        <w:autoSpaceDE/>
        <w:autoSpaceDN/>
        <w:bidi w:val="0"/>
        <w:adjustRightInd w:val="0"/>
        <w:snapToGrid w:val="0"/>
        <w:spacing w:after="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（四）在营业过程中遭受抢劫。</w:t>
      </w:r>
    </w:p>
    <w:p w14:paraId="5EC8CD8F">
      <w:pPr>
        <w:keepLines w:val="0"/>
        <w:pageBreakBefore w:val="0"/>
        <w:kinsoku/>
        <w:wordWrap/>
        <w:overflowPunct/>
        <w:topLinePunct w:val="0"/>
        <w:autoSpaceDE/>
        <w:autoSpaceDN/>
        <w:bidi w:val="0"/>
        <w:adjustRightInd w:val="0"/>
        <w:snapToGrid w:val="0"/>
        <w:spacing w:after="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构成本条规定的盗窃或抢劫责任，必须是遭受外来人员（被保险人的雇员除外）并有明显盗窃痕迹或抢劫行为且经当地公安部门证明属实的损失。</w:t>
      </w:r>
    </w:p>
    <w:p w14:paraId="35E35046">
      <w:pPr>
        <w:keepLines w:val="0"/>
        <w:pageBreakBefore w:val="0"/>
        <w:kinsoku/>
        <w:wordWrap/>
        <w:overflowPunct/>
        <w:topLinePunct w:val="0"/>
        <w:autoSpaceDE/>
        <w:autoSpaceDN/>
        <w:bidi w:val="0"/>
        <w:adjustRightInd w:val="0"/>
        <w:snapToGrid w:val="0"/>
        <w:spacing w:after="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上述的分项赔偿金额不得超过本保险单中分项列明的保险金额。</w:t>
      </w:r>
    </w:p>
    <w:p w14:paraId="02F3D2E3">
      <w:pPr>
        <w:keepNext w:val="0"/>
        <w:keepLines w:val="0"/>
        <w:pageBreakBefore w:val="0"/>
        <w:widowControl w:val="0"/>
        <w:numPr>
          <w:ilvl w:val="0"/>
          <w:numId w:val="5"/>
        </w:numPr>
        <w:kinsoku/>
        <w:wordWrap/>
        <w:overflowPunct/>
        <w:topLinePunct w:val="0"/>
        <w:autoSpaceDE/>
        <w:autoSpaceDN/>
        <w:bidi w:val="0"/>
        <w:adjustRightInd w:val="0"/>
        <w:snapToGrid w:val="0"/>
        <w:spacing w:after="0" w:afterLines="0"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保险事故发生后，被保险人为防止或者减少保险标的的损失所支付的必要的、合理的费用，保险人按照本保险合同的约定也负责赔偿。</w:t>
      </w:r>
    </w:p>
    <w:p w14:paraId="38DA115C">
      <w:pPr>
        <w:pStyle w:val="2"/>
        <w:keepLines w:val="0"/>
        <w:pageBreakBefore w:val="0"/>
        <w:kinsoku/>
        <w:wordWrap/>
        <w:overflowPunct/>
        <w:topLinePunct w:val="0"/>
        <w:autoSpaceDE/>
        <w:autoSpaceDN/>
        <w:bidi w:val="0"/>
        <w:adjustRightInd w:val="0"/>
        <w:snapToGrid w:val="0"/>
        <w:spacing w:after="0" w:afterLines="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责任免除</w:t>
      </w:r>
    </w:p>
    <w:p w14:paraId="28337D94">
      <w:pPr>
        <w:keepLines w:val="0"/>
        <w:pageBreakBefore w:val="0"/>
        <w:numPr>
          <w:ilvl w:val="0"/>
          <w:numId w:val="5"/>
        </w:numPr>
        <w:kinsoku/>
        <w:wordWrap/>
        <w:overflowPunct/>
        <w:topLinePunct w:val="0"/>
        <w:autoSpaceDE/>
        <w:autoSpaceDN/>
        <w:bidi w:val="0"/>
        <w:adjustRightInd w:val="0"/>
        <w:snapToGrid w:val="0"/>
        <w:spacing w:after="0" w:afterLines="0" w:line="360" w:lineRule="auto"/>
        <w:ind w:left="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下列原因造成的损失和费用，保险人不负责赔偿：</w:t>
      </w:r>
    </w:p>
    <w:p w14:paraId="3D039197">
      <w:pPr>
        <w:keepLines w:val="0"/>
        <w:pageBreakBefore w:val="0"/>
        <w:kinsoku/>
        <w:wordWrap/>
        <w:overflowPunct/>
        <w:topLinePunct w:val="0"/>
        <w:autoSpaceDE/>
        <w:autoSpaceDN/>
        <w:bidi w:val="0"/>
        <w:adjustRightInd w:val="0"/>
        <w:snapToGrid w:val="0"/>
        <w:spacing w:after="0" w:afterLines="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（一）被保险人及其代表的故意行为；</w:t>
      </w:r>
    </w:p>
    <w:p w14:paraId="13157322">
      <w:pPr>
        <w:keepLines w:val="0"/>
        <w:pageBreakBefore w:val="0"/>
        <w:kinsoku/>
        <w:wordWrap/>
        <w:overflowPunct/>
        <w:topLinePunct w:val="0"/>
        <w:autoSpaceDE/>
        <w:autoSpaceDN/>
        <w:bidi w:val="0"/>
        <w:adjustRightInd w:val="0"/>
        <w:snapToGrid w:val="0"/>
        <w:spacing w:after="0" w:afterLines="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（二）被保险人的雇员的欺诈或不诚实行为；</w:t>
      </w:r>
    </w:p>
    <w:p w14:paraId="48580537">
      <w:pPr>
        <w:keepLines w:val="0"/>
        <w:pageBreakBefore w:val="0"/>
        <w:kinsoku/>
        <w:wordWrap/>
        <w:overflowPunct/>
        <w:topLinePunct w:val="0"/>
        <w:autoSpaceDE/>
        <w:autoSpaceDN/>
        <w:bidi w:val="0"/>
        <w:adjustRightInd w:val="0"/>
        <w:snapToGrid w:val="0"/>
        <w:spacing w:after="0" w:afterLines="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（三）战争、敌对行为、军事行为、武装冲突、罢工、骚乱、暴动；</w:t>
      </w:r>
    </w:p>
    <w:p w14:paraId="1BCD5BE9">
      <w:pPr>
        <w:keepLines w:val="0"/>
        <w:pageBreakBefore w:val="0"/>
        <w:kinsoku/>
        <w:wordWrap/>
        <w:overflowPunct/>
        <w:topLinePunct w:val="0"/>
        <w:autoSpaceDE/>
        <w:autoSpaceDN/>
        <w:bidi w:val="0"/>
        <w:adjustRightInd w:val="0"/>
        <w:snapToGrid w:val="0"/>
        <w:spacing w:after="0" w:afterLines="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（四）政府有关部门的没收、征用；</w:t>
      </w:r>
    </w:p>
    <w:p w14:paraId="3189AC15">
      <w:pPr>
        <w:keepLines w:val="0"/>
        <w:pageBreakBefore w:val="0"/>
        <w:kinsoku/>
        <w:wordWrap/>
        <w:overflowPunct/>
        <w:topLinePunct w:val="0"/>
        <w:autoSpaceDE/>
        <w:autoSpaceDN/>
        <w:bidi w:val="0"/>
        <w:adjustRightInd w:val="0"/>
        <w:snapToGrid w:val="0"/>
        <w:spacing w:after="0" w:afterLines="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（五）核反应、核子辐射和放射性污染；</w:t>
      </w:r>
    </w:p>
    <w:p w14:paraId="24F0F4FD">
      <w:pPr>
        <w:keepLines w:val="0"/>
        <w:pageBreakBefore w:val="0"/>
        <w:kinsoku/>
        <w:wordWrap/>
        <w:overflowPunct/>
        <w:topLinePunct w:val="0"/>
        <w:autoSpaceDE/>
        <w:autoSpaceDN/>
        <w:bidi w:val="0"/>
        <w:adjustRightInd w:val="0"/>
        <w:snapToGrid w:val="0"/>
        <w:spacing w:after="0" w:afterLines="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（六）地震、海啸及其次生灾害。</w:t>
      </w:r>
    </w:p>
    <w:p w14:paraId="5158AB95">
      <w:pPr>
        <w:keepLines w:val="0"/>
        <w:pageBreakBefore w:val="0"/>
        <w:numPr>
          <w:ilvl w:val="0"/>
          <w:numId w:val="5"/>
        </w:numPr>
        <w:kinsoku/>
        <w:wordWrap/>
        <w:overflowPunct/>
        <w:topLinePunct w:val="0"/>
        <w:autoSpaceDE/>
        <w:autoSpaceDN/>
        <w:bidi w:val="0"/>
        <w:adjustRightInd w:val="0"/>
        <w:snapToGrid w:val="0"/>
        <w:spacing w:after="0" w:afterLines="0" w:line="360" w:lineRule="auto"/>
        <w:ind w:left="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下列损失、费用和责任，保险人不负责赔偿：</w:t>
      </w:r>
    </w:p>
    <w:p w14:paraId="4E373546">
      <w:pPr>
        <w:keepLines w:val="0"/>
        <w:pageBreakBefore w:val="0"/>
        <w:kinsoku/>
        <w:wordWrap/>
        <w:overflowPunct/>
        <w:topLinePunct w:val="0"/>
        <w:autoSpaceDE/>
        <w:autoSpaceDN/>
        <w:bidi w:val="0"/>
        <w:adjustRightInd w:val="0"/>
        <w:snapToGrid w:val="0"/>
        <w:spacing w:after="0" w:afterLines="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（一）送款或提款时由于无故绕道及随意停留造成的损失；</w:t>
      </w:r>
    </w:p>
    <w:p w14:paraId="52A5EB7A">
      <w:pPr>
        <w:keepLines w:val="0"/>
        <w:pageBreakBefore w:val="0"/>
        <w:kinsoku/>
        <w:wordWrap/>
        <w:overflowPunct/>
        <w:topLinePunct w:val="0"/>
        <w:autoSpaceDE/>
        <w:autoSpaceDN/>
        <w:bidi w:val="0"/>
        <w:adjustRightInd w:val="0"/>
        <w:snapToGrid w:val="0"/>
        <w:spacing w:after="0" w:afterLines="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（二）因保管不善导致保险标的损坏、霉烂、虫咬的损失；</w:t>
      </w:r>
    </w:p>
    <w:p w14:paraId="35BEDE26">
      <w:pPr>
        <w:keepLines w:val="0"/>
        <w:pageBreakBefore w:val="0"/>
        <w:kinsoku/>
        <w:wordWrap/>
        <w:overflowPunct/>
        <w:topLinePunct w:val="0"/>
        <w:autoSpaceDE/>
        <w:autoSpaceDN/>
        <w:bidi w:val="0"/>
        <w:adjustRightInd w:val="0"/>
        <w:snapToGrid w:val="0"/>
        <w:spacing w:after="0" w:afterLines="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（三）保险标的遭受保险事故引起的各种间接损失；</w:t>
      </w:r>
    </w:p>
    <w:p w14:paraId="25872932">
      <w:pPr>
        <w:keepLines w:val="0"/>
        <w:pageBreakBefore w:val="0"/>
        <w:kinsoku/>
        <w:wordWrap/>
        <w:overflowPunct/>
        <w:topLinePunct w:val="0"/>
        <w:autoSpaceDE/>
        <w:autoSpaceDN/>
        <w:bidi w:val="0"/>
        <w:adjustRightInd w:val="0"/>
        <w:snapToGrid w:val="0"/>
        <w:spacing w:after="0" w:afterLines="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（四）本保险合同中载明的免赔额。</w:t>
      </w:r>
    </w:p>
    <w:p w14:paraId="3ECF1723">
      <w:pPr>
        <w:pStyle w:val="2"/>
        <w:keepLines w:val="0"/>
        <w:pageBreakBefore w:val="0"/>
        <w:kinsoku/>
        <w:wordWrap/>
        <w:overflowPunct/>
        <w:topLinePunct w:val="0"/>
        <w:autoSpaceDE/>
        <w:autoSpaceDN/>
        <w:bidi w:val="0"/>
        <w:adjustRightInd w:val="0"/>
        <w:snapToGrid w:val="0"/>
        <w:spacing w:after="0" w:afterLines="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保险价值、保险金额与免赔额（率）</w:t>
      </w:r>
    </w:p>
    <w:p w14:paraId="58EBA269">
      <w:pPr>
        <w:keepLines w:val="0"/>
        <w:pageBreakBefore w:val="0"/>
        <w:numPr>
          <w:ilvl w:val="0"/>
          <w:numId w:val="5"/>
        </w:numPr>
        <w:kinsoku/>
        <w:wordWrap/>
        <w:overflowPunct/>
        <w:topLinePunct w:val="0"/>
        <w:autoSpaceDE/>
        <w:autoSpaceDN/>
        <w:bidi w:val="0"/>
        <w:adjustRightInd w:val="0"/>
        <w:snapToGrid w:val="0"/>
        <w:spacing w:after="0" w:afterLines="0"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保险金额是保险人对被保险人的最高赔偿责任限额，并按照标的项目分项列明。</w:t>
      </w:r>
    </w:p>
    <w:p w14:paraId="42F20C65">
      <w:pPr>
        <w:keepLines w:val="0"/>
        <w:pageBreakBefore w:val="0"/>
        <w:numPr>
          <w:ilvl w:val="0"/>
          <w:numId w:val="5"/>
        </w:numPr>
        <w:kinsoku/>
        <w:wordWrap/>
        <w:overflowPunct/>
        <w:topLinePunct w:val="0"/>
        <w:autoSpaceDE/>
        <w:autoSpaceDN/>
        <w:bidi w:val="0"/>
        <w:adjustRightInd w:val="0"/>
        <w:snapToGrid w:val="0"/>
        <w:spacing w:after="0" w:afterLines="0"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保险价值是保险标的出险时在国内合法金融机构可以兑现的价值，</w:t>
      </w:r>
      <w:r>
        <w:rPr>
          <w:rFonts w:hint="eastAsia" w:ascii="宋体" w:hAnsi="宋体" w:eastAsia="宋体" w:cs="宋体"/>
          <w:bCs/>
          <w:color w:val="auto"/>
          <w:sz w:val="21"/>
          <w:szCs w:val="21"/>
          <w:highlight w:val="none"/>
        </w:rPr>
        <w:t>并在本保险合同中载明</w:t>
      </w:r>
      <w:r>
        <w:rPr>
          <w:rFonts w:hint="eastAsia" w:ascii="宋体" w:hAnsi="宋体" w:eastAsia="宋体" w:cs="宋体"/>
          <w:color w:val="auto"/>
          <w:sz w:val="21"/>
          <w:szCs w:val="21"/>
          <w:highlight w:val="none"/>
        </w:rPr>
        <w:t>。</w:t>
      </w:r>
    </w:p>
    <w:p w14:paraId="68DF3764">
      <w:pPr>
        <w:keepLines w:val="0"/>
        <w:pageBreakBefore w:val="0"/>
        <w:numPr>
          <w:ilvl w:val="0"/>
          <w:numId w:val="5"/>
        </w:numPr>
        <w:kinsoku/>
        <w:wordWrap/>
        <w:overflowPunct/>
        <w:topLinePunct w:val="0"/>
        <w:autoSpaceDE/>
        <w:autoSpaceDN/>
        <w:bidi w:val="0"/>
        <w:adjustRightInd w:val="0"/>
        <w:snapToGrid w:val="0"/>
        <w:spacing w:after="0" w:afterLines="0" w:line="360" w:lineRule="auto"/>
        <w:ind w:left="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免赔额（率）由投保人与保险人在订立保险合同时协商确定，并在保险合同中载明。</w:t>
      </w:r>
    </w:p>
    <w:p w14:paraId="76F0746D">
      <w:pPr>
        <w:pStyle w:val="2"/>
        <w:keepLines w:val="0"/>
        <w:pageBreakBefore w:val="0"/>
        <w:kinsoku/>
        <w:wordWrap/>
        <w:overflowPunct/>
        <w:topLinePunct w:val="0"/>
        <w:autoSpaceDE/>
        <w:autoSpaceDN/>
        <w:bidi w:val="0"/>
        <w:adjustRightInd w:val="0"/>
        <w:snapToGrid w:val="0"/>
        <w:spacing w:after="0" w:afterLines="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保险期间</w:t>
      </w:r>
    </w:p>
    <w:p w14:paraId="3F0538DF">
      <w:pPr>
        <w:keepLines w:val="0"/>
        <w:pageBreakBefore w:val="0"/>
        <w:numPr>
          <w:ilvl w:val="0"/>
          <w:numId w:val="5"/>
        </w:numPr>
        <w:kinsoku/>
        <w:wordWrap/>
        <w:overflowPunct/>
        <w:topLinePunct w:val="0"/>
        <w:autoSpaceDE/>
        <w:autoSpaceDN/>
        <w:bidi w:val="0"/>
        <w:adjustRightInd w:val="0"/>
        <w:snapToGrid w:val="0"/>
        <w:spacing w:after="0" w:afterLines="0"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除另有约定外，保险期间为一年，以保险单载明的起讫时间为准。</w:t>
      </w:r>
    </w:p>
    <w:p w14:paraId="2897D78C">
      <w:pPr>
        <w:pStyle w:val="2"/>
        <w:keepLines w:val="0"/>
        <w:pageBreakBefore w:val="0"/>
        <w:kinsoku/>
        <w:wordWrap/>
        <w:overflowPunct/>
        <w:topLinePunct w:val="0"/>
        <w:autoSpaceDE/>
        <w:autoSpaceDN/>
        <w:bidi w:val="0"/>
        <w:adjustRightInd w:val="0"/>
        <w:snapToGrid w:val="0"/>
        <w:spacing w:after="0" w:afterLines="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保险人义务</w:t>
      </w:r>
    </w:p>
    <w:p w14:paraId="1AC2251C">
      <w:pPr>
        <w:keepLines w:val="0"/>
        <w:pageBreakBefore w:val="0"/>
        <w:numPr>
          <w:ilvl w:val="0"/>
          <w:numId w:val="5"/>
        </w:numPr>
        <w:kinsoku/>
        <w:wordWrap/>
        <w:overflowPunct/>
        <w:topLinePunct w:val="0"/>
        <w:autoSpaceDE/>
        <w:autoSpaceDN/>
        <w:bidi w:val="0"/>
        <w:adjustRightInd w:val="0"/>
        <w:snapToGrid w:val="0"/>
        <w:spacing w:after="0" w:afterLines="0" w:line="36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订立保险合同时，采用保险人提供的格式条款的，保险人向投保人提供的投保单应当附格式条款，保险人应当向投保人说明保险合同的内容。对保险合同中免除保险人责任的条款，保险人在订立合同时应当在投保单、保险单或者其他保险凭证上作出足以引起投保人注意的提示，并对该条款的内容以书面或者口头形式向投保人作出明确说明；未作提示或者明确说明的，该条款不产生效力。</w:t>
      </w:r>
    </w:p>
    <w:p w14:paraId="4F59A0AB">
      <w:pPr>
        <w:keepLines w:val="0"/>
        <w:pageBreakBefore w:val="0"/>
        <w:numPr>
          <w:ilvl w:val="0"/>
          <w:numId w:val="5"/>
        </w:numPr>
        <w:kinsoku/>
        <w:wordWrap/>
        <w:overflowPunct/>
        <w:topLinePunct w:val="0"/>
        <w:autoSpaceDE/>
        <w:autoSpaceDN/>
        <w:bidi w:val="0"/>
        <w:adjustRightInd w:val="0"/>
        <w:snapToGrid w:val="0"/>
        <w:spacing w:after="0" w:afterLines="0"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本保险合同成立后，保险人应当及时向投保人签发保险单或其他保险凭证。</w:t>
      </w:r>
    </w:p>
    <w:p w14:paraId="47630392">
      <w:pPr>
        <w:keepLines w:val="0"/>
        <w:pageBreakBefore w:val="0"/>
        <w:numPr>
          <w:ilvl w:val="0"/>
          <w:numId w:val="5"/>
        </w:numPr>
        <w:kinsoku/>
        <w:wordWrap/>
        <w:overflowPunct/>
        <w:topLinePunct w:val="0"/>
        <w:autoSpaceDE/>
        <w:autoSpaceDN/>
        <w:bidi w:val="0"/>
        <w:adjustRightInd w:val="0"/>
        <w:snapToGrid w:val="0"/>
        <w:spacing w:after="0" w:afterLines="0" w:line="360" w:lineRule="auto"/>
        <w:ind w:left="0" w:firstLine="420" w:firstLineChars="200"/>
        <w:textAlignment w:val="auto"/>
        <w:rPr>
          <w:rStyle w:val="59"/>
          <w:rFonts w:hint="eastAsia" w:ascii="宋体" w:hAnsi="宋体" w:eastAsia="宋体" w:cs="宋体"/>
          <w:color w:val="auto"/>
          <w:sz w:val="21"/>
          <w:szCs w:val="21"/>
          <w:highlight w:val="none"/>
        </w:rPr>
      </w:pPr>
      <w:r>
        <w:rPr>
          <w:rStyle w:val="59"/>
          <w:rFonts w:hint="eastAsia" w:ascii="宋体" w:hAnsi="宋体" w:eastAsia="宋体" w:cs="宋体"/>
          <w:color w:val="auto"/>
          <w:sz w:val="21"/>
          <w:szCs w:val="21"/>
          <w:highlight w:val="none"/>
        </w:rPr>
        <w:t>保险人依据第十八条所取得的保险合同解除权，自保险人知道有解除事由之日起，超过三十日不行使而消灭。自保险合同成立之日起超过二年的，保险人不得解除合同；发生保险事故的，保险人承担赔偿责任。</w:t>
      </w:r>
    </w:p>
    <w:p w14:paraId="004530F9">
      <w:pPr>
        <w:keepLines w:val="0"/>
        <w:pageBreakBefore w:val="0"/>
        <w:kinsoku/>
        <w:wordWrap/>
        <w:overflowPunct/>
        <w:topLinePunct w:val="0"/>
        <w:autoSpaceDE/>
        <w:autoSpaceDN/>
        <w:bidi w:val="0"/>
        <w:adjustRightInd w:val="0"/>
        <w:snapToGrid w:val="0"/>
        <w:spacing w:after="0" w:afterLines="0" w:line="360" w:lineRule="auto"/>
        <w:ind w:firstLine="420" w:firstLineChars="200"/>
        <w:textAlignment w:val="auto"/>
        <w:rPr>
          <w:rStyle w:val="59"/>
          <w:rFonts w:hint="eastAsia" w:ascii="宋体" w:hAnsi="宋体" w:eastAsia="宋体" w:cs="宋体"/>
          <w:color w:val="auto"/>
          <w:sz w:val="21"/>
          <w:szCs w:val="21"/>
          <w:highlight w:val="none"/>
        </w:rPr>
      </w:pPr>
      <w:r>
        <w:rPr>
          <w:rStyle w:val="59"/>
          <w:rFonts w:hint="eastAsia" w:ascii="宋体" w:hAnsi="宋体" w:eastAsia="宋体" w:cs="宋体"/>
          <w:color w:val="auto"/>
          <w:sz w:val="21"/>
          <w:szCs w:val="21"/>
          <w:highlight w:val="none"/>
        </w:rPr>
        <w:t>保险人在合同订立时已经知道投保人未如实告知的情况的，保险人不得解除合同；发生保险事故的，保险人应当承担赔偿责任。</w:t>
      </w:r>
    </w:p>
    <w:p w14:paraId="3A944BC9">
      <w:pPr>
        <w:keepLines w:val="0"/>
        <w:pageBreakBefore w:val="0"/>
        <w:numPr>
          <w:ilvl w:val="0"/>
          <w:numId w:val="5"/>
        </w:numPr>
        <w:kinsoku/>
        <w:wordWrap/>
        <w:overflowPunct/>
        <w:topLinePunct w:val="0"/>
        <w:autoSpaceDE/>
        <w:autoSpaceDN/>
        <w:bidi w:val="0"/>
        <w:adjustRightInd w:val="0"/>
        <w:snapToGrid w:val="0"/>
        <w:spacing w:after="0" w:afterLines="0" w:line="360" w:lineRule="auto"/>
        <w:ind w:left="0" w:firstLine="420" w:firstLineChars="200"/>
        <w:textAlignment w:val="auto"/>
        <w:rPr>
          <w:rStyle w:val="59"/>
          <w:rFonts w:hint="eastAsia" w:ascii="宋体" w:hAnsi="宋体" w:eastAsia="宋体" w:cs="宋体"/>
          <w:color w:val="auto"/>
          <w:sz w:val="21"/>
          <w:szCs w:val="21"/>
          <w:highlight w:val="none"/>
        </w:rPr>
      </w:pPr>
      <w:r>
        <w:rPr>
          <w:rStyle w:val="59"/>
          <w:rFonts w:hint="eastAsia" w:ascii="宋体" w:hAnsi="宋体" w:eastAsia="宋体" w:cs="宋体"/>
          <w:color w:val="auto"/>
          <w:sz w:val="21"/>
          <w:szCs w:val="21"/>
          <w:highlight w:val="none"/>
        </w:rPr>
        <w:t>保险人按照第二十三条的约定，认为被保险人提供的有关索赔的证明和资料不完整的，应当及时一次性通知投保人、被保险人补充提供。</w:t>
      </w:r>
    </w:p>
    <w:p w14:paraId="15185706">
      <w:pPr>
        <w:keepLines w:val="0"/>
        <w:pageBreakBefore w:val="0"/>
        <w:numPr>
          <w:ilvl w:val="0"/>
          <w:numId w:val="5"/>
        </w:numPr>
        <w:kinsoku/>
        <w:wordWrap/>
        <w:overflowPunct/>
        <w:topLinePunct w:val="0"/>
        <w:autoSpaceDE/>
        <w:autoSpaceDN/>
        <w:bidi w:val="0"/>
        <w:adjustRightInd w:val="0"/>
        <w:snapToGrid w:val="0"/>
        <w:spacing w:after="0" w:afterLines="0" w:line="360" w:lineRule="auto"/>
        <w:ind w:left="0" w:firstLine="420" w:firstLineChars="200"/>
        <w:textAlignment w:val="auto"/>
        <w:rPr>
          <w:rStyle w:val="59"/>
          <w:rFonts w:hint="eastAsia" w:ascii="宋体" w:hAnsi="宋体" w:eastAsia="宋体" w:cs="宋体"/>
          <w:color w:val="auto"/>
          <w:sz w:val="21"/>
          <w:szCs w:val="21"/>
          <w:highlight w:val="none"/>
        </w:rPr>
      </w:pPr>
      <w:r>
        <w:rPr>
          <w:rStyle w:val="59"/>
          <w:rFonts w:hint="eastAsia" w:ascii="宋体" w:hAnsi="宋体" w:eastAsia="宋体" w:cs="宋体"/>
          <w:color w:val="auto"/>
          <w:sz w:val="21"/>
          <w:szCs w:val="21"/>
          <w:highlight w:val="none"/>
        </w:rPr>
        <w:t>保险人收到被保险人的赔偿保险金的请求后，应当及时作出是否属于保险责任的核定；情形复杂的，应当在三十日内作出核定，但保险合同另有约定的除外。</w:t>
      </w:r>
    </w:p>
    <w:p w14:paraId="1525522B">
      <w:pPr>
        <w:keepLines w:val="0"/>
        <w:pageBreakBefore w:val="0"/>
        <w:kinsoku/>
        <w:wordWrap/>
        <w:overflowPunct/>
        <w:topLinePunct w:val="0"/>
        <w:autoSpaceDE/>
        <w:autoSpaceDN/>
        <w:bidi w:val="0"/>
        <w:adjustRightInd w:val="0"/>
        <w:snapToGrid w:val="0"/>
        <w:spacing w:after="0" w:afterLines="0" w:line="360" w:lineRule="auto"/>
        <w:ind w:firstLine="420" w:firstLineChars="200"/>
        <w:textAlignment w:val="auto"/>
        <w:rPr>
          <w:rStyle w:val="59"/>
          <w:rFonts w:hint="eastAsia" w:ascii="宋体" w:hAnsi="宋体" w:eastAsia="宋体" w:cs="宋体"/>
          <w:color w:val="auto"/>
          <w:sz w:val="21"/>
          <w:szCs w:val="21"/>
          <w:highlight w:val="none"/>
        </w:rPr>
      </w:pPr>
      <w:r>
        <w:rPr>
          <w:rStyle w:val="59"/>
          <w:rFonts w:hint="eastAsia" w:ascii="宋体" w:hAnsi="宋体" w:eastAsia="宋体" w:cs="宋体"/>
          <w:color w:val="auto"/>
          <w:sz w:val="21"/>
          <w:szCs w:val="21"/>
          <w:highlight w:val="none"/>
        </w:rPr>
        <w:t>保险人应当将核定结果通知被保险人；对属于保险责任的，在与被保险人达成赔偿保险金的协议后十日内，履行赔偿保险金义务。保险合同对赔偿保险金的期限有约定的，保险人应当按照约定履行赔偿保险金的义务。保险人依照前款约定作出核定后，对不属于保险责任的，应当自作出核定之日起三日内向被保险人发出拒绝赔偿保险金通知书，并说明理由。</w:t>
      </w:r>
    </w:p>
    <w:p w14:paraId="60734DF9">
      <w:pPr>
        <w:keepLines w:val="0"/>
        <w:pageBreakBefore w:val="0"/>
        <w:numPr>
          <w:ilvl w:val="0"/>
          <w:numId w:val="5"/>
        </w:numPr>
        <w:kinsoku/>
        <w:wordWrap/>
        <w:overflowPunct/>
        <w:topLinePunct w:val="0"/>
        <w:autoSpaceDE/>
        <w:autoSpaceDN/>
        <w:bidi w:val="0"/>
        <w:adjustRightInd w:val="0"/>
        <w:snapToGrid w:val="0"/>
        <w:spacing w:after="0" w:afterLines="0" w:line="360" w:lineRule="auto"/>
        <w:ind w:left="0" w:firstLine="420" w:firstLineChars="200"/>
        <w:textAlignment w:val="auto"/>
        <w:rPr>
          <w:rStyle w:val="59"/>
          <w:rFonts w:hint="eastAsia" w:ascii="宋体" w:hAnsi="宋体" w:eastAsia="宋体" w:cs="宋体"/>
          <w:color w:val="auto"/>
          <w:sz w:val="21"/>
          <w:szCs w:val="21"/>
          <w:highlight w:val="none"/>
        </w:rPr>
      </w:pPr>
      <w:r>
        <w:rPr>
          <w:rStyle w:val="59"/>
          <w:rFonts w:hint="eastAsia" w:ascii="宋体" w:hAnsi="宋体" w:eastAsia="宋体" w:cs="宋体"/>
          <w:color w:val="auto"/>
          <w:sz w:val="21"/>
          <w:szCs w:val="21"/>
          <w:highlight w:val="none"/>
        </w:rPr>
        <w:t>保险人自收到赔偿的请求和有关证明、资料之日起六十日内，对其赔偿保险金的数额不能确定的，应当根据已有证明和资料可以确定的数额先予支付；保险人最终确定赔偿的数额后，应当支付相应的差额。</w:t>
      </w:r>
    </w:p>
    <w:p w14:paraId="36114AF6">
      <w:pPr>
        <w:pStyle w:val="2"/>
        <w:keepLines w:val="0"/>
        <w:pageBreakBefore w:val="0"/>
        <w:kinsoku/>
        <w:wordWrap/>
        <w:overflowPunct/>
        <w:topLinePunct w:val="0"/>
        <w:autoSpaceDE/>
        <w:autoSpaceDN/>
        <w:bidi w:val="0"/>
        <w:adjustRightInd w:val="0"/>
        <w:snapToGrid w:val="0"/>
        <w:spacing w:after="0" w:afterLines="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投保人、被保险人义务</w:t>
      </w:r>
    </w:p>
    <w:p w14:paraId="45233879">
      <w:pPr>
        <w:keepLines w:val="0"/>
        <w:pageBreakBefore w:val="0"/>
        <w:numPr>
          <w:ilvl w:val="0"/>
          <w:numId w:val="5"/>
        </w:numPr>
        <w:kinsoku/>
        <w:wordWrap/>
        <w:overflowPunct/>
        <w:topLinePunct w:val="0"/>
        <w:autoSpaceDE/>
        <w:autoSpaceDN/>
        <w:bidi w:val="0"/>
        <w:adjustRightInd w:val="0"/>
        <w:snapToGrid w:val="0"/>
        <w:spacing w:after="0" w:afterLines="0"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投保人应履行如实告知义务，如实回答保险人就保险标的或被保险人的有关情况提出的询问，并如实填写投保单。</w:t>
      </w:r>
    </w:p>
    <w:p w14:paraId="6AA534F7">
      <w:pPr>
        <w:pStyle w:val="10"/>
        <w:keepNext w:val="0"/>
        <w:keepLines w:val="0"/>
        <w:pageBreakBefore w:val="0"/>
        <w:widowControl w:val="0"/>
        <w:kinsoku/>
        <w:wordWrap/>
        <w:overflowPunct/>
        <w:topLinePunct w:val="0"/>
        <w:autoSpaceDE/>
        <w:autoSpaceDN/>
        <w:bidi w:val="0"/>
        <w:adjustRightInd w:val="0"/>
        <w:snapToGrid w:val="0"/>
        <w:spacing w:after="0" w:afterLines="0" w:line="360" w:lineRule="auto"/>
        <w:ind w:left="0"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投保人故意或者因重大过失未履行前款规定的如实告知义务，足以影响保险人决定是否同意承保或者提高保险费率的，保险人有权解除合同。</w:t>
      </w:r>
    </w:p>
    <w:p w14:paraId="6DA52D58">
      <w:pPr>
        <w:pStyle w:val="10"/>
        <w:keepNext w:val="0"/>
        <w:keepLines w:val="0"/>
        <w:pageBreakBefore w:val="0"/>
        <w:widowControl w:val="0"/>
        <w:kinsoku/>
        <w:wordWrap/>
        <w:overflowPunct/>
        <w:topLinePunct w:val="0"/>
        <w:autoSpaceDE/>
        <w:autoSpaceDN/>
        <w:bidi w:val="0"/>
        <w:adjustRightInd w:val="0"/>
        <w:snapToGrid w:val="0"/>
        <w:spacing w:after="0" w:afterLines="0" w:line="360" w:lineRule="auto"/>
        <w:ind w:left="0" w:leftChars="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投保人故意不履行如实告知义务的，保险人对于合同解除前发生的保险事故，不承担赔偿责任，并不退还保险费。</w:t>
      </w:r>
    </w:p>
    <w:p w14:paraId="488D58E4">
      <w:pPr>
        <w:pStyle w:val="10"/>
        <w:keepNext w:val="0"/>
        <w:keepLines w:val="0"/>
        <w:pageBreakBefore w:val="0"/>
        <w:widowControl w:val="0"/>
        <w:kinsoku/>
        <w:wordWrap/>
        <w:overflowPunct/>
        <w:topLinePunct w:val="0"/>
        <w:autoSpaceDE/>
        <w:autoSpaceDN/>
        <w:bidi w:val="0"/>
        <w:adjustRightInd w:val="0"/>
        <w:snapToGrid w:val="0"/>
        <w:spacing w:after="0" w:afterLines="0" w:line="360" w:lineRule="auto"/>
        <w:ind w:left="0" w:leftChars="0" w:firstLine="422"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投保人因重大过失未履行如实告知义务，对保险事故的发生有严重影响的，保险人对于合同解除前发生的保险事故，不承担赔偿责任，</w:t>
      </w:r>
      <w:r>
        <w:rPr>
          <w:rFonts w:hint="eastAsia" w:ascii="宋体" w:hAnsi="宋体" w:eastAsia="宋体" w:cs="宋体"/>
          <w:b/>
          <w:bCs/>
          <w:color w:val="auto"/>
          <w:sz w:val="21"/>
          <w:szCs w:val="21"/>
          <w:highlight w:val="none"/>
        </w:rPr>
        <w:t>但应当退还保险费。</w:t>
      </w:r>
    </w:p>
    <w:p w14:paraId="1368BF93">
      <w:pPr>
        <w:keepLines w:val="0"/>
        <w:pageBreakBefore w:val="0"/>
        <w:numPr>
          <w:ilvl w:val="0"/>
          <w:numId w:val="5"/>
        </w:numPr>
        <w:kinsoku/>
        <w:wordWrap/>
        <w:overflowPunct/>
        <w:topLinePunct w:val="0"/>
        <w:autoSpaceDE/>
        <w:autoSpaceDN/>
        <w:bidi w:val="0"/>
        <w:adjustRightInd w:val="0"/>
        <w:snapToGrid w:val="0"/>
        <w:spacing w:after="0" w:afterLines="0"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除另有约定外</w:t>
      </w:r>
      <w:r>
        <w:rPr>
          <w:rFonts w:hint="eastAsia" w:ascii="宋体" w:hAnsi="宋体" w:eastAsia="宋体" w:cs="宋体"/>
          <w:bCs/>
          <w:color w:val="auto"/>
          <w:sz w:val="21"/>
          <w:szCs w:val="21"/>
          <w:highlight w:val="none"/>
        </w:rPr>
        <w:t>，投保人应在保险合同成立时一次交清保险费。采用分期支付保险费的，投保人应按照本保险合同的约定，按时支付保险费。</w:t>
      </w:r>
    </w:p>
    <w:p w14:paraId="3DFA0BB0">
      <w:pPr>
        <w:keepLines w:val="0"/>
        <w:pageBreakBefore w:val="0"/>
        <w:numPr>
          <w:ilvl w:val="0"/>
          <w:numId w:val="5"/>
        </w:numPr>
        <w:kinsoku/>
        <w:wordWrap/>
        <w:overflowPunct/>
        <w:topLinePunct w:val="0"/>
        <w:autoSpaceDE/>
        <w:autoSpaceDN/>
        <w:bidi w:val="0"/>
        <w:adjustRightInd w:val="0"/>
        <w:snapToGrid w:val="0"/>
        <w:spacing w:after="0" w:afterLines="0"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被保险人应当遵守国家有关消防、安全、生产操作、劳动保护等方面的相关法律、法规及规定，加强管理，采取合理的预防措施，尽力避免或减少责任事故的发生，维护保险标的的安全。</w:t>
      </w:r>
    </w:p>
    <w:p w14:paraId="457B79A3">
      <w:pPr>
        <w:keepLines w:val="0"/>
        <w:pageBreakBefore w:val="0"/>
        <w:kinsoku/>
        <w:wordWrap/>
        <w:overflowPunct/>
        <w:topLinePunct w:val="0"/>
        <w:autoSpaceDE/>
        <w:autoSpaceDN/>
        <w:bidi w:val="0"/>
        <w:adjustRightInd w:val="0"/>
        <w:snapToGrid w:val="0"/>
        <w:spacing w:after="0" w:afterLines="0" w:line="360" w:lineRule="auto"/>
        <w:ind w:firstLine="420" w:firstLineChars="200"/>
        <w:textAlignment w:val="auto"/>
        <w:rPr>
          <w:rStyle w:val="59"/>
          <w:rFonts w:hint="eastAsia" w:ascii="宋体" w:hAnsi="宋体" w:eastAsia="宋体" w:cs="宋体"/>
          <w:color w:val="auto"/>
          <w:sz w:val="21"/>
          <w:szCs w:val="21"/>
          <w:highlight w:val="none"/>
        </w:rPr>
      </w:pPr>
      <w:r>
        <w:rPr>
          <w:rStyle w:val="59"/>
          <w:rFonts w:hint="eastAsia" w:ascii="宋体" w:hAnsi="宋体" w:eastAsia="宋体" w:cs="宋体"/>
          <w:color w:val="auto"/>
          <w:sz w:val="21"/>
          <w:szCs w:val="21"/>
          <w:highlight w:val="none"/>
        </w:rPr>
        <w:t>被保险人也应遵守国家有关部门制定的会计制度和有关保护财产安全的各项法律、法规和规定，被保险人需具有完备的安全防盗措施，在非营业时间内，必须撤去金库、保险箱（柜）的钥匙，并将保险标的锁入保险柜内，并二十四小时安排专门人员值班。对安全检查中发现的各种灾害事故隐患，在接到安全主管部门或保险人提出的整改通知书后，必须认真付诸实施。</w:t>
      </w:r>
    </w:p>
    <w:p w14:paraId="43B0246B">
      <w:pPr>
        <w:keepLines w:val="0"/>
        <w:pageBreakBefore w:val="0"/>
        <w:kinsoku/>
        <w:wordWrap/>
        <w:overflowPunct/>
        <w:topLinePunct w:val="0"/>
        <w:autoSpaceDE/>
        <w:autoSpaceDN/>
        <w:bidi w:val="0"/>
        <w:adjustRightInd w:val="0"/>
        <w:snapToGrid w:val="0"/>
        <w:spacing w:after="0" w:afterLines="0" w:line="360" w:lineRule="auto"/>
        <w:ind w:firstLine="420" w:firstLineChars="200"/>
        <w:textAlignment w:val="auto"/>
        <w:rPr>
          <w:rFonts w:hint="eastAsia" w:ascii="宋体" w:hAnsi="宋体" w:eastAsia="宋体" w:cs="宋体"/>
          <w:color w:val="auto"/>
          <w:sz w:val="21"/>
          <w:szCs w:val="21"/>
          <w:highlight w:val="none"/>
        </w:rPr>
      </w:pPr>
      <w:r>
        <w:rPr>
          <w:rStyle w:val="59"/>
          <w:rFonts w:hint="eastAsia" w:ascii="宋体" w:hAnsi="宋体" w:eastAsia="宋体" w:cs="宋体"/>
          <w:color w:val="auto"/>
          <w:sz w:val="21"/>
          <w:szCs w:val="21"/>
          <w:highlight w:val="none"/>
        </w:rPr>
        <w:t>保险人可以对被保险人遵守前款约定的情况进行检查，向投保人、被保险人提出消除不安全因素和隐患的书面建议，投保人、被保险人应该认真付诸实施。</w:t>
      </w:r>
    </w:p>
    <w:p w14:paraId="1BE579BB">
      <w:pPr>
        <w:keepLines w:val="0"/>
        <w:pageBreakBefore w:val="0"/>
        <w:kinsoku/>
        <w:wordWrap/>
        <w:overflowPunct/>
        <w:topLinePunct w:val="0"/>
        <w:autoSpaceDE/>
        <w:autoSpaceDN/>
        <w:bidi w:val="0"/>
        <w:adjustRightInd w:val="0"/>
        <w:snapToGrid w:val="0"/>
        <w:spacing w:after="0" w:afterLines="0" w:line="360" w:lineRule="auto"/>
        <w:ind w:firstLine="422" w:firstLineChars="200"/>
        <w:textAlignment w:val="auto"/>
        <w:rPr>
          <w:rStyle w:val="59"/>
          <w:rFonts w:hint="eastAsia" w:ascii="宋体" w:hAnsi="宋体" w:eastAsia="宋体" w:cs="宋体"/>
          <w:color w:val="auto"/>
          <w:sz w:val="21"/>
          <w:szCs w:val="21"/>
          <w:highlight w:val="none"/>
        </w:rPr>
      </w:pPr>
      <w:r>
        <w:rPr>
          <w:rStyle w:val="59"/>
          <w:rFonts w:hint="eastAsia" w:ascii="宋体" w:hAnsi="宋体" w:eastAsia="宋体" w:cs="宋体"/>
          <w:b/>
          <w:bCs/>
          <w:color w:val="auto"/>
          <w:sz w:val="21"/>
          <w:szCs w:val="21"/>
          <w:highlight w:val="none"/>
        </w:rPr>
        <w:t>投保人、被保险人未按照约定履行其对保险标的的安全应尽责任的，保险人有权要求增加保险费或者解除合同。</w:t>
      </w:r>
    </w:p>
    <w:p w14:paraId="5A6E57C8">
      <w:pPr>
        <w:keepLines w:val="0"/>
        <w:pageBreakBefore w:val="0"/>
        <w:numPr>
          <w:ilvl w:val="0"/>
          <w:numId w:val="5"/>
        </w:numPr>
        <w:kinsoku/>
        <w:wordWrap/>
        <w:overflowPunct/>
        <w:topLinePunct w:val="0"/>
        <w:autoSpaceDE/>
        <w:autoSpaceDN/>
        <w:bidi w:val="0"/>
        <w:adjustRightInd w:val="0"/>
        <w:snapToGrid w:val="0"/>
        <w:spacing w:after="0" w:afterLines="0" w:line="360" w:lineRule="auto"/>
        <w:ind w:left="0" w:firstLine="422" w:firstLineChars="200"/>
        <w:textAlignment w:val="auto"/>
        <w:rPr>
          <w:rStyle w:val="59"/>
          <w:rFonts w:hint="eastAsia" w:ascii="宋体" w:hAnsi="宋体" w:eastAsia="宋体" w:cs="宋体"/>
          <w:b/>
          <w:bCs/>
          <w:color w:val="auto"/>
          <w:sz w:val="21"/>
          <w:szCs w:val="21"/>
          <w:highlight w:val="none"/>
        </w:rPr>
      </w:pPr>
      <w:r>
        <w:rPr>
          <w:rStyle w:val="59"/>
          <w:rFonts w:hint="eastAsia" w:ascii="宋体" w:hAnsi="宋体" w:eastAsia="宋体" w:cs="宋体"/>
          <w:b/>
          <w:bCs/>
          <w:color w:val="auto"/>
          <w:sz w:val="21"/>
          <w:szCs w:val="21"/>
          <w:highlight w:val="none"/>
        </w:rPr>
        <w:t>在合同有效期内，</w:t>
      </w:r>
      <w:r>
        <w:rPr>
          <w:rFonts w:hint="eastAsia" w:ascii="宋体" w:hAnsi="宋体" w:eastAsia="宋体" w:cs="宋体"/>
          <w:b/>
          <w:color w:val="auto"/>
          <w:sz w:val="21"/>
          <w:szCs w:val="21"/>
          <w:highlight w:val="none"/>
        </w:rPr>
        <w:t>如保险标的占用与使用性质、保险标的地址及其他可能导致保险标的危险程度显著增加的、或其他足以影响保险人决定是否继续承保或是否增加保险费的保险合同重要事项变更，</w:t>
      </w:r>
      <w:r>
        <w:rPr>
          <w:rStyle w:val="59"/>
          <w:rFonts w:hint="eastAsia" w:ascii="宋体" w:hAnsi="宋体" w:eastAsia="宋体" w:cs="宋体"/>
          <w:b/>
          <w:bCs/>
          <w:color w:val="auto"/>
          <w:sz w:val="21"/>
          <w:szCs w:val="21"/>
          <w:highlight w:val="none"/>
        </w:rPr>
        <w:t>被保险人应及时书面通知保险人，保险人有权要求增加保险费或者解除合同。</w:t>
      </w:r>
    </w:p>
    <w:p w14:paraId="65AC336E">
      <w:pPr>
        <w:keepLines w:val="0"/>
        <w:pageBreakBefore w:val="0"/>
        <w:kinsoku/>
        <w:wordWrap/>
        <w:overflowPunct/>
        <w:topLinePunct w:val="0"/>
        <w:autoSpaceDE/>
        <w:autoSpaceDN/>
        <w:bidi w:val="0"/>
        <w:adjustRightInd w:val="0"/>
        <w:snapToGrid w:val="0"/>
        <w:spacing w:after="0" w:afterLines="0" w:line="360" w:lineRule="auto"/>
        <w:ind w:firstLine="422" w:firstLineChars="200"/>
        <w:textAlignment w:val="auto"/>
        <w:rPr>
          <w:rStyle w:val="59"/>
          <w:rFonts w:hint="eastAsia" w:ascii="宋体" w:hAnsi="宋体" w:eastAsia="宋体" w:cs="宋体"/>
          <w:b/>
          <w:bCs/>
          <w:color w:val="auto"/>
          <w:sz w:val="21"/>
          <w:szCs w:val="21"/>
          <w:highlight w:val="none"/>
        </w:rPr>
      </w:pPr>
      <w:r>
        <w:rPr>
          <w:rStyle w:val="59"/>
          <w:rFonts w:hint="eastAsia" w:ascii="宋体" w:hAnsi="宋体" w:eastAsia="宋体" w:cs="宋体"/>
          <w:b/>
          <w:bCs/>
          <w:color w:val="auto"/>
          <w:sz w:val="21"/>
          <w:szCs w:val="21"/>
          <w:highlight w:val="none"/>
        </w:rPr>
        <w:t>被保险人未履行前款约定的通知义务的，因保险标的的危险程度显著增加而发生的保险事故，保险人不承担赔偿责任。</w:t>
      </w:r>
    </w:p>
    <w:p w14:paraId="300A3A6F">
      <w:pPr>
        <w:keepLines w:val="0"/>
        <w:pageBreakBefore w:val="0"/>
        <w:numPr>
          <w:ilvl w:val="0"/>
          <w:numId w:val="5"/>
        </w:numPr>
        <w:kinsoku/>
        <w:wordWrap/>
        <w:overflowPunct/>
        <w:topLinePunct w:val="0"/>
        <w:autoSpaceDE/>
        <w:autoSpaceDN/>
        <w:bidi w:val="0"/>
        <w:adjustRightInd w:val="0"/>
        <w:snapToGrid w:val="0"/>
        <w:spacing w:after="0" w:afterLines="0"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知道保险事故发生后，被保险人应该：</w:t>
      </w:r>
    </w:p>
    <w:p w14:paraId="36A1D5D7">
      <w:pPr>
        <w:keepLines w:val="0"/>
        <w:pageBreakBefore w:val="0"/>
        <w:kinsoku/>
        <w:wordWrap/>
        <w:overflowPunct/>
        <w:topLinePunct w:val="0"/>
        <w:autoSpaceDE/>
        <w:autoSpaceDN/>
        <w:bidi w:val="0"/>
        <w:adjustRightInd w:val="0"/>
        <w:snapToGrid w:val="0"/>
        <w:spacing w:after="0" w:afterLines="0" w:line="360" w:lineRule="auto"/>
        <w:ind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（一）尽力采取必要、合理的措施，防止或减少损失，否则，</w:t>
      </w:r>
      <w:r>
        <w:rPr>
          <w:rFonts w:hint="eastAsia" w:ascii="宋体" w:hAnsi="宋体" w:eastAsia="宋体" w:cs="宋体"/>
          <w:b/>
          <w:color w:val="auto"/>
          <w:sz w:val="21"/>
          <w:szCs w:val="21"/>
          <w:highlight w:val="none"/>
        </w:rPr>
        <w:t>对因此扩大的损失，保险人不承担赔偿责任；</w:t>
      </w:r>
    </w:p>
    <w:p w14:paraId="19E26292">
      <w:pPr>
        <w:keepLines w:val="0"/>
        <w:pageBreakBefore w:val="0"/>
        <w:kinsoku/>
        <w:wordWrap/>
        <w:overflowPunct/>
        <w:topLinePunct w:val="0"/>
        <w:autoSpaceDE/>
        <w:autoSpaceDN/>
        <w:bidi w:val="0"/>
        <w:adjustRightInd w:val="0"/>
        <w:snapToGrid w:val="0"/>
        <w:spacing w:after="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（二）立即通知保险人，并书面说明事故发生的原因、经过和损失情况；</w:t>
      </w:r>
      <w:r>
        <w:rPr>
          <w:rStyle w:val="59"/>
          <w:rFonts w:hint="eastAsia" w:ascii="宋体" w:hAnsi="宋体" w:eastAsia="宋体" w:cs="宋体"/>
          <w:b/>
          <w:color w:val="auto"/>
          <w:sz w:val="21"/>
          <w:szCs w:val="21"/>
          <w:highlight w:val="none"/>
        </w:rPr>
        <w:t>故意或者因重大过失未及时通知，致使保险事故的性质、原因、损失程度等难以确定的，保险人对无法确定的部分，不承担赔偿责任，</w:t>
      </w:r>
      <w:r>
        <w:rPr>
          <w:rStyle w:val="59"/>
          <w:rFonts w:hint="eastAsia" w:ascii="宋体" w:hAnsi="宋体" w:eastAsia="宋体" w:cs="宋体"/>
          <w:color w:val="auto"/>
          <w:sz w:val="21"/>
          <w:szCs w:val="21"/>
          <w:highlight w:val="none"/>
        </w:rPr>
        <w:t>但保险人通过其他途径已经及时知道或者应当及时知道保险事故发生的除外；</w:t>
      </w:r>
    </w:p>
    <w:p w14:paraId="6962BFF0">
      <w:pPr>
        <w:keepLines w:val="0"/>
        <w:pageBreakBefore w:val="0"/>
        <w:kinsoku/>
        <w:wordWrap/>
        <w:overflowPunct/>
        <w:topLinePunct w:val="0"/>
        <w:autoSpaceDE/>
        <w:autoSpaceDN/>
        <w:bidi w:val="0"/>
        <w:adjustRightInd w:val="0"/>
        <w:snapToGrid w:val="0"/>
        <w:spacing w:after="0" w:afterLines="0"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（三）保护事故现场，允许并且协助保险人进行事故调查；</w:t>
      </w:r>
      <w:r>
        <w:rPr>
          <w:rFonts w:hint="eastAsia" w:ascii="宋体" w:hAnsi="宋体" w:eastAsia="宋体" w:cs="宋体"/>
          <w:b/>
          <w:bCs/>
          <w:color w:val="auto"/>
          <w:sz w:val="21"/>
          <w:szCs w:val="21"/>
          <w:highlight w:val="none"/>
        </w:rPr>
        <w:t>对于拒绝或者妨碍保险人进行事故调查导致无法确定事故原因或核实损失情况的，保险人对无法核实的部分不承担赔偿责任。</w:t>
      </w:r>
    </w:p>
    <w:p w14:paraId="0C786ADB">
      <w:pPr>
        <w:keepLines w:val="0"/>
        <w:pageBreakBefore w:val="0"/>
        <w:numPr>
          <w:ilvl w:val="0"/>
          <w:numId w:val="5"/>
        </w:numPr>
        <w:kinsoku/>
        <w:wordWrap/>
        <w:overflowPunct/>
        <w:topLinePunct w:val="0"/>
        <w:autoSpaceDE/>
        <w:autoSpaceDN/>
        <w:bidi w:val="0"/>
        <w:adjustRightInd w:val="0"/>
        <w:snapToGrid w:val="0"/>
        <w:spacing w:after="0" w:afterLines="0"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被保险人请求赔偿时，应向保险人提供下列证明和资料：</w:t>
      </w:r>
    </w:p>
    <w:p w14:paraId="7D56F1D8">
      <w:pPr>
        <w:keepLines w:val="0"/>
        <w:pageBreakBefore w:val="0"/>
        <w:kinsoku/>
        <w:wordWrap/>
        <w:overflowPunct/>
        <w:topLinePunct w:val="0"/>
        <w:autoSpaceDE/>
        <w:autoSpaceDN/>
        <w:bidi w:val="0"/>
        <w:adjustRightInd w:val="0"/>
        <w:snapToGrid w:val="0"/>
        <w:spacing w:after="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（一）保险单正本、索赔申请、财产损失清单、技术鉴定证明、事故报告书、救护费用发票、必要的帐簿、单据和有关部门的证明；</w:t>
      </w:r>
    </w:p>
    <w:p w14:paraId="5B401863">
      <w:pPr>
        <w:keepLines w:val="0"/>
        <w:pageBreakBefore w:val="0"/>
        <w:kinsoku/>
        <w:wordWrap/>
        <w:overflowPunct/>
        <w:topLinePunct w:val="0"/>
        <w:autoSpaceDE/>
        <w:autoSpaceDN/>
        <w:bidi w:val="0"/>
        <w:adjustRightInd w:val="0"/>
        <w:snapToGrid w:val="0"/>
        <w:spacing w:after="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（二）投保人、被保险人所能提供的与确认保险事故的性质、原因、损失程度等有关的其他证明和资料。</w:t>
      </w:r>
    </w:p>
    <w:p w14:paraId="2C862A8D">
      <w:pPr>
        <w:keepLines w:val="0"/>
        <w:pageBreakBefore w:val="0"/>
        <w:kinsoku/>
        <w:wordWrap/>
        <w:overflowPunct/>
        <w:topLinePunct w:val="0"/>
        <w:autoSpaceDE/>
        <w:autoSpaceDN/>
        <w:bidi w:val="0"/>
        <w:adjustRightInd w:val="0"/>
        <w:snapToGrid w:val="0"/>
        <w:spacing w:after="0" w:afterLines="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投保人、被保险人未履行前款约定的单证提供义务，导致保险人无法核实损失情况的，保险人对无法核实的部分不承担赔偿责任。</w:t>
      </w:r>
    </w:p>
    <w:p w14:paraId="7A0C9B82">
      <w:pPr>
        <w:pStyle w:val="2"/>
        <w:keepLines w:val="0"/>
        <w:pageBreakBefore w:val="0"/>
        <w:kinsoku/>
        <w:wordWrap/>
        <w:overflowPunct/>
        <w:topLinePunct w:val="0"/>
        <w:autoSpaceDE/>
        <w:autoSpaceDN/>
        <w:bidi w:val="0"/>
        <w:adjustRightInd w:val="0"/>
        <w:snapToGrid w:val="0"/>
        <w:spacing w:after="0" w:afterLines="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赔偿处理</w:t>
      </w:r>
    </w:p>
    <w:p w14:paraId="34BF6B61">
      <w:pPr>
        <w:keepLines w:val="0"/>
        <w:pageBreakBefore w:val="0"/>
        <w:numPr>
          <w:ilvl w:val="0"/>
          <w:numId w:val="5"/>
        </w:numPr>
        <w:kinsoku/>
        <w:wordWrap/>
        <w:overflowPunct/>
        <w:topLinePunct w:val="0"/>
        <w:autoSpaceDE/>
        <w:autoSpaceDN/>
        <w:bidi w:val="0"/>
        <w:adjustRightInd w:val="0"/>
        <w:snapToGrid w:val="0"/>
        <w:spacing w:after="0" w:afterLines="0" w:line="360" w:lineRule="auto"/>
        <w:ind w:left="0" w:firstLine="422" w:firstLineChars="200"/>
        <w:textAlignment w:val="auto"/>
        <w:rPr>
          <w:rFonts w:hint="eastAsia" w:ascii="宋体" w:hAnsi="宋体" w:eastAsia="宋体" w:cs="宋体"/>
          <w:color w:val="auto"/>
          <w:sz w:val="21"/>
          <w:szCs w:val="21"/>
          <w:highlight w:val="none"/>
        </w:rPr>
      </w:pPr>
      <w:r>
        <w:rPr>
          <w:rStyle w:val="59"/>
          <w:rFonts w:hint="eastAsia" w:ascii="宋体" w:hAnsi="宋体" w:eastAsia="宋体" w:cs="宋体"/>
          <w:b/>
          <w:color w:val="auto"/>
          <w:sz w:val="21"/>
          <w:szCs w:val="21"/>
          <w:highlight w:val="none"/>
        </w:rPr>
        <w:t>保险事故发生时，被保险人对保险标的不具有保险利益的，不得向保险人请求赔偿保险金。</w:t>
      </w:r>
    </w:p>
    <w:p w14:paraId="2D789AF2">
      <w:pPr>
        <w:keepLines w:val="0"/>
        <w:pageBreakBefore w:val="0"/>
        <w:numPr>
          <w:ilvl w:val="0"/>
          <w:numId w:val="5"/>
        </w:numPr>
        <w:kinsoku/>
        <w:wordWrap/>
        <w:overflowPunct/>
        <w:topLinePunct w:val="0"/>
        <w:autoSpaceDE/>
        <w:autoSpaceDN/>
        <w:bidi w:val="0"/>
        <w:adjustRightInd w:val="0"/>
        <w:snapToGrid w:val="0"/>
        <w:spacing w:after="0" w:afterLines="0"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保险标的发生保险责任范围内的损失，保险人以支付保险金的方式赔偿。</w:t>
      </w:r>
    </w:p>
    <w:p w14:paraId="4482D09E">
      <w:pPr>
        <w:keepLines w:val="0"/>
        <w:pageBreakBefore w:val="0"/>
        <w:numPr>
          <w:ilvl w:val="0"/>
          <w:numId w:val="5"/>
        </w:numPr>
        <w:kinsoku/>
        <w:wordWrap/>
        <w:overflowPunct/>
        <w:topLinePunct w:val="0"/>
        <w:autoSpaceDE/>
        <w:autoSpaceDN/>
        <w:bidi w:val="0"/>
        <w:adjustRightInd w:val="0"/>
        <w:snapToGrid w:val="0"/>
        <w:spacing w:after="0" w:afterLines="0"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保险标的发生保险责任范围内的损失，保险人按以下方式计算赔偿：</w:t>
      </w:r>
    </w:p>
    <w:p w14:paraId="2257B3FD">
      <w:pPr>
        <w:keepLines w:val="0"/>
        <w:pageBreakBefore w:val="0"/>
        <w:kinsoku/>
        <w:wordWrap/>
        <w:overflowPunct/>
        <w:topLinePunct w:val="0"/>
        <w:autoSpaceDE/>
        <w:autoSpaceDN/>
        <w:bidi w:val="0"/>
        <w:adjustRightInd w:val="0"/>
        <w:snapToGrid w:val="0"/>
        <w:spacing w:after="0" w:afterLines="0"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（一）保险金额等于或高于保险价值时，按实际损失计算赔偿，最高不超过保险价值；</w:t>
      </w:r>
    </w:p>
    <w:p w14:paraId="1210CA23">
      <w:pPr>
        <w:keepLines w:val="0"/>
        <w:pageBreakBefore w:val="0"/>
        <w:kinsoku/>
        <w:wordWrap/>
        <w:overflowPunct/>
        <w:topLinePunct w:val="0"/>
        <w:autoSpaceDE/>
        <w:autoSpaceDN/>
        <w:bidi w:val="0"/>
        <w:adjustRightInd w:val="0"/>
        <w:snapToGrid w:val="0"/>
        <w:spacing w:after="0" w:afterLines="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（二）保险金额低于保险价值时，按保险金额与保险价值的比例乘以实际损失计算赔偿，最高不超过保险金额；</w:t>
      </w:r>
    </w:p>
    <w:p w14:paraId="28620063">
      <w:pPr>
        <w:pStyle w:val="10"/>
        <w:keepLines w:val="0"/>
        <w:pageBreakBefore w:val="0"/>
        <w:kinsoku/>
        <w:wordWrap/>
        <w:overflowPunct/>
        <w:topLinePunct w:val="0"/>
        <w:autoSpaceDE/>
        <w:autoSpaceDN/>
        <w:bidi w:val="0"/>
        <w:adjustRightInd w:val="0"/>
        <w:snapToGrid w:val="0"/>
        <w:spacing w:after="0" w:afterLines="0" w:line="36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（三）若本保险合同所列标的不止一项时，应分项按照本条约定处理。</w:t>
      </w:r>
    </w:p>
    <w:p w14:paraId="09620680">
      <w:pPr>
        <w:keepLines w:val="0"/>
        <w:pageBreakBefore w:val="0"/>
        <w:numPr>
          <w:ilvl w:val="0"/>
          <w:numId w:val="5"/>
        </w:numPr>
        <w:kinsoku/>
        <w:wordWrap/>
        <w:overflowPunct/>
        <w:topLinePunct w:val="0"/>
        <w:autoSpaceDE/>
        <w:autoSpaceDN/>
        <w:bidi w:val="0"/>
        <w:adjustRightInd w:val="0"/>
        <w:snapToGrid w:val="0"/>
        <w:spacing w:after="0" w:afterLines="0"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保险标的的保险金额大于或等于其保险价值时，被保险人为防止或减少保险标的的损失所支付的必要的、合理的费用，在保险标的损失赔偿金额之外另行计算，</w:t>
      </w:r>
      <w:r>
        <w:rPr>
          <w:rFonts w:hint="eastAsia" w:ascii="宋体" w:hAnsi="宋体" w:eastAsia="宋体" w:cs="宋体"/>
          <w:b/>
          <w:bCs/>
          <w:color w:val="auto"/>
          <w:sz w:val="21"/>
          <w:szCs w:val="21"/>
          <w:highlight w:val="none"/>
        </w:rPr>
        <w:t>最高不超过被施救保险标的的保险价值</w:t>
      </w:r>
      <w:r>
        <w:rPr>
          <w:rFonts w:hint="eastAsia" w:ascii="宋体" w:hAnsi="宋体" w:eastAsia="宋体" w:cs="宋体"/>
          <w:color w:val="auto"/>
          <w:sz w:val="21"/>
          <w:szCs w:val="21"/>
          <w:highlight w:val="none"/>
        </w:rPr>
        <w:t>。</w:t>
      </w:r>
    </w:p>
    <w:p w14:paraId="135F8C9B">
      <w:pPr>
        <w:keepLines w:val="0"/>
        <w:pageBreakBefore w:val="0"/>
        <w:kinsoku/>
        <w:wordWrap/>
        <w:overflowPunct/>
        <w:topLinePunct w:val="0"/>
        <w:autoSpaceDE/>
        <w:autoSpaceDN/>
        <w:bidi w:val="0"/>
        <w:adjustRightInd w:val="0"/>
        <w:snapToGrid w:val="0"/>
        <w:spacing w:after="0" w:afterLines="0"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保险标的的保险金额小于其保险价值时，上述费用按被施救保险标的的保险金额与其保险价值的比例在保险标的损失赔偿金额之外另行计算，最高不超过被施救保险标的的保险金额。</w:t>
      </w:r>
    </w:p>
    <w:p w14:paraId="76216D00">
      <w:pPr>
        <w:keepLines w:val="0"/>
        <w:pageBreakBefore w:val="0"/>
        <w:kinsoku/>
        <w:wordWrap/>
        <w:overflowPunct/>
        <w:topLinePunct w:val="0"/>
        <w:autoSpaceDE/>
        <w:autoSpaceDN/>
        <w:bidi w:val="0"/>
        <w:adjustRightInd w:val="0"/>
        <w:snapToGrid w:val="0"/>
        <w:spacing w:after="0" w:afterLines="0"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被施救的财产中，含有本保险合同未承保财产的，按被施救保险标的的保险价值与全部被施救财产价值的比例分摊施救费用。</w:t>
      </w:r>
    </w:p>
    <w:p w14:paraId="7733CDCD">
      <w:pPr>
        <w:keepLines w:val="0"/>
        <w:pageBreakBefore w:val="0"/>
        <w:numPr>
          <w:ilvl w:val="0"/>
          <w:numId w:val="5"/>
        </w:numPr>
        <w:kinsoku/>
        <w:wordWrap/>
        <w:overflowPunct/>
        <w:topLinePunct w:val="0"/>
        <w:autoSpaceDE/>
        <w:autoSpaceDN/>
        <w:bidi w:val="0"/>
        <w:adjustRightInd w:val="0"/>
        <w:snapToGrid w:val="0"/>
        <w:spacing w:after="0" w:afterLines="0"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每次事故保险人的赔偿金额为根据第二十六条约定计算的金额</w:t>
      </w:r>
      <w:r>
        <w:rPr>
          <w:rFonts w:hint="eastAsia" w:ascii="宋体" w:hAnsi="宋体" w:eastAsia="宋体" w:cs="宋体"/>
          <w:b/>
          <w:bCs/>
          <w:color w:val="auto"/>
          <w:sz w:val="21"/>
          <w:szCs w:val="21"/>
          <w:highlight w:val="none"/>
        </w:rPr>
        <w:t>扣除每次事故免赔额后的金额</w:t>
      </w:r>
      <w:r>
        <w:rPr>
          <w:rFonts w:hint="eastAsia" w:ascii="宋体" w:hAnsi="宋体" w:eastAsia="宋体" w:cs="宋体"/>
          <w:color w:val="auto"/>
          <w:sz w:val="21"/>
          <w:szCs w:val="21"/>
          <w:highlight w:val="none"/>
        </w:rPr>
        <w:t>，或者为根据第二十六条约定计算的金额</w:t>
      </w:r>
      <w:r>
        <w:rPr>
          <w:rFonts w:hint="eastAsia" w:ascii="宋体" w:hAnsi="宋体" w:eastAsia="宋体" w:cs="宋体"/>
          <w:b/>
          <w:bCs/>
          <w:color w:val="auto"/>
          <w:sz w:val="21"/>
          <w:szCs w:val="21"/>
          <w:highlight w:val="none"/>
        </w:rPr>
        <w:t>扣除该金额与免赔率乘积后的金额。</w:t>
      </w:r>
    </w:p>
    <w:p w14:paraId="5FE84FDB">
      <w:pPr>
        <w:keepLines w:val="0"/>
        <w:pageBreakBefore w:val="0"/>
        <w:numPr>
          <w:ilvl w:val="0"/>
          <w:numId w:val="5"/>
        </w:numPr>
        <w:kinsoku/>
        <w:wordWrap/>
        <w:overflowPunct/>
        <w:topLinePunct w:val="0"/>
        <w:autoSpaceDE/>
        <w:autoSpaceDN/>
        <w:bidi w:val="0"/>
        <w:adjustRightInd w:val="0"/>
        <w:snapToGrid w:val="0"/>
        <w:spacing w:after="0" w:afterLines="0" w:line="360" w:lineRule="auto"/>
        <w:ind w:left="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保险事故发生时，如果存在重复保险，保险人按照本保险合同的相应保险金额与其他保险合同及本保险合同相应保险金额总和的比例承担赔偿责任。</w:t>
      </w:r>
    </w:p>
    <w:p w14:paraId="1E4F8E19">
      <w:pPr>
        <w:keepLines w:val="0"/>
        <w:pageBreakBefore w:val="0"/>
        <w:kinsoku/>
        <w:wordWrap/>
        <w:overflowPunct/>
        <w:topLinePunct w:val="0"/>
        <w:autoSpaceDE/>
        <w:autoSpaceDN/>
        <w:bidi w:val="0"/>
        <w:adjustRightInd w:val="0"/>
        <w:snapToGrid w:val="0"/>
        <w:spacing w:after="0" w:afterLines="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其他保险人应承担的赔偿金额，本保险人不负责垫付。若被保险人未如实告知导致保险人多支付赔偿金的，保险人有权向被保险人追回多支付的部分。</w:t>
      </w:r>
    </w:p>
    <w:p w14:paraId="1C647F19">
      <w:pPr>
        <w:keepLines w:val="0"/>
        <w:pageBreakBefore w:val="0"/>
        <w:numPr>
          <w:ilvl w:val="0"/>
          <w:numId w:val="5"/>
        </w:numPr>
        <w:kinsoku/>
        <w:wordWrap/>
        <w:overflowPunct/>
        <w:topLinePunct w:val="0"/>
        <w:autoSpaceDE/>
        <w:autoSpaceDN/>
        <w:bidi w:val="0"/>
        <w:adjustRightInd w:val="0"/>
        <w:snapToGrid w:val="0"/>
        <w:spacing w:after="0" w:afterLines="0" w:line="360" w:lineRule="auto"/>
        <w:ind w:left="0"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保险标的发生部分损失，保险人履行赔偿义务后，本保险合同的保险金额自损失发生之日起按保险人的赔偿金额相应减少，</w:t>
      </w:r>
      <w:r>
        <w:rPr>
          <w:rFonts w:hint="eastAsia" w:ascii="宋体" w:hAnsi="宋体" w:eastAsia="宋体" w:cs="宋体"/>
          <w:b/>
          <w:bCs/>
          <w:color w:val="auto"/>
          <w:sz w:val="21"/>
          <w:szCs w:val="21"/>
          <w:highlight w:val="none"/>
        </w:rPr>
        <w:t>保险人不退还保险金额减少部分的保险费。如投保人请求恢复至原保险金额，应按原约定的保险费率另行支付恢复部分从投保人请求的恢复日期起至保险期间届满之日止按日比例计算的保险费。</w:t>
      </w:r>
    </w:p>
    <w:p w14:paraId="69ED8BDF">
      <w:pPr>
        <w:keepLines w:val="0"/>
        <w:pageBreakBefore w:val="0"/>
        <w:numPr>
          <w:ilvl w:val="0"/>
          <w:numId w:val="5"/>
        </w:numPr>
        <w:kinsoku/>
        <w:wordWrap/>
        <w:overflowPunct/>
        <w:topLinePunct w:val="0"/>
        <w:autoSpaceDE/>
        <w:autoSpaceDN/>
        <w:bidi w:val="0"/>
        <w:adjustRightInd w:val="0"/>
        <w:snapToGrid w:val="0"/>
        <w:spacing w:after="0" w:afterLines="0"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生保险责任范围内的损失，应由有关责任方负责赔偿的，保险人自向被保险人赔偿保险金之日起，在赔偿金额范围内代位行使被保险人对有关责任方请求赔偿的权利，被保险人应当向保险人提供必要的文件和所知道的有关情况。</w:t>
      </w:r>
    </w:p>
    <w:p w14:paraId="51ACA47A">
      <w:pPr>
        <w:keepLines w:val="0"/>
        <w:pageBreakBefore w:val="0"/>
        <w:tabs>
          <w:tab w:val="left" w:pos="2160"/>
        </w:tabs>
        <w:kinsoku/>
        <w:wordWrap/>
        <w:overflowPunct/>
        <w:topLinePunct w:val="0"/>
        <w:autoSpaceDE/>
        <w:autoSpaceDN/>
        <w:bidi w:val="0"/>
        <w:adjustRightInd w:val="0"/>
        <w:snapToGrid w:val="0"/>
        <w:spacing w:after="0" w:afterLines="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被保险人已经从有关责任方取得赔偿的，保险人赔偿保险金时，可以相应扣减被保险人已从有关责任方取得的赔偿金额。</w:t>
      </w:r>
    </w:p>
    <w:p w14:paraId="3734B534">
      <w:pPr>
        <w:keepLines w:val="0"/>
        <w:pageBreakBefore w:val="0"/>
        <w:kinsoku/>
        <w:wordWrap/>
        <w:overflowPunct/>
        <w:topLinePunct w:val="0"/>
        <w:autoSpaceDE/>
        <w:autoSpaceDN/>
        <w:bidi w:val="0"/>
        <w:adjustRightInd w:val="0"/>
        <w:snapToGrid w:val="0"/>
        <w:spacing w:after="0" w:afterLines="0" w:line="360" w:lineRule="auto"/>
        <w:ind w:firstLine="422" w:firstLineChars="200"/>
        <w:textAlignment w:val="auto"/>
        <w:rPr>
          <w:rStyle w:val="59"/>
          <w:rFonts w:hint="eastAsia" w:ascii="宋体" w:hAnsi="宋体" w:eastAsia="宋体" w:cs="宋体"/>
          <w:b/>
          <w:color w:val="auto"/>
          <w:sz w:val="21"/>
          <w:szCs w:val="21"/>
          <w:highlight w:val="none"/>
        </w:rPr>
      </w:pPr>
      <w:r>
        <w:rPr>
          <w:rStyle w:val="59"/>
          <w:rFonts w:hint="eastAsia" w:ascii="宋体" w:hAnsi="宋体" w:eastAsia="宋体" w:cs="宋体"/>
          <w:b/>
          <w:color w:val="auto"/>
          <w:sz w:val="21"/>
          <w:szCs w:val="21"/>
          <w:highlight w:val="none"/>
        </w:rPr>
        <w:t>保险事故发生后，在保险人未赔偿保险金之前，被保险人放弃对有关责任方请求赔偿权利的，保险人不承担赔偿责任；保险人向被保险人赔偿保险金后，被保险人未经保险人同意放弃对有关责任方请求赔偿权利的，该行为无效；由于被保险人故意或者因重大过失致使保险人不能行使代位请求赔偿的权利的，保险人可以扣减或者要求返还相应的保险金。</w:t>
      </w:r>
    </w:p>
    <w:p w14:paraId="3C2EBE6A">
      <w:pPr>
        <w:keepLines w:val="0"/>
        <w:pageBreakBefore w:val="0"/>
        <w:numPr>
          <w:ilvl w:val="0"/>
          <w:numId w:val="5"/>
        </w:numPr>
        <w:kinsoku/>
        <w:wordWrap/>
        <w:overflowPunct/>
        <w:topLinePunct w:val="0"/>
        <w:autoSpaceDE/>
        <w:autoSpaceDN/>
        <w:bidi w:val="0"/>
        <w:adjustRightInd w:val="0"/>
        <w:snapToGrid w:val="0"/>
        <w:spacing w:after="0" w:afterLines="0" w:line="360" w:lineRule="auto"/>
        <w:ind w:left="0" w:firstLine="420" w:firstLineChars="200"/>
        <w:textAlignment w:val="auto"/>
        <w:rPr>
          <w:rFonts w:hint="eastAsia" w:ascii="宋体" w:hAnsi="宋体" w:eastAsia="宋体" w:cs="宋体"/>
          <w:color w:val="auto"/>
          <w:sz w:val="21"/>
          <w:szCs w:val="21"/>
          <w:highlight w:val="none"/>
        </w:rPr>
      </w:pPr>
      <w:r>
        <w:rPr>
          <w:rStyle w:val="59"/>
          <w:rFonts w:hint="eastAsia" w:ascii="宋体" w:hAnsi="宋体" w:eastAsia="宋体" w:cs="宋体"/>
          <w:color w:val="auto"/>
          <w:sz w:val="21"/>
          <w:szCs w:val="21"/>
          <w:highlight w:val="none"/>
        </w:rPr>
        <w:t>被保险人向保险人请求赔偿的诉讼时效适用现行有效法律的规定。</w:t>
      </w:r>
    </w:p>
    <w:p w14:paraId="198FA5E7">
      <w:pPr>
        <w:pStyle w:val="2"/>
        <w:keepLines w:val="0"/>
        <w:pageBreakBefore w:val="0"/>
        <w:kinsoku/>
        <w:wordWrap/>
        <w:overflowPunct/>
        <w:topLinePunct w:val="0"/>
        <w:autoSpaceDE/>
        <w:autoSpaceDN/>
        <w:bidi w:val="0"/>
        <w:adjustRightInd w:val="0"/>
        <w:snapToGrid w:val="0"/>
        <w:spacing w:after="0" w:afterLines="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争议处理和法律适用</w:t>
      </w:r>
    </w:p>
    <w:p w14:paraId="4C626BD5">
      <w:pPr>
        <w:keepLines w:val="0"/>
        <w:pageBreakBefore w:val="0"/>
        <w:numPr>
          <w:ilvl w:val="0"/>
          <w:numId w:val="5"/>
        </w:numPr>
        <w:kinsoku/>
        <w:wordWrap/>
        <w:overflowPunct/>
        <w:topLinePunct w:val="0"/>
        <w:autoSpaceDE/>
        <w:autoSpaceDN/>
        <w:bidi w:val="0"/>
        <w:adjustRightInd w:val="0"/>
        <w:snapToGrid w:val="0"/>
        <w:spacing w:after="0" w:afterLines="0"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履行本保险合同发生的争议，由当事人协商解决，也可向相关调解组织申请调解。协商或调解不成的，可提交保险合同载明的仲裁机构仲裁；保险合同未载明仲裁机构或者争议发生后未达成仲裁协议的，可依法向有管辖权的人民法院起诉。</w:t>
      </w:r>
    </w:p>
    <w:p w14:paraId="35C207BD">
      <w:pPr>
        <w:keepLines w:val="0"/>
        <w:pageBreakBefore w:val="0"/>
        <w:numPr>
          <w:ilvl w:val="0"/>
          <w:numId w:val="5"/>
        </w:numPr>
        <w:kinsoku/>
        <w:wordWrap/>
        <w:overflowPunct/>
        <w:topLinePunct w:val="0"/>
        <w:autoSpaceDE/>
        <w:autoSpaceDN/>
        <w:bidi w:val="0"/>
        <w:adjustRightInd w:val="0"/>
        <w:snapToGrid w:val="0"/>
        <w:spacing w:after="0" w:afterLines="0"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与本保险合同有关的以及履行本保险合同产生的一切争议，适用中华人民共和国法律（不包括港澳台地区法律）。</w:t>
      </w:r>
    </w:p>
    <w:p w14:paraId="039EA46B">
      <w:pPr>
        <w:pStyle w:val="2"/>
        <w:keepLines w:val="0"/>
        <w:pageBreakBefore w:val="0"/>
        <w:kinsoku/>
        <w:wordWrap/>
        <w:overflowPunct/>
        <w:topLinePunct w:val="0"/>
        <w:autoSpaceDE/>
        <w:autoSpaceDN/>
        <w:bidi w:val="0"/>
        <w:adjustRightInd w:val="0"/>
        <w:snapToGrid w:val="0"/>
        <w:spacing w:after="0" w:afterLines="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其他事项</w:t>
      </w:r>
    </w:p>
    <w:p w14:paraId="7B01EBEA">
      <w:pPr>
        <w:keepLines w:val="0"/>
        <w:pageBreakBefore w:val="0"/>
        <w:numPr>
          <w:ilvl w:val="0"/>
          <w:numId w:val="5"/>
        </w:numPr>
        <w:kinsoku/>
        <w:wordWrap/>
        <w:overflowPunct/>
        <w:topLinePunct w:val="0"/>
        <w:autoSpaceDE/>
        <w:autoSpaceDN/>
        <w:bidi w:val="0"/>
        <w:adjustRightInd w:val="0"/>
        <w:snapToGrid w:val="0"/>
        <w:spacing w:after="0" w:afterLines="0" w:line="360" w:lineRule="auto"/>
        <w:ind w:left="0" w:firstLine="420" w:firstLineChars="200"/>
        <w:textAlignment w:val="auto"/>
        <w:rPr>
          <w:rStyle w:val="59"/>
          <w:rFonts w:hint="eastAsia" w:ascii="宋体" w:hAnsi="宋体" w:eastAsia="宋体" w:cs="宋体"/>
          <w:color w:val="auto"/>
          <w:sz w:val="21"/>
          <w:szCs w:val="21"/>
          <w:highlight w:val="none"/>
        </w:rPr>
      </w:pPr>
      <w:r>
        <w:rPr>
          <w:rStyle w:val="59"/>
          <w:rFonts w:hint="eastAsia" w:ascii="宋体" w:hAnsi="宋体" w:eastAsia="宋体" w:cs="宋体"/>
          <w:color w:val="auto"/>
          <w:sz w:val="21"/>
          <w:szCs w:val="21"/>
          <w:highlight w:val="none"/>
        </w:rPr>
        <w:t>保险责任开始前，投保人要求解除保险合同的，</w:t>
      </w:r>
      <w:r>
        <w:rPr>
          <w:rStyle w:val="59"/>
          <w:rFonts w:hint="eastAsia" w:ascii="宋体" w:hAnsi="宋体" w:eastAsia="宋体" w:cs="宋体"/>
          <w:b/>
          <w:color w:val="auto"/>
          <w:sz w:val="21"/>
          <w:szCs w:val="21"/>
          <w:highlight w:val="none"/>
        </w:rPr>
        <w:t>应当按本保险合同的约定向保险人支付</w:t>
      </w:r>
      <w:r>
        <w:rPr>
          <w:rFonts w:hint="eastAsia" w:ascii="宋体" w:hAnsi="宋体" w:eastAsia="宋体" w:cs="宋体"/>
          <w:b/>
          <w:color w:val="auto"/>
          <w:spacing w:val="-4"/>
          <w:sz w:val="21"/>
          <w:szCs w:val="21"/>
          <w:highlight w:val="none"/>
        </w:rPr>
        <w:t>相当于保险费5%的</w:t>
      </w:r>
      <w:r>
        <w:rPr>
          <w:rStyle w:val="59"/>
          <w:rFonts w:hint="eastAsia" w:ascii="宋体" w:hAnsi="宋体" w:eastAsia="宋体" w:cs="宋体"/>
          <w:b/>
          <w:color w:val="auto"/>
          <w:sz w:val="21"/>
          <w:szCs w:val="21"/>
          <w:highlight w:val="none"/>
        </w:rPr>
        <w:t>退保手续费，</w:t>
      </w:r>
      <w:r>
        <w:rPr>
          <w:rStyle w:val="59"/>
          <w:rFonts w:hint="eastAsia" w:ascii="宋体" w:hAnsi="宋体" w:eastAsia="宋体" w:cs="宋体"/>
          <w:color w:val="auto"/>
          <w:sz w:val="21"/>
          <w:szCs w:val="21"/>
          <w:highlight w:val="none"/>
        </w:rPr>
        <w:t>保险人应当退还保险费。</w:t>
      </w:r>
    </w:p>
    <w:p w14:paraId="739CACEC">
      <w:pPr>
        <w:keepLines w:val="0"/>
        <w:pageBreakBefore w:val="0"/>
        <w:kinsoku/>
        <w:wordWrap/>
        <w:overflowPunct/>
        <w:topLinePunct w:val="0"/>
        <w:autoSpaceDE/>
        <w:autoSpaceDN/>
        <w:bidi w:val="0"/>
        <w:adjustRightInd w:val="0"/>
        <w:snapToGrid w:val="0"/>
        <w:spacing w:after="0" w:afterLines="0" w:line="360" w:lineRule="auto"/>
        <w:ind w:firstLine="422" w:firstLineChars="200"/>
        <w:textAlignment w:val="auto"/>
        <w:rPr>
          <w:rStyle w:val="59"/>
          <w:rFonts w:hint="eastAsia" w:ascii="宋体" w:hAnsi="宋体" w:eastAsia="宋体" w:cs="宋体"/>
          <w:b/>
          <w:bCs/>
          <w:color w:val="auto"/>
          <w:sz w:val="21"/>
          <w:szCs w:val="21"/>
          <w:highlight w:val="none"/>
        </w:rPr>
      </w:pPr>
      <w:r>
        <w:rPr>
          <w:rStyle w:val="59"/>
          <w:rFonts w:hint="eastAsia" w:ascii="宋体" w:hAnsi="宋体" w:eastAsia="宋体" w:cs="宋体"/>
          <w:b/>
          <w:bCs/>
          <w:color w:val="auto"/>
          <w:sz w:val="21"/>
          <w:szCs w:val="21"/>
          <w:highlight w:val="none"/>
        </w:rPr>
        <w:t>保险责任开始后，投保人要求解除保险合同的，自通知保险人之日起，保险合同解除，保险人按短期费率计收保险责任开始之日起至合同解除之日止期间的保险费，并退还剩余部分保险费。</w:t>
      </w:r>
    </w:p>
    <w:p w14:paraId="0BD5CAAA">
      <w:pPr>
        <w:keepLines w:val="0"/>
        <w:pageBreakBefore w:val="0"/>
        <w:numPr>
          <w:ilvl w:val="0"/>
          <w:numId w:val="5"/>
        </w:numPr>
        <w:kinsoku/>
        <w:wordWrap/>
        <w:overflowPunct/>
        <w:topLinePunct w:val="0"/>
        <w:autoSpaceDE/>
        <w:autoSpaceDN/>
        <w:bidi w:val="0"/>
        <w:adjustRightInd w:val="0"/>
        <w:snapToGrid w:val="0"/>
        <w:spacing w:after="0" w:afterLines="0" w:line="36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保险标的发生部分损失的，自保险人赔偿之日起三十日内，投保人可以解除合同；除合同另有约定外，保险人也可以解除合同，但应当提前十五日通知投保人。</w:t>
      </w:r>
    </w:p>
    <w:p w14:paraId="0051247D">
      <w:pPr>
        <w:keepLines w:val="0"/>
        <w:pageBreakBefore w:val="0"/>
        <w:kinsoku/>
        <w:wordWrap/>
        <w:overflowPunct/>
        <w:topLinePunct w:val="0"/>
        <w:autoSpaceDE/>
        <w:autoSpaceDN/>
        <w:bidi w:val="0"/>
        <w:adjustRightInd w:val="0"/>
        <w:snapToGrid w:val="0"/>
        <w:spacing w:after="0" w:afterLines="0" w:line="360" w:lineRule="auto"/>
        <w:ind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Cs/>
          <w:color w:val="auto"/>
          <w:sz w:val="21"/>
          <w:szCs w:val="21"/>
          <w:highlight w:val="none"/>
        </w:rPr>
        <w:t>保险合同依据前款规定解除的，保险人应当将保险标的未受损失部分的保险费，按照合同约定</w:t>
      </w:r>
      <w:r>
        <w:rPr>
          <w:rFonts w:hint="eastAsia" w:ascii="宋体" w:hAnsi="宋体" w:eastAsia="宋体" w:cs="宋体"/>
          <w:b/>
          <w:bCs/>
          <w:color w:val="auto"/>
          <w:sz w:val="21"/>
          <w:szCs w:val="21"/>
          <w:highlight w:val="none"/>
        </w:rPr>
        <w:t>扣除自保险责任开始之日起至合同解除之日止应收的部分后，</w:t>
      </w:r>
      <w:r>
        <w:rPr>
          <w:rFonts w:hint="eastAsia" w:ascii="宋体" w:hAnsi="宋体" w:eastAsia="宋体" w:cs="宋体"/>
          <w:bCs/>
          <w:color w:val="auto"/>
          <w:sz w:val="21"/>
          <w:szCs w:val="21"/>
          <w:highlight w:val="none"/>
        </w:rPr>
        <w:t>退还投保人</w:t>
      </w:r>
      <w:r>
        <w:rPr>
          <w:rFonts w:hint="eastAsia" w:ascii="宋体" w:hAnsi="宋体" w:eastAsia="宋体" w:cs="宋体"/>
          <w:b/>
          <w:bCs/>
          <w:color w:val="auto"/>
          <w:sz w:val="21"/>
          <w:szCs w:val="21"/>
          <w:highlight w:val="none"/>
        </w:rPr>
        <w:t>。</w:t>
      </w:r>
    </w:p>
    <w:p w14:paraId="4E549E6B">
      <w:pPr>
        <w:keepLines w:val="0"/>
        <w:pageBreakBefore w:val="0"/>
        <w:numPr>
          <w:ilvl w:val="0"/>
          <w:numId w:val="5"/>
        </w:numPr>
        <w:kinsoku/>
        <w:wordWrap/>
        <w:overflowPunct/>
        <w:topLinePunct w:val="0"/>
        <w:autoSpaceDE/>
        <w:autoSpaceDN/>
        <w:bidi w:val="0"/>
        <w:adjustRightInd w:val="0"/>
        <w:snapToGrid w:val="0"/>
        <w:spacing w:after="0" w:afterLines="0" w:line="360" w:lineRule="auto"/>
        <w:ind w:left="0"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保险标的发生全部损失，属于保险责任的，保险人在履行赔偿义务后，本保险合同终止；</w:t>
      </w:r>
      <w:r>
        <w:rPr>
          <w:rFonts w:hint="eastAsia" w:ascii="宋体" w:hAnsi="宋体" w:eastAsia="宋体" w:cs="宋体"/>
          <w:b/>
          <w:bCs/>
          <w:color w:val="auto"/>
          <w:sz w:val="21"/>
          <w:szCs w:val="21"/>
          <w:highlight w:val="none"/>
        </w:rPr>
        <w:t>不属于保险责任的，本保险合同终止，保险人按短期费率计收自保险责任开始之日起至损失发生之日止期间的保险费，并退还剩余部分保险费。</w:t>
      </w:r>
    </w:p>
    <w:p w14:paraId="7B6539E5">
      <w:pPr>
        <w:pStyle w:val="2"/>
        <w:keepLines w:val="0"/>
        <w:pageBreakBefore w:val="0"/>
        <w:kinsoku/>
        <w:wordWrap/>
        <w:overflowPunct/>
        <w:topLinePunct w:val="0"/>
        <w:autoSpaceDE/>
        <w:autoSpaceDN/>
        <w:bidi w:val="0"/>
        <w:adjustRightInd w:val="0"/>
        <w:snapToGrid w:val="0"/>
        <w:spacing w:after="0" w:afterLines="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释义</w:t>
      </w:r>
    </w:p>
    <w:p w14:paraId="48D25BE3">
      <w:pPr>
        <w:keepLines w:val="0"/>
        <w:pageBreakBefore w:val="0"/>
        <w:numPr>
          <w:ilvl w:val="0"/>
          <w:numId w:val="5"/>
        </w:numPr>
        <w:kinsoku/>
        <w:wordWrap/>
        <w:overflowPunct/>
        <w:topLinePunct w:val="0"/>
        <w:autoSpaceDE/>
        <w:autoSpaceDN/>
        <w:bidi w:val="0"/>
        <w:adjustRightInd w:val="0"/>
        <w:snapToGrid w:val="0"/>
        <w:spacing w:after="0" w:afterLines="0" w:line="360" w:lineRule="auto"/>
        <w:ind w:left="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本保险合同涉及下列术语时，适用下列释义：</w:t>
      </w:r>
    </w:p>
    <w:p w14:paraId="36057273">
      <w:pPr>
        <w:keepLines w:val="0"/>
        <w:pageBreakBefore w:val="0"/>
        <w:kinsoku/>
        <w:wordWrap/>
        <w:overflowPunct/>
        <w:topLinePunct w:val="0"/>
        <w:autoSpaceDE/>
        <w:autoSpaceDN/>
        <w:bidi w:val="0"/>
        <w:adjustRightInd w:val="0"/>
        <w:snapToGrid w:val="0"/>
        <w:spacing w:after="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（一）政府债券：政府债券是指中华人民共和国政府债券，即国库券。</w:t>
      </w:r>
    </w:p>
    <w:p w14:paraId="4E2BA6B7">
      <w:pPr>
        <w:keepLines w:val="0"/>
        <w:pageBreakBefore w:val="0"/>
        <w:kinsoku/>
        <w:wordWrap/>
        <w:overflowPunct/>
        <w:topLinePunct w:val="0"/>
        <w:autoSpaceDE/>
        <w:autoSpaceDN/>
        <w:bidi w:val="0"/>
        <w:adjustRightInd w:val="0"/>
        <w:snapToGrid w:val="0"/>
        <w:spacing w:after="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（二）火灾：指在时间或空间上失去控制的燃烧所造成的灾害。</w:t>
      </w:r>
    </w:p>
    <w:p w14:paraId="3D03A222">
      <w:pPr>
        <w:keepLines w:val="0"/>
        <w:pageBreakBefore w:val="0"/>
        <w:kinsoku/>
        <w:wordWrap/>
        <w:overflowPunct/>
        <w:topLinePunct w:val="0"/>
        <w:autoSpaceDE/>
        <w:autoSpaceDN/>
        <w:bidi w:val="0"/>
        <w:adjustRightInd w:val="0"/>
        <w:snapToGrid w:val="0"/>
        <w:spacing w:after="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爆炸：包括物理性爆炸和化学性爆炸。物理性爆炸指由于液体、固体变为蒸汽或其他膨胀，压力急剧增加并超过容器所能承受的极限压力而发生的爆炸。化学性爆炸指物体在瞬间分解或燃烧时放出大量的热和气体，并以很大的压力向四周扩散的现象。</w:t>
      </w:r>
    </w:p>
    <w:p w14:paraId="0EF5AEF9">
      <w:pPr>
        <w:keepLines w:val="0"/>
        <w:pageBreakBefore w:val="0"/>
        <w:kinsoku/>
        <w:wordWrap/>
        <w:overflowPunct/>
        <w:topLinePunct w:val="0"/>
        <w:autoSpaceDE/>
        <w:autoSpaceDN/>
        <w:bidi w:val="0"/>
        <w:adjustRightInd w:val="0"/>
        <w:snapToGrid w:val="0"/>
        <w:spacing w:after="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（四）洪水：指山洪暴发、江河泛滥、潮水上岸及倒灌。但规律性的涨潮、自动灭火设施漏水以及在常年水位以下或地下渗水、水管</w:t>
      </w:r>
      <w:r>
        <w:rPr>
          <w:rFonts w:hint="eastAsia" w:ascii="宋体" w:hAnsi="宋体" w:eastAsia="宋体" w:cs="宋体"/>
          <w:color w:val="auto"/>
          <w:sz w:val="21"/>
          <w:szCs w:val="21"/>
          <w:highlight w:val="none"/>
          <w:lang w:val="en-US" w:eastAsia="zh-CN"/>
        </w:rPr>
        <w:t>爆</w:t>
      </w:r>
      <w:r>
        <w:rPr>
          <w:rFonts w:hint="eastAsia" w:ascii="宋体" w:hAnsi="宋体" w:eastAsia="宋体" w:cs="宋体"/>
          <w:color w:val="auto"/>
          <w:sz w:val="21"/>
          <w:szCs w:val="21"/>
          <w:highlight w:val="none"/>
        </w:rPr>
        <w:t>裂不属于洪水责任。</w:t>
      </w:r>
    </w:p>
    <w:p w14:paraId="0C557ADB">
      <w:pPr>
        <w:keepLines w:val="0"/>
        <w:pageBreakBefore w:val="0"/>
        <w:kinsoku/>
        <w:wordWrap/>
        <w:overflowPunct/>
        <w:topLinePunct w:val="0"/>
        <w:autoSpaceDE/>
        <w:autoSpaceDN/>
        <w:bidi w:val="0"/>
        <w:adjustRightInd w:val="0"/>
        <w:snapToGrid w:val="0"/>
        <w:spacing w:after="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（五）地震：地壳发生的震动。</w:t>
      </w:r>
    </w:p>
    <w:p w14:paraId="40310977">
      <w:pPr>
        <w:keepLines w:val="0"/>
        <w:pageBreakBefore w:val="0"/>
        <w:kinsoku/>
        <w:wordWrap/>
        <w:overflowPunct/>
        <w:topLinePunct w:val="0"/>
        <w:autoSpaceDE/>
        <w:autoSpaceDN/>
        <w:bidi w:val="0"/>
        <w:adjustRightInd w:val="0"/>
        <w:snapToGrid w:val="0"/>
        <w:spacing w:after="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（六）海啸：海啸是指由海底地震，火山爆发或水下滑坡、塌陷所激发的海洋巨波。</w:t>
      </w:r>
    </w:p>
    <w:p w14:paraId="34F52D44">
      <w:pPr>
        <w:keepLines w:val="0"/>
        <w:pageBreakBefore w:val="0"/>
        <w:kinsoku/>
        <w:wordWrap/>
        <w:overflowPunct/>
        <w:topLinePunct w:val="0"/>
        <w:autoSpaceDE/>
        <w:autoSpaceDN/>
        <w:bidi w:val="0"/>
        <w:adjustRightInd w:val="0"/>
        <w:snapToGrid w:val="0"/>
        <w:spacing w:after="0" w:afterLines="0" w:line="360" w:lineRule="auto"/>
        <w:ind w:firstLine="420" w:firstLineChars="200"/>
        <w:textAlignment w:val="auto"/>
        <w:rPr>
          <w:rFonts w:hint="eastAsia" w:ascii="宋体" w:hAnsi="宋体" w:eastAsia="宋体" w:cs="宋体"/>
          <w:color w:val="auto"/>
          <w:sz w:val="21"/>
          <w:szCs w:val="21"/>
          <w:highlight w:val="none"/>
        </w:rPr>
      </w:pPr>
    </w:p>
    <w:p w14:paraId="0EC15988">
      <w:pPr>
        <w:keepLines w:val="0"/>
        <w:pageBreakBefore w:val="0"/>
        <w:kinsoku/>
        <w:wordWrap/>
        <w:overflowPunct/>
        <w:topLinePunct w:val="0"/>
        <w:autoSpaceDE/>
        <w:autoSpaceDN/>
        <w:bidi w:val="0"/>
        <w:adjustRightInd w:val="0"/>
        <w:snapToGrid w:val="0"/>
        <w:spacing w:after="0" w:afterLines="0" w:line="360" w:lineRule="auto"/>
        <w:ind w:firstLine="420" w:firstLineChars="200"/>
        <w:textAlignment w:val="auto"/>
        <w:rPr>
          <w:rFonts w:hint="eastAsia" w:ascii="宋体" w:hAnsi="宋体" w:eastAsia="宋体" w:cs="宋体"/>
          <w:color w:val="auto"/>
          <w:sz w:val="21"/>
          <w:szCs w:val="21"/>
          <w:highlight w:val="none"/>
        </w:rPr>
      </w:pPr>
    </w:p>
    <w:p w14:paraId="3DC45B62">
      <w:pPr>
        <w:keepLines w:val="0"/>
        <w:pageBreakBefore w:val="0"/>
        <w:kinsoku/>
        <w:wordWrap/>
        <w:overflowPunct/>
        <w:topLinePunct w:val="0"/>
        <w:autoSpaceDE/>
        <w:autoSpaceDN/>
        <w:bidi w:val="0"/>
        <w:adjustRightInd w:val="0"/>
        <w:snapToGrid w:val="0"/>
        <w:spacing w:after="0" w:afterLines="0" w:line="360" w:lineRule="auto"/>
        <w:ind w:firstLine="420" w:firstLineChars="200"/>
        <w:textAlignment w:val="auto"/>
        <w:rPr>
          <w:rFonts w:hint="eastAsia" w:ascii="宋体" w:hAnsi="宋体" w:eastAsia="宋体" w:cs="宋体"/>
          <w:color w:val="auto"/>
          <w:sz w:val="21"/>
          <w:szCs w:val="21"/>
          <w:highlight w:val="none"/>
        </w:rPr>
      </w:pPr>
    </w:p>
    <w:p w14:paraId="7EE91949">
      <w:pPr>
        <w:keepLines w:val="0"/>
        <w:pageBreakBefore w:val="0"/>
        <w:kinsoku/>
        <w:wordWrap/>
        <w:overflowPunct/>
        <w:topLinePunct w:val="0"/>
        <w:autoSpaceDE/>
        <w:autoSpaceDN/>
        <w:bidi w:val="0"/>
        <w:adjustRightInd w:val="0"/>
        <w:snapToGrid w:val="0"/>
        <w:spacing w:after="0" w:afterLines="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附录：</w:t>
      </w:r>
      <w:r>
        <w:rPr>
          <w:rFonts w:hint="eastAsia" w:ascii="宋体" w:hAnsi="宋体" w:eastAsia="宋体" w:cs="宋体"/>
          <w:b/>
          <w:bCs/>
          <w:color w:val="auto"/>
          <w:sz w:val="21"/>
          <w:szCs w:val="21"/>
          <w:highlight w:val="none"/>
        </w:rPr>
        <w:t>短期费率表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8"/>
        <w:gridCol w:w="605"/>
        <w:gridCol w:w="605"/>
        <w:gridCol w:w="605"/>
        <w:gridCol w:w="605"/>
        <w:gridCol w:w="605"/>
        <w:gridCol w:w="605"/>
        <w:gridCol w:w="605"/>
        <w:gridCol w:w="605"/>
        <w:gridCol w:w="606"/>
        <w:gridCol w:w="606"/>
        <w:gridCol w:w="606"/>
        <w:gridCol w:w="606"/>
      </w:tblGrid>
      <w:tr w14:paraId="0E5C1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pct"/>
            <w:noWrap w:val="0"/>
            <w:vAlign w:val="center"/>
          </w:tcPr>
          <w:p w14:paraId="49588BD4">
            <w:pPr>
              <w:keepLines w:val="0"/>
              <w:pageBreakBefore w:val="0"/>
              <w:kinsoku/>
              <w:wordWrap/>
              <w:overflowPunct/>
              <w:topLinePunct w:val="0"/>
              <w:autoSpaceDE/>
              <w:autoSpaceDN/>
              <w:bidi w:val="0"/>
              <w:adjustRightInd w:val="0"/>
              <w:snapToGrid w:val="0"/>
              <w:spacing w:after="0" w:afterLines="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保险</w:t>
            </w:r>
          </w:p>
          <w:p w14:paraId="119AEA97">
            <w:pPr>
              <w:keepLines w:val="0"/>
              <w:pageBreakBefore w:val="0"/>
              <w:kinsoku/>
              <w:wordWrap/>
              <w:overflowPunct/>
              <w:topLinePunct w:val="0"/>
              <w:autoSpaceDE/>
              <w:autoSpaceDN/>
              <w:bidi w:val="0"/>
              <w:adjustRightInd w:val="0"/>
              <w:snapToGrid w:val="0"/>
              <w:spacing w:after="0" w:afterLines="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期限</w:t>
            </w:r>
          </w:p>
        </w:tc>
        <w:tc>
          <w:tcPr>
            <w:tcW w:w="355" w:type="pct"/>
            <w:noWrap w:val="0"/>
            <w:vAlign w:val="center"/>
          </w:tcPr>
          <w:p w14:paraId="3D70BD99">
            <w:pPr>
              <w:keepLines w:val="0"/>
              <w:pageBreakBefore w:val="0"/>
              <w:kinsoku/>
              <w:wordWrap/>
              <w:overflowPunct/>
              <w:topLinePunct w:val="0"/>
              <w:autoSpaceDE/>
              <w:autoSpaceDN/>
              <w:bidi w:val="0"/>
              <w:adjustRightInd w:val="0"/>
              <w:snapToGrid w:val="0"/>
              <w:spacing w:after="0" w:afterLines="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p>
          <w:p w14:paraId="456E85E4">
            <w:pPr>
              <w:keepLines w:val="0"/>
              <w:pageBreakBefore w:val="0"/>
              <w:kinsoku/>
              <w:wordWrap/>
              <w:overflowPunct/>
              <w:topLinePunct w:val="0"/>
              <w:autoSpaceDE/>
              <w:autoSpaceDN/>
              <w:bidi w:val="0"/>
              <w:adjustRightInd w:val="0"/>
              <w:snapToGrid w:val="0"/>
              <w:spacing w:after="0" w:afterLines="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p w14:paraId="16BFBCDD">
            <w:pPr>
              <w:keepLines w:val="0"/>
              <w:pageBreakBefore w:val="0"/>
              <w:kinsoku/>
              <w:wordWrap/>
              <w:overflowPunct/>
              <w:topLinePunct w:val="0"/>
              <w:autoSpaceDE/>
              <w:autoSpaceDN/>
              <w:bidi w:val="0"/>
              <w:adjustRightInd w:val="0"/>
              <w:snapToGrid w:val="0"/>
              <w:spacing w:after="0" w:afterLines="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月</w:t>
            </w:r>
          </w:p>
        </w:tc>
        <w:tc>
          <w:tcPr>
            <w:tcW w:w="355" w:type="pct"/>
            <w:noWrap w:val="0"/>
            <w:vAlign w:val="center"/>
          </w:tcPr>
          <w:p w14:paraId="0AB1AF27">
            <w:pPr>
              <w:keepLines w:val="0"/>
              <w:pageBreakBefore w:val="0"/>
              <w:kinsoku/>
              <w:wordWrap/>
              <w:overflowPunct/>
              <w:topLinePunct w:val="0"/>
              <w:autoSpaceDE/>
              <w:autoSpaceDN/>
              <w:bidi w:val="0"/>
              <w:adjustRightInd w:val="0"/>
              <w:snapToGrid w:val="0"/>
              <w:spacing w:after="0" w:afterLines="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w:t>
            </w:r>
          </w:p>
          <w:p w14:paraId="3FB7DE5D">
            <w:pPr>
              <w:keepLines w:val="0"/>
              <w:pageBreakBefore w:val="0"/>
              <w:kinsoku/>
              <w:wordWrap/>
              <w:overflowPunct/>
              <w:topLinePunct w:val="0"/>
              <w:autoSpaceDE/>
              <w:autoSpaceDN/>
              <w:bidi w:val="0"/>
              <w:adjustRightInd w:val="0"/>
              <w:snapToGrid w:val="0"/>
              <w:spacing w:after="0" w:afterLines="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p w14:paraId="227F1FA7">
            <w:pPr>
              <w:keepLines w:val="0"/>
              <w:pageBreakBefore w:val="0"/>
              <w:kinsoku/>
              <w:wordWrap/>
              <w:overflowPunct/>
              <w:topLinePunct w:val="0"/>
              <w:autoSpaceDE/>
              <w:autoSpaceDN/>
              <w:bidi w:val="0"/>
              <w:adjustRightInd w:val="0"/>
              <w:snapToGrid w:val="0"/>
              <w:spacing w:after="0" w:afterLines="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月</w:t>
            </w:r>
          </w:p>
        </w:tc>
        <w:tc>
          <w:tcPr>
            <w:tcW w:w="355" w:type="pct"/>
            <w:noWrap w:val="0"/>
            <w:vAlign w:val="center"/>
          </w:tcPr>
          <w:p w14:paraId="6F811066">
            <w:pPr>
              <w:keepLines w:val="0"/>
              <w:pageBreakBefore w:val="0"/>
              <w:kinsoku/>
              <w:wordWrap/>
              <w:overflowPunct/>
              <w:topLinePunct w:val="0"/>
              <w:autoSpaceDE/>
              <w:autoSpaceDN/>
              <w:bidi w:val="0"/>
              <w:adjustRightInd w:val="0"/>
              <w:snapToGrid w:val="0"/>
              <w:spacing w:after="0" w:afterLines="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w:t>
            </w:r>
          </w:p>
          <w:p w14:paraId="1FB6A621">
            <w:pPr>
              <w:keepLines w:val="0"/>
              <w:pageBreakBefore w:val="0"/>
              <w:kinsoku/>
              <w:wordWrap/>
              <w:overflowPunct/>
              <w:topLinePunct w:val="0"/>
              <w:autoSpaceDE/>
              <w:autoSpaceDN/>
              <w:bidi w:val="0"/>
              <w:adjustRightInd w:val="0"/>
              <w:snapToGrid w:val="0"/>
              <w:spacing w:after="0" w:afterLines="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p w14:paraId="08FD72E0">
            <w:pPr>
              <w:keepLines w:val="0"/>
              <w:pageBreakBefore w:val="0"/>
              <w:kinsoku/>
              <w:wordWrap/>
              <w:overflowPunct/>
              <w:topLinePunct w:val="0"/>
              <w:autoSpaceDE/>
              <w:autoSpaceDN/>
              <w:bidi w:val="0"/>
              <w:adjustRightInd w:val="0"/>
              <w:snapToGrid w:val="0"/>
              <w:spacing w:after="0" w:afterLines="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月</w:t>
            </w:r>
          </w:p>
        </w:tc>
        <w:tc>
          <w:tcPr>
            <w:tcW w:w="355" w:type="pct"/>
            <w:noWrap w:val="0"/>
            <w:vAlign w:val="center"/>
          </w:tcPr>
          <w:p w14:paraId="53CE632D">
            <w:pPr>
              <w:keepLines w:val="0"/>
              <w:pageBreakBefore w:val="0"/>
              <w:kinsoku/>
              <w:wordWrap/>
              <w:overflowPunct/>
              <w:topLinePunct w:val="0"/>
              <w:autoSpaceDE/>
              <w:autoSpaceDN/>
              <w:bidi w:val="0"/>
              <w:adjustRightInd w:val="0"/>
              <w:snapToGrid w:val="0"/>
              <w:spacing w:after="0" w:afterLines="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w:t>
            </w:r>
          </w:p>
          <w:p w14:paraId="72BCBABE">
            <w:pPr>
              <w:keepLines w:val="0"/>
              <w:pageBreakBefore w:val="0"/>
              <w:kinsoku/>
              <w:wordWrap/>
              <w:overflowPunct/>
              <w:topLinePunct w:val="0"/>
              <w:autoSpaceDE/>
              <w:autoSpaceDN/>
              <w:bidi w:val="0"/>
              <w:adjustRightInd w:val="0"/>
              <w:snapToGrid w:val="0"/>
              <w:spacing w:after="0" w:afterLines="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p w14:paraId="773203D3">
            <w:pPr>
              <w:keepLines w:val="0"/>
              <w:pageBreakBefore w:val="0"/>
              <w:kinsoku/>
              <w:wordWrap/>
              <w:overflowPunct/>
              <w:topLinePunct w:val="0"/>
              <w:autoSpaceDE/>
              <w:autoSpaceDN/>
              <w:bidi w:val="0"/>
              <w:adjustRightInd w:val="0"/>
              <w:snapToGrid w:val="0"/>
              <w:spacing w:after="0" w:afterLines="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月</w:t>
            </w:r>
          </w:p>
        </w:tc>
        <w:tc>
          <w:tcPr>
            <w:tcW w:w="355" w:type="pct"/>
            <w:noWrap w:val="0"/>
            <w:vAlign w:val="center"/>
          </w:tcPr>
          <w:p w14:paraId="34607753">
            <w:pPr>
              <w:keepLines w:val="0"/>
              <w:pageBreakBefore w:val="0"/>
              <w:kinsoku/>
              <w:wordWrap/>
              <w:overflowPunct/>
              <w:topLinePunct w:val="0"/>
              <w:autoSpaceDE/>
              <w:autoSpaceDN/>
              <w:bidi w:val="0"/>
              <w:adjustRightInd w:val="0"/>
              <w:snapToGrid w:val="0"/>
              <w:spacing w:after="0" w:afterLines="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w:t>
            </w:r>
          </w:p>
          <w:p w14:paraId="135A8A41">
            <w:pPr>
              <w:keepLines w:val="0"/>
              <w:pageBreakBefore w:val="0"/>
              <w:kinsoku/>
              <w:wordWrap/>
              <w:overflowPunct/>
              <w:topLinePunct w:val="0"/>
              <w:autoSpaceDE/>
              <w:autoSpaceDN/>
              <w:bidi w:val="0"/>
              <w:adjustRightInd w:val="0"/>
              <w:snapToGrid w:val="0"/>
              <w:spacing w:after="0" w:afterLines="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p w14:paraId="55DF2B2F">
            <w:pPr>
              <w:keepLines w:val="0"/>
              <w:pageBreakBefore w:val="0"/>
              <w:kinsoku/>
              <w:wordWrap/>
              <w:overflowPunct/>
              <w:topLinePunct w:val="0"/>
              <w:autoSpaceDE/>
              <w:autoSpaceDN/>
              <w:bidi w:val="0"/>
              <w:adjustRightInd w:val="0"/>
              <w:snapToGrid w:val="0"/>
              <w:spacing w:after="0" w:afterLines="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月</w:t>
            </w:r>
          </w:p>
        </w:tc>
        <w:tc>
          <w:tcPr>
            <w:tcW w:w="355" w:type="pct"/>
            <w:noWrap w:val="0"/>
            <w:vAlign w:val="center"/>
          </w:tcPr>
          <w:p w14:paraId="3FE1EBA2">
            <w:pPr>
              <w:keepLines w:val="0"/>
              <w:pageBreakBefore w:val="0"/>
              <w:kinsoku/>
              <w:wordWrap/>
              <w:overflowPunct/>
              <w:topLinePunct w:val="0"/>
              <w:autoSpaceDE/>
              <w:autoSpaceDN/>
              <w:bidi w:val="0"/>
              <w:adjustRightInd w:val="0"/>
              <w:snapToGrid w:val="0"/>
              <w:spacing w:after="0" w:afterLines="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w:t>
            </w:r>
          </w:p>
          <w:p w14:paraId="00A921EA">
            <w:pPr>
              <w:keepLines w:val="0"/>
              <w:pageBreakBefore w:val="0"/>
              <w:kinsoku/>
              <w:wordWrap/>
              <w:overflowPunct/>
              <w:topLinePunct w:val="0"/>
              <w:autoSpaceDE/>
              <w:autoSpaceDN/>
              <w:bidi w:val="0"/>
              <w:adjustRightInd w:val="0"/>
              <w:snapToGrid w:val="0"/>
              <w:spacing w:after="0" w:afterLines="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p w14:paraId="7D0953C1">
            <w:pPr>
              <w:keepLines w:val="0"/>
              <w:pageBreakBefore w:val="0"/>
              <w:kinsoku/>
              <w:wordWrap/>
              <w:overflowPunct/>
              <w:topLinePunct w:val="0"/>
              <w:autoSpaceDE/>
              <w:autoSpaceDN/>
              <w:bidi w:val="0"/>
              <w:adjustRightInd w:val="0"/>
              <w:snapToGrid w:val="0"/>
              <w:spacing w:after="0" w:afterLines="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月</w:t>
            </w:r>
          </w:p>
        </w:tc>
        <w:tc>
          <w:tcPr>
            <w:tcW w:w="355" w:type="pct"/>
            <w:noWrap w:val="0"/>
            <w:vAlign w:val="center"/>
          </w:tcPr>
          <w:p w14:paraId="108CC9EE">
            <w:pPr>
              <w:keepLines w:val="0"/>
              <w:pageBreakBefore w:val="0"/>
              <w:kinsoku/>
              <w:wordWrap/>
              <w:overflowPunct/>
              <w:topLinePunct w:val="0"/>
              <w:autoSpaceDE/>
              <w:autoSpaceDN/>
              <w:bidi w:val="0"/>
              <w:adjustRightInd w:val="0"/>
              <w:snapToGrid w:val="0"/>
              <w:spacing w:after="0" w:afterLines="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w:t>
            </w:r>
          </w:p>
          <w:p w14:paraId="0413AF2A">
            <w:pPr>
              <w:keepLines w:val="0"/>
              <w:pageBreakBefore w:val="0"/>
              <w:kinsoku/>
              <w:wordWrap/>
              <w:overflowPunct/>
              <w:topLinePunct w:val="0"/>
              <w:autoSpaceDE/>
              <w:autoSpaceDN/>
              <w:bidi w:val="0"/>
              <w:adjustRightInd w:val="0"/>
              <w:snapToGrid w:val="0"/>
              <w:spacing w:after="0" w:afterLines="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p w14:paraId="461A0A67">
            <w:pPr>
              <w:keepLines w:val="0"/>
              <w:pageBreakBefore w:val="0"/>
              <w:kinsoku/>
              <w:wordWrap/>
              <w:overflowPunct/>
              <w:topLinePunct w:val="0"/>
              <w:autoSpaceDE/>
              <w:autoSpaceDN/>
              <w:bidi w:val="0"/>
              <w:adjustRightInd w:val="0"/>
              <w:snapToGrid w:val="0"/>
              <w:spacing w:after="0" w:afterLines="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月</w:t>
            </w:r>
          </w:p>
        </w:tc>
        <w:tc>
          <w:tcPr>
            <w:tcW w:w="355" w:type="pct"/>
            <w:noWrap w:val="0"/>
            <w:vAlign w:val="center"/>
          </w:tcPr>
          <w:p w14:paraId="4989698A">
            <w:pPr>
              <w:keepLines w:val="0"/>
              <w:pageBreakBefore w:val="0"/>
              <w:kinsoku/>
              <w:wordWrap/>
              <w:overflowPunct/>
              <w:topLinePunct w:val="0"/>
              <w:autoSpaceDE/>
              <w:autoSpaceDN/>
              <w:bidi w:val="0"/>
              <w:adjustRightInd w:val="0"/>
              <w:snapToGrid w:val="0"/>
              <w:spacing w:after="0" w:afterLines="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w:t>
            </w:r>
          </w:p>
          <w:p w14:paraId="474E50E1">
            <w:pPr>
              <w:keepLines w:val="0"/>
              <w:pageBreakBefore w:val="0"/>
              <w:kinsoku/>
              <w:wordWrap/>
              <w:overflowPunct/>
              <w:topLinePunct w:val="0"/>
              <w:autoSpaceDE/>
              <w:autoSpaceDN/>
              <w:bidi w:val="0"/>
              <w:adjustRightInd w:val="0"/>
              <w:snapToGrid w:val="0"/>
              <w:spacing w:after="0" w:afterLines="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p w14:paraId="3B57F5A3">
            <w:pPr>
              <w:keepLines w:val="0"/>
              <w:pageBreakBefore w:val="0"/>
              <w:kinsoku/>
              <w:wordWrap/>
              <w:overflowPunct/>
              <w:topLinePunct w:val="0"/>
              <w:autoSpaceDE/>
              <w:autoSpaceDN/>
              <w:bidi w:val="0"/>
              <w:adjustRightInd w:val="0"/>
              <w:snapToGrid w:val="0"/>
              <w:spacing w:after="0" w:afterLines="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月</w:t>
            </w:r>
          </w:p>
        </w:tc>
        <w:tc>
          <w:tcPr>
            <w:tcW w:w="355" w:type="pct"/>
            <w:noWrap w:val="0"/>
            <w:vAlign w:val="center"/>
          </w:tcPr>
          <w:p w14:paraId="6340F9B7">
            <w:pPr>
              <w:keepLines w:val="0"/>
              <w:pageBreakBefore w:val="0"/>
              <w:kinsoku/>
              <w:wordWrap/>
              <w:overflowPunct/>
              <w:topLinePunct w:val="0"/>
              <w:autoSpaceDE/>
              <w:autoSpaceDN/>
              <w:bidi w:val="0"/>
              <w:adjustRightInd w:val="0"/>
              <w:snapToGrid w:val="0"/>
              <w:spacing w:after="0" w:afterLines="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九</w:t>
            </w:r>
          </w:p>
          <w:p w14:paraId="664E4BF0">
            <w:pPr>
              <w:keepLines w:val="0"/>
              <w:pageBreakBefore w:val="0"/>
              <w:kinsoku/>
              <w:wordWrap/>
              <w:overflowPunct/>
              <w:topLinePunct w:val="0"/>
              <w:autoSpaceDE/>
              <w:autoSpaceDN/>
              <w:bidi w:val="0"/>
              <w:adjustRightInd w:val="0"/>
              <w:snapToGrid w:val="0"/>
              <w:spacing w:after="0" w:afterLines="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p w14:paraId="6F5DA0FA">
            <w:pPr>
              <w:keepLines w:val="0"/>
              <w:pageBreakBefore w:val="0"/>
              <w:kinsoku/>
              <w:wordWrap/>
              <w:overflowPunct/>
              <w:topLinePunct w:val="0"/>
              <w:autoSpaceDE/>
              <w:autoSpaceDN/>
              <w:bidi w:val="0"/>
              <w:adjustRightInd w:val="0"/>
              <w:snapToGrid w:val="0"/>
              <w:spacing w:after="0" w:afterLines="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月</w:t>
            </w:r>
          </w:p>
        </w:tc>
        <w:tc>
          <w:tcPr>
            <w:tcW w:w="355" w:type="pct"/>
            <w:noWrap w:val="0"/>
            <w:vAlign w:val="center"/>
          </w:tcPr>
          <w:p w14:paraId="5691CDAB">
            <w:pPr>
              <w:keepLines w:val="0"/>
              <w:pageBreakBefore w:val="0"/>
              <w:kinsoku/>
              <w:wordWrap/>
              <w:overflowPunct/>
              <w:topLinePunct w:val="0"/>
              <w:autoSpaceDE/>
              <w:autoSpaceDN/>
              <w:bidi w:val="0"/>
              <w:adjustRightInd w:val="0"/>
              <w:snapToGrid w:val="0"/>
              <w:spacing w:after="0" w:afterLines="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w:t>
            </w:r>
          </w:p>
          <w:p w14:paraId="16C4157D">
            <w:pPr>
              <w:keepLines w:val="0"/>
              <w:pageBreakBefore w:val="0"/>
              <w:kinsoku/>
              <w:wordWrap/>
              <w:overflowPunct/>
              <w:topLinePunct w:val="0"/>
              <w:autoSpaceDE/>
              <w:autoSpaceDN/>
              <w:bidi w:val="0"/>
              <w:adjustRightInd w:val="0"/>
              <w:snapToGrid w:val="0"/>
              <w:spacing w:after="0" w:afterLines="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p w14:paraId="56776DB0">
            <w:pPr>
              <w:keepLines w:val="0"/>
              <w:pageBreakBefore w:val="0"/>
              <w:kinsoku/>
              <w:wordWrap/>
              <w:overflowPunct/>
              <w:topLinePunct w:val="0"/>
              <w:autoSpaceDE/>
              <w:autoSpaceDN/>
              <w:bidi w:val="0"/>
              <w:adjustRightInd w:val="0"/>
              <w:snapToGrid w:val="0"/>
              <w:spacing w:after="0" w:afterLines="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月</w:t>
            </w:r>
          </w:p>
        </w:tc>
        <w:tc>
          <w:tcPr>
            <w:tcW w:w="355" w:type="pct"/>
            <w:noWrap w:val="0"/>
            <w:vAlign w:val="center"/>
          </w:tcPr>
          <w:p w14:paraId="0C18ABC7">
            <w:pPr>
              <w:keepLines w:val="0"/>
              <w:pageBreakBefore w:val="0"/>
              <w:kinsoku/>
              <w:wordWrap/>
              <w:overflowPunct/>
              <w:topLinePunct w:val="0"/>
              <w:autoSpaceDE/>
              <w:autoSpaceDN/>
              <w:bidi w:val="0"/>
              <w:adjustRightInd w:val="0"/>
              <w:snapToGrid w:val="0"/>
              <w:spacing w:after="0" w:afterLines="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w:t>
            </w:r>
          </w:p>
          <w:p w14:paraId="7BD3D819">
            <w:pPr>
              <w:keepLines w:val="0"/>
              <w:pageBreakBefore w:val="0"/>
              <w:kinsoku/>
              <w:wordWrap/>
              <w:overflowPunct/>
              <w:topLinePunct w:val="0"/>
              <w:autoSpaceDE/>
              <w:autoSpaceDN/>
              <w:bidi w:val="0"/>
              <w:adjustRightInd w:val="0"/>
              <w:snapToGrid w:val="0"/>
              <w:spacing w:after="0" w:afterLines="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p>
          <w:p w14:paraId="3629A6B7">
            <w:pPr>
              <w:keepLines w:val="0"/>
              <w:pageBreakBefore w:val="0"/>
              <w:kinsoku/>
              <w:wordWrap/>
              <w:overflowPunct/>
              <w:topLinePunct w:val="0"/>
              <w:autoSpaceDE/>
              <w:autoSpaceDN/>
              <w:bidi w:val="0"/>
              <w:adjustRightInd w:val="0"/>
              <w:snapToGrid w:val="0"/>
              <w:spacing w:after="0" w:afterLines="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p w14:paraId="269C2ADF">
            <w:pPr>
              <w:keepLines w:val="0"/>
              <w:pageBreakBefore w:val="0"/>
              <w:kinsoku/>
              <w:wordWrap/>
              <w:overflowPunct/>
              <w:topLinePunct w:val="0"/>
              <w:autoSpaceDE/>
              <w:autoSpaceDN/>
              <w:bidi w:val="0"/>
              <w:adjustRightInd w:val="0"/>
              <w:snapToGrid w:val="0"/>
              <w:spacing w:after="0" w:afterLines="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月</w:t>
            </w:r>
          </w:p>
        </w:tc>
        <w:tc>
          <w:tcPr>
            <w:tcW w:w="355" w:type="pct"/>
            <w:noWrap w:val="0"/>
            <w:vAlign w:val="center"/>
          </w:tcPr>
          <w:p w14:paraId="3E902746">
            <w:pPr>
              <w:keepLines w:val="0"/>
              <w:pageBreakBefore w:val="0"/>
              <w:kinsoku/>
              <w:wordWrap/>
              <w:overflowPunct/>
              <w:topLinePunct w:val="0"/>
              <w:autoSpaceDE/>
              <w:autoSpaceDN/>
              <w:bidi w:val="0"/>
              <w:adjustRightInd w:val="0"/>
              <w:snapToGrid w:val="0"/>
              <w:spacing w:after="0" w:afterLines="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w:t>
            </w:r>
          </w:p>
          <w:p w14:paraId="23517D28">
            <w:pPr>
              <w:keepLines w:val="0"/>
              <w:pageBreakBefore w:val="0"/>
              <w:kinsoku/>
              <w:wordWrap/>
              <w:overflowPunct/>
              <w:topLinePunct w:val="0"/>
              <w:autoSpaceDE/>
              <w:autoSpaceDN/>
              <w:bidi w:val="0"/>
              <w:adjustRightInd w:val="0"/>
              <w:snapToGrid w:val="0"/>
              <w:spacing w:after="0" w:afterLines="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w:t>
            </w:r>
          </w:p>
          <w:p w14:paraId="0277CF99">
            <w:pPr>
              <w:keepLines w:val="0"/>
              <w:pageBreakBefore w:val="0"/>
              <w:kinsoku/>
              <w:wordWrap/>
              <w:overflowPunct/>
              <w:topLinePunct w:val="0"/>
              <w:autoSpaceDE/>
              <w:autoSpaceDN/>
              <w:bidi w:val="0"/>
              <w:adjustRightInd w:val="0"/>
              <w:snapToGrid w:val="0"/>
              <w:spacing w:after="0" w:afterLines="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p w14:paraId="6EF27D22">
            <w:pPr>
              <w:keepLines w:val="0"/>
              <w:pageBreakBefore w:val="0"/>
              <w:kinsoku/>
              <w:wordWrap/>
              <w:overflowPunct/>
              <w:topLinePunct w:val="0"/>
              <w:autoSpaceDE/>
              <w:autoSpaceDN/>
              <w:bidi w:val="0"/>
              <w:adjustRightInd w:val="0"/>
              <w:snapToGrid w:val="0"/>
              <w:spacing w:after="0" w:afterLines="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月</w:t>
            </w:r>
          </w:p>
        </w:tc>
      </w:tr>
      <w:tr w14:paraId="0866F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pct"/>
            <w:noWrap w:val="0"/>
            <w:vAlign w:val="center"/>
          </w:tcPr>
          <w:p w14:paraId="567FDD02">
            <w:pPr>
              <w:keepLines w:val="0"/>
              <w:pageBreakBefore w:val="0"/>
              <w:kinsoku/>
              <w:wordWrap/>
              <w:overflowPunct/>
              <w:topLinePunct w:val="0"/>
              <w:autoSpaceDE/>
              <w:autoSpaceDN/>
              <w:bidi w:val="0"/>
              <w:adjustRightInd w:val="0"/>
              <w:snapToGrid w:val="0"/>
              <w:spacing w:after="0" w:afterLines="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年保费的百分比</w:t>
            </w:r>
          </w:p>
        </w:tc>
        <w:tc>
          <w:tcPr>
            <w:tcW w:w="355" w:type="pct"/>
            <w:noWrap w:val="0"/>
            <w:vAlign w:val="center"/>
          </w:tcPr>
          <w:p w14:paraId="5672925D">
            <w:pPr>
              <w:keepLines w:val="0"/>
              <w:pageBreakBefore w:val="0"/>
              <w:kinsoku/>
              <w:wordWrap/>
              <w:overflowPunct/>
              <w:topLinePunct w:val="0"/>
              <w:autoSpaceDE/>
              <w:autoSpaceDN/>
              <w:bidi w:val="0"/>
              <w:adjustRightInd w:val="0"/>
              <w:snapToGrid w:val="0"/>
              <w:spacing w:after="0" w:afterLines="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355" w:type="pct"/>
            <w:noWrap w:val="0"/>
            <w:vAlign w:val="center"/>
          </w:tcPr>
          <w:p w14:paraId="7388415F">
            <w:pPr>
              <w:keepLines w:val="0"/>
              <w:pageBreakBefore w:val="0"/>
              <w:kinsoku/>
              <w:wordWrap/>
              <w:overflowPunct/>
              <w:topLinePunct w:val="0"/>
              <w:autoSpaceDE/>
              <w:autoSpaceDN/>
              <w:bidi w:val="0"/>
              <w:adjustRightInd w:val="0"/>
              <w:snapToGrid w:val="0"/>
              <w:spacing w:after="0" w:afterLines="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355" w:type="pct"/>
            <w:noWrap w:val="0"/>
            <w:vAlign w:val="center"/>
          </w:tcPr>
          <w:p w14:paraId="4A05C1F4">
            <w:pPr>
              <w:keepLines w:val="0"/>
              <w:pageBreakBefore w:val="0"/>
              <w:kinsoku/>
              <w:wordWrap/>
              <w:overflowPunct/>
              <w:topLinePunct w:val="0"/>
              <w:autoSpaceDE/>
              <w:autoSpaceDN/>
              <w:bidi w:val="0"/>
              <w:adjustRightInd w:val="0"/>
              <w:snapToGrid w:val="0"/>
              <w:spacing w:after="0" w:afterLines="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w:t>
            </w:r>
          </w:p>
        </w:tc>
        <w:tc>
          <w:tcPr>
            <w:tcW w:w="355" w:type="pct"/>
            <w:noWrap w:val="0"/>
            <w:vAlign w:val="center"/>
          </w:tcPr>
          <w:p w14:paraId="236E81C5">
            <w:pPr>
              <w:keepLines w:val="0"/>
              <w:pageBreakBefore w:val="0"/>
              <w:kinsoku/>
              <w:wordWrap/>
              <w:overflowPunct/>
              <w:topLinePunct w:val="0"/>
              <w:autoSpaceDE/>
              <w:autoSpaceDN/>
              <w:bidi w:val="0"/>
              <w:adjustRightInd w:val="0"/>
              <w:snapToGrid w:val="0"/>
              <w:spacing w:after="0" w:afterLines="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w:t>
            </w:r>
          </w:p>
        </w:tc>
        <w:tc>
          <w:tcPr>
            <w:tcW w:w="355" w:type="pct"/>
            <w:noWrap w:val="0"/>
            <w:vAlign w:val="center"/>
          </w:tcPr>
          <w:p w14:paraId="1DA2F0C7">
            <w:pPr>
              <w:keepLines w:val="0"/>
              <w:pageBreakBefore w:val="0"/>
              <w:kinsoku/>
              <w:wordWrap/>
              <w:overflowPunct/>
              <w:topLinePunct w:val="0"/>
              <w:autoSpaceDE/>
              <w:autoSpaceDN/>
              <w:bidi w:val="0"/>
              <w:adjustRightInd w:val="0"/>
              <w:snapToGrid w:val="0"/>
              <w:spacing w:after="0" w:afterLines="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w:t>
            </w:r>
          </w:p>
        </w:tc>
        <w:tc>
          <w:tcPr>
            <w:tcW w:w="355" w:type="pct"/>
            <w:noWrap w:val="0"/>
            <w:vAlign w:val="center"/>
          </w:tcPr>
          <w:p w14:paraId="4F9DDDD5">
            <w:pPr>
              <w:keepLines w:val="0"/>
              <w:pageBreakBefore w:val="0"/>
              <w:kinsoku/>
              <w:wordWrap/>
              <w:overflowPunct/>
              <w:topLinePunct w:val="0"/>
              <w:autoSpaceDE/>
              <w:autoSpaceDN/>
              <w:bidi w:val="0"/>
              <w:adjustRightInd w:val="0"/>
              <w:snapToGrid w:val="0"/>
              <w:spacing w:after="0" w:afterLines="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60</w:t>
            </w:r>
          </w:p>
        </w:tc>
        <w:tc>
          <w:tcPr>
            <w:tcW w:w="355" w:type="pct"/>
            <w:noWrap w:val="0"/>
            <w:vAlign w:val="center"/>
          </w:tcPr>
          <w:p w14:paraId="27DC43D9">
            <w:pPr>
              <w:keepLines w:val="0"/>
              <w:pageBreakBefore w:val="0"/>
              <w:kinsoku/>
              <w:wordWrap/>
              <w:overflowPunct/>
              <w:topLinePunct w:val="0"/>
              <w:autoSpaceDE/>
              <w:autoSpaceDN/>
              <w:bidi w:val="0"/>
              <w:adjustRightInd w:val="0"/>
              <w:snapToGrid w:val="0"/>
              <w:spacing w:after="0" w:afterLines="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70</w:t>
            </w:r>
          </w:p>
        </w:tc>
        <w:tc>
          <w:tcPr>
            <w:tcW w:w="355" w:type="pct"/>
            <w:noWrap w:val="0"/>
            <w:vAlign w:val="center"/>
          </w:tcPr>
          <w:p w14:paraId="15F35A7E">
            <w:pPr>
              <w:keepLines w:val="0"/>
              <w:pageBreakBefore w:val="0"/>
              <w:kinsoku/>
              <w:wordWrap/>
              <w:overflowPunct/>
              <w:topLinePunct w:val="0"/>
              <w:autoSpaceDE/>
              <w:autoSpaceDN/>
              <w:bidi w:val="0"/>
              <w:adjustRightInd w:val="0"/>
              <w:snapToGrid w:val="0"/>
              <w:spacing w:after="0" w:afterLines="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80</w:t>
            </w:r>
          </w:p>
        </w:tc>
        <w:tc>
          <w:tcPr>
            <w:tcW w:w="355" w:type="pct"/>
            <w:noWrap w:val="0"/>
            <w:vAlign w:val="center"/>
          </w:tcPr>
          <w:p w14:paraId="0D225257">
            <w:pPr>
              <w:keepLines w:val="0"/>
              <w:pageBreakBefore w:val="0"/>
              <w:kinsoku/>
              <w:wordWrap/>
              <w:overflowPunct/>
              <w:topLinePunct w:val="0"/>
              <w:autoSpaceDE/>
              <w:autoSpaceDN/>
              <w:bidi w:val="0"/>
              <w:adjustRightInd w:val="0"/>
              <w:snapToGrid w:val="0"/>
              <w:spacing w:after="0" w:afterLines="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85</w:t>
            </w:r>
          </w:p>
        </w:tc>
        <w:tc>
          <w:tcPr>
            <w:tcW w:w="355" w:type="pct"/>
            <w:noWrap w:val="0"/>
            <w:vAlign w:val="center"/>
          </w:tcPr>
          <w:p w14:paraId="2C63A530">
            <w:pPr>
              <w:keepLines w:val="0"/>
              <w:pageBreakBefore w:val="0"/>
              <w:kinsoku/>
              <w:wordWrap/>
              <w:overflowPunct/>
              <w:topLinePunct w:val="0"/>
              <w:autoSpaceDE/>
              <w:autoSpaceDN/>
              <w:bidi w:val="0"/>
              <w:adjustRightInd w:val="0"/>
              <w:snapToGrid w:val="0"/>
              <w:spacing w:after="0" w:afterLines="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90</w:t>
            </w:r>
          </w:p>
        </w:tc>
        <w:tc>
          <w:tcPr>
            <w:tcW w:w="355" w:type="pct"/>
            <w:noWrap w:val="0"/>
            <w:vAlign w:val="center"/>
          </w:tcPr>
          <w:p w14:paraId="29840798">
            <w:pPr>
              <w:keepLines w:val="0"/>
              <w:pageBreakBefore w:val="0"/>
              <w:kinsoku/>
              <w:wordWrap/>
              <w:overflowPunct/>
              <w:topLinePunct w:val="0"/>
              <w:autoSpaceDE/>
              <w:autoSpaceDN/>
              <w:bidi w:val="0"/>
              <w:adjustRightInd w:val="0"/>
              <w:snapToGrid w:val="0"/>
              <w:spacing w:after="0" w:afterLines="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95</w:t>
            </w:r>
          </w:p>
        </w:tc>
        <w:tc>
          <w:tcPr>
            <w:tcW w:w="355" w:type="pct"/>
            <w:noWrap w:val="0"/>
            <w:vAlign w:val="center"/>
          </w:tcPr>
          <w:p w14:paraId="2E9C04BF">
            <w:pPr>
              <w:keepLines w:val="0"/>
              <w:pageBreakBefore w:val="0"/>
              <w:kinsoku/>
              <w:wordWrap/>
              <w:overflowPunct/>
              <w:topLinePunct w:val="0"/>
              <w:autoSpaceDE/>
              <w:autoSpaceDN/>
              <w:bidi w:val="0"/>
              <w:adjustRightInd w:val="0"/>
              <w:snapToGrid w:val="0"/>
              <w:spacing w:after="0" w:afterLines="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w:t>
            </w:r>
          </w:p>
        </w:tc>
      </w:tr>
    </w:tbl>
    <w:p w14:paraId="739A0912">
      <w:pPr>
        <w:keepLines w:val="0"/>
        <w:pageBreakBefore w:val="0"/>
        <w:kinsoku/>
        <w:wordWrap/>
        <w:overflowPunct/>
        <w:topLinePunct w:val="0"/>
        <w:autoSpaceDE/>
        <w:autoSpaceDN/>
        <w:bidi w:val="0"/>
        <w:adjustRightInd w:val="0"/>
        <w:snapToGrid w:val="0"/>
        <w:spacing w:after="0" w:afterLines="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注：不足一个月的部分按一个月计收。</w:t>
      </w:r>
    </w:p>
    <w:p w14:paraId="0FD03EB3">
      <w:pPr>
        <w:adjustRightInd w:val="0"/>
        <w:snapToGrid w:val="0"/>
        <w:spacing w:after="50"/>
        <w:ind w:firstLine="480" w:firstLineChars="200"/>
        <w:rPr>
          <w:rFonts w:hint="default" w:ascii="Times New Roman" w:hAnsi="Times New Roman" w:eastAsia="仿宋_GB2312" w:cs="Times New Roman"/>
          <w:color w:val="auto"/>
          <w:sz w:val="24"/>
          <w:highlight w:val="none"/>
        </w:rPr>
      </w:pPr>
    </w:p>
    <w:p w14:paraId="33ECB9F4">
      <w:pPr>
        <w:adjustRightInd w:val="0"/>
        <w:snapToGrid w:val="0"/>
        <w:spacing w:after="50"/>
        <w:ind w:firstLine="480" w:firstLineChars="200"/>
        <w:rPr>
          <w:rFonts w:hint="default" w:ascii="Times New Roman" w:hAnsi="Times New Roman" w:eastAsia="仿宋_GB2312" w:cs="Times New Roman"/>
          <w:color w:val="auto"/>
          <w:sz w:val="24"/>
          <w:highlight w:val="none"/>
        </w:rPr>
      </w:pPr>
    </w:p>
    <w:p w14:paraId="235E9D85">
      <w:pPr>
        <w:adjustRightInd w:val="0"/>
        <w:snapToGrid w:val="0"/>
        <w:spacing w:after="50"/>
        <w:ind w:firstLine="480" w:firstLineChars="200"/>
        <w:rPr>
          <w:rFonts w:hint="default" w:ascii="Times New Roman" w:hAnsi="Times New Roman" w:eastAsia="仿宋_GB2312" w:cs="Times New Roman"/>
          <w:color w:val="auto"/>
          <w:sz w:val="24"/>
          <w:highlight w:val="none"/>
        </w:rPr>
      </w:pPr>
    </w:p>
    <w:p w14:paraId="0040A735">
      <w:pPr>
        <w:adjustRightInd w:val="0"/>
        <w:snapToGrid w:val="0"/>
        <w:spacing w:after="50"/>
        <w:ind w:firstLine="480" w:firstLineChars="200"/>
        <w:rPr>
          <w:rFonts w:hint="default" w:ascii="Times New Roman" w:hAnsi="Times New Roman" w:eastAsia="仿宋_GB2312" w:cs="Times New Roman"/>
          <w:color w:val="auto"/>
          <w:sz w:val="24"/>
          <w:highlight w:val="none"/>
        </w:rPr>
      </w:pPr>
    </w:p>
    <w:p w14:paraId="0A3664CA">
      <w:pPr>
        <w:adjustRightInd w:val="0"/>
        <w:snapToGrid w:val="0"/>
        <w:spacing w:after="50"/>
        <w:ind w:firstLine="480" w:firstLineChars="200"/>
        <w:rPr>
          <w:rFonts w:hint="default" w:ascii="Times New Roman" w:hAnsi="Times New Roman" w:eastAsia="仿宋_GB2312" w:cs="Times New Roman"/>
          <w:color w:val="auto"/>
          <w:sz w:val="24"/>
          <w:highlight w:val="none"/>
        </w:rPr>
      </w:pPr>
    </w:p>
    <w:p w14:paraId="351A3CF6">
      <w:pPr>
        <w:adjustRightInd w:val="0"/>
        <w:snapToGrid w:val="0"/>
        <w:spacing w:after="50"/>
        <w:ind w:firstLine="480" w:firstLineChars="200"/>
        <w:rPr>
          <w:rFonts w:hint="default" w:ascii="Times New Roman" w:hAnsi="Times New Roman" w:eastAsia="仿宋_GB2312" w:cs="Times New Roman"/>
          <w:color w:val="auto"/>
          <w:sz w:val="24"/>
          <w:highlight w:val="none"/>
        </w:rPr>
      </w:pPr>
    </w:p>
    <w:p w14:paraId="62A01BCF">
      <w:pPr>
        <w:adjustRightInd w:val="0"/>
        <w:snapToGrid w:val="0"/>
        <w:spacing w:after="50"/>
        <w:ind w:firstLine="480" w:firstLineChars="200"/>
        <w:rPr>
          <w:rFonts w:hint="default" w:ascii="Times New Roman" w:hAnsi="Times New Roman" w:eastAsia="仿宋_GB2312" w:cs="Times New Roman"/>
          <w:color w:val="auto"/>
          <w:sz w:val="24"/>
          <w:highlight w:val="none"/>
        </w:rPr>
      </w:pPr>
    </w:p>
    <w:p w14:paraId="12FD4567">
      <w:pPr>
        <w:adjustRightInd w:val="0"/>
        <w:snapToGrid w:val="0"/>
        <w:spacing w:after="50"/>
        <w:ind w:firstLine="480" w:firstLineChars="200"/>
        <w:rPr>
          <w:rFonts w:hint="default" w:ascii="Times New Roman" w:hAnsi="Times New Roman" w:eastAsia="仿宋_GB2312" w:cs="Times New Roman"/>
          <w:color w:val="auto"/>
          <w:sz w:val="24"/>
          <w:highlight w:val="none"/>
        </w:rPr>
      </w:pPr>
    </w:p>
    <w:p w14:paraId="124E8605">
      <w:pPr>
        <w:adjustRightInd w:val="0"/>
        <w:snapToGrid w:val="0"/>
        <w:spacing w:after="50"/>
        <w:ind w:firstLine="480" w:firstLineChars="200"/>
        <w:rPr>
          <w:rFonts w:hint="default" w:ascii="Times New Roman" w:hAnsi="Times New Roman" w:eastAsia="仿宋_GB2312" w:cs="Times New Roman"/>
          <w:color w:val="auto"/>
          <w:sz w:val="24"/>
          <w:highlight w:val="none"/>
        </w:rPr>
      </w:pPr>
    </w:p>
    <w:p w14:paraId="2C52BB7D">
      <w:pPr>
        <w:adjustRightInd w:val="0"/>
        <w:snapToGrid w:val="0"/>
        <w:spacing w:after="50"/>
        <w:ind w:firstLine="480" w:firstLineChars="200"/>
        <w:rPr>
          <w:rFonts w:hint="default" w:ascii="Times New Roman" w:hAnsi="Times New Roman" w:eastAsia="仿宋_GB2312" w:cs="Times New Roman"/>
          <w:color w:val="auto"/>
          <w:sz w:val="24"/>
          <w:highlight w:val="none"/>
        </w:rPr>
      </w:pPr>
    </w:p>
    <w:p w14:paraId="167479E0">
      <w:pPr>
        <w:adjustRightInd w:val="0"/>
        <w:snapToGrid w:val="0"/>
        <w:spacing w:after="50"/>
        <w:ind w:firstLine="480" w:firstLineChars="200"/>
        <w:rPr>
          <w:rFonts w:hint="default" w:ascii="Times New Roman" w:hAnsi="Times New Roman" w:eastAsia="仿宋_GB2312" w:cs="Times New Roman"/>
          <w:color w:val="auto"/>
          <w:sz w:val="24"/>
          <w:highlight w:val="none"/>
        </w:rPr>
      </w:pPr>
    </w:p>
    <w:p w14:paraId="0DB7A363">
      <w:pPr>
        <w:adjustRightInd w:val="0"/>
        <w:snapToGrid w:val="0"/>
        <w:spacing w:after="50"/>
        <w:ind w:firstLine="480" w:firstLineChars="200"/>
        <w:rPr>
          <w:rFonts w:hint="default" w:ascii="Times New Roman" w:hAnsi="Times New Roman" w:eastAsia="仿宋_GB2312" w:cs="Times New Roman"/>
          <w:color w:val="auto"/>
          <w:sz w:val="24"/>
          <w:highlight w:val="none"/>
        </w:rPr>
      </w:pPr>
    </w:p>
    <w:p w14:paraId="5A18DB7B">
      <w:pPr>
        <w:adjustRightInd w:val="0"/>
        <w:snapToGrid w:val="0"/>
        <w:spacing w:after="50"/>
        <w:ind w:firstLine="480" w:firstLineChars="200"/>
        <w:rPr>
          <w:rFonts w:hint="default" w:ascii="Times New Roman" w:hAnsi="Times New Roman" w:eastAsia="仿宋_GB2312" w:cs="Times New Roman"/>
          <w:color w:val="auto"/>
          <w:sz w:val="24"/>
          <w:highlight w:val="none"/>
        </w:rPr>
      </w:pPr>
    </w:p>
    <w:p w14:paraId="08869AB9">
      <w:pPr>
        <w:pStyle w:val="43"/>
        <w:pageBreakBefore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rPr>
      </w:pPr>
    </w:p>
    <w:p w14:paraId="57AB1943">
      <w:pPr>
        <w:spacing w:line="400" w:lineRule="exact"/>
        <w:jc w:val="center"/>
        <w:rPr>
          <w:rFonts w:hint="eastAsia" w:ascii="宋体" w:hAnsi="宋体" w:eastAsia="宋体"/>
          <w:b/>
          <w:color w:val="auto"/>
          <w:sz w:val="28"/>
          <w:szCs w:val="21"/>
          <w:highlight w:val="none"/>
        </w:rPr>
      </w:pPr>
      <w:r>
        <w:rPr>
          <w:rFonts w:hint="eastAsia" w:ascii="宋体" w:hAnsi="宋体" w:eastAsia="宋体"/>
          <w:b/>
          <w:color w:val="auto"/>
          <w:sz w:val="28"/>
          <w:szCs w:val="21"/>
          <w:highlight w:val="none"/>
          <w:lang w:val="en-US" w:eastAsia="zh-CN"/>
        </w:rPr>
        <w:t>团体</w:t>
      </w:r>
      <w:r>
        <w:rPr>
          <w:rFonts w:hint="eastAsia" w:ascii="宋体" w:hAnsi="宋体" w:eastAsia="宋体"/>
          <w:b/>
          <w:color w:val="auto"/>
          <w:sz w:val="28"/>
          <w:szCs w:val="21"/>
          <w:highlight w:val="none"/>
        </w:rPr>
        <w:t>意外伤害保险</w:t>
      </w:r>
      <w:r>
        <w:rPr>
          <w:rFonts w:hint="eastAsia" w:ascii="宋体" w:hAnsi="宋体" w:eastAsia="宋体"/>
          <w:b/>
          <w:color w:val="auto"/>
          <w:sz w:val="28"/>
          <w:szCs w:val="21"/>
          <w:highlight w:val="none"/>
          <w:lang w:eastAsia="zh-CN"/>
        </w:rPr>
        <w:t>（</w:t>
      </w:r>
      <w:r>
        <w:rPr>
          <w:rFonts w:hint="eastAsia" w:ascii="宋体" w:hAnsi="宋体" w:eastAsia="宋体"/>
          <w:b/>
          <w:color w:val="auto"/>
          <w:sz w:val="28"/>
          <w:szCs w:val="21"/>
          <w:highlight w:val="none"/>
          <w:lang w:val="en-US" w:eastAsia="zh-CN"/>
        </w:rPr>
        <w:t>2022版</w:t>
      </w:r>
      <w:r>
        <w:rPr>
          <w:rFonts w:hint="eastAsia" w:ascii="宋体" w:hAnsi="宋体" w:eastAsia="宋体"/>
          <w:b/>
          <w:color w:val="auto"/>
          <w:sz w:val="28"/>
          <w:szCs w:val="21"/>
          <w:highlight w:val="none"/>
          <w:lang w:eastAsia="zh-CN"/>
        </w:rPr>
        <w:t>）</w:t>
      </w:r>
      <w:r>
        <w:rPr>
          <w:rFonts w:hint="eastAsia" w:ascii="宋体" w:hAnsi="宋体" w:eastAsia="宋体"/>
          <w:b/>
          <w:color w:val="auto"/>
          <w:sz w:val="28"/>
          <w:szCs w:val="21"/>
          <w:highlight w:val="none"/>
        </w:rPr>
        <w:t>条款</w:t>
      </w:r>
    </w:p>
    <w:p w14:paraId="044BA71E">
      <w:pPr>
        <w:pStyle w:val="60"/>
        <w:spacing w:after="78" w:afterLines="25"/>
        <w:ind w:left="422" w:hanging="482" w:hangingChars="200"/>
        <w:jc w:val="center"/>
        <w:rPr>
          <w:rFonts w:hint="eastAsia" w:ascii="宋体" w:hAnsi="宋体" w:eastAsia="宋体" w:cs="宋体"/>
          <w:color w:val="auto"/>
          <w:sz w:val="24"/>
          <w:szCs w:val="24"/>
          <w:highlight w:val="none"/>
        </w:rPr>
      </w:pPr>
    </w:p>
    <w:p w14:paraId="11A896DD">
      <w:pPr>
        <w:keepNext/>
        <w:keepLines/>
        <w:pageBreakBefore w:val="0"/>
        <w:widowControl w:val="0"/>
        <w:tabs>
          <w:tab w:val="left" w:pos="945"/>
        </w:tabs>
        <w:kinsoku/>
        <w:wordWrap/>
        <w:overflowPunct/>
        <w:topLinePunct w:val="0"/>
        <w:autoSpaceDE/>
        <w:autoSpaceDN/>
        <w:bidi w:val="0"/>
        <w:spacing w:line="312" w:lineRule="auto"/>
        <w:ind w:left="0" w:leftChars="0" w:firstLine="482" w:firstLineChars="200"/>
        <w:textAlignment w:val="auto"/>
        <w:outlineLvl w:val="0"/>
        <w:rPr>
          <w:rFonts w:hint="eastAsia" w:ascii="宋体" w:hAnsi="宋体" w:eastAsia="宋体" w:cs="宋体"/>
          <w:b/>
          <w:bCs/>
          <w:color w:val="auto"/>
          <w:kern w:val="44"/>
          <w:sz w:val="24"/>
          <w:szCs w:val="24"/>
          <w:highlight w:val="none"/>
        </w:rPr>
      </w:pPr>
      <w:r>
        <w:rPr>
          <w:rFonts w:hint="eastAsia" w:ascii="宋体" w:hAnsi="宋体" w:eastAsia="宋体" w:cs="宋体"/>
          <w:b/>
          <w:bCs/>
          <w:color w:val="auto"/>
          <w:kern w:val="44"/>
          <w:sz w:val="24"/>
          <w:szCs w:val="24"/>
          <w:highlight w:val="none"/>
        </w:rPr>
        <w:t>1</w:t>
      </w:r>
      <w:r>
        <w:rPr>
          <w:rFonts w:hint="eastAsia" w:ascii="宋体" w:hAnsi="宋体" w:eastAsia="宋体" w:cs="宋体"/>
          <w:b/>
          <w:bCs/>
          <w:color w:val="auto"/>
          <w:kern w:val="44"/>
          <w:sz w:val="24"/>
          <w:szCs w:val="24"/>
          <w:highlight w:val="none"/>
        </w:rPr>
        <w:tab/>
      </w:r>
      <w:r>
        <w:rPr>
          <w:rFonts w:hint="eastAsia" w:ascii="宋体" w:hAnsi="宋体" w:eastAsia="宋体" w:cs="宋体"/>
          <w:b/>
          <w:bCs/>
          <w:color w:val="auto"/>
          <w:kern w:val="44"/>
          <w:sz w:val="24"/>
          <w:szCs w:val="24"/>
          <w:highlight w:val="none"/>
        </w:rPr>
        <w:t>总则</w:t>
      </w:r>
    </w:p>
    <w:p w14:paraId="352DEDFE">
      <w:pPr>
        <w:pStyle w:val="3"/>
        <w:pageBreakBefore w:val="0"/>
        <w:widowControl w:val="0"/>
        <w:tabs>
          <w:tab w:val="left" w:pos="960"/>
        </w:tabs>
        <w:kinsoku/>
        <w:wordWrap/>
        <w:overflowPunct/>
        <w:topLinePunct w:val="0"/>
        <w:autoSpaceDE/>
        <w:autoSpaceDN/>
        <w:bidi w:val="0"/>
        <w:spacing w:before="0" w:after="0" w:line="312" w:lineRule="auto"/>
        <w:ind w:left="0"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合同构成</w:t>
      </w:r>
    </w:p>
    <w:p w14:paraId="307ACA6A">
      <w:pPr>
        <w:pStyle w:val="43"/>
        <w:pageBreakBefore w:val="0"/>
        <w:widowControl w:val="0"/>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color w:val="auto"/>
          <w:sz w:val="24"/>
          <w:szCs w:val="24"/>
          <w:highlight w:val="none"/>
        </w:rPr>
      </w:pPr>
      <w:bookmarkStart w:id="35" w:name="_1.2_被保险人"/>
      <w:bookmarkEnd w:id="35"/>
      <w:r>
        <w:rPr>
          <w:rFonts w:hint="eastAsia" w:ascii="宋体" w:hAnsi="宋体" w:eastAsia="宋体" w:cs="宋体"/>
          <w:color w:val="auto"/>
          <w:sz w:val="24"/>
          <w:szCs w:val="24"/>
          <w:highlight w:val="none"/>
        </w:rPr>
        <w:t>本保险合同由保险条款、投保单、保险单以及经投保人与保险人认可的、与保险合同有关的其它书面协议（包括但不限于健康问卷、声明、批单）组成。凡涉及本保险合同的约定，均应采用书面形式。</w:t>
      </w:r>
    </w:p>
    <w:p w14:paraId="3069A26F">
      <w:pPr>
        <w:pStyle w:val="3"/>
        <w:pageBreakBefore w:val="0"/>
        <w:widowControl w:val="0"/>
        <w:tabs>
          <w:tab w:val="left" w:pos="960"/>
        </w:tabs>
        <w:kinsoku/>
        <w:wordWrap/>
        <w:overflowPunct/>
        <w:topLinePunct w:val="0"/>
        <w:autoSpaceDE/>
        <w:autoSpaceDN/>
        <w:bidi w:val="0"/>
        <w:spacing w:before="0" w:after="0" w:line="312" w:lineRule="auto"/>
        <w:ind w:left="0"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投保人</w:t>
      </w:r>
    </w:p>
    <w:p w14:paraId="7FDED646">
      <w:pPr>
        <w:pStyle w:val="3"/>
        <w:pageBreakBefore w:val="0"/>
        <w:widowControl w:val="0"/>
        <w:tabs>
          <w:tab w:val="left" w:pos="960"/>
        </w:tabs>
        <w:kinsoku/>
        <w:wordWrap/>
        <w:overflowPunct/>
        <w:topLinePunct w:val="0"/>
        <w:autoSpaceDE/>
        <w:autoSpaceDN/>
        <w:bidi w:val="0"/>
        <w:spacing w:before="0" w:after="0" w:line="312"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bookmarkStart w:id="36" w:name="_1.3_被保险人"/>
      <w:bookmarkEnd w:id="36"/>
      <w:r>
        <w:rPr>
          <w:rFonts w:hint="eastAsia" w:ascii="宋体" w:hAnsi="宋体" w:eastAsia="宋体" w:cs="宋体"/>
          <w:b w:val="0"/>
          <w:bCs w:val="0"/>
          <w:color w:val="auto"/>
          <w:kern w:val="2"/>
          <w:sz w:val="24"/>
          <w:szCs w:val="24"/>
          <w:highlight w:val="none"/>
          <w:lang w:val="en-US" w:eastAsia="zh-CN" w:bidi="ar-SA"/>
        </w:rPr>
        <w:t>在本保险合同订立时对被保险人有保险利益的企事业单位、国家机关、社会团体及特定主体可作为本保险合同的投保人。</w:t>
      </w:r>
    </w:p>
    <w:p w14:paraId="211B63B4">
      <w:pPr>
        <w:pStyle w:val="3"/>
        <w:pageBreakBefore w:val="0"/>
        <w:widowControl w:val="0"/>
        <w:tabs>
          <w:tab w:val="left" w:pos="960"/>
        </w:tabs>
        <w:kinsoku/>
        <w:wordWrap/>
        <w:overflowPunct/>
        <w:topLinePunct w:val="0"/>
        <w:autoSpaceDE/>
        <w:autoSpaceDN/>
        <w:bidi w:val="0"/>
        <w:spacing w:before="0" w:after="0" w:line="312" w:lineRule="auto"/>
        <w:ind w:left="0"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2"/>
          <w:sz w:val="24"/>
          <w:szCs w:val="24"/>
          <w:highlight w:val="none"/>
          <w:lang w:val="en-US" w:eastAsia="zh-CN" w:bidi="ar-SA"/>
        </w:rPr>
        <w:t>1</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被保险人</w:t>
      </w:r>
    </w:p>
    <w:p w14:paraId="1ED01220">
      <w:pPr>
        <w:pStyle w:val="43"/>
        <w:pageBreakBefore w:val="0"/>
        <w:widowControl w:val="0"/>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除另有约定外</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年龄在6个月至65</w:t>
      </w:r>
      <w:r>
        <w:rPr>
          <w:rFonts w:hint="eastAsia" w:ascii="宋体" w:hAnsi="宋体" w:eastAsia="宋体" w:cs="宋体"/>
          <w:b/>
          <w:bCs/>
          <w:color w:val="auto"/>
          <w:sz w:val="24"/>
          <w:szCs w:val="24"/>
          <w:highlight w:val="none"/>
        </w:rPr>
        <w:t>周岁（见释义）</w:t>
      </w:r>
      <w:r>
        <w:rPr>
          <w:rFonts w:hint="eastAsia" w:ascii="宋体" w:hAnsi="宋体" w:eastAsia="宋体" w:cs="宋体"/>
          <w:color w:val="auto"/>
          <w:sz w:val="24"/>
          <w:szCs w:val="24"/>
          <w:highlight w:val="none"/>
        </w:rPr>
        <w:t>、身体健康、能正常工作或正常生活的</w:t>
      </w:r>
      <w:r>
        <w:rPr>
          <w:rFonts w:hint="eastAsia" w:ascii="宋体" w:hAnsi="宋体" w:eastAsia="宋体" w:cs="宋体"/>
          <w:color w:val="auto"/>
          <w:sz w:val="24"/>
          <w:szCs w:val="24"/>
          <w:highlight w:val="none"/>
          <w:lang w:val="en-US" w:eastAsia="zh-CN"/>
        </w:rPr>
        <w:t>自然人</w:t>
      </w:r>
      <w:r>
        <w:rPr>
          <w:rFonts w:hint="eastAsia" w:ascii="宋体" w:hAnsi="宋体" w:eastAsia="宋体" w:cs="宋体"/>
          <w:color w:val="auto"/>
          <w:sz w:val="24"/>
          <w:szCs w:val="24"/>
          <w:highlight w:val="none"/>
        </w:rPr>
        <w:t>可作为本保险合同的被保险人。</w:t>
      </w:r>
    </w:p>
    <w:p w14:paraId="0EADBFEA">
      <w:pPr>
        <w:pStyle w:val="4"/>
        <w:pageBreakBefore w:val="0"/>
        <w:widowControl w:val="0"/>
        <w:tabs>
          <w:tab w:val="left" w:pos="960"/>
          <w:tab w:val="clear" w:pos="945"/>
        </w:tabs>
        <w:kinsoku/>
        <w:wordWrap/>
        <w:overflowPunct/>
        <w:topLinePunct w:val="0"/>
        <w:autoSpaceDE/>
        <w:autoSpaceDN/>
        <w:bidi w:val="0"/>
        <w:spacing w:line="312" w:lineRule="auto"/>
        <w:ind w:left="0"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被保资格的获得</w:t>
      </w:r>
    </w:p>
    <w:p w14:paraId="223645FC">
      <w:pPr>
        <w:pStyle w:val="43"/>
        <w:pageBreakBefore w:val="0"/>
        <w:widowControl w:val="0"/>
        <w:kinsoku/>
        <w:wordWrap/>
        <w:overflowPunct/>
        <w:topLinePunct w:val="0"/>
        <w:autoSpaceDE/>
        <w:autoSpaceDN/>
        <w:bidi w:val="0"/>
        <w:spacing w:line="312"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无论本保险合同为首次投保、续保还是非续保的，被保险人获得被保资格的日期均以以下两者中较晚的日期为准：（1）本保险合同的保险期间起始日；（2）本保险合同项下增加该被保险人批单所载生效日，有多张批单增加该被保险人的，以最晚批单所载生效日为准。</w:t>
      </w:r>
    </w:p>
    <w:p w14:paraId="5C87A82E">
      <w:pPr>
        <w:pStyle w:val="3"/>
        <w:pageBreakBefore w:val="0"/>
        <w:widowControl w:val="0"/>
        <w:tabs>
          <w:tab w:val="left" w:pos="960"/>
        </w:tabs>
        <w:kinsoku/>
        <w:wordWrap/>
        <w:overflowPunct/>
        <w:topLinePunct w:val="0"/>
        <w:autoSpaceDE/>
        <w:autoSpaceDN/>
        <w:bidi w:val="0"/>
        <w:spacing w:before="0" w:after="0" w:line="312" w:lineRule="auto"/>
        <w:ind w:left="0"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受益人</w:t>
      </w:r>
    </w:p>
    <w:p w14:paraId="438360D5">
      <w:pPr>
        <w:pStyle w:val="43"/>
        <w:pageBreakBefore w:val="0"/>
        <w:widowControl w:val="0"/>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订立本保险合同时，被保险人或投保人可指定一人或数人为本</w:t>
      </w:r>
      <w:r>
        <w:rPr>
          <w:rFonts w:hint="eastAsia" w:ascii="宋体" w:hAnsi="宋体" w:eastAsia="宋体" w:cs="宋体"/>
          <w:color w:val="auto"/>
          <w:sz w:val="24"/>
          <w:szCs w:val="24"/>
          <w:highlight w:val="none"/>
          <w:lang w:val="en-US" w:eastAsia="zh-CN"/>
        </w:rPr>
        <w:t>保险</w:t>
      </w:r>
      <w:r>
        <w:rPr>
          <w:rFonts w:hint="eastAsia" w:ascii="宋体" w:hAnsi="宋体" w:eastAsia="宋体" w:cs="宋体"/>
          <w:color w:val="auto"/>
          <w:sz w:val="24"/>
          <w:szCs w:val="24"/>
          <w:highlight w:val="none"/>
        </w:rPr>
        <w:t>合同的身故保险金受益人。身故保险金受益人为数人时，应确定其受益顺序和受益份额；</w:t>
      </w:r>
      <w:r>
        <w:rPr>
          <w:rFonts w:hint="eastAsia" w:ascii="宋体" w:hAnsi="宋体" w:eastAsia="宋体" w:cs="宋体"/>
          <w:b/>
          <w:bCs/>
          <w:color w:val="auto"/>
          <w:sz w:val="24"/>
          <w:szCs w:val="24"/>
          <w:highlight w:val="none"/>
        </w:rPr>
        <w:t>未确定受益份额的，各身故保险金受益人按照相等份额享有受益权</w:t>
      </w:r>
      <w:r>
        <w:rPr>
          <w:rFonts w:hint="eastAsia" w:ascii="宋体" w:hAnsi="宋体" w:eastAsia="宋体" w:cs="宋体"/>
          <w:color w:val="auto"/>
          <w:sz w:val="24"/>
          <w:szCs w:val="24"/>
          <w:highlight w:val="none"/>
        </w:rPr>
        <w:t>。</w:t>
      </w:r>
    </w:p>
    <w:p w14:paraId="275F4FD6">
      <w:pPr>
        <w:pStyle w:val="43"/>
        <w:pageBreakBefore w:val="0"/>
        <w:widowControl w:val="0"/>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除另有约定外，本保险合同的伤残保险金受益人为被保险人本人。</w:t>
      </w:r>
    </w:p>
    <w:p w14:paraId="05001802">
      <w:pPr>
        <w:pStyle w:val="43"/>
        <w:pageBreakBefore w:val="0"/>
        <w:widowControl w:val="0"/>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被保险人或投保人可以变更保险金受益人，但需书面通知保险人，由保险人在本</w:t>
      </w:r>
      <w:r>
        <w:rPr>
          <w:rFonts w:hint="eastAsia" w:ascii="宋体" w:hAnsi="宋体" w:eastAsia="宋体" w:cs="宋体"/>
          <w:color w:val="auto"/>
          <w:sz w:val="24"/>
          <w:szCs w:val="24"/>
          <w:highlight w:val="none"/>
          <w:lang w:val="en-US" w:eastAsia="zh-CN"/>
        </w:rPr>
        <w:t>保险</w:t>
      </w:r>
      <w:r>
        <w:rPr>
          <w:rFonts w:hint="eastAsia" w:ascii="宋体" w:hAnsi="宋体" w:eastAsia="宋体" w:cs="宋体"/>
          <w:color w:val="auto"/>
          <w:sz w:val="24"/>
          <w:szCs w:val="24"/>
          <w:highlight w:val="none"/>
        </w:rPr>
        <w:t>合同上批注。</w:t>
      </w:r>
    </w:p>
    <w:p w14:paraId="6077C54B">
      <w:pPr>
        <w:pStyle w:val="43"/>
        <w:pageBreakBefore w:val="0"/>
        <w:widowControl w:val="0"/>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投保人指定或变更保险金受益人的，应经被保险人同意。被保险人不具有完全民事行为能力的，应由其监护人指定或变更保险金受益人。</w:t>
      </w:r>
    </w:p>
    <w:p w14:paraId="1850DE1F">
      <w:pPr>
        <w:pStyle w:val="43"/>
        <w:pageBreakBefore w:val="0"/>
        <w:widowControl w:val="0"/>
        <w:kinsoku/>
        <w:wordWrap/>
        <w:overflowPunct/>
        <w:topLinePunct w:val="0"/>
        <w:autoSpaceDE/>
        <w:autoSpaceDN/>
        <w:bidi w:val="0"/>
        <w:spacing w:line="312"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受益人故意造成被保险人死亡、伤残</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疾病</w:t>
      </w:r>
      <w:r>
        <w:rPr>
          <w:rFonts w:hint="eastAsia" w:ascii="宋体" w:hAnsi="宋体" w:eastAsia="宋体" w:cs="宋体"/>
          <w:b/>
          <w:color w:val="auto"/>
          <w:sz w:val="24"/>
          <w:szCs w:val="24"/>
          <w:highlight w:val="none"/>
        </w:rPr>
        <w:t>的，或者故意杀害被保险人未遂的，该受益人丧失受益权。</w:t>
      </w:r>
    </w:p>
    <w:p w14:paraId="24E9BB85">
      <w:pPr>
        <w:pStyle w:val="2"/>
        <w:pageBreakBefore w:val="0"/>
        <w:widowControl w:val="0"/>
        <w:numPr>
          <w:ilvl w:val="0"/>
          <w:numId w:val="6"/>
        </w:numPr>
        <w:tabs>
          <w:tab w:val="left" w:pos="960"/>
        </w:tabs>
        <w:kinsoku/>
        <w:wordWrap/>
        <w:overflowPunct/>
        <w:topLinePunct w:val="0"/>
        <w:autoSpaceDE/>
        <w:autoSpaceDN/>
        <w:bidi w:val="0"/>
        <w:spacing w:before="0" w:after="0"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保障内容</w:t>
      </w:r>
    </w:p>
    <w:p w14:paraId="1545DA23">
      <w:pPr>
        <w:pStyle w:val="42"/>
        <w:pageBreakBefore w:val="0"/>
        <w:widowControl w:val="0"/>
        <w:tabs>
          <w:tab w:val="left" w:pos="960"/>
          <w:tab w:val="clear" w:pos="840"/>
        </w:tabs>
        <w:kinsoku/>
        <w:wordWrap/>
        <w:overflowPunct/>
        <w:topLinePunct w:val="0"/>
        <w:autoSpaceDE/>
        <w:autoSpaceDN/>
        <w:bidi w:val="0"/>
        <w:spacing w:line="312" w:lineRule="auto"/>
        <w:ind w:left="0" w:leftChars="0" w:firstLine="482" w:firstLineChars="200"/>
        <w:textAlignment w:val="auto"/>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保险责任</w:t>
      </w:r>
    </w:p>
    <w:p w14:paraId="2AABC46E">
      <w:pPr>
        <w:pStyle w:val="43"/>
        <w:pageBreakBefore w:val="0"/>
        <w:widowControl w:val="0"/>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在保险期间内，被保险人自获得被保资格之日起遭受</w:t>
      </w:r>
      <w:r>
        <w:rPr>
          <w:rFonts w:hint="eastAsia" w:ascii="宋体" w:hAnsi="宋体" w:eastAsia="宋体" w:cs="宋体"/>
          <w:b/>
          <w:color w:val="auto"/>
          <w:sz w:val="24"/>
          <w:szCs w:val="24"/>
          <w:highlight w:val="none"/>
        </w:rPr>
        <w:t>意外伤害（见释义）</w:t>
      </w:r>
      <w:r>
        <w:rPr>
          <w:rFonts w:hint="eastAsia" w:ascii="宋体" w:hAnsi="宋体" w:eastAsia="宋体" w:cs="宋体"/>
          <w:color w:val="auto"/>
          <w:sz w:val="24"/>
          <w:szCs w:val="24"/>
          <w:highlight w:val="none"/>
        </w:rPr>
        <w:t>，并因该意外伤害导致身故、伤残的，保险人依照下列约定给付保险金，</w:t>
      </w:r>
      <w:r>
        <w:rPr>
          <w:rFonts w:hint="eastAsia" w:ascii="宋体" w:hAnsi="宋体" w:eastAsia="宋体" w:cs="宋体"/>
          <w:b/>
          <w:color w:val="auto"/>
          <w:sz w:val="24"/>
          <w:szCs w:val="24"/>
          <w:highlight w:val="none"/>
        </w:rPr>
        <w:t>且给付下列各项保险金之和不超过该被保险人的</w:t>
      </w:r>
      <w:r>
        <w:rPr>
          <w:rFonts w:hint="eastAsia" w:ascii="宋体" w:hAnsi="宋体" w:eastAsia="宋体" w:cs="宋体"/>
          <w:b/>
          <w:color w:val="auto"/>
          <w:sz w:val="24"/>
          <w:szCs w:val="24"/>
          <w:highlight w:val="none"/>
          <w:lang w:val="en-US" w:eastAsia="zh-CN"/>
        </w:rPr>
        <w:t>意外伤害身故伤残</w:t>
      </w:r>
      <w:r>
        <w:rPr>
          <w:rFonts w:hint="eastAsia" w:ascii="宋体" w:hAnsi="宋体" w:eastAsia="宋体" w:cs="宋体"/>
          <w:b/>
          <w:color w:val="auto"/>
          <w:sz w:val="24"/>
          <w:szCs w:val="24"/>
          <w:highlight w:val="none"/>
        </w:rPr>
        <w:t>保险金额。</w:t>
      </w:r>
    </w:p>
    <w:p w14:paraId="63763A28">
      <w:pPr>
        <w:pStyle w:val="42"/>
        <w:pageBreakBefore w:val="0"/>
        <w:widowControl w:val="0"/>
        <w:tabs>
          <w:tab w:val="left" w:pos="960"/>
          <w:tab w:val="clear" w:pos="840"/>
        </w:tabs>
        <w:kinsoku/>
        <w:wordWrap/>
        <w:overflowPunct/>
        <w:topLinePunct w:val="0"/>
        <w:autoSpaceDE/>
        <w:autoSpaceDN/>
        <w:bidi w:val="0"/>
        <w:spacing w:line="312" w:lineRule="auto"/>
        <w:ind w:left="0"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意外</w:t>
      </w:r>
      <w:r>
        <w:rPr>
          <w:rFonts w:hint="eastAsia" w:ascii="宋体" w:hAnsi="宋体" w:eastAsia="宋体" w:cs="宋体"/>
          <w:color w:val="auto"/>
          <w:sz w:val="24"/>
          <w:szCs w:val="24"/>
          <w:highlight w:val="none"/>
          <w:lang w:val="en-US" w:eastAsia="zh-CN"/>
        </w:rPr>
        <w:t>伤害</w:t>
      </w:r>
      <w:r>
        <w:rPr>
          <w:rFonts w:hint="eastAsia" w:ascii="宋体" w:hAnsi="宋体" w:eastAsia="宋体" w:cs="宋体"/>
          <w:color w:val="auto"/>
          <w:sz w:val="24"/>
          <w:szCs w:val="24"/>
          <w:highlight w:val="none"/>
        </w:rPr>
        <w:t>身故保险责任</w:t>
      </w:r>
    </w:p>
    <w:p w14:paraId="1572FD77">
      <w:pPr>
        <w:pStyle w:val="43"/>
        <w:pageBreakBefore w:val="0"/>
        <w:widowControl w:val="0"/>
        <w:kinsoku/>
        <w:wordWrap/>
        <w:overflowPunct/>
        <w:topLinePunct w:val="0"/>
        <w:autoSpaceDE/>
        <w:autoSpaceDN/>
        <w:bidi w:val="0"/>
        <w:spacing w:line="312" w:lineRule="auto"/>
        <w:ind w:left="0"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被保险人自该意外伤害发生之日起180日内因该意外伤害身故的，保险人按该被保险人的</w:t>
      </w:r>
      <w:r>
        <w:rPr>
          <w:rFonts w:hint="eastAsia" w:ascii="宋体" w:hAnsi="宋体" w:eastAsia="宋体" w:cs="宋体"/>
          <w:b/>
          <w:bCs/>
          <w:color w:val="auto"/>
          <w:sz w:val="24"/>
          <w:szCs w:val="24"/>
          <w:highlight w:val="none"/>
          <w:lang w:val="en-US" w:eastAsia="zh-CN"/>
        </w:rPr>
        <w:t>本项保险责任的保险金额</w:t>
      </w:r>
      <w:r>
        <w:rPr>
          <w:rFonts w:hint="eastAsia" w:ascii="宋体" w:hAnsi="宋体" w:eastAsia="宋体" w:cs="宋体"/>
          <w:b/>
          <w:bCs/>
          <w:color w:val="auto"/>
          <w:sz w:val="24"/>
          <w:szCs w:val="24"/>
          <w:highlight w:val="none"/>
        </w:rPr>
        <w:t>给付身故保险金</w:t>
      </w:r>
      <w:r>
        <w:rPr>
          <w:rFonts w:hint="eastAsia" w:ascii="宋体" w:hAnsi="宋体" w:eastAsia="宋体" w:cs="宋体"/>
          <w:color w:val="auto"/>
          <w:sz w:val="24"/>
          <w:szCs w:val="24"/>
          <w:highlight w:val="none"/>
        </w:rPr>
        <w:t>，对该被保险人的保险责任终止。</w:t>
      </w:r>
    </w:p>
    <w:p w14:paraId="62719E5D">
      <w:pPr>
        <w:pStyle w:val="43"/>
        <w:pageBreakBefore w:val="0"/>
        <w:widowControl w:val="0"/>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被保险人因遭受意外伤害且自该意外伤害发生日起下落不明，后经人民法院宣告死亡的，保险人按本项保险责任的保险金额给付身故保险金。</w:t>
      </w:r>
      <w:r>
        <w:rPr>
          <w:rFonts w:hint="eastAsia" w:ascii="宋体" w:hAnsi="宋体" w:eastAsia="宋体" w:cs="宋体"/>
          <w:b/>
          <w:color w:val="auto"/>
          <w:sz w:val="24"/>
          <w:szCs w:val="24"/>
          <w:highlight w:val="none"/>
        </w:rPr>
        <w:t>但若被保险人被宣告死亡后生还的，保险金受领人应于知道或应当知道被保险人生还后30日内退还保险人给付的身故保险金。</w:t>
      </w:r>
    </w:p>
    <w:p w14:paraId="20D6CF60">
      <w:pPr>
        <w:pStyle w:val="43"/>
        <w:pageBreakBefore w:val="0"/>
        <w:widowControl w:val="0"/>
        <w:kinsoku/>
        <w:wordWrap/>
        <w:overflowPunct/>
        <w:topLinePunct w:val="0"/>
        <w:autoSpaceDE/>
        <w:autoSpaceDN/>
        <w:bidi w:val="0"/>
        <w:spacing w:line="312"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被保险人身故前保险人已给付2.1.2约定的伤残保险金的，身故保险金应扣除已给付的保险金。</w:t>
      </w:r>
    </w:p>
    <w:p w14:paraId="56F746AA">
      <w:pPr>
        <w:pStyle w:val="42"/>
        <w:pageBreakBefore w:val="0"/>
        <w:widowControl w:val="0"/>
        <w:tabs>
          <w:tab w:val="left" w:pos="960"/>
          <w:tab w:val="clear" w:pos="840"/>
        </w:tabs>
        <w:kinsoku/>
        <w:wordWrap/>
        <w:overflowPunct/>
        <w:topLinePunct w:val="0"/>
        <w:autoSpaceDE/>
        <w:autoSpaceDN/>
        <w:bidi w:val="0"/>
        <w:spacing w:line="312" w:lineRule="auto"/>
        <w:ind w:left="0"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意外</w:t>
      </w:r>
      <w:r>
        <w:rPr>
          <w:rFonts w:hint="eastAsia" w:ascii="宋体" w:hAnsi="宋体" w:eastAsia="宋体" w:cs="宋体"/>
          <w:color w:val="auto"/>
          <w:sz w:val="24"/>
          <w:szCs w:val="24"/>
          <w:highlight w:val="none"/>
          <w:lang w:val="en-US" w:eastAsia="zh-CN"/>
        </w:rPr>
        <w:t>伤害</w:t>
      </w:r>
      <w:r>
        <w:rPr>
          <w:rFonts w:hint="eastAsia" w:ascii="宋体" w:hAnsi="宋体" w:eastAsia="宋体" w:cs="宋体"/>
          <w:color w:val="auto"/>
          <w:sz w:val="24"/>
          <w:szCs w:val="24"/>
          <w:highlight w:val="none"/>
        </w:rPr>
        <w:t>伤残保险责任</w:t>
      </w:r>
    </w:p>
    <w:p w14:paraId="454E4F2B">
      <w:pPr>
        <w:pStyle w:val="43"/>
        <w:pageBreakBefore w:val="0"/>
        <w:widowControl w:val="0"/>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被保险人自该意外伤害发生之日起180日内因该意外伤害造成</w:t>
      </w:r>
      <w:r>
        <w:rPr>
          <w:rFonts w:hint="eastAsia" w:ascii="宋体" w:hAnsi="宋体" w:eastAsia="宋体" w:cs="宋体"/>
          <w:b/>
          <w:color w:val="auto"/>
          <w:sz w:val="24"/>
          <w:szCs w:val="24"/>
          <w:highlight w:val="none"/>
        </w:rPr>
        <w:t>《人身保险伤残评定标准及代码》（见释义）</w:t>
      </w:r>
      <w:r>
        <w:rPr>
          <w:rFonts w:hint="eastAsia" w:ascii="宋体" w:hAnsi="宋体" w:eastAsia="宋体" w:cs="宋体"/>
          <w:color w:val="auto"/>
          <w:sz w:val="24"/>
          <w:szCs w:val="24"/>
          <w:highlight w:val="none"/>
        </w:rPr>
        <w:t>（简称《评定标准》）所列伤残程度之一的，</w:t>
      </w:r>
      <w:r>
        <w:rPr>
          <w:rFonts w:hint="eastAsia" w:ascii="宋体" w:hAnsi="宋体" w:eastAsia="宋体" w:cs="宋体"/>
          <w:b/>
          <w:color w:val="auto"/>
          <w:sz w:val="24"/>
          <w:szCs w:val="24"/>
          <w:highlight w:val="none"/>
        </w:rPr>
        <w:t>保险人按《评定标准》所对应伤残等级的给付比例乘以该被保险人的</w:t>
      </w:r>
      <w:r>
        <w:rPr>
          <w:rFonts w:hint="eastAsia" w:ascii="宋体" w:hAnsi="宋体" w:eastAsia="宋体" w:cs="宋体"/>
          <w:b/>
          <w:color w:val="auto"/>
          <w:sz w:val="24"/>
          <w:szCs w:val="24"/>
          <w:highlight w:val="none"/>
          <w:lang w:val="en-US" w:eastAsia="zh-CN"/>
        </w:rPr>
        <w:t>本项保险责任的保险金额</w:t>
      </w:r>
      <w:r>
        <w:rPr>
          <w:rFonts w:hint="eastAsia" w:ascii="宋体" w:hAnsi="宋体" w:eastAsia="宋体" w:cs="宋体"/>
          <w:b/>
          <w:color w:val="auto"/>
          <w:sz w:val="24"/>
          <w:szCs w:val="24"/>
          <w:highlight w:val="none"/>
        </w:rPr>
        <w:t>给付伤残保险金。如第180日治疗仍未结束的，按当日</w:t>
      </w:r>
      <w:r>
        <w:rPr>
          <w:rFonts w:hint="eastAsia" w:ascii="宋体" w:hAnsi="宋体" w:eastAsia="宋体" w:cs="宋体"/>
          <w:b/>
          <w:bCs/>
          <w:color w:val="auto"/>
          <w:sz w:val="24"/>
          <w:szCs w:val="24"/>
          <w:highlight w:val="none"/>
        </w:rPr>
        <w:t>的身体情况进行伤残评定，并据此给付伤残保险金</w:t>
      </w:r>
      <w:r>
        <w:rPr>
          <w:rFonts w:hint="eastAsia" w:ascii="宋体" w:hAnsi="宋体" w:eastAsia="宋体" w:cs="宋体"/>
          <w:color w:val="auto"/>
          <w:sz w:val="24"/>
          <w:szCs w:val="24"/>
          <w:highlight w:val="none"/>
        </w:rPr>
        <w:t>。</w:t>
      </w:r>
    </w:p>
    <w:p w14:paraId="7FE54B72">
      <w:pPr>
        <w:pStyle w:val="43"/>
        <w:pageBreakBefore w:val="0"/>
        <w:widowControl w:val="0"/>
        <w:kinsoku/>
        <w:wordWrap/>
        <w:overflowPunct/>
        <w:topLinePunct w:val="0"/>
        <w:autoSpaceDE/>
        <w:autoSpaceDN/>
        <w:bidi w:val="0"/>
        <w:spacing w:line="312" w:lineRule="auto"/>
        <w:ind w:left="0"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（1）被保险人因同一意外伤害造成两处或两处以上伤残时，保险人根据《评定标准》规定的多处伤残评定原则给付伤残保险金。</w:t>
      </w:r>
    </w:p>
    <w:p w14:paraId="513271CE">
      <w:pPr>
        <w:pStyle w:val="43"/>
        <w:pageBreakBefore w:val="0"/>
        <w:widowControl w:val="0"/>
        <w:kinsoku/>
        <w:wordWrap/>
        <w:overflowPunct/>
        <w:topLinePunct w:val="0"/>
        <w:autoSpaceDE/>
        <w:autoSpaceDN/>
        <w:bidi w:val="0"/>
        <w:spacing w:line="312" w:lineRule="auto"/>
        <w:ind w:left="0"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（2）被保险人如在本次意外伤害之前已有残疾，保险人按合并后的伤残程度在《评定标准》中所对应伤残等级的给付比例扣除原有伤残程度在《评定标准》中所对应伤残等级的给付比例，给付伤残保险金。</w:t>
      </w:r>
    </w:p>
    <w:p w14:paraId="0D01E530">
      <w:pPr>
        <w:pStyle w:val="42"/>
        <w:pageBreakBefore w:val="0"/>
        <w:widowControl w:val="0"/>
        <w:tabs>
          <w:tab w:val="left" w:pos="960"/>
          <w:tab w:val="clear" w:pos="840"/>
        </w:tabs>
        <w:kinsoku/>
        <w:wordWrap/>
        <w:overflowPunct/>
        <w:topLinePunct w:val="0"/>
        <w:autoSpaceDE/>
        <w:autoSpaceDN/>
        <w:bidi w:val="0"/>
        <w:spacing w:line="312" w:lineRule="auto"/>
        <w:ind w:left="0" w:leftChars="0" w:firstLine="482" w:firstLineChars="200"/>
        <w:textAlignment w:val="auto"/>
        <w:outlineLvl w:val="1"/>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责任免除</w:t>
      </w:r>
    </w:p>
    <w:p w14:paraId="79707A2A">
      <w:pPr>
        <w:pStyle w:val="42"/>
        <w:pageBreakBefore w:val="0"/>
        <w:widowControl w:val="0"/>
        <w:tabs>
          <w:tab w:val="left" w:pos="960"/>
          <w:tab w:val="clear" w:pos="840"/>
        </w:tabs>
        <w:kinsoku/>
        <w:wordWrap/>
        <w:overflowPunct/>
        <w:topLinePunct w:val="0"/>
        <w:autoSpaceDE/>
        <w:autoSpaceDN/>
        <w:bidi w:val="0"/>
        <w:spacing w:line="312" w:lineRule="auto"/>
        <w:ind w:left="0" w:leftChars="0" w:firstLine="482" w:firstLineChars="200"/>
        <w:textAlignment w:val="auto"/>
        <w:outlineLvl w:val="1"/>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ab/>
      </w:r>
      <w:r>
        <w:rPr>
          <w:rFonts w:hint="eastAsia" w:ascii="宋体" w:hAnsi="宋体" w:eastAsia="宋体" w:cs="宋体"/>
          <w:b/>
          <w:color w:val="auto"/>
          <w:sz w:val="24"/>
          <w:szCs w:val="24"/>
          <w:highlight w:val="none"/>
        </w:rPr>
        <w:t>因下列情形之一，导致被保险人身故、伤残的，保险人不承担给付保险金责任：</w:t>
      </w:r>
    </w:p>
    <w:p w14:paraId="370859F3">
      <w:pPr>
        <w:pStyle w:val="43"/>
        <w:pageBreakBefore w:val="0"/>
        <w:widowControl w:val="0"/>
        <w:kinsoku/>
        <w:wordWrap/>
        <w:overflowPunct/>
        <w:topLinePunct w:val="0"/>
        <w:autoSpaceDE/>
        <w:autoSpaceDN/>
        <w:bidi w:val="0"/>
        <w:spacing w:line="312"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（1）投保人对被保险人的故意杀害、故意伤害；</w:t>
      </w:r>
    </w:p>
    <w:p w14:paraId="6FE55DAE">
      <w:pPr>
        <w:pStyle w:val="43"/>
        <w:pageBreakBefore w:val="0"/>
        <w:widowControl w:val="0"/>
        <w:kinsoku/>
        <w:wordWrap/>
        <w:overflowPunct/>
        <w:topLinePunct w:val="0"/>
        <w:autoSpaceDE/>
        <w:autoSpaceDN/>
        <w:bidi w:val="0"/>
        <w:spacing w:line="312"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（2）被保险人故意犯罪或抗拒依法采取的刑事强制措施；</w:t>
      </w:r>
    </w:p>
    <w:p w14:paraId="7B7CE186">
      <w:pPr>
        <w:pStyle w:val="43"/>
        <w:pageBreakBefore w:val="0"/>
        <w:widowControl w:val="0"/>
        <w:kinsoku/>
        <w:wordWrap/>
        <w:overflowPunct/>
        <w:topLinePunct w:val="0"/>
        <w:autoSpaceDE/>
        <w:autoSpaceDN/>
        <w:bidi w:val="0"/>
        <w:spacing w:line="312"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（3）被保险人故意自伤或自杀，但被保险人自杀时为无民事行为能力人的除外；</w:t>
      </w:r>
    </w:p>
    <w:p w14:paraId="40123A4F">
      <w:pPr>
        <w:pStyle w:val="43"/>
        <w:pageBreakBefore w:val="0"/>
        <w:widowControl w:val="0"/>
        <w:kinsoku/>
        <w:wordWrap/>
        <w:overflowPunct/>
        <w:topLinePunct w:val="0"/>
        <w:autoSpaceDE/>
        <w:autoSpaceDN/>
        <w:bidi w:val="0"/>
        <w:spacing w:line="312"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（4）被保险人挑衅或故意行为而导致的打斗、被袭击或被谋杀；</w:t>
      </w:r>
    </w:p>
    <w:p w14:paraId="77FD1086">
      <w:pPr>
        <w:pStyle w:val="43"/>
        <w:pageBreakBefore w:val="0"/>
        <w:widowControl w:val="0"/>
        <w:kinsoku/>
        <w:wordWrap/>
        <w:overflowPunct/>
        <w:topLinePunct w:val="0"/>
        <w:autoSpaceDE/>
        <w:autoSpaceDN/>
        <w:bidi w:val="0"/>
        <w:spacing w:line="312" w:lineRule="auto"/>
        <w:ind w:left="0" w:leftChars="0" w:firstLine="482" w:firstLineChars="200"/>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（5）被保险人</w:t>
      </w:r>
      <w:r>
        <w:rPr>
          <w:rFonts w:hint="eastAsia" w:ascii="宋体" w:hAnsi="宋体" w:eastAsia="宋体" w:cs="宋体"/>
          <w:b/>
          <w:color w:val="auto"/>
          <w:sz w:val="24"/>
          <w:szCs w:val="24"/>
          <w:highlight w:val="none"/>
          <w:lang w:val="en-US" w:eastAsia="zh-CN"/>
        </w:rPr>
        <w:t>的产前产后检查、妊娠（含宫外孕）、流产（含人工流产）、分娩（含剖腹产）、避孕、绝育手术、治疗不孕不育症以及上述原因引起的并发症</w:t>
      </w:r>
      <w:r>
        <w:rPr>
          <w:rFonts w:hint="eastAsia" w:ascii="宋体" w:hAnsi="宋体" w:eastAsia="宋体" w:cs="宋体"/>
          <w:b/>
          <w:color w:val="auto"/>
          <w:sz w:val="24"/>
          <w:szCs w:val="24"/>
          <w:highlight w:val="none"/>
        </w:rPr>
        <w:t>；</w:t>
      </w:r>
    </w:p>
    <w:p w14:paraId="088F5D22">
      <w:pPr>
        <w:pStyle w:val="43"/>
        <w:pageBreakBefore w:val="0"/>
        <w:widowControl w:val="0"/>
        <w:kinsoku/>
        <w:wordWrap/>
        <w:overflowPunct/>
        <w:topLinePunct w:val="0"/>
        <w:autoSpaceDE/>
        <w:autoSpaceDN/>
        <w:bidi w:val="0"/>
        <w:spacing w:line="312"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（6）被保险人接受包括美容、整容、整形手术在内的任何医疗行为而造成的意外；</w:t>
      </w:r>
    </w:p>
    <w:p w14:paraId="35916F33">
      <w:pPr>
        <w:pStyle w:val="43"/>
        <w:pageBreakBefore w:val="0"/>
        <w:widowControl w:val="0"/>
        <w:kinsoku/>
        <w:wordWrap/>
        <w:overflowPunct/>
        <w:topLinePunct w:val="0"/>
        <w:autoSpaceDE/>
        <w:autoSpaceDN/>
        <w:bidi w:val="0"/>
        <w:spacing w:line="312"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（7）被保险人未遵医嘱服用、涂用、注射药物；</w:t>
      </w:r>
    </w:p>
    <w:p w14:paraId="72248894">
      <w:pPr>
        <w:pStyle w:val="43"/>
        <w:pageBreakBefore w:val="0"/>
        <w:widowControl w:val="0"/>
        <w:kinsoku/>
        <w:wordWrap/>
        <w:overflowPunct/>
        <w:topLinePunct w:val="0"/>
        <w:autoSpaceDE/>
        <w:autoSpaceDN/>
        <w:bidi w:val="0"/>
        <w:spacing w:line="312"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（8）被保险人</w:t>
      </w:r>
      <w:r>
        <w:rPr>
          <w:rFonts w:hint="eastAsia" w:ascii="宋体" w:hAnsi="宋体" w:eastAsia="宋体" w:cs="宋体"/>
          <w:b/>
          <w:color w:val="auto"/>
          <w:sz w:val="24"/>
          <w:szCs w:val="24"/>
          <w:highlight w:val="none"/>
          <w:lang w:val="en-US" w:eastAsia="zh-CN"/>
        </w:rPr>
        <w:t>醉酒、</w:t>
      </w:r>
      <w:r>
        <w:rPr>
          <w:rFonts w:hint="eastAsia" w:ascii="宋体" w:hAnsi="宋体" w:eastAsia="宋体" w:cs="宋体"/>
          <w:b/>
          <w:color w:val="auto"/>
          <w:sz w:val="24"/>
          <w:szCs w:val="24"/>
          <w:highlight w:val="none"/>
        </w:rPr>
        <w:t>受毒品</w:t>
      </w:r>
      <w:r>
        <w:rPr>
          <w:rFonts w:hint="eastAsia" w:ascii="宋体" w:hAnsi="宋体" w:eastAsia="宋体" w:cs="宋体"/>
          <w:b/>
          <w:color w:val="auto"/>
          <w:sz w:val="24"/>
          <w:szCs w:val="24"/>
          <w:highlight w:val="none"/>
          <w:lang w:eastAsia="zh-CN"/>
        </w:rPr>
        <w:t>及</w:t>
      </w:r>
      <w:r>
        <w:rPr>
          <w:rFonts w:hint="eastAsia" w:ascii="宋体" w:hAnsi="宋体" w:eastAsia="宋体" w:cs="宋体"/>
          <w:b/>
          <w:color w:val="auto"/>
          <w:sz w:val="24"/>
          <w:szCs w:val="24"/>
          <w:highlight w:val="none"/>
        </w:rPr>
        <w:t>管制药物（见释义）的影响；</w:t>
      </w:r>
    </w:p>
    <w:p w14:paraId="51A12574">
      <w:pPr>
        <w:pStyle w:val="43"/>
        <w:pageBreakBefore w:val="0"/>
        <w:widowControl w:val="0"/>
        <w:kinsoku/>
        <w:wordWrap/>
        <w:overflowPunct/>
        <w:topLinePunct w:val="0"/>
        <w:autoSpaceDE/>
        <w:autoSpaceDN/>
        <w:bidi w:val="0"/>
        <w:spacing w:line="312"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9</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被保险人</w:t>
      </w:r>
      <w:r>
        <w:rPr>
          <w:rFonts w:hint="eastAsia" w:ascii="宋体" w:hAnsi="宋体" w:eastAsia="宋体" w:cs="宋体"/>
          <w:b/>
          <w:color w:val="auto"/>
          <w:sz w:val="24"/>
          <w:szCs w:val="24"/>
          <w:highlight w:val="none"/>
        </w:rPr>
        <w:t>非因意外伤害导致的细菌或病毒感染；</w:t>
      </w:r>
    </w:p>
    <w:p w14:paraId="6CC8ABDF">
      <w:pPr>
        <w:pStyle w:val="43"/>
        <w:pageBreakBefore w:val="0"/>
        <w:widowControl w:val="0"/>
        <w:kinsoku/>
        <w:wordWrap/>
        <w:overflowPunct/>
        <w:topLinePunct w:val="0"/>
        <w:autoSpaceDE/>
        <w:autoSpaceDN/>
        <w:bidi w:val="0"/>
        <w:spacing w:line="312"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en-US" w:eastAsia="zh-CN"/>
        </w:rPr>
        <w:t>0</w:t>
      </w:r>
      <w:r>
        <w:rPr>
          <w:rFonts w:hint="eastAsia" w:ascii="宋体" w:hAnsi="宋体" w:eastAsia="宋体" w:cs="宋体"/>
          <w:b/>
          <w:color w:val="auto"/>
          <w:sz w:val="24"/>
          <w:szCs w:val="24"/>
          <w:highlight w:val="none"/>
        </w:rPr>
        <w:t>）任何生物、化学、原子能武器，原子能或核能装置所造成的爆炸、灼伤、污染或辐射；</w:t>
      </w:r>
    </w:p>
    <w:p w14:paraId="4659B48F">
      <w:pPr>
        <w:pStyle w:val="43"/>
        <w:pageBreakBefore w:val="0"/>
        <w:widowControl w:val="0"/>
        <w:kinsoku/>
        <w:wordWrap/>
        <w:overflowPunct/>
        <w:topLinePunct w:val="0"/>
        <w:autoSpaceDE/>
        <w:autoSpaceDN/>
        <w:bidi w:val="0"/>
        <w:spacing w:line="312"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）恐怖袭击；</w:t>
      </w:r>
    </w:p>
    <w:p w14:paraId="0C8D3A2D">
      <w:pPr>
        <w:pStyle w:val="43"/>
        <w:pageBreakBefore w:val="0"/>
        <w:widowControl w:val="0"/>
        <w:kinsoku/>
        <w:wordWrap/>
        <w:overflowPunct/>
        <w:topLinePunct w:val="0"/>
        <w:autoSpaceDE/>
        <w:autoSpaceDN/>
        <w:bidi w:val="0"/>
        <w:spacing w:line="312"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en-US" w:eastAsia="zh-CN"/>
        </w:rPr>
        <w:t>2</w:t>
      </w:r>
      <w:r>
        <w:rPr>
          <w:rFonts w:hint="eastAsia" w:ascii="宋体" w:hAnsi="宋体" w:eastAsia="宋体" w:cs="宋体"/>
          <w:b/>
          <w:color w:val="auto"/>
          <w:sz w:val="24"/>
          <w:szCs w:val="24"/>
          <w:highlight w:val="none"/>
        </w:rPr>
        <w:t>）战争（见释义）、军事</w:t>
      </w:r>
      <w:r>
        <w:rPr>
          <w:rFonts w:hint="eastAsia" w:ascii="宋体" w:hAnsi="宋体" w:eastAsia="宋体" w:cs="宋体"/>
          <w:b/>
          <w:color w:val="auto"/>
          <w:sz w:val="24"/>
          <w:szCs w:val="24"/>
          <w:highlight w:val="none"/>
          <w:lang w:eastAsia="zh-CN"/>
        </w:rPr>
        <w:t>冲突</w:t>
      </w:r>
      <w:r>
        <w:rPr>
          <w:rFonts w:hint="eastAsia" w:ascii="宋体" w:hAnsi="宋体" w:eastAsia="宋体" w:cs="宋体"/>
          <w:b/>
          <w:color w:val="auto"/>
          <w:sz w:val="24"/>
          <w:szCs w:val="24"/>
          <w:highlight w:val="none"/>
        </w:rPr>
        <w:t>（见释义）、暴乱</w:t>
      </w:r>
      <w:r>
        <w:rPr>
          <w:rFonts w:hint="eastAsia" w:ascii="宋体" w:hAnsi="宋体" w:eastAsia="宋体" w:cs="宋体"/>
          <w:b/>
          <w:bCs/>
          <w:color w:val="auto"/>
          <w:sz w:val="24"/>
          <w:szCs w:val="24"/>
          <w:highlight w:val="none"/>
        </w:rPr>
        <w:t>（见释义）</w:t>
      </w:r>
      <w:r>
        <w:rPr>
          <w:rFonts w:hint="eastAsia" w:ascii="宋体" w:hAnsi="宋体" w:eastAsia="宋体" w:cs="宋体"/>
          <w:b/>
          <w:color w:val="auto"/>
          <w:sz w:val="24"/>
          <w:szCs w:val="24"/>
          <w:highlight w:val="none"/>
        </w:rPr>
        <w:t>或武装叛乱；</w:t>
      </w:r>
    </w:p>
    <w:p w14:paraId="790E4697">
      <w:pPr>
        <w:pStyle w:val="43"/>
        <w:pageBreakBefore w:val="0"/>
        <w:widowControl w:val="0"/>
        <w:kinsoku/>
        <w:wordWrap/>
        <w:overflowPunct/>
        <w:topLinePunct w:val="0"/>
        <w:autoSpaceDE/>
        <w:autoSpaceDN/>
        <w:bidi w:val="0"/>
        <w:spacing w:line="312"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en-US" w:eastAsia="zh-CN"/>
        </w:rPr>
        <w:t>3</w:t>
      </w:r>
      <w:r>
        <w:rPr>
          <w:rFonts w:hint="eastAsia" w:ascii="宋体" w:hAnsi="宋体" w:eastAsia="宋体" w:cs="宋体"/>
          <w:b/>
          <w:color w:val="auto"/>
          <w:sz w:val="24"/>
          <w:szCs w:val="24"/>
          <w:highlight w:val="none"/>
        </w:rPr>
        <w:t>）被保险人</w:t>
      </w:r>
      <w:r>
        <w:rPr>
          <w:rFonts w:hint="eastAsia" w:ascii="宋体" w:hAnsi="宋体" w:eastAsia="宋体" w:cs="宋体"/>
          <w:b/>
          <w:color w:val="auto"/>
          <w:sz w:val="24"/>
          <w:szCs w:val="24"/>
          <w:highlight w:val="none"/>
          <w:lang w:val="en-US" w:eastAsia="zh-CN"/>
        </w:rPr>
        <w:t>的</w:t>
      </w:r>
      <w:r>
        <w:rPr>
          <w:rFonts w:hint="eastAsia" w:ascii="宋体" w:hAnsi="宋体" w:eastAsia="宋体" w:cs="宋体"/>
          <w:b/>
          <w:color w:val="auto"/>
          <w:sz w:val="24"/>
          <w:szCs w:val="24"/>
          <w:highlight w:val="none"/>
        </w:rPr>
        <w:t>精神和行为障碍（以世界卫生组织颁布的《疾病和有关健康问题的国际统计分类（ICD-10）》为准）；</w:t>
      </w:r>
    </w:p>
    <w:p w14:paraId="3E42FE2F">
      <w:pPr>
        <w:pStyle w:val="43"/>
        <w:pageBreakBefore w:val="0"/>
        <w:widowControl w:val="0"/>
        <w:kinsoku/>
        <w:wordWrap/>
        <w:overflowPunct/>
        <w:topLinePunct w:val="0"/>
        <w:autoSpaceDE/>
        <w:autoSpaceDN/>
        <w:bidi w:val="0"/>
        <w:spacing w:line="312"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en-US" w:eastAsia="zh-CN"/>
        </w:rPr>
        <w:t>4</w:t>
      </w:r>
      <w:r>
        <w:rPr>
          <w:rFonts w:hint="eastAsia" w:ascii="宋体" w:hAnsi="宋体" w:eastAsia="宋体" w:cs="宋体"/>
          <w:b/>
          <w:color w:val="auto"/>
          <w:sz w:val="24"/>
          <w:szCs w:val="24"/>
          <w:highlight w:val="none"/>
        </w:rPr>
        <w:t>）被保险人酒后驾驶（见释义）、无合法有效驾驶证驾驶（见释义）或驾驶无合法有效行驶证（见释义）的机动交通工具；</w:t>
      </w:r>
    </w:p>
    <w:p w14:paraId="153AAB6F">
      <w:pPr>
        <w:pStyle w:val="43"/>
        <w:pageBreakBefore w:val="0"/>
        <w:widowControl w:val="0"/>
        <w:kinsoku/>
        <w:wordWrap/>
        <w:overflowPunct/>
        <w:topLinePunct w:val="0"/>
        <w:autoSpaceDE/>
        <w:autoSpaceDN/>
        <w:bidi w:val="0"/>
        <w:spacing w:line="312"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en-US" w:eastAsia="zh-CN"/>
        </w:rPr>
        <w:t>5</w:t>
      </w:r>
      <w:r>
        <w:rPr>
          <w:rFonts w:hint="eastAsia" w:ascii="宋体" w:hAnsi="宋体" w:eastAsia="宋体" w:cs="宋体"/>
          <w:b/>
          <w:color w:val="auto"/>
          <w:sz w:val="24"/>
          <w:szCs w:val="24"/>
          <w:highlight w:val="none"/>
        </w:rPr>
        <w:t>）从事高风险运动（见释义）期间, 但被保险人作为专业运动员从事其专业运动除外。</w:t>
      </w:r>
    </w:p>
    <w:p w14:paraId="2772D995">
      <w:pPr>
        <w:pStyle w:val="3"/>
        <w:pageBreakBefore w:val="0"/>
        <w:widowControl w:val="0"/>
        <w:tabs>
          <w:tab w:val="left" w:pos="960"/>
        </w:tabs>
        <w:kinsoku/>
        <w:wordWrap/>
        <w:overflowPunct/>
        <w:topLinePunct w:val="0"/>
        <w:autoSpaceDE/>
        <w:autoSpaceDN/>
        <w:bidi w:val="0"/>
        <w:spacing w:before="0" w:after="0" w:line="312" w:lineRule="auto"/>
        <w:ind w:left="0" w:leftChars="0" w:firstLine="482" w:firstLineChars="200"/>
        <w:textAlignment w:val="auto"/>
        <w:rPr>
          <w:rFonts w:hint="eastAsia" w:ascii="宋体" w:hAnsi="宋体" w:eastAsia="宋体" w:cs="宋体"/>
          <w:color w:val="auto"/>
          <w:sz w:val="24"/>
          <w:szCs w:val="24"/>
          <w:highlight w:val="none"/>
        </w:rPr>
      </w:pPr>
      <w:bookmarkStart w:id="37" w:name="_2.2.2_对于以下情形，保险人也不承担给付保险金的责任：_1"/>
      <w:bookmarkEnd w:id="37"/>
      <w:r>
        <w:rPr>
          <w:rFonts w:hint="eastAsia" w:ascii="宋体" w:hAnsi="宋体" w:eastAsia="宋体" w:cs="宋体"/>
          <w:color w:val="auto"/>
          <w:sz w:val="24"/>
          <w:szCs w:val="24"/>
          <w:highlight w:val="none"/>
        </w:rPr>
        <w:t>2.3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保险金额</w:t>
      </w:r>
    </w:p>
    <w:p w14:paraId="255BE4B9">
      <w:pPr>
        <w:pStyle w:val="43"/>
        <w:pageBreakBefore w:val="0"/>
        <w:widowControl w:val="0"/>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意外伤害身故伤残保险金额</w:t>
      </w:r>
      <w:r>
        <w:rPr>
          <w:rFonts w:hint="eastAsia" w:ascii="宋体" w:hAnsi="宋体" w:eastAsia="宋体" w:cs="宋体"/>
          <w:color w:val="auto"/>
          <w:sz w:val="24"/>
          <w:szCs w:val="24"/>
          <w:highlight w:val="none"/>
        </w:rPr>
        <w:t>由投保人、保险人双方约定，并在保险单中载明。</w:t>
      </w:r>
    </w:p>
    <w:p w14:paraId="5A21163A">
      <w:pPr>
        <w:pStyle w:val="43"/>
        <w:pageBreakBefore w:val="0"/>
        <w:widowControl w:val="0"/>
        <w:kinsoku/>
        <w:wordWrap/>
        <w:overflowPunct/>
        <w:topLinePunct w:val="0"/>
        <w:autoSpaceDE/>
        <w:autoSpaceDN/>
        <w:bidi w:val="0"/>
        <w:spacing w:line="312"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每一被保险人的</w:t>
      </w:r>
      <w:r>
        <w:rPr>
          <w:rFonts w:hint="eastAsia" w:ascii="宋体" w:hAnsi="宋体" w:eastAsia="宋体" w:cs="宋体"/>
          <w:b/>
          <w:color w:val="auto"/>
          <w:sz w:val="24"/>
          <w:szCs w:val="24"/>
          <w:highlight w:val="none"/>
          <w:lang w:val="en-US" w:eastAsia="zh-CN"/>
        </w:rPr>
        <w:t>意外伤害身故伤残</w:t>
      </w:r>
      <w:r>
        <w:rPr>
          <w:rFonts w:hint="eastAsia" w:ascii="宋体" w:hAnsi="宋体" w:eastAsia="宋体" w:cs="宋体"/>
          <w:b/>
          <w:color w:val="auto"/>
          <w:sz w:val="24"/>
          <w:szCs w:val="24"/>
          <w:highlight w:val="none"/>
        </w:rPr>
        <w:t>保险金额是保险人承担给付该被保险人保险金责任的最高限额。未成年人身故保险金额及身故时各保险人实际给付的保险金总和依法律规定</w:t>
      </w:r>
      <w:r>
        <w:rPr>
          <w:rFonts w:hint="eastAsia" w:ascii="宋体" w:hAnsi="宋体" w:eastAsia="宋体" w:cs="宋体"/>
          <w:b/>
          <w:color w:val="auto"/>
          <w:sz w:val="24"/>
          <w:szCs w:val="24"/>
          <w:highlight w:val="none"/>
          <w:lang w:val="en-US" w:eastAsia="zh-CN"/>
        </w:rPr>
        <w:t>和监管规定</w:t>
      </w:r>
      <w:r>
        <w:rPr>
          <w:rFonts w:hint="eastAsia" w:ascii="宋体" w:hAnsi="宋体" w:eastAsia="宋体" w:cs="宋体"/>
          <w:b/>
          <w:color w:val="auto"/>
          <w:sz w:val="24"/>
          <w:szCs w:val="24"/>
          <w:highlight w:val="none"/>
        </w:rPr>
        <w:t>处理。</w:t>
      </w:r>
    </w:p>
    <w:p w14:paraId="69A9EC6D">
      <w:pPr>
        <w:pStyle w:val="43"/>
        <w:pageBreakBefore w:val="0"/>
        <w:widowControl w:val="0"/>
        <w:kinsoku/>
        <w:wordWrap/>
        <w:overflowPunct/>
        <w:topLinePunct w:val="0"/>
        <w:autoSpaceDE/>
        <w:autoSpaceDN/>
        <w:bidi w:val="0"/>
        <w:spacing w:line="312"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若</w:t>
      </w:r>
      <w:r>
        <w:rPr>
          <w:rFonts w:hint="eastAsia" w:ascii="宋体" w:hAnsi="宋体" w:eastAsia="宋体" w:cs="宋体"/>
          <w:b/>
          <w:color w:val="auto"/>
          <w:sz w:val="24"/>
          <w:szCs w:val="24"/>
          <w:highlight w:val="none"/>
          <w:lang w:eastAsia="zh-CN"/>
        </w:rPr>
        <w:t>本</w:t>
      </w:r>
      <w:r>
        <w:rPr>
          <w:rFonts w:hint="eastAsia" w:ascii="宋体" w:hAnsi="宋体" w:eastAsia="宋体" w:cs="宋体"/>
          <w:b/>
          <w:color w:val="auto"/>
          <w:sz w:val="24"/>
          <w:szCs w:val="24"/>
          <w:highlight w:val="none"/>
          <w:lang w:val="en-US" w:eastAsia="zh-CN"/>
        </w:rPr>
        <w:t>保险</w:t>
      </w:r>
      <w:r>
        <w:rPr>
          <w:rFonts w:hint="eastAsia" w:ascii="宋体" w:hAnsi="宋体" w:eastAsia="宋体" w:cs="宋体"/>
          <w:b/>
          <w:color w:val="auto"/>
          <w:sz w:val="24"/>
          <w:szCs w:val="24"/>
          <w:highlight w:val="none"/>
          <w:lang w:eastAsia="zh-CN"/>
        </w:rPr>
        <w:t>合同</w:t>
      </w:r>
      <w:r>
        <w:rPr>
          <w:rFonts w:hint="eastAsia" w:ascii="宋体" w:hAnsi="宋体" w:eastAsia="宋体" w:cs="宋体"/>
          <w:b/>
          <w:color w:val="auto"/>
          <w:sz w:val="24"/>
          <w:szCs w:val="24"/>
          <w:highlight w:val="none"/>
        </w:rPr>
        <w:t>设有每次意外伤害限额（见释义）的，保险人对所有被保险人于任一次意外伤害中实际给付的</w:t>
      </w:r>
      <w:r>
        <w:rPr>
          <w:rFonts w:hint="eastAsia" w:ascii="宋体" w:hAnsi="宋体" w:eastAsia="宋体" w:cs="宋体"/>
          <w:b/>
          <w:color w:val="auto"/>
          <w:sz w:val="24"/>
          <w:szCs w:val="24"/>
          <w:highlight w:val="none"/>
          <w:lang w:val="en-US" w:eastAsia="zh-CN"/>
        </w:rPr>
        <w:t>身故</w:t>
      </w:r>
      <w:r>
        <w:rPr>
          <w:rFonts w:hint="eastAsia" w:ascii="宋体" w:hAnsi="宋体" w:eastAsia="宋体" w:cs="宋体"/>
          <w:b/>
          <w:color w:val="auto"/>
          <w:sz w:val="24"/>
          <w:szCs w:val="24"/>
          <w:highlight w:val="none"/>
        </w:rPr>
        <w:t>保险金的总额不超过保险单所载的每次意外伤害限额。</w:t>
      </w:r>
    </w:p>
    <w:p w14:paraId="03F99212">
      <w:pPr>
        <w:pStyle w:val="43"/>
        <w:pageBreakBefore w:val="0"/>
        <w:widowControl w:val="0"/>
        <w:kinsoku/>
        <w:wordWrap/>
        <w:overflowPunct/>
        <w:topLinePunct w:val="0"/>
        <w:autoSpaceDE/>
        <w:autoSpaceDN/>
        <w:bidi w:val="0"/>
        <w:spacing w:line="312"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每一被保险人的</w:t>
      </w:r>
      <w:r>
        <w:rPr>
          <w:rFonts w:hint="eastAsia" w:ascii="宋体" w:hAnsi="宋体" w:eastAsia="宋体" w:cs="宋体"/>
          <w:b/>
          <w:color w:val="auto"/>
          <w:sz w:val="24"/>
          <w:szCs w:val="24"/>
          <w:highlight w:val="none"/>
          <w:lang w:val="en-US" w:eastAsia="zh-CN"/>
        </w:rPr>
        <w:t>意外伤害身故伤残</w:t>
      </w:r>
      <w:r>
        <w:rPr>
          <w:rFonts w:hint="eastAsia" w:ascii="宋体" w:hAnsi="宋体" w:eastAsia="宋体" w:cs="宋体"/>
          <w:b/>
          <w:color w:val="auto"/>
          <w:sz w:val="24"/>
          <w:szCs w:val="24"/>
          <w:highlight w:val="none"/>
        </w:rPr>
        <w:t>保险金额和每次意外伤害限额一经确定，在保险期间内不得变更。</w:t>
      </w:r>
    </w:p>
    <w:p w14:paraId="2A1A13FE">
      <w:pPr>
        <w:pStyle w:val="3"/>
        <w:pageBreakBefore w:val="0"/>
        <w:widowControl w:val="0"/>
        <w:tabs>
          <w:tab w:val="left" w:pos="960"/>
        </w:tabs>
        <w:kinsoku/>
        <w:wordWrap/>
        <w:overflowPunct/>
        <w:topLinePunct w:val="0"/>
        <w:autoSpaceDE/>
        <w:autoSpaceDN/>
        <w:bidi w:val="0"/>
        <w:spacing w:before="0" w:after="0" w:line="312" w:lineRule="auto"/>
        <w:ind w:left="0"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保险期间</w:t>
      </w:r>
    </w:p>
    <w:p w14:paraId="35C9F654">
      <w:pPr>
        <w:pStyle w:val="43"/>
        <w:pageBreakBefore w:val="0"/>
        <w:widowControl w:val="0"/>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color w:val="auto"/>
          <w:sz w:val="24"/>
          <w:szCs w:val="24"/>
          <w:highlight w:val="none"/>
        </w:rPr>
      </w:pPr>
      <w:bookmarkStart w:id="38" w:name="_2.5_续保"/>
      <w:bookmarkEnd w:id="38"/>
      <w:r>
        <w:rPr>
          <w:rFonts w:hint="eastAsia" w:ascii="宋体" w:hAnsi="宋体" w:eastAsia="宋体" w:cs="宋体"/>
          <w:color w:val="auto"/>
          <w:sz w:val="24"/>
          <w:szCs w:val="24"/>
          <w:highlight w:val="none"/>
        </w:rPr>
        <w:t>除另有约定外，</w:t>
      </w:r>
      <w:r>
        <w:rPr>
          <w:rFonts w:hint="eastAsia" w:ascii="宋体" w:hAnsi="宋体" w:eastAsia="宋体" w:cs="宋体"/>
          <w:color w:val="auto"/>
          <w:kern w:val="0"/>
          <w:sz w:val="24"/>
          <w:szCs w:val="24"/>
          <w:highlight w:val="none"/>
          <w:lang w:val="en-US" w:eastAsia="zh-CN"/>
        </w:rPr>
        <w:t>本产品</w:t>
      </w:r>
      <w:r>
        <w:rPr>
          <w:rFonts w:hint="eastAsia" w:ascii="宋体" w:hAnsi="宋体" w:eastAsia="宋体" w:cs="宋体"/>
          <w:color w:val="auto"/>
          <w:sz w:val="24"/>
          <w:szCs w:val="24"/>
          <w:highlight w:val="none"/>
        </w:rPr>
        <w:t>保险期间为1年，以保险单载明的起讫时间为准。</w:t>
      </w:r>
    </w:p>
    <w:p w14:paraId="034A1F18">
      <w:pPr>
        <w:pStyle w:val="43"/>
        <w:pageBreakBefore w:val="0"/>
        <w:widowControl w:val="0"/>
        <w:numPr>
          <w:ilvl w:val="0"/>
          <w:numId w:val="6"/>
        </w:numPr>
        <w:kinsoku/>
        <w:wordWrap/>
        <w:overflowPunct/>
        <w:topLinePunct w:val="0"/>
        <w:autoSpaceDE/>
        <w:autoSpaceDN/>
        <w:bidi w:val="0"/>
        <w:spacing w:line="312" w:lineRule="auto"/>
        <w:ind w:left="0" w:leftChars="0"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 xml:space="preserve">     投保人、被保险人义务</w:t>
      </w:r>
    </w:p>
    <w:p w14:paraId="1BD7E144">
      <w:pPr>
        <w:pStyle w:val="43"/>
        <w:pageBreakBefore w:val="0"/>
        <w:widowControl w:val="0"/>
        <w:numPr>
          <w:ilvl w:val="0"/>
          <w:numId w:val="0"/>
        </w:numPr>
        <w:kinsoku/>
        <w:wordWrap/>
        <w:overflowPunct/>
        <w:topLinePunct w:val="0"/>
        <w:autoSpaceDE/>
        <w:autoSpaceDN/>
        <w:bidi w:val="0"/>
        <w:spacing w:line="312" w:lineRule="auto"/>
        <w:ind w:left="0" w:leftChars="0"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3.1      交费义务</w:t>
      </w:r>
    </w:p>
    <w:p w14:paraId="37002D7A">
      <w:pPr>
        <w:pStyle w:val="43"/>
        <w:pageBreakBefore w:val="0"/>
        <w:widowControl w:val="0"/>
        <w:numPr>
          <w:ilvl w:val="0"/>
          <w:numId w:val="0"/>
        </w:numPr>
        <w:kinsoku/>
        <w:wordWrap/>
        <w:overflowPunct/>
        <w:topLinePunct w:val="0"/>
        <w:autoSpaceDE/>
        <w:autoSpaceDN/>
        <w:bidi w:val="0"/>
        <w:adjustRightInd w:val="0"/>
        <w:snapToGrid w:val="0"/>
        <w:spacing w:line="312" w:lineRule="auto"/>
        <w:ind w:left="0" w:leftChars="0" w:firstLine="480"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除另有约定外，</w:t>
      </w:r>
      <w:r>
        <w:rPr>
          <w:rFonts w:hint="eastAsia" w:ascii="宋体" w:hAnsi="宋体" w:eastAsia="宋体" w:cs="宋体"/>
          <w:b/>
          <w:bCs/>
          <w:color w:val="auto"/>
          <w:kern w:val="2"/>
          <w:sz w:val="24"/>
          <w:szCs w:val="24"/>
          <w:highlight w:val="none"/>
          <w:lang w:val="en-US" w:eastAsia="zh-CN" w:bidi="ar-SA"/>
        </w:rPr>
        <w:t>投保人应当在本合同成立时一次性交清保险费，保险费交清前，本保险合同不生效，对保险费交清前发生的保险事故，保险人不承担保险责任。</w:t>
      </w:r>
    </w:p>
    <w:p w14:paraId="72440F24">
      <w:pPr>
        <w:pStyle w:val="43"/>
        <w:pageBreakBefore w:val="0"/>
        <w:widowControl w:val="0"/>
        <w:numPr>
          <w:ilvl w:val="0"/>
          <w:numId w:val="0"/>
        </w:numPr>
        <w:kinsoku/>
        <w:wordWrap/>
        <w:overflowPunct/>
        <w:topLinePunct w:val="0"/>
        <w:autoSpaceDE/>
        <w:autoSpaceDN/>
        <w:bidi w:val="0"/>
        <w:adjustRightInd w:val="0"/>
        <w:snapToGrid w:val="0"/>
        <w:spacing w:line="312" w:lineRule="auto"/>
        <w:ind w:left="0" w:leftChars="0"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投保人未按约定交纳保险费的，保险人有权解除保险合同。</w:t>
      </w:r>
    </w:p>
    <w:p w14:paraId="72F56538">
      <w:pPr>
        <w:pStyle w:val="43"/>
        <w:pageBreakBefore w:val="0"/>
        <w:widowControl w:val="0"/>
        <w:numPr>
          <w:ilvl w:val="0"/>
          <w:numId w:val="0"/>
        </w:numPr>
        <w:kinsoku/>
        <w:wordWrap/>
        <w:overflowPunct/>
        <w:topLinePunct w:val="0"/>
        <w:autoSpaceDE/>
        <w:autoSpaceDN/>
        <w:bidi w:val="0"/>
        <w:spacing w:line="312" w:lineRule="auto"/>
        <w:ind w:left="0" w:leftChars="0"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3.2</w:t>
      </w:r>
      <w:r>
        <w:rPr>
          <w:rFonts w:hint="eastAsia" w:ascii="宋体" w:hAnsi="宋体" w:eastAsia="宋体" w:cs="宋体"/>
          <w:b/>
          <w:bCs/>
          <w:color w:val="auto"/>
          <w:kern w:val="2"/>
          <w:sz w:val="24"/>
          <w:szCs w:val="24"/>
          <w:highlight w:val="none"/>
          <w:lang w:val="en-US" w:eastAsia="zh-CN" w:bidi="ar-SA"/>
        </w:rPr>
        <w:tab/>
      </w:r>
      <w:r>
        <w:rPr>
          <w:rFonts w:hint="eastAsia" w:ascii="宋体" w:hAnsi="宋体" w:eastAsia="宋体" w:cs="宋体"/>
          <w:b/>
          <w:bCs/>
          <w:color w:val="auto"/>
          <w:kern w:val="2"/>
          <w:sz w:val="24"/>
          <w:szCs w:val="24"/>
          <w:highlight w:val="none"/>
          <w:lang w:val="en-US" w:eastAsia="zh-CN" w:bidi="ar-SA"/>
        </w:rPr>
        <w:t xml:space="preserve">     如实告知义务</w:t>
      </w:r>
    </w:p>
    <w:p w14:paraId="753C4D60">
      <w:pPr>
        <w:pStyle w:val="43"/>
        <w:pageBreakBefore w:val="0"/>
        <w:widowControl w:val="0"/>
        <w:numPr>
          <w:ilvl w:val="0"/>
          <w:numId w:val="0"/>
        </w:numPr>
        <w:kinsoku/>
        <w:wordWrap/>
        <w:overflowPunct/>
        <w:topLinePunct w:val="0"/>
        <w:autoSpaceDE/>
        <w:autoSpaceDN/>
        <w:bidi w:val="0"/>
        <w:adjustRightInd w:val="0"/>
        <w:snapToGrid w:val="0"/>
        <w:spacing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投保人应如实填写投保单并回答保险人提出的询问，履行如实告知义务。</w:t>
      </w:r>
    </w:p>
    <w:p w14:paraId="2E644DC1">
      <w:pPr>
        <w:pStyle w:val="3"/>
        <w:pageBreakBefore w:val="0"/>
        <w:widowControl w:val="0"/>
        <w:tabs>
          <w:tab w:val="left" w:pos="960"/>
        </w:tabs>
        <w:kinsoku/>
        <w:wordWrap/>
        <w:overflowPunct/>
        <w:topLinePunct w:val="0"/>
        <w:autoSpaceDE/>
        <w:autoSpaceDN/>
        <w:bidi w:val="0"/>
        <w:adjustRightInd w:val="0"/>
        <w:snapToGrid w:val="0"/>
        <w:spacing w:before="0" w:after="0" w:line="312" w:lineRule="auto"/>
        <w:ind w:left="0"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投保人故意或者因重大过失未履行前款规定的如实告知义务，足以影响保险人决定是否同意承保或者提高保险费率的，保险人有权解除合同。</w:t>
      </w:r>
    </w:p>
    <w:p w14:paraId="27A8F29A">
      <w:pPr>
        <w:pStyle w:val="3"/>
        <w:pageBreakBefore w:val="0"/>
        <w:widowControl w:val="0"/>
        <w:tabs>
          <w:tab w:val="left" w:pos="960"/>
        </w:tabs>
        <w:kinsoku/>
        <w:wordWrap/>
        <w:overflowPunct/>
        <w:topLinePunct w:val="0"/>
        <w:autoSpaceDE/>
        <w:autoSpaceDN/>
        <w:bidi w:val="0"/>
        <w:adjustRightInd w:val="0"/>
        <w:snapToGrid w:val="0"/>
        <w:spacing w:before="0" w:after="0" w:line="312" w:lineRule="auto"/>
        <w:ind w:left="0"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投保人故意不履行如实告知义务的，保险人对于合同解除前发生的保险事故，不承担赔偿或者给付保险金的责任，并不退还保险费。</w:t>
      </w:r>
    </w:p>
    <w:p w14:paraId="69372D7F">
      <w:pPr>
        <w:pStyle w:val="3"/>
        <w:pageBreakBefore w:val="0"/>
        <w:widowControl w:val="0"/>
        <w:tabs>
          <w:tab w:val="left" w:pos="960"/>
        </w:tabs>
        <w:kinsoku/>
        <w:wordWrap/>
        <w:overflowPunct/>
        <w:topLinePunct w:val="0"/>
        <w:autoSpaceDE/>
        <w:autoSpaceDN/>
        <w:bidi w:val="0"/>
        <w:adjustRightInd w:val="0"/>
        <w:snapToGrid w:val="0"/>
        <w:spacing w:before="0" w:after="0" w:line="312" w:lineRule="auto"/>
        <w:ind w:left="0"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投保人因重大过失未履行如实告知义务，对保险事故的发生有严重影响的，保险人对于合同解除前发生的保险事故，不承担赔偿或者给付保险金的责任，但应当退还保险费。</w:t>
      </w:r>
    </w:p>
    <w:p w14:paraId="05D5A114">
      <w:pPr>
        <w:pStyle w:val="3"/>
        <w:pageBreakBefore w:val="0"/>
        <w:widowControl w:val="0"/>
        <w:tabs>
          <w:tab w:val="left" w:pos="960"/>
        </w:tabs>
        <w:kinsoku/>
        <w:wordWrap/>
        <w:overflowPunct/>
        <w:topLinePunct w:val="0"/>
        <w:autoSpaceDE/>
        <w:autoSpaceDN/>
        <w:bidi w:val="0"/>
        <w:adjustRightInd w:val="0"/>
        <w:snapToGrid w:val="0"/>
        <w:spacing w:before="0" w:after="0" w:line="312" w:lineRule="auto"/>
        <w:ind w:left="0" w:leftChars="0"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保险人在合同订立时已经知道投保人未如实告知的情况的，保险人不得解除合同；发生保险事故的，保险人应当承担赔偿或者给付保险金的责任</w:t>
      </w:r>
      <w:r>
        <w:rPr>
          <w:rFonts w:hint="eastAsia" w:ascii="宋体" w:hAnsi="宋体" w:eastAsia="宋体" w:cs="宋体"/>
          <w:color w:val="auto"/>
          <w:sz w:val="24"/>
          <w:szCs w:val="24"/>
          <w:highlight w:val="none"/>
          <w:lang w:eastAsia="zh-CN"/>
        </w:rPr>
        <w:t>。</w:t>
      </w:r>
    </w:p>
    <w:p w14:paraId="2ECBCF37">
      <w:pPr>
        <w:pStyle w:val="3"/>
        <w:pageBreakBefore w:val="0"/>
        <w:widowControl w:val="0"/>
        <w:tabs>
          <w:tab w:val="left" w:pos="960"/>
        </w:tabs>
        <w:kinsoku/>
        <w:wordWrap/>
        <w:overflowPunct/>
        <w:topLinePunct w:val="0"/>
        <w:autoSpaceDE/>
        <w:autoSpaceDN/>
        <w:bidi w:val="0"/>
        <w:spacing w:before="0" w:after="0" w:line="312" w:lineRule="auto"/>
        <w:ind w:left="0"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职业或者工种变更通知义务</w:t>
      </w:r>
    </w:p>
    <w:p w14:paraId="187F1C04">
      <w:pPr>
        <w:pStyle w:val="43"/>
        <w:pageBreakBefore w:val="0"/>
        <w:widowControl w:val="0"/>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被保险人变更职业或工种时，投保人或被保险人应在10日内以书面形式通知保险人。</w:t>
      </w:r>
    </w:p>
    <w:p w14:paraId="0C455648">
      <w:pPr>
        <w:pStyle w:val="43"/>
        <w:pageBreakBefore w:val="0"/>
        <w:widowControl w:val="0"/>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保险人所变更的职业或工种，依照保险人职业分类其危险性减低的，保险人自接到通知后，自职业变更之日起，退还变更前后职业或工种对应的保险费差额；其危险性增加的，保险人在接到通知后，自职业变更之日起，增收变更前后职业或工种对应的保险费差额。</w:t>
      </w:r>
    </w:p>
    <w:p w14:paraId="2C2BD2C2">
      <w:pPr>
        <w:pStyle w:val="43"/>
        <w:pageBreakBefore w:val="0"/>
        <w:widowControl w:val="0"/>
        <w:kinsoku/>
        <w:wordWrap/>
        <w:overflowPunct/>
        <w:topLinePunct w:val="0"/>
        <w:autoSpaceDE/>
        <w:autoSpaceDN/>
        <w:bidi w:val="0"/>
        <w:spacing w:line="312" w:lineRule="auto"/>
        <w:ind w:left="0"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被保险人所变更的职业或工种依照保险人职业分类在拒保范围内的，保险人有权终止该被保险人的被保资格</w:t>
      </w:r>
      <w:r>
        <w:rPr>
          <w:rFonts w:hint="eastAsia" w:ascii="宋体" w:hAnsi="宋体" w:eastAsia="宋体" w:cs="宋体"/>
          <w:b/>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其</w:t>
      </w:r>
      <w:r>
        <w:rPr>
          <w:rFonts w:hint="eastAsia" w:ascii="宋体" w:hAnsi="宋体" w:eastAsia="宋体" w:cs="宋体"/>
          <w:color w:val="auto"/>
          <w:sz w:val="24"/>
          <w:szCs w:val="24"/>
          <w:highlight w:val="none"/>
        </w:rPr>
        <w:t>被保资格自保险人接到通知之日的次日零时起终止，保险人退还该被保险人项下的</w:t>
      </w:r>
      <w:r>
        <w:rPr>
          <w:rFonts w:hint="eastAsia" w:ascii="宋体" w:hAnsi="宋体" w:eastAsia="宋体" w:cs="宋体"/>
          <w:b/>
          <w:color w:val="auto"/>
          <w:sz w:val="24"/>
          <w:szCs w:val="24"/>
          <w:highlight w:val="none"/>
        </w:rPr>
        <w:t>现金价值（见释义）</w:t>
      </w:r>
      <w:r>
        <w:rPr>
          <w:rFonts w:hint="eastAsia" w:ascii="宋体" w:hAnsi="宋体" w:eastAsia="宋体" w:cs="宋体"/>
          <w:color w:val="auto"/>
          <w:sz w:val="24"/>
          <w:szCs w:val="24"/>
          <w:highlight w:val="none"/>
        </w:rPr>
        <w:t>。</w:t>
      </w:r>
    </w:p>
    <w:p w14:paraId="546F6424">
      <w:pPr>
        <w:pageBreakBefore w:val="0"/>
        <w:widowControl w:val="0"/>
        <w:kinsoku/>
        <w:wordWrap/>
        <w:overflowPunct/>
        <w:topLinePunct w:val="0"/>
        <w:autoSpaceDE/>
        <w:autoSpaceDN/>
        <w:bidi w:val="0"/>
        <w:spacing w:line="312" w:lineRule="auto"/>
        <w:ind w:left="0" w:leftChars="0" w:firstLine="482" w:firstLineChars="200"/>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sz w:val="24"/>
          <w:szCs w:val="24"/>
          <w:highlight w:val="none"/>
        </w:rPr>
        <w:t>被保险人变更职业或工种且未依照</w:t>
      </w:r>
      <w:r>
        <w:rPr>
          <w:rFonts w:hint="eastAsia" w:ascii="宋体" w:hAnsi="宋体" w:eastAsia="宋体" w:cs="宋体"/>
          <w:b/>
          <w:color w:val="auto"/>
          <w:sz w:val="24"/>
          <w:szCs w:val="24"/>
          <w:highlight w:val="none"/>
          <w:lang w:eastAsia="zh-CN"/>
        </w:rPr>
        <w:t>本保险合同</w:t>
      </w:r>
      <w:r>
        <w:rPr>
          <w:rFonts w:hint="eastAsia" w:ascii="宋体" w:hAnsi="宋体" w:eastAsia="宋体" w:cs="宋体"/>
          <w:b/>
          <w:color w:val="auto"/>
          <w:sz w:val="24"/>
          <w:szCs w:val="24"/>
          <w:highlight w:val="none"/>
        </w:rPr>
        <w:t>约定通知保险人而发生保险事故的，除另有约定外，若依照保险人职业分类不在拒保范围内</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但其危险性增加的，保险人按其原保险费与新职业或工种所对应的保险费的比例计算并给付保险金；若被保险人所变更的职业或工种依照保险人职业分类在拒保范围内的，保险人不承担给付保险金的责任，保险人退还该被保险人项下的现金价值。</w:t>
      </w:r>
    </w:p>
    <w:p w14:paraId="6BAFC363">
      <w:pPr>
        <w:pStyle w:val="3"/>
        <w:pageBreakBefore w:val="0"/>
        <w:widowControl w:val="0"/>
        <w:tabs>
          <w:tab w:val="left" w:pos="960"/>
        </w:tabs>
        <w:kinsoku/>
        <w:wordWrap/>
        <w:overflowPunct/>
        <w:topLinePunct w:val="0"/>
        <w:autoSpaceDE/>
        <w:autoSpaceDN/>
        <w:bidi w:val="0"/>
        <w:spacing w:before="0" w:after="0" w:line="312" w:lineRule="auto"/>
        <w:ind w:left="0"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住址或通讯地址变更通知义务</w:t>
      </w:r>
    </w:p>
    <w:p w14:paraId="5BEC085A">
      <w:pPr>
        <w:pStyle w:val="43"/>
        <w:pageBreakBefore w:val="0"/>
        <w:widowControl w:val="0"/>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投保人住所或通讯地址变更时，应及时以书面形式通知保险人。</w:t>
      </w:r>
    </w:p>
    <w:p w14:paraId="380F2F96">
      <w:pPr>
        <w:pStyle w:val="3"/>
        <w:pageBreakBefore w:val="0"/>
        <w:widowControl w:val="0"/>
        <w:tabs>
          <w:tab w:val="left" w:pos="960"/>
        </w:tabs>
        <w:kinsoku/>
        <w:wordWrap/>
        <w:overflowPunct/>
        <w:topLinePunct w:val="0"/>
        <w:autoSpaceDE/>
        <w:autoSpaceDN/>
        <w:bidi w:val="0"/>
        <w:spacing w:before="0" w:after="0" w:line="312" w:lineRule="auto"/>
        <w:ind w:left="0"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被保险人变动通知义务</w:t>
      </w:r>
    </w:p>
    <w:p w14:paraId="76B2332A">
      <w:pPr>
        <w:pStyle w:val="43"/>
        <w:pageBreakBefore w:val="0"/>
        <w:widowControl w:val="0"/>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在保险期间内，团体保险的投保人因其人员变动，需增加、减少被保险人时，应以书面形式向保险人提出申请。保险人同意后出具批单，并在</w:t>
      </w:r>
      <w:r>
        <w:rPr>
          <w:rFonts w:hint="eastAsia" w:ascii="宋体" w:hAnsi="宋体" w:eastAsia="宋体" w:cs="宋体"/>
          <w:color w:val="auto"/>
          <w:sz w:val="24"/>
          <w:szCs w:val="24"/>
          <w:highlight w:val="none"/>
          <w:lang w:eastAsia="zh-CN"/>
        </w:rPr>
        <w:t>本保险合同</w:t>
      </w:r>
      <w:r>
        <w:rPr>
          <w:rFonts w:hint="eastAsia" w:ascii="宋体" w:hAnsi="宋体" w:eastAsia="宋体" w:cs="宋体"/>
          <w:color w:val="auto"/>
          <w:sz w:val="24"/>
          <w:szCs w:val="24"/>
          <w:highlight w:val="none"/>
        </w:rPr>
        <w:t>中批注。</w:t>
      </w:r>
    </w:p>
    <w:p w14:paraId="2C1163FD">
      <w:pPr>
        <w:pStyle w:val="43"/>
        <w:pageBreakBefore w:val="0"/>
        <w:widowControl w:val="0"/>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被保险人人数增加时，保险人在审核同意后出具批单，于批单生效日零时开始承担保险责任，并按约定增收相应的保险费。</w:t>
      </w:r>
    </w:p>
    <w:p w14:paraId="498E1928">
      <w:pPr>
        <w:pStyle w:val="43"/>
        <w:pageBreakBefore w:val="0"/>
        <w:widowControl w:val="0"/>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被保险人人数减少时，投保人提供已通知相应被保险人退保的有效证明，保险人在审核同意后出具批单，于批单生效日零时起，对减少的被保险人终止保险责任，并按约定退还相应的保险费。</w:t>
      </w:r>
      <w:r>
        <w:rPr>
          <w:rFonts w:hint="eastAsia" w:ascii="宋体" w:hAnsi="宋体" w:eastAsia="宋体" w:cs="宋体"/>
          <w:b/>
          <w:color w:val="auto"/>
          <w:sz w:val="24"/>
          <w:szCs w:val="24"/>
          <w:highlight w:val="none"/>
        </w:rPr>
        <w:t>但减少的被保险人已发生任何保险金给付或已发生</w:t>
      </w:r>
      <w:r>
        <w:rPr>
          <w:rFonts w:hint="eastAsia" w:ascii="宋体" w:hAnsi="宋体" w:eastAsia="宋体" w:cs="宋体"/>
          <w:b/>
          <w:color w:val="auto"/>
          <w:sz w:val="24"/>
          <w:szCs w:val="24"/>
          <w:highlight w:val="none"/>
          <w:lang w:eastAsia="zh-CN"/>
        </w:rPr>
        <w:t>本</w:t>
      </w:r>
      <w:r>
        <w:rPr>
          <w:rFonts w:hint="eastAsia" w:ascii="宋体" w:hAnsi="宋体" w:eastAsia="宋体" w:cs="宋体"/>
          <w:b/>
          <w:color w:val="auto"/>
          <w:sz w:val="24"/>
          <w:szCs w:val="24"/>
          <w:highlight w:val="none"/>
          <w:lang w:val="en-US" w:eastAsia="zh-CN"/>
        </w:rPr>
        <w:t>保险</w:t>
      </w:r>
      <w:r>
        <w:rPr>
          <w:rFonts w:hint="eastAsia" w:ascii="宋体" w:hAnsi="宋体" w:eastAsia="宋体" w:cs="宋体"/>
          <w:b/>
          <w:color w:val="auto"/>
          <w:sz w:val="24"/>
          <w:szCs w:val="24"/>
          <w:highlight w:val="none"/>
          <w:lang w:eastAsia="zh-CN"/>
        </w:rPr>
        <w:t>合同</w:t>
      </w:r>
      <w:r>
        <w:rPr>
          <w:rFonts w:hint="eastAsia" w:ascii="宋体" w:hAnsi="宋体" w:eastAsia="宋体" w:cs="宋体"/>
          <w:b/>
          <w:color w:val="auto"/>
          <w:sz w:val="24"/>
          <w:szCs w:val="24"/>
          <w:highlight w:val="none"/>
        </w:rPr>
        <w:t>约定的保险事故但尚未给付保险金的，保险人不退还该被保险人项下相应的保险费。减少后的被保险人人数不足约定承保团体人员的75%或人数低于3人时，保险人有权解除本保险合同，并按约定退还现金价值。</w:t>
      </w:r>
    </w:p>
    <w:p w14:paraId="5DDCE88B">
      <w:pPr>
        <w:pStyle w:val="3"/>
        <w:pageBreakBefore w:val="0"/>
        <w:widowControl w:val="0"/>
        <w:tabs>
          <w:tab w:val="left" w:pos="960"/>
        </w:tabs>
        <w:kinsoku/>
        <w:wordWrap/>
        <w:overflowPunct/>
        <w:topLinePunct w:val="0"/>
        <w:autoSpaceDE/>
        <w:autoSpaceDN/>
        <w:bidi w:val="0"/>
        <w:spacing w:before="0" w:after="0" w:line="312" w:lineRule="auto"/>
        <w:ind w:left="0"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其他内容变更通知义务</w:t>
      </w:r>
    </w:p>
    <w:p w14:paraId="2CBBBF33">
      <w:pPr>
        <w:pStyle w:val="43"/>
        <w:pageBreakBefore w:val="0"/>
        <w:widowControl w:val="0"/>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在保险期间内，投保人需变更合同其他内容的，应以书面形式向保险人提出申请。保险人同意后出具批单，并在</w:t>
      </w:r>
      <w:r>
        <w:rPr>
          <w:rFonts w:hint="eastAsia" w:ascii="宋体" w:hAnsi="宋体" w:eastAsia="宋体" w:cs="宋体"/>
          <w:color w:val="auto"/>
          <w:sz w:val="24"/>
          <w:szCs w:val="24"/>
          <w:highlight w:val="none"/>
          <w:lang w:eastAsia="zh-CN"/>
        </w:rPr>
        <w:t>本保险合同</w:t>
      </w:r>
      <w:r>
        <w:rPr>
          <w:rFonts w:hint="eastAsia" w:ascii="宋体" w:hAnsi="宋体" w:eastAsia="宋体" w:cs="宋体"/>
          <w:color w:val="auto"/>
          <w:sz w:val="24"/>
          <w:szCs w:val="24"/>
          <w:highlight w:val="none"/>
        </w:rPr>
        <w:t>中批注。</w:t>
      </w:r>
      <w:r>
        <w:rPr>
          <w:rFonts w:hint="eastAsia" w:ascii="宋体" w:hAnsi="宋体" w:eastAsia="宋体" w:cs="宋体"/>
          <w:b/>
          <w:color w:val="auto"/>
          <w:sz w:val="24"/>
          <w:szCs w:val="24"/>
          <w:highlight w:val="none"/>
        </w:rPr>
        <w:t>若被保险人已身故，则保险人不接受</w:t>
      </w:r>
      <w:r>
        <w:rPr>
          <w:rFonts w:hint="eastAsia" w:ascii="宋体" w:hAnsi="宋体" w:eastAsia="宋体" w:cs="宋体"/>
          <w:b/>
          <w:color w:val="auto"/>
          <w:sz w:val="24"/>
          <w:szCs w:val="24"/>
          <w:highlight w:val="none"/>
          <w:lang w:eastAsia="zh-CN"/>
        </w:rPr>
        <w:t>本</w:t>
      </w:r>
      <w:r>
        <w:rPr>
          <w:rFonts w:hint="eastAsia" w:ascii="宋体" w:hAnsi="宋体" w:eastAsia="宋体" w:cs="宋体"/>
          <w:b/>
          <w:color w:val="auto"/>
          <w:sz w:val="24"/>
          <w:szCs w:val="24"/>
          <w:highlight w:val="none"/>
          <w:lang w:val="en-US" w:eastAsia="zh-CN"/>
        </w:rPr>
        <w:t>保险</w:t>
      </w:r>
      <w:r>
        <w:rPr>
          <w:rFonts w:hint="eastAsia" w:ascii="宋体" w:hAnsi="宋体" w:eastAsia="宋体" w:cs="宋体"/>
          <w:b/>
          <w:color w:val="auto"/>
          <w:sz w:val="24"/>
          <w:szCs w:val="24"/>
          <w:highlight w:val="none"/>
          <w:lang w:eastAsia="zh-CN"/>
        </w:rPr>
        <w:t>合同</w:t>
      </w:r>
      <w:r>
        <w:rPr>
          <w:rFonts w:hint="eastAsia" w:ascii="宋体" w:hAnsi="宋体" w:eastAsia="宋体" w:cs="宋体"/>
          <w:b/>
          <w:color w:val="auto"/>
          <w:sz w:val="24"/>
          <w:szCs w:val="24"/>
          <w:highlight w:val="none"/>
        </w:rPr>
        <w:t>中有关该被保险人的任何内容的变更申请。</w:t>
      </w:r>
    </w:p>
    <w:p w14:paraId="32E42FA3">
      <w:pPr>
        <w:pStyle w:val="3"/>
        <w:pageBreakBefore w:val="0"/>
        <w:widowControl w:val="0"/>
        <w:tabs>
          <w:tab w:val="left" w:pos="960"/>
        </w:tabs>
        <w:kinsoku/>
        <w:wordWrap/>
        <w:overflowPunct/>
        <w:topLinePunct w:val="0"/>
        <w:autoSpaceDE/>
        <w:autoSpaceDN/>
        <w:bidi w:val="0"/>
        <w:spacing w:before="0" w:after="0" w:line="312" w:lineRule="auto"/>
        <w:ind w:left="0"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保险事故通知义务</w:t>
      </w:r>
    </w:p>
    <w:p w14:paraId="2B17F9AE">
      <w:pPr>
        <w:pageBreakBefore w:val="0"/>
        <w:widowControl w:val="0"/>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发生保险责任范围内的事故后，投保人、被保险人或受益人应</w:t>
      </w:r>
      <w:r>
        <w:rPr>
          <w:rFonts w:hint="eastAsia" w:ascii="宋体" w:hAnsi="宋体" w:eastAsia="宋体" w:cs="宋体"/>
          <w:color w:val="auto"/>
          <w:sz w:val="24"/>
          <w:szCs w:val="24"/>
          <w:highlight w:val="none"/>
          <w:lang w:val="en-US" w:eastAsia="zh-CN"/>
        </w:rPr>
        <w:t>在10日内</w:t>
      </w:r>
      <w:r>
        <w:rPr>
          <w:rFonts w:hint="eastAsia" w:ascii="宋体" w:hAnsi="宋体" w:eastAsia="宋体" w:cs="宋体"/>
          <w:color w:val="auto"/>
          <w:sz w:val="24"/>
          <w:szCs w:val="24"/>
          <w:highlight w:val="none"/>
        </w:rPr>
        <w:t>通知保险人，并书面说明事故发生的原因、经过和损失情况。</w:t>
      </w:r>
      <w:r>
        <w:rPr>
          <w:rFonts w:hint="eastAsia" w:ascii="宋体" w:hAnsi="宋体" w:eastAsia="宋体" w:cs="宋体"/>
          <w:b/>
          <w:color w:val="auto"/>
          <w:kern w:val="0"/>
          <w:sz w:val="24"/>
          <w:szCs w:val="24"/>
          <w:highlight w:val="none"/>
        </w:rPr>
        <w:t>故意或者因重大过失未及时通知，致使保险事故的性质、原因、损失程度等难以确定的，保险人对无法确定的部分，不承担给付保险金责任，</w:t>
      </w:r>
      <w:r>
        <w:rPr>
          <w:rFonts w:hint="eastAsia" w:ascii="宋体" w:hAnsi="宋体" w:eastAsia="宋体" w:cs="宋体"/>
          <w:color w:val="auto"/>
          <w:kern w:val="0"/>
          <w:sz w:val="24"/>
          <w:szCs w:val="24"/>
          <w:highlight w:val="none"/>
        </w:rPr>
        <w:t>但保险人通过其他途径已经及时知道或者应当及时知道保险事故发生的除外。</w:t>
      </w:r>
    </w:p>
    <w:p w14:paraId="62FA0F2E">
      <w:pPr>
        <w:pageBreakBefore w:val="0"/>
        <w:widowControl w:val="0"/>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上述约定，不包括因</w:t>
      </w:r>
      <w:r>
        <w:rPr>
          <w:rFonts w:hint="eastAsia" w:ascii="宋体" w:hAnsi="宋体" w:eastAsia="宋体" w:cs="宋体"/>
          <w:b/>
          <w:color w:val="auto"/>
          <w:kern w:val="0"/>
          <w:sz w:val="24"/>
          <w:szCs w:val="24"/>
          <w:highlight w:val="none"/>
        </w:rPr>
        <w:t>不可抗力（</w:t>
      </w:r>
      <w:r>
        <w:rPr>
          <w:rFonts w:hint="eastAsia" w:ascii="宋体" w:hAnsi="宋体" w:eastAsia="宋体" w:cs="宋体"/>
          <w:b/>
          <w:color w:val="auto"/>
          <w:kern w:val="0"/>
          <w:sz w:val="24"/>
          <w:szCs w:val="24"/>
          <w:highlight w:val="none"/>
          <w:lang w:val="en-US" w:eastAsia="zh-CN"/>
        </w:rPr>
        <w:t>见</w:t>
      </w:r>
      <w:r>
        <w:rPr>
          <w:rFonts w:hint="eastAsia" w:ascii="宋体" w:hAnsi="宋体" w:eastAsia="宋体" w:cs="宋体"/>
          <w:b/>
          <w:color w:val="auto"/>
          <w:kern w:val="0"/>
          <w:sz w:val="24"/>
          <w:szCs w:val="24"/>
          <w:highlight w:val="none"/>
        </w:rPr>
        <w:t>释义）</w:t>
      </w:r>
      <w:r>
        <w:rPr>
          <w:rFonts w:hint="eastAsia" w:ascii="宋体" w:hAnsi="宋体" w:eastAsia="宋体" w:cs="宋体"/>
          <w:color w:val="auto"/>
          <w:kern w:val="0"/>
          <w:sz w:val="24"/>
          <w:szCs w:val="24"/>
          <w:highlight w:val="none"/>
        </w:rPr>
        <w:t>而导致的迟延。</w:t>
      </w:r>
    </w:p>
    <w:p w14:paraId="114153DB">
      <w:pPr>
        <w:pStyle w:val="2"/>
        <w:pageBreakBefore w:val="0"/>
        <w:widowControl w:val="0"/>
        <w:tabs>
          <w:tab w:val="left" w:pos="960"/>
        </w:tabs>
        <w:kinsoku/>
        <w:wordWrap/>
        <w:overflowPunct/>
        <w:topLinePunct w:val="0"/>
        <w:autoSpaceDE/>
        <w:autoSpaceDN/>
        <w:bidi w:val="0"/>
        <w:spacing w:before="0" w:after="0"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保险人义务</w:t>
      </w:r>
    </w:p>
    <w:p w14:paraId="082E98A3">
      <w:pPr>
        <w:pStyle w:val="43"/>
        <w:pageBreakBefore w:val="0"/>
        <w:widowControl w:val="0"/>
        <w:numPr>
          <w:ilvl w:val="0"/>
          <w:numId w:val="0"/>
        </w:numPr>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color w:val="auto"/>
          <w:sz w:val="24"/>
          <w:szCs w:val="24"/>
          <w:highlight w:val="none"/>
        </w:rPr>
      </w:pPr>
      <w:bookmarkStart w:id="39" w:name="_5_保险金申请与给付"/>
      <w:bookmarkEnd w:id="39"/>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）本</w:t>
      </w:r>
      <w:r>
        <w:rPr>
          <w:rFonts w:hint="eastAsia" w:ascii="宋体" w:hAnsi="宋体" w:eastAsia="宋体" w:cs="宋体"/>
          <w:color w:val="auto"/>
          <w:sz w:val="24"/>
          <w:szCs w:val="24"/>
          <w:highlight w:val="none"/>
          <w:lang w:val="en-US" w:eastAsia="zh-CN"/>
        </w:rPr>
        <w:t>保险</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auto"/>
          <w:sz w:val="24"/>
          <w:szCs w:val="24"/>
          <w:highlight w:val="none"/>
        </w:rPr>
        <w:t>成立后，保险人应当及时向投保人签发保险单或其他保险凭证。</w:t>
      </w:r>
    </w:p>
    <w:p w14:paraId="619C281D">
      <w:pPr>
        <w:pStyle w:val="43"/>
        <w:pageBreakBefore w:val="0"/>
        <w:widowControl w:val="0"/>
        <w:numPr>
          <w:ilvl w:val="0"/>
          <w:numId w:val="0"/>
        </w:numPr>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保险人认为投保人、被保险人或者受益人提供的有关索赔的证明和资料不完整的，应当及时一次性通知投保人、被保险人或者受益人补充提供。</w:t>
      </w:r>
    </w:p>
    <w:p w14:paraId="243306EC">
      <w:pPr>
        <w:pStyle w:val="43"/>
        <w:pageBreakBefore w:val="0"/>
        <w:widowControl w:val="0"/>
        <w:numPr>
          <w:ilvl w:val="0"/>
          <w:numId w:val="0"/>
        </w:numPr>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保险人收到被保险人或者受益人的给付保险金的请求后，应当及时作出是否属于保险责任的核定；情形复杂的，应当在30日内作出核定。但保险责任的核定必须依赖于特定证明、鉴定、判决、裁定或其他证据材料的，保险人应在被保险人或者受益人提供或自行取得上述证据材料起30日内作出核定。</w:t>
      </w:r>
      <w:r>
        <w:rPr>
          <w:rFonts w:hint="eastAsia" w:ascii="宋体" w:hAnsi="宋体" w:eastAsia="宋体" w:cs="宋体"/>
          <w:color w:val="auto"/>
          <w:sz w:val="24"/>
          <w:szCs w:val="24"/>
          <w:highlight w:val="none"/>
          <w:lang w:eastAsia="zh-CN"/>
        </w:rPr>
        <w:t>本保险合同</w:t>
      </w:r>
      <w:r>
        <w:rPr>
          <w:rFonts w:hint="eastAsia" w:ascii="宋体" w:hAnsi="宋体" w:eastAsia="宋体" w:cs="宋体"/>
          <w:color w:val="auto"/>
          <w:sz w:val="24"/>
          <w:szCs w:val="24"/>
          <w:highlight w:val="none"/>
        </w:rPr>
        <w:t>另有约定的除外。</w:t>
      </w:r>
    </w:p>
    <w:p w14:paraId="56CF02CD">
      <w:pPr>
        <w:pStyle w:val="43"/>
        <w:pageBreakBefore w:val="0"/>
        <w:widowControl w:val="0"/>
        <w:numPr>
          <w:ilvl w:val="0"/>
          <w:numId w:val="0"/>
        </w:numPr>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保险人应当将核定结果通知被保险人或者受益人；对属于保险责任的，在与被保险人或者受益人达成给付保险金的协议后10日内，履行赔偿保险金义务。保险合同对给付保险金的期限有约定的，保险人应当按照约定履行给付保险金的义务。保险人依照前款约定作出核定后，对不属于保险责任的，应当自作出核定之日起</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个工作日内向被保险人或者受益人发出拒绝给付保险金通知书，并说明理由。</w:t>
      </w:r>
    </w:p>
    <w:p w14:paraId="45BF0D9D">
      <w:pPr>
        <w:pStyle w:val="43"/>
        <w:pageBreakBefore w:val="0"/>
        <w:widowControl w:val="0"/>
        <w:numPr>
          <w:ilvl w:val="0"/>
          <w:numId w:val="0"/>
        </w:numPr>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保险人自收到给付保险金的请求和有关证明、资料之日起60日内，对其赔偿保险金的数额不能确定的，应当根据已有证明和资料可以确定的数额先予支付；保险人最终确定给付的数额后，应当支付相应的差额。</w:t>
      </w:r>
    </w:p>
    <w:p w14:paraId="39BC8387">
      <w:pPr>
        <w:pStyle w:val="2"/>
        <w:pageBreakBefore w:val="0"/>
        <w:widowControl w:val="0"/>
        <w:tabs>
          <w:tab w:val="left" w:pos="960"/>
        </w:tabs>
        <w:kinsoku/>
        <w:wordWrap/>
        <w:overflowPunct/>
        <w:topLinePunct w:val="0"/>
        <w:autoSpaceDE/>
        <w:autoSpaceDN/>
        <w:bidi w:val="0"/>
        <w:spacing w:before="0" w:after="0"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保险金申请</w:t>
      </w:r>
    </w:p>
    <w:p w14:paraId="590BB7AA">
      <w:pPr>
        <w:pStyle w:val="43"/>
        <w:pageBreakBefore w:val="0"/>
        <w:widowControl w:val="0"/>
        <w:kinsoku/>
        <w:wordWrap/>
        <w:overflowPunct/>
        <w:topLinePunct w:val="0"/>
        <w:autoSpaceDE/>
        <w:autoSpaceDN/>
        <w:bidi w:val="0"/>
        <w:spacing w:line="312" w:lineRule="auto"/>
        <w:ind w:left="0" w:leftChars="0" w:firstLine="482" w:firstLineChars="200"/>
        <w:textAlignment w:val="auto"/>
        <w:rPr>
          <w:rFonts w:hint="eastAsia" w:ascii="宋体" w:hAnsi="宋体" w:eastAsia="宋体" w:cs="宋体"/>
          <w:b/>
          <w:color w:val="auto"/>
          <w:sz w:val="24"/>
          <w:szCs w:val="24"/>
          <w:highlight w:val="none"/>
        </w:rPr>
      </w:pPr>
      <w:bookmarkStart w:id="40" w:name="_5.1_保险金申请"/>
      <w:bookmarkEnd w:id="40"/>
      <w:r>
        <w:rPr>
          <w:rFonts w:hint="eastAsia" w:ascii="宋体" w:hAnsi="宋体" w:eastAsia="宋体" w:cs="宋体"/>
          <w:b/>
          <w:color w:val="auto"/>
          <w:sz w:val="24"/>
          <w:szCs w:val="24"/>
          <w:highlight w:val="none"/>
        </w:rPr>
        <w:t>保险金申请人（见释义）</w:t>
      </w:r>
      <w:r>
        <w:rPr>
          <w:rFonts w:hint="eastAsia" w:ascii="宋体" w:hAnsi="宋体" w:eastAsia="宋体" w:cs="宋体"/>
          <w:color w:val="auto"/>
          <w:sz w:val="24"/>
          <w:szCs w:val="24"/>
          <w:highlight w:val="none"/>
        </w:rPr>
        <w:t>向保险人申请给付保险金时，应填写保险金给付申请书，并提交以下材料。保险金申请人因特殊原因不能提供以下材料的，应提供其它合法有效的材料。若保险金申请人委托他人申请的，还应提供授权委托书原件、委托人和受托人的身份证明等相关证明文件。保险人按照</w:t>
      </w:r>
      <w:r>
        <w:rPr>
          <w:rFonts w:hint="eastAsia" w:ascii="宋体" w:hAnsi="宋体" w:eastAsia="宋体" w:cs="宋体"/>
          <w:color w:val="auto"/>
          <w:sz w:val="24"/>
          <w:szCs w:val="24"/>
          <w:highlight w:val="none"/>
          <w:lang w:eastAsia="zh-CN"/>
        </w:rPr>
        <w:t>本</w:t>
      </w:r>
      <w:r>
        <w:rPr>
          <w:rFonts w:hint="eastAsia" w:ascii="宋体" w:hAnsi="宋体" w:eastAsia="宋体" w:cs="宋体"/>
          <w:color w:val="auto"/>
          <w:sz w:val="24"/>
          <w:szCs w:val="24"/>
          <w:highlight w:val="none"/>
          <w:lang w:val="en-US" w:eastAsia="zh-CN"/>
        </w:rPr>
        <w:t>保险</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auto"/>
          <w:sz w:val="24"/>
          <w:szCs w:val="24"/>
          <w:highlight w:val="none"/>
        </w:rPr>
        <w:t>的约定，认为有关的证明和资料不完整的，应当及时一次性通知保险金申请人补充提供。</w:t>
      </w:r>
      <w:r>
        <w:rPr>
          <w:rFonts w:hint="eastAsia" w:ascii="宋体" w:hAnsi="宋体" w:eastAsia="宋体" w:cs="宋体"/>
          <w:b/>
          <w:color w:val="auto"/>
          <w:sz w:val="24"/>
          <w:szCs w:val="24"/>
          <w:highlight w:val="none"/>
        </w:rPr>
        <w:t>保险金申请人未能提供有关材料，导致保险人无法核实该申请的真实性的，保险人对无法核实部分不承担给付保险金的责任。</w:t>
      </w:r>
    </w:p>
    <w:p w14:paraId="487081F0">
      <w:pPr>
        <w:pStyle w:val="42"/>
        <w:pageBreakBefore w:val="0"/>
        <w:widowControl w:val="0"/>
        <w:tabs>
          <w:tab w:val="left" w:pos="960"/>
          <w:tab w:val="clear" w:pos="840"/>
        </w:tabs>
        <w:kinsoku/>
        <w:wordWrap/>
        <w:overflowPunct/>
        <w:topLinePunct w:val="0"/>
        <w:autoSpaceDE/>
        <w:autoSpaceDN/>
        <w:bidi w:val="0"/>
        <w:spacing w:line="312" w:lineRule="auto"/>
        <w:ind w:left="0" w:leftChars="0" w:firstLine="482" w:firstLineChars="200"/>
        <w:textAlignment w:val="auto"/>
        <w:outlineLvl w:val="1"/>
        <w:rPr>
          <w:rFonts w:hint="eastAsia" w:ascii="宋体" w:hAnsi="宋体" w:eastAsia="宋体" w:cs="宋体"/>
          <w:color w:val="auto"/>
          <w:sz w:val="24"/>
          <w:szCs w:val="24"/>
          <w:highlight w:val="none"/>
        </w:rPr>
      </w:pPr>
      <w:bookmarkStart w:id="41" w:name="_5.2_保险金的给付"/>
      <w:bookmarkEnd w:id="41"/>
      <w:bookmarkStart w:id="42" w:name="_6_保险合同解除"/>
      <w:bookmarkEnd w:id="42"/>
      <w:r>
        <w:rPr>
          <w:rFonts w:hint="eastAsia" w:ascii="宋体" w:hAnsi="宋体" w:eastAsia="宋体" w:cs="宋体"/>
          <w:color w:val="auto"/>
          <w:sz w:val="24"/>
          <w:szCs w:val="24"/>
          <w:highlight w:val="none"/>
        </w:rPr>
        <w:t>5.1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意外</w:t>
      </w:r>
      <w:r>
        <w:rPr>
          <w:rFonts w:hint="eastAsia" w:ascii="宋体" w:hAnsi="宋体" w:eastAsia="宋体" w:cs="宋体"/>
          <w:color w:val="auto"/>
          <w:sz w:val="24"/>
          <w:szCs w:val="24"/>
          <w:highlight w:val="none"/>
          <w:lang w:val="en-US" w:eastAsia="zh-CN"/>
        </w:rPr>
        <w:t>伤害</w:t>
      </w:r>
      <w:r>
        <w:rPr>
          <w:rFonts w:hint="eastAsia" w:ascii="宋体" w:hAnsi="宋体" w:eastAsia="宋体" w:cs="宋体"/>
          <w:color w:val="auto"/>
          <w:sz w:val="24"/>
          <w:szCs w:val="24"/>
          <w:highlight w:val="none"/>
        </w:rPr>
        <w:t>身故保险金申请</w:t>
      </w:r>
      <w:r>
        <w:rPr>
          <w:rFonts w:hint="eastAsia" w:ascii="宋体" w:hAnsi="宋体" w:eastAsia="宋体" w:cs="宋体"/>
          <w:color w:val="auto"/>
          <w:sz w:val="24"/>
          <w:szCs w:val="24"/>
          <w:highlight w:val="none"/>
        </w:rPr>
        <w:tab/>
      </w:r>
    </w:p>
    <w:p w14:paraId="1D5085A8">
      <w:pPr>
        <w:pStyle w:val="43"/>
        <w:pageBreakBefore w:val="0"/>
        <w:widowControl w:val="0"/>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（1）保险金给付申请书；</w:t>
      </w:r>
    </w:p>
    <w:p w14:paraId="2A3EFFE7">
      <w:pPr>
        <w:pStyle w:val="43"/>
        <w:pageBreakBefore w:val="0"/>
        <w:widowControl w:val="0"/>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（2）保险单；</w:t>
      </w:r>
    </w:p>
    <w:p w14:paraId="1ED7ED1C">
      <w:pPr>
        <w:pStyle w:val="43"/>
        <w:pageBreakBefore w:val="0"/>
        <w:widowControl w:val="0"/>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（3）保险金申请人的身份证明；</w:t>
      </w:r>
    </w:p>
    <w:p w14:paraId="0C1293E8">
      <w:pPr>
        <w:pStyle w:val="43"/>
        <w:pageBreakBefore w:val="0"/>
        <w:widowControl w:val="0"/>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（4）公安机关或司法部门、二级及二级以上医院或保险人认可的医疗机构出具的被保险人死亡证明或验尸报告。若被保险人为宣告死亡，保险金申请人应提供法院出具的宣告死亡证明文件；</w:t>
      </w:r>
    </w:p>
    <w:p w14:paraId="33178F4E">
      <w:pPr>
        <w:pStyle w:val="43"/>
        <w:keepNext w:val="0"/>
        <w:keepLines w:val="0"/>
        <w:pageBreakBefore w:val="0"/>
        <w:widowControl w:val="0"/>
        <w:kinsoku/>
        <w:wordWrap/>
        <w:overflowPunct/>
        <w:topLinePunct w:val="0"/>
        <w:autoSpaceDE/>
        <w:autoSpaceDN/>
        <w:bidi w:val="0"/>
        <w:adjustRightInd w:val="0"/>
        <w:snapToGrid w:val="0"/>
        <w:spacing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（5）被保险人的户籍注销证明；</w:t>
      </w:r>
    </w:p>
    <w:p w14:paraId="524DB865">
      <w:pPr>
        <w:pStyle w:val="43"/>
        <w:pageBreakBefore w:val="0"/>
        <w:widowControl w:val="0"/>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）保险金申请人所能提供的与确认保险事故的性质、原因、损失程度等有关的其他证明和资料。</w:t>
      </w:r>
    </w:p>
    <w:p w14:paraId="3B650800">
      <w:pPr>
        <w:pStyle w:val="42"/>
        <w:pageBreakBefore w:val="0"/>
        <w:widowControl w:val="0"/>
        <w:tabs>
          <w:tab w:val="left" w:pos="960"/>
          <w:tab w:val="clear" w:pos="840"/>
        </w:tabs>
        <w:kinsoku/>
        <w:wordWrap/>
        <w:overflowPunct/>
        <w:topLinePunct w:val="0"/>
        <w:autoSpaceDE/>
        <w:autoSpaceDN/>
        <w:bidi w:val="0"/>
        <w:spacing w:line="312" w:lineRule="auto"/>
        <w:ind w:left="0" w:leftChars="0" w:firstLine="482" w:firstLineChars="200"/>
        <w:textAlignment w:val="auto"/>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意外</w:t>
      </w:r>
      <w:r>
        <w:rPr>
          <w:rFonts w:hint="eastAsia" w:ascii="宋体" w:hAnsi="宋体" w:eastAsia="宋体" w:cs="宋体"/>
          <w:color w:val="auto"/>
          <w:sz w:val="24"/>
          <w:szCs w:val="24"/>
          <w:highlight w:val="none"/>
          <w:lang w:val="en-US" w:eastAsia="zh-CN"/>
        </w:rPr>
        <w:t>伤害</w:t>
      </w:r>
      <w:r>
        <w:rPr>
          <w:rFonts w:hint="eastAsia" w:ascii="宋体" w:hAnsi="宋体" w:eastAsia="宋体" w:cs="宋体"/>
          <w:color w:val="auto"/>
          <w:sz w:val="24"/>
          <w:szCs w:val="24"/>
          <w:highlight w:val="none"/>
        </w:rPr>
        <w:t>伤残保险金申请</w:t>
      </w:r>
    </w:p>
    <w:p w14:paraId="215DC137">
      <w:pPr>
        <w:pStyle w:val="43"/>
        <w:pageBreakBefore w:val="0"/>
        <w:widowControl w:val="0"/>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（1）保险金给付申请书</w:t>
      </w:r>
    </w:p>
    <w:p w14:paraId="43112A19">
      <w:pPr>
        <w:pStyle w:val="43"/>
        <w:pageBreakBefore w:val="0"/>
        <w:widowControl w:val="0"/>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（2）保险单；</w:t>
      </w:r>
    </w:p>
    <w:p w14:paraId="4FCE95B5">
      <w:pPr>
        <w:pStyle w:val="43"/>
        <w:pageBreakBefore w:val="0"/>
        <w:widowControl w:val="0"/>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（3）保险金申请人的身份证明；</w:t>
      </w:r>
    </w:p>
    <w:p w14:paraId="7DA0E675">
      <w:pPr>
        <w:pStyle w:val="43"/>
        <w:pageBreakBefore w:val="0"/>
        <w:widowControl w:val="0"/>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（4）司法部门或保险人认可的司法鉴定机构出具的伤残鉴定书；</w:t>
      </w:r>
    </w:p>
    <w:p w14:paraId="6DEE175A">
      <w:pPr>
        <w:pStyle w:val="43"/>
        <w:pageBreakBefore w:val="0"/>
        <w:widowControl w:val="0"/>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（5）保险金申请人所能提供的与确认保险事故的性质、原因、损失程度等有关的其他证明和资料。</w:t>
      </w:r>
    </w:p>
    <w:p w14:paraId="35D48282">
      <w:pPr>
        <w:pStyle w:val="2"/>
        <w:pageBreakBefore w:val="0"/>
        <w:widowControl w:val="0"/>
        <w:tabs>
          <w:tab w:val="left" w:pos="960"/>
        </w:tabs>
        <w:kinsoku/>
        <w:wordWrap/>
        <w:overflowPunct/>
        <w:topLinePunct w:val="0"/>
        <w:autoSpaceDE/>
        <w:autoSpaceDN/>
        <w:bidi w:val="0"/>
        <w:spacing w:before="0" w:after="0"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保险合同解除</w:t>
      </w:r>
    </w:p>
    <w:p w14:paraId="47983428">
      <w:pPr>
        <w:pStyle w:val="43"/>
        <w:pageBreakBefore w:val="0"/>
        <w:widowControl w:val="0"/>
        <w:kinsoku/>
        <w:wordWrap/>
        <w:overflowPunct/>
        <w:topLinePunct w:val="0"/>
        <w:autoSpaceDE/>
        <w:autoSpaceDN/>
        <w:bidi w:val="0"/>
        <w:spacing w:line="312" w:lineRule="auto"/>
        <w:ind w:left="0" w:leftChars="0" w:firstLine="480" w:firstLineChars="200"/>
        <w:textAlignment w:val="auto"/>
        <w:rPr>
          <w:rStyle w:val="31"/>
          <w:rFonts w:hint="eastAsia" w:ascii="宋体" w:hAnsi="宋体" w:eastAsia="宋体" w:cs="宋体"/>
          <w:b/>
          <w:color w:val="auto"/>
          <w:sz w:val="24"/>
          <w:szCs w:val="24"/>
          <w:highlight w:val="none"/>
          <w:u w:val="none"/>
        </w:rPr>
      </w:pPr>
      <w:r>
        <w:rPr>
          <w:rStyle w:val="31"/>
          <w:rFonts w:hint="eastAsia" w:ascii="宋体" w:hAnsi="宋体" w:eastAsia="宋体" w:cs="宋体"/>
          <w:color w:val="auto"/>
          <w:sz w:val="24"/>
          <w:szCs w:val="24"/>
          <w:highlight w:val="none"/>
          <w:u w:val="none"/>
          <w:lang w:eastAsia="zh-CN"/>
        </w:rPr>
        <w:t>本</w:t>
      </w:r>
      <w:r>
        <w:rPr>
          <w:rStyle w:val="31"/>
          <w:rFonts w:hint="eastAsia" w:ascii="宋体" w:hAnsi="宋体" w:eastAsia="宋体" w:cs="宋体"/>
          <w:color w:val="auto"/>
          <w:sz w:val="24"/>
          <w:szCs w:val="24"/>
          <w:highlight w:val="none"/>
          <w:u w:val="none"/>
          <w:lang w:val="en-US" w:eastAsia="zh-CN"/>
        </w:rPr>
        <w:t>保险</w:t>
      </w:r>
      <w:r>
        <w:rPr>
          <w:rStyle w:val="31"/>
          <w:rFonts w:hint="eastAsia" w:ascii="宋体" w:hAnsi="宋体" w:eastAsia="宋体" w:cs="宋体"/>
          <w:color w:val="auto"/>
          <w:sz w:val="24"/>
          <w:szCs w:val="24"/>
          <w:highlight w:val="none"/>
          <w:u w:val="none"/>
          <w:lang w:eastAsia="zh-CN"/>
        </w:rPr>
        <w:t>合同</w:t>
      </w:r>
      <w:r>
        <w:rPr>
          <w:rStyle w:val="31"/>
          <w:rFonts w:hint="eastAsia" w:ascii="宋体" w:hAnsi="宋体" w:eastAsia="宋体" w:cs="宋体"/>
          <w:color w:val="auto"/>
          <w:sz w:val="24"/>
          <w:szCs w:val="24"/>
          <w:highlight w:val="none"/>
          <w:u w:val="none"/>
        </w:rPr>
        <w:t>成立后，除</w:t>
      </w:r>
      <w:r>
        <w:rPr>
          <w:rStyle w:val="31"/>
          <w:rFonts w:hint="eastAsia" w:ascii="宋体" w:hAnsi="宋体" w:eastAsia="宋体" w:cs="宋体"/>
          <w:color w:val="auto"/>
          <w:sz w:val="24"/>
          <w:szCs w:val="24"/>
          <w:highlight w:val="none"/>
          <w:u w:val="none"/>
          <w:lang w:eastAsia="zh-CN"/>
        </w:rPr>
        <w:t>本</w:t>
      </w:r>
      <w:r>
        <w:rPr>
          <w:rStyle w:val="31"/>
          <w:rFonts w:hint="eastAsia" w:ascii="宋体" w:hAnsi="宋体" w:eastAsia="宋体" w:cs="宋体"/>
          <w:color w:val="auto"/>
          <w:sz w:val="24"/>
          <w:szCs w:val="24"/>
          <w:highlight w:val="none"/>
          <w:u w:val="none"/>
          <w:lang w:val="en-US" w:eastAsia="zh-CN"/>
        </w:rPr>
        <w:t>保险</w:t>
      </w:r>
      <w:r>
        <w:rPr>
          <w:rStyle w:val="31"/>
          <w:rFonts w:hint="eastAsia" w:ascii="宋体" w:hAnsi="宋体" w:eastAsia="宋体" w:cs="宋体"/>
          <w:color w:val="auto"/>
          <w:sz w:val="24"/>
          <w:szCs w:val="24"/>
          <w:highlight w:val="none"/>
          <w:u w:val="none"/>
          <w:lang w:eastAsia="zh-CN"/>
        </w:rPr>
        <w:t>合同</w:t>
      </w:r>
      <w:r>
        <w:rPr>
          <w:rStyle w:val="31"/>
          <w:rFonts w:hint="eastAsia" w:ascii="宋体" w:hAnsi="宋体" w:eastAsia="宋体" w:cs="宋体"/>
          <w:color w:val="auto"/>
          <w:sz w:val="24"/>
          <w:szCs w:val="24"/>
          <w:highlight w:val="none"/>
          <w:u w:val="none"/>
        </w:rPr>
        <w:t>另有约定外，投保人可以要求解除</w:t>
      </w:r>
      <w:r>
        <w:rPr>
          <w:rStyle w:val="31"/>
          <w:rFonts w:hint="eastAsia" w:ascii="宋体" w:hAnsi="宋体" w:eastAsia="宋体" w:cs="宋体"/>
          <w:color w:val="auto"/>
          <w:sz w:val="24"/>
          <w:szCs w:val="24"/>
          <w:highlight w:val="none"/>
          <w:u w:val="none"/>
          <w:lang w:eastAsia="zh-CN"/>
        </w:rPr>
        <w:t>本</w:t>
      </w:r>
      <w:r>
        <w:rPr>
          <w:rStyle w:val="31"/>
          <w:rFonts w:hint="eastAsia" w:ascii="宋体" w:hAnsi="宋体" w:eastAsia="宋体" w:cs="宋体"/>
          <w:color w:val="auto"/>
          <w:sz w:val="24"/>
          <w:szCs w:val="24"/>
          <w:highlight w:val="none"/>
          <w:u w:val="none"/>
          <w:lang w:val="en-US" w:eastAsia="zh-CN"/>
        </w:rPr>
        <w:t>保险</w:t>
      </w:r>
      <w:r>
        <w:rPr>
          <w:rStyle w:val="31"/>
          <w:rFonts w:hint="eastAsia" w:ascii="宋体" w:hAnsi="宋体" w:eastAsia="宋体" w:cs="宋体"/>
          <w:color w:val="auto"/>
          <w:sz w:val="24"/>
          <w:szCs w:val="24"/>
          <w:highlight w:val="none"/>
          <w:u w:val="none"/>
          <w:lang w:eastAsia="zh-CN"/>
        </w:rPr>
        <w:t>合同</w:t>
      </w:r>
      <w:r>
        <w:rPr>
          <w:rStyle w:val="31"/>
          <w:rFonts w:hint="eastAsia" w:ascii="宋体" w:hAnsi="宋体" w:eastAsia="宋体" w:cs="宋体"/>
          <w:color w:val="auto"/>
          <w:sz w:val="24"/>
          <w:szCs w:val="24"/>
          <w:highlight w:val="none"/>
          <w:u w:val="none"/>
        </w:rPr>
        <w:t>。</w:t>
      </w:r>
      <w:r>
        <w:rPr>
          <w:rStyle w:val="31"/>
          <w:rFonts w:hint="eastAsia" w:ascii="宋体" w:hAnsi="宋体" w:eastAsia="宋体" w:cs="宋体"/>
          <w:b/>
          <w:color w:val="auto"/>
          <w:sz w:val="24"/>
          <w:szCs w:val="24"/>
          <w:highlight w:val="none"/>
          <w:u w:val="none"/>
        </w:rPr>
        <w:t>但已发生任何保险金给付或已发生</w:t>
      </w:r>
      <w:r>
        <w:rPr>
          <w:rStyle w:val="31"/>
          <w:rFonts w:hint="eastAsia" w:ascii="宋体" w:hAnsi="宋体" w:eastAsia="宋体" w:cs="宋体"/>
          <w:b/>
          <w:color w:val="auto"/>
          <w:sz w:val="24"/>
          <w:szCs w:val="24"/>
          <w:highlight w:val="none"/>
          <w:u w:val="none"/>
          <w:lang w:eastAsia="zh-CN"/>
        </w:rPr>
        <w:t>本</w:t>
      </w:r>
      <w:r>
        <w:rPr>
          <w:rStyle w:val="31"/>
          <w:rFonts w:hint="eastAsia" w:ascii="宋体" w:hAnsi="宋体" w:eastAsia="宋体" w:cs="宋体"/>
          <w:b/>
          <w:color w:val="auto"/>
          <w:sz w:val="24"/>
          <w:szCs w:val="24"/>
          <w:highlight w:val="none"/>
          <w:u w:val="none"/>
          <w:lang w:val="en-US" w:eastAsia="zh-CN"/>
        </w:rPr>
        <w:t>保险</w:t>
      </w:r>
      <w:r>
        <w:rPr>
          <w:rStyle w:val="31"/>
          <w:rFonts w:hint="eastAsia" w:ascii="宋体" w:hAnsi="宋体" w:eastAsia="宋体" w:cs="宋体"/>
          <w:b/>
          <w:color w:val="auto"/>
          <w:sz w:val="24"/>
          <w:szCs w:val="24"/>
          <w:highlight w:val="none"/>
          <w:u w:val="none"/>
          <w:lang w:eastAsia="zh-CN"/>
        </w:rPr>
        <w:t>合同</w:t>
      </w:r>
      <w:r>
        <w:rPr>
          <w:rStyle w:val="31"/>
          <w:rFonts w:hint="eastAsia" w:ascii="宋体" w:hAnsi="宋体" w:eastAsia="宋体" w:cs="宋体"/>
          <w:b/>
          <w:color w:val="auto"/>
          <w:sz w:val="24"/>
          <w:szCs w:val="24"/>
          <w:highlight w:val="none"/>
          <w:u w:val="none"/>
        </w:rPr>
        <w:t>约定的保险事故但尚未给付保险金的，投保人不得要求解除</w:t>
      </w:r>
      <w:r>
        <w:rPr>
          <w:rStyle w:val="31"/>
          <w:rFonts w:hint="eastAsia" w:ascii="宋体" w:hAnsi="宋体" w:eastAsia="宋体" w:cs="宋体"/>
          <w:b/>
          <w:color w:val="auto"/>
          <w:sz w:val="24"/>
          <w:szCs w:val="24"/>
          <w:highlight w:val="none"/>
          <w:u w:val="none"/>
          <w:lang w:eastAsia="zh-CN"/>
        </w:rPr>
        <w:t>本</w:t>
      </w:r>
      <w:r>
        <w:rPr>
          <w:rStyle w:val="31"/>
          <w:rFonts w:hint="eastAsia" w:ascii="宋体" w:hAnsi="宋体" w:eastAsia="宋体" w:cs="宋体"/>
          <w:b/>
          <w:color w:val="auto"/>
          <w:sz w:val="24"/>
          <w:szCs w:val="24"/>
          <w:highlight w:val="none"/>
          <w:u w:val="none"/>
          <w:lang w:val="en-US" w:eastAsia="zh-CN"/>
        </w:rPr>
        <w:t>保险</w:t>
      </w:r>
      <w:r>
        <w:rPr>
          <w:rStyle w:val="31"/>
          <w:rFonts w:hint="eastAsia" w:ascii="宋体" w:hAnsi="宋体" w:eastAsia="宋体" w:cs="宋体"/>
          <w:b/>
          <w:color w:val="auto"/>
          <w:sz w:val="24"/>
          <w:szCs w:val="24"/>
          <w:highlight w:val="none"/>
          <w:u w:val="none"/>
          <w:lang w:eastAsia="zh-CN"/>
        </w:rPr>
        <w:t>合同</w:t>
      </w:r>
      <w:r>
        <w:rPr>
          <w:rStyle w:val="31"/>
          <w:rFonts w:hint="eastAsia" w:ascii="宋体" w:hAnsi="宋体" w:eastAsia="宋体" w:cs="宋体"/>
          <w:b/>
          <w:color w:val="auto"/>
          <w:sz w:val="24"/>
          <w:szCs w:val="24"/>
          <w:highlight w:val="none"/>
          <w:u w:val="none"/>
        </w:rPr>
        <w:t>。</w:t>
      </w:r>
    </w:p>
    <w:p w14:paraId="799798DF">
      <w:pPr>
        <w:pStyle w:val="43"/>
        <w:pageBreakBefore w:val="0"/>
        <w:widowControl w:val="0"/>
        <w:numPr>
          <w:ilvl w:val="0"/>
          <w:numId w:val="0"/>
        </w:numPr>
        <w:kinsoku/>
        <w:wordWrap/>
        <w:overflowPunct/>
        <w:topLinePunct w:val="0"/>
        <w:autoSpaceDE/>
        <w:autoSpaceDN/>
        <w:bidi w:val="0"/>
        <w:spacing w:line="312" w:lineRule="auto"/>
        <w:ind w:left="0" w:leftChars="0" w:firstLine="480" w:firstLineChars="200"/>
        <w:textAlignment w:val="auto"/>
        <w:rPr>
          <w:rStyle w:val="31"/>
          <w:rFonts w:hint="eastAsia" w:ascii="宋体" w:hAnsi="宋体" w:eastAsia="宋体" w:cs="宋体"/>
          <w:color w:val="auto"/>
          <w:sz w:val="24"/>
          <w:szCs w:val="24"/>
          <w:highlight w:val="none"/>
          <w:u w:val="none"/>
        </w:rPr>
      </w:pPr>
      <w:r>
        <w:rPr>
          <w:rStyle w:val="31"/>
          <w:rFonts w:hint="eastAsia" w:ascii="宋体" w:hAnsi="宋体" w:eastAsia="宋体" w:cs="宋体"/>
          <w:color w:val="auto"/>
          <w:sz w:val="24"/>
          <w:szCs w:val="24"/>
          <w:highlight w:val="none"/>
          <w:u w:val="none"/>
        </w:rPr>
        <w:t>投保人要求解除</w:t>
      </w:r>
      <w:r>
        <w:rPr>
          <w:rStyle w:val="31"/>
          <w:rFonts w:hint="eastAsia" w:ascii="宋体" w:hAnsi="宋体" w:eastAsia="宋体" w:cs="宋体"/>
          <w:color w:val="auto"/>
          <w:sz w:val="24"/>
          <w:szCs w:val="24"/>
          <w:highlight w:val="none"/>
          <w:u w:val="none"/>
          <w:lang w:eastAsia="zh-CN"/>
        </w:rPr>
        <w:t>本</w:t>
      </w:r>
      <w:r>
        <w:rPr>
          <w:rStyle w:val="31"/>
          <w:rFonts w:hint="eastAsia" w:ascii="宋体" w:hAnsi="宋体" w:eastAsia="宋体" w:cs="宋体"/>
          <w:color w:val="auto"/>
          <w:sz w:val="24"/>
          <w:szCs w:val="24"/>
          <w:highlight w:val="none"/>
          <w:u w:val="none"/>
          <w:lang w:val="en-US" w:eastAsia="zh-CN"/>
        </w:rPr>
        <w:t>保险</w:t>
      </w:r>
      <w:r>
        <w:rPr>
          <w:rStyle w:val="31"/>
          <w:rFonts w:hint="eastAsia" w:ascii="宋体" w:hAnsi="宋体" w:eastAsia="宋体" w:cs="宋体"/>
          <w:color w:val="auto"/>
          <w:sz w:val="24"/>
          <w:szCs w:val="24"/>
          <w:highlight w:val="none"/>
          <w:u w:val="none"/>
          <w:lang w:eastAsia="zh-CN"/>
        </w:rPr>
        <w:t>合同</w:t>
      </w:r>
      <w:r>
        <w:rPr>
          <w:rStyle w:val="31"/>
          <w:rFonts w:hint="eastAsia" w:ascii="宋体" w:hAnsi="宋体" w:eastAsia="宋体" w:cs="宋体"/>
          <w:color w:val="auto"/>
          <w:sz w:val="24"/>
          <w:szCs w:val="24"/>
          <w:highlight w:val="none"/>
          <w:u w:val="none"/>
        </w:rPr>
        <w:t>时，应填写保险合同解除申请书，并提交保险单、保险费交付凭证和投保人身份证明。</w:t>
      </w:r>
      <w:r>
        <w:rPr>
          <w:rStyle w:val="31"/>
          <w:rFonts w:hint="eastAsia" w:ascii="宋体" w:hAnsi="宋体" w:eastAsia="宋体" w:cs="宋体"/>
          <w:b/>
          <w:bCs/>
          <w:color w:val="auto"/>
          <w:sz w:val="24"/>
          <w:szCs w:val="24"/>
          <w:highlight w:val="none"/>
          <w:u w:val="none"/>
          <w:lang w:eastAsia="zh-CN"/>
        </w:rPr>
        <w:t>本保险合同</w:t>
      </w:r>
      <w:r>
        <w:rPr>
          <w:rStyle w:val="31"/>
          <w:rFonts w:hint="eastAsia" w:ascii="宋体" w:hAnsi="宋体" w:eastAsia="宋体" w:cs="宋体"/>
          <w:b/>
          <w:bCs/>
          <w:color w:val="auto"/>
          <w:sz w:val="24"/>
          <w:szCs w:val="24"/>
          <w:highlight w:val="none"/>
          <w:u w:val="none"/>
        </w:rPr>
        <w:t>自本保险人接到保险合同解除申请书时终止。</w:t>
      </w:r>
      <w:r>
        <w:rPr>
          <w:rStyle w:val="31"/>
          <w:rFonts w:hint="eastAsia" w:ascii="宋体" w:hAnsi="宋体" w:eastAsia="宋体" w:cs="宋体"/>
          <w:color w:val="auto"/>
          <w:sz w:val="24"/>
          <w:szCs w:val="24"/>
          <w:highlight w:val="none"/>
          <w:u w:val="none"/>
        </w:rPr>
        <w:t>本保险人于接到保险合同解除申请书之日起三十日内向投保人退还</w:t>
      </w:r>
      <w:r>
        <w:rPr>
          <w:rStyle w:val="31"/>
          <w:rFonts w:hint="eastAsia" w:ascii="宋体" w:hAnsi="宋体" w:eastAsia="宋体" w:cs="宋体"/>
          <w:color w:val="auto"/>
          <w:sz w:val="24"/>
          <w:szCs w:val="24"/>
          <w:highlight w:val="none"/>
          <w:u w:val="none"/>
          <w:lang w:eastAsia="zh-CN"/>
        </w:rPr>
        <w:t>本</w:t>
      </w:r>
      <w:r>
        <w:rPr>
          <w:rStyle w:val="31"/>
          <w:rFonts w:hint="eastAsia" w:ascii="宋体" w:hAnsi="宋体" w:eastAsia="宋体" w:cs="宋体"/>
          <w:color w:val="auto"/>
          <w:sz w:val="24"/>
          <w:szCs w:val="24"/>
          <w:highlight w:val="none"/>
          <w:u w:val="none"/>
          <w:lang w:val="en-US" w:eastAsia="zh-CN"/>
        </w:rPr>
        <w:t>保险</w:t>
      </w:r>
      <w:r>
        <w:rPr>
          <w:rStyle w:val="31"/>
          <w:rFonts w:hint="eastAsia" w:ascii="宋体" w:hAnsi="宋体" w:eastAsia="宋体" w:cs="宋体"/>
          <w:color w:val="auto"/>
          <w:sz w:val="24"/>
          <w:szCs w:val="24"/>
          <w:highlight w:val="none"/>
          <w:u w:val="none"/>
          <w:lang w:eastAsia="zh-CN"/>
        </w:rPr>
        <w:t>合同</w:t>
      </w:r>
      <w:r>
        <w:rPr>
          <w:rStyle w:val="31"/>
          <w:rFonts w:hint="eastAsia" w:ascii="宋体" w:hAnsi="宋体" w:eastAsia="宋体" w:cs="宋体"/>
          <w:color w:val="auto"/>
          <w:sz w:val="24"/>
          <w:szCs w:val="24"/>
          <w:highlight w:val="none"/>
          <w:u w:val="none"/>
        </w:rPr>
        <w:t>的</w:t>
      </w:r>
      <w:r>
        <w:rPr>
          <w:rStyle w:val="31"/>
          <w:rFonts w:hint="eastAsia" w:ascii="宋体" w:hAnsi="宋体" w:eastAsia="宋体" w:cs="宋体"/>
          <w:color w:val="auto"/>
          <w:sz w:val="24"/>
          <w:szCs w:val="24"/>
          <w:highlight w:val="none"/>
          <w:u w:val="none"/>
        </w:rPr>
        <w:fldChar w:fldCharType="begin"/>
      </w:r>
      <w:r>
        <w:rPr>
          <w:rStyle w:val="31"/>
          <w:rFonts w:hint="eastAsia" w:ascii="宋体" w:hAnsi="宋体" w:eastAsia="宋体" w:cs="宋体"/>
          <w:color w:val="auto"/>
          <w:sz w:val="24"/>
          <w:szCs w:val="24"/>
          <w:highlight w:val="none"/>
          <w:u w:val="none"/>
        </w:rPr>
        <w:instrText xml:space="preserve"> HYPERLINK \l "_9.14_未满期净保险费" </w:instrText>
      </w:r>
      <w:r>
        <w:rPr>
          <w:rStyle w:val="31"/>
          <w:rFonts w:hint="eastAsia" w:ascii="宋体" w:hAnsi="宋体" w:eastAsia="宋体" w:cs="宋体"/>
          <w:color w:val="auto"/>
          <w:sz w:val="24"/>
          <w:szCs w:val="24"/>
          <w:highlight w:val="none"/>
          <w:u w:val="none"/>
        </w:rPr>
        <w:fldChar w:fldCharType="separate"/>
      </w:r>
      <w:r>
        <w:rPr>
          <w:rStyle w:val="31"/>
          <w:rFonts w:hint="eastAsia" w:ascii="宋体" w:hAnsi="宋体" w:eastAsia="宋体" w:cs="宋体"/>
          <w:color w:val="auto"/>
          <w:sz w:val="24"/>
          <w:szCs w:val="24"/>
          <w:highlight w:val="none"/>
          <w:u w:val="none"/>
        </w:rPr>
        <w:t>现金价值</w:t>
      </w:r>
      <w:r>
        <w:rPr>
          <w:rStyle w:val="31"/>
          <w:rFonts w:hint="eastAsia" w:ascii="宋体" w:hAnsi="宋体" w:eastAsia="宋体" w:cs="宋体"/>
          <w:color w:val="auto"/>
          <w:sz w:val="24"/>
          <w:szCs w:val="24"/>
          <w:highlight w:val="none"/>
          <w:u w:val="none"/>
        </w:rPr>
        <w:fldChar w:fldCharType="end"/>
      </w:r>
      <w:r>
        <w:rPr>
          <w:rStyle w:val="31"/>
          <w:rFonts w:hint="eastAsia" w:ascii="宋体" w:hAnsi="宋体" w:eastAsia="宋体" w:cs="宋体"/>
          <w:color w:val="auto"/>
          <w:sz w:val="24"/>
          <w:szCs w:val="24"/>
          <w:highlight w:val="none"/>
          <w:u w:val="none"/>
        </w:rPr>
        <w:t>；但若投保人在保险责任开始前就要求解除合同，则保险人全额退还已交纳的保险费。</w:t>
      </w:r>
    </w:p>
    <w:p w14:paraId="00EE5878">
      <w:pPr>
        <w:pStyle w:val="2"/>
        <w:pageBreakBefore w:val="0"/>
        <w:widowControl w:val="0"/>
        <w:tabs>
          <w:tab w:val="left" w:pos="960"/>
        </w:tabs>
        <w:kinsoku/>
        <w:wordWrap/>
        <w:overflowPunct/>
        <w:topLinePunct w:val="0"/>
        <w:autoSpaceDE/>
        <w:autoSpaceDN/>
        <w:bidi w:val="0"/>
        <w:spacing w:before="0" w:after="0"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争议处理和法律适用</w:t>
      </w:r>
    </w:p>
    <w:p w14:paraId="02760579">
      <w:pPr>
        <w:pStyle w:val="3"/>
        <w:pageBreakBefore w:val="0"/>
        <w:widowControl w:val="0"/>
        <w:tabs>
          <w:tab w:val="left" w:pos="960"/>
        </w:tabs>
        <w:kinsoku/>
        <w:wordWrap/>
        <w:overflowPunct/>
        <w:topLinePunct w:val="0"/>
        <w:autoSpaceDE/>
        <w:autoSpaceDN/>
        <w:bidi w:val="0"/>
        <w:spacing w:before="0" w:after="0" w:line="312" w:lineRule="auto"/>
        <w:ind w:left="0"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争议处理</w:t>
      </w:r>
    </w:p>
    <w:p w14:paraId="5501B99D">
      <w:pPr>
        <w:pStyle w:val="43"/>
        <w:pageBreakBefore w:val="0"/>
        <w:widowControl w:val="0"/>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合同争议解决方式由当事人在合同约定时从下列两种方式中选择一种：</w:t>
      </w:r>
    </w:p>
    <w:p w14:paraId="03504229">
      <w:pPr>
        <w:pStyle w:val="43"/>
        <w:pageBreakBefore w:val="0"/>
        <w:widowControl w:val="0"/>
        <w:numPr>
          <w:ilvl w:val="0"/>
          <w:numId w:val="0"/>
        </w:numPr>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因履行本合同发生的争议，由当事人协商解决，协商不成的，依法向人民法院起诉</w:t>
      </w:r>
      <w:r>
        <w:rPr>
          <w:rFonts w:hint="eastAsia" w:ascii="宋体" w:hAnsi="宋体" w:eastAsia="宋体" w:cs="宋体"/>
          <w:color w:val="auto"/>
          <w:sz w:val="24"/>
          <w:szCs w:val="24"/>
          <w:highlight w:val="none"/>
          <w:lang w:eastAsia="zh-CN"/>
        </w:rPr>
        <w:t>；</w:t>
      </w:r>
    </w:p>
    <w:p w14:paraId="67D9DC87">
      <w:pPr>
        <w:pStyle w:val="43"/>
        <w:pageBreakBefore w:val="0"/>
        <w:widowControl w:val="0"/>
        <w:numPr>
          <w:ilvl w:val="0"/>
          <w:numId w:val="0"/>
        </w:numPr>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因履行本合同发生的争议，由当事人协商解决，协商不成的，提交保险单载明的仲裁委员会仲裁</w:t>
      </w:r>
      <w:r>
        <w:rPr>
          <w:rFonts w:hint="eastAsia" w:ascii="宋体" w:hAnsi="宋体" w:eastAsia="宋体" w:cs="宋体"/>
          <w:color w:val="auto"/>
          <w:sz w:val="24"/>
          <w:szCs w:val="24"/>
          <w:highlight w:val="none"/>
          <w:lang w:eastAsia="zh-CN"/>
        </w:rPr>
        <w:t>。</w:t>
      </w:r>
    </w:p>
    <w:p w14:paraId="626FA81A">
      <w:pPr>
        <w:pStyle w:val="3"/>
        <w:pageBreakBefore w:val="0"/>
        <w:widowControl w:val="0"/>
        <w:tabs>
          <w:tab w:val="left" w:pos="960"/>
        </w:tabs>
        <w:kinsoku/>
        <w:wordWrap/>
        <w:overflowPunct/>
        <w:topLinePunct w:val="0"/>
        <w:autoSpaceDE/>
        <w:autoSpaceDN/>
        <w:bidi w:val="0"/>
        <w:spacing w:before="0" w:after="0" w:line="312" w:lineRule="auto"/>
        <w:ind w:left="0"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法律适用</w:t>
      </w:r>
    </w:p>
    <w:p w14:paraId="170C3385">
      <w:pPr>
        <w:pageBreakBefore w:val="0"/>
        <w:widowControl w:val="0"/>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lang w:eastAsia="zh-CN"/>
        </w:rPr>
        <w:t>本</w:t>
      </w:r>
      <w:r>
        <w:rPr>
          <w:rFonts w:hint="eastAsia" w:ascii="宋体" w:hAnsi="宋体" w:eastAsia="宋体" w:cs="宋体"/>
          <w:color w:val="auto"/>
          <w:sz w:val="24"/>
          <w:szCs w:val="24"/>
          <w:highlight w:val="none"/>
          <w:lang w:val="en-US" w:eastAsia="zh-CN"/>
        </w:rPr>
        <w:t>保</w:t>
      </w:r>
      <w:r>
        <w:rPr>
          <w:rFonts w:hint="eastAsia" w:ascii="宋体" w:hAnsi="宋体" w:eastAsia="宋体" w:cs="宋体"/>
          <w:color w:val="auto"/>
          <w:sz w:val="24"/>
          <w:szCs w:val="24"/>
          <w:highlight w:val="none"/>
          <w:lang w:eastAsia="zh-CN"/>
        </w:rPr>
        <w:t>险合同</w:t>
      </w:r>
      <w:r>
        <w:rPr>
          <w:rFonts w:hint="eastAsia" w:ascii="宋体" w:hAnsi="宋体" w:eastAsia="宋体" w:cs="宋体"/>
          <w:color w:val="auto"/>
          <w:sz w:val="24"/>
          <w:szCs w:val="24"/>
          <w:highlight w:val="none"/>
        </w:rPr>
        <w:t>有关的以及履行</w:t>
      </w:r>
      <w:r>
        <w:rPr>
          <w:rFonts w:hint="eastAsia" w:ascii="宋体" w:hAnsi="宋体" w:eastAsia="宋体" w:cs="宋体"/>
          <w:color w:val="auto"/>
          <w:sz w:val="24"/>
          <w:szCs w:val="24"/>
          <w:highlight w:val="none"/>
          <w:lang w:eastAsia="zh-CN"/>
        </w:rPr>
        <w:t>本</w:t>
      </w:r>
      <w:r>
        <w:rPr>
          <w:rFonts w:hint="eastAsia" w:ascii="宋体" w:hAnsi="宋体" w:eastAsia="宋体" w:cs="宋体"/>
          <w:color w:val="auto"/>
          <w:sz w:val="24"/>
          <w:szCs w:val="24"/>
          <w:highlight w:val="none"/>
          <w:lang w:val="en-US" w:eastAsia="zh-CN"/>
        </w:rPr>
        <w:t>保险</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auto"/>
          <w:sz w:val="24"/>
          <w:szCs w:val="24"/>
          <w:highlight w:val="none"/>
        </w:rPr>
        <w:t>产生的一切争议处理适用中华人民共和国法律（不包括港澳台地区法律）。</w:t>
      </w:r>
    </w:p>
    <w:p w14:paraId="10BB651A">
      <w:pPr>
        <w:pStyle w:val="2"/>
        <w:pageBreakBefore w:val="0"/>
        <w:widowControl w:val="0"/>
        <w:tabs>
          <w:tab w:val="left" w:pos="960"/>
        </w:tabs>
        <w:kinsoku/>
        <w:wordWrap/>
        <w:overflowPunct/>
        <w:topLinePunct w:val="0"/>
        <w:autoSpaceDE/>
        <w:autoSpaceDN/>
        <w:bidi w:val="0"/>
        <w:spacing w:before="0" w:after="0"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合法性保证</w:t>
      </w:r>
    </w:p>
    <w:p w14:paraId="151F696F">
      <w:pPr>
        <w:pageBreakBefore w:val="0"/>
        <w:widowControl w:val="0"/>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本</w:t>
      </w:r>
      <w:r>
        <w:rPr>
          <w:rFonts w:hint="eastAsia" w:ascii="宋体" w:hAnsi="宋体" w:eastAsia="宋体" w:cs="宋体"/>
          <w:color w:val="auto"/>
          <w:sz w:val="24"/>
          <w:szCs w:val="24"/>
          <w:highlight w:val="none"/>
          <w:lang w:val="en-US" w:eastAsia="zh-CN"/>
        </w:rPr>
        <w:t>保险</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auto"/>
          <w:sz w:val="24"/>
          <w:szCs w:val="24"/>
          <w:highlight w:val="none"/>
        </w:rPr>
        <w:t>约定与《中华人民共和国保险法》等法律规定相悖之处，以法律规定为准。</w:t>
      </w:r>
      <w:r>
        <w:rPr>
          <w:rFonts w:hint="eastAsia" w:ascii="宋体" w:hAnsi="宋体" w:eastAsia="宋体" w:cs="宋体"/>
          <w:color w:val="auto"/>
          <w:sz w:val="24"/>
          <w:szCs w:val="24"/>
          <w:highlight w:val="none"/>
          <w:lang w:eastAsia="zh-CN"/>
        </w:rPr>
        <w:t>本</w:t>
      </w:r>
      <w:r>
        <w:rPr>
          <w:rFonts w:hint="eastAsia" w:ascii="宋体" w:hAnsi="宋体" w:eastAsia="宋体" w:cs="宋体"/>
          <w:color w:val="auto"/>
          <w:sz w:val="24"/>
          <w:szCs w:val="24"/>
          <w:highlight w:val="none"/>
          <w:lang w:val="en-US" w:eastAsia="zh-CN"/>
        </w:rPr>
        <w:t>保险</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auto"/>
          <w:sz w:val="24"/>
          <w:szCs w:val="24"/>
          <w:highlight w:val="none"/>
        </w:rPr>
        <w:t>未尽事宜，以法律规定为准。</w:t>
      </w:r>
    </w:p>
    <w:p w14:paraId="4FB8F93B">
      <w:pPr>
        <w:pStyle w:val="2"/>
        <w:pageBreakBefore w:val="0"/>
        <w:widowControl w:val="0"/>
        <w:numPr>
          <w:ilvl w:val="0"/>
          <w:numId w:val="7"/>
        </w:numPr>
        <w:tabs>
          <w:tab w:val="left" w:pos="960"/>
        </w:tabs>
        <w:kinsoku/>
        <w:wordWrap/>
        <w:overflowPunct/>
        <w:topLinePunct w:val="0"/>
        <w:autoSpaceDE/>
        <w:autoSpaceDN/>
        <w:bidi w:val="0"/>
        <w:spacing w:before="0" w:after="0"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释义</w:t>
      </w:r>
    </w:p>
    <w:p w14:paraId="2F921308">
      <w:pPr>
        <w:pageBreakBefore w:val="0"/>
        <w:widowControl w:val="0"/>
        <w:numPr>
          <w:ilvl w:val="0"/>
          <w:numId w:val="0"/>
        </w:numPr>
        <w:kinsoku/>
        <w:wordWrap/>
        <w:overflowPunct/>
        <w:topLinePunct w:val="0"/>
        <w:autoSpaceDE/>
        <w:autoSpaceDN/>
        <w:bidi w:val="0"/>
        <w:spacing w:line="312" w:lineRule="auto"/>
        <w:ind w:left="0" w:leftChars="0" w:firstLine="482" w:firstLineChars="200"/>
        <w:textAlignment w:val="auto"/>
        <w:rPr>
          <w:rStyle w:val="31"/>
          <w:rFonts w:hint="eastAsia" w:ascii="宋体" w:hAnsi="宋体" w:eastAsia="宋体" w:cs="宋体"/>
          <w:b/>
          <w:bCs/>
          <w:color w:val="auto"/>
          <w:kern w:val="2"/>
          <w:sz w:val="24"/>
          <w:szCs w:val="24"/>
          <w:highlight w:val="none"/>
          <w:u w:val="none"/>
          <w:lang w:val="en-US" w:eastAsia="zh-CN" w:bidi="ar-SA"/>
        </w:rPr>
      </w:pPr>
      <w:r>
        <w:rPr>
          <w:rStyle w:val="31"/>
          <w:rFonts w:hint="eastAsia" w:ascii="宋体" w:hAnsi="宋体" w:eastAsia="宋体" w:cs="宋体"/>
          <w:b/>
          <w:bCs/>
          <w:color w:val="auto"/>
          <w:kern w:val="2"/>
          <w:sz w:val="24"/>
          <w:szCs w:val="24"/>
          <w:highlight w:val="none"/>
          <w:u w:val="none"/>
          <w:lang w:val="en-US" w:eastAsia="zh-CN" w:bidi="ar-SA"/>
        </w:rPr>
        <w:fldChar w:fldCharType="begin"/>
      </w:r>
      <w:r>
        <w:rPr>
          <w:rStyle w:val="31"/>
          <w:rFonts w:hint="eastAsia" w:ascii="宋体" w:hAnsi="宋体" w:eastAsia="宋体" w:cs="宋体"/>
          <w:b/>
          <w:bCs/>
          <w:color w:val="auto"/>
          <w:kern w:val="2"/>
          <w:sz w:val="24"/>
          <w:szCs w:val="24"/>
          <w:highlight w:val="none"/>
          <w:u w:val="none"/>
          <w:lang w:val="en-US" w:eastAsia="zh-CN" w:bidi="ar-SA"/>
        </w:rPr>
        <w:instrText xml:space="preserve"> HYPERLINK  \l "_1.3_被保险人" </w:instrText>
      </w:r>
      <w:r>
        <w:rPr>
          <w:rStyle w:val="31"/>
          <w:rFonts w:hint="eastAsia" w:ascii="宋体" w:hAnsi="宋体" w:eastAsia="宋体" w:cs="宋体"/>
          <w:b/>
          <w:bCs/>
          <w:color w:val="auto"/>
          <w:kern w:val="2"/>
          <w:sz w:val="24"/>
          <w:szCs w:val="24"/>
          <w:highlight w:val="none"/>
          <w:u w:val="none"/>
          <w:lang w:val="en-US" w:eastAsia="zh-CN" w:bidi="ar-SA"/>
        </w:rPr>
        <w:fldChar w:fldCharType="separate"/>
      </w:r>
      <w:r>
        <w:rPr>
          <w:rStyle w:val="31"/>
          <w:rFonts w:hint="eastAsia" w:ascii="宋体" w:hAnsi="宋体" w:eastAsia="宋体" w:cs="宋体"/>
          <w:b/>
          <w:bCs/>
          <w:color w:val="auto"/>
          <w:kern w:val="2"/>
          <w:sz w:val="24"/>
          <w:szCs w:val="24"/>
          <w:highlight w:val="none"/>
          <w:u w:val="none"/>
          <w:lang w:val="en-US" w:eastAsia="zh-CN" w:bidi="ar-SA"/>
        </w:rPr>
        <w:t>9.1</w:t>
      </w:r>
      <w:r>
        <w:rPr>
          <w:rStyle w:val="31"/>
          <w:rFonts w:hint="eastAsia" w:ascii="宋体" w:hAnsi="宋体" w:eastAsia="宋体" w:cs="宋体"/>
          <w:b/>
          <w:bCs/>
          <w:color w:val="auto"/>
          <w:kern w:val="2"/>
          <w:sz w:val="24"/>
          <w:szCs w:val="24"/>
          <w:highlight w:val="none"/>
          <w:u w:val="none"/>
          <w:lang w:val="en-US" w:eastAsia="zh-CN" w:bidi="ar-SA"/>
        </w:rPr>
        <w:tab/>
      </w:r>
      <w:r>
        <w:rPr>
          <w:rStyle w:val="31"/>
          <w:rFonts w:hint="eastAsia" w:ascii="宋体" w:hAnsi="宋体" w:eastAsia="宋体" w:cs="宋体"/>
          <w:b/>
          <w:bCs/>
          <w:color w:val="auto"/>
          <w:kern w:val="2"/>
          <w:sz w:val="24"/>
          <w:szCs w:val="24"/>
          <w:highlight w:val="none"/>
          <w:u w:val="none"/>
          <w:lang w:val="en-US" w:eastAsia="zh-CN" w:bidi="ar-SA"/>
        </w:rPr>
        <w:t>周岁</w:t>
      </w:r>
    </w:p>
    <w:p w14:paraId="34DB3F7C">
      <w:pPr>
        <w:pageBreakBefore w:val="0"/>
        <w:widowControl w:val="0"/>
        <w:numPr>
          <w:ilvl w:val="0"/>
          <w:numId w:val="0"/>
        </w:numPr>
        <w:kinsoku/>
        <w:wordWrap/>
        <w:overflowPunct/>
        <w:topLinePunct w:val="0"/>
        <w:autoSpaceDE/>
        <w:autoSpaceDN/>
        <w:bidi w:val="0"/>
        <w:spacing w:line="312" w:lineRule="auto"/>
        <w:ind w:left="0" w:leftChars="0" w:firstLine="482" w:firstLineChars="200"/>
        <w:textAlignment w:val="auto"/>
        <w:rPr>
          <w:rFonts w:hint="eastAsia" w:ascii="宋体" w:hAnsi="宋体" w:eastAsia="宋体" w:cs="宋体"/>
          <w:color w:val="auto"/>
          <w:sz w:val="24"/>
          <w:szCs w:val="24"/>
          <w:highlight w:val="none"/>
        </w:rPr>
      </w:pPr>
      <w:r>
        <w:rPr>
          <w:rStyle w:val="31"/>
          <w:rFonts w:hint="eastAsia" w:ascii="宋体" w:hAnsi="宋体" w:eastAsia="宋体" w:cs="宋体"/>
          <w:b/>
          <w:bCs/>
          <w:color w:val="auto"/>
          <w:kern w:val="2"/>
          <w:sz w:val="24"/>
          <w:szCs w:val="24"/>
          <w:highlight w:val="none"/>
          <w:u w:val="none"/>
          <w:lang w:val="en-US" w:eastAsia="zh-CN" w:bidi="ar-SA"/>
        </w:rPr>
        <w:fldChar w:fldCharType="end"/>
      </w:r>
      <w:r>
        <w:rPr>
          <w:rStyle w:val="31"/>
          <w:rFonts w:hint="eastAsia" w:ascii="宋体" w:hAnsi="宋体" w:eastAsia="宋体" w:cs="宋体"/>
          <w:b/>
          <w:bCs/>
          <w:color w:val="auto"/>
          <w:kern w:val="2"/>
          <w:sz w:val="24"/>
          <w:szCs w:val="24"/>
          <w:highlight w:val="none"/>
          <w:u w:val="none"/>
          <w:lang w:val="en-US" w:eastAsia="zh-CN" w:bidi="ar-SA"/>
        </w:rPr>
        <w:t xml:space="preserve">    </w:t>
      </w:r>
      <w:r>
        <w:rPr>
          <w:rFonts w:hint="eastAsia" w:ascii="宋体" w:hAnsi="宋体" w:eastAsia="宋体" w:cs="宋体"/>
          <w:color w:val="auto"/>
          <w:sz w:val="24"/>
          <w:szCs w:val="24"/>
          <w:highlight w:val="none"/>
        </w:rPr>
        <w:t>以法定身份证明文件中记载的出生日期为基础计算的实足年龄。</w:t>
      </w:r>
    </w:p>
    <w:p w14:paraId="3D1690D8">
      <w:pPr>
        <w:pStyle w:val="3"/>
        <w:pageBreakBefore w:val="0"/>
        <w:widowControl w:val="0"/>
        <w:tabs>
          <w:tab w:val="left" w:pos="960"/>
        </w:tabs>
        <w:kinsoku/>
        <w:wordWrap/>
        <w:overflowPunct/>
        <w:topLinePunct w:val="0"/>
        <w:autoSpaceDE/>
        <w:autoSpaceDN/>
        <w:bidi w:val="0"/>
        <w:spacing w:before="0" w:after="0" w:line="312" w:lineRule="auto"/>
        <w:ind w:left="0" w:leftChars="0" w:firstLine="482" w:firstLineChars="200"/>
        <w:textAlignment w:val="auto"/>
        <w:rPr>
          <w:rStyle w:val="31"/>
          <w:rFonts w:hint="eastAsia" w:ascii="宋体" w:hAnsi="宋体" w:eastAsia="宋体" w:cs="宋体"/>
          <w:color w:val="auto"/>
          <w:sz w:val="24"/>
          <w:szCs w:val="24"/>
          <w:highlight w:val="none"/>
          <w:u w:val="none"/>
        </w:rPr>
      </w:pPr>
      <w:bookmarkStart w:id="43" w:name="_9.2_等待期"/>
      <w:bookmarkEnd w:id="43"/>
      <w:bookmarkStart w:id="44" w:name="_9.1_周岁"/>
      <w:bookmarkEnd w:id="44"/>
      <w:r>
        <w:rPr>
          <w:rStyle w:val="31"/>
          <w:rFonts w:hint="eastAsia" w:ascii="宋体" w:hAnsi="宋体" w:eastAsia="宋体" w:cs="宋体"/>
          <w:color w:val="auto"/>
          <w:sz w:val="24"/>
          <w:szCs w:val="24"/>
          <w:highlight w:val="none"/>
          <w:u w:val="none"/>
        </w:rPr>
        <w:fldChar w:fldCharType="begin"/>
      </w:r>
      <w:r>
        <w:rPr>
          <w:rStyle w:val="31"/>
          <w:rFonts w:hint="eastAsia" w:ascii="宋体" w:hAnsi="宋体" w:eastAsia="宋体" w:cs="宋体"/>
          <w:color w:val="auto"/>
          <w:sz w:val="24"/>
          <w:szCs w:val="24"/>
          <w:highlight w:val="none"/>
          <w:u w:val="none"/>
        </w:rPr>
        <w:instrText xml:space="preserve"> HYPERLINK  \l "_2.1_保险责任" </w:instrText>
      </w:r>
      <w:r>
        <w:rPr>
          <w:rStyle w:val="31"/>
          <w:rFonts w:hint="eastAsia" w:ascii="宋体" w:hAnsi="宋体" w:eastAsia="宋体" w:cs="宋体"/>
          <w:color w:val="auto"/>
          <w:sz w:val="24"/>
          <w:szCs w:val="24"/>
          <w:highlight w:val="none"/>
          <w:u w:val="none"/>
        </w:rPr>
        <w:fldChar w:fldCharType="separate"/>
      </w:r>
      <w:r>
        <w:rPr>
          <w:rStyle w:val="31"/>
          <w:rFonts w:hint="eastAsia" w:ascii="宋体" w:hAnsi="宋体" w:eastAsia="宋体" w:cs="宋体"/>
          <w:color w:val="auto"/>
          <w:sz w:val="24"/>
          <w:szCs w:val="24"/>
          <w:highlight w:val="none"/>
          <w:u w:val="none"/>
        </w:rPr>
        <w:t>9.</w:t>
      </w:r>
      <w:r>
        <w:rPr>
          <w:rStyle w:val="31"/>
          <w:rFonts w:hint="eastAsia" w:ascii="宋体" w:hAnsi="宋体" w:eastAsia="宋体" w:cs="宋体"/>
          <w:color w:val="auto"/>
          <w:sz w:val="24"/>
          <w:szCs w:val="24"/>
          <w:highlight w:val="none"/>
          <w:u w:val="none"/>
          <w:lang w:val="en-US" w:eastAsia="zh-CN"/>
        </w:rPr>
        <w:t>2</w:t>
      </w:r>
      <w:r>
        <w:rPr>
          <w:rStyle w:val="31"/>
          <w:rFonts w:hint="eastAsia" w:ascii="宋体" w:hAnsi="宋体" w:eastAsia="宋体" w:cs="宋体"/>
          <w:color w:val="auto"/>
          <w:sz w:val="24"/>
          <w:szCs w:val="24"/>
          <w:highlight w:val="none"/>
          <w:u w:val="none"/>
        </w:rPr>
        <w:tab/>
      </w:r>
      <w:r>
        <w:rPr>
          <w:rStyle w:val="31"/>
          <w:rFonts w:hint="eastAsia" w:ascii="宋体" w:hAnsi="宋体" w:eastAsia="宋体" w:cs="宋体"/>
          <w:color w:val="auto"/>
          <w:sz w:val="24"/>
          <w:szCs w:val="24"/>
          <w:highlight w:val="none"/>
          <w:u w:val="none"/>
        </w:rPr>
        <w:t>意外伤害</w:t>
      </w:r>
    </w:p>
    <w:p w14:paraId="6DECA576">
      <w:pPr>
        <w:pStyle w:val="43"/>
        <w:pageBreakBefore w:val="0"/>
        <w:widowControl w:val="0"/>
        <w:kinsoku/>
        <w:wordWrap/>
        <w:overflowPunct/>
        <w:topLinePunct w:val="0"/>
        <w:autoSpaceDE/>
        <w:autoSpaceDN/>
        <w:bidi w:val="0"/>
        <w:spacing w:line="312" w:lineRule="auto"/>
        <w:ind w:left="0" w:leftChars="0" w:firstLine="482" w:firstLineChars="200"/>
        <w:textAlignment w:val="auto"/>
        <w:rPr>
          <w:rFonts w:hint="eastAsia" w:ascii="宋体" w:hAnsi="宋体" w:eastAsia="宋体" w:cs="宋体"/>
          <w:color w:val="auto"/>
          <w:sz w:val="24"/>
          <w:szCs w:val="24"/>
          <w:highlight w:val="none"/>
        </w:rPr>
      </w:pPr>
      <w:r>
        <w:rPr>
          <w:rStyle w:val="31"/>
          <w:rFonts w:hint="eastAsia" w:ascii="宋体" w:hAnsi="宋体" w:eastAsia="宋体" w:cs="宋体"/>
          <w:b/>
          <w:bCs/>
          <w:color w:val="auto"/>
          <w:sz w:val="24"/>
          <w:szCs w:val="24"/>
          <w:highlight w:val="none"/>
          <w:u w:val="none"/>
        </w:rPr>
        <w:fldChar w:fldCharType="end"/>
      </w:r>
      <w:r>
        <w:rPr>
          <w:rFonts w:hint="eastAsia" w:ascii="宋体" w:hAnsi="宋体" w:eastAsia="宋体" w:cs="宋体"/>
          <w:color w:val="auto"/>
          <w:sz w:val="24"/>
          <w:szCs w:val="24"/>
          <w:highlight w:val="none"/>
        </w:rPr>
        <w:t>指外来的、突发的、非本意的、非疾病的客观事件致使身体受到的伤害。</w:t>
      </w:r>
    </w:p>
    <w:p w14:paraId="34C16474">
      <w:pPr>
        <w:pStyle w:val="43"/>
        <w:pageBreakBefore w:val="0"/>
        <w:widowControl w:val="0"/>
        <w:kinsoku/>
        <w:wordWrap/>
        <w:overflowPunct/>
        <w:topLinePunct w:val="0"/>
        <w:autoSpaceDE/>
        <w:autoSpaceDN/>
        <w:bidi w:val="0"/>
        <w:spacing w:line="312" w:lineRule="auto"/>
        <w:ind w:left="0"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以下情形属于疾病范畴，非本条款所指意外伤害：</w:t>
      </w:r>
    </w:p>
    <w:p w14:paraId="4928825B">
      <w:pPr>
        <w:pStyle w:val="43"/>
        <w:pageBreakBefore w:val="0"/>
        <w:widowControl w:val="0"/>
        <w:kinsoku/>
        <w:wordWrap/>
        <w:overflowPunct/>
        <w:topLinePunct w:val="0"/>
        <w:autoSpaceDE/>
        <w:autoSpaceDN/>
        <w:bidi w:val="0"/>
        <w:spacing w:line="312"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猝死：指由潜在疾病、身体机能障碍或其他非外来性原因所导致的、在出现急性症状后发生的突然死亡，以医院的诊断或公安、司法机关的鉴定为准；</w:t>
      </w:r>
    </w:p>
    <w:p w14:paraId="1B6CBA61">
      <w:pPr>
        <w:pStyle w:val="43"/>
        <w:pageBreakBefore w:val="0"/>
        <w:widowControl w:val="0"/>
        <w:kinsoku/>
        <w:wordWrap/>
        <w:overflowPunct/>
        <w:topLinePunct w:val="0"/>
        <w:autoSpaceDE/>
        <w:autoSpaceDN/>
        <w:bidi w:val="0"/>
        <w:spacing w:line="312"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（2）过敏及由过敏引发的变态反应性疾病；</w:t>
      </w:r>
    </w:p>
    <w:p w14:paraId="76D11A64">
      <w:pPr>
        <w:pStyle w:val="43"/>
        <w:pageBreakBefore w:val="0"/>
        <w:widowControl w:val="0"/>
        <w:kinsoku/>
        <w:wordWrap/>
        <w:overflowPunct/>
        <w:topLinePunct w:val="0"/>
        <w:autoSpaceDE/>
        <w:autoSpaceDN/>
        <w:bidi w:val="0"/>
        <w:spacing w:line="312"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（3）高原反应；</w:t>
      </w:r>
    </w:p>
    <w:p w14:paraId="4D082B45">
      <w:pPr>
        <w:pStyle w:val="43"/>
        <w:pageBreakBefore w:val="0"/>
        <w:widowControl w:val="0"/>
        <w:kinsoku/>
        <w:wordWrap/>
        <w:overflowPunct/>
        <w:topLinePunct w:val="0"/>
        <w:autoSpaceDE/>
        <w:autoSpaceDN/>
        <w:bidi w:val="0"/>
        <w:spacing w:line="312"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（4）中暑；</w:t>
      </w:r>
    </w:p>
    <w:p w14:paraId="389A9D64">
      <w:pPr>
        <w:pStyle w:val="43"/>
        <w:pageBreakBefore w:val="0"/>
        <w:widowControl w:val="0"/>
        <w:kinsoku/>
        <w:wordWrap/>
        <w:overflowPunct/>
        <w:topLinePunct w:val="0"/>
        <w:autoSpaceDE/>
        <w:autoSpaceDN/>
        <w:bidi w:val="0"/>
        <w:spacing w:line="312"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（5）细菌、病毒或其他病原体导致的感染性疾病。</w:t>
      </w:r>
      <w:bookmarkStart w:id="45" w:name="_9.3_重大疾病"/>
      <w:bookmarkEnd w:id="45"/>
    </w:p>
    <w:p w14:paraId="5DD4C59D">
      <w:pPr>
        <w:pStyle w:val="3"/>
        <w:pageBreakBefore w:val="0"/>
        <w:widowControl w:val="0"/>
        <w:tabs>
          <w:tab w:val="left" w:pos="960"/>
        </w:tabs>
        <w:kinsoku/>
        <w:wordWrap/>
        <w:overflowPunct/>
        <w:topLinePunct w:val="0"/>
        <w:autoSpaceDE/>
        <w:autoSpaceDN/>
        <w:bidi w:val="0"/>
        <w:spacing w:before="0" w:after="0" w:line="312" w:lineRule="auto"/>
        <w:ind w:left="0" w:leftChars="0" w:firstLine="482" w:firstLineChars="200"/>
        <w:textAlignment w:val="auto"/>
        <w:rPr>
          <w:rStyle w:val="31"/>
          <w:rFonts w:hint="eastAsia" w:ascii="宋体" w:hAnsi="宋体" w:eastAsia="宋体" w:cs="宋体"/>
          <w:color w:val="auto"/>
          <w:sz w:val="24"/>
          <w:szCs w:val="24"/>
          <w:highlight w:val="none"/>
          <w:u w:val="none"/>
        </w:rPr>
      </w:pPr>
      <w:bookmarkStart w:id="46" w:name="_9.4_住院"/>
      <w:bookmarkEnd w:id="46"/>
      <w:bookmarkStart w:id="47" w:name="_9.5_必需且合理"/>
      <w:bookmarkEnd w:id="47"/>
      <w:bookmarkStart w:id="48" w:name="_9.6_住院医疗费用"/>
      <w:bookmarkEnd w:id="48"/>
      <w:bookmarkStart w:id="49" w:name="_9.3_指定医疗机构"/>
      <w:bookmarkEnd w:id="49"/>
      <w:r>
        <w:rPr>
          <w:rStyle w:val="31"/>
          <w:rFonts w:hint="eastAsia" w:ascii="宋体" w:hAnsi="宋体" w:eastAsia="宋体" w:cs="宋体"/>
          <w:color w:val="auto"/>
          <w:sz w:val="24"/>
          <w:szCs w:val="24"/>
          <w:highlight w:val="none"/>
          <w:u w:val="none"/>
        </w:rPr>
        <w:t>9.</w:t>
      </w:r>
      <w:r>
        <w:rPr>
          <w:rStyle w:val="31"/>
          <w:rFonts w:hint="eastAsia" w:ascii="宋体" w:hAnsi="宋体" w:eastAsia="宋体" w:cs="宋体"/>
          <w:color w:val="auto"/>
          <w:sz w:val="24"/>
          <w:szCs w:val="24"/>
          <w:highlight w:val="none"/>
          <w:u w:val="none"/>
          <w:lang w:val="en-US" w:eastAsia="zh-CN"/>
        </w:rPr>
        <w:t>3</w:t>
      </w:r>
      <w:r>
        <w:rPr>
          <w:rStyle w:val="31"/>
          <w:rFonts w:hint="eastAsia" w:ascii="宋体" w:hAnsi="宋体" w:eastAsia="宋体" w:cs="宋体"/>
          <w:color w:val="auto"/>
          <w:sz w:val="24"/>
          <w:szCs w:val="24"/>
          <w:highlight w:val="none"/>
          <w:u w:val="none"/>
        </w:rPr>
        <w:tab/>
      </w:r>
      <w:r>
        <w:rPr>
          <w:rStyle w:val="31"/>
          <w:rFonts w:hint="eastAsia" w:ascii="宋体" w:hAnsi="宋体" w:eastAsia="宋体" w:cs="宋体"/>
          <w:color w:val="auto"/>
          <w:sz w:val="24"/>
          <w:szCs w:val="24"/>
          <w:highlight w:val="none"/>
          <w:u w:val="none"/>
        </w:rPr>
        <w:t>《人身保险伤残评定标准及代码》</w:t>
      </w:r>
    </w:p>
    <w:p w14:paraId="4945FF8E">
      <w:pPr>
        <w:pageBreakBefore w:val="0"/>
        <w:widowControl w:val="0"/>
        <w:kinsoku/>
        <w:wordWrap/>
        <w:overflowPunct/>
        <w:topLinePunct w:val="0"/>
        <w:autoSpaceDE/>
        <w:autoSpaceDN/>
        <w:bidi w:val="0"/>
        <w:adjustRightInd w:val="0"/>
        <w:snapToGrid w:val="0"/>
        <w:spacing w:line="312" w:lineRule="auto"/>
        <w:ind w:left="0" w:lef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指由中国保险监督管理委员会发布的《人身保险伤残评定标准及代码》 （保监发﹝2014﹞6号、标准编号JR/T 0083-2013）。如该标准重新修订，则以最新修订的文件版本为准。</w:t>
      </w:r>
    </w:p>
    <w:p w14:paraId="337ADADA">
      <w:pPr>
        <w:pStyle w:val="3"/>
        <w:keepNext/>
        <w:keepLines/>
        <w:pageBreakBefore w:val="0"/>
        <w:widowControl w:val="0"/>
        <w:tabs>
          <w:tab w:val="left" w:pos="960"/>
        </w:tabs>
        <w:kinsoku/>
        <w:wordWrap/>
        <w:overflowPunct/>
        <w:topLinePunct w:val="0"/>
        <w:autoSpaceDE/>
        <w:autoSpaceDN/>
        <w:bidi w:val="0"/>
        <w:snapToGrid w:val="0"/>
        <w:spacing w:before="0" w:after="0" w:line="312" w:lineRule="auto"/>
        <w:ind w:left="0" w:leftChars="0" w:firstLine="482" w:firstLineChars="200"/>
        <w:textAlignment w:val="auto"/>
        <w:outlineLvl w:val="1"/>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9.</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ab/>
      </w:r>
      <w:r>
        <w:rPr>
          <w:rFonts w:hint="eastAsia" w:ascii="宋体" w:hAnsi="宋体" w:eastAsia="宋体" w:cs="宋体"/>
          <w:b/>
          <w:color w:val="auto"/>
          <w:sz w:val="24"/>
          <w:szCs w:val="24"/>
          <w:highlight w:val="none"/>
        </w:rPr>
        <w:t>毒品</w:t>
      </w:r>
      <w:r>
        <w:rPr>
          <w:rFonts w:hint="eastAsia" w:ascii="宋体" w:hAnsi="宋体" w:eastAsia="宋体" w:cs="宋体"/>
          <w:b/>
          <w:color w:val="auto"/>
          <w:sz w:val="24"/>
          <w:szCs w:val="24"/>
          <w:highlight w:val="none"/>
          <w:lang w:eastAsia="zh-CN"/>
        </w:rPr>
        <w:t>及</w:t>
      </w:r>
      <w:r>
        <w:rPr>
          <w:rFonts w:hint="eastAsia" w:ascii="宋体" w:hAnsi="宋体" w:eastAsia="宋体" w:cs="宋体"/>
          <w:b/>
          <w:color w:val="auto"/>
          <w:sz w:val="24"/>
          <w:szCs w:val="24"/>
          <w:highlight w:val="none"/>
        </w:rPr>
        <w:t>管制药物</w:t>
      </w:r>
    </w:p>
    <w:p w14:paraId="4FA7D0E8">
      <w:pPr>
        <w:pageBreakBefore w:val="0"/>
        <w:widowControl w:val="0"/>
        <w:kinsoku/>
        <w:wordWrap/>
        <w:overflowPunct/>
        <w:topLinePunct w:val="0"/>
        <w:autoSpaceDE/>
        <w:autoSpaceDN/>
        <w:bidi w:val="0"/>
        <w:adjustRightInd w:val="0"/>
        <w:snapToGrid w:val="0"/>
        <w:spacing w:line="312" w:lineRule="auto"/>
        <w:ind w:left="0" w:leftChars="0" w:firstLine="480"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rPr>
        <w:t>指</w:t>
      </w:r>
      <w:r>
        <w:rPr>
          <w:rFonts w:hint="eastAsia" w:ascii="宋体" w:hAnsi="宋体" w:eastAsia="宋体" w:cs="宋体"/>
          <w:color w:val="auto"/>
          <w:sz w:val="24"/>
          <w:szCs w:val="24"/>
          <w:highlight w:val="none"/>
          <w:lang w:val="en-US" w:eastAsia="zh-CN"/>
        </w:rPr>
        <w:t>中华人民共和国刑法规定的鸦片、海洛因、甲基苯丙胺（冰毒）、吗啡、大麻、可卡因以及国家规定管制的其他能够使人形成瘾癖的麻醉药品和精神药品,</w:t>
      </w:r>
      <w:r>
        <w:rPr>
          <w:rFonts w:hint="eastAsia" w:ascii="宋体" w:hAnsi="宋体" w:eastAsia="宋体" w:cs="宋体"/>
          <w:b/>
          <w:bCs/>
          <w:color w:val="auto"/>
          <w:sz w:val="24"/>
          <w:szCs w:val="24"/>
          <w:highlight w:val="none"/>
          <w:lang w:val="en-US" w:eastAsia="zh-CN"/>
        </w:rPr>
        <w:t>但不包括由医生开具并遵医嘱使用的用于治疗疾病但含有毒品成分的处方药品。</w:t>
      </w:r>
    </w:p>
    <w:p w14:paraId="02CFFD2B">
      <w:pPr>
        <w:pStyle w:val="3"/>
        <w:keepNext/>
        <w:keepLines/>
        <w:pageBreakBefore w:val="0"/>
        <w:widowControl w:val="0"/>
        <w:tabs>
          <w:tab w:val="left" w:pos="960"/>
        </w:tabs>
        <w:kinsoku/>
        <w:wordWrap/>
        <w:overflowPunct/>
        <w:topLinePunct w:val="0"/>
        <w:autoSpaceDE/>
        <w:autoSpaceDN/>
        <w:bidi w:val="0"/>
        <w:snapToGrid w:val="0"/>
        <w:spacing w:before="0" w:after="0" w:line="312" w:lineRule="auto"/>
        <w:ind w:left="0" w:leftChars="0" w:firstLine="482" w:firstLineChars="200"/>
        <w:textAlignment w:val="auto"/>
        <w:outlineLvl w:val="1"/>
        <w:rPr>
          <w:rFonts w:hint="eastAsia" w:ascii="宋体" w:hAnsi="宋体" w:eastAsia="宋体" w:cs="宋体"/>
          <w:b/>
          <w:color w:val="auto"/>
          <w:sz w:val="24"/>
          <w:szCs w:val="24"/>
          <w:highlight w:val="none"/>
          <w:lang w:eastAsia="zh-CN"/>
        </w:rPr>
      </w:pPr>
      <w:r>
        <w:rPr>
          <w:rFonts w:hint="eastAsia" w:ascii="宋体" w:hAnsi="宋体" w:eastAsia="宋体" w:cs="宋体"/>
          <w:b/>
          <w:bCs/>
          <w:color w:val="auto"/>
          <w:sz w:val="24"/>
          <w:szCs w:val="24"/>
          <w:highlight w:val="none"/>
        </w:rPr>
        <w:t>9.</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ab/>
      </w:r>
      <w:r>
        <w:rPr>
          <w:rFonts w:hint="eastAsia" w:ascii="宋体" w:hAnsi="宋体" w:eastAsia="宋体" w:cs="宋体"/>
          <w:b/>
          <w:color w:val="auto"/>
          <w:sz w:val="24"/>
          <w:szCs w:val="24"/>
          <w:highlight w:val="none"/>
          <w:lang w:val="en-US" w:eastAsia="zh-CN"/>
        </w:rPr>
        <w:t>战争</w:t>
      </w:r>
    </w:p>
    <w:p w14:paraId="330DD1F7">
      <w:pPr>
        <w:pageBreakBefore w:val="0"/>
        <w:widowControl w:val="0"/>
        <w:kinsoku/>
        <w:wordWrap/>
        <w:overflowPunct/>
        <w:topLinePunct w:val="0"/>
        <w:autoSpaceDE/>
        <w:autoSpaceDN/>
        <w:bidi w:val="0"/>
        <w:adjustRightInd w:val="0"/>
        <w:snapToGrid w:val="0"/>
        <w:spacing w:line="312" w:lineRule="auto"/>
        <w:ind w:left="0" w:leftChars="0"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color w:val="auto"/>
          <w:sz w:val="24"/>
          <w:szCs w:val="24"/>
          <w:highlight w:val="none"/>
        </w:rPr>
        <w:t>指</w:t>
      </w:r>
      <w:r>
        <w:rPr>
          <w:rFonts w:hint="eastAsia" w:ascii="宋体" w:hAnsi="宋体" w:eastAsia="宋体" w:cs="宋体"/>
          <w:color w:val="auto"/>
          <w:sz w:val="24"/>
          <w:szCs w:val="24"/>
          <w:highlight w:val="none"/>
          <w:lang w:val="en-US" w:eastAsia="zh-CN"/>
        </w:rPr>
        <w:t>国家与国家、民族与民族、政治集团与政治集团之间为了一定的政治、经济目的而进行的武装斗争，以政府宣布为准。</w:t>
      </w:r>
    </w:p>
    <w:p w14:paraId="307E74C7">
      <w:pPr>
        <w:pStyle w:val="3"/>
        <w:keepNext/>
        <w:keepLines/>
        <w:pageBreakBefore w:val="0"/>
        <w:widowControl w:val="0"/>
        <w:tabs>
          <w:tab w:val="left" w:pos="960"/>
        </w:tabs>
        <w:kinsoku/>
        <w:wordWrap/>
        <w:overflowPunct/>
        <w:topLinePunct w:val="0"/>
        <w:autoSpaceDE/>
        <w:autoSpaceDN/>
        <w:bidi w:val="0"/>
        <w:snapToGrid w:val="0"/>
        <w:spacing w:before="0" w:after="0" w:line="312" w:lineRule="auto"/>
        <w:ind w:left="0" w:leftChars="0" w:firstLine="482" w:firstLineChars="200"/>
        <w:textAlignment w:val="auto"/>
        <w:outlineLvl w:val="1"/>
        <w:rPr>
          <w:rFonts w:hint="eastAsia" w:ascii="宋体" w:hAnsi="宋体" w:eastAsia="宋体" w:cs="宋体"/>
          <w:b/>
          <w:color w:val="auto"/>
          <w:sz w:val="24"/>
          <w:szCs w:val="24"/>
          <w:highlight w:val="none"/>
          <w:lang w:eastAsia="zh-CN"/>
        </w:rPr>
      </w:pPr>
      <w:r>
        <w:rPr>
          <w:rFonts w:hint="eastAsia" w:ascii="宋体" w:hAnsi="宋体" w:eastAsia="宋体" w:cs="宋体"/>
          <w:b/>
          <w:bCs/>
          <w:color w:val="auto"/>
          <w:sz w:val="24"/>
          <w:szCs w:val="24"/>
          <w:highlight w:val="none"/>
        </w:rPr>
        <w:t>9</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lang w:val="en-US" w:eastAsia="zh-CN"/>
        </w:rPr>
        <w:t>军事</w:t>
      </w:r>
      <w:r>
        <w:rPr>
          <w:rFonts w:hint="eastAsia" w:ascii="宋体" w:hAnsi="宋体" w:eastAsia="宋体" w:cs="宋体"/>
          <w:b/>
          <w:color w:val="auto"/>
          <w:sz w:val="24"/>
          <w:szCs w:val="24"/>
          <w:highlight w:val="none"/>
          <w:lang w:val="en-US" w:eastAsia="zh-CN"/>
        </w:rPr>
        <w:t>冲突</w:t>
      </w:r>
    </w:p>
    <w:p w14:paraId="1723479B">
      <w:pPr>
        <w:pageBreakBefore w:val="0"/>
        <w:widowControl w:val="0"/>
        <w:kinsoku/>
        <w:wordWrap/>
        <w:overflowPunct/>
        <w:topLinePunct w:val="0"/>
        <w:autoSpaceDE/>
        <w:autoSpaceDN/>
        <w:bidi w:val="0"/>
        <w:adjustRightInd w:val="0"/>
        <w:snapToGrid w:val="0"/>
        <w:spacing w:line="312" w:lineRule="auto"/>
        <w:ind w:left="0" w:leftChars="0"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color w:val="auto"/>
          <w:sz w:val="24"/>
          <w:szCs w:val="24"/>
          <w:highlight w:val="none"/>
        </w:rPr>
        <w:t>指</w:t>
      </w:r>
      <w:r>
        <w:rPr>
          <w:rFonts w:hint="eastAsia" w:ascii="宋体" w:hAnsi="宋体" w:eastAsia="宋体" w:cs="宋体"/>
          <w:color w:val="auto"/>
          <w:sz w:val="24"/>
          <w:szCs w:val="24"/>
          <w:highlight w:val="none"/>
          <w:lang w:val="en-US" w:eastAsia="zh-CN"/>
        </w:rPr>
        <w:t>国家与民族之间在一定范围内的武装对抗，以政府宣布为准。</w:t>
      </w:r>
    </w:p>
    <w:p w14:paraId="56BB10E7">
      <w:pPr>
        <w:pStyle w:val="3"/>
        <w:keepNext/>
        <w:keepLines/>
        <w:pageBreakBefore w:val="0"/>
        <w:widowControl w:val="0"/>
        <w:tabs>
          <w:tab w:val="left" w:pos="960"/>
        </w:tabs>
        <w:kinsoku/>
        <w:wordWrap/>
        <w:overflowPunct/>
        <w:topLinePunct w:val="0"/>
        <w:autoSpaceDE/>
        <w:autoSpaceDN/>
        <w:bidi w:val="0"/>
        <w:snapToGrid w:val="0"/>
        <w:spacing w:before="0" w:after="0" w:line="312" w:lineRule="auto"/>
        <w:ind w:left="0" w:leftChars="0" w:firstLine="482" w:firstLineChars="200"/>
        <w:textAlignment w:val="auto"/>
        <w:outlineLvl w:val="1"/>
        <w:rPr>
          <w:rFonts w:hint="eastAsia" w:ascii="宋体" w:hAnsi="宋体" w:eastAsia="宋体" w:cs="宋体"/>
          <w:b/>
          <w:color w:val="auto"/>
          <w:sz w:val="24"/>
          <w:szCs w:val="24"/>
          <w:highlight w:val="none"/>
          <w:lang w:val="en-US" w:eastAsia="zh-CN"/>
        </w:rPr>
      </w:pPr>
      <w:r>
        <w:rPr>
          <w:rFonts w:hint="eastAsia" w:ascii="宋体" w:hAnsi="宋体" w:eastAsia="宋体" w:cs="宋体"/>
          <w:b/>
          <w:bCs/>
          <w:color w:val="auto"/>
          <w:sz w:val="24"/>
          <w:szCs w:val="24"/>
          <w:highlight w:val="none"/>
        </w:rPr>
        <w:t>9</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lang w:val="en-US" w:eastAsia="zh-CN"/>
        </w:rPr>
        <w:t>暴乱</w:t>
      </w:r>
    </w:p>
    <w:p w14:paraId="24728974">
      <w:pPr>
        <w:pageBreakBefore w:val="0"/>
        <w:widowControl w:val="0"/>
        <w:kinsoku/>
        <w:wordWrap/>
        <w:overflowPunct/>
        <w:topLinePunct w:val="0"/>
        <w:autoSpaceDE/>
        <w:autoSpaceDN/>
        <w:bidi w:val="0"/>
        <w:adjustRightInd w:val="0"/>
        <w:snapToGrid w:val="0"/>
        <w:spacing w:line="312"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指</w:t>
      </w:r>
      <w:r>
        <w:rPr>
          <w:rFonts w:hint="eastAsia" w:ascii="宋体" w:hAnsi="宋体" w:eastAsia="宋体" w:cs="宋体"/>
          <w:color w:val="auto"/>
          <w:sz w:val="24"/>
          <w:szCs w:val="24"/>
          <w:highlight w:val="none"/>
          <w:lang w:val="en-US" w:eastAsia="zh-CN"/>
        </w:rPr>
        <w:t>破坏社会秩序的武装骚动，以政府宣布为准。</w:t>
      </w:r>
    </w:p>
    <w:p w14:paraId="69642B1C">
      <w:pPr>
        <w:pStyle w:val="3"/>
        <w:pageBreakBefore w:val="0"/>
        <w:widowControl w:val="0"/>
        <w:tabs>
          <w:tab w:val="left" w:pos="960"/>
        </w:tabs>
        <w:kinsoku/>
        <w:wordWrap/>
        <w:overflowPunct/>
        <w:topLinePunct w:val="0"/>
        <w:autoSpaceDE/>
        <w:autoSpaceDN/>
        <w:bidi w:val="0"/>
        <w:spacing w:before="0" w:after="0" w:line="312" w:lineRule="auto"/>
        <w:ind w:left="0" w:leftChars="0" w:firstLine="482" w:firstLineChars="200"/>
        <w:textAlignment w:val="auto"/>
        <w:rPr>
          <w:rStyle w:val="31"/>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酒后驾驶</w:t>
      </w:r>
    </w:p>
    <w:p w14:paraId="68EAE165">
      <w:pPr>
        <w:pStyle w:val="43"/>
        <w:pageBreakBefore w:val="0"/>
        <w:widowControl w:val="0"/>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指经检测或者鉴定，发生事故时车辆驾驶人员每百毫升血液中的酒精含量达到或者超过一定的标准，公安机关交通管理部门依据《道路交通安全法》的规定认定为饮酒后驾驶或者醉酒后驾驶。</w:t>
      </w:r>
    </w:p>
    <w:p w14:paraId="033CD758">
      <w:pPr>
        <w:pStyle w:val="3"/>
        <w:pageBreakBefore w:val="0"/>
        <w:widowControl w:val="0"/>
        <w:tabs>
          <w:tab w:val="left" w:pos="993"/>
        </w:tabs>
        <w:kinsoku/>
        <w:wordWrap/>
        <w:overflowPunct/>
        <w:topLinePunct w:val="0"/>
        <w:autoSpaceDE/>
        <w:autoSpaceDN/>
        <w:bidi w:val="0"/>
        <w:spacing w:before="0" w:after="0" w:line="312" w:lineRule="auto"/>
        <w:ind w:left="0" w:leftChars="0" w:firstLine="482" w:firstLineChars="200"/>
        <w:textAlignment w:val="auto"/>
        <w:rPr>
          <w:rStyle w:val="31"/>
          <w:rFonts w:hint="eastAsia" w:ascii="宋体" w:hAnsi="宋体" w:eastAsia="宋体" w:cs="宋体"/>
          <w:color w:val="auto"/>
          <w:sz w:val="24"/>
          <w:szCs w:val="24"/>
          <w:highlight w:val="none"/>
          <w:u w:val="none"/>
          <w:lang w:val="en-US" w:eastAsia="zh-CN"/>
        </w:rPr>
      </w:pPr>
      <w:bookmarkStart w:id="50" w:name="_4.6_无有效驾驶证"/>
      <w:bookmarkEnd w:id="50"/>
      <w:r>
        <w:rPr>
          <w:rStyle w:val="31"/>
          <w:rFonts w:hint="eastAsia" w:ascii="宋体" w:hAnsi="宋体" w:eastAsia="宋体" w:cs="宋体"/>
          <w:color w:val="auto"/>
          <w:sz w:val="24"/>
          <w:szCs w:val="24"/>
          <w:highlight w:val="none"/>
          <w:u w:val="none"/>
        </w:rPr>
        <w:t>9.</w:t>
      </w:r>
      <w:r>
        <w:rPr>
          <w:rStyle w:val="31"/>
          <w:rFonts w:hint="eastAsia" w:ascii="宋体" w:hAnsi="宋体" w:eastAsia="宋体" w:cs="宋体"/>
          <w:color w:val="auto"/>
          <w:sz w:val="24"/>
          <w:szCs w:val="24"/>
          <w:highlight w:val="none"/>
          <w:u w:val="none"/>
          <w:lang w:val="en-US" w:eastAsia="zh-CN"/>
        </w:rPr>
        <w:t>9</w:t>
      </w:r>
      <w:r>
        <w:rPr>
          <w:rStyle w:val="31"/>
          <w:rFonts w:hint="eastAsia" w:ascii="宋体" w:hAnsi="宋体" w:eastAsia="宋体" w:cs="宋体"/>
          <w:color w:val="auto"/>
          <w:sz w:val="24"/>
          <w:szCs w:val="24"/>
          <w:highlight w:val="none"/>
          <w:u w:val="none"/>
        </w:rPr>
        <w:tab/>
      </w:r>
      <w:r>
        <w:rPr>
          <w:rStyle w:val="31"/>
          <w:rFonts w:hint="eastAsia" w:ascii="宋体" w:hAnsi="宋体" w:eastAsia="宋体" w:cs="宋体"/>
          <w:color w:val="auto"/>
          <w:sz w:val="24"/>
          <w:szCs w:val="24"/>
          <w:highlight w:val="none"/>
          <w:u w:val="none"/>
        </w:rPr>
        <w:t>无合法有效驾驶证</w:t>
      </w:r>
      <w:r>
        <w:rPr>
          <w:rStyle w:val="31"/>
          <w:rFonts w:hint="eastAsia" w:ascii="宋体" w:hAnsi="宋体" w:eastAsia="宋体" w:cs="宋体"/>
          <w:color w:val="auto"/>
          <w:sz w:val="24"/>
          <w:szCs w:val="24"/>
          <w:highlight w:val="none"/>
          <w:u w:val="none"/>
          <w:lang w:val="en-US" w:eastAsia="zh-CN"/>
        </w:rPr>
        <w:t>驾驶</w:t>
      </w:r>
    </w:p>
    <w:p w14:paraId="716840E7">
      <w:pPr>
        <w:pStyle w:val="43"/>
        <w:pageBreakBefore w:val="0"/>
        <w:widowControl w:val="0"/>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color w:val="auto"/>
          <w:sz w:val="24"/>
          <w:szCs w:val="24"/>
          <w:highlight w:val="none"/>
        </w:rPr>
      </w:pPr>
      <w:bookmarkStart w:id="51" w:name="_4.7_无有效行驶证"/>
      <w:bookmarkEnd w:id="51"/>
      <w:r>
        <w:rPr>
          <w:rFonts w:hint="eastAsia" w:ascii="宋体" w:hAnsi="宋体" w:eastAsia="宋体" w:cs="宋体"/>
          <w:color w:val="auto"/>
          <w:sz w:val="24"/>
          <w:szCs w:val="24"/>
          <w:highlight w:val="none"/>
        </w:rPr>
        <w:t>被保险人存在下列情形之一：</w:t>
      </w:r>
    </w:p>
    <w:p w14:paraId="35383CB9">
      <w:pPr>
        <w:pStyle w:val="43"/>
        <w:pageBreakBefore w:val="0"/>
        <w:widowControl w:val="0"/>
        <w:numPr>
          <w:ilvl w:val="0"/>
          <w:numId w:val="0"/>
        </w:numPr>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（1）没有取得中华人民共和国有关主管部门颁发或者认可的驾驶资格证书；</w:t>
      </w:r>
    </w:p>
    <w:p w14:paraId="65FDF76E">
      <w:pPr>
        <w:pStyle w:val="43"/>
        <w:pageBreakBefore w:val="0"/>
        <w:widowControl w:val="0"/>
        <w:numPr>
          <w:ilvl w:val="0"/>
          <w:numId w:val="0"/>
        </w:numPr>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（2）驾驶与驾驶证准驾车型不相符合的车辆；</w:t>
      </w:r>
    </w:p>
    <w:p w14:paraId="640ED3A1">
      <w:pPr>
        <w:pStyle w:val="43"/>
        <w:pageBreakBefore w:val="0"/>
        <w:widowControl w:val="0"/>
        <w:numPr>
          <w:ilvl w:val="0"/>
          <w:numId w:val="0"/>
        </w:numPr>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（3）持审验不合格的驾驶证驾驶；</w:t>
      </w:r>
    </w:p>
    <w:p w14:paraId="5FFF41A4">
      <w:pPr>
        <w:pStyle w:val="43"/>
        <w:pageBreakBefore w:val="0"/>
        <w:widowControl w:val="0"/>
        <w:numPr>
          <w:ilvl w:val="0"/>
          <w:numId w:val="0"/>
        </w:numPr>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（4）持学习驾驶证学习驾车时，无教练员随车指导，或不按指定时间、路线学习驾车。</w:t>
      </w:r>
    </w:p>
    <w:p w14:paraId="2BFA5AF3">
      <w:pPr>
        <w:pStyle w:val="3"/>
        <w:pageBreakBefore w:val="0"/>
        <w:widowControl w:val="0"/>
        <w:tabs>
          <w:tab w:val="left" w:pos="993"/>
        </w:tabs>
        <w:kinsoku/>
        <w:wordWrap/>
        <w:overflowPunct/>
        <w:topLinePunct w:val="0"/>
        <w:autoSpaceDE/>
        <w:autoSpaceDN/>
        <w:bidi w:val="0"/>
        <w:spacing w:before="0" w:after="0" w:line="312" w:lineRule="auto"/>
        <w:ind w:left="0"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无合法有效行驶证</w:t>
      </w:r>
    </w:p>
    <w:p w14:paraId="3C0F1CC5">
      <w:pPr>
        <w:pStyle w:val="43"/>
        <w:pageBreakBefore w:val="0"/>
        <w:widowControl w:val="0"/>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发生保险事故时被保险人驾驶的机动车无公安机关交通管理部门、农机部门等政府管理部门核发的行驶证或号牌，或行驶证不在有效期内，或该机动车未按规定检验或检验不合格。</w:t>
      </w:r>
      <w:bookmarkStart w:id="52" w:name="_4.8_保险金申请人"/>
      <w:bookmarkEnd w:id="52"/>
    </w:p>
    <w:p w14:paraId="3187AF57">
      <w:pPr>
        <w:pStyle w:val="3"/>
        <w:keepNext/>
        <w:keepLines/>
        <w:pageBreakBefore w:val="0"/>
        <w:widowControl w:val="0"/>
        <w:tabs>
          <w:tab w:val="left" w:pos="945"/>
        </w:tabs>
        <w:kinsoku/>
        <w:wordWrap/>
        <w:overflowPunct/>
        <w:topLinePunct w:val="0"/>
        <w:autoSpaceDE/>
        <w:autoSpaceDN/>
        <w:bidi w:val="0"/>
        <w:adjustRightInd w:val="0"/>
        <w:snapToGrid w:val="0"/>
        <w:spacing w:before="0" w:after="0" w:line="312" w:lineRule="auto"/>
        <w:ind w:left="0" w:leftChars="0" w:firstLine="482" w:firstLineChars="200"/>
        <w:jc w:val="left"/>
        <w:textAlignment w:val="auto"/>
        <w:rPr>
          <w:rStyle w:val="31"/>
          <w:rFonts w:hint="eastAsia" w:ascii="宋体" w:hAnsi="宋体" w:eastAsia="宋体" w:cs="宋体"/>
          <w:color w:val="auto"/>
          <w:sz w:val="24"/>
          <w:szCs w:val="24"/>
          <w:highlight w:val="none"/>
          <w:u w:val="none"/>
        </w:rPr>
      </w:pPr>
      <w:r>
        <w:rPr>
          <w:rStyle w:val="31"/>
          <w:rFonts w:hint="eastAsia" w:ascii="宋体" w:hAnsi="宋体" w:eastAsia="宋体" w:cs="宋体"/>
          <w:color w:val="auto"/>
          <w:sz w:val="24"/>
          <w:szCs w:val="24"/>
          <w:highlight w:val="none"/>
          <w:u w:val="none"/>
        </w:rPr>
        <w:t>9.</w:t>
      </w:r>
      <w:r>
        <w:rPr>
          <w:rStyle w:val="31"/>
          <w:rFonts w:hint="eastAsia" w:ascii="宋体" w:hAnsi="宋体" w:eastAsia="宋体" w:cs="宋体"/>
          <w:color w:val="auto"/>
          <w:sz w:val="24"/>
          <w:szCs w:val="24"/>
          <w:highlight w:val="none"/>
          <w:u w:val="none"/>
          <w:lang w:val="en-US" w:eastAsia="zh-CN"/>
        </w:rPr>
        <w:t>11</w:t>
      </w:r>
      <w:r>
        <w:rPr>
          <w:rStyle w:val="31"/>
          <w:rFonts w:hint="eastAsia" w:ascii="宋体" w:hAnsi="宋体" w:eastAsia="宋体" w:cs="宋体"/>
          <w:color w:val="auto"/>
          <w:sz w:val="24"/>
          <w:szCs w:val="24"/>
          <w:highlight w:val="none"/>
          <w:u w:val="none"/>
        </w:rPr>
        <w:tab/>
      </w:r>
      <w:r>
        <w:rPr>
          <w:rStyle w:val="31"/>
          <w:rFonts w:hint="eastAsia" w:ascii="宋体" w:hAnsi="宋体" w:eastAsia="宋体" w:cs="宋体"/>
          <w:color w:val="auto"/>
          <w:sz w:val="24"/>
          <w:szCs w:val="24"/>
          <w:highlight w:val="none"/>
          <w:u w:val="none"/>
        </w:rPr>
        <w:t>高风险运动</w:t>
      </w:r>
    </w:p>
    <w:p w14:paraId="060A0FC0">
      <w:pPr>
        <w:pStyle w:val="43"/>
        <w:pageBreakBefore w:val="0"/>
        <w:widowControl w:val="0"/>
        <w:kinsoku/>
        <w:wordWrap/>
        <w:overflowPunct/>
        <w:topLinePunct w:val="0"/>
        <w:autoSpaceDE/>
        <w:autoSpaceDN/>
        <w:bidi w:val="0"/>
        <w:spacing w:line="312"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指运动风险等级高、极易发生人身伤害的运动，包括潜水、滑水、滑雪、滑冰、跳伞、热气球运动、滑翔机、滑翔翼、滑翔伞、动力伞、攀岩运动、探险活动、武术比赛、摔跤比赛、特技表演、赛马、赛车、驾驶卡丁车、蹦极及保险单载明的其他运动。其中：</w:t>
      </w:r>
    </w:p>
    <w:p w14:paraId="5F51F09D">
      <w:pPr>
        <w:pStyle w:val="43"/>
        <w:pageBreakBefore w:val="0"/>
        <w:widowControl w:val="0"/>
        <w:kinsoku/>
        <w:wordWrap/>
        <w:overflowPunct/>
        <w:topLinePunct w:val="0"/>
        <w:autoSpaceDE/>
        <w:autoSpaceDN/>
        <w:bidi w:val="0"/>
        <w:spacing w:line="312"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（1）潜水：指以辅助呼吸器材在江、河、湖、海、水库、运河等水域进行的水下运动，</w:t>
      </w:r>
      <w:r>
        <w:rPr>
          <w:rFonts w:hint="eastAsia" w:ascii="宋体" w:hAnsi="宋体" w:eastAsia="宋体" w:cs="宋体"/>
          <w:b/>
          <w:bCs/>
          <w:color w:val="auto"/>
          <w:sz w:val="24"/>
          <w:szCs w:val="24"/>
          <w:highlight w:val="none"/>
        </w:rPr>
        <w:t>但穿着救生</w:t>
      </w:r>
      <w:r>
        <w:rPr>
          <w:rFonts w:hint="eastAsia" w:ascii="宋体" w:hAnsi="宋体" w:eastAsia="宋体" w:cs="宋体"/>
          <w:b/>
          <w:bCs/>
          <w:color w:val="auto"/>
          <w:sz w:val="24"/>
          <w:szCs w:val="24"/>
          <w:highlight w:val="none"/>
          <w:lang w:val="en-US" w:eastAsia="zh-CN"/>
        </w:rPr>
        <w:t>衣</w:t>
      </w:r>
      <w:r>
        <w:rPr>
          <w:rFonts w:hint="eastAsia" w:ascii="宋体" w:hAnsi="宋体" w:eastAsia="宋体" w:cs="宋体"/>
          <w:b/>
          <w:bCs/>
          <w:color w:val="auto"/>
          <w:sz w:val="24"/>
          <w:szCs w:val="24"/>
          <w:highlight w:val="none"/>
        </w:rPr>
        <w:t>在水面进行的浮潜活动除外</w:t>
      </w:r>
      <w:r>
        <w:rPr>
          <w:rFonts w:hint="eastAsia" w:ascii="宋体" w:hAnsi="宋体" w:eastAsia="宋体" w:cs="宋体"/>
          <w:color w:val="auto"/>
          <w:sz w:val="24"/>
          <w:szCs w:val="24"/>
          <w:highlight w:val="none"/>
        </w:rPr>
        <w:t>。</w:t>
      </w:r>
    </w:p>
    <w:p w14:paraId="66FD9E87">
      <w:pPr>
        <w:pStyle w:val="43"/>
        <w:pageBreakBefore w:val="0"/>
        <w:widowControl w:val="0"/>
        <w:kinsoku/>
        <w:wordWrap/>
        <w:overflowPunct/>
        <w:topLinePunct w:val="0"/>
        <w:autoSpaceDE/>
        <w:autoSpaceDN/>
        <w:bidi w:val="0"/>
        <w:spacing w:line="312"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（2）热气球运动：指乘坐热气球升空飞行的体育活动。</w:t>
      </w:r>
    </w:p>
    <w:p w14:paraId="5BFCCF4D">
      <w:pPr>
        <w:pStyle w:val="43"/>
        <w:pageBreakBefore w:val="0"/>
        <w:widowControl w:val="0"/>
        <w:kinsoku/>
        <w:wordWrap/>
        <w:overflowPunct/>
        <w:topLinePunct w:val="0"/>
        <w:autoSpaceDE/>
        <w:autoSpaceDN/>
        <w:bidi w:val="0"/>
        <w:spacing w:line="312"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（3）攀岩运动：指以攀登悬崖、楼宇外墙、人造悬崖、冰崖、冰山等运动。</w:t>
      </w:r>
    </w:p>
    <w:p w14:paraId="49FED945">
      <w:pPr>
        <w:pStyle w:val="43"/>
        <w:pageBreakBefore w:val="0"/>
        <w:widowControl w:val="0"/>
        <w:kinsoku/>
        <w:wordWrap/>
        <w:overflowPunct/>
        <w:topLinePunct w:val="0"/>
        <w:autoSpaceDE/>
        <w:autoSpaceDN/>
        <w:bidi w:val="0"/>
        <w:spacing w:line="312"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探险活动：指明知在某种特定的自然条件下有失去生命或使身体受到伤害的危险，而</w:t>
      </w:r>
      <w:r>
        <w:rPr>
          <w:rFonts w:hint="eastAsia" w:ascii="宋体" w:hAnsi="宋体" w:eastAsia="宋体" w:cs="宋体"/>
          <w:color w:val="auto"/>
          <w:sz w:val="24"/>
          <w:szCs w:val="24"/>
          <w:highlight w:val="none"/>
          <w:lang w:val="en-US" w:eastAsia="zh-CN"/>
        </w:rPr>
        <w:t>故意</w:t>
      </w:r>
      <w:r>
        <w:rPr>
          <w:rFonts w:hint="eastAsia" w:ascii="宋体" w:hAnsi="宋体" w:eastAsia="宋体" w:cs="宋体"/>
          <w:color w:val="auto"/>
          <w:sz w:val="24"/>
          <w:szCs w:val="24"/>
          <w:highlight w:val="none"/>
        </w:rPr>
        <w:t>使自己置身其中的行为。如江河漂流、非固定路线徒步、徒步穿越沙漠或人迹罕至的原始森林等活动。</w:t>
      </w:r>
    </w:p>
    <w:p w14:paraId="62E49911">
      <w:pPr>
        <w:pStyle w:val="43"/>
        <w:pageBreakBefore w:val="0"/>
        <w:widowControl w:val="0"/>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（5）武术比赛：指两人或两人以上对抗性柔道、空手道、跆拳道、散打、拳击等各种拳术及各种使用器械的对抗性比赛。</w:t>
      </w:r>
    </w:p>
    <w:p w14:paraId="6EFC2A79">
      <w:pPr>
        <w:pStyle w:val="43"/>
        <w:pageBreakBefore w:val="0"/>
        <w:widowControl w:val="0"/>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（6）特技：指从事马术、杂技、驯兽等特殊技能。</w:t>
      </w:r>
    </w:p>
    <w:p w14:paraId="7871913C">
      <w:pPr>
        <w:pStyle w:val="42"/>
        <w:pageBreakBefore w:val="0"/>
        <w:widowControl w:val="0"/>
        <w:tabs>
          <w:tab w:val="clear" w:pos="840"/>
        </w:tabs>
        <w:kinsoku/>
        <w:wordWrap/>
        <w:overflowPunct/>
        <w:topLinePunct w:val="0"/>
        <w:autoSpaceDE/>
        <w:autoSpaceDN/>
        <w:bidi w:val="0"/>
        <w:spacing w:line="312" w:lineRule="auto"/>
        <w:ind w:left="0" w:leftChars="0" w:firstLine="482" w:firstLineChars="200"/>
        <w:textAlignment w:val="auto"/>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每次意外伤害限额</w:t>
      </w:r>
    </w:p>
    <w:p w14:paraId="5F96CA68">
      <w:pPr>
        <w:pStyle w:val="43"/>
        <w:pageBreakBefore w:val="0"/>
        <w:widowControl w:val="0"/>
        <w:kinsoku/>
        <w:wordWrap/>
        <w:overflowPunct/>
        <w:topLinePunct w:val="0"/>
        <w:autoSpaceDE/>
        <w:autoSpaceDN/>
        <w:bidi w:val="0"/>
        <w:spacing w:line="312"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是指对</w:t>
      </w:r>
      <w:r>
        <w:rPr>
          <w:rFonts w:hint="eastAsia" w:ascii="宋体" w:hAnsi="宋体" w:eastAsia="宋体" w:cs="宋体"/>
          <w:b/>
          <w:color w:val="auto"/>
          <w:sz w:val="24"/>
          <w:szCs w:val="24"/>
          <w:highlight w:val="none"/>
          <w:lang w:eastAsia="zh-CN"/>
        </w:rPr>
        <w:t>本</w:t>
      </w:r>
      <w:r>
        <w:rPr>
          <w:rFonts w:hint="eastAsia" w:ascii="宋体" w:hAnsi="宋体" w:eastAsia="宋体" w:cs="宋体"/>
          <w:b/>
          <w:color w:val="auto"/>
          <w:sz w:val="24"/>
          <w:szCs w:val="24"/>
          <w:highlight w:val="none"/>
          <w:lang w:val="en-US" w:eastAsia="zh-CN"/>
        </w:rPr>
        <w:t>保险</w:t>
      </w:r>
      <w:r>
        <w:rPr>
          <w:rFonts w:hint="eastAsia" w:ascii="宋体" w:hAnsi="宋体" w:eastAsia="宋体" w:cs="宋体"/>
          <w:b/>
          <w:color w:val="auto"/>
          <w:sz w:val="24"/>
          <w:szCs w:val="24"/>
          <w:highlight w:val="none"/>
          <w:lang w:eastAsia="zh-CN"/>
        </w:rPr>
        <w:t>合同</w:t>
      </w:r>
      <w:r>
        <w:rPr>
          <w:rFonts w:hint="eastAsia" w:ascii="宋体" w:hAnsi="宋体" w:eastAsia="宋体" w:cs="宋体"/>
          <w:b/>
          <w:color w:val="auto"/>
          <w:sz w:val="24"/>
          <w:szCs w:val="24"/>
          <w:highlight w:val="none"/>
        </w:rPr>
        <w:t>项下发生的任何一次意外伤害而造成被保险人身故，保险人所承担的最高给付限额。若在任何一次的意外伤害中，“每次意外伤害限额”小于在无“每次意外伤害限额”情况下应给付的各被保险人的保险金总额，则保险人根据以下公式计算实际给付每一被保险人的保险金：</w:t>
      </w:r>
    </w:p>
    <w:p w14:paraId="64A1BC6C">
      <w:pPr>
        <w:pStyle w:val="43"/>
        <w:pageBreakBefore w:val="0"/>
        <w:widowControl w:val="0"/>
        <w:kinsoku/>
        <w:wordWrap/>
        <w:overflowPunct/>
        <w:topLinePunct w:val="0"/>
        <w:autoSpaceDE/>
        <w:autoSpaceDN/>
        <w:bidi w:val="0"/>
        <w:spacing w:line="312"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实际给付每一被保险人的保险金＝（每次意外伤害限额÷在无“每次意外伤害限额”情况下应给付的各被保险人的保险金总额）×在无“每次意外伤害限额”情况下应给付的该被保险人的保险金。</w:t>
      </w:r>
    </w:p>
    <w:p w14:paraId="1D9DDD35">
      <w:pPr>
        <w:pStyle w:val="3"/>
        <w:pageBreakBefore w:val="0"/>
        <w:widowControl w:val="0"/>
        <w:tabs>
          <w:tab w:val="left" w:pos="960"/>
        </w:tabs>
        <w:kinsoku/>
        <w:wordWrap/>
        <w:overflowPunct/>
        <w:topLinePunct w:val="0"/>
        <w:autoSpaceDE/>
        <w:autoSpaceDN/>
        <w:bidi w:val="0"/>
        <w:spacing w:before="0" w:after="0" w:line="312" w:lineRule="auto"/>
        <w:ind w:left="0" w:leftChars="0" w:firstLine="482" w:firstLineChars="200"/>
        <w:textAlignment w:val="auto"/>
        <w:rPr>
          <w:rStyle w:val="31"/>
          <w:rFonts w:hint="eastAsia" w:ascii="宋体" w:hAnsi="宋体" w:eastAsia="宋体" w:cs="宋体"/>
          <w:color w:val="auto"/>
          <w:sz w:val="24"/>
          <w:szCs w:val="24"/>
          <w:highlight w:val="none"/>
          <w:u w:val="none"/>
        </w:rPr>
      </w:pPr>
      <w:r>
        <w:rPr>
          <w:rStyle w:val="31"/>
          <w:rFonts w:hint="eastAsia" w:ascii="宋体" w:hAnsi="宋体" w:eastAsia="宋体" w:cs="宋体"/>
          <w:color w:val="auto"/>
          <w:sz w:val="24"/>
          <w:szCs w:val="24"/>
          <w:highlight w:val="none"/>
          <w:u w:val="none"/>
        </w:rPr>
        <w:fldChar w:fldCharType="begin"/>
      </w:r>
      <w:r>
        <w:rPr>
          <w:rStyle w:val="31"/>
          <w:rFonts w:hint="eastAsia" w:ascii="宋体" w:hAnsi="宋体" w:eastAsia="宋体" w:cs="宋体"/>
          <w:color w:val="auto"/>
          <w:sz w:val="24"/>
          <w:szCs w:val="24"/>
          <w:highlight w:val="none"/>
          <w:u w:val="none"/>
        </w:rPr>
        <w:instrText xml:space="preserve">HYPERLINK  \l "_5.2_保险金的给付"</w:instrText>
      </w:r>
      <w:r>
        <w:rPr>
          <w:rStyle w:val="31"/>
          <w:rFonts w:hint="eastAsia" w:ascii="宋体" w:hAnsi="宋体" w:eastAsia="宋体" w:cs="宋体"/>
          <w:color w:val="auto"/>
          <w:sz w:val="24"/>
          <w:szCs w:val="24"/>
          <w:highlight w:val="none"/>
          <w:u w:val="none"/>
        </w:rPr>
        <w:fldChar w:fldCharType="separate"/>
      </w:r>
      <w:r>
        <w:rPr>
          <w:rStyle w:val="31"/>
          <w:rFonts w:hint="eastAsia" w:ascii="宋体" w:hAnsi="宋体" w:eastAsia="宋体" w:cs="宋体"/>
          <w:color w:val="auto"/>
          <w:sz w:val="24"/>
          <w:szCs w:val="24"/>
          <w:highlight w:val="none"/>
          <w:u w:val="none"/>
        </w:rPr>
        <w:t>9.</w:t>
      </w:r>
      <w:r>
        <w:rPr>
          <w:rStyle w:val="31"/>
          <w:rFonts w:hint="eastAsia" w:ascii="宋体" w:hAnsi="宋体" w:eastAsia="宋体" w:cs="宋体"/>
          <w:color w:val="auto"/>
          <w:sz w:val="24"/>
          <w:szCs w:val="24"/>
          <w:highlight w:val="none"/>
          <w:u w:val="none"/>
          <w:lang w:val="en-US" w:eastAsia="zh-CN"/>
        </w:rPr>
        <w:t>13</w:t>
      </w:r>
      <w:r>
        <w:rPr>
          <w:rStyle w:val="31"/>
          <w:rFonts w:hint="eastAsia" w:ascii="宋体" w:hAnsi="宋体" w:eastAsia="宋体" w:cs="宋体"/>
          <w:color w:val="auto"/>
          <w:sz w:val="24"/>
          <w:szCs w:val="24"/>
          <w:highlight w:val="none"/>
          <w:u w:val="none"/>
        </w:rPr>
        <w:tab/>
      </w:r>
      <w:r>
        <w:rPr>
          <w:rStyle w:val="31"/>
          <w:rFonts w:hint="eastAsia" w:ascii="宋体" w:hAnsi="宋体" w:eastAsia="宋体" w:cs="宋体"/>
          <w:color w:val="auto"/>
          <w:sz w:val="24"/>
          <w:szCs w:val="24"/>
          <w:highlight w:val="none"/>
          <w:u w:val="none"/>
        </w:rPr>
        <w:t>现金价值</w:t>
      </w:r>
    </w:p>
    <w:p w14:paraId="4FAC4F82">
      <w:pPr>
        <w:pStyle w:val="43"/>
        <w:pageBreakBefore w:val="0"/>
        <w:widowControl w:val="0"/>
        <w:kinsoku/>
        <w:wordWrap/>
        <w:overflowPunct/>
        <w:topLinePunct w:val="0"/>
        <w:autoSpaceDE/>
        <w:autoSpaceDN/>
        <w:bidi w:val="0"/>
        <w:spacing w:line="312" w:lineRule="auto"/>
        <w:ind w:left="0" w:leftChars="0" w:firstLine="480" w:firstLineChars="200"/>
        <w:textAlignment w:val="auto"/>
        <w:rPr>
          <w:rStyle w:val="31"/>
          <w:rFonts w:hint="eastAsia" w:ascii="宋体" w:hAnsi="宋体" w:eastAsia="宋体" w:cs="宋体"/>
          <w:color w:val="auto"/>
          <w:sz w:val="24"/>
          <w:szCs w:val="24"/>
          <w:highlight w:val="none"/>
          <w:u w:val="none"/>
        </w:rPr>
      </w:pPr>
      <w:r>
        <w:rPr>
          <w:rStyle w:val="31"/>
          <w:rFonts w:hint="eastAsia" w:ascii="宋体" w:hAnsi="宋体" w:eastAsia="宋体" w:cs="宋体"/>
          <w:color w:val="auto"/>
          <w:sz w:val="24"/>
          <w:szCs w:val="24"/>
          <w:highlight w:val="none"/>
          <w:u w:val="none"/>
        </w:rPr>
        <w:fldChar w:fldCharType="end"/>
      </w:r>
      <w:r>
        <w:rPr>
          <w:rStyle w:val="31"/>
          <w:rFonts w:hint="eastAsia" w:ascii="宋体" w:hAnsi="宋体" w:eastAsia="宋体" w:cs="宋体"/>
          <w:color w:val="auto"/>
          <w:sz w:val="24"/>
          <w:szCs w:val="24"/>
          <w:highlight w:val="none"/>
          <w:u w:val="none"/>
          <w:lang w:val="en-US" w:eastAsia="zh-CN"/>
        </w:rPr>
        <w:t xml:space="preserve">    </w:t>
      </w:r>
      <w:r>
        <w:rPr>
          <w:rStyle w:val="31"/>
          <w:rFonts w:hint="eastAsia" w:ascii="宋体" w:hAnsi="宋体" w:eastAsia="宋体" w:cs="宋体"/>
          <w:color w:val="auto"/>
          <w:sz w:val="24"/>
          <w:szCs w:val="24"/>
          <w:highlight w:val="none"/>
          <w:u w:val="none"/>
        </w:rPr>
        <w:t>除另有约定外，按下述公式计算现金价值：现金价值=净保费×（1-保险合同已生效的天数/保险合同保险期限的天数），经过日期不足一日的按一日计算。</w:t>
      </w:r>
    </w:p>
    <w:p w14:paraId="1C452002">
      <w:pPr>
        <w:pStyle w:val="43"/>
        <w:pageBreakBefore w:val="0"/>
        <w:widowControl w:val="0"/>
        <w:kinsoku/>
        <w:wordWrap/>
        <w:overflowPunct/>
        <w:topLinePunct w:val="0"/>
        <w:autoSpaceDE/>
        <w:autoSpaceDN/>
        <w:bidi w:val="0"/>
        <w:spacing w:line="312" w:lineRule="auto"/>
        <w:ind w:left="0" w:leftChars="0" w:firstLine="480" w:firstLineChars="200"/>
        <w:textAlignment w:val="auto"/>
        <w:rPr>
          <w:rStyle w:val="31"/>
          <w:rFonts w:hint="eastAsia" w:ascii="宋体" w:hAnsi="宋体" w:eastAsia="宋体" w:cs="宋体"/>
          <w:color w:val="auto"/>
          <w:sz w:val="24"/>
          <w:szCs w:val="24"/>
          <w:highlight w:val="none"/>
          <w:u w:val="none"/>
        </w:rPr>
      </w:pPr>
      <w:r>
        <w:rPr>
          <w:rStyle w:val="31"/>
          <w:rFonts w:hint="eastAsia" w:ascii="宋体" w:hAnsi="宋体" w:eastAsia="宋体" w:cs="宋体"/>
          <w:color w:val="auto"/>
          <w:sz w:val="24"/>
          <w:szCs w:val="24"/>
          <w:highlight w:val="none"/>
          <w:u w:val="none"/>
        </w:rPr>
        <w:fldChar w:fldCharType="begin"/>
      </w:r>
      <w:r>
        <w:rPr>
          <w:rStyle w:val="31"/>
          <w:rFonts w:hint="eastAsia" w:ascii="宋体" w:hAnsi="宋体" w:eastAsia="宋体" w:cs="宋体"/>
          <w:color w:val="auto"/>
          <w:sz w:val="24"/>
          <w:szCs w:val="24"/>
          <w:highlight w:val="none"/>
          <w:u w:val="none"/>
        </w:rPr>
        <w:instrText xml:space="preserve"> HYPERLINK  \l "_5_保险金申请与给付" </w:instrText>
      </w:r>
      <w:r>
        <w:rPr>
          <w:rStyle w:val="31"/>
          <w:rFonts w:hint="eastAsia" w:ascii="宋体" w:hAnsi="宋体" w:eastAsia="宋体" w:cs="宋体"/>
          <w:color w:val="auto"/>
          <w:sz w:val="24"/>
          <w:szCs w:val="24"/>
          <w:highlight w:val="none"/>
          <w:u w:val="none"/>
        </w:rPr>
        <w:fldChar w:fldCharType="separate"/>
      </w:r>
      <w:r>
        <w:rPr>
          <w:rStyle w:val="31"/>
          <w:rFonts w:hint="eastAsia" w:ascii="宋体" w:hAnsi="宋体" w:eastAsia="宋体" w:cs="宋体"/>
          <w:b/>
          <w:bCs/>
          <w:color w:val="auto"/>
          <w:sz w:val="24"/>
          <w:szCs w:val="24"/>
          <w:highlight w:val="none"/>
          <w:u w:val="none"/>
        </w:rPr>
        <w:t>9.</w:t>
      </w:r>
      <w:r>
        <w:rPr>
          <w:rStyle w:val="31"/>
          <w:rFonts w:hint="eastAsia" w:ascii="宋体" w:hAnsi="宋体" w:eastAsia="宋体" w:cs="宋体"/>
          <w:b/>
          <w:bCs/>
          <w:color w:val="auto"/>
          <w:sz w:val="24"/>
          <w:szCs w:val="24"/>
          <w:highlight w:val="none"/>
          <w:u w:val="none"/>
          <w:lang w:val="en-US" w:eastAsia="zh-CN"/>
        </w:rPr>
        <w:t>14</w:t>
      </w:r>
      <w:r>
        <w:rPr>
          <w:rStyle w:val="31"/>
          <w:rFonts w:hint="eastAsia" w:ascii="宋体" w:hAnsi="宋体" w:eastAsia="宋体" w:cs="宋体"/>
          <w:b/>
          <w:bCs/>
          <w:color w:val="auto"/>
          <w:sz w:val="24"/>
          <w:szCs w:val="24"/>
          <w:highlight w:val="none"/>
          <w:u w:val="none"/>
        </w:rPr>
        <w:tab/>
      </w:r>
      <w:r>
        <w:rPr>
          <w:rStyle w:val="31"/>
          <w:rFonts w:hint="eastAsia" w:ascii="宋体" w:hAnsi="宋体" w:eastAsia="宋体" w:cs="宋体"/>
          <w:b/>
          <w:bCs/>
          <w:color w:val="auto"/>
          <w:sz w:val="24"/>
          <w:szCs w:val="24"/>
          <w:highlight w:val="none"/>
          <w:u w:val="none"/>
          <w:lang w:val="en-US" w:eastAsia="zh-CN"/>
        </w:rPr>
        <w:t xml:space="preserve"> </w:t>
      </w:r>
      <w:r>
        <w:rPr>
          <w:rStyle w:val="31"/>
          <w:rFonts w:hint="eastAsia" w:ascii="宋体" w:hAnsi="宋体" w:eastAsia="宋体" w:cs="宋体"/>
          <w:b/>
          <w:bCs/>
          <w:color w:val="auto"/>
          <w:sz w:val="24"/>
          <w:szCs w:val="24"/>
          <w:highlight w:val="none"/>
          <w:u w:val="none"/>
        </w:rPr>
        <w:t>不可抗力</w:t>
      </w:r>
    </w:p>
    <w:p w14:paraId="732C706E">
      <w:pPr>
        <w:keepNext w:val="0"/>
        <w:keepLines w:val="0"/>
        <w:pageBreakBefore w:val="0"/>
        <w:widowControl w:val="0"/>
        <w:kinsoku/>
        <w:wordWrap/>
        <w:overflowPunct/>
        <w:topLinePunct w:val="0"/>
        <w:autoSpaceDE/>
        <w:autoSpaceDN/>
        <w:bidi w:val="0"/>
        <w:adjustRightInd/>
        <w:snapToGrid/>
        <w:spacing w:line="312" w:lineRule="auto"/>
        <w:ind w:left="0" w:leftChars="0" w:firstLine="482" w:firstLineChars="200"/>
        <w:textAlignment w:val="auto"/>
        <w:rPr>
          <w:rFonts w:hint="eastAsia" w:ascii="宋体" w:hAnsi="宋体" w:eastAsia="宋体" w:cs="宋体"/>
          <w:b/>
          <w:color w:val="auto"/>
          <w:sz w:val="24"/>
          <w:szCs w:val="24"/>
          <w:highlight w:val="none"/>
        </w:rPr>
      </w:pPr>
      <w:r>
        <w:rPr>
          <w:rStyle w:val="31"/>
          <w:rFonts w:hint="eastAsia" w:ascii="宋体" w:hAnsi="宋体" w:eastAsia="宋体" w:cs="宋体"/>
          <w:b/>
          <w:bCs/>
          <w:color w:val="auto"/>
          <w:sz w:val="24"/>
          <w:szCs w:val="24"/>
          <w:highlight w:val="none"/>
          <w:u w:val="none"/>
        </w:rPr>
        <w:fldChar w:fldCharType="end"/>
      </w:r>
      <w:r>
        <w:rPr>
          <w:rFonts w:hint="eastAsia" w:ascii="宋体" w:hAnsi="宋体" w:eastAsia="宋体" w:cs="宋体"/>
          <w:color w:val="auto"/>
          <w:sz w:val="24"/>
          <w:szCs w:val="24"/>
          <w:highlight w:val="none"/>
        </w:rPr>
        <w:t>指不能预见、不能避免并不能克服的客观情况。</w:t>
      </w:r>
    </w:p>
    <w:p w14:paraId="641FA986">
      <w:pPr>
        <w:pStyle w:val="43"/>
        <w:pageBreakBefore w:val="0"/>
        <w:widowControl w:val="0"/>
        <w:kinsoku/>
        <w:wordWrap/>
        <w:overflowPunct/>
        <w:topLinePunct w:val="0"/>
        <w:autoSpaceDE/>
        <w:autoSpaceDN/>
        <w:bidi w:val="0"/>
        <w:spacing w:line="312" w:lineRule="auto"/>
        <w:ind w:left="0" w:leftChars="0" w:firstLine="480" w:firstLineChars="200"/>
        <w:textAlignment w:val="auto"/>
        <w:rPr>
          <w:rStyle w:val="31"/>
          <w:rFonts w:hint="eastAsia" w:ascii="宋体" w:hAnsi="宋体" w:eastAsia="宋体" w:cs="宋体"/>
          <w:color w:val="auto"/>
          <w:sz w:val="24"/>
          <w:szCs w:val="24"/>
          <w:highlight w:val="none"/>
          <w:u w:val="none"/>
        </w:rPr>
      </w:pPr>
      <w:bookmarkStart w:id="53" w:name="_10.16_保险金申请人"/>
      <w:bookmarkEnd w:id="53"/>
      <w:bookmarkStart w:id="54" w:name="_9.23_滋补类中草药"/>
      <w:bookmarkEnd w:id="54"/>
      <w:bookmarkStart w:id="55" w:name="_9.3_专科医生"/>
      <w:bookmarkEnd w:id="55"/>
      <w:bookmarkStart w:id="56" w:name="_9.18_社会基本医疗保险"/>
      <w:bookmarkEnd w:id="56"/>
      <w:bookmarkStart w:id="57" w:name="_9.11_工伤"/>
      <w:bookmarkEnd w:id="57"/>
      <w:bookmarkStart w:id="58" w:name="_9.19_职业病"/>
      <w:bookmarkEnd w:id="58"/>
      <w:bookmarkStart w:id="59" w:name="_9.14_保险金申请人"/>
      <w:bookmarkEnd w:id="59"/>
      <w:r>
        <w:rPr>
          <w:rStyle w:val="31"/>
          <w:rFonts w:hint="eastAsia" w:ascii="宋体" w:hAnsi="宋体" w:eastAsia="宋体" w:cs="宋体"/>
          <w:color w:val="auto"/>
          <w:sz w:val="24"/>
          <w:szCs w:val="24"/>
          <w:highlight w:val="none"/>
          <w:u w:val="none"/>
        </w:rPr>
        <w:fldChar w:fldCharType="begin"/>
      </w:r>
      <w:r>
        <w:rPr>
          <w:rStyle w:val="31"/>
          <w:rFonts w:hint="eastAsia" w:ascii="宋体" w:hAnsi="宋体" w:eastAsia="宋体" w:cs="宋体"/>
          <w:color w:val="auto"/>
          <w:sz w:val="24"/>
          <w:szCs w:val="24"/>
          <w:highlight w:val="none"/>
          <w:u w:val="none"/>
        </w:rPr>
        <w:instrText xml:space="preserve"> HYPERLINK  \l "_5_保险金申请与给付" </w:instrText>
      </w:r>
      <w:r>
        <w:rPr>
          <w:rStyle w:val="31"/>
          <w:rFonts w:hint="eastAsia" w:ascii="宋体" w:hAnsi="宋体" w:eastAsia="宋体" w:cs="宋体"/>
          <w:color w:val="auto"/>
          <w:sz w:val="24"/>
          <w:szCs w:val="24"/>
          <w:highlight w:val="none"/>
          <w:u w:val="none"/>
        </w:rPr>
        <w:fldChar w:fldCharType="separate"/>
      </w:r>
      <w:r>
        <w:rPr>
          <w:rStyle w:val="31"/>
          <w:rFonts w:hint="eastAsia" w:ascii="宋体" w:hAnsi="宋体" w:eastAsia="宋体" w:cs="宋体"/>
          <w:b/>
          <w:bCs/>
          <w:color w:val="auto"/>
          <w:sz w:val="24"/>
          <w:szCs w:val="24"/>
          <w:highlight w:val="none"/>
          <w:u w:val="none"/>
        </w:rPr>
        <w:t>9.</w:t>
      </w:r>
      <w:r>
        <w:rPr>
          <w:rStyle w:val="31"/>
          <w:rFonts w:hint="eastAsia" w:ascii="宋体" w:hAnsi="宋体" w:eastAsia="宋体" w:cs="宋体"/>
          <w:b/>
          <w:bCs/>
          <w:color w:val="auto"/>
          <w:sz w:val="24"/>
          <w:szCs w:val="24"/>
          <w:highlight w:val="none"/>
          <w:u w:val="none"/>
          <w:lang w:val="en-US" w:eastAsia="zh-CN"/>
        </w:rPr>
        <w:t>15</w:t>
      </w:r>
      <w:r>
        <w:rPr>
          <w:rStyle w:val="31"/>
          <w:rFonts w:hint="eastAsia" w:ascii="宋体" w:hAnsi="宋体" w:eastAsia="宋体" w:cs="宋体"/>
          <w:b/>
          <w:bCs/>
          <w:color w:val="auto"/>
          <w:sz w:val="24"/>
          <w:szCs w:val="24"/>
          <w:highlight w:val="none"/>
          <w:u w:val="none"/>
        </w:rPr>
        <w:tab/>
      </w:r>
      <w:r>
        <w:rPr>
          <w:rStyle w:val="31"/>
          <w:rFonts w:hint="eastAsia" w:ascii="宋体" w:hAnsi="宋体" w:eastAsia="宋体" w:cs="宋体"/>
          <w:b/>
          <w:bCs/>
          <w:color w:val="auto"/>
          <w:sz w:val="24"/>
          <w:szCs w:val="24"/>
          <w:highlight w:val="none"/>
          <w:u w:val="none"/>
          <w:lang w:val="en-US" w:eastAsia="zh-CN"/>
        </w:rPr>
        <w:t xml:space="preserve"> </w:t>
      </w:r>
      <w:r>
        <w:rPr>
          <w:rStyle w:val="31"/>
          <w:rFonts w:hint="eastAsia" w:ascii="宋体" w:hAnsi="宋体" w:eastAsia="宋体" w:cs="宋体"/>
          <w:b/>
          <w:bCs/>
          <w:color w:val="auto"/>
          <w:sz w:val="24"/>
          <w:szCs w:val="24"/>
          <w:highlight w:val="none"/>
          <w:u w:val="none"/>
        </w:rPr>
        <w:t>保险金申请人</w:t>
      </w:r>
    </w:p>
    <w:p w14:paraId="3A5B97A1">
      <w:pPr>
        <w:pStyle w:val="43"/>
        <w:pageBreakBefore w:val="0"/>
        <w:widowControl w:val="0"/>
        <w:kinsoku/>
        <w:wordWrap/>
        <w:overflowPunct/>
        <w:topLinePunct w:val="0"/>
        <w:autoSpaceDE/>
        <w:autoSpaceDN/>
        <w:bidi w:val="0"/>
        <w:spacing w:line="312" w:lineRule="auto"/>
        <w:ind w:left="0" w:leftChars="0" w:firstLine="482" w:firstLineChars="200"/>
        <w:textAlignment w:val="auto"/>
        <w:rPr>
          <w:rFonts w:hint="eastAsia" w:ascii="宋体" w:hAnsi="宋体" w:eastAsia="宋体" w:cs="宋体"/>
          <w:color w:val="auto"/>
          <w:sz w:val="24"/>
          <w:szCs w:val="24"/>
          <w:highlight w:val="none"/>
        </w:rPr>
      </w:pPr>
      <w:r>
        <w:rPr>
          <w:rStyle w:val="31"/>
          <w:rFonts w:hint="eastAsia" w:ascii="宋体" w:hAnsi="宋体" w:eastAsia="宋体" w:cs="宋体"/>
          <w:b/>
          <w:bCs/>
          <w:color w:val="auto"/>
          <w:sz w:val="24"/>
          <w:szCs w:val="24"/>
          <w:highlight w:val="none"/>
          <w:u w:val="none"/>
        </w:rPr>
        <w:fldChar w:fldCharType="end"/>
      </w:r>
      <w:r>
        <w:rPr>
          <w:rFonts w:hint="eastAsia" w:ascii="宋体" w:hAnsi="宋体" w:eastAsia="宋体" w:cs="宋体"/>
          <w:color w:val="auto"/>
          <w:sz w:val="24"/>
          <w:szCs w:val="24"/>
          <w:highlight w:val="none"/>
        </w:rPr>
        <w:t>除另有约定外，身故保险金申请人是指受益人或被保险人的继承人或依法享有保险金请求权的其他自然人；</w:t>
      </w:r>
      <w:r>
        <w:rPr>
          <w:rFonts w:hint="eastAsia" w:ascii="宋体" w:hAnsi="宋体" w:eastAsia="宋体" w:cs="宋体"/>
          <w:color w:val="auto"/>
          <w:sz w:val="24"/>
          <w:szCs w:val="24"/>
          <w:highlight w:val="none"/>
          <w:lang w:val="en-US" w:eastAsia="zh-CN"/>
        </w:rPr>
        <w:t>伤残</w:t>
      </w:r>
      <w:r>
        <w:rPr>
          <w:rFonts w:hint="eastAsia" w:ascii="宋体" w:hAnsi="宋体" w:eastAsia="宋体" w:cs="宋体"/>
          <w:color w:val="auto"/>
          <w:sz w:val="24"/>
          <w:szCs w:val="24"/>
          <w:highlight w:val="none"/>
        </w:rPr>
        <w:t>保险金申请人是指被保险人本人</w:t>
      </w:r>
      <w:bookmarkStart w:id="60" w:name="_4.6_高风险运动"/>
      <w:bookmarkEnd w:id="60"/>
      <w:bookmarkStart w:id="61" w:name="_4.9_既往症"/>
      <w:bookmarkEnd w:id="61"/>
      <w:r>
        <w:rPr>
          <w:rFonts w:hint="eastAsia" w:ascii="宋体" w:hAnsi="宋体" w:eastAsia="宋体" w:cs="宋体"/>
          <w:color w:val="auto"/>
          <w:sz w:val="24"/>
          <w:szCs w:val="24"/>
          <w:highlight w:val="none"/>
        </w:rPr>
        <w:t>。</w:t>
      </w:r>
    </w:p>
    <w:p w14:paraId="5B1B790E">
      <w:pPr>
        <w:pStyle w:val="43"/>
        <w:rPr>
          <w:rFonts w:hint="eastAsia" w:ascii="宋体" w:hAnsi="宋体" w:eastAsia="宋体" w:cs="宋体"/>
          <w:color w:val="auto"/>
          <w:szCs w:val="21"/>
          <w:highlight w:val="none"/>
        </w:rPr>
      </w:pPr>
    </w:p>
    <w:p w14:paraId="66D5469D">
      <w:pPr>
        <w:pStyle w:val="43"/>
        <w:rPr>
          <w:rFonts w:hint="eastAsia" w:ascii="宋体" w:hAnsi="宋体" w:eastAsia="宋体" w:cs="宋体"/>
          <w:color w:val="auto"/>
          <w:szCs w:val="21"/>
          <w:highlight w:val="none"/>
        </w:rPr>
      </w:pPr>
    </w:p>
    <w:p w14:paraId="38084555">
      <w:pPr>
        <w:pStyle w:val="43"/>
        <w:rPr>
          <w:rFonts w:hint="eastAsia" w:ascii="宋体" w:hAnsi="宋体" w:eastAsia="宋体" w:cs="宋体"/>
          <w:color w:val="auto"/>
          <w:szCs w:val="21"/>
          <w:highlight w:val="none"/>
        </w:rPr>
      </w:pPr>
    </w:p>
    <w:p w14:paraId="3131EE6B">
      <w:pPr>
        <w:pStyle w:val="43"/>
        <w:rPr>
          <w:rFonts w:hint="eastAsia" w:ascii="宋体" w:hAnsi="宋体" w:eastAsia="宋体" w:cs="宋体"/>
          <w:color w:val="auto"/>
          <w:szCs w:val="21"/>
          <w:highlight w:val="none"/>
        </w:rPr>
      </w:pPr>
    </w:p>
    <w:p w14:paraId="4F943443">
      <w:pPr>
        <w:pStyle w:val="43"/>
        <w:rPr>
          <w:rFonts w:hint="eastAsia" w:ascii="宋体" w:hAnsi="宋体" w:eastAsia="宋体" w:cs="宋体"/>
          <w:color w:val="auto"/>
          <w:szCs w:val="21"/>
          <w:highlight w:val="none"/>
        </w:rPr>
      </w:pPr>
    </w:p>
    <w:p w14:paraId="2A365108">
      <w:pPr>
        <w:pStyle w:val="43"/>
        <w:rPr>
          <w:rFonts w:hint="eastAsia" w:ascii="宋体" w:hAnsi="宋体" w:eastAsia="宋体" w:cs="宋体"/>
          <w:color w:val="auto"/>
          <w:szCs w:val="21"/>
          <w:highlight w:val="none"/>
        </w:rPr>
      </w:pPr>
    </w:p>
    <w:p w14:paraId="422EACF8">
      <w:pPr>
        <w:pStyle w:val="43"/>
        <w:rPr>
          <w:rFonts w:hint="eastAsia" w:ascii="宋体" w:hAnsi="宋体" w:eastAsia="宋体" w:cs="宋体"/>
          <w:color w:val="auto"/>
          <w:szCs w:val="21"/>
          <w:highlight w:val="none"/>
        </w:rPr>
      </w:pPr>
    </w:p>
    <w:p w14:paraId="57C70D6A">
      <w:pPr>
        <w:pStyle w:val="43"/>
        <w:rPr>
          <w:rFonts w:hint="eastAsia" w:ascii="宋体" w:hAnsi="宋体" w:eastAsia="宋体" w:cs="宋体"/>
          <w:color w:val="auto"/>
          <w:szCs w:val="21"/>
          <w:highlight w:val="none"/>
        </w:rPr>
      </w:pPr>
    </w:p>
    <w:p w14:paraId="3C38500B">
      <w:pPr>
        <w:pStyle w:val="43"/>
        <w:rPr>
          <w:rFonts w:hint="eastAsia" w:ascii="宋体" w:hAnsi="宋体" w:eastAsia="宋体" w:cs="宋体"/>
          <w:color w:val="auto"/>
          <w:szCs w:val="21"/>
          <w:highlight w:val="none"/>
        </w:rPr>
      </w:pPr>
    </w:p>
    <w:p w14:paraId="45881163">
      <w:pPr>
        <w:pStyle w:val="43"/>
        <w:rPr>
          <w:rFonts w:hint="eastAsia" w:ascii="宋体" w:hAnsi="宋体" w:eastAsia="宋体" w:cs="宋体"/>
          <w:color w:val="auto"/>
          <w:szCs w:val="21"/>
          <w:highlight w:val="none"/>
        </w:rPr>
      </w:pPr>
    </w:p>
    <w:p w14:paraId="2706ABF4">
      <w:pPr>
        <w:pStyle w:val="43"/>
        <w:rPr>
          <w:rFonts w:hint="eastAsia" w:ascii="宋体" w:hAnsi="宋体" w:eastAsia="宋体" w:cs="宋体"/>
          <w:color w:val="auto"/>
          <w:szCs w:val="21"/>
          <w:highlight w:val="none"/>
        </w:rPr>
      </w:pPr>
    </w:p>
    <w:p w14:paraId="19988ACE">
      <w:pPr>
        <w:pStyle w:val="43"/>
        <w:rPr>
          <w:rFonts w:hint="eastAsia" w:ascii="宋体" w:hAnsi="宋体" w:eastAsia="宋体" w:cs="宋体"/>
          <w:color w:val="auto"/>
          <w:szCs w:val="21"/>
          <w:highlight w:val="none"/>
        </w:rPr>
      </w:pPr>
    </w:p>
    <w:p w14:paraId="6997FDCB">
      <w:pPr>
        <w:pStyle w:val="43"/>
        <w:rPr>
          <w:rFonts w:hint="eastAsia" w:ascii="宋体" w:hAnsi="宋体" w:eastAsia="宋体" w:cs="宋体"/>
          <w:color w:val="auto"/>
          <w:szCs w:val="21"/>
          <w:highlight w:val="none"/>
        </w:rPr>
      </w:pPr>
    </w:p>
    <w:p w14:paraId="2106CD46">
      <w:pPr>
        <w:pStyle w:val="43"/>
        <w:rPr>
          <w:rFonts w:hint="eastAsia" w:ascii="宋体" w:hAnsi="宋体" w:eastAsia="宋体" w:cs="宋体"/>
          <w:color w:val="auto"/>
          <w:szCs w:val="21"/>
          <w:highlight w:val="none"/>
        </w:rPr>
      </w:pPr>
    </w:p>
    <w:p w14:paraId="56E9AF9E">
      <w:pPr>
        <w:rPr>
          <w:rFonts w:hint="eastAsia" w:ascii="宋体" w:hAnsi="宋体" w:eastAsia="宋体"/>
          <w:color w:val="auto"/>
          <w:sz w:val="28"/>
          <w:highlight w:val="none"/>
        </w:rPr>
      </w:pPr>
      <w:r>
        <w:rPr>
          <w:rFonts w:hint="eastAsia" w:ascii="宋体" w:hAnsi="宋体" w:eastAsia="宋体"/>
          <w:color w:val="auto"/>
          <w:sz w:val="28"/>
          <w:highlight w:val="none"/>
        </w:rPr>
        <w:br w:type="page"/>
      </w:r>
    </w:p>
    <w:p w14:paraId="2DFB6BEF">
      <w:pPr>
        <w:pStyle w:val="2"/>
        <w:tabs>
          <w:tab w:val="left" w:pos="1050"/>
        </w:tabs>
        <w:snapToGrid w:val="0"/>
        <w:jc w:val="center"/>
        <w:rPr>
          <w:rFonts w:ascii="宋体" w:hAnsi="宋体" w:eastAsia="宋体"/>
          <w:color w:val="auto"/>
          <w:sz w:val="28"/>
          <w:highlight w:val="none"/>
        </w:rPr>
      </w:pPr>
      <w:r>
        <w:rPr>
          <w:rFonts w:hint="eastAsia" w:ascii="宋体" w:hAnsi="宋体" w:eastAsia="宋体"/>
          <w:color w:val="auto"/>
          <w:sz w:val="28"/>
          <w:highlight w:val="none"/>
        </w:rPr>
        <w:t>附加意外伤害医疗保险</w:t>
      </w:r>
      <w:r>
        <w:rPr>
          <w:rFonts w:hint="eastAsia" w:ascii="宋体" w:hAnsi="宋体" w:eastAsia="宋体"/>
          <w:color w:val="auto"/>
          <w:sz w:val="28"/>
          <w:highlight w:val="none"/>
          <w:lang w:eastAsia="zh-CN"/>
        </w:rPr>
        <w:t>（</w:t>
      </w:r>
      <w:r>
        <w:rPr>
          <w:rFonts w:hint="eastAsia" w:ascii="宋体" w:hAnsi="宋体" w:eastAsia="宋体"/>
          <w:color w:val="auto"/>
          <w:sz w:val="28"/>
          <w:highlight w:val="none"/>
          <w:lang w:val="en-US" w:eastAsia="zh-CN"/>
        </w:rPr>
        <w:t>2022款</w:t>
      </w:r>
      <w:r>
        <w:rPr>
          <w:rFonts w:hint="eastAsia" w:ascii="宋体" w:hAnsi="宋体" w:eastAsia="宋体"/>
          <w:color w:val="auto"/>
          <w:sz w:val="28"/>
          <w:highlight w:val="none"/>
          <w:lang w:eastAsia="zh-CN"/>
        </w:rPr>
        <w:t>）</w:t>
      </w:r>
      <w:r>
        <w:rPr>
          <w:rFonts w:hint="eastAsia" w:ascii="宋体" w:hAnsi="宋体" w:eastAsia="宋体"/>
          <w:color w:val="auto"/>
          <w:sz w:val="28"/>
          <w:highlight w:val="none"/>
        </w:rPr>
        <w:t>条款</w:t>
      </w:r>
    </w:p>
    <w:p w14:paraId="56BDADCB">
      <w:pPr>
        <w:pStyle w:val="2"/>
        <w:pageBreakBefore w:val="0"/>
        <w:tabs>
          <w:tab w:val="left" w:pos="993"/>
        </w:tabs>
        <w:kinsoku/>
        <w:wordWrap/>
        <w:overflowPunct/>
        <w:topLinePunct w:val="0"/>
        <w:autoSpaceDE/>
        <w:autoSpaceDN/>
        <w:bidi w:val="0"/>
        <w:spacing w:before="0" w:after="0"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总则</w:t>
      </w:r>
    </w:p>
    <w:p w14:paraId="1A97E7C8">
      <w:pPr>
        <w:pStyle w:val="3"/>
        <w:pageBreakBefore w:val="0"/>
        <w:tabs>
          <w:tab w:val="left" w:pos="993"/>
        </w:tabs>
        <w:kinsoku/>
        <w:wordWrap/>
        <w:overflowPunct/>
        <w:topLinePunct w:val="0"/>
        <w:autoSpaceDE/>
        <w:autoSpaceDN/>
        <w:bidi w:val="0"/>
        <w:spacing w:before="0" w:after="0" w:line="312" w:lineRule="auto"/>
        <w:ind w:left="0"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投保附加险的条件</w:t>
      </w:r>
    </w:p>
    <w:p w14:paraId="1DBE1B0D">
      <w:pPr>
        <w:pStyle w:val="43"/>
        <w:pageBreakBefore w:val="0"/>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本条款为本保险单约定的意外健康险类主险的附加险条款。只有在投保了主险的基础上，方可投保本附加险。</w:t>
      </w:r>
    </w:p>
    <w:p w14:paraId="1F0115AE">
      <w:pPr>
        <w:pStyle w:val="3"/>
        <w:keepNext/>
        <w:keepLines/>
        <w:pageBreakBefore w:val="0"/>
        <w:widowControl w:val="0"/>
        <w:tabs>
          <w:tab w:val="left" w:pos="993"/>
        </w:tabs>
        <w:kinsoku/>
        <w:wordWrap/>
        <w:overflowPunct/>
        <w:topLinePunct w:val="0"/>
        <w:autoSpaceDE/>
        <w:autoSpaceDN/>
        <w:bidi w:val="0"/>
        <w:adjustRightInd/>
        <w:snapToGrid/>
        <w:spacing w:before="0" w:after="0" w:line="312" w:lineRule="auto"/>
        <w:ind w:left="0"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主险与附加险关系</w:t>
      </w:r>
    </w:p>
    <w:p w14:paraId="3CD8B038">
      <w:pPr>
        <w:pStyle w:val="43"/>
        <w:pageBreakBefore w:val="0"/>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凡涉及本附加险合同的约定，均应采用书面形式。主险合同与本附加险合同相抵触之处，以本附加险合同为准；本附加险合同未约定事项，以主险合同为准。主险合同无效，本附加险合同亦无效。</w:t>
      </w:r>
    </w:p>
    <w:p w14:paraId="5B1E0FE8">
      <w:pPr>
        <w:pStyle w:val="3"/>
        <w:pageBreakBefore w:val="0"/>
        <w:tabs>
          <w:tab w:val="left" w:pos="993"/>
        </w:tabs>
        <w:kinsoku/>
        <w:wordWrap/>
        <w:overflowPunct/>
        <w:topLinePunct w:val="0"/>
        <w:autoSpaceDE/>
        <w:autoSpaceDN/>
        <w:bidi w:val="0"/>
        <w:spacing w:before="0" w:after="0" w:line="312" w:lineRule="auto"/>
        <w:ind w:left="0"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受益人</w:t>
      </w:r>
    </w:p>
    <w:p w14:paraId="25E17A1F">
      <w:pPr>
        <w:pStyle w:val="43"/>
        <w:pageBreakBefore w:val="0"/>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除另有约定外，本附加险合同保险金的受益人为被保险人本人。</w:t>
      </w:r>
    </w:p>
    <w:p w14:paraId="1FFF66D8">
      <w:pPr>
        <w:pStyle w:val="2"/>
        <w:pageBreakBefore w:val="0"/>
        <w:tabs>
          <w:tab w:val="left" w:pos="993"/>
        </w:tabs>
        <w:kinsoku/>
        <w:wordWrap/>
        <w:overflowPunct/>
        <w:topLinePunct w:val="0"/>
        <w:autoSpaceDE/>
        <w:autoSpaceDN/>
        <w:bidi w:val="0"/>
        <w:spacing w:before="0" w:after="0"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保障内容</w:t>
      </w:r>
    </w:p>
    <w:p w14:paraId="1E498039">
      <w:pPr>
        <w:pStyle w:val="3"/>
        <w:pageBreakBefore w:val="0"/>
        <w:tabs>
          <w:tab w:val="left" w:pos="993"/>
        </w:tabs>
        <w:kinsoku/>
        <w:wordWrap/>
        <w:overflowPunct/>
        <w:topLinePunct w:val="0"/>
        <w:autoSpaceDE/>
        <w:autoSpaceDN/>
        <w:bidi w:val="0"/>
        <w:spacing w:before="0" w:after="0" w:line="312" w:lineRule="auto"/>
        <w:ind w:left="0" w:leftChars="0" w:firstLine="482" w:firstLineChars="200"/>
        <w:textAlignment w:val="auto"/>
        <w:rPr>
          <w:rFonts w:hint="eastAsia" w:ascii="宋体" w:hAnsi="宋体" w:eastAsia="宋体" w:cs="宋体"/>
          <w:color w:val="auto"/>
          <w:sz w:val="24"/>
          <w:szCs w:val="24"/>
          <w:highlight w:val="none"/>
        </w:rPr>
      </w:pPr>
      <w:bookmarkStart w:id="62" w:name="_2.1_保险责任"/>
      <w:bookmarkEnd w:id="62"/>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保险责任</w:t>
      </w:r>
    </w:p>
    <w:p w14:paraId="741CC4DF">
      <w:pPr>
        <w:pStyle w:val="43"/>
        <w:pageBreakBefore w:val="0"/>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在保险期间内，被保险人自获得被保资格之日起遭受</w:t>
      </w:r>
      <w:r>
        <w:rPr>
          <w:rFonts w:hint="eastAsia" w:ascii="宋体" w:hAnsi="宋体" w:eastAsia="宋体" w:cs="宋体"/>
          <w:b/>
          <w:bCs w:val="0"/>
          <w:color w:val="auto"/>
          <w:sz w:val="24"/>
          <w:szCs w:val="24"/>
          <w:highlight w:val="none"/>
        </w:rPr>
        <w:t>意外伤害</w:t>
      </w:r>
      <w:r>
        <w:rPr>
          <w:rFonts w:hint="eastAsia" w:ascii="宋体" w:hAnsi="宋体" w:eastAsia="宋体" w:cs="宋体"/>
          <w:b/>
          <w:bCs/>
          <w:color w:val="auto"/>
          <w:sz w:val="24"/>
          <w:szCs w:val="24"/>
          <w:highlight w:val="none"/>
        </w:rPr>
        <w:t>（见释义）</w:t>
      </w:r>
      <w:r>
        <w:rPr>
          <w:rFonts w:hint="eastAsia" w:ascii="宋体" w:hAnsi="宋体" w:eastAsia="宋体" w:cs="宋体"/>
          <w:color w:val="auto"/>
          <w:sz w:val="24"/>
          <w:szCs w:val="24"/>
          <w:highlight w:val="none"/>
        </w:rPr>
        <w:t>，并因该意外伤害在保险期间内在</w:t>
      </w:r>
      <w:r>
        <w:rPr>
          <w:rFonts w:hint="eastAsia" w:ascii="宋体" w:hAnsi="宋体" w:eastAsia="宋体" w:cs="宋体"/>
          <w:b/>
          <w:color w:val="auto"/>
          <w:sz w:val="24"/>
          <w:szCs w:val="24"/>
          <w:highlight w:val="none"/>
        </w:rPr>
        <w:t>指定医疗机构</w:t>
      </w:r>
      <w:r>
        <w:rPr>
          <w:rFonts w:hint="eastAsia" w:ascii="宋体" w:hAnsi="宋体" w:eastAsia="宋体" w:cs="宋体"/>
          <w:b/>
          <w:bCs/>
          <w:color w:val="auto"/>
          <w:sz w:val="24"/>
          <w:szCs w:val="24"/>
          <w:highlight w:val="none"/>
        </w:rPr>
        <w:t>（见释义）</w:t>
      </w:r>
      <w:r>
        <w:rPr>
          <w:rFonts w:hint="eastAsia" w:ascii="宋体" w:hAnsi="宋体" w:eastAsia="宋体" w:cs="宋体"/>
          <w:color w:val="auto"/>
          <w:sz w:val="24"/>
          <w:szCs w:val="24"/>
          <w:highlight w:val="none"/>
        </w:rPr>
        <w:t>进行治疗，保险人按下列约定给付医疗保险金：</w:t>
      </w:r>
    </w:p>
    <w:p w14:paraId="51D07CFC">
      <w:pPr>
        <w:pStyle w:val="43"/>
        <w:pageBreakBefore w:val="0"/>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对于被保险人因该意外伤害所支出的</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"_4.3_必需且合理" </w:instrText>
      </w:r>
      <w:r>
        <w:rPr>
          <w:rFonts w:hint="eastAsia" w:ascii="宋体" w:hAnsi="宋体" w:eastAsia="宋体" w:cs="宋体"/>
          <w:color w:val="auto"/>
          <w:sz w:val="24"/>
          <w:szCs w:val="24"/>
          <w:highlight w:val="none"/>
        </w:rPr>
        <w:fldChar w:fldCharType="separate"/>
      </w:r>
      <w:r>
        <w:rPr>
          <w:rFonts w:hint="eastAsia" w:ascii="宋体" w:hAnsi="宋体" w:eastAsia="宋体" w:cs="宋体"/>
          <w:b/>
          <w:color w:val="auto"/>
          <w:sz w:val="24"/>
          <w:szCs w:val="24"/>
          <w:highlight w:val="none"/>
        </w:rPr>
        <w:t>必需且合理（见释义）</w:t>
      </w:r>
      <w:r>
        <w:rPr>
          <w:rFonts w:hint="eastAsia" w:ascii="宋体" w:hAnsi="宋体" w:eastAsia="宋体" w:cs="宋体"/>
          <w:b/>
          <w:color w:val="auto"/>
          <w:sz w:val="24"/>
          <w:szCs w:val="24"/>
          <w:highlight w:val="none"/>
        </w:rPr>
        <w:fldChar w:fldCharType="end"/>
      </w:r>
      <w:r>
        <w:rPr>
          <w:rFonts w:hint="eastAsia" w:ascii="宋体" w:hAnsi="宋体" w:eastAsia="宋体" w:cs="宋体"/>
          <w:bCs/>
          <w:color w:val="auto"/>
          <w:sz w:val="24"/>
          <w:szCs w:val="24"/>
          <w:highlight w:val="none"/>
        </w:rPr>
        <w:t>的、符合</w:t>
      </w:r>
      <w:r>
        <w:rPr>
          <w:rFonts w:hint="eastAsia" w:ascii="宋体" w:hAnsi="宋体" w:eastAsia="宋体" w:cs="宋体"/>
          <w:bCs/>
          <w:color w:val="auto"/>
          <w:sz w:val="24"/>
          <w:szCs w:val="24"/>
          <w:highlight w:val="none"/>
          <w:lang w:eastAsia="zh-CN"/>
        </w:rPr>
        <w:t>本保险合同</w:t>
      </w:r>
      <w:r>
        <w:rPr>
          <w:rFonts w:hint="eastAsia" w:ascii="宋体" w:hAnsi="宋体" w:eastAsia="宋体" w:cs="宋体"/>
          <w:bCs/>
          <w:color w:val="auto"/>
          <w:sz w:val="24"/>
          <w:szCs w:val="24"/>
          <w:highlight w:val="none"/>
        </w:rPr>
        <w:t>签发地政府颁布的</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"_4.4_社会基本医疗保险" </w:instrText>
      </w:r>
      <w:r>
        <w:rPr>
          <w:rFonts w:hint="eastAsia" w:ascii="宋体" w:hAnsi="宋体" w:eastAsia="宋体" w:cs="宋体"/>
          <w:color w:val="auto"/>
          <w:sz w:val="24"/>
          <w:szCs w:val="24"/>
          <w:highlight w:val="none"/>
        </w:rPr>
        <w:fldChar w:fldCharType="separate"/>
      </w:r>
      <w:r>
        <w:rPr>
          <w:rFonts w:hint="eastAsia" w:ascii="宋体" w:hAnsi="宋体" w:eastAsia="宋体" w:cs="宋体"/>
          <w:b/>
          <w:color w:val="auto"/>
          <w:sz w:val="24"/>
          <w:szCs w:val="24"/>
          <w:highlight w:val="none"/>
        </w:rPr>
        <w:t>社会基本医疗保险（见释义）</w:t>
      </w:r>
      <w:r>
        <w:rPr>
          <w:rFonts w:hint="eastAsia" w:ascii="宋体" w:hAnsi="宋体" w:eastAsia="宋体" w:cs="宋体"/>
          <w:b/>
          <w:color w:val="auto"/>
          <w:sz w:val="24"/>
          <w:szCs w:val="24"/>
          <w:highlight w:val="none"/>
        </w:rPr>
        <w:fldChar w:fldCharType="end"/>
      </w:r>
      <w:r>
        <w:rPr>
          <w:rFonts w:hint="eastAsia" w:ascii="宋体" w:hAnsi="宋体" w:eastAsia="宋体" w:cs="宋体"/>
          <w:bCs/>
          <w:color w:val="auto"/>
          <w:sz w:val="24"/>
          <w:szCs w:val="24"/>
          <w:highlight w:val="none"/>
        </w:rPr>
        <w:t>报销范围的医疗费用，</w:t>
      </w:r>
      <w:r>
        <w:rPr>
          <w:rFonts w:hint="eastAsia" w:ascii="宋体" w:hAnsi="宋体" w:eastAsia="宋体" w:cs="宋体"/>
          <w:b/>
          <w:bCs/>
          <w:color w:val="auto"/>
          <w:sz w:val="24"/>
          <w:szCs w:val="24"/>
          <w:highlight w:val="none"/>
        </w:rPr>
        <w:t>保险人在扣除社会基本医疗保险、公费医疗和任何第三方（包括任何商业医疗保险）已经补偿或给付部分以及</w:t>
      </w:r>
      <w:r>
        <w:rPr>
          <w:rFonts w:hint="eastAsia" w:ascii="宋体" w:hAnsi="宋体" w:eastAsia="宋体" w:cs="宋体"/>
          <w:b/>
          <w:bCs/>
          <w:color w:val="auto"/>
          <w:sz w:val="24"/>
          <w:szCs w:val="24"/>
          <w:highlight w:val="none"/>
          <w:lang w:val="en-US" w:eastAsia="zh-CN"/>
        </w:rPr>
        <w:t>本保险</w:t>
      </w:r>
      <w:r>
        <w:rPr>
          <w:rFonts w:hint="eastAsia" w:ascii="宋体" w:hAnsi="宋体" w:eastAsia="宋体" w:cs="宋体"/>
          <w:b/>
          <w:bCs/>
          <w:color w:val="auto"/>
          <w:sz w:val="24"/>
          <w:szCs w:val="24"/>
          <w:highlight w:val="none"/>
        </w:rPr>
        <w:t>合同约定的免赔额后，对其余额按本</w:t>
      </w:r>
      <w:r>
        <w:rPr>
          <w:rFonts w:hint="eastAsia" w:ascii="宋体" w:hAnsi="宋体" w:eastAsia="宋体" w:cs="宋体"/>
          <w:b/>
          <w:bCs/>
          <w:color w:val="auto"/>
          <w:sz w:val="24"/>
          <w:szCs w:val="24"/>
          <w:highlight w:val="none"/>
          <w:lang w:val="en-US" w:eastAsia="zh-CN"/>
        </w:rPr>
        <w:t>保险</w:t>
      </w:r>
      <w:r>
        <w:rPr>
          <w:rFonts w:hint="eastAsia" w:ascii="宋体" w:hAnsi="宋体" w:eastAsia="宋体" w:cs="宋体"/>
          <w:b/>
          <w:bCs/>
          <w:color w:val="auto"/>
          <w:sz w:val="24"/>
          <w:szCs w:val="24"/>
          <w:highlight w:val="none"/>
        </w:rPr>
        <w:t>合同约定的给付比例和门诊急诊限额给付意外</w:t>
      </w:r>
      <w:r>
        <w:rPr>
          <w:rFonts w:hint="eastAsia" w:ascii="宋体" w:hAnsi="宋体" w:eastAsia="宋体" w:cs="宋体"/>
          <w:b/>
          <w:bCs/>
          <w:color w:val="auto"/>
          <w:sz w:val="24"/>
          <w:szCs w:val="24"/>
          <w:highlight w:val="none"/>
          <w:lang w:val="en-US" w:eastAsia="zh-CN"/>
        </w:rPr>
        <w:t>伤害</w:t>
      </w:r>
      <w:r>
        <w:rPr>
          <w:rFonts w:hint="eastAsia" w:ascii="宋体" w:hAnsi="宋体" w:eastAsia="宋体" w:cs="宋体"/>
          <w:b/>
          <w:bCs/>
          <w:color w:val="auto"/>
          <w:sz w:val="24"/>
          <w:szCs w:val="24"/>
          <w:highlight w:val="none"/>
        </w:rPr>
        <w:t>医疗保险金。免赔额、给付比例和门诊急诊限额由投保人、保险人双方约定，并在保险单中载明。</w:t>
      </w:r>
    </w:p>
    <w:p w14:paraId="5F9AA056">
      <w:pPr>
        <w:pStyle w:val="43"/>
        <w:pageBreakBefore w:val="0"/>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保险期间届满被保险人治疗仍未结束的，保险人所负本项保险责任期限可按下列约定延长：</w:t>
      </w:r>
      <w:r>
        <w:rPr>
          <w:rFonts w:hint="eastAsia" w:ascii="宋体" w:hAnsi="宋体" w:eastAsia="宋体" w:cs="宋体"/>
          <w:b/>
          <w:color w:val="auto"/>
          <w:sz w:val="24"/>
          <w:szCs w:val="24"/>
          <w:highlight w:val="none"/>
        </w:rPr>
        <w:t>门诊急诊治疗者，自保险期间届满次日起计算，以门诊急诊延长日数为限；保险期间届满被保险人仍在住院</w:t>
      </w:r>
      <w:r>
        <w:rPr>
          <w:rFonts w:hint="eastAsia" w:ascii="宋体" w:hAnsi="宋体" w:eastAsia="宋体" w:cs="宋体"/>
          <w:b/>
          <w:bCs/>
          <w:color w:val="auto"/>
          <w:sz w:val="24"/>
          <w:szCs w:val="24"/>
          <w:highlight w:val="none"/>
        </w:rPr>
        <w:t>（见释义）</w:t>
      </w:r>
      <w:r>
        <w:rPr>
          <w:rFonts w:hint="eastAsia" w:ascii="宋体" w:hAnsi="宋体" w:eastAsia="宋体" w:cs="宋体"/>
          <w:b/>
          <w:color w:val="auto"/>
          <w:sz w:val="24"/>
          <w:szCs w:val="24"/>
          <w:highlight w:val="none"/>
        </w:rPr>
        <w:t>治疗的，自保险期间届满次日起计算，至出院之日止，最长以住院延长日数为限。</w:t>
      </w:r>
      <w:r>
        <w:rPr>
          <w:rFonts w:hint="eastAsia" w:ascii="宋体" w:hAnsi="宋体" w:eastAsia="宋体" w:cs="宋体"/>
          <w:b/>
          <w:bCs/>
          <w:color w:val="auto"/>
          <w:sz w:val="24"/>
          <w:szCs w:val="24"/>
          <w:highlight w:val="none"/>
        </w:rPr>
        <w:t>该“门诊急诊延长日数”、“住院延长日数”以保险单载明为准；若保险单未载明的，则该项“门诊急诊延长日数”视为15日、“住院延长日数”视为</w:t>
      </w:r>
      <w:r>
        <w:rPr>
          <w:rFonts w:hint="eastAsia" w:ascii="宋体" w:hAnsi="宋体" w:eastAsia="宋体" w:cs="宋体"/>
          <w:b/>
          <w:bCs/>
          <w:color w:val="auto"/>
          <w:sz w:val="24"/>
          <w:szCs w:val="24"/>
          <w:highlight w:val="none"/>
          <w:lang w:val="en-US" w:eastAsia="zh-CN"/>
        </w:rPr>
        <w:t>90</w:t>
      </w:r>
      <w:r>
        <w:rPr>
          <w:rFonts w:hint="eastAsia" w:ascii="宋体" w:hAnsi="宋体" w:eastAsia="宋体" w:cs="宋体"/>
          <w:b/>
          <w:bCs/>
          <w:color w:val="auto"/>
          <w:sz w:val="24"/>
          <w:szCs w:val="24"/>
          <w:highlight w:val="none"/>
        </w:rPr>
        <w:t>日。</w:t>
      </w:r>
    </w:p>
    <w:p w14:paraId="49AA90A8">
      <w:pPr>
        <w:pStyle w:val="43"/>
        <w:pageBreakBefore w:val="0"/>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color w:val="auto"/>
          <w:sz w:val="24"/>
          <w:szCs w:val="24"/>
          <w:highlight w:val="none"/>
        </w:rPr>
        <w:t>保险人所负给付意外</w:t>
      </w:r>
      <w:r>
        <w:rPr>
          <w:rFonts w:hint="eastAsia" w:ascii="宋体" w:hAnsi="宋体" w:eastAsia="宋体" w:cs="宋体"/>
          <w:b/>
          <w:color w:val="auto"/>
          <w:sz w:val="24"/>
          <w:szCs w:val="24"/>
          <w:highlight w:val="none"/>
          <w:lang w:val="en-US" w:eastAsia="zh-CN"/>
        </w:rPr>
        <w:t>伤害</w:t>
      </w:r>
      <w:r>
        <w:rPr>
          <w:rFonts w:hint="eastAsia" w:ascii="宋体" w:hAnsi="宋体" w:eastAsia="宋体" w:cs="宋体"/>
          <w:b/>
          <w:color w:val="auto"/>
          <w:sz w:val="24"/>
          <w:szCs w:val="24"/>
          <w:highlight w:val="none"/>
        </w:rPr>
        <w:t>医疗保险金的责任以</w:t>
      </w:r>
      <w:r>
        <w:rPr>
          <w:rFonts w:hint="eastAsia" w:ascii="宋体" w:hAnsi="宋体" w:eastAsia="宋体" w:cs="宋体"/>
          <w:b/>
          <w:color w:val="auto"/>
          <w:sz w:val="24"/>
          <w:szCs w:val="24"/>
          <w:highlight w:val="none"/>
          <w:lang w:eastAsia="zh-CN"/>
        </w:rPr>
        <w:t>本保险合同</w:t>
      </w:r>
      <w:r>
        <w:rPr>
          <w:rFonts w:hint="eastAsia" w:ascii="宋体" w:hAnsi="宋体" w:eastAsia="宋体" w:cs="宋体"/>
          <w:b/>
          <w:color w:val="auto"/>
          <w:sz w:val="24"/>
          <w:szCs w:val="24"/>
          <w:highlight w:val="none"/>
        </w:rPr>
        <w:t>项下</w:t>
      </w:r>
      <w:r>
        <w:rPr>
          <w:rFonts w:hint="eastAsia" w:ascii="宋体" w:hAnsi="宋体" w:eastAsia="宋体" w:cs="宋体"/>
          <w:b/>
          <w:color w:val="auto"/>
          <w:sz w:val="24"/>
          <w:szCs w:val="24"/>
          <w:highlight w:val="none"/>
          <w:lang w:val="en-US" w:eastAsia="zh-CN"/>
        </w:rPr>
        <w:t>该被保险人</w:t>
      </w:r>
      <w:r>
        <w:rPr>
          <w:rFonts w:hint="eastAsia" w:ascii="宋体" w:hAnsi="宋体" w:eastAsia="宋体" w:cs="宋体"/>
          <w:b/>
          <w:color w:val="auto"/>
          <w:sz w:val="24"/>
          <w:szCs w:val="24"/>
          <w:highlight w:val="none"/>
        </w:rPr>
        <w:t>的意外</w:t>
      </w:r>
      <w:r>
        <w:rPr>
          <w:rFonts w:hint="eastAsia" w:ascii="宋体" w:hAnsi="宋体" w:eastAsia="宋体" w:cs="宋体"/>
          <w:b/>
          <w:color w:val="auto"/>
          <w:sz w:val="24"/>
          <w:szCs w:val="24"/>
          <w:highlight w:val="none"/>
          <w:lang w:val="en-US" w:eastAsia="zh-CN"/>
        </w:rPr>
        <w:t>伤害</w:t>
      </w:r>
      <w:r>
        <w:rPr>
          <w:rFonts w:hint="eastAsia" w:ascii="宋体" w:hAnsi="宋体" w:eastAsia="宋体" w:cs="宋体"/>
          <w:b/>
          <w:color w:val="auto"/>
          <w:sz w:val="24"/>
          <w:szCs w:val="24"/>
          <w:highlight w:val="none"/>
        </w:rPr>
        <w:t>医疗保险金额为限</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val="en-US" w:eastAsia="zh-CN"/>
        </w:rPr>
        <w:t>该</w:t>
      </w:r>
      <w:r>
        <w:rPr>
          <w:rFonts w:hint="eastAsia" w:ascii="宋体" w:hAnsi="宋体" w:eastAsia="宋体" w:cs="宋体"/>
          <w:color w:val="auto"/>
          <w:sz w:val="24"/>
          <w:szCs w:val="24"/>
          <w:highlight w:val="none"/>
        </w:rPr>
        <w:t>被保险人一次或者累计给付保险金达到</w:t>
      </w:r>
      <w:r>
        <w:rPr>
          <w:rFonts w:hint="eastAsia" w:ascii="宋体" w:hAnsi="宋体" w:eastAsia="宋体" w:cs="宋体"/>
          <w:color w:val="auto"/>
          <w:sz w:val="24"/>
          <w:szCs w:val="24"/>
          <w:highlight w:val="none"/>
          <w:lang w:eastAsia="zh-CN"/>
        </w:rPr>
        <w:t>本保险合同</w:t>
      </w:r>
      <w:r>
        <w:rPr>
          <w:rFonts w:hint="eastAsia" w:ascii="宋体" w:hAnsi="宋体" w:eastAsia="宋体" w:cs="宋体"/>
          <w:color w:val="auto"/>
          <w:sz w:val="24"/>
          <w:szCs w:val="24"/>
          <w:highlight w:val="none"/>
        </w:rPr>
        <w:t>项下该被保险人的意外</w:t>
      </w:r>
      <w:r>
        <w:rPr>
          <w:rFonts w:hint="eastAsia" w:ascii="宋体" w:hAnsi="宋体" w:eastAsia="宋体" w:cs="宋体"/>
          <w:bCs/>
          <w:color w:val="auto"/>
          <w:sz w:val="24"/>
          <w:szCs w:val="24"/>
          <w:highlight w:val="none"/>
          <w:lang w:val="en-US" w:eastAsia="zh-CN"/>
        </w:rPr>
        <w:t>伤害</w:t>
      </w:r>
      <w:r>
        <w:rPr>
          <w:rFonts w:hint="eastAsia" w:ascii="宋体" w:hAnsi="宋体" w:eastAsia="宋体" w:cs="宋体"/>
          <w:color w:val="auto"/>
          <w:sz w:val="24"/>
          <w:szCs w:val="24"/>
          <w:highlight w:val="none"/>
        </w:rPr>
        <w:t>医疗保险金额时，保险人对该被保险人的该项保险责任终止。</w:t>
      </w:r>
    </w:p>
    <w:p w14:paraId="4621E678">
      <w:pPr>
        <w:pStyle w:val="43"/>
        <w:keepNext w:val="0"/>
        <w:keepLines w:val="0"/>
        <w:pageBreakBefore w:val="0"/>
        <w:widowControl w:val="0"/>
        <w:kinsoku/>
        <w:wordWrap/>
        <w:overflowPunct/>
        <w:topLinePunct w:val="0"/>
        <w:autoSpaceDE/>
        <w:autoSpaceDN/>
        <w:bidi w:val="0"/>
        <w:adjustRightInd w:val="0"/>
        <w:snapToGrid w:val="0"/>
        <w:spacing w:line="312" w:lineRule="auto"/>
        <w:ind w:left="0" w:leftChars="0"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color w:val="auto"/>
          <w:sz w:val="24"/>
          <w:szCs w:val="24"/>
          <w:highlight w:val="none"/>
        </w:rPr>
        <w:t>本项保险责任适用补偿</w:t>
      </w:r>
      <w:r>
        <w:rPr>
          <w:rFonts w:hint="eastAsia" w:ascii="宋体" w:hAnsi="宋体" w:eastAsia="宋体" w:cs="宋体"/>
          <w:b/>
          <w:bCs/>
          <w:color w:val="auto"/>
          <w:sz w:val="24"/>
          <w:szCs w:val="24"/>
          <w:highlight w:val="none"/>
        </w:rPr>
        <w:t>原则</w:t>
      </w:r>
      <w:r>
        <w:rPr>
          <w:rFonts w:hint="eastAsia" w:ascii="宋体" w:hAnsi="宋体" w:eastAsia="宋体" w:cs="宋体"/>
          <w:b/>
          <w:color w:val="auto"/>
          <w:sz w:val="24"/>
          <w:szCs w:val="24"/>
          <w:highlight w:val="none"/>
        </w:rPr>
        <w:t>。被保险人通过任何途径所获得的医疗费用补偿金额总和以其实际支出的金额为限。被保险人已经从社会基本医疗保险、公费医疗和任何第三方（包括任何商业医疗保险）获得相关医疗费用补偿的，保险人仅对扣除已</w:t>
      </w:r>
      <w:r>
        <w:rPr>
          <w:rFonts w:hint="eastAsia" w:ascii="宋体" w:hAnsi="宋体" w:eastAsia="宋体" w:cs="宋体"/>
          <w:b/>
          <w:bCs/>
          <w:color w:val="auto"/>
          <w:sz w:val="24"/>
          <w:szCs w:val="24"/>
          <w:highlight w:val="none"/>
        </w:rPr>
        <w:t>获得</w:t>
      </w:r>
      <w:r>
        <w:rPr>
          <w:rFonts w:hint="eastAsia" w:ascii="宋体" w:hAnsi="宋体" w:eastAsia="宋体" w:cs="宋体"/>
          <w:b/>
          <w:color w:val="auto"/>
          <w:sz w:val="24"/>
          <w:szCs w:val="24"/>
          <w:highlight w:val="none"/>
        </w:rPr>
        <w:t>补偿后的剩余部分医疗费用，按照本项保险责任的约定承担给付保险金的责任。</w:t>
      </w:r>
    </w:p>
    <w:p w14:paraId="2E75212D">
      <w:pPr>
        <w:pStyle w:val="3"/>
        <w:pageBreakBefore w:val="0"/>
        <w:tabs>
          <w:tab w:val="left" w:pos="993"/>
        </w:tabs>
        <w:kinsoku/>
        <w:wordWrap/>
        <w:overflowPunct/>
        <w:topLinePunct w:val="0"/>
        <w:autoSpaceDE/>
        <w:autoSpaceDN/>
        <w:bidi w:val="0"/>
        <w:spacing w:before="0" w:after="0" w:line="312" w:lineRule="auto"/>
        <w:ind w:left="0" w:leftChars="0" w:firstLine="482" w:firstLineChars="200"/>
        <w:textAlignment w:val="auto"/>
        <w:rPr>
          <w:rFonts w:hint="eastAsia" w:ascii="宋体" w:hAnsi="宋体" w:eastAsia="宋体" w:cs="宋体"/>
          <w:color w:val="auto"/>
          <w:sz w:val="24"/>
          <w:szCs w:val="24"/>
          <w:highlight w:val="none"/>
        </w:rPr>
      </w:pPr>
      <w:bookmarkStart w:id="63" w:name="_2.2.1_因下列情形造成被保险人住院治疗的，保险人不承担给付保险金的"/>
      <w:bookmarkEnd w:id="63"/>
      <w:bookmarkStart w:id="64" w:name="_2.3_责任免除"/>
      <w:bookmarkEnd w:id="64"/>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2      </w:t>
      </w:r>
      <w:r>
        <w:rPr>
          <w:rFonts w:hint="eastAsia" w:ascii="宋体" w:hAnsi="宋体" w:eastAsia="宋体" w:cs="宋体"/>
          <w:color w:val="auto"/>
          <w:sz w:val="24"/>
          <w:szCs w:val="24"/>
          <w:highlight w:val="none"/>
        </w:rPr>
        <w:t>责任免除</w:t>
      </w:r>
    </w:p>
    <w:p w14:paraId="5C517771">
      <w:pPr>
        <w:pStyle w:val="42"/>
        <w:keepNext w:val="0"/>
        <w:keepLines w:val="0"/>
        <w:pageBreakBefore w:val="0"/>
        <w:widowControl w:val="0"/>
        <w:tabs>
          <w:tab w:val="left" w:pos="960"/>
          <w:tab w:val="clear" w:pos="840"/>
        </w:tabs>
        <w:kinsoku/>
        <w:wordWrap/>
        <w:overflowPunct/>
        <w:topLinePunct w:val="0"/>
        <w:autoSpaceDE/>
        <w:autoSpaceDN/>
        <w:bidi w:val="0"/>
        <w:adjustRightInd w:val="0"/>
        <w:snapToGrid w:val="0"/>
        <w:spacing w:line="312" w:lineRule="auto"/>
        <w:ind w:left="0" w:leftChars="0" w:firstLine="482" w:firstLineChars="200"/>
        <w:textAlignment w:val="auto"/>
        <w:outlineLvl w:val="1"/>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因下列情形之一，导致被保险人支出医疗费用</w:t>
      </w:r>
      <w:r>
        <w:rPr>
          <w:rFonts w:hint="eastAsia" w:ascii="宋体" w:hAnsi="宋体" w:eastAsia="宋体" w:cs="宋体"/>
          <w:bCs/>
          <w:color w:val="auto"/>
          <w:sz w:val="24"/>
          <w:szCs w:val="24"/>
          <w:highlight w:val="none"/>
          <w:lang w:val="en-US" w:eastAsia="zh-CN"/>
        </w:rPr>
        <w:t>或住院治疗</w:t>
      </w:r>
      <w:r>
        <w:rPr>
          <w:rFonts w:hint="eastAsia" w:ascii="宋体" w:hAnsi="宋体" w:eastAsia="宋体" w:cs="宋体"/>
          <w:bCs/>
          <w:color w:val="auto"/>
          <w:sz w:val="24"/>
          <w:szCs w:val="24"/>
          <w:highlight w:val="none"/>
        </w:rPr>
        <w:t>的，保险人不承担给付保险金责任：</w:t>
      </w:r>
      <w:r>
        <w:rPr>
          <w:rFonts w:hint="eastAsia" w:ascii="宋体" w:hAnsi="宋体" w:eastAsia="宋体" w:cs="宋体"/>
          <w:bCs/>
          <w:color w:val="auto"/>
          <w:sz w:val="24"/>
          <w:szCs w:val="24"/>
          <w:highlight w:val="none"/>
          <w:lang w:val="en-US" w:eastAsia="zh-CN"/>
        </w:rPr>
        <w:tab/>
      </w:r>
    </w:p>
    <w:p w14:paraId="136E3190">
      <w:pPr>
        <w:pStyle w:val="43"/>
        <w:keepNext w:val="0"/>
        <w:keepLines w:val="0"/>
        <w:pageBreakBefore w:val="0"/>
        <w:widowControl w:val="0"/>
        <w:kinsoku/>
        <w:wordWrap/>
        <w:overflowPunct/>
        <w:topLinePunct w:val="0"/>
        <w:autoSpaceDE/>
        <w:autoSpaceDN/>
        <w:bidi w:val="0"/>
        <w:adjustRightInd w:val="0"/>
        <w:snapToGrid w:val="0"/>
        <w:spacing w:line="312"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（1）投保人对被保险人的故意杀害、故意伤害；</w:t>
      </w:r>
    </w:p>
    <w:p w14:paraId="523F87FA">
      <w:pPr>
        <w:pStyle w:val="43"/>
        <w:keepNext w:val="0"/>
        <w:keepLines w:val="0"/>
        <w:pageBreakBefore w:val="0"/>
        <w:widowControl w:val="0"/>
        <w:kinsoku/>
        <w:wordWrap/>
        <w:overflowPunct/>
        <w:topLinePunct w:val="0"/>
        <w:autoSpaceDE/>
        <w:autoSpaceDN/>
        <w:bidi w:val="0"/>
        <w:adjustRightInd w:val="0"/>
        <w:snapToGrid w:val="0"/>
        <w:spacing w:line="312"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（2）被保险人故意犯罪或抗拒依法采取的刑事强制措施；</w:t>
      </w:r>
    </w:p>
    <w:p w14:paraId="6701D8FE">
      <w:pPr>
        <w:pStyle w:val="43"/>
        <w:keepNext w:val="0"/>
        <w:keepLines w:val="0"/>
        <w:pageBreakBefore w:val="0"/>
        <w:widowControl w:val="0"/>
        <w:kinsoku/>
        <w:wordWrap/>
        <w:overflowPunct/>
        <w:topLinePunct w:val="0"/>
        <w:autoSpaceDE/>
        <w:autoSpaceDN/>
        <w:bidi w:val="0"/>
        <w:adjustRightInd w:val="0"/>
        <w:snapToGrid w:val="0"/>
        <w:spacing w:line="312"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（3）被保险人故意自伤或自杀，但被保险人自杀时为无民事行为能力人的除外；</w:t>
      </w:r>
    </w:p>
    <w:p w14:paraId="4DF67F17">
      <w:pPr>
        <w:pStyle w:val="43"/>
        <w:keepNext w:val="0"/>
        <w:keepLines w:val="0"/>
        <w:pageBreakBefore w:val="0"/>
        <w:widowControl w:val="0"/>
        <w:kinsoku/>
        <w:wordWrap/>
        <w:overflowPunct/>
        <w:topLinePunct w:val="0"/>
        <w:autoSpaceDE/>
        <w:autoSpaceDN/>
        <w:bidi w:val="0"/>
        <w:adjustRightInd w:val="0"/>
        <w:snapToGrid w:val="0"/>
        <w:spacing w:line="312"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（4）被保险人挑衅或故意行为而导致的打斗、被袭击或被谋杀；</w:t>
      </w:r>
    </w:p>
    <w:p w14:paraId="504301A3">
      <w:pPr>
        <w:pStyle w:val="43"/>
        <w:keepNext w:val="0"/>
        <w:keepLines w:val="0"/>
        <w:pageBreakBefore w:val="0"/>
        <w:widowControl w:val="0"/>
        <w:kinsoku/>
        <w:wordWrap/>
        <w:overflowPunct/>
        <w:topLinePunct w:val="0"/>
        <w:autoSpaceDE/>
        <w:autoSpaceDN/>
        <w:bidi w:val="0"/>
        <w:adjustRightInd w:val="0"/>
        <w:snapToGrid w:val="0"/>
        <w:spacing w:line="312" w:lineRule="auto"/>
        <w:ind w:left="0" w:leftChars="0" w:firstLine="482" w:firstLineChars="200"/>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（5）被保险人</w:t>
      </w:r>
      <w:r>
        <w:rPr>
          <w:rFonts w:hint="eastAsia" w:ascii="宋体" w:hAnsi="宋体" w:eastAsia="宋体" w:cs="宋体"/>
          <w:b/>
          <w:color w:val="auto"/>
          <w:sz w:val="24"/>
          <w:szCs w:val="24"/>
          <w:highlight w:val="none"/>
          <w:lang w:val="en-US" w:eastAsia="zh-CN"/>
        </w:rPr>
        <w:t>的产前产后检查、妊娠（含宫外孕）、流产（含人工流产）、分娩（含剖腹产）、避孕、绝育手术、治疗不孕不育症以及上述原因引起的并发症</w:t>
      </w:r>
      <w:r>
        <w:rPr>
          <w:rFonts w:hint="eastAsia" w:ascii="宋体" w:hAnsi="宋体" w:eastAsia="宋体" w:cs="宋体"/>
          <w:b/>
          <w:color w:val="auto"/>
          <w:sz w:val="24"/>
          <w:szCs w:val="24"/>
          <w:highlight w:val="none"/>
        </w:rPr>
        <w:t>；</w:t>
      </w:r>
    </w:p>
    <w:p w14:paraId="11D7894B">
      <w:pPr>
        <w:pStyle w:val="43"/>
        <w:keepNext w:val="0"/>
        <w:keepLines w:val="0"/>
        <w:pageBreakBefore w:val="0"/>
        <w:widowControl w:val="0"/>
        <w:kinsoku/>
        <w:wordWrap/>
        <w:overflowPunct/>
        <w:topLinePunct w:val="0"/>
        <w:autoSpaceDE/>
        <w:autoSpaceDN/>
        <w:bidi w:val="0"/>
        <w:adjustRightInd w:val="0"/>
        <w:snapToGrid w:val="0"/>
        <w:spacing w:line="312"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（6）被保险人接受包括美容、整容、整形手术在内的任何医疗行为而造成的意外；</w:t>
      </w:r>
    </w:p>
    <w:p w14:paraId="475F1AE6">
      <w:pPr>
        <w:pStyle w:val="43"/>
        <w:keepNext w:val="0"/>
        <w:keepLines w:val="0"/>
        <w:pageBreakBefore w:val="0"/>
        <w:widowControl w:val="0"/>
        <w:kinsoku/>
        <w:wordWrap/>
        <w:overflowPunct/>
        <w:topLinePunct w:val="0"/>
        <w:autoSpaceDE/>
        <w:autoSpaceDN/>
        <w:bidi w:val="0"/>
        <w:adjustRightInd w:val="0"/>
        <w:snapToGrid w:val="0"/>
        <w:spacing w:line="312"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（7）被保险人未遵医嘱服用、涂用、注射药物；</w:t>
      </w:r>
    </w:p>
    <w:p w14:paraId="3C780A5E">
      <w:pPr>
        <w:pStyle w:val="43"/>
        <w:keepNext w:val="0"/>
        <w:keepLines w:val="0"/>
        <w:pageBreakBefore w:val="0"/>
        <w:widowControl w:val="0"/>
        <w:kinsoku/>
        <w:wordWrap/>
        <w:overflowPunct/>
        <w:topLinePunct w:val="0"/>
        <w:autoSpaceDE/>
        <w:autoSpaceDN/>
        <w:bidi w:val="0"/>
        <w:adjustRightInd w:val="0"/>
        <w:snapToGrid w:val="0"/>
        <w:spacing w:line="312"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（8）被保险人</w:t>
      </w:r>
      <w:r>
        <w:rPr>
          <w:rFonts w:hint="eastAsia" w:ascii="宋体" w:hAnsi="宋体" w:eastAsia="宋体" w:cs="宋体"/>
          <w:b/>
          <w:color w:val="auto"/>
          <w:sz w:val="24"/>
          <w:szCs w:val="24"/>
          <w:highlight w:val="none"/>
          <w:lang w:val="en-US" w:eastAsia="zh-CN"/>
        </w:rPr>
        <w:t>醉酒、受</w:t>
      </w:r>
      <w:r>
        <w:rPr>
          <w:rFonts w:hint="eastAsia" w:ascii="宋体" w:hAnsi="宋体" w:eastAsia="宋体" w:cs="宋体"/>
          <w:b/>
          <w:color w:val="auto"/>
          <w:sz w:val="24"/>
          <w:szCs w:val="24"/>
          <w:highlight w:val="none"/>
        </w:rPr>
        <w:t>毒品</w:t>
      </w:r>
      <w:r>
        <w:rPr>
          <w:rFonts w:hint="eastAsia" w:ascii="宋体" w:hAnsi="宋体" w:eastAsia="宋体" w:cs="宋体"/>
          <w:b/>
          <w:color w:val="auto"/>
          <w:sz w:val="24"/>
          <w:szCs w:val="24"/>
          <w:highlight w:val="none"/>
          <w:lang w:eastAsia="zh-CN"/>
        </w:rPr>
        <w:t>及</w:t>
      </w:r>
      <w:r>
        <w:rPr>
          <w:rFonts w:hint="eastAsia" w:ascii="宋体" w:hAnsi="宋体" w:eastAsia="宋体" w:cs="宋体"/>
          <w:b/>
          <w:color w:val="auto"/>
          <w:sz w:val="24"/>
          <w:szCs w:val="24"/>
          <w:highlight w:val="none"/>
        </w:rPr>
        <w:t>管制药物（见释义）的影响；</w:t>
      </w:r>
    </w:p>
    <w:p w14:paraId="616C4077">
      <w:pPr>
        <w:pStyle w:val="43"/>
        <w:keepNext w:val="0"/>
        <w:keepLines w:val="0"/>
        <w:pageBreakBefore w:val="0"/>
        <w:widowControl w:val="0"/>
        <w:kinsoku/>
        <w:wordWrap/>
        <w:overflowPunct/>
        <w:topLinePunct w:val="0"/>
        <w:autoSpaceDE/>
        <w:autoSpaceDN/>
        <w:bidi w:val="0"/>
        <w:adjustRightInd w:val="0"/>
        <w:snapToGrid w:val="0"/>
        <w:spacing w:line="312"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9</w:t>
      </w:r>
      <w:r>
        <w:rPr>
          <w:rFonts w:hint="eastAsia" w:ascii="宋体" w:hAnsi="宋体" w:eastAsia="宋体" w:cs="宋体"/>
          <w:b/>
          <w:color w:val="auto"/>
          <w:sz w:val="24"/>
          <w:szCs w:val="24"/>
          <w:highlight w:val="none"/>
        </w:rPr>
        <w:t>）被保险人非因意外伤害导致的细菌或病毒感染；</w:t>
      </w:r>
    </w:p>
    <w:p w14:paraId="16666F21">
      <w:pPr>
        <w:pStyle w:val="43"/>
        <w:keepNext w:val="0"/>
        <w:keepLines w:val="0"/>
        <w:pageBreakBefore w:val="0"/>
        <w:widowControl w:val="0"/>
        <w:kinsoku/>
        <w:wordWrap/>
        <w:overflowPunct/>
        <w:topLinePunct w:val="0"/>
        <w:autoSpaceDE/>
        <w:autoSpaceDN/>
        <w:bidi w:val="0"/>
        <w:adjustRightInd w:val="0"/>
        <w:snapToGrid w:val="0"/>
        <w:spacing w:line="312"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en-US" w:eastAsia="zh-CN"/>
        </w:rPr>
        <w:t>0</w:t>
      </w:r>
      <w:r>
        <w:rPr>
          <w:rFonts w:hint="eastAsia" w:ascii="宋体" w:hAnsi="宋体" w:eastAsia="宋体" w:cs="宋体"/>
          <w:b/>
          <w:color w:val="auto"/>
          <w:sz w:val="24"/>
          <w:szCs w:val="24"/>
          <w:highlight w:val="none"/>
        </w:rPr>
        <w:t>）任何生物、化学、原子能武器，原子能或核能装置所造成的爆炸、灼伤、污染或辐射；</w:t>
      </w:r>
    </w:p>
    <w:p w14:paraId="782FD5F7">
      <w:pPr>
        <w:pStyle w:val="43"/>
        <w:keepNext w:val="0"/>
        <w:keepLines w:val="0"/>
        <w:pageBreakBefore w:val="0"/>
        <w:widowControl w:val="0"/>
        <w:kinsoku/>
        <w:wordWrap/>
        <w:overflowPunct/>
        <w:topLinePunct w:val="0"/>
        <w:autoSpaceDE/>
        <w:autoSpaceDN/>
        <w:bidi w:val="0"/>
        <w:adjustRightInd w:val="0"/>
        <w:snapToGrid w:val="0"/>
        <w:spacing w:line="312"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）恐怖袭击；</w:t>
      </w:r>
    </w:p>
    <w:p w14:paraId="45A59FFE">
      <w:pPr>
        <w:pStyle w:val="43"/>
        <w:keepNext w:val="0"/>
        <w:keepLines w:val="0"/>
        <w:pageBreakBefore w:val="0"/>
        <w:widowControl w:val="0"/>
        <w:kinsoku/>
        <w:wordWrap/>
        <w:overflowPunct/>
        <w:topLinePunct w:val="0"/>
        <w:autoSpaceDE/>
        <w:autoSpaceDN/>
        <w:bidi w:val="0"/>
        <w:adjustRightInd w:val="0"/>
        <w:snapToGrid w:val="0"/>
        <w:spacing w:line="312"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en-US" w:eastAsia="zh-CN"/>
        </w:rPr>
        <w:t>2</w:t>
      </w:r>
      <w:r>
        <w:rPr>
          <w:rFonts w:hint="eastAsia" w:ascii="宋体" w:hAnsi="宋体" w:eastAsia="宋体" w:cs="宋体"/>
          <w:b/>
          <w:color w:val="auto"/>
          <w:sz w:val="24"/>
          <w:szCs w:val="24"/>
          <w:highlight w:val="none"/>
        </w:rPr>
        <w:t>）战争（见释义）、军事</w:t>
      </w:r>
      <w:r>
        <w:rPr>
          <w:rFonts w:hint="eastAsia" w:ascii="宋体" w:hAnsi="宋体" w:eastAsia="宋体" w:cs="宋体"/>
          <w:b/>
          <w:color w:val="auto"/>
          <w:sz w:val="24"/>
          <w:szCs w:val="24"/>
          <w:highlight w:val="none"/>
          <w:lang w:eastAsia="zh-CN"/>
        </w:rPr>
        <w:t>冲突</w:t>
      </w:r>
      <w:r>
        <w:rPr>
          <w:rFonts w:hint="eastAsia" w:ascii="宋体" w:hAnsi="宋体" w:eastAsia="宋体" w:cs="宋体"/>
          <w:b/>
          <w:color w:val="auto"/>
          <w:sz w:val="24"/>
          <w:szCs w:val="24"/>
          <w:highlight w:val="none"/>
        </w:rPr>
        <w:t>（见释义）、暴乱</w:t>
      </w:r>
      <w:r>
        <w:rPr>
          <w:rFonts w:hint="eastAsia" w:ascii="宋体" w:hAnsi="宋体" w:eastAsia="宋体" w:cs="宋体"/>
          <w:b/>
          <w:bCs/>
          <w:color w:val="auto"/>
          <w:sz w:val="24"/>
          <w:szCs w:val="24"/>
          <w:highlight w:val="none"/>
        </w:rPr>
        <w:t>（见释义）</w:t>
      </w:r>
      <w:r>
        <w:rPr>
          <w:rFonts w:hint="eastAsia" w:ascii="宋体" w:hAnsi="宋体" w:eastAsia="宋体" w:cs="宋体"/>
          <w:b/>
          <w:color w:val="auto"/>
          <w:sz w:val="24"/>
          <w:szCs w:val="24"/>
          <w:highlight w:val="none"/>
        </w:rPr>
        <w:t>或武装叛乱；</w:t>
      </w:r>
    </w:p>
    <w:p w14:paraId="0F555B11">
      <w:pPr>
        <w:pStyle w:val="43"/>
        <w:keepNext w:val="0"/>
        <w:keepLines w:val="0"/>
        <w:pageBreakBefore w:val="0"/>
        <w:widowControl w:val="0"/>
        <w:kinsoku/>
        <w:wordWrap/>
        <w:overflowPunct/>
        <w:topLinePunct w:val="0"/>
        <w:autoSpaceDE/>
        <w:autoSpaceDN/>
        <w:bidi w:val="0"/>
        <w:adjustRightInd w:val="0"/>
        <w:snapToGrid w:val="0"/>
        <w:spacing w:line="312"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en-US" w:eastAsia="zh-CN"/>
        </w:rPr>
        <w:t>3</w:t>
      </w:r>
      <w:r>
        <w:rPr>
          <w:rFonts w:hint="eastAsia" w:ascii="宋体" w:hAnsi="宋体" w:eastAsia="宋体" w:cs="宋体"/>
          <w:b/>
          <w:color w:val="auto"/>
          <w:sz w:val="24"/>
          <w:szCs w:val="24"/>
          <w:highlight w:val="none"/>
        </w:rPr>
        <w:t>）被保险人</w:t>
      </w:r>
      <w:r>
        <w:rPr>
          <w:rFonts w:hint="eastAsia" w:ascii="宋体" w:hAnsi="宋体" w:eastAsia="宋体" w:cs="宋体"/>
          <w:b/>
          <w:color w:val="auto"/>
          <w:sz w:val="24"/>
          <w:szCs w:val="24"/>
          <w:highlight w:val="none"/>
          <w:lang w:val="en-US" w:eastAsia="zh-CN"/>
        </w:rPr>
        <w:t>的</w:t>
      </w:r>
      <w:r>
        <w:rPr>
          <w:rFonts w:hint="eastAsia" w:ascii="宋体" w:hAnsi="宋体" w:eastAsia="宋体" w:cs="宋体"/>
          <w:b/>
          <w:color w:val="auto"/>
          <w:sz w:val="24"/>
          <w:szCs w:val="24"/>
          <w:highlight w:val="none"/>
        </w:rPr>
        <w:t>精神和行为障碍（以世界卫生组织颁布的《疾病和有关健康问题的国际统计分类（ICD-10）》为准）；</w:t>
      </w:r>
    </w:p>
    <w:p w14:paraId="4049BC82">
      <w:pPr>
        <w:pStyle w:val="43"/>
        <w:keepNext w:val="0"/>
        <w:keepLines w:val="0"/>
        <w:pageBreakBefore w:val="0"/>
        <w:widowControl w:val="0"/>
        <w:kinsoku/>
        <w:wordWrap/>
        <w:overflowPunct/>
        <w:topLinePunct w:val="0"/>
        <w:autoSpaceDE/>
        <w:autoSpaceDN/>
        <w:bidi w:val="0"/>
        <w:adjustRightInd w:val="0"/>
        <w:snapToGrid w:val="0"/>
        <w:spacing w:line="312"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en-US" w:eastAsia="zh-CN"/>
        </w:rPr>
        <w:t>4</w:t>
      </w:r>
      <w:r>
        <w:rPr>
          <w:rFonts w:hint="eastAsia" w:ascii="宋体" w:hAnsi="宋体" w:eastAsia="宋体" w:cs="宋体"/>
          <w:b/>
          <w:color w:val="auto"/>
          <w:sz w:val="24"/>
          <w:szCs w:val="24"/>
          <w:highlight w:val="none"/>
        </w:rPr>
        <w:t>）被保险人酒后驾驶（见释义）、无合法有效驾驶证驾驶（见释义）或驾驶无合法有效行驶证（见释义）的机动交通工具；</w:t>
      </w:r>
    </w:p>
    <w:p w14:paraId="54AF2B69">
      <w:pPr>
        <w:pStyle w:val="43"/>
        <w:keepNext w:val="0"/>
        <w:keepLines w:val="0"/>
        <w:pageBreakBefore w:val="0"/>
        <w:widowControl w:val="0"/>
        <w:kinsoku/>
        <w:wordWrap/>
        <w:overflowPunct/>
        <w:topLinePunct w:val="0"/>
        <w:autoSpaceDE/>
        <w:autoSpaceDN/>
        <w:bidi w:val="0"/>
        <w:adjustRightInd w:val="0"/>
        <w:snapToGrid w:val="0"/>
        <w:spacing w:line="312"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en-US" w:eastAsia="zh-CN"/>
        </w:rPr>
        <w:t>5</w:t>
      </w:r>
      <w:r>
        <w:rPr>
          <w:rFonts w:hint="eastAsia" w:ascii="宋体" w:hAnsi="宋体" w:eastAsia="宋体" w:cs="宋体"/>
          <w:b/>
          <w:color w:val="auto"/>
          <w:sz w:val="24"/>
          <w:szCs w:val="24"/>
          <w:highlight w:val="none"/>
        </w:rPr>
        <w:t>）从事高风险运动（见释义）期间, 但被保险人作为专业运动员从事其专业运动除外。</w:t>
      </w:r>
    </w:p>
    <w:p w14:paraId="7297E89B">
      <w:pPr>
        <w:pStyle w:val="42"/>
        <w:keepNext w:val="0"/>
        <w:keepLines w:val="0"/>
        <w:pageBreakBefore w:val="0"/>
        <w:widowControl w:val="0"/>
        <w:tabs>
          <w:tab w:val="left" w:pos="960"/>
          <w:tab w:val="clear" w:pos="840"/>
        </w:tabs>
        <w:kinsoku/>
        <w:wordWrap/>
        <w:overflowPunct/>
        <w:topLinePunct w:val="0"/>
        <w:autoSpaceDE/>
        <w:autoSpaceDN/>
        <w:bidi w:val="0"/>
        <w:adjustRightInd w:val="0"/>
        <w:snapToGrid w:val="0"/>
        <w:spacing w:line="312" w:lineRule="auto"/>
        <w:ind w:left="0" w:leftChars="0" w:firstLine="482"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 xml:space="preserve">2    </w:t>
      </w:r>
      <w:r>
        <w:rPr>
          <w:rFonts w:hint="eastAsia" w:ascii="宋体" w:hAnsi="宋体" w:eastAsia="宋体" w:cs="宋体"/>
          <w:bCs/>
          <w:color w:val="auto"/>
          <w:sz w:val="24"/>
          <w:szCs w:val="24"/>
          <w:highlight w:val="none"/>
        </w:rPr>
        <w:t>因下列情形之一，导致被保险人支出医疗费用</w:t>
      </w:r>
      <w:r>
        <w:rPr>
          <w:rFonts w:hint="eastAsia" w:ascii="宋体" w:hAnsi="宋体" w:eastAsia="宋体" w:cs="宋体"/>
          <w:bCs/>
          <w:color w:val="auto"/>
          <w:sz w:val="24"/>
          <w:szCs w:val="24"/>
          <w:highlight w:val="none"/>
          <w:lang w:val="en-US" w:eastAsia="zh-CN"/>
        </w:rPr>
        <w:t>或住院治疗</w:t>
      </w:r>
      <w:r>
        <w:rPr>
          <w:rFonts w:hint="eastAsia" w:ascii="宋体" w:hAnsi="宋体" w:eastAsia="宋体" w:cs="宋体"/>
          <w:bCs/>
          <w:color w:val="auto"/>
          <w:sz w:val="24"/>
          <w:szCs w:val="24"/>
          <w:highlight w:val="none"/>
        </w:rPr>
        <w:t>的，保险人不承担给付保险金责任：</w:t>
      </w:r>
    </w:p>
    <w:p w14:paraId="06F8019C">
      <w:pPr>
        <w:pStyle w:val="43"/>
        <w:keepNext w:val="0"/>
        <w:keepLines w:val="0"/>
        <w:pageBreakBefore w:val="0"/>
        <w:widowControl w:val="0"/>
        <w:kinsoku/>
        <w:wordWrap/>
        <w:overflowPunct/>
        <w:topLinePunct w:val="0"/>
        <w:autoSpaceDE/>
        <w:autoSpaceDN/>
        <w:bidi w:val="0"/>
        <w:adjustRightInd w:val="0"/>
        <w:snapToGrid w:val="0"/>
        <w:spacing w:line="312"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 xml:space="preserve">被保险人非因意外伤害而进行的整容、整形手术，以及因任何原因进行的美容； </w:t>
      </w:r>
    </w:p>
    <w:p w14:paraId="40B53CB7">
      <w:pPr>
        <w:pStyle w:val="43"/>
        <w:keepNext w:val="0"/>
        <w:keepLines w:val="0"/>
        <w:pageBreakBefore w:val="0"/>
        <w:widowControl w:val="0"/>
        <w:kinsoku/>
        <w:wordWrap/>
        <w:overflowPunct/>
        <w:topLinePunct w:val="0"/>
        <w:autoSpaceDE/>
        <w:autoSpaceDN/>
        <w:bidi w:val="0"/>
        <w:adjustRightInd w:val="0"/>
        <w:snapToGrid w:val="0"/>
        <w:spacing w:line="312"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2</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被保险人非因意外伤害而进行的牙科治疗或手术、视力矫正、因矫正视力而作的眼科验光检查，以及任何原因导致的牙齿修复或牙齿整形、安装及购买残疾用具（如轮椅、假肢、假眼、假牙或者助听器等）；</w:t>
      </w:r>
    </w:p>
    <w:p w14:paraId="1D45D49D">
      <w:pPr>
        <w:pStyle w:val="43"/>
        <w:keepNext w:val="0"/>
        <w:keepLines w:val="0"/>
        <w:pageBreakBefore w:val="0"/>
        <w:widowControl w:val="0"/>
        <w:kinsoku/>
        <w:wordWrap/>
        <w:overflowPunct/>
        <w:topLinePunct w:val="0"/>
        <w:autoSpaceDE/>
        <w:autoSpaceDN/>
        <w:bidi w:val="0"/>
        <w:adjustRightInd w:val="0"/>
        <w:snapToGrid w:val="0"/>
        <w:spacing w:line="312"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3</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被保险人</w:t>
      </w:r>
      <w:r>
        <w:rPr>
          <w:rFonts w:hint="eastAsia" w:ascii="宋体" w:hAnsi="宋体" w:eastAsia="宋体" w:cs="宋体"/>
          <w:b/>
          <w:bCs/>
          <w:color w:val="auto"/>
          <w:sz w:val="24"/>
          <w:szCs w:val="24"/>
          <w:highlight w:val="none"/>
        </w:rPr>
        <w:t>进行一般身体检查、疗养、特别护理、静养、康复性治疗、物理治疗、心理治疗或预防性治疗；</w:t>
      </w:r>
    </w:p>
    <w:p w14:paraId="43A2F6AA">
      <w:pPr>
        <w:pStyle w:val="43"/>
        <w:keepNext w:val="0"/>
        <w:keepLines w:val="0"/>
        <w:pageBreakBefore w:val="0"/>
        <w:widowControl w:val="0"/>
        <w:kinsoku/>
        <w:wordWrap/>
        <w:overflowPunct/>
        <w:topLinePunct w:val="0"/>
        <w:autoSpaceDE/>
        <w:autoSpaceDN/>
        <w:bidi w:val="0"/>
        <w:adjustRightInd w:val="0"/>
        <w:snapToGrid w:val="0"/>
        <w:spacing w:line="312"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4</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被保险人</w:t>
      </w:r>
      <w:r>
        <w:rPr>
          <w:rFonts w:hint="eastAsia" w:ascii="宋体" w:hAnsi="宋体" w:eastAsia="宋体" w:cs="宋体"/>
          <w:b/>
          <w:color w:val="auto"/>
          <w:sz w:val="24"/>
          <w:szCs w:val="24"/>
          <w:highlight w:val="none"/>
        </w:rPr>
        <w:t>未经医生处方自行购买药品；在非</w:t>
      </w:r>
      <w:r>
        <w:rPr>
          <w:rFonts w:hint="eastAsia" w:ascii="宋体" w:hAnsi="宋体" w:eastAsia="宋体" w:cs="宋体"/>
          <w:b/>
          <w:color w:val="auto"/>
          <w:sz w:val="24"/>
          <w:szCs w:val="24"/>
          <w:highlight w:val="none"/>
          <w:lang w:eastAsia="zh-CN"/>
        </w:rPr>
        <w:t>本保险合同</w:t>
      </w:r>
      <w:r>
        <w:rPr>
          <w:rFonts w:hint="eastAsia" w:ascii="宋体" w:hAnsi="宋体" w:eastAsia="宋体" w:cs="宋体"/>
          <w:b/>
          <w:color w:val="auto"/>
          <w:sz w:val="24"/>
          <w:szCs w:val="24"/>
          <w:highlight w:val="none"/>
        </w:rPr>
        <w:t>指定医疗机构的药房购买药品；</w:t>
      </w:r>
    </w:p>
    <w:p w14:paraId="35147B5F">
      <w:pPr>
        <w:pStyle w:val="43"/>
        <w:keepNext w:val="0"/>
        <w:keepLines w:val="0"/>
        <w:pageBreakBefore w:val="0"/>
        <w:widowControl w:val="0"/>
        <w:kinsoku/>
        <w:wordWrap/>
        <w:overflowPunct/>
        <w:topLinePunct w:val="0"/>
        <w:autoSpaceDE/>
        <w:autoSpaceDN/>
        <w:bidi w:val="0"/>
        <w:adjustRightInd w:val="0"/>
        <w:snapToGrid w:val="0"/>
        <w:spacing w:line="312"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5</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被保险人在投保前已有残疾的治疗和康复；</w:t>
      </w:r>
    </w:p>
    <w:p w14:paraId="63309C62">
      <w:pPr>
        <w:pStyle w:val="43"/>
        <w:keepNext w:val="0"/>
        <w:keepLines w:val="0"/>
        <w:pageBreakBefore w:val="0"/>
        <w:widowControl w:val="0"/>
        <w:kinsoku/>
        <w:wordWrap/>
        <w:overflowPunct/>
        <w:topLinePunct w:val="0"/>
        <w:autoSpaceDE/>
        <w:autoSpaceDN/>
        <w:bidi w:val="0"/>
        <w:adjustRightInd w:val="0"/>
        <w:snapToGrid w:val="0"/>
        <w:spacing w:line="312"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lang w:eastAsia="zh-CN"/>
        </w:rPr>
        <w:t>）</w:t>
      </w:r>
      <w:r>
        <w:rPr>
          <w:rFonts w:hint="eastAsia" w:ascii="宋体" w:hAnsi="宋体" w:eastAsia="宋体" w:cs="宋体"/>
          <w:b/>
          <w:color w:val="auto"/>
          <w:sz w:val="24"/>
          <w:szCs w:val="24"/>
          <w:highlight w:val="none"/>
        </w:rPr>
        <w:t>被保险人</w:t>
      </w:r>
      <w:r>
        <w:rPr>
          <w:rFonts w:hint="eastAsia" w:ascii="宋体" w:hAnsi="宋体" w:eastAsia="宋体" w:cs="宋体"/>
          <w:b/>
          <w:bCs/>
          <w:color w:val="auto"/>
          <w:sz w:val="24"/>
          <w:szCs w:val="24"/>
          <w:highlight w:val="none"/>
        </w:rPr>
        <w:t>在家自设病床治疗</w:t>
      </w:r>
      <w:r>
        <w:rPr>
          <w:rFonts w:hint="eastAsia" w:ascii="宋体" w:hAnsi="宋体" w:eastAsia="宋体" w:cs="宋体"/>
          <w:b/>
          <w:color w:val="auto"/>
          <w:sz w:val="24"/>
          <w:szCs w:val="24"/>
          <w:highlight w:val="none"/>
        </w:rPr>
        <w:t>；</w:t>
      </w:r>
    </w:p>
    <w:p w14:paraId="38C7FA34">
      <w:pPr>
        <w:pStyle w:val="43"/>
        <w:keepNext w:val="0"/>
        <w:keepLines w:val="0"/>
        <w:pageBreakBefore w:val="0"/>
        <w:widowControl w:val="0"/>
        <w:kinsoku/>
        <w:wordWrap/>
        <w:overflowPunct/>
        <w:topLinePunct w:val="0"/>
        <w:autoSpaceDE/>
        <w:autoSpaceDN/>
        <w:bidi w:val="0"/>
        <w:adjustRightInd w:val="0"/>
        <w:snapToGrid w:val="0"/>
        <w:spacing w:line="312" w:lineRule="auto"/>
        <w:ind w:left="0"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lang w:eastAsia="zh-CN"/>
        </w:rPr>
        <w:t>）</w:t>
      </w:r>
      <w:r>
        <w:rPr>
          <w:rFonts w:hint="eastAsia" w:ascii="宋体" w:hAnsi="宋体" w:eastAsia="宋体" w:cs="宋体"/>
          <w:b/>
          <w:color w:val="auto"/>
          <w:sz w:val="24"/>
          <w:szCs w:val="24"/>
          <w:highlight w:val="none"/>
        </w:rPr>
        <w:t>被保险人</w:t>
      </w:r>
      <w:r>
        <w:rPr>
          <w:rFonts w:hint="eastAsia" w:ascii="宋体" w:hAnsi="宋体" w:eastAsia="宋体" w:cs="宋体"/>
          <w:b/>
          <w:bCs/>
          <w:color w:val="auto"/>
          <w:sz w:val="24"/>
          <w:szCs w:val="24"/>
          <w:highlight w:val="none"/>
        </w:rPr>
        <w:t>不符合入院标准住院、挂床住院（见释义）或应当出院但拒不出院而造成的延长住院。</w:t>
      </w:r>
    </w:p>
    <w:p w14:paraId="7DE1FB7D">
      <w:pPr>
        <w:pStyle w:val="42"/>
        <w:keepNext w:val="0"/>
        <w:keepLines w:val="0"/>
        <w:pageBreakBefore w:val="0"/>
        <w:widowControl w:val="0"/>
        <w:tabs>
          <w:tab w:val="left" w:pos="960"/>
          <w:tab w:val="clear" w:pos="840"/>
        </w:tabs>
        <w:kinsoku/>
        <w:wordWrap/>
        <w:overflowPunct/>
        <w:topLinePunct w:val="0"/>
        <w:autoSpaceDE/>
        <w:autoSpaceDN/>
        <w:bidi w:val="0"/>
        <w:adjustRightInd w:val="0"/>
        <w:snapToGrid w:val="0"/>
        <w:spacing w:line="312" w:lineRule="auto"/>
        <w:ind w:left="0" w:leftChars="0" w:firstLine="482" w:firstLineChars="200"/>
        <w:textAlignment w:val="auto"/>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对于</w:t>
      </w:r>
      <w:r>
        <w:rPr>
          <w:rFonts w:hint="eastAsia" w:ascii="宋体" w:hAnsi="宋体" w:eastAsia="宋体" w:cs="宋体"/>
          <w:bCs/>
          <w:color w:val="auto"/>
          <w:sz w:val="24"/>
          <w:szCs w:val="24"/>
          <w:highlight w:val="none"/>
        </w:rPr>
        <w:t>被保险人</w:t>
      </w:r>
      <w:r>
        <w:rPr>
          <w:rFonts w:hint="eastAsia" w:ascii="宋体" w:hAnsi="宋体" w:eastAsia="宋体" w:cs="宋体"/>
          <w:color w:val="auto"/>
          <w:sz w:val="24"/>
          <w:szCs w:val="24"/>
          <w:highlight w:val="none"/>
        </w:rPr>
        <w:t>在门诊观察室、急诊观察室、其他非正式病房、联合病房进行的治疗，保险人不承担给付意外</w:t>
      </w:r>
      <w:r>
        <w:rPr>
          <w:rFonts w:hint="eastAsia" w:ascii="宋体" w:hAnsi="宋体" w:eastAsia="宋体" w:cs="宋体"/>
          <w:color w:val="auto"/>
          <w:sz w:val="24"/>
          <w:szCs w:val="24"/>
          <w:highlight w:val="none"/>
          <w:lang w:val="en-US" w:eastAsia="zh-CN"/>
        </w:rPr>
        <w:t>伤害</w:t>
      </w:r>
      <w:r>
        <w:rPr>
          <w:rFonts w:hint="eastAsia" w:ascii="宋体" w:hAnsi="宋体" w:eastAsia="宋体" w:cs="宋体"/>
          <w:color w:val="auto"/>
          <w:sz w:val="24"/>
          <w:szCs w:val="24"/>
          <w:highlight w:val="none"/>
        </w:rPr>
        <w:t>住院津贴保险金的责任。</w:t>
      </w:r>
    </w:p>
    <w:p w14:paraId="4DB7E3E5">
      <w:pPr>
        <w:pStyle w:val="42"/>
        <w:keepNext w:val="0"/>
        <w:keepLines w:val="0"/>
        <w:pageBreakBefore w:val="0"/>
        <w:widowControl w:val="0"/>
        <w:tabs>
          <w:tab w:val="left" w:pos="960"/>
          <w:tab w:val="clear" w:pos="840"/>
        </w:tabs>
        <w:kinsoku/>
        <w:wordWrap/>
        <w:overflowPunct/>
        <w:topLinePunct w:val="0"/>
        <w:autoSpaceDE/>
        <w:autoSpaceDN/>
        <w:bidi w:val="0"/>
        <w:adjustRightInd w:val="0"/>
        <w:snapToGrid w:val="0"/>
        <w:spacing w:line="312" w:lineRule="auto"/>
        <w:ind w:left="0" w:leftChars="0" w:firstLine="482" w:firstLineChars="200"/>
        <w:textAlignment w:val="auto"/>
        <w:outlineLvl w:val="1"/>
        <w:rPr>
          <w:rFonts w:hint="eastAsia" w:ascii="宋体" w:hAnsi="宋体" w:eastAsia="宋体" w:cs="宋体"/>
          <w:color w:val="auto"/>
          <w:sz w:val="24"/>
          <w:szCs w:val="24"/>
          <w:highlight w:val="none"/>
        </w:rPr>
      </w:pPr>
      <w:r>
        <w:rPr>
          <w:rFonts w:hint="eastAsia" w:ascii="宋体" w:hAnsi="宋体" w:eastAsia="宋体" w:cs="宋体"/>
          <w:b/>
          <w:bCs w:val="0"/>
          <w:color w:val="auto"/>
          <w:kern w:val="2"/>
          <w:sz w:val="24"/>
          <w:szCs w:val="24"/>
          <w:highlight w:val="none"/>
          <w:lang w:val="en-US" w:eastAsia="zh-CN" w:bidi="ar-SA"/>
        </w:rPr>
        <w:t>2.2.4</w:t>
      </w:r>
      <w:r>
        <w:rPr>
          <w:rFonts w:hint="eastAsia" w:ascii="宋体" w:hAnsi="宋体" w:eastAsia="宋体" w:cs="宋体"/>
          <w:b/>
          <w:bCs w:val="0"/>
          <w:color w:val="auto"/>
          <w:kern w:val="2"/>
          <w:sz w:val="24"/>
          <w:szCs w:val="24"/>
          <w:highlight w:val="none"/>
          <w:lang w:val="en-US" w:eastAsia="zh-CN" w:bidi="ar-SA"/>
        </w:rPr>
        <w:tab/>
      </w:r>
      <w:r>
        <w:rPr>
          <w:rFonts w:hint="eastAsia" w:ascii="宋体" w:hAnsi="宋体" w:eastAsia="宋体" w:cs="宋体"/>
          <w:color w:val="auto"/>
          <w:sz w:val="24"/>
          <w:szCs w:val="24"/>
          <w:highlight w:val="none"/>
        </w:rPr>
        <w:t>对于</w:t>
      </w:r>
      <w:r>
        <w:rPr>
          <w:rFonts w:hint="eastAsia" w:ascii="宋体" w:hAnsi="宋体" w:eastAsia="宋体" w:cs="宋体"/>
          <w:color w:val="auto"/>
          <w:sz w:val="24"/>
          <w:szCs w:val="24"/>
          <w:highlight w:val="none"/>
          <w:lang w:eastAsia="zh-CN"/>
        </w:rPr>
        <w:t>本</w:t>
      </w:r>
      <w:r>
        <w:rPr>
          <w:rFonts w:hint="eastAsia" w:ascii="宋体" w:hAnsi="宋体" w:eastAsia="宋体" w:cs="宋体"/>
          <w:bCs/>
          <w:color w:val="auto"/>
          <w:sz w:val="24"/>
          <w:szCs w:val="24"/>
          <w:highlight w:val="none"/>
          <w:lang w:val="en-US" w:eastAsia="zh-CN"/>
        </w:rPr>
        <w:t>保险</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auto"/>
          <w:sz w:val="24"/>
          <w:szCs w:val="24"/>
          <w:highlight w:val="none"/>
        </w:rPr>
        <w:t>载明的免赔额，保险人不承担</w:t>
      </w:r>
      <w:r>
        <w:rPr>
          <w:rFonts w:hint="eastAsia" w:ascii="宋体" w:hAnsi="宋体" w:eastAsia="宋体" w:cs="宋体"/>
          <w:bCs w:val="0"/>
          <w:color w:val="auto"/>
          <w:sz w:val="24"/>
          <w:szCs w:val="24"/>
          <w:highlight w:val="none"/>
        </w:rPr>
        <w:t>赔偿责任</w:t>
      </w:r>
      <w:r>
        <w:rPr>
          <w:rFonts w:hint="eastAsia" w:ascii="宋体" w:hAnsi="宋体" w:eastAsia="宋体" w:cs="宋体"/>
          <w:color w:val="auto"/>
          <w:sz w:val="24"/>
          <w:szCs w:val="24"/>
          <w:highlight w:val="none"/>
        </w:rPr>
        <w:t>。</w:t>
      </w:r>
    </w:p>
    <w:p w14:paraId="19C9379A">
      <w:pPr>
        <w:pStyle w:val="3"/>
        <w:pageBreakBefore w:val="0"/>
        <w:tabs>
          <w:tab w:val="left" w:pos="993"/>
        </w:tabs>
        <w:kinsoku/>
        <w:wordWrap/>
        <w:overflowPunct/>
        <w:topLinePunct w:val="0"/>
        <w:autoSpaceDE/>
        <w:autoSpaceDN/>
        <w:bidi w:val="0"/>
        <w:spacing w:before="0" w:after="0" w:line="312" w:lineRule="auto"/>
        <w:ind w:left="0"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保险金额</w:t>
      </w:r>
    </w:p>
    <w:p w14:paraId="51520B89">
      <w:pPr>
        <w:pStyle w:val="43"/>
        <w:pageBreakBefore w:val="0"/>
        <w:kinsoku/>
        <w:wordWrap/>
        <w:overflowPunct/>
        <w:topLinePunct w:val="0"/>
        <w:autoSpaceDE/>
        <w:autoSpaceDN/>
        <w:bidi w:val="0"/>
        <w:spacing w:line="312" w:lineRule="auto"/>
        <w:ind w:left="0" w:leftChars="0" w:firstLine="482" w:firstLineChars="200"/>
        <w:textAlignment w:val="auto"/>
        <w:rPr>
          <w:rFonts w:hint="eastAsia" w:ascii="宋体" w:hAnsi="宋体" w:eastAsia="宋体" w:cs="宋体"/>
          <w:b/>
          <w:color w:val="auto"/>
          <w:sz w:val="24"/>
          <w:szCs w:val="24"/>
          <w:highlight w:val="none"/>
        </w:rPr>
      </w:pPr>
      <w:bookmarkStart w:id="65" w:name="_3_保险金申请"/>
      <w:bookmarkEnd w:id="65"/>
      <w:r>
        <w:rPr>
          <w:rFonts w:hint="eastAsia" w:ascii="宋体" w:hAnsi="宋体" w:eastAsia="宋体" w:cs="宋体"/>
          <w:b/>
          <w:color w:val="auto"/>
          <w:sz w:val="24"/>
          <w:szCs w:val="24"/>
          <w:highlight w:val="none"/>
        </w:rPr>
        <w:t>每一被保险人的保险金额是保险人承担给付该被保险人保险金责任的最高限额。</w:t>
      </w:r>
    </w:p>
    <w:p w14:paraId="7291E316">
      <w:pPr>
        <w:pStyle w:val="43"/>
        <w:pageBreakBefore w:val="0"/>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保险金额由投保人、保险人双方约定，并在保险单中载明。</w:t>
      </w:r>
    </w:p>
    <w:p w14:paraId="417324FE">
      <w:pPr>
        <w:pStyle w:val="43"/>
        <w:pageBreakBefore w:val="0"/>
        <w:kinsoku/>
        <w:wordWrap/>
        <w:overflowPunct/>
        <w:topLinePunct w:val="0"/>
        <w:autoSpaceDE/>
        <w:autoSpaceDN/>
        <w:bidi w:val="0"/>
        <w:spacing w:line="312"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每一被保险人的保险金额一经确定，在保险期间内不得变更。</w:t>
      </w:r>
    </w:p>
    <w:p w14:paraId="4DAA0838">
      <w:pPr>
        <w:pStyle w:val="3"/>
        <w:pageBreakBefore w:val="0"/>
        <w:tabs>
          <w:tab w:val="left" w:pos="993"/>
        </w:tabs>
        <w:kinsoku/>
        <w:wordWrap/>
        <w:overflowPunct/>
        <w:topLinePunct w:val="0"/>
        <w:autoSpaceDE/>
        <w:autoSpaceDN/>
        <w:bidi w:val="0"/>
        <w:spacing w:before="0" w:after="0" w:line="312" w:lineRule="auto"/>
        <w:ind w:left="0"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保险金申请</w:t>
      </w:r>
    </w:p>
    <w:p w14:paraId="004920FE">
      <w:pPr>
        <w:pStyle w:val="43"/>
        <w:pageBreakBefore w:val="0"/>
        <w:kinsoku/>
        <w:wordWrap/>
        <w:overflowPunct/>
        <w:topLinePunct w:val="0"/>
        <w:autoSpaceDE/>
        <w:autoSpaceDN/>
        <w:bidi w:val="0"/>
        <w:spacing w:line="312"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保险金申请人（见释义）</w:t>
      </w:r>
      <w:r>
        <w:rPr>
          <w:rFonts w:hint="eastAsia" w:ascii="宋体" w:hAnsi="宋体" w:eastAsia="宋体" w:cs="宋体"/>
          <w:color w:val="auto"/>
          <w:sz w:val="24"/>
          <w:szCs w:val="24"/>
          <w:highlight w:val="none"/>
        </w:rPr>
        <w:t>向保险人申请给付保险金时，应填写保险金给付申请书，并提交以下材料。保险金申请人因特殊原因不能提供以下材料的，应提供其它合法有效的材料。若保险金申请人委托他人申请的，还应提供授权委托书原件、委托人和受托人的身份证明等相关证明文件。保险人按照本保险合同的约定，认为有关的证明和资料不完整的，应当及时一次性通知保险金申请人补充提供。</w:t>
      </w:r>
      <w:r>
        <w:rPr>
          <w:rFonts w:hint="eastAsia" w:ascii="宋体" w:hAnsi="宋体" w:eastAsia="宋体" w:cs="宋体"/>
          <w:b/>
          <w:color w:val="auto"/>
          <w:sz w:val="24"/>
          <w:szCs w:val="24"/>
          <w:highlight w:val="none"/>
        </w:rPr>
        <w:t>保险金申请人未能提供有关材料，导致保险人无法核实该申请的真实性的，保险人对无法核实部分不承担给付保险金的责任。</w:t>
      </w:r>
    </w:p>
    <w:p w14:paraId="225EDFE8">
      <w:pPr>
        <w:pStyle w:val="43"/>
        <w:pageBreakBefore w:val="0"/>
        <w:numPr>
          <w:ilvl w:val="0"/>
          <w:numId w:val="0"/>
        </w:numPr>
        <w:kinsoku/>
        <w:wordWrap/>
        <w:overflowPunct/>
        <w:topLinePunct w:val="0"/>
        <w:autoSpaceDE/>
        <w:autoSpaceDN/>
        <w:bidi w:val="0"/>
        <w:spacing w:line="312" w:lineRule="auto"/>
        <w:ind w:left="0"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保险金给付申请书；</w:t>
      </w:r>
    </w:p>
    <w:p w14:paraId="59A39330">
      <w:pPr>
        <w:pStyle w:val="43"/>
        <w:pageBreakBefore w:val="0"/>
        <w:numPr>
          <w:ilvl w:val="0"/>
          <w:numId w:val="0"/>
        </w:numPr>
        <w:kinsoku/>
        <w:wordWrap/>
        <w:overflowPunct/>
        <w:topLinePunct w:val="0"/>
        <w:autoSpaceDE/>
        <w:autoSpaceDN/>
        <w:bidi w:val="0"/>
        <w:spacing w:line="312" w:lineRule="auto"/>
        <w:ind w:left="0"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保险单；</w:t>
      </w:r>
    </w:p>
    <w:p w14:paraId="7CC6874A">
      <w:pPr>
        <w:pStyle w:val="43"/>
        <w:pageBreakBefore w:val="0"/>
        <w:numPr>
          <w:ilvl w:val="0"/>
          <w:numId w:val="0"/>
        </w:numPr>
        <w:kinsoku/>
        <w:wordWrap/>
        <w:overflowPunct/>
        <w:topLinePunct w:val="0"/>
        <w:autoSpaceDE/>
        <w:autoSpaceDN/>
        <w:bidi w:val="0"/>
        <w:spacing w:line="312" w:lineRule="auto"/>
        <w:ind w:left="0"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保险金申请人身份证明；</w:t>
      </w:r>
    </w:p>
    <w:p w14:paraId="09ECAF40">
      <w:pPr>
        <w:pStyle w:val="43"/>
        <w:pageBreakBefore w:val="0"/>
        <w:numPr>
          <w:ilvl w:val="0"/>
          <w:numId w:val="0"/>
        </w:numPr>
        <w:kinsoku/>
        <w:wordWrap/>
        <w:overflowPunct/>
        <w:topLinePunct w:val="0"/>
        <w:autoSpaceDE/>
        <w:autoSpaceDN/>
        <w:bidi w:val="0"/>
        <w:spacing w:line="312" w:lineRule="auto"/>
        <w:ind w:left="0"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指定医疗机构出具的医疗费用发票/收据、费用明细清单/帐、病历、出院小结、诊断证明及其他医疗记录等；</w:t>
      </w:r>
    </w:p>
    <w:p w14:paraId="241C7896">
      <w:pPr>
        <w:pStyle w:val="43"/>
        <w:pageBreakBefore w:val="0"/>
        <w:numPr>
          <w:ilvl w:val="0"/>
          <w:numId w:val="0"/>
        </w:numPr>
        <w:kinsoku/>
        <w:wordWrap/>
        <w:overflowPunct/>
        <w:topLinePunct w:val="0"/>
        <w:autoSpaceDE/>
        <w:autoSpaceDN/>
        <w:bidi w:val="0"/>
        <w:spacing w:line="312" w:lineRule="auto"/>
        <w:ind w:left="0"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对于已经从社会基本医疗保险、公费医疗和任何第三方（包括任何商业医疗保险）获得相关医疗费用补偿的，应提供社会基本医疗保险机构、商业保险机构或其他第三方的医疗费用分割单或医疗费用结算证明；</w:t>
      </w:r>
    </w:p>
    <w:p w14:paraId="26C11242">
      <w:pPr>
        <w:pStyle w:val="43"/>
        <w:pageBreakBefore w:val="0"/>
        <w:numPr>
          <w:ilvl w:val="0"/>
          <w:numId w:val="0"/>
        </w:numPr>
        <w:kinsoku/>
        <w:wordWrap/>
        <w:overflowPunct/>
        <w:topLinePunct w:val="0"/>
        <w:autoSpaceDE/>
        <w:autoSpaceDN/>
        <w:bidi w:val="0"/>
        <w:spacing w:line="312" w:lineRule="auto"/>
        <w:ind w:left="0"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保险金申请人所能提供的与确认保险事故的性质、原因、损失程度等有关的其他证明和资料。</w:t>
      </w:r>
    </w:p>
    <w:p w14:paraId="3EF21F14">
      <w:pPr>
        <w:pStyle w:val="2"/>
        <w:pageBreakBefore w:val="0"/>
        <w:tabs>
          <w:tab w:val="left" w:pos="993"/>
        </w:tabs>
        <w:kinsoku/>
        <w:wordWrap/>
        <w:overflowPunct/>
        <w:topLinePunct w:val="0"/>
        <w:autoSpaceDE/>
        <w:autoSpaceDN/>
        <w:bidi w:val="0"/>
        <w:spacing w:before="0" w:after="0"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释义</w:t>
      </w:r>
    </w:p>
    <w:p w14:paraId="6A1C4CB7">
      <w:pPr>
        <w:pStyle w:val="3"/>
        <w:pageBreakBefore w:val="0"/>
        <w:tabs>
          <w:tab w:val="left" w:pos="993"/>
        </w:tabs>
        <w:kinsoku/>
        <w:wordWrap/>
        <w:overflowPunct/>
        <w:topLinePunct w:val="0"/>
        <w:autoSpaceDE/>
        <w:autoSpaceDN/>
        <w:bidi w:val="0"/>
        <w:spacing w:before="0" w:after="0" w:line="312" w:lineRule="auto"/>
        <w:ind w:left="0" w:leftChars="0" w:firstLine="482" w:firstLineChars="200"/>
        <w:textAlignment w:val="auto"/>
        <w:rPr>
          <w:rFonts w:hint="eastAsia" w:ascii="宋体" w:hAnsi="宋体" w:eastAsia="宋体" w:cs="宋体"/>
          <w:color w:val="auto"/>
          <w:sz w:val="24"/>
          <w:szCs w:val="24"/>
          <w:highlight w:val="none"/>
        </w:rPr>
      </w:pPr>
      <w:bookmarkStart w:id="66" w:name="_4.1_意外伤害"/>
      <w:bookmarkEnd w:id="66"/>
      <w:bookmarkStart w:id="67" w:name="_4.2_医疗机构"/>
      <w:bookmarkEnd w:id="67"/>
      <w:bookmarkStart w:id="68" w:name="_4.3_住院"/>
      <w:bookmarkEnd w:id="68"/>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意外伤害</w:t>
      </w:r>
    </w:p>
    <w:p w14:paraId="630AD9E1">
      <w:pPr>
        <w:pStyle w:val="43"/>
        <w:keepNext w:val="0"/>
        <w:keepLines w:val="0"/>
        <w:pageBreakBefore w:val="0"/>
        <w:widowControl/>
        <w:kinsoku/>
        <w:wordWrap/>
        <w:overflowPunct/>
        <w:topLinePunct w:val="0"/>
        <w:autoSpaceDE/>
        <w:autoSpaceDN/>
        <w:bidi w:val="0"/>
        <w:adjustRightInd/>
        <w:snapToGrid/>
        <w:spacing w:line="312"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指外来的、突发的、非本意的、非疾病的客观事件致使身体受到的伤害。</w:t>
      </w:r>
    </w:p>
    <w:p w14:paraId="27937ECE">
      <w:pPr>
        <w:pStyle w:val="43"/>
        <w:keepNext w:val="0"/>
        <w:keepLines w:val="0"/>
        <w:pageBreakBefore w:val="0"/>
        <w:widowControl/>
        <w:kinsoku/>
        <w:wordWrap/>
        <w:overflowPunct/>
        <w:topLinePunct w:val="0"/>
        <w:autoSpaceDE/>
        <w:autoSpaceDN/>
        <w:bidi w:val="0"/>
        <w:adjustRightInd/>
        <w:snapToGrid/>
        <w:spacing w:line="312" w:lineRule="auto"/>
        <w:ind w:left="0" w:leftChars="0" w:firstLine="482" w:firstLineChars="200"/>
        <w:jc w:val="left"/>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以下</w:t>
      </w:r>
      <w:r>
        <w:rPr>
          <w:rFonts w:hint="eastAsia" w:ascii="宋体" w:hAnsi="宋体" w:eastAsia="宋体" w:cs="宋体"/>
          <w:b/>
          <w:bCs/>
          <w:color w:val="auto"/>
          <w:sz w:val="24"/>
          <w:szCs w:val="24"/>
          <w:highlight w:val="none"/>
        </w:rPr>
        <w:t>情形</w:t>
      </w:r>
      <w:r>
        <w:rPr>
          <w:rFonts w:hint="eastAsia" w:ascii="宋体" w:hAnsi="宋体" w:eastAsia="宋体" w:cs="宋体"/>
          <w:b/>
          <w:bCs w:val="0"/>
          <w:color w:val="auto"/>
          <w:sz w:val="24"/>
          <w:szCs w:val="24"/>
          <w:highlight w:val="none"/>
        </w:rPr>
        <w:t>属于疾病范畴，非本条款所指意外伤害：</w:t>
      </w:r>
    </w:p>
    <w:p w14:paraId="1E677B78">
      <w:pPr>
        <w:pStyle w:val="43"/>
        <w:keepNext w:val="0"/>
        <w:keepLines w:val="0"/>
        <w:pageBreakBefore w:val="0"/>
        <w:widowControl/>
        <w:kinsoku/>
        <w:wordWrap/>
        <w:overflowPunct/>
        <w:topLinePunct w:val="0"/>
        <w:autoSpaceDE/>
        <w:autoSpaceDN/>
        <w:bidi w:val="0"/>
        <w:adjustRightInd/>
        <w:snapToGrid/>
        <w:spacing w:line="312" w:lineRule="auto"/>
        <w:ind w:left="0" w:leftChars="0" w:firstLine="482" w:firstLineChars="200"/>
        <w:jc w:val="left"/>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（1</w:t>
      </w: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rPr>
        <w:t>猝死：指由潜在疾病、身体机能障碍或其他非外来性原因所导致的、在出现急性症状后发生的突然死亡，以医院的诊断或公安、司法机关的鉴定为准；</w:t>
      </w:r>
    </w:p>
    <w:p w14:paraId="16CD8CE2">
      <w:pPr>
        <w:pStyle w:val="43"/>
        <w:keepNext w:val="0"/>
        <w:keepLines w:val="0"/>
        <w:pageBreakBefore w:val="0"/>
        <w:widowControl/>
        <w:kinsoku/>
        <w:wordWrap/>
        <w:overflowPunct/>
        <w:topLinePunct w:val="0"/>
        <w:autoSpaceDE/>
        <w:autoSpaceDN/>
        <w:bidi w:val="0"/>
        <w:adjustRightInd/>
        <w:snapToGrid/>
        <w:spacing w:line="312" w:lineRule="auto"/>
        <w:ind w:left="0" w:leftChars="0" w:firstLine="482" w:firstLineChars="200"/>
        <w:jc w:val="left"/>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（2）过敏及由过敏引发的变态反应性疾病；</w:t>
      </w:r>
    </w:p>
    <w:p w14:paraId="28C9DA83">
      <w:pPr>
        <w:pStyle w:val="43"/>
        <w:keepNext w:val="0"/>
        <w:keepLines w:val="0"/>
        <w:pageBreakBefore w:val="0"/>
        <w:widowControl/>
        <w:kinsoku/>
        <w:wordWrap/>
        <w:overflowPunct/>
        <w:topLinePunct w:val="0"/>
        <w:autoSpaceDE/>
        <w:autoSpaceDN/>
        <w:bidi w:val="0"/>
        <w:adjustRightInd/>
        <w:snapToGrid/>
        <w:spacing w:line="312" w:lineRule="auto"/>
        <w:ind w:left="0" w:leftChars="0" w:firstLine="482" w:firstLineChars="200"/>
        <w:jc w:val="left"/>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（3）高原反应；</w:t>
      </w:r>
    </w:p>
    <w:p w14:paraId="4579E4D1">
      <w:pPr>
        <w:pStyle w:val="43"/>
        <w:keepNext w:val="0"/>
        <w:keepLines w:val="0"/>
        <w:pageBreakBefore w:val="0"/>
        <w:widowControl/>
        <w:kinsoku/>
        <w:wordWrap/>
        <w:overflowPunct/>
        <w:topLinePunct w:val="0"/>
        <w:autoSpaceDE/>
        <w:autoSpaceDN/>
        <w:bidi w:val="0"/>
        <w:adjustRightInd/>
        <w:snapToGrid/>
        <w:spacing w:line="312" w:lineRule="auto"/>
        <w:ind w:left="0" w:leftChars="0" w:firstLine="482" w:firstLineChars="200"/>
        <w:jc w:val="left"/>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（4）中暑；</w:t>
      </w:r>
    </w:p>
    <w:p w14:paraId="37E1837B">
      <w:pPr>
        <w:pStyle w:val="43"/>
        <w:pageBreakBefore w:val="0"/>
        <w:kinsoku/>
        <w:wordWrap/>
        <w:overflowPunct/>
        <w:topLinePunct w:val="0"/>
        <w:autoSpaceDE/>
        <w:autoSpaceDN/>
        <w:bidi w:val="0"/>
        <w:spacing w:line="312"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bCs w:val="0"/>
          <w:color w:val="auto"/>
          <w:sz w:val="24"/>
          <w:szCs w:val="24"/>
          <w:highlight w:val="none"/>
        </w:rPr>
        <w:t>（5）细菌、病毒或其他病原体导致的感染性疾病</w:t>
      </w:r>
      <w:r>
        <w:rPr>
          <w:rFonts w:hint="eastAsia" w:ascii="宋体" w:hAnsi="宋体" w:eastAsia="宋体" w:cs="宋体"/>
          <w:b/>
          <w:color w:val="auto"/>
          <w:sz w:val="24"/>
          <w:szCs w:val="24"/>
          <w:highlight w:val="none"/>
        </w:rPr>
        <w:t>。</w:t>
      </w:r>
    </w:p>
    <w:p w14:paraId="08C0CC4D">
      <w:pPr>
        <w:pStyle w:val="3"/>
        <w:pageBreakBefore w:val="0"/>
        <w:tabs>
          <w:tab w:val="left" w:pos="993"/>
        </w:tabs>
        <w:kinsoku/>
        <w:wordWrap/>
        <w:overflowPunct/>
        <w:topLinePunct w:val="0"/>
        <w:autoSpaceDE/>
        <w:autoSpaceDN/>
        <w:bidi w:val="0"/>
        <w:spacing w:before="0" w:after="0" w:line="312" w:lineRule="auto"/>
        <w:ind w:left="0"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指定医疗机构</w:t>
      </w:r>
    </w:p>
    <w:p w14:paraId="2C881204">
      <w:pPr>
        <w:pStyle w:val="43"/>
        <w:keepNext w:val="0"/>
        <w:keepLines w:val="0"/>
        <w:pageBreakBefore w:val="0"/>
        <w:widowControl/>
        <w:kinsoku/>
        <w:wordWrap/>
        <w:overflowPunct/>
        <w:topLinePunct w:val="0"/>
        <w:autoSpaceDE/>
        <w:autoSpaceDN/>
        <w:bidi w:val="0"/>
        <w:adjustRightInd/>
        <w:snapToGrid/>
        <w:spacing w:line="312"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除另有约定外，指定医疗机构指中华人民共和国境内</w:t>
      </w:r>
      <w:r>
        <w:rPr>
          <w:rFonts w:hint="eastAsia" w:ascii="宋体" w:hAnsi="宋体" w:eastAsia="宋体" w:cs="宋体"/>
          <w:b/>
          <w:color w:val="auto"/>
          <w:sz w:val="24"/>
          <w:szCs w:val="24"/>
          <w:highlight w:val="none"/>
        </w:rPr>
        <w:t>（不包括香港、澳门、台湾地区）</w:t>
      </w:r>
      <w:r>
        <w:rPr>
          <w:rFonts w:hint="eastAsia" w:ascii="宋体" w:hAnsi="宋体" w:eastAsia="宋体" w:cs="宋体"/>
          <w:color w:val="auto"/>
          <w:sz w:val="24"/>
          <w:szCs w:val="24"/>
          <w:highlight w:val="none"/>
        </w:rPr>
        <w:t>二级（含）及以上医院或保险人认可的医疗机构，且应符合下列所有条件：</w:t>
      </w:r>
    </w:p>
    <w:p w14:paraId="68BD65E5">
      <w:pPr>
        <w:pStyle w:val="43"/>
        <w:keepNext w:val="0"/>
        <w:keepLines w:val="0"/>
        <w:pageBreakBefore w:val="0"/>
        <w:widowControl/>
        <w:kinsoku/>
        <w:wordWrap/>
        <w:overflowPunct/>
        <w:topLinePunct w:val="0"/>
        <w:autoSpaceDE/>
        <w:autoSpaceDN/>
        <w:bidi w:val="0"/>
        <w:adjustRightInd/>
        <w:snapToGrid/>
        <w:spacing w:line="312" w:lineRule="auto"/>
        <w:ind w:left="0" w:leftChars="0"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（1）拥有合法经营执照；</w:t>
      </w:r>
    </w:p>
    <w:p w14:paraId="05AC2BCE">
      <w:pPr>
        <w:pStyle w:val="43"/>
        <w:keepNext w:val="0"/>
        <w:keepLines w:val="0"/>
        <w:pageBreakBefore w:val="0"/>
        <w:widowControl/>
        <w:kinsoku/>
        <w:wordWrap/>
        <w:overflowPunct/>
        <w:topLinePunct w:val="0"/>
        <w:autoSpaceDE/>
        <w:autoSpaceDN/>
        <w:bidi w:val="0"/>
        <w:adjustRightInd/>
        <w:snapToGrid/>
        <w:spacing w:line="312" w:lineRule="auto"/>
        <w:ind w:left="0" w:leftChars="0"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（2）设立的主要目的为向受伤者和患病者提供留院治疗和护理服务；</w:t>
      </w:r>
    </w:p>
    <w:p w14:paraId="4AC5C170">
      <w:pPr>
        <w:pStyle w:val="43"/>
        <w:keepNext w:val="0"/>
        <w:keepLines w:val="0"/>
        <w:pageBreakBefore w:val="0"/>
        <w:widowControl/>
        <w:kinsoku/>
        <w:wordWrap/>
        <w:overflowPunct/>
        <w:topLinePunct w:val="0"/>
        <w:autoSpaceDE/>
        <w:autoSpaceDN/>
        <w:bidi w:val="0"/>
        <w:adjustRightInd/>
        <w:snapToGrid/>
        <w:spacing w:line="312" w:lineRule="auto"/>
        <w:ind w:left="0" w:leftChars="0"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（3）有合格的医生和护士提供全日二十四小时的医疗和护理服务；</w:t>
      </w:r>
    </w:p>
    <w:p w14:paraId="22D2DC11">
      <w:pPr>
        <w:pStyle w:val="43"/>
        <w:keepNext w:val="0"/>
        <w:keepLines w:val="0"/>
        <w:pageBreakBefore w:val="0"/>
        <w:widowControl/>
        <w:kinsoku/>
        <w:wordWrap/>
        <w:overflowPunct/>
        <w:topLinePunct w:val="0"/>
        <w:autoSpaceDE/>
        <w:autoSpaceDN/>
        <w:bidi w:val="0"/>
        <w:adjustRightInd/>
        <w:snapToGrid/>
        <w:spacing w:line="312" w:lineRule="auto"/>
        <w:ind w:left="0" w:leftChars="0"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（4）非主要作为康复医院、诊所、护理、疗养、戒酒、戒毒或类似的医疗机构。</w:t>
      </w:r>
    </w:p>
    <w:p w14:paraId="564E1B14">
      <w:pPr>
        <w:pStyle w:val="43"/>
        <w:pageBreakBefore w:val="0"/>
        <w:widowControl/>
        <w:kinsoku/>
        <w:wordWrap/>
        <w:overflowPunct/>
        <w:topLinePunct w:val="0"/>
        <w:autoSpaceDE/>
        <w:autoSpaceDN/>
        <w:bidi w:val="0"/>
        <w:adjustRightInd/>
        <w:snapToGrid/>
        <w:spacing w:line="312"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投保人和保险人双方还可以约定指定医疗机构的条件、范围等，并在保险合同中载明</w:t>
      </w:r>
      <w:r>
        <w:rPr>
          <w:rFonts w:hint="eastAsia" w:ascii="宋体" w:hAnsi="宋体" w:eastAsia="宋体" w:cs="宋体"/>
          <w:b w:val="0"/>
          <w:color w:val="auto"/>
          <w:sz w:val="24"/>
          <w:szCs w:val="24"/>
          <w:highlight w:val="none"/>
        </w:rPr>
        <w:t>。</w:t>
      </w:r>
    </w:p>
    <w:p w14:paraId="3D972CA7">
      <w:pPr>
        <w:pStyle w:val="3"/>
        <w:pageBreakBefore w:val="0"/>
        <w:tabs>
          <w:tab w:val="left" w:pos="993"/>
        </w:tabs>
        <w:kinsoku/>
        <w:wordWrap/>
        <w:overflowPunct/>
        <w:topLinePunct w:val="0"/>
        <w:autoSpaceDE/>
        <w:autoSpaceDN/>
        <w:bidi w:val="0"/>
        <w:spacing w:before="0" w:after="0" w:line="312" w:lineRule="auto"/>
        <w:ind w:left="0" w:leftChars="0" w:firstLine="482" w:firstLineChars="200"/>
        <w:textAlignment w:val="auto"/>
        <w:rPr>
          <w:rFonts w:hint="eastAsia" w:ascii="宋体" w:hAnsi="宋体" w:eastAsia="宋体" w:cs="宋体"/>
          <w:color w:val="auto"/>
          <w:sz w:val="24"/>
          <w:szCs w:val="24"/>
          <w:highlight w:val="none"/>
        </w:rPr>
      </w:pPr>
      <w:bookmarkStart w:id="69" w:name="_4.3_住院_1"/>
      <w:bookmarkEnd w:id="69"/>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必需且合理</w:t>
      </w:r>
    </w:p>
    <w:p w14:paraId="6B974027">
      <w:pPr>
        <w:pStyle w:val="43"/>
        <w:pageBreakBefore w:val="0"/>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指同时符合以下2个条件：</w:t>
      </w:r>
    </w:p>
    <w:p w14:paraId="4EA5A68F">
      <w:pPr>
        <w:pStyle w:val="43"/>
        <w:pageBreakBefore w:val="0"/>
        <w:kinsoku/>
        <w:wordWrap/>
        <w:overflowPunct/>
        <w:topLinePunct w:val="0"/>
        <w:autoSpaceDE/>
        <w:autoSpaceDN/>
        <w:bidi w:val="0"/>
        <w:spacing w:line="312"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rPr>
        <w:tab/>
      </w:r>
      <w:r>
        <w:rPr>
          <w:rFonts w:hint="eastAsia" w:ascii="宋体" w:hAnsi="宋体" w:eastAsia="宋体" w:cs="宋体"/>
          <w:b/>
          <w:color w:val="auto"/>
          <w:sz w:val="24"/>
          <w:szCs w:val="24"/>
          <w:highlight w:val="none"/>
        </w:rPr>
        <w:t>符合通常惯例</w:t>
      </w:r>
    </w:p>
    <w:p w14:paraId="11E255E5">
      <w:pPr>
        <w:pStyle w:val="43"/>
        <w:pageBreakBefore w:val="0"/>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指与接受医疗服务所在地通行治疗规范、通行治疗方法、平均医疗费用价格水平一致的费用。</w:t>
      </w:r>
    </w:p>
    <w:p w14:paraId="05E9C3E5">
      <w:pPr>
        <w:pStyle w:val="43"/>
        <w:pageBreakBefore w:val="0"/>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对是否符合通常惯例由保险人根据客观、审慎、合理的原则进行审核；</w:t>
      </w:r>
      <w:r>
        <w:rPr>
          <w:rFonts w:hint="eastAsia" w:ascii="宋体" w:hAnsi="宋体" w:eastAsia="宋体" w:cs="宋体"/>
          <w:b/>
          <w:color w:val="auto"/>
          <w:sz w:val="24"/>
          <w:szCs w:val="24"/>
          <w:highlight w:val="none"/>
        </w:rPr>
        <w:t>如果被保险人对审核结果有不同意见，可由双方认同的权威医学机构或者权威医学专家进行审核鉴定。</w:t>
      </w:r>
    </w:p>
    <w:p w14:paraId="4F80AF4D">
      <w:pPr>
        <w:pStyle w:val="43"/>
        <w:pageBreakBefore w:val="0"/>
        <w:kinsoku/>
        <w:wordWrap/>
        <w:overflowPunct/>
        <w:topLinePunct w:val="0"/>
        <w:autoSpaceDE/>
        <w:autoSpaceDN/>
        <w:bidi w:val="0"/>
        <w:spacing w:line="312"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rPr>
        <w:tab/>
      </w:r>
      <w:r>
        <w:rPr>
          <w:rFonts w:hint="eastAsia" w:ascii="宋体" w:hAnsi="宋体" w:eastAsia="宋体" w:cs="宋体"/>
          <w:b/>
          <w:color w:val="auto"/>
          <w:sz w:val="24"/>
          <w:szCs w:val="24"/>
          <w:highlight w:val="none"/>
        </w:rPr>
        <w:t>医学必需</w:t>
      </w:r>
    </w:p>
    <w:p w14:paraId="4ABF7BC4">
      <w:pPr>
        <w:pStyle w:val="43"/>
        <w:pageBreakBefore w:val="0"/>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指医疗费用符合下列所有条件：</w:t>
      </w:r>
    </w:p>
    <w:p w14:paraId="0AE4B3ED">
      <w:pPr>
        <w:pStyle w:val="43"/>
        <w:pageBreakBefore w:val="0"/>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治疗意外伤害或者疾病所必需的项目；</w:t>
      </w:r>
    </w:p>
    <w:p w14:paraId="6C27515D">
      <w:pPr>
        <w:pStyle w:val="43"/>
        <w:pageBreakBefore w:val="0"/>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不超过安全、足量治疗原则的项目；</w:t>
      </w:r>
    </w:p>
    <w:p w14:paraId="06381EB3">
      <w:pPr>
        <w:pStyle w:val="43"/>
        <w:pageBreakBefore w:val="0"/>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由医生开具的处方药；</w:t>
      </w:r>
    </w:p>
    <w:p w14:paraId="35B66882">
      <w:pPr>
        <w:pStyle w:val="43"/>
        <w:pageBreakBefore w:val="0"/>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非试验性的、非研究性的项目；</w:t>
      </w:r>
    </w:p>
    <w:p w14:paraId="6B22A5DB">
      <w:pPr>
        <w:pStyle w:val="43"/>
        <w:pageBreakBefore w:val="0"/>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与接受治疗当地普遍接受的医疗专业实践标准一致的项目。</w:t>
      </w:r>
    </w:p>
    <w:p w14:paraId="25F816FE">
      <w:pPr>
        <w:pStyle w:val="43"/>
        <w:pageBreakBefore w:val="0"/>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对是否医学必需由保险人根据客观、审慎、合理的原则进行审核；</w:t>
      </w:r>
      <w:r>
        <w:rPr>
          <w:rFonts w:hint="eastAsia" w:ascii="宋体" w:hAnsi="宋体" w:eastAsia="宋体" w:cs="宋体"/>
          <w:b/>
          <w:color w:val="auto"/>
          <w:sz w:val="24"/>
          <w:szCs w:val="24"/>
          <w:highlight w:val="none"/>
        </w:rPr>
        <w:t>如果被保险人对审核结果有不同意见，可由双方认同的权威医学机构或者权威医学专家进行审核鉴定。</w:t>
      </w:r>
    </w:p>
    <w:p w14:paraId="505337E9">
      <w:pPr>
        <w:pStyle w:val="3"/>
        <w:pageBreakBefore w:val="0"/>
        <w:tabs>
          <w:tab w:val="left" w:pos="993"/>
        </w:tabs>
        <w:kinsoku/>
        <w:wordWrap/>
        <w:overflowPunct/>
        <w:topLinePunct w:val="0"/>
        <w:autoSpaceDE/>
        <w:autoSpaceDN/>
        <w:bidi w:val="0"/>
        <w:spacing w:before="0" w:after="0" w:line="312" w:lineRule="auto"/>
        <w:ind w:left="0"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住院</w:t>
      </w:r>
    </w:p>
    <w:p w14:paraId="06D5ADC3">
      <w:pPr>
        <w:pStyle w:val="43"/>
        <w:keepNext w:val="0"/>
        <w:keepLines w:val="0"/>
        <w:pageBreakBefore w:val="0"/>
        <w:widowControl/>
        <w:kinsoku/>
        <w:wordWrap/>
        <w:overflowPunct/>
        <w:topLinePunct w:val="0"/>
        <w:autoSpaceDE/>
        <w:autoSpaceDN/>
        <w:bidi w:val="0"/>
        <w:adjustRightInd/>
        <w:snapToGrid/>
        <w:spacing w:line="312" w:lineRule="auto"/>
        <w:ind w:left="0" w:leftChars="0" w:firstLine="480" w:firstLineChars="200"/>
        <w:jc w:val="left"/>
        <w:textAlignment w:val="auto"/>
        <w:rPr>
          <w:rFonts w:hint="eastAsia" w:ascii="宋体" w:hAnsi="宋体" w:eastAsia="宋体" w:cs="宋体"/>
          <w:b/>
          <w:color w:val="auto"/>
          <w:sz w:val="24"/>
          <w:szCs w:val="24"/>
          <w:highlight w:val="none"/>
        </w:rPr>
      </w:pPr>
      <w:bookmarkStart w:id="70" w:name="_4.4_高风险运动"/>
      <w:bookmarkEnd w:id="70"/>
      <w:r>
        <w:rPr>
          <w:rFonts w:hint="eastAsia" w:ascii="宋体" w:hAnsi="宋体" w:eastAsia="宋体" w:cs="宋体"/>
          <w:color w:val="auto"/>
          <w:sz w:val="24"/>
          <w:szCs w:val="24"/>
          <w:highlight w:val="none"/>
        </w:rPr>
        <w:t>是指被保险人确因临床需要、</w:t>
      </w:r>
      <w:r>
        <w:rPr>
          <w:rFonts w:hint="eastAsia" w:ascii="宋体" w:hAnsi="宋体" w:eastAsia="宋体" w:cs="宋体"/>
          <w:bCs/>
          <w:color w:val="auto"/>
          <w:sz w:val="24"/>
          <w:szCs w:val="24"/>
          <w:highlight w:val="none"/>
        </w:rPr>
        <w:t>经医生诊断必须留院治疗，</w:t>
      </w:r>
      <w:r>
        <w:rPr>
          <w:rFonts w:hint="eastAsia" w:ascii="宋体" w:hAnsi="宋体" w:eastAsia="宋体" w:cs="宋体"/>
          <w:color w:val="auto"/>
          <w:sz w:val="24"/>
          <w:szCs w:val="24"/>
          <w:highlight w:val="none"/>
        </w:rPr>
        <w:t>正式办理入院及出院手续，并确实入住医疗机构正式病房接受治疗的行为过程；</w:t>
      </w:r>
      <w:r>
        <w:rPr>
          <w:rFonts w:hint="eastAsia" w:ascii="宋体" w:hAnsi="宋体" w:eastAsia="宋体" w:cs="宋体"/>
          <w:b/>
          <w:color w:val="auto"/>
          <w:sz w:val="24"/>
          <w:szCs w:val="24"/>
          <w:highlight w:val="none"/>
        </w:rPr>
        <w:t>被保险人必须连续留院二十四小时以上且由医疗机构收取病房或床位费用，但不包括门诊观察室、急诊观察室、其他非正式病房、联合病房或挂床住院。</w:t>
      </w:r>
    </w:p>
    <w:p w14:paraId="06C893BE">
      <w:pPr>
        <w:pageBreakBefore w:val="0"/>
        <w:tabs>
          <w:tab w:val="left" w:pos="993"/>
        </w:tabs>
        <w:kinsoku/>
        <w:wordWrap/>
        <w:overflowPunct/>
        <w:topLinePunct w:val="0"/>
        <w:autoSpaceDE/>
        <w:autoSpaceDN/>
        <w:bidi w:val="0"/>
        <w:spacing w:line="312" w:lineRule="auto"/>
        <w:ind w:left="0" w:leftChars="0" w:firstLine="482" w:firstLineChars="200"/>
        <w:textAlignment w:val="auto"/>
        <w:outlineLvl w:val="1"/>
        <w:rPr>
          <w:rFonts w:hint="eastAsia" w:ascii="宋体" w:hAnsi="宋体" w:eastAsia="宋体" w:cs="宋体"/>
          <w:b/>
          <w:bCs/>
          <w:color w:val="auto"/>
          <w:kern w:val="28"/>
          <w:sz w:val="24"/>
          <w:szCs w:val="24"/>
          <w:highlight w:val="none"/>
        </w:rPr>
      </w:pPr>
      <w:r>
        <w:rPr>
          <w:rFonts w:hint="eastAsia" w:ascii="宋体" w:hAnsi="宋体" w:eastAsia="宋体" w:cs="宋体"/>
          <w:b/>
          <w:bCs/>
          <w:color w:val="auto"/>
          <w:kern w:val="28"/>
          <w:sz w:val="24"/>
          <w:szCs w:val="24"/>
          <w:highlight w:val="none"/>
        </w:rPr>
        <w:t>4.</w:t>
      </w:r>
      <w:r>
        <w:rPr>
          <w:rFonts w:hint="eastAsia" w:ascii="宋体" w:hAnsi="宋体" w:eastAsia="宋体" w:cs="宋体"/>
          <w:b/>
          <w:bCs/>
          <w:color w:val="auto"/>
          <w:kern w:val="28"/>
          <w:sz w:val="24"/>
          <w:szCs w:val="24"/>
          <w:highlight w:val="none"/>
          <w:lang w:val="en-US" w:eastAsia="zh-CN"/>
        </w:rPr>
        <w:t>5</w:t>
      </w:r>
      <w:r>
        <w:rPr>
          <w:rFonts w:hint="eastAsia" w:ascii="宋体" w:hAnsi="宋体" w:eastAsia="宋体" w:cs="宋体"/>
          <w:b/>
          <w:bCs/>
          <w:color w:val="auto"/>
          <w:kern w:val="28"/>
          <w:sz w:val="24"/>
          <w:szCs w:val="24"/>
          <w:highlight w:val="none"/>
        </w:rPr>
        <w:tab/>
      </w:r>
      <w:r>
        <w:rPr>
          <w:rFonts w:hint="eastAsia" w:ascii="宋体" w:hAnsi="宋体" w:eastAsia="宋体" w:cs="宋体"/>
          <w:b/>
          <w:bCs/>
          <w:color w:val="auto"/>
          <w:kern w:val="28"/>
          <w:sz w:val="24"/>
          <w:szCs w:val="24"/>
          <w:highlight w:val="none"/>
        </w:rPr>
        <w:t>社会基本医疗保险</w:t>
      </w:r>
    </w:p>
    <w:p w14:paraId="6DF916B3">
      <w:pPr>
        <w:pStyle w:val="43"/>
        <w:pageBreakBefore w:val="0"/>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指国家最新修订颁布的《社会保险法》规定的基本医疗保险，包括职工基本医疗保险、城镇居民基本医疗保险、新型农村合作医疗等政府举办的基本医疗保险。</w:t>
      </w:r>
    </w:p>
    <w:p w14:paraId="1534C26E">
      <w:pPr>
        <w:pStyle w:val="3"/>
        <w:pageBreakBefore w:val="0"/>
        <w:tabs>
          <w:tab w:val="left" w:pos="960"/>
        </w:tabs>
        <w:kinsoku/>
        <w:wordWrap/>
        <w:overflowPunct/>
        <w:topLinePunct w:val="0"/>
        <w:autoSpaceDE/>
        <w:autoSpaceDN/>
        <w:bidi w:val="0"/>
        <w:snapToGrid w:val="0"/>
        <w:spacing w:before="0" w:after="0" w:line="312" w:lineRule="auto"/>
        <w:ind w:left="0"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毒品及管制药物</w:t>
      </w:r>
    </w:p>
    <w:p w14:paraId="30AB7900">
      <w:pPr>
        <w:pageBreakBefore w:val="0"/>
        <w:kinsoku/>
        <w:wordWrap/>
        <w:overflowPunct/>
        <w:topLinePunct w:val="0"/>
        <w:autoSpaceDE/>
        <w:autoSpaceDN/>
        <w:bidi w:val="0"/>
        <w:adjustRightInd w:val="0"/>
        <w:snapToGrid w:val="0"/>
        <w:spacing w:line="312" w:lineRule="auto"/>
        <w:ind w:left="0" w:leftChars="0"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指中华人民共和国刑法规定的鸦片、海洛因、甲基苯丙胺（冰毒）、吗啡、大麻、可卡因以及国家规定管制的其他能够使人形成瘾癖的麻醉药品和精神药品,</w:t>
      </w:r>
      <w:r>
        <w:rPr>
          <w:rFonts w:hint="eastAsia" w:ascii="宋体" w:hAnsi="宋体" w:eastAsia="宋体" w:cs="宋体"/>
          <w:b/>
          <w:bCs/>
          <w:color w:val="auto"/>
          <w:sz w:val="24"/>
          <w:szCs w:val="24"/>
          <w:highlight w:val="none"/>
        </w:rPr>
        <w:t>但不包括由医生开具并遵医嘱使用的用于治疗疾病但含有毒品成分的处方药品。</w:t>
      </w:r>
    </w:p>
    <w:p w14:paraId="3D2F6268">
      <w:pPr>
        <w:pStyle w:val="3"/>
        <w:pageBreakBefore w:val="0"/>
        <w:tabs>
          <w:tab w:val="left" w:pos="960"/>
        </w:tabs>
        <w:kinsoku/>
        <w:wordWrap/>
        <w:overflowPunct/>
        <w:topLinePunct w:val="0"/>
        <w:autoSpaceDE/>
        <w:autoSpaceDN/>
        <w:bidi w:val="0"/>
        <w:snapToGrid w:val="0"/>
        <w:spacing w:before="0" w:after="0" w:line="312" w:lineRule="auto"/>
        <w:ind w:left="0"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战争</w:t>
      </w:r>
    </w:p>
    <w:p w14:paraId="14D64A24">
      <w:pPr>
        <w:pageBreakBefore w:val="0"/>
        <w:kinsoku/>
        <w:wordWrap/>
        <w:overflowPunct/>
        <w:topLinePunct w:val="0"/>
        <w:autoSpaceDE/>
        <w:autoSpaceDN/>
        <w:bidi w:val="0"/>
        <w:adjustRightInd w:val="0"/>
        <w:snapToGrid w:val="0"/>
        <w:spacing w:line="312" w:lineRule="auto"/>
        <w:ind w:left="0" w:lef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指国家与国家、民族与民族、政治集团与政治集团之间为了一定的政治、经济目的而进行的武装斗争，以政府宣布为准。</w:t>
      </w:r>
    </w:p>
    <w:p w14:paraId="6D969B92">
      <w:pPr>
        <w:pStyle w:val="3"/>
        <w:pageBreakBefore w:val="0"/>
        <w:tabs>
          <w:tab w:val="left" w:pos="960"/>
        </w:tabs>
        <w:kinsoku/>
        <w:wordWrap/>
        <w:overflowPunct/>
        <w:topLinePunct w:val="0"/>
        <w:autoSpaceDE/>
        <w:autoSpaceDN/>
        <w:bidi w:val="0"/>
        <w:snapToGrid w:val="0"/>
        <w:spacing w:before="0" w:after="0" w:line="312" w:lineRule="auto"/>
        <w:ind w:left="0"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军事冲突</w:t>
      </w:r>
    </w:p>
    <w:p w14:paraId="369D61E2">
      <w:pPr>
        <w:pageBreakBefore w:val="0"/>
        <w:kinsoku/>
        <w:wordWrap/>
        <w:overflowPunct/>
        <w:topLinePunct w:val="0"/>
        <w:autoSpaceDE/>
        <w:autoSpaceDN/>
        <w:bidi w:val="0"/>
        <w:adjustRightInd w:val="0"/>
        <w:snapToGrid w:val="0"/>
        <w:spacing w:line="312" w:lineRule="auto"/>
        <w:ind w:left="0" w:lef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指国家与民族之间在一定范围内的武装对抗，以政府宣布为准。</w:t>
      </w:r>
    </w:p>
    <w:p w14:paraId="579E3F6D">
      <w:pPr>
        <w:pStyle w:val="3"/>
        <w:pageBreakBefore w:val="0"/>
        <w:tabs>
          <w:tab w:val="left" w:pos="960"/>
        </w:tabs>
        <w:kinsoku/>
        <w:wordWrap/>
        <w:overflowPunct/>
        <w:topLinePunct w:val="0"/>
        <w:autoSpaceDE/>
        <w:autoSpaceDN/>
        <w:bidi w:val="0"/>
        <w:snapToGrid w:val="0"/>
        <w:spacing w:before="0" w:after="0" w:line="312" w:lineRule="auto"/>
        <w:ind w:left="0"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暴乱</w:t>
      </w:r>
    </w:p>
    <w:p w14:paraId="65F2EF60">
      <w:pPr>
        <w:pageBreakBefore w:val="0"/>
        <w:kinsoku/>
        <w:wordWrap/>
        <w:overflowPunct/>
        <w:topLinePunct w:val="0"/>
        <w:autoSpaceDE/>
        <w:autoSpaceDN/>
        <w:bidi w:val="0"/>
        <w:adjustRightInd w:val="0"/>
        <w:snapToGrid w:val="0"/>
        <w:spacing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指破坏社会秩序的武装骚动，以政府宣布为准。</w:t>
      </w:r>
    </w:p>
    <w:p w14:paraId="4329B7F8">
      <w:pPr>
        <w:pStyle w:val="3"/>
        <w:pageBreakBefore w:val="0"/>
        <w:tabs>
          <w:tab w:val="left" w:pos="960"/>
        </w:tabs>
        <w:kinsoku/>
        <w:wordWrap/>
        <w:overflowPunct/>
        <w:topLinePunct w:val="0"/>
        <w:autoSpaceDE/>
        <w:autoSpaceDN/>
        <w:bidi w:val="0"/>
        <w:spacing w:before="0" w:after="0" w:line="312" w:lineRule="auto"/>
        <w:ind w:left="0" w:leftChars="0" w:firstLine="482" w:firstLineChars="200"/>
        <w:textAlignment w:val="auto"/>
        <w:rPr>
          <w:rStyle w:val="31"/>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酒后驾驶</w:t>
      </w:r>
    </w:p>
    <w:p w14:paraId="68C7B750">
      <w:pPr>
        <w:pStyle w:val="43"/>
        <w:pageBreakBefore w:val="0"/>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指经检测或者鉴定，发生事故时车辆驾驶人员每百毫升血液中的酒精含量达到或者超过一定的标准，公安机关交通管理部门依据《道路交通安全法》的规定认定为饮酒后驾驶或者醉酒后驾驶。</w:t>
      </w:r>
    </w:p>
    <w:p w14:paraId="17F7FA62">
      <w:pPr>
        <w:pStyle w:val="3"/>
        <w:pageBreakBefore w:val="0"/>
        <w:tabs>
          <w:tab w:val="left" w:pos="993"/>
        </w:tabs>
        <w:kinsoku/>
        <w:wordWrap/>
        <w:overflowPunct/>
        <w:topLinePunct w:val="0"/>
        <w:autoSpaceDE/>
        <w:autoSpaceDN/>
        <w:bidi w:val="0"/>
        <w:spacing w:before="0" w:after="0" w:line="312" w:lineRule="auto"/>
        <w:ind w:left="0" w:leftChars="0" w:firstLine="482" w:firstLineChars="200"/>
        <w:textAlignment w:val="auto"/>
        <w:rPr>
          <w:rStyle w:val="31"/>
          <w:rFonts w:hint="eastAsia" w:ascii="宋体" w:hAnsi="宋体" w:eastAsia="宋体" w:cs="宋体"/>
          <w:color w:val="auto"/>
          <w:sz w:val="24"/>
          <w:szCs w:val="24"/>
          <w:highlight w:val="none"/>
          <w:u w:val="none"/>
        </w:rPr>
      </w:pPr>
      <w:r>
        <w:rPr>
          <w:rStyle w:val="31"/>
          <w:rFonts w:hint="eastAsia" w:ascii="宋体" w:hAnsi="宋体" w:eastAsia="宋体" w:cs="宋体"/>
          <w:color w:val="auto"/>
          <w:sz w:val="24"/>
          <w:szCs w:val="24"/>
          <w:highlight w:val="none"/>
          <w:u w:val="none"/>
        </w:rPr>
        <w:t>4.1</w:t>
      </w:r>
      <w:r>
        <w:rPr>
          <w:rStyle w:val="31"/>
          <w:rFonts w:hint="eastAsia" w:ascii="宋体" w:hAnsi="宋体" w:eastAsia="宋体" w:cs="宋体"/>
          <w:color w:val="auto"/>
          <w:sz w:val="24"/>
          <w:szCs w:val="24"/>
          <w:highlight w:val="none"/>
          <w:u w:val="none"/>
          <w:lang w:val="en-US" w:eastAsia="zh-CN"/>
        </w:rPr>
        <w:t>1</w:t>
      </w:r>
      <w:r>
        <w:rPr>
          <w:rStyle w:val="31"/>
          <w:rFonts w:hint="eastAsia" w:ascii="宋体" w:hAnsi="宋体" w:eastAsia="宋体" w:cs="宋体"/>
          <w:color w:val="auto"/>
          <w:sz w:val="24"/>
          <w:szCs w:val="24"/>
          <w:highlight w:val="none"/>
          <w:u w:val="none"/>
        </w:rPr>
        <w:tab/>
      </w:r>
      <w:r>
        <w:rPr>
          <w:rStyle w:val="31"/>
          <w:rFonts w:hint="eastAsia" w:ascii="宋体" w:hAnsi="宋体" w:eastAsia="宋体" w:cs="宋体"/>
          <w:color w:val="auto"/>
          <w:sz w:val="24"/>
          <w:szCs w:val="24"/>
          <w:highlight w:val="none"/>
          <w:u w:val="none"/>
        </w:rPr>
        <w:t>无合法有效驾驶证驾驶</w:t>
      </w:r>
    </w:p>
    <w:p w14:paraId="668F4B3D">
      <w:pPr>
        <w:pStyle w:val="43"/>
        <w:pageBreakBefore w:val="0"/>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被保险人存在下列情形之一：</w:t>
      </w:r>
    </w:p>
    <w:p w14:paraId="6FCA9625">
      <w:pPr>
        <w:pStyle w:val="43"/>
        <w:pageBreakBefore w:val="0"/>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（1）没有取得中华人民共和国有关主管部门颁发或者认可的驾驶资格证书；</w:t>
      </w:r>
    </w:p>
    <w:p w14:paraId="7CBAEF63">
      <w:pPr>
        <w:pStyle w:val="43"/>
        <w:pageBreakBefore w:val="0"/>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（2）驾驶与驾驶证准驾车型不相符合的车辆；</w:t>
      </w:r>
    </w:p>
    <w:p w14:paraId="16D88A3C">
      <w:pPr>
        <w:pStyle w:val="43"/>
        <w:pageBreakBefore w:val="0"/>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（3）持审验不合格的驾驶证驾驶；</w:t>
      </w:r>
    </w:p>
    <w:p w14:paraId="036C5E56">
      <w:pPr>
        <w:pStyle w:val="43"/>
        <w:pageBreakBefore w:val="0"/>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（4）持学习驾驶证学习驾车时，无教练员随车指导，或不按指定时间、路线学习驾车。</w:t>
      </w:r>
    </w:p>
    <w:p w14:paraId="571794F6">
      <w:pPr>
        <w:pStyle w:val="3"/>
        <w:pageBreakBefore w:val="0"/>
        <w:tabs>
          <w:tab w:val="left" w:pos="993"/>
        </w:tabs>
        <w:kinsoku/>
        <w:wordWrap/>
        <w:overflowPunct/>
        <w:topLinePunct w:val="0"/>
        <w:autoSpaceDE/>
        <w:autoSpaceDN/>
        <w:bidi w:val="0"/>
        <w:spacing w:before="0" w:after="0" w:line="312" w:lineRule="auto"/>
        <w:ind w:left="0"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无合法有效行驶证</w:t>
      </w:r>
    </w:p>
    <w:p w14:paraId="7BDA7059">
      <w:pPr>
        <w:pStyle w:val="43"/>
        <w:pageBreakBefore w:val="0"/>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发生保险事故时被保险人驾驶的机动车无公安机关交通管理部门、农机部门等政府管理部门核发的行驶证或号牌，或行驶证不在有效期内，或该机动车未按规定检验或检验不合格。</w:t>
      </w:r>
    </w:p>
    <w:p w14:paraId="365602B8">
      <w:pPr>
        <w:pStyle w:val="3"/>
        <w:pageBreakBefore w:val="0"/>
        <w:tabs>
          <w:tab w:val="left" w:pos="945"/>
        </w:tabs>
        <w:kinsoku/>
        <w:wordWrap/>
        <w:overflowPunct/>
        <w:topLinePunct w:val="0"/>
        <w:autoSpaceDE/>
        <w:autoSpaceDN/>
        <w:bidi w:val="0"/>
        <w:spacing w:before="0" w:after="0" w:line="312" w:lineRule="auto"/>
        <w:ind w:left="0" w:leftChars="0" w:firstLine="482" w:firstLineChars="200"/>
        <w:jc w:val="left"/>
        <w:textAlignment w:val="auto"/>
        <w:rPr>
          <w:rStyle w:val="31"/>
          <w:rFonts w:hint="eastAsia" w:ascii="宋体" w:hAnsi="宋体" w:eastAsia="宋体" w:cs="宋体"/>
          <w:color w:val="auto"/>
          <w:sz w:val="24"/>
          <w:szCs w:val="24"/>
          <w:highlight w:val="none"/>
          <w:u w:val="none"/>
        </w:rPr>
      </w:pPr>
      <w:r>
        <w:rPr>
          <w:rStyle w:val="31"/>
          <w:rFonts w:hint="eastAsia" w:ascii="宋体" w:hAnsi="宋体" w:eastAsia="宋体" w:cs="宋体"/>
          <w:color w:val="auto"/>
          <w:sz w:val="24"/>
          <w:szCs w:val="24"/>
          <w:highlight w:val="none"/>
          <w:u w:val="none"/>
        </w:rPr>
        <w:t>4.1</w:t>
      </w:r>
      <w:r>
        <w:rPr>
          <w:rStyle w:val="31"/>
          <w:rFonts w:hint="eastAsia" w:ascii="宋体" w:hAnsi="宋体" w:eastAsia="宋体" w:cs="宋体"/>
          <w:color w:val="auto"/>
          <w:sz w:val="24"/>
          <w:szCs w:val="24"/>
          <w:highlight w:val="none"/>
          <w:u w:val="none"/>
          <w:lang w:val="en-US" w:eastAsia="zh-CN"/>
        </w:rPr>
        <w:t>3</w:t>
      </w:r>
      <w:r>
        <w:rPr>
          <w:rStyle w:val="31"/>
          <w:rFonts w:hint="eastAsia" w:ascii="宋体" w:hAnsi="宋体" w:eastAsia="宋体" w:cs="宋体"/>
          <w:color w:val="auto"/>
          <w:sz w:val="24"/>
          <w:szCs w:val="24"/>
          <w:highlight w:val="none"/>
          <w:u w:val="none"/>
        </w:rPr>
        <w:tab/>
      </w:r>
      <w:r>
        <w:rPr>
          <w:rStyle w:val="31"/>
          <w:rFonts w:hint="eastAsia" w:ascii="宋体" w:hAnsi="宋体" w:eastAsia="宋体" w:cs="宋体"/>
          <w:color w:val="auto"/>
          <w:sz w:val="24"/>
          <w:szCs w:val="24"/>
          <w:highlight w:val="none"/>
          <w:u w:val="none"/>
        </w:rPr>
        <w:t>高风险运动</w:t>
      </w:r>
    </w:p>
    <w:p w14:paraId="3D71239C">
      <w:pPr>
        <w:pStyle w:val="43"/>
        <w:pageBreakBefore w:val="0"/>
        <w:kinsoku/>
        <w:wordWrap/>
        <w:overflowPunct/>
        <w:topLinePunct w:val="0"/>
        <w:autoSpaceDE/>
        <w:autoSpaceDN/>
        <w:bidi w:val="0"/>
        <w:spacing w:line="312"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指运动风险等级高、极易发生人身伤害的运动，包括潜水、滑水、滑雪、滑冰、跳伞、热气球运动、滑翔机、滑翔翼、滑翔伞、动力伞、攀岩运动、探险活动、武术比赛、摔跤比赛、特技表演、赛马、赛车、驾驶卡丁车、蹦极及保险单载明的其他运动。其中：</w:t>
      </w:r>
    </w:p>
    <w:p w14:paraId="4407F58A">
      <w:pPr>
        <w:pStyle w:val="43"/>
        <w:pageBreakBefore w:val="0"/>
        <w:kinsoku/>
        <w:wordWrap/>
        <w:overflowPunct/>
        <w:topLinePunct w:val="0"/>
        <w:autoSpaceDE/>
        <w:autoSpaceDN/>
        <w:bidi w:val="0"/>
        <w:spacing w:line="312"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（1）潜水：指以辅助呼吸器材在江、河、湖、海、水库、运河等水域进行的水下运动，</w:t>
      </w:r>
      <w:r>
        <w:rPr>
          <w:rFonts w:hint="eastAsia" w:ascii="宋体" w:hAnsi="宋体" w:eastAsia="宋体" w:cs="宋体"/>
          <w:b/>
          <w:bCs/>
          <w:color w:val="auto"/>
          <w:sz w:val="24"/>
          <w:szCs w:val="24"/>
          <w:highlight w:val="none"/>
        </w:rPr>
        <w:t>但穿着救生衣在水面进行的浮潜活动除外</w:t>
      </w:r>
      <w:r>
        <w:rPr>
          <w:rFonts w:hint="eastAsia" w:ascii="宋体" w:hAnsi="宋体" w:eastAsia="宋体" w:cs="宋体"/>
          <w:color w:val="auto"/>
          <w:sz w:val="24"/>
          <w:szCs w:val="24"/>
          <w:highlight w:val="none"/>
        </w:rPr>
        <w:t>。</w:t>
      </w:r>
    </w:p>
    <w:p w14:paraId="29797E4F">
      <w:pPr>
        <w:pStyle w:val="43"/>
        <w:pageBreakBefore w:val="0"/>
        <w:kinsoku/>
        <w:wordWrap/>
        <w:overflowPunct/>
        <w:topLinePunct w:val="0"/>
        <w:autoSpaceDE/>
        <w:autoSpaceDN/>
        <w:bidi w:val="0"/>
        <w:spacing w:line="312"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（2）热气球运动：指乘坐热气球升空飞行的体育活动。</w:t>
      </w:r>
    </w:p>
    <w:p w14:paraId="48AD9C42">
      <w:pPr>
        <w:pStyle w:val="43"/>
        <w:pageBreakBefore w:val="0"/>
        <w:kinsoku/>
        <w:wordWrap/>
        <w:overflowPunct/>
        <w:topLinePunct w:val="0"/>
        <w:autoSpaceDE/>
        <w:autoSpaceDN/>
        <w:bidi w:val="0"/>
        <w:spacing w:line="312"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（3）攀岩运动：指以攀登悬崖、楼宇外墙、人造悬崖、冰崖、冰山等运动。</w:t>
      </w:r>
    </w:p>
    <w:p w14:paraId="22C42E73">
      <w:pPr>
        <w:pStyle w:val="43"/>
        <w:pageBreakBefore w:val="0"/>
        <w:kinsoku/>
        <w:wordWrap/>
        <w:overflowPunct/>
        <w:topLinePunct w:val="0"/>
        <w:autoSpaceDE/>
        <w:autoSpaceDN/>
        <w:bidi w:val="0"/>
        <w:spacing w:line="312"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（4）探险活动：指明知在某种特定的自然条件下有失去生命或使身体受到伤害的危险，而故意使自己置身其中的行为。如江河漂流、非固定路线徒步、徒步穿越沙漠或人迹罕至的原始森林等活动。</w:t>
      </w:r>
    </w:p>
    <w:p w14:paraId="4CE75E6F">
      <w:pPr>
        <w:pStyle w:val="43"/>
        <w:pageBreakBefore w:val="0"/>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（5）武术比赛：指两人或两人以上对抗性柔道、空手道、跆拳道、散打、拳击等各种拳术及各种使用器械的对抗性比赛。</w:t>
      </w:r>
    </w:p>
    <w:p w14:paraId="682DF953">
      <w:pPr>
        <w:pStyle w:val="43"/>
        <w:pageBreakBefore w:val="0"/>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（6）特技：指从事马术、杂技、驯兽等特殊技能。</w:t>
      </w:r>
    </w:p>
    <w:p w14:paraId="0EDA6542">
      <w:pPr>
        <w:keepNext/>
        <w:keepLines/>
        <w:pageBreakBefore w:val="0"/>
        <w:tabs>
          <w:tab w:val="left" w:pos="945"/>
          <w:tab w:val="left" w:pos="993"/>
        </w:tabs>
        <w:kinsoku/>
        <w:wordWrap/>
        <w:overflowPunct/>
        <w:topLinePunct w:val="0"/>
        <w:autoSpaceDE/>
        <w:autoSpaceDN/>
        <w:bidi w:val="0"/>
        <w:snapToGrid w:val="0"/>
        <w:spacing w:line="312" w:lineRule="auto"/>
        <w:ind w:left="0" w:leftChars="0" w:firstLine="482" w:firstLineChars="200"/>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4.1</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t>挂床住院</w:t>
      </w:r>
    </w:p>
    <w:p w14:paraId="0113E077">
      <w:pPr>
        <w:pageBreakBefore w:val="0"/>
        <w:kinsoku/>
        <w:wordWrap/>
        <w:overflowPunct/>
        <w:topLinePunct w:val="0"/>
        <w:autoSpaceDE/>
        <w:autoSpaceDN/>
        <w:bidi w:val="0"/>
        <w:adjustRightInd w:val="0"/>
        <w:snapToGrid w:val="0"/>
        <w:spacing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指办理正式住院手续的被保险人，在住院期间每日非24小时在床、在院，包括在住院期间连续若干日无任何治疗，只发生护理费、诊疗费、床位费的情况。</w:t>
      </w:r>
    </w:p>
    <w:p w14:paraId="28B7E265">
      <w:pPr>
        <w:keepNext/>
        <w:keepLines/>
        <w:pageBreakBefore w:val="0"/>
        <w:tabs>
          <w:tab w:val="left" w:pos="945"/>
        </w:tabs>
        <w:kinsoku/>
        <w:wordWrap/>
        <w:overflowPunct/>
        <w:topLinePunct w:val="0"/>
        <w:autoSpaceDE/>
        <w:autoSpaceDN/>
        <w:bidi w:val="0"/>
        <w:spacing w:line="312" w:lineRule="auto"/>
        <w:ind w:left="0" w:leftChars="0" w:firstLine="482" w:firstLineChars="200"/>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HYPERLINK  \l "_5_保险金申请"</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4.1</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t>保险金申请人</w:t>
      </w:r>
    </w:p>
    <w:p w14:paraId="066F7BD3">
      <w:pPr>
        <w:pStyle w:val="43"/>
        <w:pageBreakBefore w:val="0"/>
        <w:kinsoku/>
        <w:wordWrap/>
        <w:overflowPunct/>
        <w:topLinePunct w:val="0"/>
        <w:autoSpaceDE/>
        <w:autoSpaceDN/>
        <w:bidi w:val="0"/>
        <w:spacing w:line="312" w:lineRule="auto"/>
        <w:ind w:left="0" w:leftChars="0" w:firstLine="480" w:firstLineChars="200"/>
        <w:textAlignment w:val="auto"/>
        <w:rPr>
          <w:rStyle w:val="31"/>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除另有约定外，</w:t>
      </w:r>
      <w:r>
        <w:rPr>
          <w:rStyle w:val="31"/>
          <w:rFonts w:hint="eastAsia" w:ascii="宋体" w:hAnsi="宋体" w:eastAsia="宋体" w:cs="宋体"/>
          <w:color w:val="auto"/>
          <w:sz w:val="24"/>
          <w:szCs w:val="24"/>
          <w:highlight w:val="none"/>
          <w:u w:val="none"/>
        </w:rPr>
        <w:t>本附加险合同的保险金申请人是指被保险人本人。</w:t>
      </w:r>
    </w:p>
    <w:p w14:paraId="0C812B7F">
      <w:pPr>
        <w:pStyle w:val="43"/>
        <w:pageBreakBefore w:val="0"/>
        <w:kinsoku/>
        <w:wordWrap/>
        <w:overflowPunct/>
        <w:topLinePunct w:val="0"/>
        <w:autoSpaceDE/>
        <w:autoSpaceDN/>
        <w:bidi w:val="0"/>
        <w:spacing w:line="312" w:lineRule="auto"/>
        <w:ind w:left="0" w:leftChars="0" w:firstLine="480" w:firstLineChars="200"/>
        <w:textAlignment w:val="auto"/>
        <w:rPr>
          <w:rStyle w:val="31"/>
          <w:rFonts w:hint="eastAsia" w:ascii="宋体" w:hAnsi="宋体" w:eastAsia="宋体" w:cs="宋体"/>
          <w:color w:val="auto"/>
          <w:sz w:val="24"/>
          <w:szCs w:val="24"/>
          <w:highlight w:val="none"/>
          <w:u w:val="none"/>
        </w:rPr>
      </w:pPr>
    </w:p>
    <w:p w14:paraId="373846D3">
      <w:pPr>
        <w:pStyle w:val="43"/>
        <w:pageBreakBefore w:val="0"/>
        <w:kinsoku/>
        <w:wordWrap/>
        <w:overflowPunct/>
        <w:topLinePunct w:val="0"/>
        <w:autoSpaceDE/>
        <w:autoSpaceDN/>
        <w:bidi w:val="0"/>
        <w:spacing w:line="312" w:lineRule="auto"/>
        <w:ind w:left="0" w:leftChars="0" w:firstLine="480" w:firstLineChars="200"/>
        <w:textAlignment w:val="auto"/>
        <w:rPr>
          <w:rStyle w:val="31"/>
          <w:rFonts w:hint="eastAsia" w:ascii="宋体" w:hAnsi="宋体" w:eastAsia="宋体" w:cs="宋体"/>
          <w:color w:val="auto"/>
          <w:sz w:val="24"/>
          <w:szCs w:val="24"/>
          <w:highlight w:val="none"/>
          <w:u w:val="none"/>
        </w:rPr>
      </w:pPr>
    </w:p>
    <w:p w14:paraId="3E63AE62">
      <w:pPr>
        <w:pStyle w:val="43"/>
        <w:pageBreakBefore w:val="0"/>
        <w:kinsoku/>
        <w:wordWrap/>
        <w:overflowPunct/>
        <w:topLinePunct w:val="0"/>
        <w:autoSpaceDE/>
        <w:autoSpaceDN/>
        <w:bidi w:val="0"/>
        <w:spacing w:line="312" w:lineRule="auto"/>
        <w:ind w:left="0" w:leftChars="0" w:firstLine="480" w:firstLineChars="200"/>
        <w:textAlignment w:val="auto"/>
        <w:rPr>
          <w:rStyle w:val="31"/>
          <w:rFonts w:hint="eastAsia" w:ascii="宋体" w:hAnsi="宋体" w:eastAsia="宋体" w:cs="宋体"/>
          <w:color w:val="auto"/>
          <w:sz w:val="24"/>
          <w:szCs w:val="24"/>
          <w:highlight w:val="none"/>
          <w:u w:val="none"/>
        </w:rPr>
      </w:pPr>
    </w:p>
    <w:p w14:paraId="55B45BB1">
      <w:pPr>
        <w:pStyle w:val="2"/>
        <w:tabs>
          <w:tab w:val="left" w:pos="945"/>
        </w:tabs>
        <w:spacing w:line="400" w:lineRule="exact"/>
        <w:jc w:val="center"/>
        <w:rPr>
          <w:color w:val="auto"/>
          <w:sz w:val="28"/>
          <w:szCs w:val="28"/>
          <w:highlight w:val="none"/>
        </w:rPr>
      </w:pPr>
      <w:r>
        <w:rPr>
          <w:rFonts w:hint="eastAsia"/>
          <w:color w:val="auto"/>
          <w:sz w:val="28"/>
          <w:szCs w:val="28"/>
          <w:highlight w:val="none"/>
        </w:rPr>
        <w:t>附加意外伤害住院津贴保险</w:t>
      </w:r>
      <w:r>
        <w:rPr>
          <w:rFonts w:hint="eastAsia"/>
          <w:color w:val="auto"/>
          <w:sz w:val="28"/>
          <w:szCs w:val="28"/>
          <w:highlight w:val="none"/>
          <w:lang w:val="en-US" w:eastAsia="zh-CN"/>
        </w:rPr>
        <w:t>(2022版)</w:t>
      </w:r>
      <w:r>
        <w:rPr>
          <w:rFonts w:hint="eastAsia"/>
          <w:color w:val="auto"/>
          <w:sz w:val="28"/>
          <w:szCs w:val="28"/>
          <w:highlight w:val="none"/>
        </w:rPr>
        <w:t>条款</w:t>
      </w:r>
    </w:p>
    <w:p w14:paraId="34A700E1">
      <w:pPr>
        <w:pStyle w:val="2"/>
        <w:tabs>
          <w:tab w:val="left" w:pos="945"/>
        </w:tabs>
        <w:spacing w:line="400" w:lineRule="exact"/>
        <w:jc w:val="center"/>
        <w:rPr>
          <w:color w:val="auto"/>
          <w:sz w:val="28"/>
          <w:szCs w:val="28"/>
          <w:highlight w:val="none"/>
        </w:rPr>
      </w:pPr>
    </w:p>
    <w:p w14:paraId="06B60F85">
      <w:pPr>
        <w:pStyle w:val="2"/>
        <w:pageBreakBefore w:val="0"/>
        <w:widowControl w:val="0"/>
        <w:tabs>
          <w:tab w:val="left" w:pos="945"/>
        </w:tabs>
        <w:kinsoku/>
        <w:wordWrap/>
        <w:overflowPunct/>
        <w:topLinePunct w:val="0"/>
        <w:autoSpaceDE/>
        <w:autoSpaceDN/>
        <w:bidi w:val="0"/>
        <w:spacing w:before="0" w:after="0" w:line="312"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总则</w:t>
      </w:r>
    </w:p>
    <w:p w14:paraId="72132B3F">
      <w:pPr>
        <w:pStyle w:val="3"/>
        <w:pageBreakBefore w:val="0"/>
        <w:widowControl w:val="0"/>
        <w:tabs>
          <w:tab w:val="left" w:pos="945"/>
        </w:tabs>
        <w:kinsoku/>
        <w:wordWrap/>
        <w:overflowPunct/>
        <w:topLinePunct w:val="0"/>
        <w:autoSpaceDE/>
        <w:autoSpaceDN/>
        <w:bidi w:val="0"/>
        <w:spacing w:before="0" w:after="0" w:line="312" w:lineRule="auto"/>
        <w:ind w:left="0" w:leftChars="0" w:right="0" w:righ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投保附加险的条件</w:t>
      </w:r>
    </w:p>
    <w:p w14:paraId="23EA51C6">
      <w:pPr>
        <w:pStyle w:val="43"/>
        <w:pageBreakBefore w:val="0"/>
        <w:widowControl w:val="0"/>
        <w:kinsoku/>
        <w:wordWrap/>
        <w:overflowPunct/>
        <w:topLinePunct w:val="0"/>
        <w:autoSpaceDE/>
        <w:autoSpaceDN/>
        <w:bidi w:val="0"/>
        <w:spacing w:line="312"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本条款为本保险单约定的意外健康险类</w:t>
      </w:r>
      <w:r>
        <w:rPr>
          <w:rFonts w:hint="eastAsia" w:ascii="宋体" w:hAnsi="宋体" w:eastAsia="宋体" w:cs="宋体"/>
          <w:color w:val="auto"/>
          <w:sz w:val="24"/>
          <w:szCs w:val="24"/>
          <w:highlight w:val="none"/>
          <w:lang w:val="en-US" w:eastAsia="zh-CN"/>
        </w:rPr>
        <w:t>保险</w:t>
      </w:r>
      <w:r>
        <w:rPr>
          <w:rFonts w:hint="eastAsia" w:ascii="宋体" w:hAnsi="宋体" w:eastAsia="宋体" w:cs="宋体"/>
          <w:color w:val="auto"/>
          <w:sz w:val="24"/>
          <w:szCs w:val="24"/>
          <w:highlight w:val="none"/>
        </w:rPr>
        <w:t>的附加险条款。只有在投保了主险的基础上，方可投保本附加险。</w:t>
      </w:r>
    </w:p>
    <w:p w14:paraId="79B07D0B">
      <w:pPr>
        <w:pStyle w:val="3"/>
        <w:pageBreakBefore w:val="0"/>
        <w:widowControl w:val="0"/>
        <w:tabs>
          <w:tab w:val="left" w:pos="945"/>
        </w:tabs>
        <w:kinsoku/>
        <w:wordWrap/>
        <w:overflowPunct/>
        <w:topLinePunct w:val="0"/>
        <w:autoSpaceDE/>
        <w:autoSpaceDN/>
        <w:bidi w:val="0"/>
        <w:spacing w:before="0" w:after="0" w:line="312" w:lineRule="auto"/>
        <w:ind w:left="0" w:leftChars="0" w:right="0" w:righ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主险与附加险关系</w:t>
      </w:r>
    </w:p>
    <w:p w14:paraId="13E6BA0D">
      <w:pPr>
        <w:pStyle w:val="43"/>
        <w:pageBreakBefore w:val="0"/>
        <w:widowControl w:val="0"/>
        <w:kinsoku/>
        <w:wordWrap/>
        <w:overflowPunct/>
        <w:topLinePunct w:val="0"/>
        <w:autoSpaceDE/>
        <w:autoSpaceDN/>
        <w:bidi w:val="0"/>
        <w:spacing w:line="312"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凡涉及本附加险合同的约定，均应采用书面形式。主险合同与本附加险合同相抵触之处，以本附加险合同为准；本附加险合同未约定事项，以主险合同为准。主险合同无效，本附加险合同亦无效。</w:t>
      </w:r>
    </w:p>
    <w:p w14:paraId="0030A7AD">
      <w:pPr>
        <w:pStyle w:val="3"/>
        <w:pageBreakBefore w:val="0"/>
        <w:widowControl w:val="0"/>
        <w:tabs>
          <w:tab w:val="left" w:pos="945"/>
        </w:tabs>
        <w:kinsoku/>
        <w:wordWrap/>
        <w:overflowPunct/>
        <w:topLinePunct w:val="0"/>
        <w:autoSpaceDE/>
        <w:autoSpaceDN/>
        <w:bidi w:val="0"/>
        <w:spacing w:before="0" w:after="0" w:line="312" w:lineRule="auto"/>
        <w:ind w:left="0" w:leftChars="0" w:right="0" w:righ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受益人</w:t>
      </w:r>
    </w:p>
    <w:p w14:paraId="629862B0">
      <w:pPr>
        <w:pStyle w:val="43"/>
        <w:pageBreakBefore w:val="0"/>
        <w:widowControl w:val="0"/>
        <w:kinsoku/>
        <w:wordWrap/>
        <w:overflowPunct/>
        <w:topLinePunct w:val="0"/>
        <w:autoSpaceDE/>
        <w:autoSpaceDN/>
        <w:bidi w:val="0"/>
        <w:spacing w:line="312"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除另有约定外，本附加险合同保险金的受益人为被保险人本人。</w:t>
      </w:r>
    </w:p>
    <w:p w14:paraId="429C254B">
      <w:pPr>
        <w:pStyle w:val="2"/>
        <w:pageBreakBefore w:val="0"/>
        <w:widowControl w:val="0"/>
        <w:tabs>
          <w:tab w:val="left" w:pos="945"/>
        </w:tabs>
        <w:kinsoku/>
        <w:wordWrap/>
        <w:overflowPunct/>
        <w:topLinePunct w:val="0"/>
        <w:autoSpaceDE/>
        <w:autoSpaceDN/>
        <w:bidi w:val="0"/>
        <w:spacing w:before="0" w:after="0" w:line="312"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保障内容</w:t>
      </w:r>
    </w:p>
    <w:p w14:paraId="7FBEAA88">
      <w:pPr>
        <w:pStyle w:val="3"/>
        <w:pageBreakBefore w:val="0"/>
        <w:widowControl w:val="0"/>
        <w:tabs>
          <w:tab w:val="left" w:pos="945"/>
        </w:tabs>
        <w:kinsoku/>
        <w:wordWrap/>
        <w:overflowPunct/>
        <w:topLinePunct w:val="0"/>
        <w:autoSpaceDE/>
        <w:autoSpaceDN/>
        <w:bidi w:val="0"/>
        <w:spacing w:before="0" w:after="0" w:line="312" w:lineRule="auto"/>
        <w:ind w:left="0" w:leftChars="0" w:right="0" w:righ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保险责任</w:t>
      </w:r>
    </w:p>
    <w:p w14:paraId="3C5E7CFB">
      <w:pPr>
        <w:pStyle w:val="43"/>
        <w:pageBreakBefore w:val="0"/>
        <w:widowControl w:val="0"/>
        <w:kinsoku/>
        <w:wordWrap/>
        <w:overflowPunct/>
        <w:topLinePunct w:val="0"/>
        <w:autoSpaceDE/>
        <w:autoSpaceDN/>
        <w:bidi w:val="0"/>
        <w:spacing w:line="312" w:lineRule="auto"/>
        <w:ind w:left="0" w:leftChars="0" w:right="0" w:rightChars="0"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在保险期间内，被保险人遭受</w:t>
      </w:r>
      <w:r>
        <w:rPr>
          <w:rFonts w:hint="eastAsia" w:ascii="宋体" w:hAnsi="宋体" w:eastAsia="宋体" w:cs="宋体"/>
          <w:b/>
          <w:color w:val="auto"/>
          <w:sz w:val="24"/>
          <w:szCs w:val="24"/>
          <w:highlight w:val="none"/>
        </w:rPr>
        <w:t>意外伤害（见释义）</w:t>
      </w:r>
      <w:r>
        <w:rPr>
          <w:rFonts w:hint="eastAsia" w:ascii="宋体" w:hAnsi="宋体" w:eastAsia="宋体" w:cs="宋体"/>
          <w:color w:val="auto"/>
          <w:sz w:val="24"/>
          <w:szCs w:val="24"/>
          <w:highlight w:val="none"/>
        </w:rPr>
        <w:t>并因该意外伤害在保险期间内在</w:t>
      </w:r>
      <w:r>
        <w:rPr>
          <w:rFonts w:hint="eastAsia" w:ascii="宋体" w:hAnsi="宋体" w:eastAsia="宋体" w:cs="宋体"/>
          <w:b/>
          <w:color w:val="auto"/>
          <w:sz w:val="24"/>
          <w:szCs w:val="24"/>
          <w:highlight w:val="none"/>
        </w:rPr>
        <w:t>指定医疗机构（见释义）</w:t>
      </w:r>
      <w:r>
        <w:rPr>
          <w:rFonts w:hint="eastAsia" w:ascii="宋体" w:hAnsi="宋体" w:eastAsia="宋体" w:cs="宋体"/>
          <w:color w:val="auto"/>
          <w:sz w:val="24"/>
          <w:szCs w:val="24"/>
          <w:highlight w:val="none"/>
        </w:rPr>
        <w:t>接受</w:t>
      </w:r>
      <w:r>
        <w:rPr>
          <w:rFonts w:hint="eastAsia" w:ascii="宋体" w:hAnsi="宋体" w:eastAsia="宋体" w:cs="宋体"/>
          <w:b/>
          <w:color w:val="auto"/>
          <w:sz w:val="24"/>
          <w:szCs w:val="24"/>
          <w:highlight w:val="none"/>
        </w:rPr>
        <w:t>住院（见释义）</w:t>
      </w:r>
      <w:r>
        <w:rPr>
          <w:rFonts w:hint="eastAsia" w:ascii="宋体" w:hAnsi="宋体" w:eastAsia="宋体" w:cs="宋体"/>
          <w:color w:val="auto"/>
          <w:sz w:val="24"/>
          <w:szCs w:val="24"/>
          <w:highlight w:val="none"/>
        </w:rPr>
        <w:t>治疗，对于该被保险人的</w:t>
      </w:r>
      <w:r>
        <w:rPr>
          <w:rFonts w:hint="eastAsia" w:ascii="宋体" w:hAnsi="宋体" w:eastAsia="宋体" w:cs="宋体"/>
          <w:b/>
          <w:color w:val="auto"/>
          <w:sz w:val="24"/>
          <w:szCs w:val="24"/>
          <w:highlight w:val="none"/>
        </w:rPr>
        <w:t>实际住院日数（见释义）</w:t>
      </w:r>
      <w:r>
        <w:rPr>
          <w:rFonts w:hint="eastAsia" w:ascii="宋体" w:hAnsi="宋体" w:eastAsia="宋体" w:cs="宋体"/>
          <w:color w:val="auto"/>
          <w:sz w:val="24"/>
          <w:szCs w:val="24"/>
          <w:highlight w:val="none"/>
        </w:rPr>
        <w:t>，保险人按照《意外伤害住院津贴给付表》的约定给付意外伤害住院津贴保险金。</w:t>
      </w:r>
    </w:p>
    <w:p w14:paraId="021719E8">
      <w:pPr>
        <w:pageBreakBefore w:val="0"/>
        <w:widowControl w:val="0"/>
        <w:kinsoku/>
        <w:wordWrap/>
        <w:overflowPunct/>
        <w:topLinePunct w:val="0"/>
        <w:autoSpaceDE/>
        <w:autoSpaceDN/>
        <w:bidi w:val="0"/>
        <w:spacing w:line="312" w:lineRule="auto"/>
        <w:ind w:left="0" w:leftChars="0" w:right="0" w:righ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意外伤害住院津贴给付表</w:t>
      </w:r>
    </w:p>
    <w:tbl>
      <w:tblPr>
        <w:tblStyle w:val="27"/>
        <w:tblW w:w="7370" w:type="dxa"/>
        <w:tblInd w:w="9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5102"/>
      </w:tblGrid>
      <w:tr w14:paraId="007E4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2268" w:type="dxa"/>
            <w:tcBorders>
              <w:top w:val="single" w:color="auto" w:sz="12" w:space="0"/>
              <w:left w:val="single" w:color="auto" w:sz="12" w:space="0"/>
            </w:tcBorders>
            <w:noWrap w:val="0"/>
            <w:vAlign w:val="center"/>
          </w:tcPr>
          <w:p w14:paraId="43801EC0">
            <w:pPr>
              <w:keepNext w:val="0"/>
              <w:keepLines w:val="0"/>
              <w:pageBreakBefore w:val="0"/>
              <w:widowControl w:val="0"/>
              <w:kinsoku/>
              <w:wordWrap/>
              <w:overflowPunct/>
              <w:topLinePunct w:val="0"/>
              <w:autoSpaceDE/>
              <w:autoSpaceDN/>
              <w:bidi w:val="0"/>
              <w:spacing w:line="312" w:lineRule="auto"/>
              <w:ind w:left="0" w:leftChars="0" w:right="0" w:rightChars="0"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情形</w:t>
            </w:r>
          </w:p>
        </w:tc>
        <w:tc>
          <w:tcPr>
            <w:tcW w:w="5102" w:type="dxa"/>
            <w:tcBorders>
              <w:top w:val="single" w:color="auto" w:sz="12" w:space="0"/>
              <w:right w:val="single" w:color="auto" w:sz="12" w:space="0"/>
            </w:tcBorders>
            <w:noWrap w:val="0"/>
            <w:vAlign w:val="center"/>
          </w:tcPr>
          <w:p w14:paraId="599CF05D">
            <w:pPr>
              <w:keepNext w:val="0"/>
              <w:keepLines w:val="0"/>
              <w:pageBreakBefore w:val="0"/>
              <w:widowControl w:val="0"/>
              <w:kinsoku/>
              <w:wordWrap/>
              <w:overflowPunct/>
              <w:topLinePunct w:val="0"/>
              <w:autoSpaceDE/>
              <w:autoSpaceDN/>
              <w:bidi w:val="0"/>
              <w:spacing w:line="312" w:lineRule="auto"/>
              <w:ind w:left="0" w:leftChars="0" w:right="0" w:rightChars="0"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每次意外伤害住院津贴保险金</w:t>
            </w:r>
          </w:p>
        </w:tc>
      </w:tr>
      <w:tr w14:paraId="07AAE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68" w:type="dxa"/>
            <w:tcBorders>
              <w:left w:val="single" w:color="auto" w:sz="12" w:space="0"/>
            </w:tcBorders>
            <w:noWrap w:val="0"/>
            <w:vAlign w:val="center"/>
          </w:tcPr>
          <w:p w14:paraId="40E9FE7D">
            <w:pPr>
              <w:keepNext w:val="0"/>
              <w:keepLines w:val="0"/>
              <w:pageBreakBefore w:val="0"/>
              <w:widowControl w:val="0"/>
              <w:kinsoku/>
              <w:wordWrap/>
              <w:overflowPunct/>
              <w:topLinePunct w:val="0"/>
              <w:autoSpaceDE/>
              <w:autoSpaceDN/>
              <w:bidi w:val="0"/>
              <w:spacing w:line="312" w:lineRule="auto"/>
              <w:ind w:left="0" w:leftChars="0" w:right="0" w:rightChars="0"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实际住院日数≤</w:t>
            </w:r>
          </w:p>
          <w:p w14:paraId="62C60B16">
            <w:pPr>
              <w:keepNext w:val="0"/>
              <w:keepLines w:val="0"/>
              <w:pageBreakBefore w:val="0"/>
              <w:widowControl w:val="0"/>
              <w:kinsoku/>
              <w:wordWrap/>
              <w:overflowPunct/>
              <w:topLinePunct w:val="0"/>
              <w:autoSpaceDE/>
              <w:autoSpaceDN/>
              <w:bidi w:val="0"/>
              <w:spacing w:line="312" w:lineRule="auto"/>
              <w:ind w:left="0" w:leftChars="0" w:right="0" w:rightChars="0"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意外伤害住院免赔日数</w:t>
            </w:r>
          </w:p>
        </w:tc>
        <w:tc>
          <w:tcPr>
            <w:tcW w:w="5102" w:type="dxa"/>
            <w:tcBorders>
              <w:right w:val="single" w:color="auto" w:sz="12" w:space="0"/>
            </w:tcBorders>
            <w:noWrap w:val="0"/>
            <w:vAlign w:val="center"/>
          </w:tcPr>
          <w:p w14:paraId="6EBBD442">
            <w:pPr>
              <w:keepNext w:val="0"/>
              <w:keepLines w:val="0"/>
              <w:pageBreakBefore w:val="0"/>
              <w:widowControl w:val="0"/>
              <w:kinsoku/>
              <w:wordWrap/>
              <w:overflowPunct/>
              <w:topLinePunct w:val="0"/>
              <w:autoSpaceDE/>
              <w:autoSpaceDN/>
              <w:bidi w:val="0"/>
              <w:spacing w:line="312"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tc>
      </w:tr>
      <w:tr w14:paraId="2CF6D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2268" w:type="dxa"/>
            <w:tcBorders>
              <w:left w:val="single" w:color="auto" w:sz="12" w:space="0"/>
              <w:bottom w:val="single" w:color="auto" w:sz="12" w:space="0"/>
            </w:tcBorders>
            <w:noWrap w:val="0"/>
            <w:vAlign w:val="center"/>
          </w:tcPr>
          <w:p w14:paraId="1D62E832">
            <w:pPr>
              <w:keepNext w:val="0"/>
              <w:keepLines w:val="0"/>
              <w:pageBreakBefore w:val="0"/>
              <w:widowControl w:val="0"/>
              <w:kinsoku/>
              <w:wordWrap/>
              <w:overflowPunct/>
              <w:topLinePunct w:val="0"/>
              <w:autoSpaceDE/>
              <w:autoSpaceDN/>
              <w:bidi w:val="0"/>
              <w:spacing w:line="312" w:lineRule="auto"/>
              <w:ind w:left="0" w:leftChars="0" w:right="0" w:rightChars="0"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实际住院日数＞</w:t>
            </w:r>
          </w:p>
          <w:p w14:paraId="71047593">
            <w:pPr>
              <w:keepNext w:val="0"/>
              <w:keepLines w:val="0"/>
              <w:pageBreakBefore w:val="0"/>
              <w:widowControl w:val="0"/>
              <w:kinsoku/>
              <w:wordWrap/>
              <w:overflowPunct/>
              <w:topLinePunct w:val="0"/>
              <w:autoSpaceDE/>
              <w:autoSpaceDN/>
              <w:bidi w:val="0"/>
              <w:spacing w:line="312" w:lineRule="auto"/>
              <w:ind w:left="0" w:leftChars="0" w:right="0" w:rightChars="0"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意外伤害住院免赔日数</w:t>
            </w:r>
          </w:p>
        </w:tc>
        <w:tc>
          <w:tcPr>
            <w:tcW w:w="5102" w:type="dxa"/>
            <w:tcBorders>
              <w:bottom w:val="single" w:color="auto" w:sz="12" w:space="0"/>
              <w:right w:val="single" w:color="auto" w:sz="12" w:space="0"/>
            </w:tcBorders>
            <w:noWrap w:val="0"/>
            <w:vAlign w:val="center"/>
          </w:tcPr>
          <w:p w14:paraId="647228B9">
            <w:pPr>
              <w:pStyle w:val="43"/>
              <w:keepNext w:val="0"/>
              <w:keepLines w:val="0"/>
              <w:pageBreakBefore w:val="0"/>
              <w:widowControl w:val="0"/>
              <w:kinsoku/>
              <w:wordWrap/>
              <w:overflowPunct/>
              <w:topLinePunct w:val="0"/>
              <w:autoSpaceDE/>
              <w:autoSpaceDN/>
              <w:bidi w:val="0"/>
              <w:spacing w:line="312" w:lineRule="auto"/>
              <w:ind w:left="0" w:leftChars="0" w:right="0" w:rightChars="0" w:firstLine="0" w:firstLine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如（实际住院日数-意外伤害住院免赔日数）＜每次意外伤害住院最高给付日数，则：</w:t>
            </w:r>
          </w:p>
          <w:p w14:paraId="521EF9DB">
            <w:pPr>
              <w:pStyle w:val="43"/>
              <w:keepNext w:val="0"/>
              <w:keepLines w:val="0"/>
              <w:pageBreakBefore w:val="0"/>
              <w:widowControl w:val="0"/>
              <w:kinsoku/>
              <w:wordWrap/>
              <w:overflowPunct/>
              <w:topLinePunct w:val="0"/>
              <w:autoSpaceDE/>
              <w:autoSpaceDN/>
              <w:bidi w:val="0"/>
              <w:spacing w:line="312" w:lineRule="auto"/>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每次意外伤害住院津贴保险金=每日意外伤害住院津贴金额×（实际住院日数-</w:t>
            </w:r>
            <w:r>
              <w:rPr>
                <w:rFonts w:hint="eastAsia" w:ascii="宋体" w:hAnsi="宋体" w:eastAsia="宋体" w:cs="宋体"/>
                <w:b/>
                <w:bCs/>
                <w:color w:val="auto"/>
                <w:sz w:val="24"/>
                <w:szCs w:val="24"/>
                <w:highlight w:val="none"/>
              </w:rPr>
              <w:t>意外伤害住院免赔日数</w:t>
            </w:r>
            <w:r>
              <w:rPr>
                <w:rFonts w:hint="eastAsia" w:ascii="宋体" w:hAnsi="宋体" w:eastAsia="宋体" w:cs="宋体"/>
                <w:color w:val="auto"/>
                <w:sz w:val="24"/>
                <w:szCs w:val="24"/>
                <w:highlight w:val="none"/>
              </w:rPr>
              <w:t>）</w:t>
            </w:r>
          </w:p>
          <w:p w14:paraId="01EE67DC">
            <w:pPr>
              <w:pStyle w:val="43"/>
              <w:keepNext w:val="0"/>
              <w:keepLines w:val="0"/>
              <w:pageBreakBefore w:val="0"/>
              <w:widowControl w:val="0"/>
              <w:kinsoku/>
              <w:wordWrap/>
              <w:overflowPunct/>
              <w:topLinePunct w:val="0"/>
              <w:autoSpaceDE/>
              <w:autoSpaceDN/>
              <w:bidi w:val="0"/>
              <w:spacing w:line="312" w:lineRule="auto"/>
              <w:ind w:left="0" w:leftChars="0" w:right="0" w:rightChars="0" w:firstLine="0" w:firstLine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如（实际住院日数-意外伤害住院免赔日数）≥每次意外伤害住院最高给付日数，则：</w:t>
            </w:r>
          </w:p>
          <w:p w14:paraId="1FFB4FFF">
            <w:pPr>
              <w:pStyle w:val="43"/>
              <w:keepNext w:val="0"/>
              <w:keepLines w:val="0"/>
              <w:pageBreakBefore w:val="0"/>
              <w:widowControl w:val="0"/>
              <w:kinsoku/>
              <w:wordWrap/>
              <w:overflowPunct/>
              <w:topLinePunct w:val="0"/>
              <w:autoSpaceDE/>
              <w:autoSpaceDN/>
              <w:bidi w:val="0"/>
              <w:spacing w:line="312" w:lineRule="auto"/>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每次意外伤害住院津贴保险金=每日意外伤害住院津贴金额×每次意外伤害最高给付日数</w:t>
            </w:r>
          </w:p>
        </w:tc>
      </w:tr>
    </w:tbl>
    <w:p w14:paraId="0EE0B0B4">
      <w:pPr>
        <w:pStyle w:val="43"/>
        <w:pageBreakBefore w:val="0"/>
        <w:widowControl w:val="0"/>
        <w:kinsoku/>
        <w:wordWrap/>
        <w:overflowPunct/>
        <w:topLinePunct w:val="0"/>
        <w:autoSpaceDE/>
        <w:autoSpaceDN/>
        <w:bidi w:val="0"/>
        <w:spacing w:line="312" w:lineRule="auto"/>
        <w:ind w:left="0" w:leftChars="0" w:right="0" w:righ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每日意外伤害住院津贴金额、意外伤害住院免赔日数、每次意外伤害住院给付最高日数以保险合同载明为准；若未载明的，意外伤害住院免赔日数视为0日、每次意外伤害住院给付最高日数视为180日。</w:t>
      </w:r>
    </w:p>
    <w:p w14:paraId="35AC131A">
      <w:pPr>
        <w:pStyle w:val="43"/>
        <w:pageBreakBefore w:val="0"/>
        <w:widowControl w:val="0"/>
        <w:kinsoku/>
        <w:wordWrap/>
        <w:overflowPunct/>
        <w:topLinePunct w:val="0"/>
        <w:autoSpaceDE/>
        <w:autoSpaceDN/>
        <w:bidi w:val="0"/>
        <w:spacing w:line="312" w:lineRule="auto"/>
        <w:ind w:left="0" w:leftChars="0" w:right="0" w:righ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除另有约定外，本附加险合同项下，保险人在保险期间内累计承担的意外伤害住院津贴的给付日数（即意外伤害住院总给付日数）不超过180日（含180日）。</w:t>
      </w:r>
    </w:p>
    <w:p w14:paraId="5E5A767E">
      <w:pPr>
        <w:pStyle w:val="43"/>
        <w:pageBreakBefore w:val="0"/>
        <w:widowControl w:val="0"/>
        <w:kinsoku/>
        <w:wordWrap/>
        <w:overflowPunct/>
        <w:topLinePunct w:val="0"/>
        <w:autoSpaceDE/>
        <w:autoSpaceDN/>
        <w:bidi w:val="0"/>
        <w:spacing w:line="312" w:lineRule="auto"/>
        <w:ind w:left="0" w:leftChars="0" w:right="0" w:righ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若被保险人因同一原因多次住院，前次出院与后次住院日期间隔未达90日的，则视为同一次住院。</w:t>
      </w:r>
    </w:p>
    <w:p w14:paraId="14527047">
      <w:pPr>
        <w:pStyle w:val="43"/>
        <w:pageBreakBefore w:val="0"/>
        <w:widowControl w:val="0"/>
        <w:kinsoku/>
        <w:wordWrap/>
        <w:overflowPunct/>
        <w:topLinePunct w:val="0"/>
        <w:autoSpaceDE/>
        <w:autoSpaceDN/>
        <w:bidi w:val="0"/>
        <w:spacing w:line="312" w:lineRule="auto"/>
        <w:ind w:left="0" w:leftChars="0" w:right="0" w:righ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保险期间届满被保险人住院治疗仍未结束的，保险人所负保险责任期限可按下列约定延长：保险期间届满被保险人仍在住院治疗的，自保险期间届满次日起计算，至出院之日止，最长以住院延长日数为限。该“住院延长日数”以保险单载明为准；若保险单未载明的，则该 “住院延长日数”视为30日（含）。 </w:t>
      </w:r>
    </w:p>
    <w:p w14:paraId="46063DC5">
      <w:pPr>
        <w:pStyle w:val="3"/>
        <w:pageBreakBefore w:val="0"/>
        <w:widowControl w:val="0"/>
        <w:tabs>
          <w:tab w:val="left" w:pos="945"/>
        </w:tabs>
        <w:kinsoku/>
        <w:wordWrap/>
        <w:overflowPunct/>
        <w:topLinePunct w:val="0"/>
        <w:autoSpaceDE/>
        <w:autoSpaceDN/>
        <w:bidi w:val="0"/>
        <w:spacing w:before="0" w:after="0" w:line="312" w:lineRule="auto"/>
        <w:ind w:left="0" w:leftChars="0" w:right="0" w:rightChars="0" w:firstLine="482" w:firstLineChars="200"/>
        <w:textAlignment w:val="auto"/>
        <w:rPr>
          <w:rFonts w:hint="eastAsia" w:ascii="宋体" w:hAnsi="宋体" w:eastAsia="宋体" w:cs="宋体"/>
          <w:color w:val="auto"/>
          <w:sz w:val="24"/>
          <w:szCs w:val="24"/>
          <w:highlight w:val="none"/>
        </w:rPr>
      </w:pPr>
      <w:bookmarkStart w:id="71" w:name="_2.2_责任免除"/>
      <w:bookmarkEnd w:id="71"/>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责任免除</w:t>
      </w:r>
    </w:p>
    <w:p w14:paraId="14EEFCAE">
      <w:pPr>
        <w:pStyle w:val="42"/>
        <w:pageBreakBefore w:val="0"/>
        <w:widowControl w:val="0"/>
        <w:tabs>
          <w:tab w:val="left" w:pos="960"/>
          <w:tab w:val="clear" w:pos="840"/>
        </w:tabs>
        <w:kinsoku/>
        <w:wordWrap/>
        <w:overflowPunct/>
        <w:topLinePunct w:val="0"/>
        <w:autoSpaceDE/>
        <w:autoSpaceDN/>
        <w:bidi w:val="0"/>
        <w:spacing w:line="312" w:lineRule="auto"/>
        <w:ind w:left="0" w:leftChars="0" w:right="0" w:rightChars="0" w:firstLine="482" w:firstLineChars="200"/>
        <w:textAlignment w:val="auto"/>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2.2.1</w:t>
      </w:r>
      <w:r>
        <w:rPr>
          <w:rFonts w:hint="eastAsia" w:ascii="宋体" w:hAnsi="宋体" w:eastAsia="宋体" w:cs="宋体"/>
          <w:b/>
          <w:color w:val="auto"/>
          <w:sz w:val="24"/>
          <w:szCs w:val="24"/>
          <w:highlight w:val="none"/>
        </w:rPr>
        <w:tab/>
      </w:r>
      <w:r>
        <w:rPr>
          <w:rFonts w:hint="eastAsia" w:ascii="宋体" w:hAnsi="宋体" w:eastAsia="宋体" w:cs="宋体"/>
          <w:b/>
          <w:color w:val="auto"/>
          <w:sz w:val="24"/>
          <w:szCs w:val="24"/>
          <w:highlight w:val="none"/>
        </w:rPr>
        <w:t>因下列情形之一，导致被保险人住院治疗的，保险人不承担给付保险金责任：</w:t>
      </w:r>
      <w:r>
        <w:rPr>
          <w:rFonts w:hint="eastAsia" w:ascii="宋体" w:hAnsi="宋体" w:eastAsia="宋体" w:cs="宋体"/>
          <w:b/>
          <w:color w:val="auto"/>
          <w:sz w:val="24"/>
          <w:szCs w:val="24"/>
          <w:highlight w:val="none"/>
          <w:lang w:val="en-US" w:eastAsia="zh-CN"/>
        </w:rPr>
        <w:tab/>
      </w:r>
      <w:r>
        <w:rPr>
          <w:rFonts w:hint="eastAsia" w:ascii="宋体" w:hAnsi="宋体" w:eastAsia="宋体" w:cs="宋体"/>
          <w:b/>
          <w:color w:val="auto"/>
          <w:sz w:val="24"/>
          <w:szCs w:val="24"/>
          <w:highlight w:val="none"/>
        </w:rPr>
        <w:t>（1）投保</w:t>
      </w:r>
      <w:r>
        <w:rPr>
          <w:rFonts w:hint="eastAsia" w:ascii="宋体" w:hAnsi="宋体" w:eastAsia="宋体" w:cs="宋体"/>
          <w:b/>
          <w:color w:val="auto"/>
          <w:kern w:val="2"/>
          <w:sz w:val="24"/>
          <w:szCs w:val="24"/>
          <w:highlight w:val="none"/>
          <w:lang w:val="en-US" w:eastAsia="zh-CN" w:bidi="ar-SA"/>
        </w:rPr>
        <w:t>人</w:t>
      </w:r>
      <w:r>
        <w:rPr>
          <w:rFonts w:hint="eastAsia" w:ascii="宋体" w:hAnsi="宋体" w:eastAsia="宋体" w:cs="宋体"/>
          <w:b/>
          <w:color w:val="auto"/>
          <w:sz w:val="24"/>
          <w:szCs w:val="24"/>
          <w:highlight w:val="none"/>
        </w:rPr>
        <w:t>对被保险人的故意杀害、故意伤害；</w:t>
      </w:r>
    </w:p>
    <w:p w14:paraId="781BE479">
      <w:pPr>
        <w:pStyle w:val="43"/>
        <w:pageBreakBefore w:val="0"/>
        <w:widowControl w:val="0"/>
        <w:kinsoku/>
        <w:wordWrap/>
        <w:overflowPunct/>
        <w:topLinePunct w:val="0"/>
        <w:autoSpaceDE/>
        <w:autoSpaceDN/>
        <w:bidi w:val="0"/>
        <w:spacing w:line="312" w:lineRule="auto"/>
        <w:ind w:left="0" w:leftChars="0" w:right="0" w:righ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（2）被保险人故意犯罪或抗拒依法采取的刑事强制措施；</w:t>
      </w:r>
    </w:p>
    <w:p w14:paraId="0BDE9592">
      <w:pPr>
        <w:pStyle w:val="43"/>
        <w:pageBreakBefore w:val="0"/>
        <w:widowControl w:val="0"/>
        <w:kinsoku/>
        <w:wordWrap/>
        <w:overflowPunct/>
        <w:topLinePunct w:val="0"/>
        <w:autoSpaceDE/>
        <w:autoSpaceDN/>
        <w:bidi w:val="0"/>
        <w:spacing w:line="312" w:lineRule="auto"/>
        <w:ind w:left="0" w:leftChars="0" w:right="0" w:righ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（3）被保险人故意自伤或自杀，但被保险人自杀时为无民事行为能力人的除外；</w:t>
      </w:r>
    </w:p>
    <w:p w14:paraId="47BF7905">
      <w:pPr>
        <w:pStyle w:val="43"/>
        <w:pageBreakBefore w:val="0"/>
        <w:widowControl w:val="0"/>
        <w:kinsoku/>
        <w:wordWrap/>
        <w:overflowPunct/>
        <w:topLinePunct w:val="0"/>
        <w:autoSpaceDE/>
        <w:autoSpaceDN/>
        <w:bidi w:val="0"/>
        <w:spacing w:line="312" w:lineRule="auto"/>
        <w:ind w:left="0" w:leftChars="0" w:right="0" w:righ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（4）被保险人挑衅或故意行为而导致的打斗、被袭击或被谋杀；</w:t>
      </w:r>
    </w:p>
    <w:p w14:paraId="0CCD2E6A">
      <w:pPr>
        <w:pStyle w:val="43"/>
        <w:pageBreakBefore w:val="0"/>
        <w:widowControl w:val="0"/>
        <w:kinsoku/>
        <w:wordWrap/>
        <w:overflowPunct/>
        <w:topLinePunct w:val="0"/>
        <w:autoSpaceDE/>
        <w:autoSpaceDN/>
        <w:bidi w:val="0"/>
        <w:spacing w:line="312" w:lineRule="auto"/>
        <w:ind w:left="0" w:leftChars="0" w:right="0" w:rightChars="0" w:firstLine="482" w:firstLineChars="200"/>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（5）被保险人</w:t>
      </w:r>
      <w:r>
        <w:rPr>
          <w:rFonts w:hint="eastAsia" w:ascii="宋体" w:hAnsi="宋体" w:eastAsia="宋体" w:cs="宋体"/>
          <w:b/>
          <w:color w:val="auto"/>
          <w:sz w:val="24"/>
          <w:szCs w:val="24"/>
          <w:highlight w:val="none"/>
          <w:lang w:val="en-US" w:eastAsia="zh-CN"/>
        </w:rPr>
        <w:t>的产前产后检查、妊娠（含宫外孕）、流产（含人工流产）、分娩（含剖腹产）、避孕、绝育手术、治疗不孕不育症以及上述原因引起的并发症</w:t>
      </w:r>
      <w:r>
        <w:rPr>
          <w:rFonts w:hint="eastAsia" w:ascii="宋体" w:hAnsi="宋体" w:eastAsia="宋体" w:cs="宋体"/>
          <w:b/>
          <w:color w:val="auto"/>
          <w:sz w:val="24"/>
          <w:szCs w:val="24"/>
          <w:highlight w:val="none"/>
        </w:rPr>
        <w:t>；</w:t>
      </w:r>
    </w:p>
    <w:p w14:paraId="79DC4DCE">
      <w:pPr>
        <w:pStyle w:val="43"/>
        <w:pageBreakBefore w:val="0"/>
        <w:widowControl w:val="0"/>
        <w:kinsoku/>
        <w:wordWrap/>
        <w:overflowPunct/>
        <w:topLinePunct w:val="0"/>
        <w:autoSpaceDE/>
        <w:autoSpaceDN/>
        <w:bidi w:val="0"/>
        <w:spacing w:line="312" w:lineRule="auto"/>
        <w:ind w:left="0" w:leftChars="0" w:right="0" w:righ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（6）被保险人接受包括美容、整容、整形手术在内的任何医疗行为而造成的意外；</w:t>
      </w:r>
    </w:p>
    <w:p w14:paraId="2F0C765E">
      <w:pPr>
        <w:pStyle w:val="43"/>
        <w:pageBreakBefore w:val="0"/>
        <w:widowControl w:val="0"/>
        <w:kinsoku/>
        <w:wordWrap/>
        <w:overflowPunct/>
        <w:topLinePunct w:val="0"/>
        <w:autoSpaceDE/>
        <w:autoSpaceDN/>
        <w:bidi w:val="0"/>
        <w:spacing w:line="312" w:lineRule="auto"/>
        <w:ind w:left="0" w:leftChars="0" w:right="0" w:righ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（7）被保险人未遵医嘱服用、涂用、注射药物；</w:t>
      </w:r>
    </w:p>
    <w:p w14:paraId="47CB6F52">
      <w:pPr>
        <w:pStyle w:val="43"/>
        <w:pageBreakBefore w:val="0"/>
        <w:widowControl w:val="0"/>
        <w:kinsoku/>
        <w:wordWrap/>
        <w:overflowPunct/>
        <w:topLinePunct w:val="0"/>
        <w:autoSpaceDE/>
        <w:autoSpaceDN/>
        <w:bidi w:val="0"/>
        <w:spacing w:line="312" w:lineRule="auto"/>
        <w:ind w:left="0" w:leftChars="0" w:right="0" w:righ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（8）被保险人受毒品</w:t>
      </w:r>
      <w:r>
        <w:rPr>
          <w:rFonts w:hint="eastAsia" w:ascii="宋体" w:hAnsi="宋体" w:eastAsia="宋体" w:cs="宋体"/>
          <w:b/>
          <w:color w:val="auto"/>
          <w:sz w:val="24"/>
          <w:szCs w:val="24"/>
          <w:highlight w:val="none"/>
          <w:lang w:eastAsia="zh-CN"/>
        </w:rPr>
        <w:t>及</w:t>
      </w:r>
      <w:r>
        <w:rPr>
          <w:rFonts w:hint="eastAsia" w:ascii="宋体" w:hAnsi="宋体" w:eastAsia="宋体" w:cs="宋体"/>
          <w:b/>
          <w:color w:val="auto"/>
          <w:sz w:val="24"/>
          <w:szCs w:val="24"/>
          <w:highlight w:val="none"/>
        </w:rPr>
        <w:t>管制药物（见释义）的影响；</w:t>
      </w:r>
    </w:p>
    <w:p w14:paraId="4E70D650">
      <w:pPr>
        <w:pStyle w:val="43"/>
        <w:pageBreakBefore w:val="0"/>
        <w:widowControl w:val="0"/>
        <w:kinsoku/>
        <w:wordWrap/>
        <w:overflowPunct/>
        <w:topLinePunct w:val="0"/>
        <w:autoSpaceDE/>
        <w:autoSpaceDN/>
        <w:bidi w:val="0"/>
        <w:spacing w:line="312" w:lineRule="auto"/>
        <w:ind w:left="0" w:leftChars="0" w:right="0" w:righ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9</w:t>
      </w:r>
      <w:r>
        <w:rPr>
          <w:rFonts w:hint="eastAsia" w:ascii="宋体" w:hAnsi="宋体" w:eastAsia="宋体" w:cs="宋体"/>
          <w:b/>
          <w:color w:val="auto"/>
          <w:sz w:val="24"/>
          <w:szCs w:val="24"/>
          <w:highlight w:val="none"/>
        </w:rPr>
        <w:t>）非因意外伤害导致的细菌或病毒感染；</w:t>
      </w:r>
    </w:p>
    <w:p w14:paraId="4242F0C0">
      <w:pPr>
        <w:pStyle w:val="43"/>
        <w:pageBreakBefore w:val="0"/>
        <w:widowControl w:val="0"/>
        <w:kinsoku/>
        <w:wordWrap/>
        <w:overflowPunct/>
        <w:topLinePunct w:val="0"/>
        <w:autoSpaceDE/>
        <w:autoSpaceDN/>
        <w:bidi w:val="0"/>
        <w:spacing w:line="312" w:lineRule="auto"/>
        <w:ind w:left="0" w:leftChars="0" w:right="0" w:righ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en-US" w:eastAsia="zh-CN"/>
        </w:rPr>
        <w:t>0</w:t>
      </w:r>
      <w:r>
        <w:rPr>
          <w:rFonts w:hint="eastAsia" w:ascii="宋体" w:hAnsi="宋体" w:eastAsia="宋体" w:cs="宋体"/>
          <w:b/>
          <w:color w:val="auto"/>
          <w:sz w:val="24"/>
          <w:szCs w:val="24"/>
          <w:highlight w:val="none"/>
        </w:rPr>
        <w:t>）任何生物、化学、原子能武器，原子能或核能装置所造成的爆炸、灼伤、污染或辐射；</w:t>
      </w:r>
    </w:p>
    <w:p w14:paraId="1E9CAE7C">
      <w:pPr>
        <w:pStyle w:val="43"/>
        <w:pageBreakBefore w:val="0"/>
        <w:widowControl w:val="0"/>
        <w:kinsoku/>
        <w:wordWrap/>
        <w:overflowPunct/>
        <w:topLinePunct w:val="0"/>
        <w:autoSpaceDE/>
        <w:autoSpaceDN/>
        <w:bidi w:val="0"/>
        <w:spacing w:line="312" w:lineRule="auto"/>
        <w:ind w:left="0" w:leftChars="0" w:right="0" w:righ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）恐怖袭击；</w:t>
      </w:r>
    </w:p>
    <w:p w14:paraId="3661631D">
      <w:pPr>
        <w:pStyle w:val="43"/>
        <w:pageBreakBefore w:val="0"/>
        <w:widowControl w:val="0"/>
        <w:kinsoku/>
        <w:wordWrap/>
        <w:overflowPunct/>
        <w:topLinePunct w:val="0"/>
        <w:autoSpaceDE/>
        <w:autoSpaceDN/>
        <w:bidi w:val="0"/>
        <w:spacing w:line="312" w:lineRule="auto"/>
        <w:ind w:left="0" w:leftChars="0" w:right="0" w:righ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en-US" w:eastAsia="zh-CN"/>
        </w:rPr>
        <w:t>2</w:t>
      </w:r>
      <w:r>
        <w:rPr>
          <w:rFonts w:hint="eastAsia" w:ascii="宋体" w:hAnsi="宋体" w:eastAsia="宋体" w:cs="宋体"/>
          <w:b/>
          <w:color w:val="auto"/>
          <w:sz w:val="24"/>
          <w:szCs w:val="24"/>
          <w:highlight w:val="none"/>
        </w:rPr>
        <w:t>）战争（见释义）、军事</w:t>
      </w:r>
      <w:r>
        <w:rPr>
          <w:rFonts w:hint="eastAsia" w:ascii="宋体" w:hAnsi="宋体" w:eastAsia="宋体" w:cs="宋体"/>
          <w:b/>
          <w:color w:val="auto"/>
          <w:sz w:val="24"/>
          <w:szCs w:val="24"/>
          <w:highlight w:val="none"/>
          <w:lang w:eastAsia="zh-CN"/>
        </w:rPr>
        <w:t>冲突</w:t>
      </w:r>
      <w:r>
        <w:rPr>
          <w:rFonts w:hint="eastAsia" w:ascii="宋体" w:hAnsi="宋体" w:eastAsia="宋体" w:cs="宋体"/>
          <w:b/>
          <w:color w:val="auto"/>
          <w:sz w:val="24"/>
          <w:szCs w:val="24"/>
          <w:highlight w:val="none"/>
        </w:rPr>
        <w:t>（见释义）、暴乱</w:t>
      </w:r>
      <w:r>
        <w:rPr>
          <w:rFonts w:hint="eastAsia" w:ascii="宋体" w:hAnsi="宋体" w:eastAsia="宋体" w:cs="宋体"/>
          <w:b/>
          <w:bCs/>
          <w:color w:val="auto"/>
          <w:sz w:val="24"/>
          <w:szCs w:val="24"/>
          <w:highlight w:val="none"/>
        </w:rPr>
        <w:t>（见释义）</w:t>
      </w:r>
      <w:r>
        <w:rPr>
          <w:rFonts w:hint="eastAsia" w:ascii="宋体" w:hAnsi="宋体" w:eastAsia="宋体" w:cs="宋体"/>
          <w:b/>
          <w:color w:val="auto"/>
          <w:sz w:val="24"/>
          <w:szCs w:val="24"/>
          <w:highlight w:val="none"/>
        </w:rPr>
        <w:t>或武装叛乱；</w:t>
      </w:r>
    </w:p>
    <w:p w14:paraId="6D5CE709">
      <w:pPr>
        <w:pStyle w:val="43"/>
        <w:pageBreakBefore w:val="0"/>
        <w:widowControl w:val="0"/>
        <w:kinsoku/>
        <w:wordWrap/>
        <w:overflowPunct/>
        <w:topLinePunct w:val="0"/>
        <w:autoSpaceDE/>
        <w:autoSpaceDN/>
        <w:bidi w:val="0"/>
        <w:spacing w:line="312" w:lineRule="auto"/>
        <w:ind w:left="0" w:leftChars="0" w:right="0" w:righ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en-US" w:eastAsia="zh-CN"/>
        </w:rPr>
        <w:t>3</w:t>
      </w:r>
      <w:r>
        <w:rPr>
          <w:rFonts w:hint="eastAsia" w:ascii="宋体" w:hAnsi="宋体" w:eastAsia="宋体" w:cs="宋体"/>
          <w:b/>
          <w:color w:val="auto"/>
          <w:sz w:val="24"/>
          <w:szCs w:val="24"/>
          <w:highlight w:val="none"/>
        </w:rPr>
        <w:t>）被保险人存在精神和行为障碍（以世界卫生组织颁布的《疾病和有关健康问题的国际统计分类（ICD-10）》为准）；</w:t>
      </w:r>
    </w:p>
    <w:p w14:paraId="66ED46B9">
      <w:pPr>
        <w:pStyle w:val="43"/>
        <w:pageBreakBefore w:val="0"/>
        <w:widowControl w:val="0"/>
        <w:kinsoku/>
        <w:wordWrap/>
        <w:overflowPunct/>
        <w:topLinePunct w:val="0"/>
        <w:autoSpaceDE/>
        <w:autoSpaceDN/>
        <w:bidi w:val="0"/>
        <w:spacing w:line="312" w:lineRule="auto"/>
        <w:ind w:left="0" w:leftChars="0" w:right="0" w:righ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en-US" w:eastAsia="zh-CN"/>
        </w:rPr>
        <w:t>4</w:t>
      </w:r>
      <w:r>
        <w:rPr>
          <w:rFonts w:hint="eastAsia" w:ascii="宋体" w:hAnsi="宋体" w:eastAsia="宋体" w:cs="宋体"/>
          <w:b/>
          <w:color w:val="auto"/>
          <w:sz w:val="24"/>
          <w:szCs w:val="24"/>
          <w:highlight w:val="none"/>
        </w:rPr>
        <w:t>）被保险人酒后驾驶（见释义）、无合法有效驾驶证驾驶（见释义）或驾驶无合法有效行驶证（见释义）的机动交通工具；</w:t>
      </w:r>
    </w:p>
    <w:p w14:paraId="4D805970">
      <w:pPr>
        <w:pStyle w:val="43"/>
        <w:pageBreakBefore w:val="0"/>
        <w:widowControl w:val="0"/>
        <w:kinsoku/>
        <w:wordWrap/>
        <w:overflowPunct/>
        <w:topLinePunct w:val="0"/>
        <w:autoSpaceDE/>
        <w:autoSpaceDN/>
        <w:bidi w:val="0"/>
        <w:spacing w:line="312" w:lineRule="auto"/>
        <w:ind w:left="0" w:leftChars="0" w:right="0" w:righ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en-US" w:eastAsia="zh-CN"/>
        </w:rPr>
        <w:t>5</w:t>
      </w:r>
      <w:r>
        <w:rPr>
          <w:rFonts w:hint="eastAsia" w:ascii="宋体" w:hAnsi="宋体" w:eastAsia="宋体" w:cs="宋体"/>
          <w:b/>
          <w:color w:val="auto"/>
          <w:sz w:val="24"/>
          <w:szCs w:val="24"/>
          <w:highlight w:val="none"/>
        </w:rPr>
        <w:t>）从事高风险运动（见释义）期间, 但被保险人作为专业运动员从事其专业运动除外。</w:t>
      </w:r>
    </w:p>
    <w:p w14:paraId="1E149A8D">
      <w:pPr>
        <w:pStyle w:val="42"/>
        <w:pageBreakBefore w:val="0"/>
        <w:widowControl w:val="0"/>
        <w:tabs>
          <w:tab w:val="left" w:pos="960"/>
          <w:tab w:val="clear" w:pos="840"/>
        </w:tabs>
        <w:kinsoku/>
        <w:wordWrap/>
        <w:overflowPunct/>
        <w:topLinePunct w:val="0"/>
        <w:autoSpaceDE/>
        <w:autoSpaceDN/>
        <w:bidi w:val="0"/>
        <w:spacing w:line="312" w:lineRule="auto"/>
        <w:ind w:left="0" w:leftChars="0" w:right="0" w:rightChars="0" w:firstLine="482" w:firstLineChars="200"/>
        <w:textAlignment w:val="auto"/>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因下列情形之一，导致被保险人住院治疗的，保险人</w:t>
      </w:r>
      <w:r>
        <w:rPr>
          <w:rFonts w:hint="eastAsia" w:ascii="宋体" w:hAnsi="宋体" w:eastAsia="宋体" w:cs="宋体"/>
          <w:color w:val="auto"/>
          <w:sz w:val="24"/>
          <w:szCs w:val="24"/>
          <w:highlight w:val="none"/>
          <w:lang w:val="en-US" w:eastAsia="zh-CN"/>
        </w:rPr>
        <w:t>也</w:t>
      </w:r>
      <w:r>
        <w:rPr>
          <w:rFonts w:hint="eastAsia" w:ascii="宋体" w:hAnsi="宋体" w:eastAsia="宋体" w:cs="宋体"/>
          <w:color w:val="auto"/>
          <w:sz w:val="24"/>
          <w:szCs w:val="24"/>
          <w:highlight w:val="none"/>
        </w:rPr>
        <w:t>不承担给付保险金责任：</w:t>
      </w:r>
    </w:p>
    <w:p w14:paraId="1DFD1CAF">
      <w:pPr>
        <w:pStyle w:val="43"/>
        <w:pageBreakBefore w:val="0"/>
        <w:widowControl w:val="0"/>
        <w:numPr>
          <w:ilvl w:val="0"/>
          <w:numId w:val="0"/>
        </w:numPr>
        <w:kinsoku/>
        <w:wordWrap/>
        <w:overflowPunct/>
        <w:topLinePunct w:val="0"/>
        <w:autoSpaceDE/>
        <w:autoSpaceDN/>
        <w:bidi w:val="0"/>
        <w:spacing w:line="312" w:lineRule="auto"/>
        <w:ind w:left="0" w:leftChars="0" w:right="0" w:righ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 xml:space="preserve">被保险人非因意外伤害而进行的整容、整形手术，以及因任何原因进行的美容； </w:t>
      </w:r>
    </w:p>
    <w:p w14:paraId="7F9FA692">
      <w:pPr>
        <w:pStyle w:val="43"/>
        <w:pageBreakBefore w:val="0"/>
        <w:widowControl w:val="0"/>
        <w:numPr>
          <w:ilvl w:val="0"/>
          <w:numId w:val="0"/>
        </w:numPr>
        <w:kinsoku/>
        <w:wordWrap/>
        <w:overflowPunct/>
        <w:topLinePunct w:val="0"/>
        <w:autoSpaceDE/>
        <w:autoSpaceDN/>
        <w:bidi w:val="0"/>
        <w:spacing w:line="312" w:lineRule="auto"/>
        <w:ind w:left="0" w:leftChars="0" w:right="0" w:righ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2</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被保险人非因意外伤害而进行的牙科治疗或手术、视力矫正、因矫正视力而作的眼科验光检查，以及任何原因导致的牙齿修复或牙齿整形、安装及购买残疾用具（如轮椅、假肢、假眼、假牙或者助听器等）；</w:t>
      </w:r>
    </w:p>
    <w:p w14:paraId="23D4BE20">
      <w:pPr>
        <w:pStyle w:val="43"/>
        <w:pageBreakBefore w:val="0"/>
        <w:widowControl w:val="0"/>
        <w:numPr>
          <w:ilvl w:val="0"/>
          <w:numId w:val="0"/>
        </w:numPr>
        <w:kinsoku/>
        <w:wordWrap/>
        <w:overflowPunct/>
        <w:topLinePunct w:val="0"/>
        <w:autoSpaceDE/>
        <w:autoSpaceDN/>
        <w:bidi w:val="0"/>
        <w:spacing w:line="312" w:lineRule="auto"/>
        <w:ind w:left="0" w:leftChars="0" w:right="0" w:righ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3</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被保险人</w:t>
      </w:r>
      <w:r>
        <w:rPr>
          <w:rFonts w:hint="eastAsia" w:ascii="宋体" w:hAnsi="宋体" w:eastAsia="宋体" w:cs="宋体"/>
          <w:b/>
          <w:bCs/>
          <w:color w:val="auto"/>
          <w:sz w:val="24"/>
          <w:szCs w:val="24"/>
          <w:highlight w:val="none"/>
        </w:rPr>
        <w:t>进行一般身体检查、疗养、特别护理、静养、康复性治疗、物理治疗、心理治疗或预防性治疗；</w:t>
      </w:r>
    </w:p>
    <w:p w14:paraId="4B181818">
      <w:pPr>
        <w:pStyle w:val="43"/>
        <w:pageBreakBefore w:val="0"/>
        <w:widowControl w:val="0"/>
        <w:numPr>
          <w:ilvl w:val="0"/>
          <w:numId w:val="0"/>
        </w:numPr>
        <w:kinsoku/>
        <w:wordWrap/>
        <w:overflowPunct/>
        <w:topLinePunct w:val="0"/>
        <w:autoSpaceDE/>
        <w:autoSpaceDN/>
        <w:bidi w:val="0"/>
        <w:spacing w:line="312" w:lineRule="auto"/>
        <w:ind w:left="0" w:leftChars="0" w:right="0" w:righ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4</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被保险人在投保前已有残疾的治疗和康复；</w:t>
      </w:r>
    </w:p>
    <w:p w14:paraId="27C7A407">
      <w:pPr>
        <w:pStyle w:val="43"/>
        <w:pageBreakBefore w:val="0"/>
        <w:widowControl w:val="0"/>
        <w:numPr>
          <w:ilvl w:val="0"/>
          <w:numId w:val="0"/>
        </w:numPr>
        <w:kinsoku/>
        <w:wordWrap/>
        <w:overflowPunct/>
        <w:topLinePunct w:val="0"/>
        <w:autoSpaceDE/>
        <w:autoSpaceDN/>
        <w:bidi w:val="0"/>
        <w:spacing w:line="312" w:lineRule="auto"/>
        <w:ind w:left="0" w:leftChars="0" w:right="0" w:righ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被保险人在家自设病床治疗</w:t>
      </w:r>
      <w:r>
        <w:rPr>
          <w:rFonts w:hint="eastAsia" w:ascii="宋体" w:hAnsi="宋体" w:eastAsia="宋体" w:cs="宋体"/>
          <w:b/>
          <w:color w:val="auto"/>
          <w:sz w:val="24"/>
          <w:szCs w:val="24"/>
          <w:highlight w:val="none"/>
        </w:rPr>
        <w:t>；</w:t>
      </w:r>
    </w:p>
    <w:p w14:paraId="6B4F9610">
      <w:pPr>
        <w:pStyle w:val="43"/>
        <w:pageBreakBefore w:val="0"/>
        <w:widowControl w:val="0"/>
        <w:numPr>
          <w:ilvl w:val="0"/>
          <w:numId w:val="0"/>
        </w:numPr>
        <w:kinsoku/>
        <w:wordWrap/>
        <w:overflowPunct/>
        <w:topLinePunct w:val="0"/>
        <w:autoSpaceDE/>
        <w:autoSpaceDN/>
        <w:bidi w:val="0"/>
        <w:spacing w:line="312" w:lineRule="auto"/>
        <w:ind w:left="0" w:leftChars="0" w:right="0" w:righ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被保险人不符合入院标准住院、挂床住院（见释义）或应当出院但拒不出院而造成的延长住院。</w:t>
      </w:r>
    </w:p>
    <w:p w14:paraId="4760CCD9">
      <w:pPr>
        <w:pStyle w:val="42"/>
        <w:pageBreakBefore w:val="0"/>
        <w:widowControl w:val="0"/>
        <w:tabs>
          <w:tab w:val="left" w:pos="960"/>
          <w:tab w:val="clear" w:pos="840"/>
        </w:tabs>
        <w:kinsoku/>
        <w:wordWrap/>
        <w:overflowPunct/>
        <w:topLinePunct w:val="0"/>
        <w:autoSpaceDE/>
        <w:autoSpaceDN/>
        <w:bidi w:val="0"/>
        <w:spacing w:line="312" w:lineRule="auto"/>
        <w:ind w:left="0" w:leftChars="0" w:right="0" w:rightChars="0" w:firstLine="482" w:firstLineChars="200"/>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2.2.3</w:t>
      </w:r>
      <w:r>
        <w:rPr>
          <w:rFonts w:hint="eastAsia" w:ascii="宋体" w:hAnsi="宋体" w:eastAsia="宋体" w:cs="宋体"/>
          <w:color w:val="auto"/>
          <w:sz w:val="24"/>
          <w:szCs w:val="24"/>
          <w:highlight w:val="none"/>
        </w:rPr>
        <w:tab/>
      </w:r>
      <w:r>
        <w:rPr>
          <w:rFonts w:hint="eastAsia" w:ascii="宋体" w:hAnsi="宋体" w:eastAsia="宋体" w:cs="宋体"/>
          <w:b/>
          <w:bCs/>
          <w:color w:val="auto"/>
          <w:kern w:val="2"/>
          <w:sz w:val="24"/>
          <w:szCs w:val="24"/>
          <w:highlight w:val="none"/>
          <w:lang w:val="en-US" w:eastAsia="zh-CN" w:bidi="ar-SA"/>
        </w:rPr>
        <w:t>对于被保险人在门诊观察室、急诊观察室、其他非正式病房、联合病房进行的治疗，保险人不承担给付保险金责任。</w:t>
      </w:r>
    </w:p>
    <w:p w14:paraId="059D2A64">
      <w:pPr>
        <w:pStyle w:val="4"/>
        <w:pageBreakBefore w:val="0"/>
        <w:widowControl w:val="0"/>
        <w:kinsoku/>
        <w:wordWrap/>
        <w:overflowPunct/>
        <w:topLinePunct w:val="0"/>
        <w:autoSpaceDE/>
        <w:autoSpaceDN/>
        <w:bidi w:val="0"/>
        <w:spacing w:line="312" w:lineRule="auto"/>
        <w:ind w:left="0" w:leftChars="0" w:right="0" w:righ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val="0"/>
          <w:color w:val="auto"/>
          <w:kern w:val="2"/>
          <w:sz w:val="24"/>
          <w:szCs w:val="24"/>
          <w:highlight w:val="none"/>
          <w:lang w:val="en-US" w:eastAsia="zh-CN" w:bidi="ar-SA"/>
        </w:rPr>
        <w:t>2.2.4</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对于按本附加险合同载明的免赔日数计算出的免赔金额，保险人不承担给付保险金责任。</w:t>
      </w:r>
    </w:p>
    <w:p w14:paraId="4B02EC08">
      <w:pPr>
        <w:pStyle w:val="3"/>
        <w:pageBreakBefore w:val="0"/>
        <w:widowControl w:val="0"/>
        <w:tabs>
          <w:tab w:val="left" w:pos="945"/>
          <w:tab w:val="left" w:pos="993"/>
        </w:tabs>
        <w:kinsoku/>
        <w:wordWrap/>
        <w:overflowPunct/>
        <w:topLinePunct w:val="0"/>
        <w:autoSpaceDE/>
        <w:autoSpaceDN/>
        <w:bidi w:val="0"/>
        <w:spacing w:before="0" w:after="0" w:line="312" w:lineRule="auto"/>
        <w:ind w:left="0" w:leftChars="0" w:right="0" w:righ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保险金额</w:t>
      </w:r>
    </w:p>
    <w:p w14:paraId="264392CF">
      <w:pPr>
        <w:pageBreakBefore w:val="0"/>
        <w:widowControl w:val="0"/>
        <w:kinsoku/>
        <w:wordWrap/>
        <w:overflowPunct/>
        <w:topLinePunct w:val="0"/>
        <w:autoSpaceDE/>
        <w:autoSpaceDN/>
        <w:bidi w:val="0"/>
        <w:adjustRightInd w:val="0"/>
        <w:snapToGrid w:val="0"/>
        <w:spacing w:line="312" w:lineRule="auto"/>
        <w:ind w:left="0" w:leftChars="0" w:right="0" w:righ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意外伤害住院津贴保险金额（每日意外伤害住院津贴金额乘以意外伤害住院总给付日数）由投保人、保险人双方约定，并在保险单中载明。</w:t>
      </w:r>
    </w:p>
    <w:p w14:paraId="623C8146">
      <w:pPr>
        <w:pageBreakBefore w:val="0"/>
        <w:widowControl w:val="0"/>
        <w:kinsoku/>
        <w:wordWrap/>
        <w:overflowPunct/>
        <w:topLinePunct w:val="0"/>
        <w:autoSpaceDE/>
        <w:autoSpaceDN/>
        <w:bidi w:val="0"/>
        <w:adjustRightInd w:val="0"/>
        <w:snapToGrid w:val="0"/>
        <w:spacing w:line="312" w:lineRule="auto"/>
        <w:ind w:left="0" w:leftChars="0" w:right="0" w:righ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每一被保险人的保险金额是保险人承担给付该被保险人保险金责任的最高限额。</w:t>
      </w:r>
    </w:p>
    <w:p w14:paraId="4AC48AED">
      <w:pPr>
        <w:pageBreakBefore w:val="0"/>
        <w:widowControl w:val="0"/>
        <w:kinsoku/>
        <w:wordWrap/>
        <w:overflowPunct/>
        <w:topLinePunct w:val="0"/>
        <w:autoSpaceDE/>
        <w:autoSpaceDN/>
        <w:bidi w:val="0"/>
        <w:adjustRightInd w:val="0"/>
        <w:snapToGrid w:val="0"/>
        <w:spacing w:line="312" w:lineRule="auto"/>
        <w:ind w:left="0" w:leftChars="0" w:right="0" w:righ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每一被保险人的保险金额一经确定，在保险期间内不得变更。</w:t>
      </w:r>
    </w:p>
    <w:p w14:paraId="6AAC292B">
      <w:pPr>
        <w:pStyle w:val="2"/>
        <w:pageBreakBefore w:val="0"/>
        <w:widowControl w:val="0"/>
        <w:tabs>
          <w:tab w:val="left" w:pos="945"/>
        </w:tabs>
        <w:kinsoku/>
        <w:wordWrap/>
        <w:overflowPunct/>
        <w:topLinePunct w:val="0"/>
        <w:autoSpaceDE/>
        <w:autoSpaceDN/>
        <w:bidi w:val="0"/>
        <w:spacing w:before="0" w:after="0" w:line="312"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保险金申请</w:t>
      </w:r>
    </w:p>
    <w:p w14:paraId="38A9F25C">
      <w:pPr>
        <w:pStyle w:val="43"/>
        <w:pageBreakBefore w:val="0"/>
        <w:widowControl w:val="0"/>
        <w:kinsoku/>
        <w:wordWrap/>
        <w:overflowPunct/>
        <w:topLinePunct w:val="0"/>
        <w:autoSpaceDE/>
        <w:autoSpaceDN/>
        <w:bidi w:val="0"/>
        <w:spacing w:line="312" w:lineRule="auto"/>
        <w:ind w:left="0" w:leftChars="0" w:right="0" w:righ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保险金申请人（见释义）</w:t>
      </w:r>
      <w:r>
        <w:rPr>
          <w:rFonts w:hint="eastAsia" w:ascii="宋体" w:hAnsi="宋体" w:eastAsia="宋体" w:cs="宋体"/>
          <w:color w:val="auto"/>
          <w:sz w:val="24"/>
          <w:szCs w:val="24"/>
          <w:highlight w:val="none"/>
        </w:rPr>
        <w:t>向保险人申请给付保险金时，应填写保险金给付申请书，并提交以下材料。保险金申请人因特殊原因不能提供以下材料的，应提供其它合法有效的材料。若保险金申请人委托他人申请的，还应提供授权委托书原件、委托人和受托人的身份证明等相关证明文件。保险人按照本保险合同的约定，认为有关的证明和资料不完整的，应当及时一次性通知保险金申请人补充提供。</w:t>
      </w:r>
      <w:r>
        <w:rPr>
          <w:rFonts w:hint="eastAsia" w:ascii="宋体" w:hAnsi="宋体" w:eastAsia="宋体" w:cs="宋体"/>
          <w:b/>
          <w:color w:val="auto"/>
          <w:sz w:val="24"/>
          <w:szCs w:val="24"/>
          <w:highlight w:val="none"/>
        </w:rPr>
        <w:t>保险金申请人未能提供有关材料，导致保险人无法核实该申请的真实性的，保险人对无法核实部分不承担给付保险金的责任。</w:t>
      </w:r>
    </w:p>
    <w:p w14:paraId="0A830EB0">
      <w:pPr>
        <w:pStyle w:val="43"/>
        <w:pageBreakBefore w:val="0"/>
        <w:widowControl w:val="0"/>
        <w:kinsoku/>
        <w:wordWrap/>
        <w:overflowPunct/>
        <w:topLinePunct w:val="0"/>
        <w:autoSpaceDE/>
        <w:autoSpaceDN/>
        <w:bidi w:val="0"/>
        <w:spacing w:line="312"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保险金给付申请书；</w:t>
      </w:r>
    </w:p>
    <w:p w14:paraId="5D522DC5">
      <w:pPr>
        <w:pStyle w:val="43"/>
        <w:pageBreakBefore w:val="0"/>
        <w:widowControl w:val="0"/>
        <w:kinsoku/>
        <w:wordWrap/>
        <w:overflowPunct/>
        <w:topLinePunct w:val="0"/>
        <w:autoSpaceDE/>
        <w:autoSpaceDN/>
        <w:bidi w:val="0"/>
        <w:spacing w:line="312"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保险单；</w:t>
      </w:r>
    </w:p>
    <w:p w14:paraId="24F7648F">
      <w:pPr>
        <w:pStyle w:val="43"/>
        <w:pageBreakBefore w:val="0"/>
        <w:widowControl w:val="0"/>
        <w:kinsoku/>
        <w:wordWrap/>
        <w:overflowPunct/>
        <w:topLinePunct w:val="0"/>
        <w:autoSpaceDE/>
        <w:autoSpaceDN/>
        <w:bidi w:val="0"/>
        <w:spacing w:line="312"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保险金申请人、被保险人身份证明；</w:t>
      </w:r>
    </w:p>
    <w:p w14:paraId="702D4436">
      <w:pPr>
        <w:pStyle w:val="43"/>
        <w:pageBreakBefore w:val="0"/>
        <w:widowControl w:val="0"/>
        <w:kinsoku/>
        <w:wordWrap/>
        <w:overflowPunct/>
        <w:topLinePunct w:val="0"/>
        <w:autoSpaceDE/>
        <w:autoSpaceDN/>
        <w:bidi w:val="0"/>
        <w:spacing w:line="312"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指定医疗机构出具的医疗费用发票/收据、费用明细清单/帐、出院小结、病历、诊断证明、住院志、体温单、医嘱单、护理记录；</w:t>
      </w:r>
    </w:p>
    <w:p w14:paraId="3ABA87FA">
      <w:pPr>
        <w:pStyle w:val="43"/>
        <w:pageBreakBefore w:val="0"/>
        <w:widowControl w:val="0"/>
        <w:kinsoku/>
        <w:wordWrap/>
        <w:overflowPunct/>
        <w:topLinePunct w:val="0"/>
        <w:autoSpaceDE/>
        <w:autoSpaceDN/>
        <w:bidi w:val="0"/>
        <w:spacing w:line="312"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被保险人所能提供的与确认保险事故的性质、原因、损失程度等有关的其他证明和资料。</w:t>
      </w:r>
    </w:p>
    <w:p w14:paraId="1B35E66D">
      <w:pPr>
        <w:pStyle w:val="2"/>
        <w:pageBreakBefore w:val="0"/>
        <w:widowControl w:val="0"/>
        <w:tabs>
          <w:tab w:val="left" w:pos="945"/>
        </w:tabs>
        <w:kinsoku/>
        <w:wordWrap/>
        <w:overflowPunct/>
        <w:topLinePunct w:val="0"/>
        <w:autoSpaceDE/>
        <w:autoSpaceDN/>
        <w:bidi w:val="0"/>
        <w:spacing w:before="0" w:after="0" w:line="312"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释义</w:t>
      </w:r>
    </w:p>
    <w:p w14:paraId="601E5FA6">
      <w:pPr>
        <w:pStyle w:val="3"/>
        <w:pageBreakBefore w:val="0"/>
        <w:widowControl w:val="0"/>
        <w:tabs>
          <w:tab w:val="left" w:pos="945"/>
        </w:tabs>
        <w:kinsoku/>
        <w:wordWrap/>
        <w:overflowPunct/>
        <w:topLinePunct w:val="0"/>
        <w:autoSpaceDE/>
        <w:autoSpaceDN/>
        <w:bidi w:val="0"/>
        <w:spacing w:before="0" w:after="0" w:line="312" w:lineRule="auto"/>
        <w:ind w:left="0" w:leftChars="0" w:right="0" w:righ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"_2.1_保险责任"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意外伤害</w:t>
      </w:r>
      <w:r>
        <w:rPr>
          <w:rFonts w:hint="eastAsia" w:ascii="宋体" w:hAnsi="宋体" w:eastAsia="宋体" w:cs="宋体"/>
          <w:color w:val="auto"/>
          <w:sz w:val="24"/>
          <w:szCs w:val="24"/>
          <w:highlight w:val="none"/>
        </w:rPr>
        <w:fldChar w:fldCharType="end"/>
      </w:r>
    </w:p>
    <w:p w14:paraId="1DEFC70D">
      <w:pPr>
        <w:pStyle w:val="43"/>
        <w:pageBreakBefore w:val="0"/>
        <w:widowControl w:val="0"/>
        <w:kinsoku/>
        <w:wordWrap/>
        <w:overflowPunct/>
        <w:topLinePunct w:val="0"/>
        <w:autoSpaceDE/>
        <w:autoSpaceDN/>
        <w:bidi w:val="0"/>
        <w:spacing w:line="312"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指外来的、突发的、非本意的、非疾病的客观事件致使身体受到的伤害。</w:t>
      </w:r>
    </w:p>
    <w:p w14:paraId="3FAE58DC">
      <w:pPr>
        <w:pStyle w:val="43"/>
        <w:pageBreakBefore w:val="0"/>
        <w:widowControl w:val="0"/>
        <w:kinsoku/>
        <w:wordWrap/>
        <w:overflowPunct/>
        <w:topLinePunct w:val="0"/>
        <w:autoSpaceDE/>
        <w:autoSpaceDN/>
        <w:bidi w:val="0"/>
        <w:spacing w:line="312" w:lineRule="auto"/>
        <w:ind w:left="0" w:leftChars="0" w:right="0" w:righ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以下情形属于疾病范畴，非本条款所指意外伤害：</w:t>
      </w:r>
    </w:p>
    <w:p w14:paraId="1C6DACB0">
      <w:pPr>
        <w:pStyle w:val="43"/>
        <w:pageBreakBefore w:val="0"/>
        <w:widowControl w:val="0"/>
        <w:kinsoku/>
        <w:wordWrap/>
        <w:overflowPunct/>
        <w:topLinePunct w:val="0"/>
        <w:autoSpaceDE/>
        <w:autoSpaceDN/>
        <w:bidi w:val="0"/>
        <w:spacing w:line="312" w:lineRule="auto"/>
        <w:ind w:left="0" w:leftChars="0" w:right="0" w:righ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猝死：指由潜在疾病、身体机能障碍或其他非外来性原因所导致的、在出现急性症状后发生的突然死亡，以医院的诊断或公安、司法机关的鉴定为准；</w:t>
      </w:r>
    </w:p>
    <w:p w14:paraId="2B989031">
      <w:pPr>
        <w:pStyle w:val="43"/>
        <w:pageBreakBefore w:val="0"/>
        <w:widowControl w:val="0"/>
        <w:kinsoku/>
        <w:wordWrap/>
        <w:overflowPunct/>
        <w:topLinePunct w:val="0"/>
        <w:autoSpaceDE/>
        <w:autoSpaceDN/>
        <w:bidi w:val="0"/>
        <w:spacing w:line="312" w:lineRule="auto"/>
        <w:ind w:left="0" w:leftChars="0" w:right="0" w:righ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（2）过敏及由过敏引发的变态反应性疾病；</w:t>
      </w:r>
    </w:p>
    <w:p w14:paraId="4024F201">
      <w:pPr>
        <w:pStyle w:val="43"/>
        <w:pageBreakBefore w:val="0"/>
        <w:widowControl w:val="0"/>
        <w:kinsoku/>
        <w:wordWrap/>
        <w:overflowPunct/>
        <w:topLinePunct w:val="0"/>
        <w:autoSpaceDE/>
        <w:autoSpaceDN/>
        <w:bidi w:val="0"/>
        <w:spacing w:line="312" w:lineRule="auto"/>
        <w:ind w:left="0" w:leftChars="0" w:right="0" w:righ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（3）高原反应；</w:t>
      </w:r>
    </w:p>
    <w:p w14:paraId="34B8C6B6">
      <w:pPr>
        <w:pStyle w:val="43"/>
        <w:pageBreakBefore w:val="0"/>
        <w:widowControl w:val="0"/>
        <w:kinsoku/>
        <w:wordWrap/>
        <w:overflowPunct/>
        <w:topLinePunct w:val="0"/>
        <w:autoSpaceDE/>
        <w:autoSpaceDN/>
        <w:bidi w:val="0"/>
        <w:spacing w:line="312" w:lineRule="auto"/>
        <w:ind w:left="0" w:leftChars="0" w:right="0" w:righ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（4）中暑；</w:t>
      </w:r>
    </w:p>
    <w:p w14:paraId="798C942F">
      <w:pPr>
        <w:pStyle w:val="43"/>
        <w:pageBreakBefore w:val="0"/>
        <w:widowControl w:val="0"/>
        <w:kinsoku/>
        <w:wordWrap/>
        <w:overflowPunct/>
        <w:topLinePunct w:val="0"/>
        <w:autoSpaceDE/>
        <w:autoSpaceDN/>
        <w:bidi w:val="0"/>
        <w:spacing w:line="312" w:lineRule="auto"/>
        <w:ind w:left="0" w:leftChars="0" w:right="0" w:righ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（5）细菌、病毒或其他病原体导致的感染性疾病。</w:t>
      </w:r>
    </w:p>
    <w:p w14:paraId="4A1E7284">
      <w:pPr>
        <w:pStyle w:val="3"/>
        <w:pageBreakBefore w:val="0"/>
        <w:widowControl w:val="0"/>
        <w:tabs>
          <w:tab w:val="left" w:pos="945"/>
        </w:tabs>
        <w:kinsoku/>
        <w:wordWrap/>
        <w:overflowPunct/>
        <w:topLinePunct w:val="0"/>
        <w:autoSpaceDE/>
        <w:autoSpaceDN/>
        <w:bidi w:val="0"/>
        <w:spacing w:before="0" w:after="0" w:line="312" w:lineRule="auto"/>
        <w:ind w:left="0" w:leftChars="0" w:right="0" w:righ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"_2.1_保险责任"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指定医疗机构</w:t>
      </w:r>
      <w:r>
        <w:rPr>
          <w:rFonts w:hint="eastAsia" w:ascii="宋体" w:hAnsi="宋体" w:eastAsia="宋体" w:cs="宋体"/>
          <w:color w:val="auto"/>
          <w:sz w:val="24"/>
          <w:szCs w:val="24"/>
          <w:highlight w:val="none"/>
        </w:rPr>
        <w:fldChar w:fldCharType="end"/>
      </w:r>
    </w:p>
    <w:p w14:paraId="6A5BB82F">
      <w:pPr>
        <w:pageBreakBefore w:val="0"/>
        <w:widowControl w:val="0"/>
        <w:kinsoku/>
        <w:wordWrap/>
        <w:overflowPunct/>
        <w:topLinePunct w:val="0"/>
        <w:autoSpaceDE/>
        <w:autoSpaceDN/>
        <w:bidi w:val="0"/>
        <w:adjustRightInd w:val="0"/>
        <w:snapToGrid w:val="0"/>
        <w:spacing w:line="312" w:lineRule="auto"/>
        <w:ind w:left="0" w:leftChars="0" w:right="0" w:rightChars="0"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除另有约定外，指定医疗机构指中华人民共和国境内</w:t>
      </w:r>
      <w:r>
        <w:rPr>
          <w:rFonts w:hint="eastAsia" w:ascii="宋体" w:hAnsi="宋体" w:eastAsia="宋体" w:cs="宋体"/>
          <w:b/>
          <w:color w:val="auto"/>
          <w:sz w:val="24"/>
          <w:szCs w:val="24"/>
          <w:highlight w:val="none"/>
        </w:rPr>
        <w:t>（不包括香港、澳门、台湾地区）</w:t>
      </w:r>
      <w:r>
        <w:rPr>
          <w:rFonts w:hint="eastAsia" w:ascii="宋体" w:hAnsi="宋体" w:eastAsia="宋体" w:cs="宋体"/>
          <w:color w:val="auto"/>
          <w:sz w:val="24"/>
          <w:szCs w:val="24"/>
          <w:highlight w:val="none"/>
        </w:rPr>
        <w:t>二级（含）及以上医院或保险人认可的医疗机构，</w:t>
      </w:r>
      <w:r>
        <w:rPr>
          <w:rFonts w:hint="eastAsia" w:ascii="宋体" w:hAnsi="宋体" w:eastAsia="宋体" w:cs="宋体"/>
          <w:b/>
          <w:color w:val="auto"/>
          <w:sz w:val="24"/>
          <w:szCs w:val="24"/>
          <w:highlight w:val="none"/>
        </w:rPr>
        <w:t>且应符合下列所有条件：</w:t>
      </w:r>
    </w:p>
    <w:p w14:paraId="28B2F36B">
      <w:pPr>
        <w:pStyle w:val="43"/>
        <w:pageBreakBefore w:val="0"/>
        <w:widowControl w:val="0"/>
        <w:kinsoku/>
        <w:wordWrap/>
        <w:overflowPunct/>
        <w:topLinePunct w:val="0"/>
        <w:autoSpaceDE/>
        <w:autoSpaceDN/>
        <w:bidi w:val="0"/>
        <w:spacing w:line="312" w:lineRule="auto"/>
        <w:ind w:left="0" w:leftChars="0" w:right="0" w:righ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拥有合法经营执照；</w:t>
      </w:r>
    </w:p>
    <w:p w14:paraId="20A14439">
      <w:pPr>
        <w:pStyle w:val="43"/>
        <w:pageBreakBefore w:val="0"/>
        <w:widowControl w:val="0"/>
        <w:kinsoku/>
        <w:wordWrap/>
        <w:overflowPunct/>
        <w:topLinePunct w:val="0"/>
        <w:autoSpaceDE/>
        <w:autoSpaceDN/>
        <w:bidi w:val="0"/>
        <w:spacing w:line="312" w:lineRule="auto"/>
        <w:ind w:left="0" w:leftChars="0" w:right="0" w:righ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2</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设立的主要目的为向受伤者和患病者提供留院治疗和护理服务；</w:t>
      </w:r>
    </w:p>
    <w:p w14:paraId="6B16343D">
      <w:pPr>
        <w:pStyle w:val="43"/>
        <w:pageBreakBefore w:val="0"/>
        <w:widowControl w:val="0"/>
        <w:kinsoku/>
        <w:wordWrap/>
        <w:overflowPunct/>
        <w:topLinePunct w:val="0"/>
        <w:autoSpaceDE/>
        <w:autoSpaceDN/>
        <w:bidi w:val="0"/>
        <w:spacing w:line="312" w:lineRule="auto"/>
        <w:ind w:left="0" w:leftChars="0" w:right="0" w:righ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3</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有合格的医生和护士提供全日二十四小时的医疗和护理服务；</w:t>
      </w:r>
    </w:p>
    <w:p w14:paraId="3BC1D9D7">
      <w:pPr>
        <w:pStyle w:val="43"/>
        <w:keepNext w:val="0"/>
        <w:keepLines w:val="0"/>
        <w:pageBreakBefore w:val="0"/>
        <w:widowControl w:val="0"/>
        <w:kinsoku/>
        <w:wordWrap/>
        <w:overflowPunct/>
        <w:topLinePunct w:val="0"/>
        <w:autoSpaceDE/>
        <w:autoSpaceDN/>
        <w:bidi w:val="0"/>
        <w:adjustRightInd w:val="0"/>
        <w:snapToGrid w:val="0"/>
        <w:spacing w:line="312" w:lineRule="auto"/>
        <w:ind w:left="0" w:leftChars="0" w:right="0" w:righ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4</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非主要作为康复医院、诊所、护理、疗养、戒酒、戒毒或类似的医疗机构。</w:t>
      </w:r>
    </w:p>
    <w:p w14:paraId="54E82905">
      <w:pPr>
        <w:pageBreakBefore w:val="0"/>
        <w:widowControl w:val="0"/>
        <w:kinsoku/>
        <w:wordWrap/>
        <w:overflowPunct/>
        <w:topLinePunct w:val="0"/>
        <w:autoSpaceDE/>
        <w:autoSpaceDN/>
        <w:bidi w:val="0"/>
        <w:adjustRightInd w:val="0"/>
        <w:snapToGrid w:val="0"/>
        <w:spacing w:line="312" w:lineRule="auto"/>
        <w:ind w:left="0" w:leftChars="0" w:right="0" w:rightChars="0"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投保人和保险人双方还可以约定指定医疗机构的条件、范围等，并在保险单中载明。</w:t>
      </w:r>
    </w:p>
    <w:p w14:paraId="26BCDF8F">
      <w:pPr>
        <w:pStyle w:val="3"/>
        <w:pageBreakBefore w:val="0"/>
        <w:widowControl w:val="0"/>
        <w:tabs>
          <w:tab w:val="left" w:pos="945"/>
        </w:tabs>
        <w:kinsoku/>
        <w:wordWrap/>
        <w:overflowPunct/>
        <w:topLinePunct w:val="0"/>
        <w:autoSpaceDE/>
        <w:autoSpaceDN/>
        <w:bidi w:val="0"/>
        <w:spacing w:before="0" w:after="0" w:line="312" w:lineRule="auto"/>
        <w:ind w:left="0" w:leftChars="0" w:right="0" w:righ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住院</w:t>
      </w:r>
    </w:p>
    <w:p w14:paraId="27166F8C">
      <w:pPr>
        <w:pStyle w:val="43"/>
        <w:pageBreakBefore w:val="0"/>
        <w:widowControl w:val="0"/>
        <w:kinsoku/>
        <w:wordWrap/>
        <w:overflowPunct/>
        <w:topLinePunct w:val="0"/>
        <w:autoSpaceDE/>
        <w:autoSpaceDN/>
        <w:bidi w:val="0"/>
        <w:spacing w:line="312" w:lineRule="auto"/>
        <w:ind w:left="0" w:leftChars="0" w:right="0" w:rightChars="0"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是指被保险人确因临床需要、</w:t>
      </w:r>
      <w:r>
        <w:rPr>
          <w:rFonts w:hint="eastAsia" w:ascii="宋体" w:hAnsi="宋体" w:eastAsia="宋体" w:cs="宋体"/>
          <w:bCs/>
          <w:color w:val="auto"/>
          <w:sz w:val="24"/>
          <w:szCs w:val="24"/>
          <w:highlight w:val="none"/>
        </w:rPr>
        <w:t>经医生诊断必须留院治疗，</w:t>
      </w:r>
      <w:r>
        <w:rPr>
          <w:rFonts w:hint="eastAsia" w:ascii="宋体" w:hAnsi="宋体" w:eastAsia="宋体" w:cs="宋体"/>
          <w:color w:val="auto"/>
          <w:sz w:val="24"/>
          <w:szCs w:val="24"/>
          <w:highlight w:val="none"/>
        </w:rPr>
        <w:t>正式办理入院及出院手续，并确实入住医疗机构正式病房接受治疗的行为过程；被保险人必须连续留院二十四小时以上且由医疗机构收取病房或床位费用，</w:t>
      </w:r>
      <w:r>
        <w:rPr>
          <w:rFonts w:hint="eastAsia" w:ascii="宋体" w:hAnsi="宋体" w:eastAsia="宋体" w:cs="宋体"/>
          <w:b/>
          <w:color w:val="auto"/>
          <w:sz w:val="24"/>
          <w:szCs w:val="24"/>
          <w:highlight w:val="none"/>
        </w:rPr>
        <w:t>但住院并不包括门诊观察室、急诊观察室、其他非正式病房、联合病房或挂床住院。</w:t>
      </w:r>
    </w:p>
    <w:p w14:paraId="1CB9CCCE">
      <w:pPr>
        <w:pStyle w:val="3"/>
        <w:pageBreakBefore w:val="0"/>
        <w:widowControl w:val="0"/>
        <w:tabs>
          <w:tab w:val="left" w:pos="945"/>
        </w:tabs>
        <w:kinsoku/>
        <w:wordWrap/>
        <w:overflowPunct/>
        <w:topLinePunct w:val="0"/>
        <w:autoSpaceDE/>
        <w:autoSpaceDN/>
        <w:bidi w:val="0"/>
        <w:spacing w:before="0" w:after="0" w:line="312" w:lineRule="auto"/>
        <w:ind w:left="0" w:leftChars="0" w:right="0" w:rightChars="0" w:firstLine="482" w:firstLineChars="200"/>
        <w:textAlignment w:val="auto"/>
        <w:rPr>
          <w:rFonts w:hint="eastAsia" w:ascii="宋体" w:hAnsi="宋体" w:eastAsia="宋体" w:cs="宋体"/>
          <w:color w:val="auto"/>
          <w:sz w:val="24"/>
          <w:szCs w:val="24"/>
          <w:highlight w:val="none"/>
        </w:rPr>
      </w:pPr>
      <w:bookmarkStart w:id="72" w:name="_4.5_住院日数"/>
      <w:bookmarkEnd w:id="72"/>
      <w:bookmarkStart w:id="73" w:name="_4.5_住院日2.1_保险责任数"/>
      <w:bookmarkEnd w:id="73"/>
      <w:bookmarkStart w:id="74" w:name="_4.4_实际住院日数"/>
      <w:bookmarkEnd w:id="74"/>
      <w:r>
        <w:rPr>
          <w:rFonts w:hint="eastAsia" w:ascii="宋体" w:hAnsi="宋体" w:eastAsia="宋体" w:cs="宋体"/>
          <w:color w:val="auto"/>
          <w:sz w:val="24"/>
          <w:szCs w:val="24"/>
          <w:highlight w:val="none"/>
        </w:rPr>
        <w:t>4.4</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实际住院日数</w:t>
      </w:r>
    </w:p>
    <w:p w14:paraId="7DC42004">
      <w:pPr>
        <w:pStyle w:val="43"/>
        <w:pageBreakBefore w:val="0"/>
        <w:widowControl w:val="0"/>
        <w:kinsoku/>
        <w:wordWrap/>
        <w:overflowPunct/>
        <w:topLinePunct w:val="0"/>
        <w:autoSpaceDE/>
        <w:autoSpaceDN/>
        <w:bidi w:val="0"/>
        <w:spacing w:line="312"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是指被保险人在医疗机构住院部病房内实际的住院治疗日数，住院</w:t>
      </w:r>
      <w:r>
        <w:rPr>
          <w:rFonts w:hint="eastAsia" w:ascii="宋体" w:hAnsi="宋体" w:eastAsia="宋体" w:cs="宋体"/>
          <w:bCs/>
          <w:color w:val="auto"/>
          <w:sz w:val="24"/>
          <w:szCs w:val="24"/>
          <w:highlight w:val="none"/>
        </w:rPr>
        <w:t>满二十四小时为一日。</w:t>
      </w:r>
    </w:p>
    <w:p w14:paraId="76772AD3">
      <w:pPr>
        <w:pStyle w:val="3"/>
        <w:keepNext/>
        <w:keepLines/>
        <w:pageBreakBefore w:val="0"/>
        <w:widowControl w:val="0"/>
        <w:tabs>
          <w:tab w:val="left" w:pos="960"/>
        </w:tabs>
        <w:kinsoku/>
        <w:wordWrap/>
        <w:overflowPunct/>
        <w:topLinePunct w:val="0"/>
        <w:autoSpaceDE/>
        <w:autoSpaceDN/>
        <w:bidi w:val="0"/>
        <w:snapToGrid w:val="0"/>
        <w:spacing w:before="0" w:after="0" w:line="312" w:lineRule="auto"/>
        <w:ind w:left="0" w:leftChars="0" w:right="0" w:rightChars="0" w:firstLine="482" w:firstLineChars="200"/>
        <w:textAlignment w:val="auto"/>
        <w:outlineLvl w:val="1"/>
        <w:rPr>
          <w:rFonts w:hint="eastAsia" w:ascii="宋体" w:hAnsi="宋体" w:eastAsia="宋体" w:cs="宋体"/>
          <w:b/>
          <w:color w:val="auto"/>
          <w:sz w:val="24"/>
          <w:szCs w:val="24"/>
          <w:highlight w:val="none"/>
        </w:rPr>
      </w:pPr>
      <w:bookmarkStart w:id="75" w:name="_4.10_保险金申请人"/>
      <w:bookmarkEnd w:id="75"/>
      <w:bookmarkStart w:id="76" w:name="_4.4_猝死"/>
      <w:bookmarkEnd w:id="76"/>
      <w:bookmarkStart w:id="77" w:name="_4.5_高风险运动"/>
      <w:bookmarkEnd w:id="77"/>
      <w:bookmarkStart w:id="78" w:name="_4.12_保险金申请人"/>
      <w:bookmarkEnd w:id="78"/>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ab/>
      </w:r>
      <w:r>
        <w:rPr>
          <w:rFonts w:hint="eastAsia" w:ascii="宋体" w:hAnsi="宋体" w:eastAsia="宋体" w:cs="宋体"/>
          <w:b/>
          <w:color w:val="auto"/>
          <w:sz w:val="24"/>
          <w:szCs w:val="24"/>
          <w:highlight w:val="none"/>
        </w:rPr>
        <w:t>毒品</w:t>
      </w:r>
      <w:r>
        <w:rPr>
          <w:rFonts w:hint="eastAsia" w:ascii="宋体" w:hAnsi="宋体" w:eastAsia="宋体" w:cs="宋体"/>
          <w:b/>
          <w:color w:val="auto"/>
          <w:sz w:val="24"/>
          <w:szCs w:val="24"/>
          <w:highlight w:val="none"/>
          <w:lang w:eastAsia="zh-CN"/>
        </w:rPr>
        <w:t>及</w:t>
      </w:r>
      <w:r>
        <w:rPr>
          <w:rFonts w:hint="eastAsia" w:ascii="宋体" w:hAnsi="宋体" w:eastAsia="宋体" w:cs="宋体"/>
          <w:b/>
          <w:color w:val="auto"/>
          <w:sz w:val="24"/>
          <w:szCs w:val="24"/>
          <w:highlight w:val="none"/>
        </w:rPr>
        <w:t>管制药物</w:t>
      </w:r>
    </w:p>
    <w:p w14:paraId="649E1D50">
      <w:pPr>
        <w:pageBreakBefore w:val="0"/>
        <w:widowControl w:val="0"/>
        <w:kinsoku/>
        <w:wordWrap/>
        <w:overflowPunct/>
        <w:topLinePunct w:val="0"/>
        <w:autoSpaceDE/>
        <w:autoSpaceDN/>
        <w:bidi w:val="0"/>
        <w:adjustRightInd w:val="0"/>
        <w:snapToGrid w:val="0"/>
        <w:spacing w:line="312" w:lineRule="auto"/>
        <w:ind w:left="0" w:leftChars="0" w:right="0" w:rightChars="0" w:firstLine="480"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rPr>
        <w:t>指</w:t>
      </w:r>
      <w:r>
        <w:rPr>
          <w:rFonts w:hint="eastAsia" w:ascii="宋体" w:hAnsi="宋体" w:eastAsia="宋体" w:cs="宋体"/>
          <w:color w:val="auto"/>
          <w:sz w:val="24"/>
          <w:szCs w:val="24"/>
          <w:highlight w:val="none"/>
          <w:lang w:val="en-US" w:eastAsia="zh-CN"/>
        </w:rPr>
        <w:t>中华人民共和国刑法规定的鸦片、海洛因、甲基苯丙胺（冰毒）、吗啡、大麻、可卡因以及国家规定管制的其他能够使人形成瘾癖的麻醉药品和精神药品,</w:t>
      </w:r>
      <w:r>
        <w:rPr>
          <w:rFonts w:hint="eastAsia" w:ascii="宋体" w:hAnsi="宋体" w:eastAsia="宋体" w:cs="宋体"/>
          <w:b/>
          <w:bCs/>
          <w:color w:val="auto"/>
          <w:sz w:val="24"/>
          <w:szCs w:val="24"/>
          <w:highlight w:val="none"/>
          <w:lang w:val="en-US" w:eastAsia="zh-CN"/>
        </w:rPr>
        <w:t>但不包括由医生开具并遵医嘱使用的用于治疗疾病但含有毒品成分的处方药品。</w:t>
      </w:r>
    </w:p>
    <w:p w14:paraId="4A643A60">
      <w:pPr>
        <w:pStyle w:val="3"/>
        <w:keepNext/>
        <w:keepLines/>
        <w:pageBreakBefore w:val="0"/>
        <w:widowControl w:val="0"/>
        <w:tabs>
          <w:tab w:val="left" w:pos="960"/>
        </w:tabs>
        <w:kinsoku/>
        <w:wordWrap/>
        <w:overflowPunct/>
        <w:topLinePunct w:val="0"/>
        <w:autoSpaceDE/>
        <w:autoSpaceDN/>
        <w:bidi w:val="0"/>
        <w:snapToGrid w:val="0"/>
        <w:spacing w:before="0" w:after="0" w:line="312" w:lineRule="auto"/>
        <w:ind w:left="0" w:leftChars="0" w:right="0" w:rightChars="0" w:firstLine="482" w:firstLineChars="200"/>
        <w:textAlignment w:val="auto"/>
        <w:outlineLvl w:val="1"/>
        <w:rPr>
          <w:rFonts w:hint="eastAsia" w:ascii="宋体" w:hAnsi="宋体" w:eastAsia="宋体" w:cs="宋体"/>
          <w:b/>
          <w:color w:val="auto"/>
          <w:sz w:val="24"/>
          <w:szCs w:val="24"/>
          <w:highlight w:val="none"/>
          <w:lang w:eastAsia="zh-CN"/>
        </w:rPr>
      </w:pP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ab/>
      </w:r>
      <w:r>
        <w:rPr>
          <w:rFonts w:hint="eastAsia" w:ascii="宋体" w:hAnsi="宋体" w:eastAsia="宋体" w:cs="宋体"/>
          <w:b/>
          <w:color w:val="auto"/>
          <w:sz w:val="24"/>
          <w:szCs w:val="24"/>
          <w:highlight w:val="none"/>
          <w:lang w:val="en-US" w:eastAsia="zh-CN"/>
        </w:rPr>
        <w:t>战争</w:t>
      </w:r>
    </w:p>
    <w:p w14:paraId="3E9334C4">
      <w:pPr>
        <w:pageBreakBefore w:val="0"/>
        <w:widowControl w:val="0"/>
        <w:kinsoku/>
        <w:wordWrap/>
        <w:overflowPunct/>
        <w:topLinePunct w:val="0"/>
        <w:autoSpaceDE/>
        <w:autoSpaceDN/>
        <w:bidi w:val="0"/>
        <w:adjustRightInd w:val="0"/>
        <w:snapToGrid w:val="0"/>
        <w:spacing w:line="312" w:lineRule="auto"/>
        <w:ind w:left="0" w:leftChars="0" w:right="0" w:rightChars="0"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color w:val="auto"/>
          <w:sz w:val="24"/>
          <w:szCs w:val="24"/>
          <w:highlight w:val="none"/>
        </w:rPr>
        <w:t>指</w:t>
      </w:r>
      <w:r>
        <w:rPr>
          <w:rFonts w:hint="eastAsia" w:ascii="宋体" w:hAnsi="宋体" w:eastAsia="宋体" w:cs="宋体"/>
          <w:color w:val="auto"/>
          <w:sz w:val="24"/>
          <w:szCs w:val="24"/>
          <w:highlight w:val="none"/>
          <w:lang w:val="en-US" w:eastAsia="zh-CN"/>
        </w:rPr>
        <w:t>国家与国家、民族与民族、政治集团与政治集团之间为了一定的政治、经济目的而进行的武装斗争，以政府宣布为准。</w:t>
      </w:r>
    </w:p>
    <w:p w14:paraId="39DDAF57">
      <w:pPr>
        <w:pStyle w:val="3"/>
        <w:keepNext/>
        <w:keepLines/>
        <w:pageBreakBefore w:val="0"/>
        <w:widowControl w:val="0"/>
        <w:tabs>
          <w:tab w:val="left" w:pos="960"/>
        </w:tabs>
        <w:kinsoku/>
        <w:wordWrap/>
        <w:overflowPunct/>
        <w:topLinePunct w:val="0"/>
        <w:autoSpaceDE/>
        <w:autoSpaceDN/>
        <w:bidi w:val="0"/>
        <w:snapToGrid w:val="0"/>
        <w:spacing w:before="0" w:after="0" w:line="312" w:lineRule="auto"/>
        <w:ind w:left="0" w:leftChars="0" w:right="0" w:rightChars="0" w:firstLine="482" w:firstLineChars="200"/>
        <w:textAlignment w:val="auto"/>
        <w:outlineLvl w:val="1"/>
        <w:rPr>
          <w:rFonts w:hint="eastAsia" w:ascii="宋体" w:hAnsi="宋体" w:eastAsia="宋体" w:cs="宋体"/>
          <w:b/>
          <w:color w:val="auto"/>
          <w:sz w:val="24"/>
          <w:szCs w:val="24"/>
          <w:highlight w:val="none"/>
          <w:lang w:eastAsia="zh-CN"/>
        </w:rPr>
      </w:pPr>
      <w:r>
        <w:rPr>
          <w:rFonts w:hint="eastAsia" w:ascii="宋体" w:hAnsi="宋体" w:eastAsia="宋体" w:cs="宋体"/>
          <w:b/>
          <w:bCs/>
          <w:color w:val="auto"/>
          <w:sz w:val="24"/>
          <w:szCs w:val="24"/>
          <w:highlight w:val="none"/>
          <w:lang w:val="en-US" w:eastAsia="zh-CN"/>
        </w:rPr>
        <w:t>4.7</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lang w:val="en-US" w:eastAsia="zh-CN"/>
        </w:rPr>
        <w:t>军事</w:t>
      </w:r>
      <w:r>
        <w:rPr>
          <w:rFonts w:hint="eastAsia" w:ascii="宋体" w:hAnsi="宋体" w:eastAsia="宋体" w:cs="宋体"/>
          <w:b/>
          <w:color w:val="auto"/>
          <w:sz w:val="24"/>
          <w:szCs w:val="24"/>
          <w:highlight w:val="none"/>
          <w:lang w:val="en-US" w:eastAsia="zh-CN"/>
        </w:rPr>
        <w:t>冲突</w:t>
      </w:r>
    </w:p>
    <w:p w14:paraId="18F1A6BF">
      <w:pPr>
        <w:pageBreakBefore w:val="0"/>
        <w:widowControl w:val="0"/>
        <w:kinsoku/>
        <w:wordWrap/>
        <w:overflowPunct/>
        <w:topLinePunct w:val="0"/>
        <w:autoSpaceDE/>
        <w:autoSpaceDN/>
        <w:bidi w:val="0"/>
        <w:adjustRightInd w:val="0"/>
        <w:snapToGrid w:val="0"/>
        <w:spacing w:line="312" w:lineRule="auto"/>
        <w:ind w:left="0" w:leftChars="0" w:right="0" w:rightChars="0"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color w:val="auto"/>
          <w:sz w:val="24"/>
          <w:szCs w:val="24"/>
          <w:highlight w:val="none"/>
        </w:rPr>
        <w:t>指</w:t>
      </w:r>
      <w:r>
        <w:rPr>
          <w:rFonts w:hint="eastAsia" w:ascii="宋体" w:hAnsi="宋体" w:eastAsia="宋体" w:cs="宋体"/>
          <w:color w:val="auto"/>
          <w:sz w:val="24"/>
          <w:szCs w:val="24"/>
          <w:highlight w:val="none"/>
          <w:lang w:val="en-US" w:eastAsia="zh-CN"/>
        </w:rPr>
        <w:t>国家与民族之间在一定范围内的武装对抗，以政府宣布为准。</w:t>
      </w:r>
    </w:p>
    <w:p w14:paraId="4A12935C">
      <w:pPr>
        <w:pStyle w:val="3"/>
        <w:keepNext/>
        <w:keepLines/>
        <w:pageBreakBefore w:val="0"/>
        <w:widowControl w:val="0"/>
        <w:tabs>
          <w:tab w:val="left" w:pos="960"/>
        </w:tabs>
        <w:kinsoku/>
        <w:wordWrap/>
        <w:overflowPunct/>
        <w:topLinePunct w:val="0"/>
        <w:autoSpaceDE/>
        <w:autoSpaceDN/>
        <w:bidi w:val="0"/>
        <w:snapToGrid w:val="0"/>
        <w:spacing w:before="0" w:after="0" w:line="312" w:lineRule="auto"/>
        <w:ind w:left="0" w:leftChars="0" w:right="0" w:rightChars="0" w:firstLine="482" w:firstLineChars="200"/>
        <w:textAlignment w:val="auto"/>
        <w:outlineLvl w:val="1"/>
        <w:rPr>
          <w:rFonts w:hint="eastAsia" w:ascii="宋体" w:hAnsi="宋体" w:eastAsia="宋体" w:cs="宋体"/>
          <w:b/>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4.8</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lang w:val="en-US" w:eastAsia="zh-CN"/>
        </w:rPr>
        <w:t>暴乱</w:t>
      </w:r>
    </w:p>
    <w:p w14:paraId="2039C66F">
      <w:pPr>
        <w:pageBreakBefore w:val="0"/>
        <w:widowControl w:val="0"/>
        <w:kinsoku/>
        <w:wordWrap/>
        <w:overflowPunct/>
        <w:topLinePunct w:val="0"/>
        <w:autoSpaceDE/>
        <w:autoSpaceDN/>
        <w:bidi w:val="0"/>
        <w:adjustRightInd w:val="0"/>
        <w:snapToGrid w:val="0"/>
        <w:spacing w:line="312" w:lineRule="auto"/>
        <w:ind w:left="0" w:leftChars="0"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指</w:t>
      </w:r>
      <w:r>
        <w:rPr>
          <w:rFonts w:hint="eastAsia" w:ascii="宋体" w:hAnsi="宋体" w:eastAsia="宋体" w:cs="宋体"/>
          <w:color w:val="auto"/>
          <w:sz w:val="24"/>
          <w:szCs w:val="24"/>
          <w:highlight w:val="none"/>
          <w:lang w:val="en-US" w:eastAsia="zh-CN"/>
        </w:rPr>
        <w:t>破坏社会秩序的武装骚动，以政府宣布为准。</w:t>
      </w:r>
    </w:p>
    <w:p w14:paraId="1B5C4AC1">
      <w:pPr>
        <w:pStyle w:val="3"/>
        <w:pageBreakBefore w:val="0"/>
        <w:widowControl w:val="0"/>
        <w:tabs>
          <w:tab w:val="left" w:pos="960"/>
        </w:tabs>
        <w:kinsoku/>
        <w:wordWrap/>
        <w:overflowPunct/>
        <w:topLinePunct w:val="0"/>
        <w:autoSpaceDE/>
        <w:autoSpaceDN/>
        <w:bidi w:val="0"/>
        <w:spacing w:before="0" w:after="0" w:line="312" w:lineRule="auto"/>
        <w:ind w:left="0" w:leftChars="0" w:right="0" w:rightChars="0" w:firstLine="482" w:firstLineChars="200"/>
        <w:textAlignment w:val="auto"/>
        <w:rPr>
          <w:rStyle w:val="31"/>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酒后驾驶</w:t>
      </w:r>
    </w:p>
    <w:p w14:paraId="2AB15DE1">
      <w:pPr>
        <w:pStyle w:val="43"/>
        <w:pageBreakBefore w:val="0"/>
        <w:widowControl w:val="0"/>
        <w:kinsoku/>
        <w:wordWrap/>
        <w:overflowPunct/>
        <w:topLinePunct w:val="0"/>
        <w:autoSpaceDE/>
        <w:autoSpaceDN/>
        <w:bidi w:val="0"/>
        <w:spacing w:line="312"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指经检测或者鉴定，发生事故时车辆驾驶人员每百毫升血液中的酒精含量达到或者超过一定的标准，公安机关交通管理部门依据《道路交通安全法》的规定认定为饮酒后驾驶或者醉酒后驾驶。</w:t>
      </w:r>
    </w:p>
    <w:p w14:paraId="3786A72B">
      <w:pPr>
        <w:pStyle w:val="3"/>
        <w:pageBreakBefore w:val="0"/>
        <w:widowControl w:val="0"/>
        <w:tabs>
          <w:tab w:val="left" w:pos="993"/>
        </w:tabs>
        <w:kinsoku/>
        <w:wordWrap/>
        <w:overflowPunct/>
        <w:topLinePunct w:val="0"/>
        <w:autoSpaceDE/>
        <w:autoSpaceDN/>
        <w:bidi w:val="0"/>
        <w:spacing w:before="0" w:after="0" w:line="312" w:lineRule="auto"/>
        <w:ind w:left="0" w:leftChars="0" w:right="0" w:rightChars="0" w:firstLine="482" w:firstLineChars="200"/>
        <w:textAlignment w:val="auto"/>
        <w:rPr>
          <w:rStyle w:val="31"/>
          <w:rFonts w:hint="eastAsia" w:ascii="宋体" w:hAnsi="宋体" w:eastAsia="宋体" w:cs="宋体"/>
          <w:color w:val="auto"/>
          <w:sz w:val="24"/>
          <w:szCs w:val="24"/>
          <w:highlight w:val="none"/>
          <w:u w:val="none"/>
          <w:lang w:val="en-US" w:eastAsia="zh-CN"/>
        </w:rPr>
      </w:pPr>
      <w:r>
        <w:rPr>
          <w:rStyle w:val="31"/>
          <w:rFonts w:hint="eastAsia" w:ascii="宋体" w:hAnsi="宋体" w:eastAsia="宋体" w:cs="宋体"/>
          <w:color w:val="auto"/>
          <w:sz w:val="24"/>
          <w:szCs w:val="24"/>
          <w:highlight w:val="none"/>
          <w:u w:val="none"/>
          <w:lang w:val="en-US" w:eastAsia="zh-CN"/>
        </w:rPr>
        <w:t>4</w:t>
      </w:r>
      <w:r>
        <w:rPr>
          <w:rStyle w:val="31"/>
          <w:rFonts w:hint="eastAsia" w:ascii="宋体" w:hAnsi="宋体" w:eastAsia="宋体" w:cs="宋体"/>
          <w:color w:val="auto"/>
          <w:sz w:val="24"/>
          <w:szCs w:val="24"/>
          <w:highlight w:val="none"/>
          <w:u w:val="none"/>
        </w:rPr>
        <w:t>.</w:t>
      </w:r>
      <w:r>
        <w:rPr>
          <w:rStyle w:val="31"/>
          <w:rFonts w:hint="eastAsia" w:ascii="宋体" w:hAnsi="宋体" w:eastAsia="宋体" w:cs="宋体"/>
          <w:color w:val="auto"/>
          <w:sz w:val="24"/>
          <w:szCs w:val="24"/>
          <w:highlight w:val="none"/>
          <w:u w:val="none"/>
          <w:lang w:val="en-US" w:eastAsia="zh-CN"/>
        </w:rPr>
        <w:t>10</w:t>
      </w:r>
      <w:r>
        <w:rPr>
          <w:rStyle w:val="31"/>
          <w:rFonts w:hint="eastAsia" w:ascii="宋体" w:hAnsi="宋体" w:eastAsia="宋体" w:cs="宋体"/>
          <w:color w:val="auto"/>
          <w:sz w:val="24"/>
          <w:szCs w:val="24"/>
          <w:highlight w:val="none"/>
          <w:u w:val="none"/>
        </w:rPr>
        <w:tab/>
      </w:r>
      <w:r>
        <w:rPr>
          <w:rStyle w:val="31"/>
          <w:rFonts w:hint="eastAsia" w:ascii="宋体" w:hAnsi="宋体" w:eastAsia="宋体" w:cs="宋体"/>
          <w:color w:val="auto"/>
          <w:sz w:val="24"/>
          <w:szCs w:val="24"/>
          <w:highlight w:val="none"/>
          <w:u w:val="none"/>
        </w:rPr>
        <w:t>无合法有效驾驶证</w:t>
      </w:r>
      <w:r>
        <w:rPr>
          <w:rStyle w:val="31"/>
          <w:rFonts w:hint="eastAsia" w:ascii="宋体" w:hAnsi="宋体" w:eastAsia="宋体" w:cs="宋体"/>
          <w:color w:val="auto"/>
          <w:sz w:val="24"/>
          <w:szCs w:val="24"/>
          <w:highlight w:val="none"/>
          <w:u w:val="none"/>
          <w:lang w:val="en-US" w:eastAsia="zh-CN"/>
        </w:rPr>
        <w:t>驾驶</w:t>
      </w:r>
    </w:p>
    <w:p w14:paraId="24053612">
      <w:pPr>
        <w:pStyle w:val="43"/>
        <w:pageBreakBefore w:val="0"/>
        <w:widowControl w:val="0"/>
        <w:kinsoku/>
        <w:wordWrap/>
        <w:overflowPunct/>
        <w:topLinePunct w:val="0"/>
        <w:autoSpaceDE/>
        <w:autoSpaceDN/>
        <w:bidi w:val="0"/>
        <w:spacing w:line="312"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被保险人存在下列情形之一：</w:t>
      </w:r>
    </w:p>
    <w:p w14:paraId="6ED6DA7A">
      <w:pPr>
        <w:pStyle w:val="43"/>
        <w:pageBreakBefore w:val="0"/>
        <w:widowControl w:val="0"/>
        <w:numPr>
          <w:ilvl w:val="0"/>
          <w:numId w:val="0"/>
        </w:numPr>
        <w:kinsoku/>
        <w:wordWrap/>
        <w:overflowPunct/>
        <w:topLinePunct w:val="0"/>
        <w:autoSpaceDE/>
        <w:autoSpaceDN/>
        <w:bidi w:val="0"/>
        <w:spacing w:line="312" w:lineRule="auto"/>
        <w:ind w:left="0" w:leftChars="0" w:right="0" w:righ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（1）没有取得中华人民共和国有关主管部门颁发或者认可的驾驶资格证书；</w:t>
      </w:r>
    </w:p>
    <w:p w14:paraId="325AC482">
      <w:pPr>
        <w:pStyle w:val="43"/>
        <w:pageBreakBefore w:val="0"/>
        <w:widowControl w:val="0"/>
        <w:numPr>
          <w:ilvl w:val="0"/>
          <w:numId w:val="0"/>
        </w:numPr>
        <w:kinsoku/>
        <w:wordWrap/>
        <w:overflowPunct/>
        <w:topLinePunct w:val="0"/>
        <w:autoSpaceDE/>
        <w:autoSpaceDN/>
        <w:bidi w:val="0"/>
        <w:spacing w:line="312" w:lineRule="auto"/>
        <w:ind w:left="0" w:leftChars="0" w:right="0" w:righ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（2）驾驶与驾驶证准驾车型不相符合的车辆；</w:t>
      </w:r>
    </w:p>
    <w:p w14:paraId="07E56B50">
      <w:pPr>
        <w:pStyle w:val="43"/>
        <w:pageBreakBefore w:val="0"/>
        <w:widowControl w:val="0"/>
        <w:numPr>
          <w:ilvl w:val="0"/>
          <w:numId w:val="0"/>
        </w:numPr>
        <w:kinsoku/>
        <w:wordWrap/>
        <w:overflowPunct/>
        <w:topLinePunct w:val="0"/>
        <w:autoSpaceDE/>
        <w:autoSpaceDN/>
        <w:bidi w:val="0"/>
        <w:spacing w:line="312" w:lineRule="auto"/>
        <w:ind w:left="0" w:leftChars="0" w:right="0" w:righ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（3）持审验不合格的驾驶证驾驶；</w:t>
      </w:r>
    </w:p>
    <w:p w14:paraId="334DC6BB">
      <w:pPr>
        <w:pStyle w:val="43"/>
        <w:pageBreakBefore w:val="0"/>
        <w:widowControl w:val="0"/>
        <w:numPr>
          <w:ilvl w:val="0"/>
          <w:numId w:val="0"/>
        </w:numPr>
        <w:kinsoku/>
        <w:wordWrap/>
        <w:overflowPunct/>
        <w:topLinePunct w:val="0"/>
        <w:autoSpaceDE/>
        <w:autoSpaceDN/>
        <w:bidi w:val="0"/>
        <w:spacing w:line="312" w:lineRule="auto"/>
        <w:ind w:left="0" w:leftChars="0" w:right="0" w:righ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（4）持学习驾驶证学习驾车时，无教练员随车指导，或不按指定时间、路线学习驾车。</w:t>
      </w:r>
    </w:p>
    <w:p w14:paraId="786E98A1">
      <w:pPr>
        <w:pStyle w:val="3"/>
        <w:pageBreakBefore w:val="0"/>
        <w:widowControl w:val="0"/>
        <w:tabs>
          <w:tab w:val="left" w:pos="993"/>
        </w:tabs>
        <w:kinsoku/>
        <w:wordWrap/>
        <w:overflowPunct/>
        <w:topLinePunct w:val="0"/>
        <w:autoSpaceDE/>
        <w:autoSpaceDN/>
        <w:bidi w:val="0"/>
        <w:spacing w:before="0" w:after="0" w:line="312" w:lineRule="auto"/>
        <w:ind w:left="0" w:leftChars="0" w:right="0" w:righ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无合法有效行驶证</w:t>
      </w:r>
    </w:p>
    <w:p w14:paraId="4F8B9E21">
      <w:pPr>
        <w:pStyle w:val="43"/>
        <w:pageBreakBefore w:val="0"/>
        <w:widowControl w:val="0"/>
        <w:kinsoku/>
        <w:wordWrap/>
        <w:overflowPunct/>
        <w:topLinePunct w:val="0"/>
        <w:autoSpaceDE/>
        <w:autoSpaceDN/>
        <w:bidi w:val="0"/>
        <w:spacing w:line="312"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发生保险事故时被保险人驾驶的机动车无公安机关交通管理部门、农机部门等政府管理部门核发的行驶证或号牌，或行驶证不在有效期内，或该机动车未按规定检验或检验不合格。</w:t>
      </w:r>
    </w:p>
    <w:p w14:paraId="4B7CB67A">
      <w:pPr>
        <w:pStyle w:val="3"/>
        <w:pageBreakBefore w:val="0"/>
        <w:widowControl w:val="0"/>
        <w:tabs>
          <w:tab w:val="left" w:pos="945"/>
        </w:tabs>
        <w:kinsoku/>
        <w:wordWrap/>
        <w:overflowPunct/>
        <w:topLinePunct w:val="0"/>
        <w:autoSpaceDE/>
        <w:autoSpaceDN/>
        <w:bidi w:val="0"/>
        <w:spacing w:before="0" w:after="0" w:line="312" w:lineRule="auto"/>
        <w:ind w:left="0" w:leftChars="0" w:right="0" w:rightChars="0" w:firstLine="482" w:firstLineChars="200"/>
        <w:jc w:val="left"/>
        <w:textAlignment w:val="auto"/>
        <w:rPr>
          <w:rStyle w:val="31"/>
          <w:rFonts w:hint="eastAsia" w:ascii="宋体" w:hAnsi="宋体" w:eastAsia="宋体" w:cs="宋体"/>
          <w:color w:val="auto"/>
          <w:sz w:val="24"/>
          <w:szCs w:val="24"/>
          <w:highlight w:val="none"/>
          <w:u w:val="none"/>
        </w:rPr>
      </w:pPr>
      <w:r>
        <w:rPr>
          <w:rStyle w:val="31"/>
          <w:rFonts w:hint="eastAsia" w:ascii="宋体" w:hAnsi="宋体" w:eastAsia="宋体" w:cs="宋体"/>
          <w:color w:val="auto"/>
          <w:sz w:val="24"/>
          <w:szCs w:val="24"/>
          <w:highlight w:val="none"/>
          <w:u w:val="none"/>
          <w:lang w:val="en-US" w:eastAsia="zh-CN"/>
        </w:rPr>
        <w:t>4</w:t>
      </w:r>
      <w:r>
        <w:rPr>
          <w:rStyle w:val="31"/>
          <w:rFonts w:hint="eastAsia" w:ascii="宋体" w:hAnsi="宋体" w:eastAsia="宋体" w:cs="宋体"/>
          <w:color w:val="auto"/>
          <w:sz w:val="24"/>
          <w:szCs w:val="24"/>
          <w:highlight w:val="none"/>
          <w:u w:val="none"/>
        </w:rPr>
        <w:t>.</w:t>
      </w:r>
      <w:r>
        <w:rPr>
          <w:rStyle w:val="31"/>
          <w:rFonts w:hint="eastAsia" w:ascii="宋体" w:hAnsi="宋体" w:eastAsia="宋体" w:cs="宋体"/>
          <w:color w:val="auto"/>
          <w:sz w:val="24"/>
          <w:szCs w:val="24"/>
          <w:highlight w:val="none"/>
          <w:u w:val="none"/>
          <w:lang w:val="en-US" w:eastAsia="zh-CN"/>
        </w:rPr>
        <w:t>12</w:t>
      </w:r>
      <w:r>
        <w:rPr>
          <w:rStyle w:val="31"/>
          <w:rFonts w:hint="eastAsia" w:ascii="宋体" w:hAnsi="宋体" w:eastAsia="宋体" w:cs="宋体"/>
          <w:color w:val="auto"/>
          <w:sz w:val="24"/>
          <w:szCs w:val="24"/>
          <w:highlight w:val="none"/>
          <w:u w:val="none"/>
        </w:rPr>
        <w:tab/>
      </w:r>
      <w:r>
        <w:rPr>
          <w:rStyle w:val="31"/>
          <w:rFonts w:hint="eastAsia" w:ascii="宋体" w:hAnsi="宋体" w:eastAsia="宋体" w:cs="宋体"/>
          <w:color w:val="auto"/>
          <w:sz w:val="24"/>
          <w:szCs w:val="24"/>
          <w:highlight w:val="none"/>
          <w:u w:val="none"/>
        </w:rPr>
        <w:t>高风险运动</w:t>
      </w:r>
    </w:p>
    <w:p w14:paraId="25A2BF67">
      <w:pPr>
        <w:pStyle w:val="43"/>
        <w:pageBreakBefore w:val="0"/>
        <w:widowControl w:val="0"/>
        <w:kinsoku/>
        <w:wordWrap/>
        <w:overflowPunct/>
        <w:topLinePunct w:val="0"/>
        <w:autoSpaceDE/>
        <w:autoSpaceDN/>
        <w:bidi w:val="0"/>
        <w:spacing w:line="312" w:lineRule="auto"/>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指运动风险等级高、极易发生人身伤害的运动，包括潜水、滑水、滑雪、滑冰、跳伞、热气球运动、滑翔机、滑翔翼、滑翔伞、动力伞、攀岩运动、探险活动、武术比赛、摔跤比赛、特技表演、赛马、赛车、驾驶卡丁车、蹦极及保险单载明的其他运动。其中：</w:t>
      </w:r>
    </w:p>
    <w:p w14:paraId="45F6D0AC">
      <w:pPr>
        <w:pStyle w:val="43"/>
        <w:pageBreakBefore w:val="0"/>
        <w:widowControl w:val="0"/>
        <w:kinsoku/>
        <w:wordWrap/>
        <w:overflowPunct/>
        <w:topLinePunct w:val="0"/>
        <w:autoSpaceDE/>
        <w:autoSpaceDN/>
        <w:bidi w:val="0"/>
        <w:spacing w:line="312" w:lineRule="auto"/>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（1）潜水：指以辅助呼吸器材在江、河、湖、海、水库、运河等水域进行的水下运动，</w:t>
      </w:r>
      <w:r>
        <w:rPr>
          <w:rFonts w:hint="eastAsia" w:ascii="宋体" w:hAnsi="宋体" w:eastAsia="宋体" w:cs="宋体"/>
          <w:b/>
          <w:bCs/>
          <w:color w:val="auto"/>
          <w:sz w:val="24"/>
          <w:szCs w:val="24"/>
          <w:highlight w:val="none"/>
        </w:rPr>
        <w:t>但穿着救生</w:t>
      </w:r>
      <w:r>
        <w:rPr>
          <w:rFonts w:hint="eastAsia" w:ascii="宋体" w:hAnsi="宋体" w:eastAsia="宋体" w:cs="宋体"/>
          <w:b/>
          <w:bCs/>
          <w:color w:val="auto"/>
          <w:sz w:val="24"/>
          <w:szCs w:val="24"/>
          <w:highlight w:val="none"/>
          <w:lang w:val="en-US" w:eastAsia="zh-CN"/>
        </w:rPr>
        <w:t>衣</w:t>
      </w:r>
      <w:r>
        <w:rPr>
          <w:rFonts w:hint="eastAsia" w:ascii="宋体" w:hAnsi="宋体" w:eastAsia="宋体" w:cs="宋体"/>
          <w:b/>
          <w:bCs/>
          <w:color w:val="auto"/>
          <w:sz w:val="24"/>
          <w:szCs w:val="24"/>
          <w:highlight w:val="none"/>
        </w:rPr>
        <w:t>在水面进行的浮潜活动除外</w:t>
      </w:r>
      <w:r>
        <w:rPr>
          <w:rFonts w:hint="eastAsia" w:ascii="宋体" w:hAnsi="宋体" w:eastAsia="宋体" w:cs="宋体"/>
          <w:color w:val="auto"/>
          <w:sz w:val="24"/>
          <w:szCs w:val="24"/>
          <w:highlight w:val="none"/>
        </w:rPr>
        <w:t>。</w:t>
      </w:r>
    </w:p>
    <w:p w14:paraId="538F52FC">
      <w:pPr>
        <w:pStyle w:val="43"/>
        <w:pageBreakBefore w:val="0"/>
        <w:widowControl w:val="0"/>
        <w:kinsoku/>
        <w:wordWrap/>
        <w:overflowPunct/>
        <w:topLinePunct w:val="0"/>
        <w:autoSpaceDE/>
        <w:autoSpaceDN/>
        <w:bidi w:val="0"/>
        <w:spacing w:line="312" w:lineRule="auto"/>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（2）热气球运动：指乘坐热气球升空飞行的体育活动。</w:t>
      </w:r>
    </w:p>
    <w:p w14:paraId="24AC1D6F">
      <w:pPr>
        <w:pStyle w:val="43"/>
        <w:pageBreakBefore w:val="0"/>
        <w:widowControl w:val="0"/>
        <w:kinsoku/>
        <w:wordWrap/>
        <w:overflowPunct/>
        <w:topLinePunct w:val="0"/>
        <w:autoSpaceDE/>
        <w:autoSpaceDN/>
        <w:bidi w:val="0"/>
        <w:spacing w:line="312" w:lineRule="auto"/>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（3）攀岩运动：指以攀登悬崖、楼宇外墙、人造悬崖、冰崖、冰山等运动。</w:t>
      </w:r>
    </w:p>
    <w:p w14:paraId="4F558507">
      <w:pPr>
        <w:pStyle w:val="43"/>
        <w:pageBreakBefore w:val="0"/>
        <w:widowControl w:val="0"/>
        <w:kinsoku/>
        <w:wordWrap/>
        <w:overflowPunct/>
        <w:topLinePunct w:val="0"/>
        <w:autoSpaceDE/>
        <w:autoSpaceDN/>
        <w:bidi w:val="0"/>
        <w:spacing w:line="312" w:lineRule="auto"/>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探险活动：指明知在某种特定的自然条件下有失去生命或使身体受到伤害的危险，而故意使自己置身其中的行为。如江河漂流、非固定路线徒步、徒步穿越沙漠或人迹罕至的原始森林等活动。</w:t>
      </w:r>
    </w:p>
    <w:p w14:paraId="21233335">
      <w:pPr>
        <w:pStyle w:val="43"/>
        <w:pageBreakBefore w:val="0"/>
        <w:widowControl w:val="0"/>
        <w:kinsoku/>
        <w:wordWrap/>
        <w:overflowPunct/>
        <w:topLinePunct w:val="0"/>
        <w:autoSpaceDE/>
        <w:autoSpaceDN/>
        <w:bidi w:val="0"/>
        <w:spacing w:line="312"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（5）武术比赛：指两人或两人以上对抗性柔道、空手道、跆拳道、散打、拳击等各种拳术及各种使用器械的对抗性比赛。</w:t>
      </w:r>
    </w:p>
    <w:p w14:paraId="364C527B">
      <w:pPr>
        <w:pStyle w:val="43"/>
        <w:pageBreakBefore w:val="0"/>
        <w:widowControl w:val="0"/>
        <w:kinsoku/>
        <w:wordWrap/>
        <w:overflowPunct/>
        <w:topLinePunct w:val="0"/>
        <w:autoSpaceDE/>
        <w:autoSpaceDN/>
        <w:bidi w:val="0"/>
        <w:spacing w:line="312"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（6）特技：指从事马术、杂技、驯兽等特殊技能。</w:t>
      </w:r>
    </w:p>
    <w:p w14:paraId="320BE90E">
      <w:pPr>
        <w:keepNext/>
        <w:keepLines/>
        <w:pageBreakBefore w:val="0"/>
        <w:widowControl w:val="0"/>
        <w:tabs>
          <w:tab w:val="left" w:pos="945"/>
          <w:tab w:val="left" w:pos="993"/>
        </w:tabs>
        <w:kinsoku/>
        <w:wordWrap/>
        <w:overflowPunct/>
        <w:topLinePunct w:val="0"/>
        <w:autoSpaceDE/>
        <w:autoSpaceDN/>
        <w:bidi w:val="0"/>
        <w:snapToGrid w:val="0"/>
        <w:spacing w:line="312" w:lineRule="auto"/>
        <w:ind w:left="0" w:leftChars="0" w:right="0" w:rightChars="0" w:firstLine="482" w:firstLineChars="200"/>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t>挂床住院</w:t>
      </w:r>
    </w:p>
    <w:p w14:paraId="53C874F5">
      <w:pPr>
        <w:pageBreakBefore w:val="0"/>
        <w:widowControl w:val="0"/>
        <w:kinsoku/>
        <w:wordWrap/>
        <w:overflowPunct/>
        <w:topLinePunct w:val="0"/>
        <w:autoSpaceDE/>
        <w:autoSpaceDN/>
        <w:bidi w:val="0"/>
        <w:adjustRightInd w:val="0"/>
        <w:snapToGrid w:val="0"/>
        <w:spacing w:line="312"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指办理正式住院手续的被保险人，在住院期间每日非24小时在床、在院，包括在住院期间连续若干日无任何治疗，只发生护理费、诊疗费、床位费的情况。</w:t>
      </w:r>
    </w:p>
    <w:p w14:paraId="0B19AFF4">
      <w:pPr>
        <w:pStyle w:val="3"/>
        <w:pageBreakBefore w:val="0"/>
        <w:widowControl w:val="0"/>
        <w:tabs>
          <w:tab w:val="left" w:pos="945"/>
        </w:tabs>
        <w:kinsoku/>
        <w:wordWrap/>
        <w:overflowPunct/>
        <w:topLinePunct w:val="0"/>
        <w:autoSpaceDE/>
        <w:autoSpaceDN/>
        <w:bidi w:val="0"/>
        <w:spacing w:before="0" w:after="0" w:line="312" w:lineRule="auto"/>
        <w:ind w:left="0" w:leftChars="0" w:right="0" w:righ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保险金申请人</w:t>
      </w:r>
    </w:p>
    <w:p w14:paraId="50F10C5A">
      <w:pPr>
        <w:pStyle w:val="43"/>
        <w:pageBreakBefore w:val="0"/>
        <w:widowControl w:val="0"/>
        <w:kinsoku/>
        <w:wordWrap/>
        <w:overflowPunct/>
        <w:topLinePunct w:val="0"/>
        <w:autoSpaceDE/>
        <w:autoSpaceDN/>
        <w:bidi w:val="0"/>
        <w:spacing w:line="312" w:lineRule="auto"/>
        <w:ind w:left="0" w:leftChars="0" w:right="0" w:rightChars="0" w:firstLine="480" w:firstLineChars="200"/>
        <w:textAlignment w:val="auto"/>
        <w:rPr>
          <w:rFonts w:hint="eastAsia" w:ascii="宋体" w:hAnsi="宋体" w:eastAsia="宋体" w:cs="宋体"/>
          <w:color w:val="auto"/>
          <w:sz w:val="24"/>
          <w:szCs w:val="24"/>
          <w:highlight w:val="none"/>
        </w:rPr>
      </w:pPr>
      <w:r>
        <w:rPr>
          <w:rStyle w:val="31"/>
          <w:rFonts w:hint="eastAsia" w:ascii="宋体" w:hAnsi="宋体" w:eastAsia="宋体" w:cs="宋体"/>
          <w:color w:val="auto"/>
          <w:sz w:val="24"/>
          <w:szCs w:val="24"/>
          <w:highlight w:val="none"/>
          <w:u w:val="none"/>
        </w:rPr>
        <w:t>除另有约定外，</w:t>
      </w:r>
      <w:r>
        <w:rPr>
          <w:rFonts w:hint="eastAsia" w:ascii="宋体" w:hAnsi="宋体" w:eastAsia="宋体" w:cs="宋体"/>
          <w:color w:val="auto"/>
          <w:sz w:val="24"/>
          <w:szCs w:val="24"/>
          <w:highlight w:val="none"/>
        </w:rPr>
        <w:t>本附加险合同的保险金申请人是指被保险人本人。</w:t>
      </w:r>
    </w:p>
    <w:p w14:paraId="355B618F">
      <w:pPr>
        <w:pStyle w:val="43"/>
        <w:pageBreakBefore w:val="0"/>
        <w:widowControl w:val="0"/>
        <w:kinsoku/>
        <w:wordWrap/>
        <w:overflowPunct/>
        <w:topLinePunct w:val="0"/>
        <w:autoSpaceDE/>
        <w:autoSpaceDN/>
        <w:bidi w:val="0"/>
        <w:spacing w:line="312" w:lineRule="auto"/>
        <w:ind w:left="0" w:leftChars="0" w:right="0" w:rightChars="0" w:firstLine="480" w:firstLineChars="200"/>
        <w:textAlignment w:val="auto"/>
        <w:rPr>
          <w:rFonts w:hint="eastAsia" w:ascii="宋体" w:hAnsi="宋体" w:eastAsia="宋体" w:cs="宋体"/>
          <w:color w:val="auto"/>
          <w:sz w:val="24"/>
          <w:szCs w:val="24"/>
          <w:highlight w:val="none"/>
        </w:rPr>
      </w:pPr>
    </w:p>
    <w:p w14:paraId="188B6FE7">
      <w:pPr>
        <w:pStyle w:val="43"/>
        <w:pageBreakBefore w:val="0"/>
        <w:widowControl w:val="0"/>
        <w:kinsoku/>
        <w:wordWrap/>
        <w:overflowPunct/>
        <w:topLinePunct w:val="0"/>
        <w:autoSpaceDE/>
        <w:autoSpaceDN/>
        <w:bidi w:val="0"/>
        <w:spacing w:line="312" w:lineRule="auto"/>
        <w:ind w:left="0" w:leftChars="0" w:right="0" w:rightChars="0" w:firstLine="480" w:firstLineChars="200"/>
        <w:textAlignment w:val="auto"/>
        <w:rPr>
          <w:rFonts w:hint="eastAsia" w:ascii="宋体" w:hAnsi="宋体" w:eastAsia="宋体" w:cs="宋体"/>
          <w:color w:val="auto"/>
          <w:sz w:val="24"/>
          <w:szCs w:val="24"/>
          <w:highlight w:val="none"/>
        </w:rPr>
      </w:pPr>
    </w:p>
    <w:p w14:paraId="131F21DA">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7C0B494F">
      <w:pPr>
        <w:numPr>
          <w:ilvl w:val="0"/>
          <w:numId w:val="0"/>
        </w:numPr>
        <w:spacing w:line="360" w:lineRule="auto"/>
        <w:ind w:leftChars="0" w:firstLine="482" w:firstLineChars="20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附加救护车费用保险</w:t>
      </w:r>
    </w:p>
    <w:p w14:paraId="001C5B68">
      <w:pPr>
        <w:numPr>
          <w:ilvl w:val="0"/>
          <w:numId w:val="0"/>
        </w:numPr>
        <w:spacing w:line="360" w:lineRule="auto"/>
        <w:ind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总则1.1投保附加险的条件本条款为本保险单约定的意外健康险类主险的附加险条款。只有在投保了主险的基础上，方可投保本附加险。1.2主险与附加险关系凡涉及本附加险合同的约定，均应采用书面形式。主险合同与本附加险合同相抵触之处，以本附加险合同为准；本附加险合同未约定事项，以主险合同为准。主险合同效力终止，本附加险合同效力亦同时终止；主险合同无效，本附加险合同亦无效。1.3受益人除另有约定外，本保险合同保险金的受益人为被保险人本人。2保障内容2.1保险责任投保人在投保2.1.1的基础上可选择投保2.1.2，并在保险单中载明。2.1.1意外伤害救护车费用保险责任被保险人自获得被保资格（见释义）之日起，在保险期间内遭受意外伤害（见释义）并自该意外伤害发生之时起24小时内发生的合理、必要的救护车（见释义）费用，保险人在扣除社会基本医疗保险（见释义）、公费医疗和任何第三方（包括任何商业医疗保险）已经补偿或给付部分以及本附加险合同约定的每人每次事故免赔额后，对其余额按本附加险合同约定的给付比例和每人每次事故赔偿限额给付意外伤害救护车费用保险金。每人每次事故免赔额、给付比例和每人每次事故赔偿限额由投保人、保险人双方约定，并在保险单中载明。保险人所负给付意外伤害救护车费用保险金的责任以本附加险合同项下该被保险人的意外伤害救护车费用保险金额为限，对该被保险人一次或者累计给付意外伤害救护车费用保险金达到本附加险合同项下该被保险人的意外伤害救护车费用保险金额时，本附加险合同对该被保险人的意外伤害救护车费用保险责任终止。2.1.2急性疾病救护车费用保险责任被保险人自获得被保资格之日起，在保险期间内发生本附加险合同约定的急性疾病（见释义）并自该急性疾病发生之时起24小时内发生的合理、必要的救护车费用，保险人在扣除社会基本医疗保险、公费医疗和任何第三方（包括任何商业医疗保险）已经补偿或给付部分以及本附加险合同约定的每人每次事故免赔额后，对其余额按本附加险合同约定的给付比例和每人每次事故赔偿限额给付急性疾病救护车费用保险金。每人每次事故免赔额、给付比例和每人每次事故赔偿限额由投保人、保险人双方约定，并在保险单中载明。保险人所负给付急性疾病救护车费用保险金的责任以本附加险合同项下该被保险人的急性疾病救护车费用保险金额为限，对被保险人一次或者累计给付急性疾病救护车费用保险金达到本附加险合同项下该被保险人的急性疾病救护车费用保险金额时，本附加险合同对该被保险人的急性疾病救护车费用保险责任终止。2.2补偿原则本附加险合同适用补偿原则。被保险人通过任何途径所获得的救护车费用补偿金额总和以其实际支出的救护车费用金额为限。被保险人已经从社会基本医疗保险、公费医疗和任何第三方（包括任何商业医疗保险）获得相关救护车费用补偿的，保险人仅对扣除已获得补偿后的剩余救护车费用，按照本附加险合同约定承担给付保险金责任。2.3责任免除2.3.1因下列情形之一，导致被保险人发生意外伤害或急性疾病的，保险人不承担给付保险金责任：（1）投保人对被保险人的故意杀害、故意伤害；（2）被保险人故意犯罪或抗拒依法采取的刑事强制措施；（3）被保险人故意自伤或自杀，但被保险人自杀时为无民事行为能力人的除外；（4）被保险人挑衅或故意行为而导致的打斗、被袭击或被谋杀；（5）被保险人的产前产后检查、妊娠（含宫外孕）、流产（含人工流产）、分娩（含剖腹产）、避孕、绝育手术、治疗不孕不育症以及上述原因引起的并发症；（6）被保险人接受包括美容、整容、整形手术在内的任何医疗行为而造成的意外；（7）被保险人未遵医嘱服用、涂用、注射药物；（8）被保险人醉酒、受毒品及管制药物（见释义）的影响；（9）被保险人非因意外伤害导致的细菌或病毒感染；（10）任何生物、化学、原子能武器，原子能或核能装置所造成的爆炸、灼伤、污染或辐射；（11）恐怖袭击；（12）战争（见释义）、军事冲突（见释义）、暴乱（见释义）或武装叛乱；（13）被保险人的精神和行为障碍（以世界卫生组织颁布的《疾病和有关健康问题的国际统计分类（ICD-10）》为准）；（14）被保险人酒后驾驶（见释义）、无合法有效驾驶证驾驶（见释义）或驾驶无合法有效行驶证（见释义）的机动交通工具；（15）从事高风险运动（见释义）期间,但被保险人作为专业运动员从事其专业运动除外。（16）遗传性疾病（见释义），先天性畸形、变形或染色体异常（见释义）；（17）被保险人在获得被保资格前所患既往症（见释义）及保险单中特别约定的除外疾病。2.3.2对于任何的急救设备费、院前急救费、医生诊疗费、医药费、担架费、等候费和转院时发生的费用，保险人不承担给付保险金责任。2.3.3对于本附加险合同载明的免赔额，保险人不承担给付保险金的责任。2.4保险金额保险金额是保险人承担给付保险金责任的最高限额，其中意外伤害救护车费用保险金额对应意外伤害救护车费用保险责任，急性疾病救护车费用保险金额对应急性疾病救护车费用保险责任。保险金额由投保人、保险人双方约定，并在保险单中载明。若本保险合同设有每人每次事故赔偿限额的，保险人对该被保险人于任一次保险事故中实际给付的救护车费用的总额不超过保险单所载的每人每次事故赔偿限额。每一被保险人的保险金额和每人每次事故赔偿限额一经确定，在保险期间内不得变更。3保险金申请保险金申请人（见释义）向保险人申请给付保险金时，应填写保险金给付申请书，并提交以下材料。保险金申请人因特殊原因不能提供以下材料的，应提供其它合法有效的材料。若保险金申请人委托他人申请的，还应提供授权委托书原件、委托人和受托人的身份证明等相关证明文件。保险人按照本保险合同的约定，认为有关的证明和资料不完整的，应当及时一次性通知保险金申请人补充提供。保险金申请人未能提供有关材料，导致保险人无法核实该申请的真实性的，保险人对无法核实部分不承担给付保险金的责任。（1）保险金给付申请书；（2）保险单；（3）被保险人身份证明；（4）接诊医院或医疗机构出具的诊断证明、病历、出院小结等；（5）救护车费用收据；（6）对于已经从社会基本医疗保险、公费医疗和任何第三方（包括任何商业医疗保险）获得相关医疗费用补偿的，应提供社会基本医疗保险机构、商业保险机构或其他第三方的医疗费用分割单或医疗费用结算证明；（7）保险金申请人所能提供的与确认保险事故的性质、原因、损失程度等有关的其他证明和资料。4释义4.1获得被保资格无论本附加险合同为首次投保、续保还是非续保的，被保险人获得被保资格的日期均以以下两者中较晚的日期为准：（1）本附加险合同的保险期间起始日；（2）本附加险合同项下增加该被保险人批单所载生效日，有多张批单增加该被保险人的，以最晚批单所载生效日为准。4.2意外伤害指外来的、突发的、非本意的、非疾病的客观事件致使身体受到的伤害。以下情形属于疾病范畴，非本条款所指意外伤害：（1）猝死：指由潜在疾病、身体机能障碍或其他非外来性原因所导致的、在出现急性症状后发生的突然死亡，以医院的诊断或公安、司法机关的鉴定为准；（2）过敏及由过敏引发的变态反应性疾病；（3）高原反应；（4）中暑；（5）细菌、病毒或其他病原体导致的感染性疾病。4.3救护车指由120急救中心或999紧急救援中心派出的救护车。4.4社会基本医疗保险指国家最新修订颁布的《社会保险法》规定的基本医疗保险，包括职工基本医疗保险、城镇居民基本医疗保险、新型农村合作医疗等政府举办的基本医疗保险。4.5急性疾病指被保险人突然发生、不及时救治将危及生命安危的急性疾病或身体症状。投保人和保险人双方还可以约定承保急性疾病的具体种类并在保险中载明。4.6毒品及管制药物指中华人民共和国刑法规定的鸦片、海洛因、甲基苯丙胺（冰毒）、吗啡、大麻、可卡因以及国家规定管制的其他能够使人形成瘾癖的麻醉药品和精神药品,但不包括由医生开具并遵医嘱使用的用于治疗疾病但含有毒品成分的处方药品。4.7战争指国家与国家、民族与民族、政治集团与政治集团之间为了一定的政治、经济目的而进行的武装斗争，以政府宣布为准。4.8军事冲突指国家与民族之间在一定范围内的武装对抗，以政府宣布为准。4.9暴乱指破坏社会秩序的武装骚动，以政府宣布为准。4.10酒后驾驶指经检测或者鉴定，发生事故时车辆驾驶人员每百毫升血液中的酒精含量达到或者超过一定的标准，公安机关交通管理部门依据《道路交通安全法》的规定认定为饮酒后驾驶或者醉酒后驾驶。4.11无合法有效驾驶证驾驶被保险人存在下列情形之一：（1）没有取得中华人民共和国有关主管部门颁发或者认可的驾驶资格证书；（2）驾驶与驾驶证准驾车型不相符合的车辆；（3）持审验不合格的驾驶证驾驶；（4）持学习驾驶证学习驾车时，无教练员随车指导，或不按指定时间、路线学习驾车。4.12无合法有效行驶证发生保险事故时被保险人驾驶的机动车无公安机关交通管理部门、农机部门等政府管理部门核发的行驶证或号牌，或行驶证不在有效期内，或该机动车未按规定检验或检验不合格。4.13高风险运动指运动风险等级高、极易发生人身伤害的运动，包括潜水、滑水、滑雪、滑冰、跳伞、热气球运动、滑翔机、滑翔翼、滑翔伞、动力伞、攀岩运动、探险活动、武术比赛、摔跤比赛、特技表演、赛马、赛车、驾驶卡丁车、蹦极及保险单载明的其他运动。其中：（1）潜水：指以辅助呼吸器材在江、河、湖、海、水库、运河等水域进行的水下运动，但穿着救生衣在水面进行的浮潜活动除外。（2）热气球运动：指乘坐热气球升空飞行的体育活动。（3）攀岩运动：指以攀登悬崖、楼宇外墙、人造悬崖、冰崖、冰山等运动。（4）探险活动：指明知在某种特定的自然条件下有失去生命或使身体受到伤害的危险，而故意使自己置身其中的行为。如江河漂流、非固定路线徒步、徒步穿越沙漠或人迹罕至的原始森林等活动。（5）武术比赛：指两人或两人以上对抗性柔道、空手道、跆拳道</w:t>
      </w:r>
      <w:r>
        <w:rPr>
          <w:rFonts w:hint="eastAsia" w:ascii="宋体" w:hAnsi="宋体" w:eastAsia="宋体" w:cs="宋体"/>
          <w:color w:val="auto"/>
          <w:sz w:val="24"/>
          <w:szCs w:val="24"/>
          <w:highlight w:val="none"/>
        </w:rPr>
        <w:t>、散打、拳击等各种拳术及各种使用器械的对抗性比赛。（6）特技：指从事马术、杂技、驯兽等特殊技能。4.14遗传性疾病指生殖细胞或受精卵的遗传物质（染色体和基因）发生突变或畸变所引起的疾病，通常具有由亲代传至后代的垂直传递的特征。4.15先天性畸形、变形或染色体异常指被保险人出生时就具有的畸形、变形或染色体异常。先天性畸形、变形和染色体异常依照世界卫生组织《疾病和有关健康问题的国际统计分类》（ICD-10）确定。4.16既往症指被保险人获得被保资格前罹患的被保险人已知或应该知道的有关疾病或症状。包括但不限于：（1）被保险人获得被保资格前，医生已有明确诊断，长期治疗未间断；（2）被保险人获得被保资格前，医生已有明确诊断，治疗后症状未完全消失，有间断用药或接受治疗的情况；（3）被保险人获得被保资格前发生，未经医生诊断和治疗，但症状已经显现足以促使一般普通谨慎人士引起注意并寻求诊断、治疗或护理的病症。投保人在投保时告知保险人，经保险人审核同意并在保险单中单独载明不属于既往症的疾病或病症，不属于本附加险合同约定的既往症。4.17保险金申请人除另有约定外，本附加险合同的保险金申请人是指被保险人本人。</w:t>
      </w:r>
    </w:p>
    <w:p w14:paraId="25515148">
      <w:pPr>
        <w:numPr>
          <w:ilvl w:val="0"/>
          <w:numId w:val="0"/>
        </w:numPr>
        <w:spacing w:line="360" w:lineRule="auto"/>
        <w:rPr>
          <w:rFonts w:hint="eastAsia" w:ascii="宋体" w:hAnsi="宋体" w:eastAsia="宋体" w:cs="宋体"/>
          <w:b/>
          <w:bCs/>
          <w:color w:val="auto"/>
          <w:sz w:val="24"/>
          <w:szCs w:val="24"/>
          <w:highlight w:val="none"/>
          <w:lang w:val="en-US" w:eastAsia="zh-CN"/>
        </w:rPr>
      </w:pPr>
    </w:p>
    <w:p w14:paraId="27CF39FF">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00C74BD4">
      <w:pPr>
        <w:numPr>
          <w:ilvl w:val="0"/>
          <w:numId w:val="0"/>
        </w:numPr>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附加扩展中暑保险条款</w:t>
      </w:r>
    </w:p>
    <w:p w14:paraId="2B143EC9">
      <w:pPr>
        <w:numPr>
          <w:ilvl w:val="0"/>
          <w:numId w:val="0"/>
        </w:num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则1.1投保附加险的条件本条款为本保险单约定的意外健康险类保险的附加险条款。只有在投保了主险的基础上，方可投保本附加险。1.2主险与附加险关系凡涉及本附加险合同的约定，均应采用书面形式。主险合同与本附加险合同相抵触之处，以本附加险合同为准；本附加险合同未约定事项，以主险合同为准。主险合同无效，本附加险合同亦无效。2保障内容2.1保险责任如保险合同中包含多个条款，投保人和保险人双方可约定本附加险合同所适用的具体条款；如未约定的，则视为本附加险合同适用于保险合同中的全部条款。如本附加险合同所适用的条款中包含多项保险责任，还可约定本附加险合同所适用的具体保险责任；如未约定的，则视为本附加险合同适用于该条款中的全部保险责任。对于本附加险合同所适用的任一保险责任，投保人和保险人双方还可在所适用保险责任对应保险金额内约定给付限额并在保险单中载明。在保险期间内，被保险人自获得被保资格之日起，因中暑（见释义）而导致发生保险事故或达到保险金给付条件的，保险人将按照本附加险合同所适用的条款承担约定的保险责任。如约定给付限额的，应在给付限额内赔付。3释义3.1中暑指在高温和热辐射的长时间作用下，机体体温调节障碍，水、电解质代谢紊乱及神经系统功能损害症状的总称。</w:t>
      </w:r>
    </w:p>
    <w:p w14:paraId="22183F48">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665D0BFC">
      <w:pPr>
        <w:jc w:val="center"/>
        <w:rPr>
          <w:rFonts w:ascii="宋体" w:hAnsi="宋体" w:eastAsia="宋体" w:cs="宋体"/>
          <w:b/>
          <w:bCs/>
          <w:color w:val="auto"/>
          <w:sz w:val="28"/>
          <w:szCs w:val="28"/>
          <w:highlight w:val="none"/>
        </w:rPr>
      </w:pPr>
      <w:r>
        <w:rPr>
          <w:rFonts w:ascii="宋体" w:hAnsi="宋体" w:eastAsia="宋体" w:cs="宋体"/>
          <w:b/>
          <w:bCs/>
          <w:color w:val="auto"/>
          <w:sz w:val="28"/>
          <w:szCs w:val="28"/>
          <w:highlight w:val="none"/>
        </w:rPr>
        <w:t>附加超龄人员保险条款</w:t>
      </w:r>
    </w:p>
    <w:p w14:paraId="72F95C17">
      <w:pPr>
        <w:spacing w:line="360" w:lineRule="auto"/>
        <w:jc w:val="left"/>
        <w:rPr>
          <w:rFonts w:ascii="宋体" w:hAnsi="宋体" w:eastAsia="宋体" w:cs="宋体"/>
          <w:b/>
          <w:bCs/>
          <w:color w:val="auto"/>
          <w:sz w:val="24"/>
          <w:szCs w:val="24"/>
          <w:highlight w:val="none"/>
        </w:rPr>
      </w:pPr>
      <w:r>
        <w:rPr>
          <w:rFonts w:ascii="宋体" w:hAnsi="宋体" w:eastAsia="宋体" w:cs="宋体"/>
          <w:b/>
          <w:bCs/>
          <w:color w:val="auto"/>
          <w:sz w:val="24"/>
          <w:szCs w:val="24"/>
          <w:highlight w:val="none"/>
        </w:rPr>
        <w:t>1总则</w:t>
      </w:r>
    </w:p>
    <w:p w14:paraId="2A2A39C8">
      <w:pPr>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1.1投保附加险的条件本条款为本保险单约定的意外健康险类保险的附加险条款。只有在投保了主险的基础上，方可投保本附加险。</w:t>
      </w:r>
    </w:p>
    <w:p w14:paraId="2D4D21AD">
      <w:pPr>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1.2主险与附加险关系凡涉及本附加险合同的约定，均应采用书面形式。主险合同与本附加险合同相抵触之处，以本附加险合同为准；本附加险合同未约定事项，以主险合同为准。主险合同无效，本附加险合同亦无效。</w:t>
      </w:r>
    </w:p>
    <w:p w14:paraId="575C63DE">
      <w:pPr>
        <w:spacing w:line="360" w:lineRule="auto"/>
        <w:jc w:val="left"/>
        <w:rPr>
          <w:rFonts w:ascii="宋体" w:hAnsi="宋体" w:eastAsia="宋体" w:cs="宋体"/>
          <w:b/>
          <w:bCs/>
          <w:color w:val="auto"/>
          <w:sz w:val="24"/>
          <w:szCs w:val="24"/>
          <w:highlight w:val="none"/>
        </w:rPr>
      </w:pPr>
      <w:r>
        <w:rPr>
          <w:rFonts w:ascii="宋体" w:hAnsi="宋体" w:eastAsia="宋体" w:cs="宋体"/>
          <w:b/>
          <w:bCs/>
          <w:color w:val="auto"/>
          <w:sz w:val="24"/>
          <w:szCs w:val="24"/>
          <w:highlight w:val="none"/>
        </w:rPr>
        <w:t>2保障内容</w:t>
      </w:r>
    </w:p>
    <w:p w14:paraId="37BEA6DD">
      <w:pPr>
        <w:spacing w:line="360" w:lineRule="auto"/>
        <w:rPr>
          <w:rFonts w:hint="default"/>
          <w:color w:val="auto"/>
          <w:highlight w:val="none"/>
          <w:lang w:val="en-US" w:eastAsia="zh-CN"/>
        </w:rPr>
      </w:pPr>
      <w:r>
        <w:rPr>
          <w:rFonts w:ascii="宋体" w:hAnsi="宋体" w:eastAsia="宋体" w:cs="宋体"/>
          <w:color w:val="auto"/>
          <w:sz w:val="24"/>
          <w:szCs w:val="24"/>
          <w:highlight w:val="none"/>
        </w:rPr>
        <w:t>2.1保险责任经投保人申请，保险人同意，鉴于投保人已交付了附加保险费，对于其他条件均符合主险条款的约定，仅年龄不符合主险条款约定的自然人，保险人可以扩展承保。</w:t>
      </w:r>
    </w:p>
    <w:p w14:paraId="4C114101">
      <w:pPr>
        <w:pStyle w:val="43"/>
        <w:ind w:left="0" w:leftChars="0" w:firstLine="0" w:firstLineChars="0"/>
        <w:rPr>
          <w:rFonts w:ascii="宋体" w:hAnsi="宋体" w:eastAsia="宋体"/>
          <w:color w:val="auto"/>
          <w:szCs w:val="21"/>
          <w:highlight w:val="none"/>
        </w:rPr>
      </w:pPr>
    </w:p>
    <w:p w14:paraId="3BAA160A">
      <w:pPr>
        <w:pStyle w:val="43"/>
        <w:pageBreakBefore w:val="0"/>
        <w:widowControl w:val="0"/>
        <w:kinsoku/>
        <w:wordWrap/>
        <w:overflowPunct/>
        <w:topLinePunct w:val="0"/>
        <w:autoSpaceDE/>
        <w:autoSpaceDN/>
        <w:bidi w:val="0"/>
        <w:spacing w:line="312" w:lineRule="auto"/>
        <w:ind w:left="0" w:leftChars="0" w:right="0" w:rightChars="0" w:firstLine="480" w:firstLineChars="200"/>
        <w:textAlignment w:val="auto"/>
        <w:rPr>
          <w:rFonts w:hint="eastAsia" w:ascii="宋体" w:hAnsi="宋体" w:eastAsia="宋体" w:cs="宋体"/>
          <w:color w:val="auto"/>
          <w:sz w:val="24"/>
          <w:szCs w:val="24"/>
          <w:highlight w:val="none"/>
        </w:rPr>
      </w:pPr>
    </w:p>
    <w:p w14:paraId="3489F528">
      <w:pPr>
        <w:pStyle w:val="43"/>
        <w:ind w:left="945" w:leftChars="450"/>
        <w:rPr>
          <w:rFonts w:ascii="宋体" w:hAnsi="宋体" w:eastAsia="宋体"/>
          <w:color w:val="auto"/>
          <w:szCs w:val="21"/>
          <w:highlight w:val="none"/>
        </w:rPr>
      </w:pPr>
    </w:p>
    <w:p w14:paraId="16458F14">
      <w:pPr>
        <w:pStyle w:val="43"/>
        <w:pageBreakBefore w:val="0"/>
        <w:kinsoku/>
        <w:wordWrap/>
        <w:overflowPunct/>
        <w:topLinePunct w:val="0"/>
        <w:autoSpaceDE/>
        <w:autoSpaceDN/>
        <w:bidi w:val="0"/>
        <w:spacing w:line="360" w:lineRule="auto"/>
        <w:jc w:val="left"/>
        <w:textAlignment w:val="auto"/>
        <w:rPr>
          <w:rFonts w:hint="eastAsia" w:ascii="宋体" w:hAnsi="宋体" w:eastAsia="宋体" w:cs="宋体"/>
          <w:color w:val="auto"/>
          <w:sz w:val="24"/>
          <w:szCs w:val="24"/>
          <w:highlight w:val="none"/>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2C236620-A6AC-4342-BCE5-B9386E39C32B}"/>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2010600010101010101"/>
    <w:charset w:val="86"/>
    <w:family w:val="auto"/>
    <w:pitch w:val="default"/>
    <w:sig w:usb0="00000001" w:usb1="080E0000" w:usb2="00000000" w:usb3="00000000" w:csb0="00040000" w:csb1="00000000"/>
    <w:embedRegular r:id="rId2" w:fontKey="{4E562C44-B51F-4053-9A7D-A2994E072D50}"/>
  </w:font>
  <w:font w:name="方正黑体简体">
    <w:panose1 w:val="02000000000000000000"/>
    <w:charset w:val="86"/>
    <w:family w:val="auto"/>
    <w:pitch w:val="default"/>
    <w:sig w:usb0="A00002BF" w:usb1="184F6CFA" w:usb2="00000012" w:usb3="00000000" w:csb0="00040001" w:csb1="00000000"/>
    <w:embedRegular r:id="rId3" w:fontKey="{EA115608-4456-4C00-83B9-080A803B2FAB}"/>
  </w:font>
  <w:font w:name="仿宋">
    <w:panose1 w:val="02010609060101010101"/>
    <w:charset w:val="86"/>
    <w:family w:val="auto"/>
    <w:pitch w:val="default"/>
    <w:sig w:usb0="800002BF" w:usb1="38CF7CFA" w:usb2="00000016" w:usb3="00000000" w:csb0="00040001" w:csb1="00000000"/>
    <w:embedRegular r:id="rId4" w:fontKey="{B3041744-46DB-4C4B-8181-DAF4C2968452}"/>
  </w:font>
  <w:font w:name="WPSEMBED1">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68548545"/>
    </w:sdtPr>
    <w:sdtContent>
      <w:p w14:paraId="41681E36">
        <w:pPr>
          <w:pStyle w:val="14"/>
          <w:jc w:val="center"/>
        </w:pPr>
        <w:r>
          <w:fldChar w:fldCharType="begin"/>
        </w:r>
        <w:r>
          <w:instrText xml:space="preserve">PAGE   \* MERGEFORMAT</w:instrText>
        </w:r>
        <w:r>
          <w:fldChar w:fldCharType="separate"/>
        </w:r>
        <w:r>
          <w:rPr>
            <w:lang w:val="zh-CN"/>
          </w:rPr>
          <w:t>3</w:t>
        </w:r>
        <w:r>
          <w:rPr>
            <w:lang w:val="zh-CN"/>
          </w:rPr>
          <w:fldChar w:fldCharType="end"/>
        </w:r>
      </w:p>
    </w:sdtContent>
  </w:sdt>
  <w:p w14:paraId="56EA7541">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1E8FFD"/>
    <w:multiLevelType w:val="multilevel"/>
    <w:tmpl w:val="B41E8FFD"/>
    <w:lvl w:ilvl="0" w:tentative="0">
      <w:start w:val="2"/>
      <w:numFmt w:val="decimal"/>
      <w:lvlText w:val="%1"/>
      <w:lvlJc w:val="left"/>
    </w:lvl>
    <w:lvl w:ilvl="1" w:tentative="0">
      <w:start w:val="1"/>
      <w:numFmt w:val="decimal"/>
      <w:lvlText w:val="%1.%2"/>
      <w:lvlJc w:val="left"/>
      <w:pPr>
        <w:tabs>
          <w:tab w:val="left" w:pos="312"/>
        </w:tabs>
        <w:ind w:left="0" w:leftChars="0" w:firstLine="0" w:firstLineChars="0"/>
      </w:pPr>
      <w:rPr>
        <w:rFonts w:hint="default"/>
      </w:rPr>
    </w:lvl>
    <w:lvl w:ilvl="2" w:tentative="0">
      <w:start w:val="1"/>
      <w:numFmt w:val="decimal"/>
      <w:lvlText w:val="%1.%2.%3"/>
      <w:lvlJc w:val="left"/>
      <w:pPr>
        <w:tabs>
          <w:tab w:val="left" w:pos="312"/>
        </w:tabs>
        <w:ind w:left="0" w:leftChars="0" w:firstLine="0" w:firstLineChars="0"/>
      </w:pPr>
      <w:rPr>
        <w:rFonts w:hint="default"/>
      </w:rPr>
    </w:lvl>
    <w:lvl w:ilvl="3" w:tentative="0">
      <w:start w:val="1"/>
      <w:numFmt w:val="decimal"/>
      <w:lvlText w:val="%1.%2.%3.%4"/>
      <w:lvlJc w:val="left"/>
      <w:pPr>
        <w:tabs>
          <w:tab w:val="left" w:pos="312"/>
        </w:tabs>
        <w:ind w:left="0" w:leftChars="0" w:firstLine="0" w:firstLineChars="0"/>
      </w:pPr>
      <w:rPr>
        <w:rFonts w:hint="default"/>
      </w:rPr>
    </w:lvl>
    <w:lvl w:ilvl="4" w:tentative="0">
      <w:start w:val="1"/>
      <w:numFmt w:val="decimal"/>
      <w:lvlText w:val="%1.%2.%3.%4.%5"/>
      <w:lvlJc w:val="left"/>
      <w:pPr>
        <w:tabs>
          <w:tab w:val="left" w:pos="312"/>
        </w:tabs>
        <w:ind w:left="0" w:leftChars="0" w:firstLine="0" w:firstLineChars="0"/>
      </w:pPr>
      <w:rPr>
        <w:rFonts w:hint="default"/>
      </w:rPr>
    </w:lvl>
    <w:lvl w:ilvl="5" w:tentative="0">
      <w:start w:val="1"/>
      <w:numFmt w:val="decimal"/>
      <w:lvlText w:val="%1.%2.%3.%4.%5.%6"/>
      <w:lvlJc w:val="left"/>
      <w:pPr>
        <w:tabs>
          <w:tab w:val="left" w:pos="312"/>
        </w:tabs>
        <w:ind w:left="0" w:leftChars="0" w:firstLine="0" w:firstLineChars="0"/>
      </w:pPr>
      <w:rPr>
        <w:rFonts w:hint="default"/>
      </w:rPr>
    </w:lvl>
    <w:lvl w:ilvl="6" w:tentative="0">
      <w:start w:val="1"/>
      <w:numFmt w:val="decimal"/>
      <w:lvlText w:val="%1.%2.%3.%4.%5.%6.%7"/>
      <w:lvlJc w:val="left"/>
      <w:pPr>
        <w:tabs>
          <w:tab w:val="left" w:pos="312"/>
        </w:tabs>
        <w:ind w:left="0" w:leftChars="0" w:firstLine="0" w:firstLineChars="0"/>
      </w:pPr>
      <w:rPr>
        <w:rFonts w:hint="default"/>
      </w:rPr>
    </w:lvl>
    <w:lvl w:ilvl="7" w:tentative="0">
      <w:start w:val="1"/>
      <w:numFmt w:val="decimal"/>
      <w:lvlText w:val="%1.%2.%3.%4.%5.%6.%7.%8"/>
      <w:lvlJc w:val="left"/>
      <w:pPr>
        <w:tabs>
          <w:tab w:val="left" w:pos="312"/>
        </w:tabs>
        <w:ind w:left="0" w:leftChars="0" w:firstLine="0" w:firstLineChars="0"/>
      </w:pPr>
      <w:rPr>
        <w:rFonts w:hint="default"/>
      </w:rPr>
    </w:lvl>
    <w:lvl w:ilvl="8" w:tentative="0">
      <w:start w:val="1"/>
      <w:numFmt w:val="decimal"/>
      <w:lvlText w:val="%1.%2.%3.%4.%5.%6.%7.%8.%9"/>
      <w:lvlJc w:val="left"/>
      <w:pPr>
        <w:tabs>
          <w:tab w:val="left" w:pos="312"/>
        </w:tabs>
        <w:ind w:left="0" w:leftChars="0" w:firstLine="0" w:firstLineChars="0"/>
      </w:pPr>
      <w:rPr>
        <w:rFonts w:hint="default"/>
      </w:rPr>
    </w:lvl>
  </w:abstractNum>
  <w:abstractNum w:abstractNumId="1">
    <w:nsid w:val="E87696E2"/>
    <w:multiLevelType w:val="singleLevel"/>
    <w:tmpl w:val="E87696E2"/>
    <w:lvl w:ilvl="0" w:tentative="0">
      <w:start w:val="2"/>
      <w:numFmt w:val="chineseCounting"/>
      <w:suff w:val="nothing"/>
      <w:lvlText w:val="%1、"/>
      <w:lvlJc w:val="left"/>
      <w:rPr>
        <w:rFonts w:hint="eastAsia"/>
      </w:rPr>
    </w:lvl>
  </w:abstractNum>
  <w:abstractNum w:abstractNumId="2">
    <w:nsid w:val="EFCEDA54"/>
    <w:multiLevelType w:val="singleLevel"/>
    <w:tmpl w:val="EFCEDA54"/>
    <w:lvl w:ilvl="0" w:tentative="0">
      <w:start w:val="1"/>
      <w:numFmt w:val="chineseCounting"/>
      <w:suff w:val="nothing"/>
      <w:lvlText w:val="（%1）"/>
      <w:lvlJc w:val="left"/>
      <w:rPr>
        <w:rFonts w:hint="eastAsia"/>
      </w:rPr>
    </w:lvl>
  </w:abstractNum>
  <w:abstractNum w:abstractNumId="3">
    <w:nsid w:val="F4040CD7"/>
    <w:multiLevelType w:val="singleLevel"/>
    <w:tmpl w:val="F4040CD7"/>
    <w:lvl w:ilvl="0" w:tentative="0">
      <w:start w:val="9"/>
      <w:numFmt w:val="decimal"/>
      <w:lvlText w:val="%1"/>
      <w:lvlJc w:val="left"/>
    </w:lvl>
  </w:abstractNum>
  <w:abstractNum w:abstractNumId="4">
    <w:nsid w:val="155A5A38"/>
    <w:multiLevelType w:val="multilevel"/>
    <w:tmpl w:val="155A5A38"/>
    <w:lvl w:ilvl="0" w:tentative="0">
      <w:start w:val="1"/>
      <w:numFmt w:val="chineseCountingThousand"/>
      <w:suff w:val="space"/>
      <w:lvlText w:val="第%1条"/>
      <w:lvlJc w:val="left"/>
      <w:pPr>
        <w:ind w:left="6109" w:hanging="1290"/>
      </w:pPr>
      <w:rPr>
        <w:rFonts w:hint="eastAsia" w:ascii="宋体" w:hAnsi="宋体" w:eastAsia="宋体" w:cs="宋体"/>
        <w:b/>
        <w:sz w:val="21"/>
        <w:szCs w:val="21"/>
      </w:rPr>
    </w:lvl>
    <w:lvl w:ilvl="1" w:tentative="0">
      <w:start w:val="1"/>
      <w:numFmt w:val="lowerLetter"/>
      <w:lvlText w:val="%2)"/>
      <w:lvlJc w:val="left"/>
      <w:pPr>
        <w:ind w:left="1479" w:hanging="420"/>
      </w:pPr>
    </w:lvl>
    <w:lvl w:ilvl="2" w:tentative="0">
      <w:start w:val="1"/>
      <w:numFmt w:val="lowerRoman"/>
      <w:lvlText w:val="%3."/>
      <w:lvlJc w:val="right"/>
      <w:pPr>
        <w:ind w:left="1899" w:hanging="420"/>
      </w:pPr>
    </w:lvl>
    <w:lvl w:ilvl="3" w:tentative="0">
      <w:start w:val="1"/>
      <w:numFmt w:val="decimal"/>
      <w:lvlText w:val="%4."/>
      <w:lvlJc w:val="left"/>
      <w:pPr>
        <w:ind w:left="2319" w:hanging="420"/>
      </w:pPr>
    </w:lvl>
    <w:lvl w:ilvl="4" w:tentative="0">
      <w:start w:val="1"/>
      <w:numFmt w:val="lowerLetter"/>
      <w:lvlText w:val="%5)"/>
      <w:lvlJc w:val="left"/>
      <w:pPr>
        <w:ind w:left="2739" w:hanging="420"/>
      </w:pPr>
    </w:lvl>
    <w:lvl w:ilvl="5" w:tentative="0">
      <w:start w:val="1"/>
      <w:numFmt w:val="lowerRoman"/>
      <w:lvlText w:val="%6."/>
      <w:lvlJc w:val="right"/>
      <w:pPr>
        <w:ind w:left="3159" w:hanging="420"/>
      </w:pPr>
    </w:lvl>
    <w:lvl w:ilvl="6" w:tentative="0">
      <w:start w:val="1"/>
      <w:numFmt w:val="decimal"/>
      <w:lvlText w:val="%7."/>
      <w:lvlJc w:val="left"/>
      <w:pPr>
        <w:ind w:left="3579" w:hanging="420"/>
      </w:pPr>
    </w:lvl>
    <w:lvl w:ilvl="7" w:tentative="0">
      <w:start w:val="1"/>
      <w:numFmt w:val="lowerLetter"/>
      <w:lvlText w:val="%8)"/>
      <w:lvlJc w:val="left"/>
      <w:pPr>
        <w:ind w:left="3999" w:hanging="420"/>
      </w:pPr>
    </w:lvl>
    <w:lvl w:ilvl="8" w:tentative="0">
      <w:start w:val="1"/>
      <w:numFmt w:val="lowerRoman"/>
      <w:lvlText w:val="%9."/>
      <w:lvlJc w:val="right"/>
      <w:pPr>
        <w:ind w:left="4419" w:hanging="420"/>
      </w:pPr>
    </w:lvl>
  </w:abstractNum>
  <w:abstractNum w:abstractNumId="5">
    <w:nsid w:val="1DA227AD"/>
    <w:multiLevelType w:val="singleLevel"/>
    <w:tmpl w:val="1DA227AD"/>
    <w:lvl w:ilvl="0" w:tentative="0">
      <w:start w:val="3"/>
      <w:numFmt w:val="chineseCounting"/>
      <w:suff w:val="space"/>
      <w:lvlText w:val="第%1条"/>
      <w:lvlJc w:val="left"/>
      <w:rPr>
        <w:rFonts w:hint="eastAsia"/>
      </w:rPr>
    </w:lvl>
  </w:abstractNum>
  <w:abstractNum w:abstractNumId="6">
    <w:nsid w:val="784AEB7C"/>
    <w:multiLevelType w:val="singleLevel"/>
    <w:tmpl w:val="784AEB7C"/>
    <w:lvl w:ilvl="0" w:tentative="0">
      <w:start w:val="3"/>
      <w:numFmt w:val="chineseCounting"/>
      <w:suff w:val="nothing"/>
      <w:lvlText w:val="（%1）"/>
      <w:lvlJc w:val="left"/>
      <w:rPr>
        <w:rFonts w:hint="eastAsia"/>
      </w:rPr>
    </w:lvl>
  </w:abstractNum>
  <w:num w:numId="1">
    <w:abstractNumId w:val="1"/>
  </w:num>
  <w:num w:numId="2">
    <w:abstractNumId w:val="6"/>
  </w:num>
  <w:num w:numId="3">
    <w:abstractNumId w:val="2"/>
  </w:num>
  <w:num w:numId="4">
    <w:abstractNumId w:val="5"/>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zYjIwYWJlYzAyYWNhY2YwMzAxNGFjNzE4M2RlZjcifQ=="/>
    <w:docVar w:name="KSO_WPS_MARK_KEY" w:val="6880afed-3dad-4a11-8e96-fb81539c9290"/>
  </w:docVars>
  <w:rsids>
    <w:rsidRoot w:val="00ED1B8D"/>
    <w:rsid w:val="0000558F"/>
    <w:rsid w:val="000216AC"/>
    <w:rsid w:val="00022DCC"/>
    <w:rsid w:val="00026297"/>
    <w:rsid w:val="000313E2"/>
    <w:rsid w:val="00034C0B"/>
    <w:rsid w:val="00057B55"/>
    <w:rsid w:val="00061C1D"/>
    <w:rsid w:val="0006553E"/>
    <w:rsid w:val="00081895"/>
    <w:rsid w:val="00094D71"/>
    <w:rsid w:val="000A3E84"/>
    <w:rsid w:val="000A7B17"/>
    <w:rsid w:val="00104B58"/>
    <w:rsid w:val="0013538A"/>
    <w:rsid w:val="001404B3"/>
    <w:rsid w:val="00195CB0"/>
    <w:rsid w:val="001A3C4A"/>
    <w:rsid w:val="001B0369"/>
    <w:rsid w:val="001E4826"/>
    <w:rsid w:val="0021090F"/>
    <w:rsid w:val="002318FD"/>
    <w:rsid w:val="00237B4D"/>
    <w:rsid w:val="002763AF"/>
    <w:rsid w:val="002919C7"/>
    <w:rsid w:val="002B291D"/>
    <w:rsid w:val="002D4122"/>
    <w:rsid w:val="00313679"/>
    <w:rsid w:val="00314080"/>
    <w:rsid w:val="00334ED6"/>
    <w:rsid w:val="00346622"/>
    <w:rsid w:val="00360474"/>
    <w:rsid w:val="00421128"/>
    <w:rsid w:val="00427E19"/>
    <w:rsid w:val="00431522"/>
    <w:rsid w:val="004507CA"/>
    <w:rsid w:val="00467E1E"/>
    <w:rsid w:val="004775A7"/>
    <w:rsid w:val="00491290"/>
    <w:rsid w:val="004A180B"/>
    <w:rsid w:val="004A4A05"/>
    <w:rsid w:val="004A4DC4"/>
    <w:rsid w:val="004A62BB"/>
    <w:rsid w:val="004A78D1"/>
    <w:rsid w:val="004C677F"/>
    <w:rsid w:val="004D03CF"/>
    <w:rsid w:val="00503CA8"/>
    <w:rsid w:val="005246FA"/>
    <w:rsid w:val="0053599B"/>
    <w:rsid w:val="005654FF"/>
    <w:rsid w:val="00591C36"/>
    <w:rsid w:val="00596E38"/>
    <w:rsid w:val="005B3E47"/>
    <w:rsid w:val="005C5AE5"/>
    <w:rsid w:val="005D0B61"/>
    <w:rsid w:val="005E20E4"/>
    <w:rsid w:val="005F2F0D"/>
    <w:rsid w:val="005F54D9"/>
    <w:rsid w:val="00641893"/>
    <w:rsid w:val="00671382"/>
    <w:rsid w:val="00680248"/>
    <w:rsid w:val="00692AFE"/>
    <w:rsid w:val="00693CFB"/>
    <w:rsid w:val="006A321D"/>
    <w:rsid w:val="006C0F92"/>
    <w:rsid w:val="006E012C"/>
    <w:rsid w:val="006E0759"/>
    <w:rsid w:val="00712B94"/>
    <w:rsid w:val="00714B28"/>
    <w:rsid w:val="0072013A"/>
    <w:rsid w:val="00725242"/>
    <w:rsid w:val="00734860"/>
    <w:rsid w:val="00741615"/>
    <w:rsid w:val="00743ECC"/>
    <w:rsid w:val="00751E21"/>
    <w:rsid w:val="00774876"/>
    <w:rsid w:val="007800BC"/>
    <w:rsid w:val="007C4509"/>
    <w:rsid w:val="007C4BF1"/>
    <w:rsid w:val="007C773A"/>
    <w:rsid w:val="007D1966"/>
    <w:rsid w:val="007D30AE"/>
    <w:rsid w:val="007D3FED"/>
    <w:rsid w:val="007E2145"/>
    <w:rsid w:val="00812ED8"/>
    <w:rsid w:val="008204B1"/>
    <w:rsid w:val="00834727"/>
    <w:rsid w:val="00862761"/>
    <w:rsid w:val="008A7E4F"/>
    <w:rsid w:val="008B01FA"/>
    <w:rsid w:val="008C465D"/>
    <w:rsid w:val="009022B1"/>
    <w:rsid w:val="00911611"/>
    <w:rsid w:val="009126C7"/>
    <w:rsid w:val="0092429B"/>
    <w:rsid w:val="009477CC"/>
    <w:rsid w:val="00955EDF"/>
    <w:rsid w:val="009629BD"/>
    <w:rsid w:val="00971DB7"/>
    <w:rsid w:val="00977915"/>
    <w:rsid w:val="00977A22"/>
    <w:rsid w:val="009A150F"/>
    <w:rsid w:val="009D0F5F"/>
    <w:rsid w:val="009F0889"/>
    <w:rsid w:val="00A023DB"/>
    <w:rsid w:val="00A57962"/>
    <w:rsid w:val="00A661E6"/>
    <w:rsid w:val="00A9203C"/>
    <w:rsid w:val="00AC39FE"/>
    <w:rsid w:val="00AE6B3E"/>
    <w:rsid w:val="00AF429D"/>
    <w:rsid w:val="00AF513D"/>
    <w:rsid w:val="00B00CFD"/>
    <w:rsid w:val="00B470EF"/>
    <w:rsid w:val="00B95695"/>
    <w:rsid w:val="00BF64C2"/>
    <w:rsid w:val="00C100CF"/>
    <w:rsid w:val="00C322BC"/>
    <w:rsid w:val="00C419A9"/>
    <w:rsid w:val="00C6497E"/>
    <w:rsid w:val="00C77D41"/>
    <w:rsid w:val="00C813BA"/>
    <w:rsid w:val="00C816B3"/>
    <w:rsid w:val="00CA4553"/>
    <w:rsid w:val="00CB14F2"/>
    <w:rsid w:val="00CB17EC"/>
    <w:rsid w:val="00CF0BD8"/>
    <w:rsid w:val="00D13476"/>
    <w:rsid w:val="00D53C50"/>
    <w:rsid w:val="00D6051B"/>
    <w:rsid w:val="00DA3DD1"/>
    <w:rsid w:val="00DB025A"/>
    <w:rsid w:val="00DC1866"/>
    <w:rsid w:val="00DF0E2F"/>
    <w:rsid w:val="00E00EC1"/>
    <w:rsid w:val="00E767AB"/>
    <w:rsid w:val="00E90B8B"/>
    <w:rsid w:val="00E92F7A"/>
    <w:rsid w:val="00EC0B1B"/>
    <w:rsid w:val="00ED1B8D"/>
    <w:rsid w:val="00ED46C2"/>
    <w:rsid w:val="00ED4859"/>
    <w:rsid w:val="00F00B9A"/>
    <w:rsid w:val="00F215DD"/>
    <w:rsid w:val="00F4589C"/>
    <w:rsid w:val="00F84187"/>
    <w:rsid w:val="00FA4D3C"/>
    <w:rsid w:val="00FA6A78"/>
    <w:rsid w:val="00FB38D6"/>
    <w:rsid w:val="00FB59F9"/>
    <w:rsid w:val="00FD424E"/>
    <w:rsid w:val="00FE3A94"/>
    <w:rsid w:val="01140146"/>
    <w:rsid w:val="015E521A"/>
    <w:rsid w:val="025914C0"/>
    <w:rsid w:val="05714276"/>
    <w:rsid w:val="05A3087A"/>
    <w:rsid w:val="05F81344"/>
    <w:rsid w:val="070619DE"/>
    <w:rsid w:val="07485AE9"/>
    <w:rsid w:val="07701697"/>
    <w:rsid w:val="07B93278"/>
    <w:rsid w:val="083168D9"/>
    <w:rsid w:val="08522AD4"/>
    <w:rsid w:val="088936D1"/>
    <w:rsid w:val="08C13797"/>
    <w:rsid w:val="08E765B3"/>
    <w:rsid w:val="0909381B"/>
    <w:rsid w:val="0A4566B1"/>
    <w:rsid w:val="0A503B7A"/>
    <w:rsid w:val="0AAF3B94"/>
    <w:rsid w:val="0AB66451"/>
    <w:rsid w:val="0B3F7441"/>
    <w:rsid w:val="0C1F70C7"/>
    <w:rsid w:val="0C595B4F"/>
    <w:rsid w:val="0DCC38B8"/>
    <w:rsid w:val="0DD247B0"/>
    <w:rsid w:val="0DD3123D"/>
    <w:rsid w:val="0E160C52"/>
    <w:rsid w:val="0E6013B7"/>
    <w:rsid w:val="0E7853D8"/>
    <w:rsid w:val="0F03739F"/>
    <w:rsid w:val="0F0528B4"/>
    <w:rsid w:val="0F673852"/>
    <w:rsid w:val="0F92702C"/>
    <w:rsid w:val="10992893"/>
    <w:rsid w:val="113373E5"/>
    <w:rsid w:val="11C46FA2"/>
    <w:rsid w:val="11D20449"/>
    <w:rsid w:val="123D1FF4"/>
    <w:rsid w:val="1273286C"/>
    <w:rsid w:val="130E6773"/>
    <w:rsid w:val="132764A0"/>
    <w:rsid w:val="14124BFF"/>
    <w:rsid w:val="145B34F2"/>
    <w:rsid w:val="14844C34"/>
    <w:rsid w:val="14BA370F"/>
    <w:rsid w:val="14EE4C62"/>
    <w:rsid w:val="15003E83"/>
    <w:rsid w:val="15BD330F"/>
    <w:rsid w:val="15DC09BD"/>
    <w:rsid w:val="162064D9"/>
    <w:rsid w:val="17266C8E"/>
    <w:rsid w:val="1791130A"/>
    <w:rsid w:val="17BF0F0A"/>
    <w:rsid w:val="182D3E67"/>
    <w:rsid w:val="184C35EB"/>
    <w:rsid w:val="184C5682"/>
    <w:rsid w:val="189A58E9"/>
    <w:rsid w:val="18D23988"/>
    <w:rsid w:val="1AD87250"/>
    <w:rsid w:val="1AED2CFB"/>
    <w:rsid w:val="1B876668"/>
    <w:rsid w:val="1BAB671B"/>
    <w:rsid w:val="1BC31CAE"/>
    <w:rsid w:val="1D075002"/>
    <w:rsid w:val="1D0B4E33"/>
    <w:rsid w:val="1D25659A"/>
    <w:rsid w:val="1E2D4011"/>
    <w:rsid w:val="1E854615"/>
    <w:rsid w:val="1F44616C"/>
    <w:rsid w:val="1FBE4A51"/>
    <w:rsid w:val="1FCA6753"/>
    <w:rsid w:val="1FF25B62"/>
    <w:rsid w:val="210843BE"/>
    <w:rsid w:val="215E3480"/>
    <w:rsid w:val="21D04F01"/>
    <w:rsid w:val="224E534D"/>
    <w:rsid w:val="225E3BDF"/>
    <w:rsid w:val="233D4998"/>
    <w:rsid w:val="2438426C"/>
    <w:rsid w:val="24EA3E07"/>
    <w:rsid w:val="256E1AAA"/>
    <w:rsid w:val="25DD15C5"/>
    <w:rsid w:val="265B6D45"/>
    <w:rsid w:val="269456DA"/>
    <w:rsid w:val="269D2766"/>
    <w:rsid w:val="27775B7D"/>
    <w:rsid w:val="277C2A42"/>
    <w:rsid w:val="27A03E20"/>
    <w:rsid w:val="27BE5C24"/>
    <w:rsid w:val="27F46EC8"/>
    <w:rsid w:val="27FB2CA3"/>
    <w:rsid w:val="28404570"/>
    <w:rsid w:val="28407873"/>
    <w:rsid w:val="2A1243E7"/>
    <w:rsid w:val="2BD0455A"/>
    <w:rsid w:val="2C2C7470"/>
    <w:rsid w:val="2C4955AF"/>
    <w:rsid w:val="2CFF066C"/>
    <w:rsid w:val="2D365F3B"/>
    <w:rsid w:val="2D797A24"/>
    <w:rsid w:val="2D8E7CF0"/>
    <w:rsid w:val="2DA57F3A"/>
    <w:rsid w:val="2E3005D3"/>
    <w:rsid w:val="2EBB5B81"/>
    <w:rsid w:val="2F4A7D10"/>
    <w:rsid w:val="2F7B2479"/>
    <w:rsid w:val="2FD34892"/>
    <w:rsid w:val="2FE10300"/>
    <w:rsid w:val="30A13BA8"/>
    <w:rsid w:val="315300A8"/>
    <w:rsid w:val="325F5731"/>
    <w:rsid w:val="33D740D7"/>
    <w:rsid w:val="340B17EC"/>
    <w:rsid w:val="34732F0D"/>
    <w:rsid w:val="350D7F97"/>
    <w:rsid w:val="35236B33"/>
    <w:rsid w:val="35646E1B"/>
    <w:rsid w:val="358C6AC8"/>
    <w:rsid w:val="36132C36"/>
    <w:rsid w:val="36DF7E92"/>
    <w:rsid w:val="381478C6"/>
    <w:rsid w:val="386068D0"/>
    <w:rsid w:val="39171252"/>
    <w:rsid w:val="397B6A20"/>
    <w:rsid w:val="399034BF"/>
    <w:rsid w:val="3A2C5149"/>
    <w:rsid w:val="3AAE5446"/>
    <w:rsid w:val="3C184868"/>
    <w:rsid w:val="3C2D0154"/>
    <w:rsid w:val="3C554A8C"/>
    <w:rsid w:val="3C7F0DE5"/>
    <w:rsid w:val="3E0368E3"/>
    <w:rsid w:val="3ECC5115"/>
    <w:rsid w:val="3F1F3924"/>
    <w:rsid w:val="405763C4"/>
    <w:rsid w:val="40CD16F8"/>
    <w:rsid w:val="410C1969"/>
    <w:rsid w:val="421D7764"/>
    <w:rsid w:val="44663053"/>
    <w:rsid w:val="462A5209"/>
    <w:rsid w:val="467A73AF"/>
    <w:rsid w:val="46A66009"/>
    <w:rsid w:val="474A368E"/>
    <w:rsid w:val="47573C81"/>
    <w:rsid w:val="47AC51A3"/>
    <w:rsid w:val="47F01B6B"/>
    <w:rsid w:val="47FA3CDB"/>
    <w:rsid w:val="487813F3"/>
    <w:rsid w:val="49307018"/>
    <w:rsid w:val="495C67D2"/>
    <w:rsid w:val="4A3924BF"/>
    <w:rsid w:val="4B741096"/>
    <w:rsid w:val="4B7F7A96"/>
    <w:rsid w:val="4B9A20F7"/>
    <w:rsid w:val="4BEC17FB"/>
    <w:rsid w:val="4CA44F5B"/>
    <w:rsid w:val="4CD7191D"/>
    <w:rsid w:val="4E03798B"/>
    <w:rsid w:val="4EEA4880"/>
    <w:rsid w:val="4F271E61"/>
    <w:rsid w:val="4FD362C6"/>
    <w:rsid w:val="4FED5EB9"/>
    <w:rsid w:val="506A2194"/>
    <w:rsid w:val="512F2A1E"/>
    <w:rsid w:val="518E7436"/>
    <w:rsid w:val="5254156C"/>
    <w:rsid w:val="52AC5B2D"/>
    <w:rsid w:val="53A77770"/>
    <w:rsid w:val="53C53E43"/>
    <w:rsid w:val="53F66B53"/>
    <w:rsid w:val="53F9634D"/>
    <w:rsid w:val="53FD5DD6"/>
    <w:rsid w:val="546225B7"/>
    <w:rsid w:val="547C3B9E"/>
    <w:rsid w:val="54836136"/>
    <w:rsid w:val="54EC22E2"/>
    <w:rsid w:val="54F30F16"/>
    <w:rsid w:val="55107A0E"/>
    <w:rsid w:val="560501F2"/>
    <w:rsid w:val="57446992"/>
    <w:rsid w:val="57C37163"/>
    <w:rsid w:val="582F759C"/>
    <w:rsid w:val="58C3688D"/>
    <w:rsid w:val="59275011"/>
    <w:rsid w:val="599E6993"/>
    <w:rsid w:val="59A840AE"/>
    <w:rsid w:val="59C90057"/>
    <w:rsid w:val="59D714F6"/>
    <w:rsid w:val="5ADD29F0"/>
    <w:rsid w:val="5B0F2D7B"/>
    <w:rsid w:val="5B4147D2"/>
    <w:rsid w:val="5B7812E7"/>
    <w:rsid w:val="5B982B09"/>
    <w:rsid w:val="5D005F3F"/>
    <w:rsid w:val="5D146B54"/>
    <w:rsid w:val="5D20306D"/>
    <w:rsid w:val="5E70507C"/>
    <w:rsid w:val="5EDA65FB"/>
    <w:rsid w:val="5EFE089B"/>
    <w:rsid w:val="5F0F069E"/>
    <w:rsid w:val="5F6B6043"/>
    <w:rsid w:val="5F6D241A"/>
    <w:rsid w:val="5F9109D7"/>
    <w:rsid w:val="5FBD28AC"/>
    <w:rsid w:val="61534665"/>
    <w:rsid w:val="6170126D"/>
    <w:rsid w:val="61B10CF1"/>
    <w:rsid w:val="62687138"/>
    <w:rsid w:val="63004903"/>
    <w:rsid w:val="63AC2D96"/>
    <w:rsid w:val="64B81F86"/>
    <w:rsid w:val="64BA675B"/>
    <w:rsid w:val="654B2A7B"/>
    <w:rsid w:val="654C00AE"/>
    <w:rsid w:val="659A0956"/>
    <w:rsid w:val="65EC3C24"/>
    <w:rsid w:val="66057BDD"/>
    <w:rsid w:val="66074DA3"/>
    <w:rsid w:val="660E4AFE"/>
    <w:rsid w:val="661B3250"/>
    <w:rsid w:val="667F1C92"/>
    <w:rsid w:val="66B54C8A"/>
    <w:rsid w:val="67035EA1"/>
    <w:rsid w:val="67AD5CEE"/>
    <w:rsid w:val="67DD2D7C"/>
    <w:rsid w:val="67EE6F14"/>
    <w:rsid w:val="67FE3735"/>
    <w:rsid w:val="69107E91"/>
    <w:rsid w:val="6A270136"/>
    <w:rsid w:val="6A464B0D"/>
    <w:rsid w:val="6A7A213F"/>
    <w:rsid w:val="6D09306B"/>
    <w:rsid w:val="6E172888"/>
    <w:rsid w:val="6E283905"/>
    <w:rsid w:val="6E985482"/>
    <w:rsid w:val="6F8F7052"/>
    <w:rsid w:val="6FC104BF"/>
    <w:rsid w:val="6FC354F2"/>
    <w:rsid w:val="6FC86B59"/>
    <w:rsid w:val="700746F7"/>
    <w:rsid w:val="709E6AD1"/>
    <w:rsid w:val="711504B5"/>
    <w:rsid w:val="71293D46"/>
    <w:rsid w:val="7130556B"/>
    <w:rsid w:val="71B92164"/>
    <w:rsid w:val="71E323B9"/>
    <w:rsid w:val="721966C4"/>
    <w:rsid w:val="725E4692"/>
    <w:rsid w:val="72A614F5"/>
    <w:rsid w:val="72CD7A29"/>
    <w:rsid w:val="73A82490"/>
    <w:rsid w:val="747C318B"/>
    <w:rsid w:val="74F3598D"/>
    <w:rsid w:val="751021BE"/>
    <w:rsid w:val="75443212"/>
    <w:rsid w:val="7675583D"/>
    <w:rsid w:val="76D95D10"/>
    <w:rsid w:val="7709593C"/>
    <w:rsid w:val="77DE4513"/>
    <w:rsid w:val="77EA4297"/>
    <w:rsid w:val="78305867"/>
    <w:rsid w:val="785E7641"/>
    <w:rsid w:val="78793171"/>
    <w:rsid w:val="7885141D"/>
    <w:rsid w:val="78D6531D"/>
    <w:rsid w:val="79291653"/>
    <w:rsid w:val="7A0E767B"/>
    <w:rsid w:val="7A7D1EDC"/>
    <w:rsid w:val="7A810ADB"/>
    <w:rsid w:val="7B854C66"/>
    <w:rsid w:val="7C1E31F3"/>
    <w:rsid w:val="7C58082B"/>
    <w:rsid w:val="7C856368"/>
    <w:rsid w:val="7CB04D76"/>
    <w:rsid w:val="7D8A0903"/>
    <w:rsid w:val="7D8E3FAB"/>
    <w:rsid w:val="7E5A745B"/>
    <w:rsid w:val="7EBD1E50"/>
    <w:rsid w:val="7F3947FE"/>
    <w:rsid w:val="7F790BF2"/>
    <w:rsid w:val="7FD735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name="heading 4"/>
    <w:lsdException w:qFormat="1"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qFormat="1" w:unhideWhenUsed="0" w:uiPriority="0" w:semiHidden="0" w:name="Body Text 2"/>
    <w:lsdException w:uiPriority="99" w:name="Body Text 3"/>
    <w:lsdException w:qFormat="1"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5"/>
    <w:qFormat/>
    <w:uiPriority w:val="0"/>
    <w:pPr>
      <w:keepNext/>
      <w:outlineLvl w:val="0"/>
    </w:pPr>
    <w:rPr>
      <w:kern w:val="0"/>
      <w:sz w:val="28"/>
    </w:rPr>
  </w:style>
  <w:style w:type="paragraph" w:styleId="3">
    <w:name w:val="heading 2"/>
    <w:basedOn w:val="1"/>
    <w:next w:val="1"/>
    <w:link w:val="4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nhideWhenUsed/>
    <w:qFormat/>
    <w:uiPriority w:val="9"/>
    <w:pPr>
      <w:keepNext/>
      <w:keepLines/>
      <w:tabs>
        <w:tab w:val="left" w:pos="945"/>
      </w:tabs>
      <w:outlineLvl w:val="2"/>
    </w:pPr>
    <w:rPr>
      <w:rFonts w:asciiTheme="minorEastAsia" w:hAnsiTheme="minorEastAsia" w:eastAsiaTheme="minorEastAsia" w:cstheme="minorEastAsia"/>
      <w:b/>
      <w:bCs/>
      <w:color w:val="000000" w:themeColor="text1"/>
      <w:szCs w:val="21"/>
      <w14:textFill>
        <w14:solidFill>
          <w14:schemeClr w14:val="tx1"/>
        </w14:solidFill>
      </w14:textFill>
    </w:rPr>
  </w:style>
  <w:style w:type="paragraph" w:styleId="5">
    <w:name w:val="heading 5"/>
    <w:basedOn w:val="1"/>
    <w:next w:val="1"/>
    <w:link w:val="45"/>
    <w:unhideWhenUsed/>
    <w:qFormat/>
    <w:uiPriority w:val="0"/>
    <w:pPr>
      <w:keepNext/>
      <w:keepLines/>
      <w:spacing w:before="280" w:after="290" w:line="376" w:lineRule="auto"/>
      <w:outlineLvl w:val="4"/>
    </w:pPr>
    <w:rPr>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Document Map"/>
    <w:basedOn w:val="1"/>
    <w:link w:val="51"/>
    <w:semiHidden/>
    <w:qFormat/>
    <w:uiPriority w:val="0"/>
    <w:pPr>
      <w:shd w:val="clear" w:color="auto" w:fill="000080"/>
    </w:pPr>
  </w:style>
  <w:style w:type="paragraph" w:styleId="8">
    <w:name w:val="annotation text"/>
    <w:basedOn w:val="1"/>
    <w:link w:val="52"/>
    <w:semiHidden/>
    <w:qFormat/>
    <w:uiPriority w:val="0"/>
    <w:pPr>
      <w:jc w:val="left"/>
    </w:pPr>
  </w:style>
  <w:style w:type="paragraph" w:styleId="9">
    <w:name w:val="Body Text"/>
    <w:basedOn w:val="1"/>
    <w:link w:val="57"/>
    <w:qFormat/>
    <w:uiPriority w:val="0"/>
    <w:pPr>
      <w:spacing w:after="120"/>
    </w:pPr>
  </w:style>
  <w:style w:type="paragraph" w:styleId="10">
    <w:name w:val="Body Text Indent"/>
    <w:basedOn w:val="1"/>
    <w:link w:val="46"/>
    <w:unhideWhenUsed/>
    <w:qFormat/>
    <w:uiPriority w:val="0"/>
    <w:pPr>
      <w:spacing w:after="120"/>
      <w:ind w:left="420" w:leftChars="200"/>
    </w:pPr>
  </w:style>
  <w:style w:type="paragraph" w:styleId="11">
    <w:name w:val="Plain Text"/>
    <w:basedOn w:val="1"/>
    <w:link w:val="36"/>
    <w:qFormat/>
    <w:uiPriority w:val="0"/>
    <w:rPr>
      <w:rFonts w:ascii="宋体" w:hAnsi="Courier New"/>
      <w:kern w:val="0"/>
      <w:sz w:val="20"/>
      <w:szCs w:val="21"/>
    </w:rPr>
  </w:style>
  <w:style w:type="paragraph" w:styleId="12">
    <w:name w:val="Body Text Indent 2"/>
    <w:basedOn w:val="1"/>
    <w:link w:val="47"/>
    <w:unhideWhenUsed/>
    <w:qFormat/>
    <w:uiPriority w:val="0"/>
    <w:pPr>
      <w:spacing w:after="120" w:line="480" w:lineRule="auto"/>
      <w:ind w:left="420" w:leftChars="200"/>
    </w:pPr>
  </w:style>
  <w:style w:type="paragraph" w:styleId="13">
    <w:name w:val="Balloon Text"/>
    <w:basedOn w:val="1"/>
    <w:link w:val="41"/>
    <w:semiHidden/>
    <w:unhideWhenUsed/>
    <w:qFormat/>
    <w:uiPriority w:val="0"/>
    <w:rPr>
      <w:sz w:val="18"/>
      <w:szCs w:val="18"/>
    </w:rPr>
  </w:style>
  <w:style w:type="paragraph" w:styleId="14">
    <w:name w:val="footer"/>
    <w:basedOn w:val="1"/>
    <w:link w:val="34"/>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15">
    <w:name w:val="header"/>
    <w:basedOn w:val="1"/>
    <w:link w:val="33"/>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6">
    <w:name w:val="toc 1"/>
    <w:basedOn w:val="1"/>
    <w:next w:val="1"/>
    <w:semiHidden/>
    <w:qFormat/>
    <w:uiPriority w:val="0"/>
  </w:style>
  <w:style w:type="paragraph" w:styleId="17">
    <w:name w:val="Body Text Indent 3"/>
    <w:basedOn w:val="1"/>
    <w:link w:val="37"/>
    <w:qFormat/>
    <w:uiPriority w:val="0"/>
    <w:pPr>
      <w:ind w:left="178" w:leftChars="85" w:firstLine="560" w:firstLineChars="200"/>
    </w:pPr>
    <w:rPr>
      <w:rFonts w:ascii="仿宋_GB2312" w:hAnsi="Arial" w:eastAsia="仿宋_GB2312"/>
      <w:kern w:val="0"/>
      <w:sz w:val="28"/>
    </w:rPr>
  </w:style>
  <w:style w:type="paragraph" w:styleId="18">
    <w:name w:val="toc 2"/>
    <w:basedOn w:val="1"/>
    <w:next w:val="1"/>
    <w:semiHidden/>
    <w:qFormat/>
    <w:uiPriority w:val="0"/>
    <w:pPr>
      <w:tabs>
        <w:tab w:val="right" w:leader="dot" w:pos="8296"/>
      </w:tabs>
      <w:spacing w:before="120"/>
      <w:ind w:left="210"/>
      <w:jc w:val="left"/>
    </w:pPr>
    <w:rPr>
      <w:rFonts w:ascii="仿宋_GB2312" w:eastAsia="仿宋_GB2312"/>
      <w:b/>
      <w:bCs/>
      <w:sz w:val="32"/>
      <w:szCs w:val="22"/>
    </w:rPr>
  </w:style>
  <w:style w:type="paragraph" w:styleId="19">
    <w:name w:val="Body Text 2"/>
    <w:basedOn w:val="1"/>
    <w:link w:val="58"/>
    <w:qFormat/>
    <w:uiPriority w:val="0"/>
    <w:pPr>
      <w:spacing w:after="120" w:line="480" w:lineRule="auto"/>
    </w:pPr>
  </w:style>
  <w:style w:type="paragraph" w:styleId="20">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2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2">
    <w:name w:val="Normal (Web)"/>
    <w:basedOn w:val="1"/>
    <w:qFormat/>
    <w:uiPriority w:val="0"/>
    <w:pPr>
      <w:widowControl/>
      <w:spacing w:before="100" w:beforeAutospacing="1" w:after="100" w:afterAutospacing="1"/>
      <w:jc w:val="left"/>
    </w:pPr>
    <w:rPr>
      <w:rFonts w:hint="eastAsia" w:ascii="宋体" w:hAnsi="宋体"/>
      <w:kern w:val="0"/>
      <w:sz w:val="24"/>
    </w:rPr>
  </w:style>
  <w:style w:type="paragraph" w:styleId="23">
    <w:name w:val="Title"/>
    <w:basedOn w:val="1"/>
    <w:next w:val="1"/>
    <w:link w:val="44"/>
    <w:qFormat/>
    <w:uiPriority w:val="0"/>
    <w:pPr>
      <w:spacing w:before="240" w:after="60"/>
      <w:jc w:val="center"/>
      <w:outlineLvl w:val="0"/>
    </w:pPr>
    <w:rPr>
      <w:rFonts w:ascii="Cambria" w:hAnsi="Cambria"/>
      <w:b/>
      <w:sz w:val="32"/>
    </w:rPr>
  </w:style>
  <w:style w:type="paragraph" w:styleId="24">
    <w:name w:val="annotation subject"/>
    <w:basedOn w:val="8"/>
    <w:next w:val="8"/>
    <w:link w:val="53"/>
    <w:semiHidden/>
    <w:qFormat/>
    <w:uiPriority w:val="0"/>
    <w:rPr>
      <w:b/>
      <w:bCs/>
    </w:rPr>
  </w:style>
  <w:style w:type="paragraph" w:styleId="25">
    <w:name w:val="Body Text First Indent 2"/>
    <w:basedOn w:val="10"/>
    <w:qFormat/>
    <w:uiPriority w:val="99"/>
    <w:pPr>
      <w:ind w:left="0" w:leftChars="0"/>
      <w:jc w:val="center"/>
    </w:pPr>
    <w:rPr>
      <w:szCs w:val="24"/>
    </w:rPr>
  </w:style>
  <w:style w:type="table" w:styleId="27">
    <w:name w:val="Table Grid"/>
    <w:basedOn w:val="26"/>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page number"/>
    <w:basedOn w:val="28"/>
    <w:qFormat/>
    <w:uiPriority w:val="0"/>
  </w:style>
  <w:style w:type="character" w:styleId="30">
    <w:name w:val="FollowedHyperlink"/>
    <w:basedOn w:val="28"/>
    <w:qFormat/>
    <w:uiPriority w:val="0"/>
    <w:rPr>
      <w:color w:val="800080"/>
      <w:u w:val="single"/>
    </w:rPr>
  </w:style>
  <w:style w:type="character" w:styleId="31">
    <w:name w:val="Hyperlink"/>
    <w:basedOn w:val="28"/>
    <w:qFormat/>
    <w:uiPriority w:val="0"/>
    <w:rPr>
      <w:color w:val="0000FF"/>
      <w:u w:val="single"/>
    </w:rPr>
  </w:style>
  <w:style w:type="character" w:styleId="32">
    <w:name w:val="annotation reference"/>
    <w:basedOn w:val="28"/>
    <w:semiHidden/>
    <w:qFormat/>
    <w:uiPriority w:val="0"/>
    <w:rPr>
      <w:sz w:val="21"/>
      <w:szCs w:val="21"/>
    </w:rPr>
  </w:style>
  <w:style w:type="character" w:customStyle="1" w:styleId="33">
    <w:name w:val="页眉 字符"/>
    <w:basedOn w:val="28"/>
    <w:link w:val="15"/>
    <w:qFormat/>
    <w:uiPriority w:val="99"/>
    <w:rPr>
      <w:sz w:val="18"/>
      <w:szCs w:val="18"/>
    </w:rPr>
  </w:style>
  <w:style w:type="character" w:customStyle="1" w:styleId="34">
    <w:name w:val="页脚 字符"/>
    <w:basedOn w:val="28"/>
    <w:link w:val="14"/>
    <w:qFormat/>
    <w:uiPriority w:val="99"/>
    <w:rPr>
      <w:sz w:val="18"/>
      <w:szCs w:val="18"/>
    </w:rPr>
  </w:style>
  <w:style w:type="character" w:customStyle="1" w:styleId="35">
    <w:name w:val="标题 1 字符"/>
    <w:basedOn w:val="28"/>
    <w:link w:val="2"/>
    <w:qFormat/>
    <w:uiPriority w:val="9"/>
    <w:rPr>
      <w:rFonts w:ascii="Times New Roman" w:hAnsi="Times New Roman" w:eastAsia="宋体" w:cs="Times New Roman"/>
      <w:kern w:val="0"/>
      <w:sz w:val="28"/>
      <w:szCs w:val="24"/>
    </w:rPr>
  </w:style>
  <w:style w:type="character" w:customStyle="1" w:styleId="36">
    <w:name w:val="纯文本 字符"/>
    <w:basedOn w:val="28"/>
    <w:link w:val="11"/>
    <w:qFormat/>
    <w:uiPriority w:val="99"/>
    <w:rPr>
      <w:rFonts w:ascii="宋体" w:hAnsi="Courier New" w:eastAsia="宋体" w:cs="Times New Roman"/>
      <w:kern w:val="0"/>
      <w:sz w:val="20"/>
      <w:szCs w:val="21"/>
    </w:rPr>
  </w:style>
  <w:style w:type="character" w:customStyle="1" w:styleId="37">
    <w:name w:val="正文文本缩进 3 字符"/>
    <w:basedOn w:val="28"/>
    <w:link w:val="17"/>
    <w:qFormat/>
    <w:uiPriority w:val="99"/>
    <w:rPr>
      <w:rFonts w:ascii="仿宋_GB2312" w:hAnsi="Arial" w:eastAsia="仿宋_GB2312" w:cs="Times New Roman"/>
      <w:kern w:val="0"/>
      <w:sz w:val="28"/>
      <w:szCs w:val="24"/>
    </w:rPr>
  </w:style>
  <w:style w:type="character" w:customStyle="1" w:styleId="38">
    <w:name w:val="apple-converted-space"/>
    <w:basedOn w:val="28"/>
    <w:qFormat/>
    <w:uiPriority w:val="0"/>
  </w:style>
  <w:style w:type="paragraph" w:customStyle="1" w:styleId="39">
    <w:name w:val="style12"/>
    <w:basedOn w:val="1"/>
    <w:qFormat/>
    <w:uiPriority w:val="0"/>
    <w:pPr>
      <w:widowControl/>
      <w:spacing w:before="100" w:beforeAutospacing="1" w:after="100" w:afterAutospacing="1"/>
      <w:jc w:val="left"/>
    </w:pPr>
    <w:rPr>
      <w:rFonts w:ascii="宋体" w:hAnsi="宋体" w:cs="宋体"/>
      <w:kern w:val="0"/>
      <w:sz w:val="24"/>
    </w:rPr>
  </w:style>
  <w:style w:type="paragraph" w:styleId="40">
    <w:name w:val="List Paragraph"/>
    <w:basedOn w:val="1"/>
    <w:qFormat/>
    <w:uiPriority w:val="34"/>
    <w:pPr>
      <w:ind w:firstLine="420" w:firstLineChars="200"/>
    </w:pPr>
  </w:style>
  <w:style w:type="character" w:customStyle="1" w:styleId="41">
    <w:name w:val="批注框文本 字符"/>
    <w:basedOn w:val="28"/>
    <w:link w:val="13"/>
    <w:semiHidden/>
    <w:qFormat/>
    <w:uiPriority w:val="99"/>
    <w:rPr>
      <w:rFonts w:ascii="Times New Roman" w:hAnsi="Times New Roman" w:eastAsia="宋体" w:cs="Times New Roman"/>
      <w:sz w:val="18"/>
      <w:szCs w:val="18"/>
    </w:rPr>
  </w:style>
  <w:style w:type="paragraph" w:customStyle="1" w:styleId="42">
    <w:name w:val="条款标题"/>
    <w:basedOn w:val="43"/>
    <w:qFormat/>
    <w:uiPriority w:val="0"/>
    <w:pPr>
      <w:tabs>
        <w:tab w:val="left" w:pos="840"/>
      </w:tabs>
      <w:ind w:left="0" w:leftChars="0" w:firstLine="0" w:firstLineChars="0"/>
    </w:pPr>
    <w:rPr>
      <w:b/>
    </w:rPr>
  </w:style>
  <w:style w:type="paragraph" w:customStyle="1" w:styleId="43">
    <w:name w:val="条款正文"/>
    <w:basedOn w:val="1"/>
    <w:qFormat/>
    <w:uiPriority w:val="0"/>
    <w:pPr>
      <w:adjustRightInd w:val="0"/>
      <w:snapToGrid w:val="0"/>
      <w:ind w:left="840" w:leftChars="400" w:firstLine="420" w:firstLineChars="200"/>
    </w:pPr>
  </w:style>
  <w:style w:type="character" w:customStyle="1" w:styleId="44">
    <w:name w:val="标题 字符"/>
    <w:basedOn w:val="28"/>
    <w:link w:val="23"/>
    <w:qFormat/>
    <w:uiPriority w:val="0"/>
    <w:rPr>
      <w:rFonts w:ascii="Cambria" w:hAnsi="Cambria" w:eastAsia="宋体" w:cs="Times New Roman"/>
      <w:b/>
      <w:sz w:val="32"/>
      <w:szCs w:val="24"/>
    </w:rPr>
  </w:style>
  <w:style w:type="character" w:customStyle="1" w:styleId="45">
    <w:name w:val="标题 5 字符"/>
    <w:basedOn w:val="28"/>
    <w:link w:val="5"/>
    <w:semiHidden/>
    <w:qFormat/>
    <w:uiPriority w:val="9"/>
    <w:rPr>
      <w:rFonts w:ascii="Times New Roman" w:hAnsi="Times New Roman" w:eastAsia="宋体" w:cs="Times New Roman"/>
      <w:b/>
      <w:bCs/>
      <w:sz w:val="28"/>
      <w:szCs w:val="28"/>
    </w:rPr>
  </w:style>
  <w:style w:type="character" w:customStyle="1" w:styleId="46">
    <w:name w:val="正文文本缩进 字符"/>
    <w:basedOn w:val="28"/>
    <w:link w:val="10"/>
    <w:semiHidden/>
    <w:qFormat/>
    <w:uiPriority w:val="99"/>
    <w:rPr>
      <w:rFonts w:ascii="Times New Roman" w:hAnsi="Times New Roman" w:eastAsia="宋体" w:cs="Times New Roman"/>
      <w:szCs w:val="24"/>
    </w:rPr>
  </w:style>
  <w:style w:type="character" w:customStyle="1" w:styleId="47">
    <w:name w:val="正文文本缩进 2 字符"/>
    <w:basedOn w:val="28"/>
    <w:link w:val="12"/>
    <w:semiHidden/>
    <w:qFormat/>
    <w:uiPriority w:val="99"/>
    <w:rPr>
      <w:rFonts w:ascii="Times New Roman" w:hAnsi="Times New Roman" w:eastAsia="宋体" w:cs="Times New Roman"/>
      <w:szCs w:val="24"/>
    </w:rPr>
  </w:style>
  <w:style w:type="character" w:customStyle="1" w:styleId="48">
    <w:name w:val="标题 2 字符"/>
    <w:basedOn w:val="28"/>
    <w:link w:val="3"/>
    <w:qFormat/>
    <w:uiPriority w:val="0"/>
    <w:rPr>
      <w:rFonts w:ascii="Arial" w:hAnsi="Arial" w:eastAsia="黑体" w:cs="Times New Roman"/>
      <w:b/>
      <w:bCs/>
      <w:sz w:val="32"/>
      <w:szCs w:val="32"/>
    </w:rPr>
  </w:style>
  <w:style w:type="paragraph" w:customStyle="1" w:styleId="49">
    <w:name w:val="目录"/>
    <w:basedOn w:val="1"/>
    <w:qFormat/>
    <w:uiPriority w:val="0"/>
    <w:rPr>
      <w:rFonts w:ascii="楷体_GB2312" w:eastAsia="楷体_GB2312"/>
      <w:b/>
      <w:bCs/>
      <w:sz w:val="36"/>
      <w:szCs w:val="36"/>
    </w:rPr>
  </w:style>
  <w:style w:type="paragraph" w:customStyle="1" w:styleId="50">
    <w:name w:val="l18"/>
    <w:basedOn w:val="1"/>
    <w:qFormat/>
    <w:uiPriority w:val="0"/>
    <w:pPr>
      <w:widowControl/>
      <w:spacing w:before="100" w:beforeAutospacing="1" w:after="100" w:afterAutospacing="1" w:line="408" w:lineRule="auto"/>
      <w:ind w:firstLine="400"/>
      <w:jc w:val="left"/>
    </w:pPr>
    <w:rPr>
      <w:rFonts w:ascii="宋体" w:hAnsi="宋体"/>
      <w:kern w:val="0"/>
      <w:sz w:val="22"/>
      <w:szCs w:val="22"/>
    </w:rPr>
  </w:style>
  <w:style w:type="character" w:customStyle="1" w:styleId="51">
    <w:name w:val="文档结构图 字符"/>
    <w:basedOn w:val="28"/>
    <w:link w:val="7"/>
    <w:semiHidden/>
    <w:qFormat/>
    <w:uiPriority w:val="0"/>
    <w:rPr>
      <w:rFonts w:ascii="Times New Roman" w:hAnsi="Times New Roman" w:eastAsia="宋体" w:cs="Times New Roman"/>
      <w:szCs w:val="24"/>
      <w:shd w:val="clear" w:color="auto" w:fill="000080"/>
    </w:rPr>
  </w:style>
  <w:style w:type="character" w:customStyle="1" w:styleId="52">
    <w:name w:val="批注文字 字符"/>
    <w:basedOn w:val="28"/>
    <w:link w:val="8"/>
    <w:semiHidden/>
    <w:qFormat/>
    <w:uiPriority w:val="0"/>
    <w:rPr>
      <w:rFonts w:ascii="Times New Roman" w:hAnsi="Times New Roman" w:eastAsia="宋体" w:cs="Times New Roman"/>
      <w:szCs w:val="24"/>
    </w:rPr>
  </w:style>
  <w:style w:type="character" w:customStyle="1" w:styleId="53">
    <w:name w:val="批注主题 字符"/>
    <w:basedOn w:val="52"/>
    <w:link w:val="24"/>
    <w:semiHidden/>
    <w:qFormat/>
    <w:uiPriority w:val="0"/>
    <w:rPr>
      <w:rFonts w:ascii="Times New Roman" w:hAnsi="Times New Roman" w:eastAsia="宋体" w:cs="Times New Roman"/>
      <w:b/>
      <w:bCs/>
      <w:szCs w:val="24"/>
    </w:rPr>
  </w:style>
  <w:style w:type="character" w:customStyle="1" w:styleId="54">
    <w:name w:val="h141"/>
    <w:basedOn w:val="28"/>
    <w:qFormat/>
    <w:uiPriority w:val="0"/>
    <w:rPr>
      <w:rFonts w:hint="default"/>
      <w:spacing w:val="336"/>
      <w:sz w:val="21"/>
      <w:szCs w:val="21"/>
      <w:u w:val="none"/>
    </w:rPr>
  </w:style>
  <w:style w:type="paragraph" w:customStyle="1" w:styleId="55">
    <w:name w:val="国内标题2"/>
    <w:basedOn w:val="3"/>
    <w:qFormat/>
    <w:uiPriority w:val="0"/>
  </w:style>
  <w:style w:type="paragraph" w:customStyle="1" w:styleId="56">
    <w:name w:val="Char"/>
    <w:basedOn w:val="1"/>
    <w:qFormat/>
    <w:uiPriority w:val="0"/>
    <w:rPr>
      <w:rFonts w:ascii="Tahoma" w:hAnsi="Tahoma"/>
      <w:sz w:val="24"/>
      <w:szCs w:val="20"/>
    </w:rPr>
  </w:style>
  <w:style w:type="character" w:customStyle="1" w:styleId="57">
    <w:name w:val="正文文本 字符"/>
    <w:basedOn w:val="28"/>
    <w:link w:val="9"/>
    <w:qFormat/>
    <w:uiPriority w:val="0"/>
    <w:rPr>
      <w:rFonts w:ascii="Times New Roman" w:hAnsi="Times New Roman" w:eastAsia="宋体" w:cs="Times New Roman"/>
      <w:szCs w:val="24"/>
    </w:rPr>
  </w:style>
  <w:style w:type="character" w:customStyle="1" w:styleId="58">
    <w:name w:val="正文文本 2 字符"/>
    <w:basedOn w:val="28"/>
    <w:link w:val="19"/>
    <w:qFormat/>
    <w:uiPriority w:val="0"/>
    <w:rPr>
      <w:rFonts w:ascii="Times New Roman" w:hAnsi="Times New Roman" w:eastAsia="宋体" w:cs="Times New Roman"/>
      <w:szCs w:val="24"/>
    </w:rPr>
  </w:style>
  <w:style w:type="character" w:customStyle="1" w:styleId="59">
    <w:name w:val="apple-style-span"/>
    <w:basedOn w:val="28"/>
    <w:qFormat/>
    <w:uiPriority w:val="0"/>
  </w:style>
  <w:style w:type="paragraph" w:customStyle="1" w:styleId="60">
    <w:name w:val="的"/>
    <w:basedOn w:val="1"/>
    <w:qFormat/>
    <w:uiPriority w:val="0"/>
    <w:pPr>
      <w:tabs>
        <w:tab w:val="left" w:pos="840"/>
      </w:tabs>
      <w:adjustRightInd w:val="0"/>
      <w:snapToGrid w:val="0"/>
      <w:spacing w:line="0" w:lineRule="atLeast"/>
    </w:pPr>
    <w:rPr>
      <w:rFonts w:ascii="宋体" w:hAnsi="宋体" w:cs="宋体"/>
      <w:b/>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26CD9-0DD5-4D05-81D9-81D08B33596B}">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78</Pages>
  <Words>11276</Words>
  <Characters>11478</Characters>
  <Lines>308</Lines>
  <Paragraphs>86</Paragraphs>
  <TotalTime>6</TotalTime>
  <ScaleCrop>false</ScaleCrop>
  <LinksUpToDate>false</LinksUpToDate>
  <CharactersWithSpaces>11573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2023-03-13T01:59:00Z</dcterms:created>
  <dc:creator>User</dc:creator>
  <cp:lastModifiedBy>马晓原</cp:lastModifiedBy>
  <cp:lastPrinted>2022-02-22T07:43:00Z</cp:lastPrinted>
  <dcterms:modified xsi:type="dcterms:W3CDTF">2026-03-17T03:07:39Z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C8DC683880894FAB8F77D624AF755E79</vt:lpwstr>
  </property>
  <property fmtid="{D5CDD505-2E9C-101B-9397-08002B2CF9AE}" pid="4" name="KSOTemplateDocerSaveRecord">
    <vt:lpwstr>eyJoZGlkIjoiOWUwNjk3ZTdkNDZmMjZkZDA2NzI3MjJlMmExNjc3NTEiLCJ1c2VySWQiOiI0NDU3NjY4MjgifQ==</vt:lpwstr>
  </property>
</Properties>
</file>