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503"/>
        <w:gridCol w:w="6356"/>
      </w:tblGrid>
      <w:tr w14:paraId="76E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41" w:type="dxa"/>
            <w:noWrap w:val="0"/>
            <w:vAlign w:val="center"/>
          </w:tcPr>
          <w:p w14:paraId="4A62AB8E">
            <w:pPr>
              <w:spacing w:line="360" w:lineRule="auto"/>
              <w:jc w:val="center"/>
              <w:rPr>
                <w:rFonts w:hint="eastAsia" w:ascii="宋体" w:hAnsi="宋体"/>
                <w:b/>
                <w:bCs/>
                <w:color w:val="auto"/>
                <w:szCs w:val="21"/>
                <w:highlight w:val="none"/>
              </w:rPr>
            </w:pPr>
            <w:bookmarkStart w:id="0" w:name="_GoBack"/>
            <w:r>
              <w:rPr>
                <w:rFonts w:hint="eastAsia" w:ascii="宋体" w:hAnsi="宋体"/>
                <w:b/>
                <w:bCs/>
                <w:color w:val="auto"/>
                <w:szCs w:val="21"/>
                <w:highlight w:val="none"/>
              </w:rPr>
              <w:t>序号</w:t>
            </w:r>
          </w:p>
        </w:tc>
        <w:tc>
          <w:tcPr>
            <w:tcW w:w="2503" w:type="dxa"/>
            <w:noWrap w:val="0"/>
            <w:vAlign w:val="center"/>
          </w:tcPr>
          <w:p w14:paraId="752DD4FB">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内    容</w:t>
            </w:r>
          </w:p>
        </w:tc>
        <w:tc>
          <w:tcPr>
            <w:tcW w:w="6356" w:type="dxa"/>
            <w:noWrap w:val="0"/>
            <w:vAlign w:val="center"/>
          </w:tcPr>
          <w:p w14:paraId="0EA9DC3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说明与要求</w:t>
            </w:r>
          </w:p>
        </w:tc>
      </w:tr>
      <w:tr w14:paraId="4B85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41" w:type="dxa"/>
            <w:noWrap w:val="0"/>
            <w:vAlign w:val="center"/>
          </w:tcPr>
          <w:p w14:paraId="4FC1E27A">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503" w:type="dxa"/>
            <w:noWrap w:val="0"/>
            <w:vAlign w:val="center"/>
          </w:tcPr>
          <w:p w14:paraId="5AE7B12C">
            <w:pPr>
              <w:spacing w:line="360" w:lineRule="auto"/>
              <w:rPr>
                <w:rFonts w:hint="eastAsia" w:ascii="宋体" w:hAnsi="宋体"/>
                <w:color w:val="auto"/>
                <w:szCs w:val="21"/>
                <w:highlight w:val="none"/>
              </w:rPr>
            </w:pPr>
            <w:r>
              <w:rPr>
                <w:rFonts w:hint="eastAsia" w:ascii="宋体" w:hAnsi="宋体"/>
                <w:color w:val="auto"/>
                <w:szCs w:val="21"/>
                <w:highlight w:val="none"/>
              </w:rPr>
              <w:t>项目名称</w:t>
            </w:r>
          </w:p>
        </w:tc>
        <w:tc>
          <w:tcPr>
            <w:tcW w:w="6356" w:type="dxa"/>
            <w:noWrap w:val="0"/>
            <w:vAlign w:val="center"/>
          </w:tcPr>
          <w:p w14:paraId="06416C91">
            <w:pPr>
              <w:spacing w:line="360" w:lineRule="auto"/>
              <w:rPr>
                <w:rFonts w:hint="eastAsia" w:ascii="宋体" w:hAnsi="宋体"/>
                <w:color w:val="auto"/>
                <w:szCs w:val="21"/>
                <w:highlight w:val="none"/>
              </w:rPr>
            </w:pPr>
            <w:r>
              <w:rPr>
                <w:rFonts w:hint="eastAsia"/>
                <w:color w:val="auto"/>
                <w:szCs w:val="21"/>
                <w:highlight w:val="none"/>
              </w:rPr>
              <w:t>项目名称：</w:t>
            </w:r>
            <w:r>
              <w:rPr>
                <w:rFonts w:hint="eastAsia" w:ascii="Times New Roman" w:hAnsi="Times New Roman" w:eastAsia="宋体" w:cs="Times New Roman"/>
                <w:color w:val="auto"/>
                <w:szCs w:val="21"/>
                <w:highlight w:val="none"/>
                <w:u w:val="single"/>
                <w:lang w:eastAsia="zh-CN"/>
              </w:rPr>
              <w:t>国高网</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u w:val="single"/>
                <w:lang w:eastAsia="zh-CN"/>
              </w:rPr>
              <w:t>G5612大理至临沧高速公路南涧至云县段土建八工区国高网 G5612大理至临沧高速公路南涧至云县段土建八工区-小平掌河1号大桥、小平掌河2号大桥、小平掌河3号中桥，桥梁下部构造工程（一标段）</w:t>
            </w:r>
            <w:r>
              <w:rPr>
                <w:rFonts w:hint="eastAsia" w:ascii="Times New Roman" w:hAnsi="Times New Roman" w:eastAsia="宋体" w:cs="Times New Roman"/>
                <w:color w:val="auto"/>
                <w:szCs w:val="21"/>
                <w:highlight w:val="none"/>
                <w:u w:val="single"/>
              </w:rPr>
              <w:t xml:space="preserve"> </w:t>
            </w:r>
          </w:p>
        </w:tc>
      </w:tr>
      <w:tr w14:paraId="6F95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41" w:type="dxa"/>
            <w:noWrap w:val="0"/>
            <w:vAlign w:val="center"/>
          </w:tcPr>
          <w:p w14:paraId="3C0F737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503" w:type="dxa"/>
            <w:noWrap w:val="0"/>
            <w:vAlign w:val="center"/>
          </w:tcPr>
          <w:p w14:paraId="53D111B0">
            <w:pPr>
              <w:spacing w:line="360" w:lineRule="auto"/>
              <w:rPr>
                <w:rFonts w:hint="eastAsia" w:ascii="宋体" w:hAnsi="宋体"/>
                <w:color w:val="auto"/>
                <w:szCs w:val="21"/>
                <w:highlight w:val="none"/>
              </w:rPr>
            </w:pPr>
            <w:r>
              <w:rPr>
                <w:rFonts w:hint="eastAsia" w:ascii="宋体" w:hAnsi="宋体"/>
                <w:color w:val="auto"/>
                <w:szCs w:val="21"/>
                <w:highlight w:val="none"/>
              </w:rPr>
              <w:t>招标人</w:t>
            </w:r>
          </w:p>
        </w:tc>
        <w:tc>
          <w:tcPr>
            <w:tcW w:w="6356" w:type="dxa"/>
            <w:noWrap w:val="0"/>
            <w:vAlign w:val="center"/>
          </w:tcPr>
          <w:p w14:paraId="2735A91C">
            <w:pPr>
              <w:spacing w:line="360" w:lineRule="auto"/>
              <w:rPr>
                <w:color w:val="auto"/>
                <w:szCs w:val="21"/>
                <w:highlight w:val="none"/>
              </w:rPr>
            </w:pPr>
            <w:r>
              <w:rPr>
                <w:rFonts w:hint="eastAsia"/>
                <w:color w:val="auto"/>
                <w:szCs w:val="21"/>
                <w:highlight w:val="none"/>
              </w:rPr>
              <w:t>单位名称</w:t>
            </w:r>
            <w:r>
              <w:rPr>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云南省建设投资控股集团有限公司</w:t>
            </w:r>
            <w:r>
              <w:rPr>
                <w:rFonts w:hint="eastAsia" w:ascii="宋体" w:hAnsi="宋体"/>
                <w:color w:val="auto"/>
                <w:szCs w:val="21"/>
                <w:highlight w:val="none"/>
                <w:u w:val="single"/>
              </w:rPr>
              <w:t xml:space="preserve">     </w:t>
            </w:r>
          </w:p>
          <w:p w14:paraId="6B291D74">
            <w:pPr>
              <w:spacing w:line="360" w:lineRule="auto"/>
              <w:rPr>
                <w:rFonts w:hint="eastAsia"/>
                <w:color w:val="auto"/>
                <w:szCs w:val="21"/>
                <w:highlight w:val="none"/>
              </w:rPr>
            </w:pPr>
            <w:r>
              <w:rPr>
                <w:rFonts w:hint="eastAsia"/>
                <w:color w:val="auto"/>
                <w:szCs w:val="21"/>
                <w:highlight w:val="none"/>
              </w:rPr>
              <w:t>地   址：</w:t>
            </w:r>
            <w:r>
              <w:rPr>
                <w:rFonts w:hint="eastAsia" w:ascii="宋体" w:hAnsi="宋体"/>
                <w:color w:val="auto"/>
                <w:szCs w:val="21"/>
                <w:highlight w:val="none"/>
                <w:u w:val="single"/>
                <w:lang w:val="en-US" w:eastAsia="zh-CN"/>
              </w:rPr>
              <w:t>云南省昆明市经济技术开发区信息产业基地林溪路188号</w:t>
            </w:r>
          </w:p>
          <w:p w14:paraId="38E22F10">
            <w:pPr>
              <w:spacing w:line="360" w:lineRule="auto"/>
              <w:rPr>
                <w:rFonts w:hint="eastAsia"/>
                <w:color w:val="auto"/>
                <w:szCs w:val="21"/>
                <w:highlight w:val="none"/>
              </w:rPr>
            </w:pPr>
            <w:r>
              <w:rPr>
                <w:rFonts w:hint="eastAsia"/>
                <w:color w:val="auto"/>
                <w:szCs w:val="21"/>
                <w:highlight w:val="none"/>
              </w:rPr>
              <w:t>联 系 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杨虎雄</w:t>
            </w:r>
            <w:r>
              <w:rPr>
                <w:rFonts w:hint="eastAsia" w:ascii="宋体" w:hAnsi="宋体"/>
                <w:color w:val="auto"/>
                <w:szCs w:val="21"/>
                <w:highlight w:val="none"/>
                <w:u w:val="single"/>
              </w:rPr>
              <w:t xml:space="preserve">              </w:t>
            </w:r>
          </w:p>
          <w:p w14:paraId="24834B45">
            <w:pPr>
              <w:spacing w:line="360" w:lineRule="auto"/>
              <w:rPr>
                <w:color w:val="auto"/>
                <w:szCs w:val="21"/>
                <w:highlight w:val="none"/>
              </w:rPr>
            </w:pPr>
            <w:r>
              <w:rPr>
                <w:rFonts w:hint="eastAsia"/>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18288441482</w:t>
            </w:r>
            <w:r>
              <w:rPr>
                <w:rFonts w:hint="eastAsia" w:ascii="宋体" w:hAnsi="宋体"/>
                <w:color w:val="auto"/>
                <w:szCs w:val="21"/>
                <w:highlight w:val="none"/>
                <w:u w:val="single"/>
              </w:rPr>
              <w:t xml:space="preserve">         </w:t>
            </w:r>
          </w:p>
        </w:tc>
      </w:tr>
      <w:tr w14:paraId="3434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exact"/>
          <w:jc w:val="center"/>
        </w:trPr>
        <w:tc>
          <w:tcPr>
            <w:tcW w:w="1041" w:type="dxa"/>
            <w:noWrap w:val="0"/>
            <w:vAlign w:val="center"/>
          </w:tcPr>
          <w:p w14:paraId="0DE9CB0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503" w:type="dxa"/>
            <w:noWrap w:val="0"/>
            <w:vAlign w:val="center"/>
          </w:tcPr>
          <w:p w14:paraId="744A3287">
            <w:pPr>
              <w:spacing w:line="360" w:lineRule="auto"/>
              <w:rPr>
                <w:rFonts w:hint="eastAsia" w:ascii="宋体" w:hAnsi="宋体"/>
                <w:color w:val="auto"/>
                <w:szCs w:val="21"/>
                <w:highlight w:val="none"/>
              </w:rPr>
            </w:pPr>
            <w:r>
              <w:rPr>
                <w:rFonts w:hint="eastAsia" w:ascii="宋体" w:hAnsi="宋体"/>
                <w:color w:val="auto"/>
                <w:szCs w:val="21"/>
                <w:highlight w:val="none"/>
              </w:rPr>
              <w:t>工程概况</w:t>
            </w:r>
          </w:p>
        </w:tc>
        <w:tc>
          <w:tcPr>
            <w:tcW w:w="6356" w:type="dxa"/>
            <w:noWrap w:val="0"/>
            <w:vAlign w:val="center"/>
          </w:tcPr>
          <w:p w14:paraId="735127DA">
            <w:pPr>
              <w:spacing w:line="360" w:lineRule="auto"/>
              <w:rPr>
                <w:rFonts w:hint="eastAsia"/>
                <w:color w:val="auto"/>
                <w:szCs w:val="21"/>
                <w:highlight w:val="none"/>
              </w:rPr>
            </w:pPr>
            <w:r>
              <w:rPr>
                <w:rFonts w:hint="eastAsia"/>
                <w:color w:val="auto"/>
                <w:szCs w:val="21"/>
                <w:highlight w:val="none"/>
              </w:rPr>
              <w:t>工程名称：</w:t>
            </w:r>
            <w:r>
              <w:rPr>
                <w:rFonts w:hint="eastAsia"/>
                <w:color w:val="auto"/>
                <w:szCs w:val="21"/>
                <w:highlight w:val="none"/>
                <w:lang w:val="en-US" w:eastAsia="zh-CN"/>
              </w:rPr>
              <w:t xml:space="preserve"> </w:t>
            </w:r>
            <w:r>
              <w:rPr>
                <w:rFonts w:hint="eastAsia" w:ascii="Times New Roman" w:hAnsi="Times New Roman" w:eastAsia="宋体" w:cs="Times New Roman"/>
                <w:color w:val="auto"/>
                <w:szCs w:val="21"/>
                <w:highlight w:val="none"/>
                <w:u w:val="single"/>
                <w:lang w:eastAsia="zh-CN"/>
              </w:rPr>
              <w:t>国高网</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u w:val="single"/>
                <w:lang w:eastAsia="zh-CN"/>
              </w:rPr>
              <w:t>G5612大理至临沧高速公路南涧至云县段土建八工区国高网 G5612大理至临沧高速公路南涧至云县段土建八工区-小平掌河1号大桥、小平掌河2号大桥、小平掌河3号中桥，桥梁下部构造工程（一标段）</w:t>
            </w:r>
            <w:r>
              <w:rPr>
                <w:rFonts w:hint="eastAsia" w:ascii="Times New Roman" w:hAnsi="Times New Roman" w:eastAsia="宋体" w:cs="Times New Roman"/>
                <w:color w:val="auto"/>
                <w:szCs w:val="21"/>
                <w:highlight w:val="none"/>
                <w:u w:val="single"/>
              </w:rPr>
              <w:t xml:space="preserve"> </w:t>
            </w:r>
            <w:r>
              <w:rPr>
                <w:rFonts w:hint="eastAsia" w:ascii="宋体" w:hAnsi="宋体"/>
                <w:color w:val="auto"/>
                <w:szCs w:val="21"/>
                <w:highlight w:val="none"/>
                <w:u w:val="single"/>
              </w:rPr>
              <w:t xml:space="preserve"> </w:t>
            </w:r>
          </w:p>
          <w:p w14:paraId="47C9EA94">
            <w:pPr>
              <w:spacing w:line="360" w:lineRule="auto"/>
              <w:rPr>
                <w:rFonts w:hint="eastAsia"/>
                <w:color w:val="auto"/>
                <w:szCs w:val="21"/>
                <w:highlight w:val="none"/>
              </w:rPr>
            </w:pPr>
            <w:r>
              <w:rPr>
                <w:rFonts w:hint="eastAsia"/>
                <w:color w:val="auto"/>
                <w:szCs w:val="21"/>
                <w:highlight w:val="none"/>
              </w:rPr>
              <w:t>工程地址：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云南省普洱市景东县漫湾镇</w:t>
            </w:r>
            <w:r>
              <w:rPr>
                <w:rFonts w:hint="eastAsia" w:ascii="宋体" w:hAnsi="宋体"/>
                <w:color w:val="auto"/>
                <w:szCs w:val="21"/>
                <w:highlight w:val="none"/>
                <w:u w:val="single"/>
              </w:rPr>
              <w:t xml:space="preserve">     </w:t>
            </w:r>
          </w:p>
          <w:p w14:paraId="0E98F588">
            <w:pPr>
              <w:rPr>
                <w:rFonts w:hint="default" w:eastAsia="宋体"/>
                <w:color w:val="auto"/>
                <w:szCs w:val="21"/>
                <w:highlight w:val="none"/>
                <w:lang w:val="en-US" w:eastAsia="zh-CN"/>
              </w:rPr>
            </w:pPr>
            <w:r>
              <w:rPr>
                <w:rFonts w:hint="eastAsia"/>
                <w:color w:val="auto"/>
                <w:szCs w:val="21"/>
                <w:highlight w:val="none"/>
              </w:rPr>
              <w:t>建设规模：</w:t>
            </w:r>
            <w:r>
              <w:rPr>
                <w:rFonts w:hint="eastAsia" w:ascii="宋体" w:hAnsi="宋体"/>
                <w:color w:val="auto"/>
                <w:szCs w:val="21"/>
                <w:highlight w:val="none"/>
                <w:u w:val="single"/>
              </w:rPr>
              <w:t xml:space="preserve"> </w:t>
            </w:r>
            <w:r>
              <w:rPr>
                <w:rFonts w:hint="eastAsia" w:ascii="宋体" w:hAnsi="宋体"/>
                <w:color w:val="auto"/>
                <w:szCs w:val="22"/>
                <w:highlight w:val="none"/>
                <w:u w:val="single"/>
              </w:rPr>
              <w:t>国高网G5612大理至临沧高速公路南涧至云县段土建</w:t>
            </w:r>
            <w:r>
              <w:rPr>
                <w:rFonts w:hint="eastAsia" w:ascii="宋体" w:hAnsi="宋体"/>
                <w:color w:val="auto"/>
                <w:szCs w:val="22"/>
                <w:highlight w:val="none"/>
                <w:u w:val="single"/>
                <w:lang w:eastAsia="zh-CN"/>
              </w:rPr>
              <w:t>八</w:t>
            </w:r>
            <w:r>
              <w:rPr>
                <w:rFonts w:hint="eastAsia" w:ascii="宋体" w:hAnsi="宋体"/>
                <w:color w:val="auto"/>
                <w:szCs w:val="22"/>
                <w:highlight w:val="none"/>
                <w:u w:val="single"/>
              </w:rPr>
              <w:t>工区，起点</w:t>
            </w:r>
            <w:r>
              <w:rPr>
                <w:rFonts w:hint="eastAsia" w:ascii="宋体" w:hAnsi="宋体"/>
                <w:color w:val="auto"/>
                <w:szCs w:val="22"/>
                <w:highlight w:val="none"/>
                <w:u w:val="single"/>
                <w:lang w:val="en-US" w:eastAsia="zh-CN"/>
              </w:rPr>
              <w:t>小平掌河</w:t>
            </w:r>
            <w:r>
              <w:rPr>
                <w:rFonts w:hint="eastAsia" w:ascii="宋体" w:hAnsi="宋体"/>
                <w:color w:val="auto"/>
                <w:szCs w:val="22"/>
                <w:highlight w:val="none"/>
                <w:u w:val="single"/>
              </w:rPr>
              <w:t>1号</w:t>
            </w:r>
            <w:r>
              <w:rPr>
                <w:rFonts w:hint="eastAsia" w:ascii="宋体" w:hAnsi="宋体"/>
                <w:color w:val="auto"/>
                <w:szCs w:val="22"/>
                <w:highlight w:val="none"/>
                <w:u w:val="single"/>
                <w:lang w:eastAsia="zh-CN"/>
              </w:rPr>
              <w:t>大</w:t>
            </w:r>
            <w:r>
              <w:rPr>
                <w:rFonts w:hint="eastAsia" w:ascii="宋体" w:hAnsi="宋体"/>
                <w:color w:val="auto"/>
                <w:szCs w:val="22"/>
                <w:highlight w:val="none"/>
                <w:u w:val="single"/>
              </w:rPr>
              <w:t>桥，终点位于</w:t>
            </w:r>
            <w:r>
              <w:rPr>
                <w:rFonts w:hint="eastAsia" w:ascii="宋体" w:hAnsi="宋体"/>
                <w:color w:val="auto"/>
                <w:szCs w:val="22"/>
                <w:highlight w:val="none"/>
                <w:u w:val="single"/>
                <w:lang w:val="en-US" w:eastAsia="zh-CN"/>
              </w:rPr>
              <w:t>新寨</w:t>
            </w:r>
            <w:r>
              <w:rPr>
                <w:rFonts w:hint="eastAsia" w:ascii="宋体" w:hAnsi="宋体"/>
                <w:color w:val="auto"/>
                <w:szCs w:val="22"/>
                <w:highlight w:val="none"/>
                <w:u w:val="single"/>
              </w:rPr>
              <w:t>隧道</w:t>
            </w:r>
            <w:r>
              <w:rPr>
                <w:rFonts w:hint="eastAsia" w:ascii="宋体" w:hAnsi="宋体"/>
                <w:color w:val="auto"/>
                <w:szCs w:val="22"/>
                <w:highlight w:val="none"/>
                <w:u w:val="single"/>
                <w:lang w:val="en-US" w:eastAsia="zh-CN"/>
              </w:rPr>
              <w:t>出</w:t>
            </w:r>
            <w:r>
              <w:rPr>
                <w:rFonts w:hint="eastAsia" w:ascii="宋体" w:hAnsi="宋体"/>
                <w:color w:val="auto"/>
                <w:szCs w:val="22"/>
                <w:highlight w:val="none"/>
                <w:u w:val="single"/>
              </w:rPr>
              <w:t>口，起止点桩号为</w:t>
            </w:r>
            <w:r>
              <w:rPr>
                <w:rFonts w:hint="default" w:ascii="宋体" w:hAnsi="宋体"/>
                <w:color w:val="auto"/>
                <w:szCs w:val="22"/>
                <w:highlight w:val="none"/>
                <w:u w:val="single"/>
                <w:lang w:val="en-US"/>
              </w:rPr>
              <w:t>K147+212～K151+574（ZK147+156～ZK151+572）</w:t>
            </w:r>
            <w:r>
              <w:rPr>
                <w:rFonts w:hint="eastAsia" w:ascii="宋体" w:hAnsi="宋体"/>
                <w:color w:val="auto"/>
                <w:szCs w:val="22"/>
                <w:highlight w:val="none"/>
                <w:u w:val="single"/>
              </w:rPr>
              <w:t>，</w:t>
            </w:r>
            <w:r>
              <w:rPr>
                <w:rFonts w:hint="eastAsia" w:ascii="宋体" w:hAnsi="宋体"/>
                <w:color w:val="auto"/>
                <w:szCs w:val="22"/>
                <w:highlight w:val="none"/>
                <w:u w:val="single"/>
                <w:lang w:val="en-US" w:eastAsia="zh-CN"/>
              </w:rPr>
              <w:t>右幅</w:t>
            </w:r>
            <w:r>
              <w:rPr>
                <w:rFonts w:hint="eastAsia" w:ascii="宋体" w:hAnsi="宋体"/>
                <w:color w:val="auto"/>
                <w:szCs w:val="22"/>
                <w:highlight w:val="none"/>
                <w:u w:val="single"/>
              </w:rPr>
              <w:t>长4.362km</w:t>
            </w:r>
            <w:r>
              <w:rPr>
                <w:rFonts w:hint="eastAsia" w:ascii="宋体" w:hAnsi="宋体"/>
                <w:color w:val="auto"/>
                <w:szCs w:val="22"/>
                <w:highlight w:val="none"/>
                <w:u w:val="single"/>
                <w:lang w:eastAsia="zh-CN"/>
              </w:rPr>
              <w:t>，</w:t>
            </w:r>
            <w:r>
              <w:rPr>
                <w:rFonts w:hint="eastAsia" w:ascii="宋体" w:hAnsi="宋体"/>
                <w:color w:val="auto"/>
                <w:szCs w:val="22"/>
                <w:highlight w:val="none"/>
                <w:u w:val="single"/>
                <w:lang w:val="en-US" w:eastAsia="zh-CN"/>
              </w:rPr>
              <w:t>左幅长4.416Km</w:t>
            </w:r>
            <w:r>
              <w:rPr>
                <w:rFonts w:hint="eastAsia" w:ascii="宋体" w:hAnsi="宋体"/>
                <w:color w:val="auto"/>
                <w:szCs w:val="22"/>
                <w:highlight w:val="none"/>
                <w:u w:val="single"/>
              </w:rPr>
              <w:t>。</w:t>
            </w:r>
            <w:r>
              <w:rPr>
                <w:rFonts w:hint="eastAsia" w:ascii="宋体" w:hAnsi="宋体"/>
                <w:color w:val="auto"/>
                <w:szCs w:val="22"/>
                <w:highlight w:val="none"/>
                <w:u w:val="single"/>
                <w:lang w:val="en-US" w:eastAsia="zh-CN"/>
              </w:rPr>
              <w:t>本次下部构造主要由</w:t>
            </w:r>
            <w:r>
              <w:rPr>
                <w:rFonts w:hint="eastAsia" w:ascii="Times New Roman" w:hAnsi="Times New Roman" w:eastAsia="宋体" w:cs="Times New Roman"/>
                <w:color w:val="auto"/>
                <w:szCs w:val="21"/>
                <w:highlight w:val="none"/>
                <w:u w:val="single"/>
                <w:lang w:eastAsia="zh-CN"/>
              </w:rPr>
              <w:t>小平掌河1号大桥、小平掌河2号大桥、小平掌河3号中桥</w:t>
            </w:r>
            <w:r>
              <w:rPr>
                <w:rFonts w:hint="eastAsia" w:ascii="Times New Roman" w:hAnsi="Times New Roman" w:eastAsia="宋体" w:cs="Times New Roman"/>
                <w:color w:val="auto"/>
                <w:szCs w:val="21"/>
                <w:highlight w:val="none"/>
                <w:u w:val="single"/>
                <w:lang w:val="en-US" w:eastAsia="zh-CN"/>
              </w:rPr>
              <w:t>桥梁下部构造工程。</w:t>
            </w:r>
          </w:p>
        </w:tc>
      </w:tr>
      <w:tr w14:paraId="7725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41" w:type="dxa"/>
            <w:noWrap w:val="0"/>
            <w:vAlign w:val="center"/>
          </w:tcPr>
          <w:p w14:paraId="6CCE94B6">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503" w:type="dxa"/>
            <w:noWrap w:val="0"/>
            <w:vAlign w:val="center"/>
          </w:tcPr>
          <w:p w14:paraId="489F7F7D">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招标范围</w:t>
            </w:r>
            <w:r>
              <w:rPr>
                <w:rFonts w:hint="eastAsia" w:ascii="宋体" w:hAnsi="宋体"/>
                <w:color w:val="auto"/>
                <w:szCs w:val="21"/>
                <w:highlight w:val="none"/>
                <w:lang w:eastAsia="zh-CN"/>
              </w:rPr>
              <w:t>、</w:t>
            </w:r>
            <w:r>
              <w:rPr>
                <w:rFonts w:hint="eastAsia" w:ascii="宋体" w:hAnsi="宋体"/>
                <w:color w:val="auto"/>
                <w:szCs w:val="21"/>
                <w:highlight w:val="none"/>
              </w:rPr>
              <w:t>标段划分</w:t>
            </w:r>
            <w:r>
              <w:rPr>
                <w:rFonts w:hint="eastAsia" w:ascii="宋体" w:hAnsi="宋体"/>
                <w:color w:val="auto"/>
                <w:szCs w:val="21"/>
                <w:highlight w:val="none"/>
                <w:lang w:eastAsia="zh-CN"/>
              </w:rPr>
              <w:t>及工种</w:t>
            </w:r>
          </w:p>
        </w:tc>
        <w:tc>
          <w:tcPr>
            <w:tcW w:w="6356" w:type="dxa"/>
            <w:noWrap w:val="0"/>
            <w:vAlign w:val="center"/>
          </w:tcPr>
          <w:p w14:paraId="3F146725">
            <w:pPr>
              <w:spacing w:line="360" w:lineRule="auto"/>
              <w:rPr>
                <w:rFonts w:hint="eastAsia"/>
                <w:color w:val="auto"/>
                <w:highlight w:val="none"/>
              </w:rPr>
            </w:pPr>
            <w:r>
              <w:rPr>
                <w:rFonts w:hint="eastAsia"/>
                <w:color w:val="auto"/>
                <w:highlight w:val="none"/>
              </w:rPr>
              <w:t>招标范围：</w:t>
            </w:r>
            <w:r>
              <w:rPr>
                <w:rFonts w:hint="eastAsia" w:ascii="宋体" w:hAnsi="宋体"/>
                <w:color w:val="auto"/>
                <w:szCs w:val="22"/>
                <w:highlight w:val="none"/>
              </w:rPr>
              <w:t xml:space="preserve"> </w:t>
            </w:r>
            <w:r>
              <w:rPr>
                <w:rFonts w:hint="eastAsia" w:ascii="Times New Roman" w:hAnsi="Times New Roman" w:eastAsia="宋体" w:cs="Times New Roman"/>
                <w:color w:val="auto"/>
                <w:szCs w:val="21"/>
                <w:highlight w:val="none"/>
                <w:u w:val="single"/>
                <w:lang w:eastAsia="zh-CN"/>
              </w:rPr>
              <w:t>国高网</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u w:val="single"/>
                <w:lang w:eastAsia="zh-CN"/>
              </w:rPr>
              <w:t>G5612大理至临沧高速公路南涧至云县段土建八工区小平掌河1号大桥、小平掌河2号大桥、小平掌河3号中桥</w:t>
            </w:r>
            <w:r>
              <w:rPr>
                <w:rFonts w:hint="eastAsia" w:ascii="Times New Roman" w:hAnsi="Times New Roman" w:eastAsia="宋体" w:cs="Times New Roman"/>
                <w:color w:val="auto"/>
                <w:szCs w:val="21"/>
                <w:highlight w:val="none"/>
                <w:u w:val="single"/>
                <w:lang w:val="en-US" w:eastAsia="zh-CN"/>
              </w:rPr>
              <w:t>桥梁下部构造工程</w:t>
            </w:r>
            <w:r>
              <w:rPr>
                <w:rFonts w:hint="eastAsia" w:ascii="Times New Roman" w:hAnsi="Times New Roman" w:eastAsia="宋体" w:cs="Times New Roman"/>
                <w:color w:val="auto"/>
                <w:szCs w:val="21"/>
                <w:highlight w:val="none"/>
                <w:u w:val="single"/>
                <w:lang w:eastAsia="zh-CN"/>
              </w:rPr>
              <w:t>。</w:t>
            </w:r>
            <w:r>
              <w:rPr>
                <w:rFonts w:hint="eastAsia"/>
                <w:color w:val="auto"/>
                <w:highlight w:val="none"/>
              </w:rPr>
              <w:t xml:space="preserve"> </w:t>
            </w:r>
          </w:p>
          <w:p w14:paraId="5FF0B42E">
            <w:pPr>
              <w:rPr>
                <w:rFonts w:hint="default"/>
                <w:color w:val="auto"/>
                <w:highlight w:val="none"/>
                <w:u w:val="single"/>
                <w:lang w:val="en-US"/>
              </w:rPr>
            </w:pPr>
            <w:r>
              <w:rPr>
                <w:rFonts w:hint="eastAsia"/>
                <w:color w:val="auto"/>
                <w:highlight w:val="none"/>
              </w:rPr>
              <w:t>标段划分：</w:t>
            </w:r>
            <w:r>
              <w:rPr>
                <w:rFonts w:hint="eastAsia"/>
                <w:color w:val="auto"/>
                <w:highlight w:val="none"/>
                <w:lang w:val="en-US" w:eastAsia="zh-CN"/>
              </w:rPr>
              <w:t xml:space="preserve"> </w:t>
            </w:r>
            <w:r>
              <w:rPr>
                <w:rFonts w:hint="eastAsia"/>
                <w:color w:val="auto"/>
                <w:highlight w:val="none"/>
                <w:u w:val="single"/>
                <w:lang w:val="en-US" w:eastAsia="zh-CN"/>
              </w:rPr>
              <w:t xml:space="preserve"> / </w:t>
            </w:r>
          </w:p>
          <w:p w14:paraId="40D39E6C">
            <w:pPr>
              <w:rPr>
                <w:color w:val="auto"/>
                <w:highlight w:val="none"/>
              </w:rPr>
            </w:pPr>
            <w:r>
              <w:rPr>
                <w:rFonts w:hint="eastAsia"/>
                <w:color w:val="auto"/>
                <w:highlight w:val="none"/>
                <w:lang w:eastAsia="zh-CN"/>
              </w:rPr>
              <w:t>工</w:t>
            </w:r>
            <w:r>
              <w:rPr>
                <w:rFonts w:hint="eastAsia"/>
                <w:color w:val="auto"/>
                <w:highlight w:val="none"/>
                <w:lang w:val="en-US" w:eastAsia="zh-CN"/>
              </w:rPr>
              <w:t xml:space="preserve">    种：</w:t>
            </w:r>
            <w:r>
              <w:rPr>
                <w:rFonts w:hint="eastAsia"/>
                <w:color w:val="auto"/>
                <w:highlight w:val="none"/>
                <w:u w:val="single"/>
              </w:rPr>
              <w:t xml:space="preserve">   </w:t>
            </w:r>
            <w:r>
              <w:rPr>
                <w:rFonts w:hint="eastAsia"/>
                <w:color w:val="auto"/>
                <w:highlight w:val="none"/>
                <w:u w:val="single"/>
                <w:lang w:val="en-US" w:eastAsia="zh-CN"/>
              </w:rPr>
              <w:t>该工程所需的全部工种</w:t>
            </w:r>
            <w:r>
              <w:rPr>
                <w:rFonts w:hint="eastAsia"/>
                <w:color w:val="auto"/>
                <w:highlight w:val="none"/>
                <w:u w:val="single"/>
              </w:rPr>
              <w:t xml:space="preserve">   </w:t>
            </w:r>
          </w:p>
        </w:tc>
      </w:tr>
      <w:tr w14:paraId="04F4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noWrap w:val="0"/>
            <w:vAlign w:val="center"/>
          </w:tcPr>
          <w:p w14:paraId="47E0017F">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2503" w:type="dxa"/>
            <w:noWrap w:val="0"/>
            <w:vAlign w:val="center"/>
          </w:tcPr>
          <w:p w14:paraId="5E30369A">
            <w:pPr>
              <w:spacing w:line="360" w:lineRule="auto"/>
              <w:rPr>
                <w:rFonts w:hint="eastAsia" w:ascii="宋体" w:hAnsi="宋体"/>
                <w:color w:val="auto"/>
                <w:szCs w:val="21"/>
                <w:highlight w:val="none"/>
              </w:rPr>
            </w:pPr>
            <w:r>
              <w:rPr>
                <w:rFonts w:hint="eastAsia" w:ascii="宋体" w:hAnsi="宋体"/>
                <w:color w:val="auto"/>
                <w:szCs w:val="21"/>
                <w:highlight w:val="none"/>
              </w:rPr>
              <w:t>质量要求</w:t>
            </w:r>
          </w:p>
        </w:tc>
        <w:tc>
          <w:tcPr>
            <w:tcW w:w="6356" w:type="dxa"/>
            <w:noWrap w:val="0"/>
            <w:vAlign w:val="center"/>
          </w:tcPr>
          <w:p w14:paraId="175D2F79">
            <w:pPr>
              <w:spacing w:line="360" w:lineRule="auto"/>
              <w:rPr>
                <w:rFonts w:hint="eastAsia" w:ascii="宋体" w:hAnsi="宋体"/>
                <w:color w:val="auto"/>
                <w:szCs w:val="21"/>
                <w:highlight w:val="none"/>
              </w:rPr>
            </w:pPr>
            <w:r>
              <w:rPr>
                <w:rFonts w:hint="eastAsia" w:ascii="宋体" w:hAnsi="宋体" w:cs="宋体"/>
                <w:color w:val="000000"/>
                <w:szCs w:val="21"/>
                <w:highlight w:val="none"/>
                <w:u w:val="single"/>
              </w:rPr>
              <w:t>工程质量应该满足相关技术</w:t>
            </w:r>
            <w:r>
              <w:rPr>
                <w:rFonts w:hint="eastAsia" w:ascii="宋体" w:hAnsi="宋体" w:cs="宋体"/>
                <w:color w:val="000000"/>
                <w:szCs w:val="21"/>
                <w:highlight w:val="none"/>
                <w:u w:val="single"/>
                <w:lang w:val="en-US" w:eastAsia="zh-CN"/>
              </w:rPr>
              <w:t>质量</w:t>
            </w:r>
            <w:r>
              <w:rPr>
                <w:rFonts w:hint="eastAsia" w:ascii="宋体" w:hAnsi="宋体" w:cs="宋体"/>
                <w:color w:val="000000"/>
                <w:szCs w:val="21"/>
                <w:highlight w:val="none"/>
                <w:u w:val="single"/>
              </w:rPr>
              <w:t>标准</w:t>
            </w:r>
            <w:r>
              <w:rPr>
                <w:rFonts w:hint="eastAsia" w:ascii="宋体" w:hAnsi="宋体"/>
                <w:szCs w:val="21"/>
                <w:highlight w:val="none"/>
                <w:u w:val="single"/>
              </w:rPr>
              <w:t>。</w:t>
            </w:r>
          </w:p>
        </w:tc>
      </w:tr>
      <w:tr w14:paraId="4EAB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noWrap w:val="0"/>
            <w:vAlign w:val="center"/>
          </w:tcPr>
          <w:p w14:paraId="5867D435">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503" w:type="dxa"/>
            <w:noWrap w:val="0"/>
            <w:vAlign w:val="center"/>
          </w:tcPr>
          <w:p w14:paraId="2AA36EE8">
            <w:pPr>
              <w:spacing w:line="360" w:lineRule="auto"/>
              <w:rPr>
                <w:rFonts w:ascii="宋体" w:hAnsi="宋体"/>
                <w:color w:val="auto"/>
                <w:szCs w:val="21"/>
                <w:highlight w:val="none"/>
              </w:rPr>
            </w:pPr>
            <w:r>
              <w:rPr>
                <w:rFonts w:hint="eastAsia" w:ascii="宋体" w:hAnsi="宋体"/>
                <w:color w:val="auto"/>
                <w:szCs w:val="21"/>
                <w:highlight w:val="none"/>
              </w:rPr>
              <w:t>安全文明施工要求</w:t>
            </w:r>
          </w:p>
        </w:tc>
        <w:tc>
          <w:tcPr>
            <w:tcW w:w="6356" w:type="dxa"/>
            <w:noWrap w:val="0"/>
            <w:vAlign w:val="center"/>
          </w:tcPr>
          <w:p w14:paraId="2BABD7C9">
            <w:pPr>
              <w:spacing w:line="360" w:lineRule="auto"/>
              <w:rPr>
                <w:rFonts w:hint="eastAsia" w:ascii="宋体" w:hAnsi="宋体" w:eastAsia="宋体" w:cs="宋体"/>
                <w:szCs w:val="21"/>
                <w:u w:val="single"/>
              </w:rPr>
            </w:pPr>
            <w:r>
              <w:rPr>
                <w:rFonts w:hint="eastAsia" w:ascii="宋体" w:hAnsi="宋体" w:eastAsia="宋体" w:cs="宋体"/>
                <w:szCs w:val="21"/>
                <w:u w:val="single"/>
              </w:rPr>
              <w:t>1、认真贯彻执行国家安全生产方针、政策、法规、标准和规范，严格遵守云南建投集团公司安全生产相关禁令、管理文件规定，执行云南省、云南建投集团安全示范工程标准、项目所在地有关安全生产、文明施工的规定，若建设单位或总承包单位要求争创各级优质工程和安全文明标准化工地，无条件执行；</w:t>
            </w:r>
          </w:p>
          <w:p w14:paraId="109E956C">
            <w:pPr>
              <w:spacing w:line="360" w:lineRule="auto"/>
              <w:rPr>
                <w:rFonts w:hint="eastAsia" w:ascii="宋体" w:hAnsi="宋体" w:eastAsia="宋体" w:cs="宋体"/>
                <w:szCs w:val="21"/>
                <w:u w:val="single"/>
              </w:rPr>
            </w:pPr>
            <w:r>
              <w:rPr>
                <w:rFonts w:hint="eastAsia" w:ascii="宋体" w:hAnsi="宋体" w:eastAsia="宋体" w:cs="宋体"/>
                <w:szCs w:val="21"/>
                <w:u w:val="single"/>
              </w:rPr>
              <w:t>2、采取切实有效的安全保障措施，杜绝重、特大安全事故；</w:t>
            </w:r>
          </w:p>
          <w:p w14:paraId="5F07910A">
            <w:pPr>
              <w:spacing w:line="360" w:lineRule="auto"/>
              <w:rPr>
                <w:rFonts w:hint="eastAsia" w:ascii="宋体" w:hAnsi="宋体" w:eastAsia="宋体" w:cs="宋体"/>
                <w:szCs w:val="21"/>
                <w:u w:val="single"/>
              </w:rPr>
            </w:pPr>
            <w:r>
              <w:rPr>
                <w:rFonts w:hint="eastAsia" w:ascii="宋体" w:hAnsi="宋体" w:eastAsia="宋体" w:cs="宋体"/>
                <w:szCs w:val="21"/>
                <w:u w:val="single"/>
              </w:rPr>
              <w:t>3、无安全责任死亡事故，年负伤率控制在1.5‰以下；</w:t>
            </w:r>
          </w:p>
          <w:p w14:paraId="620A2E95">
            <w:pPr>
              <w:spacing w:line="360" w:lineRule="auto"/>
              <w:rPr>
                <w:rFonts w:hint="eastAsia" w:ascii="宋体" w:hAnsi="宋体"/>
                <w:color w:val="auto"/>
                <w:szCs w:val="21"/>
                <w:highlight w:val="none"/>
              </w:rPr>
            </w:pPr>
            <w:r>
              <w:rPr>
                <w:rFonts w:hint="eastAsia" w:ascii="宋体" w:hAnsi="宋体" w:eastAsia="宋体" w:cs="宋体"/>
                <w:szCs w:val="21"/>
                <w:u w:val="single"/>
              </w:rPr>
              <w:t>4、“平安工地”考核通过率100%。</w:t>
            </w:r>
          </w:p>
        </w:tc>
      </w:tr>
      <w:tr w14:paraId="123C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noWrap w:val="0"/>
            <w:vAlign w:val="center"/>
          </w:tcPr>
          <w:p w14:paraId="61C9CF74">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2503" w:type="dxa"/>
            <w:noWrap w:val="0"/>
            <w:vAlign w:val="center"/>
          </w:tcPr>
          <w:p w14:paraId="7F6D4E51">
            <w:pPr>
              <w:spacing w:line="360" w:lineRule="auto"/>
              <w:rPr>
                <w:rFonts w:hint="eastAsia" w:ascii="宋体" w:hAnsi="宋体"/>
                <w:color w:val="auto"/>
                <w:szCs w:val="21"/>
                <w:highlight w:val="none"/>
              </w:rPr>
            </w:pPr>
            <w:r>
              <w:rPr>
                <w:rFonts w:hint="eastAsia" w:ascii="宋体" w:hAnsi="宋体"/>
                <w:color w:val="auto"/>
                <w:szCs w:val="21"/>
                <w:highlight w:val="none"/>
              </w:rPr>
              <w:t>工期要求</w:t>
            </w:r>
          </w:p>
        </w:tc>
        <w:tc>
          <w:tcPr>
            <w:tcW w:w="6356" w:type="dxa"/>
            <w:noWrap w:val="0"/>
            <w:vAlign w:val="center"/>
          </w:tcPr>
          <w:p w14:paraId="296EF2FD">
            <w:pPr>
              <w:spacing w:line="360" w:lineRule="auto"/>
              <w:rPr>
                <w:rFonts w:hint="eastAsia" w:ascii="宋体" w:hAnsi="宋体"/>
                <w:color w:val="auto"/>
                <w:szCs w:val="21"/>
                <w:highlight w:val="none"/>
                <w:u w:val="single"/>
              </w:rPr>
            </w:pPr>
            <w:r>
              <w:rPr>
                <w:rFonts w:hint="eastAsia" w:ascii="宋体" w:hAnsi="宋体"/>
                <w:color w:val="auto"/>
                <w:szCs w:val="21"/>
                <w:highlight w:val="none"/>
              </w:rPr>
              <w:t>开工日期：</w:t>
            </w:r>
            <w:r>
              <w:rPr>
                <w:rFonts w:hint="eastAsia" w:ascii="宋体" w:hAnsi="宋体"/>
                <w:color w:val="auto"/>
                <w:szCs w:val="21"/>
                <w:highlight w:val="none"/>
                <w:u w:val="single"/>
              </w:rPr>
              <w:t xml:space="preserve">    </w:t>
            </w:r>
            <w:r>
              <w:rPr>
                <w:rFonts w:hint="eastAsia" w:ascii="宋体" w:hAnsi="宋体" w:eastAsia="宋体" w:cs="宋体"/>
                <w:szCs w:val="21"/>
                <w:u w:val="single"/>
              </w:rPr>
              <w:t>以甲方通知为准。</w:t>
            </w:r>
            <w:r>
              <w:rPr>
                <w:rFonts w:hint="eastAsia" w:ascii="宋体" w:hAnsi="宋体"/>
                <w:color w:val="auto"/>
                <w:szCs w:val="21"/>
                <w:highlight w:val="none"/>
                <w:u w:val="single"/>
              </w:rPr>
              <w:t xml:space="preserve">    </w:t>
            </w:r>
          </w:p>
          <w:p w14:paraId="527FA792">
            <w:pPr>
              <w:rPr>
                <w:color w:val="auto"/>
                <w:highlight w:val="none"/>
                <w:u w:val="single"/>
              </w:rPr>
            </w:pPr>
            <w:r>
              <w:rPr>
                <w:rFonts w:hint="eastAsia"/>
                <w:color w:val="auto"/>
                <w:highlight w:val="none"/>
              </w:rPr>
              <w:t>竣工日期：</w:t>
            </w:r>
            <w:r>
              <w:rPr>
                <w:rFonts w:hint="eastAsia"/>
                <w:color w:val="auto"/>
                <w:highlight w:val="none"/>
                <w:u w:val="single"/>
              </w:rPr>
              <w:t xml:space="preserve">    </w:t>
            </w:r>
            <w:r>
              <w:rPr>
                <w:rFonts w:hint="eastAsia" w:ascii="宋体" w:hAnsi="宋体" w:eastAsia="宋体" w:cs="宋体"/>
                <w:szCs w:val="21"/>
                <w:u w:val="single"/>
              </w:rPr>
              <w:t>以甲方通知为准。</w:t>
            </w:r>
            <w:r>
              <w:rPr>
                <w:rFonts w:hint="eastAsia"/>
                <w:color w:val="auto"/>
                <w:highlight w:val="none"/>
                <w:u w:val="single"/>
              </w:rPr>
              <w:t xml:space="preserve">    </w:t>
            </w:r>
          </w:p>
          <w:p w14:paraId="243F2BA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总工期：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720    </w:t>
            </w:r>
            <w:r>
              <w:rPr>
                <w:rFonts w:hint="eastAsia" w:ascii="宋体" w:hAnsi="宋体"/>
                <w:color w:val="auto"/>
                <w:szCs w:val="21"/>
                <w:highlight w:val="none"/>
                <w:u w:val="single"/>
              </w:rPr>
              <w:t xml:space="preserve"> </w:t>
            </w:r>
            <w:r>
              <w:rPr>
                <w:rFonts w:hint="eastAsia" w:ascii="宋体" w:hAnsi="宋体"/>
                <w:color w:val="auto"/>
                <w:szCs w:val="21"/>
                <w:highlight w:val="none"/>
              </w:rPr>
              <w:t>日历天。</w:t>
            </w:r>
          </w:p>
        </w:tc>
      </w:tr>
      <w:tr w14:paraId="1FF0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noWrap w:val="0"/>
            <w:vAlign w:val="center"/>
          </w:tcPr>
          <w:p w14:paraId="1D6CDF81">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2503" w:type="dxa"/>
            <w:noWrap w:val="0"/>
            <w:vAlign w:val="center"/>
          </w:tcPr>
          <w:p w14:paraId="6ADD9796">
            <w:pPr>
              <w:spacing w:line="360" w:lineRule="auto"/>
              <w:rPr>
                <w:rFonts w:ascii="宋体" w:hAnsi="宋体"/>
                <w:color w:val="auto"/>
                <w:szCs w:val="21"/>
                <w:highlight w:val="none"/>
              </w:rPr>
            </w:pPr>
            <w:r>
              <w:rPr>
                <w:rFonts w:hint="eastAsia" w:ascii="宋体" w:hAnsi="宋体"/>
                <w:color w:val="auto"/>
                <w:szCs w:val="21"/>
                <w:highlight w:val="none"/>
              </w:rPr>
              <w:t>资金来源</w:t>
            </w:r>
          </w:p>
        </w:tc>
        <w:tc>
          <w:tcPr>
            <w:tcW w:w="6356" w:type="dxa"/>
            <w:noWrap w:val="0"/>
            <w:vAlign w:val="center"/>
          </w:tcPr>
          <w:p w14:paraId="766BE811">
            <w:pPr>
              <w:spacing w:line="360" w:lineRule="auto"/>
              <w:rPr>
                <w:rFonts w:hint="eastAsia" w:ascii="宋体" w:hAnsi="宋体"/>
                <w:color w:val="auto"/>
                <w:szCs w:val="21"/>
                <w:highlight w:val="none"/>
                <w:u w:val="single"/>
              </w:rPr>
            </w:pPr>
            <w:r>
              <w:rPr>
                <w:rFonts w:hint="eastAsia" w:ascii="宋体" w:hAnsi="宋体"/>
                <w:color w:val="000000"/>
                <w:szCs w:val="21"/>
                <w:highlight w:val="none"/>
                <w:u w:val="single"/>
              </w:rPr>
              <w:t>招标人在该建设项目所收工程款</w:t>
            </w:r>
          </w:p>
        </w:tc>
      </w:tr>
      <w:tr w14:paraId="73D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41" w:type="dxa"/>
            <w:noWrap w:val="0"/>
            <w:vAlign w:val="center"/>
          </w:tcPr>
          <w:p w14:paraId="79F0B614">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2503" w:type="dxa"/>
            <w:noWrap w:val="0"/>
            <w:vAlign w:val="center"/>
          </w:tcPr>
          <w:p w14:paraId="4453A7BE">
            <w:pPr>
              <w:spacing w:line="360" w:lineRule="auto"/>
              <w:rPr>
                <w:rFonts w:hint="eastAsia" w:ascii="宋体" w:hAnsi="宋体"/>
                <w:color w:val="auto"/>
                <w:szCs w:val="21"/>
                <w:highlight w:val="none"/>
              </w:rPr>
            </w:pPr>
            <w:r>
              <w:rPr>
                <w:rFonts w:hint="eastAsia" w:ascii="宋体" w:hAnsi="宋体"/>
                <w:color w:val="auto"/>
                <w:szCs w:val="21"/>
                <w:highlight w:val="none"/>
              </w:rPr>
              <w:t>投标人资质条件、能力和信誉</w:t>
            </w:r>
          </w:p>
        </w:tc>
        <w:tc>
          <w:tcPr>
            <w:tcW w:w="6356" w:type="dxa"/>
            <w:noWrap w:val="0"/>
            <w:vAlign w:val="center"/>
          </w:tcPr>
          <w:p w14:paraId="7E6D4292">
            <w:pPr>
              <w:pStyle w:val="3"/>
              <w:topLinePunct/>
              <w:spacing w:line="360" w:lineRule="exact"/>
              <w:rPr>
                <w:rFonts w:hint="eastAsia" w:hAnsi="宋体"/>
                <w:color w:val="auto"/>
                <w:sz w:val="21"/>
                <w:szCs w:val="21"/>
                <w:highlight w:val="none"/>
              </w:rPr>
            </w:pPr>
            <w:r>
              <w:rPr>
                <w:rFonts w:hint="eastAsia" w:hAnsi="宋体"/>
                <w:color w:val="auto"/>
                <w:sz w:val="21"/>
                <w:szCs w:val="21"/>
                <w:highlight w:val="none"/>
              </w:rPr>
              <w:t>1、资质条件：</w:t>
            </w:r>
            <w:r>
              <w:rPr>
                <w:rFonts w:hint="eastAsia" w:hAnsi="宋体"/>
                <w:i/>
                <w:iCs/>
                <w:color w:val="auto"/>
                <w:sz w:val="21"/>
                <w:szCs w:val="21"/>
                <w:highlight w:val="none"/>
                <w:u w:val="single"/>
              </w:rPr>
              <w:t xml:space="preserve"> </w:t>
            </w:r>
            <w:r>
              <w:rPr>
                <w:rFonts w:hint="eastAsia" w:ascii="宋体" w:hAnsi="宋体" w:eastAsia="宋体" w:cs="Times New Roman"/>
                <w:color w:val="auto"/>
                <w:kern w:val="2"/>
                <w:sz w:val="21"/>
                <w:szCs w:val="21"/>
                <w:highlight w:val="none"/>
                <w:u w:val="single"/>
                <w:lang w:val="en-US" w:eastAsia="zh-CN" w:bidi="ar-SA"/>
              </w:rPr>
              <w:t>投标人需经国家行政管理部门注册，具有独立法人资格，持合法有效营业执照；且具备国家行政主管部门核发的安全生产许可证及施工劳务不分等级资质。</w:t>
            </w:r>
            <w:r>
              <w:rPr>
                <w:rFonts w:hint="eastAsia" w:hAnsi="宋体"/>
                <w:i/>
                <w:iCs/>
                <w:color w:val="auto"/>
                <w:sz w:val="21"/>
                <w:szCs w:val="21"/>
                <w:highlight w:val="none"/>
                <w:u w:val="single"/>
              </w:rPr>
              <w:t xml:space="preserve">  </w:t>
            </w:r>
            <w:r>
              <w:rPr>
                <w:rFonts w:hint="eastAsia" w:hAnsi="宋体"/>
                <w:color w:val="auto"/>
                <w:sz w:val="21"/>
                <w:szCs w:val="21"/>
                <w:highlight w:val="none"/>
              </w:rPr>
              <w:t>；</w:t>
            </w:r>
          </w:p>
          <w:p w14:paraId="69327426">
            <w:pPr>
              <w:pStyle w:val="3"/>
              <w:topLinePunct/>
              <w:spacing w:line="360" w:lineRule="exact"/>
              <w:rPr>
                <w:rFonts w:hint="eastAsia" w:ascii="宋体" w:hAnsi="宋体" w:eastAsia="宋体" w:cs="Times New Roman"/>
                <w:color w:val="auto"/>
                <w:kern w:val="2"/>
                <w:sz w:val="21"/>
                <w:szCs w:val="21"/>
                <w:highlight w:val="none"/>
                <w:u w:val="single"/>
                <w:lang w:val="en-US" w:eastAsia="zh-CN" w:bidi="ar-SA"/>
              </w:rPr>
            </w:pPr>
            <w:r>
              <w:rPr>
                <w:rFonts w:hint="eastAsia" w:hAnsi="宋体"/>
                <w:color w:val="auto"/>
                <w:sz w:val="21"/>
                <w:szCs w:val="21"/>
                <w:highlight w:val="none"/>
              </w:rPr>
              <w:t>2、类似工程业绩：</w:t>
            </w:r>
            <w:r>
              <w:rPr>
                <w:rFonts w:hint="eastAsia" w:hAnsi="宋体"/>
                <w:color w:val="auto"/>
                <w:sz w:val="21"/>
                <w:szCs w:val="21"/>
                <w:highlight w:val="none"/>
                <w:u w:val="single"/>
              </w:rPr>
              <w:t xml:space="preserve"> </w:t>
            </w:r>
            <w:r>
              <w:rPr>
                <w:rFonts w:hint="eastAsia" w:ascii="宋体" w:hAnsi="宋体" w:eastAsia="宋体" w:cs="Times New Roman"/>
                <w:color w:val="auto"/>
                <w:kern w:val="2"/>
                <w:sz w:val="21"/>
                <w:szCs w:val="21"/>
                <w:highlight w:val="none"/>
                <w:u w:val="single"/>
                <w:lang w:val="en-US" w:eastAsia="zh-CN" w:bidi="ar-SA"/>
              </w:rPr>
              <w:t>近5年以来至少承担过1个类似项目业绩（提供中标通知书或合同或竣工验收证明材料）  ；</w:t>
            </w:r>
          </w:p>
          <w:p w14:paraId="3A82BA79">
            <w:pPr>
              <w:pStyle w:val="3"/>
              <w:topLinePunct/>
              <w:spacing w:line="360" w:lineRule="exact"/>
              <w:rPr>
                <w:rFonts w:hint="eastAsia"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项目管理</w:t>
            </w:r>
            <w:r>
              <w:rPr>
                <w:rFonts w:hint="eastAsia" w:hAnsi="宋体"/>
                <w:color w:val="auto"/>
                <w:sz w:val="21"/>
                <w:szCs w:val="21"/>
                <w:highlight w:val="none"/>
              </w:rPr>
              <w:t>团队要求：</w:t>
            </w:r>
          </w:p>
          <w:p w14:paraId="1D69B22E">
            <w:pPr>
              <w:pStyle w:val="3"/>
              <w:topLinePunct/>
              <w:spacing w:line="360" w:lineRule="exact"/>
              <w:rPr>
                <w:rFonts w:hint="eastAsia" w:hAnsi="宋体"/>
                <w:color w:val="auto"/>
                <w:sz w:val="21"/>
                <w:szCs w:val="21"/>
                <w:highlight w:val="none"/>
                <w:u w:val="none"/>
                <w:lang w:val="en-US" w:eastAsia="zh-CN"/>
              </w:rPr>
            </w:pPr>
            <w:r>
              <w:rPr>
                <w:rFonts w:hint="eastAsia" w:hAnsi="宋体"/>
                <w:color w:val="auto"/>
                <w:sz w:val="21"/>
                <w:szCs w:val="21"/>
                <w:highlight w:val="none"/>
              </w:rPr>
              <w:t>1）本项目</w:t>
            </w:r>
            <w:r>
              <w:rPr>
                <w:rFonts w:hint="eastAsia" w:hAnsi="宋体"/>
                <w:color w:val="auto"/>
                <w:sz w:val="21"/>
                <w:szCs w:val="21"/>
                <w:highlight w:val="none"/>
                <w:lang w:eastAsia="zh-CN"/>
              </w:rPr>
              <w:t>作业负责人（或</w:t>
            </w:r>
            <w:r>
              <w:rPr>
                <w:rFonts w:hint="eastAsia" w:hAnsi="宋体"/>
                <w:color w:val="auto"/>
                <w:sz w:val="21"/>
                <w:szCs w:val="21"/>
                <w:highlight w:val="none"/>
              </w:rPr>
              <w:t>项目经理</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具有</w:t>
            </w:r>
            <w:r>
              <w:rPr>
                <w:rFonts w:hint="eastAsia" w:hAnsi="宋体"/>
                <w:color w:val="auto"/>
                <w:sz w:val="21"/>
                <w:szCs w:val="21"/>
                <w:highlight w:val="none"/>
                <w:u w:val="single"/>
                <w:lang w:val="en-US" w:eastAsia="zh-CN"/>
              </w:rPr>
              <w:t xml:space="preserve"> 3 </w:t>
            </w:r>
            <w:r>
              <w:rPr>
                <w:rFonts w:hint="eastAsia" w:hAnsi="宋体"/>
                <w:color w:val="auto"/>
                <w:sz w:val="21"/>
                <w:szCs w:val="21"/>
                <w:highlight w:val="none"/>
                <w:u w:val="none"/>
                <w:lang w:val="en-US" w:eastAsia="zh-CN"/>
              </w:rPr>
              <w:t>年岗位工作经验，同时在担任作业负责人（或项目经理）职务期间完成类似项目业绩</w:t>
            </w:r>
          </w:p>
          <w:p w14:paraId="35186914">
            <w:pPr>
              <w:pStyle w:val="3"/>
              <w:topLinePunct/>
              <w:spacing w:line="360" w:lineRule="exact"/>
              <w:rPr>
                <w:rFonts w:hint="eastAsia" w:hAnsi="宋体"/>
                <w:color w:val="auto"/>
                <w:sz w:val="21"/>
                <w:szCs w:val="21"/>
                <w:highlight w:val="none"/>
                <w:u w:val="none"/>
                <w:lang w:val="en-US" w:eastAsia="zh-CN"/>
              </w:rPr>
            </w:pPr>
            <w:r>
              <w:rPr>
                <w:rFonts w:hint="eastAsia" w:hAnsi="宋体"/>
                <w:color w:val="auto"/>
                <w:sz w:val="21"/>
                <w:szCs w:val="21"/>
                <w:highlight w:val="none"/>
                <w:u w:val="single"/>
                <w:lang w:val="en-US" w:eastAsia="zh-CN"/>
              </w:rPr>
              <w:t xml:space="preserve">   1  </w:t>
            </w:r>
            <w:r>
              <w:rPr>
                <w:rFonts w:hint="eastAsia" w:hAnsi="宋体"/>
                <w:color w:val="auto"/>
                <w:sz w:val="21"/>
                <w:szCs w:val="21"/>
                <w:highlight w:val="none"/>
                <w:u w:val="none"/>
                <w:lang w:val="en-US" w:eastAsia="zh-CN"/>
              </w:rPr>
              <w:t>个；</w:t>
            </w:r>
          </w:p>
          <w:p w14:paraId="42C6D049">
            <w:pPr>
              <w:pStyle w:val="3"/>
              <w:topLinePunct/>
              <w:spacing w:line="360" w:lineRule="exact"/>
              <w:rPr>
                <w:rFonts w:hint="default" w:hAnsi="宋体"/>
                <w:color w:val="auto"/>
                <w:sz w:val="21"/>
                <w:szCs w:val="21"/>
                <w:highlight w:val="none"/>
                <w:u w:val="none"/>
                <w:lang w:val="en-US" w:eastAsia="zh-CN"/>
              </w:rPr>
            </w:pPr>
            <w:r>
              <w:rPr>
                <w:rFonts w:hint="eastAsia" w:hAnsi="宋体"/>
                <w:color w:val="auto"/>
                <w:sz w:val="21"/>
                <w:szCs w:val="21"/>
                <w:highlight w:val="none"/>
                <w:u w:val="none"/>
                <w:lang w:val="en-US" w:eastAsia="zh-CN"/>
              </w:rPr>
              <w:t>2）</w:t>
            </w:r>
            <w:r>
              <w:rPr>
                <w:rFonts w:hint="eastAsia" w:hAnsi="宋体"/>
                <w:color w:val="auto"/>
                <w:sz w:val="21"/>
                <w:szCs w:val="21"/>
                <w:highlight w:val="none"/>
              </w:rPr>
              <w:t>本项目</w:t>
            </w:r>
            <w:r>
              <w:rPr>
                <w:rFonts w:hint="eastAsia" w:hAnsi="宋体"/>
                <w:color w:val="auto"/>
                <w:sz w:val="21"/>
                <w:szCs w:val="21"/>
                <w:highlight w:val="none"/>
                <w:lang w:val="en-US" w:eastAsia="zh-CN"/>
              </w:rPr>
              <w:t>技术负责人具有</w:t>
            </w:r>
            <w:r>
              <w:rPr>
                <w:rFonts w:hint="eastAsia" w:hAnsi="宋体"/>
                <w:color w:val="auto"/>
                <w:sz w:val="21"/>
                <w:szCs w:val="21"/>
                <w:highlight w:val="none"/>
                <w:u w:val="single"/>
                <w:lang w:val="en-US" w:eastAsia="zh-CN"/>
              </w:rPr>
              <w:t xml:space="preserve">   3 </w:t>
            </w:r>
            <w:r>
              <w:rPr>
                <w:rFonts w:hint="eastAsia" w:hAnsi="宋体"/>
                <w:color w:val="auto"/>
                <w:sz w:val="21"/>
                <w:szCs w:val="21"/>
                <w:highlight w:val="none"/>
                <w:u w:val="none"/>
                <w:lang w:val="en-US" w:eastAsia="zh-CN"/>
              </w:rPr>
              <w:t>年技术负责人岗位工作经验，同时在担任技术负责人职务期间完成类似项目业绩</w:t>
            </w:r>
            <w:r>
              <w:rPr>
                <w:rFonts w:hint="eastAsia" w:hAnsi="宋体"/>
                <w:color w:val="auto"/>
                <w:sz w:val="21"/>
                <w:szCs w:val="21"/>
                <w:highlight w:val="none"/>
                <w:u w:val="single"/>
                <w:lang w:val="en-US" w:eastAsia="zh-CN"/>
              </w:rPr>
              <w:t xml:space="preserve"> 1 </w:t>
            </w:r>
            <w:r>
              <w:rPr>
                <w:rFonts w:hint="eastAsia" w:hAnsi="宋体"/>
                <w:color w:val="auto"/>
                <w:sz w:val="21"/>
                <w:szCs w:val="21"/>
                <w:highlight w:val="none"/>
                <w:u w:val="none"/>
                <w:lang w:val="en-US" w:eastAsia="zh-CN"/>
              </w:rPr>
              <w:t>个；</w:t>
            </w:r>
          </w:p>
          <w:p w14:paraId="619CC76E">
            <w:pPr>
              <w:pStyle w:val="3"/>
              <w:topLinePunct/>
              <w:spacing w:line="360" w:lineRule="exact"/>
              <w:rPr>
                <w:rFonts w:hint="eastAsia"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）人员配备最低要求：应满足招标文件第二章投标须知26.需要补充的其他内容“</w:t>
            </w:r>
            <w:r>
              <w:rPr>
                <w:rFonts w:hint="eastAsia" w:hAnsi="宋体"/>
                <w:color w:val="auto"/>
                <w:sz w:val="21"/>
                <w:szCs w:val="21"/>
                <w:highlight w:val="none"/>
                <w:lang w:eastAsia="zh-CN"/>
              </w:rPr>
              <w:t>劳务</w:t>
            </w:r>
            <w:r>
              <w:rPr>
                <w:rFonts w:hint="eastAsia" w:hAnsi="宋体"/>
                <w:color w:val="auto"/>
                <w:sz w:val="21"/>
                <w:szCs w:val="21"/>
                <w:highlight w:val="none"/>
              </w:rPr>
              <w:t>分包工程管理人员配备表”。</w:t>
            </w:r>
          </w:p>
          <w:p w14:paraId="7F754B1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4、其他要求： </w:t>
            </w:r>
          </w:p>
          <w:p w14:paraId="694A2187">
            <w:pPr>
              <w:spacing w:line="360" w:lineRule="auto"/>
              <w:rPr>
                <w:rFonts w:hint="eastAsia"/>
                <w:color w:val="auto"/>
                <w:highlight w:val="none"/>
              </w:rPr>
            </w:pPr>
            <w:r>
              <w:rPr>
                <w:rFonts w:hint="eastAsia"/>
                <w:color w:val="auto"/>
                <w:highlight w:val="none"/>
                <w:lang w:val="en-US" w:eastAsia="zh-CN"/>
              </w:rPr>
              <w:t>1</w:t>
            </w:r>
            <w:r>
              <w:rPr>
                <w:rFonts w:hint="eastAsia"/>
                <w:color w:val="auto"/>
                <w:highlight w:val="none"/>
              </w:rPr>
              <w:t>）信誉要求：企业无不良行为记录，投标人未被列入“信用中国（www.creditchina.gov.cn）”、“信用中国（云南）（http://www.yncredit.gov.cn/）”失信被执行人、政府采购严重违法失信行为记录名单，提供查询结果原始页面的打印件或网页截图证明材料；投标人自行登录“中国裁判文书网（网址：http：//wenshu.court.gov.cn）”，截图检索结果（高级搜索，在全文检索处输入公司全称，点击案由-刑事案件-行贿），证明无行贿犯罪记录，提供网上截图。（查询时间为招标公告发布之日起至投标文件递交截止时间止）；投标企业应出具无行贿犯罪行为情况承诺。（具体内容各公司根据项目情况自行拟定）</w:t>
            </w:r>
          </w:p>
          <w:p w14:paraId="6C8F540B">
            <w:pPr>
              <w:spacing w:line="360" w:lineRule="auto"/>
              <w:rPr>
                <w:rFonts w:hint="eastAsia"/>
                <w:color w:val="auto"/>
                <w:highlight w:val="none"/>
              </w:rPr>
            </w:pPr>
            <w:r>
              <w:rPr>
                <w:rFonts w:hint="eastAsia"/>
                <w:color w:val="auto"/>
                <w:highlight w:val="none"/>
                <w:lang w:val="en-US" w:eastAsia="zh-CN"/>
              </w:rPr>
              <w:t>2</w:t>
            </w:r>
            <w:r>
              <w:rPr>
                <w:rFonts w:hint="eastAsia"/>
                <w:color w:val="auto"/>
                <w:highlight w:val="none"/>
              </w:rPr>
              <w:t>）提供行贿犯罪告知函。行贿犯罪告知函载明内容须包含企业法定代表人、</w:t>
            </w:r>
            <w:r>
              <w:rPr>
                <w:rFonts w:hint="eastAsia"/>
                <w:color w:val="auto"/>
                <w:highlight w:val="none"/>
                <w:lang w:val="en-US" w:eastAsia="zh-CN"/>
              </w:rPr>
              <w:t>作业负责人（或</w:t>
            </w:r>
            <w:r>
              <w:rPr>
                <w:rFonts w:hint="eastAsia"/>
                <w:color w:val="auto"/>
                <w:highlight w:val="none"/>
              </w:rPr>
              <w:t>项目经理</w:t>
            </w:r>
            <w:r>
              <w:rPr>
                <w:rFonts w:hint="eastAsia"/>
                <w:color w:val="auto"/>
                <w:highlight w:val="none"/>
                <w:lang w:val="en-US" w:eastAsia="zh-CN"/>
              </w:rPr>
              <w:t>）</w:t>
            </w:r>
            <w:r>
              <w:rPr>
                <w:rFonts w:hint="eastAsia"/>
                <w:color w:val="auto"/>
                <w:highlight w:val="none"/>
              </w:rPr>
              <w:t>、技术负责人无行贿犯罪记录。</w:t>
            </w:r>
          </w:p>
          <w:p w14:paraId="2AAE6B6C">
            <w:pPr>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rPr>
              <w:t>）提供虚假投标资料的，一经招标人核实将取消集团/公司供应商数据库入库资格，并不予退还投标保证金，涉及违法犯罪行为的，将移交相关部门。</w:t>
            </w:r>
          </w:p>
          <w:p w14:paraId="337652C6">
            <w:pPr>
              <w:spacing w:line="360" w:lineRule="auto"/>
              <w:rPr>
                <w:rFonts w:hint="eastAsia"/>
                <w:color w:val="auto"/>
                <w:highlight w:val="none"/>
              </w:rPr>
            </w:pPr>
            <w:r>
              <w:rPr>
                <w:rFonts w:hint="eastAsia"/>
                <w:color w:val="auto"/>
                <w:highlight w:val="none"/>
              </w:rPr>
              <w:t>说明：业绩证明材料须是能够反映工程规模或金额的合同，如提供的材料与事实不符，后果由投标人自负。</w:t>
            </w:r>
          </w:p>
        </w:tc>
      </w:tr>
      <w:tr w14:paraId="5520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41" w:type="dxa"/>
            <w:noWrap w:val="0"/>
            <w:vAlign w:val="center"/>
          </w:tcPr>
          <w:p w14:paraId="10E55BBE">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2503" w:type="dxa"/>
            <w:noWrap w:val="0"/>
            <w:vAlign w:val="center"/>
          </w:tcPr>
          <w:p w14:paraId="33649C1C">
            <w:pPr>
              <w:spacing w:line="360" w:lineRule="auto"/>
              <w:rPr>
                <w:rFonts w:hint="eastAsia" w:ascii="宋体" w:hAnsi="宋体"/>
                <w:color w:val="auto"/>
                <w:szCs w:val="21"/>
                <w:highlight w:val="none"/>
              </w:rPr>
            </w:pPr>
            <w:r>
              <w:rPr>
                <w:rFonts w:hint="eastAsia" w:ascii="宋体" w:hAnsi="宋体"/>
                <w:color w:val="auto"/>
                <w:highlight w:val="none"/>
              </w:rPr>
              <w:t>是否接受联合体投标</w:t>
            </w:r>
          </w:p>
        </w:tc>
        <w:tc>
          <w:tcPr>
            <w:tcW w:w="6356" w:type="dxa"/>
            <w:noWrap w:val="0"/>
            <w:vAlign w:val="center"/>
          </w:tcPr>
          <w:p w14:paraId="67D72160">
            <w:pPr>
              <w:spacing w:line="360" w:lineRule="auto"/>
              <w:ind w:firstLine="630" w:firstLineChars="3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否</w:t>
            </w:r>
          </w:p>
        </w:tc>
      </w:tr>
      <w:tr w14:paraId="61EC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41" w:type="dxa"/>
            <w:noWrap w:val="0"/>
            <w:vAlign w:val="center"/>
          </w:tcPr>
          <w:p w14:paraId="0AEB4A18">
            <w:pPr>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2503" w:type="dxa"/>
            <w:noWrap w:val="0"/>
            <w:vAlign w:val="center"/>
          </w:tcPr>
          <w:p w14:paraId="51272D9E">
            <w:pPr>
              <w:spacing w:line="360" w:lineRule="auto"/>
              <w:rPr>
                <w:rFonts w:hint="eastAsia" w:ascii="宋体" w:hAnsi="宋体"/>
                <w:color w:val="auto"/>
                <w:szCs w:val="21"/>
                <w:highlight w:val="none"/>
              </w:rPr>
            </w:pPr>
            <w:r>
              <w:rPr>
                <w:rFonts w:hint="eastAsia" w:ascii="宋体" w:hAnsi="宋体"/>
                <w:color w:val="auto"/>
                <w:szCs w:val="21"/>
                <w:highlight w:val="none"/>
              </w:rPr>
              <w:t>招标方式</w:t>
            </w:r>
          </w:p>
        </w:tc>
        <w:tc>
          <w:tcPr>
            <w:tcW w:w="6356" w:type="dxa"/>
            <w:noWrap w:val="0"/>
            <w:vAlign w:val="center"/>
          </w:tcPr>
          <w:p w14:paraId="139DF2AC">
            <w:pPr>
              <w:spacing w:line="360" w:lineRule="auto"/>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公开招标</w:t>
            </w:r>
          </w:p>
        </w:tc>
      </w:tr>
      <w:tr w14:paraId="4445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41" w:type="dxa"/>
            <w:noWrap w:val="0"/>
            <w:vAlign w:val="center"/>
          </w:tcPr>
          <w:p w14:paraId="6F2290DE">
            <w:pPr>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p>
        </w:tc>
        <w:tc>
          <w:tcPr>
            <w:tcW w:w="2503" w:type="dxa"/>
            <w:noWrap w:val="0"/>
            <w:vAlign w:val="center"/>
          </w:tcPr>
          <w:p w14:paraId="1A95155C">
            <w:pPr>
              <w:spacing w:line="360" w:lineRule="auto"/>
              <w:rPr>
                <w:rFonts w:ascii="宋体" w:hAnsi="宋体"/>
                <w:color w:val="auto"/>
                <w:szCs w:val="21"/>
                <w:highlight w:val="none"/>
              </w:rPr>
            </w:pPr>
            <w:r>
              <w:rPr>
                <w:rFonts w:hint="eastAsia" w:ascii="宋体" w:hAnsi="宋体"/>
                <w:color w:val="auto"/>
                <w:szCs w:val="21"/>
                <w:highlight w:val="none"/>
              </w:rPr>
              <w:t>投标报价</w:t>
            </w:r>
          </w:p>
        </w:tc>
        <w:tc>
          <w:tcPr>
            <w:tcW w:w="6356" w:type="dxa"/>
            <w:noWrap w:val="0"/>
            <w:vAlign w:val="center"/>
          </w:tcPr>
          <w:p w14:paraId="7D21ABBC">
            <w:pPr>
              <w:spacing w:line="360" w:lineRule="auto"/>
              <w:rPr>
                <w:rFonts w:ascii="宋体" w:hAnsi="宋体"/>
                <w:color w:val="auto"/>
                <w:szCs w:val="21"/>
                <w:highlight w:val="none"/>
              </w:rPr>
            </w:pPr>
            <w:r>
              <w:rPr>
                <w:rFonts w:hint="eastAsia" w:ascii="宋体" w:hAnsi="宋体"/>
                <w:color w:val="auto"/>
                <w:szCs w:val="21"/>
                <w:highlight w:val="none"/>
              </w:rPr>
              <w:t>1、工程报价方式：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工程量清单报价</w:t>
            </w:r>
            <w:r>
              <w:rPr>
                <w:rFonts w:hint="eastAsia" w:ascii="宋体" w:hAnsi="宋体"/>
                <w:color w:val="auto"/>
                <w:szCs w:val="21"/>
                <w:highlight w:val="none"/>
                <w:u w:val="single"/>
              </w:rPr>
              <w:t xml:space="preserve">  </w:t>
            </w:r>
          </w:p>
          <w:p w14:paraId="72ED1E34">
            <w:pPr>
              <w:spacing w:line="360" w:lineRule="auto"/>
              <w:rPr>
                <w:rFonts w:hint="eastAsia" w:ascii="宋体" w:hAnsi="宋体"/>
                <w:color w:val="auto"/>
                <w:szCs w:val="21"/>
                <w:highlight w:val="none"/>
              </w:rPr>
            </w:pPr>
            <w:r>
              <w:rPr>
                <w:rFonts w:hint="eastAsia" w:ascii="宋体" w:hAnsi="宋体"/>
                <w:color w:val="auto"/>
                <w:szCs w:val="21"/>
                <w:highlight w:val="none"/>
              </w:rPr>
              <w:t>2、新增单价确定方式：</w:t>
            </w:r>
            <w:r>
              <w:rPr>
                <w:rFonts w:hint="eastAsia" w:ascii="宋体" w:hAnsi="宋体"/>
                <w:color w:val="auto"/>
                <w:szCs w:val="21"/>
                <w:highlight w:val="none"/>
                <w:u w:val="single"/>
              </w:rPr>
              <w:t xml:space="preserve"> </w:t>
            </w:r>
            <w:r>
              <w:rPr>
                <w:rFonts w:hint="eastAsia" w:ascii="宋体" w:hAnsi="宋体"/>
                <w:szCs w:val="21"/>
                <w:highlight w:val="none"/>
                <w:u w:val="single"/>
              </w:rPr>
              <w:t>合同中有相同子目单价的，执行相同子目的单价；合同中有类似子目单价的套用类似子目单价；合同中既无相同子目单价，也无类似子目单价的，参照本工程总包合同其他标段相同或类似子目单价，或根据本合同的综合单价水平及让利标准申报新增单价，经承包人审批后另行签订补充协议。与投标文件中投标须知前附表、投标报价（唱标）一览表相关内容一致。</w:t>
            </w:r>
            <w:r>
              <w:rPr>
                <w:rFonts w:hint="eastAsia" w:ascii="宋体" w:hAnsi="宋体"/>
                <w:color w:val="auto"/>
                <w:szCs w:val="21"/>
                <w:highlight w:val="none"/>
                <w:u w:val="single"/>
              </w:rPr>
              <w:t xml:space="preserve"> </w:t>
            </w:r>
          </w:p>
        </w:tc>
      </w:tr>
      <w:tr w14:paraId="67D9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41" w:type="dxa"/>
            <w:noWrap w:val="0"/>
            <w:vAlign w:val="center"/>
          </w:tcPr>
          <w:p w14:paraId="10643422">
            <w:pPr>
              <w:spacing w:line="360" w:lineRule="auto"/>
              <w:jc w:val="center"/>
              <w:rPr>
                <w:rFonts w:hint="eastAsia" w:ascii="宋体" w:hAnsi="宋体"/>
                <w:color w:val="auto"/>
                <w:szCs w:val="21"/>
                <w:highlight w:val="none"/>
              </w:rPr>
            </w:pPr>
            <w:r>
              <w:rPr>
                <w:rFonts w:hint="eastAsia" w:ascii="宋体" w:hAnsi="宋体"/>
                <w:color w:val="auto"/>
                <w:szCs w:val="21"/>
                <w:highlight w:val="none"/>
              </w:rPr>
              <w:t>13</w:t>
            </w:r>
          </w:p>
        </w:tc>
        <w:tc>
          <w:tcPr>
            <w:tcW w:w="2503" w:type="dxa"/>
            <w:noWrap w:val="0"/>
            <w:vAlign w:val="center"/>
          </w:tcPr>
          <w:p w14:paraId="0D2F69F6">
            <w:pPr>
              <w:spacing w:line="360" w:lineRule="auto"/>
              <w:rPr>
                <w:rFonts w:hint="eastAsia" w:ascii="宋体" w:hAnsi="宋体"/>
                <w:color w:val="auto"/>
                <w:szCs w:val="21"/>
                <w:highlight w:val="none"/>
              </w:rPr>
            </w:pPr>
            <w:r>
              <w:rPr>
                <w:rFonts w:hint="eastAsia" w:ascii="宋体" w:hAnsi="宋体"/>
                <w:color w:val="auto"/>
                <w:szCs w:val="21"/>
                <w:highlight w:val="none"/>
              </w:rPr>
              <w:t>投标有效期</w:t>
            </w:r>
          </w:p>
        </w:tc>
        <w:tc>
          <w:tcPr>
            <w:tcW w:w="6356" w:type="dxa"/>
            <w:noWrap w:val="0"/>
            <w:vAlign w:val="center"/>
          </w:tcPr>
          <w:p w14:paraId="67B5F798">
            <w:pPr>
              <w:spacing w:line="360" w:lineRule="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hint="eastAsia" w:ascii="宋体" w:hAnsi="宋体"/>
                <w:color w:val="auto"/>
                <w:szCs w:val="21"/>
                <w:highlight w:val="none"/>
                <w:u w:val="single"/>
              </w:rPr>
              <w:t xml:space="preserve"> </w:t>
            </w:r>
            <w:r>
              <w:rPr>
                <w:rFonts w:hint="eastAsia" w:ascii="宋体" w:hAnsi="宋体"/>
                <w:color w:val="auto"/>
                <w:szCs w:val="21"/>
                <w:highlight w:val="none"/>
              </w:rPr>
              <w:t>日历天（从投标截止之日算起）</w:t>
            </w:r>
          </w:p>
        </w:tc>
      </w:tr>
      <w:tr w14:paraId="3B9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41" w:type="dxa"/>
            <w:noWrap w:val="0"/>
            <w:vAlign w:val="center"/>
          </w:tcPr>
          <w:p w14:paraId="1C9F8097">
            <w:pPr>
              <w:spacing w:line="360" w:lineRule="auto"/>
              <w:jc w:val="center"/>
              <w:rPr>
                <w:rFonts w:hint="eastAsia" w:ascii="宋体" w:hAnsi="宋体"/>
                <w:color w:val="auto"/>
                <w:szCs w:val="21"/>
                <w:highlight w:val="none"/>
              </w:rPr>
            </w:pPr>
            <w:r>
              <w:rPr>
                <w:rFonts w:hint="eastAsia" w:ascii="宋体" w:hAnsi="宋体"/>
                <w:color w:val="auto"/>
                <w:szCs w:val="21"/>
                <w:highlight w:val="none"/>
              </w:rPr>
              <w:t>14</w:t>
            </w:r>
          </w:p>
        </w:tc>
        <w:tc>
          <w:tcPr>
            <w:tcW w:w="2503" w:type="dxa"/>
            <w:noWrap w:val="0"/>
            <w:vAlign w:val="center"/>
          </w:tcPr>
          <w:p w14:paraId="18D15451">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投标保证金</w:t>
            </w:r>
          </w:p>
        </w:tc>
        <w:tc>
          <w:tcPr>
            <w:tcW w:w="6356" w:type="dxa"/>
            <w:noWrap w:val="0"/>
            <w:vAlign w:val="center"/>
          </w:tcPr>
          <w:p w14:paraId="1A539D1A">
            <w:pPr>
              <w:numPr>
                <w:ilvl w:val="0"/>
                <w:numId w:val="1"/>
              </w:numPr>
              <w:spacing w:line="360" w:lineRule="auto"/>
              <w:rPr>
                <w:rFonts w:hint="eastAsia"/>
                <w:highlight w:val="none"/>
              </w:rPr>
            </w:pPr>
            <w:r>
              <w:rPr>
                <w:rFonts w:hint="eastAsia"/>
                <w:highlight w:val="none"/>
                <w:lang w:eastAsia="zh-CN"/>
              </w:rPr>
              <w:t>投标保证金的形式：</w:t>
            </w:r>
            <w:r>
              <w:rPr>
                <w:rFonts w:hint="eastAsia"/>
                <w:highlight w:val="none"/>
                <w:u w:val="single"/>
                <w:lang w:val="en-US" w:eastAsia="zh-CN"/>
              </w:rPr>
              <w:t xml:space="preserve">  （2）   </w:t>
            </w:r>
          </w:p>
          <w:p w14:paraId="0E4E6A45">
            <w:pPr>
              <w:numPr>
                <w:ilvl w:val="0"/>
                <w:numId w:val="2"/>
              </w:numPr>
              <w:spacing w:line="360" w:lineRule="auto"/>
              <w:rPr>
                <w:rFonts w:hint="eastAsia"/>
                <w:highlight w:val="none"/>
              </w:rPr>
            </w:pPr>
            <w:r>
              <w:rPr>
                <w:rFonts w:hint="eastAsia"/>
                <w:highlight w:val="none"/>
              </w:rPr>
              <w:t>本工程投标保证金为人民币</w:t>
            </w:r>
            <w:r>
              <w:rPr>
                <w:rFonts w:hint="eastAsia"/>
                <w:highlight w:val="none"/>
                <w:u w:val="single"/>
                <w:lang w:val="en-US" w:eastAsia="zh-CN"/>
              </w:rPr>
              <w:t xml:space="preserve">  /  </w:t>
            </w:r>
            <w:r>
              <w:rPr>
                <w:rFonts w:hint="eastAsia"/>
                <w:highlight w:val="none"/>
              </w:rPr>
              <w:t>万元整(投标保证金按照拦标含税总价的0%~2%缴纳（投标保证金按照拦标含税总价的0%~2%缴纳，最高不超过80万元（具体缴纳金额由项目根据实际情况自主选择上报公司审核后确定），以现金对公账户转账形式缴纳)。</w:t>
            </w:r>
          </w:p>
          <w:p w14:paraId="2F75CFF9">
            <w:pPr>
              <w:pStyle w:val="2"/>
              <w:numPr>
                <w:ilvl w:val="0"/>
                <w:numId w:val="2"/>
              </w:numPr>
              <w:rPr>
                <w:rFonts w:hint="eastAsia" w:ascii="Times New Roman" w:hAnsi="Times New Roman" w:eastAsia="宋体" w:cs="Times New Roman"/>
                <w:b w:val="0"/>
                <w:bCs w:val="0"/>
                <w:kern w:val="2"/>
                <w:sz w:val="21"/>
                <w:szCs w:val="20"/>
                <w:highlight w:val="none"/>
                <w:lang w:val="en-US" w:eastAsia="zh-CN" w:bidi="ar-SA"/>
              </w:rPr>
            </w:pPr>
            <w:r>
              <w:rPr>
                <w:rFonts w:hint="eastAsia" w:ascii="Times New Roman" w:hAnsi="Times New Roman" w:eastAsia="宋体" w:cs="Times New Roman"/>
                <w:b w:val="0"/>
                <w:bCs w:val="0"/>
                <w:kern w:val="2"/>
                <w:sz w:val="21"/>
                <w:szCs w:val="20"/>
                <w:highlight w:val="none"/>
                <w:lang w:val="en-US" w:eastAsia="zh-CN" w:bidi="ar-SA"/>
              </w:rPr>
              <w:t>本工程</w:t>
            </w:r>
            <w:r>
              <w:rPr>
                <w:rFonts w:hint="eastAsia" w:ascii="Times New Roman" w:hAnsi="Times New Roman" w:cs="Times New Roman"/>
                <w:b w:val="0"/>
                <w:bCs w:val="0"/>
                <w:kern w:val="2"/>
                <w:sz w:val="21"/>
                <w:szCs w:val="20"/>
                <w:highlight w:val="none"/>
                <w:lang w:val="en-US" w:eastAsia="zh-CN" w:bidi="ar-SA"/>
              </w:rPr>
              <w:t>不收取</w:t>
            </w:r>
            <w:r>
              <w:rPr>
                <w:rFonts w:hint="eastAsia" w:ascii="Times New Roman" w:hAnsi="Times New Roman" w:eastAsia="宋体" w:cs="Times New Roman"/>
                <w:b w:val="0"/>
                <w:bCs w:val="0"/>
                <w:kern w:val="2"/>
                <w:sz w:val="21"/>
                <w:szCs w:val="20"/>
                <w:highlight w:val="none"/>
                <w:lang w:val="en-US" w:eastAsia="zh-CN" w:bidi="ar-SA"/>
              </w:rPr>
              <w:t>投标保证金。</w:t>
            </w:r>
          </w:p>
          <w:p w14:paraId="486C93DB">
            <w:pPr>
              <w:numPr>
                <w:ilvl w:val="0"/>
                <w:numId w:val="1"/>
              </w:numPr>
              <w:spacing w:line="360" w:lineRule="auto"/>
              <w:ind w:left="0" w:leftChars="0" w:firstLine="0" w:firstLineChars="0"/>
              <w:rPr>
                <w:rFonts w:hint="eastAsia"/>
                <w:highlight w:val="none"/>
              </w:rPr>
            </w:pPr>
            <w:r>
              <w:rPr>
                <w:rFonts w:hint="eastAsia"/>
                <w:highlight w:val="none"/>
              </w:rPr>
              <w:t>保证金形式：</w:t>
            </w:r>
            <w:r>
              <w:rPr>
                <w:rFonts w:hint="eastAsia"/>
                <w:highlight w:val="none"/>
                <w:lang w:val="en-US" w:eastAsia="zh-CN"/>
              </w:rPr>
              <w:t>现金对公账户</w:t>
            </w:r>
            <w:r>
              <w:rPr>
                <w:rFonts w:hint="eastAsia"/>
                <w:highlight w:val="none"/>
              </w:rPr>
              <w:t>转账</w:t>
            </w:r>
          </w:p>
          <w:p w14:paraId="72E20D24">
            <w:pPr>
              <w:numPr>
                <w:ilvl w:val="0"/>
                <w:numId w:val="3"/>
              </w:numPr>
              <w:spacing w:line="360" w:lineRule="auto"/>
              <w:ind w:leftChars="0"/>
              <w:rPr>
                <w:rFonts w:hint="eastAsia"/>
                <w:highlight w:val="none"/>
                <w:lang w:val="en-US" w:eastAsia="zh-CN"/>
              </w:rPr>
            </w:pPr>
            <w:r>
              <w:rPr>
                <w:rFonts w:hint="eastAsia"/>
                <w:highlight w:val="none"/>
                <w:lang w:val="en-US" w:eastAsia="zh-CN"/>
              </w:rPr>
              <w:t>投标人应在递交投标文件截止时间</w:t>
            </w:r>
            <w:r>
              <w:rPr>
                <w:rFonts w:hint="eastAsia"/>
                <w:highlight w:val="none"/>
                <w:u w:val="single"/>
                <w:lang w:val="en-US" w:eastAsia="zh-CN"/>
              </w:rPr>
              <w:t xml:space="preserve">  /  </w:t>
            </w:r>
            <w:r>
              <w:rPr>
                <w:rFonts w:hint="eastAsia"/>
                <w:highlight w:val="none"/>
                <w:lang w:val="en-US" w:eastAsia="zh-CN"/>
              </w:rPr>
              <w:t>日前，将投标保证金由投标人的基本账户转入招标人指定账户，否则视为投标保证金无效。招标人指定的开户银行及账号见投标人须知前附表。</w:t>
            </w:r>
          </w:p>
          <w:p w14:paraId="180CCBCE">
            <w:pPr>
              <w:spacing w:line="360" w:lineRule="auto"/>
              <w:rPr>
                <w:rFonts w:hint="eastAsia"/>
              </w:rPr>
            </w:pPr>
            <w:r>
              <w:rPr>
                <w:rFonts w:hint="eastAsia"/>
              </w:rPr>
              <w:t>3、</w:t>
            </w:r>
            <w:r>
              <w:rPr>
                <w:rFonts w:hint="eastAsia"/>
                <w:lang w:val="en-US" w:eastAsia="zh-CN"/>
              </w:rPr>
              <w:t>现金对公账户</w:t>
            </w:r>
            <w:r>
              <w:rPr>
                <w:rFonts w:hint="eastAsia"/>
              </w:rPr>
              <w:t>转账方式：</w:t>
            </w:r>
          </w:p>
          <w:p w14:paraId="4CCEC214">
            <w:pPr>
              <w:spacing w:line="360" w:lineRule="auto"/>
              <w:rPr>
                <w:rFonts w:hint="eastAsia"/>
                <w:highlight w:val="none"/>
              </w:rPr>
            </w:pPr>
            <w:r>
              <w:rPr>
                <w:rFonts w:hint="eastAsia"/>
                <w:highlight w:val="none"/>
                <w:u w:val="single"/>
              </w:rPr>
              <w:t xml:space="preserve">20   </w:t>
            </w:r>
            <w:r>
              <w:rPr>
                <w:rFonts w:hint="eastAsia"/>
                <w:highlight w:val="none"/>
              </w:rPr>
              <w:t>年</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时前由投标人</w:t>
            </w:r>
            <w:r>
              <w:rPr>
                <w:rFonts w:hint="eastAsia"/>
                <w:highlight w:val="none"/>
                <w:lang w:val="en-US" w:eastAsia="zh-CN"/>
              </w:rPr>
              <w:t>银行</w:t>
            </w:r>
            <w:r>
              <w:rPr>
                <w:rFonts w:hint="eastAsia"/>
                <w:highlight w:val="none"/>
              </w:rPr>
              <w:t>基本账户打入招标人</w:t>
            </w:r>
            <w:r>
              <w:rPr>
                <w:rFonts w:hint="eastAsia"/>
                <w:highlight w:val="none"/>
                <w:lang w:eastAsia="zh-CN"/>
              </w:rPr>
              <w:t>指定</w:t>
            </w:r>
            <w:r>
              <w:rPr>
                <w:rFonts w:hint="eastAsia"/>
                <w:highlight w:val="none"/>
                <w:lang w:val="en-US" w:eastAsia="zh-CN"/>
              </w:rPr>
              <w:t>银行</w:t>
            </w:r>
            <w:r>
              <w:rPr>
                <w:rFonts w:hint="eastAsia"/>
                <w:highlight w:val="none"/>
              </w:rPr>
              <w:t>账</w:t>
            </w:r>
            <w:r>
              <w:rPr>
                <w:rFonts w:hint="eastAsia"/>
                <w:highlight w:val="none"/>
                <w:lang w:val="en-US" w:eastAsia="zh-CN"/>
              </w:rPr>
              <w:t>户</w:t>
            </w:r>
            <w:r>
              <w:rPr>
                <w:rFonts w:hint="eastAsia"/>
                <w:highlight w:val="none"/>
              </w:rPr>
              <w:t xml:space="preserve">。 </w:t>
            </w:r>
          </w:p>
          <w:p w14:paraId="0563B131">
            <w:pPr>
              <w:spacing w:line="360" w:lineRule="auto"/>
              <w:rPr>
                <w:highlight w:val="none"/>
              </w:rPr>
            </w:pPr>
            <w:r>
              <w:rPr>
                <w:rFonts w:hint="eastAsia"/>
                <w:highlight w:val="none"/>
                <w:lang w:eastAsia="zh-CN"/>
              </w:rPr>
              <w:t>账户名称</w:t>
            </w:r>
            <w:r>
              <w:rPr>
                <w:rFonts w:hint="eastAsia"/>
                <w:highlight w:val="none"/>
              </w:rPr>
              <w:t>：</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p>
          <w:p w14:paraId="3BA7C94A">
            <w:pPr>
              <w:spacing w:line="360" w:lineRule="auto"/>
              <w:rPr>
                <w:highlight w:val="none"/>
              </w:rPr>
            </w:pPr>
            <w:r>
              <w:rPr>
                <w:rFonts w:hint="eastAsia"/>
                <w:highlight w:val="none"/>
              </w:rPr>
              <w:t>开户</w:t>
            </w:r>
            <w:r>
              <w:rPr>
                <w:rFonts w:hint="eastAsia"/>
                <w:highlight w:val="none"/>
                <w:lang w:eastAsia="zh-CN"/>
              </w:rPr>
              <w:t>银</w:t>
            </w:r>
            <w:r>
              <w:rPr>
                <w:rFonts w:hint="eastAsia"/>
                <w:highlight w:val="none"/>
              </w:rPr>
              <w:t>行：</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p>
          <w:p w14:paraId="0AE4984B">
            <w:pPr>
              <w:spacing w:line="360" w:lineRule="auto"/>
              <w:rPr>
                <w:rFonts w:hint="eastAsia"/>
                <w:highlight w:val="none"/>
              </w:rPr>
            </w:pPr>
            <w:r>
              <w:rPr>
                <w:rFonts w:hint="eastAsia"/>
                <w:highlight w:val="none"/>
              </w:rPr>
              <w:t xml:space="preserve">帐  </w:t>
            </w:r>
            <w:r>
              <w:rPr>
                <w:rFonts w:hint="eastAsia"/>
                <w:highlight w:val="none"/>
                <w:lang w:val="en-US" w:eastAsia="zh-CN"/>
              </w:rPr>
              <w:t xml:space="preserve">  </w:t>
            </w:r>
            <w:r>
              <w:rPr>
                <w:rFonts w:hint="eastAsia"/>
                <w:highlight w:val="none"/>
              </w:rPr>
              <w:t>号：</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p>
          <w:p w14:paraId="035E431C">
            <w:pPr>
              <w:numPr>
                <w:ilvl w:val="0"/>
                <w:numId w:val="1"/>
              </w:numPr>
              <w:spacing w:line="360" w:lineRule="auto"/>
              <w:ind w:left="0" w:leftChars="0" w:firstLine="0" w:firstLineChars="0"/>
              <w:rPr>
                <w:rFonts w:hint="eastAsia"/>
                <w:highlight w:val="none"/>
                <w:lang w:val="en-US" w:eastAsia="zh-CN"/>
              </w:rPr>
            </w:pPr>
            <w:r>
              <w:rPr>
                <w:rFonts w:hint="eastAsia"/>
                <w:highlight w:val="none"/>
                <w:lang w:val="en-US" w:eastAsia="zh-CN"/>
              </w:rPr>
              <w:t>投标保证金有效期均应与投标有效期（提交投标文件截止日起计算90天内）一致。招标人如果延长了投标有效期，则投标保证金的有效期也相应延长。投标人不按要求提交投标保证金的，评标委员会将否决其投标。</w:t>
            </w:r>
          </w:p>
          <w:p w14:paraId="6B9B17A5">
            <w:pPr>
              <w:numPr>
                <w:ilvl w:val="0"/>
                <w:numId w:val="1"/>
              </w:numPr>
              <w:spacing w:line="360" w:lineRule="auto"/>
              <w:ind w:left="0" w:leftChars="0" w:firstLine="0" w:firstLineChars="0"/>
              <w:rPr>
                <w:rFonts w:hint="default"/>
                <w:lang w:val="en-US" w:eastAsia="zh-CN"/>
              </w:rPr>
            </w:pPr>
            <w:r>
              <w:rPr>
                <w:rFonts w:hint="eastAsia"/>
                <w:highlight w:val="none"/>
                <w:lang w:val="en-US" w:eastAsia="zh-CN"/>
              </w:rPr>
              <w:t>招标人在中标人签订合同后5个工作日内向中标人以外的投标人退还投标保证金（无息退还），在中标人签订合同且支付履约保证金后5个工作日内向中标人退还投标保证金（无息退还）。</w:t>
            </w:r>
          </w:p>
        </w:tc>
      </w:tr>
      <w:tr w14:paraId="1490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3F1277E0">
            <w:pPr>
              <w:spacing w:line="360" w:lineRule="auto"/>
              <w:jc w:val="center"/>
              <w:rPr>
                <w:rFonts w:hint="eastAsia" w:ascii="宋体" w:hAnsi="宋体"/>
                <w:color w:val="auto"/>
                <w:szCs w:val="21"/>
                <w:highlight w:val="none"/>
              </w:rPr>
            </w:pPr>
            <w:r>
              <w:rPr>
                <w:rFonts w:hint="eastAsia" w:ascii="宋体" w:hAnsi="宋体"/>
                <w:color w:val="auto"/>
                <w:szCs w:val="21"/>
                <w:highlight w:val="none"/>
              </w:rPr>
              <w:t>15</w:t>
            </w:r>
          </w:p>
        </w:tc>
        <w:tc>
          <w:tcPr>
            <w:tcW w:w="2503" w:type="dxa"/>
            <w:noWrap w:val="0"/>
            <w:vAlign w:val="center"/>
          </w:tcPr>
          <w:p w14:paraId="147AA4F6">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现场踏勘</w:t>
            </w:r>
          </w:p>
        </w:tc>
        <w:tc>
          <w:tcPr>
            <w:tcW w:w="6356" w:type="dxa"/>
            <w:noWrap w:val="0"/>
            <w:vAlign w:val="center"/>
          </w:tcPr>
          <w:p w14:paraId="573E7D7F">
            <w:pPr>
              <w:spacing w:line="360" w:lineRule="auto"/>
              <w:rPr>
                <w:rFonts w:hint="eastAsia"/>
                <w:color w:val="auto"/>
                <w:szCs w:val="21"/>
                <w:highlight w:val="none"/>
              </w:rPr>
            </w:pPr>
            <w:r>
              <w:rPr>
                <w:rFonts w:hint="eastAsia" w:ascii="宋体" w:hAnsi="宋体"/>
                <w:color w:val="auto"/>
                <w:szCs w:val="21"/>
                <w:highlight w:val="none"/>
              </w:rPr>
              <w:t>地  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不组织踏勘</w:t>
            </w:r>
            <w:r>
              <w:rPr>
                <w:rFonts w:hint="eastAsia" w:ascii="宋体" w:hAnsi="宋体"/>
                <w:color w:val="auto"/>
                <w:szCs w:val="21"/>
                <w:highlight w:val="none"/>
                <w:u w:val="single"/>
              </w:rPr>
              <w:t xml:space="preserve"> </w:t>
            </w:r>
            <w:r>
              <w:rPr>
                <w:rFonts w:hint="eastAsia" w:ascii="宋体" w:hAnsi="宋体" w:eastAsia="宋体" w:cs="Times New Roman"/>
                <w:color w:val="auto"/>
                <w:szCs w:val="22"/>
                <w:highlight w:val="none"/>
                <w:u w:val="single"/>
                <w:lang w:val="en-US" w:eastAsia="zh-CN"/>
              </w:rPr>
              <w:t xml:space="preserve"> </w:t>
            </w:r>
          </w:p>
          <w:p w14:paraId="202ACE6B">
            <w:pPr>
              <w:spacing w:line="360" w:lineRule="auto"/>
              <w:rPr>
                <w:rFonts w:hint="eastAsia"/>
                <w:color w:val="auto"/>
                <w:szCs w:val="21"/>
                <w:highlight w:val="none"/>
              </w:rPr>
            </w:pPr>
            <w:r>
              <w:rPr>
                <w:rFonts w:hint="eastAsia"/>
                <w:color w:val="auto"/>
                <w:szCs w:val="21"/>
                <w:highlight w:val="none"/>
              </w:rPr>
              <w:t>联 系 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798636E">
            <w:pPr>
              <w:spacing w:line="360" w:lineRule="auto"/>
              <w:rPr>
                <w:color w:val="auto"/>
                <w:szCs w:val="21"/>
                <w:highlight w:val="none"/>
              </w:rPr>
            </w:pPr>
            <w:r>
              <w:rPr>
                <w:rFonts w:hint="eastAsia"/>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05CB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58B6B426">
            <w:pPr>
              <w:spacing w:line="360" w:lineRule="auto"/>
              <w:jc w:val="center"/>
              <w:rPr>
                <w:rFonts w:hint="eastAsia" w:ascii="宋体" w:hAnsi="宋体"/>
                <w:color w:val="auto"/>
                <w:szCs w:val="21"/>
                <w:highlight w:val="none"/>
              </w:rPr>
            </w:pPr>
            <w:r>
              <w:rPr>
                <w:rFonts w:hint="eastAsia" w:ascii="宋体" w:hAnsi="宋体"/>
                <w:color w:val="auto"/>
                <w:szCs w:val="21"/>
                <w:highlight w:val="none"/>
              </w:rPr>
              <w:t>16</w:t>
            </w:r>
          </w:p>
        </w:tc>
        <w:tc>
          <w:tcPr>
            <w:tcW w:w="2503" w:type="dxa"/>
            <w:noWrap w:val="0"/>
            <w:vAlign w:val="center"/>
          </w:tcPr>
          <w:p w14:paraId="7B1265A2">
            <w:pPr>
              <w:spacing w:line="360" w:lineRule="auto"/>
              <w:rPr>
                <w:rFonts w:hint="eastAsia" w:ascii="宋体" w:hAnsi="宋体"/>
                <w:color w:val="auto"/>
                <w:szCs w:val="21"/>
                <w:highlight w:val="none"/>
              </w:rPr>
            </w:pPr>
            <w:r>
              <w:rPr>
                <w:rFonts w:hint="eastAsia" w:ascii="宋体" w:hAnsi="宋体"/>
                <w:color w:val="auto"/>
                <w:szCs w:val="21"/>
                <w:highlight w:val="none"/>
              </w:rPr>
              <w:t>投标人提出质疑的截止时间</w:t>
            </w:r>
          </w:p>
        </w:tc>
        <w:tc>
          <w:tcPr>
            <w:tcW w:w="6356" w:type="dxa"/>
            <w:noWrap w:val="0"/>
            <w:vAlign w:val="center"/>
          </w:tcPr>
          <w:p w14:paraId="71B20C95">
            <w:pPr>
              <w:spacing w:line="360" w:lineRule="auto"/>
              <w:rPr>
                <w:rFonts w:hint="eastAsia" w:ascii="宋体" w:hAnsi="宋体"/>
                <w:color w:val="auto"/>
                <w:szCs w:val="21"/>
                <w:highlight w:val="none"/>
              </w:rPr>
            </w:pPr>
            <w:r>
              <w:rPr>
                <w:rFonts w:hint="eastAsia" w:ascii="宋体" w:hAnsi="宋体"/>
                <w:kern w:val="0"/>
                <w:szCs w:val="21"/>
                <w:highlight w:val="none"/>
              </w:rPr>
              <w:t>在投标截止时间</w:t>
            </w:r>
            <w:r>
              <w:rPr>
                <w:rFonts w:hint="eastAsia" w:ascii="宋体" w:hAnsi="宋体"/>
                <w:kern w:val="0"/>
                <w:szCs w:val="21"/>
                <w:highlight w:val="none"/>
                <w:u w:val="single"/>
              </w:rPr>
              <w:t xml:space="preserve"> 3 </w:t>
            </w:r>
            <w:r>
              <w:rPr>
                <w:rFonts w:hint="eastAsia" w:ascii="宋体" w:hAnsi="宋体"/>
                <w:kern w:val="0"/>
                <w:szCs w:val="21"/>
                <w:highlight w:val="none"/>
              </w:rPr>
              <w:t>日前，通过网络在线方式登录云上营家：</w:t>
            </w:r>
            <w:r>
              <w:rPr>
                <w:rFonts w:hint="eastAsia" w:ascii="宋体" w:hAnsi="宋体"/>
                <w:kern w:val="0"/>
                <w:szCs w:val="21"/>
                <w:highlight w:val="none"/>
              </w:rPr>
              <w:fldChar w:fldCharType="begin"/>
            </w:r>
            <w:r>
              <w:rPr>
                <w:rFonts w:hint="eastAsia" w:ascii="宋体" w:hAnsi="宋体"/>
                <w:kern w:val="0"/>
                <w:szCs w:val="21"/>
                <w:highlight w:val="none"/>
              </w:rPr>
              <w:instrText xml:space="preserve"> HYPERLINK "http://ysyec.com/" </w:instrText>
            </w:r>
            <w:r>
              <w:rPr>
                <w:rFonts w:hint="eastAsia" w:ascii="宋体" w:hAnsi="宋体"/>
                <w:kern w:val="0"/>
                <w:szCs w:val="21"/>
                <w:highlight w:val="none"/>
              </w:rPr>
              <w:fldChar w:fldCharType="separate"/>
            </w:r>
            <w:r>
              <w:rPr>
                <w:rFonts w:hint="eastAsia" w:ascii="宋体" w:hAnsi="宋体"/>
                <w:kern w:val="0"/>
                <w:szCs w:val="21"/>
                <w:highlight w:val="none"/>
              </w:rPr>
              <w:t>http://www.inja.com</w:t>
            </w:r>
            <w:r>
              <w:rPr>
                <w:rFonts w:hint="eastAsia" w:ascii="宋体" w:hAnsi="宋体"/>
                <w:kern w:val="0"/>
                <w:szCs w:val="21"/>
                <w:highlight w:val="none"/>
              </w:rPr>
              <w:fldChar w:fldCharType="end"/>
            </w:r>
            <w:r>
              <w:rPr>
                <w:rFonts w:hint="eastAsia" w:ascii="宋体" w:hAnsi="宋体"/>
                <w:kern w:val="0"/>
                <w:szCs w:val="21"/>
                <w:highlight w:val="none"/>
              </w:rPr>
              <w:t>向招标人进行署名提问，招标人或招标代理需对所有潜在投标人进行统一回复。</w:t>
            </w:r>
          </w:p>
        </w:tc>
      </w:tr>
      <w:tr w14:paraId="746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03814EA6">
            <w:pPr>
              <w:spacing w:line="360" w:lineRule="auto"/>
              <w:jc w:val="center"/>
              <w:rPr>
                <w:rFonts w:hint="eastAsia" w:ascii="宋体" w:hAnsi="宋体"/>
                <w:color w:val="auto"/>
                <w:szCs w:val="21"/>
                <w:highlight w:val="none"/>
              </w:rPr>
            </w:pPr>
            <w:r>
              <w:rPr>
                <w:rFonts w:hint="eastAsia" w:ascii="宋体" w:hAnsi="宋体"/>
                <w:color w:val="auto"/>
                <w:szCs w:val="21"/>
                <w:highlight w:val="none"/>
              </w:rPr>
              <w:t>17</w:t>
            </w:r>
          </w:p>
        </w:tc>
        <w:tc>
          <w:tcPr>
            <w:tcW w:w="2503" w:type="dxa"/>
            <w:noWrap w:val="0"/>
            <w:vAlign w:val="center"/>
          </w:tcPr>
          <w:p w14:paraId="67A0F93F">
            <w:pPr>
              <w:spacing w:line="360" w:lineRule="auto"/>
              <w:rPr>
                <w:rFonts w:hint="eastAsia" w:ascii="宋体" w:hAnsi="宋体"/>
                <w:color w:val="auto"/>
                <w:szCs w:val="21"/>
                <w:highlight w:val="none"/>
              </w:rPr>
            </w:pPr>
            <w:r>
              <w:rPr>
                <w:rFonts w:hint="eastAsia" w:ascii="宋体" w:hAnsi="宋体"/>
                <w:color w:val="auto"/>
                <w:szCs w:val="21"/>
                <w:highlight w:val="none"/>
              </w:rPr>
              <w:t>招标人书面澄清的时间</w:t>
            </w:r>
          </w:p>
        </w:tc>
        <w:tc>
          <w:tcPr>
            <w:tcW w:w="6356" w:type="dxa"/>
            <w:noWrap w:val="0"/>
            <w:vAlign w:val="center"/>
          </w:tcPr>
          <w:p w14:paraId="7EA0374C">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投标截止时间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2</w:t>
            </w:r>
            <w:r>
              <w:rPr>
                <w:rFonts w:hint="eastAsia" w:ascii="宋体" w:hAnsi="宋体"/>
                <w:kern w:val="0"/>
                <w:szCs w:val="21"/>
                <w:highlight w:val="none"/>
                <w:u w:val="single"/>
              </w:rPr>
              <w:t xml:space="preserve"> </w:t>
            </w:r>
            <w:r>
              <w:rPr>
                <w:rFonts w:hint="eastAsia" w:ascii="宋体" w:hAnsi="宋体"/>
                <w:kern w:val="0"/>
                <w:szCs w:val="21"/>
                <w:highlight w:val="none"/>
              </w:rPr>
              <w:t>日前，由招标人以补遗书方式统一通过网络向潜在投标人发布，所有获取了招标文件的潜在投标人登录云上营家：</w:t>
            </w:r>
            <w:r>
              <w:rPr>
                <w:rFonts w:hint="eastAsia" w:ascii="宋体" w:hAnsi="宋体"/>
                <w:kern w:val="0"/>
                <w:szCs w:val="21"/>
                <w:highlight w:val="none"/>
              </w:rPr>
              <w:fldChar w:fldCharType="begin"/>
            </w:r>
            <w:r>
              <w:rPr>
                <w:rFonts w:hint="eastAsia" w:ascii="宋体" w:hAnsi="宋体"/>
                <w:kern w:val="0"/>
                <w:szCs w:val="21"/>
                <w:highlight w:val="none"/>
              </w:rPr>
              <w:instrText xml:space="preserve"> HYPERLINK "http://ysyec.com/" </w:instrText>
            </w:r>
            <w:r>
              <w:rPr>
                <w:rFonts w:hint="eastAsia" w:ascii="宋体" w:hAnsi="宋体"/>
                <w:kern w:val="0"/>
                <w:szCs w:val="21"/>
                <w:highlight w:val="none"/>
              </w:rPr>
              <w:fldChar w:fldCharType="separate"/>
            </w:r>
            <w:r>
              <w:rPr>
                <w:rFonts w:hint="eastAsia" w:ascii="宋体" w:hAnsi="宋体"/>
                <w:kern w:val="0"/>
                <w:szCs w:val="21"/>
                <w:highlight w:val="none"/>
              </w:rPr>
              <w:t>http://www.inja.com</w:t>
            </w:r>
            <w:r>
              <w:rPr>
                <w:rFonts w:hint="eastAsia" w:ascii="宋体" w:hAnsi="宋体"/>
                <w:kern w:val="0"/>
                <w:szCs w:val="21"/>
                <w:highlight w:val="none"/>
              </w:rPr>
              <w:fldChar w:fldCharType="end"/>
            </w:r>
            <w:r>
              <w:rPr>
                <w:rFonts w:hint="eastAsia" w:ascii="宋体" w:hAnsi="宋体"/>
                <w:kern w:val="0"/>
                <w:szCs w:val="21"/>
                <w:highlight w:val="none"/>
              </w:rPr>
              <w:t>查看澄清内容。</w:t>
            </w:r>
          </w:p>
        </w:tc>
      </w:tr>
      <w:tr w14:paraId="05DE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75F6FFDB">
            <w:pPr>
              <w:spacing w:line="360" w:lineRule="auto"/>
              <w:jc w:val="center"/>
              <w:rPr>
                <w:rFonts w:hint="eastAsia" w:ascii="宋体" w:hAnsi="宋体"/>
                <w:color w:val="auto"/>
                <w:szCs w:val="21"/>
                <w:highlight w:val="none"/>
              </w:rPr>
            </w:pPr>
            <w:r>
              <w:rPr>
                <w:rFonts w:hint="eastAsia" w:ascii="宋体" w:hAnsi="宋体"/>
                <w:color w:val="auto"/>
                <w:szCs w:val="21"/>
                <w:highlight w:val="none"/>
              </w:rPr>
              <w:t>18</w:t>
            </w:r>
          </w:p>
        </w:tc>
        <w:tc>
          <w:tcPr>
            <w:tcW w:w="2503" w:type="dxa"/>
            <w:noWrap w:val="0"/>
            <w:vAlign w:val="center"/>
          </w:tcPr>
          <w:p w14:paraId="428E7F7A">
            <w:pPr>
              <w:spacing w:line="360" w:lineRule="auto"/>
              <w:rPr>
                <w:rFonts w:hint="eastAsia" w:ascii="宋体" w:hAnsi="宋体"/>
                <w:color w:val="auto"/>
                <w:szCs w:val="21"/>
                <w:highlight w:val="none"/>
              </w:rPr>
            </w:pPr>
            <w:r>
              <w:rPr>
                <w:rFonts w:hint="eastAsia" w:ascii="宋体" w:hAnsi="宋体"/>
                <w:color w:val="auto"/>
                <w:szCs w:val="21"/>
                <w:highlight w:val="none"/>
              </w:rPr>
              <w:t>投标文件份数及相关要求</w:t>
            </w:r>
          </w:p>
        </w:tc>
        <w:tc>
          <w:tcPr>
            <w:tcW w:w="6356" w:type="dxa"/>
            <w:noWrap w:val="0"/>
            <w:vAlign w:val="center"/>
          </w:tcPr>
          <w:p w14:paraId="1C3FB843">
            <w:pPr>
              <w:numPr>
                <w:ilvl w:val="0"/>
                <w:numId w:val="4"/>
              </w:numPr>
              <w:spacing w:line="360" w:lineRule="auto"/>
              <w:rPr>
                <w:rFonts w:hint="eastAsia"/>
                <w:highlight w:val="none"/>
                <w:u w:val="single"/>
              </w:rPr>
            </w:pPr>
            <w:r>
              <w:rPr>
                <w:rFonts w:hint="eastAsia"/>
                <w:highlight w:val="none"/>
              </w:rPr>
              <w:t>份数要求：</w:t>
            </w:r>
            <w:r>
              <w:rPr>
                <w:rFonts w:hint="eastAsia"/>
                <w:b w:val="0"/>
                <w:bCs w:val="0"/>
                <w:highlight w:val="none"/>
                <w:u w:val="single"/>
              </w:rPr>
              <w:t>投标文件为壹份正本，</w:t>
            </w:r>
            <w:r>
              <w:rPr>
                <w:rFonts w:hint="eastAsia"/>
                <w:b w:val="0"/>
                <w:bCs w:val="0"/>
                <w:highlight w:val="none"/>
                <w:u w:val="single"/>
                <w:lang w:val="en-US" w:eastAsia="zh-CN"/>
              </w:rPr>
              <w:t>贰</w:t>
            </w:r>
            <w:r>
              <w:rPr>
                <w:rFonts w:hint="eastAsia"/>
                <w:b w:val="0"/>
                <w:bCs w:val="0"/>
                <w:highlight w:val="none"/>
                <w:u w:val="single"/>
              </w:rPr>
              <w:t>份</w:t>
            </w:r>
            <w:r>
              <w:rPr>
                <w:rFonts w:hint="eastAsia"/>
                <w:b w:val="0"/>
                <w:bCs w:val="0"/>
                <w:highlight w:val="none"/>
                <w:u w:val="single"/>
                <w:lang w:val="en-US" w:eastAsia="zh-CN"/>
              </w:rPr>
              <w:t>副</w:t>
            </w:r>
            <w:r>
              <w:rPr>
                <w:rFonts w:hint="eastAsia"/>
                <w:b w:val="0"/>
                <w:bCs w:val="0"/>
                <w:highlight w:val="none"/>
                <w:u w:val="single"/>
              </w:rPr>
              <w:t>本</w:t>
            </w:r>
            <w:r>
              <w:rPr>
                <w:rFonts w:hint="eastAsia"/>
                <w:highlight w:val="none"/>
                <w:u w:val="single"/>
              </w:rPr>
              <w:t xml:space="preserve">（投标文件应在封面的右上角清楚地注明“正本”或“副本”。正本和副本如有不一致之处，以正本为准）  </w:t>
            </w:r>
          </w:p>
          <w:p w14:paraId="55F8FD00">
            <w:pPr>
              <w:numPr>
                <w:ilvl w:val="0"/>
                <w:numId w:val="4"/>
              </w:numPr>
              <w:spacing w:line="360" w:lineRule="auto"/>
              <w:rPr>
                <w:rFonts w:hint="eastAsia"/>
                <w:highlight w:val="none"/>
              </w:rPr>
            </w:pPr>
            <w:r>
              <w:rPr>
                <w:rFonts w:hint="eastAsia"/>
                <w:highlight w:val="none"/>
              </w:rPr>
              <w:t>签字和盖章要求：</w:t>
            </w:r>
            <w:r>
              <w:rPr>
                <w:rFonts w:hint="eastAsia"/>
                <w:highlight w:val="none"/>
                <w:u w:val="single"/>
              </w:rPr>
              <w:t xml:space="preserve"> 投标文件封面、投标报价一览表、承诺函及主要内容须经法定代表人或其委托代理人签字或盖章并加盖投标单位公章。由委托代理人签字或盖章的投标文件中须同时提交投标文件签署授权委托书及其委托人合法有效的劳动合同。</w:t>
            </w:r>
          </w:p>
          <w:p w14:paraId="1DFA0762">
            <w:pPr>
              <w:numPr>
                <w:ilvl w:val="0"/>
                <w:numId w:val="4"/>
              </w:numPr>
              <w:spacing w:line="360" w:lineRule="auto"/>
              <w:rPr>
                <w:rFonts w:hint="eastAsia"/>
                <w:highlight w:val="none"/>
                <w:u w:val="single"/>
              </w:rPr>
            </w:pPr>
            <w:r>
              <w:rPr>
                <w:rFonts w:hint="eastAsia"/>
                <w:highlight w:val="none"/>
              </w:rPr>
              <w:t>装订及密封要求：</w:t>
            </w:r>
            <w:r>
              <w:rPr>
                <w:rFonts w:hint="eastAsia"/>
                <w:highlight w:val="none"/>
                <w:u w:val="single"/>
              </w:rPr>
              <w:t xml:space="preserve"> 按招标文件规定的内容顺序装订成册；投标文件外封袋应在开口处加贴密封纸，外封面及骑缝处加盖单位公章。</w:t>
            </w:r>
          </w:p>
          <w:p w14:paraId="7DEB138F">
            <w:pPr>
              <w:rPr>
                <w:highlight w:val="none"/>
                <w:u w:val="single"/>
              </w:rPr>
            </w:pPr>
            <w:r>
              <w:rPr>
                <w:rFonts w:hint="eastAsia"/>
                <w:highlight w:val="none"/>
              </w:rPr>
              <w:t>4、封套标记要求：</w:t>
            </w:r>
            <w:r>
              <w:rPr>
                <w:rFonts w:hint="eastAsia"/>
                <w:highlight w:val="none"/>
                <w:u w:val="single"/>
              </w:rPr>
              <w:t xml:space="preserve"> 写明概述中所述的工程名称、投标单位名称和盖章、法定代表人或其授权委托代理人签字或盖章、投标单位地址和开标时间。</w:t>
            </w:r>
          </w:p>
          <w:p w14:paraId="2661C8E0">
            <w:pPr>
              <w:spacing w:line="360" w:lineRule="auto"/>
              <w:rPr>
                <w:rFonts w:hint="eastAsia"/>
                <w:color w:val="auto"/>
                <w:highlight w:val="none"/>
              </w:rPr>
            </w:pPr>
            <w:r>
              <w:rPr>
                <w:rFonts w:hint="eastAsia"/>
                <w:highlight w:val="none"/>
              </w:rPr>
              <w:t>5、其他要求：</w:t>
            </w:r>
            <w:r>
              <w:rPr>
                <w:rFonts w:hint="eastAsia"/>
                <w:highlight w:val="none"/>
                <w:u w:val="single"/>
              </w:rPr>
              <w:t xml:space="preserve">           /                 </w:t>
            </w:r>
            <w:r>
              <w:rPr>
                <w:rFonts w:hint="eastAsia"/>
                <w:highlight w:val="none"/>
              </w:rPr>
              <w:t xml:space="preserve"> </w:t>
            </w:r>
          </w:p>
        </w:tc>
      </w:tr>
      <w:tr w14:paraId="16E9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53F78990">
            <w:pPr>
              <w:spacing w:line="360" w:lineRule="auto"/>
              <w:jc w:val="center"/>
              <w:rPr>
                <w:rFonts w:ascii="宋体" w:hAnsi="宋体"/>
                <w:color w:val="auto"/>
                <w:szCs w:val="21"/>
                <w:highlight w:val="none"/>
              </w:rPr>
            </w:pPr>
            <w:r>
              <w:rPr>
                <w:rFonts w:hint="eastAsia" w:ascii="宋体" w:hAnsi="宋体"/>
                <w:color w:val="auto"/>
                <w:szCs w:val="21"/>
                <w:highlight w:val="none"/>
              </w:rPr>
              <w:t>19</w:t>
            </w:r>
          </w:p>
        </w:tc>
        <w:tc>
          <w:tcPr>
            <w:tcW w:w="2503" w:type="dxa"/>
            <w:noWrap w:val="0"/>
            <w:vAlign w:val="center"/>
          </w:tcPr>
          <w:p w14:paraId="219FF1CE">
            <w:pPr>
              <w:spacing w:line="360" w:lineRule="auto"/>
              <w:rPr>
                <w:rFonts w:hint="eastAsia" w:ascii="宋体" w:hAnsi="宋体"/>
                <w:color w:val="auto"/>
                <w:szCs w:val="21"/>
                <w:highlight w:val="none"/>
              </w:rPr>
            </w:pPr>
            <w:r>
              <w:rPr>
                <w:rFonts w:hint="eastAsia" w:ascii="宋体" w:hAnsi="宋体"/>
                <w:color w:val="auto"/>
                <w:szCs w:val="21"/>
                <w:highlight w:val="none"/>
              </w:rPr>
              <w:t>投标文件递交地点及截止时间</w:t>
            </w:r>
          </w:p>
        </w:tc>
        <w:tc>
          <w:tcPr>
            <w:tcW w:w="6356" w:type="dxa"/>
            <w:noWrap w:val="0"/>
            <w:vAlign w:val="center"/>
          </w:tcPr>
          <w:p w14:paraId="41A44ED6">
            <w:pPr>
              <w:spacing w:line="360" w:lineRule="auto"/>
              <w:rPr>
                <w:rFonts w:hint="eastAsia" w:ascii="宋体" w:hAnsi="宋体"/>
                <w:color w:val="auto"/>
                <w:szCs w:val="21"/>
                <w:highlight w:val="none"/>
              </w:rPr>
            </w:pPr>
            <w:r>
              <w:rPr>
                <w:rFonts w:hint="eastAsia" w:ascii="宋体" w:hAnsi="宋体"/>
                <w:color w:val="auto"/>
                <w:szCs w:val="21"/>
                <w:highlight w:val="none"/>
              </w:rPr>
              <w:t>递交地点：</w:t>
            </w:r>
            <w:r>
              <w:rPr>
                <w:rFonts w:hint="eastAsia" w:ascii="宋体" w:hAnsi="宋体"/>
                <w:szCs w:val="21"/>
                <w:highlight w:val="none"/>
                <w:u w:val="single"/>
              </w:rPr>
              <w:t>电子版:云上营家：</w:t>
            </w:r>
            <w:r>
              <w:rPr>
                <w:rFonts w:hint="eastAsia" w:ascii="宋体" w:hAnsi="宋体"/>
                <w:szCs w:val="21"/>
                <w:highlight w:val="none"/>
                <w:u w:val="single"/>
              </w:rPr>
              <w:fldChar w:fldCharType="begin"/>
            </w:r>
            <w:r>
              <w:rPr>
                <w:rFonts w:hint="eastAsia" w:ascii="宋体" w:hAnsi="宋体"/>
                <w:szCs w:val="21"/>
                <w:highlight w:val="none"/>
                <w:u w:val="single"/>
              </w:rPr>
              <w:instrText xml:space="preserve"> HYPERLINK "http://ysyec.com/" </w:instrText>
            </w:r>
            <w:r>
              <w:rPr>
                <w:rFonts w:hint="eastAsia" w:ascii="宋体" w:hAnsi="宋体"/>
                <w:szCs w:val="21"/>
                <w:highlight w:val="none"/>
                <w:u w:val="single"/>
              </w:rPr>
              <w:fldChar w:fldCharType="separate"/>
            </w:r>
            <w:r>
              <w:rPr>
                <w:rFonts w:hint="eastAsia" w:ascii="宋体" w:hAnsi="宋体"/>
                <w:szCs w:val="21"/>
                <w:highlight w:val="none"/>
                <w:u w:val="single"/>
              </w:rPr>
              <w:t>http://www.inja.com</w:t>
            </w:r>
            <w:r>
              <w:rPr>
                <w:rFonts w:hint="eastAsia" w:ascii="宋体" w:hAnsi="宋体"/>
                <w:szCs w:val="21"/>
                <w:highlight w:val="none"/>
                <w:u w:val="single"/>
              </w:rPr>
              <w:fldChar w:fldCharType="end"/>
            </w:r>
            <w:r>
              <w:rPr>
                <w:rFonts w:hint="eastAsia" w:ascii="宋体" w:hAnsi="宋体"/>
                <w:szCs w:val="21"/>
                <w:highlight w:val="none"/>
                <w:u w:val="single"/>
              </w:rPr>
              <w:t xml:space="preserve">  纸质版递交至</w:t>
            </w:r>
            <w:r>
              <w:rPr>
                <w:rFonts w:hint="eastAsia" w:ascii="宋体" w:hAnsi="宋体" w:eastAsia="宋体" w:cs="Times New Roman"/>
                <w:color w:val="auto"/>
                <w:szCs w:val="22"/>
                <w:highlight w:val="none"/>
                <w:u w:val="single"/>
                <w:lang w:val="en-US" w:eastAsia="zh-CN"/>
              </w:rPr>
              <w:t>南云高速土建八工区</w:t>
            </w:r>
            <w:r>
              <w:rPr>
                <w:rFonts w:hint="default" w:ascii="宋体" w:hAnsi="宋体" w:eastAsia="宋体" w:cs="Times New Roman"/>
                <w:color w:val="auto"/>
                <w:szCs w:val="22"/>
                <w:highlight w:val="none"/>
                <w:u w:val="single"/>
                <w:lang w:val="en-US" w:eastAsia="zh-CN"/>
              </w:rPr>
              <w:t>项目经理部</w:t>
            </w:r>
            <w:r>
              <w:rPr>
                <w:rFonts w:hint="eastAsia" w:ascii="宋体" w:hAnsi="宋体" w:eastAsia="宋体" w:cs="Times New Roman"/>
                <w:color w:val="auto"/>
                <w:szCs w:val="22"/>
                <w:highlight w:val="none"/>
                <w:u w:val="single"/>
              </w:rPr>
              <w:t>（地址：</w:t>
            </w:r>
            <w:r>
              <w:rPr>
                <w:rFonts w:hint="eastAsia" w:ascii="宋体" w:hAnsi="宋体" w:eastAsia="宋体" w:cs="Times New Roman"/>
                <w:color w:val="auto"/>
                <w:szCs w:val="22"/>
                <w:highlight w:val="none"/>
                <w:u w:val="single"/>
                <w:lang w:val="en-US" w:eastAsia="zh-CN"/>
              </w:rPr>
              <w:t xml:space="preserve">云南省普洱市景东县漫湾镇保甸村 </w:t>
            </w:r>
            <w:r>
              <w:rPr>
                <w:rFonts w:hint="eastAsia" w:ascii="宋体" w:hAnsi="宋体"/>
                <w:color w:val="auto"/>
                <w:szCs w:val="22"/>
                <w:highlight w:val="none"/>
              </w:rPr>
              <w:t>）</w:t>
            </w:r>
          </w:p>
          <w:p w14:paraId="11125E5F">
            <w:pPr>
              <w:spacing w:line="360" w:lineRule="auto"/>
              <w:rPr>
                <w:rFonts w:hint="eastAsia"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lang w:val="en-US" w:eastAsia="zh-CN"/>
              </w:rPr>
              <w:t>具体时间以云上营家发布为准</w:t>
            </w:r>
          </w:p>
          <w:p w14:paraId="2DF6C87E">
            <w:pPr>
              <w:spacing w:line="360" w:lineRule="auto"/>
              <w:rPr>
                <w:color w:val="auto"/>
                <w:szCs w:val="21"/>
                <w:highlight w:val="none"/>
              </w:rPr>
            </w:pPr>
            <w:r>
              <w:rPr>
                <w:rFonts w:hint="eastAsia" w:ascii="宋体" w:hAnsi="宋体"/>
                <w:color w:val="auto"/>
                <w:szCs w:val="21"/>
                <w:highlight w:val="none"/>
              </w:rPr>
              <w:t>备注：逾期送达的投标文件将被拒绝并原封退回投标人</w:t>
            </w:r>
          </w:p>
        </w:tc>
      </w:tr>
      <w:tr w14:paraId="204D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095AA971">
            <w:pPr>
              <w:spacing w:line="360" w:lineRule="auto"/>
              <w:jc w:val="center"/>
              <w:rPr>
                <w:rFonts w:hint="eastAsia" w:ascii="宋体" w:hAnsi="宋体"/>
                <w:color w:val="auto"/>
                <w:szCs w:val="21"/>
                <w:highlight w:val="none"/>
              </w:rPr>
            </w:pPr>
            <w:r>
              <w:rPr>
                <w:rFonts w:hint="eastAsia" w:ascii="宋体" w:hAnsi="宋体"/>
                <w:color w:val="auto"/>
                <w:szCs w:val="21"/>
                <w:highlight w:val="none"/>
              </w:rPr>
              <w:t>20</w:t>
            </w:r>
          </w:p>
        </w:tc>
        <w:tc>
          <w:tcPr>
            <w:tcW w:w="2503" w:type="dxa"/>
            <w:noWrap w:val="0"/>
            <w:vAlign w:val="center"/>
          </w:tcPr>
          <w:p w14:paraId="3C590B59">
            <w:pPr>
              <w:spacing w:line="360" w:lineRule="auto"/>
              <w:rPr>
                <w:rFonts w:hint="eastAsia" w:ascii="宋体" w:hAnsi="宋体"/>
                <w:color w:val="auto"/>
                <w:highlight w:val="none"/>
              </w:rPr>
            </w:pPr>
            <w:r>
              <w:rPr>
                <w:rFonts w:hint="eastAsia" w:ascii="宋体" w:hAnsi="宋体"/>
                <w:color w:val="auto"/>
                <w:highlight w:val="none"/>
              </w:rPr>
              <w:t>开标时间和地点</w:t>
            </w:r>
          </w:p>
        </w:tc>
        <w:tc>
          <w:tcPr>
            <w:tcW w:w="6356" w:type="dxa"/>
            <w:noWrap w:val="0"/>
            <w:vAlign w:val="center"/>
          </w:tcPr>
          <w:p w14:paraId="3AF2EB6C">
            <w:pPr>
              <w:spacing w:line="360" w:lineRule="auto"/>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同递交投标文件截止时间</w:t>
            </w:r>
          </w:p>
          <w:p w14:paraId="5F11B04C">
            <w:pPr>
              <w:spacing w:line="360" w:lineRule="auto"/>
              <w:rPr>
                <w:rFonts w:hint="eastAsia" w:ascii="宋体" w:hAnsi="宋体"/>
                <w:color w:val="auto"/>
                <w:highlight w:val="none"/>
              </w:rPr>
            </w:pPr>
            <w:r>
              <w:rPr>
                <w:rFonts w:hint="eastAsia" w:ascii="宋体" w:hAnsi="宋体"/>
                <w:color w:val="auto"/>
                <w:highlight w:val="none"/>
              </w:rPr>
              <w:t>开标地点：</w:t>
            </w:r>
            <w:r>
              <w:rPr>
                <w:rFonts w:hint="eastAsia" w:ascii="宋体" w:hAnsi="宋体"/>
                <w:color w:val="auto"/>
                <w:szCs w:val="21"/>
                <w:highlight w:val="none"/>
                <w:u w:val="single"/>
              </w:rPr>
              <w:t>同递交投标文件地点</w:t>
            </w:r>
          </w:p>
        </w:tc>
      </w:tr>
      <w:tr w14:paraId="1D55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1B423293">
            <w:pPr>
              <w:spacing w:line="360" w:lineRule="auto"/>
              <w:jc w:val="center"/>
              <w:rPr>
                <w:rFonts w:hint="eastAsia" w:ascii="宋体" w:hAnsi="宋体"/>
                <w:color w:val="auto"/>
                <w:szCs w:val="21"/>
                <w:highlight w:val="none"/>
              </w:rPr>
            </w:pPr>
            <w:r>
              <w:rPr>
                <w:rFonts w:hint="eastAsia" w:ascii="宋体" w:hAnsi="宋体"/>
                <w:color w:val="auto"/>
                <w:szCs w:val="21"/>
                <w:highlight w:val="none"/>
              </w:rPr>
              <w:t>21</w:t>
            </w:r>
          </w:p>
        </w:tc>
        <w:tc>
          <w:tcPr>
            <w:tcW w:w="2503" w:type="dxa"/>
            <w:noWrap w:val="0"/>
            <w:vAlign w:val="center"/>
          </w:tcPr>
          <w:p w14:paraId="73B7D655">
            <w:pPr>
              <w:spacing w:line="360" w:lineRule="auto"/>
              <w:rPr>
                <w:rFonts w:hint="eastAsia" w:ascii="宋体" w:hAnsi="宋体"/>
                <w:color w:val="auto"/>
                <w:highlight w:val="none"/>
              </w:rPr>
            </w:pPr>
            <w:r>
              <w:rPr>
                <w:rFonts w:hint="eastAsia" w:ascii="宋体" w:hAnsi="宋体"/>
                <w:color w:val="auto"/>
                <w:highlight w:val="none"/>
              </w:rPr>
              <w:t>开标程序</w:t>
            </w:r>
          </w:p>
        </w:tc>
        <w:tc>
          <w:tcPr>
            <w:tcW w:w="6356" w:type="dxa"/>
            <w:noWrap w:val="0"/>
            <w:vAlign w:val="center"/>
          </w:tcPr>
          <w:p w14:paraId="0ACBB177">
            <w:pPr>
              <w:spacing w:line="360" w:lineRule="auto"/>
              <w:rPr>
                <w:rFonts w:hint="eastAsia" w:ascii="宋体" w:hAnsi="宋体"/>
                <w:color w:val="auto"/>
                <w:highlight w:val="none"/>
              </w:rPr>
            </w:pPr>
            <w:r>
              <w:rPr>
                <w:rFonts w:hint="eastAsia" w:ascii="宋体" w:hAnsi="宋体"/>
                <w:color w:val="auto"/>
                <w:highlight w:val="none"/>
              </w:rPr>
              <w:t>开标顺序：</w:t>
            </w:r>
            <w:r>
              <w:rPr>
                <w:rFonts w:hint="eastAsia" w:ascii="宋体" w:hAnsi="宋体"/>
                <w:color w:val="auto"/>
                <w:szCs w:val="21"/>
                <w:highlight w:val="none"/>
                <w:u w:val="single"/>
              </w:rPr>
              <w:t>随机抽取投标文件进行开标</w:t>
            </w:r>
          </w:p>
        </w:tc>
      </w:tr>
      <w:tr w14:paraId="6734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41447B52">
            <w:pPr>
              <w:spacing w:line="276" w:lineRule="auto"/>
              <w:jc w:val="center"/>
              <w:rPr>
                <w:rFonts w:hint="eastAsia" w:ascii="宋体" w:hAnsi="宋体"/>
                <w:color w:val="auto"/>
                <w:szCs w:val="21"/>
                <w:highlight w:val="none"/>
              </w:rPr>
            </w:pPr>
            <w:r>
              <w:rPr>
                <w:rFonts w:hint="eastAsia" w:ascii="宋体" w:hAnsi="宋体"/>
                <w:color w:val="auto"/>
                <w:szCs w:val="21"/>
                <w:highlight w:val="none"/>
              </w:rPr>
              <w:t>22</w:t>
            </w:r>
          </w:p>
        </w:tc>
        <w:tc>
          <w:tcPr>
            <w:tcW w:w="2503" w:type="dxa"/>
            <w:noWrap w:val="0"/>
            <w:vAlign w:val="center"/>
          </w:tcPr>
          <w:p w14:paraId="106D8E60">
            <w:pPr>
              <w:spacing w:line="276" w:lineRule="auto"/>
              <w:rPr>
                <w:rFonts w:hint="eastAsia" w:ascii="宋体" w:hAnsi="宋体"/>
                <w:color w:val="auto"/>
                <w:szCs w:val="21"/>
                <w:highlight w:val="none"/>
              </w:rPr>
            </w:pPr>
            <w:r>
              <w:rPr>
                <w:rFonts w:hint="eastAsia" w:ascii="宋体" w:hAnsi="宋体"/>
                <w:color w:val="auto"/>
                <w:szCs w:val="21"/>
                <w:highlight w:val="none"/>
              </w:rPr>
              <w:t>评标委员会的组建</w:t>
            </w:r>
          </w:p>
        </w:tc>
        <w:tc>
          <w:tcPr>
            <w:tcW w:w="6356" w:type="dxa"/>
            <w:noWrap w:val="0"/>
            <w:vAlign w:val="center"/>
          </w:tcPr>
          <w:p w14:paraId="7EC6D63D">
            <w:pPr>
              <w:spacing w:line="276" w:lineRule="auto"/>
              <w:rPr>
                <w:rFonts w:ascii="宋体" w:hAnsi="宋体"/>
                <w:color w:val="auto"/>
                <w:szCs w:val="21"/>
                <w:highlight w:val="none"/>
                <w:u w:val="single"/>
              </w:rPr>
            </w:pPr>
            <w:r>
              <w:rPr>
                <w:rFonts w:hint="eastAsia" w:ascii="宋体" w:hAnsi="宋体"/>
                <w:color w:val="auto"/>
                <w:szCs w:val="21"/>
                <w:highlight w:val="none"/>
              </w:rPr>
              <w:t>评标委员会人数：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5人及5人以上单数</w:t>
            </w:r>
            <w:r>
              <w:rPr>
                <w:rFonts w:hint="eastAsia" w:ascii="宋体" w:hAnsi="宋体"/>
                <w:color w:val="auto"/>
                <w:szCs w:val="21"/>
                <w:highlight w:val="none"/>
                <w:u w:val="single"/>
              </w:rPr>
              <w:t xml:space="preserve">             </w:t>
            </w:r>
          </w:p>
          <w:p w14:paraId="6B86C087">
            <w:pPr>
              <w:spacing w:line="276" w:lineRule="auto"/>
              <w:rPr>
                <w:rFonts w:ascii="宋体" w:hAnsi="宋体"/>
                <w:color w:val="auto"/>
                <w:szCs w:val="21"/>
                <w:highlight w:val="none"/>
              </w:rPr>
            </w:pPr>
            <w:r>
              <w:rPr>
                <w:rFonts w:hint="eastAsia" w:ascii="宋体" w:hAnsi="宋体"/>
                <w:color w:val="auto"/>
                <w:szCs w:val="21"/>
                <w:highlight w:val="none"/>
              </w:rPr>
              <w:t>评标专家确定方式：</w:t>
            </w:r>
            <w:r>
              <w:rPr>
                <w:rFonts w:hint="eastAsia" w:ascii="宋体" w:hAnsi="宋体"/>
                <w:color w:val="auto"/>
                <w:szCs w:val="21"/>
                <w:highlight w:val="none"/>
                <w:u w:val="single"/>
              </w:rPr>
              <w:t xml:space="preserve"> </w:t>
            </w:r>
            <w:r>
              <w:rPr>
                <w:rFonts w:hint="eastAsia" w:ascii="宋体" w:hAnsi="宋体"/>
                <w:szCs w:val="21"/>
                <w:highlight w:val="none"/>
                <w:u w:val="single"/>
              </w:rPr>
              <w:fldChar w:fldCharType="begin"/>
            </w:r>
            <w:r>
              <w:rPr>
                <w:rFonts w:hint="eastAsia" w:ascii="宋体" w:hAnsi="宋体"/>
                <w:szCs w:val="21"/>
                <w:highlight w:val="none"/>
                <w:u w:val="single"/>
              </w:rPr>
              <w:instrText xml:space="preserve"> AUTOTEXT  input160 \* MERGEFORMAT </w:instrText>
            </w:r>
            <w:r>
              <w:rPr>
                <w:rFonts w:hint="eastAsia" w:ascii="宋体" w:hAnsi="宋体"/>
                <w:szCs w:val="21"/>
                <w:highlight w:val="none"/>
                <w:u w:val="single"/>
              </w:rPr>
              <w:fldChar w:fldCharType="separate"/>
            </w:r>
            <w:r>
              <w:rPr>
                <w:rFonts w:hint="eastAsia" w:ascii="宋体" w:hAnsi="宋体"/>
                <w:szCs w:val="21"/>
                <w:highlight w:val="none"/>
                <w:u w:val="single"/>
              </w:rPr>
              <w:t>从</w:t>
            </w:r>
            <w:r>
              <w:rPr>
                <w:rFonts w:hint="eastAsia" w:ascii="宋体" w:hAnsi="宋体"/>
                <w:szCs w:val="21"/>
                <w:highlight w:val="none"/>
                <w:u w:val="single"/>
                <w:lang w:val="en-US" w:eastAsia="zh-CN"/>
              </w:rPr>
              <w:t>公司</w:t>
            </w:r>
            <w:r>
              <w:rPr>
                <w:rFonts w:hint="eastAsia" w:ascii="宋体" w:hAnsi="宋体"/>
                <w:szCs w:val="21"/>
                <w:highlight w:val="none"/>
                <w:u w:val="single"/>
              </w:rPr>
              <w:t>评标专家库（云上营家）</w:t>
            </w:r>
            <w:r>
              <w:rPr>
                <w:rFonts w:hint="eastAsia" w:ascii="宋体" w:hAnsi="宋体"/>
                <w:szCs w:val="21"/>
                <w:highlight w:val="none"/>
                <w:u w:val="single"/>
                <w:lang w:eastAsia="zh-CN"/>
              </w:rPr>
              <w:t>选</w:t>
            </w:r>
            <w:r>
              <w:rPr>
                <w:rFonts w:hint="eastAsia" w:ascii="宋体" w:hAnsi="宋体"/>
                <w:szCs w:val="21"/>
                <w:highlight w:val="none"/>
                <w:u w:val="single"/>
              </w:rPr>
              <w:fldChar w:fldCharType="end"/>
            </w:r>
            <w:r>
              <w:rPr>
                <w:rFonts w:hint="eastAsia" w:ascii="宋体" w:hAnsi="宋体"/>
                <w:szCs w:val="21"/>
                <w:highlight w:val="none"/>
                <w:u w:val="single"/>
                <w:lang w:eastAsia="zh-CN"/>
              </w:rPr>
              <w:t>取</w:t>
            </w:r>
            <w:r>
              <w:rPr>
                <w:rFonts w:hint="eastAsia" w:ascii="宋体" w:hAnsi="宋体"/>
                <w:color w:val="auto"/>
                <w:szCs w:val="21"/>
                <w:highlight w:val="none"/>
                <w:u w:val="single"/>
              </w:rPr>
              <w:t xml:space="preserve">   </w:t>
            </w:r>
          </w:p>
        </w:tc>
      </w:tr>
      <w:tr w14:paraId="33F2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5199644D">
            <w:pPr>
              <w:spacing w:line="276" w:lineRule="auto"/>
              <w:jc w:val="center"/>
              <w:rPr>
                <w:rFonts w:hint="eastAsia" w:ascii="宋体" w:hAnsi="宋体"/>
                <w:color w:val="auto"/>
                <w:szCs w:val="21"/>
                <w:highlight w:val="none"/>
              </w:rPr>
            </w:pPr>
            <w:r>
              <w:rPr>
                <w:rFonts w:hint="eastAsia" w:ascii="宋体" w:hAnsi="宋体"/>
                <w:color w:val="auto"/>
                <w:szCs w:val="21"/>
                <w:highlight w:val="none"/>
              </w:rPr>
              <w:t>23</w:t>
            </w:r>
          </w:p>
        </w:tc>
        <w:tc>
          <w:tcPr>
            <w:tcW w:w="2503" w:type="dxa"/>
            <w:noWrap w:val="0"/>
            <w:vAlign w:val="center"/>
          </w:tcPr>
          <w:p w14:paraId="37A574D0">
            <w:pPr>
              <w:spacing w:line="276" w:lineRule="auto"/>
              <w:rPr>
                <w:rFonts w:hint="eastAsia" w:ascii="宋体" w:hAnsi="宋体"/>
                <w:color w:val="auto"/>
                <w:szCs w:val="21"/>
                <w:highlight w:val="none"/>
              </w:rPr>
            </w:pPr>
            <w:r>
              <w:rPr>
                <w:rFonts w:hint="eastAsia" w:ascii="宋体" w:hAnsi="宋体"/>
                <w:color w:val="auto"/>
                <w:szCs w:val="21"/>
                <w:highlight w:val="none"/>
              </w:rPr>
              <w:t>是否授权评标委员会确定中标人</w:t>
            </w:r>
          </w:p>
        </w:tc>
        <w:tc>
          <w:tcPr>
            <w:tcW w:w="6356" w:type="dxa"/>
            <w:noWrap w:val="0"/>
            <w:vAlign w:val="center"/>
          </w:tcPr>
          <w:p w14:paraId="23FE6BF5">
            <w:pPr>
              <w:spacing w:line="276"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是</w:t>
            </w:r>
          </w:p>
        </w:tc>
      </w:tr>
      <w:tr w14:paraId="3433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1" w:type="dxa"/>
            <w:noWrap w:val="0"/>
            <w:vAlign w:val="center"/>
          </w:tcPr>
          <w:p w14:paraId="51086D96">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p>
        </w:tc>
        <w:tc>
          <w:tcPr>
            <w:tcW w:w="2503" w:type="dxa"/>
            <w:noWrap w:val="0"/>
            <w:vAlign w:val="center"/>
          </w:tcPr>
          <w:p w14:paraId="0E52714B">
            <w:pPr>
              <w:spacing w:line="360" w:lineRule="auto"/>
              <w:rPr>
                <w:rFonts w:hint="eastAsia" w:ascii="宋体" w:hAnsi="宋体"/>
                <w:color w:val="auto"/>
                <w:szCs w:val="21"/>
                <w:highlight w:val="none"/>
              </w:rPr>
            </w:pPr>
            <w:r>
              <w:rPr>
                <w:rFonts w:hint="eastAsia" w:ascii="宋体" w:hAnsi="宋体"/>
                <w:color w:val="auto"/>
                <w:szCs w:val="21"/>
                <w:highlight w:val="none"/>
              </w:rPr>
              <w:t>履约担保</w:t>
            </w:r>
          </w:p>
        </w:tc>
        <w:tc>
          <w:tcPr>
            <w:tcW w:w="6356" w:type="dxa"/>
            <w:noWrap w:val="0"/>
            <w:vAlign w:val="center"/>
          </w:tcPr>
          <w:p w14:paraId="533384D7">
            <w:pPr>
              <w:pageBreakBefore w:val="0"/>
              <w:kinsoku/>
              <w:wordWrap/>
              <w:overflowPunct/>
              <w:topLinePunct w:val="0"/>
              <w:autoSpaceDE/>
              <w:autoSpaceDN/>
              <w:bidi w:val="0"/>
              <w:snapToGrid w:val="0"/>
              <w:spacing w:line="480" w:lineRule="exact"/>
              <w:jc w:val="both"/>
              <w:textAlignment w:val="auto"/>
              <w:rPr>
                <w:rFonts w:hint="default" w:eastAsia="宋体"/>
                <w:lang w:val="en-US" w:eastAsia="zh-CN"/>
              </w:rPr>
            </w:pPr>
            <w:r>
              <w:rPr>
                <w:rFonts w:hint="eastAsia"/>
                <w:lang w:val="en-US" w:eastAsia="zh-CN"/>
              </w:rPr>
              <w:t>本项目无履约担保金</w:t>
            </w:r>
          </w:p>
        </w:tc>
      </w:tr>
      <w:tr w14:paraId="002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41" w:type="dxa"/>
            <w:noWrap w:val="0"/>
            <w:vAlign w:val="center"/>
          </w:tcPr>
          <w:p w14:paraId="0506B0FA">
            <w:pPr>
              <w:spacing w:line="360" w:lineRule="auto"/>
              <w:jc w:val="center"/>
              <w:rPr>
                <w:rFonts w:hint="eastAsia" w:ascii="宋体" w:hAnsi="宋体"/>
                <w:color w:val="auto"/>
                <w:szCs w:val="21"/>
                <w:highlight w:val="none"/>
              </w:rPr>
            </w:pPr>
            <w:r>
              <w:rPr>
                <w:rFonts w:hint="eastAsia" w:ascii="宋体" w:hAnsi="宋体"/>
                <w:color w:val="auto"/>
                <w:szCs w:val="21"/>
                <w:highlight w:val="none"/>
              </w:rPr>
              <w:t>25</w:t>
            </w:r>
          </w:p>
        </w:tc>
        <w:tc>
          <w:tcPr>
            <w:tcW w:w="2503" w:type="dxa"/>
            <w:noWrap w:val="0"/>
            <w:vAlign w:val="center"/>
          </w:tcPr>
          <w:p w14:paraId="09FEBE91">
            <w:pPr>
              <w:spacing w:line="360" w:lineRule="auto"/>
              <w:rPr>
                <w:rFonts w:hint="eastAsia" w:ascii="宋体" w:hAnsi="宋体"/>
                <w:color w:val="auto"/>
                <w:szCs w:val="21"/>
                <w:highlight w:val="none"/>
              </w:rPr>
            </w:pPr>
            <w:r>
              <w:rPr>
                <w:rFonts w:hint="eastAsia" w:ascii="宋体" w:hAnsi="宋体"/>
                <w:color w:val="auto"/>
                <w:szCs w:val="21"/>
                <w:highlight w:val="none"/>
              </w:rPr>
              <w:t>近年财务状况的要求</w:t>
            </w:r>
          </w:p>
        </w:tc>
        <w:tc>
          <w:tcPr>
            <w:tcW w:w="6356" w:type="dxa"/>
            <w:noWrap w:val="0"/>
            <w:vAlign w:val="center"/>
          </w:tcPr>
          <w:p w14:paraId="5DBE5D5D">
            <w:pPr>
              <w:spacing w:line="360" w:lineRule="auto"/>
              <w:rPr>
                <w:rFonts w:ascii="宋体" w:hAnsi="宋体"/>
                <w:color w:val="auto"/>
                <w:szCs w:val="21"/>
                <w:highlight w:val="none"/>
                <w:u w:val="single"/>
              </w:rPr>
            </w:pPr>
            <w:r>
              <w:rPr>
                <w:rFonts w:hint="eastAsia" w:ascii="宋体" w:hAnsi="宋体"/>
                <w:color w:val="auto"/>
                <w:szCs w:val="21"/>
                <w:highlight w:val="none"/>
              </w:rPr>
              <w:t>1、财务状况要</w:t>
            </w:r>
            <w:r>
              <w:rPr>
                <w:rFonts w:hint="eastAsia" w:ascii="宋体" w:hAnsi="宋体" w:eastAsia="宋体" w:cs="Times New Roman"/>
                <w:color w:val="auto"/>
                <w:szCs w:val="21"/>
                <w:highlight w:val="none"/>
              </w:rPr>
              <w:t>求：</w:t>
            </w:r>
            <w:r>
              <w:rPr>
                <w:rFonts w:hint="eastAsia" w:ascii="宋体" w:hAnsi="宋体" w:eastAsia="宋体" w:cs="Times New Roman"/>
                <w:color w:val="auto"/>
                <w:szCs w:val="21"/>
                <w:highlight w:val="none"/>
                <w:u w:val="single"/>
              </w:rPr>
              <w:t xml:space="preserve"> 财务状况良好 </w:t>
            </w:r>
            <w:r>
              <w:rPr>
                <w:rFonts w:hint="eastAsia" w:ascii="宋体" w:hAnsi="宋体"/>
                <w:color w:val="auto"/>
                <w:szCs w:val="21"/>
                <w:highlight w:val="none"/>
              </w:rPr>
              <w:t>；</w:t>
            </w:r>
          </w:p>
          <w:p w14:paraId="77D93EB2">
            <w:pPr>
              <w:spacing w:line="360" w:lineRule="auto"/>
              <w:rPr>
                <w:rFonts w:ascii="宋体" w:hAnsi="宋体"/>
                <w:color w:val="auto"/>
                <w:szCs w:val="21"/>
                <w:highlight w:val="none"/>
              </w:rPr>
            </w:pPr>
            <w:r>
              <w:rPr>
                <w:rFonts w:hint="eastAsia" w:ascii="宋体" w:hAnsi="宋体"/>
                <w:color w:val="auto"/>
                <w:szCs w:val="21"/>
                <w:highlight w:val="none"/>
              </w:rPr>
              <w:t>2、提交资料：近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年经第三方审计的财务审计报告和财务报表（含资产负债表、利润表、现金流量表）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若没有经第三方审计的财务审计报告和财务报表的，请提供财务状况的证明材料</w:t>
            </w:r>
            <w:r>
              <w:rPr>
                <w:rFonts w:hint="eastAsia" w:ascii="宋体" w:hAnsi="宋体"/>
                <w:color w:val="auto"/>
                <w:szCs w:val="21"/>
                <w:highlight w:val="none"/>
              </w:rPr>
              <w:t>。</w:t>
            </w:r>
          </w:p>
        </w:tc>
      </w:tr>
      <w:tr w14:paraId="76D4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41" w:type="dxa"/>
            <w:noWrap w:val="0"/>
            <w:vAlign w:val="center"/>
          </w:tcPr>
          <w:p w14:paraId="2930E771">
            <w:pPr>
              <w:spacing w:line="360" w:lineRule="auto"/>
              <w:jc w:val="center"/>
              <w:rPr>
                <w:rFonts w:hint="eastAsia" w:ascii="宋体" w:hAnsi="宋体"/>
                <w:color w:val="auto"/>
                <w:szCs w:val="21"/>
                <w:highlight w:val="none"/>
              </w:rPr>
            </w:pPr>
            <w:r>
              <w:rPr>
                <w:rFonts w:hint="eastAsia" w:ascii="宋体" w:hAnsi="宋体"/>
                <w:color w:val="auto"/>
                <w:szCs w:val="21"/>
                <w:highlight w:val="none"/>
              </w:rPr>
              <w:t>26</w:t>
            </w:r>
          </w:p>
        </w:tc>
        <w:tc>
          <w:tcPr>
            <w:tcW w:w="2503" w:type="dxa"/>
            <w:noWrap w:val="0"/>
            <w:vAlign w:val="center"/>
          </w:tcPr>
          <w:p w14:paraId="264D6071">
            <w:pPr>
              <w:spacing w:line="360" w:lineRule="auto"/>
              <w:rPr>
                <w:rFonts w:hint="eastAsia" w:ascii="宋体" w:hAnsi="宋体"/>
                <w:color w:val="auto"/>
                <w:szCs w:val="21"/>
                <w:highlight w:val="none"/>
              </w:rPr>
            </w:pPr>
            <w:r>
              <w:rPr>
                <w:rFonts w:hint="eastAsia" w:ascii="宋体" w:hAnsi="宋体"/>
                <w:color w:val="auto"/>
                <w:szCs w:val="21"/>
                <w:highlight w:val="none"/>
              </w:rPr>
              <w:t>近年完成的类似项目的年份要求</w:t>
            </w:r>
          </w:p>
        </w:tc>
        <w:tc>
          <w:tcPr>
            <w:tcW w:w="6356" w:type="dxa"/>
            <w:noWrap w:val="0"/>
            <w:vAlign w:val="center"/>
          </w:tcPr>
          <w:p w14:paraId="7D877508">
            <w:pPr>
              <w:spacing w:line="360" w:lineRule="auto"/>
              <w:rPr>
                <w:rFonts w:hint="eastAsia" w:ascii="宋体" w:hAnsi="宋体"/>
                <w:color w:val="auto"/>
                <w:szCs w:val="21"/>
                <w:highlight w:val="none"/>
                <w:u w:val="single"/>
              </w:rPr>
            </w:pPr>
            <w:r>
              <w:rPr>
                <w:rFonts w:hint="eastAsia" w:ascii="宋体" w:hAnsi="宋体"/>
                <w:color w:val="auto"/>
                <w:szCs w:val="21"/>
                <w:highlight w:val="none"/>
              </w:rPr>
              <w:t>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1</w:t>
            </w:r>
            <w:r>
              <w:rPr>
                <w:rFonts w:hint="eastAsia" w:ascii="宋体" w:hAnsi="宋体"/>
                <w:color w:val="auto"/>
                <w:szCs w:val="21"/>
                <w:highlight w:val="none"/>
                <w:u w:val="single"/>
              </w:rPr>
              <w:t xml:space="preserve"> </w:t>
            </w:r>
            <w:r>
              <w:rPr>
                <w:rFonts w:hint="eastAsia" w:ascii="宋体" w:hAnsi="宋体"/>
                <w:color w:val="auto"/>
                <w:szCs w:val="21"/>
                <w:highlight w:val="none"/>
              </w:rPr>
              <w:t>月至投标文件递交截止时间止，合同签订时间须在此时间段内），业绩证明材料中不能体现时间或者与要求不符的，视为无效业绩。</w:t>
            </w:r>
          </w:p>
        </w:tc>
      </w:tr>
      <w:tr w14:paraId="06CF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41" w:type="dxa"/>
            <w:noWrap w:val="0"/>
            <w:vAlign w:val="center"/>
          </w:tcPr>
          <w:p w14:paraId="260DC7A1">
            <w:pPr>
              <w:spacing w:line="360" w:lineRule="auto"/>
              <w:jc w:val="center"/>
              <w:rPr>
                <w:rFonts w:hint="eastAsia" w:ascii="宋体" w:hAnsi="宋体"/>
                <w:color w:val="auto"/>
                <w:szCs w:val="21"/>
                <w:highlight w:val="none"/>
              </w:rPr>
            </w:pPr>
            <w:r>
              <w:rPr>
                <w:rFonts w:hint="eastAsia" w:ascii="宋体" w:hAnsi="宋体"/>
                <w:color w:val="auto"/>
                <w:szCs w:val="21"/>
                <w:highlight w:val="none"/>
              </w:rPr>
              <w:t>27</w:t>
            </w:r>
          </w:p>
        </w:tc>
        <w:tc>
          <w:tcPr>
            <w:tcW w:w="2503" w:type="dxa"/>
            <w:noWrap w:val="0"/>
            <w:vAlign w:val="center"/>
          </w:tcPr>
          <w:p w14:paraId="14419682">
            <w:pPr>
              <w:spacing w:line="360" w:lineRule="auto"/>
              <w:rPr>
                <w:rFonts w:hint="eastAsia" w:ascii="宋体" w:hAnsi="宋体"/>
                <w:color w:val="auto"/>
                <w:szCs w:val="21"/>
                <w:highlight w:val="none"/>
              </w:rPr>
            </w:pPr>
            <w:r>
              <w:rPr>
                <w:rFonts w:hint="eastAsia" w:ascii="宋体" w:hAnsi="宋体"/>
                <w:color w:val="auto"/>
                <w:szCs w:val="21"/>
                <w:highlight w:val="none"/>
              </w:rPr>
              <w:t>近年发生的诉讼及仲裁情况的要求</w:t>
            </w:r>
          </w:p>
        </w:tc>
        <w:tc>
          <w:tcPr>
            <w:tcW w:w="6356" w:type="dxa"/>
            <w:noWrap w:val="0"/>
            <w:vAlign w:val="center"/>
          </w:tcPr>
          <w:p w14:paraId="1C53DEF5">
            <w:pPr>
              <w:spacing w:line="360" w:lineRule="auto"/>
              <w:jc w:val="left"/>
              <w:rPr>
                <w:rFonts w:hint="default" w:ascii="宋体" w:hAnsi="宋体" w:eastAsia="宋体" w:cs="Times New Roman"/>
                <w:color w:val="auto"/>
                <w:szCs w:val="21"/>
                <w:highlight w:val="none"/>
                <w:u w:val="single"/>
                <w:lang w:val="en-US" w:eastAsia="zh-CN"/>
              </w:rPr>
            </w:pPr>
            <w:r>
              <w:rPr>
                <w:rFonts w:hint="eastAsia" w:ascii="宋体" w:hAnsi="宋体"/>
                <w:color w:val="auto"/>
                <w:szCs w:val="21"/>
                <w:highlight w:val="none"/>
                <w:lang w:val="en-US" w:eastAsia="zh-CN"/>
              </w:rPr>
              <w:t>1、发生的诉讼及仲裁情况要求：</w:t>
            </w:r>
            <w:r>
              <w:rPr>
                <w:rFonts w:hint="eastAsia" w:ascii="宋体" w:hAnsi="宋体" w:eastAsia="宋体" w:cs="Times New Roman"/>
                <w:color w:val="auto"/>
                <w:szCs w:val="21"/>
                <w:highlight w:val="none"/>
                <w:u w:val="single"/>
                <w:lang w:val="en-US" w:eastAsia="zh-CN"/>
              </w:rPr>
              <w:t>无质量、安全、合同履约等自身原因造成的不良诉裁记录 ；</w:t>
            </w:r>
          </w:p>
          <w:p w14:paraId="08FB2358">
            <w:pPr>
              <w:spacing w:line="36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2、发生期间：</w:t>
            </w:r>
            <w:r>
              <w:rPr>
                <w:rFonts w:hint="eastAsia" w:ascii="宋体" w:hAnsi="宋体"/>
                <w:color w:val="auto"/>
                <w:szCs w:val="21"/>
                <w:highlight w:val="none"/>
              </w:rPr>
              <w:t>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2022</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日至投标文件递交截止时间止）</w:t>
            </w:r>
            <w:r>
              <w:rPr>
                <w:rFonts w:hint="eastAsia" w:ascii="宋体" w:hAnsi="宋体"/>
                <w:color w:val="auto"/>
                <w:szCs w:val="21"/>
                <w:highlight w:val="none"/>
                <w:lang w:val="en-US" w:eastAsia="zh-CN"/>
              </w:rPr>
              <w:t>发生的诉讼及仲裁情况。</w:t>
            </w:r>
          </w:p>
        </w:tc>
      </w:tr>
      <w:tr w14:paraId="67DF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41" w:type="dxa"/>
            <w:noWrap w:val="0"/>
            <w:vAlign w:val="center"/>
          </w:tcPr>
          <w:p w14:paraId="4F5E29A8">
            <w:pPr>
              <w:spacing w:line="360" w:lineRule="auto"/>
              <w:jc w:val="center"/>
              <w:rPr>
                <w:rFonts w:hint="eastAsia" w:ascii="宋体" w:hAnsi="宋体"/>
                <w:color w:val="auto"/>
                <w:szCs w:val="21"/>
                <w:highlight w:val="none"/>
              </w:rPr>
            </w:pPr>
            <w:r>
              <w:rPr>
                <w:rFonts w:hint="eastAsia" w:ascii="宋体" w:hAnsi="宋体"/>
                <w:color w:val="auto"/>
                <w:szCs w:val="21"/>
                <w:highlight w:val="none"/>
              </w:rPr>
              <w:t>28</w:t>
            </w:r>
          </w:p>
        </w:tc>
        <w:tc>
          <w:tcPr>
            <w:tcW w:w="2503" w:type="dxa"/>
            <w:noWrap w:val="0"/>
            <w:vAlign w:val="center"/>
          </w:tcPr>
          <w:p w14:paraId="0A893DD2">
            <w:pPr>
              <w:widowControl/>
              <w:jc w:val="left"/>
              <w:rPr>
                <w:rFonts w:hint="eastAsia" w:ascii="宋体" w:hAnsi="宋体"/>
                <w:color w:val="auto"/>
                <w:szCs w:val="21"/>
                <w:highlight w:val="none"/>
              </w:rPr>
            </w:pPr>
            <w:r>
              <w:rPr>
                <w:rFonts w:ascii="宋体" w:hAnsi="宋体" w:cs="宋体"/>
                <w:color w:val="auto"/>
                <w:kern w:val="0"/>
                <w:szCs w:val="21"/>
                <w:highlight w:val="none"/>
                <w:lang w:bidi="ar"/>
              </w:rPr>
              <w:t xml:space="preserve">保密协定 </w:t>
            </w:r>
          </w:p>
        </w:tc>
        <w:tc>
          <w:tcPr>
            <w:tcW w:w="6356" w:type="dxa"/>
            <w:noWrap w:val="0"/>
            <w:vAlign w:val="center"/>
          </w:tcPr>
          <w:p w14:paraId="7F9C6954">
            <w:pPr>
              <w:spacing w:line="360" w:lineRule="auto"/>
              <w:jc w:val="left"/>
              <w:rPr>
                <w:rFonts w:hint="eastAsia" w:ascii="宋体" w:hAnsi="宋体"/>
                <w:color w:val="auto"/>
                <w:szCs w:val="21"/>
                <w:highlight w:val="none"/>
              </w:rPr>
            </w:pPr>
            <w:r>
              <w:rPr>
                <w:rFonts w:hint="eastAsia" w:ascii="宋体" w:hAnsi="宋体"/>
                <w:color w:val="auto"/>
                <w:szCs w:val="21"/>
                <w:highlight w:val="none"/>
              </w:rPr>
              <w:t>投标人不得将本招标文件的任何内容，泄露给任何第三方，否则</w:t>
            </w:r>
            <w:r>
              <w:rPr>
                <w:rFonts w:hint="eastAsia" w:ascii="宋体" w:hAnsi="宋体"/>
                <w:color w:val="auto"/>
                <w:szCs w:val="21"/>
                <w:highlight w:val="none"/>
                <w:lang w:val="en-US" w:eastAsia="zh-CN"/>
              </w:rPr>
              <w:t>将</w:t>
            </w:r>
            <w:r>
              <w:rPr>
                <w:rFonts w:hint="eastAsia" w:ascii="宋体" w:hAnsi="宋体"/>
                <w:color w:val="auto"/>
                <w:szCs w:val="21"/>
                <w:highlight w:val="none"/>
              </w:rPr>
              <w:t>承担相应法律责任。</w:t>
            </w:r>
          </w:p>
        </w:tc>
      </w:tr>
      <w:bookmarkEnd w:id="0"/>
    </w:tbl>
    <w:p w14:paraId="17199C8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34D7"/>
    <w:multiLevelType w:val="singleLevel"/>
    <w:tmpl w:val="825E34D7"/>
    <w:lvl w:ilvl="0" w:tentative="0">
      <w:start w:val="1"/>
      <w:numFmt w:val="decimal"/>
      <w:suff w:val="nothing"/>
      <w:lvlText w:val="%1、"/>
      <w:lvlJc w:val="left"/>
    </w:lvl>
  </w:abstractNum>
  <w:abstractNum w:abstractNumId="1">
    <w:nsid w:val="86DC614E"/>
    <w:multiLevelType w:val="singleLevel"/>
    <w:tmpl w:val="86DC614E"/>
    <w:lvl w:ilvl="0" w:tentative="0">
      <w:start w:val="1"/>
      <w:numFmt w:val="decimal"/>
      <w:suff w:val="nothing"/>
      <w:lvlText w:val="（%1）"/>
      <w:lvlJc w:val="left"/>
    </w:lvl>
  </w:abstractNum>
  <w:abstractNum w:abstractNumId="2">
    <w:nsid w:val="5BF8DB8D"/>
    <w:multiLevelType w:val="singleLevel"/>
    <w:tmpl w:val="5BF8DB8D"/>
    <w:lvl w:ilvl="0" w:tentative="0">
      <w:start w:val="1"/>
      <w:numFmt w:val="decimal"/>
      <w:suff w:val="nothing"/>
      <w:lvlText w:val="（%1）"/>
      <w:lvlJc w:val="left"/>
    </w:lvl>
  </w:abstractNum>
  <w:abstractNum w:abstractNumId="3">
    <w:nsid w:val="5E339979"/>
    <w:multiLevelType w:val="singleLevel"/>
    <w:tmpl w:val="5E339979"/>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227CB"/>
    <w:rsid w:val="7AD2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3"/>
    <w:basedOn w:val="1"/>
    <w:qFormat/>
    <w:uiPriority w:val="0"/>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2025-11-29T07:59:00Z</dcterms:created>
  <dc:creator>流年是我无法挽回的骄傲</dc:creator>
  <cp:lastModifiedBy>流年是我无法挽回的骄傲</cp:lastModifiedBy>
  <dcterms:modified xsi:type="dcterms:W3CDTF">2025-11-29T08:00:26Z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15D750473B964CCC948AF6E0E9AEFA64_11</vt:lpwstr>
  </property>
  <property fmtid="{D5CDD505-2E9C-101B-9397-08002B2CF9AE}" pid="4" name="KSOTemplateDocerSaveRecord">
    <vt:lpwstr>eyJoZGlkIjoiN2U2ZjViNTFiZjA0NmYzZTJkMGI1OTc3MDYxMzA0NmYiLCJ1c2VySWQiOiIzOTMwMTgxMzEifQ==</vt:lpwstr>
  </property>
</Properties>
</file>