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最终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报价表</w:t>
      </w:r>
    </w:p>
    <w:tbl>
      <w:tblPr>
        <w:tblStyle w:val="3"/>
        <w:tblpPr w:leftFromText="180" w:rightFromText="180" w:vertAnchor="text" w:horzAnchor="page" w:tblpX="1585" w:tblpY="273"/>
        <w:tblOverlap w:val="never"/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215"/>
        <w:gridCol w:w="2010"/>
        <w:gridCol w:w="2070"/>
        <w:gridCol w:w="2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兰州地铁屏蔽门平面媒体价格表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0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媒体形式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刊例价（4周/侧）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优惠合作价（4周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制作安装费（侧/次）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outlineLvl w:val="9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地铁屏蔽门平面媒体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16.8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1.2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color w:val="0000FF"/>
          <w:kern w:val="2"/>
          <w:sz w:val="24"/>
          <w:szCs w:val="24"/>
          <w:highlight w:val="none"/>
          <w:u w:val="single" w:color="auto"/>
          <w:lang w:val="en-US" w:eastAsia="zh-CN" w:bidi="ar-SA"/>
        </w:rPr>
      </w:pPr>
      <w:r>
        <w:rPr>
          <w:rFonts w:hint="eastAsia" w:ascii="仿宋_GB2312" w:eastAsia="仿宋_GB2312"/>
          <w:sz w:val="28"/>
          <w:lang w:val="en-US" w:eastAsia="zh-CN"/>
        </w:rPr>
        <w:t>价格表备注：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  <w:t>1、以上价格为地铁屏蔽门S级站点一侧4周价格；币种为人民币。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  <w:t>2、以上价格为一侧4周发布费和首次制作安装费，是一侧4周发布制作的所有费用，除此之外，供应商不再向中国工商银行收取其他任何费用。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  <w:t>3、本次广告发布总费用：1488000元（大写：人民币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4"/>
          <w:szCs w:val="24"/>
          <w:highlight w:val="none"/>
          <w:u w:val="single" w:color="auto"/>
          <w:lang w:val="en-US" w:eastAsia="zh-CN" w:bidi="ar-SA"/>
        </w:rPr>
        <w:t>壹佰肆拾捌万捌仟元整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4"/>
          <w:szCs w:val="24"/>
          <w:highlight w:val="none"/>
          <w:u w:val="none" w:color="auto"/>
          <w:lang w:val="en-US" w:eastAsia="zh-CN" w:bidi="ar-SA"/>
        </w:rPr>
        <w:t>）。</w:t>
      </w:r>
    </w:p>
    <w:tbl>
      <w:tblPr>
        <w:tblStyle w:val="4"/>
        <w:tblpPr w:leftFromText="180" w:rightFromText="180" w:vertAnchor="page" w:horzAnchor="page" w:tblpX="1867" w:tblpY="9215"/>
        <w:tblOverlap w:val="never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35"/>
        <w:gridCol w:w="675"/>
        <w:gridCol w:w="855"/>
        <w:gridCol w:w="1320"/>
        <w:gridCol w:w="1305"/>
        <w:gridCol w:w="106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合作类型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站点级别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投放周期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数量(侧）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媒体单价(万元/4周/侧)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优惠单价(万元/4周/侧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制作费（万元*次）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执行费用（万元）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正常投放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4个月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1.2*2次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赠送投放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S/A+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4个月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——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1.2*2次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——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148.8</w:t>
            </w:r>
          </w:p>
        </w:tc>
      </w:tr>
    </w:tbl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rPr>
          <w:rFonts w:hint="eastAsia" w:ascii="仿宋_GB2312" w:hAnsi="Times New Roman" w:eastAsia="仿宋_GB2312" w:cs="Times New Roman"/>
          <w:color w:val="auto"/>
          <w:sz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lang w:val="en-US" w:eastAsia="zh-CN"/>
        </w:rPr>
        <w:t>以上价格含税</w:t>
      </w:r>
      <w:r>
        <w:rPr>
          <w:rFonts w:hint="eastAsia" w:ascii="仿宋_GB2312" w:hAnsi="Times New Roman" w:eastAsia="仿宋_GB2312" w:cs="Times New Roman"/>
          <w:color w:val="auto"/>
          <w:sz w:val="28"/>
          <w:lang w:val="en-US" w:eastAsia="zh-CN"/>
        </w:rPr>
        <w:t>，可开具增值税专用发票，</w:t>
      </w:r>
      <w:r>
        <w:rPr>
          <w:rFonts w:hint="eastAsia" w:ascii="仿宋_GB2312" w:hAnsi="Times New Roman" w:eastAsia="仿宋_GB2312" w:cs="Times New Roman"/>
          <w:color w:val="auto"/>
          <w:sz w:val="28"/>
          <w:highlight w:val="none"/>
          <w:lang w:val="en-US" w:eastAsia="zh-CN"/>
        </w:rPr>
        <w:t>税率为6%。</w:t>
      </w:r>
    </w:p>
    <w:p>
      <w:pPr>
        <w:bidi w:val="0"/>
        <w:ind w:firstLine="353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F66EF"/>
    <w:rsid w:val="450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2026-03-05T03:45:00Z</dcterms:created>
  <dc:creator>gslz-mazf</dc:creator>
  <cp:lastModifiedBy>gslz-mazf</cp:lastModifiedBy>
  <dcterms:modified xsi:type="dcterms:W3CDTF">2026-03-05T03:46:40Z</dcterms:modified>
  <dc:title>最终报价表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2052-11.8.2.11073</vt:lpwstr>
  </property>
  <property fmtid="{D5CDD505-2E9C-101B-9397-08002B2CF9AE}" pid="3" name="ICV">
    <vt:lpwstr>C38443E319F447D9A42F09CE398ACEF2</vt:lpwstr>
  </property>
</Properties>
</file>