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方正仿宋_GBK"/>
          <w:b/>
          <w:bCs/>
          <w:sz w:val="52"/>
          <w:szCs w:val="52"/>
        </w:rPr>
      </w:pPr>
      <w:r>
        <w:rPr>
          <w:rFonts w:hint="eastAsia" w:ascii="仿宋" w:hAnsi="仿宋" w:eastAsia="仿宋" w:cs="方正仿宋_GBK"/>
          <w:b/>
          <w:bCs/>
          <w:sz w:val="52"/>
          <w:szCs w:val="52"/>
        </w:rPr>
        <w:t>特别提示</w:t>
      </w:r>
    </w:p>
    <w:p>
      <w:pPr>
        <w:spacing w:line="360" w:lineRule="auto"/>
        <w:rPr>
          <w:rFonts w:ascii="仿宋" w:hAnsi="仿宋" w:eastAsia="仿宋" w:cs="方正仿宋_GBK"/>
          <w:b/>
          <w:bCs/>
          <w:sz w:val="28"/>
          <w:szCs w:val="32"/>
        </w:rPr>
      </w:pPr>
      <w:r>
        <w:rPr>
          <w:rFonts w:ascii="仿宋" w:hAnsi="仿宋" w:eastAsia="仿宋" w:cs="方正仿宋_GBK"/>
          <w:b/>
          <w:bCs/>
          <w:sz w:val="28"/>
          <w:szCs w:val="32"/>
        </w:rPr>
        <w:t>规范投标行为，严禁串通投标、虚假投标方面：</w:t>
      </w:r>
    </w:p>
    <w:p>
      <w:pPr>
        <w:numPr>
          <w:ilvl w:val="0"/>
          <w:numId w:val="1"/>
        </w:numPr>
        <w:spacing w:line="360" w:lineRule="auto"/>
        <w:ind w:firstLine="560" w:firstLineChars="200"/>
        <w:rPr>
          <w:rFonts w:ascii="仿宋" w:hAnsi="仿宋" w:eastAsia="仿宋" w:cs="方正仿宋_GBK"/>
          <w:sz w:val="28"/>
          <w:szCs w:val="32"/>
        </w:rPr>
      </w:pPr>
      <w:r>
        <w:rPr>
          <w:rFonts w:ascii="仿宋" w:hAnsi="仿宋" w:eastAsia="仿宋" w:cs="方正仿宋_GBK"/>
          <w:sz w:val="28"/>
          <w:szCs w:val="32"/>
        </w:rPr>
        <w:t>投标活动和投标文件是企业行为，投标人及其法定代表人（负责人）要对其负全部责任。一旦发生涉及供应商不良行为处理的情况，投标人不得以员工个人原因、其他投标人侵权等任何理由或借口申诉免于处理，招标人也无义务进行核查。</w:t>
      </w:r>
    </w:p>
    <w:p>
      <w:pPr>
        <w:numPr>
          <w:ilvl w:val="0"/>
          <w:numId w:val="1"/>
        </w:numPr>
        <w:spacing w:line="360" w:lineRule="auto"/>
        <w:ind w:firstLine="560" w:firstLineChars="200"/>
        <w:rPr>
          <w:rFonts w:ascii="仿宋" w:hAnsi="仿宋" w:eastAsia="仿宋" w:cs="方正仿宋_GBK"/>
          <w:sz w:val="28"/>
          <w:szCs w:val="32"/>
        </w:rPr>
      </w:pPr>
      <w:r>
        <w:rPr>
          <w:rFonts w:ascii="仿宋" w:hAnsi="仿宋" w:eastAsia="仿宋" w:cs="方正仿宋_GBK"/>
          <w:sz w:val="28"/>
          <w:szCs w:val="32"/>
        </w:rPr>
        <w:t>做好投标信息（包括但不限于参与的投标项目、投标人信息、投标报价、投标文件内容等）保密工作，若发生投标信息失密，造成投标人信息、投标文件内容或投标报价异常一致的，其后果由投标人自负。</w:t>
      </w:r>
    </w:p>
    <w:p>
      <w:pPr>
        <w:numPr>
          <w:ilvl w:val="0"/>
          <w:numId w:val="1"/>
        </w:numPr>
        <w:spacing w:line="360" w:lineRule="auto"/>
        <w:ind w:firstLine="562" w:firstLineChars="200"/>
        <w:rPr>
          <w:rFonts w:ascii="仿宋" w:hAnsi="仿宋" w:eastAsia="仿宋" w:cs="方正仿宋_GBK"/>
          <w:sz w:val="28"/>
          <w:szCs w:val="32"/>
        </w:rPr>
      </w:pPr>
      <w:r>
        <w:rPr>
          <w:rFonts w:ascii="仿宋" w:hAnsi="仿宋" w:eastAsia="仿宋" w:cs="方正仿宋_GBK"/>
          <w:b/>
          <w:bCs/>
          <w:sz w:val="28"/>
          <w:szCs w:val="32"/>
        </w:rPr>
        <w:t>投标人必须根据自身情况独立、慎重提出投标报价，特别是不得使用有规律有规则性的报价策略。</w:t>
      </w:r>
      <w:r>
        <w:rPr>
          <w:rFonts w:ascii="仿宋" w:hAnsi="仿宋" w:eastAsia="仿宋" w:cs="方正仿宋_GBK"/>
          <w:sz w:val="28"/>
          <w:szCs w:val="32"/>
        </w:rPr>
        <w:t>报价异常一致或呈规律性差异的，将会按照《国家电网有限公司采购活动识别与应对围标串标工作指南》进行处理。</w:t>
      </w:r>
    </w:p>
    <w:p>
      <w:pPr>
        <w:numPr>
          <w:ilvl w:val="0"/>
          <w:numId w:val="1"/>
        </w:numPr>
        <w:spacing w:line="360" w:lineRule="auto"/>
        <w:ind w:firstLine="560" w:firstLineChars="200"/>
        <w:rPr>
          <w:rFonts w:ascii="仿宋" w:hAnsi="仿宋" w:eastAsia="仿宋" w:cs="方正仿宋_GBK"/>
          <w:sz w:val="28"/>
          <w:szCs w:val="32"/>
        </w:rPr>
      </w:pPr>
      <w:r>
        <w:rPr>
          <w:rFonts w:ascii="仿宋" w:hAnsi="仿宋" w:eastAsia="仿宋" w:cs="方正仿宋_GBK"/>
          <w:sz w:val="28"/>
          <w:szCs w:val="32"/>
        </w:rPr>
        <w:t>注意核对并及时更新信用中国、国家企业信用信息公示系统、国家电网新一代电子商务平台、四川电子投标辅助工具等相关系统平台的注册信息、企业基本信息，特别是获取招标文件阶段填报的信息（如联系人姓名、电话、邮箱、公司地址等），确保其真实性和有效性。企业信息相同的，将会按照《国家电网有限公司采购活动识别与应对围标串标工作指南》进行处理。</w:t>
      </w:r>
    </w:p>
    <w:p>
      <w:pPr>
        <w:numPr>
          <w:ilvl w:val="0"/>
          <w:numId w:val="1"/>
        </w:numPr>
        <w:spacing w:line="360" w:lineRule="auto"/>
        <w:ind w:firstLine="560" w:firstLineChars="200"/>
        <w:rPr>
          <w:rFonts w:ascii="仿宋" w:hAnsi="仿宋" w:eastAsia="仿宋" w:cs="方正仿宋_GBK"/>
          <w:sz w:val="28"/>
          <w:szCs w:val="32"/>
        </w:rPr>
      </w:pPr>
      <w:r>
        <w:rPr>
          <w:rFonts w:ascii="仿宋" w:hAnsi="仿宋" w:eastAsia="仿宋" w:cs="方正仿宋_GBK"/>
          <w:sz w:val="28"/>
          <w:szCs w:val="32"/>
        </w:rPr>
        <w:t>使用独有的投标文件和电脑。所有投标文件内容（包括不限于投标文件的文字、图片、投标报价等）以及上传招投标信息系统（包括国家电网新一代电子商务平台和四川电子投标辅助工具）的电子投标文件计算机MAC地址、CPU序列号、硬盘序列号信息，出现异常一致的，将会按照《国家电网有限公司采购活动识别与应对围标串标工作指南》进行处理。</w:t>
      </w:r>
    </w:p>
    <w:p>
      <w:pPr>
        <w:numPr>
          <w:ilvl w:val="0"/>
          <w:numId w:val="1"/>
        </w:numPr>
        <w:spacing w:line="360" w:lineRule="auto"/>
        <w:ind w:firstLine="560" w:firstLineChars="200"/>
        <w:rPr>
          <w:rFonts w:ascii="方正仿宋_GBK" w:hAnsi="方正仿宋_GBK" w:eastAsia="方正仿宋_GBK" w:cs="方正仿宋_GBK"/>
          <w:sz w:val="28"/>
          <w:szCs w:val="32"/>
        </w:rPr>
      </w:pPr>
      <w:r>
        <w:rPr>
          <w:rFonts w:ascii="仿宋" w:hAnsi="仿宋" w:eastAsia="仿宋" w:cs="方正仿宋_GBK"/>
          <w:sz w:val="28"/>
          <w:szCs w:val="32"/>
        </w:rPr>
        <w:t>投标人须确保投标文件中涉及的业绩情况、资质证书、技术参数响应情况的真实性，严禁资质造假、发票冲红等虚假投标行为。一旦发现虚假投标行为，都将严格按照供应商不良行为相关规定进行处理。</w:t>
      </w:r>
    </w:p>
    <w:p/>
    <w:p>
      <w:pPr>
        <w:widowControl/>
        <w:jc w:val="left"/>
        <w:rPr>
          <w:rFonts w:ascii="方正小标宋_GBK" w:eastAsia="方正小标宋_GBK"/>
          <w:sz w:val="30"/>
          <w:szCs w:val="30"/>
        </w:rPr>
      </w:pPr>
    </w:p>
    <w:p>
      <w:pPr>
        <w:widowControl/>
        <w:jc w:val="left"/>
        <w:rPr>
          <w:rFonts w:ascii="方正小标宋_GBK" w:eastAsia="方正小标宋_GBK"/>
          <w:sz w:val="30"/>
          <w:szCs w:val="30"/>
        </w:rPr>
      </w:pPr>
    </w:p>
    <w:p>
      <w:pPr>
        <w:spacing w:line="360" w:lineRule="auto"/>
        <w:ind w:right="-58"/>
        <w:jc w:val="right"/>
        <w:rPr>
          <w:rFonts w:ascii="方正小标宋_GBK" w:eastAsia="方正小标宋_GBK"/>
          <w:sz w:val="30"/>
          <w:szCs w:val="30"/>
        </w:rPr>
      </w:pPr>
    </w:p>
    <w:p>
      <w:pPr>
        <w:spacing w:line="360" w:lineRule="auto"/>
        <w:ind w:right="-58"/>
        <w:jc w:val="right"/>
        <w:rPr>
          <w:rFonts w:ascii="方正小标宋_GBK" w:eastAsia="方正小标宋_GBK"/>
          <w:sz w:val="30"/>
          <w:szCs w:val="30"/>
        </w:rPr>
      </w:pPr>
    </w:p>
    <w:p>
      <w:pPr>
        <w:spacing w:line="360" w:lineRule="auto"/>
        <w:ind w:right="-58"/>
        <w:jc w:val="right"/>
        <w:rPr>
          <w:rFonts w:ascii="方正小标宋_GBK" w:eastAsia="方正小标宋_GBK"/>
          <w:sz w:val="30"/>
          <w:szCs w:val="30"/>
        </w:rPr>
      </w:pPr>
    </w:p>
    <w:p>
      <w:pPr>
        <w:spacing w:line="360" w:lineRule="auto"/>
        <w:ind w:right="-58"/>
        <w:jc w:val="right"/>
        <w:rPr>
          <w:rFonts w:ascii="方正小标宋_GBK" w:eastAsia="方正小标宋_GBK"/>
          <w:sz w:val="30"/>
          <w:szCs w:val="30"/>
        </w:rPr>
      </w:pPr>
    </w:p>
    <w:p>
      <w:pPr>
        <w:pStyle w:val="2"/>
        <w:ind w:firstLine="0"/>
      </w:pPr>
    </w:p>
    <w:p>
      <w:pPr>
        <w:widowControl/>
        <w:jc w:val="left"/>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widowControl/>
        <w:jc w:val="left"/>
        <w:rPr>
          <w:rFonts w:ascii="方正小标宋_GBK" w:eastAsia="方正小标宋_GBK"/>
          <w:b/>
          <w:sz w:val="44"/>
          <w:szCs w:val="44"/>
        </w:rPr>
      </w:pPr>
      <w:r>
        <w:rPr>
          <w:rFonts w:ascii="方正小标宋_GBK" w:eastAsia="方正小标宋_GBK"/>
          <w:b/>
          <w:sz w:val="44"/>
          <w:szCs w:val="44"/>
        </w:rPr>
        <w:br w:type="page"/>
      </w: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r>
        <w:rPr>
          <w:rFonts w:hint="eastAsia" w:ascii="方正小标宋_GBK" w:eastAsia="方正小标宋_GBK"/>
          <w:b/>
          <w:sz w:val="44"/>
          <w:szCs w:val="44"/>
          <w:lang w:eastAsia="zh-CN"/>
        </w:rPr>
        <w:t>国网四川省电力公司</w:t>
      </w:r>
      <w:r>
        <w:rPr>
          <w:rFonts w:hint="eastAsia" w:ascii="方正小标宋_GBK" w:eastAsia="方正小标宋_GBK"/>
          <w:b/>
          <w:sz w:val="44"/>
          <w:szCs w:val="44"/>
          <w:lang w:val="en-US" w:eastAsia="zh-CN"/>
        </w:rPr>
        <w:t>遂宁</w:t>
      </w:r>
      <w:r>
        <w:rPr>
          <w:rFonts w:hint="eastAsia" w:ascii="方正小标宋_GBK" w:eastAsia="方正小标宋_GBK"/>
          <w:b/>
          <w:sz w:val="44"/>
          <w:szCs w:val="44"/>
          <w:lang w:eastAsia="zh-CN"/>
        </w:rPr>
        <w:t>供电</w:t>
      </w:r>
      <w:r>
        <w:rPr>
          <w:rFonts w:ascii="方正小标宋_GBK" w:eastAsia="方正小标宋_GBK"/>
          <w:b/>
          <w:sz w:val="44"/>
          <w:szCs w:val="44"/>
        </w:rPr>
        <w:t>公司</w:t>
      </w:r>
    </w:p>
    <w:p>
      <w:pPr>
        <w:snapToGrid w:val="0"/>
        <w:spacing w:line="800" w:lineRule="exact"/>
        <w:jc w:val="center"/>
        <w:rPr>
          <w:rFonts w:hint="eastAsia" w:ascii="方正小标宋_GBK" w:eastAsia="方正小标宋_GBK"/>
          <w:b/>
          <w:sz w:val="44"/>
          <w:szCs w:val="44"/>
          <w:lang w:eastAsia="zh-CN"/>
        </w:rPr>
      </w:pPr>
      <w:r>
        <w:rPr>
          <w:rFonts w:hint="eastAsia" w:ascii="方正小标宋_GBK" w:eastAsia="方正小标宋_GBK"/>
          <w:b/>
          <w:sz w:val="44"/>
          <w:szCs w:val="44"/>
        </w:rPr>
        <w:t>2025年</w:t>
      </w:r>
      <w:r>
        <w:rPr>
          <w:rFonts w:hint="eastAsia" w:ascii="方正小标宋_GBK" w:eastAsia="方正小标宋_GBK"/>
          <w:b/>
          <w:sz w:val="44"/>
          <w:szCs w:val="44"/>
          <w:lang w:val="en-US" w:eastAsia="zh-CN"/>
        </w:rPr>
        <w:t>6</w:t>
      </w:r>
      <w:r>
        <w:rPr>
          <w:rFonts w:hint="eastAsia" w:ascii="方正小标宋_GBK" w:eastAsia="方正小标宋_GBK"/>
          <w:b/>
          <w:sz w:val="44"/>
          <w:szCs w:val="44"/>
        </w:rPr>
        <w:t>月第一次非物资公开竞争性谈判采购（外部资金）</w:t>
      </w:r>
      <w:r>
        <w:rPr>
          <w:rFonts w:hint="eastAsia" w:ascii="方正小标宋_GBK" w:eastAsia="方正小标宋_GBK"/>
          <w:b/>
          <w:sz w:val="44"/>
          <w:szCs w:val="44"/>
          <w:lang w:val="en-US" w:eastAsia="zh-CN"/>
        </w:rPr>
        <w:t>监理</w:t>
      </w:r>
      <w:r>
        <w:rPr>
          <w:rFonts w:hint="eastAsia" w:ascii="方正小标宋_GBK" w:eastAsia="方正小标宋_GBK"/>
          <w:b/>
          <w:sz w:val="44"/>
          <w:szCs w:val="44"/>
          <w:lang w:eastAsia="zh-CN"/>
        </w:rPr>
        <w:t>类</w:t>
      </w:r>
    </w:p>
    <w:p>
      <w:pPr>
        <w:snapToGrid w:val="0"/>
        <w:spacing w:line="800" w:lineRule="exact"/>
        <w:jc w:val="center"/>
        <w:rPr>
          <w:rFonts w:ascii="方正小标宋_GBK" w:eastAsia="方正小标宋_GBK"/>
          <w:b/>
          <w:sz w:val="44"/>
          <w:szCs w:val="44"/>
        </w:rPr>
      </w:pPr>
    </w:p>
    <w:p>
      <w:pPr>
        <w:snapToGrid w:val="0"/>
        <w:spacing w:line="800" w:lineRule="exact"/>
        <w:jc w:val="center"/>
        <w:rPr>
          <w:rFonts w:ascii="方正小标宋_GBK" w:eastAsia="方正小标宋_GBK"/>
          <w:b/>
          <w:sz w:val="44"/>
          <w:szCs w:val="44"/>
        </w:rPr>
      </w:pPr>
      <w:r>
        <w:rPr>
          <w:rFonts w:hint="eastAsia" w:ascii="方正小标宋_GBK" w:eastAsia="方正小标宋_GBK"/>
          <w:b/>
          <w:sz w:val="44"/>
          <w:szCs w:val="44"/>
        </w:rPr>
        <w:t>采购文件</w:t>
      </w:r>
    </w:p>
    <w:p>
      <w:pPr>
        <w:snapToGrid w:val="0"/>
        <w:spacing w:line="800" w:lineRule="exact"/>
        <w:jc w:val="center"/>
        <w:rPr>
          <w:rFonts w:ascii="方正小标宋_GBK" w:eastAsia="方正小标宋_GBK"/>
          <w:b/>
          <w:sz w:val="44"/>
          <w:szCs w:val="44"/>
        </w:rPr>
      </w:pPr>
    </w:p>
    <w:p>
      <w:pPr>
        <w:snapToGrid w:val="0"/>
        <w:spacing w:line="700" w:lineRule="exact"/>
        <w:jc w:val="center"/>
        <w:rPr>
          <w:rFonts w:ascii="方正小标宋_GBK" w:eastAsia="方正小标宋_GBK"/>
          <w:b/>
          <w:sz w:val="44"/>
          <w:szCs w:val="44"/>
        </w:rPr>
      </w:pPr>
    </w:p>
    <w:p>
      <w:pPr>
        <w:snapToGrid w:val="0"/>
        <w:spacing w:line="700" w:lineRule="exact"/>
        <w:jc w:val="center"/>
        <w:rPr>
          <w:rFonts w:ascii="方正小标宋_GBK" w:eastAsia="方正小标宋_GBK"/>
          <w:b/>
          <w:sz w:val="44"/>
          <w:szCs w:val="44"/>
        </w:rPr>
      </w:pPr>
    </w:p>
    <w:p>
      <w:pPr>
        <w:snapToGrid w:val="0"/>
        <w:spacing w:line="360" w:lineRule="auto"/>
        <w:ind w:left="1642"/>
        <w:rPr>
          <w:rFonts w:ascii="方正小标宋_GBK" w:eastAsia="方正小标宋_GBK"/>
          <w:b/>
          <w:sz w:val="32"/>
          <w:szCs w:val="32"/>
        </w:rPr>
      </w:pPr>
    </w:p>
    <w:p>
      <w:pPr>
        <w:snapToGrid w:val="0"/>
        <w:spacing w:line="360" w:lineRule="auto"/>
        <w:ind w:left="1642"/>
        <w:rPr>
          <w:rFonts w:ascii="方正小标宋_GBK" w:eastAsia="方正小标宋_GBK"/>
          <w:b/>
          <w:sz w:val="32"/>
          <w:szCs w:val="32"/>
        </w:rPr>
      </w:pPr>
    </w:p>
    <w:p>
      <w:pPr>
        <w:snapToGrid w:val="0"/>
        <w:spacing w:line="360" w:lineRule="auto"/>
        <w:ind w:left="924"/>
        <w:rPr>
          <w:rFonts w:ascii="方正小标宋_GBK" w:eastAsia="方正小标宋_GBK"/>
          <w:b/>
          <w:sz w:val="18"/>
          <w:szCs w:val="32"/>
        </w:rPr>
      </w:pPr>
    </w:p>
    <w:p>
      <w:pPr>
        <w:adjustRightInd w:val="0"/>
        <w:snapToGrid w:val="0"/>
        <w:spacing w:line="360" w:lineRule="auto"/>
        <w:jc w:val="center"/>
        <w:rPr>
          <w:rFonts w:ascii="黑体" w:eastAsia="黑体"/>
          <w:sz w:val="30"/>
          <w:szCs w:val="32"/>
        </w:rPr>
      </w:pPr>
      <w:r>
        <w:rPr>
          <w:rFonts w:hint="eastAsia" w:ascii="黑体" w:eastAsia="黑体"/>
          <w:sz w:val="30"/>
          <w:szCs w:val="32"/>
          <w:lang w:eastAsia="zh-CN"/>
        </w:rPr>
        <w:t>国网四川省电力公司</w:t>
      </w:r>
      <w:r>
        <w:rPr>
          <w:rFonts w:hint="eastAsia" w:ascii="黑体" w:eastAsia="黑体"/>
          <w:sz w:val="30"/>
          <w:szCs w:val="32"/>
          <w:lang w:val="en-US" w:eastAsia="zh-CN"/>
        </w:rPr>
        <w:t>遂宁</w:t>
      </w:r>
      <w:r>
        <w:rPr>
          <w:rFonts w:hint="eastAsia" w:ascii="黑体" w:eastAsia="黑体"/>
          <w:sz w:val="30"/>
          <w:szCs w:val="32"/>
          <w:lang w:eastAsia="zh-CN"/>
        </w:rPr>
        <w:t>供电</w:t>
      </w:r>
      <w:r>
        <w:rPr>
          <w:rFonts w:hint="eastAsia" w:ascii="黑体" w:eastAsia="黑体"/>
          <w:sz w:val="30"/>
          <w:szCs w:val="32"/>
        </w:rPr>
        <w:t>公司</w:t>
      </w:r>
    </w:p>
    <w:p>
      <w:pPr>
        <w:jc w:val="center"/>
      </w:pPr>
      <w:r>
        <w:rPr>
          <w:rFonts w:hint="eastAsia" w:ascii="黑体" w:eastAsia="黑体"/>
          <w:sz w:val="30"/>
          <w:szCs w:val="32"/>
        </w:rPr>
        <w:t>二〇二五年</w:t>
      </w:r>
    </w:p>
    <w:p>
      <w:pPr>
        <w:widowControl/>
        <w:jc w:val="left"/>
        <w:rPr>
          <w:rFonts w:ascii="黑体" w:hAnsi="黑体" w:eastAsia="黑体" w:cs="仿宋_GB2312"/>
          <w:sz w:val="28"/>
          <w:szCs w:val="28"/>
        </w:rPr>
      </w:pPr>
    </w:p>
    <w:p>
      <w:pPr>
        <w:widowControl/>
        <w:jc w:val="left"/>
        <w:rPr>
          <w:rFonts w:ascii="黑体" w:hAnsi="黑体" w:eastAsia="黑体" w:cs="仿宋_GB2312"/>
          <w:sz w:val="28"/>
          <w:szCs w:val="28"/>
        </w:rPr>
      </w:pPr>
      <w:r>
        <w:rPr>
          <w:rFonts w:ascii="黑体" w:hAnsi="黑体" w:eastAsia="黑体" w:cs="仿宋_GB2312"/>
          <w:sz w:val="28"/>
          <w:szCs w:val="28"/>
        </w:rPr>
        <w:br w:type="page"/>
      </w:r>
    </w:p>
    <w:p>
      <w:pPr>
        <w:adjustRightInd w:val="0"/>
        <w:snapToGrid w:val="0"/>
        <w:jc w:val="center"/>
        <w:outlineLvl w:val="0"/>
        <w:rPr>
          <w:rFonts w:ascii="仿宋_GB2312" w:hAnsi="黑体" w:eastAsia="仿宋_GB2312" w:cstheme="minorEastAsia"/>
          <w:b/>
          <w:color w:val="000000" w:themeColor="text1"/>
          <w:sz w:val="28"/>
          <w:szCs w:val="21"/>
          <w14:textFill>
            <w14:solidFill>
              <w14:schemeClr w14:val="tx1"/>
            </w14:solidFill>
          </w14:textFill>
        </w:rPr>
      </w:pPr>
      <w:r>
        <w:rPr>
          <w:rFonts w:hint="eastAsia" w:ascii="仿宋_GB2312" w:hAnsi="黑体" w:eastAsia="仿宋_GB2312" w:cstheme="minorEastAsia"/>
          <w:b/>
          <w:color w:val="000000" w:themeColor="text1"/>
          <w:sz w:val="28"/>
          <w:szCs w:val="21"/>
          <w14:textFill>
            <w14:solidFill>
              <w14:schemeClr w14:val="tx1"/>
            </w14:solidFill>
          </w14:textFill>
        </w:rPr>
        <w:t>第一章  采购公告</w:t>
      </w:r>
    </w:p>
    <w:p>
      <w:pPr>
        <w:adjustRightInd w:val="0"/>
        <w:snapToGrid w:val="0"/>
        <w:rPr>
          <w:rFonts w:ascii="仿宋_GB2312" w:eastAsia="仿宋_GB2312" w:hAnsiTheme="minorEastAsia" w:cstheme="minorEastAsia"/>
          <w:color w:val="000000" w:themeColor="text1"/>
          <w:szCs w:val="21"/>
          <w14:textFill>
            <w14:solidFill>
              <w14:schemeClr w14:val="tx1"/>
            </w14:solidFill>
          </w14:textFill>
        </w:rPr>
      </w:pPr>
    </w:p>
    <w:p>
      <w:pPr>
        <w:adjustRightInd w:val="0"/>
        <w:snapToGrid w:val="0"/>
        <w:jc w:val="center"/>
        <w:rPr>
          <w:rFonts w:hint="eastAsia" w:ascii="黑体" w:hAnsi="黑体" w:eastAsia="黑体" w:cs="仿宋_GB2312"/>
          <w:sz w:val="28"/>
          <w:szCs w:val="28"/>
          <w:lang w:eastAsia="zh-CN"/>
        </w:rPr>
      </w:pPr>
      <w:bookmarkStart w:id="0" w:name="_Toc62566117"/>
      <w:bookmarkStart w:id="1" w:name="_Toc11488"/>
      <w:bookmarkStart w:id="2" w:name="_Toc7788"/>
      <w:bookmarkStart w:id="27" w:name="_GoBack"/>
      <w:r>
        <w:rPr>
          <w:rFonts w:hint="eastAsia" w:ascii="黑体" w:hAnsi="黑体" w:eastAsia="黑体" w:cs="仿宋_GB2312"/>
          <w:sz w:val="28"/>
          <w:szCs w:val="28"/>
        </w:rPr>
        <w:t>国网四川省电力公司</w:t>
      </w:r>
      <w:r>
        <w:rPr>
          <w:rFonts w:hint="eastAsia" w:ascii="黑体" w:hAnsi="黑体" w:eastAsia="黑体" w:cs="仿宋_GB2312"/>
          <w:sz w:val="28"/>
          <w:szCs w:val="28"/>
          <w:lang w:val="en-US" w:eastAsia="zh-CN"/>
        </w:rPr>
        <w:t>遂宁</w:t>
      </w:r>
      <w:r>
        <w:rPr>
          <w:rFonts w:hint="eastAsia" w:ascii="黑体" w:hAnsi="黑体" w:eastAsia="黑体" w:cs="仿宋_GB2312"/>
          <w:sz w:val="28"/>
          <w:szCs w:val="28"/>
        </w:rPr>
        <w:t>供电公司2025年</w:t>
      </w:r>
      <w:r>
        <w:rPr>
          <w:rFonts w:hint="eastAsia" w:ascii="黑体" w:hAnsi="黑体" w:eastAsia="黑体" w:cs="仿宋_GB2312"/>
          <w:sz w:val="28"/>
          <w:szCs w:val="28"/>
          <w:lang w:val="en-US" w:eastAsia="zh-CN"/>
        </w:rPr>
        <w:t>6</w:t>
      </w:r>
      <w:r>
        <w:rPr>
          <w:rFonts w:hint="eastAsia" w:ascii="黑体" w:hAnsi="黑体" w:eastAsia="黑体" w:cs="仿宋_GB2312"/>
          <w:sz w:val="28"/>
          <w:szCs w:val="28"/>
        </w:rPr>
        <w:t>月第一次非物资公开竞争性谈判采购（外部资金）</w:t>
      </w:r>
      <w:r>
        <w:rPr>
          <w:rFonts w:hint="eastAsia" w:ascii="黑体" w:hAnsi="黑体" w:eastAsia="黑体" w:cs="仿宋_GB2312"/>
          <w:sz w:val="28"/>
          <w:szCs w:val="28"/>
          <w:lang w:val="en-US" w:eastAsia="zh-CN"/>
        </w:rPr>
        <w:t>监理</w:t>
      </w:r>
      <w:r>
        <w:rPr>
          <w:rFonts w:hint="eastAsia" w:ascii="黑体" w:hAnsi="黑体" w:eastAsia="黑体" w:cs="仿宋_GB2312"/>
          <w:sz w:val="28"/>
          <w:szCs w:val="28"/>
          <w:lang w:eastAsia="zh-CN"/>
        </w:rPr>
        <w:t>类</w:t>
      </w:r>
    </w:p>
    <w:bookmarkEnd w:id="27"/>
    <w:p>
      <w:pPr>
        <w:adjustRightInd w:val="0"/>
        <w:snapToGrid w:val="0"/>
        <w:jc w:val="center"/>
        <w:rPr>
          <w:rFonts w:ascii="黑体" w:hAnsi="黑体" w:eastAsia="黑体" w:cs="仿宋_GB2312"/>
          <w:sz w:val="28"/>
          <w:szCs w:val="28"/>
        </w:rPr>
      </w:pPr>
    </w:p>
    <w:p>
      <w:pPr>
        <w:adjustRightInd w:val="0"/>
        <w:snapToGrid w:val="0"/>
        <w:jc w:val="center"/>
        <w:rPr>
          <w:rFonts w:ascii="黑体" w:hAnsi="黑体" w:eastAsia="黑体" w:cs="仿宋_GB2312"/>
          <w:sz w:val="28"/>
          <w:szCs w:val="28"/>
        </w:rPr>
      </w:pPr>
      <w:r>
        <w:rPr>
          <w:rFonts w:hint="eastAsia" w:ascii="黑体" w:hAnsi="黑体" w:eastAsia="黑体" w:cs="仿宋_GB2312"/>
          <w:sz w:val="28"/>
          <w:szCs w:val="28"/>
        </w:rPr>
        <w:t>采购公告</w:t>
      </w:r>
    </w:p>
    <w:p>
      <w:pPr>
        <w:adjustRightInd w:val="0"/>
        <w:snapToGrid w:val="0"/>
        <w:jc w:val="center"/>
        <w:rPr>
          <w:rFonts w:hint="default" w:ascii="仿宋_GB2312" w:hAnsi="黑体" w:eastAsia="黑体" w:cstheme="minorEastAsia"/>
          <w:b/>
          <w:color w:val="000000" w:themeColor="text1"/>
          <w:szCs w:val="21"/>
          <w:lang w:val="en-US" w:eastAsia="zh-CN"/>
          <w14:textFill>
            <w14:solidFill>
              <w14:schemeClr w14:val="tx1"/>
            </w14:solidFill>
          </w14:textFill>
        </w:rPr>
      </w:pPr>
      <w:r>
        <w:rPr>
          <w:rFonts w:hint="eastAsia" w:ascii="黑体" w:hAnsi="黑体" w:eastAsia="黑体" w:cs="仿宋_GB2312"/>
          <w:sz w:val="28"/>
          <w:szCs w:val="28"/>
        </w:rPr>
        <w:t>批次编号：</w:t>
      </w:r>
      <w:r>
        <w:rPr>
          <w:rFonts w:hint="eastAsia" w:ascii="黑体" w:hAnsi="黑体" w:eastAsia="黑体" w:cs="仿宋_GB2312"/>
          <w:sz w:val="28"/>
          <w:szCs w:val="28"/>
          <w:lang w:val="en-US" w:eastAsia="zh-CN"/>
        </w:rPr>
        <w:t>SNGS2025601JL</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kern w:val="0"/>
          <w:sz w:val="24"/>
          <w:lang w:bidi="en-US"/>
        </w:rPr>
      </w:pPr>
      <w:r>
        <w:rPr>
          <w:rFonts w:hint="eastAsia" w:ascii="仿宋_GB2312" w:hAnsi="仿宋_GB2312" w:eastAsia="仿宋_GB2312" w:cs="仿宋_GB2312"/>
          <w:b/>
          <w:kern w:val="0"/>
          <w:sz w:val="24"/>
          <w:lang w:bidi="en-US"/>
        </w:rPr>
        <w:t>1.采购条件</w:t>
      </w:r>
      <w:bookmarkEnd w:id="0"/>
      <w:bookmarkEnd w:id="1"/>
      <w:bookmarkEnd w:id="2"/>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项目建设单位为</w:t>
      </w:r>
      <w:r>
        <w:rPr>
          <w:rFonts w:hint="eastAsia" w:cs="仿宋_GB2312" w:asciiTheme="minorEastAsia" w:hAnsiTheme="minorEastAsia" w:eastAsiaTheme="minorEastAsia"/>
          <w:lang w:eastAsia="zh-CN"/>
        </w:rPr>
        <w:t>国网四川省电力公司</w:t>
      </w:r>
      <w:r>
        <w:rPr>
          <w:rFonts w:hint="eastAsia" w:cs="仿宋_GB2312" w:asciiTheme="minorEastAsia" w:hAnsiTheme="minorEastAsia" w:eastAsiaTheme="minorEastAsia"/>
          <w:lang w:val="en-US" w:eastAsia="zh-CN"/>
        </w:rPr>
        <w:t>遂宁</w:t>
      </w:r>
      <w:r>
        <w:rPr>
          <w:rFonts w:hint="eastAsia" w:cs="仿宋_GB2312" w:asciiTheme="minorEastAsia" w:hAnsiTheme="minorEastAsia" w:eastAsiaTheme="minorEastAsia"/>
          <w:lang w:eastAsia="zh-CN"/>
        </w:rPr>
        <w:t>供电公司</w:t>
      </w:r>
      <w:r>
        <w:rPr>
          <w:rFonts w:hint="eastAsia" w:ascii="仿宋_GB2312" w:hAnsi="仿宋_GB2312" w:eastAsia="仿宋_GB2312" w:cs="仿宋_GB2312"/>
        </w:rPr>
        <w:t>（以下简称“项目单位”），项目资金来自企业自有资金，出资比例为100%，资金来源已落实，采购人为</w:t>
      </w:r>
      <w:r>
        <w:rPr>
          <w:rFonts w:hint="eastAsia" w:cs="仿宋_GB2312" w:asciiTheme="minorEastAsia" w:hAnsiTheme="minorEastAsia" w:eastAsiaTheme="minorEastAsia"/>
          <w:lang w:eastAsia="zh-CN"/>
        </w:rPr>
        <w:t>国网四川省电力公司</w:t>
      </w:r>
      <w:r>
        <w:rPr>
          <w:rFonts w:hint="eastAsia" w:cs="仿宋_GB2312" w:asciiTheme="minorEastAsia" w:hAnsiTheme="minorEastAsia" w:eastAsiaTheme="minorEastAsia"/>
          <w:lang w:val="en-US" w:eastAsia="zh-CN"/>
        </w:rPr>
        <w:t>遂宁</w:t>
      </w:r>
      <w:r>
        <w:rPr>
          <w:rFonts w:hint="eastAsia" w:cs="仿宋_GB2312" w:asciiTheme="minorEastAsia" w:hAnsiTheme="minorEastAsia" w:eastAsiaTheme="minorEastAsia"/>
          <w:lang w:eastAsia="zh-CN"/>
        </w:rPr>
        <w:t>供电公司</w:t>
      </w:r>
      <w:r>
        <w:rPr>
          <w:rFonts w:hint="eastAsia" w:ascii="仿宋_GB2312" w:hAnsi="仿宋_GB2312" w:eastAsia="仿宋_GB2312" w:cs="仿宋_GB2312"/>
        </w:rPr>
        <w:t>，并委托</w:t>
      </w:r>
      <w:r>
        <w:rPr>
          <w:rFonts w:hint="eastAsia" w:cs="仿宋_GB2312" w:asciiTheme="minorEastAsia" w:hAnsiTheme="minorEastAsia" w:eastAsiaTheme="minorEastAsia"/>
          <w:lang w:eastAsia="zh-CN"/>
        </w:rPr>
        <w:t>四川西星电力科技咨询有限公司</w:t>
      </w:r>
      <w:r>
        <w:rPr>
          <w:rFonts w:hint="eastAsia" w:ascii="仿宋_GB2312" w:hAnsi="仿宋_GB2312" w:eastAsia="仿宋_GB2312" w:cs="仿宋_GB2312"/>
        </w:rPr>
        <w:t>为采购代理机构。项目已具备采购条件，现对该项目进行公开竞争性谈判采购。</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本项目积极响应《中共中央国务院关于开展质量提升行动的指导意见》，倡导潜在应答人用先进标准引领服务质量提升，有效治理质量突出问题，推动形成优质优价的采购机制。</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kern w:val="0"/>
          <w:sz w:val="24"/>
          <w:lang w:bidi="en-US"/>
        </w:rPr>
      </w:pPr>
      <w:bookmarkStart w:id="3" w:name="_Toc31701"/>
      <w:bookmarkStart w:id="4" w:name="_Toc15047"/>
      <w:bookmarkStart w:id="5" w:name="_Toc62566118"/>
      <w:r>
        <w:rPr>
          <w:rFonts w:hint="eastAsia" w:ascii="仿宋_GB2312" w:hAnsi="仿宋_GB2312" w:eastAsia="仿宋_GB2312" w:cs="仿宋_GB2312"/>
          <w:b/>
          <w:kern w:val="0"/>
          <w:sz w:val="24"/>
          <w:lang w:bidi="en-US"/>
        </w:rPr>
        <w:t>2.</w:t>
      </w:r>
      <w:bookmarkEnd w:id="3"/>
      <w:bookmarkEnd w:id="4"/>
      <w:bookmarkEnd w:id="5"/>
      <w:r>
        <w:rPr>
          <w:rFonts w:hint="eastAsia" w:ascii="仿宋_GB2312" w:hAnsi="仿宋_GB2312" w:eastAsia="仿宋_GB2312" w:cs="仿宋_GB2312"/>
          <w:b/>
          <w:sz w:val="24"/>
        </w:rPr>
        <w:t>项目概况与采购范围</w:t>
      </w:r>
    </w:p>
    <w:p>
      <w:pPr>
        <w:adjustRightInd w:val="0"/>
        <w:snapToGrid w:val="0"/>
        <w:spacing w:line="400" w:lineRule="exact"/>
        <w:ind w:firstLine="420" w:firstLineChars="200"/>
        <w:rPr>
          <w:rFonts w:ascii="仿宋_GB2312" w:hAnsi="仿宋_GB2312" w:eastAsia="仿宋_GB2312" w:cs="仿宋_GB2312"/>
        </w:rPr>
      </w:pPr>
      <w:bookmarkStart w:id="6" w:name="_Toc62566119"/>
      <w:bookmarkStart w:id="7" w:name="_Toc24269"/>
      <w:bookmarkStart w:id="8" w:name="_Toc2249"/>
      <w:r>
        <w:rPr>
          <w:rFonts w:hint="eastAsia" w:ascii="仿宋_GB2312" w:hAnsi="仿宋_GB2312" w:eastAsia="仿宋_GB2312" w:cs="仿宋_GB2312"/>
          <w:szCs w:val="21"/>
        </w:rPr>
        <w:t>详见采购公告附件</w:t>
      </w:r>
      <w:r>
        <w:rPr>
          <w:rFonts w:hint="eastAsia" w:ascii="仿宋_GB2312" w:hAnsi="仿宋_GB2312" w:eastAsia="仿宋_GB2312" w:cs="仿宋_GB2312"/>
        </w:rPr>
        <w:t>。</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kern w:val="0"/>
          <w:sz w:val="24"/>
          <w:lang w:bidi="en-US"/>
        </w:rPr>
      </w:pPr>
      <w:r>
        <w:rPr>
          <w:rFonts w:hint="eastAsia" w:ascii="仿宋_GB2312" w:hAnsi="仿宋_GB2312" w:eastAsia="仿宋_GB2312" w:cs="仿宋_GB2312"/>
          <w:b/>
          <w:kern w:val="0"/>
          <w:sz w:val="24"/>
          <w:lang w:bidi="en-US"/>
        </w:rPr>
        <w:t>3.应答人资格要求</w:t>
      </w:r>
      <w:bookmarkEnd w:id="6"/>
      <w:bookmarkEnd w:id="7"/>
      <w:bookmarkEnd w:id="8"/>
    </w:p>
    <w:p>
      <w:pPr>
        <w:adjustRightInd w:val="0"/>
        <w:snapToGrid w:val="0"/>
        <w:spacing w:line="400" w:lineRule="exact"/>
        <w:ind w:firstLine="422" w:firstLineChars="200"/>
        <w:rPr>
          <w:rFonts w:ascii="仿宋_GB2312" w:hAnsi="宋体" w:eastAsia="仿宋_GB2312"/>
          <w:b/>
          <w:color w:val="000000" w:themeColor="text1"/>
          <w14:textFill>
            <w14:solidFill>
              <w14:schemeClr w14:val="tx1"/>
            </w14:solidFill>
          </w14:textFill>
        </w:rPr>
      </w:pPr>
      <w:r>
        <w:rPr>
          <w:rFonts w:hint="eastAsia" w:ascii="仿宋_GB2312" w:hAnsi="仿宋_GB2312" w:eastAsia="仿宋_GB2312" w:cs="仿宋_GB2312"/>
          <w:b/>
        </w:rPr>
        <w:t>3.1 应答人须满足如下通用资格要求</w:t>
      </w:r>
      <w:r>
        <w:rPr>
          <w:rFonts w:hint="eastAsia" w:ascii="仿宋_GB2312" w:hAnsi="宋体" w:eastAsia="仿宋_GB2312"/>
          <w:b/>
          <w:color w:val="000000" w:themeColor="text1"/>
          <w14:textFill>
            <w14:solidFill>
              <w14:schemeClr w14:val="tx1"/>
            </w14:solidFill>
          </w14:textFill>
        </w:rPr>
        <w:t>：</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（1）本次采购要求应答人须为中华人民共和国境内依法注册的法人或其他组织，须具备承担所应答项目的资格条件；并在人员、设备、资金等方面具有保障如期完成采购项目的能力。</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（2）法定代表人或单位负责人为同一人或者存在控股、管理关系的不同单位，不得参加同一标包应答或者未划分标包的同一采购项目应答。</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w:t>
      </w:r>
      <w:r>
        <w:rPr>
          <w:rFonts w:hint="eastAsia" w:ascii="仿宋_GB2312" w:hAnsi="仿宋_GB2312" w:eastAsia="仿宋_GB2312" w:cs="仿宋_GB2312"/>
          <w:szCs w:val="21"/>
        </w:rPr>
        <w:t>取得国家法律、法规、规章规定的有效许可证。取得采购文件要求的国家强制认证证书</w:t>
      </w:r>
      <w:r>
        <w:rPr>
          <w:rFonts w:hint="eastAsia" w:ascii="仿宋_GB2312" w:hAnsi="仿宋_GB2312" w:eastAsia="仿宋_GB2312" w:cs="仿宋_GB2312"/>
        </w:rPr>
        <w:t>。</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（4）应有良好的财务状况和商业信用。</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根据《国家电网有限公司供应商关系管理办法》的规定，应答人存在导致其被暂停成交资格或取消成交资格的不良行为且在处理有效期内的，应答人在首次应答截止之日至成交通知书到达之日前，任一日在《国家电网有限公司关于供应商不良行为处理情况的通报》处理期内的均适用不良行为处理结果。或应答人存在触发《国家电网有限公司供应商关系管理办法》第六十三条安全及质量重大问题“熔断机制”情形的，其应答将被否决。即使应答人在应答截止日尚不存在上述情况，但在成交通知书到达之日前，出现上述情况的，采购人亦有权取消其成交资格。</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w:t>
      </w:r>
      <w:r>
        <w:rPr>
          <w:rFonts w:hint="eastAsia" w:ascii="仿宋_GB2312" w:hAnsi="仿宋_GB2312" w:eastAsia="仿宋_GB2312" w:cs="仿宋_GB2312"/>
          <w:szCs w:val="21"/>
        </w:rPr>
        <w:t>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严重失信主体名单。即使应答人在开标当日未出现被列入失信被执行人或严重失信主体名单的情形，但在成交通知书到达之日前，存在上述情形的，采购人有权取消其成交资格。</w:t>
      </w:r>
    </w:p>
    <w:p>
      <w:pPr>
        <w:tabs>
          <w:tab w:val="left" w:pos="1134"/>
        </w:tabs>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应答人不得被市场监督管理机关在国家企业信用信息公示系统中列入严重违法失信企业名单或列入经营异常名录信息。应答人需同时在商务文件中提供在国家企业信用信息公示系统（www.gsxt.gov.cn）查询的，包含“营业执照信息”、“列入严重违法失信企业名单（黑名单）”、“列入经营异常名录信息”、“行政处罚信息”、“清算信息”的查询结果，如应答人未提供企业信用信息公示报告，或提供的报告不符合采购文件规定的格式与内容，或报告内容被评审委员会认定有异议的，应答人的“列入经营异常名录信息”和“列入严重违法失信企业名单（黑名单）信息”以评审委员会在国家企业信用信息公示系统（www.gsxt.gov.cn）查询的结果为准。应答人未提供或提供的企业信用信息公示报告不符合采购文件规定的格式与内容的，评审委员会将会对应答人进行不利评价。应答人提供虚假企业信用信息公示报告的，按照虚假应答进行否决，并根据《国家电网有限公司供应商关系管理办法》进行相应处理。</w:t>
      </w:r>
      <w:r>
        <w:rPr>
          <w:rFonts w:hint="eastAsia" w:ascii="仿宋_GB2312" w:hAnsi="仿宋_GB2312" w:eastAsia="仿宋_GB2312" w:cs="仿宋_GB2312"/>
          <w:szCs w:val="21"/>
        </w:rPr>
        <w:t>即使应答人在开标当日未出现被市场监督管理机关列入经营异常名录或严重违法失信企业名单的情形，但在成交通知书到达之日前，存在上述情形的，采购人有权取消其成交资格。</w:t>
      </w:r>
    </w:p>
    <w:p>
      <w:pPr>
        <w:ind w:firstLine="420" w:firstLineChars="20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（8）安全质量要求</w:t>
      </w:r>
    </w:p>
    <w:p>
      <w:pPr>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潜在应答人不得存在下列情形之一：</w:t>
      </w:r>
    </w:p>
    <w:p>
      <w:pPr>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自开标日前三年内发生因应答人负同等及以上责任造成的重大质量事故（二级及以上质量事件）；一年内发生因应答人负同等及以上责任造成的较大及以上人身死亡事故（三级及以上人身安全事件）、较大及以上电网、设备事故（三级及以上电网、设备安全事件）；六个月内发生因应答人负同等及以上责任造成的一般人身死亡事故（四级人身安全事件）、一般电网、设备事故（四级电网、设备安全事件）或较大质量事故（三级质量事件）；三个月内发生因应答人负同等及以上责任造成的一般质量事故（四级质量事件）。</w:t>
      </w:r>
    </w:p>
    <w:p>
      <w:pPr>
        <w:ind w:firstLine="420" w:firstLineChars="20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（9）信誉要求</w:t>
      </w:r>
    </w:p>
    <w:p>
      <w:pPr>
        <w:pStyle w:val="2"/>
        <w:rPr>
          <w:rFonts w:eastAsia="仿宋_GB2312"/>
        </w:rPr>
      </w:pPr>
      <w:r>
        <w:rPr>
          <w:rFonts w:hint="eastAsia" w:ascii="仿宋_GB2312" w:hAnsi="仿宋_GB2312" w:eastAsia="仿宋_GB2312" w:cs="仿宋_GB2312"/>
          <w:color w:val="000000" w:themeColor="text1"/>
          <w14:textFill>
            <w14:solidFill>
              <w14:schemeClr w14:val="tx1"/>
            </w14:solidFill>
          </w14:textFill>
        </w:rPr>
        <w:t>潜在应答人不得存在下列情形：开标日前两年内存在违反国家有关法律禁止转分包规定的行为。</w:t>
      </w:r>
    </w:p>
    <w:p>
      <w:pPr>
        <w:adjustRightInd w:val="0"/>
        <w:snapToGrid w:val="0"/>
        <w:spacing w:line="400" w:lineRule="exact"/>
        <w:ind w:firstLine="422" w:firstLineChars="200"/>
        <w:rPr>
          <w:rFonts w:ascii="仿宋_GB2312" w:hAnsi="宋体" w:eastAsia="仿宋_GB2312"/>
          <w:b/>
          <w:color w:val="000000" w:themeColor="text1"/>
          <w14:textFill>
            <w14:solidFill>
              <w14:schemeClr w14:val="tx1"/>
            </w14:solidFill>
          </w14:textFill>
        </w:rPr>
      </w:pPr>
      <w:r>
        <w:rPr>
          <w:rFonts w:hint="eastAsia" w:ascii="仿宋_GB2312" w:hAnsi="宋体" w:eastAsia="仿宋_GB2312"/>
          <w:b/>
          <w:color w:val="000000" w:themeColor="text1"/>
          <w14:textFill>
            <w14:solidFill>
              <w14:schemeClr w14:val="tx1"/>
            </w14:solidFill>
          </w14:textFill>
        </w:rPr>
        <w:t>3.2 应答人须满足如下专用资格要求：</w:t>
      </w:r>
    </w:p>
    <w:p>
      <w:pPr>
        <w:adjustRightInd w:val="0"/>
        <w:snapToGrid w:val="0"/>
        <w:spacing w:line="400" w:lineRule="exact"/>
        <w:ind w:firstLine="420" w:firstLineChars="20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详见采购公告附件。</w:t>
      </w:r>
    </w:p>
    <w:p>
      <w:pPr>
        <w:widowControl/>
        <w:adjustRightInd w:val="0"/>
        <w:snapToGrid w:val="0"/>
        <w:spacing w:line="400" w:lineRule="exact"/>
        <w:ind w:firstLine="422" w:firstLineChars="200"/>
        <w:outlineLvl w:val="2"/>
        <w:rPr>
          <w:rFonts w:ascii="仿宋_GB2312" w:eastAsia="仿宋_GB2312"/>
          <w:b/>
          <w:color w:val="000000" w:themeColor="text1"/>
          <w14:textFill>
            <w14:solidFill>
              <w14:schemeClr w14:val="tx1"/>
            </w14:solidFill>
          </w14:textFill>
        </w:rPr>
      </w:pPr>
      <w:r>
        <w:rPr>
          <w:rFonts w:hint="eastAsia" w:ascii="仿宋_GB2312" w:hAnsi="宋体" w:eastAsia="仿宋_GB2312"/>
          <w:b/>
          <w:color w:val="000000" w:themeColor="text1"/>
          <w14:textFill>
            <w14:solidFill>
              <w14:schemeClr w14:val="tx1"/>
            </w14:solidFill>
          </w14:textFill>
        </w:rPr>
        <w:t xml:space="preserve">3.3 </w:t>
      </w:r>
      <w:r>
        <w:rPr>
          <w:rFonts w:hint="eastAsia" w:ascii="仿宋_GB2312" w:eastAsia="仿宋_GB2312"/>
          <w:b/>
          <w:color w:val="000000" w:themeColor="text1"/>
          <w14:textFill>
            <w14:solidFill>
              <w14:schemeClr w14:val="tx1"/>
            </w14:solidFill>
          </w14:textFill>
        </w:rPr>
        <w:t>除专用资格要求中明确接受联合体应答的项目外，不接受联合体应答。</w:t>
      </w:r>
    </w:p>
    <w:p>
      <w:pPr>
        <w:spacing w:line="400" w:lineRule="exact"/>
        <w:ind w:firstLine="442" w:firstLineChars="200"/>
        <w:rPr>
          <w:rFonts w:ascii="仿宋_GB2312" w:hAnsi="仿宋_GB2312" w:eastAsia="仿宋_GB2312" w:cs="仿宋_GB2312"/>
          <w:b/>
          <w:bCs/>
          <w:sz w:val="22"/>
        </w:rPr>
      </w:pPr>
      <w:r>
        <w:rPr>
          <w:rFonts w:hint="eastAsia" w:ascii="仿宋_GB2312" w:hAnsi="仿宋_GB2312" w:eastAsia="仿宋_GB2312" w:cs="仿宋_GB2312"/>
          <w:b/>
          <w:bCs/>
          <w:sz w:val="22"/>
        </w:rPr>
        <w:t>3.4如接受联合体应答的，应答人还应遵守以下规定：</w:t>
      </w:r>
    </w:p>
    <w:p>
      <w:pPr>
        <w:spacing w:line="400" w:lineRule="exact"/>
        <w:ind w:firstLine="440" w:firstLineChars="200"/>
        <w:rPr>
          <w:rFonts w:ascii="仿宋_GB2312" w:hAnsi="仿宋_GB2312" w:eastAsia="仿宋_GB2312" w:cs="仿宋_GB2312"/>
          <w:sz w:val="22"/>
        </w:rPr>
      </w:pPr>
      <w:r>
        <w:rPr>
          <w:rFonts w:hint="eastAsia" w:ascii="仿宋_GB2312" w:hAnsi="仿宋_GB2312" w:eastAsia="仿宋_GB2312" w:cs="仿宋_GB2312"/>
          <w:sz w:val="22"/>
        </w:rPr>
        <w:t>（1）联合体各方均应满足3.1款和3.2款的规定。</w:t>
      </w:r>
    </w:p>
    <w:p>
      <w:pPr>
        <w:spacing w:line="400" w:lineRule="exact"/>
        <w:ind w:firstLine="440" w:firstLineChars="200"/>
        <w:rPr>
          <w:rFonts w:ascii="仿宋_GB2312" w:hAnsi="仿宋_GB2312" w:eastAsia="仿宋_GB2312" w:cs="仿宋_GB2312"/>
          <w:sz w:val="22"/>
        </w:rPr>
      </w:pPr>
      <w:r>
        <w:rPr>
          <w:rFonts w:hint="eastAsia" w:ascii="仿宋_GB2312" w:hAnsi="仿宋_GB2312" w:eastAsia="仿宋_GB2312" w:cs="仿宋_GB2312"/>
          <w:sz w:val="22"/>
        </w:rPr>
        <w:t>（2）联合体各方应按照采购文件提供的格式签订联合体协议书，明确联合体牵头人和各方的权利义务。</w:t>
      </w:r>
    </w:p>
    <w:p>
      <w:pPr>
        <w:spacing w:line="400" w:lineRule="exact"/>
        <w:ind w:firstLine="440" w:firstLineChars="200"/>
        <w:rPr>
          <w:rFonts w:ascii="仿宋_GB2312" w:hAnsi="仿宋_GB2312" w:eastAsia="仿宋_GB2312" w:cs="仿宋_GB2312"/>
          <w:sz w:val="22"/>
        </w:rPr>
      </w:pPr>
      <w:r>
        <w:rPr>
          <w:rFonts w:hint="eastAsia" w:ascii="仿宋_GB2312" w:hAnsi="仿宋_GB2312" w:eastAsia="仿宋_GB2312" w:cs="仿宋_GB2312"/>
          <w:sz w:val="22"/>
        </w:rPr>
        <w:t>（3）联合体牵头人代表联合体各方负责获取本项目的采购文件及应答工作。</w:t>
      </w:r>
    </w:p>
    <w:p>
      <w:pPr>
        <w:spacing w:line="400" w:lineRule="exact"/>
        <w:ind w:firstLine="440" w:firstLineChars="200"/>
        <w:rPr>
          <w:rFonts w:ascii="仿宋_GB2312" w:hAnsi="仿宋_GB2312" w:eastAsia="仿宋_GB2312" w:cs="仿宋_GB2312"/>
          <w:sz w:val="22"/>
        </w:rPr>
      </w:pPr>
      <w:r>
        <w:rPr>
          <w:rFonts w:hint="eastAsia" w:ascii="仿宋_GB2312" w:hAnsi="仿宋_GB2312" w:eastAsia="仿宋_GB2312" w:cs="仿宋_GB2312"/>
          <w:sz w:val="22"/>
        </w:rPr>
        <w:t>（4）由同一专业的单位组成的联合体，按照资质等级较低的单位确定资质等级；不同专业分工由不同单位分别承担的，按照各自的专业资质确定联合体的资质。</w:t>
      </w:r>
    </w:p>
    <w:p>
      <w:pPr>
        <w:adjustRightInd w:val="0"/>
        <w:snapToGrid w:val="0"/>
        <w:spacing w:line="400" w:lineRule="exact"/>
        <w:ind w:firstLine="437" w:firstLineChars="199"/>
        <w:rPr>
          <w:rFonts w:ascii="仿宋_GB2312" w:hAnsi="仿宋_GB2312" w:eastAsia="仿宋_GB2312" w:cs="仿宋_GB2312"/>
          <w:sz w:val="22"/>
        </w:rPr>
      </w:pPr>
      <w:r>
        <w:rPr>
          <w:rFonts w:hint="eastAsia" w:ascii="仿宋_GB2312" w:hAnsi="仿宋_GB2312" w:eastAsia="仿宋_GB2312" w:cs="仿宋_GB2312"/>
          <w:sz w:val="22"/>
        </w:rPr>
        <w:t>（5）联合体各方不得再以自己名义单独或参加其他联合体在同一标包中应答。</w:t>
      </w:r>
    </w:p>
    <w:p>
      <w:pPr>
        <w:spacing w:line="400" w:lineRule="exact"/>
        <w:ind w:firstLine="442" w:firstLineChars="200"/>
        <w:rPr>
          <w:rFonts w:ascii="仿宋_GB2312" w:hAnsi="仿宋_GB2312" w:eastAsia="仿宋_GB2312" w:cs="仿宋_GB2312"/>
          <w:b/>
          <w:bCs/>
          <w:sz w:val="22"/>
        </w:rPr>
      </w:pPr>
      <w:r>
        <w:rPr>
          <w:rFonts w:hint="eastAsia" w:ascii="仿宋_GB2312" w:hAnsi="仿宋_GB2312" w:eastAsia="仿宋_GB2312" w:cs="仿宋_GB2312"/>
          <w:b/>
          <w:bCs/>
          <w:sz w:val="22"/>
        </w:rPr>
        <w:t>3.5除专用资格要求中明确接受代理商应答的项目外，不接受代理商应答。</w:t>
      </w:r>
    </w:p>
    <w:p>
      <w:pPr>
        <w:spacing w:line="400" w:lineRule="exact"/>
        <w:ind w:firstLine="442" w:firstLineChars="200"/>
        <w:rPr>
          <w:rFonts w:ascii="仿宋_GB2312" w:hAnsi="仿宋_GB2312" w:eastAsia="仿宋_GB2312" w:cs="仿宋_GB2312"/>
          <w:b/>
          <w:bCs/>
          <w:sz w:val="22"/>
        </w:rPr>
      </w:pPr>
      <w:r>
        <w:rPr>
          <w:rFonts w:hint="eastAsia" w:ascii="仿宋_GB2312" w:hAnsi="仿宋_GB2312" w:eastAsia="仿宋_GB2312" w:cs="仿宋_GB2312"/>
          <w:b/>
          <w:bCs/>
          <w:sz w:val="22"/>
        </w:rPr>
        <w:t>3.6本次采购不接受应答人委托中介机构或者中间人编制应答文件或代行办理应答事宜。</w:t>
      </w:r>
    </w:p>
    <w:p>
      <w:pPr>
        <w:adjustRightInd w:val="0"/>
        <w:snapToGrid w:val="0"/>
        <w:spacing w:line="400" w:lineRule="exact"/>
        <w:ind w:firstLine="440" w:firstLineChars="199"/>
        <w:rPr>
          <w:rFonts w:ascii="仿宋_GB2312" w:eastAsia="仿宋_GB2312"/>
          <w:color w:val="000000" w:themeColor="text1"/>
          <w14:textFill>
            <w14:solidFill>
              <w14:schemeClr w14:val="tx1"/>
            </w14:solidFill>
          </w14:textFill>
        </w:rPr>
      </w:pPr>
      <w:r>
        <w:rPr>
          <w:rFonts w:hint="eastAsia" w:ascii="仿宋_GB2312" w:hAnsi="仿宋_GB2312" w:eastAsia="仿宋_GB2312" w:cs="仿宋_GB2312"/>
          <w:b/>
          <w:bCs/>
          <w:sz w:val="22"/>
        </w:rPr>
        <w:t>3.7各应答人均可就本次采购的部分或全部标包应答。</w:t>
      </w:r>
    </w:p>
    <w:p>
      <w:pPr>
        <w:widowControl/>
        <w:adjustRightInd w:val="0"/>
        <w:snapToGrid w:val="0"/>
        <w:spacing w:before="240" w:beforeLines="100" w:after="120" w:afterLines="50" w:line="400" w:lineRule="exact"/>
        <w:jc w:val="left"/>
        <w:outlineLvl w:val="1"/>
        <w:rPr>
          <w:rFonts w:ascii="仿宋_GB2312" w:eastAsia="仿宋_GB2312" w:hAnsiTheme="majorHAnsi" w:cstheme="majorBidi"/>
          <w:b/>
          <w:color w:val="000000" w:themeColor="text1"/>
          <w:kern w:val="0"/>
          <w:sz w:val="24"/>
          <w:lang w:bidi="en-US"/>
          <w14:textFill>
            <w14:solidFill>
              <w14:schemeClr w14:val="tx1"/>
            </w14:solidFill>
          </w14:textFill>
        </w:rPr>
      </w:pPr>
      <w:bookmarkStart w:id="9" w:name="_Toc3136"/>
      <w:bookmarkStart w:id="10" w:name="_Toc62566120"/>
      <w:bookmarkStart w:id="11" w:name="_Toc26765"/>
      <w:r>
        <w:rPr>
          <w:rFonts w:hint="eastAsia" w:ascii="仿宋_GB2312" w:eastAsia="仿宋_GB2312" w:hAnsiTheme="majorHAnsi" w:cstheme="majorBidi"/>
          <w:b/>
          <w:color w:val="000000" w:themeColor="text1"/>
          <w:kern w:val="0"/>
          <w:sz w:val="24"/>
          <w:lang w:bidi="en-US"/>
          <w14:textFill>
            <w14:solidFill>
              <w14:schemeClr w14:val="tx1"/>
            </w14:solidFill>
          </w14:textFill>
        </w:rPr>
        <w:t>4.采购文件的获取</w:t>
      </w:r>
      <w:bookmarkEnd w:id="9"/>
      <w:bookmarkEnd w:id="10"/>
      <w:bookmarkEnd w:id="11"/>
    </w:p>
    <w:p>
      <w:pPr>
        <w:adjustRightInd w:val="0"/>
        <w:snapToGrid w:val="0"/>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bookmarkStart w:id="12" w:name="_Toc62566123"/>
      <w:bookmarkStart w:id="13" w:name="_Toc26152"/>
      <w:bookmarkStart w:id="14" w:name="_Toc1702"/>
      <w:r>
        <w:rPr>
          <w:rFonts w:hint="eastAsia" w:ascii="仿宋_GB2312" w:hAnsi="仿宋_GB2312" w:eastAsia="仿宋_GB2312" w:cs="仿宋_GB2312"/>
          <w:color w:val="000000" w:themeColor="text1"/>
          <w14:textFill>
            <w14:solidFill>
              <w14:schemeClr w14:val="tx1"/>
            </w14:solidFill>
          </w14:textFill>
        </w:rPr>
        <w:t>4.1 采购文件（电子文件）免费获取。</w:t>
      </w:r>
    </w:p>
    <w:p>
      <w:pPr>
        <w:adjustRightInd w:val="0"/>
        <w:snapToGrid w:val="0"/>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4.2</w:t>
      </w:r>
      <w:bookmarkStart w:id="15" w:name="_Toc6421"/>
      <w:bookmarkStart w:id="16" w:name="_Toc62566121"/>
      <w:bookmarkStart w:id="17" w:name="_Toc26882"/>
      <w:r>
        <w:rPr>
          <w:rFonts w:hint="eastAsia" w:cs="仿宋_GB2312" w:asciiTheme="minorEastAsia" w:hAnsiTheme="minorEastAsia" w:eastAsiaTheme="minorEastAsia"/>
        </w:rPr>
        <w:t>凡有意参加应答者，请于</w:t>
      </w:r>
      <w:r>
        <w:rPr>
          <w:rFonts w:hint="eastAsia" w:cs="仿宋_GB2312" w:asciiTheme="minorEastAsia" w:hAnsiTheme="minorEastAsia" w:eastAsiaTheme="minorEastAsia"/>
          <w:lang w:val="en-US" w:eastAsia="zh-CN"/>
        </w:rPr>
        <w:t>2025</w:t>
      </w:r>
      <w:r>
        <w:rPr>
          <w:rFonts w:hint="eastAsia" w:cs="仿宋_GB2312" w:asciiTheme="minorEastAsia" w:hAnsiTheme="minorEastAsia" w:eastAsiaTheme="minorEastAsia"/>
        </w:rPr>
        <w:t>年</w:t>
      </w:r>
      <w:r>
        <w:rPr>
          <w:rFonts w:hint="eastAsia" w:cs="仿宋_GB2312" w:asciiTheme="minorEastAsia" w:hAnsiTheme="minorEastAsia" w:eastAsiaTheme="minorEastAsia"/>
          <w:lang w:val="en-US" w:eastAsia="zh-CN"/>
        </w:rPr>
        <w:t>06</w:t>
      </w:r>
      <w:r>
        <w:rPr>
          <w:rFonts w:hint="eastAsia" w:cs="仿宋_GB2312" w:asciiTheme="minorEastAsia" w:hAnsiTheme="minorEastAsia" w:eastAsiaTheme="minorEastAsia"/>
        </w:rPr>
        <w:t>月</w:t>
      </w:r>
      <w:r>
        <w:rPr>
          <w:rFonts w:hint="eastAsia" w:cs="仿宋_GB2312" w:asciiTheme="minorEastAsia" w:hAnsiTheme="minorEastAsia" w:eastAsiaTheme="minorEastAsia"/>
          <w:lang w:val="en-US" w:eastAsia="zh-CN"/>
        </w:rPr>
        <w:t>30</w:t>
      </w:r>
      <w:r>
        <w:rPr>
          <w:rFonts w:hint="eastAsia" w:cs="仿宋_GB2312" w:asciiTheme="minorEastAsia" w:hAnsiTheme="minorEastAsia" w:eastAsiaTheme="minorEastAsia"/>
        </w:rPr>
        <w:t>日-</w:t>
      </w:r>
      <w:r>
        <w:rPr>
          <w:rFonts w:hint="eastAsia" w:cs="仿宋_GB2312" w:asciiTheme="minorEastAsia" w:hAnsiTheme="minorEastAsia" w:eastAsiaTheme="minorEastAsia"/>
          <w:lang w:val="en-US" w:eastAsia="zh-CN"/>
        </w:rPr>
        <w:t>2025</w:t>
      </w:r>
      <w:r>
        <w:rPr>
          <w:rFonts w:hint="eastAsia" w:cs="仿宋_GB2312" w:asciiTheme="minorEastAsia" w:hAnsiTheme="minorEastAsia" w:eastAsiaTheme="minorEastAsia"/>
        </w:rPr>
        <w:t>年</w:t>
      </w:r>
      <w:r>
        <w:rPr>
          <w:rFonts w:hint="eastAsia" w:cs="仿宋_GB2312" w:asciiTheme="minorEastAsia" w:hAnsiTheme="minorEastAsia" w:eastAsiaTheme="minorEastAsia"/>
          <w:lang w:val="en-US" w:eastAsia="zh-CN"/>
        </w:rPr>
        <w:t>07</w:t>
      </w:r>
      <w:r>
        <w:rPr>
          <w:rFonts w:hint="eastAsia" w:cs="仿宋_GB2312" w:asciiTheme="minorEastAsia" w:hAnsiTheme="minorEastAsia" w:eastAsiaTheme="minorEastAsia"/>
        </w:rPr>
        <w:t>月</w:t>
      </w:r>
      <w:r>
        <w:rPr>
          <w:rFonts w:hint="eastAsia" w:cs="仿宋_GB2312" w:asciiTheme="minorEastAsia" w:hAnsiTheme="minorEastAsia" w:eastAsiaTheme="minorEastAsia"/>
          <w:lang w:val="en-US" w:eastAsia="zh-CN"/>
        </w:rPr>
        <w:t>04</w:t>
      </w:r>
      <w:r>
        <w:rPr>
          <w:rFonts w:hint="eastAsia" w:cs="仿宋_GB2312" w:asciiTheme="minorEastAsia" w:hAnsiTheme="minorEastAsia" w:eastAsiaTheme="minorEastAsia"/>
        </w:rPr>
        <w:t>日</w:t>
      </w:r>
      <w:r>
        <w:rPr>
          <w:rFonts w:hint="eastAsia" w:cs="仿宋_GB2312" w:asciiTheme="minorEastAsia" w:hAnsiTheme="minorEastAsia" w:eastAsiaTheme="minorEastAsia"/>
          <w:lang w:val="en-US" w:eastAsia="zh-CN"/>
        </w:rPr>
        <w:t>08</w:t>
      </w:r>
      <w:r>
        <w:rPr>
          <w:rFonts w:hint="eastAsia" w:cs="仿宋_GB2312" w:asciiTheme="minorEastAsia" w:hAnsiTheme="minorEastAsia" w:eastAsiaTheme="minorEastAsia"/>
        </w:rPr>
        <w:t>:</w:t>
      </w:r>
      <w:r>
        <w:rPr>
          <w:rFonts w:hint="eastAsia" w:cs="仿宋_GB2312" w:asciiTheme="minorEastAsia" w:hAnsiTheme="minorEastAsia" w:eastAsiaTheme="minorEastAsia"/>
          <w:lang w:val="en-US" w:eastAsia="zh-CN"/>
        </w:rPr>
        <w:t>00</w:t>
      </w:r>
      <w:r>
        <w:rPr>
          <w:rFonts w:hint="eastAsia" w:cs="仿宋_GB2312" w:asciiTheme="minorEastAsia" w:hAnsiTheme="minorEastAsia" w:eastAsiaTheme="minorEastAsia"/>
        </w:rPr>
        <w:t xml:space="preserve"> （北京时间，下同），登录采购人招投标交易平台信息系统（国家电网有限公司电子商务平台 </w:t>
      </w:r>
      <w:r>
        <w:rPr>
          <w:rFonts w:hint="eastAsia" w:cs="仿宋_GB2312" w:asciiTheme="minorEastAsia" w:hAnsiTheme="minorEastAsia" w:eastAsiaTheme="minorEastAsia"/>
          <w:lang w:eastAsia="zh-CN"/>
        </w:rPr>
        <w:t>☑</w:t>
      </w:r>
      <w:r>
        <w:rPr>
          <w:rFonts w:hint="eastAsia" w:cs="仿宋_GB2312" w:asciiTheme="minorEastAsia" w:hAnsiTheme="minorEastAsia" w:eastAsiaTheme="minorEastAsia"/>
        </w:rPr>
        <w:t>https://ecp.sgcc.com.cn  ）</w:t>
      </w:r>
      <w:r>
        <w:rPr>
          <w:rFonts w:hint="eastAsia" w:cs="仿宋_GB2312" w:asciiTheme="minorEastAsia" w:hAnsiTheme="minorEastAsia" w:eastAsiaTheme="minorEastAsia"/>
          <w:lang w:eastAsia="zh-CN"/>
        </w:rPr>
        <w:t>查询采购公告并将《应答报名回复函》发送到采购代理机构邮箱：</w:t>
      </w:r>
      <w:r>
        <w:rPr>
          <w:rFonts w:hint="eastAsia" w:cs="仿宋_GB2312" w:asciiTheme="minorEastAsia" w:hAnsiTheme="minorEastAsia" w:eastAsiaTheme="minorEastAsia"/>
          <w:lang w:val="en-US" w:eastAsia="zh-CN"/>
        </w:rPr>
        <w:t>615872390@qq.com</w:t>
      </w:r>
      <w:r>
        <w:rPr>
          <w:rFonts w:hint="eastAsia" w:cs="仿宋_GB2312" w:asciiTheme="minorEastAsia" w:hAnsiTheme="minorEastAsia" w:eastAsiaTheme="minorEastAsia"/>
          <w:lang w:eastAsia="zh-CN"/>
        </w:rPr>
        <w:t>，本次采购由四川西星电力科技咨询有限公司</w:t>
      </w:r>
      <w:r>
        <w:rPr>
          <w:rFonts w:hint="eastAsia" w:cs="仿宋_GB2312" w:asciiTheme="minorEastAsia" w:hAnsiTheme="minorEastAsia" w:eastAsiaTheme="minorEastAsia"/>
          <w:lang w:val="en-US" w:eastAsia="zh-CN"/>
        </w:rPr>
        <w:t>遂宁</w:t>
      </w:r>
      <w:r>
        <w:rPr>
          <w:rFonts w:hint="eastAsia" w:cs="仿宋_GB2312" w:asciiTheme="minorEastAsia" w:hAnsiTheme="minorEastAsia" w:eastAsiaTheme="minorEastAsia"/>
          <w:lang w:eastAsia="zh-CN"/>
        </w:rPr>
        <w:t>招标代理处以电子邮件发送采购文件（至报名供应商的指定电子邮箱）</w:t>
      </w:r>
      <w:r>
        <w:rPr>
          <w:rFonts w:hint="eastAsia" w:cs="仿宋_GB2312" w:asciiTheme="minorEastAsia" w:hAnsiTheme="minorEastAsia" w:eastAsiaTheme="minorEastAsia"/>
        </w:rPr>
        <w:t>。</w:t>
      </w:r>
    </w:p>
    <w:p>
      <w:pPr>
        <w:adjustRightInd w:val="0"/>
        <w:snapToGrid w:val="0"/>
        <w:spacing w:line="400" w:lineRule="exact"/>
        <w:ind w:firstLine="422" w:firstLineChars="200"/>
        <w:outlineLvl w:val="2"/>
        <w:rPr>
          <w:rFonts w:ascii="仿宋_GB2312" w:hAnsi="仿宋_GB2312" w:eastAsia="仿宋_GB2312" w:cs="仿宋_GB2312"/>
          <w:b/>
          <w:bCs/>
          <w:color w:val="000000" w:themeColor="text1"/>
          <w14:textFill>
            <w14:solidFill>
              <w14:schemeClr w14:val="tx1"/>
            </w14:solidFill>
          </w14:textFill>
        </w:rPr>
      </w:pPr>
      <w:r>
        <w:rPr>
          <w:rFonts w:hint="eastAsia" w:ascii="仿宋_GB2312" w:hAnsi="仿宋_GB2312" w:eastAsia="仿宋_GB2312" w:cs="仿宋_GB2312"/>
          <w:b/>
          <w:bCs/>
          <w:color w:val="000000" w:themeColor="text1"/>
          <w14:textFill>
            <w14:solidFill>
              <w14:schemeClr w14:val="tx1"/>
            </w14:solidFill>
          </w14:textFill>
        </w:rPr>
        <w:t>4.3未按上述时间和方式获取采购文件的，将无法进行后续的应答及报价。</w:t>
      </w:r>
    </w:p>
    <w:p>
      <w:pPr>
        <w:adjustRightInd w:val="0"/>
        <w:snapToGrid w:val="0"/>
        <w:spacing w:line="400" w:lineRule="exact"/>
        <w:ind w:firstLine="422" w:firstLineChars="200"/>
        <w:outlineLvl w:val="2"/>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b/>
          <w:bCs/>
          <w:color w:val="000000" w:themeColor="text1"/>
          <w14:textFill>
            <w14:solidFill>
              <w14:schemeClr w14:val="tx1"/>
            </w14:solidFill>
          </w14:textFill>
        </w:rPr>
        <w:t>4.4应答人需利用投标工具进行电子应答文件编制。投标工具下载方式：</w:t>
      </w:r>
      <w:r>
        <w:rPr>
          <w:rFonts w:hint="eastAsia" w:ascii="仿宋_GB2312" w:hAnsi="仿宋_GB2312" w:eastAsia="仿宋_GB2312" w:cs="仿宋_GB2312"/>
          <w:color w:val="000000" w:themeColor="text1"/>
          <w14:textFill>
            <w14:solidFill>
              <w14:schemeClr w14:val="tx1"/>
            </w14:solidFill>
          </w14:textFill>
        </w:rPr>
        <w:t>请各应答人在采购人招投标交易平台信息系统首页“下载专区→供应商投标工具”下载并安装。操作手册及注意事项见首页</w:t>
      </w:r>
      <w:r>
        <w:rPr>
          <w:rFonts w:hint="eastAsia" w:ascii="仿宋_GB2312" w:hAnsi="仿宋_GB2312" w:eastAsia="仿宋_GB2312" w:cs="仿宋_GB2312"/>
        </w:rPr>
        <w:t>“操作说明→ECP2.0招标采购流程供应商操作手册“或“演示视频→投标工具新U+操作指导视频”。</w:t>
      </w:r>
      <w:r>
        <w:rPr>
          <w:rFonts w:hint="eastAsia" w:ascii="仿宋_GB2312" w:hAnsi="仿宋_GB2312" w:eastAsia="仿宋_GB2312" w:cs="仿宋_GB2312"/>
          <w:color w:val="000000" w:themeColor="text1"/>
          <w14:textFill>
            <w14:solidFill>
              <w14:schemeClr w14:val="tx1"/>
            </w14:solidFill>
          </w14:textFill>
        </w:rPr>
        <w:t>投标工具操作问题联系采购人招投标交易平台信息系统支持服务电话：010-63411000。使用投标工具电脑配置要求：内存大于8GB，64位操作系统。</w:t>
      </w:r>
    </w:p>
    <w:p>
      <w:pPr>
        <w:adjustRightInd w:val="0"/>
        <w:snapToGrid w:val="0"/>
        <w:spacing w:line="400" w:lineRule="exact"/>
        <w:ind w:firstLine="422" w:firstLineChars="200"/>
        <w:outlineLvl w:val="2"/>
        <w:rPr>
          <w:rFonts w:ascii="仿宋_GB2312" w:hAnsi="仿宋_GB2312" w:eastAsia="仿宋_GB2312" w:cs="仿宋_GB2312"/>
          <w:b/>
          <w:bCs/>
          <w:color w:val="000000" w:themeColor="text1"/>
          <w14:textFill>
            <w14:solidFill>
              <w14:schemeClr w14:val="tx1"/>
            </w14:solidFill>
          </w14:textFill>
        </w:rPr>
      </w:pPr>
      <w:r>
        <w:rPr>
          <w:rFonts w:hint="eastAsia" w:ascii="仿宋_GB2312" w:hAnsi="仿宋_GB2312" w:eastAsia="仿宋_GB2312" w:cs="仿宋_GB2312"/>
          <w:b/>
          <w:bCs/>
          <w:color w:val="000000" w:themeColor="text1"/>
          <w14:textFill>
            <w14:solidFill>
              <w14:schemeClr w14:val="tx1"/>
            </w14:solidFill>
          </w14:textFill>
        </w:rPr>
        <w:t>4.5 注意事项</w:t>
      </w:r>
    </w:p>
    <w:p>
      <w:pPr>
        <w:wordWrap w:val="0"/>
        <w:adjustRightInd w:val="0"/>
        <w:snapToGrid w:val="0"/>
        <w:spacing w:line="400" w:lineRule="exact"/>
        <w:ind w:firstLine="482" w:firstLineChars="200"/>
        <w:rPr>
          <w:rFonts w:ascii="仿宋_GB2312" w:hAnsi="仿宋_GB2312" w:eastAsia="仿宋_GB2312" w:cs="仿宋_GB2312"/>
          <w:b/>
          <w:color w:val="000000" w:themeColor="text1"/>
          <w:kern w:val="0"/>
          <w:sz w:val="24"/>
          <w:lang w:bidi="en-US"/>
          <w14:textFill>
            <w14:solidFill>
              <w14:schemeClr w14:val="tx1"/>
            </w14:solidFill>
          </w14:textFill>
        </w:rPr>
      </w:pPr>
      <w:r>
        <w:rPr>
          <w:rFonts w:hint="eastAsia" w:ascii="仿宋_GB2312" w:hAnsi="仿宋_GB2312" w:eastAsia="仿宋_GB2312" w:cs="仿宋_GB2312"/>
          <w:b/>
          <w:color w:val="000000" w:themeColor="text1"/>
          <w:kern w:val="0"/>
          <w:sz w:val="24"/>
          <w:lang w:bidi="en-US"/>
          <w14:textFill>
            <w14:solidFill>
              <w14:schemeClr w14:val="tx1"/>
            </w14:solidFill>
          </w14:textFill>
        </w:rPr>
        <w:t>5.首次应答文件的提交</w:t>
      </w:r>
      <w:bookmarkEnd w:id="15"/>
      <w:bookmarkEnd w:id="16"/>
      <w:bookmarkEnd w:id="17"/>
    </w:p>
    <w:p>
      <w:pPr>
        <w:adjustRightInd w:val="0"/>
        <w:snapToGrid w:val="0"/>
        <w:spacing w:line="400" w:lineRule="exact"/>
        <w:ind w:firstLine="420" w:firstLineChars="200"/>
        <w:outlineLvl w:val="2"/>
        <w:rPr>
          <w:rFonts w:ascii="仿宋_GB2312" w:hAnsi="仿宋_GB2312" w:eastAsia="仿宋_GB2312" w:cs="仿宋_GB2312"/>
          <w:color w:val="FF0000"/>
        </w:rPr>
      </w:pPr>
      <w:r>
        <w:rPr>
          <w:rFonts w:hint="eastAsia" w:ascii="仿宋_GB2312" w:hAnsi="仿宋_GB2312" w:eastAsia="仿宋_GB2312" w:cs="仿宋_GB2312"/>
        </w:rPr>
        <w:t>5.1首次应答文件提交的截止时间（首次应答截止时间，下同）：</w:t>
      </w:r>
      <w:r>
        <w:rPr>
          <w:rFonts w:hint="eastAsia" w:cs="仿宋_GB2312" w:asciiTheme="minorEastAsia" w:hAnsiTheme="minorEastAsia" w:eastAsiaTheme="minorEastAsia"/>
          <w:lang w:val="en-US" w:eastAsia="zh-CN"/>
        </w:rPr>
        <w:t>2025</w:t>
      </w:r>
      <w:r>
        <w:rPr>
          <w:rFonts w:hint="eastAsia" w:cs="仿宋_GB2312" w:asciiTheme="minorEastAsia" w:hAnsiTheme="minorEastAsia" w:eastAsiaTheme="minorEastAsia"/>
        </w:rPr>
        <w:t>年</w:t>
      </w:r>
      <w:r>
        <w:rPr>
          <w:rFonts w:hint="eastAsia" w:cs="仿宋_GB2312" w:asciiTheme="minorEastAsia" w:hAnsiTheme="minorEastAsia" w:eastAsiaTheme="minorEastAsia"/>
          <w:lang w:val="en-US" w:eastAsia="zh-CN"/>
        </w:rPr>
        <w:t>07</w:t>
      </w:r>
      <w:r>
        <w:rPr>
          <w:rFonts w:hint="eastAsia" w:cs="仿宋_GB2312" w:asciiTheme="minorEastAsia" w:hAnsiTheme="minorEastAsia" w:eastAsiaTheme="minorEastAsia"/>
        </w:rPr>
        <w:t>月</w:t>
      </w:r>
      <w:r>
        <w:rPr>
          <w:rFonts w:hint="eastAsia" w:cs="仿宋_GB2312" w:asciiTheme="minorEastAsia" w:hAnsiTheme="minorEastAsia" w:eastAsiaTheme="minorEastAsia"/>
          <w:lang w:val="en-US" w:eastAsia="zh-CN"/>
        </w:rPr>
        <w:t>08</w:t>
      </w:r>
      <w:r>
        <w:rPr>
          <w:rFonts w:hint="eastAsia" w:cs="仿宋_GB2312" w:asciiTheme="minorEastAsia" w:hAnsiTheme="minorEastAsia" w:eastAsiaTheme="minorEastAsia"/>
        </w:rPr>
        <w:t>日</w:t>
      </w:r>
      <w:r>
        <w:rPr>
          <w:rFonts w:hint="eastAsia" w:cs="仿宋_GB2312" w:asciiTheme="minorEastAsia" w:hAnsiTheme="minorEastAsia" w:eastAsiaTheme="minorEastAsia"/>
          <w:lang w:val="en-US" w:eastAsia="zh-CN"/>
        </w:rPr>
        <w:t>08</w:t>
      </w:r>
      <w:r>
        <w:rPr>
          <w:rFonts w:hint="eastAsia" w:cs="仿宋_GB2312" w:asciiTheme="minorEastAsia" w:hAnsiTheme="minorEastAsia" w:eastAsiaTheme="minorEastAsia"/>
        </w:rPr>
        <w:t>:</w:t>
      </w:r>
      <w:r>
        <w:rPr>
          <w:rFonts w:hint="eastAsia" w:cs="仿宋_GB2312" w:asciiTheme="minorEastAsia" w:hAnsiTheme="minorEastAsia" w:eastAsiaTheme="minorEastAsia"/>
          <w:lang w:val="en-US" w:eastAsia="zh-CN"/>
        </w:rPr>
        <w:t>30</w:t>
      </w:r>
      <w:r>
        <w:rPr>
          <w:rFonts w:hint="eastAsia" w:cs="仿宋_GB2312" w:asciiTheme="minorEastAsia" w:hAnsiTheme="minorEastAsia" w:eastAsiaTheme="minorEastAsia"/>
        </w:rPr>
        <w:t>。</w:t>
      </w:r>
    </w:p>
    <w:p>
      <w:pPr>
        <w:pStyle w:val="10"/>
        <w:ind w:firstLine="422" w:firstLineChars="200"/>
        <w:rPr>
          <w:rFonts w:ascii="仿宋_GB2312" w:hAnsi="仿宋_GB2312" w:eastAsia="仿宋_GB2312" w:cs="仿宋_GB2312"/>
          <w:b/>
          <w:color w:val="000000"/>
          <w:sz w:val="21"/>
          <w:szCs w:val="22"/>
        </w:rPr>
      </w:pPr>
      <w:r>
        <w:rPr>
          <w:rFonts w:hint="eastAsia" w:ascii="仿宋_GB2312" w:hAnsi="仿宋_GB2312" w:eastAsia="仿宋_GB2312" w:cs="仿宋_GB2312"/>
          <w:b/>
          <w:color w:val="000000"/>
          <w:sz w:val="21"/>
          <w:szCs w:val="22"/>
        </w:rPr>
        <w:t>应答文件提交时间：所有应答文件应当在首次应答截止时间递交（提交）采购人。</w:t>
      </w:r>
    </w:p>
    <w:p>
      <w:pPr>
        <w:adjustRightInd w:val="0"/>
        <w:snapToGrid w:val="0"/>
        <w:spacing w:line="400" w:lineRule="exact"/>
        <w:ind w:firstLine="422" w:firstLineChars="200"/>
        <w:rPr>
          <w:rFonts w:ascii="仿宋_GB2312" w:hAnsi="仿宋_GB2312" w:eastAsia="仿宋_GB2312" w:cs="仿宋_GB2312"/>
          <w:b/>
          <w:color w:val="000000"/>
        </w:rPr>
      </w:pPr>
      <w:r>
        <w:rPr>
          <w:rFonts w:hint="eastAsia" w:ascii="仿宋_GB2312" w:hAnsi="仿宋_GB2312" w:eastAsia="仿宋_GB2312" w:cs="仿宋_GB2312"/>
          <w:b/>
          <w:color w:val="000000"/>
        </w:rPr>
        <w:t>应答文件提交地点：电子应答文件提交采购人招投标交易平台信息系统。</w:t>
      </w:r>
    </w:p>
    <w:p>
      <w:pPr>
        <w:adjustRightInd w:val="0"/>
        <w:snapToGrid w:val="0"/>
        <w:spacing w:line="400" w:lineRule="exact"/>
        <w:ind w:firstLine="420" w:firstLineChars="200"/>
        <w:outlineLvl w:val="2"/>
        <w:rPr>
          <w:rFonts w:ascii="仿宋_GB2312" w:hAnsi="仿宋_GB2312" w:eastAsia="仿宋_GB2312" w:cs="仿宋_GB2312"/>
        </w:rPr>
      </w:pPr>
      <w:r>
        <w:rPr>
          <w:rFonts w:hint="eastAsia" w:ascii="仿宋_GB2312" w:hAnsi="仿宋_GB2312" w:eastAsia="仿宋_GB2312" w:cs="仿宋_GB2312"/>
        </w:rPr>
        <w:t>5.2首次应答截止时间之前未成功提交至采购人招投标交易平台信息系统的电子应答文件，采购人不予受理。不接受未按规定加密的应答文件及应答文件的修改文件。不接受邮寄、现场提交等电子提交方式以外的其他方式提交应答文件及应答文件的修改文件。</w:t>
      </w:r>
    </w:p>
    <w:p>
      <w:pPr>
        <w:adjustRightInd w:val="0"/>
        <w:snapToGrid w:val="0"/>
        <w:spacing w:line="400" w:lineRule="exact"/>
        <w:ind w:firstLine="420" w:firstLineChars="200"/>
        <w:outlineLvl w:val="2"/>
        <w:rPr>
          <w:rFonts w:ascii="仿宋_GB2312" w:hAnsi="仿宋_GB2312" w:eastAsia="仿宋_GB2312" w:cs="仿宋_GB2312"/>
        </w:rPr>
      </w:pPr>
      <w:r>
        <w:rPr>
          <w:rFonts w:hint="eastAsia" w:ascii="仿宋_GB2312" w:hAnsi="仿宋_GB2312" w:eastAsia="仿宋_GB2312" w:cs="仿宋_GB2312"/>
        </w:rPr>
        <w:t>5.3 未按采购公告规定的时间和方式获取并下载采购文件的应答，采购人将不予受理。</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color w:val="000000" w:themeColor="text1"/>
          <w:kern w:val="0"/>
          <w:sz w:val="24"/>
          <w:lang w:bidi="en-US"/>
          <w14:textFill>
            <w14:solidFill>
              <w14:schemeClr w14:val="tx1"/>
            </w14:solidFill>
          </w14:textFill>
        </w:rPr>
      </w:pPr>
      <w:bookmarkStart w:id="18" w:name="_Toc10970"/>
      <w:bookmarkStart w:id="19" w:name="_Toc62566122"/>
      <w:bookmarkStart w:id="20" w:name="_Toc20595"/>
      <w:r>
        <w:rPr>
          <w:rFonts w:hint="eastAsia" w:ascii="仿宋_GB2312" w:hAnsi="仿宋_GB2312" w:eastAsia="仿宋_GB2312" w:cs="仿宋_GB2312"/>
          <w:b/>
          <w:color w:val="000000" w:themeColor="text1"/>
          <w:kern w:val="0"/>
          <w:sz w:val="24"/>
          <w:lang w:bidi="en-US"/>
          <w14:textFill>
            <w14:solidFill>
              <w14:schemeClr w14:val="tx1"/>
            </w14:solidFill>
          </w14:textFill>
        </w:rPr>
        <w:t>6.发布公告的媒介</w:t>
      </w:r>
      <w:bookmarkEnd w:id="18"/>
      <w:bookmarkEnd w:id="19"/>
      <w:bookmarkEnd w:id="20"/>
    </w:p>
    <w:p>
      <w:pPr>
        <w:adjustRightInd w:val="0"/>
        <w:snapToGrid w:val="0"/>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Cs w:val="21"/>
          <w14:textFill>
            <w14:solidFill>
              <w14:schemeClr w14:val="tx1"/>
            </w14:solidFill>
          </w14:textFill>
        </w:rPr>
        <w:t>本次采购公告在采购人招投标交易平台信息系统上发布。</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color w:val="000000" w:themeColor="text1"/>
          <w:kern w:val="0"/>
          <w:sz w:val="24"/>
          <w:lang w:bidi="en-US"/>
          <w14:textFill>
            <w14:solidFill>
              <w14:schemeClr w14:val="tx1"/>
            </w14:solidFill>
          </w14:textFill>
        </w:rPr>
      </w:pPr>
      <w:r>
        <w:rPr>
          <w:rFonts w:hint="eastAsia" w:ascii="仿宋_GB2312" w:hAnsi="仿宋_GB2312" w:eastAsia="仿宋_GB2312" w:cs="仿宋_GB2312"/>
          <w:b/>
          <w:color w:val="000000" w:themeColor="text1"/>
          <w:kern w:val="0"/>
          <w:sz w:val="24"/>
          <w:lang w:bidi="en-US"/>
          <w14:textFill>
            <w14:solidFill>
              <w14:schemeClr w14:val="tx1"/>
            </w14:solidFill>
          </w14:textFill>
        </w:rPr>
        <w:t>7.采购文件获取联系方式</w:t>
      </w:r>
    </w:p>
    <w:bookmarkEnd w:id="12"/>
    <w:bookmarkEnd w:id="13"/>
    <w:bookmarkEnd w:id="14"/>
    <w:p>
      <w:pPr>
        <w:adjustRightInd w:val="0"/>
        <w:snapToGrid w:val="0"/>
        <w:spacing w:line="400" w:lineRule="exact"/>
        <w:ind w:firstLine="420" w:firstLineChars="200"/>
        <w:rPr>
          <w:rFonts w:cs="仿宋_GB2312" w:asciiTheme="minorEastAsia" w:hAnsiTheme="minorEastAsia" w:eastAsiaTheme="minorEastAsia"/>
        </w:rPr>
      </w:pPr>
      <w:bookmarkStart w:id="21" w:name="_Toc28046"/>
      <w:bookmarkStart w:id="22" w:name="_Toc21046"/>
      <w:bookmarkStart w:id="23" w:name="_Toc62566124"/>
      <w:r>
        <w:rPr>
          <w:rFonts w:hint="eastAsia" w:cs="仿宋_GB2312" w:asciiTheme="minorEastAsia" w:hAnsiTheme="minorEastAsia" w:eastAsiaTheme="minorEastAsia"/>
        </w:rPr>
        <w:t>采购人：国网四川省电力公司</w:t>
      </w:r>
      <w:r>
        <w:rPr>
          <w:rFonts w:hint="eastAsia" w:cs="仿宋_GB2312" w:asciiTheme="minorEastAsia" w:hAnsiTheme="minorEastAsia" w:eastAsiaTheme="minorEastAsia"/>
          <w:lang w:val="en-US" w:eastAsia="zh-CN"/>
        </w:rPr>
        <w:t>遂宁</w:t>
      </w:r>
      <w:r>
        <w:rPr>
          <w:rFonts w:hint="eastAsia" w:cs="仿宋_GB2312" w:asciiTheme="minorEastAsia" w:hAnsiTheme="minorEastAsia" w:eastAsiaTheme="minorEastAsia"/>
        </w:rPr>
        <w:t>供电公司</w:t>
      </w:r>
    </w:p>
    <w:p>
      <w:pPr>
        <w:adjustRightInd w:val="0"/>
        <w:snapToGrid w:val="0"/>
        <w:spacing w:line="400" w:lineRule="exact"/>
        <w:ind w:firstLine="420" w:firstLineChars="200"/>
        <w:rPr>
          <w:rFonts w:hint="default" w:cs="仿宋_GB2312" w:asciiTheme="minorEastAsia" w:hAnsiTheme="minorEastAsia" w:eastAsiaTheme="minorEastAsia"/>
          <w:lang w:val="en-US" w:eastAsia="zh-CN"/>
        </w:rPr>
      </w:pPr>
      <w:r>
        <w:rPr>
          <w:rFonts w:hint="eastAsia" w:cs="仿宋_GB2312" w:asciiTheme="minorEastAsia" w:hAnsiTheme="minorEastAsia" w:eastAsiaTheme="minorEastAsia"/>
        </w:rPr>
        <w:t>地址：四川省</w:t>
      </w:r>
      <w:r>
        <w:rPr>
          <w:rFonts w:hint="eastAsia" w:cs="仿宋_GB2312" w:asciiTheme="minorEastAsia" w:hAnsiTheme="minorEastAsia" w:eastAsiaTheme="minorEastAsia"/>
          <w:lang w:val="en-US" w:eastAsia="zh-CN"/>
        </w:rPr>
        <w:t>遂宁市东平中路388号</w:t>
      </w:r>
    </w:p>
    <w:p>
      <w:pPr>
        <w:adjustRightInd w:val="0"/>
        <w:snapToGrid w:val="0"/>
        <w:spacing w:line="400" w:lineRule="exact"/>
        <w:ind w:firstLine="420" w:firstLineChars="200"/>
        <w:rPr>
          <w:rFonts w:cs="仿宋_GB2312" w:asciiTheme="minorEastAsia" w:hAnsiTheme="minorEastAsia" w:eastAsiaTheme="minorEastAsia"/>
        </w:rPr>
      </w:pPr>
      <w:r>
        <w:rPr>
          <w:rFonts w:hint="eastAsia" w:cs="仿宋_GB2312" w:asciiTheme="minorEastAsia" w:hAnsiTheme="minorEastAsia" w:eastAsiaTheme="minorEastAsia"/>
        </w:rPr>
        <w:t>邮编：6</w:t>
      </w:r>
      <w:r>
        <w:rPr>
          <w:rFonts w:hint="eastAsia" w:cs="仿宋_GB2312" w:asciiTheme="minorEastAsia" w:hAnsiTheme="minorEastAsia" w:eastAsiaTheme="minorEastAsia"/>
          <w:lang w:val="en-US" w:eastAsia="zh-CN"/>
        </w:rPr>
        <w:t>29</w:t>
      </w:r>
      <w:r>
        <w:rPr>
          <w:rFonts w:hint="eastAsia" w:cs="仿宋_GB2312" w:asciiTheme="minorEastAsia" w:hAnsiTheme="minorEastAsia" w:eastAsiaTheme="minorEastAsia"/>
        </w:rPr>
        <w:t>000</w:t>
      </w:r>
    </w:p>
    <w:p>
      <w:pPr>
        <w:adjustRightInd w:val="0"/>
        <w:snapToGrid w:val="0"/>
        <w:spacing w:line="400" w:lineRule="exact"/>
        <w:ind w:firstLine="420" w:firstLineChars="200"/>
        <w:rPr>
          <w:rFonts w:hint="eastAsia" w:cs="仿宋_GB2312" w:asciiTheme="minorEastAsia" w:hAnsiTheme="minorEastAsia" w:eastAsiaTheme="minorEastAsia"/>
          <w:lang w:eastAsia="zh-CN"/>
        </w:rPr>
      </w:pPr>
      <w:r>
        <w:rPr>
          <w:rFonts w:hint="eastAsia" w:cs="仿宋_GB2312" w:asciiTheme="minorEastAsia" w:hAnsiTheme="minorEastAsia" w:eastAsiaTheme="minorEastAsia"/>
        </w:rPr>
        <w:t>采购代理机构：四川西星电力科技咨询有限公司</w:t>
      </w:r>
      <w:r>
        <w:rPr>
          <w:rFonts w:hint="eastAsia" w:cs="仿宋_GB2312" w:asciiTheme="minorEastAsia" w:hAnsiTheme="minorEastAsia" w:eastAsiaTheme="minorEastAsia"/>
          <w:lang w:val="en-US" w:eastAsia="zh-CN"/>
        </w:rPr>
        <w:t>遂宁</w:t>
      </w:r>
      <w:r>
        <w:rPr>
          <w:rFonts w:hint="eastAsia" w:cs="仿宋_GB2312" w:asciiTheme="minorEastAsia" w:hAnsiTheme="minorEastAsia" w:eastAsiaTheme="minorEastAsia"/>
          <w:lang w:eastAsia="zh-CN"/>
        </w:rPr>
        <w:t>招标代理处</w:t>
      </w:r>
    </w:p>
    <w:p>
      <w:pPr>
        <w:adjustRightInd w:val="0"/>
        <w:snapToGrid w:val="0"/>
        <w:spacing w:line="400" w:lineRule="exact"/>
        <w:ind w:firstLine="420" w:firstLineChars="200"/>
        <w:rPr>
          <w:rFonts w:hint="default" w:cs="仿宋_GB2312" w:asciiTheme="minorEastAsia" w:hAnsiTheme="minorEastAsia" w:eastAsiaTheme="minorEastAsia"/>
          <w:lang w:val="en-US" w:eastAsia="zh-CN"/>
        </w:rPr>
      </w:pPr>
      <w:r>
        <w:rPr>
          <w:rFonts w:hint="eastAsia" w:cs="仿宋_GB2312" w:asciiTheme="minorEastAsia" w:hAnsiTheme="minorEastAsia" w:eastAsiaTheme="minorEastAsia"/>
        </w:rPr>
        <w:t>地址：四川省</w:t>
      </w:r>
      <w:r>
        <w:rPr>
          <w:rFonts w:hint="eastAsia" w:cs="仿宋_GB2312" w:asciiTheme="minorEastAsia" w:hAnsiTheme="minorEastAsia" w:eastAsiaTheme="minorEastAsia"/>
          <w:lang w:val="en-US" w:eastAsia="zh-CN"/>
        </w:rPr>
        <w:t>遂宁市机场南路19号</w:t>
      </w:r>
    </w:p>
    <w:p>
      <w:pPr>
        <w:adjustRightInd w:val="0"/>
        <w:snapToGrid w:val="0"/>
        <w:spacing w:line="400" w:lineRule="exact"/>
        <w:ind w:firstLine="420" w:firstLineChars="200"/>
        <w:rPr>
          <w:rFonts w:cs="仿宋_GB2312" w:asciiTheme="minorEastAsia" w:hAnsiTheme="minorEastAsia" w:eastAsiaTheme="minorEastAsia"/>
        </w:rPr>
      </w:pPr>
      <w:r>
        <w:rPr>
          <w:rFonts w:hint="eastAsia" w:cs="仿宋_GB2312" w:asciiTheme="minorEastAsia" w:hAnsiTheme="minorEastAsia" w:eastAsiaTheme="minorEastAsia"/>
        </w:rPr>
        <w:t>邮编：6</w:t>
      </w:r>
      <w:r>
        <w:rPr>
          <w:rFonts w:hint="eastAsia" w:cs="仿宋_GB2312" w:asciiTheme="minorEastAsia" w:hAnsiTheme="minorEastAsia" w:eastAsiaTheme="minorEastAsia"/>
          <w:lang w:val="en-US" w:eastAsia="zh-CN"/>
        </w:rPr>
        <w:t>29</w:t>
      </w:r>
      <w:r>
        <w:rPr>
          <w:rFonts w:hint="eastAsia" w:cs="仿宋_GB2312" w:asciiTheme="minorEastAsia" w:hAnsiTheme="minorEastAsia" w:eastAsiaTheme="minorEastAsia"/>
        </w:rPr>
        <w:t>000</w:t>
      </w:r>
    </w:p>
    <w:p>
      <w:pPr>
        <w:adjustRightInd w:val="0"/>
        <w:snapToGrid w:val="0"/>
        <w:spacing w:line="400" w:lineRule="exact"/>
        <w:ind w:firstLine="420" w:firstLineChars="200"/>
        <w:rPr>
          <w:rFonts w:hint="default" w:cs="仿宋_GB2312" w:asciiTheme="minorEastAsia" w:hAnsiTheme="minorEastAsia" w:eastAsiaTheme="minorEastAsia"/>
          <w:lang w:val="en-US" w:eastAsia="zh-CN"/>
        </w:rPr>
      </w:pPr>
      <w:r>
        <w:rPr>
          <w:rFonts w:hint="eastAsia" w:cs="仿宋_GB2312" w:asciiTheme="minorEastAsia" w:hAnsiTheme="minorEastAsia" w:eastAsiaTheme="minorEastAsia"/>
        </w:rPr>
        <w:t>联系人电话：</w:t>
      </w:r>
      <w:r>
        <w:rPr>
          <w:rFonts w:hint="eastAsia" w:cs="仿宋_GB2312" w:asciiTheme="minorEastAsia" w:hAnsiTheme="minorEastAsia" w:eastAsiaTheme="minorEastAsia"/>
          <w:lang w:val="en-US" w:eastAsia="zh-CN"/>
        </w:rPr>
        <w:t>0825-2211023</w:t>
      </w:r>
    </w:p>
    <w:p>
      <w:pPr>
        <w:adjustRightInd w:val="0"/>
        <w:snapToGrid w:val="0"/>
        <w:spacing w:line="400" w:lineRule="exact"/>
        <w:ind w:firstLine="420" w:firstLineChars="200"/>
        <w:rPr>
          <w:rFonts w:cs="仿宋_GB2312" w:asciiTheme="minorEastAsia" w:hAnsiTheme="minorEastAsia" w:eastAsiaTheme="minorEastAsia"/>
        </w:rPr>
      </w:pPr>
      <w:r>
        <w:rPr>
          <w:rFonts w:hint="eastAsia" w:cs="仿宋_GB2312" w:asciiTheme="minorEastAsia" w:hAnsiTheme="minorEastAsia" w:eastAsiaTheme="minorEastAsia"/>
        </w:rPr>
        <w:t>电子邮件：</w:t>
      </w:r>
      <w:r>
        <w:rPr>
          <w:rFonts w:hint="eastAsia" w:cs="仿宋_GB2312" w:asciiTheme="minorEastAsia" w:hAnsiTheme="minorEastAsia" w:eastAsiaTheme="minorEastAsia"/>
          <w:lang w:val="en-US" w:eastAsia="zh-CN"/>
        </w:rPr>
        <w:t>615872390@qq.com</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kern w:val="0"/>
          <w:sz w:val="24"/>
          <w:lang w:bidi="en-US"/>
        </w:rPr>
      </w:pPr>
      <w:r>
        <w:rPr>
          <w:rFonts w:hint="eastAsia" w:ascii="仿宋_GB2312" w:hAnsi="仿宋_GB2312" w:eastAsia="仿宋_GB2312" w:cs="仿宋_GB2312"/>
          <w:b/>
          <w:kern w:val="0"/>
          <w:sz w:val="24"/>
          <w:lang w:bidi="en-US"/>
        </w:rPr>
        <w:t>8.合规声明</w:t>
      </w:r>
      <w:bookmarkEnd w:id="21"/>
      <w:bookmarkEnd w:id="22"/>
      <w:bookmarkEnd w:id="23"/>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本采购文件（包括商务部分和技术部分）符合国家现行法律法规规定，若国家颁布新的法律法规或对现有法律法规进行修订，以新施行的法律法规规定为准，本项目行政监督部门为四川省发展和改革委员会、四川省住房和城乡建设厅等。</w:t>
      </w:r>
    </w:p>
    <w:p>
      <w:pPr>
        <w:widowControl/>
        <w:adjustRightInd w:val="0"/>
        <w:snapToGrid w:val="0"/>
        <w:spacing w:before="240" w:beforeLines="100" w:after="120" w:afterLines="50" w:line="400" w:lineRule="exact"/>
        <w:jc w:val="left"/>
        <w:outlineLvl w:val="1"/>
        <w:rPr>
          <w:rFonts w:ascii="仿宋_GB2312" w:hAnsi="仿宋_GB2312" w:eastAsia="仿宋_GB2312" w:cs="仿宋_GB2312"/>
          <w:b/>
          <w:kern w:val="0"/>
          <w:sz w:val="24"/>
          <w:lang w:bidi="en-US"/>
        </w:rPr>
      </w:pPr>
      <w:r>
        <w:rPr>
          <w:rFonts w:hint="eastAsia" w:ascii="仿宋_GB2312" w:hAnsi="仿宋_GB2312" w:eastAsia="仿宋_GB2312" w:cs="仿宋_GB2312"/>
          <w:b/>
          <w:kern w:val="0"/>
          <w:sz w:val="24"/>
          <w:lang w:bidi="en-US"/>
        </w:rPr>
        <w:t>9.权利声明</w:t>
      </w:r>
    </w:p>
    <w:p>
      <w:pPr>
        <w:adjustRightInd w:val="0"/>
        <w:snapToGrid w:val="0"/>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pPr>
        <w:wordWrap w:val="0"/>
        <w:spacing w:after="120" w:line="400" w:lineRule="exact"/>
        <w:ind w:firstLine="420" w:firstLineChars="200"/>
        <w:jc w:val="right"/>
        <w:rPr>
          <w:rFonts w:cs="仿宋_GB2312" w:asciiTheme="minorEastAsia" w:hAnsiTheme="minorEastAsia" w:eastAsiaTheme="minorEastAsia"/>
        </w:rPr>
        <w:sectPr>
          <w:footerReference r:id="rId4" w:type="first"/>
          <w:footerReference r:id="rId3" w:type="default"/>
          <w:pgSz w:w="11849" w:h="16781"/>
          <w:pgMar w:top="1134" w:right="1803" w:bottom="1134" w:left="1803" w:header="0" w:footer="839" w:gutter="0"/>
          <w:pgNumType w:start="1"/>
          <w:cols w:space="0" w:num="1"/>
          <w:titlePg/>
          <w:docGrid w:linePitch="312" w:charSpace="0"/>
        </w:sectPr>
      </w:pPr>
      <w:r>
        <w:rPr>
          <w:rFonts w:hint="eastAsia" w:cs="仿宋_GB2312" w:asciiTheme="minorEastAsia" w:hAnsiTheme="minorEastAsia" w:eastAsiaTheme="minorEastAsia"/>
        </w:rPr>
        <w:t>2025年</w:t>
      </w:r>
      <w:r>
        <w:rPr>
          <w:rFonts w:hint="eastAsia" w:cs="仿宋_GB2312" w:asciiTheme="minorEastAsia" w:hAnsiTheme="minorEastAsia" w:eastAsiaTheme="minorEastAsia"/>
          <w:lang w:val="en-US" w:eastAsia="zh-CN"/>
        </w:rPr>
        <w:t>06</w:t>
      </w:r>
      <w:r>
        <w:rPr>
          <w:rFonts w:hint="eastAsia" w:cs="仿宋_GB2312" w:asciiTheme="minorEastAsia" w:hAnsiTheme="minorEastAsia" w:eastAsiaTheme="minorEastAsia"/>
        </w:rPr>
        <w:t>月</w:t>
      </w:r>
      <w:r>
        <w:rPr>
          <w:rFonts w:hint="eastAsia" w:cs="仿宋_GB2312" w:asciiTheme="minorEastAsia" w:hAnsiTheme="minorEastAsia" w:eastAsiaTheme="minorEastAsia"/>
          <w:lang w:val="en-US" w:eastAsia="zh-CN"/>
        </w:rPr>
        <w:t>30</w:t>
      </w:r>
      <w:r>
        <w:rPr>
          <w:rFonts w:hint="eastAsia" w:cs="仿宋_GB2312" w:asciiTheme="minorEastAsia" w:hAnsiTheme="minorEastAsia" w:eastAsiaTheme="minorEastAsia"/>
        </w:rPr>
        <w:t>日</w:t>
      </w:r>
    </w:p>
    <w:p>
      <w:pPr>
        <w:pStyle w:val="9"/>
        <w:spacing w:after="0"/>
        <w:jc w:val="left"/>
        <w:outlineLvl w:val="1"/>
        <w:rPr>
          <w:rFonts w:ascii="仿宋_GB2312" w:hAnsi="黑体" w:eastAsia="仿宋_GB2312" w:cs="黑体"/>
          <w:b/>
          <w:bCs/>
          <w:color w:val="000000" w:themeColor="text1"/>
          <w:sz w:val="24"/>
          <w14:textFill>
            <w14:solidFill>
              <w14:schemeClr w14:val="tx1"/>
            </w14:solidFill>
          </w14:textFill>
        </w:rPr>
      </w:pPr>
      <w:r>
        <w:rPr>
          <w:rFonts w:hint="eastAsia" w:ascii="仿宋_GB2312" w:hAnsi="黑体" w:eastAsia="仿宋_GB2312" w:cs="黑体"/>
          <w:b/>
          <w:bCs/>
          <w:sz w:val="24"/>
        </w:rPr>
        <w:t>采购公告附件</w:t>
      </w:r>
    </w:p>
    <w:p>
      <w:pPr>
        <w:pStyle w:val="2"/>
        <w:widowControl/>
        <w:adjustRightInd w:val="0"/>
        <w:snapToGrid w:val="0"/>
        <w:spacing w:line="400" w:lineRule="exact"/>
        <w:ind w:firstLine="0"/>
        <w:jc w:val="left"/>
        <w:rPr>
          <w:rFonts w:ascii="仿宋_GB2312" w:hAnsi="仿宋_GB2312" w:eastAsia="仿宋_GB2312" w:cs="仿宋_GB2312"/>
          <w:b/>
          <w:bCs/>
          <w:sz w:val="22"/>
          <w:szCs w:val="22"/>
        </w:rPr>
      </w:pPr>
      <w:bookmarkStart w:id="24" w:name="_Toc10106"/>
      <w:bookmarkStart w:id="25" w:name="_Toc62566134"/>
      <w:bookmarkStart w:id="26" w:name="_Toc25204"/>
      <w:r>
        <w:rPr>
          <w:rFonts w:hint="eastAsia" w:ascii="仿宋_GB2312" w:hAnsi="仿宋_GB2312" w:eastAsia="仿宋_GB2312" w:cs="仿宋_GB2312"/>
          <w:b/>
          <w:bCs/>
          <w:sz w:val="22"/>
          <w:szCs w:val="22"/>
        </w:rPr>
        <w:t>详见采购公告附件</w:t>
      </w:r>
    </w:p>
    <w:bookmarkEnd w:id="24"/>
    <w:bookmarkEnd w:id="25"/>
    <w:bookmarkEnd w:id="26"/>
    <w:p>
      <w:pPr>
        <w:pStyle w:val="2"/>
      </w:pPr>
    </w:p>
    <w:sectPr>
      <w:headerReference r:id="rId5" w:type="default"/>
      <w:footerReference r:id="rId6" w:type="default"/>
      <w:pgSz w:w="11905" w:h="16838"/>
      <w:pgMar w:top="1134" w:right="1803" w:bottom="1134" w:left="1803" w:header="851" w:footer="992" w:gutter="0"/>
      <w:pgNumType w:start="0"/>
      <w:cols w:space="0" w:num="1"/>
      <w:docGrid w:type="linesAndChar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876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8420" cy="287655"/>
                      </a:xfrm>
                      <a:prstGeom prst="rect">
                        <a:avLst/>
                      </a:prstGeom>
                      <a:noFill/>
                      <a:ln>
                        <a:noFill/>
                      </a:ln>
                    </wps:spPr>
                    <wps:txbx>
                      <w:txbxContent>
                        <w:p>
                          <w:pPr>
                            <w:pStyle w:val="14"/>
                            <w:jc w:val="center"/>
                          </w:pPr>
                          <w:r>
                            <w:fldChar w:fldCharType="begin"/>
                          </w:r>
                          <w:r>
                            <w:instrText xml:space="preserve"> PAGE   \* MERGEFORMAT </w:instrText>
                          </w:r>
                          <w:r>
                            <w:fldChar w:fldCharType="separate"/>
                          </w:r>
                          <w:r>
                            <w:rPr>
                              <w:lang w:val="zh-CN"/>
                            </w:rPr>
                            <w:t>8</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2.65pt;width:4.6pt;mso-position-horizontal:center;mso-position-horizontal-relative:margin;mso-wrap-style:none;z-index:251659264;mso-width-relative:page;mso-height-relative:page;" filled="f" stroked="f" coordsize="21600,21600" o:gfxdata="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d+lsPRAAAAAgEAAA8AAAAAAAAAAQAgAAAAIgAAAGRycy9kb3du&#10;cmV2LnhtbFBLAQIUABQAAAAIAIdO4kDz63BJzQEAAJYDAAAOAAAAAAAAAAEAIAAAACABAABkcnMv&#10;ZTJvRG9jLnhtbFBLBQYAAAAABgAGAFkBAABfBQAAAAA=&#10;">
              <v:fill on="f" focussize="0,0"/>
              <v:stroke on="f"/>
              <v:imagedata o:title=""/>
              <o:lock v:ext="edit" aspectratio="f"/>
              <v:textbox inset="0mm,0mm,0mm,0mm" style="mso-fit-shape-to-text:t;">
                <w:txbxContent>
                  <w:p>
                    <w:pPr>
                      <w:pStyle w:val="14"/>
                      <w:jc w:val="center"/>
                    </w:pPr>
                    <w:r>
                      <w:fldChar w:fldCharType="begin"/>
                    </w:r>
                    <w:r>
                      <w:instrText xml:space="preserve"> PAGE   \* MERGEFORMAT </w:instrText>
                    </w:r>
                    <w:r>
                      <w:fldChar w:fldCharType="separate"/>
                    </w:r>
                    <w:r>
                      <w:rPr>
                        <w:lang w:val="zh-CN"/>
                      </w:rPr>
                      <w:t>8</w:t>
                    </w:r>
                    <w:r>
                      <w:rPr>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ind w:firstLine="240"/>
      <w:rPr>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49AB6"/>
    <w:multiLevelType w:val="singleLevel"/>
    <w:tmpl w:val="58B49AB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149"/>
    <w:rsid w:val="000026C7"/>
    <w:rsid w:val="0000428C"/>
    <w:rsid w:val="00012AFE"/>
    <w:rsid w:val="0001406B"/>
    <w:rsid w:val="00027E2D"/>
    <w:rsid w:val="000454DA"/>
    <w:rsid w:val="000543DA"/>
    <w:rsid w:val="00094FA4"/>
    <w:rsid w:val="000A7572"/>
    <w:rsid w:val="00156C90"/>
    <w:rsid w:val="00164AC2"/>
    <w:rsid w:val="00173068"/>
    <w:rsid w:val="0017446B"/>
    <w:rsid w:val="001D4891"/>
    <w:rsid w:val="001D6F01"/>
    <w:rsid w:val="001F2D8C"/>
    <w:rsid w:val="002369CA"/>
    <w:rsid w:val="00291B7B"/>
    <w:rsid w:val="003112D3"/>
    <w:rsid w:val="003479A4"/>
    <w:rsid w:val="00364A65"/>
    <w:rsid w:val="00380D03"/>
    <w:rsid w:val="003B1C6B"/>
    <w:rsid w:val="003B2278"/>
    <w:rsid w:val="003E37E8"/>
    <w:rsid w:val="003E7B41"/>
    <w:rsid w:val="003F75AC"/>
    <w:rsid w:val="004074D4"/>
    <w:rsid w:val="004C1952"/>
    <w:rsid w:val="004D1367"/>
    <w:rsid w:val="004D517B"/>
    <w:rsid w:val="004F5E47"/>
    <w:rsid w:val="005448EE"/>
    <w:rsid w:val="00545DD9"/>
    <w:rsid w:val="00590C3E"/>
    <w:rsid w:val="005A638F"/>
    <w:rsid w:val="006046D3"/>
    <w:rsid w:val="006A500A"/>
    <w:rsid w:val="006B0AB2"/>
    <w:rsid w:val="006B7F98"/>
    <w:rsid w:val="006E7690"/>
    <w:rsid w:val="00720F48"/>
    <w:rsid w:val="007362E7"/>
    <w:rsid w:val="00752D3E"/>
    <w:rsid w:val="00772EC6"/>
    <w:rsid w:val="00783FD3"/>
    <w:rsid w:val="00784E4F"/>
    <w:rsid w:val="007B7166"/>
    <w:rsid w:val="007E2923"/>
    <w:rsid w:val="00805682"/>
    <w:rsid w:val="008425F7"/>
    <w:rsid w:val="008A1885"/>
    <w:rsid w:val="008D0C87"/>
    <w:rsid w:val="0092735C"/>
    <w:rsid w:val="0093035A"/>
    <w:rsid w:val="009405A3"/>
    <w:rsid w:val="00955940"/>
    <w:rsid w:val="009751EE"/>
    <w:rsid w:val="009A202A"/>
    <w:rsid w:val="009B0223"/>
    <w:rsid w:val="009E6E0D"/>
    <w:rsid w:val="00A14D64"/>
    <w:rsid w:val="00A55148"/>
    <w:rsid w:val="00AD4B58"/>
    <w:rsid w:val="00B1581D"/>
    <w:rsid w:val="00B42EA6"/>
    <w:rsid w:val="00B54B55"/>
    <w:rsid w:val="00B83A68"/>
    <w:rsid w:val="00BA12A0"/>
    <w:rsid w:val="00BC3386"/>
    <w:rsid w:val="00C516EB"/>
    <w:rsid w:val="00CC5800"/>
    <w:rsid w:val="00CF6982"/>
    <w:rsid w:val="00D00D55"/>
    <w:rsid w:val="00D0572D"/>
    <w:rsid w:val="00D1329E"/>
    <w:rsid w:val="00D247F2"/>
    <w:rsid w:val="00D67A35"/>
    <w:rsid w:val="00D71623"/>
    <w:rsid w:val="00DB1106"/>
    <w:rsid w:val="00DE2DA0"/>
    <w:rsid w:val="00E60C2D"/>
    <w:rsid w:val="00E64518"/>
    <w:rsid w:val="00EF2DE6"/>
    <w:rsid w:val="00F2767E"/>
    <w:rsid w:val="00F6556C"/>
    <w:rsid w:val="00F75F44"/>
    <w:rsid w:val="00F909C7"/>
    <w:rsid w:val="00FB16CC"/>
    <w:rsid w:val="00FC76ED"/>
    <w:rsid w:val="00FE2149"/>
    <w:rsid w:val="014E390B"/>
    <w:rsid w:val="01C358B6"/>
    <w:rsid w:val="01C859E5"/>
    <w:rsid w:val="03DB2C3C"/>
    <w:rsid w:val="04AB7862"/>
    <w:rsid w:val="06A245E6"/>
    <w:rsid w:val="07053A53"/>
    <w:rsid w:val="08384A5D"/>
    <w:rsid w:val="08412E0F"/>
    <w:rsid w:val="0A404D4F"/>
    <w:rsid w:val="0CE50AEE"/>
    <w:rsid w:val="0E8F2B6A"/>
    <w:rsid w:val="0F0A6DCA"/>
    <w:rsid w:val="12925235"/>
    <w:rsid w:val="12ED0CF7"/>
    <w:rsid w:val="13591FB1"/>
    <w:rsid w:val="136C122A"/>
    <w:rsid w:val="14C05436"/>
    <w:rsid w:val="1855693E"/>
    <w:rsid w:val="191A05F9"/>
    <w:rsid w:val="1931123E"/>
    <w:rsid w:val="19B54EE1"/>
    <w:rsid w:val="1B842530"/>
    <w:rsid w:val="1D084158"/>
    <w:rsid w:val="1EC9109B"/>
    <w:rsid w:val="1F4715ED"/>
    <w:rsid w:val="1FA86D25"/>
    <w:rsid w:val="23334DC7"/>
    <w:rsid w:val="23643706"/>
    <w:rsid w:val="23C37AE9"/>
    <w:rsid w:val="24885F3F"/>
    <w:rsid w:val="25AA1A81"/>
    <w:rsid w:val="26074152"/>
    <w:rsid w:val="26A6408E"/>
    <w:rsid w:val="26FE4E92"/>
    <w:rsid w:val="27275A80"/>
    <w:rsid w:val="28CF5E42"/>
    <w:rsid w:val="28FD767F"/>
    <w:rsid w:val="296341D1"/>
    <w:rsid w:val="29A94F42"/>
    <w:rsid w:val="2C4A441C"/>
    <w:rsid w:val="2F1128EA"/>
    <w:rsid w:val="2F67293F"/>
    <w:rsid w:val="2F94595C"/>
    <w:rsid w:val="30E7172E"/>
    <w:rsid w:val="31C25D3E"/>
    <w:rsid w:val="324948F8"/>
    <w:rsid w:val="32F04EDB"/>
    <w:rsid w:val="33814E70"/>
    <w:rsid w:val="34F775CA"/>
    <w:rsid w:val="35676B73"/>
    <w:rsid w:val="38B60062"/>
    <w:rsid w:val="393F0B3D"/>
    <w:rsid w:val="3B6E0CFA"/>
    <w:rsid w:val="3CE6077C"/>
    <w:rsid w:val="3DCB46E7"/>
    <w:rsid w:val="3FD300A2"/>
    <w:rsid w:val="41A15356"/>
    <w:rsid w:val="41D54780"/>
    <w:rsid w:val="42282BC0"/>
    <w:rsid w:val="449F3506"/>
    <w:rsid w:val="45EA101D"/>
    <w:rsid w:val="46185CC6"/>
    <w:rsid w:val="463B02AF"/>
    <w:rsid w:val="48A81C9D"/>
    <w:rsid w:val="4A911398"/>
    <w:rsid w:val="4D0716C7"/>
    <w:rsid w:val="4D930C30"/>
    <w:rsid w:val="4E951E49"/>
    <w:rsid w:val="5067375D"/>
    <w:rsid w:val="53021C8B"/>
    <w:rsid w:val="537A1A32"/>
    <w:rsid w:val="539F0951"/>
    <w:rsid w:val="542F4626"/>
    <w:rsid w:val="54690843"/>
    <w:rsid w:val="554728CA"/>
    <w:rsid w:val="56154506"/>
    <w:rsid w:val="576E2B8E"/>
    <w:rsid w:val="5A971BEB"/>
    <w:rsid w:val="5AF065DC"/>
    <w:rsid w:val="5AF90872"/>
    <w:rsid w:val="5C5C1059"/>
    <w:rsid w:val="5C741357"/>
    <w:rsid w:val="5E7172C8"/>
    <w:rsid w:val="5EDE115B"/>
    <w:rsid w:val="602D014E"/>
    <w:rsid w:val="61626451"/>
    <w:rsid w:val="63E42E9B"/>
    <w:rsid w:val="64015DC5"/>
    <w:rsid w:val="64256191"/>
    <w:rsid w:val="65320893"/>
    <w:rsid w:val="653E55E5"/>
    <w:rsid w:val="65D02F6B"/>
    <w:rsid w:val="65ED542D"/>
    <w:rsid w:val="66D444FA"/>
    <w:rsid w:val="66DB297E"/>
    <w:rsid w:val="68C572FC"/>
    <w:rsid w:val="692A14BB"/>
    <w:rsid w:val="6B133D32"/>
    <w:rsid w:val="6BA14070"/>
    <w:rsid w:val="6C110110"/>
    <w:rsid w:val="6E0E7AF0"/>
    <w:rsid w:val="6E5B3B43"/>
    <w:rsid w:val="6F1463AE"/>
    <w:rsid w:val="6FFF6707"/>
    <w:rsid w:val="71BD7C95"/>
    <w:rsid w:val="727E72BD"/>
    <w:rsid w:val="73E43FCF"/>
    <w:rsid w:val="74460B51"/>
    <w:rsid w:val="758D4FF2"/>
    <w:rsid w:val="77076DD0"/>
    <w:rsid w:val="78380813"/>
    <w:rsid w:val="790A024E"/>
    <w:rsid w:val="7A2E1845"/>
    <w:rsid w:val="7AE44C97"/>
    <w:rsid w:val="7BCB4B93"/>
    <w:rsid w:val="7C8C7277"/>
    <w:rsid w:val="7FCC1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26"/>
    <w:qFormat/>
    <w:uiPriority w:val="0"/>
    <w:pPr>
      <w:keepNext/>
      <w:keepLines/>
      <w:spacing w:before="260" w:after="260" w:line="416" w:lineRule="auto"/>
      <w:outlineLvl w:val="1"/>
    </w:pPr>
    <w:rPr>
      <w:rFonts w:ascii="Arial" w:hAnsi="Arial"/>
      <w:b/>
      <w:bCs/>
      <w:szCs w:val="3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32"/>
    <w:qFormat/>
    <w:uiPriority w:val="0"/>
    <w:pPr>
      <w:ind w:left="0" w:leftChars="0" w:firstLine="420"/>
    </w:pPr>
    <w:rPr>
      <w:rFonts w:ascii="Times New Roman" w:hAnsi="Times New Roman"/>
      <w:szCs w:val="24"/>
    </w:rPr>
  </w:style>
  <w:style w:type="paragraph" w:styleId="3">
    <w:name w:val="Body Text Indent"/>
    <w:basedOn w:val="1"/>
    <w:link w:val="29"/>
    <w:unhideWhenUsed/>
    <w:qFormat/>
    <w:uiPriority w:val="0"/>
    <w:pPr>
      <w:spacing w:after="120"/>
      <w:ind w:left="420" w:leftChars="200"/>
    </w:pPr>
  </w:style>
  <w:style w:type="paragraph" w:customStyle="1" w:styleId="4">
    <w:name w:val="表格文字"/>
    <w:basedOn w:val="5"/>
    <w:next w:val="1"/>
    <w:qFormat/>
    <w:uiPriority w:val="0"/>
    <w:pPr>
      <w:ind w:firstLine="0" w:firstLineChars="0"/>
      <w:jc w:val="center"/>
    </w:pPr>
    <w:rPr>
      <w:szCs w:val="20"/>
    </w:rPr>
  </w:style>
  <w:style w:type="paragraph" w:styleId="5">
    <w:name w:val="List"/>
    <w:basedOn w:val="1"/>
    <w:qFormat/>
    <w:uiPriority w:val="0"/>
    <w:pPr>
      <w:ind w:left="200" w:hanging="200" w:hangingChars="200"/>
      <w:contextualSpacing/>
    </w:pPr>
  </w:style>
  <w:style w:type="paragraph" w:styleId="8">
    <w:name w:val="Normal Indent"/>
    <w:basedOn w:val="1"/>
    <w:next w:val="9"/>
    <w:qFormat/>
    <w:uiPriority w:val="0"/>
    <w:pPr>
      <w:ind w:firstLine="420"/>
    </w:pPr>
    <w:rPr>
      <w:rFonts w:ascii="Times New Roman" w:hAnsi="Times New Roman"/>
      <w:szCs w:val="24"/>
    </w:rPr>
  </w:style>
  <w:style w:type="paragraph" w:styleId="9">
    <w:name w:val="Body Text"/>
    <w:basedOn w:val="1"/>
    <w:next w:val="1"/>
    <w:link w:val="28"/>
    <w:qFormat/>
    <w:uiPriority w:val="0"/>
    <w:pPr>
      <w:spacing w:after="120"/>
    </w:pPr>
    <w:rPr>
      <w:rFonts w:ascii="Times New Roman" w:hAnsi="Times New Roman"/>
      <w:szCs w:val="24"/>
    </w:rPr>
  </w:style>
  <w:style w:type="paragraph" w:styleId="10">
    <w:name w:val="Document Map"/>
    <w:basedOn w:val="1"/>
    <w:link w:val="27"/>
    <w:qFormat/>
    <w:uiPriority w:val="0"/>
    <w:rPr>
      <w:rFonts w:ascii="Tahoma" w:hAnsi="Tahoma"/>
      <w:sz w:val="16"/>
      <w:szCs w:val="16"/>
    </w:rPr>
  </w:style>
  <w:style w:type="paragraph" w:styleId="11">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rPr>
  </w:style>
  <w:style w:type="paragraph" w:styleId="12">
    <w:name w:val="Plain Text"/>
    <w:basedOn w:val="1"/>
    <w:link w:val="30"/>
    <w:qFormat/>
    <w:uiPriority w:val="0"/>
    <w:rPr>
      <w:rFonts w:ascii="宋体" w:hAnsi="Courier New" w:cs="Courier New"/>
      <w:szCs w:val="21"/>
    </w:rPr>
  </w:style>
  <w:style w:type="paragraph" w:styleId="13">
    <w:name w:val="Balloon Text"/>
    <w:basedOn w:val="1"/>
    <w:link w:val="31"/>
    <w:qFormat/>
    <w:uiPriority w:val="0"/>
    <w:rPr>
      <w:sz w:val="18"/>
      <w:szCs w:val="18"/>
    </w:rPr>
  </w:style>
  <w:style w:type="paragraph" w:styleId="14">
    <w:name w:val="footer"/>
    <w:basedOn w:val="1"/>
    <w:link w:val="24"/>
    <w:unhideWhenUsed/>
    <w:qFormat/>
    <w:uiPriority w:val="99"/>
    <w:pPr>
      <w:tabs>
        <w:tab w:val="center" w:pos="4153"/>
        <w:tab w:val="right" w:pos="8306"/>
      </w:tabs>
      <w:snapToGrid w:val="0"/>
      <w:jc w:val="left"/>
    </w:pPr>
    <w:rPr>
      <w:sz w:val="18"/>
      <w:szCs w:val="18"/>
    </w:rPr>
  </w:style>
  <w:style w:type="paragraph" w:styleId="1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unhideWhenUsed/>
    <w:qFormat/>
    <w:uiPriority w:val="39"/>
    <w:pPr>
      <w:widowControl/>
      <w:spacing w:after="100" w:line="276" w:lineRule="auto"/>
      <w:jc w:val="left"/>
    </w:pPr>
    <w:rPr>
      <w:rFonts w:asciiTheme="minorHAnsi" w:hAnsiTheme="minorHAnsi" w:eastAsiaTheme="minorEastAsia" w:cstheme="minorBidi"/>
      <w:kern w:val="0"/>
      <w:sz w:val="22"/>
    </w:rPr>
  </w:style>
  <w:style w:type="paragraph" w:styleId="17">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r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页眉 Char"/>
    <w:basedOn w:val="21"/>
    <w:link w:val="15"/>
    <w:qFormat/>
    <w:uiPriority w:val="99"/>
    <w:rPr>
      <w:sz w:val="18"/>
      <w:szCs w:val="18"/>
    </w:rPr>
  </w:style>
  <w:style w:type="character" w:customStyle="1" w:styleId="24">
    <w:name w:val="页脚 Char"/>
    <w:basedOn w:val="21"/>
    <w:link w:val="14"/>
    <w:qFormat/>
    <w:uiPriority w:val="99"/>
    <w:rPr>
      <w:sz w:val="18"/>
      <w:szCs w:val="18"/>
    </w:rPr>
  </w:style>
  <w:style w:type="character" w:customStyle="1" w:styleId="25">
    <w:name w:val="标题 1 Char"/>
    <w:basedOn w:val="21"/>
    <w:link w:val="6"/>
    <w:qFormat/>
    <w:uiPriority w:val="9"/>
    <w:rPr>
      <w:rFonts w:ascii="Calibri" w:hAnsi="Calibri" w:eastAsia="宋体" w:cs="Times New Roman"/>
      <w:b/>
      <w:bCs/>
      <w:kern w:val="44"/>
      <w:sz w:val="44"/>
      <w:szCs w:val="44"/>
    </w:rPr>
  </w:style>
  <w:style w:type="character" w:customStyle="1" w:styleId="26">
    <w:name w:val="标题 2 Char"/>
    <w:basedOn w:val="21"/>
    <w:link w:val="7"/>
    <w:qFormat/>
    <w:uiPriority w:val="0"/>
    <w:rPr>
      <w:rFonts w:ascii="Arial" w:hAnsi="Arial" w:eastAsia="宋体" w:cs="Times New Roman"/>
      <w:b/>
      <w:bCs/>
      <w:szCs w:val="32"/>
    </w:rPr>
  </w:style>
  <w:style w:type="character" w:customStyle="1" w:styleId="27">
    <w:name w:val="文档结构图 Char"/>
    <w:basedOn w:val="21"/>
    <w:link w:val="10"/>
    <w:qFormat/>
    <w:uiPriority w:val="0"/>
    <w:rPr>
      <w:rFonts w:ascii="Tahoma" w:hAnsi="Tahoma" w:eastAsia="宋体" w:cs="Times New Roman"/>
      <w:sz w:val="16"/>
      <w:szCs w:val="16"/>
    </w:rPr>
  </w:style>
  <w:style w:type="character" w:customStyle="1" w:styleId="28">
    <w:name w:val="正文文本 Char"/>
    <w:basedOn w:val="21"/>
    <w:link w:val="9"/>
    <w:qFormat/>
    <w:uiPriority w:val="0"/>
    <w:rPr>
      <w:rFonts w:ascii="Times New Roman" w:hAnsi="Times New Roman" w:eastAsia="宋体" w:cs="Times New Roman"/>
      <w:szCs w:val="24"/>
    </w:rPr>
  </w:style>
  <w:style w:type="character" w:customStyle="1" w:styleId="29">
    <w:name w:val="正文文本缩进 Char"/>
    <w:basedOn w:val="21"/>
    <w:link w:val="3"/>
    <w:qFormat/>
    <w:uiPriority w:val="0"/>
    <w:rPr>
      <w:rFonts w:ascii="Calibri" w:hAnsi="Calibri" w:eastAsia="宋体" w:cs="Times New Roman"/>
    </w:rPr>
  </w:style>
  <w:style w:type="character" w:customStyle="1" w:styleId="30">
    <w:name w:val="纯文本 Char"/>
    <w:basedOn w:val="21"/>
    <w:link w:val="12"/>
    <w:qFormat/>
    <w:uiPriority w:val="0"/>
    <w:rPr>
      <w:rFonts w:ascii="宋体" w:hAnsi="Courier New" w:eastAsia="宋体" w:cs="Courier New"/>
      <w:szCs w:val="21"/>
    </w:rPr>
  </w:style>
  <w:style w:type="character" w:customStyle="1" w:styleId="31">
    <w:name w:val="批注框文本 Char"/>
    <w:basedOn w:val="21"/>
    <w:link w:val="13"/>
    <w:qFormat/>
    <w:uiPriority w:val="0"/>
    <w:rPr>
      <w:rFonts w:ascii="Calibri" w:hAnsi="Calibri" w:eastAsia="宋体" w:cs="Times New Roman"/>
      <w:sz w:val="18"/>
      <w:szCs w:val="18"/>
    </w:rPr>
  </w:style>
  <w:style w:type="character" w:customStyle="1" w:styleId="32">
    <w:name w:val="正文首行缩进 2 Char"/>
    <w:basedOn w:val="29"/>
    <w:link w:val="2"/>
    <w:qFormat/>
    <w:uiPriority w:val="0"/>
    <w:rPr>
      <w:rFonts w:ascii="Times New Roman" w:hAnsi="Times New Roman" w:eastAsia="宋体" w:cs="Times New Roman"/>
      <w:szCs w:val="24"/>
    </w:rPr>
  </w:style>
  <w:style w:type="paragraph" w:customStyle="1" w:styleId="33">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34">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5">
    <w:name w:val="列出段落1"/>
    <w:basedOn w:val="1"/>
    <w:qFormat/>
    <w:uiPriority w:val="0"/>
    <w:pPr>
      <w:ind w:firstLine="420" w:firstLineChars="200"/>
    </w:pPr>
    <w:rPr>
      <w:szCs w:val="20"/>
    </w:rPr>
  </w:style>
  <w:style w:type="paragraph" w:customStyle="1" w:styleId="36">
    <w:name w:val="列表段落1"/>
    <w:basedOn w:val="1"/>
    <w:qFormat/>
    <w:uiPriority w:val="99"/>
    <w:pPr>
      <w:ind w:firstLine="420" w:firstLineChars="200"/>
    </w:pPr>
  </w:style>
  <w:style w:type="paragraph" w:customStyle="1" w:styleId="37">
    <w:name w:val="样式1"/>
    <w:basedOn w:val="1"/>
    <w:qFormat/>
    <w:uiPriority w:val="0"/>
    <w:rPr>
      <w:rFonts w:ascii="Times New Roman" w:hAnsi="Times New Roman"/>
      <w:sz w:val="28"/>
      <w:szCs w:val="24"/>
    </w:rPr>
  </w:style>
  <w:style w:type="paragraph" w:customStyle="1" w:styleId="38">
    <w:name w:val="bgg"/>
    <w:basedOn w:val="39"/>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39">
    <w:name w:val="默认段落字体 Para Char Char Char Char"/>
    <w:basedOn w:val="1"/>
    <w:qFormat/>
    <w:uiPriority w:val="0"/>
    <w:rPr>
      <w:rFonts w:ascii="宋体" w:hAnsi="宋体"/>
      <w:b/>
      <w:color w:val="000000"/>
      <w:sz w:val="24"/>
      <w:szCs w:val="24"/>
    </w:rPr>
  </w:style>
  <w:style w:type="paragraph" w:customStyle="1" w:styleId="40">
    <w:name w:val="p0"/>
    <w:basedOn w:val="1"/>
    <w:qFormat/>
    <w:uiPriority w:val="0"/>
    <w:pPr>
      <w:widowControl/>
    </w:pPr>
    <w:rPr>
      <w:rFonts w:ascii="Times New Roman" w:hAnsi="Times New Roman"/>
      <w:kern w:val="0"/>
      <w:szCs w:val="21"/>
    </w:rPr>
  </w:style>
  <w:style w:type="paragraph" w:styleId="41">
    <w:name w:val="List Paragraph"/>
    <w:basedOn w:val="1"/>
    <w:unhideWhenUsed/>
    <w:qFormat/>
    <w:uiPriority w:val="99"/>
    <w:pPr>
      <w:ind w:firstLine="420" w:firstLineChars="200"/>
    </w:pPr>
  </w:style>
  <w:style w:type="paragraph" w:customStyle="1" w:styleId="42">
    <w:name w:val="纯文本2"/>
    <w:basedOn w:val="1"/>
    <w:qFormat/>
    <w:uiPriority w:val="0"/>
    <w:pPr>
      <w:adjustRightInd w:val="0"/>
      <w:textAlignment w:val="baseline"/>
    </w:pPr>
    <w:rPr>
      <w:rFonts w:ascii="宋体" w:hAnsi="Courier New"/>
      <w:kern w:val="0"/>
      <w:sz w:val="20"/>
      <w:szCs w:val="20"/>
    </w:rPr>
  </w:style>
  <w:style w:type="paragraph" w:customStyle="1" w:styleId="43">
    <w:name w:val="修订1"/>
    <w:hidden/>
    <w:semiHidden/>
    <w:qFormat/>
    <w:uiPriority w:val="99"/>
    <w:rPr>
      <w:rFonts w:ascii="Calibri" w:hAnsi="Calibri" w:eastAsia="宋体" w:cs="Times New Roman"/>
      <w:kern w:val="2"/>
      <w:sz w:val="21"/>
      <w:szCs w:val="22"/>
      <w:lang w:val="en-US" w:eastAsia="zh-CN" w:bidi="ar-SA"/>
    </w:rPr>
  </w:style>
  <w:style w:type="paragraph" w:customStyle="1" w:styleId="44">
    <w:name w:val="列出段落7"/>
    <w:basedOn w:val="1"/>
    <w:qFormat/>
    <w:uiPriority w:val="0"/>
    <w:pPr>
      <w:ind w:left="400" w:firstLine="420"/>
    </w:pPr>
  </w:style>
  <w:style w:type="paragraph" w:customStyle="1" w:styleId="45">
    <w:name w:val="msolistparagraph"/>
    <w:basedOn w:val="1"/>
    <w:qFormat/>
    <w:uiPriority w:val="0"/>
    <w:pPr>
      <w:ind w:firstLine="420" w:firstLineChars="200"/>
    </w:pPr>
    <w:rPr>
      <w:rFonts w:ascii="Times New Roman" w:hAnsi="Times New Roman"/>
      <w:szCs w:val="24"/>
    </w:rPr>
  </w:style>
  <w:style w:type="character" w:customStyle="1" w:styleId="46">
    <w:name w:val="标题 1.1 Char1"/>
    <w:qFormat/>
    <w:uiPriority w:val="0"/>
    <w:rPr>
      <w:rFonts w:ascii="Arial" w:hAnsi="Arial" w:eastAsia="黑体"/>
      <w:b/>
      <w:bCs/>
      <w:kern w:val="2"/>
      <w:sz w:val="32"/>
      <w:szCs w:val="32"/>
    </w:rPr>
  </w:style>
  <w:style w:type="paragraph" w:customStyle="1" w:styleId="47">
    <w:name w:val="样式8"/>
    <w:basedOn w:val="48"/>
    <w:qFormat/>
    <w:uiPriority w:val="1"/>
  </w:style>
  <w:style w:type="paragraph" w:customStyle="1" w:styleId="48">
    <w:name w:val="一级标题"/>
    <w:basedOn w:val="1"/>
    <w:qFormat/>
    <w:uiPriority w:val="0"/>
    <w:pPr>
      <w:adjustRightInd w:val="0"/>
      <w:snapToGrid w:val="0"/>
      <w:jc w:val="center"/>
      <w:outlineLvl w:val="0"/>
    </w:pPr>
    <w:rPr>
      <w:rFonts w:ascii="黑体" w:eastAsia="黑体"/>
      <w:b/>
      <w:sz w:val="28"/>
      <w:szCs w:val="28"/>
    </w:rPr>
  </w:style>
  <w:style w:type="paragraph" w:customStyle="1" w:styleId="49">
    <w:name w:val="正文文本2"/>
    <w:basedOn w:val="1"/>
    <w:qFormat/>
    <w:uiPriority w:val="0"/>
    <w:pPr>
      <w:autoSpaceDE w:val="0"/>
      <w:autoSpaceDN w:val="0"/>
      <w:jc w:val="left"/>
    </w:pPr>
    <w:rPr>
      <w:rFonts w:ascii="宋体" w:hAnsi="宋体"/>
      <w:kern w:val="0"/>
      <w:sz w:val="20"/>
      <w:szCs w:val="21"/>
      <w:lang w:val="zh-CN"/>
    </w:rPr>
  </w:style>
  <w:style w:type="paragraph" w:customStyle="1" w:styleId="50">
    <w:name w:val="TOC 标题1"/>
    <w:basedOn w:val="6"/>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paragraph" w:customStyle="1" w:styleId="51">
    <w:name w:val="修订2"/>
    <w:hidden/>
    <w:semiHidden/>
    <w:qFormat/>
    <w:uiPriority w:val="99"/>
    <w:rPr>
      <w:rFonts w:ascii="Calibri" w:hAnsi="Calibri" w:eastAsia="宋体" w:cs="Times New Roman"/>
      <w:kern w:val="2"/>
      <w:sz w:val="21"/>
      <w:szCs w:val="22"/>
      <w:lang w:val="en-US" w:eastAsia="zh-CN" w:bidi="ar-SA"/>
    </w:rPr>
  </w:style>
  <w:style w:type="paragraph" w:customStyle="1" w:styleId="52">
    <w:name w:val="修订3"/>
    <w:hidden/>
    <w:semiHidden/>
    <w:qFormat/>
    <w:uiPriority w:val="99"/>
    <w:rPr>
      <w:rFonts w:ascii="Calibri" w:hAnsi="Calibri" w:eastAsia="宋体" w:cs="Times New Roman"/>
      <w:kern w:val="2"/>
      <w:sz w:val="21"/>
      <w:szCs w:val="22"/>
      <w:lang w:val="en-US" w:eastAsia="zh-CN" w:bidi="ar-SA"/>
    </w:rPr>
  </w:style>
  <w:style w:type="paragraph" w:customStyle="1" w:styleId="53">
    <w:name w:val="列出段落2"/>
    <w:basedOn w:val="1"/>
    <w:qFormat/>
    <w:uiPriority w:val="0"/>
    <w:pPr>
      <w:ind w:firstLine="420" w:firstLineChars="200"/>
    </w:pPr>
    <w:rPr>
      <w:rFonts w:asciiTheme="minorHAnsi" w:hAnsiTheme="minorHAnsi" w:eastAsiaTheme="minorEastAsia" w:cstheme="minorBidi"/>
      <w:szCs w:val="21"/>
    </w:rPr>
  </w:style>
  <w:style w:type="paragraph" w:customStyle="1" w:styleId="5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533</Words>
  <Characters>3044</Characters>
  <Lines>25</Lines>
  <Paragraphs>7</Paragraphs>
  <TotalTime>0</TotalTime>
  <ScaleCrop>false</ScaleCrop>
  <LinksUpToDate>false</LinksUpToDate>
  <CharactersWithSpaces>3570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2023-07-07T06:15:00Z</dcterms:created>
  <dc:creator>Admin</dc:creator>
  <cp:lastModifiedBy>admin</cp:lastModifiedBy>
  <dcterms:modified xsi:type="dcterms:W3CDTF">2025-06-30T05:29:13Z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95770946332E42DFBF31A8741ACA8FCA</vt:lpwstr>
  </property>
</Properties>
</file>