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采购预告资格条件</w:t>
      </w:r>
    </w:p>
    <w:p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1.以投标截止之日为限，须工商注册成立一年以上。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注册资金≥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200万元。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2.不接受联合体投标。 </w:t>
      </w: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3.接受生产型企业及流通型企业投标。 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4.禁止鞍钢集团公司及本项目采购组织的限期整改、灰名单、黑名单企业参与本次投标。 </w:t>
      </w:r>
    </w:p>
    <w:p>
      <w:pPr>
        <w:jc w:val="both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5.投标方需提供本项目投标截止日前三年内类似产品的销售业绩证明（须提供类似产品的发票复印件，必须上传），业绩总量不得少于投标报价总金额。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28"/>
        </w:rPr>
        <w:t>.招标方式工程建设项目中的货物，一个生产商对同一品牌同一型号的货物，仅能由制造商或者制造商委托唯一代理商参加投标。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/>
          <w:b w:val="0"/>
          <w:bCs w:val="0"/>
          <w:sz w:val="28"/>
          <w:szCs w:val="28"/>
        </w:rPr>
        <w:t xml:space="preserve">.单位负责人为同一人、存在控股关系、管理关系的不同投标人参与投标，取消全部涉及投标人投标资格。 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/>
          <w:b w:val="0"/>
          <w:bCs w:val="0"/>
          <w:sz w:val="28"/>
          <w:szCs w:val="28"/>
        </w:rPr>
        <w:t xml:space="preserve">.投标方未按要求提供相关注册资金、资质、业绩等证明，或提供的相关注册资金、资质、业绩等证明不满足招标要求，投标文件无效。 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/>
          <w:b w:val="0"/>
          <w:bCs w:val="0"/>
          <w:sz w:val="28"/>
          <w:szCs w:val="28"/>
        </w:rPr>
        <w:t xml:space="preserve">.投标方必须确保提供的所有证明（包括但不限于注册资金、资质、业绩等）合法、真实、有效，否则承担由此产生的法律责任。 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/>
          <w:b w:val="0"/>
          <w:bCs w:val="0"/>
          <w:sz w:val="28"/>
          <w:szCs w:val="28"/>
        </w:rPr>
        <w:t xml:space="preserve">.供货方须在限期约定交货期内交货，逾期交货按合同约定承担违约责任。 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2026-03-10T05:48:19Z</dcterms:created>
  <dc:creator>dq1</dc:creator>
  <cp:lastModifiedBy>dq1</cp:lastModifiedBy>
  <dcterms:modified xsi:type="dcterms:W3CDTF">2026-03-10T05:58:28Z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