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供应商须提供背景调查实施方案及培训方案。无格式要求。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