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01A3A">
      <w:pPr>
        <w:tabs>
          <w:tab w:val="left" w:pos="3402"/>
        </w:tabs>
        <w:jc w:val="center"/>
        <w:outlineLvl w:val="0"/>
        <w:rPr>
          <w:rFonts w:hint="eastAsia" w:ascii="仿宋" w:hAnsi="仿宋" w:eastAsia="仿宋" w:cs="仿宋"/>
          <w:bCs/>
          <w:spacing w:val="-20"/>
          <w:sz w:val="30"/>
          <w:szCs w:val="30"/>
        </w:rPr>
      </w:pPr>
      <w:r>
        <w:rPr>
          <w:rFonts w:hint="eastAsia" w:ascii="仿宋" w:hAnsi="仿宋" w:eastAsia="仿宋" w:cs="仿宋"/>
          <w:bCs/>
          <w:spacing w:val="-20"/>
          <w:sz w:val="30"/>
          <w:szCs w:val="30"/>
        </w:rPr>
        <w:t>（加盖供需双方骑缝章有效）</w:t>
      </w:r>
    </w:p>
    <w:p w14:paraId="4CA5E169">
      <w:pPr>
        <w:spacing w:line="360" w:lineRule="auto"/>
        <w:jc w:val="center"/>
        <w:rPr>
          <w:rFonts w:hint="eastAsia" w:ascii="仿宋" w:hAnsi="仿宋" w:eastAsia="仿宋" w:cs="仿宋"/>
          <w:bCs/>
          <w:sz w:val="40"/>
        </w:rPr>
      </w:pPr>
    </w:p>
    <w:p w14:paraId="68232BB7">
      <w:pPr>
        <w:spacing w:line="360" w:lineRule="auto"/>
        <w:jc w:val="center"/>
        <w:rPr>
          <w:rFonts w:hint="eastAsia" w:ascii="仿宋" w:hAnsi="仿宋" w:eastAsia="仿宋" w:cs="仿宋"/>
          <w:bCs/>
          <w:sz w:val="40"/>
        </w:rPr>
      </w:pPr>
    </w:p>
    <w:p w14:paraId="4A025846">
      <w:pPr>
        <w:spacing w:line="360" w:lineRule="auto"/>
        <w:jc w:val="center"/>
        <w:rPr>
          <w:rFonts w:hint="eastAsia" w:ascii="仿宋" w:hAnsi="仿宋" w:eastAsia="仿宋" w:cs="仿宋"/>
          <w:bCs/>
          <w:sz w:val="40"/>
        </w:rPr>
      </w:pPr>
    </w:p>
    <w:p w14:paraId="63453672">
      <w:pPr>
        <w:spacing w:line="360" w:lineRule="auto"/>
        <w:jc w:val="center"/>
        <w:rPr>
          <w:rFonts w:hint="eastAsia" w:ascii="仿宋" w:hAnsi="仿宋" w:eastAsia="仿宋" w:cs="仿宋"/>
          <w:bCs/>
          <w:sz w:val="44"/>
          <w:szCs w:val="44"/>
        </w:rPr>
      </w:pPr>
      <w:r>
        <w:rPr>
          <w:rFonts w:hint="eastAsia" w:ascii="仿宋" w:hAnsi="仿宋" w:eastAsia="仿宋" w:cs="仿宋"/>
          <w:bCs/>
          <w:sz w:val="52"/>
          <w:szCs w:val="52"/>
        </w:rPr>
        <w:t>202</w:t>
      </w:r>
      <w:r>
        <w:rPr>
          <w:rFonts w:hint="eastAsia" w:ascii="仿宋" w:hAnsi="仿宋" w:eastAsia="仿宋" w:cs="仿宋"/>
          <w:bCs/>
          <w:sz w:val="52"/>
          <w:szCs w:val="52"/>
          <w:lang w:val="en-US" w:eastAsia="zh-CN"/>
        </w:rPr>
        <w:t>6</w:t>
      </w:r>
      <w:r>
        <w:rPr>
          <w:rFonts w:hint="eastAsia" w:ascii="仿宋" w:hAnsi="仿宋" w:eastAsia="仿宋" w:cs="仿宋"/>
          <w:bCs/>
          <w:sz w:val="52"/>
          <w:szCs w:val="52"/>
        </w:rPr>
        <w:t>年</w:t>
      </w:r>
      <w:r>
        <w:rPr>
          <w:rFonts w:hint="eastAsia" w:ascii="仿宋" w:hAnsi="仿宋" w:eastAsia="仿宋" w:cs="仿宋"/>
          <w:bCs/>
          <w:sz w:val="52"/>
          <w:szCs w:val="52"/>
          <w:u w:val="single"/>
          <w:lang w:val="en-US" w:eastAsia="zh-CN"/>
        </w:rPr>
        <w:t>X</w:t>
      </w:r>
      <w:r>
        <w:rPr>
          <w:rFonts w:hint="eastAsia" w:ascii="仿宋" w:hAnsi="仿宋" w:eastAsia="仿宋" w:cs="仿宋"/>
          <w:bCs/>
          <w:sz w:val="52"/>
          <w:szCs w:val="52"/>
          <w:lang w:val="en-US" w:eastAsia="zh-CN"/>
        </w:rPr>
        <w:t>月煤炭</w:t>
      </w:r>
      <w:r>
        <w:rPr>
          <w:rFonts w:hint="eastAsia" w:ascii="仿宋" w:hAnsi="仿宋" w:eastAsia="仿宋" w:cs="仿宋"/>
          <w:bCs/>
          <w:sz w:val="52"/>
          <w:szCs w:val="52"/>
        </w:rPr>
        <w:t>销售合同</w:t>
      </w:r>
    </w:p>
    <w:p w14:paraId="79768171">
      <w:pPr>
        <w:spacing w:line="360" w:lineRule="auto"/>
        <w:jc w:val="center"/>
        <w:rPr>
          <w:rFonts w:hint="eastAsia" w:ascii="仿宋" w:hAnsi="仿宋" w:eastAsia="仿宋" w:cs="仿宋"/>
          <w:b/>
          <w:lang w:val="en-US" w:eastAsia="zh-CN"/>
        </w:rPr>
      </w:pPr>
      <w:r>
        <w:rPr>
          <w:rFonts w:hint="eastAsia" w:ascii="仿宋" w:hAnsi="仿宋" w:eastAsia="仿宋" w:cs="仿宋"/>
          <w:b/>
          <w:highlight w:val="none"/>
          <w:lang w:eastAsia="zh-CN"/>
        </w:rPr>
        <w:t>（</w:t>
      </w:r>
      <w:r>
        <w:rPr>
          <w:rFonts w:hint="eastAsia" w:ascii="仿宋" w:hAnsi="仿宋" w:eastAsia="仿宋" w:cs="仿宋"/>
          <w:b/>
          <w:highlight w:val="none"/>
          <w:lang w:val="en-US" w:eastAsia="zh-CN"/>
        </w:rPr>
        <w:t>第</w:t>
      </w:r>
      <w:r>
        <w:rPr>
          <w:rFonts w:hint="eastAsia" w:ascii="仿宋" w:hAnsi="仿宋" w:eastAsia="仿宋" w:cs="仿宋"/>
          <w:b/>
          <w:highlight w:val="none"/>
          <w:u w:val="single"/>
          <w:lang w:val="en-US" w:eastAsia="zh-CN"/>
        </w:rPr>
        <w:t>X</w:t>
      </w:r>
      <w:r>
        <w:rPr>
          <w:rFonts w:hint="eastAsia" w:ascii="仿宋" w:hAnsi="仿宋" w:eastAsia="仿宋" w:cs="仿宋"/>
          <w:b/>
          <w:highlight w:val="none"/>
          <w:lang w:val="en-US" w:eastAsia="zh-CN"/>
        </w:rPr>
        <w:t>批恒鼎煤泥竞</w:t>
      </w:r>
      <w:r>
        <w:rPr>
          <w:rFonts w:hint="eastAsia" w:ascii="仿宋" w:hAnsi="仿宋" w:eastAsia="仿宋" w:cs="仿宋"/>
          <w:b/>
          <w:lang w:val="en-US" w:eastAsia="zh-CN"/>
        </w:rPr>
        <w:t>价销售项目）</w:t>
      </w:r>
    </w:p>
    <w:p w14:paraId="32A9718A">
      <w:pPr>
        <w:spacing w:line="600" w:lineRule="auto"/>
        <w:ind w:firstLine="1446" w:firstLineChars="600"/>
        <w:rPr>
          <w:rFonts w:hint="eastAsia" w:ascii="仿宋" w:hAnsi="仿宋" w:eastAsia="仿宋" w:cs="仿宋"/>
          <w:b/>
          <w:sz w:val="24"/>
        </w:rPr>
      </w:pPr>
    </w:p>
    <w:p w14:paraId="4A5DFA74">
      <w:pPr>
        <w:spacing w:line="600" w:lineRule="auto"/>
        <w:ind w:firstLine="1446" w:firstLineChars="600"/>
        <w:rPr>
          <w:rFonts w:hint="eastAsia" w:ascii="仿宋" w:hAnsi="仿宋" w:eastAsia="仿宋" w:cs="仿宋"/>
          <w:b/>
          <w:sz w:val="24"/>
        </w:rPr>
      </w:pPr>
    </w:p>
    <w:p w14:paraId="75288877">
      <w:pPr>
        <w:spacing w:line="600" w:lineRule="auto"/>
        <w:ind w:firstLine="1446" w:firstLineChars="600"/>
        <w:rPr>
          <w:rFonts w:hint="eastAsia" w:ascii="仿宋" w:hAnsi="仿宋" w:eastAsia="仿宋" w:cs="仿宋"/>
          <w:b/>
          <w:sz w:val="24"/>
        </w:rPr>
      </w:pPr>
    </w:p>
    <w:p w14:paraId="44F4ABAA">
      <w:pPr>
        <w:spacing w:line="600" w:lineRule="auto"/>
        <w:rPr>
          <w:rFonts w:hint="eastAsia" w:ascii="仿宋" w:hAnsi="仿宋" w:eastAsia="仿宋" w:cs="仿宋"/>
          <w:b/>
          <w:sz w:val="24"/>
        </w:rPr>
      </w:pPr>
    </w:p>
    <w:p w14:paraId="3D7A5D12">
      <w:pPr>
        <w:spacing w:line="600" w:lineRule="auto"/>
        <w:ind w:firstLine="1446" w:firstLineChars="600"/>
        <w:rPr>
          <w:rFonts w:hint="eastAsia" w:ascii="仿宋" w:hAnsi="仿宋" w:eastAsia="仿宋" w:cs="仿宋"/>
          <w:b/>
          <w:sz w:val="24"/>
        </w:rPr>
      </w:pPr>
    </w:p>
    <w:p w14:paraId="11111EEC">
      <w:pPr>
        <w:spacing w:line="600" w:lineRule="auto"/>
        <w:rPr>
          <w:rFonts w:hint="eastAsia" w:ascii="仿宋" w:hAnsi="仿宋" w:eastAsia="仿宋" w:cs="仿宋"/>
          <w:b/>
          <w:sz w:val="32"/>
          <w:szCs w:val="32"/>
          <w:lang w:val="en-US" w:eastAsia="zh-CN"/>
        </w:rPr>
      </w:pPr>
      <w:r>
        <w:rPr>
          <w:rFonts w:hint="eastAsia" w:ascii="仿宋" w:hAnsi="仿宋" w:eastAsia="仿宋" w:cs="仿宋"/>
          <w:b/>
          <w:sz w:val="32"/>
          <w:szCs w:val="32"/>
        </w:rPr>
        <w:t>供应方（供方）</w:t>
      </w:r>
      <w:r>
        <w:rPr>
          <w:rFonts w:hint="eastAsia" w:ascii="仿宋" w:hAnsi="仿宋" w:eastAsia="仿宋" w:cs="仿宋"/>
          <w:sz w:val="32"/>
          <w:szCs w:val="32"/>
        </w:rPr>
        <w:t>：云南省煤炭交易（储配）中心有限公司</w:t>
      </w:r>
    </w:p>
    <w:p w14:paraId="0175237C">
      <w:pPr>
        <w:spacing w:line="600" w:lineRule="auto"/>
        <w:rPr>
          <w:rFonts w:hint="eastAsia" w:ascii="仿宋" w:hAnsi="仿宋" w:eastAsia="仿宋" w:cs="仿宋"/>
          <w:sz w:val="32"/>
          <w:szCs w:val="32"/>
        </w:rPr>
      </w:pPr>
      <w:r>
        <w:rPr>
          <w:rFonts w:hint="eastAsia" w:ascii="仿宋" w:hAnsi="仿宋" w:eastAsia="仿宋" w:cs="仿宋"/>
          <w:b/>
          <w:sz w:val="32"/>
          <w:szCs w:val="32"/>
        </w:rPr>
        <w:t>需求方（需方）</w:t>
      </w:r>
      <w:r>
        <w:rPr>
          <w:rFonts w:hint="eastAsia" w:ascii="仿宋" w:hAnsi="仿宋" w:eastAsia="仿宋" w:cs="仿宋"/>
          <w:sz w:val="32"/>
          <w:szCs w:val="32"/>
        </w:rPr>
        <w:t>：</w:t>
      </w:r>
    </w:p>
    <w:p w14:paraId="7C05C033">
      <w:pPr>
        <w:spacing w:line="60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w:t>
      </w:r>
    </w:p>
    <w:p w14:paraId="6C3773C4">
      <w:pPr>
        <w:spacing w:line="600" w:lineRule="auto"/>
        <w:ind w:firstLine="560" w:firstLineChars="200"/>
        <w:rPr>
          <w:rFonts w:hint="eastAsia" w:ascii="仿宋" w:hAnsi="仿宋" w:eastAsia="仿宋" w:cs="仿宋"/>
          <w:sz w:val="28"/>
          <w:szCs w:val="28"/>
        </w:rPr>
      </w:pPr>
    </w:p>
    <w:p w14:paraId="70EC3BCB">
      <w:pPr>
        <w:spacing w:line="600" w:lineRule="auto"/>
        <w:ind w:firstLine="560" w:firstLineChars="200"/>
        <w:rPr>
          <w:rFonts w:hint="eastAsia" w:ascii="仿宋" w:hAnsi="仿宋" w:eastAsia="仿宋" w:cs="仿宋"/>
          <w:sz w:val="28"/>
          <w:szCs w:val="28"/>
        </w:rPr>
      </w:pPr>
    </w:p>
    <w:p w14:paraId="5D42D95A">
      <w:pPr>
        <w:spacing w:line="600" w:lineRule="auto"/>
        <w:ind w:firstLine="1400" w:firstLineChars="500"/>
        <w:rPr>
          <w:rFonts w:hint="eastAsia" w:ascii="仿宋" w:hAnsi="仿宋" w:eastAsia="仿宋" w:cs="仿宋"/>
          <w:sz w:val="28"/>
          <w:szCs w:val="28"/>
        </w:rPr>
      </w:pPr>
      <w:r>
        <w:rPr>
          <w:rFonts w:hint="eastAsia" w:ascii="仿宋" w:hAnsi="仿宋" w:eastAsia="仿宋" w:cs="仿宋"/>
          <w:sz w:val="28"/>
          <w:szCs w:val="28"/>
        </w:rPr>
        <w:t>合同编号：</w:t>
      </w:r>
    </w:p>
    <w:p w14:paraId="2028461B">
      <w:pPr>
        <w:spacing w:line="600" w:lineRule="auto"/>
        <w:ind w:firstLine="1400" w:firstLineChars="500"/>
        <w:rPr>
          <w:rFonts w:hint="eastAsia" w:ascii="仿宋" w:hAnsi="仿宋" w:eastAsia="仿宋" w:cs="仿宋"/>
          <w:sz w:val="28"/>
          <w:szCs w:val="28"/>
          <w:lang w:val="en-US" w:eastAsia="zh-CN"/>
        </w:rPr>
      </w:pPr>
      <w:r>
        <w:rPr>
          <w:rFonts w:hint="eastAsia" w:ascii="仿宋" w:hAnsi="仿宋" w:eastAsia="仿宋" w:cs="仿宋"/>
          <w:sz w:val="28"/>
          <w:szCs w:val="28"/>
        </w:rPr>
        <w:t>签订地点：</w:t>
      </w:r>
      <w:r>
        <w:rPr>
          <w:rFonts w:hint="eastAsia" w:ascii="仿宋" w:hAnsi="仿宋" w:eastAsia="仿宋" w:cs="仿宋"/>
          <w:sz w:val="28"/>
          <w:szCs w:val="28"/>
          <w:lang w:val="en-US" w:eastAsia="zh-CN"/>
        </w:rPr>
        <w:t>昆明市西山区</w:t>
      </w:r>
    </w:p>
    <w:p w14:paraId="0473C1B6">
      <w:pPr>
        <w:spacing w:line="600" w:lineRule="auto"/>
        <w:ind w:firstLine="1400" w:firstLineChars="500"/>
        <w:rPr>
          <w:rFonts w:hint="eastAsia" w:ascii="仿宋" w:hAnsi="仿宋" w:eastAsia="仿宋" w:cs="仿宋"/>
          <w:sz w:val="28"/>
          <w:szCs w:val="28"/>
        </w:rPr>
      </w:pPr>
      <w:r>
        <w:rPr>
          <w:rFonts w:hint="eastAsia" w:ascii="仿宋" w:hAnsi="仿宋" w:eastAsia="仿宋" w:cs="仿宋"/>
          <w:sz w:val="28"/>
          <w:szCs w:val="28"/>
        </w:rPr>
        <w:t>签订时间：</w:t>
      </w:r>
    </w:p>
    <w:tbl>
      <w:tblPr>
        <w:tblStyle w:val="4"/>
        <w:tblpPr w:leftFromText="180" w:rightFromText="180" w:vertAnchor="text" w:tblpX="10591"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3"/>
      </w:tblGrid>
      <w:tr w14:paraId="61B6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5503" w:type="dxa"/>
            <w:noWrap w:val="0"/>
            <w:vAlign w:val="top"/>
          </w:tcPr>
          <w:p w14:paraId="6B2FE522">
            <w:pPr>
              <w:spacing w:line="460" w:lineRule="exact"/>
              <w:rPr>
                <w:rFonts w:hint="eastAsia" w:ascii="仿宋" w:hAnsi="仿宋" w:eastAsia="仿宋" w:cs="仿宋"/>
                <w:sz w:val="28"/>
                <w:szCs w:val="28"/>
              </w:rPr>
            </w:pPr>
          </w:p>
        </w:tc>
      </w:tr>
    </w:tbl>
    <w:p w14:paraId="21078A23">
      <w:pPr>
        <w:keepNext w:val="0"/>
        <w:keepLines w:val="0"/>
        <w:pageBreakBefore w:val="0"/>
        <w:widowControl w:val="0"/>
        <w:numPr>
          <w:ilvl w:val="0"/>
          <w:numId w:val="0"/>
        </w:numPr>
        <w:kinsoku/>
        <w:wordWrap/>
        <w:overflowPunct/>
        <w:topLinePunct w:val="0"/>
        <w:autoSpaceDE/>
        <w:autoSpaceDN/>
        <w:bidi w:val="0"/>
        <w:adjustRightInd/>
        <w:snapToGrid/>
        <w:spacing w:afterAutospacing="0" w:line="240" w:lineRule="auto"/>
        <w:ind w:left="0" w:leftChars="0" w:firstLine="562" w:firstLineChars="200"/>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lang w:val="en-US" w:eastAsia="zh-CN" w:bidi="ar-SA"/>
        </w:rPr>
        <w:t>依据《中华人民共和国民法典》，供、需双方本着平等、自愿的原则，签订煤炭购销合同（以下简称“合同”）。</w:t>
      </w:r>
    </w:p>
    <w:p w14:paraId="22A660F1">
      <w:pPr>
        <w:spacing w:before="156" w:beforeLines="50" w:after="156" w:afterLines="50" w:line="500" w:lineRule="exact"/>
        <w:ind w:left="139" w:leftChars="66" w:firstLine="422" w:firstLineChars="150"/>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rPr>
        <w:t>1、购销数量、交货方式</w:t>
      </w:r>
      <w:r>
        <w:rPr>
          <w:rFonts w:hint="eastAsia" w:ascii="仿宋" w:hAnsi="仿宋" w:eastAsia="仿宋" w:cs="仿宋"/>
          <w:b/>
          <w:bCs/>
          <w:kern w:val="0"/>
          <w:sz w:val="28"/>
          <w:szCs w:val="28"/>
          <w:lang w:val="en-US" w:eastAsia="zh-CN"/>
        </w:rPr>
        <w:t>及供货时间</w:t>
      </w:r>
    </w:p>
    <w:p w14:paraId="1EEE84AB">
      <w:pPr>
        <w:keepNext w:val="0"/>
        <w:keepLines w:val="0"/>
        <w:widowControl/>
        <w:suppressLineNumbers w:val="0"/>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rPr>
        <w:t>1.1、需方向供方购买</w:t>
      </w:r>
      <w:r>
        <w:rPr>
          <w:rFonts w:hint="eastAsia" w:ascii="仿宋" w:hAnsi="仿宋" w:eastAsia="仿宋" w:cs="仿宋"/>
          <w:kern w:val="0"/>
          <w:sz w:val="28"/>
          <w:szCs w:val="28"/>
          <w:lang w:val="en-US" w:eastAsia="zh-CN"/>
        </w:rPr>
        <w:t>煤泥</w:t>
      </w:r>
      <w:r>
        <w:rPr>
          <w:rFonts w:hint="eastAsia" w:ascii="仿宋" w:hAnsi="仿宋" w:eastAsia="仿宋" w:cs="仿宋"/>
          <w:kern w:val="0"/>
          <w:sz w:val="28"/>
          <w:szCs w:val="28"/>
          <w:highlight w:val="none"/>
          <w:u w:val="single"/>
          <w:lang w:val="en-US" w:eastAsia="zh-CN"/>
        </w:rPr>
        <w:t>4000</w:t>
      </w:r>
      <w:r>
        <w:rPr>
          <w:rFonts w:hint="eastAsia" w:ascii="仿宋" w:hAnsi="仿宋" w:eastAsia="仿宋" w:cs="仿宋"/>
          <w:kern w:val="0"/>
          <w:sz w:val="28"/>
          <w:szCs w:val="28"/>
        </w:rPr>
        <w:t>吨。</w:t>
      </w:r>
      <w:r>
        <w:rPr>
          <w:rFonts w:hint="eastAsia" w:ascii="仿宋" w:hAnsi="仿宋" w:eastAsia="仿宋" w:cs="仿宋"/>
          <w:color w:val="000000"/>
          <w:kern w:val="0"/>
          <w:sz w:val="28"/>
          <w:szCs w:val="28"/>
          <w:lang w:val="en-US" w:eastAsia="zh-CN" w:bidi="ar"/>
        </w:rPr>
        <w:t>实际拉运数量视供方生产情况为准。</w:t>
      </w:r>
    </w:p>
    <w:p w14:paraId="34971270">
      <w:pPr>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1.2、供货时间：自</w:t>
      </w:r>
      <w:r>
        <w:rPr>
          <w:rFonts w:hint="eastAsia" w:ascii="仿宋" w:hAnsi="仿宋" w:eastAsia="仿宋" w:cs="仿宋"/>
          <w:b/>
          <w:bCs/>
          <w:kern w:val="0"/>
          <w:sz w:val="28"/>
          <w:szCs w:val="28"/>
          <w:u w:val="single"/>
          <w:lang w:val="en-US" w:eastAsia="zh-CN"/>
        </w:rPr>
        <w:t>合同签订之日</w:t>
      </w:r>
      <w:r>
        <w:rPr>
          <w:rFonts w:hint="eastAsia" w:ascii="仿宋" w:hAnsi="仿宋" w:eastAsia="仿宋" w:cs="仿宋"/>
          <w:kern w:val="0"/>
          <w:sz w:val="28"/>
          <w:szCs w:val="28"/>
          <w:lang w:val="en-US" w:eastAsia="zh-CN"/>
        </w:rPr>
        <w:t>起至</w:t>
      </w:r>
      <w:r>
        <w:rPr>
          <w:rFonts w:hint="eastAsia" w:ascii="仿宋" w:hAnsi="仿宋" w:eastAsia="仿宋" w:cs="仿宋"/>
          <w:b/>
          <w:bCs/>
          <w:kern w:val="0"/>
          <w:sz w:val="28"/>
          <w:szCs w:val="28"/>
          <w:u w:val="single"/>
          <w:lang w:val="en-US" w:eastAsia="zh-CN"/>
        </w:rPr>
        <w:t>2026年8月8日</w:t>
      </w:r>
      <w:r>
        <w:rPr>
          <w:rFonts w:hint="eastAsia" w:ascii="仿宋" w:hAnsi="仿宋" w:eastAsia="仿宋" w:cs="仿宋"/>
          <w:kern w:val="0"/>
          <w:sz w:val="28"/>
          <w:szCs w:val="28"/>
          <w:lang w:val="en-US" w:eastAsia="zh-CN"/>
        </w:rPr>
        <w:t>。</w:t>
      </w:r>
    </w:p>
    <w:p w14:paraId="16775785">
      <w:pPr>
        <w:ind w:firstLine="560" w:firstLineChars="200"/>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、交货方式</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val="en-US" w:eastAsia="zh-CN"/>
        </w:rPr>
        <w:t>需方自提，</w:t>
      </w:r>
      <w:r>
        <w:rPr>
          <w:rFonts w:hint="eastAsia" w:ascii="仿宋" w:hAnsi="仿宋" w:eastAsia="仿宋" w:cs="仿宋"/>
          <w:color w:val="000000"/>
          <w:kern w:val="0"/>
          <w:sz w:val="28"/>
          <w:szCs w:val="28"/>
          <w:lang w:val="en-US" w:eastAsia="zh-CN"/>
        </w:rPr>
        <w:t>在恩洪煤业选煤厂办理交割，以供方汽车衡过磅数量为结算数量。需方自行组织运输，双方在交货地点完成交货后，煤炭的所有权及损毁灭失风险同时转移给需方，运输过程中</w:t>
      </w:r>
      <w:r>
        <w:rPr>
          <w:rFonts w:hint="eastAsia" w:ascii="方正仿宋_GBK" w:hAnsi="方正仿宋_GBK" w:eastAsia="方正仿宋_GBK" w:cs="方正仿宋_GBK"/>
          <w:b w:val="0"/>
          <w:bCs w:val="0"/>
          <w:kern w:val="0"/>
          <w:sz w:val="28"/>
          <w:szCs w:val="28"/>
          <w:highlight w:val="none"/>
          <w:lang w:val="en-US" w:eastAsia="zh-CN"/>
        </w:rPr>
        <w:t>环保责任均由需方自行承担。</w:t>
      </w:r>
    </w:p>
    <w:p w14:paraId="58B0324F">
      <w:pPr>
        <w:spacing w:before="156" w:beforeLines="50" w:after="156" w:afterLines="50" w:line="360" w:lineRule="auto"/>
        <w:ind w:left="-141" w:leftChars="-67" w:firstLine="562" w:firstLineChars="200"/>
        <w:rPr>
          <w:rFonts w:hint="eastAsia" w:ascii="仿宋" w:hAnsi="仿宋" w:eastAsia="仿宋" w:cs="仿宋"/>
          <w:sz w:val="28"/>
          <w:szCs w:val="28"/>
        </w:rPr>
      </w:pPr>
      <w:r>
        <w:rPr>
          <w:rFonts w:hint="eastAsia" w:ascii="仿宋" w:hAnsi="仿宋" w:eastAsia="仿宋" w:cs="仿宋"/>
          <w:b/>
          <w:bCs/>
          <w:kern w:val="0"/>
          <w:sz w:val="28"/>
          <w:szCs w:val="28"/>
        </w:rPr>
        <w:t>2.购销品种、质量</w:t>
      </w:r>
    </w:p>
    <w:tbl>
      <w:tblPr>
        <w:tblStyle w:val="4"/>
        <w:tblW w:w="74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500"/>
        <w:gridCol w:w="1784"/>
        <w:gridCol w:w="1608"/>
        <w:gridCol w:w="1383"/>
      </w:tblGrid>
      <w:tr w14:paraId="45CE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198" w:type="dxa"/>
            <w:tcBorders>
              <w:top w:val="single" w:color="auto" w:sz="4" w:space="0"/>
              <w:left w:val="single" w:color="auto" w:sz="4" w:space="0"/>
            </w:tcBorders>
            <w:noWrap w:val="0"/>
            <w:vAlign w:val="center"/>
          </w:tcPr>
          <w:p w14:paraId="169C5039">
            <w:pPr>
              <w:pStyle w:val="6"/>
              <w:spacing w:line="3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煤种</w:t>
            </w:r>
          </w:p>
        </w:tc>
        <w:tc>
          <w:tcPr>
            <w:tcW w:w="1500" w:type="dxa"/>
            <w:tcBorders>
              <w:top w:val="single" w:color="auto" w:sz="4" w:space="0"/>
            </w:tcBorders>
            <w:noWrap w:val="0"/>
            <w:vAlign w:val="center"/>
          </w:tcPr>
          <w:p w14:paraId="5C9B5F5E">
            <w:pPr>
              <w:pStyle w:val="6"/>
              <w:spacing w:line="3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灰分(Ad)</w:t>
            </w:r>
          </w:p>
        </w:tc>
        <w:tc>
          <w:tcPr>
            <w:tcW w:w="1784" w:type="dxa"/>
            <w:tcBorders>
              <w:top w:val="single" w:color="auto" w:sz="4" w:space="0"/>
            </w:tcBorders>
            <w:noWrap w:val="0"/>
            <w:vAlign w:val="center"/>
          </w:tcPr>
          <w:p w14:paraId="4157EC24">
            <w:pPr>
              <w:pStyle w:val="6"/>
              <w:spacing w:line="3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计量水分 Mt</w:t>
            </w:r>
          </w:p>
        </w:tc>
        <w:tc>
          <w:tcPr>
            <w:tcW w:w="1608" w:type="dxa"/>
            <w:tcBorders>
              <w:top w:val="single" w:color="auto" w:sz="4" w:space="0"/>
            </w:tcBorders>
            <w:noWrap w:val="0"/>
            <w:vAlign w:val="center"/>
          </w:tcPr>
          <w:p w14:paraId="0A1241AE">
            <w:pPr>
              <w:pStyle w:val="6"/>
              <w:spacing w:line="3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煤源地</w:t>
            </w:r>
          </w:p>
        </w:tc>
        <w:tc>
          <w:tcPr>
            <w:tcW w:w="1383" w:type="dxa"/>
            <w:tcBorders>
              <w:top w:val="single" w:color="auto" w:sz="4" w:space="0"/>
            </w:tcBorders>
            <w:noWrap w:val="0"/>
            <w:vAlign w:val="center"/>
          </w:tcPr>
          <w:p w14:paraId="14E6794A">
            <w:pPr>
              <w:pStyle w:val="6"/>
              <w:spacing w:line="300" w:lineRule="exact"/>
              <w:ind w:left="0" w:leftChars="0" w:firstLine="0" w:firstLineChars="0"/>
              <w:jc w:val="center"/>
              <w:rPr>
                <w:rFonts w:hint="eastAsia" w:ascii="仿宋" w:hAnsi="仿宋" w:eastAsia="仿宋" w:cs="仿宋"/>
                <w:sz w:val="28"/>
                <w:szCs w:val="28"/>
              </w:rPr>
            </w:pPr>
            <w:r>
              <w:rPr>
                <w:rFonts w:hint="eastAsia" w:ascii="仿宋" w:hAnsi="仿宋" w:eastAsia="仿宋" w:cs="仿宋"/>
                <w:sz w:val="28"/>
                <w:szCs w:val="28"/>
              </w:rPr>
              <w:t>数量</w:t>
            </w:r>
          </w:p>
          <w:p w14:paraId="74704D3C">
            <w:pPr>
              <w:pStyle w:val="6"/>
              <w:spacing w:line="300" w:lineRule="exact"/>
              <w:ind w:firstLine="0" w:firstLineChars="0"/>
              <w:jc w:val="center"/>
              <w:rPr>
                <w:rFonts w:hint="eastAsia" w:ascii="仿宋" w:hAnsi="仿宋" w:eastAsia="仿宋" w:cs="仿宋"/>
                <w:sz w:val="28"/>
                <w:szCs w:val="28"/>
              </w:rPr>
            </w:pPr>
            <w:r>
              <w:rPr>
                <w:rFonts w:hint="eastAsia" w:ascii="仿宋" w:hAnsi="仿宋" w:eastAsia="仿宋" w:cs="仿宋"/>
                <w:sz w:val="28"/>
                <w:szCs w:val="28"/>
              </w:rPr>
              <w:t>（吨）</w:t>
            </w:r>
          </w:p>
        </w:tc>
      </w:tr>
      <w:tr w14:paraId="0E9F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1198" w:type="dxa"/>
            <w:tcBorders>
              <w:left w:val="single" w:color="auto" w:sz="4" w:space="0"/>
            </w:tcBorders>
            <w:noWrap w:val="0"/>
            <w:vAlign w:val="center"/>
          </w:tcPr>
          <w:p w14:paraId="11919E02">
            <w:pPr>
              <w:pStyle w:val="6"/>
              <w:spacing w:line="360" w:lineRule="auto"/>
              <w:ind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eastAsia="zh-CN"/>
              </w:rPr>
              <w:t>煤泥</w:t>
            </w:r>
          </w:p>
        </w:tc>
        <w:tc>
          <w:tcPr>
            <w:tcW w:w="1500" w:type="dxa"/>
            <w:noWrap w:val="0"/>
            <w:vAlign w:val="center"/>
          </w:tcPr>
          <w:p w14:paraId="5FEDF4AE">
            <w:pPr>
              <w:pStyle w:val="6"/>
              <w:spacing w:line="200" w:lineRule="atLeast"/>
              <w:ind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5%</w:t>
            </w:r>
          </w:p>
        </w:tc>
        <w:tc>
          <w:tcPr>
            <w:tcW w:w="1784" w:type="dxa"/>
            <w:noWrap w:val="0"/>
            <w:vAlign w:val="center"/>
          </w:tcPr>
          <w:p w14:paraId="2E9906B8">
            <w:pPr>
              <w:pStyle w:val="6"/>
              <w:spacing w:line="200" w:lineRule="atLeast"/>
              <w:ind w:firstLine="0" w:firstLineChars="0"/>
              <w:jc w:val="center"/>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25</w:t>
            </w:r>
            <w:r>
              <w:rPr>
                <w:rFonts w:hint="eastAsia" w:ascii="仿宋" w:hAnsi="仿宋" w:eastAsia="仿宋" w:cs="仿宋"/>
                <w:sz w:val="28"/>
                <w:szCs w:val="28"/>
              </w:rPr>
              <w:t>%</w:t>
            </w:r>
          </w:p>
        </w:tc>
        <w:tc>
          <w:tcPr>
            <w:tcW w:w="1608" w:type="dxa"/>
            <w:noWrap w:val="0"/>
            <w:vAlign w:val="center"/>
          </w:tcPr>
          <w:p w14:paraId="063FE673">
            <w:pPr>
              <w:pStyle w:val="6"/>
              <w:spacing w:line="200" w:lineRule="atLeast"/>
              <w:ind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eastAsia="zh-CN"/>
              </w:rPr>
              <w:t>河兴煤矿</w:t>
            </w:r>
          </w:p>
        </w:tc>
        <w:tc>
          <w:tcPr>
            <w:tcW w:w="1383" w:type="dxa"/>
            <w:noWrap w:val="0"/>
            <w:vAlign w:val="center"/>
          </w:tcPr>
          <w:p w14:paraId="0112A703">
            <w:pPr>
              <w:pStyle w:val="6"/>
              <w:spacing w:line="200" w:lineRule="atLeast"/>
              <w:ind w:firstLine="0" w:firstLineChars="0"/>
              <w:jc w:val="center"/>
              <w:rPr>
                <w:rFonts w:hint="default" w:ascii="仿宋" w:hAnsi="仿宋" w:eastAsia="仿宋" w:cs="仿宋"/>
                <w:sz w:val="28"/>
                <w:szCs w:val="28"/>
                <w:lang w:val="en-US"/>
              </w:rPr>
            </w:pPr>
            <w:r>
              <w:rPr>
                <w:rFonts w:hint="eastAsia" w:ascii="仿宋" w:hAnsi="仿宋" w:eastAsia="仿宋" w:cs="仿宋"/>
                <w:sz w:val="28"/>
                <w:szCs w:val="28"/>
                <w:lang w:val="en-US" w:eastAsia="zh-CN"/>
              </w:rPr>
              <w:t>4000</w:t>
            </w:r>
          </w:p>
        </w:tc>
      </w:tr>
    </w:tbl>
    <w:p w14:paraId="528AF5D3">
      <w:pPr>
        <w:tabs>
          <w:tab w:val="left" w:pos="567"/>
        </w:tabs>
        <w:spacing w:line="5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kern w:val="0"/>
          <w:sz w:val="28"/>
          <w:szCs w:val="28"/>
        </w:rPr>
        <w:t>2.1</w:t>
      </w:r>
      <w:r>
        <w:rPr>
          <w:rFonts w:hint="eastAsia" w:ascii="仿宋" w:hAnsi="仿宋" w:eastAsia="仿宋" w:cs="仿宋"/>
          <w:kern w:val="0"/>
          <w:sz w:val="28"/>
          <w:szCs w:val="28"/>
          <w:lang w:eastAsia="zh-CN"/>
        </w:rPr>
        <w:t>、</w:t>
      </w:r>
      <w:r>
        <w:rPr>
          <w:rFonts w:hint="eastAsia" w:ascii="仿宋" w:hAnsi="仿宋" w:eastAsia="仿宋" w:cs="仿宋"/>
          <w:sz w:val="28"/>
          <w:szCs w:val="28"/>
        </w:rPr>
        <w:t>灰分</w:t>
      </w:r>
      <w:r>
        <w:rPr>
          <w:rFonts w:hint="eastAsia" w:ascii="仿宋" w:hAnsi="仿宋" w:eastAsia="仿宋" w:cs="仿宋"/>
          <w:sz w:val="28"/>
          <w:szCs w:val="28"/>
          <w:lang w:val="en-US" w:eastAsia="zh-CN"/>
        </w:rPr>
        <w:t>＜</w:t>
      </w:r>
      <w:r>
        <w:rPr>
          <w:rFonts w:hint="eastAsia" w:ascii="仿宋" w:hAnsi="仿宋" w:eastAsia="仿宋" w:cs="仿宋"/>
          <w:sz w:val="28"/>
          <w:szCs w:val="28"/>
        </w:rPr>
        <w:t>65%时，每降低0.1%，加价0.1元/吨；</w:t>
      </w:r>
      <w:r>
        <w:rPr>
          <w:rFonts w:hint="eastAsia" w:ascii="仿宋" w:hAnsi="仿宋" w:eastAsia="仿宋" w:cs="仿宋"/>
          <w:sz w:val="28"/>
          <w:szCs w:val="28"/>
          <w:lang w:val="en-US" w:eastAsia="zh-CN"/>
        </w:rPr>
        <w:t>灰分≥6</w:t>
      </w:r>
      <w:r>
        <w:rPr>
          <w:rFonts w:hint="eastAsia" w:ascii="仿宋" w:hAnsi="仿宋" w:eastAsia="仿宋" w:cs="仿宋"/>
          <w:sz w:val="28"/>
          <w:szCs w:val="28"/>
        </w:rPr>
        <w:t>5</w:t>
      </w:r>
      <w:r>
        <w:rPr>
          <w:rFonts w:hint="eastAsia" w:ascii="仿宋" w:hAnsi="仿宋" w:eastAsia="仿宋" w:cs="仿宋"/>
          <w:sz w:val="28"/>
          <w:szCs w:val="28"/>
          <w:lang w:val="en-US" w:eastAsia="zh-CN"/>
        </w:rPr>
        <w:t>%不做考核。</w:t>
      </w:r>
    </w:p>
    <w:p w14:paraId="1D74D6A5">
      <w:pPr>
        <w:spacing w:line="6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2.2、水分</w:t>
      </w:r>
      <w:r>
        <w:rPr>
          <w:rFonts w:hint="eastAsia" w:ascii="仿宋" w:hAnsi="仿宋" w:eastAsia="仿宋" w:cs="仿宋"/>
          <w:sz w:val="28"/>
          <w:szCs w:val="28"/>
          <w:lang w:val="en-US" w:eastAsia="zh-CN"/>
        </w:rPr>
        <w:t>＞</w:t>
      </w:r>
      <w:r>
        <w:rPr>
          <w:rFonts w:hint="eastAsia" w:ascii="仿宋" w:hAnsi="仿宋" w:eastAsia="仿宋" w:cs="仿宋"/>
          <w:sz w:val="28"/>
          <w:szCs w:val="28"/>
        </w:rPr>
        <w:t>25%，按计量水分折算商品量，低水不补量。商品量按</w:t>
      </w:r>
      <w:r>
        <w:rPr>
          <w:rFonts w:hint="eastAsia" w:ascii="仿宋" w:hAnsi="仿宋" w:eastAsia="仿宋" w:cs="仿宋"/>
          <w:sz w:val="28"/>
          <w:szCs w:val="28"/>
          <w:lang w:val="en-US" w:eastAsia="zh-CN"/>
        </w:rPr>
        <w:t>公式</w:t>
      </w:r>
      <w:r>
        <w:rPr>
          <w:rFonts w:hint="eastAsia" w:ascii="仿宋" w:hAnsi="仿宋" w:eastAsia="仿宋" w:cs="仿宋"/>
          <w:sz w:val="28"/>
          <w:szCs w:val="28"/>
        </w:rPr>
        <w:t>计算:商品量=实际重量</w:t>
      </w:r>
      <w:r>
        <w:rPr>
          <w:rFonts w:hint="eastAsia" w:ascii="仿宋" w:hAnsi="仿宋" w:eastAsia="仿宋" w:cs="仿宋"/>
          <w:sz w:val="28"/>
          <w:szCs w:val="28"/>
          <w:lang w:val="en-US" w:eastAsia="zh-CN"/>
        </w:rPr>
        <w:t>×</w:t>
      </w:r>
      <w:r>
        <w:rPr>
          <w:rFonts w:hint="eastAsia" w:ascii="仿宋" w:hAnsi="仿宋" w:eastAsia="仿宋" w:cs="仿宋"/>
          <w:sz w:val="28"/>
          <w:szCs w:val="28"/>
        </w:rPr>
        <w:t>(1</w:t>
      </w:r>
      <w:r>
        <w:rPr>
          <w:rFonts w:hint="eastAsia" w:ascii="仿宋" w:hAnsi="仿宋" w:eastAsia="仿宋" w:cs="仿宋"/>
          <w:sz w:val="28"/>
          <w:szCs w:val="28"/>
          <w:lang w:val="en-US" w:eastAsia="zh-CN"/>
        </w:rPr>
        <w:t>00%</w:t>
      </w:r>
      <w:r>
        <w:rPr>
          <w:rFonts w:hint="eastAsia" w:ascii="仿宋" w:hAnsi="仿宋" w:eastAsia="仿宋" w:cs="仿宋"/>
          <w:sz w:val="28"/>
          <w:szCs w:val="28"/>
        </w:rPr>
        <w:t>-实际检测水分)/(100</w:t>
      </w:r>
      <w:r>
        <w:rPr>
          <w:rFonts w:hint="eastAsia" w:ascii="仿宋" w:hAnsi="仿宋" w:eastAsia="仿宋" w:cs="仿宋"/>
          <w:sz w:val="28"/>
          <w:szCs w:val="28"/>
          <w:lang w:val="en-US" w:eastAsia="zh-CN"/>
        </w:rPr>
        <w:t>%</w:t>
      </w:r>
      <w:r>
        <w:rPr>
          <w:rFonts w:hint="eastAsia" w:ascii="仿宋" w:hAnsi="仿宋" w:eastAsia="仿宋" w:cs="仿宋"/>
          <w:sz w:val="28"/>
          <w:szCs w:val="28"/>
        </w:rPr>
        <w:t>-25</w:t>
      </w:r>
      <w:r>
        <w:rPr>
          <w:rFonts w:hint="eastAsia" w:ascii="仿宋" w:hAnsi="仿宋" w:eastAsia="仿宋" w:cs="仿宋"/>
          <w:sz w:val="28"/>
          <w:szCs w:val="28"/>
          <w:lang w:val="en-US" w:eastAsia="zh-CN"/>
        </w:rPr>
        <w:t>%</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p>
    <w:p w14:paraId="02C853BC">
      <w:pPr>
        <w:spacing w:line="66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lang w:val="en-US" w:eastAsia="zh-CN"/>
        </w:rPr>
        <w:t>2.3、</w:t>
      </w:r>
      <w:r>
        <w:rPr>
          <w:rFonts w:hint="eastAsia" w:ascii="仿宋" w:hAnsi="仿宋" w:eastAsia="仿宋" w:cs="仿宋"/>
          <w:color w:val="000000"/>
          <w:kern w:val="0"/>
          <w:sz w:val="28"/>
          <w:szCs w:val="28"/>
        </w:rPr>
        <w:t>其它质量指标</w:t>
      </w:r>
      <w:r>
        <w:rPr>
          <w:rFonts w:hint="eastAsia" w:ascii="仿宋" w:hAnsi="仿宋" w:eastAsia="仿宋" w:cs="仿宋"/>
          <w:color w:val="000000"/>
          <w:kern w:val="0"/>
          <w:sz w:val="28"/>
          <w:szCs w:val="28"/>
          <w:lang w:val="en-US" w:eastAsia="zh-CN"/>
        </w:rPr>
        <w:t>不作考核</w:t>
      </w:r>
      <w:r>
        <w:rPr>
          <w:rFonts w:hint="eastAsia" w:ascii="仿宋" w:hAnsi="仿宋" w:eastAsia="仿宋" w:cs="仿宋"/>
          <w:color w:val="000000"/>
          <w:kern w:val="0"/>
          <w:sz w:val="28"/>
          <w:szCs w:val="28"/>
        </w:rPr>
        <w:t>。</w:t>
      </w:r>
      <w:bookmarkStart w:id="0" w:name="_GoBack"/>
      <w:bookmarkEnd w:id="0"/>
    </w:p>
    <w:p w14:paraId="6AB30206">
      <w:pPr>
        <w:spacing w:before="156" w:beforeLines="50" w:after="156" w:afterLines="50" w:line="360" w:lineRule="auto"/>
        <w:ind w:firstLine="562" w:firstLineChars="200"/>
        <w:rPr>
          <w:rFonts w:hint="eastAsia" w:ascii="仿宋" w:hAnsi="仿宋" w:eastAsia="仿宋" w:cs="仿宋"/>
          <w:b/>
          <w:bCs/>
          <w:kern w:val="0"/>
          <w:sz w:val="28"/>
          <w:szCs w:val="28"/>
        </w:rPr>
      </w:pPr>
      <w:r>
        <w:rPr>
          <w:rFonts w:hint="eastAsia" w:ascii="仿宋" w:hAnsi="仿宋" w:eastAsia="仿宋" w:cs="仿宋"/>
          <w:b/>
          <w:bCs/>
          <w:kern w:val="0"/>
          <w:sz w:val="28"/>
          <w:szCs w:val="28"/>
        </w:rPr>
        <w:t>3.购销价格</w:t>
      </w:r>
    </w:p>
    <w:p w14:paraId="07953455">
      <w:pPr>
        <w:spacing w:line="660" w:lineRule="exact"/>
        <w:ind w:firstLine="560" w:firstLineChars="200"/>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需方含税自提价：</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元/吨，不含税价自提价：</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元/吨，税额</w:t>
      </w:r>
      <w:r>
        <w:rPr>
          <w:rFonts w:hint="eastAsia" w:ascii="仿宋" w:hAnsi="仿宋" w:eastAsia="仿宋" w:cs="仿宋"/>
          <w:color w:val="000000"/>
          <w:kern w:val="0"/>
          <w:sz w:val="28"/>
          <w:szCs w:val="28"/>
          <w:u w:val="single"/>
          <w:lang w:val="en-US" w:eastAsia="zh-CN"/>
        </w:rPr>
        <w:t xml:space="preserve">         </w:t>
      </w:r>
      <w:r>
        <w:rPr>
          <w:rFonts w:hint="eastAsia" w:ascii="仿宋" w:hAnsi="仿宋" w:eastAsia="仿宋" w:cs="仿宋"/>
          <w:color w:val="000000"/>
          <w:kern w:val="0"/>
          <w:sz w:val="28"/>
          <w:szCs w:val="28"/>
          <w:lang w:val="en-US" w:eastAsia="zh-CN"/>
        </w:rPr>
        <w:t>元/吨。</w:t>
      </w:r>
    </w:p>
    <w:p w14:paraId="3D2E1A0F">
      <w:pPr>
        <w:spacing w:before="156" w:beforeLines="50" w:after="156" w:afterLines="50" w:line="360" w:lineRule="auto"/>
        <w:ind w:firstLine="562" w:firstLineChars="200"/>
        <w:rPr>
          <w:rFonts w:hint="eastAsia" w:ascii="仿宋" w:hAnsi="仿宋" w:eastAsia="仿宋" w:cs="仿宋"/>
          <w:b/>
          <w:bCs/>
          <w:kern w:val="0"/>
          <w:sz w:val="28"/>
          <w:szCs w:val="28"/>
        </w:rPr>
      </w:pPr>
      <w:r>
        <w:rPr>
          <w:rFonts w:hint="eastAsia" w:ascii="仿宋" w:hAnsi="仿宋" w:eastAsia="仿宋" w:cs="仿宋"/>
          <w:b/>
          <w:bCs/>
          <w:kern w:val="0"/>
          <w:sz w:val="28"/>
          <w:szCs w:val="28"/>
        </w:rPr>
        <w:t>4、质量检验及样品的采取、制备、化验办法：</w:t>
      </w:r>
    </w:p>
    <w:p w14:paraId="1ABCBF50">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4.1、产品质量以</w:t>
      </w:r>
      <w:r>
        <w:rPr>
          <w:rFonts w:hint="eastAsia" w:ascii="仿宋" w:hAnsi="仿宋" w:eastAsia="仿宋" w:cs="仿宋"/>
          <w:sz w:val="28"/>
          <w:szCs w:val="28"/>
          <w:lang w:val="en-US" w:eastAsia="zh-CN"/>
        </w:rPr>
        <w:t>供方</w:t>
      </w:r>
      <w:r>
        <w:rPr>
          <w:rFonts w:hint="eastAsia" w:ascii="仿宋" w:hAnsi="仿宋" w:eastAsia="仿宋" w:cs="仿宋"/>
          <w:kern w:val="0"/>
          <w:sz w:val="28"/>
          <w:szCs w:val="28"/>
        </w:rPr>
        <w:t>化验数据为验收标准。</w:t>
      </w:r>
      <w:r>
        <w:rPr>
          <w:rFonts w:hint="eastAsia" w:ascii="仿宋" w:hAnsi="仿宋" w:eastAsia="仿宋" w:cs="仿宋"/>
          <w:kern w:val="0"/>
          <w:sz w:val="28"/>
          <w:szCs w:val="28"/>
          <w:lang w:val="en-US" w:eastAsia="zh-CN"/>
        </w:rPr>
        <w:t>每车采样，</w:t>
      </w:r>
      <w:r>
        <w:rPr>
          <w:rFonts w:hint="eastAsia" w:ascii="仿宋" w:hAnsi="仿宋" w:eastAsia="仿宋" w:cs="仿宋"/>
          <w:kern w:val="0"/>
          <w:sz w:val="28"/>
          <w:szCs w:val="28"/>
        </w:rPr>
        <w:t>煤样保留7天。供需双方对煤样或化验结果发生异议时可复检。</w:t>
      </w:r>
    </w:p>
    <w:p w14:paraId="084BD8D9">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4.2、</w:t>
      </w:r>
      <w:r>
        <w:rPr>
          <w:rFonts w:hint="eastAsia" w:ascii="仿宋" w:hAnsi="仿宋" w:eastAsia="仿宋" w:cs="仿宋"/>
          <w:sz w:val="28"/>
          <w:szCs w:val="28"/>
          <w:lang w:val="en-US" w:eastAsia="zh-CN"/>
        </w:rPr>
        <w:t>供方</w:t>
      </w:r>
      <w:r>
        <w:rPr>
          <w:rFonts w:hint="eastAsia" w:ascii="仿宋" w:hAnsi="仿宋" w:eastAsia="仿宋" w:cs="仿宋"/>
          <w:kern w:val="0"/>
          <w:sz w:val="28"/>
          <w:szCs w:val="28"/>
        </w:rPr>
        <w:t>按商品煤国家标准检验发货产品：</w:t>
      </w:r>
    </w:p>
    <w:p w14:paraId="07402289">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4.2.1、采样标准：GB475-2008商品煤的人工采取办法</w:t>
      </w:r>
    </w:p>
    <w:p w14:paraId="3780EA0F">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4.2.2、制样标准：GB474-2008煤样的制备方法</w:t>
      </w:r>
    </w:p>
    <w:p w14:paraId="133D8ADC">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4.2.3、水分检测按GB/T-211-2007</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检验结果作为结算依据，检验标准若有变化，则按新的国家标准执行。</w:t>
      </w:r>
    </w:p>
    <w:p w14:paraId="675F0C55">
      <w:pPr>
        <w:spacing w:line="66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4.</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w:t>
      </w:r>
      <w:r>
        <w:rPr>
          <w:rFonts w:hint="eastAsia" w:ascii="仿宋" w:hAnsi="仿宋" w:eastAsia="仿宋" w:cs="仿宋"/>
          <w:sz w:val="28"/>
          <w:szCs w:val="28"/>
        </w:rPr>
        <w:t>产品数、质量以</w:t>
      </w:r>
      <w:r>
        <w:rPr>
          <w:rFonts w:hint="eastAsia" w:ascii="仿宋" w:hAnsi="仿宋" w:eastAsia="仿宋" w:cs="仿宋"/>
          <w:sz w:val="28"/>
          <w:szCs w:val="28"/>
          <w:lang w:val="en-US" w:eastAsia="zh-CN"/>
        </w:rPr>
        <w:t>供方恩洪煤业选煤厂</w:t>
      </w:r>
      <w:r>
        <w:rPr>
          <w:rFonts w:hint="eastAsia" w:ascii="仿宋" w:hAnsi="仿宋" w:eastAsia="仿宋" w:cs="仿宋"/>
          <w:sz w:val="28"/>
          <w:szCs w:val="28"/>
        </w:rPr>
        <w:t>过磅数据和化验指标为结算依据，整批次加权平均结算。</w:t>
      </w:r>
    </w:p>
    <w:p w14:paraId="7EA3CB83">
      <w:pPr>
        <w:spacing w:before="156" w:beforeLines="50" w:after="156" w:afterLines="50" w:line="400" w:lineRule="exact"/>
        <w:ind w:left="516" w:leftChars="199" w:hanging="98" w:hangingChars="35"/>
        <w:rPr>
          <w:rFonts w:hint="eastAsia" w:ascii="仿宋" w:hAnsi="仿宋" w:eastAsia="仿宋" w:cs="仿宋"/>
          <w:b/>
          <w:bCs/>
          <w:kern w:val="0"/>
          <w:sz w:val="28"/>
          <w:szCs w:val="28"/>
        </w:rPr>
      </w:pPr>
      <w:r>
        <w:rPr>
          <w:rFonts w:hint="eastAsia" w:ascii="仿宋" w:hAnsi="仿宋" w:eastAsia="仿宋" w:cs="仿宋"/>
          <w:b/>
          <w:bCs/>
          <w:kern w:val="0"/>
          <w:sz w:val="28"/>
          <w:szCs w:val="28"/>
        </w:rPr>
        <w:t>5、质量争议的处理：</w:t>
      </w:r>
    </w:p>
    <w:p w14:paraId="7944AD83">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5.1</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val="en-US" w:eastAsia="zh-CN"/>
        </w:rPr>
        <w:t>水分指标，不参与复检或仲裁。</w:t>
      </w:r>
    </w:p>
    <w:p w14:paraId="00EE99AD">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、若需方对</w:t>
      </w:r>
      <w:r>
        <w:rPr>
          <w:rFonts w:hint="eastAsia" w:ascii="仿宋" w:hAnsi="仿宋" w:eastAsia="仿宋" w:cs="仿宋"/>
          <w:sz w:val="28"/>
          <w:szCs w:val="28"/>
          <w:lang w:val="en-US" w:eastAsia="zh-CN"/>
        </w:rPr>
        <w:t>供方</w:t>
      </w:r>
      <w:r>
        <w:rPr>
          <w:rFonts w:hint="eastAsia" w:ascii="仿宋" w:hAnsi="仿宋" w:eastAsia="仿宋" w:cs="仿宋"/>
          <w:kern w:val="0"/>
          <w:sz w:val="28"/>
          <w:szCs w:val="28"/>
        </w:rPr>
        <w:t>质量检验结果产生异议，应在收到供方提供的检验数据48小时内向供方提出。</w:t>
      </w:r>
    </w:p>
    <w:p w14:paraId="4CC33154">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、协商后，供方同意复检的，按双方协商的结果作为结算依据。</w:t>
      </w:r>
    </w:p>
    <w:p w14:paraId="18515499">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、不同意复检要求仲裁的，需经供需双方一致同意。</w:t>
      </w:r>
    </w:p>
    <w:p w14:paraId="0F7E545C">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.1、仲裁结果误差超出国家标准允许范围的，以仲裁结果作为结算依据。</w:t>
      </w:r>
    </w:p>
    <w:p w14:paraId="750BCCDF">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4</w:t>
      </w:r>
      <w:r>
        <w:rPr>
          <w:rFonts w:hint="eastAsia" w:ascii="仿宋" w:hAnsi="仿宋" w:eastAsia="仿宋" w:cs="仿宋"/>
          <w:kern w:val="0"/>
          <w:sz w:val="28"/>
          <w:szCs w:val="28"/>
        </w:rPr>
        <w:t>.2、仲裁结果误差在国家标准允许范围内的，以</w:t>
      </w:r>
      <w:r>
        <w:rPr>
          <w:rFonts w:hint="eastAsia" w:ascii="仿宋" w:hAnsi="仿宋" w:eastAsia="仿宋" w:cs="仿宋"/>
          <w:sz w:val="28"/>
          <w:szCs w:val="28"/>
          <w:lang w:val="en-US" w:eastAsia="zh-CN"/>
        </w:rPr>
        <w:t>恩洪煤业</w:t>
      </w:r>
      <w:r>
        <w:rPr>
          <w:rFonts w:hint="eastAsia" w:ascii="仿宋" w:hAnsi="仿宋" w:eastAsia="仿宋" w:cs="仿宋"/>
          <w:kern w:val="0"/>
          <w:sz w:val="28"/>
          <w:szCs w:val="28"/>
        </w:rPr>
        <w:t>质量检验结果作为结算依据。</w:t>
      </w:r>
    </w:p>
    <w:p w14:paraId="3F335C72">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w:t>
      </w:r>
      <w:r>
        <w:rPr>
          <w:rFonts w:hint="eastAsia" w:ascii="仿宋" w:hAnsi="仿宋" w:eastAsia="仿宋" w:cs="仿宋"/>
          <w:kern w:val="0"/>
          <w:sz w:val="28"/>
          <w:szCs w:val="28"/>
          <w:lang w:val="en-US" w:eastAsia="zh-CN"/>
        </w:rPr>
        <w:t>5</w:t>
      </w:r>
      <w:r>
        <w:rPr>
          <w:rFonts w:hint="eastAsia" w:ascii="仿宋" w:hAnsi="仿宋" w:eastAsia="仿宋" w:cs="仿宋"/>
          <w:kern w:val="0"/>
          <w:sz w:val="28"/>
          <w:szCs w:val="28"/>
        </w:rPr>
        <w:t>、</w:t>
      </w:r>
      <w:r>
        <w:rPr>
          <w:rFonts w:hint="eastAsia" w:ascii="仿宋" w:hAnsi="仿宋" w:eastAsia="仿宋" w:cs="仿宋"/>
          <w:kern w:val="0"/>
          <w:sz w:val="28"/>
          <w:szCs w:val="28"/>
          <w:lang w:val="en-US" w:eastAsia="zh-CN"/>
        </w:rPr>
        <w:t>需</w:t>
      </w:r>
      <w:r>
        <w:rPr>
          <w:rFonts w:hint="eastAsia" w:ascii="仿宋" w:hAnsi="仿宋" w:eastAsia="仿宋" w:cs="仿宋"/>
          <w:kern w:val="0"/>
          <w:sz w:val="28"/>
          <w:szCs w:val="28"/>
        </w:rPr>
        <w:t>方对</w:t>
      </w:r>
      <w:r>
        <w:rPr>
          <w:rFonts w:hint="eastAsia" w:ascii="仿宋" w:hAnsi="仿宋" w:eastAsia="仿宋" w:cs="仿宋"/>
          <w:kern w:val="0"/>
          <w:sz w:val="28"/>
          <w:szCs w:val="28"/>
          <w:lang w:eastAsia="zh-CN"/>
        </w:rPr>
        <w:t>供</w:t>
      </w:r>
      <w:r>
        <w:rPr>
          <w:rFonts w:hint="eastAsia" w:ascii="仿宋" w:hAnsi="仿宋" w:eastAsia="仿宋" w:cs="仿宋"/>
          <w:kern w:val="0"/>
          <w:sz w:val="28"/>
          <w:szCs w:val="28"/>
        </w:rPr>
        <w:t>方的质量检验结果逾期未提出异议的，视为认可</w:t>
      </w:r>
      <w:r>
        <w:rPr>
          <w:rFonts w:hint="eastAsia" w:ascii="仿宋" w:hAnsi="仿宋" w:eastAsia="仿宋" w:cs="仿宋"/>
          <w:sz w:val="28"/>
          <w:szCs w:val="28"/>
          <w:lang w:val="en-US" w:eastAsia="zh-CN"/>
        </w:rPr>
        <w:t>恩洪煤业</w:t>
      </w:r>
      <w:r>
        <w:rPr>
          <w:rFonts w:hint="eastAsia" w:ascii="仿宋" w:hAnsi="仿宋" w:eastAsia="仿宋" w:cs="仿宋"/>
          <w:kern w:val="0"/>
          <w:sz w:val="28"/>
          <w:szCs w:val="28"/>
        </w:rPr>
        <w:t>的检验结果。</w:t>
      </w:r>
    </w:p>
    <w:p w14:paraId="03FF891F">
      <w:pPr>
        <w:spacing w:before="156" w:beforeLines="50" w:after="156" w:afterLines="50" w:line="400" w:lineRule="exact"/>
        <w:ind w:left="516" w:leftChars="199" w:hanging="98" w:hangingChars="35"/>
        <w:rPr>
          <w:rFonts w:hint="eastAsia" w:ascii="仿宋" w:hAnsi="仿宋" w:eastAsia="仿宋" w:cs="仿宋"/>
          <w:b/>
          <w:bCs/>
          <w:kern w:val="0"/>
          <w:sz w:val="28"/>
          <w:szCs w:val="28"/>
        </w:rPr>
      </w:pPr>
      <w:r>
        <w:rPr>
          <w:rFonts w:hint="eastAsia" w:ascii="仿宋" w:hAnsi="仿宋" w:eastAsia="仿宋" w:cs="仿宋"/>
          <w:b/>
          <w:bCs/>
          <w:kern w:val="0"/>
          <w:sz w:val="28"/>
          <w:szCs w:val="28"/>
        </w:rPr>
        <w:t>6、付款及结算方式</w:t>
      </w:r>
    </w:p>
    <w:p w14:paraId="1DE7A08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6.1、</w:t>
      </w:r>
      <w:r>
        <w:rPr>
          <w:rFonts w:hint="eastAsia" w:ascii="仿宋" w:hAnsi="仿宋" w:eastAsia="仿宋" w:cs="仿宋"/>
          <w:kern w:val="0"/>
          <w:sz w:val="28"/>
          <w:szCs w:val="28"/>
          <w:lang w:val="en-US" w:eastAsia="zh-CN"/>
        </w:rPr>
        <w:t>先款后货</w:t>
      </w:r>
      <w:r>
        <w:rPr>
          <w:rFonts w:hint="eastAsia" w:ascii="仿宋" w:hAnsi="仿宋" w:eastAsia="仿宋" w:cs="仿宋"/>
          <w:kern w:val="0"/>
          <w:sz w:val="28"/>
          <w:szCs w:val="28"/>
        </w:rPr>
        <w:t>，需方采用现金支付。</w:t>
      </w:r>
    </w:p>
    <w:p w14:paraId="0824600D">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kern w:val="0"/>
          <w:sz w:val="28"/>
          <w:szCs w:val="28"/>
        </w:rPr>
      </w:pPr>
      <w:r>
        <w:rPr>
          <w:rFonts w:hint="eastAsia" w:ascii="仿宋" w:hAnsi="仿宋" w:eastAsia="仿宋" w:cs="仿宋"/>
          <w:b w:val="0"/>
          <w:bCs w:val="0"/>
          <w:kern w:val="0"/>
          <w:sz w:val="28"/>
          <w:szCs w:val="28"/>
          <w:highlight w:val="none"/>
          <w:lang w:val="en-US" w:eastAsia="zh-CN"/>
        </w:rPr>
        <w:t>6.2、需方需在办理提货手续当日向供方指定账户根据合同签订总金额一次性支付全额货款（见本合同第7条）。</w:t>
      </w:r>
    </w:p>
    <w:p w14:paraId="75AF05E2">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6.</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rPr>
        <w:t>、结算以元(人民币)为单位，小数点后保留两位。数量以吨为计量单位，保留小数点后两位。</w:t>
      </w:r>
    </w:p>
    <w:p w14:paraId="68B22401">
      <w:pPr>
        <w:spacing w:before="156" w:beforeLines="50" w:after="156" w:afterLines="50" w:line="400" w:lineRule="exact"/>
        <w:ind w:left="516" w:leftChars="199" w:hanging="98" w:hangingChars="35"/>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7、履约保证金</w:t>
      </w:r>
    </w:p>
    <w:p w14:paraId="4674DB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7.1、需方应于合同签订前3个工作日内，向供方指定账户交纳</w:t>
      </w:r>
      <w:r>
        <w:rPr>
          <w:rFonts w:hint="eastAsia" w:ascii="仿宋" w:hAnsi="仿宋" w:eastAsia="仿宋" w:cs="仿宋"/>
          <w:kern w:val="0"/>
          <w:sz w:val="28"/>
          <w:szCs w:val="28"/>
          <w:u w:val="single"/>
          <w:lang w:val="en-US" w:eastAsia="zh-CN"/>
        </w:rPr>
        <w:t>20000</w:t>
      </w:r>
      <w:r>
        <w:rPr>
          <w:rFonts w:hint="eastAsia" w:ascii="仿宋" w:hAnsi="仿宋" w:eastAsia="仿宋" w:cs="仿宋"/>
          <w:kern w:val="0"/>
          <w:sz w:val="28"/>
          <w:szCs w:val="28"/>
          <w:lang w:val="en-US" w:eastAsia="zh-CN"/>
        </w:rPr>
        <w:t>元作为本合同履约保证金（或由竞拍保证金转为履约保证金），需方在缴纳履约保证金时需备注：恒鼎煤泥履约金。</w:t>
      </w:r>
    </w:p>
    <w:p w14:paraId="1246DD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7.2、因需方原因未在约定时间内完成煤炭拉运的(因供方原因造成的情况除外)，供方按合同约定数量未完成煤炭拉运量比例扣除需方履约保证金。  </w:t>
      </w:r>
    </w:p>
    <w:p w14:paraId="6FB892B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供方指定账户：</w:t>
      </w:r>
    </w:p>
    <w:p w14:paraId="37649D6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账 户 名：云南省煤炭交易（储配）中心有限公司</w:t>
      </w:r>
    </w:p>
    <w:p w14:paraId="27B023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开 户 行：招商银行昆明分行兴科路支行</w:t>
      </w:r>
    </w:p>
    <w:p w14:paraId="29EB48C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开户账号：871908612110806</w:t>
      </w:r>
    </w:p>
    <w:p w14:paraId="270E223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b w:val="0"/>
          <w:bCs w:val="0"/>
          <w:kern w:val="0"/>
          <w:sz w:val="28"/>
          <w:szCs w:val="28"/>
          <w:highlight w:val="none"/>
          <w:lang w:val="en-US" w:eastAsia="zh-CN"/>
        </w:rPr>
        <w:t>行    号：308731021163</w:t>
      </w:r>
    </w:p>
    <w:p w14:paraId="68A8A22F">
      <w:pPr>
        <w:spacing w:before="156" w:beforeLines="50" w:after="156" w:afterLines="50" w:line="400" w:lineRule="exact"/>
        <w:ind w:left="516" w:leftChars="199" w:hanging="98" w:hangingChars="35"/>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8、约定事项：</w:t>
      </w:r>
    </w:p>
    <w:p w14:paraId="5BA832F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8.1、供方有权对需方及入坑提货车辆进行现场管理，需方应积极配合，对违反供方管理规定的，所造成的一切后果由需方承担。</w:t>
      </w:r>
    </w:p>
    <w:p w14:paraId="46AE14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8.2、需方应根据供方的生产计划合理调整购煤计划，便于供方安排生产计划。</w:t>
      </w:r>
    </w:p>
    <w:p w14:paraId="56901D1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8.3、本合同签章页中的经办人为各自履行本合同的指定联络人，负责合同履行过程中的沟通、指令传达、文件签收及事务对接等事宜。任何一方如需变更联络人信息，应提前3日以书面形式（加盖公章）通知对方，变更信息自对方收到通知之日起生效；未履行通知义务擅自变更的，由此产生的沟通延误、指令失效等全部责任由变更方自行承担。</w:t>
      </w:r>
    </w:p>
    <w:p w14:paraId="5BF71046">
      <w:pPr>
        <w:spacing w:before="156" w:beforeLines="50" w:after="156" w:afterLines="50" w:line="400" w:lineRule="exact"/>
        <w:ind w:left="516" w:leftChars="199" w:hanging="98" w:hangingChars="35"/>
        <w:rPr>
          <w:rFonts w:hint="eastAsia" w:ascii="仿宋" w:hAnsi="仿宋" w:eastAsia="仿宋" w:cs="仿宋"/>
          <w:b/>
          <w:bCs/>
          <w:kern w:val="0"/>
          <w:sz w:val="28"/>
          <w:szCs w:val="28"/>
        </w:rPr>
      </w:pPr>
      <w:r>
        <w:rPr>
          <w:rFonts w:hint="eastAsia" w:ascii="仿宋" w:hAnsi="仿宋" w:eastAsia="仿宋" w:cs="仿宋"/>
          <w:b/>
          <w:bCs/>
          <w:kern w:val="0"/>
          <w:sz w:val="28"/>
          <w:szCs w:val="28"/>
          <w:lang w:val="en-US" w:eastAsia="zh-CN"/>
        </w:rPr>
        <w:t>9</w:t>
      </w:r>
      <w:r>
        <w:rPr>
          <w:rFonts w:hint="eastAsia" w:ascii="仿宋" w:hAnsi="仿宋" w:eastAsia="仿宋" w:cs="仿宋"/>
          <w:b/>
          <w:bCs/>
          <w:kern w:val="0"/>
          <w:sz w:val="28"/>
          <w:szCs w:val="28"/>
        </w:rPr>
        <w:t>、违约责任：</w:t>
      </w:r>
    </w:p>
    <w:p w14:paraId="4EFA821E">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9.1、</w:t>
      </w:r>
      <w:r>
        <w:rPr>
          <w:rFonts w:hint="eastAsia" w:ascii="仿宋" w:hAnsi="仿宋" w:eastAsia="仿宋" w:cs="仿宋"/>
          <w:kern w:val="0"/>
          <w:sz w:val="28"/>
          <w:szCs w:val="28"/>
        </w:rPr>
        <w:t>在合同执行过程中，若发生违约行为，由违约方承担给非违约方造成的实际损失。</w:t>
      </w:r>
    </w:p>
    <w:p w14:paraId="30206A8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9.2、</w:t>
      </w:r>
      <w:r>
        <w:rPr>
          <w:rFonts w:hint="eastAsia" w:ascii="仿宋" w:hAnsi="仿宋" w:eastAsia="仿宋" w:cs="仿宋"/>
          <w:b w:val="0"/>
          <w:bCs w:val="0"/>
          <w:color w:val="000000" w:themeColor="text1"/>
          <w:kern w:val="0"/>
          <w:sz w:val="28"/>
          <w:szCs w:val="28"/>
          <w:highlight w:val="none"/>
          <w:lang w:val="en-US" w:eastAsia="zh-CN"/>
          <w14:textFill>
            <w14:solidFill>
              <w14:schemeClr w14:val="tx1"/>
            </w14:solidFill>
          </w14:textFill>
        </w:rPr>
        <w:t>由于供方安全生产检查停产等原因造成未能按时交付的，可经供需双方协商时间顺延，不视为供方违约。如在供、需双方履行合同期间及区域内因发生不可抗力因素，如战争、自然灾害、运输中断、重大安全生产事故、政策变化等，使合同无法正常履行，供、需双方是否延期履行、部分履行或取消履行本合同，可经供需双方协商，不视为任何一方违约。</w:t>
      </w:r>
    </w:p>
    <w:p w14:paraId="38B2F8A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9</w:t>
      </w:r>
      <w:r>
        <w:rPr>
          <w:rFonts w:hint="default" w:ascii="仿宋" w:hAnsi="仿宋" w:eastAsia="仿宋" w:cs="仿宋"/>
          <w:kern w:val="0"/>
          <w:sz w:val="28"/>
          <w:szCs w:val="28"/>
          <w:lang w:val="en-US" w:eastAsia="zh-CN"/>
        </w:rPr>
        <w:t>.</w:t>
      </w:r>
      <w:r>
        <w:rPr>
          <w:rFonts w:hint="eastAsia" w:ascii="仿宋" w:hAnsi="仿宋" w:eastAsia="仿宋" w:cs="仿宋"/>
          <w:kern w:val="0"/>
          <w:sz w:val="28"/>
          <w:szCs w:val="28"/>
          <w:lang w:val="en-US" w:eastAsia="zh-CN"/>
        </w:rPr>
        <w:t>3</w:t>
      </w:r>
      <w:r>
        <w:rPr>
          <w:rFonts w:hint="default" w:ascii="仿宋" w:hAnsi="仿宋" w:eastAsia="仿宋" w:cs="仿宋"/>
          <w:kern w:val="0"/>
          <w:sz w:val="28"/>
          <w:szCs w:val="28"/>
          <w:lang w:val="en-US" w:eastAsia="zh-CN"/>
        </w:rPr>
        <w:t>、需方需满足煤泥处置的相关环保要求，且有固定的货场，储煤场，避免发生环保风险。</w:t>
      </w:r>
    </w:p>
    <w:p w14:paraId="3678A87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b/>
          <w:bCs/>
          <w:kern w:val="0"/>
          <w:sz w:val="28"/>
          <w:szCs w:val="28"/>
        </w:rPr>
      </w:pPr>
      <w:r>
        <w:rPr>
          <w:rFonts w:hint="eastAsia" w:ascii="仿宋" w:hAnsi="仿宋" w:eastAsia="仿宋" w:cs="仿宋"/>
          <w:kern w:val="0"/>
          <w:sz w:val="28"/>
          <w:szCs w:val="28"/>
          <w:lang w:val="en-US" w:eastAsia="zh-CN"/>
        </w:rPr>
        <w:t>9</w:t>
      </w:r>
      <w:r>
        <w:rPr>
          <w:rFonts w:hint="default" w:ascii="仿宋" w:hAnsi="仿宋" w:eastAsia="仿宋" w:cs="仿宋"/>
          <w:kern w:val="0"/>
          <w:sz w:val="28"/>
          <w:szCs w:val="28"/>
          <w:lang w:val="en-US" w:eastAsia="zh-CN"/>
        </w:rPr>
        <w:t>.</w:t>
      </w:r>
      <w:r>
        <w:rPr>
          <w:rFonts w:hint="eastAsia" w:ascii="仿宋" w:hAnsi="仿宋" w:eastAsia="仿宋" w:cs="仿宋"/>
          <w:kern w:val="0"/>
          <w:sz w:val="28"/>
          <w:szCs w:val="28"/>
          <w:lang w:val="en-US" w:eastAsia="zh-CN"/>
        </w:rPr>
        <w:t>4</w:t>
      </w:r>
      <w:r>
        <w:rPr>
          <w:rFonts w:hint="default" w:ascii="仿宋" w:hAnsi="仿宋" w:eastAsia="仿宋" w:cs="仿宋"/>
          <w:kern w:val="0"/>
          <w:sz w:val="28"/>
          <w:szCs w:val="28"/>
          <w:lang w:val="en-US" w:eastAsia="zh-CN"/>
        </w:rPr>
        <w:t>、需方在煤泥运输、储存、加工等过程中所发生的一切安全、环保责任均由需方自己行承担。</w:t>
      </w:r>
    </w:p>
    <w:p w14:paraId="501EC7C6">
      <w:pPr>
        <w:spacing w:before="156" w:beforeLines="50" w:after="156" w:afterLines="50" w:line="400" w:lineRule="exact"/>
        <w:ind w:left="516" w:leftChars="199" w:hanging="98" w:hangingChars="35"/>
        <w:rPr>
          <w:rFonts w:hint="eastAsia" w:ascii="仿宋" w:hAnsi="仿宋" w:eastAsia="仿宋" w:cs="仿宋"/>
          <w:sz w:val="28"/>
          <w:szCs w:val="28"/>
        </w:rPr>
      </w:pPr>
      <w:r>
        <w:rPr>
          <w:rFonts w:hint="eastAsia" w:ascii="仿宋" w:hAnsi="仿宋" w:eastAsia="仿宋" w:cs="仿宋"/>
          <w:b/>
          <w:bCs/>
          <w:kern w:val="0"/>
          <w:sz w:val="28"/>
          <w:szCs w:val="28"/>
          <w:lang w:val="en-US" w:eastAsia="zh-CN"/>
        </w:rPr>
        <w:t>10</w:t>
      </w:r>
      <w:r>
        <w:rPr>
          <w:rFonts w:hint="eastAsia" w:ascii="仿宋" w:hAnsi="仿宋" w:eastAsia="仿宋" w:cs="仿宋"/>
          <w:b/>
          <w:bCs/>
          <w:kern w:val="0"/>
          <w:sz w:val="28"/>
          <w:szCs w:val="28"/>
        </w:rPr>
        <w:t>、解决合同纠纷的方式：</w:t>
      </w:r>
    </w:p>
    <w:p w14:paraId="1F77A7CC">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10</w:t>
      </w:r>
      <w:r>
        <w:rPr>
          <w:rFonts w:hint="eastAsia" w:ascii="仿宋" w:hAnsi="仿宋" w:eastAsia="仿宋" w:cs="仿宋"/>
          <w:kern w:val="0"/>
          <w:sz w:val="28"/>
          <w:szCs w:val="28"/>
        </w:rPr>
        <w:t>.1、</w:t>
      </w:r>
      <w:r>
        <w:rPr>
          <w:rFonts w:hint="eastAsia" w:ascii="仿宋" w:hAnsi="仿宋" w:eastAsia="仿宋" w:cs="仿宋"/>
          <w:kern w:val="0"/>
          <w:sz w:val="28"/>
          <w:szCs w:val="28"/>
          <w:lang w:val="en-US" w:eastAsia="zh-CN"/>
        </w:rPr>
        <w:t>本合同在履行过程中发生争议，双方应协商解决，协商不成的，任何一方均有权向云南省煤炭交易（储配）中心有限公司注册地有管辖权的人民法院（即曲靖市沾益区人民法院）提起诉讼。</w:t>
      </w:r>
    </w:p>
    <w:p w14:paraId="5A210F11">
      <w:pPr>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10</w:t>
      </w:r>
      <w:r>
        <w:rPr>
          <w:rFonts w:hint="eastAsia" w:ascii="仿宋" w:hAnsi="仿宋" w:eastAsia="仿宋" w:cs="仿宋"/>
          <w:kern w:val="0"/>
          <w:sz w:val="28"/>
          <w:szCs w:val="28"/>
        </w:rPr>
        <w:t>.2、违约方应赔偿守约方为追究其违约责任而支出的费用，包括但不限于诉讼费用、律师费用、差旅费用、担保费用、保全费用等。</w:t>
      </w:r>
    </w:p>
    <w:p w14:paraId="31E5B64C">
      <w:pPr>
        <w:spacing w:before="156" w:beforeLines="50" w:after="156" w:afterLines="50" w:line="400" w:lineRule="exact"/>
        <w:ind w:left="516" w:leftChars="199" w:hanging="98" w:hangingChars="35"/>
        <w:rPr>
          <w:rFonts w:hint="eastAsia" w:ascii="仿宋" w:hAnsi="仿宋" w:eastAsia="仿宋" w:cs="仿宋"/>
          <w:kern w:val="0"/>
          <w:sz w:val="28"/>
          <w:szCs w:val="28"/>
        </w:rPr>
      </w:pPr>
      <w:r>
        <w:rPr>
          <w:rFonts w:hint="eastAsia" w:ascii="仿宋" w:hAnsi="仿宋" w:eastAsia="仿宋" w:cs="仿宋"/>
          <w:b/>
          <w:bCs/>
          <w:kern w:val="0"/>
          <w:sz w:val="28"/>
          <w:szCs w:val="28"/>
        </w:rPr>
        <w:t>1</w:t>
      </w:r>
      <w:r>
        <w:rPr>
          <w:rFonts w:hint="eastAsia" w:ascii="仿宋" w:hAnsi="仿宋" w:eastAsia="仿宋" w:cs="仿宋"/>
          <w:b/>
          <w:bCs/>
          <w:kern w:val="0"/>
          <w:sz w:val="28"/>
          <w:szCs w:val="28"/>
          <w:lang w:val="en-US" w:eastAsia="zh-CN"/>
        </w:rPr>
        <w:t>1</w:t>
      </w:r>
      <w:r>
        <w:rPr>
          <w:rFonts w:hint="eastAsia" w:ascii="仿宋" w:hAnsi="仿宋" w:eastAsia="仿宋" w:cs="仿宋"/>
          <w:b/>
          <w:bCs/>
          <w:kern w:val="0"/>
          <w:sz w:val="28"/>
          <w:szCs w:val="28"/>
        </w:rPr>
        <w:t>、其它事项：</w:t>
      </w:r>
      <w:r>
        <w:rPr>
          <w:rFonts w:hint="eastAsia" w:ascii="仿宋" w:hAnsi="仿宋" w:eastAsia="仿宋" w:cs="仿宋"/>
          <w:kern w:val="0"/>
          <w:sz w:val="28"/>
          <w:szCs w:val="28"/>
        </w:rPr>
        <w:t>未尽事宜，双方另行协商解决。</w:t>
      </w:r>
    </w:p>
    <w:p w14:paraId="4A39BB7C">
      <w:pPr>
        <w:spacing w:before="156" w:beforeLines="50" w:after="156" w:afterLines="50" w:line="400" w:lineRule="exact"/>
        <w:ind w:left="516" w:leftChars="199" w:hanging="98" w:hangingChars="35"/>
        <w:rPr>
          <w:rFonts w:hint="eastAsia" w:ascii="仿宋" w:hAnsi="仿宋" w:eastAsia="仿宋" w:cs="仿宋"/>
          <w:b/>
          <w:bCs/>
          <w:kern w:val="0"/>
          <w:sz w:val="28"/>
          <w:szCs w:val="28"/>
        </w:rPr>
      </w:pPr>
      <w:r>
        <w:rPr>
          <w:rFonts w:hint="eastAsia" w:ascii="仿宋" w:hAnsi="仿宋" w:eastAsia="仿宋" w:cs="仿宋"/>
          <w:b/>
          <w:bCs/>
          <w:kern w:val="0"/>
          <w:sz w:val="28"/>
          <w:szCs w:val="28"/>
        </w:rPr>
        <w:t>1</w:t>
      </w:r>
      <w:r>
        <w:rPr>
          <w:rFonts w:hint="eastAsia" w:ascii="仿宋" w:hAnsi="仿宋" w:eastAsia="仿宋" w:cs="仿宋"/>
          <w:b/>
          <w:bCs/>
          <w:kern w:val="0"/>
          <w:sz w:val="28"/>
          <w:szCs w:val="28"/>
          <w:lang w:val="en-US" w:eastAsia="zh-CN"/>
        </w:rPr>
        <w:t>2</w:t>
      </w:r>
      <w:r>
        <w:rPr>
          <w:rFonts w:hint="eastAsia" w:ascii="仿宋" w:hAnsi="仿宋" w:eastAsia="仿宋" w:cs="仿宋"/>
          <w:b/>
          <w:bCs/>
          <w:kern w:val="0"/>
          <w:sz w:val="28"/>
          <w:szCs w:val="28"/>
        </w:rPr>
        <w:t>、一式</w:t>
      </w:r>
      <w:r>
        <w:rPr>
          <w:rFonts w:hint="eastAsia" w:ascii="仿宋" w:hAnsi="仿宋" w:eastAsia="仿宋" w:cs="仿宋"/>
          <w:b/>
          <w:bCs/>
          <w:kern w:val="0"/>
          <w:sz w:val="28"/>
          <w:szCs w:val="28"/>
          <w:lang w:val="en-US" w:eastAsia="zh-CN"/>
        </w:rPr>
        <w:t>肆</w:t>
      </w:r>
      <w:r>
        <w:rPr>
          <w:rFonts w:hint="eastAsia" w:ascii="仿宋" w:hAnsi="仿宋" w:eastAsia="仿宋" w:cs="仿宋"/>
          <w:b/>
          <w:bCs/>
          <w:kern w:val="0"/>
          <w:sz w:val="28"/>
          <w:szCs w:val="28"/>
        </w:rPr>
        <w:t>份，供</w:t>
      </w:r>
      <w:r>
        <w:rPr>
          <w:rFonts w:hint="eastAsia" w:ascii="仿宋" w:hAnsi="仿宋" w:eastAsia="仿宋" w:cs="仿宋"/>
          <w:b/>
          <w:bCs/>
          <w:kern w:val="0"/>
          <w:sz w:val="28"/>
          <w:szCs w:val="28"/>
          <w:lang w:eastAsia="zh-CN"/>
        </w:rPr>
        <w:t>、</w:t>
      </w:r>
      <w:r>
        <w:rPr>
          <w:rFonts w:hint="eastAsia" w:ascii="仿宋" w:hAnsi="仿宋" w:eastAsia="仿宋" w:cs="仿宋"/>
          <w:b/>
          <w:bCs/>
          <w:kern w:val="0"/>
          <w:sz w:val="28"/>
          <w:szCs w:val="28"/>
        </w:rPr>
        <w:t>需</w:t>
      </w:r>
      <w:r>
        <w:rPr>
          <w:rFonts w:hint="eastAsia" w:ascii="仿宋" w:hAnsi="仿宋" w:eastAsia="仿宋" w:cs="仿宋"/>
          <w:b/>
          <w:bCs/>
          <w:kern w:val="0"/>
          <w:sz w:val="28"/>
          <w:szCs w:val="28"/>
          <w:lang w:val="en-US" w:eastAsia="zh-CN"/>
        </w:rPr>
        <w:t>双</w:t>
      </w:r>
      <w:r>
        <w:rPr>
          <w:rFonts w:hint="eastAsia" w:ascii="仿宋" w:hAnsi="仿宋" w:eastAsia="仿宋" w:cs="仿宋"/>
          <w:b/>
          <w:bCs/>
          <w:kern w:val="0"/>
          <w:sz w:val="28"/>
          <w:szCs w:val="28"/>
        </w:rPr>
        <w:t>方</w:t>
      </w:r>
      <w:r>
        <w:rPr>
          <w:rFonts w:hint="eastAsia" w:ascii="仿宋" w:hAnsi="仿宋" w:eastAsia="仿宋" w:cs="仿宋"/>
          <w:b/>
          <w:bCs/>
          <w:kern w:val="0"/>
          <w:sz w:val="28"/>
          <w:szCs w:val="28"/>
          <w:lang w:val="en-US" w:eastAsia="zh-CN"/>
        </w:rPr>
        <w:t>各</w:t>
      </w:r>
      <w:r>
        <w:rPr>
          <w:rFonts w:hint="eastAsia" w:ascii="仿宋" w:hAnsi="仿宋" w:eastAsia="仿宋" w:cs="仿宋"/>
          <w:b/>
          <w:bCs/>
          <w:kern w:val="0"/>
          <w:sz w:val="28"/>
          <w:szCs w:val="28"/>
        </w:rPr>
        <w:t>执贰份，均具有同等法律效力。</w:t>
      </w:r>
    </w:p>
    <w:p w14:paraId="44EC0252">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ind w:left="-141" w:leftChars="-67" w:firstLine="562" w:firstLineChars="200"/>
        <w:jc w:val="left"/>
        <w:textAlignment w:val="auto"/>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13、本合同经双方法定代表人或委托代理人签字并加盖公章或合同专用章后生效。本合同有效期限自合同签订之日起至履约结算开票完毕。本合同终止后，合同双方仍承担合同终止前本合同规定的双方应该履行而未履行完毕的一切责任与义务。</w:t>
      </w:r>
    </w:p>
    <w:p w14:paraId="54A1E84F">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left"/>
        <w:textAlignment w:val="auto"/>
        <w:rPr>
          <w:rFonts w:hint="eastAsia" w:ascii="仿宋" w:hAnsi="仿宋" w:eastAsia="仿宋" w:cs="仿宋"/>
          <w:b/>
          <w:bCs/>
          <w:kern w:val="0"/>
          <w:sz w:val="28"/>
          <w:szCs w:val="28"/>
          <w:lang w:val="en-US" w:eastAsia="zh-CN"/>
        </w:rPr>
      </w:pPr>
    </w:p>
    <w:p w14:paraId="76B25EE5">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ind w:left="-141" w:leftChars="-67" w:firstLine="562" w:firstLineChars="200"/>
        <w:jc w:val="left"/>
        <w:textAlignment w:val="auto"/>
        <w:rPr>
          <w:rFonts w:hint="eastAsia" w:ascii="仿宋" w:hAnsi="仿宋" w:eastAsia="仿宋" w:cs="仿宋"/>
          <w:b/>
          <w:bCs/>
          <w:kern w:val="0"/>
          <w:sz w:val="28"/>
          <w:szCs w:val="28"/>
          <w:lang w:val="en-US" w:eastAsia="zh-CN"/>
        </w:rPr>
      </w:pPr>
    </w:p>
    <w:tbl>
      <w:tblPr>
        <w:tblStyle w:val="4"/>
        <w:tblW w:w="9472" w:type="dxa"/>
        <w:jc w:val="center"/>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Layout w:type="fixed"/>
        <w:tblCellMar>
          <w:top w:w="0" w:type="dxa"/>
          <w:left w:w="108" w:type="dxa"/>
          <w:bottom w:w="0" w:type="dxa"/>
          <w:right w:w="108" w:type="dxa"/>
        </w:tblCellMar>
      </w:tblPr>
      <w:tblGrid>
        <w:gridCol w:w="1299"/>
        <w:gridCol w:w="6"/>
        <w:gridCol w:w="3876"/>
        <w:gridCol w:w="4291"/>
      </w:tblGrid>
      <w:tr w14:paraId="3E15DEC7">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332" w:hRule="atLeast"/>
          <w:jc w:val="center"/>
        </w:trPr>
        <w:tc>
          <w:tcPr>
            <w:tcW w:w="1305" w:type="dxa"/>
            <w:gridSpan w:val="2"/>
            <w:tcBorders>
              <w:top w:val="single" w:color="333333" w:sz="2" w:space="0"/>
              <w:right w:val="single" w:color="auto" w:sz="4" w:space="0"/>
            </w:tcBorders>
            <w:noWrap w:val="0"/>
            <w:vAlign w:val="center"/>
          </w:tcPr>
          <w:p w14:paraId="11E9D578">
            <w:pPr>
              <w:spacing w:line="400" w:lineRule="exact"/>
              <w:jc w:val="center"/>
              <w:rPr>
                <w:rFonts w:hint="eastAsia" w:ascii="仿宋" w:hAnsi="仿宋" w:eastAsia="仿宋" w:cs="仿宋"/>
                <w:sz w:val="28"/>
                <w:szCs w:val="28"/>
              </w:rPr>
            </w:pPr>
          </w:p>
        </w:tc>
        <w:tc>
          <w:tcPr>
            <w:tcW w:w="3876" w:type="dxa"/>
            <w:tcBorders>
              <w:top w:val="single" w:color="333333" w:sz="2" w:space="0"/>
              <w:left w:val="single" w:color="auto" w:sz="4" w:space="0"/>
            </w:tcBorders>
            <w:noWrap w:val="0"/>
            <w:vAlign w:val="center"/>
          </w:tcPr>
          <w:p w14:paraId="5C4DC907">
            <w:pPr>
              <w:spacing w:line="400" w:lineRule="exact"/>
              <w:jc w:val="center"/>
              <w:rPr>
                <w:rFonts w:hint="eastAsia" w:ascii="仿宋" w:hAnsi="仿宋" w:eastAsia="仿宋" w:cs="仿宋"/>
                <w:sz w:val="28"/>
                <w:szCs w:val="28"/>
              </w:rPr>
            </w:pPr>
            <w:r>
              <w:rPr>
                <w:rFonts w:hint="eastAsia" w:ascii="仿宋" w:hAnsi="仿宋" w:eastAsia="仿宋" w:cs="仿宋"/>
                <w:sz w:val="24"/>
                <w:lang w:val="en-US" w:eastAsia="zh-CN"/>
              </w:rPr>
              <w:t>供</w:t>
            </w:r>
            <w:r>
              <w:rPr>
                <w:rFonts w:hint="eastAsia" w:ascii="仿宋" w:hAnsi="仿宋" w:eastAsia="仿宋" w:cs="仿宋"/>
                <w:sz w:val="24"/>
              </w:rPr>
              <w:t xml:space="preserve">      方（</w:t>
            </w:r>
            <w:r>
              <w:rPr>
                <w:rFonts w:hint="eastAsia" w:ascii="仿宋" w:hAnsi="仿宋" w:eastAsia="仿宋" w:cs="仿宋"/>
                <w:sz w:val="24"/>
                <w:lang w:val="en-US" w:eastAsia="zh-CN"/>
              </w:rPr>
              <w:t>盖</w:t>
            </w:r>
            <w:r>
              <w:rPr>
                <w:rFonts w:hint="eastAsia" w:ascii="仿宋" w:hAnsi="仿宋" w:eastAsia="仿宋" w:cs="仿宋"/>
                <w:sz w:val="24"/>
              </w:rPr>
              <w:t>章）</w:t>
            </w:r>
          </w:p>
        </w:tc>
        <w:tc>
          <w:tcPr>
            <w:tcW w:w="4291" w:type="dxa"/>
            <w:tcBorders>
              <w:top w:val="single" w:color="333333" w:sz="2" w:space="0"/>
              <w:left w:val="single" w:color="auto" w:sz="4" w:space="0"/>
            </w:tcBorders>
            <w:noWrap w:val="0"/>
            <w:vAlign w:val="center"/>
          </w:tcPr>
          <w:p w14:paraId="7CDC6EFF">
            <w:pPr>
              <w:spacing w:line="400" w:lineRule="exact"/>
              <w:jc w:val="center"/>
              <w:rPr>
                <w:rFonts w:hint="eastAsia" w:ascii="仿宋" w:hAnsi="仿宋" w:eastAsia="仿宋" w:cs="仿宋"/>
                <w:sz w:val="28"/>
                <w:szCs w:val="28"/>
              </w:rPr>
            </w:pPr>
            <w:r>
              <w:rPr>
                <w:rFonts w:hint="eastAsia" w:ascii="仿宋" w:hAnsi="仿宋" w:eastAsia="仿宋" w:cs="仿宋"/>
                <w:sz w:val="24"/>
                <w:lang w:val="en-US" w:eastAsia="zh-CN"/>
              </w:rPr>
              <w:t>需</w:t>
            </w:r>
            <w:r>
              <w:rPr>
                <w:rFonts w:hint="eastAsia" w:ascii="仿宋" w:hAnsi="仿宋" w:eastAsia="仿宋" w:cs="仿宋"/>
                <w:sz w:val="24"/>
              </w:rPr>
              <w:t xml:space="preserve">      方（</w:t>
            </w:r>
            <w:r>
              <w:rPr>
                <w:rFonts w:hint="eastAsia" w:ascii="仿宋" w:hAnsi="仿宋" w:eastAsia="仿宋" w:cs="仿宋"/>
                <w:sz w:val="24"/>
                <w:lang w:val="en-US" w:eastAsia="zh-CN"/>
              </w:rPr>
              <w:t>盖</w:t>
            </w:r>
            <w:r>
              <w:rPr>
                <w:rFonts w:hint="eastAsia" w:ascii="仿宋" w:hAnsi="仿宋" w:eastAsia="仿宋" w:cs="仿宋"/>
                <w:sz w:val="24"/>
              </w:rPr>
              <w:t>章）</w:t>
            </w:r>
          </w:p>
        </w:tc>
      </w:tr>
      <w:tr w14:paraId="15AACE5A">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775" w:hRule="atLeast"/>
          <w:jc w:val="center"/>
        </w:trPr>
        <w:tc>
          <w:tcPr>
            <w:tcW w:w="1299" w:type="dxa"/>
            <w:noWrap w:val="0"/>
            <w:vAlign w:val="center"/>
          </w:tcPr>
          <w:p w14:paraId="2E4F3107">
            <w:pPr>
              <w:spacing w:line="400" w:lineRule="exact"/>
              <w:jc w:val="center"/>
              <w:rPr>
                <w:rFonts w:hint="eastAsia" w:ascii="仿宋" w:hAnsi="仿宋" w:eastAsia="仿宋" w:cs="仿宋"/>
                <w:sz w:val="28"/>
                <w:szCs w:val="28"/>
              </w:rPr>
            </w:pPr>
            <w:r>
              <w:rPr>
                <w:rFonts w:hint="eastAsia" w:ascii="仿宋" w:hAnsi="仿宋" w:eastAsia="仿宋" w:cs="仿宋"/>
                <w:sz w:val="24"/>
              </w:rPr>
              <w:t>单位名称</w:t>
            </w:r>
          </w:p>
        </w:tc>
        <w:tc>
          <w:tcPr>
            <w:tcW w:w="3882" w:type="dxa"/>
            <w:gridSpan w:val="2"/>
            <w:noWrap w:val="0"/>
            <w:vAlign w:val="center"/>
          </w:tcPr>
          <w:p w14:paraId="7A3C08D1">
            <w:pPr>
              <w:spacing w:line="400" w:lineRule="exact"/>
              <w:jc w:val="center"/>
              <w:rPr>
                <w:rFonts w:hint="eastAsia" w:ascii="仿宋" w:hAnsi="仿宋" w:eastAsia="仿宋" w:cs="仿宋"/>
                <w:sz w:val="24"/>
              </w:rPr>
            </w:pPr>
            <w:r>
              <w:rPr>
                <w:rFonts w:hint="eastAsia" w:ascii="仿宋" w:hAnsi="仿宋" w:eastAsia="仿宋" w:cs="仿宋"/>
                <w:sz w:val="24"/>
              </w:rPr>
              <w:t>云南省煤炭交易（储配）中心有限公司</w:t>
            </w:r>
          </w:p>
        </w:tc>
        <w:tc>
          <w:tcPr>
            <w:tcW w:w="4291" w:type="dxa"/>
            <w:tcBorders>
              <w:left w:val="single" w:color="auto" w:sz="4" w:space="0"/>
            </w:tcBorders>
            <w:noWrap w:val="0"/>
            <w:vAlign w:val="center"/>
          </w:tcPr>
          <w:p w14:paraId="057C1CF3">
            <w:pPr>
              <w:spacing w:line="400" w:lineRule="exact"/>
              <w:jc w:val="center"/>
              <w:rPr>
                <w:rFonts w:hint="eastAsia" w:ascii="仿宋" w:hAnsi="仿宋" w:eastAsia="仿宋" w:cs="仿宋"/>
                <w:sz w:val="28"/>
                <w:szCs w:val="28"/>
              </w:rPr>
            </w:pPr>
          </w:p>
        </w:tc>
      </w:tr>
      <w:tr w14:paraId="7A7A5762">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649" w:hRule="atLeast"/>
          <w:jc w:val="center"/>
        </w:trPr>
        <w:tc>
          <w:tcPr>
            <w:tcW w:w="1299" w:type="dxa"/>
            <w:noWrap w:val="0"/>
            <w:vAlign w:val="center"/>
          </w:tcPr>
          <w:p w14:paraId="18841FE8">
            <w:pPr>
              <w:spacing w:line="400" w:lineRule="exact"/>
              <w:jc w:val="center"/>
              <w:rPr>
                <w:rFonts w:hint="eastAsia" w:ascii="仿宋" w:hAnsi="仿宋" w:eastAsia="仿宋" w:cs="仿宋"/>
                <w:sz w:val="28"/>
                <w:szCs w:val="28"/>
              </w:rPr>
            </w:pPr>
            <w:r>
              <w:rPr>
                <w:rFonts w:hint="eastAsia" w:ascii="仿宋" w:hAnsi="仿宋" w:eastAsia="仿宋" w:cs="仿宋"/>
                <w:szCs w:val="21"/>
              </w:rPr>
              <w:t>法定代表人</w:t>
            </w:r>
          </w:p>
        </w:tc>
        <w:tc>
          <w:tcPr>
            <w:tcW w:w="3882" w:type="dxa"/>
            <w:gridSpan w:val="2"/>
            <w:noWrap w:val="0"/>
            <w:vAlign w:val="center"/>
          </w:tcPr>
          <w:p w14:paraId="6D8DCC20">
            <w:pPr>
              <w:spacing w:line="400" w:lineRule="exact"/>
              <w:jc w:val="center"/>
              <w:rPr>
                <w:rFonts w:hint="eastAsia" w:ascii="仿宋" w:hAnsi="仿宋" w:eastAsia="仿宋" w:cs="仿宋"/>
                <w:sz w:val="24"/>
              </w:rPr>
            </w:pPr>
          </w:p>
        </w:tc>
        <w:tc>
          <w:tcPr>
            <w:tcW w:w="4291" w:type="dxa"/>
            <w:noWrap w:val="0"/>
            <w:vAlign w:val="center"/>
          </w:tcPr>
          <w:p w14:paraId="7CB971BC">
            <w:pPr>
              <w:spacing w:line="400" w:lineRule="exact"/>
              <w:jc w:val="center"/>
              <w:rPr>
                <w:rFonts w:hint="eastAsia" w:ascii="仿宋" w:hAnsi="仿宋" w:eastAsia="仿宋" w:cs="仿宋"/>
                <w:sz w:val="28"/>
                <w:szCs w:val="28"/>
              </w:rPr>
            </w:pPr>
          </w:p>
        </w:tc>
      </w:tr>
      <w:tr w14:paraId="1F4A5365">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575" w:hRule="atLeast"/>
          <w:jc w:val="center"/>
        </w:trPr>
        <w:tc>
          <w:tcPr>
            <w:tcW w:w="1299" w:type="dxa"/>
            <w:noWrap w:val="0"/>
            <w:vAlign w:val="center"/>
          </w:tcPr>
          <w:p w14:paraId="15A61501">
            <w:pPr>
              <w:spacing w:line="400" w:lineRule="exact"/>
              <w:jc w:val="center"/>
              <w:rPr>
                <w:rFonts w:hint="eastAsia" w:ascii="仿宋" w:hAnsi="仿宋" w:eastAsia="仿宋" w:cs="仿宋"/>
                <w:sz w:val="28"/>
                <w:szCs w:val="28"/>
              </w:rPr>
            </w:pPr>
            <w:r>
              <w:rPr>
                <w:rFonts w:hint="eastAsia" w:ascii="仿宋" w:hAnsi="仿宋" w:eastAsia="仿宋" w:cs="仿宋"/>
                <w:szCs w:val="21"/>
              </w:rPr>
              <w:t>委托代表人</w:t>
            </w:r>
          </w:p>
        </w:tc>
        <w:tc>
          <w:tcPr>
            <w:tcW w:w="3882" w:type="dxa"/>
            <w:gridSpan w:val="2"/>
            <w:noWrap w:val="0"/>
            <w:vAlign w:val="center"/>
          </w:tcPr>
          <w:p w14:paraId="23A6426B">
            <w:pPr>
              <w:spacing w:line="400" w:lineRule="exact"/>
              <w:jc w:val="center"/>
              <w:rPr>
                <w:rFonts w:hint="eastAsia" w:ascii="仿宋" w:hAnsi="仿宋" w:eastAsia="仿宋" w:cs="仿宋"/>
                <w:sz w:val="24"/>
              </w:rPr>
            </w:pPr>
          </w:p>
        </w:tc>
        <w:tc>
          <w:tcPr>
            <w:tcW w:w="4291" w:type="dxa"/>
            <w:noWrap w:val="0"/>
            <w:vAlign w:val="center"/>
          </w:tcPr>
          <w:p w14:paraId="192F0665">
            <w:pPr>
              <w:spacing w:line="400" w:lineRule="exact"/>
              <w:jc w:val="center"/>
              <w:rPr>
                <w:rFonts w:hint="eastAsia" w:ascii="仿宋" w:hAnsi="仿宋" w:eastAsia="仿宋" w:cs="仿宋"/>
                <w:sz w:val="28"/>
                <w:szCs w:val="28"/>
              </w:rPr>
            </w:pPr>
          </w:p>
        </w:tc>
      </w:tr>
      <w:tr w14:paraId="54CF86FA">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549" w:hRule="atLeast"/>
          <w:jc w:val="center"/>
        </w:trPr>
        <w:tc>
          <w:tcPr>
            <w:tcW w:w="1299" w:type="dxa"/>
            <w:noWrap w:val="0"/>
            <w:vAlign w:val="center"/>
          </w:tcPr>
          <w:p w14:paraId="249CEB09">
            <w:pPr>
              <w:spacing w:line="400" w:lineRule="exact"/>
              <w:jc w:val="center"/>
              <w:rPr>
                <w:rFonts w:hint="eastAsia" w:ascii="仿宋" w:hAnsi="仿宋" w:eastAsia="仿宋" w:cs="仿宋"/>
                <w:sz w:val="28"/>
                <w:szCs w:val="28"/>
              </w:rPr>
            </w:pPr>
            <w:r>
              <w:rPr>
                <w:rFonts w:hint="eastAsia" w:ascii="仿宋" w:hAnsi="仿宋" w:eastAsia="仿宋" w:cs="仿宋"/>
                <w:sz w:val="24"/>
              </w:rPr>
              <w:t>经 办 人</w:t>
            </w:r>
          </w:p>
        </w:tc>
        <w:tc>
          <w:tcPr>
            <w:tcW w:w="3882" w:type="dxa"/>
            <w:gridSpan w:val="2"/>
            <w:noWrap w:val="0"/>
            <w:vAlign w:val="center"/>
          </w:tcPr>
          <w:p w14:paraId="30E78D46">
            <w:pPr>
              <w:spacing w:line="400" w:lineRule="exact"/>
              <w:jc w:val="center"/>
              <w:rPr>
                <w:rFonts w:hint="eastAsia" w:ascii="仿宋" w:hAnsi="仿宋" w:eastAsia="仿宋" w:cs="仿宋"/>
                <w:sz w:val="24"/>
              </w:rPr>
            </w:pPr>
          </w:p>
        </w:tc>
        <w:tc>
          <w:tcPr>
            <w:tcW w:w="4291" w:type="dxa"/>
            <w:noWrap w:val="0"/>
            <w:vAlign w:val="center"/>
          </w:tcPr>
          <w:p w14:paraId="65009B35">
            <w:pPr>
              <w:spacing w:line="400" w:lineRule="exact"/>
              <w:jc w:val="center"/>
              <w:rPr>
                <w:rFonts w:hint="eastAsia" w:ascii="仿宋" w:hAnsi="仿宋" w:eastAsia="仿宋" w:cs="仿宋"/>
                <w:sz w:val="28"/>
                <w:szCs w:val="28"/>
              </w:rPr>
            </w:pPr>
          </w:p>
        </w:tc>
      </w:tr>
      <w:tr w14:paraId="76989B32">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635" w:hRule="atLeast"/>
          <w:jc w:val="center"/>
        </w:trPr>
        <w:tc>
          <w:tcPr>
            <w:tcW w:w="1299" w:type="dxa"/>
            <w:noWrap w:val="0"/>
            <w:vAlign w:val="center"/>
          </w:tcPr>
          <w:p w14:paraId="5B25F2B9">
            <w:pPr>
              <w:spacing w:line="400" w:lineRule="exact"/>
              <w:jc w:val="center"/>
              <w:rPr>
                <w:rFonts w:hint="eastAsia" w:ascii="仿宋" w:hAnsi="仿宋" w:eastAsia="仿宋" w:cs="仿宋"/>
                <w:sz w:val="28"/>
                <w:szCs w:val="28"/>
              </w:rPr>
            </w:pPr>
            <w:r>
              <w:rPr>
                <w:rFonts w:hint="eastAsia" w:ascii="仿宋" w:hAnsi="仿宋" w:eastAsia="仿宋" w:cs="仿宋"/>
                <w:sz w:val="24"/>
              </w:rPr>
              <w:t>开户银行</w:t>
            </w:r>
          </w:p>
        </w:tc>
        <w:tc>
          <w:tcPr>
            <w:tcW w:w="3882" w:type="dxa"/>
            <w:gridSpan w:val="2"/>
            <w:noWrap w:val="0"/>
            <w:vAlign w:val="center"/>
          </w:tcPr>
          <w:p w14:paraId="6CFE541A">
            <w:pPr>
              <w:spacing w:line="400" w:lineRule="exact"/>
              <w:jc w:val="center"/>
              <w:rPr>
                <w:rFonts w:hint="eastAsia" w:ascii="仿宋" w:hAnsi="仿宋" w:eastAsia="仿宋" w:cs="仿宋"/>
                <w:sz w:val="24"/>
              </w:rPr>
            </w:pPr>
            <w:r>
              <w:rPr>
                <w:rFonts w:hint="eastAsia" w:ascii="仿宋" w:hAnsi="仿宋" w:eastAsia="仿宋" w:cs="仿宋"/>
                <w:sz w:val="24"/>
              </w:rPr>
              <w:t>富滇银行股份有限公司曲靖分行</w:t>
            </w:r>
          </w:p>
        </w:tc>
        <w:tc>
          <w:tcPr>
            <w:tcW w:w="4291" w:type="dxa"/>
            <w:noWrap w:val="0"/>
            <w:vAlign w:val="center"/>
          </w:tcPr>
          <w:p w14:paraId="72B410E1">
            <w:pPr>
              <w:spacing w:line="400" w:lineRule="exact"/>
              <w:jc w:val="center"/>
              <w:rPr>
                <w:rFonts w:hint="eastAsia" w:ascii="仿宋" w:hAnsi="仿宋" w:eastAsia="仿宋" w:cs="仿宋"/>
                <w:sz w:val="28"/>
                <w:szCs w:val="28"/>
              </w:rPr>
            </w:pPr>
          </w:p>
        </w:tc>
      </w:tr>
      <w:tr w14:paraId="042FB32E">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397" w:hRule="atLeast"/>
          <w:jc w:val="center"/>
        </w:trPr>
        <w:tc>
          <w:tcPr>
            <w:tcW w:w="1299" w:type="dxa"/>
            <w:noWrap w:val="0"/>
            <w:vAlign w:val="center"/>
          </w:tcPr>
          <w:p w14:paraId="0EF251C5">
            <w:pPr>
              <w:spacing w:line="400" w:lineRule="exact"/>
              <w:jc w:val="center"/>
              <w:rPr>
                <w:rFonts w:hint="eastAsia" w:ascii="仿宋" w:hAnsi="仿宋" w:eastAsia="仿宋" w:cs="仿宋"/>
                <w:sz w:val="28"/>
                <w:szCs w:val="28"/>
              </w:rPr>
            </w:pPr>
            <w:r>
              <w:rPr>
                <w:rFonts w:hint="eastAsia" w:ascii="仿宋" w:hAnsi="仿宋" w:eastAsia="仿宋" w:cs="仿宋"/>
                <w:sz w:val="24"/>
              </w:rPr>
              <w:t>银行帐号</w:t>
            </w:r>
          </w:p>
        </w:tc>
        <w:tc>
          <w:tcPr>
            <w:tcW w:w="3882" w:type="dxa"/>
            <w:gridSpan w:val="2"/>
            <w:noWrap w:val="0"/>
            <w:vAlign w:val="center"/>
          </w:tcPr>
          <w:p w14:paraId="665D1563">
            <w:pPr>
              <w:spacing w:line="400" w:lineRule="exact"/>
              <w:jc w:val="center"/>
              <w:rPr>
                <w:rFonts w:hint="eastAsia" w:ascii="仿宋" w:hAnsi="仿宋" w:eastAsia="仿宋" w:cs="仿宋"/>
                <w:sz w:val="24"/>
              </w:rPr>
            </w:pPr>
            <w:r>
              <w:rPr>
                <w:rFonts w:hint="eastAsia" w:ascii="仿宋" w:hAnsi="仿宋" w:eastAsia="仿宋" w:cs="仿宋"/>
                <w:sz w:val="24"/>
              </w:rPr>
              <w:t>120874880010000000361</w:t>
            </w:r>
          </w:p>
        </w:tc>
        <w:tc>
          <w:tcPr>
            <w:tcW w:w="4291" w:type="dxa"/>
            <w:noWrap w:val="0"/>
            <w:vAlign w:val="center"/>
          </w:tcPr>
          <w:p w14:paraId="29958510">
            <w:pPr>
              <w:spacing w:line="400" w:lineRule="exact"/>
              <w:jc w:val="center"/>
              <w:rPr>
                <w:rFonts w:hint="eastAsia" w:ascii="仿宋" w:hAnsi="仿宋" w:eastAsia="仿宋" w:cs="仿宋"/>
                <w:sz w:val="28"/>
                <w:szCs w:val="28"/>
              </w:rPr>
            </w:pPr>
          </w:p>
        </w:tc>
      </w:tr>
      <w:tr w14:paraId="57A0AF37">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397" w:hRule="atLeast"/>
          <w:jc w:val="center"/>
        </w:trPr>
        <w:tc>
          <w:tcPr>
            <w:tcW w:w="1299" w:type="dxa"/>
            <w:noWrap w:val="0"/>
            <w:vAlign w:val="center"/>
          </w:tcPr>
          <w:p w14:paraId="31904985">
            <w:pPr>
              <w:spacing w:line="400" w:lineRule="exact"/>
              <w:jc w:val="center"/>
              <w:rPr>
                <w:rFonts w:hint="eastAsia" w:ascii="仿宋" w:hAnsi="仿宋" w:eastAsia="仿宋" w:cs="仿宋"/>
                <w:sz w:val="28"/>
                <w:szCs w:val="28"/>
              </w:rPr>
            </w:pPr>
            <w:r>
              <w:rPr>
                <w:rFonts w:hint="eastAsia" w:ascii="仿宋" w:hAnsi="仿宋" w:eastAsia="仿宋" w:cs="仿宋"/>
                <w:sz w:val="24"/>
              </w:rPr>
              <w:t>税    号</w:t>
            </w:r>
          </w:p>
        </w:tc>
        <w:tc>
          <w:tcPr>
            <w:tcW w:w="3882" w:type="dxa"/>
            <w:gridSpan w:val="2"/>
            <w:noWrap w:val="0"/>
            <w:vAlign w:val="center"/>
          </w:tcPr>
          <w:p w14:paraId="6E367141">
            <w:pPr>
              <w:spacing w:line="400" w:lineRule="exact"/>
              <w:jc w:val="center"/>
              <w:rPr>
                <w:rFonts w:hint="eastAsia" w:ascii="仿宋" w:hAnsi="仿宋" w:eastAsia="仿宋" w:cs="仿宋"/>
                <w:sz w:val="24"/>
              </w:rPr>
            </w:pPr>
            <w:r>
              <w:rPr>
                <w:rFonts w:hint="eastAsia" w:ascii="仿宋" w:hAnsi="仿宋" w:eastAsia="仿宋" w:cs="仿宋"/>
                <w:sz w:val="24"/>
              </w:rPr>
              <w:t>91530300MA6PBA2R1A</w:t>
            </w:r>
          </w:p>
        </w:tc>
        <w:tc>
          <w:tcPr>
            <w:tcW w:w="4291" w:type="dxa"/>
            <w:noWrap w:val="0"/>
            <w:vAlign w:val="center"/>
          </w:tcPr>
          <w:p w14:paraId="469D5F58">
            <w:pPr>
              <w:spacing w:line="400" w:lineRule="exact"/>
              <w:jc w:val="center"/>
              <w:rPr>
                <w:rFonts w:hint="eastAsia" w:ascii="仿宋" w:hAnsi="仿宋" w:eastAsia="仿宋" w:cs="仿宋"/>
                <w:sz w:val="28"/>
                <w:szCs w:val="28"/>
              </w:rPr>
            </w:pPr>
          </w:p>
        </w:tc>
      </w:tr>
      <w:tr w14:paraId="61F2FE3F">
        <w:tblPrEx>
          <w:tblBorders>
            <w:top w:val="single" w:color="333333" w:sz="2" w:space="0"/>
            <w:left w:val="single" w:color="333333" w:sz="2" w:space="0"/>
            <w:bottom w:val="single" w:color="333333" w:sz="2" w:space="0"/>
            <w:right w:val="single" w:color="333333" w:sz="2" w:space="0"/>
            <w:insideH w:val="single" w:color="333333" w:sz="6" w:space="0"/>
            <w:insideV w:val="single" w:color="333333" w:sz="6" w:space="0"/>
          </w:tblBorders>
          <w:tblCellMar>
            <w:top w:w="0" w:type="dxa"/>
            <w:left w:w="108" w:type="dxa"/>
            <w:bottom w:w="0" w:type="dxa"/>
            <w:right w:w="108" w:type="dxa"/>
          </w:tblCellMar>
        </w:tblPrEx>
        <w:trPr>
          <w:trHeight w:val="397" w:hRule="atLeast"/>
          <w:jc w:val="center"/>
        </w:trPr>
        <w:tc>
          <w:tcPr>
            <w:tcW w:w="1299" w:type="dxa"/>
            <w:tcBorders>
              <w:bottom w:val="single" w:color="333333" w:sz="2" w:space="0"/>
            </w:tcBorders>
            <w:noWrap w:val="0"/>
            <w:vAlign w:val="center"/>
          </w:tcPr>
          <w:p w14:paraId="62AB99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r>
              <w:rPr>
                <w:rFonts w:hint="eastAsia" w:ascii="仿宋" w:hAnsi="仿宋" w:eastAsia="仿宋" w:cs="仿宋"/>
                <w:sz w:val="24"/>
              </w:rPr>
              <w:t>单位地址</w:t>
            </w:r>
          </w:p>
        </w:tc>
        <w:tc>
          <w:tcPr>
            <w:tcW w:w="3882" w:type="dxa"/>
            <w:gridSpan w:val="2"/>
            <w:tcBorders>
              <w:bottom w:val="single" w:color="333333" w:sz="2" w:space="0"/>
            </w:tcBorders>
            <w:noWrap w:val="0"/>
            <w:vAlign w:val="center"/>
          </w:tcPr>
          <w:p w14:paraId="406245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rPr>
            </w:pPr>
            <w:r>
              <w:rPr>
                <w:rFonts w:hint="eastAsia" w:ascii="仿宋" w:hAnsi="仿宋" w:eastAsia="仿宋" w:cs="仿宋"/>
                <w:sz w:val="24"/>
              </w:rPr>
              <w:t>云南省曲靖市沾益县龙华街道温州商城23栋2楼</w:t>
            </w:r>
          </w:p>
        </w:tc>
        <w:tc>
          <w:tcPr>
            <w:tcW w:w="4291" w:type="dxa"/>
            <w:tcBorders>
              <w:bottom w:val="single" w:color="333333" w:sz="2" w:space="0"/>
            </w:tcBorders>
            <w:noWrap w:val="0"/>
            <w:vAlign w:val="center"/>
          </w:tcPr>
          <w:p w14:paraId="643A37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8"/>
                <w:szCs w:val="28"/>
              </w:rPr>
            </w:pPr>
          </w:p>
        </w:tc>
      </w:tr>
    </w:tbl>
    <w:p w14:paraId="1E17C694"/>
    <w:sectPr>
      <w:headerReference r:id="rId3" w:type="default"/>
      <w:pgSz w:w="11906" w:h="16838"/>
      <w:pgMar w:top="1440" w:right="1803" w:bottom="1440" w:left="1803" w:header="851"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1" w:fontKey="{97323479-6967-4FE2-89D6-8E95C936D5C5}"/>
  </w:font>
  <w:font w:name="方正仿宋_GBK">
    <w:panose1 w:val="02000000000000000000"/>
    <w:charset w:val="86"/>
    <w:family w:val="auto"/>
    <w:pitch w:val="default"/>
    <w:sig w:usb0="A00002BF" w:usb1="38CF7CFA" w:usb2="00082016" w:usb3="00000000" w:csb0="00040001" w:csb1="00000000"/>
    <w:embedRegular r:id="rId2" w:fontKey="{280A1CCF-D875-47FE-9089-7421B8A8EC3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A3FFE">
    <w:pPr>
      <w:pStyle w:val="3"/>
      <w:jc w:val="both"/>
      <w:rPr>
        <w:sz w:val="15"/>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15C5E"/>
    <w:rsid w:val="01A7557C"/>
    <w:rsid w:val="07D370B7"/>
    <w:rsid w:val="0895012B"/>
    <w:rsid w:val="0CA24C18"/>
    <w:rsid w:val="0E76345F"/>
    <w:rsid w:val="0E926BE6"/>
    <w:rsid w:val="0FF97DE3"/>
    <w:rsid w:val="28D472A8"/>
    <w:rsid w:val="2D8E3C6C"/>
    <w:rsid w:val="2F8B12D4"/>
    <w:rsid w:val="32805DAB"/>
    <w:rsid w:val="35027192"/>
    <w:rsid w:val="3AAD10FB"/>
    <w:rsid w:val="40907B01"/>
    <w:rsid w:val="48F6071D"/>
    <w:rsid w:val="4A2E762A"/>
    <w:rsid w:val="636D4FDB"/>
    <w:rsid w:val="64416899"/>
    <w:rsid w:val="703B4AE4"/>
    <w:rsid w:val="71E748C2"/>
    <w:rsid w:val="72E94465"/>
    <w:rsid w:val="78DF57A7"/>
    <w:rsid w:val="79274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header"/>
    <w:basedOn w:val="1"/>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2178</Words>
  <Characters>2408</Characters>
  <Lines>0</Lines>
  <Paragraphs>0</Paragraphs>
  <TotalTime>0</TotalTime>
  <ScaleCrop>false</ScaleCrop>
  <LinksUpToDate>false</LinksUpToDate>
  <CharactersWithSpaces>2470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2026-03-25T02:28:00Z</dcterms:created>
  <dc:creator>ZhuanZ</dc:creator>
  <cp:lastModifiedBy>SEWSOUL</cp:lastModifiedBy>
  <dcterms:modified xsi:type="dcterms:W3CDTF">2026-07-20T09:39:15Z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eyJoZGlkIjoiY2JmN2E2Nzk5NjMwNjcwYzlhYzNlMDQyZjk0MDU3MjUiLCJ1c2VySWQiOiIxNTA4NjM3ODk4In0=</vt:lpwstr>
  </property>
  <property fmtid="{D5CDD505-2E9C-101B-9397-08002B2CF9AE}" pid="4" name="ICV">
    <vt:lpwstr>3532CB3CAE6843D787EE48B03FC1819A_12</vt:lpwstr>
  </property>
</Properties>
</file>