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360" w:lineRule="auto"/>
        <w:ind w:leftChars="0"/>
        <w:jc w:val="both"/>
        <w:outlineLvl w:val="1"/>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附件一</w:t>
      </w:r>
    </w:p>
    <w:p>
      <w:pPr>
        <w:numPr>
          <w:ilvl w:val="0"/>
          <w:numId w:val="0"/>
        </w:numPr>
        <w:snapToGrid w:val="0"/>
        <w:spacing w:line="360" w:lineRule="auto"/>
        <w:ind w:leftChars="0"/>
        <w:jc w:val="center"/>
        <w:outlineLvl w:val="1"/>
        <w:rPr>
          <w:rFonts w:hint="eastAsia" w:ascii="宋体" w:hAnsi="宋体" w:eastAsia="宋体" w:cs="宋体"/>
          <w:b/>
          <w:bCs/>
          <w:sz w:val="32"/>
          <w:szCs w:val="32"/>
        </w:rPr>
      </w:pPr>
      <w:r>
        <w:rPr>
          <w:rFonts w:hint="eastAsia" w:ascii="宋体" w:hAnsi="宋体" w:eastAsia="宋体" w:cs="宋体"/>
          <w:b/>
          <w:bCs/>
          <w:sz w:val="32"/>
          <w:szCs w:val="32"/>
        </w:rPr>
        <w:t>华北分公司所属单位加气站生产运维支持服务</w:t>
      </w:r>
    </w:p>
    <w:p>
      <w:pPr>
        <w:numPr>
          <w:ilvl w:val="0"/>
          <w:numId w:val="0"/>
        </w:numPr>
        <w:snapToGrid w:val="0"/>
        <w:spacing w:line="360" w:lineRule="auto"/>
        <w:ind w:leftChars="0"/>
        <w:jc w:val="center"/>
        <w:outlineLvl w:val="1"/>
        <w:rPr>
          <w:rFonts w:hint="eastAsia" w:ascii="宋体" w:hAnsi="宋体" w:eastAsia="宋体" w:cs="宋体"/>
          <w:b/>
          <w:bCs/>
          <w:sz w:val="24"/>
        </w:rPr>
      </w:pPr>
      <w:r>
        <w:rPr>
          <w:rFonts w:hint="eastAsia" w:ascii="宋体" w:hAnsi="宋体" w:eastAsia="宋体" w:cs="宋体"/>
          <w:b/>
          <w:bCs/>
          <w:sz w:val="32"/>
          <w:szCs w:val="32"/>
        </w:rPr>
        <w:t>工作范围和技术要求</w:t>
      </w:r>
    </w:p>
    <w:p>
      <w:pPr>
        <w:numPr>
          <w:ilvl w:val="0"/>
          <w:numId w:val="0"/>
        </w:numPr>
        <w:snapToGrid w:val="0"/>
        <w:spacing w:line="360" w:lineRule="auto"/>
        <w:ind w:leftChars="0"/>
        <w:outlineLvl w:val="1"/>
        <w:rPr>
          <w:rFonts w:hint="eastAsia" w:ascii="宋体" w:hAnsi="宋体" w:eastAsia="宋体" w:cs="宋体"/>
          <w:b/>
          <w:bCs/>
          <w:sz w:val="24"/>
        </w:rPr>
      </w:pPr>
    </w:p>
    <w:p>
      <w:pPr>
        <w:numPr>
          <w:ilvl w:val="0"/>
          <w:numId w:val="1"/>
        </w:numPr>
        <w:snapToGrid w:val="0"/>
        <w:spacing w:line="360" w:lineRule="auto"/>
        <w:ind w:left="0" w:leftChars="0" w:firstLine="0" w:firstLineChars="0"/>
        <w:outlineLvl w:val="1"/>
        <w:rPr>
          <w:rFonts w:hint="eastAsia" w:ascii="宋体" w:hAnsi="宋体" w:eastAsia="宋体" w:cs="宋体"/>
          <w:b/>
          <w:bCs/>
          <w:sz w:val="24"/>
        </w:rPr>
      </w:pPr>
      <w:r>
        <w:rPr>
          <w:rFonts w:hint="eastAsia" w:ascii="宋体" w:hAnsi="宋体" w:eastAsia="宋体" w:cs="宋体"/>
          <w:b/>
          <w:bCs/>
          <w:sz w:val="24"/>
        </w:rPr>
        <w:t>项目简介</w:t>
      </w:r>
    </w:p>
    <w:p>
      <w:pPr>
        <w:numPr>
          <w:ilvl w:val="0"/>
          <w:numId w:val="0"/>
        </w:numPr>
        <w:snapToGrid w:val="0"/>
        <w:spacing w:line="360" w:lineRule="auto"/>
        <w:ind w:leftChars="0" w:firstLine="420" w:firstLine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华北分公司所属单位自身加气站生产经营需要，决定开展华北分公司所属单位加气站生产运维支持服务采购。</w:t>
      </w:r>
    </w:p>
    <w:p>
      <w:pPr>
        <w:numPr>
          <w:ilvl w:val="0"/>
          <w:numId w:val="1"/>
        </w:numPr>
        <w:snapToGrid w:val="0"/>
        <w:ind w:firstLine="0" w:firstLineChars="0"/>
        <w:outlineLvl w:val="1"/>
        <w:rPr>
          <w:rFonts w:hint="eastAsia"/>
        </w:rPr>
      </w:pPr>
      <w:r>
        <w:rPr>
          <w:rFonts w:hint="eastAsia" w:ascii="宋体" w:hAnsi="宋体" w:eastAsia="宋体" w:cs="宋体"/>
          <w:b/>
          <w:bCs/>
          <w:sz w:val="24"/>
          <w:lang w:val="en-US" w:eastAsia="zh-CN"/>
        </w:rPr>
        <w:t>功能描述</w:t>
      </w:r>
    </w:p>
    <w:p>
      <w:pPr>
        <w:numPr>
          <w:ilvl w:val="0"/>
          <w:numId w:val="0"/>
        </w:numPr>
        <w:snapToGrid w:val="0"/>
        <w:spacing w:line="360" w:lineRule="auto"/>
        <w:ind w:firstLine="420" w:firstLineChars="0"/>
        <w:rPr>
          <w:rFonts w:hint="eastAsia" w:ascii="宋体" w:hAnsi="宋体" w:eastAsia="宋体" w:cs="宋体"/>
          <w:sz w:val="24"/>
          <w:lang w:eastAsia="zh-CN"/>
        </w:rPr>
      </w:pPr>
      <w:r>
        <w:rPr>
          <w:rFonts w:hint="eastAsia" w:ascii="宋体" w:hAnsi="宋体" w:eastAsia="宋体" w:cs="宋体"/>
          <w:sz w:val="24"/>
          <w:lang w:val="en-US" w:eastAsia="zh-CN"/>
        </w:rPr>
        <w:t>为招标人各加气站提供生产运维支持，服务内容包括但不限于：车辆引导、车辆加注、槽车卸液、收银、客户开发及维护、数字化平台销售及数据录入、销售台账登记、设备设施管理及维护、应急救援、卫生保洁及其他辅助业务等，满足招标人加气站正常生产运营和维护需求。</w:t>
      </w:r>
    </w:p>
    <w:p>
      <w:pPr>
        <w:numPr>
          <w:ilvl w:val="0"/>
          <w:numId w:val="1"/>
        </w:numPr>
        <w:snapToGrid w:val="0"/>
        <w:ind w:firstLine="0" w:firstLineChars="0"/>
        <w:outlineLvl w:val="1"/>
        <w:rPr>
          <w:rFonts w:hint="default" w:ascii="宋体" w:hAnsi="宋体" w:eastAsia="宋体" w:cs="宋体"/>
          <w:b/>
          <w:bCs/>
          <w:sz w:val="24"/>
          <w:lang w:val="en-US" w:eastAsia="zh-CN"/>
        </w:rPr>
      </w:pPr>
      <w:r>
        <w:rPr>
          <w:rFonts w:hint="eastAsia" w:ascii="宋体" w:hAnsi="宋体" w:eastAsia="宋体" w:cs="宋体"/>
          <w:b/>
          <w:bCs/>
          <w:sz w:val="24"/>
          <w:lang w:val="en-US" w:eastAsia="zh-CN"/>
        </w:rPr>
        <w:t>工作标准</w:t>
      </w:r>
    </w:p>
    <w:p>
      <w:pPr>
        <w:numPr>
          <w:ilvl w:val="0"/>
          <w:numId w:val="0"/>
        </w:numPr>
        <w:snapToGri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eastAsia="zh-CN"/>
        </w:rPr>
        <w:t xml:space="preserve">1. </w:t>
      </w:r>
      <w:r>
        <w:rPr>
          <w:rFonts w:hint="eastAsia" w:ascii="宋体" w:hAnsi="宋体" w:eastAsia="宋体"/>
          <w:sz w:val="24"/>
          <w:szCs w:val="24"/>
          <w:lang w:val="en-US" w:eastAsia="zh-CN"/>
        </w:rPr>
        <w:t>法律法规</w:t>
      </w:r>
    </w:p>
    <w:p>
      <w:pPr>
        <w:numPr>
          <w:ilvl w:val="0"/>
          <w:numId w:val="0"/>
        </w:numPr>
        <w:snapToGri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完成本项目需满足包括但不限于以下国家或地方法律法规、行业标准：</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）《安全生产法》相关规定</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）《中华人民共和国消防法》相关规定</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）《危险化学品安全管理条例》相关规定</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）《中华人民共和国劳动法》及相关法律规定</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lang w:eastAsia="zh-CN"/>
        </w:rPr>
        <w:t>）各地方主管部门气瓶充装管理规定</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其他适用于</w:t>
      </w:r>
      <w:r>
        <w:rPr>
          <w:rFonts w:hint="eastAsia" w:ascii="宋体" w:hAnsi="宋体" w:eastAsia="宋体"/>
          <w:sz w:val="24"/>
          <w:szCs w:val="24"/>
          <w:lang w:val="en-US" w:eastAsia="zh-CN"/>
        </w:rPr>
        <w:t>本</w:t>
      </w:r>
      <w:r>
        <w:rPr>
          <w:rFonts w:hint="eastAsia" w:ascii="宋体" w:hAnsi="宋体" w:eastAsia="宋体"/>
          <w:sz w:val="24"/>
          <w:szCs w:val="24"/>
          <w:lang w:eastAsia="zh-CN"/>
        </w:rPr>
        <w:t>项目的国家或地方法律法规，以上涉及的法律法规如有更新以最新颁布版本为准。</w:t>
      </w:r>
    </w:p>
    <w:p>
      <w:pPr>
        <w:numPr>
          <w:ilvl w:val="0"/>
          <w:numId w:val="0"/>
        </w:numPr>
        <w:snapToGrid w:val="0"/>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2.招标人要求</w:t>
      </w:r>
    </w:p>
    <w:p>
      <w:pPr>
        <w:numPr>
          <w:ilvl w:val="0"/>
          <w:numId w:val="0"/>
        </w:numPr>
        <w:snapToGri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完成本项目需满足招标人要求，包括但不限于：</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（1）项目组织机构：投标人应针对投标内容设置组织管理机构，配备项目经理和人事经理等岗位，各岗位职责清晰、明确。</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2）项目经理：投标人需设置1名专职项目经理，具有3年以上的技术团队或业务团队管理经验。项目经理的职责应当清晰明确，包括但不限于以下工作内容：合同签署、履行；项目执行情况评估及结算；协调解决其他与合同相关的日常事务；协调解决突发问题；负责生产操作服务人员的上岗取证及复审；熟悉掌握招标人各项安全生产规章制度、服务流程和安全生产操作规程，积极组织生产操作服务人员参加招标人各类教育培训。</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（3）人事经理：投标人需设置1名专职人事经理，负责生产操作服务人员的招聘、人事管理、薪酬发放、社保缴纳、调度等事宜的日常管理；</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（4）突发事件处理</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对于加气站产生的突发事件（包括但不限于人员不服从管理、造成招标人资金财产损失等），投标人应在招标人规定时间内到达发生突发事件的加气站协调解决处理。</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（5）工作方案</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投标人应按照加气站业务量配置服务班组，编制工作方案；工作方案的实施须经招标人批准。</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①生产操作服务工作机制及要求</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加气站实行“倒班”的工作机制，要求每个班配置当班班长1名。生产操作服务人员基本的任职要求为：班长须具备加气站1年及以上从业经验，高中及以上学历，年龄18-50周岁，</w:t>
      </w:r>
      <w:r>
        <w:rPr>
          <w:rFonts w:hint="eastAsia" w:ascii="宋体" w:hAnsi="宋体" w:eastAsia="宋体"/>
          <w:sz w:val="24"/>
          <w:szCs w:val="24"/>
          <w:lang w:val="en-US" w:eastAsia="zh-CN"/>
        </w:rPr>
        <w:t>熟悉电脑操作，会使用办公软件</w:t>
      </w:r>
      <w:r>
        <w:rPr>
          <w:rFonts w:hint="eastAsia" w:ascii="宋体" w:hAnsi="宋体" w:eastAsia="宋体"/>
          <w:sz w:val="24"/>
          <w:szCs w:val="24"/>
          <w:lang w:eastAsia="zh-CN"/>
        </w:rPr>
        <w:t>；除班长以外的生产操作服务人员，要求年龄18-50周岁。</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②生产操作服务班组配置要求</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生产操作服务班组划分为三个类型：大班（4人）、中班（3人）和小班（2人）。当当班期间加注量超过</w:t>
      </w:r>
      <w:r>
        <w:rPr>
          <w:rFonts w:hint="default" w:ascii="宋体" w:hAnsi="宋体" w:eastAsia="宋体"/>
          <w:sz w:val="24"/>
          <w:szCs w:val="24"/>
          <w:lang w:val="en-US" w:eastAsia="zh-CN"/>
        </w:rPr>
        <w:t>15</w:t>
      </w:r>
      <w:r>
        <w:rPr>
          <w:rFonts w:hint="eastAsia" w:ascii="宋体" w:hAnsi="宋体" w:eastAsia="宋体"/>
          <w:sz w:val="24"/>
          <w:szCs w:val="24"/>
          <w:lang w:eastAsia="zh-CN"/>
        </w:rPr>
        <w:t>吨，需酌情设置大班；当当班期间加注量超过</w:t>
      </w:r>
      <w:r>
        <w:rPr>
          <w:rFonts w:hint="default" w:ascii="宋体" w:hAnsi="宋体" w:eastAsia="宋体"/>
          <w:sz w:val="24"/>
          <w:szCs w:val="24"/>
          <w:lang w:val="en-US" w:eastAsia="zh-CN"/>
        </w:rPr>
        <w:t>10</w:t>
      </w:r>
      <w:r>
        <w:rPr>
          <w:rFonts w:hint="eastAsia" w:ascii="宋体" w:hAnsi="宋体" w:eastAsia="宋体"/>
          <w:sz w:val="24"/>
          <w:szCs w:val="24"/>
          <w:lang w:eastAsia="zh-CN"/>
        </w:rPr>
        <w:t>吨，可酌情设置中班；当当班期间加注量不足</w:t>
      </w:r>
      <w:r>
        <w:rPr>
          <w:rFonts w:hint="default" w:ascii="宋体" w:hAnsi="宋体" w:eastAsia="宋体"/>
          <w:sz w:val="24"/>
          <w:szCs w:val="24"/>
          <w:lang w:val="en-US" w:eastAsia="zh-CN"/>
        </w:rPr>
        <w:t>3</w:t>
      </w:r>
      <w:r>
        <w:rPr>
          <w:rFonts w:hint="eastAsia" w:ascii="宋体" w:hAnsi="宋体" w:eastAsia="宋体"/>
          <w:sz w:val="24"/>
          <w:szCs w:val="24"/>
          <w:lang w:eastAsia="zh-CN"/>
        </w:rPr>
        <w:t>吨，可酌情设置小班，具体班组配置需结合加气站其他工作量再行调整。</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③生产操作服务人员要求和工作内容：</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了解本岗位的作业风险、职业危害和环境风险，及时制止违章作业或其他人员不安全行为，出现直接危及人身安全的紧急情况时，有权停止作业，并采取应急措施后撤离危险场所；</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掌握相关安全生产操作规程，熟悉设备性能，并具有维修设备的能力；熟悉突发事故处理程序，具备一定的应急处置能力，能按照招标人相关规定对突发事件进行妥善处理；</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生产操作服务人员安全劳动防护用品由招标人统一发放，加气站消防和应急器材由招标人配置，生产操作服务人员离职需返还，生产操作服务人员应妥善保管并正确穿戴各种劳动防护用品，正确使用消防和应急器材；熟悉119、110、120等应急电话报告要求；确保当班的消防器材、安全警示标识、环保器材和其他设备完好、有效；</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④引导加注车辆停在加注位置、开展加注作业；引导槽车至停车位、检查并按操作规程开展卸车作业；引导用户使用招标人数字化平台结算并准确录入销售数据；按要求进行物资出入库管理和登记等，各项生产操作符合安全规章制度和操作规程并接受招标人的监督管理；</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⑥对加注站进行安全检查和巡回检查并做好记录，发现隐患应采取措施，及时向站点管理人员汇报，发生事故按规定程序处理，并做好事故现场的保护工作；</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⑦在交接班期间，须完成班前会记录、巡检记录、班结、日结、交班记录等交接工作。</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⑧按照招标人7S管理要求开展日常工作，并落实政府、燃气经营企业、危险化学品经营企业的相关要求；</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⑨按要求开展安全承诺公告、进站人员安全提示，参加相关会议；</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⑩完成招标人交办的其他工作。</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lang w:eastAsia="zh-CN"/>
        </w:rPr>
        <w:t>）配套支持</w:t>
      </w:r>
    </w:p>
    <w:p>
      <w:pPr>
        <w:numPr>
          <w:ilvl w:val="0"/>
          <w:numId w:val="0"/>
        </w:numPr>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投标人生产操作服务人员的工资、加班费、取暖费、防暑降温费和五险一金等不得低于法定标准，不得违反《中华人民共和国劳动法》及相关法律规定。同时，生产操作服务人员应当享有绩效奖金、交通补助、通讯补贴、倒班津贴、餐费补贴、工会福利、体检等福利待遇。相关福利待遇应按劳动合同约定及时、足额支付，不得拖欠；生产操作服务人员人身意外险（雇主险）因工意外身故疾病致死致残赔付金额不低于80万，非因工意外身故疾病致死致残赔付金额不低于20万。</w:t>
      </w:r>
    </w:p>
    <w:p>
      <w:pPr>
        <w:numPr>
          <w:ilvl w:val="0"/>
          <w:numId w:val="1"/>
        </w:numPr>
        <w:snapToGrid w:val="0"/>
        <w:ind w:firstLine="0" w:firstLineChars="0"/>
        <w:outlineLvl w:val="1"/>
        <w:rPr>
          <w:rFonts w:hint="eastAsia" w:ascii="宋体" w:hAnsi="宋体" w:eastAsia="宋体" w:cs="宋体"/>
          <w:b/>
          <w:bCs/>
          <w:sz w:val="24"/>
          <w:lang w:val="en-US" w:eastAsia="zh-CN"/>
        </w:rPr>
      </w:pPr>
      <w:r>
        <w:rPr>
          <w:rFonts w:hint="eastAsia" w:ascii="宋体" w:hAnsi="宋体" w:eastAsia="宋体" w:cs="宋体"/>
          <w:b/>
          <w:bCs/>
          <w:sz w:val="24"/>
          <w:lang w:val="en-US" w:eastAsia="zh-CN"/>
        </w:rPr>
        <w:t>工作范围</w:t>
      </w:r>
    </w:p>
    <w:p>
      <w:pPr>
        <w:pStyle w:val="2"/>
        <w:rPr>
          <w:rFonts w:hint="default" w:ascii="宋体" w:hAnsi="宋体" w:eastAsia="宋体" w:cs="宋体"/>
          <w:i w:val="0"/>
          <w:iCs w:val="0"/>
          <w:kern w:val="0"/>
          <w:sz w:val="24"/>
          <w:szCs w:val="22"/>
          <w:lang w:val="en-US" w:eastAsia="zh-CN" w:bidi="ar-SA"/>
        </w:rPr>
      </w:pPr>
      <w:r>
        <w:rPr>
          <w:rFonts w:hint="eastAsia" w:ascii="宋体" w:hAnsi="宋体" w:cs="宋体"/>
          <w:i w:val="0"/>
          <w:iCs w:val="0"/>
          <w:kern w:val="0"/>
          <w:sz w:val="24"/>
          <w:szCs w:val="22"/>
          <w:lang w:val="en-US" w:eastAsia="zh-CN" w:bidi="ar-SA"/>
        </w:rPr>
        <w:t>1.投标</w:t>
      </w:r>
      <w:r>
        <w:rPr>
          <w:rFonts w:hint="eastAsia" w:ascii="宋体" w:hAnsi="宋体" w:eastAsia="宋体" w:cs="宋体"/>
          <w:i w:val="0"/>
          <w:iCs w:val="0"/>
          <w:kern w:val="0"/>
          <w:sz w:val="24"/>
          <w:szCs w:val="22"/>
          <w:lang w:val="en-US" w:eastAsia="zh-CN" w:bidi="ar-SA"/>
        </w:rPr>
        <w:t>人的</w:t>
      </w:r>
      <w:r>
        <w:rPr>
          <w:rFonts w:hint="eastAsia" w:ascii="宋体" w:hAnsi="宋体" w:cs="宋体"/>
          <w:i w:val="0"/>
          <w:iCs w:val="0"/>
          <w:kern w:val="0"/>
          <w:sz w:val="24"/>
          <w:szCs w:val="22"/>
          <w:lang w:val="en-US" w:eastAsia="zh-CN" w:bidi="ar-SA"/>
        </w:rPr>
        <w:t>服务内容及范围</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1）在招标人指定油气站开展油、气等燃料加注、卸车及其他生产操作业务，包括但不限于：车辆引导、车辆加注、槽车卸液、收银、客户开发及维护、数字化平台销售及数据录入、销售台账登记、设备设施管理及维护、应急救援、卫生保洁等工作。</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（2）投标人及投标人生产操作服务人员应当接受招标人的安全生产管理，所提供的服务应当严格执行法律法规、标准规范以及招标人制定的加气站生产运营各项规章制度。</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（3）投标人应保证全员按照要求持证上岗且能覆盖油气站运营所需全部执业资格，取得职业资格证和职业资格证复审的相关费用由投标人承担。</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4）投标人应根据招标人加气站的教培计划，协助组织开展生产操作、质量健康、安全环保、设备检维修等教育和培训，确保生产操作服务人员熟练掌握本职工作所需的作业流程和QHSE知识。对于招标人组织的教育和培训，产生的费用由招标人承担。</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5）投标人生产操作服务人员出现违章指挥、违章作业、违反劳动纪律等“三违”行为时，投标人需接受相关处罚，并积极配合制定整改措施并实施，包括更换不合格生产操作服务人员、对不合格生产操作服务人员进行教育培训等（产生的教育培训费用由投标人负责），生产操作服务人员因“三违”行为对加气站的安全生产、人员安全、财产安全以及企业商誉等方面造成损失的，投标人有承担上述损失的义务。</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6）招标人会按照相关规定对场站的消防设施和特种设备等设备设施开展检查、测试、校验、年审、维修及隐患排查的系列工作，投标人生产操作服务人员应按照招标人的要求落实上述工作，产生的费用由招标人承担。</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（7）生产操作服务人员应接受招标人的监督管理，服从安全生产调度和指挥。</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 xml:space="preserve">（8）投标人及相关人员应保守招标人的各项商业秘密并遵守信息安全有关要求，不得将有关资料透露给任何第三方。 </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（9）投标人须按照国家有关规定与生产操作服务人员签订劳动合同，并为生产操作服务人员缴纳基本社会保险、商业保险等。</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 xml:space="preserve">（10）投标人每年应为生产操作服务人员进行一次二级及以上医院的体检，并依法为生产操作服务人员开展上岗前、离岗的相关体检，且体检项目的设定应根据环境检测报告中的危害因素而定，体检费用由投标人负责。 </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（11）投标人调换生产操作服务人员（含站点间调配），必须经招标人同意，并确保不会影响安全生产。</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（12）生产操作服务人员不得违反相关安全、生产、劳动等管理制度，对严重违反相关工作要求的生产操作服务人员，招标人有权要求教育或辞退。</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（13）生产操作服务人员须接受招标人考核及评价，如考核及评价结果为不合格的，招标人有权要求投标人限期内更换或调整不合格生产操作服务人员。</w:t>
      </w:r>
    </w:p>
    <w:p>
      <w:pPr>
        <w:pStyle w:val="2"/>
        <w:rPr>
          <w:rFonts w:hint="eastAsia"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（14）招标人不负责生产操作服务人员的食宿。</w:t>
      </w:r>
    </w:p>
    <w:p>
      <w:pPr>
        <w:pStyle w:val="2"/>
        <w:rPr>
          <w:rFonts w:hint="eastAsia"/>
          <w:lang w:val="en-US" w:eastAsia="zh-CN"/>
        </w:rPr>
      </w:pPr>
      <w:r>
        <w:rPr>
          <w:rFonts w:hint="eastAsia" w:ascii="宋体" w:hAnsi="宋体" w:eastAsia="宋体" w:cs="宋体"/>
          <w:i w:val="0"/>
          <w:iCs w:val="0"/>
          <w:kern w:val="0"/>
          <w:sz w:val="24"/>
          <w:szCs w:val="22"/>
          <w:lang w:val="en-US" w:eastAsia="zh-CN" w:bidi="ar-SA"/>
        </w:rPr>
        <w:t>（15）生产操作服务人员须按照招标人的要求出差开展加气站的相关工作，出差事项不属于投标人服务范围产生的差旅和住宿费用由招标人承担，标准参照招标人的制度执行。</w:t>
      </w:r>
    </w:p>
    <w:p>
      <w:pPr>
        <w:pStyle w:val="2"/>
        <w:rPr>
          <w:rFonts w:hint="eastAsia" w:ascii="宋体" w:hAnsi="宋体" w:eastAsia="宋体" w:cs="宋体"/>
          <w:i w:val="0"/>
          <w:iCs w:val="0"/>
          <w:kern w:val="0"/>
          <w:sz w:val="24"/>
          <w:szCs w:val="22"/>
          <w:lang w:val="en-US" w:eastAsia="zh-CN" w:bidi="ar-SA"/>
        </w:rPr>
      </w:pPr>
      <w:r>
        <w:rPr>
          <w:rFonts w:hint="eastAsia" w:ascii="宋体" w:hAnsi="宋体" w:cs="宋体"/>
          <w:i w:val="0"/>
          <w:iCs w:val="0"/>
          <w:kern w:val="0"/>
          <w:sz w:val="24"/>
          <w:szCs w:val="22"/>
          <w:lang w:val="en-US" w:eastAsia="zh-CN" w:bidi="ar-SA"/>
        </w:rPr>
        <w:t xml:space="preserve">2. </w:t>
      </w:r>
      <w:r>
        <w:rPr>
          <w:rFonts w:hint="eastAsia" w:ascii="宋体" w:hAnsi="宋体" w:eastAsia="宋体" w:cs="宋体"/>
          <w:i w:val="0"/>
          <w:iCs w:val="0"/>
          <w:kern w:val="0"/>
          <w:sz w:val="24"/>
          <w:szCs w:val="22"/>
          <w:lang w:val="en-US" w:eastAsia="zh-CN" w:bidi="ar-SA"/>
        </w:rPr>
        <w:t>与其它各服务商的接口界面</w:t>
      </w:r>
    </w:p>
    <w:p>
      <w:pPr>
        <w:pStyle w:val="2"/>
        <w:rPr>
          <w:rFonts w:hint="default" w:ascii="宋体" w:hAnsi="宋体" w:eastAsia="宋体" w:cs="宋体"/>
          <w:i w:val="0"/>
          <w:iCs w:val="0"/>
          <w:kern w:val="0"/>
          <w:sz w:val="24"/>
          <w:szCs w:val="22"/>
          <w:lang w:val="en-US" w:eastAsia="zh-CN" w:bidi="ar-SA"/>
        </w:rPr>
      </w:pPr>
      <w:r>
        <w:rPr>
          <w:rFonts w:hint="eastAsia" w:ascii="宋体" w:hAnsi="宋体" w:cs="宋体"/>
          <w:i w:val="0"/>
          <w:iCs w:val="0"/>
          <w:kern w:val="0"/>
          <w:sz w:val="24"/>
          <w:szCs w:val="22"/>
          <w:lang w:val="en-US" w:eastAsia="zh-CN" w:bidi="ar-SA"/>
        </w:rPr>
        <w:t>无</w:t>
      </w:r>
    </w:p>
    <w:p>
      <w:pPr>
        <w:pStyle w:val="2"/>
        <w:numPr>
          <w:ilvl w:val="0"/>
          <w:numId w:val="2"/>
        </w:numPr>
        <w:rPr>
          <w:rFonts w:hint="default" w:ascii="宋体" w:hAnsi="宋体" w:eastAsia="宋体" w:cs="宋体"/>
          <w:i w:val="0"/>
          <w:iCs w:val="0"/>
          <w:kern w:val="0"/>
          <w:sz w:val="24"/>
          <w:szCs w:val="22"/>
          <w:lang w:val="en-US" w:eastAsia="zh-CN" w:bidi="ar-SA"/>
        </w:rPr>
      </w:pPr>
      <w:r>
        <w:rPr>
          <w:rFonts w:hint="eastAsia" w:ascii="宋体" w:hAnsi="宋体" w:cs="宋体"/>
          <w:i w:val="0"/>
          <w:iCs w:val="0"/>
          <w:kern w:val="0"/>
          <w:sz w:val="24"/>
          <w:szCs w:val="22"/>
          <w:lang w:val="en-US" w:eastAsia="zh-CN" w:bidi="ar-SA"/>
        </w:rPr>
        <w:t>招标</w:t>
      </w:r>
      <w:r>
        <w:rPr>
          <w:rFonts w:hint="eastAsia" w:ascii="宋体" w:hAnsi="宋体" w:eastAsia="宋体" w:cs="宋体"/>
          <w:i w:val="0"/>
          <w:iCs w:val="0"/>
          <w:kern w:val="0"/>
          <w:sz w:val="24"/>
          <w:szCs w:val="22"/>
          <w:lang w:val="en-US" w:eastAsia="zh-CN" w:bidi="ar-SA"/>
        </w:rPr>
        <w:t>人提供的</w:t>
      </w:r>
      <w:r>
        <w:rPr>
          <w:rFonts w:hint="eastAsia" w:ascii="宋体" w:hAnsi="宋体" w:cs="宋体"/>
          <w:i w:val="0"/>
          <w:iCs w:val="0"/>
          <w:kern w:val="0"/>
          <w:sz w:val="24"/>
          <w:szCs w:val="22"/>
          <w:lang w:val="en-US" w:eastAsia="zh-CN" w:bidi="ar-SA"/>
        </w:rPr>
        <w:t>物资及便利条件</w:t>
      </w:r>
    </w:p>
    <w:p>
      <w:pPr>
        <w:pStyle w:val="2"/>
        <w:rPr>
          <w:rFonts w:hint="eastAsia" w:ascii="宋体" w:hAnsi="宋体" w:eastAsia="宋体" w:cs="宋体"/>
          <w:i w:val="0"/>
          <w:iCs w:val="0"/>
          <w:kern w:val="0"/>
          <w:sz w:val="24"/>
          <w:szCs w:val="22"/>
          <w:lang w:val="en-US" w:eastAsia="zh-CN" w:bidi="ar-SA"/>
        </w:rPr>
      </w:pPr>
      <w:r>
        <w:rPr>
          <w:rFonts w:hint="eastAsia" w:ascii="宋体" w:hAnsi="宋体" w:cs="宋体"/>
          <w:i w:val="0"/>
          <w:iCs w:val="0"/>
          <w:kern w:val="0"/>
          <w:sz w:val="24"/>
          <w:szCs w:val="22"/>
          <w:lang w:val="en-US" w:eastAsia="zh-CN" w:bidi="ar-SA"/>
        </w:rPr>
        <w:t>（1）</w:t>
      </w:r>
      <w:r>
        <w:rPr>
          <w:rFonts w:hint="eastAsia" w:ascii="宋体" w:hAnsi="宋体" w:eastAsia="宋体" w:cs="宋体"/>
          <w:i w:val="0"/>
          <w:iCs w:val="0"/>
          <w:kern w:val="0"/>
          <w:sz w:val="24"/>
          <w:szCs w:val="22"/>
          <w:lang w:val="en-US" w:eastAsia="zh-CN" w:bidi="ar-SA"/>
        </w:rPr>
        <w:t>招标人负责提供包括工服、鞋、帽、防护服、正压式呼吸器等劳保用品；灭火器、防爆工具、轮挡、设备设施、备品备件、办公纸、笔、电脑等生产物资以及办公区域水、电、暖供应。</w:t>
      </w:r>
    </w:p>
    <w:p>
      <w:pPr>
        <w:pStyle w:val="2"/>
        <w:rPr>
          <w:rFonts w:hint="eastAsia" w:ascii="宋体" w:hAnsi="宋体" w:cs="宋体"/>
          <w:i w:val="0"/>
          <w:iCs w:val="0"/>
          <w:kern w:val="0"/>
          <w:sz w:val="24"/>
          <w:szCs w:val="22"/>
          <w:lang w:val="en-US" w:eastAsia="zh-CN" w:bidi="ar-SA"/>
        </w:rPr>
      </w:pPr>
      <w:r>
        <w:rPr>
          <w:rFonts w:hint="eastAsia" w:ascii="宋体" w:hAnsi="宋体" w:cs="宋体"/>
          <w:i w:val="0"/>
          <w:iCs w:val="0"/>
          <w:kern w:val="0"/>
          <w:sz w:val="24"/>
          <w:szCs w:val="22"/>
          <w:lang w:val="en-US" w:eastAsia="zh-CN" w:bidi="ar-SA"/>
        </w:rPr>
        <w:t>（2） 生产操作服务人员离职或项目合同到期或终止，需退还相关劳保用品。</w:t>
      </w:r>
    </w:p>
    <w:p>
      <w:pPr>
        <w:pStyle w:val="2"/>
        <w:rPr>
          <w:rFonts w:hint="default"/>
          <w:lang w:val="en-US" w:eastAsia="zh-CN"/>
        </w:rPr>
      </w:pPr>
      <w:r>
        <w:rPr>
          <w:rFonts w:hint="eastAsia" w:ascii="宋体" w:hAnsi="宋体" w:cs="宋体"/>
          <w:i w:val="0"/>
          <w:iCs w:val="0"/>
          <w:kern w:val="0"/>
          <w:sz w:val="24"/>
          <w:szCs w:val="22"/>
          <w:lang w:val="en-US" w:eastAsia="zh-CN" w:bidi="ar-SA"/>
        </w:rPr>
        <w:t>（3） 招标人负责提供办公用网，根据加气站实际，可能为员工提供换衣间或休息室。</w:t>
      </w:r>
    </w:p>
    <w:p>
      <w:pPr>
        <w:pStyle w:val="2"/>
        <w:rPr>
          <w:rFonts w:hint="eastAsia" w:ascii="宋体" w:hAnsi="宋体" w:eastAsia="宋体" w:cs="宋体"/>
          <w:i w:val="0"/>
          <w:iCs w:val="0"/>
          <w:kern w:val="0"/>
          <w:sz w:val="24"/>
          <w:szCs w:val="22"/>
          <w:lang w:val="en-US" w:eastAsia="zh-CN" w:bidi="ar-SA"/>
        </w:rPr>
      </w:pPr>
      <w:r>
        <w:rPr>
          <w:rFonts w:hint="eastAsia" w:ascii="宋体" w:hAnsi="宋体" w:cs="宋体"/>
          <w:i w:val="0"/>
          <w:iCs w:val="0"/>
          <w:kern w:val="0"/>
          <w:sz w:val="24"/>
          <w:szCs w:val="22"/>
          <w:lang w:val="en-US" w:eastAsia="zh-CN" w:bidi="ar-SA"/>
        </w:rPr>
        <w:t>4. 投标</w:t>
      </w:r>
      <w:r>
        <w:rPr>
          <w:rFonts w:hint="eastAsia" w:ascii="宋体" w:hAnsi="宋体" w:eastAsia="宋体" w:cs="宋体"/>
          <w:i w:val="0"/>
          <w:iCs w:val="0"/>
          <w:kern w:val="0"/>
          <w:sz w:val="24"/>
          <w:szCs w:val="22"/>
          <w:lang w:val="en-US" w:eastAsia="zh-CN" w:bidi="ar-SA"/>
        </w:rPr>
        <w:t>人最终交付的成果清单</w:t>
      </w:r>
    </w:p>
    <w:p>
      <w:pPr>
        <w:pStyle w:val="2"/>
        <w:ind w:firstLine="480" w:firstLineChars="200"/>
        <w:rPr>
          <w:rFonts w:hint="default" w:ascii="宋体" w:hAnsi="宋体" w:eastAsia="宋体" w:cs="宋体"/>
          <w:i w:val="0"/>
          <w:iCs w:val="0"/>
          <w:kern w:val="0"/>
          <w:sz w:val="24"/>
          <w:szCs w:val="22"/>
          <w:lang w:val="en-US" w:eastAsia="zh-CN" w:bidi="ar-SA"/>
        </w:rPr>
      </w:pPr>
      <w:r>
        <w:rPr>
          <w:rFonts w:hint="eastAsia" w:ascii="宋体" w:hAnsi="宋体" w:eastAsia="宋体" w:cs="宋体"/>
          <w:i w:val="0"/>
          <w:iCs w:val="0"/>
          <w:kern w:val="0"/>
          <w:sz w:val="24"/>
          <w:szCs w:val="22"/>
          <w:lang w:val="en-US" w:eastAsia="zh-CN" w:bidi="ar-SA"/>
        </w:rPr>
        <w:t>按照</w:t>
      </w:r>
      <w:r>
        <w:rPr>
          <w:rFonts w:hint="eastAsia" w:ascii="宋体" w:hAnsi="宋体" w:cs="宋体"/>
          <w:i w:val="0"/>
          <w:iCs w:val="0"/>
          <w:kern w:val="0"/>
          <w:sz w:val="24"/>
          <w:szCs w:val="22"/>
          <w:lang w:val="en-US" w:eastAsia="zh-CN" w:bidi="ar-SA"/>
        </w:rPr>
        <w:t>招标</w:t>
      </w:r>
      <w:r>
        <w:rPr>
          <w:rFonts w:hint="eastAsia" w:ascii="宋体" w:hAnsi="宋体" w:eastAsia="宋体" w:cs="宋体"/>
          <w:i w:val="0"/>
          <w:iCs w:val="0"/>
          <w:kern w:val="0"/>
          <w:sz w:val="24"/>
          <w:szCs w:val="22"/>
          <w:lang w:val="en-US" w:eastAsia="zh-CN" w:bidi="ar-SA"/>
        </w:rPr>
        <w:t>人要求</w:t>
      </w:r>
      <w:r>
        <w:rPr>
          <w:rFonts w:hint="eastAsia" w:ascii="宋体" w:hAnsi="宋体" w:cs="宋体"/>
          <w:i w:val="0"/>
          <w:iCs w:val="0"/>
          <w:kern w:val="0"/>
          <w:sz w:val="24"/>
          <w:szCs w:val="22"/>
          <w:lang w:val="en-US" w:eastAsia="zh-CN" w:bidi="ar-SA"/>
        </w:rPr>
        <w:t>完成各加气站生产运维支持服务</w:t>
      </w:r>
      <w:r>
        <w:rPr>
          <w:rFonts w:hint="eastAsia" w:ascii="宋体" w:hAnsi="宋体" w:eastAsia="宋体" w:cs="宋体"/>
          <w:i w:val="0"/>
          <w:iCs w:val="0"/>
          <w:kern w:val="0"/>
          <w:sz w:val="24"/>
          <w:szCs w:val="22"/>
          <w:lang w:val="en-US" w:eastAsia="zh-CN" w:bidi="ar-SA"/>
        </w:rPr>
        <w:t>，</w:t>
      </w:r>
      <w:r>
        <w:rPr>
          <w:rFonts w:hint="eastAsia" w:ascii="宋体" w:hAnsi="宋体" w:cs="宋体"/>
          <w:i w:val="0"/>
          <w:iCs w:val="0"/>
          <w:kern w:val="0"/>
          <w:sz w:val="24"/>
          <w:szCs w:val="22"/>
          <w:lang w:val="en-US" w:eastAsia="zh-CN" w:bidi="ar-SA"/>
        </w:rPr>
        <w:t>包括不限于车辆引导、车辆加注、槽车卸液、收银、客户开发及维护、数字化平台销售及数据录入、销售台账登记、设备设施管理及维护、应急救援、卫生保洁及其他辅助业务等，</w:t>
      </w:r>
      <w:r>
        <w:rPr>
          <w:rFonts w:hint="eastAsia" w:ascii="宋体" w:hAnsi="宋体" w:eastAsia="宋体" w:cs="宋体"/>
          <w:i w:val="0"/>
          <w:iCs w:val="0"/>
          <w:kern w:val="0"/>
          <w:sz w:val="24"/>
          <w:szCs w:val="22"/>
          <w:lang w:val="en-US" w:eastAsia="zh-CN" w:bidi="ar-SA"/>
        </w:rPr>
        <w:t>满足</w:t>
      </w:r>
      <w:r>
        <w:rPr>
          <w:rFonts w:hint="eastAsia" w:ascii="宋体" w:hAnsi="宋体" w:cs="宋体"/>
          <w:i w:val="0"/>
          <w:iCs w:val="0"/>
          <w:kern w:val="0"/>
          <w:sz w:val="24"/>
          <w:szCs w:val="22"/>
          <w:lang w:val="en-US" w:eastAsia="zh-CN" w:bidi="ar-SA"/>
        </w:rPr>
        <w:t>招标</w:t>
      </w:r>
      <w:r>
        <w:rPr>
          <w:rFonts w:hint="eastAsia" w:ascii="宋体" w:hAnsi="宋体" w:eastAsia="宋体" w:cs="宋体"/>
          <w:i w:val="0"/>
          <w:iCs w:val="0"/>
          <w:kern w:val="0"/>
          <w:sz w:val="24"/>
          <w:szCs w:val="22"/>
          <w:lang w:val="en-US" w:eastAsia="zh-CN" w:bidi="ar-SA"/>
        </w:rPr>
        <w:t>人安全与</w:t>
      </w:r>
      <w:r>
        <w:rPr>
          <w:rFonts w:hint="eastAsia" w:ascii="宋体" w:hAnsi="宋体" w:cs="宋体"/>
          <w:i w:val="0"/>
          <w:iCs w:val="0"/>
          <w:kern w:val="0"/>
          <w:sz w:val="24"/>
          <w:szCs w:val="22"/>
          <w:lang w:val="en-US" w:eastAsia="zh-CN" w:bidi="ar-SA"/>
        </w:rPr>
        <w:t>运营需求</w:t>
      </w:r>
      <w:r>
        <w:rPr>
          <w:rFonts w:hint="eastAsia" w:ascii="宋体" w:hAnsi="宋体" w:eastAsia="宋体" w:cs="宋体"/>
          <w:i w:val="0"/>
          <w:iCs w:val="0"/>
          <w:kern w:val="0"/>
          <w:sz w:val="24"/>
          <w:szCs w:val="22"/>
          <w:lang w:val="en-US" w:eastAsia="zh-CN" w:bidi="ar-SA"/>
        </w:rPr>
        <w:t>。</w:t>
      </w:r>
    </w:p>
    <w:p>
      <w:pPr>
        <w:numPr>
          <w:ilvl w:val="0"/>
          <w:numId w:val="1"/>
        </w:numPr>
        <w:snapToGrid w:val="0"/>
        <w:ind w:firstLine="0" w:firstLineChars="0"/>
        <w:outlineLvl w:val="1"/>
        <w:rPr>
          <w:rFonts w:hint="default" w:ascii="宋体" w:hAnsi="宋体" w:eastAsia="宋体" w:cs="宋体"/>
          <w:b/>
          <w:bCs/>
          <w:sz w:val="24"/>
          <w:lang w:val="en-US" w:eastAsia="zh-CN"/>
        </w:rPr>
      </w:pPr>
      <w:r>
        <w:rPr>
          <w:rFonts w:hint="eastAsia" w:ascii="宋体" w:hAnsi="宋体" w:eastAsia="宋体" w:cs="宋体"/>
          <w:b/>
          <w:bCs/>
          <w:sz w:val="24"/>
          <w:lang w:val="en-US" w:eastAsia="zh-CN"/>
        </w:rPr>
        <w:t>工作量清单</w:t>
      </w:r>
    </w:p>
    <w:p>
      <w:pPr>
        <w:widowControl w:val="0"/>
        <w:spacing w:line="360" w:lineRule="exact"/>
        <w:ind w:firstLine="420" w:firstLineChars="200"/>
        <w:jc w:val="left"/>
        <w:outlineLvl w:val="9"/>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本标段五家所属单位（北京能源、河北能源、山东天然气、天津新能源、滨州新能源）</w:t>
      </w:r>
      <w:r>
        <w:rPr>
          <w:rFonts w:ascii="宋体" w:hAnsi="宋体" w:eastAsia="宋体" w:cs="宋体"/>
          <w:kern w:val="2"/>
          <w:sz w:val="21"/>
          <w:szCs w:val="21"/>
          <w:lang w:val="en-US" w:eastAsia="zh-CN" w:bidi="ar-SA"/>
        </w:rPr>
        <w:t>已运营加气站名称、销量及地址见表1，预计新开发站点数量、位置及销量见表2</w:t>
      </w:r>
      <w:r>
        <w:rPr>
          <w:rFonts w:hint="eastAsia" w:ascii="宋体" w:hAnsi="宋体" w:eastAsia="宋体" w:cs="宋体"/>
          <w:kern w:val="2"/>
          <w:sz w:val="21"/>
          <w:szCs w:val="21"/>
          <w:lang w:val="en-US" w:eastAsia="zh-CN" w:bidi="ar-SA"/>
        </w:rPr>
        <w:t>，预计服务班组数量及服务月数见表3，服务期预计总销量见表4.</w:t>
      </w:r>
    </w:p>
    <w:p>
      <w:pPr>
        <w:spacing w:line="360" w:lineRule="exact"/>
        <w:ind w:firstLine="0" w:firstLineChars="0"/>
        <w:jc w:val="center"/>
        <w:rPr>
          <w:rFonts w:hint="eastAsia" w:ascii="Microsoft YaHei UI" w:hAnsi="Microsoft YaHei UI" w:eastAsia="宋体" w:cs="Times New Roman"/>
          <w:color w:val="000000"/>
          <w:kern w:val="0"/>
          <w:szCs w:val="21"/>
          <w:u w:val="none"/>
          <w:shd w:val="clear" w:color="auto" w:fill="FFFFFF"/>
          <w:lang w:val="en-US" w:eastAsia="zh-CN"/>
        </w:rPr>
      </w:pPr>
      <w:r>
        <w:rPr>
          <w:rFonts w:hint="eastAsia" w:ascii="Microsoft YaHei UI" w:hAnsi="Microsoft YaHei UI" w:eastAsia="Microsoft YaHei UI" w:cs="Times New Roman"/>
          <w:color w:val="000000"/>
          <w:kern w:val="0"/>
          <w:szCs w:val="21"/>
          <w:u w:val="none"/>
          <w:shd w:val="clear" w:color="auto" w:fill="FFFFFF"/>
          <w:lang w:val="en-US" w:eastAsia="zh-CN"/>
        </w:rPr>
        <w:t xml:space="preserve">表1 </w:t>
      </w:r>
      <w:r>
        <w:rPr>
          <w:rFonts w:ascii="宋体" w:hAnsi="宋体" w:eastAsia="宋体" w:cs="宋体"/>
          <w:sz w:val="21"/>
          <w:szCs w:val="21"/>
        </w:rPr>
        <w:t>已运营加气站</w:t>
      </w:r>
      <w:r>
        <w:rPr>
          <w:rFonts w:hint="eastAsia" w:ascii="宋体" w:hAnsi="宋体" w:eastAsia="宋体" w:cs="宋体"/>
          <w:sz w:val="21"/>
          <w:szCs w:val="21"/>
          <w:lang w:val="en-US" w:eastAsia="zh-CN"/>
        </w:rPr>
        <w:t>清单</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726"/>
        <w:gridCol w:w="1772"/>
        <w:gridCol w:w="2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加气站名称</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位置区域</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2023-2024年日均销量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德州夏津站</w:t>
            </w:r>
          </w:p>
        </w:tc>
        <w:tc>
          <w:tcPr>
            <w:tcW w:w="12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济阳回河站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德州禹城站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滨州博兴站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聊城高唐站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潍坊青州站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黄河大桥站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淄博沂源悦庄站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汶上西外环站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龙口海港路站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龙口环海中路站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莱州虎头崖站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威海文登站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装院路站</w:t>
            </w:r>
          </w:p>
        </w:tc>
        <w:tc>
          <w:tcPr>
            <w:tcW w:w="12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河北</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官庄加气站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高寺台加气站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西韩加气站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太平庄站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江家庄站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新桥站</w:t>
            </w:r>
          </w:p>
        </w:tc>
        <w:tc>
          <w:tcPr>
            <w:tcW w:w="1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南疆港站</w:t>
            </w:r>
          </w:p>
        </w:tc>
        <w:tc>
          <w:tcPr>
            <w:tcW w:w="1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bl>
    <w:p>
      <w:pPr>
        <w:spacing w:before="161" w:beforeLines="50"/>
        <w:jc w:val="center"/>
        <w:outlineLvl w:val="3"/>
        <w:rPr>
          <w:rFonts w:hint="eastAsia" w:ascii="宋体" w:hAnsi="宋体" w:eastAsia="宋体" w:cs="宋体"/>
          <w:color w:val="000000"/>
          <w:kern w:val="0"/>
          <w:sz w:val="21"/>
          <w:szCs w:val="21"/>
          <w:u w:val="none"/>
          <w:shd w:val="clear" w:color="auto" w:fill="FFFFFF"/>
          <w:lang w:val="en-US" w:eastAsia="zh-CN"/>
        </w:rPr>
      </w:pPr>
      <w:r>
        <w:rPr>
          <w:rFonts w:hint="eastAsia" w:ascii="宋体" w:hAnsi="宋体" w:eastAsia="宋体" w:cs="宋体"/>
          <w:color w:val="000000"/>
          <w:kern w:val="0"/>
          <w:sz w:val="21"/>
          <w:szCs w:val="21"/>
          <w:u w:val="none"/>
          <w:shd w:val="clear" w:color="auto" w:fill="FFFFFF"/>
          <w:lang w:val="en-US" w:eastAsia="zh-CN"/>
        </w:rPr>
        <w:t>表2 服务期内拟开发站点清单</w:t>
      </w:r>
    </w:p>
    <w:tbl>
      <w:tblPr>
        <w:tblStyle w:val="11"/>
        <w:tblW w:w="5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3"/>
        <w:gridCol w:w="1857"/>
        <w:gridCol w:w="1904"/>
        <w:gridCol w:w="1811"/>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69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序号</w:t>
            </w:r>
          </w:p>
        </w:tc>
        <w:tc>
          <w:tcPr>
            <w:tcW w:w="1102"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站点所在区域</w:t>
            </w:r>
          </w:p>
        </w:tc>
        <w:tc>
          <w:tcPr>
            <w:tcW w:w="113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预计开发数量</w:t>
            </w:r>
          </w:p>
        </w:tc>
        <w:tc>
          <w:tcPr>
            <w:tcW w:w="1075"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预测日销量</w:t>
            </w:r>
          </w:p>
        </w:tc>
        <w:tc>
          <w:tcPr>
            <w:tcW w:w="1001"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运营月数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9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102"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天津</w:t>
            </w:r>
          </w:p>
        </w:tc>
        <w:tc>
          <w:tcPr>
            <w:tcW w:w="113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w:t>
            </w:r>
          </w:p>
        </w:tc>
        <w:tc>
          <w:tcPr>
            <w:tcW w:w="1075"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30吨</w:t>
            </w:r>
          </w:p>
        </w:tc>
        <w:tc>
          <w:tcPr>
            <w:tcW w:w="1001"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1102" w:type="pct"/>
            <w:vMerge w:val="restar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河北</w:t>
            </w:r>
          </w:p>
        </w:tc>
        <w:tc>
          <w:tcPr>
            <w:tcW w:w="113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w:t>
            </w:r>
          </w:p>
        </w:tc>
        <w:tc>
          <w:tcPr>
            <w:tcW w:w="1075" w:type="pct"/>
            <w:vMerge w:val="restar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30吨</w:t>
            </w:r>
          </w:p>
        </w:tc>
        <w:tc>
          <w:tcPr>
            <w:tcW w:w="1001"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690"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w:t>
            </w:r>
          </w:p>
        </w:tc>
        <w:tc>
          <w:tcPr>
            <w:tcW w:w="1102" w:type="pct"/>
            <w:vMerge w:val="continue"/>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p>
        </w:tc>
        <w:tc>
          <w:tcPr>
            <w:tcW w:w="1130"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6</w:t>
            </w:r>
          </w:p>
        </w:tc>
        <w:tc>
          <w:tcPr>
            <w:tcW w:w="1075" w:type="pct"/>
            <w:vMerge w:val="continue"/>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p>
        </w:tc>
        <w:tc>
          <w:tcPr>
            <w:tcW w:w="1001"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w:t>
            </w:r>
          </w:p>
        </w:tc>
        <w:tc>
          <w:tcPr>
            <w:tcW w:w="1102" w:type="pct"/>
            <w:vMerge w:val="restar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山西</w:t>
            </w:r>
          </w:p>
        </w:tc>
        <w:tc>
          <w:tcPr>
            <w:tcW w:w="113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w:t>
            </w:r>
          </w:p>
        </w:tc>
        <w:tc>
          <w:tcPr>
            <w:tcW w:w="1075"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60吨</w:t>
            </w:r>
          </w:p>
        </w:tc>
        <w:tc>
          <w:tcPr>
            <w:tcW w:w="1001" w:type="pct"/>
            <w:vMerge w:val="restar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w:t>
            </w:r>
          </w:p>
        </w:tc>
        <w:tc>
          <w:tcPr>
            <w:tcW w:w="1102" w:type="pct"/>
            <w:vMerge w:val="continue"/>
            <w:vAlign w:val="center"/>
          </w:tcPr>
          <w:p>
            <w:pPr>
              <w:keepNext w:val="0"/>
              <w:keepLines w:val="0"/>
              <w:widowControl w:val="0"/>
              <w:suppressLineNumbers w:val="0"/>
              <w:spacing w:before="0" w:beforeAutospacing="0" w:after="0" w:afterAutospacing="0" w:line="360" w:lineRule="exact"/>
              <w:ind w:left="0" w:right="0"/>
              <w:jc w:val="center"/>
              <w:outlineLvl w:val="9"/>
              <w:rPr>
                <w:rFonts w:hint="eastAsia" w:ascii="宋体" w:hAnsi="宋体" w:eastAsia="宋体" w:cs="宋体"/>
                <w:kern w:val="2"/>
                <w:sz w:val="21"/>
                <w:szCs w:val="21"/>
                <w:vertAlign w:val="baseline"/>
                <w:lang w:val="en-US" w:eastAsia="zh-CN" w:bidi="ar-SA"/>
              </w:rPr>
            </w:pPr>
          </w:p>
        </w:tc>
        <w:tc>
          <w:tcPr>
            <w:tcW w:w="113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w:t>
            </w:r>
          </w:p>
        </w:tc>
        <w:tc>
          <w:tcPr>
            <w:tcW w:w="1075"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40吨</w:t>
            </w:r>
          </w:p>
        </w:tc>
        <w:tc>
          <w:tcPr>
            <w:tcW w:w="1001" w:type="pct"/>
            <w:vMerge w:val="continue"/>
            <w:vAlign w:val="center"/>
          </w:tcPr>
          <w:p>
            <w:pPr>
              <w:keepNext w:val="0"/>
              <w:keepLines w:val="0"/>
              <w:widowControl w:val="0"/>
              <w:suppressLineNumbers w:val="0"/>
              <w:spacing w:before="0" w:beforeAutospacing="0" w:after="0" w:afterAutospacing="0" w:line="360" w:lineRule="exact"/>
              <w:ind w:left="0" w:right="0"/>
              <w:jc w:val="center"/>
              <w:outlineLvl w:val="9"/>
              <w:rPr>
                <w:rFonts w:hint="eastAsia" w:ascii="宋体" w:hAnsi="宋体" w:eastAsia="宋体" w:cs="宋体"/>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6</w:t>
            </w:r>
          </w:p>
        </w:tc>
        <w:tc>
          <w:tcPr>
            <w:tcW w:w="1102" w:type="pct"/>
            <w:vMerge w:val="continue"/>
            <w:vAlign w:val="center"/>
          </w:tcPr>
          <w:p>
            <w:pPr>
              <w:keepNext w:val="0"/>
              <w:keepLines w:val="0"/>
              <w:widowControl w:val="0"/>
              <w:suppressLineNumbers w:val="0"/>
              <w:spacing w:before="0" w:beforeAutospacing="0" w:after="0" w:afterAutospacing="0" w:line="360" w:lineRule="exact"/>
              <w:ind w:left="0" w:right="0"/>
              <w:jc w:val="center"/>
              <w:outlineLvl w:val="9"/>
              <w:rPr>
                <w:rFonts w:hint="eastAsia" w:ascii="宋体" w:hAnsi="宋体" w:eastAsia="宋体" w:cs="宋体"/>
                <w:kern w:val="2"/>
                <w:sz w:val="21"/>
                <w:szCs w:val="21"/>
                <w:vertAlign w:val="baseline"/>
                <w:lang w:val="en-US" w:eastAsia="zh-CN" w:bidi="ar-SA"/>
              </w:rPr>
            </w:pPr>
          </w:p>
        </w:tc>
        <w:tc>
          <w:tcPr>
            <w:tcW w:w="1130"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w:t>
            </w:r>
          </w:p>
        </w:tc>
        <w:tc>
          <w:tcPr>
            <w:tcW w:w="1075" w:type="pct"/>
            <w:vAlign w:val="center"/>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20吨</w:t>
            </w:r>
          </w:p>
        </w:tc>
        <w:tc>
          <w:tcPr>
            <w:tcW w:w="1001" w:type="pct"/>
            <w:vMerge w:val="continue"/>
            <w:vAlign w:val="center"/>
          </w:tcPr>
          <w:p>
            <w:pPr>
              <w:keepNext w:val="0"/>
              <w:keepLines w:val="0"/>
              <w:widowControl w:val="0"/>
              <w:suppressLineNumbers w:val="0"/>
              <w:spacing w:before="0" w:beforeAutospacing="0" w:after="0" w:afterAutospacing="0" w:line="360" w:lineRule="exact"/>
              <w:ind w:left="0" w:right="0"/>
              <w:jc w:val="center"/>
              <w:outlineLvl w:val="9"/>
              <w:rPr>
                <w:rFonts w:hint="eastAsia" w:ascii="宋体" w:hAnsi="宋体" w:eastAsia="宋体" w:cs="宋体"/>
                <w:kern w:val="2"/>
                <w:sz w:val="21"/>
                <w:szCs w:val="21"/>
                <w:highlight w:val="none"/>
                <w:vertAlign w:val="baseline"/>
                <w:lang w:val="en-US" w:eastAsia="zh-CN" w:bidi="ar-SA"/>
              </w:rPr>
            </w:pPr>
          </w:p>
        </w:tc>
      </w:tr>
    </w:tbl>
    <w:p>
      <w:pPr>
        <w:widowControl w:val="0"/>
        <w:spacing w:before="161" w:beforeLines="50" w:line="360" w:lineRule="exact"/>
        <w:ind w:firstLine="0" w:firstLineChars="0"/>
        <w:jc w:val="center"/>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表3 服务班组数量及服务月数</w:t>
      </w:r>
    </w:p>
    <w:tbl>
      <w:tblPr>
        <w:tblStyle w:val="10"/>
        <w:tblW w:w="5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7"/>
        <w:gridCol w:w="2374"/>
        <w:gridCol w:w="2605"/>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ascii="宋体" w:hAnsi="宋体" w:eastAsia="宋体" w:cs="宋体"/>
                <w:szCs w:val="21"/>
              </w:rPr>
            </w:pPr>
            <w:r>
              <w:rPr>
                <w:rFonts w:hint="eastAsia" w:ascii="宋体" w:hAnsi="宋体" w:eastAsia="宋体" w:cs="宋体"/>
                <w:szCs w:val="21"/>
              </w:rPr>
              <w:t>序号</w:t>
            </w:r>
          </w:p>
        </w:tc>
        <w:tc>
          <w:tcPr>
            <w:tcW w:w="1409"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ascii="宋体" w:hAnsi="宋体" w:eastAsia="宋体" w:cs="宋体"/>
                <w:szCs w:val="21"/>
              </w:rPr>
            </w:pPr>
            <w:r>
              <w:rPr>
                <w:rFonts w:hint="eastAsia" w:ascii="宋体" w:hAnsi="宋体" w:eastAsia="宋体" w:cs="宋体"/>
                <w:szCs w:val="21"/>
              </w:rPr>
              <w:t>班组类型</w:t>
            </w:r>
          </w:p>
        </w:tc>
        <w:tc>
          <w:tcPr>
            <w:tcW w:w="1546" w:type="pct"/>
            <w:tcBorders>
              <w:top w:val="single" w:color="auto" w:sz="4" w:space="0"/>
              <w:left w:val="single" w:color="auto" w:sz="4" w:space="0"/>
              <w:bottom w:val="single" w:color="auto" w:sz="4" w:space="0"/>
              <w:right w:val="single" w:color="auto" w:sz="4" w:space="0"/>
            </w:tcBorders>
            <w:vAlign w:val="center"/>
          </w:tcPr>
          <w:p>
            <w:pPr>
              <w:spacing w:after="120" w:line="360" w:lineRule="exact"/>
              <w:jc w:val="center"/>
              <w:rPr>
                <w:rFonts w:ascii="宋体" w:hAnsi="宋体" w:eastAsia="宋体" w:cs="Times New Roman"/>
                <w:szCs w:val="21"/>
              </w:rPr>
            </w:pPr>
            <w:r>
              <w:rPr>
                <w:rFonts w:hint="eastAsia" w:ascii="宋体" w:hAnsi="宋体" w:eastAsia="宋体" w:cs="Times New Roman"/>
                <w:szCs w:val="21"/>
              </w:rPr>
              <w:t>暂估数量</w:t>
            </w:r>
            <w:r>
              <w:rPr>
                <w:rFonts w:hint="eastAsia" w:ascii="宋体" w:hAnsi="宋体" w:eastAsia="宋体" w:cs="宋体"/>
                <w:szCs w:val="21"/>
              </w:rPr>
              <w:t>（单位：班）</w:t>
            </w:r>
          </w:p>
        </w:tc>
        <w:tc>
          <w:tcPr>
            <w:tcW w:w="1475" w:type="pct"/>
            <w:tcBorders>
              <w:top w:val="single" w:color="auto" w:sz="4" w:space="0"/>
              <w:left w:val="single" w:color="auto" w:sz="4" w:space="0"/>
              <w:bottom w:val="single" w:color="auto" w:sz="4" w:space="0"/>
              <w:right w:val="single" w:color="auto" w:sz="4" w:space="0"/>
            </w:tcBorders>
            <w:vAlign w:val="center"/>
          </w:tcPr>
          <w:p>
            <w:pPr>
              <w:spacing w:after="120"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预测服务月数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68" w:type="pct"/>
            <w:vMerge w:val="restart"/>
            <w:tcBorders>
              <w:top w:val="single" w:color="auto" w:sz="4" w:space="0"/>
              <w:left w:val="single" w:color="auto" w:sz="4" w:space="0"/>
              <w:right w:val="single" w:color="auto" w:sz="4" w:space="0"/>
            </w:tcBorders>
            <w:vAlign w:val="center"/>
          </w:tcPr>
          <w:p>
            <w:pPr>
              <w:tabs>
                <w:tab w:val="left" w:pos="420"/>
              </w:tabs>
              <w:spacing w:line="360" w:lineRule="exact"/>
              <w:jc w:val="center"/>
              <w:rPr>
                <w:rFonts w:ascii="宋体" w:hAnsi="宋体" w:eastAsia="宋体" w:cs="宋体"/>
                <w:szCs w:val="21"/>
              </w:rPr>
            </w:pPr>
            <w:r>
              <w:rPr>
                <w:rFonts w:hint="eastAsia" w:ascii="宋体" w:hAnsi="宋体" w:eastAsia="宋体" w:cs="宋体"/>
                <w:szCs w:val="21"/>
              </w:rPr>
              <w:t>1</w:t>
            </w:r>
          </w:p>
        </w:tc>
        <w:tc>
          <w:tcPr>
            <w:tcW w:w="1409" w:type="pct"/>
            <w:vMerge w:val="restart"/>
            <w:tcBorders>
              <w:top w:val="single" w:color="auto" w:sz="4" w:space="0"/>
              <w:left w:val="single" w:color="auto" w:sz="4" w:space="0"/>
              <w:right w:val="single" w:color="auto" w:sz="4" w:space="0"/>
            </w:tcBorders>
            <w:vAlign w:val="center"/>
          </w:tcPr>
          <w:p>
            <w:pPr>
              <w:tabs>
                <w:tab w:val="left" w:pos="420"/>
              </w:tabs>
              <w:spacing w:line="360" w:lineRule="exact"/>
              <w:jc w:val="center"/>
              <w:rPr>
                <w:rFonts w:hint="eastAsia" w:ascii="宋体" w:hAnsi="宋体" w:eastAsia="宋体" w:cs="宋体"/>
                <w:szCs w:val="21"/>
              </w:rPr>
            </w:pPr>
            <w:r>
              <w:rPr>
                <w:rFonts w:hint="eastAsia" w:ascii="宋体" w:hAnsi="宋体" w:eastAsia="宋体" w:cs="宋体"/>
                <w:szCs w:val="21"/>
              </w:rPr>
              <w:t>大班</w:t>
            </w:r>
          </w:p>
          <w:p>
            <w:pPr>
              <w:tabs>
                <w:tab w:val="left" w:pos="420"/>
              </w:tabs>
              <w:spacing w:line="360" w:lineRule="exact"/>
              <w:jc w:val="center"/>
              <w:rPr>
                <w:rFonts w:ascii="宋体" w:hAnsi="宋体" w:eastAsia="宋体" w:cs="宋体"/>
                <w:szCs w:val="21"/>
              </w:rPr>
            </w:pPr>
            <w:r>
              <w:rPr>
                <w:rFonts w:hint="eastAsia" w:ascii="宋体" w:hAnsi="宋体" w:eastAsia="宋体" w:cs="宋体"/>
                <w:szCs w:val="21"/>
              </w:rPr>
              <w:t>（4人）</w:t>
            </w:r>
          </w:p>
        </w:tc>
        <w:tc>
          <w:tcPr>
            <w:tcW w:w="1546"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22</w:t>
            </w:r>
          </w:p>
        </w:tc>
        <w:tc>
          <w:tcPr>
            <w:tcW w:w="1475"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68" w:type="pct"/>
            <w:vMerge w:val="continue"/>
            <w:tcBorders>
              <w:left w:val="single" w:color="auto" w:sz="4" w:space="0"/>
              <w:right w:val="single" w:color="auto" w:sz="4" w:space="0"/>
            </w:tcBorders>
            <w:vAlign w:val="center"/>
          </w:tcPr>
          <w:p>
            <w:pPr>
              <w:tabs>
                <w:tab w:val="left" w:pos="420"/>
              </w:tabs>
              <w:spacing w:line="360" w:lineRule="exact"/>
              <w:jc w:val="center"/>
              <w:rPr>
                <w:rFonts w:ascii="Times New Roman" w:hAnsi="Times New Roman" w:eastAsia="宋体" w:cs="Times New Roman"/>
                <w:szCs w:val="22"/>
              </w:rPr>
            </w:pPr>
          </w:p>
        </w:tc>
        <w:tc>
          <w:tcPr>
            <w:tcW w:w="1409" w:type="pct"/>
            <w:vMerge w:val="continue"/>
            <w:tcBorders>
              <w:left w:val="single" w:color="auto" w:sz="4" w:space="0"/>
              <w:right w:val="single" w:color="auto" w:sz="4" w:space="0"/>
            </w:tcBorders>
            <w:vAlign w:val="center"/>
          </w:tcPr>
          <w:p>
            <w:pPr>
              <w:tabs>
                <w:tab w:val="left" w:pos="420"/>
              </w:tabs>
              <w:spacing w:line="360" w:lineRule="exact"/>
              <w:jc w:val="center"/>
              <w:rPr>
                <w:rFonts w:ascii="Times New Roman" w:hAnsi="Times New Roman" w:eastAsia="宋体" w:cs="Times New Roman"/>
                <w:szCs w:val="22"/>
              </w:rPr>
            </w:pPr>
          </w:p>
        </w:tc>
        <w:tc>
          <w:tcPr>
            <w:tcW w:w="1546" w:type="pct"/>
            <w:tcBorders>
              <w:top w:val="single" w:color="auto" w:sz="4" w:space="0"/>
              <w:left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1475"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68" w:type="pct"/>
            <w:vMerge w:val="restart"/>
            <w:tcBorders>
              <w:top w:val="single" w:color="auto" w:sz="4" w:space="0"/>
              <w:left w:val="single" w:color="auto" w:sz="4" w:space="0"/>
              <w:right w:val="single" w:color="auto" w:sz="4" w:space="0"/>
            </w:tcBorders>
            <w:vAlign w:val="center"/>
          </w:tcPr>
          <w:p>
            <w:pPr>
              <w:tabs>
                <w:tab w:val="left" w:pos="420"/>
              </w:tabs>
              <w:spacing w:line="360" w:lineRule="exact"/>
              <w:jc w:val="center"/>
              <w:rPr>
                <w:rFonts w:ascii="宋体" w:hAnsi="宋体" w:eastAsia="宋体" w:cs="宋体"/>
                <w:szCs w:val="21"/>
              </w:rPr>
            </w:pPr>
            <w:r>
              <w:rPr>
                <w:rFonts w:hint="eastAsia" w:ascii="宋体" w:hAnsi="宋体" w:eastAsia="宋体" w:cs="宋体"/>
                <w:szCs w:val="21"/>
              </w:rPr>
              <w:t>2</w:t>
            </w:r>
          </w:p>
        </w:tc>
        <w:tc>
          <w:tcPr>
            <w:tcW w:w="1409" w:type="pct"/>
            <w:vMerge w:val="restart"/>
            <w:tcBorders>
              <w:top w:val="single" w:color="auto" w:sz="4" w:space="0"/>
              <w:left w:val="single" w:color="auto" w:sz="4" w:space="0"/>
              <w:right w:val="single" w:color="auto" w:sz="4" w:space="0"/>
            </w:tcBorders>
            <w:vAlign w:val="center"/>
          </w:tcPr>
          <w:p>
            <w:pPr>
              <w:tabs>
                <w:tab w:val="left" w:pos="420"/>
              </w:tabs>
              <w:spacing w:line="360" w:lineRule="exact"/>
              <w:jc w:val="center"/>
              <w:rPr>
                <w:rFonts w:hint="eastAsia" w:ascii="宋体" w:hAnsi="宋体" w:eastAsia="宋体" w:cs="宋体"/>
                <w:szCs w:val="21"/>
              </w:rPr>
            </w:pPr>
            <w:r>
              <w:rPr>
                <w:rFonts w:hint="eastAsia" w:ascii="宋体" w:hAnsi="宋体" w:eastAsia="宋体" w:cs="宋体"/>
                <w:szCs w:val="21"/>
              </w:rPr>
              <w:t>中班</w:t>
            </w:r>
          </w:p>
          <w:p>
            <w:pPr>
              <w:tabs>
                <w:tab w:val="left" w:pos="420"/>
              </w:tabs>
              <w:spacing w:line="360" w:lineRule="exact"/>
              <w:jc w:val="center"/>
              <w:rPr>
                <w:rFonts w:ascii="宋体" w:hAnsi="宋体" w:eastAsia="宋体" w:cs="宋体"/>
                <w:szCs w:val="21"/>
              </w:rPr>
            </w:pPr>
            <w:r>
              <w:rPr>
                <w:rFonts w:hint="eastAsia" w:ascii="宋体" w:hAnsi="宋体" w:eastAsia="宋体" w:cs="宋体"/>
                <w:szCs w:val="21"/>
              </w:rPr>
              <w:t>（3人）</w:t>
            </w:r>
          </w:p>
        </w:tc>
        <w:tc>
          <w:tcPr>
            <w:tcW w:w="1546"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50</w:t>
            </w:r>
          </w:p>
        </w:tc>
        <w:tc>
          <w:tcPr>
            <w:tcW w:w="1475"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68" w:type="pct"/>
            <w:vMerge w:val="continue"/>
            <w:tcBorders>
              <w:left w:val="single" w:color="auto" w:sz="4" w:space="0"/>
              <w:right w:val="single" w:color="auto" w:sz="4" w:space="0"/>
            </w:tcBorders>
            <w:vAlign w:val="center"/>
          </w:tcPr>
          <w:p>
            <w:pPr>
              <w:tabs>
                <w:tab w:val="left" w:pos="420"/>
              </w:tabs>
              <w:spacing w:line="360" w:lineRule="exact"/>
              <w:jc w:val="center"/>
              <w:rPr>
                <w:rFonts w:ascii="Times New Roman" w:hAnsi="Times New Roman" w:eastAsia="宋体" w:cs="Times New Roman"/>
                <w:szCs w:val="22"/>
              </w:rPr>
            </w:pPr>
          </w:p>
        </w:tc>
        <w:tc>
          <w:tcPr>
            <w:tcW w:w="1409" w:type="pct"/>
            <w:vMerge w:val="continue"/>
            <w:tcBorders>
              <w:left w:val="single" w:color="auto" w:sz="4" w:space="0"/>
              <w:right w:val="single" w:color="auto" w:sz="4" w:space="0"/>
            </w:tcBorders>
            <w:vAlign w:val="center"/>
          </w:tcPr>
          <w:p>
            <w:pPr>
              <w:tabs>
                <w:tab w:val="left" w:pos="420"/>
              </w:tabs>
              <w:spacing w:line="360" w:lineRule="exact"/>
              <w:jc w:val="center"/>
              <w:rPr>
                <w:rFonts w:ascii="Times New Roman" w:hAnsi="Times New Roman" w:eastAsia="宋体" w:cs="Times New Roman"/>
                <w:szCs w:val="22"/>
              </w:rPr>
            </w:pPr>
          </w:p>
        </w:tc>
        <w:tc>
          <w:tcPr>
            <w:tcW w:w="1546" w:type="pct"/>
            <w:tcBorders>
              <w:top w:val="single" w:color="auto" w:sz="4" w:space="0"/>
              <w:left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475"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68" w:type="pct"/>
            <w:vMerge w:val="restart"/>
            <w:tcBorders>
              <w:top w:val="single" w:color="auto" w:sz="4" w:space="0"/>
              <w:left w:val="single" w:color="auto" w:sz="4" w:space="0"/>
              <w:right w:val="single" w:color="auto" w:sz="4" w:space="0"/>
            </w:tcBorders>
            <w:vAlign w:val="center"/>
          </w:tcPr>
          <w:p>
            <w:pPr>
              <w:tabs>
                <w:tab w:val="left" w:pos="420"/>
              </w:tabs>
              <w:spacing w:line="360" w:lineRule="exact"/>
              <w:jc w:val="center"/>
              <w:rPr>
                <w:rFonts w:ascii="宋体" w:hAnsi="宋体" w:eastAsia="宋体" w:cs="宋体"/>
                <w:szCs w:val="21"/>
              </w:rPr>
            </w:pPr>
            <w:r>
              <w:rPr>
                <w:rFonts w:hint="eastAsia" w:ascii="宋体" w:hAnsi="宋体" w:eastAsia="宋体" w:cs="宋体"/>
                <w:szCs w:val="21"/>
              </w:rPr>
              <w:t>3</w:t>
            </w:r>
          </w:p>
        </w:tc>
        <w:tc>
          <w:tcPr>
            <w:tcW w:w="1409" w:type="pct"/>
            <w:vMerge w:val="restart"/>
            <w:tcBorders>
              <w:top w:val="single" w:color="auto" w:sz="4" w:space="0"/>
              <w:left w:val="single" w:color="auto" w:sz="4" w:space="0"/>
              <w:right w:val="single" w:color="auto" w:sz="4" w:space="0"/>
            </w:tcBorders>
            <w:vAlign w:val="center"/>
          </w:tcPr>
          <w:p>
            <w:pPr>
              <w:tabs>
                <w:tab w:val="left" w:pos="420"/>
              </w:tabs>
              <w:spacing w:line="360" w:lineRule="exact"/>
              <w:jc w:val="center"/>
              <w:rPr>
                <w:rFonts w:hint="eastAsia" w:ascii="宋体" w:hAnsi="宋体" w:eastAsia="宋体" w:cs="宋体"/>
                <w:szCs w:val="21"/>
              </w:rPr>
            </w:pPr>
            <w:r>
              <w:rPr>
                <w:rFonts w:hint="eastAsia" w:ascii="宋体" w:hAnsi="宋体" w:eastAsia="宋体" w:cs="宋体"/>
                <w:szCs w:val="21"/>
              </w:rPr>
              <w:t>小班</w:t>
            </w:r>
          </w:p>
          <w:p>
            <w:pPr>
              <w:tabs>
                <w:tab w:val="left" w:pos="420"/>
              </w:tabs>
              <w:spacing w:line="360" w:lineRule="exact"/>
              <w:jc w:val="center"/>
              <w:rPr>
                <w:rFonts w:ascii="宋体" w:hAnsi="宋体" w:eastAsia="宋体" w:cs="宋体"/>
                <w:szCs w:val="21"/>
              </w:rPr>
            </w:pPr>
            <w:r>
              <w:rPr>
                <w:rFonts w:hint="eastAsia" w:ascii="宋体" w:hAnsi="宋体" w:eastAsia="宋体" w:cs="宋体"/>
                <w:szCs w:val="21"/>
              </w:rPr>
              <w:t>（2人）</w:t>
            </w:r>
          </w:p>
        </w:tc>
        <w:tc>
          <w:tcPr>
            <w:tcW w:w="1546"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29</w:t>
            </w:r>
          </w:p>
        </w:tc>
        <w:tc>
          <w:tcPr>
            <w:tcW w:w="1475"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68" w:type="pct"/>
            <w:vMerge w:val="continue"/>
            <w:tcBorders>
              <w:left w:val="single" w:color="auto" w:sz="4" w:space="0"/>
              <w:right w:val="single" w:color="auto" w:sz="4" w:space="0"/>
            </w:tcBorders>
            <w:vAlign w:val="center"/>
          </w:tcPr>
          <w:p>
            <w:pPr>
              <w:tabs>
                <w:tab w:val="left" w:pos="420"/>
              </w:tabs>
              <w:spacing w:line="360" w:lineRule="exact"/>
              <w:jc w:val="center"/>
              <w:rPr>
                <w:rFonts w:ascii="Times New Roman" w:hAnsi="Times New Roman" w:eastAsia="宋体" w:cs="Times New Roman"/>
                <w:szCs w:val="22"/>
              </w:rPr>
            </w:pPr>
          </w:p>
        </w:tc>
        <w:tc>
          <w:tcPr>
            <w:tcW w:w="1409" w:type="pct"/>
            <w:vMerge w:val="continue"/>
            <w:tcBorders>
              <w:left w:val="single" w:color="auto" w:sz="4" w:space="0"/>
              <w:right w:val="single" w:color="auto" w:sz="4" w:space="0"/>
            </w:tcBorders>
            <w:vAlign w:val="center"/>
          </w:tcPr>
          <w:p>
            <w:pPr>
              <w:tabs>
                <w:tab w:val="left" w:pos="420"/>
              </w:tabs>
              <w:spacing w:line="360" w:lineRule="exact"/>
              <w:jc w:val="center"/>
              <w:rPr>
                <w:rFonts w:ascii="Times New Roman" w:hAnsi="Times New Roman" w:eastAsia="宋体" w:cs="Times New Roman"/>
                <w:szCs w:val="22"/>
              </w:rPr>
            </w:pPr>
          </w:p>
        </w:tc>
        <w:tc>
          <w:tcPr>
            <w:tcW w:w="1546" w:type="pct"/>
            <w:tcBorders>
              <w:top w:val="single" w:color="auto" w:sz="4" w:space="0"/>
              <w:left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1475" w:type="pct"/>
            <w:tcBorders>
              <w:top w:val="single" w:color="auto" w:sz="4" w:space="0"/>
              <w:left w:val="single" w:color="auto" w:sz="4" w:space="0"/>
              <w:bottom w:val="single" w:color="auto" w:sz="4" w:space="0"/>
              <w:right w:val="single" w:color="auto" w:sz="4" w:space="0"/>
            </w:tcBorders>
            <w:vAlign w:val="center"/>
          </w:tcPr>
          <w:p>
            <w:pPr>
              <w:tabs>
                <w:tab w:val="left" w:pos="420"/>
              </w:tabs>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r>
    </w:tbl>
    <w:p>
      <w:pPr>
        <w:widowControl w:val="0"/>
        <w:spacing w:before="161" w:beforeLines="50" w:line="360" w:lineRule="exact"/>
        <w:ind w:firstLine="0" w:firstLineChars="0"/>
        <w:jc w:val="center"/>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表4 服务期内加气站销量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450"/>
        <w:gridCol w:w="2621"/>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序号</w:t>
            </w:r>
          </w:p>
        </w:tc>
        <w:tc>
          <w:tcPr>
            <w:tcW w:w="2450" w:type="dxa"/>
          </w:tcPr>
          <w:p>
            <w:pPr>
              <w:keepNext w:val="0"/>
              <w:keepLines w:val="0"/>
              <w:widowControl w:val="0"/>
              <w:suppressLineNumbers w:val="0"/>
              <w:spacing w:before="0" w:beforeAutospacing="0" w:after="0" w:afterAutospacing="0" w:line="360" w:lineRule="exact"/>
              <w:ind w:left="0" w:right="0"/>
              <w:jc w:val="center"/>
              <w:outlineLvl w:val="9"/>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已运营加气站</w:t>
            </w:r>
          </w:p>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预计销量（单位：吨）</w:t>
            </w:r>
          </w:p>
        </w:tc>
        <w:tc>
          <w:tcPr>
            <w:tcW w:w="2621" w:type="dxa"/>
          </w:tcPr>
          <w:p>
            <w:pPr>
              <w:keepNext w:val="0"/>
              <w:keepLines w:val="0"/>
              <w:widowControl w:val="0"/>
              <w:suppressLineNumbers w:val="0"/>
              <w:spacing w:before="0" w:beforeAutospacing="0" w:after="0" w:afterAutospacing="0" w:line="360" w:lineRule="exact"/>
              <w:ind w:left="0" w:right="0"/>
              <w:jc w:val="center"/>
              <w:outlineLvl w:val="9"/>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拟开发加气站</w:t>
            </w:r>
          </w:p>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预计销量（单位：吨）</w:t>
            </w:r>
          </w:p>
        </w:tc>
        <w:tc>
          <w:tcPr>
            <w:tcW w:w="2213" w:type="dxa"/>
          </w:tcPr>
          <w:p>
            <w:pPr>
              <w:keepNext w:val="0"/>
              <w:keepLines w:val="0"/>
              <w:widowControl w:val="0"/>
              <w:suppressLineNumbers w:val="0"/>
              <w:spacing w:before="0" w:beforeAutospacing="0" w:after="0" w:afterAutospacing="0" w:line="360" w:lineRule="exact"/>
              <w:ind w:left="0" w:right="0"/>
              <w:jc w:val="center"/>
              <w:outlineLvl w:val="9"/>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预计总销量</w:t>
            </w:r>
          </w:p>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合计（单位：吨）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2450" w:type="dxa"/>
          </w:tcPr>
          <w:p>
            <w:pPr>
              <w:keepNext w:val="0"/>
              <w:keepLines w:val="0"/>
              <w:widowControl w:val="0"/>
              <w:suppressLineNumbers w:val="0"/>
              <w:spacing w:before="0" w:beforeAutospacing="0" w:after="0" w:afterAutospacing="0" w:line="360" w:lineRule="exact"/>
              <w:ind w:left="0" w:right="0"/>
              <w:jc w:val="center"/>
              <w:outlineLvl w:val="9"/>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733222</w:t>
            </w:r>
          </w:p>
        </w:tc>
        <w:tc>
          <w:tcPr>
            <w:tcW w:w="2621" w:type="dxa"/>
          </w:tcPr>
          <w:p>
            <w:pPr>
              <w:keepNext w:val="0"/>
              <w:keepLines w:val="0"/>
              <w:widowControl w:val="0"/>
              <w:suppressLineNumbers w:val="0"/>
              <w:spacing w:before="0" w:beforeAutospacing="0" w:after="0" w:afterAutospacing="0" w:line="360" w:lineRule="exact"/>
              <w:ind w:left="0" w:right="0"/>
              <w:jc w:val="center"/>
              <w:outlineLvl w:val="9"/>
              <w:rPr>
                <w:rFonts w:hint="eastAsia" w:asciiTheme="majorEastAsia" w:hAnsiTheme="majorEastAsia" w:eastAsiaTheme="majorEastAsia" w:cstheme="majorEastAsia"/>
                <w:kern w:val="2"/>
                <w:sz w:val="21"/>
                <w:szCs w:val="21"/>
                <w:vertAlign w:val="baseline"/>
                <w:lang w:val="en-US" w:eastAsia="zh-CN" w:bidi="ar-SA"/>
              </w:rPr>
            </w:pPr>
            <w:r>
              <w:rPr>
                <w:rStyle w:val="12"/>
                <w:rFonts w:hint="eastAsia" w:asciiTheme="majorEastAsia" w:hAnsiTheme="majorEastAsia" w:eastAsiaTheme="majorEastAsia" w:cstheme="majorEastAsia"/>
                <w:sz w:val="21"/>
                <w:szCs w:val="21"/>
                <w:vertAlign w:val="baseline"/>
                <w:lang w:val="en-US" w:eastAsia="zh-CN"/>
              </w:rPr>
              <w:t>536770</w:t>
            </w:r>
          </w:p>
        </w:tc>
        <w:tc>
          <w:tcPr>
            <w:tcW w:w="2213" w:type="dxa"/>
          </w:tcPr>
          <w:p>
            <w:pPr>
              <w:keepNext w:val="0"/>
              <w:keepLines w:val="0"/>
              <w:widowControl w:val="0"/>
              <w:suppressLineNumbers w:val="0"/>
              <w:spacing w:before="0" w:beforeAutospacing="0" w:after="0" w:afterAutospacing="0" w:line="360" w:lineRule="exact"/>
              <w:ind w:left="0" w:right="0"/>
              <w:jc w:val="center"/>
              <w:outlineLvl w:val="9"/>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1269992</w:t>
            </w:r>
          </w:p>
        </w:tc>
      </w:tr>
    </w:tbl>
    <w:p>
      <w:pPr>
        <w:pStyle w:val="2"/>
        <w:ind w:firstLine="480" w:firstLineChars="200"/>
        <w:rPr>
          <w:rStyle w:val="12"/>
          <w:rFonts w:hint="default" w:ascii="宋体" w:hAnsi="宋体" w:eastAsia="宋体" w:cs="宋体"/>
          <w:i w:val="0"/>
          <w:iCs w:val="0"/>
          <w:kern w:val="2"/>
          <w:sz w:val="24"/>
          <w:szCs w:val="24"/>
          <w:lang w:val="en-US" w:eastAsia="zh-CN" w:bidi="ar-SA"/>
        </w:rPr>
      </w:pPr>
      <w:bookmarkStart w:id="0" w:name="_GoBack"/>
      <w:bookmarkEnd w:id="0"/>
      <w:r>
        <w:rPr>
          <w:rStyle w:val="12"/>
          <w:rFonts w:hint="default" w:ascii="宋体" w:hAnsi="宋体" w:eastAsia="宋体" w:cs="宋体"/>
          <w:i w:val="0"/>
          <w:iCs w:val="0"/>
          <w:kern w:val="2"/>
          <w:sz w:val="24"/>
          <w:szCs w:val="24"/>
          <w:lang w:val="en-US" w:eastAsia="zh-CN" w:bidi="ar-SA"/>
        </w:rPr>
        <w:t>投标人的报价是对标段内油气站生产运维支持的总报价。报价包括基础服务费和联量服务费两部分。其中，基础服务费根据服务班组数量和服务月数进行测算，该费用应包含投标人管理人员成本开支、生产操作服务人员成本开支（包括但不限于生产操作服务人员的工资、绩效奖金、加班费、取暖费、防暑降温费、交通补贴、通讯补贴、倒班津贴、餐费补贴、公会福利、五险一金、商业保险、体检等）、生产操作服务人员取得职业资格证费用及复审费用开支、需要由投标人承担的培训费开支等成本及利润；联量服务费作为市场开发激励，结合投标人收益预期，根据标段加气站总销量进行测算。</w:t>
      </w:r>
    </w:p>
    <w:p>
      <w:pPr>
        <w:pStyle w:val="4"/>
        <w:keepNext w:val="0"/>
        <w:keepLines w:val="0"/>
        <w:pageBreakBefore w:val="0"/>
        <w:kinsoku/>
        <w:wordWrap/>
        <w:topLinePunct w:val="0"/>
        <w:bidi w:val="0"/>
        <w:spacing w:line="360" w:lineRule="auto"/>
        <w:ind w:left="0" w:leftChars="0" w:firstLine="480" w:firstLineChars="200"/>
        <w:rPr>
          <w:rStyle w:val="12"/>
          <w:rFonts w:hint="default" w:ascii="宋体" w:hAnsi="宋体" w:eastAsia="宋体" w:cs="宋体"/>
          <w:i w:val="0"/>
          <w:iCs w:val="0"/>
          <w:kern w:val="2"/>
          <w:sz w:val="24"/>
          <w:szCs w:val="24"/>
          <w:lang w:val="en-US" w:eastAsia="zh-CN" w:bidi="ar-SA"/>
        </w:rPr>
      </w:pPr>
      <w:r>
        <w:rPr>
          <w:rStyle w:val="12"/>
          <w:rFonts w:hint="default" w:ascii="宋体" w:hAnsi="宋体" w:eastAsia="宋体" w:cs="宋体"/>
          <w:i w:val="0"/>
          <w:iCs w:val="0"/>
          <w:kern w:val="2"/>
          <w:sz w:val="24"/>
          <w:szCs w:val="24"/>
          <w:lang w:val="en-US" w:eastAsia="zh-CN" w:bidi="ar-SA"/>
        </w:rPr>
        <w:t>服务费按月结算，根据班组配置、考核评价结果以及月度加注量完成月度金额结算。</w:t>
      </w:r>
    </w:p>
    <w:p>
      <w:pPr>
        <w:keepNext w:val="0"/>
        <w:keepLines w:val="0"/>
        <w:pageBreakBefore w:val="0"/>
        <w:numPr>
          <w:ilvl w:val="0"/>
          <w:numId w:val="1"/>
        </w:numPr>
        <w:kinsoku/>
        <w:wordWrap/>
        <w:topLinePunct w:val="0"/>
        <w:bidi w:val="0"/>
        <w:snapToGrid w:val="0"/>
        <w:spacing w:line="360" w:lineRule="auto"/>
        <w:ind w:firstLine="0" w:firstLineChars="0"/>
        <w:outlineLvl w:val="1"/>
        <w:rPr>
          <w:rFonts w:hint="default" w:ascii="宋体" w:hAnsi="宋体" w:eastAsia="宋体" w:cs="宋体"/>
          <w:b/>
          <w:bCs/>
          <w:sz w:val="24"/>
          <w:lang w:val="en-US" w:eastAsia="zh-CN"/>
        </w:rPr>
      </w:pPr>
      <w:r>
        <w:rPr>
          <w:rFonts w:hint="eastAsia" w:ascii="宋体" w:hAnsi="宋体" w:eastAsia="宋体" w:cs="宋体"/>
          <w:b/>
          <w:bCs/>
          <w:sz w:val="24"/>
          <w:lang w:val="en-US" w:eastAsia="zh-CN"/>
        </w:rPr>
        <w:t>服务期及里程碑计划</w:t>
      </w:r>
    </w:p>
    <w:p>
      <w:pPr>
        <w:pStyle w:val="2"/>
        <w:ind w:firstLine="480" w:firstLineChars="200"/>
        <w:rPr>
          <w:rFonts w:hint="eastAsia" w:ascii="宋体" w:hAnsi="宋体"/>
          <w:kern w:val="0"/>
          <w:sz w:val="24"/>
          <w:szCs w:val="20"/>
          <w:lang w:val="en-US" w:eastAsia="zh-CN"/>
        </w:rPr>
      </w:pPr>
      <w:r>
        <w:rPr>
          <w:rFonts w:hint="eastAsia" w:ascii="宋体" w:hAnsi="宋体" w:cs="宋体"/>
          <w:i w:val="0"/>
          <w:iCs w:val="0"/>
          <w:kern w:val="0"/>
          <w:sz w:val="24"/>
          <w:szCs w:val="20"/>
          <w:lang w:val="en-US" w:eastAsia="zh-CN"/>
        </w:rPr>
        <w:t>合同期限3年，采用“1+1+1”模式，每合同年度完成后招标人对外包服务质量进行评价，评价合格后服务期延续一年。</w:t>
      </w:r>
    </w:p>
    <w:p>
      <w:pPr>
        <w:numPr>
          <w:ilvl w:val="0"/>
          <w:numId w:val="1"/>
        </w:numPr>
        <w:snapToGrid w:val="0"/>
        <w:ind w:firstLine="0" w:firstLineChars="0"/>
        <w:outlineLvl w:val="1"/>
        <w:rPr>
          <w:rFonts w:hint="default" w:ascii="宋体" w:hAnsi="宋体" w:eastAsia="宋体" w:cs="宋体"/>
          <w:sz w:val="24"/>
          <w:lang w:val="en-US" w:eastAsia="zh-CN"/>
        </w:rPr>
      </w:pPr>
      <w:r>
        <w:rPr>
          <w:rFonts w:hint="eastAsia" w:ascii="宋体" w:hAnsi="宋体" w:eastAsia="宋体" w:cs="宋体"/>
          <w:b/>
          <w:bCs/>
          <w:sz w:val="24"/>
          <w:lang w:val="en-US" w:eastAsia="zh-CN"/>
        </w:rPr>
        <w:t>交付形式</w:t>
      </w:r>
    </w:p>
    <w:p>
      <w:pPr>
        <w:numPr>
          <w:ilvl w:val="0"/>
          <w:numId w:val="0"/>
        </w:numPr>
        <w:snapToGrid w:val="0"/>
        <w:ind w:firstLine="480" w:firstLineChars="200"/>
        <w:outlineLvl w:val="1"/>
        <w:rPr>
          <w:rFonts w:hint="eastAsia" w:ascii="宋体" w:hAnsi="宋体" w:eastAsia="宋体" w:cs="宋体"/>
          <w:b w:val="0"/>
          <w:bCs w:val="0"/>
          <w:kern w:val="0"/>
          <w:sz w:val="24"/>
          <w:szCs w:val="20"/>
          <w:lang w:val="en-US" w:eastAsia="zh-CN"/>
        </w:rPr>
      </w:pPr>
      <w:r>
        <w:rPr>
          <w:rFonts w:hint="eastAsia" w:ascii="宋体" w:hAnsi="宋体" w:eastAsia="宋体" w:cs="宋体"/>
          <w:kern w:val="0"/>
          <w:sz w:val="24"/>
          <w:szCs w:val="20"/>
          <w:lang w:val="en-US" w:eastAsia="zh-CN"/>
        </w:rPr>
        <w:t>根据招标人的实际需求，在招标人规定时间内为其所属加气站提供生产操作服务。</w:t>
      </w:r>
    </w:p>
    <w:p>
      <w:pPr>
        <w:numPr>
          <w:ilvl w:val="0"/>
          <w:numId w:val="1"/>
        </w:numPr>
        <w:snapToGrid w:val="0"/>
        <w:ind w:firstLine="0" w:firstLineChars="0"/>
        <w:outlineLvl w:val="1"/>
        <w:rPr>
          <w:rFonts w:hint="default" w:ascii="宋体" w:hAnsi="宋体" w:eastAsia="宋体" w:cs="宋体"/>
          <w:b/>
          <w:bCs/>
          <w:sz w:val="24"/>
          <w:lang w:val="en-US" w:eastAsia="zh-CN"/>
        </w:rPr>
      </w:pPr>
      <w:r>
        <w:rPr>
          <w:rFonts w:hint="eastAsia" w:ascii="宋体" w:hAnsi="宋体" w:eastAsia="宋体" w:cs="宋体"/>
          <w:b/>
          <w:bCs/>
          <w:sz w:val="24"/>
          <w:lang w:val="en-US" w:eastAsia="zh-CN"/>
        </w:rPr>
        <w:t>验收方式</w:t>
      </w:r>
    </w:p>
    <w:p>
      <w:r>
        <w:rPr>
          <w:rFonts w:hint="eastAsia" w:ascii="宋体" w:hAnsi="宋体" w:eastAsia="宋体" w:cs="宋体"/>
          <w:b w:val="0"/>
          <w:bCs w:val="0"/>
          <w:sz w:val="24"/>
          <w:lang w:val="en-US" w:eastAsia="zh-CN"/>
        </w:rPr>
        <w:t>招标人每月10日前（遇节假日顺延）对中标人上月加气站生产操作服务进行考核评价并形成月度服务情况考核表，作为付款依据。加气站月度服务情况考核表见合同附件三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0F465"/>
    <w:multiLevelType w:val="singleLevel"/>
    <w:tmpl w:val="9910F465"/>
    <w:lvl w:ilvl="0" w:tentative="0">
      <w:start w:val="3"/>
      <w:numFmt w:val="decimal"/>
      <w:suff w:val="space"/>
      <w:lvlText w:val="%1."/>
      <w:lvlJc w:val="left"/>
    </w:lvl>
  </w:abstractNum>
  <w:abstractNum w:abstractNumId="1">
    <w:nsid w:val="505E4695"/>
    <w:multiLevelType w:val="singleLevel"/>
    <w:tmpl w:val="505E4695"/>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350BF"/>
    <w:rsid w:val="5659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_GB2312" w:cs="Times New Roman"/>
      <w:kern w:val="2"/>
      <w:sz w:val="28"/>
      <w:szCs w:val="22"/>
      <w:lang w:val="en-US" w:eastAsia="zh-CN" w:bidi="ar-SA"/>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overflowPunct/>
      <w:autoSpaceDE/>
      <w:autoSpaceDN/>
      <w:adjustRightInd/>
      <w:spacing w:after="120"/>
      <w:ind w:firstLine="420" w:firstLineChars="100"/>
      <w:jc w:val="both"/>
      <w:textAlignment w:val="auto"/>
    </w:pPr>
    <w:rPr>
      <w:rFonts w:ascii="Calibri" w:hAnsi="Calibri" w:eastAsia="宋体" w:cs="宋体"/>
      <w:kern w:val="2"/>
      <w:sz w:val="21"/>
      <w:szCs w:val="22"/>
    </w:rPr>
  </w:style>
  <w:style w:type="paragraph" w:styleId="3">
    <w:name w:val="Body Text"/>
    <w:basedOn w:val="1"/>
    <w:next w:val="1"/>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customStyle="1" w:styleId="4">
    <w:name w:val="TOC 6"/>
    <w:basedOn w:val="5"/>
    <w:next w:val="5"/>
    <w:qFormat/>
    <w:uiPriority w:val="0"/>
    <w:pPr>
      <w:widowControl/>
      <w:overflowPunct w:val="0"/>
      <w:autoSpaceDE w:val="0"/>
      <w:autoSpaceDN w:val="0"/>
      <w:adjustRightInd w:val="0"/>
      <w:ind w:left="1000"/>
      <w:jc w:val="left"/>
      <w:textAlignment w:val="baseline"/>
    </w:pPr>
    <w:rPr>
      <w:rFonts w:ascii="Times New Roman" w:hAnsi="Times New Roman" w:cs="Times New Roman"/>
      <w:kern w:val="0"/>
      <w:sz w:val="18"/>
      <w:szCs w:val="20"/>
      <w:lang w:eastAsia="en-US"/>
    </w:rPr>
  </w:style>
  <w:style w:type="paragraph" w:customStyle="1" w:styleId="5">
    <w:name w:val="Normal_0"/>
    <w:next w:val="6"/>
    <w:qFormat/>
    <w:uiPriority w:val="0"/>
    <w:pPr>
      <w:widowControl w:val="0"/>
      <w:jc w:val="both"/>
    </w:pPr>
    <w:rPr>
      <w:rFonts w:ascii="Calibri" w:hAnsi="Calibri" w:eastAsia="宋体" w:cs="宋体"/>
      <w:kern w:val="2"/>
      <w:sz w:val="21"/>
      <w:szCs w:val="22"/>
      <w:lang w:val="en-US" w:eastAsia="zh-CN" w:bidi="ar-SA"/>
    </w:rPr>
  </w:style>
  <w:style w:type="paragraph" w:styleId="6">
    <w:name w:val="Body Text First Indent 2"/>
    <w:basedOn w:val="7"/>
    <w:next w:val="8"/>
    <w:qFormat/>
    <w:uiPriority w:val="0"/>
    <w:pPr>
      <w:widowControl/>
      <w:spacing w:after="120" w:line="360" w:lineRule="auto"/>
      <w:ind w:left="420" w:firstLine="210"/>
      <w:jc w:val="left"/>
    </w:pPr>
  </w:style>
  <w:style w:type="paragraph" w:customStyle="1" w:styleId="7">
    <w:name w:val="Body Text Indent1"/>
    <w:basedOn w:val="5"/>
    <w:qFormat/>
    <w:uiPriority w:val="0"/>
    <w:pPr>
      <w:spacing w:line="312" w:lineRule="atLeast"/>
      <w:ind w:firstLine="540"/>
    </w:pPr>
    <w:rPr>
      <w:rFonts w:ascii="Times New Roman" w:hAnsi="Times New Roman" w:eastAsia="楷体" w:cs="Times New Roman"/>
      <w:snapToGrid w:val="0"/>
      <w:kern w:val="0"/>
      <w:szCs w:val="20"/>
    </w:rPr>
  </w:style>
  <w:style w:type="paragraph" w:customStyle="1" w:styleId="8">
    <w:name w:val="Body Text"/>
    <w:basedOn w:val="5"/>
    <w:next w:val="2"/>
    <w:qFormat/>
    <w:uiPriority w:val="0"/>
    <w:pPr>
      <w:widowControl/>
      <w:overflowPunct w:val="0"/>
      <w:autoSpaceDE w:val="0"/>
      <w:autoSpaceDN w:val="0"/>
      <w:adjustRightInd w:val="0"/>
      <w:jc w:val="left"/>
      <w:textAlignment w:val="baseline"/>
    </w:pPr>
    <w:rPr>
      <w:rFonts w:ascii="楷体" w:hAnsi="Times New Roman" w:eastAsia="楷体" w:cs="Times New Roman"/>
      <w:i/>
      <w:iCs/>
      <w:kern w:val="0"/>
      <w:sz w:val="20"/>
      <w:szCs w:val="20"/>
    </w:rPr>
  </w:style>
  <w:style w:type="paragraph" w:styleId="9">
    <w:name w:val="footer"/>
    <w:basedOn w:val="1"/>
    <w:unhideWhenUsed/>
    <w:qFormat/>
    <w:uiPriority w:val="99"/>
    <w:pPr>
      <w:tabs>
        <w:tab w:val="center" w:pos="4153"/>
        <w:tab w:val="right" w:pos="8306"/>
      </w:tabs>
      <w:snapToGrid w:val="0"/>
      <w:spacing w:line="240" w:lineRule="auto"/>
      <w:ind w:firstLine="0" w:firstLineChars="0"/>
      <w:jc w:val="left"/>
    </w:pPr>
    <w:rPr>
      <w:rFonts w:ascii="Calibri" w:hAnsi="Calibri" w:eastAsia="宋体" w:cs="Times New Roman"/>
      <w:sz w:val="18"/>
      <w:szCs w:val="18"/>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_1"/>
    <w:qFormat/>
    <w:uiPriority w:val="0"/>
    <w:pPr>
      <w:widowControl w:val="0"/>
      <w:jc w:val="both"/>
    </w:pPr>
    <w:rPr>
      <w:rFonts w:ascii="Arial" w:hAnsi="Arial" w:eastAsia="微软雅黑"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2025-12-24T07:46:00Z</dcterms:created>
  <dc:creator>user</dc:creator>
  <cp:lastModifiedBy>戚海燕</cp:lastModifiedBy>
  <dcterms:modified xsi:type="dcterms:W3CDTF">2025-12-26T04:58:45Z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43A4E02ED6AD42A3925C91547C9829C8</vt:lpwstr>
  </property>
</Properties>
</file>