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200" w:line="276" w:lineRule="auto"/>
        <w:jc w:val="center"/>
        <w:outlineLvl w:val="1"/>
        <w:rPr>
          <w:rFonts w:ascii="宋体" w:hAnsi="宋体" w:eastAsia="宋体" w:cs="Arial"/>
        </w:rPr>
      </w:pPr>
      <w:bookmarkStart w:id="0" w:name="_Toc1544943"/>
      <w:bookmarkStart w:id="1" w:name="_Toc436307158"/>
      <w:bookmarkStart w:id="2" w:name="_Toc103869190"/>
      <w:r>
        <w:rPr>
          <w:rFonts w:hint="eastAsia" w:ascii="宋体" w:hAnsi="宋体" w:eastAsia="宋体" w:cs="Times New Roman"/>
          <w:b/>
          <w:bCs/>
          <w:kern w:val="0"/>
          <w:sz w:val="26"/>
          <w:szCs w:val="26"/>
          <w:lang w:bidi="en-US"/>
        </w:rPr>
        <w:t>设备采购合同</w:t>
      </w:r>
      <w:bookmarkStart w:id="3" w:name="_Toc436227892"/>
      <w:bookmarkStart w:id="4" w:name="_Toc436232642"/>
      <w:r>
        <w:rPr>
          <w:rFonts w:ascii="宋体" w:hAnsi="宋体" w:eastAsia="宋体" w:cs="Times New Roman"/>
          <w:b/>
          <w:bCs/>
          <w:kern w:val="0"/>
          <w:sz w:val="26"/>
          <w:szCs w:val="26"/>
          <w:lang w:bidi="en-US"/>
        </w:rPr>
        <w:br w:type="textWrapping"/>
      </w:r>
      <w:r>
        <w:rPr>
          <w:rFonts w:hint="eastAsia" w:ascii="宋体" w:hAnsi="宋体" w:eastAsia="宋体" w:cs="Arial"/>
        </w:rPr>
        <w:t>（不需要安装调试的设备采购）</w:t>
      </w:r>
      <w:bookmarkEnd w:id="0"/>
      <w:bookmarkEnd w:id="1"/>
      <w:bookmarkEnd w:id="2"/>
      <w:bookmarkEnd w:id="3"/>
      <w:bookmarkEnd w:id="4"/>
    </w:p>
    <w:p>
      <w:pPr>
        <w:tabs>
          <w:tab w:val="left" w:pos="567"/>
          <w:tab w:val="left" w:pos="709"/>
          <w:tab w:val="left" w:pos="993"/>
        </w:tabs>
        <w:spacing w:line="420" w:lineRule="exact"/>
        <w:contextualSpacing/>
        <w:jc w:val="left"/>
        <w:rPr>
          <w:rFonts w:ascii="宋体" w:hAnsi="宋体" w:eastAsia="宋体" w:cs="Arial"/>
        </w:rPr>
      </w:pPr>
      <w:r>
        <w:rPr>
          <w:rFonts w:hint="eastAsia" w:ascii="宋体" w:hAnsi="宋体" w:eastAsia="宋体" w:cs="Arial"/>
        </w:rPr>
        <w:t>买方（甲方）：                                               合同编号：</w:t>
      </w:r>
    </w:p>
    <w:p>
      <w:pPr>
        <w:tabs>
          <w:tab w:val="left" w:pos="567"/>
          <w:tab w:val="left" w:pos="709"/>
          <w:tab w:val="left" w:pos="993"/>
        </w:tabs>
        <w:spacing w:line="420" w:lineRule="exact"/>
        <w:contextualSpacing/>
        <w:jc w:val="left"/>
        <w:rPr>
          <w:rFonts w:ascii="宋体" w:hAnsi="宋体" w:eastAsia="宋体" w:cs="Arial"/>
        </w:rPr>
      </w:pPr>
      <w:r>
        <w:rPr>
          <w:rFonts w:hint="eastAsia" w:ascii="宋体" w:hAnsi="宋体" w:eastAsia="宋体" w:cs="Arial"/>
        </w:rPr>
        <w:t>卖方（乙方）：                                               签订地点：浙江桐乡</w:t>
      </w:r>
    </w:p>
    <w:p>
      <w:pPr>
        <w:tabs>
          <w:tab w:val="left" w:pos="567"/>
          <w:tab w:val="left" w:pos="709"/>
          <w:tab w:val="left" w:pos="993"/>
        </w:tabs>
        <w:spacing w:line="420" w:lineRule="exact"/>
        <w:contextualSpacing/>
        <w:jc w:val="left"/>
        <w:rPr>
          <w:rFonts w:ascii="宋体" w:hAnsi="宋体" w:eastAsia="宋体" w:cs="Arial"/>
        </w:rPr>
      </w:pPr>
    </w:p>
    <w:p>
      <w:pPr>
        <w:tabs>
          <w:tab w:val="left" w:pos="567"/>
          <w:tab w:val="left" w:pos="709"/>
          <w:tab w:val="left" w:pos="993"/>
        </w:tabs>
        <w:spacing w:line="420" w:lineRule="exact"/>
        <w:contextualSpacing/>
        <w:jc w:val="left"/>
        <w:rPr>
          <w:rFonts w:ascii="宋体" w:hAnsi="宋体" w:eastAsia="宋体" w:cs="Arial"/>
        </w:rPr>
      </w:pPr>
      <w:r>
        <w:rPr>
          <w:rFonts w:hint="eastAsia" w:ascii="宋体" w:hAnsi="宋体" w:eastAsia="宋体" w:cs="Arial"/>
        </w:rPr>
        <w:t xml:space="preserve">经双方友好协商，达成以下设备采购合同条款。 </w:t>
      </w:r>
    </w:p>
    <w:p>
      <w:pPr>
        <w:widowControl/>
        <w:numPr>
          <w:ilvl w:val="1"/>
          <w:numId w:val="1"/>
        </w:numPr>
        <w:tabs>
          <w:tab w:val="left" w:pos="567"/>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exact"/>
        <w:ind w:left="0" w:firstLine="0"/>
        <w:contextualSpacing/>
        <w:jc w:val="left"/>
        <w:rPr>
          <w:rFonts w:ascii="宋体" w:hAnsi="宋体" w:eastAsia="宋体" w:cs="Century"/>
          <w:b/>
          <w:kern w:val="0"/>
          <w:sz w:val="22"/>
          <w:lang w:bidi="en-US"/>
        </w:rPr>
      </w:pPr>
      <w:r>
        <w:rPr>
          <w:rFonts w:ascii="宋体" w:hAnsi="宋体" w:eastAsia="宋体" w:cs="Century"/>
          <w:b/>
          <w:kern w:val="0"/>
          <w:sz w:val="22"/>
          <w:lang w:bidi="en-US"/>
        </w:rPr>
        <w:t>名称、规格、单价、数量、金额</w:t>
      </w:r>
    </w:p>
    <w:tbl>
      <w:tblPr>
        <w:tblStyle w:val="3"/>
        <w:tblW w:w="8615" w:type="dxa"/>
        <w:tblInd w:w="4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1134"/>
        <w:gridCol w:w="1418"/>
        <w:gridCol w:w="1276"/>
        <w:gridCol w:w="1417"/>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8" w:hRule="atLeast"/>
        </w:trPr>
        <w:tc>
          <w:tcPr>
            <w:tcW w:w="1386" w:type="dxa"/>
            <w:vAlign w:val="center"/>
          </w:tcPr>
          <w:p>
            <w:pPr>
              <w:widowControl/>
              <w:tabs>
                <w:tab w:val="left" w:pos="567"/>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exact"/>
              <w:contextualSpacing/>
              <w:jc w:val="left"/>
              <w:rPr>
                <w:rFonts w:ascii="宋体" w:hAnsi="宋体" w:eastAsia="宋体" w:cs="Century"/>
                <w:kern w:val="0"/>
                <w:sz w:val="22"/>
                <w:lang w:eastAsia="en-US" w:bidi="en-US"/>
              </w:rPr>
            </w:pPr>
            <w:r>
              <w:rPr>
                <w:rFonts w:ascii="宋体" w:hAnsi="宋体" w:eastAsia="宋体" w:cs="Century"/>
                <w:kern w:val="0"/>
                <w:sz w:val="22"/>
                <w:lang w:eastAsia="en-US" w:bidi="en-US"/>
              </w:rPr>
              <w:t>名称</w:t>
            </w:r>
          </w:p>
        </w:tc>
        <w:tc>
          <w:tcPr>
            <w:tcW w:w="1134" w:type="dxa"/>
            <w:vAlign w:val="center"/>
          </w:tcPr>
          <w:p>
            <w:pPr>
              <w:widowControl/>
              <w:tabs>
                <w:tab w:val="left" w:pos="567"/>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exact"/>
              <w:contextualSpacing/>
              <w:jc w:val="left"/>
              <w:rPr>
                <w:rFonts w:ascii="宋体" w:hAnsi="宋体" w:eastAsia="宋体" w:cs="Century"/>
                <w:kern w:val="0"/>
                <w:sz w:val="22"/>
                <w:lang w:eastAsia="en-US" w:bidi="en-US"/>
              </w:rPr>
            </w:pPr>
            <w:r>
              <w:rPr>
                <w:rFonts w:ascii="宋体" w:hAnsi="宋体" w:eastAsia="宋体" w:cs="Century"/>
                <w:kern w:val="0"/>
                <w:sz w:val="22"/>
                <w:lang w:eastAsia="en-US" w:bidi="en-US"/>
              </w:rPr>
              <w:t>规格</w:t>
            </w:r>
          </w:p>
        </w:tc>
        <w:tc>
          <w:tcPr>
            <w:tcW w:w="1418" w:type="dxa"/>
            <w:vAlign w:val="center"/>
          </w:tcPr>
          <w:p>
            <w:pPr>
              <w:widowControl/>
              <w:tabs>
                <w:tab w:val="left" w:pos="567"/>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exact"/>
              <w:contextualSpacing/>
              <w:jc w:val="left"/>
              <w:rPr>
                <w:rFonts w:ascii="宋体" w:hAnsi="宋体" w:eastAsia="宋体" w:cs="Century"/>
                <w:kern w:val="0"/>
                <w:sz w:val="22"/>
                <w:lang w:eastAsia="en-US" w:bidi="en-US"/>
              </w:rPr>
            </w:pPr>
            <w:r>
              <w:rPr>
                <w:rFonts w:ascii="宋体" w:hAnsi="宋体" w:eastAsia="宋体" w:cs="Century"/>
                <w:kern w:val="0"/>
                <w:sz w:val="22"/>
                <w:lang w:eastAsia="en-US" w:bidi="en-US"/>
              </w:rPr>
              <w:t>单价(元)</w:t>
            </w:r>
          </w:p>
        </w:tc>
        <w:tc>
          <w:tcPr>
            <w:tcW w:w="1276" w:type="dxa"/>
            <w:vAlign w:val="center"/>
          </w:tcPr>
          <w:p>
            <w:pPr>
              <w:widowControl/>
              <w:tabs>
                <w:tab w:val="left" w:pos="567"/>
                <w:tab w:val="left" w:pos="709"/>
                <w:tab w:val="left" w:pos="882"/>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exact"/>
              <w:contextualSpacing/>
              <w:jc w:val="left"/>
              <w:rPr>
                <w:rFonts w:ascii="宋体" w:hAnsi="宋体" w:eastAsia="宋体" w:cs="Century"/>
                <w:kern w:val="0"/>
                <w:sz w:val="22"/>
                <w:lang w:eastAsia="en-US" w:bidi="en-US"/>
              </w:rPr>
            </w:pPr>
            <w:r>
              <w:rPr>
                <w:rFonts w:ascii="宋体" w:hAnsi="宋体" w:eastAsia="宋体" w:cs="Century"/>
                <w:kern w:val="0"/>
                <w:sz w:val="22"/>
                <w:lang w:eastAsia="en-US" w:bidi="en-US"/>
              </w:rPr>
              <w:t>数量（台）</w:t>
            </w:r>
          </w:p>
        </w:tc>
        <w:tc>
          <w:tcPr>
            <w:tcW w:w="1417" w:type="dxa"/>
            <w:vAlign w:val="center"/>
          </w:tcPr>
          <w:p>
            <w:pPr>
              <w:widowControl/>
              <w:tabs>
                <w:tab w:val="left" w:pos="567"/>
                <w:tab w:val="left" w:pos="709"/>
                <w:tab w:val="left" w:pos="993"/>
                <w:tab w:val="left" w:pos="105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exact"/>
              <w:contextualSpacing/>
              <w:jc w:val="left"/>
              <w:rPr>
                <w:rFonts w:ascii="宋体" w:hAnsi="宋体" w:eastAsia="宋体" w:cs="Century"/>
                <w:kern w:val="0"/>
                <w:sz w:val="22"/>
                <w:lang w:eastAsia="en-US" w:bidi="en-US"/>
              </w:rPr>
            </w:pPr>
            <w:r>
              <w:rPr>
                <w:rFonts w:ascii="宋体" w:hAnsi="宋体" w:eastAsia="宋体" w:cs="Century"/>
                <w:kern w:val="0"/>
                <w:sz w:val="22"/>
                <w:lang w:eastAsia="en-US" w:bidi="en-US"/>
              </w:rPr>
              <w:t>金额(元)</w:t>
            </w:r>
          </w:p>
        </w:tc>
        <w:tc>
          <w:tcPr>
            <w:tcW w:w="1984" w:type="dxa"/>
            <w:vAlign w:val="center"/>
          </w:tcPr>
          <w:p>
            <w:pPr>
              <w:widowControl/>
              <w:tabs>
                <w:tab w:val="left" w:pos="567"/>
                <w:tab w:val="left" w:pos="709"/>
                <w:tab w:val="left" w:pos="916"/>
                <w:tab w:val="left" w:pos="993"/>
                <w:tab w:val="left" w:pos="105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exact"/>
              <w:contextualSpacing/>
              <w:jc w:val="left"/>
              <w:rPr>
                <w:rFonts w:ascii="宋体" w:hAnsi="宋体" w:eastAsia="宋体" w:cs="Century"/>
                <w:kern w:val="0"/>
                <w:sz w:val="22"/>
                <w:lang w:bidi="en-US"/>
              </w:rPr>
            </w:pPr>
            <w:r>
              <w:rPr>
                <w:rFonts w:ascii="宋体" w:hAnsi="宋体" w:eastAsia="宋体" w:cs="Century"/>
                <w:kern w:val="0"/>
                <w:sz w:val="22"/>
                <w:lang w:eastAsia="en-US" w:bidi="en-US"/>
              </w:rPr>
              <w:t>备注</w:t>
            </w:r>
            <w:r>
              <w:rPr>
                <w:rFonts w:ascii="宋体" w:hAnsi="宋体" w:eastAsia="宋体" w:cs="Century"/>
                <w:kern w:val="0"/>
                <w:sz w:val="22"/>
                <w:lang w:bidi="en-US"/>
              </w:rPr>
              <w:t>（品牌要求等）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7" w:hRule="atLeast"/>
        </w:trPr>
        <w:tc>
          <w:tcPr>
            <w:tcW w:w="1386" w:type="dxa"/>
            <w:tcBorders>
              <w:left w:val="single" w:color="auto" w:sz="4" w:space="0"/>
              <w:bottom w:val="single" w:color="auto" w:sz="4" w:space="0"/>
            </w:tcBorders>
            <w:vAlign w:val="center"/>
          </w:tcPr>
          <w:p>
            <w:pPr>
              <w:widowControl/>
              <w:tabs>
                <w:tab w:val="left" w:pos="567"/>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exact"/>
              <w:contextualSpacing/>
              <w:jc w:val="left"/>
              <w:rPr>
                <w:rFonts w:ascii="宋体" w:hAnsi="宋体" w:eastAsia="宋体" w:cs="Century"/>
                <w:kern w:val="0"/>
                <w:sz w:val="22"/>
                <w:lang w:eastAsia="en-US" w:bidi="en-US"/>
              </w:rPr>
            </w:pPr>
          </w:p>
        </w:tc>
        <w:tc>
          <w:tcPr>
            <w:tcW w:w="1134" w:type="dxa"/>
            <w:tcBorders>
              <w:bottom w:val="single" w:color="auto" w:sz="4" w:space="0"/>
            </w:tcBorders>
            <w:vAlign w:val="center"/>
          </w:tcPr>
          <w:p>
            <w:pPr>
              <w:widowControl/>
              <w:tabs>
                <w:tab w:val="left" w:pos="567"/>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exact"/>
              <w:contextualSpacing/>
              <w:jc w:val="left"/>
              <w:rPr>
                <w:rFonts w:ascii="宋体" w:hAnsi="宋体" w:eastAsia="宋体" w:cs="Century"/>
                <w:kern w:val="0"/>
                <w:sz w:val="22"/>
                <w:lang w:eastAsia="en-US" w:bidi="en-US"/>
              </w:rPr>
            </w:pPr>
          </w:p>
        </w:tc>
        <w:tc>
          <w:tcPr>
            <w:tcW w:w="1418" w:type="dxa"/>
            <w:tcBorders>
              <w:bottom w:val="single" w:color="auto" w:sz="4" w:space="0"/>
            </w:tcBorders>
            <w:vAlign w:val="center"/>
          </w:tcPr>
          <w:p>
            <w:pPr>
              <w:widowControl/>
              <w:tabs>
                <w:tab w:val="left" w:pos="567"/>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exact"/>
              <w:contextualSpacing/>
              <w:jc w:val="left"/>
              <w:rPr>
                <w:rFonts w:ascii="宋体" w:hAnsi="宋体" w:eastAsia="宋体" w:cs="Century"/>
                <w:kern w:val="0"/>
                <w:sz w:val="22"/>
                <w:lang w:eastAsia="en-US" w:bidi="en-US"/>
              </w:rPr>
            </w:pPr>
          </w:p>
        </w:tc>
        <w:tc>
          <w:tcPr>
            <w:tcW w:w="1276" w:type="dxa"/>
            <w:tcBorders>
              <w:bottom w:val="single" w:color="auto" w:sz="4" w:space="0"/>
            </w:tcBorders>
            <w:vAlign w:val="center"/>
          </w:tcPr>
          <w:p>
            <w:pPr>
              <w:widowControl/>
              <w:tabs>
                <w:tab w:val="left" w:pos="567"/>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exact"/>
              <w:contextualSpacing/>
              <w:jc w:val="left"/>
              <w:rPr>
                <w:rFonts w:ascii="宋体" w:hAnsi="宋体" w:eastAsia="宋体" w:cs="Century"/>
                <w:kern w:val="0"/>
                <w:sz w:val="22"/>
                <w:lang w:eastAsia="en-US" w:bidi="en-US"/>
              </w:rPr>
            </w:pPr>
          </w:p>
        </w:tc>
        <w:tc>
          <w:tcPr>
            <w:tcW w:w="1417" w:type="dxa"/>
            <w:tcBorders>
              <w:bottom w:val="single" w:color="auto" w:sz="4" w:space="0"/>
            </w:tcBorders>
            <w:vAlign w:val="center"/>
          </w:tcPr>
          <w:p>
            <w:pPr>
              <w:widowControl/>
              <w:tabs>
                <w:tab w:val="left" w:pos="567"/>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exact"/>
              <w:contextualSpacing/>
              <w:jc w:val="left"/>
              <w:rPr>
                <w:rFonts w:ascii="宋体" w:hAnsi="宋体" w:eastAsia="宋体" w:cs="Century"/>
                <w:kern w:val="0"/>
                <w:sz w:val="22"/>
                <w:lang w:eastAsia="en-US" w:bidi="en-US"/>
              </w:rPr>
            </w:pPr>
          </w:p>
        </w:tc>
        <w:tc>
          <w:tcPr>
            <w:tcW w:w="1984" w:type="dxa"/>
            <w:tcBorders>
              <w:bottom w:val="single" w:color="auto" w:sz="4" w:space="0"/>
            </w:tcBorders>
          </w:tcPr>
          <w:p>
            <w:pPr>
              <w:widowControl/>
              <w:tabs>
                <w:tab w:val="left" w:pos="567"/>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exact"/>
              <w:contextualSpacing/>
              <w:jc w:val="left"/>
              <w:rPr>
                <w:rFonts w:ascii="宋体" w:hAnsi="宋体" w:eastAsia="宋体" w:cs="Century"/>
                <w:kern w:val="0"/>
                <w:sz w:val="22"/>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trPr>
        <w:tc>
          <w:tcPr>
            <w:tcW w:w="1386" w:type="dxa"/>
            <w:tcBorders>
              <w:left w:val="single" w:color="auto" w:sz="4" w:space="0"/>
            </w:tcBorders>
            <w:vAlign w:val="center"/>
          </w:tcPr>
          <w:p>
            <w:pPr>
              <w:widowControl/>
              <w:tabs>
                <w:tab w:val="left" w:pos="567"/>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exact"/>
              <w:contextualSpacing/>
              <w:jc w:val="left"/>
              <w:rPr>
                <w:rFonts w:ascii="宋体" w:hAnsi="宋体" w:eastAsia="宋体" w:cs="Century"/>
                <w:kern w:val="0"/>
                <w:sz w:val="22"/>
                <w:lang w:eastAsia="en-US" w:bidi="en-US"/>
              </w:rPr>
            </w:pPr>
          </w:p>
        </w:tc>
        <w:tc>
          <w:tcPr>
            <w:tcW w:w="1134" w:type="dxa"/>
            <w:vAlign w:val="center"/>
          </w:tcPr>
          <w:p>
            <w:pPr>
              <w:widowControl/>
              <w:tabs>
                <w:tab w:val="left" w:pos="567"/>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exact"/>
              <w:contextualSpacing/>
              <w:jc w:val="left"/>
              <w:rPr>
                <w:rFonts w:ascii="宋体" w:hAnsi="宋体" w:eastAsia="宋体" w:cs="Century"/>
                <w:kern w:val="0"/>
                <w:sz w:val="22"/>
                <w:lang w:eastAsia="en-US" w:bidi="en-US"/>
              </w:rPr>
            </w:pPr>
          </w:p>
        </w:tc>
        <w:tc>
          <w:tcPr>
            <w:tcW w:w="1418" w:type="dxa"/>
            <w:vAlign w:val="center"/>
          </w:tcPr>
          <w:p>
            <w:pPr>
              <w:widowControl/>
              <w:tabs>
                <w:tab w:val="left" w:pos="567"/>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exact"/>
              <w:contextualSpacing/>
              <w:jc w:val="left"/>
              <w:rPr>
                <w:rFonts w:ascii="宋体" w:hAnsi="宋体" w:eastAsia="宋体" w:cs="Century"/>
                <w:kern w:val="0"/>
                <w:sz w:val="22"/>
                <w:lang w:eastAsia="en-US" w:bidi="en-US"/>
              </w:rPr>
            </w:pPr>
          </w:p>
        </w:tc>
        <w:tc>
          <w:tcPr>
            <w:tcW w:w="1276" w:type="dxa"/>
            <w:tcBorders>
              <w:bottom w:val="nil"/>
            </w:tcBorders>
            <w:vAlign w:val="center"/>
          </w:tcPr>
          <w:p>
            <w:pPr>
              <w:widowControl/>
              <w:tabs>
                <w:tab w:val="left" w:pos="567"/>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exact"/>
              <w:contextualSpacing/>
              <w:jc w:val="left"/>
              <w:rPr>
                <w:rFonts w:ascii="宋体" w:hAnsi="宋体" w:eastAsia="宋体" w:cs="Century"/>
                <w:kern w:val="0"/>
                <w:sz w:val="22"/>
                <w:lang w:eastAsia="en-US" w:bidi="en-US"/>
              </w:rPr>
            </w:pPr>
          </w:p>
        </w:tc>
        <w:tc>
          <w:tcPr>
            <w:tcW w:w="1417" w:type="dxa"/>
            <w:tcBorders>
              <w:bottom w:val="single" w:color="auto" w:sz="4" w:space="0"/>
            </w:tcBorders>
            <w:vAlign w:val="center"/>
          </w:tcPr>
          <w:p>
            <w:pPr>
              <w:widowControl/>
              <w:tabs>
                <w:tab w:val="left" w:pos="567"/>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exact"/>
              <w:contextualSpacing/>
              <w:jc w:val="left"/>
              <w:rPr>
                <w:rFonts w:ascii="宋体" w:hAnsi="宋体" w:eastAsia="宋体" w:cs="Century"/>
                <w:kern w:val="0"/>
                <w:sz w:val="22"/>
                <w:lang w:eastAsia="en-US" w:bidi="en-US"/>
              </w:rPr>
            </w:pPr>
          </w:p>
        </w:tc>
        <w:tc>
          <w:tcPr>
            <w:tcW w:w="1984" w:type="dxa"/>
            <w:tcBorders>
              <w:bottom w:val="single" w:color="auto" w:sz="4" w:space="0"/>
            </w:tcBorders>
          </w:tcPr>
          <w:p>
            <w:pPr>
              <w:widowControl/>
              <w:tabs>
                <w:tab w:val="left" w:pos="567"/>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exact"/>
              <w:contextualSpacing/>
              <w:jc w:val="left"/>
              <w:rPr>
                <w:rFonts w:ascii="宋体" w:hAnsi="宋体" w:eastAsia="宋体" w:cs="Century"/>
                <w:kern w:val="0"/>
                <w:sz w:val="22"/>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386" w:type="dxa"/>
          </w:tcPr>
          <w:p>
            <w:pPr>
              <w:widowControl/>
              <w:tabs>
                <w:tab w:val="left" w:pos="567"/>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exact"/>
              <w:contextualSpacing/>
              <w:jc w:val="left"/>
              <w:rPr>
                <w:rFonts w:ascii="宋体" w:hAnsi="宋体" w:eastAsia="宋体" w:cs="Century"/>
                <w:kern w:val="0"/>
                <w:sz w:val="22"/>
                <w:lang w:eastAsia="en-US" w:bidi="en-US"/>
              </w:rPr>
            </w:pPr>
            <w:r>
              <w:rPr>
                <w:rFonts w:ascii="宋体" w:hAnsi="宋体" w:eastAsia="宋体" w:cs="Century"/>
                <w:kern w:val="0"/>
                <w:sz w:val="22"/>
                <w:lang w:eastAsia="en-US" w:bidi="en-US"/>
              </w:rPr>
              <w:t>合计金额（大写）</w:t>
            </w:r>
          </w:p>
        </w:tc>
        <w:tc>
          <w:tcPr>
            <w:tcW w:w="7229" w:type="dxa"/>
            <w:gridSpan w:val="5"/>
            <w:vAlign w:val="center"/>
          </w:tcPr>
          <w:p>
            <w:pPr>
              <w:widowControl/>
              <w:tabs>
                <w:tab w:val="left" w:pos="567"/>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exact"/>
              <w:contextualSpacing/>
              <w:jc w:val="left"/>
              <w:rPr>
                <w:rFonts w:ascii="宋体" w:hAnsi="宋体" w:eastAsia="宋体" w:cs="Century"/>
                <w:kern w:val="0"/>
                <w:sz w:val="22"/>
                <w:lang w:bidi="en-US"/>
              </w:rPr>
            </w:pPr>
            <w:r>
              <w:rPr>
                <w:rFonts w:ascii="宋体" w:hAnsi="宋体" w:eastAsia="宋体" w:cs="Century"/>
                <w:kern w:val="0"/>
                <w:sz w:val="22"/>
                <w:lang w:bidi="en-US"/>
              </w:rPr>
              <w:t>（已含税）</w:t>
            </w:r>
          </w:p>
        </w:tc>
      </w:tr>
    </w:tbl>
    <w:p>
      <w:pPr>
        <w:tabs>
          <w:tab w:val="left" w:pos="360"/>
          <w:tab w:val="left" w:pos="709"/>
          <w:tab w:val="left" w:pos="993"/>
        </w:tabs>
        <w:spacing w:line="420" w:lineRule="exact"/>
        <w:contextualSpacing/>
        <w:jc w:val="left"/>
        <w:rPr>
          <w:rFonts w:ascii="宋体" w:hAnsi="宋体" w:eastAsia="宋体" w:cs="Arial"/>
        </w:rPr>
      </w:pPr>
      <w:r>
        <w:rPr>
          <w:rFonts w:ascii="宋体" w:hAnsi="宋体" w:eastAsia="宋体" w:cs="Arial"/>
        </w:rPr>
        <w:tab/>
      </w:r>
      <w:r>
        <w:rPr>
          <w:rFonts w:ascii="宋体" w:hAnsi="宋体" w:eastAsia="宋体" w:cs="Arial"/>
        </w:rPr>
        <w:t>本合同去税价款：_____,税额：_____。</w:t>
      </w:r>
    </w:p>
    <w:p>
      <w:pPr>
        <w:tabs>
          <w:tab w:val="left" w:pos="567"/>
          <w:tab w:val="left" w:pos="709"/>
          <w:tab w:val="left" w:pos="993"/>
        </w:tabs>
        <w:spacing w:line="420" w:lineRule="exact"/>
        <w:contextualSpacing/>
        <w:jc w:val="left"/>
        <w:rPr>
          <w:rFonts w:ascii="宋体" w:hAnsi="宋体" w:eastAsia="宋体" w:cs="Arial"/>
        </w:rPr>
      </w:pPr>
      <w:r>
        <w:rPr>
          <w:rFonts w:hint="eastAsia" w:ascii="宋体" w:hAnsi="宋体" w:eastAsia="宋体" w:cs="Arial"/>
        </w:rPr>
        <w:t>注：除非本合同另有约定，买方要求卖方提供与本合同项下设备有关的软、硬件产品、附属设施、服务或其他设备正常运转必需的配件时，无需另行支付任何其他费用。</w:t>
      </w:r>
    </w:p>
    <w:p>
      <w:pPr>
        <w:tabs>
          <w:tab w:val="left" w:pos="567"/>
          <w:tab w:val="left" w:pos="709"/>
          <w:tab w:val="left" w:pos="993"/>
        </w:tabs>
        <w:spacing w:line="420" w:lineRule="exact"/>
        <w:contextualSpacing/>
        <w:jc w:val="left"/>
        <w:rPr>
          <w:rFonts w:ascii="宋体" w:hAnsi="宋体" w:eastAsia="宋体" w:cs="Arial"/>
        </w:rPr>
      </w:pPr>
      <w:r>
        <w:rPr>
          <w:rFonts w:hint="eastAsia" w:ascii="宋体" w:hAnsi="宋体" w:eastAsia="宋体" w:cs="Arial"/>
        </w:rPr>
        <w:t>卖方知悉，买方采购本合同项下的货物用于出口至</w:t>
      </w:r>
      <w:r>
        <w:rPr>
          <w:rFonts w:ascii="宋体" w:hAnsi="宋体" w:eastAsia="宋体" w:cs="Arial"/>
          <w:u w:val="single"/>
        </w:rPr>
        <w:t xml:space="preserve">    </w:t>
      </w:r>
      <w:r>
        <w:rPr>
          <w:rFonts w:hint="eastAsia" w:ascii="宋体" w:hAnsi="宋体" w:eastAsia="宋体" w:cs="Arial"/>
        </w:rPr>
        <w:t>国</w:t>
      </w:r>
      <w:r>
        <w:rPr>
          <w:rFonts w:ascii="宋体" w:hAnsi="宋体" w:eastAsia="宋体" w:cs="Arial"/>
          <w:u w:val="single"/>
        </w:rPr>
        <w:t xml:space="preserve">    </w:t>
      </w:r>
      <w:r>
        <w:rPr>
          <w:rFonts w:hint="eastAsia" w:ascii="宋体" w:hAnsi="宋体" w:eastAsia="宋体" w:cs="Arial"/>
        </w:rPr>
        <w:t>州</w:t>
      </w:r>
      <w:r>
        <w:rPr>
          <w:rFonts w:ascii="宋体" w:hAnsi="宋体" w:eastAsia="宋体" w:cs="Arial"/>
          <w:u w:val="single"/>
        </w:rPr>
        <w:t xml:space="preserve">    </w:t>
      </w:r>
      <w:r>
        <w:rPr>
          <w:rFonts w:hint="eastAsia" w:ascii="宋体" w:hAnsi="宋体" w:eastAsia="宋体" w:cs="Arial"/>
        </w:rPr>
        <w:t>公司使用。本合同签订后，卖方须按买方的要求提供设备及其零部件的品牌授权书。</w:t>
      </w:r>
    </w:p>
    <w:p>
      <w:pPr>
        <w:widowControl/>
        <w:numPr>
          <w:ilvl w:val="0"/>
          <w:numId w:val="1"/>
        </w:numPr>
        <w:tabs>
          <w:tab w:val="left" w:pos="567"/>
          <w:tab w:val="left" w:pos="709"/>
          <w:tab w:val="left" w:pos="993"/>
        </w:tabs>
        <w:spacing w:line="420" w:lineRule="exact"/>
        <w:ind w:left="0" w:firstLine="0"/>
        <w:contextualSpacing/>
        <w:jc w:val="left"/>
        <w:rPr>
          <w:rFonts w:ascii="宋体" w:hAnsi="宋体" w:eastAsia="宋体" w:cs="Arial"/>
          <w:b/>
          <w:kern w:val="0"/>
          <w:sz w:val="22"/>
          <w:lang w:eastAsia="en-US" w:bidi="en-US"/>
        </w:rPr>
      </w:pPr>
      <w:r>
        <w:rPr>
          <w:rFonts w:hint="eastAsia" w:ascii="宋体" w:hAnsi="宋体" w:eastAsia="宋体" w:cs="Arial"/>
          <w:b/>
          <w:kern w:val="0"/>
          <w:sz w:val="22"/>
          <w:lang w:eastAsia="en-US" w:bidi="en-US"/>
        </w:rPr>
        <w:t>质量要求</w:t>
      </w:r>
    </w:p>
    <w:p>
      <w:pPr>
        <w:tabs>
          <w:tab w:val="left" w:pos="567"/>
          <w:tab w:val="left" w:pos="709"/>
          <w:tab w:val="left" w:pos="993"/>
        </w:tabs>
        <w:spacing w:line="420" w:lineRule="exact"/>
        <w:ind w:firstLine="420" w:firstLineChars="200"/>
        <w:contextualSpacing/>
        <w:jc w:val="left"/>
        <w:rPr>
          <w:rFonts w:ascii="宋体" w:hAnsi="宋体" w:eastAsia="宋体" w:cs="Arial"/>
        </w:rPr>
      </w:pPr>
      <w:r>
        <w:rPr>
          <w:rFonts w:hint="eastAsia" w:ascii="宋体" w:hAnsi="宋体" w:eastAsia="宋体" w:cs="Arial"/>
        </w:rPr>
        <w:t>质量标准：</w:t>
      </w:r>
      <w:r>
        <w:rPr>
          <w:rFonts w:hint="eastAsia" w:ascii="宋体" w:hAnsi="宋体" w:eastAsia="宋体" w:cs="Arial"/>
          <w:u w:val="single"/>
        </w:rPr>
        <w:t xml:space="preserve">       </w:t>
      </w:r>
      <w:r>
        <w:rPr>
          <w:rFonts w:hint="eastAsia" w:ascii="宋体" w:hAnsi="宋体" w:eastAsia="宋体" w:cs="Arial"/>
        </w:rPr>
        <w:t>。</w:t>
      </w:r>
      <w:r>
        <w:rPr>
          <w:rFonts w:hint="eastAsia" w:ascii="宋体" w:hAnsi="宋体" w:eastAsia="宋体" w:cs="Times New Roman"/>
          <w:kern w:val="0"/>
          <w:sz w:val="22"/>
          <w:lang w:bidi="en-US"/>
        </w:rPr>
        <w:t>本合同项下所有设备、零部件，其能效等级均不得低于附件1中能效等级的要求。</w:t>
      </w:r>
      <w:r>
        <w:rPr>
          <w:rFonts w:hint="eastAsia" w:ascii="宋体" w:hAnsi="宋体" w:eastAsia="宋体" w:cs="Arial"/>
        </w:rPr>
        <w:t>设备质量不符合本合同的规定，买方有权要求更换不合格的部件或者整台设备，或者退货，卖方应对此承担全部责任并应赔偿买方因此造成的损失。</w:t>
      </w:r>
    </w:p>
    <w:p>
      <w:pPr>
        <w:tabs>
          <w:tab w:val="left" w:pos="567"/>
          <w:tab w:val="left" w:pos="709"/>
          <w:tab w:val="left" w:pos="993"/>
        </w:tabs>
        <w:spacing w:line="420" w:lineRule="exact"/>
        <w:ind w:firstLine="420" w:firstLineChars="200"/>
        <w:contextualSpacing/>
        <w:jc w:val="left"/>
        <w:rPr>
          <w:rFonts w:ascii="宋体" w:hAnsi="宋体" w:eastAsia="宋体" w:cs="Arial"/>
        </w:rPr>
      </w:pPr>
      <w:r>
        <w:rPr>
          <w:rFonts w:hint="eastAsia" w:ascii="宋体" w:hAnsi="宋体" w:eastAsia="宋体" w:cs="Arial"/>
        </w:rPr>
        <w:t>卖方向买方提供货物时，必须附有货物合格出厂证明及出厂检测报告。</w:t>
      </w:r>
    </w:p>
    <w:p>
      <w:pPr>
        <w:tabs>
          <w:tab w:val="left" w:pos="567"/>
          <w:tab w:val="left" w:pos="709"/>
          <w:tab w:val="left" w:pos="993"/>
        </w:tabs>
        <w:spacing w:line="420" w:lineRule="exact"/>
        <w:ind w:firstLine="420" w:firstLineChars="200"/>
        <w:contextualSpacing/>
        <w:jc w:val="left"/>
        <w:rPr>
          <w:rFonts w:ascii="宋体" w:hAnsi="宋体" w:eastAsia="宋体" w:cs="Arial"/>
        </w:rPr>
      </w:pPr>
      <w:r>
        <w:rPr>
          <w:rFonts w:hint="eastAsia" w:ascii="宋体" w:hAnsi="宋体" w:eastAsia="宋体" w:cs="Arial"/>
        </w:rPr>
        <w:t>卖方的货物应符合国家有关环保法律法规的规定（含买方</w:t>
      </w:r>
      <w:r>
        <w:rPr>
          <w:rFonts w:ascii="宋体" w:hAnsi="宋体" w:eastAsia="宋体" w:cs="Arial"/>
        </w:rPr>
        <w:t xml:space="preserve"> ISO14001环境管理体系要求），不能造成环境污染；同时，还应符合买方ISO45001职业健康安全管理体系标准的要求，不能对接触产品的人员健康造成损害。</w:t>
      </w:r>
    </w:p>
    <w:p>
      <w:pPr>
        <w:widowControl/>
        <w:numPr>
          <w:ilvl w:val="0"/>
          <w:numId w:val="1"/>
        </w:numPr>
        <w:tabs>
          <w:tab w:val="left" w:pos="567"/>
          <w:tab w:val="left" w:pos="709"/>
          <w:tab w:val="left" w:pos="993"/>
        </w:tabs>
        <w:spacing w:line="420" w:lineRule="exact"/>
        <w:ind w:left="0" w:firstLine="0"/>
        <w:contextualSpacing/>
        <w:jc w:val="left"/>
        <w:rPr>
          <w:rFonts w:ascii="宋体" w:hAnsi="宋体" w:eastAsia="宋体" w:cs="Arial"/>
          <w:b/>
          <w:kern w:val="0"/>
          <w:sz w:val="22"/>
          <w:lang w:eastAsia="en-US" w:bidi="en-US"/>
        </w:rPr>
      </w:pPr>
      <w:r>
        <w:rPr>
          <w:rFonts w:hint="eastAsia" w:ascii="宋体" w:hAnsi="宋体" w:eastAsia="宋体" w:cs="Arial"/>
          <w:b/>
          <w:kern w:val="0"/>
          <w:sz w:val="22"/>
          <w:lang w:eastAsia="en-US" w:bidi="en-US"/>
        </w:rPr>
        <w:t>交货、运输、包装</w:t>
      </w:r>
    </w:p>
    <w:p>
      <w:pPr>
        <w:widowControl/>
        <w:numPr>
          <w:ilvl w:val="0"/>
          <w:numId w:val="2"/>
        </w:numPr>
        <w:tabs>
          <w:tab w:val="left" w:pos="567"/>
          <w:tab w:val="left" w:pos="709"/>
          <w:tab w:val="left" w:pos="993"/>
        </w:tabs>
        <w:spacing w:line="420" w:lineRule="exact"/>
        <w:ind w:left="0" w:firstLine="0"/>
        <w:contextualSpacing/>
        <w:jc w:val="left"/>
        <w:rPr>
          <w:rFonts w:ascii="宋体" w:hAnsi="宋体" w:eastAsia="宋体" w:cs="Arial"/>
          <w:kern w:val="0"/>
          <w:sz w:val="22"/>
          <w:lang w:bidi="en-US"/>
        </w:rPr>
      </w:pPr>
      <w:r>
        <w:rPr>
          <w:rFonts w:hint="eastAsia" w:ascii="宋体" w:hAnsi="宋体" w:eastAsia="宋体" w:cs="Arial"/>
          <w:kern w:val="0"/>
          <w:sz w:val="22"/>
          <w:lang w:bidi="en-US"/>
        </w:rPr>
        <w:t>交货时间及地点：双方同意按照以下第</w:t>
      </w:r>
      <w:r>
        <w:rPr>
          <w:rFonts w:ascii="宋体" w:hAnsi="宋体" w:eastAsia="宋体" w:cs="Arial"/>
          <w:kern w:val="0"/>
          <w:sz w:val="22"/>
          <w:u w:val="single"/>
          <w:lang w:bidi="en-US"/>
        </w:rPr>
        <w:t xml:space="preserve"> </w:t>
      </w:r>
      <w:r>
        <w:rPr>
          <w:rFonts w:hint="eastAsia" w:ascii="宋体" w:hAnsi="宋体" w:eastAsia="宋体" w:cs="Arial"/>
          <w:kern w:val="0"/>
          <w:sz w:val="22"/>
          <w:u w:val="single"/>
          <w:lang w:bidi="en-US"/>
        </w:rPr>
        <w:t xml:space="preserve">    </w:t>
      </w:r>
      <w:r>
        <w:rPr>
          <w:rFonts w:ascii="宋体" w:hAnsi="宋体" w:eastAsia="宋体" w:cs="Arial"/>
          <w:kern w:val="0"/>
          <w:sz w:val="22"/>
          <w:u w:val="single"/>
          <w:lang w:bidi="en-US"/>
        </w:rPr>
        <w:t xml:space="preserve"> </w:t>
      </w:r>
      <w:r>
        <w:rPr>
          <w:rFonts w:hint="eastAsia" w:ascii="宋体" w:hAnsi="宋体" w:eastAsia="宋体" w:cs="Arial"/>
          <w:kern w:val="0"/>
          <w:sz w:val="22"/>
          <w:lang w:bidi="en-US"/>
        </w:rPr>
        <w:t>种方式约定：</w:t>
      </w:r>
    </w:p>
    <w:p>
      <w:pPr>
        <w:tabs>
          <w:tab w:val="left" w:pos="567"/>
          <w:tab w:val="left" w:pos="709"/>
          <w:tab w:val="left" w:pos="993"/>
        </w:tabs>
        <w:spacing w:line="420" w:lineRule="exact"/>
        <w:jc w:val="left"/>
        <w:rPr>
          <w:rFonts w:ascii="宋体" w:hAnsi="宋体" w:eastAsia="宋体" w:cs="Arial"/>
        </w:rPr>
      </w:pPr>
      <w:r>
        <w:rPr>
          <w:rFonts w:hint="eastAsia" w:ascii="宋体" w:hAnsi="宋体" w:eastAsia="宋体" w:cs="Arial"/>
        </w:rPr>
        <w:t>1.卖方应在本合同生效后</w:t>
      </w:r>
      <w:r>
        <w:rPr>
          <w:rFonts w:hint="eastAsia" w:ascii="宋体" w:hAnsi="宋体" w:eastAsia="宋体" w:cs="Arial"/>
          <w:u w:val="single"/>
        </w:rPr>
        <w:t xml:space="preserve">    </w:t>
      </w:r>
      <w:r>
        <w:rPr>
          <w:rFonts w:hint="eastAsia" w:ascii="宋体" w:hAnsi="宋体" w:eastAsia="宋体" w:cs="Arial"/>
        </w:rPr>
        <w:t>日内将设备运抵买方指定工厂，于买方指定工厂完成交付。买方指定工厂地址：</w:t>
      </w:r>
      <w:r>
        <w:rPr>
          <w:rFonts w:ascii="宋体" w:hAnsi="宋体" w:eastAsia="宋体" w:cs="Arial"/>
          <w:u w:val="single"/>
        </w:rPr>
        <w:t xml:space="preserve">                      </w:t>
      </w:r>
      <w:r>
        <w:rPr>
          <w:rFonts w:hint="eastAsia" w:ascii="宋体" w:hAnsi="宋体" w:eastAsia="宋体" w:cs="Arial"/>
        </w:rPr>
        <w:t xml:space="preserve"> 。运输（含运输保险）、</w:t>
      </w:r>
      <w:r>
        <w:rPr>
          <w:rFonts w:ascii="宋体" w:hAnsi="宋体" w:eastAsia="宋体" w:cs="Arial"/>
        </w:rPr>
        <w:t xml:space="preserve">    </w:t>
      </w:r>
      <w:r>
        <w:rPr>
          <w:rFonts w:hint="eastAsia" w:ascii="宋体" w:hAnsi="宋体" w:eastAsia="宋体" w:cs="Arial"/>
        </w:rPr>
        <w:t>由卖方负责并承担相关费用。货物风险自货物</w:t>
      </w:r>
      <w:bookmarkStart w:id="5" w:name="_Hlk113980741"/>
      <w:r>
        <w:rPr>
          <w:rFonts w:hint="eastAsia" w:ascii="宋体" w:hAnsi="宋体" w:eastAsia="宋体" w:cs="Arial"/>
        </w:rPr>
        <w:t>在买方厂区内</w:t>
      </w:r>
      <w:bookmarkEnd w:id="5"/>
      <w:r>
        <w:rPr>
          <w:rFonts w:hint="eastAsia" w:ascii="宋体" w:hAnsi="宋体" w:eastAsia="宋体" w:cs="Arial"/>
        </w:rPr>
        <w:t>经买方验收合格接收后转移至买方。设备在运输过程中发生损坏和丢失时，卖方应在双方协商确定的补货期限内尽快向买方提供与合同要求相同规格的设备及零部件，并不因此免除卖方的违约责任。</w:t>
      </w:r>
    </w:p>
    <w:p>
      <w:pPr>
        <w:tabs>
          <w:tab w:val="left" w:pos="567"/>
          <w:tab w:val="left" w:pos="709"/>
          <w:tab w:val="left" w:pos="993"/>
        </w:tabs>
        <w:spacing w:line="420" w:lineRule="exact"/>
        <w:jc w:val="left"/>
        <w:rPr>
          <w:rFonts w:ascii="宋体" w:hAnsi="宋体" w:eastAsia="宋体" w:cs="Arial"/>
        </w:rPr>
      </w:pPr>
      <w:r>
        <w:rPr>
          <w:rFonts w:hint="eastAsia" w:ascii="宋体" w:hAnsi="宋体" w:eastAsia="宋体" w:cs="Arial"/>
        </w:rPr>
        <w:t>2.卖方应在本合同生效后</w:t>
      </w:r>
      <w:r>
        <w:rPr>
          <w:rFonts w:ascii="宋体" w:hAnsi="宋体" w:eastAsia="宋体" w:cs="Arial"/>
          <w:u w:val="single"/>
        </w:rPr>
        <w:t xml:space="preserve">    </w:t>
      </w:r>
      <w:r>
        <w:rPr>
          <w:rFonts w:hint="eastAsia" w:ascii="宋体" w:hAnsi="宋体" w:eastAsia="宋体" w:cs="Arial"/>
        </w:rPr>
        <w:t>日内向买方交货，买方安排车辆运输，卖方负责将与合同相符的设备、零备件及相关文件安全无误地装载至买方车辆后完成交付。</w:t>
      </w:r>
    </w:p>
    <w:p>
      <w:pPr>
        <w:tabs>
          <w:tab w:val="left" w:pos="567"/>
          <w:tab w:val="left" w:pos="709"/>
          <w:tab w:val="left" w:pos="993"/>
        </w:tabs>
        <w:spacing w:line="420" w:lineRule="exact"/>
        <w:jc w:val="left"/>
        <w:rPr>
          <w:rFonts w:ascii="宋体" w:hAnsi="宋体" w:eastAsia="宋体" w:cs="Arial"/>
        </w:rPr>
      </w:pPr>
      <w:r>
        <w:rPr>
          <w:rFonts w:hint="eastAsia" w:ascii="宋体" w:hAnsi="宋体" w:eastAsia="宋体" w:cs="Arial"/>
        </w:rPr>
        <w:t>履约过程中，买方可根据实际情况修订供货时间。卖方应于交货同时提供本合同所要求的设备相关技术文件。</w:t>
      </w:r>
    </w:p>
    <w:p>
      <w:pPr>
        <w:widowControl/>
        <w:numPr>
          <w:ilvl w:val="0"/>
          <w:numId w:val="2"/>
        </w:numPr>
        <w:tabs>
          <w:tab w:val="left" w:pos="567"/>
          <w:tab w:val="left" w:pos="709"/>
          <w:tab w:val="left" w:pos="993"/>
        </w:tabs>
        <w:spacing w:line="420" w:lineRule="exact"/>
        <w:ind w:left="0" w:firstLine="0"/>
        <w:contextualSpacing/>
        <w:jc w:val="left"/>
        <w:rPr>
          <w:rFonts w:ascii="宋体" w:hAnsi="宋体" w:eastAsia="宋体" w:cs="Arial"/>
          <w:kern w:val="0"/>
          <w:sz w:val="22"/>
          <w:lang w:bidi="en-US"/>
        </w:rPr>
      </w:pPr>
      <w:r>
        <w:rPr>
          <w:rFonts w:hint="eastAsia" w:ascii="宋体" w:hAnsi="宋体" w:eastAsia="宋体" w:cs="Arial"/>
          <w:kern w:val="0"/>
          <w:sz w:val="22"/>
          <w:lang w:bidi="en-US"/>
        </w:rPr>
        <w:t>包装及标记</w:t>
      </w:r>
    </w:p>
    <w:p>
      <w:pPr>
        <w:widowControl/>
        <w:tabs>
          <w:tab w:val="left" w:pos="567"/>
          <w:tab w:val="left" w:pos="709"/>
          <w:tab w:val="left" w:pos="993"/>
        </w:tabs>
        <w:spacing w:line="420" w:lineRule="exact"/>
        <w:contextualSpacing/>
        <w:jc w:val="left"/>
        <w:rPr>
          <w:rFonts w:ascii="宋体" w:hAnsi="宋体" w:eastAsia="宋体" w:cs="Arial"/>
          <w:kern w:val="0"/>
          <w:sz w:val="22"/>
          <w:lang w:bidi="en-US"/>
        </w:rPr>
      </w:pPr>
      <w:r>
        <w:rPr>
          <w:rFonts w:hint="eastAsia" w:ascii="宋体" w:hAnsi="宋体" w:eastAsia="宋体" w:cs="Arial"/>
          <w:kern w:val="0"/>
          <w:sz w:val="22"/>
          <w:lang w:bidi="en-US"/>
        </w:rPr>
        <w:t>1</w:t>
      </w:r>
      <w:r>
        <w:rPr>
          <w:rFonts w:ascii="宋体" w:hAnsi="宋体" w:eastAsia="宋体" w:cs="Arial"/>
          <w:kern w:val="0"/>
          <w:sz w:val="22"/>
          <w:lang w:bidi="en-US"/>
        </w:rPr>
        <w:t>.</w:t>
      </w:r>
      <w:r>
        <w:rPr>
          <w:rFonts w:ascii="等线" w:hAnsi="等线" w:eastAsia="等线" w:cs="Arial"/>
          <w:kern w:val="0"/>
          <w:sz w:val="22"/>
          <w:lang w:bidi="en-US"/>
        </w:rPr>
        <w:t xml:space="preserve"> </w:t>
      </w:r>
      <w:r>
        <w:rPr>
          <w:rFonts w:ascii="宋体" w:hAnsi="宋体" w:eastAsia="宋体" w:cs="Arial"/>
          <w:kern w:val="0"/>
          <w:sz w:val="22"/>
          <w:lang w:bidi="en-US"/>
        </w:rPr>
        <w:t xml:space="preserve">卖方交付的所有货物均应采用全新材质的、适合长途运输、多次搬运和装卸的专业包装，包装应保证在运输、装卸过程中完好无损, 应按产品特点, 按需要分别加上防潮、防霉、防锈、防腐蚀、防冻的必要保护措施, </w:t>
      </w:r>
      <w:r>
        <w:rPr>
          <w:rFonts w:hint="eastAsia" w:ascii="宋体" w:hAnsi="宋体" w:eastAsia="宋体" w:cs="Arial"/>
          <w:kern w:val="0"/>
          <w:sz w:val="22"/>
          <w:lang w:bidi="en-US"/>
        </w:rPr>
        <w:t>应</w:t>
      </w:r>
      <w:r>
        <w:rPr>
          <w:rFonts w:ascii="宋体" w:hAnsi="宋体" w:eastAsia="宋体" w:cs="Arial"/>
          <w:kern w:val="0"/>
          <w:sz w:val="22"/>
          <w:lang w:bidi="en-US"/>
        </w:rPr>
        <w:t>保证货物在没有任何损坏或腐蚀的情况下安全运抵</w:t>
      </w:r>
      <w:r>
        <w:rPr>
          <w:rFonts w:hint="eastAsia" w:ascii="宋体" w:hAnsi="宋体" w:eastAsia="宋体" w:cs="Arial"/>
          <w:kern w:val="0"/>
          <w:sz w:val="22"/>
          <w:lang w:bidi="en-US"/>
        </w:rPr>
        <w:t>最终使用</w:t>
      </w:r>
      <w:r>
        <w:rPr>
          <w:rFonts w:ascii="宋体" w:hAnsi="宋体" w:eastAsia="宋体" w:cs="Arial"/>
          <w:kern w:val="0"/>
          <w:sz w:val="22"/>
          <w:lang w:bidi="en-US"/>
        </w:rPr>
        <w:t>地点。</w:t>
      </w:r>
    </w:p>
    <w:p>
      <w:pPr>
        <w:widowControl/>
        <w:tabs>
          <w:tab w:val="left" w:pos="567"/>
          <w:tab w:val="left" w:pos="709"/>
          <w:tab w:val="left" w:pos="993"/>
        </w:tabs>
        <w:spacing w:line="420" w:lineRule="exact"/>
        <w:contextualSpacing/>
        <w:jc w:val="left"/>
        <w:rPr>
          <w:rFonts w:ascii="宋体" w:hAnsi="宋体" w:eastAsia="宋体" w:cs="Arial"/>
          <w:kern w:val="0"/>
          <w:sz w:val="22"/>
          <w:lang w:bidi="en-US"/>
        </w:rPr>
      </w:pPr>
      <w:r>
        <w:rPr>
          <w:rFonts w:hint="eastAsia" w:ascii="宋体" w:hAnsi="宋体" w:eastAsia="宋体" w:cs="Arial"/>
          <w:kern w:val="0"/>
          <w:sz w:val="22"/>
          <w:lang w:bidi="en-US"/>
        </w:rPr>
        <w:t>2</w:t>
      </w:r>
      <w:r>
        <w:rPr>
          <w:rFonts w:ascii="宋体" w:hAnsi="宋体" w:eastAsia="宋体" w:cs="Arial"/>
          <w:kern w:val="0"/>
          <w:sz w:val="22"/>
          <w:lang w:bidi="en-US"/>
        </w:rPr>
        <w:t>.</w:t>
      </w:r>
      <w:r>
        <w:rPr>
          <w:rFonts w:hint="eastAsia" w:ascii="宋体" w:hAnsi="宋体" w:eastAsia="宋体" w:cs="Arial"/>
          <w:kern w:val="0"/>
          <w:sz w:val="22"/>
          <w:lang w:bidi="en-US"/>
        </w:rPr>
        <w:t>设备采用以下第</w:t>
      </w:r>
      <w:r>
        <w:rPr>
          <w:rFonts w:ascii="宋体" w:hAnsi="宋体" w:eastAsia="宋体" w:cs="Arial"/>
          <w:kern w:val="0"/>
          <w:sz w:val="22"/>
          <w:u w:val="single"/>
          <w:lang w:bidi="en-US"/>
        </w:rPr>
        <w:t xml:space="preserve">   </w:t>
      </w:r>
      <w:r>
        <w:rPr>
          <w:rFonts w:hint="eastAsia" w:ascii="宋体" w:hAnsi="宋体" w:eastAsia="宋体" w:cs="Arial"/>
          <w:kern w:val="0"/>
          <w:sz w:val="22"/>
          <w:lang w:bidi="en-US"/>
        </w:rPr>
        <w:t>种包装方式：（1）适用海运包装。（2）适合陆运包装。（3）其他要求________________________。如果买方采购的产品用于出口，买方并有权要求卖方采用符合买方要求的出口中性包装，产品的包装如有木质包装，卖方应</w:t>
      </w:r>
      <w:r>
        <w:rPr>
          <w:rFonts w:ascii="宋体" w:hAnsi="宋体" w:eastAsia="宋体" w:cs="Arial"/>
          <w:kern w:val="0"/>
          <w:sz w:val="22"/>
          <w:lang w:bidi="en-US"/>
        </w:rPr>
        <w:t>按照国际植物保护公约（以下简称IPPC）的要求进行除害处理，并加施</w:t>
      </w:r>
      <w:r>
        <w:rPr>
          <w:rFonts w:ascii="等线" w:hAnsi="等线" w:eastAsia="等线" w:cs="Arial"/>
          <w:kern w:val="0"/>
          <w:sz w:val="22"/>
          <w:lang w:eastAsia="en-US" w:bidi="en-US"/>
        </w:rPr>
        <w:fldChar w:fldCharType="begin"/>
      </w:r>
      <w:r>
        <w:rPr>
          <w:rFonts w:ascii="等线" w:hAnsi="等线" w:eastAsia="等线" w:cs="Arial"/>
          <w:kern w:val="0"/>
          <w:sz w:val="22"/>
          <w:lang w:bidi="en-US"/>
        </w:rPr>
        <w:instrText xml:space="preserve"> HYPERLINK "https://baike.baidu.com/item/IPPC" \t "_blank" </w:instrText>
      </w:r>
      <w:r>
        <w:rPr>
          <w:rFonts w:ascii="等线" w:hAnsi="等线" w:eastAsia="等线" w:cs="Arial"/>
          <w:kern w:val="0"/>
          <w:sz w:val="22"/>
          <w:lang w:eastAsia="en-US" w:bidi="en-US"/>
        </w:rPr>
        <w:fldChar w:fldCharType="separate"/>
      </w:r>
      <w:r>
        <w:rPr>
          <w:rFonts w:ascii="宋体" w:hAnsi="宋体" w:eastAsia="宋体" w:cs="Arial"/>
          <w:color w:val="0000FF"/>
          <w:kern w:val="0"/>
          <w:sz w:val="22"/>
          <w:u w:val="single"/>
          <w:lang w:bidi="en-US"/>
        </w:rPr>
        <w:t>IPPC</w:t>
      </w:r>
      <w:r>
        <w:rPr>
          <w:rFonts w:ascii="宋体" w:hAnsi="宋体" w:eastAsia="宋体" w:cs="Arial"/>
          <w:color w:val="0000FF"/>
          <w:kern w:val="0"/>
          <w:sz w:val="22"/>
          <w:u w:val="single"/>
          <w:lang w:bidi="en-US"/>
        </w:rPr>
        <w:fldChar w:fldCharType="end"/>
      </w:r>
      <w:r>
        <w:rPr>
          <w:rFonts w:ascii="宋体" w:hAnsi="宋体" w:eastAsia="宋体" w:cs="Arial"/>
          <w:kern w:val="0"/>
          <w:sz w:val="22"/>
          <w:lang w:bidi="en-US"/>
        </w:rPr>
        <w:t>专用标识</w:t>
      </w:r>
      <w:r>
        <w:rPr>
          <w:rFonts w:hint="eastAsia" w:ascii="宋体" w:hAnsi="宋体" w:eastAsia="宋体" w:cs="Arial"/>
          <w:kern w:val="0"/>
          <w:sz w:val="22"/>
          <w:lang w:bidi="en-US"/>
        </w:rPr>
        <w:t>。</w:t>
      </w:r>
      <w:r>
        <w:rPr>
          <w:rFonts w:hint="eastAsia" w:ascii="宋体" w:hAnsi="宋体" w:eastAsia="宋体" w:cs="Times New Roman"/>
          <w:sz w:val="22"/>
        </w:rPr>
        <w:t>若发现包装不符合要求，买方有权要求卖方立即重新包装或者由买方自行包装，全部费用由卖方承担。</w:t>
      </w:r>
      <w:r>
        <w:rPr>
          <w:rFonts w:hint="eastAsia" w:ascii="宋体" w:hAnsi="宋体" w:eastAsia="宋体" w:cs="Arial"/>
          <w:kern w:val="0"/>
          <w:sz w:val="22"/>
          <w:lang w:bidi="en-US"/>
        </w:rPr>
        <w:t>由于卖方的不正确包装或不合适的保护措施而造成货物的损坏、丢失或买方出口时被处罚等损失，一切责任由卖方承担。</w:t>
      </w:r>
    </w:p>
    <w:p>
      <w:pPr>
        <w:widowControl/>
        <w:tabs>
          <w:tab w:val="left" w:pos="567"/>
          <w:tab w:val="left" w:pos="709"/>
          <w:tab w:val="left" w:pos="993"/>
        </w:tabs>
        <w:spacing w:line="420" w:lineRule="exact"/>
        <w:contextualSpacing/>
        <w:jc w:val="left"/>
        <w:rPr>
          <w:rFonts w:ascii="宋体" w:hAnsi="宋体" w:eastAsia="宋体" w:cs="Arial"/>
          <w:kern w:val="0"/>
          <w:sz w:val="22"/>
          <w:lang w:bidi="en-US"/>
        </w:rPr>
      </w:pPr>
      <w:r>
        <w:rPr>
          <w:rFonts w:hint="eastAsia" w:ascii="宋体" w:hAnsi="宋体" w:eastAsia="宋体" w:cs="Arial"/>
          <w:kern w:val="0"/>
          <w:sz w:val="22"/>
          <w:lang w:bidi="en-US"/>
        </w:rPr>
        <w:t>3</w:t>
      </w:r>
      <w:r>
        <w:rPr>
          <w:rFonts w:ascii="宋体" w:hAnsi="宋体" w:eastAsia="宋体" w:cs="Arial"/>
          <w:kern w:val="0"/>
          <w:sz w:val="22"/>
          <w:lang w:bidi="en-US"/>
        </w:rPr>
        <w:t>.</w:t>
      </w:r>
      <w:r>
        <w:rPr>
          <w:rFonts w:hint="eastAsia" w:ascii="宋体" w:hAnsi="宋体" w:eastAsia="宋体" w:cs="Arial"/>
          <w:kern w:val="0"/>
          <w:sz w:val="22"/>
          <w:lang w:bidi="en-US"/>
        </w:rPr>
        <w:t>卖方对货物的包装应符合货物性质，且应根据货物性质加贴易碎品、需向上、需防潮、危险品等必要的警示标识。卖方需以不褪色和明显字样在每件设备箱表面标记必要的货物信息，或按买方要求加贴标签，以便买方收货时进行清点。如因包装质量问题影响买方的使用的，买方有权要求降价、换货、拒收部分或整批产品。</w:t>
      </w:r>
    </w:p>
    <w:p>
      <w:pPr>
        <w:widowControl/>
        <w:tabs>
          <w:tab w:val="left" w:pos="567"/>
          <w:tab w:val="left" w:pos="709"/>
          <w:tab w:val="left" w:pos="993"/>
        </w:tabs>
        <w:spacing w:line="420" w:lineRule="exact"/>
        <w:contextualSpacing/>
        <w:jc w:val="left"/>
        <w:rPr>
          <w:rFonts w:ascii="宋体" w:hAnsi="宋体" w:eastAsia="宋体" w:cs="Arial"/>
          <w:kern w:val="0"/>
          <w:sz w:val="22"/>
          <w:lang w:bidi="en-US"/>
        </w:rPr>
      </w:pPr>
      <w:r>
        <w:rPr>
          <w:rFonts w:hint="eastAsia" w:ascii="宋体" w:hAnsi="宋体" w:eastAsia="宋体" w:cs="Arial"/>
          <w:kern w:val="0"/>
          <w:sz w:val="22"/>
          <w:lang w:bidi="en-US"/>
        </w:rPr>
        <w:t>4</w:t>
      </w:r>
      <w:r>
        <w:rPr>
          <w:rFonts w:ascii="宋体" w:hAnsi="宋体" w:eastAsia="宋体" w:cs="Arial"/>
          <w:kern w:val="0"/>
          <w:sz w:val="22"/>
          <w:lang w:bidi="en-US"/>
        </w:rPr>
        <w:t>.</w:t>
      </w:r>
      <w:r>
        <w:rPr>
          <w:rFonts w:hint="eastAsia" w:ascii="宋体" w:hAnsi="宋体" w:eastAsia="宋体" w:cs="Arial"/>
          <w:kern w:val="0"/>
          <w:sz w:val="22"/>
          <w:lang w:bidi="en-US"/>
        </w:rPr>
        <w:t>包装和标记的责任及费用由卖方承担。</w:t>
      </w:r>
    </w:p>
    <w:p>
      <w:pPr>
        <w:widowControl/>
        <w:numPr>
          <w:ilvl w:val="0"/>
          <w:numId w:val="1"/>
        </w:numPr>
        <w:tabs>
          <w:tab w:val="left" w:pos="567"/>
          <w:tab w:val="left" w:pos="709"/>
          <w:tab w:val="left" w:pos="993"/>
        </w:tabs>
        <w:spacing w:line="420" w:lineRule="exact"/>
        <w:ind w:left="0" w:firstLine="0"/>
        <w:contextualSpacing/>
        <w:jc w:val="left"/>
        <w:rPr>
          <w:rFonts w:ascii="宋体" w:hAnsi="宋体" w:eastAsia="宋体" w:cs="Arial"/>
          <w:b/>
          <w:bCs/>
          <w:kern w:val="0"/>
          <w:sz w:val="22"/>
          <w:lang w:eastAsia="en-US" w:bidi="en-US"/>
        </w:rPr>
      </w:pPr>
      <w:r>
        <w:rPr>
          <w:rFonts w:hint="eastAsia" w:ascii="宋体" w:hAnsi="宋体" w:eastAsia="宋体" w:cs="Arial"/>
          <w:b/>
          <w:bCs/>
          <w:kern w:val="0"/>
          <w:sz w:val="22"/>
          <w:lang w:eastAsia="en-US" w:bidi="en-US"/>
        </w:rPr>
        <w:t>验收</w:t>
      </w:r>
    </w:p>
    <w:p>
      <w:pPr>
        <w:widowControl/>
        <w:numPr>
          <w:ilvl w:val="0"/>
          <w:numId w:val="3"/>
        </w:numPr>
        <w:tabs>
          <w:tab w:val="left" w:pos="567"/>
          <w:tab w:val="left" w:pos="993"/>
        </w:tabs>
        <w:spacing w:after="200" w:line="420" w:lineRule="exact"/>
        <w:contextualSpacing/>
        <w:jc w:val="left"/>
        <w:rPr>
          <w:rFonts w:ascii="宋体" w:hAnsi="宋体" w:eastAsia="宋体" w:cs="Arial"/>
          <w:kern w:val="0"/>
          <w:sz w:val="22"/>
          <w:lang w:bidi="en-US"/>
        </w:rPr>
      </w:pPr>
      <w:r>
        <w:rPr>
          <w:rFonts w:hint="eastAsia" w:ascii="宋体" w:hAnsi="宋体" w:eastAsia="宋体" w:cs="Arial"/>
          <w:kern w:val="0"/>
          <w:sz w:val="22"/>
          <w:lang w:bidi="en-US"/>
        </w:rPr>
        <w:t>货物验收在买方的指定工厂进行，买方有权按照本合同约定对货物的品种、外观和数量等进行查验并在安装调试和试运行完成后进行整体验收。</w:t>
      </w:r>
    </w:p>
    <w:p>
      <w:pPr>
        <w:widowControl/>
        <w:numPr>
          <w:ilvl w:val="0"/>
          <w:numId w:val="3"/>
        </w:numPr>
        <w:tabs>
          <w:tab w:val="left" w:pos="567"/>
          <w:tab w:val="left" w:pos="993"/>
        </w:tabs>
        <w:spacing w:after="200" w:line="420" w:lineRule="exact"/>
        <w:contextualSpacing/>
        <w:jc w:val="left"/>
        <w:rPr>
          <w:rFonts w:ascii="宋体" w:hAnsi="宋体" w:eastAsia="宋体" w:cs="Arial"/>
          <w:kern w:val="0"/>
          <w:sz w:val="22"/>
          <w:lang w:bidi="en-US"/>
        </w:rPr>
      </w:pPr>
      <w:r>
        <w:rPr>
          <w:rFonts w:ascii="宋体" w:hAnsi="宋体" w:eastAsia="宋体" w:cs="Arial"/>
          <w:kern w:val="0"/>
          <w:sz w:val="22"/>
          <w:lang w:bidi="en-US"/>
        </w:rPr>
        <w:t>验收合格并不解除在货物使用过程中发现质量问题或缺陷时卖方应承担的责任。</w:t>
      </w:r>
    </w:p>
    <w:p>
      <w:pPr>
        <w:widowControl/>
        <w:numPr>
          <w:ilvl w:val="0"/>
          <w:numId w:val="3"/>
        </w:numPr>
        <w:tabs>
          <w:tab w:val="left" w:pos="255"/>
          <w:tab w:val="left" w:pos="993"/>
        </w:tabs>
        <w:spacing w:after="200" w:line="420" w:lineRule="exact"/>
        <w:contextualSpacing/>
        <w:jc w:val="left"/>
        <w:rPr>
          <w:rFonts w:ascii="宋体" w:hAnsi="宋体" w:eastAsia="宋体" w:cs="Arial"/>
          <w:kern w:val="0"/>
          <w:sz w:val="22"/>
          <w:lang w:bidi="en-US"/>
        </w:rPr>
      </w:pPr>
      <w:r>
        <w:rPr>
          <w:rFonts w:ascii="宋体" w:hAnsi="宋体" w:eastAsia="宋体" w:cs="Arial"/>
          <w:kern w:val="0"/>
          <w:sz w:val="22"/>
          <w:lang w:bidi="en-US"/>
        </w:rPr>
        <w:t>如果</w:t>
      </w:r>
      <w:r>
        <w:rPr>
          <w:rFonts w:hint="eastAsia" w:ascii="宋体" w:hAnsi="宋体" w:eastAsia="宋体" w:cs="Arial"/>
          <w:kern w:val="0"/>
          <w:sz w:val="22"/>
          <w:lang w:bidi="en-US"/>
        </w:rPr>
        <w:t>买方发现</w:t>
      </w:r>
      <w:r>
        <w:rPr>
          <w:rFonts w:ascii="宋体" w:hAnsi="宋体" w:eastAsia="宋体" w:cs="Arial"/>
          <w:kern w:val="0"/>
          <w:sz w:val="22"/>
          <w:lang w:bidi="en-US"/>
        </w:rPr>
        <w:t>货物不符合合同约定，</w:t>
      </w:r>
      <w:r>
        <w:rPr>
          <w:rFonts w:hint="eastAsia" w:ascii="宋体" w:hAnsi="宋体" w:eastAsia="宋体" w:cs="Arial"/>
          <w:kern w:val="0"/>
          <w:sz w:val="22"/>
          <w:lang w:bidi="en-US"/>
        </w:rPr>
        <w:t>买方</w:t>
      </w:r>
      <w:r>
        <w:rPr>
          <w:rFonts w:ascii="宋体" w:hAnsi="宋体" w:eastAsia="宋体" w:cs="Arial"/>
          <w:kern w:val="0"/>
          <w:sz w:val="22"/>
          <w:lang w:bidi="en-US"/>
        </w:rPr>
        <w:t>有权对不符的情况作出记录，并</w:t>
      </w:r>
      <w:r>
        <w:rPr>
          <w:rFonts w:hint="eastAsia" w:ascii="宋体" w:hAnsi="宋体" w:eastAsia="宋体" w:cs="Arial"/>
          <w:kern w:val="0"/>
          <w:sz w:val="22"/>
          <w:lang w:bidi="en-US"/>
        </w:rPr>
        <w:t>通知卖方</w:t>
      </w:r>
      <w:r>
        <w:rPr>
          <w:rFonts w:ascii="宋体" w:hAnsi="宋体" w:eastAsia="宋体" w:cs="Arial"/>
          <w:kern w:val="0"/>
          <w:sz w:val="22"/>
          <w:lang w:bidi="en-US"/>
        </w:rPr>
        <w:t>予以更换、退货</w:t>
      </w:r>
      <w:r>
        <w:rPr>
          <w:rFonts w:hint="eastAsia" w:ascii="宋体" w:hAnsi="宋体" w:eastAsia="宋体" w:cs="Arial"/>
          <w:kern w:val="0"/>
          <w:sz w:val="22"/>
          <w:lang w:bidi="en-US"/>
        </w:rPr>
        <w:t>、拒收</w:t>
      </w:r>
      <w:r>
        <w:rPr>
          <w:rFonts w:ascii="宋体" w:hAnsi="宋体" w:eastAsia="宋体" w:cs="Arial"/>
          <w:kern w:val="0"/>
          <w:sz w:val="22"/>
          <w:lang w:bidi="en-US"/>
        </w:rPr>
        <w:t>或</w:t>
      </w:r>
      <w:r>
        <w:rPr>
          <w:rFonts w:hint="eastAsia" w:ascii="宋体" w:hAnsi="宋体" w:eastAsia="宋体" w:cs="Arial"/>
          <w:kern w:val="0"/>
          <w:sz w:val="22"/>
          <w:lang w:bidi="en-US"/>
        </w:rPr>
        <w:t>按照买方要求采取其它补救措施</w:t>
      </w:r>
      <w:r>
        <w:rPr>
          <w:rFonts w:ascii="宋体" w:hAnsi="宋体" w:eastAsia="宋体" w:cs="Arial"/>
          <w:kern w:val="0"/>
          <w:sz w:val="22"/>
          <w:lang w:bidi="en-US"/>
        </w:rPr>
        <w:t>。</w:t>
      </w:r>
      <w:r>
        <w:rPr>
          <w:rFonts w:hint="eastAsia" w:ascii="宋体" w:hAnsi="宋体" w:eastAsia="宋体" w:cs="Arial"/>
          <w:kern w:val="0"/>
          <w:sz w:val="22"/>
          <w:lang w:bidi="en-US"/>
        </w:rPr>
        <w:t>卖方若对买方的记录有异议，应在接到该通知后</w:t>
      </w:r>
      <w:r>
        <w:rPr>
          <w:rFonts w:ascii="宋体" w:hAnsi="宋体" w:eastAsia="宋体" w:cs="Arial"/>
          <w:kern w:val="0"/>
          <w:sz w:val="22"/>
          <w:lang w:bidi="en-US"/>
        </w:rPr>
        <w:t xml:space="preserve">    天内书面提出并提供有效证据证明货物完全符合约定，否则应视为认可买方的处理意见。</w:t>
      </w:r>
    </w:p>
    <w:p>
      <w:pPr>
        <w:widowControl/>
        <w:numPr>
          <w:ilvl w:val="0"/>
          <w:numId w:val="3"/>
        </w:numPr>
        <w:tabs>
          <w:tab w:val="left" w:pos="255"/>
          <w:tab w:val="left" w:pos="993"/>
        </w:tabs>
        <w:spacing w:after="200" w:line="420" w:lineRule="exact"/>
        <w:contextualSpacing/>
        <w:jc w:val="left"/>
        <w:rPr>
          <w:rFonts w:ascii="宋体" w:hAnsi="宋体" w:eastAsia="宋体" w:cs="Arial"/>
          <w:kern w:val="0"/>
          <w:sz w:val="22"/>
          <w:lang w:bidi="en-US"/>
        </w:rPr>
      </w:pPr>
      <w:r>
        <w:rPr>
          <w:rFonts w:ascii="宋体" w:hAnsi="宋体" w:eastAsia="宋体" w:cs="Arial"/>
          <w:kern w:val="0"/>
          <w:sz w:val="22"/>
          <w:lang w:bidi="en-US"/>
        </w:rPr>
        <w:t>如</w:t>
      </w:r>
      <w:r>
        <w:rPr>
          <w:rFonts w:hint="eastAsia" w:ascii="宋体" w:hAnsi="宋体" w:eastAsia="宋体" w:cs="Arial"/>
          <w:kern w:val="0"/>
          <w:sz w:val="22"/>
          <w:lang w:bidi="en-US"/>
        </w:rPr>
        <w:t>买方</w:t>
      </w:r>
      <w:r>
        <w:rPr>
          <w:rFonts w:ascii="宋体" w:hAnsi="宋体" w:eastAsia="宋体" w:cs="Arial"/>
          <w:kern w:val="0"/>
          <w:sz w:val="22"/>
          <w:lang w:bidi="en-US"/>
        </w:rPr>
        <w:t>选择更换，</w:t>
      </w:r>
      <w:r>
        <w:rPr>
          <w:rFonts w:hint="eastAsia" w:ascii="宋体" w:hAnsi="宋体" w:eastAsia="宋体" w:cs="Arial"/>
          <w:kern w:val="0"/>
          <w:sz w:val="22"/>
          <w:lang w:bidi="en-US"/>
        </w:rPr>
        <w:t>卖方</w:t>
      </w:r>
      <w:r>
        <w:rPr>
          <w:rFonts w:ascii="宋体" w:hAnsi="宋体" w:eastAsia="宋体" w:cs="Arial"/>
          <w:kern w:val="0"/>
          <w:sz w:val="22"/>
          <w:lang w:bidi="en-US"/>
        </w:rPr>
        <w:t>应于</w:t>
      </w:r>
      <w:r>
        <w:rPr>
          <w:rFonts w:hint="eastAsia" w:ascii="宋体" w:hAnsi="宋体" w:eastAsia="宋体" w:cs="Arial"/>
          <w:kern w:val="0"/>
          <w:sz w:val="22"/>
          <w:lang w:bidi="en-US"/>
        </w:rPr>
        <w:t>买方</w:t>
      </w:r>
      <w:r>
        <w:rPr>
          <w:rFonts w:ascii="宋体" w:hAnsi="宋体" w:eastAsia="宋体" w:cs="Arial"/>
          <w:kern w:val="0"/>
          <w:sz w:val="22"/>
          <w:lang w:bidi="en-US"/>
        </w:rPr>
        <w:t>发出通知之日起    日内完成更换，相关费用由</w:t>
      </w:r>
      <w:r>
        <w:rPr>
          <w:rFonts w:hint="eastAsia" w:ascii="宋体" w:hAnsi="宋体" w:eastAsia="宋体" w:cs="Arial"/>
          <w:kern w:val="0"/>
          <w:sz w:val="22"/>
          <w:lang w:bidi="en-US"/>
        </w:rPr>
        <w:t>卖方</w:t>
      </w:r>
      <w:r>
        <w:rPr>
          <w:rFonts w:ascii="宋体" w:hAnsi="宋体" w:eastAsia="宋体" w:cs="Arial"/>
          <w:kern w:val="0"/>
          <w:sz w:val="22"/>
          <w:lang w:bidi="en-US"/>
        </w:rPr>
        <w:t>承担。如</w:t>
      </w:r>
      <w:r>
        <w:rPr>
          <w:rFonts w:hint="eastAsia" w:ascii="宋体" w:hAnsi="宋体" w:eastAsia="宋体" w:cs="Arial"/>
          <w:kern w:val="0"/>
          <w:sz w:val="22"/>
          <w:lang w:bidi="en-US"/>
        </w:rPr>
        <w:t>买方</w:t>
      </w:r>
      <w:r>
        <w:rPr>
          <w:rFonts w:ascii="宋体" w:hAnsi="宋体" w:eastAsia="宋体" w:cs="Arial"/>
          <w:kern w:val="0"/>
          <w:sz w:val="22"/>
          <w:lang w:bidi="en-US"/>
        </w:rPr>
        <w:t>选择退货，则</w:t>
      </w:r>
      <w:r>
        <w:rPr>
          <w:rFonts w:hint="eastAsia" w:ascii="宋体" w:hAnsi="宋体" w:eastAsia="宋体" w:cs="Arial"/>
          <w:kern w:val="0"/>
          <w:sz w:val="22"/>
          <w:lang w:bidi="en-US"/>
        </w:rPr>
        <w:t>卖方</w:t>
      </w:r>
      <w:r>
        <w:rPr>
          <w:rFonts w:ascii="宋体" w:hAnsi="宋体" w:eastAsia="宋体" w:cs="Arial"/>
          <w:kern w:val="0"/>
          <w:sz w:val="22"/>
          <w:lang w:bidi="en-US"/>
        </w:rPr>
        <w:t>应于7日内上门提取货物</w:t>
      </w:r>
      <w:r>
        <w:rPr>
          <w:rFonts w:hint="eastAsia" w:ascii="宋体" w:hAnsi="宋体" w:eastAsia="宋体" w:cs="Arial"/>
          <w:kern w:val="0"/>
          <w:sz w:val="22"/>
          <w:lang w:bidi="en-US"/>
        </w:rPr>
        <w:t>。对所有卖方</w:t>
      </w:r>
      <w:r>
        <w:rPr>
          <w:rFonts w:ascii="宋体" w:hAnsi="宋体" w:eastAsia="宋体" w:cs="Arial"/>
          <w:kern w:val="0"/>
          <w:sz w:val="22"/>
          <w:lang w:bidi="en-US"/>
        </w:rPr>
        <w:t>逾期未提取的</w:t>
      </w:r>
      <w:r>
        <w:rPr>
          <w:rFonts w:hint="eastAsia" w:ascii="宋体" w:hAnsi="宋体" w:eastAsia="宋体" w:cs="Arial"/>
          <w:kern w:val="0"/>
          <w:sz w:val="22"/>
          <w:lang w:bidi="en-US"/>
        </w:rPr>
        <w:t>货物</w:t>
      </w:r>
      <w:r>
        <w:rPr>
          <w:rFonts w:ascii="宋体" w:hAnsi="宋体" w:eastAsia="宋体" w:cs="Arial"/>
          <w:kern w:val="0"/>
          <w:sz w:val="22"/>
          <w:lang w:bidi="en-US"/>
        </w:rPr>
        <w:t>，</w:t>
      </w:r>
      <w:r>
        <w:rPr>
          <w:rFonts w:hint="eastAsia" w:ascii="宋体" w:hAnsi="宋体" w:eastAsia="宋体" w:cs="Arial"/>
          <w:kern w:val="0"/>
          <w:sz w:val="22"/>
          <w:lang w:bidi="en-US"/>
        </w:rPr>
        <w:t>卖方应支付仓储费、保管费等费用，每日按未提取货物价值的</w:t>
      </w:r>
      <w:r>
        <w:rPr>
          <w:rFonts w:hint="eastAsia" w:ascii="宋体" w:hAnsi="宋体" w:eastAsia="宋体" w:cs="Arial"/>
          <w:kern w:val="0"/>
          <w:sz w:val="22"/>
          <w:u w:val="single"/>
          <w:lang w:bidi="en-US"/>
        </w:rPr>
        <w:t xml:space="preserve"> </w:t>
      </w:r>
      <w:r>
        <w:rPr>
          <w:rFonts w:ascii="宋体" w:hAnsi="宋体" w:eastAsia="宋体" w:cs="Arial"/>
          <w:kern w:val="0"/>
          <w:sz w:val="22"/>
          <w:u w:val="single"/>
          <w:lang w:bidi="en-US"/>
        </w:rPr>
        <w:t xml:space="preserve">   </w:t>
      </w:r>
      <w:r>
        <w:rPr>
          <w:rFonts w:ascii="宋体" w:hAnsi="宋体" w:eastAsia="宋体" w:cs="Arial"/>
          <w:kern w:val="0"/>
          <w:sz w:val="22"/>
          <w:lang w:bidi="en-US"/>
        </w:rPr>
        <w:t>%</w:t>
      </w:r>
      <w:r>
        <w:rPr>
          <w:rFonts w:hint="eastAsia" w:ascii="宋体" w:hAnsi="宋体" w:eastAsia="宋体" w:cs="Arial"/>
          <w:kern w:val="0"/>
          <w:sz w:val="22"/>
          <w:lang w:bidi="en-US"/>
        </w:rPr>
        <w:t>计算，买方也</w:t>
      </w:r>
      <w:r>
        <w:rPr>
          <w:rFonts w:ascii="宋体" w:hAnsi="宋体" w:eastAsia="宋体" w:cs="Arial"/>
          <w:kern w:val="0"/>
          <w:sz w:val="22"/>
          <w:lang w:bidi="en-US"/>
        </w:rPr>
        <w:t>可自行处理货物，相关处理费用由</w:t>
      </w:r>
      <w:r>
        <w:rPr>
          <w:rFonts w:hint="eastAsia" w:ascii="宋体" w:hAnsi="宋体" w:eastAsia="宋体" w:cs="Arial"/>
          <w:kern w:val="0"/>
          <w:sz w:val="22"/>
          <w:lang w:bidi="en-US"/>
        </w:rPr>
        <w:t>卖方</w:t>
      </w:r>
      <w:r>
        <w:rPr>
          <w:rFonts w:ascii="宋体" w:hAnsi="宋体" w:eastAsia="宋体" w:cs="Arial"/>
          <w:kern w:val="0"/>
          <w:sz w:val="22"/>
          <w:lang w:bidi="en-US"/>
        </w:rPr>
        <w:t>承担。</w:t>
      </w:r>
      <w:r>
        <w:rPr>
          <w:rFonts w:hint="eastAsia" w:ascii="宋体" w:hAnsi="宋体" w:eastAsia="宋体" w:cs="Arial"/>
          <w:kern w:val="0"/>
          <w:sz w:val="22"/>
          <w:lang w:bidi="en-US"/>
        </w:rPr>
        <w:t>若因该部分货物导致买方损失的，卖方应当赔偿。</w:t>
      </w:r>
    </w:p>
    <w:p>
      <w:pPr>
        <w:widowControl/>
        <w:numPr>
          <w:ilvl w:val="0"/>
          <w:numId w:val="3"/>
        </w:numPr>
        <w:tabs>
          <w:tab w:val="left" w:pos="255"/>
          <w:tab w:val="left" w:pos="993"/>
        </w:tabs>
        <w:spacing w:after="200" w:line="420" w:lineRule="exact"/>
        <w:contextualSpacing/>
        <w:jc w:val="left"/>
        <w:rPr>
          <w:rFonts w:ascii="宋体" w:hAnsi="宋体" w:eastAsia="宋体" w:cs="Arial"/>
          <w:kern w:val="0"/>
          <w:sz w:val="22"/>
          <w:lang w:bidi="en-US"/>
        </w:rPr>
      </w:pPr>
      <w:r>
        <w:rPr>
          <w:rFonts w:ascii="宋体" w:hAnsi="宋体" w:eastAsia="宋体" w:cs="Arial"/>
          <w:kern w:val="0"/>
          <w:sz w:val="22"/>
          <w:lang w:bidi="en-US"/>
        </w:rPr>
        <w:t>如双方对检验记录不能取得一致意见，可共同委托权威的第三方检验机构进行检验。若对检验机构选择无法达成一致意见，则由</w:t>
      </w:r>
      <w:r>
        <w:rPr>
          <w:rFonts w:hint="eastAsia" w:ascii="宋体" w:hAnsi="宋体" w:eastAsia="宋体" w:cs="Arial"/>
          <w:kern w:val="0"/>
          <w:sz w:val="22"/>
          <w:lang w:bidi="en-US"/>
        </w:rPr>
        <w:t>买方</w:t>
      </w:r>
      <w:r>
        <w:rPr>
          <w:rFonts w:ascii="宋体" w:hAnsi="宋体" w:eastAsia="宋体" w:cs="Arial"/>
          <w:kern w:val="0"/>
          <w:sz w:val="22"/>
          <w:lang w:bidi="en-US"/>
        </w:rPr>
        <w:t>确定的检验机构为准。检验结果对双方都有约束力，检验费用由责任方负担。</w:t>
      </w:r>
    </w:p>
    <w:p>
      <w:pPr>
        <w:widowControl/>
        <w:numPr>
          <w:ilvl w:val="0"/>
          <w:numId w:val="3"/>
        </w:numPr>
        <w:tabs>
          <w:tab w:val="left" w:pos="567"/>
          <w:tab w:val="left" w:pos="993"/>
        </w:tabs>
        <w:spacing w:after="200" w:line="420" w:lineRule="exact"/>
        <w:contextualSpacing/>
        <w:jc w:val="left"/>
        <w:rPr>
          <w:rFonts w:ascii="宋体" w:hAnsi="宋体" w:eastAsia="宋体" w:cs="Arial"/>
          <w:kern w:val="0"/>
          <w:sz w:val="22"/>
          <w:lang w:bidi="en-US"/>
        </w:rPr>
      </w:pPr>
      <w:r>
        <w:rPr>
          <w:rFonts w:hint="eastAsia" w:ascii="宋体" w:hAnsi="宋体" w:eastAsia="宋体" w:cs="Arial"/>
          <w:kern w:val="0"/>
          <w:sz w:val="22"/>
          <w:lang w:bidi="en-US"/>
        </w:rPr>
        <w:t>无论买方是否对数量和包装进行检验，不影响设备的安装。</w:t>
      </w:r>
    </w:p>
    <w:p>
      <w:pPr>
        <w:tabs>
          <w:tab w:val="left" w:pos="567"/>
          <w:tab w:val="left" w:pos="993"/>
        </w:tabs>
        <w:spacing w:line="420" w:lineRule="exact"/>
        <w:jc w:val="left"/>
        <w:rPr>
          <w:rFonts w:ascii="宋体" w:hAnsi="宋体" w:eastAsia="宋体" w:cs="Arial"/>
        </w:rPr>
      </w:pPr>
    </w:p>
    <w:p>
      <w:pPr>
        <w:widowControl/>
        <w:numPr>
          <w:ilvl w:val="0"/>
          <w:numId w:val="1"/>
        </w:numPr>
        <w:tabs>
          <w:tab w:val="left" w:pos="567"/>
          <w:tab w:val="left" w:pos="709"/>
          <w:tab w:val="left" w:pos="993"/>
        </w:tabs>
        <w:spacing w:line="420" w:lineRule="exact"/>
        <w:ind w:left="0" w:firstLine="0"/>
        <w:contextualSpacing/>
        <w:jc w:val="left"/>
        <w:rPr>
          <w:rFonts w:ascii="宋体" w:hAnsi="宋体" w:eastAsia="宋体" w:cs="Arial"/>
          <w:b/>
          <w:bCs/>
          <w:kern w:val="0"/>
          <w:sz w:val="22"/>
          <w:lang w:eastAsia="en-US" w:bidi="en-US"/>
        </w:rPr>
      </w:pPr>
      <w:r>
        <w:rPr>
          <w:rFonts w:hint="eastAsia" w:ascii="宋体" w:hAnsi="宋体" w:eastAsia="宋体" w:cs="Arial"/>
          <w:b/>
          <w:bCs/>
          <w:kern w:val="0"/>
          <w:sz w:val="22"/>
          <w:lang w:eastAsia="en-US" w:bidi="en-US"/>
        </w:rPr>
        <w:t>付款与履约保证金</w:t>
      </w:r>
    </w:p>
    <w:p>
      <w:pPr>
        <w:widowControl/>
        <w:numPr>
          <w:ilvl w:val="0"/>
          <w:numId w:val="4"/>
        </w:numPr>
        <w:tabs>
          <w:tab w:val="left" w:pos="567"/>
          <w:tab w:val="left" w:pos="709"/>
          <w:tab w:val="left" w:pos="993"/>
        </w:tabs>
        <w:spacing w:line="420" w:lineRule="exact"/>
        <w:ind w:left="0" w:firstLine="0"/>
        <w:contextualSpacing/>
        <w:jc w:val="left"/>
        <w:rPr>
          <w:rFonts w:ascii="宋体" w:hAnsi="宋体" w:eastAsia="宋体" w:cs="Arial"/>
          <w:kern w:val="0"/>
          <w:sz w:val="22"/>
          <w:lang w:bidi="en-US"/>
        </w:rPr>
      </w:pPr>
      <w:r>
        <w:rPr>
          <w:rFonts w:hint="eastAsia" w:ascii="宋体" w:hAnsi="宋体" w:eastAsia="宋体" w:cs="Arial"/>
          <w:kern w:val="0"/>
          <w:sz w:val="22"/>
          <w:lang w:bidi="en-US"/>
        </w:rPr>
        <w:t>合同总价按照以下约定支付：</w:t>
      </w:r>
    </w:p>
    <w:p>
      <w:pPr>
        <w:widowControl/>
        <w:tabs>
          <w:tab w:val="left" w:pos="0"/>
          <w:tab w:val="left" w:pos="567"/>
          <w:tab w:val="left" w:pos="709"/>
          <w:tab w:val="left" w:pos="993"/>
        </w:tabs>
        <w:spacing w:line="420" w:lineRule="exact"/>
        <w:rPr>
          <w:rFonts w:ascii="宋体" w:hAnsi="宋体" w:eastAsia="宋体" w:cs="Times New Roman"/>
          <w:kern w:val="0"/>
          <w:sz w:val="22"/>
          <w:lang w:bidi="en-US"/>
        </w:rPr>
      </w:pPr>
      <w:r>
        <w:rPr>
          <w:rFonts w:ascii="宋体" w:hAnsi="宋体" w:eastAsia="宋体" w:cs="Times New Roman"/>
          <w:kern w:val="0"/>
          <w:sz w:val="22"/>
          <w:lang w:bidi="en-US"/>
        </w:rPr>
        <w:t>1.合同总价款的</w:t>
      </w:r>
      <w:r>
        <w:rPr>
          <w:rFonts w:ascii="宋体" w:hAnsi="宋体" w:eastAsia="宋体" w:cs="Times New Roman"/>
          <w:kern w:val="0"/>
          <w:sz w:val="22"/>
          <w:u w:val="single"/>
          <w:lang w:bidi="en-US"/>
        </w:rPr>
        <w:t xml:space="preserve">     %</w:t>
      </w:r>
      <w:r>
        <w:rPr>
          <w:rFonts w:ascii="宋体" w:hAnsi="宋体" w:eastAsia="宋体" w:cs="Times New Roman"/>
          <w:kern w:val="0"/>
          <w:sz w:val="22"/>
          <w:lang w:bidi="en-US"/>
        </w:rPr>
        <w:t>，在本合同生效后</w:t>
      </w:r>
      <w:r>
        <w:rPr>
          <w:rFonts w:ascii="宋体" w:hAnsi="宋体" w:eastAsia="宋体" w:cs="Times New Roman"/>
          <w:kern w:val="0"/>
          <w:sz w:val="22"/>
          <w:u w:val="single"/>
          <w:lang w:bidi="en-US"/>
        </w:rPr>
        <w:t xml:space="preserve">     </w:t>
      </w:r>
      <w:r>
        <w:rPr>
          <w:rFonts w:ascii="宋体" w:hAnsi="宋体" w:eastAsia="宋体" w:cs="Times New Roman"/>
          <w:kern w:val="0"/>
          <w:sz w:val="22"/>
          <w:lang w:bidi="en-US"/>
        </w:rPr>
        <w:t>天内由买方向卖方预付；</w:t>
      </w:r>
    </w:p>
    <w:p>
      <w:pPr>
        <w:widowControl/>
        <w:tabs>
          <w:tab w:val="left" w:pos="0"/>
          <w:tab w:val="left" w:pos="567"/>
          <w:tab w:val="left" w:pos="709"/>
          <w:tab w:val="left" w:pos="993"/>
        </w:tabs>
        <w:spacing w:line="420" w:lineRule="exact"/>
        <w:rPr>
          <w:rFonts w:ascii="宋体" w:hAnsi="宋体" w:eastAsia="宋体" w:cs="Times New Roman"/>
          <w:kern w:val="0"/>
          <w:sz w:val="22"/>
          <w:lang w:bidi="en-US"/>
        </w:rPr>
      </w:pPr>
      <w:r>
        <w:rPr>
          <w:rFonts w:ascii="宋体" w:hAnsi="宋体" w:eastAsia="宋体" w:cs="Times New Roman"/>
          <w:kern w:val="0"/>
          <w:sz w:val="22"/>
          <w:lang w:bidi="en-US"/>
        </w:rPr>
        <w:t>2.合同总价款的</w:t>
      </w:r>
      <w:r>
        <w:rPr>
          <w:rFonts w:ascii="宋体" w:hAnsi="宋体" w:eastAsia="宋体" w:cs="Times New Roman"/>
          <w:kern w:val="0"/>
          <w:sz w:val="22"/>
          <w:u w:val="single"/>
          <w:lang w:bidi="en-US"/>
        </w:rPr>
        <w:t xml:space="preserve">     </w:t>
      </w:r>
      <w:r>
        <w:rPr>
          <w:rFonts w:ascii="宋体" w:hAnsi="宋体" w:eastAsia="宋体" w:cs="Times New Roman"/>
          <w:kern w:val="0"/>
          <w:sz w:val="22"/>
          <w:lang w:bidi="en-US"/>
        </w:rPr>
        <w:t>%，买方收到货物</w:t>
      </w:r>
      <w:bookmarkStart w:id="6" w:name="_GoBack"/>
      <w:bookmarkEnd w:id="6"/>
      <w:r>
        <w:rPr>
          <w:rFonts w:ascii="宋体" w:hAnsi="宋体" w:eastAsia="宋体" w:cs="Times New Roman"/>
          <w:kern w:val="0"/>
          <w:sz w:val="22"/>
          <w:lang w:bidi="en-US"/>
        </w:rPr>
        <w:t>及发票后</w:t>
      </w:r>
      <w:r>
        <w:rPr>
          <w:rFonts w:ascii="宋体" w:hAnsi="宋体" w:eastAsia="宋体" w:cs="Times New Roman"/>
          <w:kern w:val="0"/>
          <w:sz w:val="22"/>
          <w:u w:val="single"/>
          <w:lang w:bidi="en-US"/>
        </w:rPr>
        <w:t xml:space="preserve">    </w:t>
      </w:r>
      <w:r>
        <w:rPr>
          <w:rFonts w:ascii="宋体" w:hAnsi="宋体" w:eastAsia="宋体" w:cs="Times New Roman"/>
          <w:kern w:val="0"/>
          <w:sz w:val="22"/>
          <w:lang w:bidi="en-US"/>
        </w:rPr>
        <w:t>天内支付；</w:t>
      </w:r>
    </w:p>
    <w:p>
      <w:pPr>
        <w:widowControl/>
        <w:tabs>
          <w:tab w:val="left" w:pos="0"/>
          <w:tab w:val="left" w:pos="567"/>
          <w:tab w:val="left" w:pos="709"/>
          <w:tab w:val="left" w:pos="993"/>
        </w:tabs>
        <w:spacing w:line="420" w:lineRule="exact"/>
        <w:rPr>
          <w:rFonts w:ascii="宋体" w:hAnsi="宋体" w:eastAsia="宋体" w:cs="Times New Roman"/>
          <w:kern w:val="0"/>
          <w:sz w:val="22"/>
          <w:lang w:bidi="en-US"/>
        </w:rPr>
      </w:pPr>
      <w:r>
        <w:rPr>
          <w:rFonts w:ascii="宋体" w:hAnsi="宋体" w:eastAsia="宋体" w:cs="Times New Roman"/>
          <w:kern w:val="0"/>
          <w:sz w:val="22"/>
          <w:lang w:bidi="en-US"/>
        </w:rPr>
        <w:t xml:space="preserve">3.合同总价款的 </w:t>
      </w:r>
      <w:r>
        <w:rPr>
          <w:rFonts w:ascii="宋体" w:hAnsi="宋体" w:eastAsia="宋体" w:cs="Times New Roman"/>
          <w:kern w:val="0"/>
          <w:sz w:val="22"/>
          <w:u w:val="single"/>
          <w:lang w:bidi="en-US"/>
        </w:rPr>
        <w:t xml:space="preserve">    </w:t>
      </w:r>
      <w:r>
        <w:rPr>
          <w:rFonts w:ascii="宋体" w:hAnsi="宋体" w:eastAsia="宋体" w:cs="Times New Roman"/>
          <w:kern w:val="0"/>
          <w:sz w:val="22"/>
          <w:lang w:bidi="en-US"/>
        </w:rPr>
        <w:t>%，在验收合格后</w:t>
      </w:r>
      <w:r>
        <w:rPr>
          <w:rFonts w:ascii="宋体" w:hAnsi="宋体" w:eastAsia="宋体" w:cs="Times New Roman"/>
          <w:kern w:val="0"/>
          <w:sz w:val="22"/>
          <w:u w:val="single"/>
          <w:lang w:bidi="en-US"/>
        </w:rPr>
        <w:t xml:space="preserve">    </w:t>
      </w:r>
      <w:r>
        <w:rPr>
          <w:rFonts w:ascii="宋体" w:hAnsi="宋体" w:eastAsia="宋体" w:cs="Times New Roman"/>
          <w:kern w:val="0"/>
          <w:sz w:val="22"/>
          <w:lang w:bidi="en-US"/>
        </w:rPr>
        <w:t>天内支付；</w:t>
      </w:r>
    </w:p>
    <w:p>
      <w:pPr>
        <w:widowControl/>
        <w:tabs>
          <w:tab w:val="left" w:pos="0"/>
          <w:tab w:val="left" w:pos="567"/>
          <w:tab w:val="left" w:pos="709"/>
          <w:tab w:val="left" w:pos="993"/>
        </w:tabs>
        <w:spacing w:line="420" w:lineRule="exact"/>
        <w:rPr>
          <w:rFonts w:ascii="宋体" w:hAnsi="宋体" w:eastAsia="宋体" w:cs="Times New Roman"/>
          <w:kern w:val="0"/>
          <w:sz w:val="22"/>
          <w:lang w:bidi="en-US"/>
        </w:rPr>
      </w:pPr>
      <w:r>
        <w:rPr>
          <w:rFonts w:ascii="宋体" w:hAnsi="宋体" w:eastAsia="宋体" w:cs="Times New Roman"/>
          <w:kern w:val="0"/>
          <w:sz w:val="22"/>
          <w:lang w:bidi="en-US"/>
        </w:rPr>
        <w:t>4.剩余</w:t>
      </w:r>
      <w:r>
        <w:rPr>
          <w:rFonts w:ascii="宋体" w:hAnsi="宋体" w:eastAsia="宋体" w:cs="Times New Roman"/>
          <w:kern w:val="0"/>
          <w:sz w:val="22"/>
          <w:u w:val="single"/>
          <w:lang w:bidi="en-US"/>
        </w:rPr>
        <w:t xml:space="preserve">     </w:t>
      </w:r>
      <w:r>
        <w:rPr>
          <w:rFonts w:ascii="宋体" w:hAnsi="宋体" w:eastAsia="宋体" w:cs="Times New Roman"/>
          <w:kern w:val="0"/>
          <w:sz w:val="22"/>
          <w:lang w:bidi="en-US"/>
        </w:rPr>
        <w:t>％，作为质保金，质保期满</w:t>
      </w:r>
      <w:r>
        <w:rPr>
          <w:rFonts w:ascii="宋体" w:hAnsi="宋体" w:eastAsia="宋体" w:cs="Times New Roman"/>
          <w:kern w:val="0"/>
          <w:sz w:val="22"/>
          <w:u w:val="single"/>
          <w:lang w:bidi="en-US"/>
        </w:rPr>
        <w:t xml:space="preserve">    </w:t>
      </w:r>
      <w:r>
        <w:rPr>
          <w:rFonts w:hint="eastAsia" w:ascii="宋体" w:hAnsi="宋体" w:eastAsia="宋体" w:cs="Times New Roman"/>
          <w:kern w:val="0"/>
          <w:sz w:val="22"/>
          <w:lang w:val="en-US" w:eastAsia="zh-CN" w:bidi="en-US"/>
        </w:rPr>
        <w:t>月</w:t>
      </w:r>
      <w:r>
        <w:rPr>
          <w:rFonts w:ascii="宋体" w:hAnsi="宋体" w:eastAsia="宋体" w:cs="Times New Roman"/>
          <w:kern w:val="0"/>
          <w:sz w:val="22"/>
          <w:lang w:bidi="en-US"/>
        </w:rPr>
        <w:t>且双方无异议的情况下，凭质保单</w:t>
      </w:r>
      <w:r>
        <w:rPr>
          <w:rFonts w:hint="eastAsia" w:ascii="宋体" w:hAnsi="宋体" w:eastAsia="宋体" w:cs="Times New Roman"/>
          <w:kern w:val="0"/>
          <w:sz w:val="22"/>
          <w:u w:val="single"/>
          <w:lang w:bidi="en-US"/>
        </w:rPr>
        <w:t xml:space="preserve"> </w:t>
      </w:r>
      <w:r>
        <w:rPr>
          <w:rFonts w:ascii="宋体" w:hAnsi="宋体" w:eastAsia="宋体" w:cs="Times New Roman"/>
          <w:kern w:val="0"/>
          <w:sz w:val="22"/>
          <w:u w:val="single"/>
          <w:lang w:bidi="en-US"/>
        </w:rPr>
        <w:t xml:space="preserve">   </w:t>
      </w:r>
      <w:r>
        <w:rPr>
          <w:rFonts w:ascii="宋体" w:hAnsi="宋体" w:eastAsia="宋体" w:cs="Times New Roman"/>
          <w:kern w:val="0"/>
          <w:sz w:val="22"/>
          <w:lang w:bidi="en-US"/>
        </w:rPr>
        <w:t>天内买方向卖方结算支付。</w:t>
      </w:r>
    </w:p>
    <w:p>
      <w:pPr>
        <w:widowControl/>
        <w:tabs>
          <w:tab w:val="left" w:pos="0"/>
          <w:tab w:val="left" w:pos="567"/>
          <w:tab w:val="left" w:pos="709"/>
          <w:tab w:val="left" w:pos="993"/>
        </w:tabs>
        <w:spacing w:line="420" w:lineRule="exact"/>
        <w:jc w:val="left"/>
        <w:rPr>
          <w:rFonts w:ascii="宋体" w:hAnsi="宋体" w:eastAsia="宋体" w:cs="Times New Roman"/>
          <w:kern w:val="0"/>
          <w:sz w:val="22"/>
          <w:u w:val="single"/>
          <w:lang w:bidi="en-US"/>
        </w:rPr>
      </w:pPr>
      <w:r>
        <w:rPr>
          <w:rFonts w:ascii="宋体" w:hAnsi="宋体" w:eastAsia="宋体" w:cs="Times New Roman"/>
          <w:kern w:val="0"/>
          <w:sz w:val="22"/>
          <w:lang w:bidi="en-US"/>
        </w:rPr>
        <w:t xml:space="preserve">5、其他 </w:t>
      </w:r>
      <w:r>
        <w:rPr>
          <w:rFonts w:ascii="宋体" w:hAnsi="宋体" w:eastAsia="宋体" w:cs="Times New Roman"/>
          <w:kern w:val="0"/>
          <w:sz w:val="22"/>
          <w:u w:val="single"/>
          <w:lang w:bidi="en-US"/>
        </w:rPr>
        <w:t xml:space="preserve">        </w:t>
      </w:r>
    </w:p>
    <w:p>
      <w:pPr>
        <w:tabs>
          <w:tab w:val="left" w:pos="360"/>
          <w:tab w:val="left" w:pos="567"/>
          <w:tab w:val="left" w:pos="709"/>
          <w:tab w:val="left" w:pos="993"/>
        </w:tabs>
        <w:spacing w:line="420" w:lineRule="exact"/>
        <w:ind w:firstLine="420" w:firstLineChars="200"/>
        <w:jc w:val="left"/>
        <w:rPr>
          <w:rFonts w:ascii="宋体" w:hAnsi="宋体" w:eastAsia="宋体" w:cs="Arial"/>
        </w:rPr>
      </w:pPr>
      <w:r>
        <w:rPr>
          <w:rFonts w:hint="eastAsia" w:ascii="宋体" w:hAnsi="宋体" w:eastAsia="宋体" w:cs="Arial"/>
        </w:rPr>
        <w:t>尽管有前述约定，双方约定卖方提交履约保证金的，卖方按时足额支付履约保证金是买方支付任何一笔货款和退还投标保证金的前提条件之一。</w:t>
      </w:r>
    </w:p>
    <w:p>
      <w:pPr>
        <w:tabs>
          <w:tab w:val="left" w:pos="360"/>
          <w:tab w:val="left" w:pos="567"/>
          <w:tab w:val="left" w:pos="709"/>
          <w:tab w:val="left" w:pos="993"/>
        </w:tabs>
        <w:spacing w:line="420" w:lineRule="exact"/>
        <w:ind w:firstLine="420" w:firstLineChars="200"/>
        <w:jc w:val="left"/>
        <w:rPr>
          <w:rFonts w:ascii="宋体" w:hAnsi="宋体" w:eastAsia="宋体" w:cs="Arial"/>
        </w:rPr>
      </w:pPr>
      <w:r>
        <w:rPr>
          <w:rFonts w:hint="eastAsia" w:ascii="宋体" w:hAnsi="宋体" w:eastAsia="宋体" w:cs="Arial"/>
        </w:rPr>
        <w:t>本合同第一条约定的单价及合计金额已含</w:t>
      </w:r>
      <w:r>
        <w:rPr>
          <w:rFonts w:ascii="宋体" w:hAnsi="宋体" w:eastAsia="宋体" w:cs="Arial"/>
          <w:u w:val="single"/>
        </w:rPr>
        <w:t xml:space="preserve">     </w:t>
      </w:r>
      <w:r>
        <w:rPr>
          <w:rFonts w:hint="eastAsia" w:ascii="宋体" w:hAnsi="宋体" w:eastAsia="宋体" w:cs="Arial"/>
        </w:rPr>
        <w:t>%增值税，买卖双方同意，本合同价格应以不含税价为基准，合同履行过程中若遇国家税率调整，则自调整之日起买卖双方开票及付款应按照不含税价和调整后的新税率执行。</w:t>
      </w:r>
    </w:p>
    <w:p>
      <w:pPr>
        <w:widowControl/>
        <w:numPr>
          <w:ilvl w:val="0"/>
          <w:numId w:val="4"/>
        </w:numPr>
        <w:tabs>
          <w:tab w:val="left" w:pos="567"/>
          <w:tab w:val="left" w:pos="709"/>
          <w:tab w:val="left" w:pos="993"/>
        </w:tabs>
        <w:spacing w:line="420" w:lineRule="exact"/>
        <w:ind w:left="0" w:firstLine="0"/>
        <w:contextualSpacing/>
        <w:jc w:val="left"/>
        <w:rPr>
          <w:rFonts w:ascii="宋体" w:hAnsi="宋体" w:eastAsia="宋体" w:cs="Arial"/>
          <w:kern w:val="0"/>
          <w:sz w:val="22"/>
          <w:lang w:bidi="en-US"/>
        </w:rPr>
      </w:pPr>
      <w:r>
        <w:rPr>
          <w:rFonts w:hint="eastAsia" w:ascii="宋体" w:hAnsi="宋体" w:eastAsia="宋体" w:cs="Arial"/>
          <w:kern w:val="0"/>
          <w:sz w:val="22"/>
          <w:lang w:bidi="en-US"/>
        </w:rPr>
        <w:t>卖方应按买方要求开具增值税专用发票, 以上每笔付款凭相对应的发票支付。</w:t>
      </w:r>
      <w:r>
        <w:rPr>
          <w:rFonts w:hint="eastAsia" w:ascii="宋体" w:hAnsi="宋体" w:eastAsia="宋体" w:cs="Times New Roman"/>
          <w:kern w:val="0"/>
          <w:sz w:val="22"/>
          <w:lang w:bidi="en-US"/>
        </w:rPr>
        <w:t>若本合同约定支付预付款的，卖方应按买方要求的时间提供预付款发票，买方未作具体要求的，</w:t>
      </w:r>
      <w:r>
        <w:rPr>
          <w:rFonts w:hint="eastAsia" w:ascii="宋体" w:hAnsi="宋体" w:eastAsia="宋体" w:cs="Arial"/>
          <w:kern w:val="0"/>
          <w:sz w:val="22"/>
          <w:lang w:bidi="en-US"/>
        </w:rPr>
        <w:t>卖方须在款项支付后7天内开具发票并送达买方。</w:t>
      </w:r>
    </w:p>
    <w:p>
      <w:pPr>
        <w:widowControl/>
        <w:numPr>
          <w:ilvl w:val="0"/>
          <w:numId w:val="4"/>
        </w:numPr>
        <w:tabs>
          <w:tab w:val="left" w:pos="567"/>
          <w:tab w:val="left" w:pos="709"/>
          <w:tab w:val="left" w:pos="993"/>
        </w:tabs>
        <w:spacing w:line="420" w:lineRule="exact"/>
        <w:ind w:left="0" w:firstLine="0"/>
        <w:contextualSpacing/>
        <w:jc w:val="left"/>
        <w:rPr>
          <w:rFonts w:ascii="宋体" w:hAnsi="宋体" w:eastAsia="宋体" w:cs="Arial"/>
          <w:kern w:val="0"/>
          <w:sz w:val="22"/>
          <w:lang w:eastAsia="en-US" w:bidi="en-US"/>
        </w:rPr>
      </w:pPr>
      <w:r>
        <w:rPr>
          <w:rFonts w:hint="eastAsia" w:ascii="宋体" w:hAnsi="宋体" w:eastAsia="宋体" w:cs="Arial"/>
          <w:kern w:val="0"/>
          <w:sz w:val="22"/>
          <w:lang w:eastAsia="en-US" w:bidi="en-US"/>
        </w:rPr>
        <w:t>支付方式:</w:t>
      </w:r>
      <w:r>
        <w:rPr>
          <w:rFonts w:hint="eastAsia" w:ascii="宋体" w:hAnsi="宋体" w:eastAsia="宋体" w:cs="Arial"/>
          <w:b/>
          <w:kern w:val="0"/>
          <w:sz w:val="22"/>
          <w:u w:val="single"/>
          <w:lang w:bidi="en-US"/>
        </w:rPr>
        <w:t xml:space="preserve">              </w:t>
      </w:r>
    </w:p>
    <w:p>
      <w:pPr>
        <w:widowControl/>
        <w:numPr>
          <w:ilvl w:val="0"/>
          <w:numId w:val="4"/>
        </w:numPr>
        <w:tabs>
          <w:tab w:val="left" w:pos="567"/>
          <w:tab w:val="left" w:pos="709"/>
          <w:tab w:val="left" w:pos="993"/>
        </w:tabs>
        <w:spacing w:line="420" w:lineRule="exact"/>
        <w:ind w:left="0" w:firstLine="0"/>
        <w:contextualSpacing/>
        <w:jc w:val="left"/>
        <w:rPr>
          <w:rFonts w:ascii="宋体" w:hAnsi="宋体" w:eastAsia="宋体" w:cs="Arial"/>
          <w:kern w:val="0"/>
          <w:sz w:val="22"/>
          <w:u w:val="single"/>
          <w:lang w:bidi="en-US"/>
        </w:rPr>
      </w:pPr>
      <w:r>
        <w:rPr>
          <w:rFonts w:hint="eastAsia" w:ascii="宋体" w:hAnsi="宋体" w:eastAsia="宋体" w:cs="Arial"/>
          <w:kern w:val="0"/>
          <w:sz w:val="22"/>
          <w:lang w:bidi="en-US"/>
        </w:rPr>
        <w:t>合同签订后___天内，卖方应提交本合同合计金额的_____%作为履约保证金，</w:t>
      </w:r>
      <w:r>
        <w:rPr>
          <w:rFonts w:hint="eastAsia" w:ascii="宋体" w:hAnsi="宋体" w:eastAsia="宋体" w:cs="Arial"/>
          <w:kern w:val="0"/>
          <w:sz w:val="22"/>
          <w:lang w:val="en-US" w:eastAsia="zh-CN" w:bidi="en-US"/>
        </w:rPr>
        <w:t>缴纳</w:t>
      </w:r>
      <w:r>
        <w:rPr>
          <w:rFonts w:hint="eastAsia" w:ascii="宋体" w:hAnsi="宋体" w:eastAsia="宋体" w:cs="Arial"/>
          <w:kern w:val="0"/>
          <w:sz w:val="22"/>
          <w:lang w:bidi="en-US"/>
        </w:rPr>
        <w:t>形式为：</w:t>
      </w:r>
      <w:r>
        <w:rPr>
          <w:rFonts w:hint="eastAsia" w:ascii="宋体" w:hAnsi="宋体" w:eastAsia="宋体" w:cs="Arial"/>
          <w:kern w:val="0"/>
          <w:sz w:val="22"/>
          <w:u w:val="single"/>
          <w:lang w:bidi="en-US"/>
        </w:rPr>
        <w:t xml:space="preserve"> </w:t>
      </w:r>
      <w:r>
        <w:rPr>
          <w:rFonts w:ascii="宋体" w:hAnsi="宋体" w:eastAsia="宋体" w:cs="Arial"/>
          <w:kern w:val="0"/>
          <w:sz w:val="22"/>
          <w:u w:val="single"/>
          <w:lang w:bidi="en-US"/>
        </w:rPr>
        <w:t xml:space="preserve">     </w:t>
      </w:r>
      <w:r>
        <w:rPr>
          <w:rFonts w:hint="eastAsia" w:ascii="宋体" w:hAnsi="宋体" w:eastAsia="宋体" w:cs="Arial"/>
          <w:kern w:val="0"/>
          <w:sz w:val="22"/>
          <w:lang w:bidi="en-US"/>
        </w:rPr>
        <w:t>待合同履行完毕且双方无异议，由买方不计息退还给卖方。如卖方未按期足额支付履约保证金的，每逾期一日按逾期支付履约保证金的</w:t>
      </w:r>
      <w:r>
        <w:rPr>
          <w:rFonts w:ascii="宋体" w:hAnsi="宋体" w:eastAsia="宋体" w:cs="Arial"/>
          <w:kern w:val="0"/>
          <w:sz w:val="22"/>
          <w:lang w:bidi="en-US"/>
        </w:rPr>
        <w:t>____%向买方支付违约金。如卖方逾期支付履约保证金或未足额支付履约保证金超过_____天的，卖方应当向买方支付履约保证金总额的______%的违约金，买方有权解除本合同及全部订单并要求卖方赔偿全部损失，卖方已提交的履约保证金不予退还，经招投标程序签订本合同的视为卖方放弃中标，卖方所提交的投标保证金不予退还。</w:t>
      </w:r>
    </w:p>
    <w:p>
      <w:pPr>
        <w:widowControl/>
        <w:numPr>
          <w:ilvl w:val="0"/>
          <w:numId w:val="1"/>
        </w:numPr>
        <w:tabs>
          <w:tab w:val="left" w:pos="567"/>
          <w:tab w:val="left" w:pos="709"/>
          <w:tab w:val="left" w:pos="993"/>
        </w:tabs>
        <w:spacing w:line="420" w:lineRule="exact"/>
        <w:ind w:left="0" w:firstLine="0"/>
        <w:contextualSpacing/>
        <w:jc w:val="left"/>
        <w:rPr>
          <w:rFonts w:ascii="宋体" w:hAnsi="宋体" w:eastAsia="宋体" w:cs="Arial"/>
          <w:b/>
          <w:bCs/>
          <w:spacing w:val="-20"/>
          <w:kern w:val="0"/>
          <w:sz w:val="22"/>
          <w:lang w:eastAsia="en-US" w:bidi="en-US"/>
        </w:rPr>
      </w:pPr>
      <w:r>
        <w:rPr>
          <w:rFonts w:hint="eastAsia" w:ascii="宋体" w:hAnsi="宋体" w:eastAsia="宋体" w:cs="Arial"/>
          <w:b/>
          <w:bCs/>
          <w:spacing w:val="-20"/>
          <w:kern w:val="0"/>
          <w:sz w:val="22"/>
          <w:lang w:bidi="en-US"/>
        </w:rPr>
        <w:t>服务</w:t>
      </w:r>
    </w:p>
    <w:p>
      <w:pPr>
        <w:tabs>
          <w:tab w:val="left" w:pos="567"/>
          <w:tab w:val="left" w:pos="709"/>
          <w:tab w:val="left" w:pos="993"/>
        </w:tabs>
        <w:spacing w:line="420" w:lineRule="exact"/>
        <w:jc w:val="left"/>
        <w:rPr>
          <w:rFonts w:ascii="宋体" w:hAnsi="宋体" w:eastAsia="宋体" w:cs="Arial"/>
        </w:rPr>
      </w:pPr>
      <w:r>
        <w:rPr>
          <w:rFonts w:hint="eastAsia" w:ascii="宋体" w:hAnsi="宋体" w:eastAsia="宋体" w:cs="Arial"/>
        </w:rPr>
        <w:t xml:space="preserve">    本合同项下的设备到达买方工厂后</w:t>
      </w:r>
      <w:r>
        <w:rPr>
          <w:rFonts w:ascii="宋体" w:hAnsi="宋体" w:eastAsia="宋体" w:cs="Arial"/>
          <w:u w:val="single"/>
        </w:rPr>
        <w:t xml:space="preserve">  </w:t>
      </w:r>
      <w:r>
        <w:rPr>
          <w:rFonts w:hint="eastAsia" w:ascii="宋体" w:hAnsi="宋体" w:eastAsia="宋体" w:cs="Arial"/>
          <w:u w:val="single"/>
        </w:rPr>
        <w:t xml:space="preserve">    </w:t>
      </w:r>
      <w:r>
        <w:rPr>
          <w:rFonts w:ascii="宋体" w:hAnsi="宋体" w:eastAsia="宋体" w:cs="Arial"/>
          <w:u w:val="single"/>
        </w:rPr>
        <w:t xml:space="preserve">  </w:t>
      </w:r>
      <w:r>
        <w:rPr>
          <w:rFonts w:hint="eastAsia" w:ascii="宋体" w:hAnsi="宋体" w:eastAsia="宋体" w:cs="Arial"/>
        </w:rPr>
        <w:t>由卖方负责调试。若买方需卖方提供设备调试等现场服务，卖方应在买方通知的期限内完成。卖方承诺并保证将安排具备安装调试专业技术、专业资质且已由用人单位持续缴纳社会保险（包括但不限于工伤保险）及人身意外保险的工作人员（以下简称“调试人员”）负责设备的调试。未经买方同意，不得安排卖方本公司以外的员工开展调试工作。若卖方或经买方同意的第三方未按约定为调试人员办理保险并将书面证明提供给买方，卖方应向买方支付本合同总金额</w:t>
      </w:r>
      <w:r>
        <w:rPr>
          <w:rFonts w:ascii="宋体" w:hAnsi="宋体" w:eastAsia="宋体" w:cs="Arial"/>
          <w:u w:val="single"/>
        </w:rPr>
        <w:t xml:space="preserve">    </w:t>
      </w:r>
      <w:r>
        <w:rPr>
          <w:rFonts w:hint="eastAsia" w:ascii="宋体" w:hAnsi="宋体" w:eastAsia="宋体" w:cs="Arial"/>
        </w:rPr>
        <w:t>%的违约金，买方有权解除合同。设备调试的相关费用已包含在设备总价款内。卖方应负责调试过程中组织、管理、指导调试人员的工作。安全管理及安全事故的所有责任均由卖方承担，因此使买方遭受损失的，卖方应向买方全额赔偿，包括但不限于财产损失及人身损害赔偿、行政处罚等。</w:t>
      </w:r>
    </w:p>
    <w:p>
      <w:pPr>
        <w:tabs>
          <w:tab w:val="left" w:pos="567"/>
          <w:tab w:val="left" w:pos="709"/>
          <w:tab w:val="left" w:pos="993"/>
        </w:tabs>
        <w:spacing w:line="420" w:lineRule="exact"/>
        <w:jc w:val="left"/>
        <w:rPr>
          <w:rFonts w:ascii="宋体" w:hAnsi="宋体" w:eastAsia="宋体" w:cs="Arial"/>
          <w:bCs/>
          <w:spacing w:val="-20"/>
        </w:rPr>
      </w:pPr>
      <w:r>
        <w:rPr>
          <w:rFonts w:hint="eastAsia" w:ascii="宋体" w:hAnsi="宋体" w:eastAsia="宋体" w:cs="Arial"/>
        </w:rPr>
        <w:t xml:space="preserve">    买方需要时，卖方负责对设备现场人员进行培训，使操作人员达到：1)能独立进行设备的操作使用；2)能独立进行设备的日常维护和常见故障的解决。培训费用已包含在设备总价款内。</w:t>
      </w:r>
    </w:p>
    <w:p>
      <w:pPr>
        <w:widowControl/>
        <w:numPr>
          <w:ilvl w:val="0"/>
          <w:numId w:val="1"/>
        </w:numPr>
        <w:tabs>
          <w:tab w:val="left" w:pos="567"/>
          <w:tab w:val="left" w:pos="709"/>
          <w:tab w:val="left" w:pos="993"/>
        </w:tabs>
        <w:spacing w:line="420" w:lineRule="exact"/>
        <w:ind w:left="0" w:firstLine="0"/>
        <w:contextualSpacing/>
        <w:jc w:val="left"/>
        <w:rPr>
          <w:rFonts w:ascii="宋体" w:hAnsi="宋体" w:eastAsia="宋体" w:cs="Arial"/>
          <w:b/>
          <w:bCs/>
          <w:spacing w:val="-20"/>
          <w:kern w:val="0"/>
          <w:sz w:val="22"/>
          <w:lang w:eastAsia="en-US" w:bidi="en-US"/>
        </w:rPr>
      </w:pPr>
      <w:r>
        <w:rPr>
          <w:rFonts w:ascii="宋体" w:hAnsi="宋体" w:eastAsia="宋体" w:cs="Arial"/>
          <w:b/>
          <w:bCs/>
          <w:spacing w:val="-20"/>
          <w:kern w:val="0"/>
          <w:sz w:val="22"/>
          <w:lang w:eastAsia="en-US" w:bidi="en-US"/>
        </w:rPr>
        <w:t>保 修 与 维 护</w:t>
      </w:r>
    </w:p>
    <w:p>
      <w:pPr>
        <w:widowControl/>
        <w:numPr>
          <w:ilvl w:val="0"/>
          <w:numId w:val="5"/>
        </w:numPr>
        <w:tabs>
          <w:tab w:val="left" w:pos="567"/>
          <w:tab w:val="left" w:pos="709"/>
          <w:tab w:val="left" w:pos="993"/>
        </w:tabs>
        <w:spacing w:line="276" w:lineRule="auto"/>
        <w:ind w:firstLine="0"/>
        <w:contextualSpacing/>
        <w:jc w:val="left"/>
        <w:rPr>
          <w:rFonts w:ascii="宋体" w:hAnsi="宋体" w:eastAsia="宋体" w:cs="Times New Roman"/>
        </w:rPr>
      </w:pPr>
      <w:r>
        <w:rPr>
          <w:rFonts w:hint="eastAsia" w:ascii="宋体" w:hAnsi="宋体" w:eastAsia="宋体" w:cs="Times New Roman"/>
        </w:rPr>
        <w:t>买卖双方确认，本合同项下卖方所交质保金是指卖方保证其提供的设备在合同约定的质保期内质量完全符合买方要求的保证金，也是指今后设备如出现质量问题卖方未及时维修时卖方提供的保修金。买方有权在设备质量不符合同要求及因卖方未及时维修导致产生第三方维修费用时相应扣除此项费用。</w:t>
      </w:r>
    </w:p>
    <w:p>
      <w:pPr>
        <w:widowControl/>
        <w:numPr>
          <w:ilvl w:val="0"/>
          <w:numId w:val="5"/>
        </w:numPr>
        <w:tabs>
          <w:tab w:val="left" w:pos="567"/>
          <w:tab w:val="left" w:pos="709"/>
          <w:tab w:val="left" w:pos="993"/>
        </w:tabs>
        <w:spacing w:line="460" w:lineRule="exact"/>
        <w:ind w:firstLine="0"/>
        <w:contextualSpacing/>
        <w:jc w:val="left"/>
        <w:rPr>
          <w:rFonts w:ascii="宋体" w:hAnsi="宋体" w:eastAsia="宋体" w:cs="Times New Roman"/>
        </w:rPr>
      </w:pPr>
      <w:r>
        <w:rPr>
          <w:rFonts w:hint="eastAsia" w:ascii="宋体" w:hAnsi="宋体" w:eastAsia="宋体" w:cs="Times New Roman"/>
        </w:rPr>
        <w:t>设备质保期为</w:t>
      </w:r>
      <w:r>
        <w:rPr>
          <w:rFonts w:hint="eastAsia" w:ascii="宋体" w:hAnsi="宋体" w:eastAsia="宋体" w:cs="Times New Roman"/>
          <w:u w:val="single"/>
        </w:rPr>
        <w:t xml:space="preserve">    </w:t>
      </w:r>
      <w:r>
        <w:rPr>
          <w:rFonts w:hint="eastAsia" w:ascii="宋体" w:hAnsi="宋体" w:eastAsia="宋体" w:cs="Times New Roman"/>
        </w:rPr>
        <w:t>个月，自完成安装调试及试运行且双方共同签署验收合格单并收到政府部门验收合格报告（如有）次日起算。质保期内，卖方保证向买方出售的设备质量完全符合该设备正常运行的所有要求，其零件不存在缺陷或瑕疵；卖方负责提供设备的免费维修、零部件更换等服务。只要买方提出质量问题，卖方必须在</w:t>
      </w:r>
      <w:r>
        <w:rPr>
          <w:rFonts w:hint="eastAsia" w:ascii="宋体" w:hAnsi="宋体" w:eastAsia="宋体" w:cs="Times New Roman"/>
          <w:u w:val="single"/>
        </w:rPr>
        <w:t xml:space="preserve">    </w:t>
      </w:r>
      <w:r>
        <w:rPr>
          <w:rFonts w:hint="eastAsia" w:ascii="宋体" w:hAnsi="宋体" w:eastAsia="宋体" w:cs="Times New Roman"/>
        </w:rPr>
        <w:t>小时内给予答复；如买方认为必要，卖方应在</w:t>
      </w:r>
      <w:r>
        <w:rPr>
          <w:rFonts w:hint="eastAsia" w:ascii="宋体" w:hAnsi="宋体" w:eastAsia="宋体" w:cs="Times New Roman"/>
          <w:u w:val="single"/>
        </w:rPr>
        <w:t xml:space="preserve">    </w:t>
      </w:r>
      <w:r>
        <w:rPr>
          <w:rFonts w:hint="eastAsia" w:ascii="宋体" w:hAnsi="宋体" w:eastAsia="宋体" w:cs="Times New Roman"/>
        </w:rPr>
        <w:t>小时内指派人员到现场解决问题，因此产生的费用由卖方承担。</w:t>
      </w:r>
    </w:p>
    <w:p>
      <w:pPr>
        <w:widowControl/>
        <w:numPr>
          <w:ilvl w:val="0"/>
          <w:numId w:val="5"/>
        </w:numPr>
        <w:tabs>
          <w:tab w:val="left" w:pos="567"/>
          <w:tab w:val="left" w:pos="709"/>
          <w:tab w:val="left" w:pos="993"/>
        </w:tabs>
        <w:spacing w:line="460" w:lineRule="exact"/>
        <w:ind w:firstLine="0"/>
        <w:contextualSpacing/>
        <w:jc w:val="left"/>
        <w:rPr>
          <w:rFonts w:ascii="宋体" w:hAnsi="宋体" w:eastAsia="宋体" w:cs="Times New Roman"/>
        </w:rPr>
      </w:pPr>
      <w:r>
        <w:rPr>
          <w:rFonts w:hint="eastAsia" w:ascii="宋体" w:hAnsi="宋体" w:eastAsia="宋体" w:cs="Times New Roman"/>
        </w:rPr>
        <w:t>质保期内卖方借故推脱或无理由拒绝或未能按买方要求完成买方提出的维修、更换服务请求，买方可以自行解决，并对维修或更换服务以实际发生的费用或按市场价从质保金内扣除，若质保金不足支付费用，买方有权要求卖方另行支付不足部分。卖方承担了维修义务或者承担了相应费用，不免除其对买方因此发生的损失的赔偿责任。</w:t>
      </w:r>
    </w:p>
    <w:p>
      <w:pPr>
        <w:widowControl/>
        <w:numPr>
          <w:ilvl w:val="0"/>
          <w:numId w:val="5"/>
        </w:numPr>
        <w:tabs>
          <w:tab w:val="left" w:pos="567"/>
          <w:tab w:val="left" w:pos="709"/>
          <w:tab w:val="left" w:pos="993"/>
        </w:tabs>
        <w:spacing w:line="460" w:lineRule="exact"/>
        <w:ind w:firstLine="0"/>
        <w:contextualSpacing/>
        <w:jc w:val="left"/>
        <w:rPr>
          <w:rFonts w:ascii="宋体" w:hAnsi="宋体" w:eastAsia="宋体" w:cs="Times New Roman"/>
        </w:rPr>
      </w:pPr>
      <w:r>
        <w:rPr>
          <w:rFonts w:ascii="宋体" w:hAnsi="宋体" w:eastAsia="宋体" w:cs="Times New Roman"/>
        </w:rPr>
        <w:t>任何一项缺陷或损坏修复后，经检查证明其影响了设备的使用性能，</w:t>
      </w:r>
      <w:r>
        <w:rPr>
          <w:rFonts w:hint="eastAsia" w:ascii="宋体" w:hAnsi="宋体" w:eastAsia="宋体" w:cs="Times New Roman"/>
        </w:rPr>
        <w:t>卖方</w:t>
      </w:r>
      <w:r>
        <w:rPr>
          <w:rFonts w:ascii="宋体" w:hAnsi="宋体" w:eastAsia="宋体" w:cs="Times New Roman"/>
        </w:rPr>
        <w:t>应重新进行合同约定的试验和试运行，试验和试运行的全部费用应由责任方承担。</w:t>
      </w:r>
    </w:p>
    <w:p>
      <w:pPr>
        <w:widowControl/>
        <w:numPr>
          <w:ilvl w:val="0"/>
          <w:numId w:val="5"/>
        </w:numPr>
        <w:spacing w:line="460" w:lineRule="exact"/>
        <w:ind w:firstLine="0"/>
        <w:contextualSpacing/>
        <w:jc w:val="left"/>
        <w:rPr>
          <w:rFonts w:ascii="宋体" w:hAnsi="宋体" w:eastAsia="宋体" w:cs="Times New Roman"/>
        </w:rPr>
      </w:pPr>
      <w:r>
        <w:rPr>
          <w:rFonts w:hint="eastAsia" w:ascii="宋体" w:hAnsi="宋体" w:eastAsia="宋体" w:cs="Times New Roman"/>
        </w:rPr>
        <w:t>质保期内设备经维修或更换后仍无法达到质量标准，买方有权退货并向卖方索赔。若鉴于设备的特殊性或买方对设备的实际需要无法退货的，买方有权采取以下任一方式：</w:t>
      </w:r>
    </w:p>
    <w:p>
      <w:pPr>
        <w:numPr>
          <w:ilvl w:val="255"/>
          <w:numId w:val="0"/>
        </w:numPr>
        <w:spacing w:line="460" w:lineRule="exact"/>
        <w:contextualSpacing/>
        <w:jc w:val="left"/>
        <w:rPr>
          <w:rFonts w:ascii="宋体" w:hAnsi="宋体" w:eastAsia="宋体" w:cs="Times New Roman"/>
        </w:rPr>
      </w:pPr>
      <w:r>
        <w:rPr>
          <w:rFonts w:hint="eastAsia" w:ascii="宋体" w:hAnsi="宋体" w:eastAsia="宋体" w:cs="Times New Roman"/>
        </w:rPr>
        <w:t>1.对卖方进行扣罚，扣罚金额由双方协商，具体以买方书面通知为准。卖方同意自买方单方书面扣罚通知到达之日起，买方有权在质保金数额内进行抵扣，若质保金不足以抵扣的，由卖方另行支付；</w:t>
      </w:r>
    </w:p>
    <w:p>
      <w:pPr>
        <w:numPr>
          <w:ilvl w:val="255"/>
          <w:numId w:val="0"/>
        </w:numPr>
        <w:spacing w:line="460" w:lineRule="exact"/>
        <w:contextualSpacing/>
        <w:jc w:val="left"/>
        <w:rPr>
          <w:rFonts w:ascii="宋体" w:hAnsi="宋体" w:eastAsia="宋体" w:cs="Times New Roman"/>
        </w:rPr>
      </w:pPr>
      <w:r>
        <w:rPr>
          <w:rFonts w:hint="eastAsia" w:ascii="宋体" w:hAnsi="宋体" w:eastAsia="宋体" w:cs="Times New Roman"/>
        </w:rPr>
        <w:t>2.延长质保期，延长时间最低不低于1年，具体时间由双方协商。</w:t>
      </w:r>
    </w:p>
    <w:p>
      <w:pPr>
        <w:widowControl/>
        <w:numPr>
          <w:ilvl w:val="0"/>
          <w:numId w:val="6"/>
        </w:numPr>
        <w:spacing w:line="460" w:lineRule="exact"/>
        <w:ind w:firstLine="0"/>
        <w:contextualSpacing/>
        <w:jc w:val="left"/>
        <w:rPr>
          <w:rFonts w:ascii="宋体" w:hAnsi="宋体" w:eastAsia="宋体" w:cs="Times New Roman"/>
        </w:rPr>
      </w:pPr>
      <w:r>
        <w:rPr>
          <w:rFonts w:hint="eastAsia" w:ascii="宋体" w:hAnsi="宋体" w:eastAsia="宋体" w:cs="Times New Roman"/>
        </w:rPr>
        <w:t>质保期过后，卖方对设备的维修、更换服务收取成本费，卖方应在3日内对买方提出的维修、更换要求给予书面答复，并提供相应服务。</w:t>
      </w:r>
    </w:p>
    <w:p>
      <w:pPr>
        <w:widowControl/>
        <w:numPr>
          <w:ilvl w:val="255"/>
          <w:numId w:val="0"/>
        </w:numPr>
        <w:tabs>
          <w:tab w:val="left" w:pos="567"/>
          <w:tab w:val="left" w:pos="709"/>
          <w:tab w:val="left" w:pos="993"/>
        </w:tabs>
        <w:spacing w:line="420" w:lineRule="exact"/>
        <w:contextualSpacing/>
        <w:jc w:val="left"/>
        <w:rPr>
          <w:rFonts w:ascii="宋体" w:hAnsi="宋体" w:eastAsia="宋体" w:cs="Arial"/>
          <w:b/>
          <w:bCs/>
          <w:spacing w:val="-20"/>
          <w:kern w:val="0"/>
          <w:sz w:val="22"/>
          <w:lang w:bidi="en-US"/>
        </w:rPr>
      </w:pPr>
    </w:p>
    <w:p>
      <w:pPr>
        <w:widowControl/>
        <w:numPr>
          <w:ilvl w:val="0"/>
          <w:numId w:val="1"/>
        </w:numPr>
        <w:tabs>
          <w:tab w:val="left" w:pos="567"/>
          <w:tab w:val="left" w:pos="709"/>
          <w:tab w:val="left" w:pos="993"/>
        </w:tabs>
        <w:spacing w:line="420" w:lineRule="exact"/>
        <w:ind w:left="0" w:firstLine="0"/>
        <w:contextualSpacing/>
        <w:jc w:val="left"/>
        <w:rPr>
          <w:rFonts w:ascii="宋体" w:hAnsi="宋体" w:eastAsia="宋体" w:cs="Arial"/>
          <w:b/>
          <w:kern w:val="0"/>
          <w:sz w:val="22"/>
          <w:lang w:eastAsia="en-US" w:bidi="en-US"/>
        </w:rPr>
      </w:pPr>
      <w:r>
        <w:rPr>
          <w:rFonts w:hint="eastAsia" w:ascii="宋体" w:hAnsi="宋体" w:eastAsia="宋体" w:cs="Arial"/>
          <w:b/>
          <w:kern w:val="0"/>
          <w:sz w:val="22"/>
          <w:lang w:eastAsia="en-US" w:bidi="en-US"/>
        </w:rPr>
        <w:t>保证</w:t>
      </w:r>
    </w:p>
    <w:p>
      <w:pPr>
        <w:widowControl/>
        <w:numPr>
          <w:ilvl w:val="0"/>
          <w:numId w:val="7"/>
        </w:numPr>
        <w:tabs>
          <w:tab w:val="left" w:pos="567"/>
          <w:tab w:val="left" w:pos="709"/>
          <w:tab w:val="left" w:pos="993"/>
        </w:tabs>
        <w:spacing w:line="420" w:lineRule="exact"/>
        <w:ind w:left="0" w:firstLine="0"/>
        <w:contextualSpacing/>
        <w:jc w:val="left"/>
        <w:rPr>
          <w:rFonts w:ascii="宋体" w:hAnsi="宋体" w:eastAsia="宋体" w:cs="Arial"/>
          <w:kern w:val="0"/>
          <w:sz w:val="22"/>
          <w:lang w:bidi="en-US"/>
        </w:rPr>
      </w:pPr>
      <w:r>
        <w:rPr>
          <w:rFonts w:hint="eastAsia" w:ascii="宋体" w:hAnsi="宋体" w:eastAsia="宋体" w:cs="Arial"/>
          <w:kern w:val="0"/>
          <w:sz w:val="22"/>
          <w:lang w:bidi="en-US"/>
        </w:rPr>
        <w:t>卖方应</w:t>
      </w:r>
      <w:r>
        <w:rPr>
          <w:rFonts w:ascii="宋体" w:hAnsi="宋体" w:eastAsia="宋体" w:cs="Arial"/>
          <w:kern w:val="0"/>
          <w:sz w:val="22"/>
          <w:lang w:bidi="en-US"/>
        </w:rPr>
        <w:t>保证</w:t>
      </w:r>
      <w:r>
        <w:rPr>
          <w:rFonts w:hint="eastAsia" w:ascii="宋体" w:hAnsi="宋体" w:eastAsia="宋体" w:cs="Arial"/>
          <w:kern w:val="0"/>
          <w:sz w:val="22"/>
          <w:lang w:bidi="en-US"/>
        </w:rPr>
        <w:t>所</w:t>
      </w:r>
      <w:r>
        <w:rPr>
          <w:rFonts w:ascii="宋体" w:hAnsi="宋体" w:eastAsia="宋体" w:cs="Arial"/>
          <w:kern w:val="0"/>
          <w:sz w:val="22"/>
          <w:lang w:bidi="en-US"/>
        </w:rPr>
        <w:t>提供</w:t>
      </w:r>
      <w:r>
        <w:rPr>
          <w:rFonts w:hint="eastAsia" w:ascii="宋体" w:hAnsi="宋体" w:eastAsia="宋体" w:cs="Arial"/>
          <w:kern w:val="0"/>
          <w:sz w:val="22"/>
          <w:lang w:bidi="en-US"/>
        </w:rPr>
        <w:t>的设备及其零部件是全新的、无缺陷或瑕疵，符合买方提出的技术要求，满足买方购买该设备及零部件所需达到的目的；卖方应保证其出售的设备可供正常和恰当地使用，并且在经过正确安装、正常操作和保养的前提下，在设备的寿命期内运转良好；设备的</w:t>
      </w:r>
      <w:r>
        <w:rPr>
          <w:rFonts w:ascii="宋体" w:hAnsi="宋体" w:eastAsia="宋体" w:cs="Arial"/>
          <w:kern w:val="0"/>
          <w:sz w:val="22"/>
          <w:lang w:bidi="en-US"/>
        </w:rPr>
        <w:t>材料</w:t>
      </w:r>
      <w:r>
        <w:rPr>
          <w:rFonts w:hint="eastAsia" w:ascii="宋体" w:hAnsi="宋体" w:eastAsia="宋体" w:cs="Arial"/>
          <w:kern w:val="0"/>
          <w:sz w:val="22"/>
          <w:lang w:bidi="en-US"/>
        </w:rPr>
        <w:t>和</w:t>
      </w:r>
      <w:r>
        <w:rPr>
          <w:rFonts w:ascii="宋体" w:hAnsi="宋体" w:eastAsia="宋体" w:cs="Arial"/>
          <w:kern w:val="0"/>
          <w:sz w:val="22"/>
          <w:lang w:bidi="en-US"/>
        </w:rPr>
        <w:t>零部件均</w:t>
      </w:r>
      <w:r>
        <w:rPr>
          <w:rFonts w:hint="eastAsia" w:ascii="宋体" w:hAnsi="宋体" w:eastAsia="宋体" w:cs="Arial"/>
          <w:kern w:val="0"/>
          <w:sz w:val="22"/>
          <w:lang w:bidi="en-US"/>
        </w:rPr>
        <w:t>应符合或优于买方提出的技术标准及要求。</w:t>
      </w:r>
    </w:p>
    <w:p>
      <w:pPr>
        <w:widowControl/>
        <w:numPr>
          <w:ilvl w:val="0"/>
          <w:numId w:val="7"/>
        </w:numPr>
        <w:tabs>
          <w:tab w:val="left" w:pos="709"/>
          <w:tab w:val="left" w:pos="993"/>
        </w:tabs>
        <w:spacing w:line="420" w:lineRule="exact"/>
        <w:ind w:left="0" w:firstLine="0"/>
        <w:contextualSpacing/>
        <w:jc w:val="left"/>
        <w:rPr>
          <w:rFonts w:ascii="宋体" w:hAnsi="宋体" w:eastAsia="宋体" w:cs="Arial"/>
          <w:kern w:val="0"/>
          <w:sz w:val="22"/>
          <w:lang w:bidi="en-US"/>
        </w:rPr>
      </w:pPr>
      <w:r>
        <w:rPr>
          <w:rFonts w:hint="eastAsia" w:ascii="宋体" w:hAnsi="宋体" w:eastAsia="宋体" w:cs="Arial"/>
          <w:kern w:val="0"/>
          <w:sz w:val="22"/>
          <w:lang w:bidi="en-US"/>
        </w:rPr>
        <w:t>如果由于设备的复杂性、问题的隐蔽性或交付数量较大及其他买方认为正当的理由，使得买方未在设备调试完成后查验出设备及其零部件的质量及数量问题，买方可在</w:t>
      </w:r>
      <w:r>
        <w:rPr>
          <w:rFonts w:ascii="宋体" w:hAnsi="宋体" w:eastAsia="宋体" w:cs="Arial"/>
          <w:kern w:val="0"/>
          <w:sz w:val="22"/>
          <w:lang w:bidi="en-US"/>
        </w:rPr>
        <w:t>发现</w:t>
      </w:r>
      <w:r>
        <w:rPr>
          <w:rFonts w:hint="eastAsia" w:ascii="宋体" w:hAnsi="宋体" w:eastAsia="宋体" w:cs="Arial"/>
          <w:kern w:val="0"/>
          <w:sz w:val="22"/>
          <w:lang w:bidi="en-US"/>
        </w:rPr>
        <w:t>后</w:t>
      </w:r>
      <w:r>
        <w:rPr>
          <w:rFonts w:ascii="宋体" w:hAnsi="宋体" w:eastAsia="宋体" w:cs="Arial"/>
          <w:kern w:val="0"/>
          <w:sz w:val="22"/>
          <w:lang w:bidi="en-US"/>
        </w:rPr>
        <w:t>30日内</w:t>
      </w:r>
      <w:r>
        <w:rPr>
          <w:rFonts w:hint="eastAsia" w:ascii="宋体" w:hAnsi="宋体" w:eastAsia="宋体" w:cs="Arial"/>
          <w:kern w:val="0"/>
          <w:sz w:val="22"/>
          <w:lang w:bidi="en-US"/>
        </w:rPr>
        <w:t>向卖方提出</w:t>
      </w:r>
      <w:r>
        <w:rPr>
          <w:rFonts w:ascii="宋体" w:hAnsi="宋体" w:eastAsia="宋体" w:cs="Arial"/>
          <w:kern w:val="0"/>
          <w:sz w:val="22"/>
          <w:lang w:bidi="en-US"/>
        </w:rPr>
        <w:t>，</w:t>
      </w:r>
      <w:r>
        <w:rPr>
          <w:rFonts w:hint="eastAsia" w:ascii="宋体" w:hAnsi="宋体" w:eastAsia="宋体" w:cs="Arial"/>
          <w:kern w:val="0"/>
          <w:sz w:val="22"/>
          <w:lang w:bidi="en-US"/>
        </w:rPr>
        <w:t>并应视为验收不合格，卖方仍应按照本合同的相关约定承担违约责任。</w:t>
      </w:r>
    </w:p>
    <w:p>
      <w:pPr>
        <w:widowControl/>
        <w:numPr>
          <w:ilvl w:val="0"/>
          <w:numId w:val="7"/>
        </w:numPr>
        <w:tabs>
          <w:tab w:val="left" w:pos="709"/>
          <w:tab w:val="left" w:pos="993"/>
        </w:tabs>
        <w:spacing w:line="420" w:lineRule="exact"/>
        <w:ind w:left="0" w:firstLine="0"/>
        <w:contextualSpacing/>
        <w:jc w:val="left"/>
        <w:rPr>
          <w:rFonts w:ascii="宋体" w:hAnsi="宋体" w:eastAsia="宋体" w:cs="Arial"/>
          <w:kern w:val="0"/>
          <w:sz w:val="22"/>
          <w:lang w:bidi="en-US"/>
        </w:rPr>
      </w:pPr>
      <w:r>
        <w:rPr>
          <w:rFonts w:hint="eastAsia" w:ascii="宋体" w:hAnsi="宋体" w:eastAsia="宋体" w:cs="Arial"/>
          <w:kern w:val="0"/>
          <w:sz w:val="22"/>
          <w:lang w:bidi="en-US"/>
        </w:rPr>
        <w:t>卖方提供的设备及其附件、配件应具备完善的安全防护装置，并提供详细的安全操作手册，因安全防护装置不到位或未进行足够的安全风险提示，造成买方在实际使用过程中的财产损失和人身损害的，卖方应承担全部赔偿责任。</w:t>
      </w:r>
    </w:p>
    <w:p>
      <w:pPr>
        <w:widowControl/>
        <w:numPr>
          <w:ilvl w:val="0"/>
          <w:numId w:val="7"/>
        </w:numPr>
        <w:tabs>
          <w:tab w:val="left" w:pos="709"/>
          <w:tab w:val="left" w:pos="1276"/>
          <w:tab w:val="left" w:pos="1418"/>
        </w:tabs>
        <w:spacing w:line="420" w:lineRule="exact"/>
        <w:ind w:left="0" w:firstLine="0"/>
        <w:contextualSpacing/>
        <w:jc w:val="left"/>
        <w:rPr>
          <w:rFonts w:ascii="宋体" w:hAnsi="宋体" w:eastAsia="宋体" w:cs="Arial"/>
          <w:kern w:val="0"/>
          <w:sz w:val="22"/>
          <w:lang w:bidi="en-US"/>
        </w:rPr>
      </w:pPr>
      <w:r>
        <w:rPr>
          <w:rFonts w:hint="eastAsia" w:ascii="宋体" w:hAnsi="宋体" w:eastAsia="宋体" w:cs="Arial"/>
          <w:kern w:val="0"/>
          <w:sz w:val="22"/>
          <w:lang w:bidi="en-US"/>
        </w:rPr>
        <w:t>本合同项下的货物如由买方的子公司及关联公司使用，买方子公司及关联公司的投诉或索赔，视同于买方投诉或索赔。</w:t>
      </w:r>
    </w:p>
    <w:p>
      <w:pPr>
        <w:widowControl/>
        <w:numPr>
          <w:ilvl w:val="0"/>
          <w:numId w:val="7"/>
        </w:numPr>
        <w:tabs>
          <w:tab w:val="left" w:pos="567"/>
          <w:tab w:val="left" w:pos="709"/>
          <w:tab w:val="left" w:pos="993"/>
        </w:tabs>
        <w:spacing w:line="420" w:lineRule="exact"/>
        <w:ind w:left="0" w:firstLine="0"/>
        <w:contextualSpacing/>
        <w:jc w:val="left"/>
        <w:rPr>
          <w:rFonts w:ascii="宋体" w:hAnsi="宋体" w:eastAsia="宋体" w:cs="Arial"/>
          <w:kern w:val="0"/>
          <w:sz w:val="22"/>
          <w:lang w:bidi="en-US"/>
        </w:rPr>
      </w:pPr>
      <w:r>
        <w:rPr>
          <w:rFonts w:hint="eastAsia" w:ascii="宋体" w:hAnsi="宋体" w:eastAsia="宋体" w:cs="Arial"/>
          <w:kern w:val="0"/>
          <w:sz w:val="22"/>
          <w:lang w:bidi="en-US"/>
        </w:rPr>
        <w:t>其它：</w:t>
      </w:r>
      <w:r>
        <w:rPr>
          <w:rFonts w:hint="eastAsia" w:ascii="宋体" w:hAnsi="宋体" w:eastAsia="宋体" w:cs="Arial"/>
          <w:kern w:val="0"/>
          <w:sz w:val="22"/>
          <w:u w:val="single"/>
          <w:lang w:bidi="en-US"/>
        </w:rPr>
        <w:t xml:space="preserve">        </w:t>
      </w:r>
    </w:p>
    <w:p>
      <w:pPr>
        <w:widowControl/>
        <w:numPr>
          <w:ilvl w:val="0"/>
          <w:numId w:val="1"/>
        </w:numPr>
        <w:tabs>
          <w:tab w:val="left" w:pos="567"/>
          <w:tab w:val="left" w:pos="709"/>
          <w:tab w:val="left" w:pos="993"/>
        </w:tabs>
        <w:spacing w:line="420" w:lineRule="exact"/>
        <w:ind w:left="0" w:firstLine="0"/>
        <w:contextualSpacing/>
        <w:jc w:val="left"/>
        <w:rPr>
          <w:rFonts w:ascii="宋体" w:hAnsi="宋体" w:eastAsia="宋体" w:cs="Arial"/>
          <w:b/>
          <w:kern w:val="0"/>
          <w:sz w:val="22"/>
          <w:lang w:eastAsia="en-US" w:bidi="en-US"/>
        </w:rPr>
      </w:pPr>
      <w:r>
        <w:rPr>
          <w:rFonts w:hint="eastAsia" w:ascii="宋体" w:hAnsi="宋体" w:eastAsia="宋体" w:cs="Arial"/>
          <w:b/>
          <w:kern w:val="0"/>
          <w:sz w:val="22"/>
          <w:lang w:eastAsia="en-US" w:bidi="en-US"/>
        </w:rPr>
        <w:t>保密</w:t>
      </w:r>
    </w:p>
    <w:p>
      <w:pPr>
        <w:widowControl/>
        <w:numPr>
          <w:ilvl w:val="0"/>
          <w:numId w:val="8"/>
        </w:numPr>
        <w:tabs>
          <w:tab w:val="left" w:pos="567"/>
          <w:tab w:val="left" w:pos="709"/>
          <w:tab w:val="left" w:pos="993"/>
        </w:tabs>
        <w:spacing w:line="46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szCs w:val="21"/>
          <w:lang w:val="zh-CN" w:bidi="en-US"/>
        </w:rPr>
        <w:t>在履行本合同期间，卖方可能有机会接触买方的保密信息，包括但不限于：经营决策，项目资料，财务信息，客户（包括供应商、最终用户等）名单，</w:t>
      </w:r>
      <w:r>
        <w:rPr>
          <w:rFonts w:hint="eastAsia" w:ascii="宋体" w:hAnsi="宋体" w:eastAsia="宋体" w:cs="Times New Roman"/>
          <w:kern w:val="0"/>
          <w:sz w:val="22"/>
          <w:lang w:bidi="en-US"/>
        </w:rPr>
        <w:t>工艺、配方、图纸，模具、样品，技术诀窍</w:t>
      </w:r>
      <w:r>
        <w:rPr>
          <w:rFonts w:hint="eastAsia" w:ascii="宋体" w:hAnsi="宋体" w:eastAsia="宋体" w:cs="Times New Roman"/>
          <w:kern w:val="0"/>
          <w:sz w:val="22"/>
          <w:szCs w:val="21"/>
          <w:lang w:val="zh-CN" w:bidi="en-US"/>
        </w:rPr>
        <w:t>，以及其他</w:t>
      </w:r>
      <w:r>
        <w:rPr>
          <w:rFonts w:hint="eastAsia" w:ascii="宋体" w:hAnsi="宋体" w:eastAsia="宋体" w:cs="Times New Roman"/>
          <w:kern w:val="0"/>
          <w:sz w:val="22"/>
          <w:lang w:bidi="en-US"/>
        </w:rPr>
        <w:t>尚未公开披露的</w:t>
      </w:r>
      <w:r>
        <w:rPr>
          <w:rFonts w:hint="eastAsia" w:ascii="宋体" w:hAnsi="宋体" w:eastAsia="宋体" w:cs="Times New Roman"/>
          <w:kern w:val="0"/>
          <w:sz w:val="22"/>
          <w:szCs w:val="21"/>
          <w:lang w:val="zh-CN" w:bidi="en-US"/>
        </w:rPr>
        <w:t>信息</w:t>
      </w:r>
      <w:r>
        <w:rPr>
          <w:rFonts w:hint="eastAsia" w:ascii="宋体" w:hAnsi="宋体" w:eastAsia="宋体" w:cs="Times New Roman"/>
          <w:kern w:val="0"/>
          <w:sz w:val="22"/>
          <w:lang w:bidi="en-US"/>
        </w:rPr>
        <w:t>（含本合同及其附件）</w:t>
      </w:r>
      <w:r>
        <w:rPr>
          <w:rFonts w:hint="eastAsia" w:ascii="宋体" w:hAnsi="宋体" w:eastAsia="宋体" w:cs="Times New Roman"/>
          <w:kern w:val="0"/>
          <w:sz w:val="22"/>
          <w:szCs w:val="21"/>
          <w:lang w:val="zh-CN" w:bidi="en-US"/>
        </w:rPr>
        <w:t>。</w:t>
      </w:r>
    </w:p>
    <w:p>
      <w:pPr>
        <w:widowControl/>
        <w:numPr>
          <w:ilvl w:val="0"/>
          <w:numId w:val="8"/>
        </w:numPr>
        <w:tabs>
          <w:tab w:val="left" w:pos="567"/>
          <w:tab w:val="left" w:pos="709"/>
          <w:tab w:val="left" w:pos="993"/>
        </w:tabs>
        <w:spacing w:line="46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卖方应采取合理、有效的措施，维护其知悉或者持有的任何保密信息的秘密性。除在本合同目的范围内使用或经买方事先书面授权外，卖方不得向任何第三方或第三者（包括在合同履行过程中不需要知道该等保密信息的卖方员工、代理商及其他卖方代表）透露任何保密信息，也不以任何形式擅自复制、摘录、公开、泄露、使用、出售、转让或许可、协助他人使用保密信息。</w:t>
      </w:r>
      <w:r>
        <w:rPr>
          <w:rFonts w:ascii="宋体" w:hAnsi="宋体" w:eastAsia="宋体" w:cs="Times New Roman"/>
          <w:kern w:val="0"/>
          <w:sz w:val="22"/>
          <w:lang w:bidi="en-US"/>
        </w:rPr>
        <w:t xml:space="preserve"> </w:t>
      </w:r>
      <w:r>
        <w:rPr>
          <w:rFonts w:hint="eastAsia" w:ascii="宋体" w:hAnsi="宋体" w:eastAsia="宋体" w:cs="Times New Roman"/>
          <w:kern w:val="0"/>
          <w:sz w:val="22"/>
          <w:lang w:bidi="en-US"/>
        </w:rPr>
        <w:t>如卖方应司法机关或有权行政机关要求向上述主体披露全部或部分买方的保密信息，卖方应当立即通知买方，并采取必要的措施使披露对买方造成的损失最小化。</w:t>
      </w:r>
    </w:p>
    <w:p>
      <w:pPr>
        <w:numPr>
          <w:ilvl w:val="0"/>
          <w:numId w:val="8"/>
        </w:numPr>
        <w:tabs>
          <w:tab w:val="left" w:pos="567"/>
          <w:tab w:val="left" w:pos="709"/>
          <w:tab w:val="left" w:pos="993"/>
        </w:tabs>
        <w:spacing w:line="420" w:lineRule="exact"/>
        <w:ind w:left="0" w:firstLine="0"/>
        <w:contextualSpacing/>
        <w:jc w:val="left"/>
        <w:rPr>
          <w:rFonts w:ascii="宋体" w:hAnsi="宋体" w:eastAsia="宋体" w:cs="Arial"/>
          <w:sz w:val="22"/>
          <w:szCs w:val="24"/>
        </w:rPr>
      </w:pPr>
      <w:r>
        <w:rPr>
          <w:rFonts w:hint="eastAsia" w:ascii="宋体" w:hAnsi="宋体" w:eastAsia="宋体" w:cs="Times New Roman"/>
          <w:sz w:val="22"/>
          <w:lang w:val="zh-CN"/>
        </w:rPr>
        <w:t>在本合同履行完毕之后，卖方应当销毁其所持有的所有保密信息的正副本，并及时提供能够证明销毁的书面文件。或者，卖方应当根据买方的要求将所有保密信息的正副本返还给买方。</w:t>
      </w:r>
    </w:p>
    <w:p>
      <w:pPr>
        <w:numPr>
          <w:ilvl w:val="0"/>
          <w:numId w:val="8"/>
        </w:numPr>
        <w:tabs>
          <w:tab w:val="left" w:pos="567"/>
          <w:tab w:val="left" w:pos="709"/>
          <w:tab w:val="left" w:pos="993"/>
        </w:tabs>
        <w:spacing w:line="420" w:lineRule="exact"/>
        <w:ind w:left="0" w:firstLine="0"/>
        <w:contextualSpacing/>
        <w:jc w:val="left"/>
        <w:rPr>
          <w:rFonts w:ascii="宋体" w:hAnsi="宋体" w:eastAsia="宋体" w:cs="Arial"/>
        </w:rPr>
      </w:pPr>
      <w:r>
        <w:rPr>
          <w:rFonts w:hint="eastAsia" w:ascii="宋体" w:hAnsi="宋体" w:eastAsia="宋体" w:cs="Times New Roman"/>
          <w:sz w:val="22"/>
        </w:rPr>
        <w:t>卖方认可并同意，其从</w:t>
      </w:r>
      <w:r>
        <w:rPr>
          <w:rFonts w:ascii="宋体" w:hAnsi="宋体" w:eastAsia="宋体" w:cs="Times New Roman"/>
          <w:sz w:val="22"/>
        </w:rPr>
        <w:t>买方</w:t>
      </w:r>
      <w:r>
        <w:rPr>
          <w:rFonts w:hint="eastAsia" w:ascii="宋体" w:hAnsi="宋体" w:eastAsia="宋体" w:cs="Times New Roman"/>
          <w:sz w:val="22"/>
        </w:rPr>
        <w:t>获知的保密信息具有特殊价值，一经泄露</w:t>
      </w:r>
      <w:r>
        <w:rPr>
          <w:rFonts w:ascii="宋体" w:hAnsi="宋体" w:eastAsia="宋体" w:cs="Times New Roman"/>
          <w:sz w:val="22"/>
        </w:rPr>
        <w:t>将</w:t>
      </w:r>
      <w:r>
        <w:rPr>
          <w:rFonts w:hint="eastAsia" w:ascii="宋体" w:hAnsi="宋体" w:eastAsia="宋体" w:cs="Times New Roman"/>
          <w:sz w:val="22"/>
        </w:rPr>
        <w:t>对买方带来无法</w:t>
      </w:r>
      <w:r>
        <w:rPr>
          <w:rFonts w:ascii="宋体" w:hAnsi="宋体" w:eastAsia="宋体" w:cs="Times New Roman"/>
          <w:sz w:val="22"/>
        </w:rPr>
        <w:t>估量</w:t>
      </w:r>
      <w:r>
        <w:rPr>
          <w:rFonts w:hint="eastAsia" w:ascii="宋体" w:hAnsi="宋体" w:eastAsia="宋体" w:cs="Times New Roman"/>
          <w:sz w:val="22"/>
        </w:rPr>
        <w:t>的风险和损失。若卖方违反本条款</w:t>
      </w:r>
      <w:r>
        <w:rPr>
          <w:rFonts w:ascii="宋体" w:hAnsi="宋体" w:eastAsia="宋体" w:cs="Times New Roman"/>
          <w:sz w:val="22"/>
        </w:rPr>
        <w:t>约定</w:t>
      </w:r>
      <w:r>
        <w:rPr>
          <w:rFonts w:hint="eastAsia" w:ascii="宋体" w:hAnsi="宋体" w:eastAsia="宋体" w:cs="Times New Roman"/>
          <w:sz w:val="22"/>
        </w:rPr>
        <w:t>，应向买方支付违约金</w:t>
      </w:r>
      <w:r>
        <w:rPr>
          <w:rFonts w:ascii="宋体" w:hAnsi="宋体" w:eastAsia="宋体" w:cs="Times New Roman"/>
          <w:sz w:val="22"/>
          <w:u w:val="single"/>
        </w:rPr>
        <w:t xml:space="preserve">    </w:t>
      </w:r>
      <w:r>
        <w:rPr>
          <w:rFonts w:hint="eastAsia" w:ascii="宋体" w:hAnsi="宋体" w:eastAsia="宋体" w:cs="Times New Roman"/>
          <w:sz w:val="22"/>
        </w:rPr>
        <w:t>万元。违约金不足以弥补买方损失的，卖方应继续赔偿。买方因调查和追究卖方的违约行为而支付的合理费用，包括但不限于调查取证费、公证费、差旅费、诉讼费、律师费等费用，应在损失赔偿范围之内</w:t>
      </w:r>
      <w:r>
        <w:rPr>
          <w:rFonts w:hint="eastAsia" w:ascii="宋体" w:hAnsi="宋体" w:eastAsia="宋体" w:cs="Times New Roman"/>
          <w:sz w:val="23"/>
          <w:szCs w:val="23"/>
        </w:rPr>
        <w:t>。</w:t>
      </w:r>
    </w:p>
    <w:p>
      <w:pPr>
        <w:numPr>
          <w:ilvl w:val="0"/>
          <w:numId w:val="8"/>
        </w:numPr>
        <w:tabs>
          <w:tab w:val="left" w:pos="567"/>
          <w:tab w:val="left" w:pos="709"/>
          <w:tab w:val="left" w:pos="993"/>
        </w:tabs>
        <w:spacing w:line="420" w:lineRule="exact"/>
        <w:ind w:left="0" w:firstLine="0"/>
        <w:contextualSpacing/>
        <w:jc w:val="left"/>
        <w:rPr>
          <w:rFonts w:ascii="宋体" w:hAnsi="宋体" w:eastAsia="宋体" w:cs="Arial"/>
          <w:sz w:val="22"/>
          <w:szCs w:val="24"/>
        </w:rPr>
      </w:pPr>
      <w:r>
        <w:rPr>
          <w:rFonts w:hint="eastAsia" w:ascii="宋体" w:hAnsi="宋体" w:eastAsia="宋体" w:cs="Times New Roman"/>
          <w:sz w:val="22"/>
          <w:szCs w:val="24"/>
        </w:rPr>
        <w:t>卖方在本条款项下的保密义务不因本合同的终止而终止。</w:t>
      </w:r>
    </w:p>
    <w:p>
      <w:pPr>
        <w:widowControl/>
        <w:numPr>
          <w:ilvl w:val="0"/>
          <w:numId w:val="1"/>
        </w:numPr>
        <w:tabs>
          <w:tab w:val="left" w:pos="709"/>
          <w:tab w:val="left" w:pos="993"/>
        </w:tabs>
        <w:spacing w:line="420" w:lineRule="exact"/>
        <w:ind w:left="0" w:firstLine="0"/>
        <w:contextualSpacing/>
        <w:jc w:val="left"/>
        <w:rPr>
          <w:rFonts w:ascii="宋体" w:hAnsi="宋体" w:eastAsia="宋体" w:cs="Arial"/>
          <w:b/>
          <w:kern w:val="0"/>
          <w:sz w:val="22"/>
          <w:lang w:bidi="en-US"/>
        </w:rPr>
      </w:pPr>
      <w:r>
        <w:rPr>
          <w:rFonts w:hint="eastAsia" w:ascii="宋体" w:hAnsi="宋体" w:eastAsia="宋体" w:cs="Arial"/>
          <w:b/>
          <w:kern w:val="0"/>
          <w:sz w:val="22"/>
          <w:lang w:bidi="en-US"/>
        </w:rPr>
        <w:t>知识产权</w:t>
      </w:r>
    </w:p>
    <w:p>
      <w:pPr>
        <w:widowControl/>
        <w:numPr>
          <w:ilvl w:val="0"/>
          <w:numId w:val="9"/>
        </w:numPr>
        <w:tabs>
          <w:tab w:val="left" w:pos="567"/>
          <w:tab w:val="left" w:pos="709"/>
          <w:tab w:val="left" w:pos="993"/>
        </w:tabs>
        <w:spacing w:line="460" w:lineRule="exact"/>
        <w:ind w:left="0" w:firstLine="0"/>
        <w:contextualSpacing/>
        <w:jc w:val="left"/>
        <w:rPr>
          <w:rFonts w:ascii="宋体" w:hAnsi="宋体" w:eastAsia="宋体" w:cs="Arial"/>
          <w:kern w:val="0"/>
          <w:sz w:val="22"/>
          <w:lang w:bidi="en-US"/>
        </w:rPr>
      </w:pPr>
      <w:r>
        <w:rPr>
          <w:rFonts w:hint="eastAsia" w:ascii="宋体" w:hAnsi="宋体" w:eastAsia="宋体" w:cs="Arial"/>
          <w:kern w:val="0"/>
          <w:sz w:val="22"/>
          <w:lang w:bidi="en-US"/>
        </w:rPr>
        <w:t>卖方保证，其在</w:t>
      </w:r>
      <w:r>
        <w:rPr>
          <w:rFonts w:hint="eastAsia" w:ascii="宋体" w:hAnsi="宋体" w:eastAsia="宋体" w:cs="Arial"/>
          <w:kern w:val="0"/>
          <w:sz w:val="22"/>
          <w:szCs w:val="21"/>
          <w:lang w:bidi="en-US"/>
        </w:rPr>
        <w:t>本合同项下提供的设备不侵犯任何第三方的知识产权。</w:t>
      </w:r>
      <w:r>
        <w:rPr>
          <w:rFonts w:hint="eastAsia" w:ascii="宋体" w:hAnsi="宋体" w:eastAsia="宋体" w:cs="Arial"/>
          <w:kern w:val="0"/>
          <w:sz w:val="22"/>
          <w:lang w:bidi="en-US"/>
        </w:rPr>
        <w:t>买方及设备的最终使用人在使用地使用设备的全部或其一部分的行为，应当免于遭受第三方基于知识产权（包括但不限于专利权、商标权、著作权及商业秘密等）提起的诉讼、仲裁或其他法律请求。</w:t>
      </w:r>
    </w:p>
    <w:p>
      <w:pPr>
        <w:widowControl/>
        <w:numPr>
          <w:ilvl w:val="0"/>
          <w:numId w:val="9"/>
        </w:numPr>
        <w:tabs>
          <w:tab w:val="left" w:pos="567"/>
          <w:tab w:val="left" w:pos="709"/>
          <w:tab w:val="left" w:pos="993"/>
        </w:tabs>
        <w:spacing w:line="420" w:lineRule="exact"/>
        <w:ind w:left="0" w:firstLine="0"/>
        <w:contextualSpacing/>
        <w:jc w:val="left"/>
        <w:rPr>
          <w:rFonts w:ascii="宋体" w:hAnsi="宋体" w:eastAsia="宋体" w:cs="Arial"/>
          <w:b/>
          <w:kern w:val="0"/>
          <w:sz w:val="22"/>
          <w:lang w:bidi="en-US"/>
        </w:rPr>
      </w:pPr>
      <w:r>
        <w:rPr>
          <w:rFonts w:hint="eastAsia" w:ascii="宋体" w:hAnsi="宋体" w:eastAsia="宋体" w:cs="Arial"/>
          <w:kern w:val="0"/>
          <w:sz w:val="22"/>
          <w:lang w:bidi="en-US"/>
        </w:rPr>
        <w:t>卖方同意，若有第三方提出或经买方证实卖方提供的设备侵犯了第三方的知识产权，买方有权选择：（</w:t>
      </w:r>
      <w:r>
        <w:rPr>
          <w:rFonts w:ascii="宋体" w:hAnsi="宋体" w:eastAsia="宋体" w:cs="Arial"/>
          <w:kern w:val="0"/>
          <w:sz w:val="22"/>
          <w:lang w:bidi="en-US"/>
        </w:rPr>
        <w:t>1</w:t>
      </w:r>
      <w:r>
        <w:rPr>
          <w:rFonts w:hint="eastAsia" w:ascii="宋体" w:hAnsi="宋体" w:eastAsia="宋体" w:cs="Arial"/>
          <w:kern w:val="0"/>
          <w:sz w:val="22"/>
          <w:lang w:bidi="en-US"/>
        </w:rPr>
        <w:t>）由卖方承担费用取得第三方的知识产权许可，保护买方免受任何损失并有权继续使用设备；或（</w:t>
      </w:r>
      <w:r>
        <w:rPr>
          <w:rFonts w:ascii="宋体" w:hAnsi="宋体" w:eastAsia="宋体" w:cs="Arial"/>
          <w:kern w:val="0"/>
          <w:sz w:val="22"/>
          <w:lang w:bidi="en-US"/>
        </w:rPr>
        <w:t>2</w:t>
      </w:r>
      <w:r>
        <w:rPr>
          <w:rFonts w:hint="eastAsia" w:ascii="宋体" w:hAnsi="宋体" w:eastAsia="宋体" w:cs="Arial"/>
          <w:kern w:val="0"/>
          <w:sz w:val="22"/>
          <w:lang w:bidi="en-US"/>
        </w:rPr>
        <w:t>）要求卖方修改或替换相应设备部件或技术，以使设备不侵犯第三方的知识产权。如果卖方未能在买方指定的合理期限内采取上述补救措施或无法实现有效的补救，买方有权解除本合同，并要求卖方赔偿买方因此遭受的所有损失。</w:t>
      </w:r>
    </w:p>
    <w:p>
      <w:pPr>
        <w:widowControl/>
        <w:numPr>
          <w:ilvl w:val="0"/>
          <w:numId w:val="9"/>
        </w:numPr>
        <w:tabs>
          <w:tab w:val="left" w:pos="567"/>
          <w:tab w:val="left" w:pos="709"/>
          <w:tab w:val="left" w:pos="993"/>
        </w:tabs>
        <w:spacing w:line="420" w:lineRule="exact"/>
        <w:ind w:left="0" w:firstLine="0"/>
        <w:contextualSpacing/>
        <w:jc w:val="left"/>
        <w:rPr>
          <w:rFonts w:ascii="宋体" w:hAnsi="宋体" w:eastAsia="宋体" w:cs="Arial"/>
          <w:kern w:val="0"/>
          <w:sz w:val="22"/>
          <w:lang w:bidi="en-US"/>
        </w:rPr>
      </w:pPr>
      <w:r>
        <w:rPr>
          <w:rFonts w:hint="eastAsia" w:ascii="宋体" w:hAnsi="宋体" w:eastAsia="宋体" w:cs="Arial"/>
          <w:kern w:val="0"/>
          <w:sz w:val="22"/>
          <w:lang w:bidi="en-US"/>
        </w:rPr>
        <w:t>若买方最终使用人因本合同项下的设备而遭受第三方的知识产权侵权指控，卖方将协助买方及最终使用人对由此而引起的任何诉讼、仲裁或其他法律请求进行抗辩。买方及最终使用人因遭受上述侵权指控而支出的所有费用和损失（包括但不限于诉讼费、律师费、差旅费、判决或和解所确定的经济赔偿等），应当由卖方承担赔偿责任。</w:t>
      </w:r>
    </w:p>
    <w:p>
      <w:pPr>
        <w:widowControl/>
        <w:numPr>
          <w:ilvl w:val="0"/>
          <w:numId w:val="9"/>
        </w:numPr>
        <w:tabs>
          <w:tab w:val="left" w:pos="567"/>
          <w:tab w:val="left" w:pos="709"/>
          <w:tab w:val="left" w:pos="993"/>
        </w:tabs>
        <w:spacing w:line="420" w:lineRule="exact"/>
        <w:ind w:left="0" w:firstLine="0"/>
        <w:contextualSpacing/>
        <w:jc w:val="left"/>
        <w:rPr>
          <w:rFonts w:ascii="宋体" w:hAnsi="宋体" w:eastAsia="宋体" w:cs="Arial"/>
          <w:bCs/>
          <w:kern w:val="0"/>
          <w:sz w:val="22"/>
          <w:lang w:bidi="en-US"/>
        </w:rPr>
      </w:pPr>
      <w:r>
        <w:rPr>
          <w:rFonts w:hint="eastAsia" w:ascii="宋体" w:hAnsi="宋体" w:eastAsia="宋体" w:cs="Arial"/>
          <w:bCs/>
          <w:kern w:val="0"/>
          <w:sz w:val="22"/>
          <w:lang w:bidi="en-US"/>
        </w:rPr>
        <w:t>卖方违反本合同有关知识产权的约定，并应向买方支付本合同总金额</w:t>
      </w:r>
      <w:r>
        <w:rPr>
          <w:rFonts w:ascii="宋体" w:hAnsi="宋体" w:eastAsia="宋体" w:cs="Arial"/>
          <w:bCs/>
          <w:kern w:val="0"/>
          <w:sz w:val="22"/>
          <w:u w:val="single"/>
          <w:lang w:bidi="en-US"/>
        </w:rPr>
        <w:t xml:space="preserve">   </w:t>
      </w:r>
      <w:r>
        <w:rPr>
          <w:rFonts w:ascii="宋体" w:hAnsi="宋体" w:eastAsia="宋体" w:cs="Arial"/>
          <w:bCs/>
          <w:kern w:val="0"/>
          <w:sz w:val="22"/>
          <w:lang w:bidi="en-US"/>
        </w:rPr>
        <w:t xml:space="preserve"> %的违约金。</w:t>
      </w:r>
    </w:p>
    <w:p>
      <w:pPr>
        <w:widowControl/>
        <w:numPr>
          <w:ilvl w:val="0"/>
          <w:numId w:val="1"/>
        </w:numPr>
        <w:tabs>
          <w:tab w:val="left" w:pos="567"/>
          <w:tab w:val="left" w:pos="709"/>
          <w:tab w:val="left" w:pos="993"/>
        </w:tabs>
        <w:spacing w:line="420" w:lineRule="exact"/>
        <w:ind w:left="0" w:firstLine="0"/>
        <w:contextualSpacing/>
        <w:jc w:val="left"/>
        <w:rPr>
          <w:rFonts w:ascii="宋体" w:hAnsi="宋体" w:eastAsia="宋体" w:cs="Arial"/>
          <w:b/>
          <w:kern w:val="0"/>
          <w:sz w:val="22"/>
          <w:lang w:eastAsia="en-US" w:bidi="en-US"/>
        </w:rPr>
      </w:pPr>
      <w:r>
        <w:rPr>
          <w:rFonts w:hint="eastAsia" w:ascii="宋体" w:hAnsi="宋体" w:eastAsia="宋体" w:cs="Arial"/>
          <w:b/>
          <w:kern w:val="0"/>
          <w:sz w:val="22"/>
          <w:lang w:bidi="en-US"/>
        </w:rPr>
        <w:t>违约责任</w:t>
      </w:r>
    </w:p>
    <w:p>
      <w:pPr>
        <w:widowControl/>
        <w:numPr>
          <w:ilvl w:val="0"/>
          <w:numId w:val="10"/>
        </w:numPr>
        <w:tabs>
          <w:tab w:val="left" w:pos="567"/>
          <w:tab w:val="left" w:pos="709"/>
          <w:tab w:val="left" w:pos="993"/>
        </w:tabs>
        <w:spacing w:line="420" w:lineRule="exact"/>
        <w:ind w:left="0" w:firstLine="0"/>
        <w:contextualSpacing/>
        <w:jc w:val="left"/>
        <w:rPr>
          <w:rFonts w:ascii="宋体" w:hAnsi="宋体" w:eastAsia="宋体" w:cs="Arial"/>
          <w:kern w:val="0"/>
          <w:sz w:val="22"/>
          <w:lang w:bidi="en-US"/>
        </w:rPr>
      </w:pPr>
      <w:r>
        <w:rPr>
          <w:rFonts w:hint="eastAsia" w:ascii="宋体" w:hAnsi="宋体" w:eastAsia="宋体" w:cs="Arial"/>
          <w:kern w:val="0"/>
          <w:sz w:val="22"/>
          <w:lang w:bidi="en-US"/>
        </w:rPr>
        <w:t>除不可抗力外，卖方逾期交付设备及零部件（含补交或退换货物的情形）或迟延完成调试（如有）的，每迟延一日按设备总金额的1%向买方支付延期违约金，逾期超过</w:t>
      </w:r>
      <w:r>
        <w:rPr>
          <w:rFonts w:ascii="宋体" w:hAnsi="宋体" w:eastAsia="宋体" w:cs="Arial"/>
          <w:kern w:val="0"/>
          <w:sz w:val="22"/>
          <w:lang w:bidi="en-US"/>
        </w:rPr>
        <w:t>10</w:t>
      </w:r>
      <w:r>
        <w:rPr>
          <w:rFonts w:hint="eastAsia" w:ascii="宋体" w:hAnsi="宋体" w:eastAsia="宋体" w:cs="Arial"/>
          <w:kern w:val="0"/>
          <w:sz w:val="22"/>
          <w:lang w:bidi="en-US"/>
        </w:rPr>
        <w:t>天，买方有权解除合同。卖方除承担延期违约金外还应赔偿给买方造成的损失。支付违约金和赔偿损失不免除卖方按期交货义务。</w:t>
      </w:r>
    </w:p>
    <w:p>
      <w:pPr>
        <w:widowControl/>
        <w:numPr>
          <w:ilvl w:val="0"/>
          <w:numId w:val="10"/>
        </w:numPr>
        <w:tabs>
          <w:tab w:val="left" w:pos="567"/>
          <w:tab w:val="left" w:pos="709"/>
          <w:tab w:val="left" w:pos="993"/>
        </w:tabs>
        <w:spacing w:line="420" w:lineRule="exact"/>
        <w:ind w:left="0" w:firstLine="0"/>
        <w:contextualSpacing/>
        <w:jc w:val="left"/>
        <w:rPr>
          <w:rFonts w:ascii="宋体" w:hAnsi="宋体" w:eastAsia="宋体" w:cs="Arial"/>
          <w:kern w:val="0"/>
          <w:sz w:val="22"/>
          <w:lang w:bidi="en-US"/>
        </w:rPr>
      </w:pPr>
      <w:r>
        <w:rPr>
          <w:rFonts w:hint="eastAsia" w:ascii="宋体" w:hAnsi="宋体" w:eastAsia="宋体" w:cs="Arial"/>
          <w:kern w:val="0"/>
          <w:sz w:val="22"/>
          <w:lang w:bidi="en-US"/>
        </w:rPr>
        <w:t xml:space="preserve"> 买方发现设备及其零部件等货物不符合合同约定或存在质量或数量问题的，买方可以根据情况选择：（1）退货，并要求卖方赔偿买方损失；（2）要求卖方更换有缺陷产品的零、部件和设备，补足短缺的零部件，修理缺陷部分，以使产品达到合同约定的要求；（3）要求卖方采取其它有效补救措施。无论买方选择（1）或者（2）或者（3），卖方均还应向买方支付一定的违约金，违约金按照设备总金额的</w:t>
      </w:r>
      <w:r>
        <w:rPr>
          <w:rFonts w:ascii="宋体" w:hAnsi="宋体" w:eastAsia="宋体" w:cs="Arial"/>
          <w:kern w:val="0"/>
          <w:sz w:val="22"/>
          <w:lang w:bidi="en-US"/>
        </w:rPr>
        <w:t xml:space="preserve">     </w:t>
      </w:r>
      <w:r>
        <w:rPr>
          <w:rFonts w:hint="eastAsia" w:ascii="宋体" w:hAnsi="宋体" w:eastAsia="宋体" w:cs="Arial"/>
          <w:kern w:val="0"/>
          <w:sz w:val="22"/>
          <w:lang w:bidi="en-US"/>
        </w:rPr>
        <w:t>%计算，造成买方损失的，卖方应全额赔偿。买方合理认为属卖方故意行为的，有权要求卖方双倍支付违约金。</w:t>
      </w:r>
    </w:p>
    <w:p>
      <w:pPr>
        <w:widowControl/>
        <w:numPr>
          <w:ilvl w:val="0"/>
          <w:numId w:val="10"/>
        </w:numPr>
        <w:tabs>
          <w:tab w:val="left" w:pos="567"/>
          <w:tab w:val="left" w:pos="709"/>
          <w:tab w:val="left" w:pos="993"/>
        </w:tabs>
        <w:spacing w:line="420" w:lineRule="exact"/>
        <w:ind w:left="0" w:firstLine="0"/>
        <w:contextualSpacing/>
        <w:jc w:val="left"/>
        <w:rPr>
          <w:rFonts w:ascii="宋体" w:hAnsi="宋体" w:eastAsia="宋体" w:cs="Arial"/>
          <w:kern w:val="0"/>
          <w:sz w:val="22"/>
          <w:lang w:bidi="en-US"/>
        </w:rPr>
      </w:pPr>
      <w:r>
        <w:rPr>
          <w:rFonts w:hint="eastAsia" w:ascii="宋体" w:hAnsi="宋体" w:eastAsia="宋体" w:cs="Arial"/>
          <w:kern w:val="0"/>
          <w:sz w:val="22"/>
          <w:lang w:bidi="en-US"/>
        </w:rPr>
        <w:t>如发生卖方违约或者买方有合理理由认为卖方将发生违约，买方有权自行采取措施避免可能发生或扩大的损失，包括但不限于向第三方另行采购替代品或另行委托等，买方因而产生的费用及差价等损失由卖方承担。</w:t>
      </w:r>
    </w:p>
    <w:p>
      <w:pPr>
        <w:widowControl/>
        <w:numPr>
          <w:ilvl w:val="0"/>
          <w:numId w:val="10"/>
        </w:numPr>
        <w:tabs>
          <w:tab w:val="left" w:pos="567"/>
          <w:tab w:val="left" w:pos="709"/>
          <w:tab w:val="left" w:pos="993"/>
        </w:tabs>
        <w:spacing w:line="420" w:lineRule="exact"/>
        <w:ind w:left="0" w:firstLine="0"/>
        <w:contextualSpacing/>
        <w:jc w:val="left"/>
        <w:rPr>
          <w:rFonts w:ascii="宋体" w:hAnsi="宋体" w:eastAsia="宋体" w:cs="Arial"/>
          <w:kern w:val="0"/>
          <w:sz w:val="22"/>
          <w:lang w:bidi="en-US"/>
        </w:rPr>
      </w:pPr>
      <w:r>
        <w:rPr>
          <w:rFonts w:hint="eastAsia" w:ascii="宋体" w:hAnsi="宋体" w:eastAsia="宋体" w:cs="Arial"/>
          <w:kern w:val="0"/>
          <w:sz w:val="22"/>
          <w:lang w:bidi="en-US"/>
        </w:rPr>
        <w:t>若双方以口头或书面等形式（包括但不限于质量保证协议、安全协议、保密协议等）对卖方应承担的违约金或处罚等违约责任与本合同的约定不一致的，双方同意按处罚较高的约定执行。</w:t>
      </w:r>
    </w:p>
    <w:p>
      <w:pPr>
        <w:widowControl/>
        <w:numPr>
          <w:ilvl w:val="0"/>
          <w:numId w:val="10"/>
        </w:numPr>
        <w:tabs>
          <w:tab w:val="left" w:pos="567"/>
          <w:tab w:val="left" w:pos="709"/>
          <w:tab w:val="left" w:pos="993"/>
        </w:tabs>
        <w:spacing w:after="200" w:line="420" w:lineRule="exact"/>
        <w:ind w:left="0" w:firstLine="0"/>
        <w:contextualSpacing/>
        <w:jc w:val="left"/>
        <w:rPr>
          <w:rFonts w:ascii="宋体" w:hAnsi="宋体" w:eastAsia="宋体" w:cs="Arial"/>
          <w:kern w:val="0"/>
          <w:sz w:val="22"/>
          <w:lang w:bidi="en-US"/>
        </w:rPr>
      </w:pPr>
      <w:r>
        <w:rPr>
          <w:rFonts w:hint="eastAsia" w:ascii="宋体" w:hAnsi="宋体" w:eastAsia="宋体" w:cs="Arial"/>
          <w:kern w:val="0"/>
          <w:sz w:val="22"/>
          <w:lang w:bidi="en-US"/>
        </w:rPr>
        <w:t>买方对卖方的违约责任（包括但不限于违约金、扣款、赔偿金、罚款及各种费用等）、侵权责任等的追索，卖方同意买方在任何应付款中以扣款的形式执行，扣款决定的通知到达卖方后即行生效（买方以邮件或传真等形式书面通知给卖方），不足部分由卖方收到买方通知后即刻电汇支付。</w:t>
      </w:r>
    </w:p>
    <w:p>
      <w:pPr>
        <w:widowControl/>
        <w:numPr>
          <w:ilvl w:val="0"/>
          <w:numId w:val="10"/>
        </w:numPr>
        <w:tabs>
          <w:tab w:val="left" w:pos="567"/>
          <w:tab w:val="left" w:pos="709"/>
          <w:tab w:val="left" w:pos="993"/>
        </w:tabs>
        <w:spacing w:after="200" w:line="420" w:lineRule="exact"/>
        <w:ind w:left="0" w:firstLine="0"/>
        <w:contextualSpacing/>
        <w:jc w:val="left"/>
        <w:rPr>
          <w:rFonts w:ascii="宋体" w:hAnsi="宋体" w:eastAsia="宋体" w:cs="Arial"/>
          <w:kern w:val="0"/>
          <w:sz w:val="22"/>
          <w:lang w:bidi="en-US"/>
        </w:rPr>
      </w:pPr>
      <w:r>
        <w:rPr>
          <w:rFonts w:hint="eastAsia" w:ascii="宋体" w:hAnsi="宋体" w:eastAsia="宋体" w:cs="Arial"/>
          <w:kern w:val="0"/>
          <w:sz w:val="22"/>
          <w:lang w:bidi="en-US"/>
        </w:rPr>
        <w:t>卖方未按约定的要求按时足额履行合同义务的，履约保证金不予退还。</w:t>
      </w:r>
    </w:p>
    <w:p>
      <w:pPr>
        <w:widowControl/>
        <w:numPr>
          <w:ilvl w:val="0"/>
          <w:numId w:val="10"/>
        </w:numPr>
        <w:tabs>
          <w:tab w:val="left" w:pos="567"/>
          <w:tab w:val="left" w:pos="709"/>
          <w:tab w:val="left" w:pos="993"/>
        </w:tabs>
        <w:spacing w:line="420" w:lineRule="exact"/>
        <w:ind w:left="0" w:firstLine="0"/>
        <w:contextualSpacing/>
        <w:jc w:val="left"/>
        <w:rPr>
          <w:rFonts w:ascii="宋体" w:hAnsi="宋体" w:eastAsia="宋体" w:cs="Arial"/>
          <w:kern w:val="0"/>
          <w:sz w:val="22"/>
          <w:lang w:bidi="en-US"/>
        </w:rPr>
      </w:pPr>
      <w:r>
        <w:rPr>
          <w:rFonts w:hint="eastAsia" w:ascii="宋体" w:hAnsi="宋体" w:eastAsia="宋体" w:cs="Arial"/>
          <w:kern w:val="0"/>
          <w:sz w:val="22"/>
          <w:lang w:bidi="en-US"/>
        </w:rPr>
        <w:t>因卖方违约造成买方为实现相关权利所产生的费用，包括但不限于诉讼费、律师费、差旅费、鉴定费、保全费、保全责任保险费等应由卖方承担。</w:t>
      </w:r>
    </w:p>
    <w:p>
      <w:pPr>
        <w:widowControl/>
        <w:numPr>
          <w:ilvl w:val="0"/>
          <w:numId w:val="10"/>
        </w:numPr>
        <w:tabs>
          <w:tab w:val="left" w:pos="567"/>
          <w:tab w:val="left" w:pos="709"/>
          <w:tab w:val="left" w:pos="993"/>
        </w:tabs>
        <w:spacing w:line="420" w:lineRule="exact"/>
        <w:ind w:left="0" w:firstLine="0"/>
        <w:contextualSpacing/>
        <w:jc w:val="left"/>
        <w:rPr>
          <w:rFonts w:ascii="宋体" w:hAnsi="宋体" w:eastAsia="宋体" w:cs="Arial"/>
          <w:kern w:val="0"/>
          <w:sz w:val="22"/>
          <w:lang w:bidi="en-US"/>
        </w:rPr>
      </w:pPr>
      <w:r>
        <w:rPr>
          <w:rFonts w:hint="eastAsia" w:ascii="宋体" w:hAnsi="宋体" w:eastAsia="宋体" w:cs="Arial"/>
          <w:kern w:val="0"/>
          <w:sz w:val="22"/>
          <w:lang w:bidi="en-US"/>
        </w:rPr>
        <w:t>若买方无正当理由未按期支付货款，买方应在逾期付款期限内按照其应付而未付的货款金额的万分之一</w:t>
      </w:r>
      <w:r>
        <w:rPr>
          <w:rFonts w:ascii="宋体" w:hAnsi="宋体" w:eastAsia="宋体" w:cs="Arial"/>
          <w:kern w:val="0"/>
          <w:sz w:val="22"/>
          <w:lang w:bidi="en-US"/>
        </w:rPr>
        <w:t>/日</w:t>
      </w:r>
      <w:r>
        <w:rPr>
          <w:rFonts w:hint="eastAsia" w:ascii="宋体" w:hAnsi="宋体" w:eastAsia="宋体" w:cs="Arial"/>
          <w:kern w:val="0"/>
          <w:sz w:val="22"/>
          <w:lang w:bidi="en-US"/>
        </w:rPr>
        <w:t>向卖方赔偿损失。</w:t>
      </w:r>
    </w:p>
    <w:p>
      <w:pPr>
        <w:widowControl/>
        <w:numPr>
          <w:ilvl w:val="0"/>
          <w:numId w:val="1"/>
        </w:numPr>
        <w:tabs>
          <w:tab w:val="left" w:pos="567"/>
          <w:tab w:val="left" w:pos="709"/>
          <w:tab w:val="left" w:pos="993"/>
        </w:tabs>
        <w:spacing w:line="420" w:lineRule="exact"/>
        <w:ind w:left="0" w:firstLine="0"/>
        <w:contextualSpacing/>
        <w:jc w:val="left"/>
        <w:rPr>
          <w:rFonts w:ascii="宋体" w:hAnsi="宋体" w:eastAsia="宋体" w:cs="Arial"/>
          <w:b/>
          <w:kern w:val="0"/>
          <w:sz w:val="22"/>
          <w:lang w:eastAsia="en-US" w:bidi="en-US"/>
        </w:rPr>
      </w:pPr>
      <w:r>
        <w:rPr>
          <w:rFonts w:hint="eastAsia" w:ascii="宋体" w:hAnsi="宋体" w:eastAsia="宋体" w:cs="Arial"/>
          <w:b/>
          <w:kern w:val="0"/>
          <w:sz w:val="22"/>
          <w:lang w:eastAsia="en-US" w:bidi="en-US"/>
        </w:rPr>
        <w:t>不可抗力</w:t>
      </w:r>
    </w:p>
    <w:p>
      <w:pPr>
        <w:widowControl/>
        <w:tabs>
          <w:tab w:val="left" w:pos="567"/>
          <w:tab w:val="left" w:pos="709"/>
          <w:tab w:val="left" w:pos="993"/>
        </w:tabs>
        <w:spacing w:line="420" w:lineRule="exact"/>
        <w:contextualSpacing/>
        <w:jc w:val="left"/>
        <w:rPr>
          <w:rFonts w:ascii="宋体" w:hAnsi="宋体" w:eastAsia="宋体" w:cs="Arial"/>
          <w:kern w:val="0"/>
          <w:sz w:val="22"/>
          <w:lang w:bidi="en-US"/>
        </w:rPr>
      </w:pPr>
      <w:r>
        <w:rPr>
          <w:rFonts w:ascii="宋体" w:hAnsi="宋体" w:eastAsia="宋体" w:cs="Arial"/>
          <w:kern w:val="0"/>
          <w:sz w:val="22"/>
          <w:lang w:bidi="en-US"/>
        </w:rPr>
        <w:t>(一) 合同生效后，卖方由于不可抗力而不能如期完全履行时，应立即通过电话或书面等有效方式通知买方，并应在不可抗力发生后3日内提供政府主管部门出具的有效的不可抗力证明，卖方应采取一切措施尽快履约，并避免和减少买方损失。疫情及防控、运输延误、原辅材料/能源/物流等供应短缺/中断、限电、第三方行为、事故、劳动力不足、市场变化、成本上涨等不应视为卖方不可抗力。</w:t>
      </w:r>
    </w:p>
    <w:p>
      <w:pPr>
        <w:widowControl/>
        <w:tabs>
          <w:tab w:val="left" w:pos="567"/>
          <w:tab w:val="left" w:pos="709"/>
          <w:tab w:val="left" w:pos="993"/>
        </w:tabs>
        <w:spacing w:line="420" w:lineRule="exact"/>
        <w:contextualSpacing/>
        <w:jc w:val="left"/>
        <w:rPr>
          <w:rFonts w:ascii="宋体" w:hAnsi="宋体" w:eastAsia="宋体" w:cs="Arial"/>
          <w:kern w:val="0"/>
          <w:sz w:val="22"/>
          <w:lang w:bidi="en-US"/>
        </w:rPr>
      </w:pPr>
      <w:r>
        <w:rPr>
          <w:rFonts w:ascii="宋体" w:hAnsi="宋体" w:eastAsia="宋体" w:cs="Arial"/>
          <w:kern w:val="0"/>
          <w:sz w:val="22"/>
          <w:lang w:bidi="en-US"/>
        </w:rPr>
        <w:t>(二) 如不可抗力持续15天以上时，买卖双方可通过友好协商解决本合同履行问题，协商不成，买方可解除合同。</w:t>
      </w:r>
    </w:p>
    <w:p>
      <w:pPr>
        <w:widowControl/>
        <w:numPr>
          <w:ilvl w:val="0"/>
          <w:numId w:val="1"/>
        </w:numPr>
        <w:tabs>
          <w:tab w:val="left" w:pos="567"/>
          <w:tab w:val="left" w:pos="709"/>
          <w:tab w:val="left" w:pos="993"/>
        </w:tabs>
        <w:spacing w:line="420" w:lineRule="exact"/>
        <w:ind w:left="0" w:firstLine="0"/>
        <w:contextualSpacing/>
        <w:jc w:val="left"/>
        <w:rPr>
          <w:rFonts w:ascii="宋体" w:hAnsi="宋体" w:eastAsia="宋体" w:cs="Arial"/>
          <w:b/>
          <w:kern w:val="0"/>
          <w:sz w:val="22"/>
          <w:lang w:eastAsia="en-US" w:bidi="en-US"/>
        </w:rPr>
      </w:pPr>
      <w:r>
        <w:rPr>
          <w:rFonts w:hint="eastAsia" w:ascii="宋体" w:hAnsi="宋体" w:eastAsia="宋体" w:cs="Arial"/>
          <w:b/>
          <w:kern w:val="0"/>
          <w:sz w:val="22"/>
          <w:lang w:eastAsia="en-US" w:bidi="en-US"/>
        </w:rPr>
        <w:t>分包、转包</w:t>
      </w:r>
    </w:p>
    <w:p>
      <w:pPr>
        <w:tabs>
          <w:tab w:val="left" w:pos="567"/>
          <w:tab w:val="left" w:pos="709"/>
          <w:tab w:val="left" w:pos="993"/>
        </w:tabs>
        <w:spacing w:line="420" w:lineRule="exact"/>
        <w:jc w:val="left"/>
        <w:rPr>
          <w:rFonts w:ascii="宋体" w:hAnsi="宋体" w:eastAsia="宋体" w:cs="Arial"/>
        </w:rPr>
      </w:pPr>
      <w:r>
        <w:rPr>
          <w:rFonts w:hint="eastAsia" w:ascii="宋体" w:hAnsi="宋体" w:eastAsia="宋体" w:cs="Arial"/>
        </w:rPr>
        <w:t>未经买方事先书面同意，卖方不得转让其在本合同项下的任何权利义务，不得将本合同项下的全部或部分工作转包、分包或以任何方式委托、分派给其它任何组织或个人，若违反本条约定，一切责任后果由卖方承担，造成买方损失的（包括但不限于财产损失及人身伤害赔偿、行政处罚等），卖方应全额赔偿，且应向买方支付本合同总金额</w:t>
      </w:r>
      <w:r>
        <w:rPr>
          <w:rFonts w:ascii="宋体" w:hAnsi="宋体" w:eastAsia="宋体" w:cs="Arial"/>
          <w:u w:val="single"/>
        </w:rPr>
        <w:t xml:space="preserve">    </w:t>
      </w:r>
      <w:r>
        <w:rPr>
          <w:rFonts w:ascii="宋体" w:hAnsi="宋体" w:eastAsia="宋体" w:cs="Arial"/>
        </w:rPr>
        <w:t>%</w:t>
      </w:r>
      <w:r>
        <w:rPr>
          <w:rFonts w:hint="eastAsia" w:ascii="宋体" w:hAnsi="宋体" w:eastAsia="宋体" w:cs="Arial"/>
        </w:rPr>
        <w:t>的违约金，买方有权解除合同。任何形式的转包、分包、委托、分派都不应免除或减轻卖方在本合同项下的责任和义务，卖方对其转包、分包及以任何方式委托、分派的其他组织或个人的行为后果承担责任。</w:t>
      </w:r>
    </w:p>
    <w:p>
      <w:pPr>
        <w:widowControl/>
        <w:numPr>
          <w:ilvl w:val="0"/>
          <w:numId w:val="1"/>
        </w:numPr>
        <w:tabs>
          <w:tab w:val="left" w:pos="567"/>
          <w:tab w:val="left" w:pos="709"/>
          <w:tab w:val="left" w:pos="993"/>
        </w:tabs>
        <w:spacing w:line="420" w:lineRule="exact"/>
        <w:ind w:left="0" w:firstLine="0"/>
        <w:contextualSpacing/>
        <w:jc w:val="left"/>
        <w:rPr>
          <w:rFonts w:ascii="宋体" w:hAnsi="宋体" w:eastAsia="宋体" w:cs="Arial"/>
          <w:b/>
          <w:kern w:val="0"/>
          <w:sz w:val="22"/>
          <w:lang w:eastAsia="en-US" w:bidi="en-US"/>
        </w:rPr>
      </w:pPr>
      <w:r>
        <w:rPr>
          <w:rFonts w:hint="eastAsia" w:ascii="宋体" w:hAnsi="宋体" w:eastAsia="宋体" w:cs="Arial"/>
          <w:b/>
          <w:kern w:val="0"/>
          <w:sz w:val="22"/>
          <w:lang w:eastAsia="en-US" w:bidi="en-US"/>
        </w:rPr>
        <w:t>其它</w:t>
      </w:r>
    </w:p>
    <w:p>
      <w:pPr>
        <w:tabs>
          <w:tab w:val="left" w:pos="567"/>
          <w:tab w:val="left" w:pos="709"/>
          <w:tab w:val="left" w:pos="993"/>
        </w:tabs>
        <w:spacing w:line="420" w:lineRule="exact"/>
        <w:jc w:val="left"/>
        <w:rPr>
          <w:rFonts w:ascii="宋体" w:hAnsi="宋体" w:eastAsia="宋体" w:cs="Arial"/>
        </w:rPr>
      </w:pPr>
      <w:r>
        <w:rPr>
          <w:rFonts w:hint="eastAsia" w:ascii="宋体" w:hAnsi="宋体" w:eastAsia="宋体" w:cs="Arial"/>
        </w:rPr>
        <w:t xml:space="preserve">    卖方应要求并保证所有参与本合同履行及进入买方厂区的卖方人员（含卖方依照本合同约定转包、分包、委托、分派的其他任何组织或个人）均应按章规范操作，遵守买方厂区的规定及安全指示，不得进入未经买方许可的区域，不得擅自接触和使用买方设备、设施，若发生或造成财产损失及人身伤害，责任由卖方承担，造成买方损失的（包括但不限于财产损失及人身伤害赔偿、行政处罚等），卖方应全额赔偿。</w:t>
      </w:r>
    </w:p>
    <w:p>
      <w:pPr>
        <w:widowControl/>
        <w:numPr>
          <w:ilvl w:val="0"/>
          <w:numId w:val="1"/>
        </w:numPr>
        <w:tabs>
          <w:tab w:val="left" w:pos="567"/>
          <w:tab w:val="left" w:pos="709"/>
          <w:tab w:val="left" w:pos="993"/>
        </w:tabs>
        <w:spacing w:line="420" w:lineRule="exact"/>
        <w:ind w:left="0" w:firstLine="0"/>
        <w:contextualSpacing/>
        <w:jc w:val="left"/>
        <w:rPr>
          <w:rFonts w:ascii="宋体" w:hAnsi="宋体" w:eastAsia="宋体" w:cs="Arial"/>
          <w:b/>
          <w:kern w:val="0"/>
          <w:sz w:val="22"/>
          <w:lang w:eastAsia="en-US" w:bidi="en-US"/>
        </w:rPr>
      </w:pPr>
      <w:r>
        <w:rPr>
          <w:rFonts w:hint="eastAsia" w:ascii="宋体" w:hAnsi="宋体" w:eastAsia="宋体" w:cs="Arial"/>
          <w:b/>
          <w:kern w:val="0"/>
          <w:sz w:val="22"/>
          <w:lang w:bidi="en-US"/>
        </w:rPr>
        <w:t>法律适用及</w:t>
      </w:r>
      <w:r>
        <w:rPr>
          <w:rFonts w:hint="eastAsia" w:ascii="宋体" w:hAnsi="宋体" w:eastAsia="宋体" w:cs="Arial"/>
          <w:b/>
          <w:kern w:val="0"/>
          <w:sz w:val="22"/>
          <w:lang w:eastAsia="en-US" w:bidi="en-US"/>
        </w:rPr>
        <w:t>争议解决</w:t>
      </w:r>
    </w:p>
    <w:p>
      <w:pPr>
        <w:tabs>
          <w:tab w:val="left" w:pos="567"/>
          <w:tab w:val="left" w:pos="709"/>
          <w:tab w:val="left" w:pos="993"/>
        </w:tabs>
        <w:spacing w:line="420" w:lineRule="exact"/>
        <w:contextualSpacing/>
        <w:jc w:val="left"/>
        <w:rPr>
          <w:rFonts w:ascii="宋体" w:hAnsi="宋体" w:eastAsia="宋体" w:cs="Arial"/>
        </w:rPr>
      </w:pPr>
      <w:r>
        <w:rPr>
          <w:rFonts w:hint="eastAsia" w:ascii="宋体" w:hAnsi="宋体" w:eastAsia="宋体" w:cs="Arial"/>
        </w:rPr>
        <w:t>（一）</w:t>
      </w:r>
      <w:r>
        <w:rPr>
          <w:rFonts w:hint="eastAsia" w:ascii="宋体" w:hAnsi="宋体" w:eastAsia="宋体" w:cs="Times New Roman"/>
          <w:szCs w:val="21"/>
        </w:rPr>
        <w:t>本合同适用中华人民共和国法律（为本合同之目的，在此不包括香港特别行政区、澳门特别行政区及台湾地区的法律）解释和管辖，但不包括中国法中导致适用其他管辖区域法律的法律选择或冲突法规则。</w:t>
      </w:r>
    </w:p>
    <w:p>
      <w:pPr>
        <w:tabs>
          <w:tab w:val="left" w:pos="567"/>
          <w:tab w:val="left" w:pos="709"/>
          <w:tab w:val="left" w:pos="993"/>
        </w:tabs>
        <w:spacing w:line="420" w:lineRule="exact"/>
        <w:contextualSpacing/>
        <w:jc w:val="left"/>
        <w:rPr>
          <w:rFonts w:ascii="宋体" w:hAnsi="宋体" w:eastAsia="宋体" w:cs="Arial"/>
        </w:rPr>
      </w:pPr>
      <w:r>
        <w:rPr>
          <w:rFonts w:hint="eastAsia" w:ascii="宋体" w:hAnsi="宋体" w:eastAsia="宋体" w:cs="Arial"/>
        </w:rPr>
        <w:t>（二）本合同</w:t>
      </w:r>
      <w:r>
        <w:rPr>
          <w:rFonts w:ascii="宋体" w:hAnsi="宋体" w:eastAsia="宋体" w:cs="Arial"/>
        </w:rPr>
        <w:t>未尽事宜</w:t>
      </w:r>
      <w:r>
        <w:rPr>
          <w:rFonts w:hint="eastAsia" w:ascii="宋体" w:hAnsi="宋体" w:eastAsia="宋体" w:cs="Arial"/>
        </w:rPr>
        <w:t>或因本合同引起的争议，双方友好协商解决，如果争议发生，双方不能达成一致的，任何一方均应向买方住所地有管辖权的法院提起诉讼</w:t>
      </w:r>
      <w:r>
        <w:rPr>
          <w:rFonts w:hint="eastAsia" w:ascii="宋体" w:hAnsi="宋体" w:eastAsia="宋体" w:cs="Arial"/>
          <w:spacing w:val="-2"/>
        </w:rPr>
        <w:t>。</w:t>
      </w:r>
    </w:p>
    <w:p>
      <w:pPr>
        <w:widowControl/>
        <w:numPr>
          <w:ilvl w:val="0"/>
          <w:numId w:val="1"/>
        </w:numPr>
        <w:tabs>
          <w:tab w:val="left" w:pos="567"/>
          <w:tab w:val="left" w:pos="709"/>
          <w:tab w:val="left" w:pos="993"/>
        </w:tabs>
        <w:spacing w:line="420" w:lineRule="exact"/>
        <w:ind w:left="0" w:firstLine="0"/>
        <w:contextualSpacing/>
        <w:jc w:val="left"/>
        <w:rPr>
          <w:rFonts w:ascii="宋体" w:hAnsi="宋体" w:eastAsia="宋体" w:cs="Arial"/>
          <w:b/>
          <w:kern w:val="0"/>
          <w:sz w:val="22"/>
          <w:lang w:eastAsia="en-US" w:bidi="en-US"/>
        </w:rPr>
      </w:pPr>
      <w:r>
        <w:rPr>
          <w:rFonts w:ascii="宋体" w:hAnsi="宋体" w:eastAsia="宋体" w:cs="Arial"/>
          <w:b/>
          <w:kern w:val="0"/>
          <w:sz w:val="22"/>
          <w:lang w:eastAsia="en-US" w:bidi="en-US"/>
        </w:rPr>
        <w:t>合同的更改</w:t>
      </w:r>
    </w:p>
    <w:p>
      <w:pPr>
        <w:tabs>
          <w:tab w:val="left" w:pos="567"/>
          <w:tab w:val="left" w:pos="709"/>
          <w:tab w:val="left" w:pos="993"/>
        </w:tabs>
        <w:spacing w:line="420" w:lineRule="exact"/>
        <w:contextualSpacing/>
        <w:jc w:val="left"/>
        <w:rPr>
          <w:rFonts w:ascii="宋体" w:hAnsi="宋体" w:eastAsia="宋体" w:cs="Arial"/>
        </w:rPr>
      </w:pPr>
      <w:r>
        <w:rPr>
          <w:rFonts w:ascii="宋体" w:hAnsi="宋体" w:eastAsia="宋体" w:cs="Arial"/>
        </w:rPr>
        <w:t>本合同的任何变更、修改均须双方同意并签署书面</w:t>
      </w:r>
      <w:r>
        <w:rPr>
          <w:rFonts w:hint="eastAsia" w:ascii="宋体" w:hAnsi="宋体" w:eastAsia="宋体" w:cs="Arial"/>
        </w:rPr>
        <w:t>补充协议</w:t>
      </w:r>
      <w:r>
        <w:rPr>
          <w:rFonts w:ascii="宋体" w:hAnsi="宋体" w:eastAsia="宋体" w:cs="Arial"/>
        </w:rPr>
        <w:t>方为</w:t>
      </w:r>
      <w:r>
        <w:rPr>
          <w:rFonts w:hint="eastAsia" w:ascii="宋体" w:hAnsi="宋体" w:eastAsia="宋体" w:cs="Arial"/>
        </w:rPr>
        <w:t>有效，合同的变更部分构成合同的有效组成部分，与合同具有同等效力</w:t>
      </w:r>
      <w:r>
        <w:rPr>
          <w:rFonts w:ascii="宋体" w:hAnsi="宋体" w:eastAsia="宋体" w:cs="Arial"/>
        </w:rPr>
        <w:t>。</w:t>
      </w:r>
    </w:p>
    <w:p>
      <w:pPr>
        <w:widowControl/>
        <w:numPr>
          <w:ilvl w:val="0"/>
          <w:numId w:val="1"/>
        </w:numPr>
        <w:tabs>
          <w:tab w:val="left" w:pos="567"/>
          <w:tab w:val="left" w:pos="709"/>
          <w:tab w:val="left" w:pos="993"/>
        </w:tabs>
        <w:spacing w:line="420" w:lineRule="exact"/>
        <w:ind w:left="0" w:firstLine="0"/>
        <w:contextualSpacing/>
        <w:jc w:val="left"/>
        <w:rPr>
          <w:rFonts w:ascii="宋体" w:hAnsi="宋体" w:eastAsia="宋体" w:cs="Arial"/>
          <w:b/>
          <w:kern w:val="0"/>
          <w:sz w:val="22"/>
          <w:lang w:eastAsia="en-US" w:bidi="en-US"/>
        </w:rPr>
      </w:pPr>
      <w:r>
        <w:rPr>
          <w:rFonts w:hint="eastAsia" w:ascii="宋体" w:hAnsi="宋体" w:eastAsia="宋体" w:cs="Arial"/>
          <w:b/>
          <w:kern w:val="0"/>
          <w:sz w:val="22"/>
          <w:lang w:eastAsia="en-US" w:bidi="en-US"/>
        </w:rPr>
        <w:t>合同</w:t>
      </w:r>
      <w:r>
        <w:rPr>
          <w:rFonts w:ascii="宋体" w:hAnsi="宋体" w:eastAsia="宋体" w:cs="Arial"/>
          <w:b/>
          <w:kern w:val="0"/>
          <w:sz w:val="22"/>
          <w:lang w:eastAsia="en-US" w:bidi="en-US"/>
        </w:rPr>
        <w:t>生效</w:t>
      </w:r>
    </w:p>
    <w:p>
      <w:pPr>
        <w:widowControl/>
        <w:numPr>
          <w:ilvl w:val="0"/>
          <w:numId w:val="11"/>
        </w:numPr>
        <w:tabs>
          <w:tab w:val="left" w:pos="567"/>
          <w:tab w:val="left" w:pos="709"/>
          <w:tab w:val="left" w:pos="993"/>
        </w:tabs>
        <w:spacing w:line="420" w:lineRule="exact"/>
        <w:ind w:left="0" w:firstLine="0"/>
        <w:contextualSpacing/>
        <w:jc w:val="left"/>
        <w:rPr>
          <w:rFonts w:ascii="宋体" w:hAnsi="宋体" w:eastAsia="宋体" w:cs="Arial"/>
          <w:kern w:val="0"/>
          <w:sz w:val="22"/>
          <w:lang w:bidi="en-US"/>
        </w:rPr>
      </w:pPr>
      <w:r>
        <w:rPr>
          <w:rFonts w:ascii="宋体" w:hAnsi="宋体" w:eastAsia="宋体" w:cs="Arial"/>
          <w:kern w:val="0"/>
          <w:sz w:val="22"/>
          <w:lang w:bidi="en-US"/>
        </w:rPr>
        <w:t>本合同</w:t>
      </w:r>
      <w:r>
        <w:rPr>
          <w:rFonts w:hint="eastAsia" w:ascii="宋体" w:hAnsi="宋体" w:eastAsia="宋体" w:cs="Arial"/>
          <w:kern w:val="0"/>
          <w:sz w:val="22"/>
          <w:lang w:bidi="en-US"/>
        </w:rPr>
        <w:t>经双方盖章或签字后生效。本合同一式</w:t>
      </w:r>
      <w:r>
        <w:rPr>
          <w:rFonts w:ascii="宋体" w:hAnsi="宋体" w:eastAsia="宋体" w:cs="Arial"/>
          <w:kern w:val="0"/>
          <w:sz w:val="22"/>
          <w:u w:val="single"/>
          <w:lang w:bidi="en-US"/>
        </w:rPr>
        <w:t xml:space="preserve">  </w:t>
      </w:r>
      <w:r>
        <w:rPr>
          <w:rFonts w:hint="eastAsia" w:ascii="宋体" w:hAnsi="宋体" w:eastAsia="宋体" w:cs="Arial"/>
          <w:kern w:val="0"/>
          <w:sz w:val="22"/>
          <w:u w:val="single"/>
          <w:lang w:bidi="en-US"/>
        </w:rPr>
        <w:t xml:space="preserve"> </w:t>
      </w:r>
      <w:r>
        <w:rPr>
          <w:rFonts w:ascii="宋体" w:hAnsi="宋体" w:eastAsia="宋体" w:cs="Arial"/>
          <w:kern w:val="0"/>
          <w:sz w:val="22"/>
          <w:u w:val="single"/>
          <w:lang w:bidi="en-US"/>
        </w:rPr>
        <w:t xml:space="preserve"> </w:t>
      </w:r>
      <w:r>
        <w:rPr>
          <w:rFonts w:hint="eastAsia" w:ascii="宋体" w:hAnsi="宋体" w:eastAsia="宋体" w:cs="Arial"/>
          <w:kern w:val="0"/>
          <w:sz w:val="22"/>
          <w:lang w:bidi="en-US"/>
        </w:rPr>
        <w:t>份，买方执</w:t>
      </w:r>
      <w:r>
        <w:rPr>
          <w:rFonts w:ascii="宋体" w:hAnsi="宋体" w:eastAsia="宋体" w:cs="Arial"/>
          <w:kern w:val="0"/>
          <w:sz w:val="22"/>
          <w:u w:val="single"/>
          <w:lang w:bidi="en-US"/>
        </w:rPr>
        <w:t xml:space="preserve"> </w:t>
      </w:r>
      <w:r>
        <w:rPr>
          <w:rFonts w:hint="eastAsia" w:ascii="宋体" w:hAnsi="宋体" w:eastAsia="宋体" w:cs="Arial"/>
          <w:kern w:val="0"/>
          <w:sz w:val="22"/>
          <w:u w:val="single"/>
          <w:lang w:bidi="en-US"/>
        </w:rPr>
        <w:t xml:space="preserve"> </w:t>
      </w:r>
      <w:r>
        <w:rPr>
          <w:rFonts w:ascii="宋体" w:hAnsi="宋体" w:eastAsia="宋体" w:cs="Arial"/>
          <w:kern w:val="0"/>
          <w:sz w:val="22"/>
          <w:u w:val="single"/>
          <w:lang w:bidi="en-US"/>
        </w:rPr>
        <w:t xml:space="preserve">  </w:t>
      </w:r>
      <w:r>
        <w:rPr>
          <w:rFonts w:hint="eastAsia" w:ascii="宋体" w:hAnsi="宋体" w:eastAsia="宋体" w:cs="Arial"/>
          <w:kern w:val="0"/>
          <w:sz w:val="22"/>
          <w:lang w:bidi="en-US"/>
        </w:rPr>
        <w:t>份，卖方执</w:t>
      </w:r>
      <w:r>
        <w:rPr>
          <w:rFonts w:ascii="宋体" w:hAnsi="宋体" w:eastAsia="宋体" w:cs="Arial"/>
          <w:kern w:val="0"/>
          <w:sz w:val="22"/>
          <w:u w:val="single"/>
          <w:lang w:bidi="en-US"/>
        </w:rPr>
        <w:t xml:space="preserve">    </w:t>
      </w:r>
      <w:r>
        <w:rPr>
          <w:rFonts w:hint="eastAsia" w:ascii="宋体" w:hAnsi="宋体" w:eastAsia="宋体" w:cs="Arial"/>
          <w:kern w:val="0"/>
          <w:sz w:val="22"/>
          <w:lang w:bidi="en-US"/>
        </w:rPr>
        <w:t>份。</w:t>
      </w:r>
    </w:p>
    <w:p>
      <w:pPr>
        <w:widowControl/>
        <w:numPr>
          <w:ilvl w:val="0"/>
          <w:numId w:val="11"/>
        </w:numPr>
        <w:tabs>
          <w:tab w:val="left" w:pos="567"/>
          <w:tab w:val="left" w:pos="709"/>
          <w:tab w:val="left" w:pos="993"/>
        </w:tabs>
        <w:spacing w:line="420" w:lineRule="exact"/>
        <w:ind w:left="0" w:firstLine="0"/>
        <w:contextualSpacing/>
        <w:jc w:val="left"/>
        <w:rPr>
          <w:rFonts w:ascii="宋体" w:hAnsi="宋体" w:eastAsia="宋体" w:cs="Arial"/>
          <w:kern w:val="0"/>
          <w:sz w:val="22"/>
          <w:lang w:bidi="en-US"/>
        </w:rPr>
      </w:pPr>
      <w:r>
        <w:rPr>
          <w:rFonts w:hint="eastAsia" w:ascii="宋体" w:hAnsi="宋体" w:eastAsia="宋体" w:cs="Arial"/>
          <w:kern w:val="0"/>
          <w:sz w:val="22"/>
          <w:lang w:bidi="en-US"/>
        </w:rPr>
        <w:t>本合同附件</w:t>
      </w:r>
      <w:r>
        <w:rPr>
          <w:rFonts w:ascii="宋体" w:hAnsi="宋体" w:eastAsia="宋体" w:cs="Arial"/>
          <w:kern w:val="0"/>
          <w:sz w:val="22"/>
          <w:lang w:bidi="en-US"/>
        </w:rPr>
        <w:t>均为本合同不可分割的组成部分，与本合同</w:t>
      </w:r>
      <w:r>
        <w:rPr>
          <w:rFonts w:hint="eastAsia" w:ascii="宋体" w:hAnsi="宋体" w:eastAsia="宋体" w:cs="Arial"/>
          <w:kern w:val="0"/>
          <w:sz w:val="22"/>
          <w:lang w:bidi="en-US"/>
        </w:rPr>
        <w:t>正文</w:t>
      </w:r>
      <w:r>
        <w:rPr>
          <w:rFonts w:ascii="宋体" w:hAnsi="宋体" w:eastAsia="宋体" w:cs="Arial"/>
          <w:kern w:val="0"/>
          <w:sz w:val="22"/>
          <w:lang w:bidi="en-US"/>
        </w:rPr>
        <w:t>具有同等效力</w:t>
      </w:r>
      <w:r>
        <w:rPr>
          <w:rFonts w:hint="eastAsia" w:ascii="宋体" w:hAnsi="宋体" w:eastAsia="宋体" w:cs="Arial"/>
          <w:kern w:val="0"/>
          <w:sz w:val="22"/>
          <w:lang w:bidi="en-US"/>
        </w:rPr>
        <w:t>，若与本合同条款内容产生冲突，应以本合同条款为准</w:t>
      </w:r>
      <w:r>
        <w:rPr>
          <w:rFonts w:ascii="宋体" w:hAnsi="宋体" w:eastAsia="宋体" w:cs="Arial"/>
          <w:kern w:val="0"/>
          <w:sz w:val="22"/>
          <w:lang w:bidi="en-US"/>
        </w:rPr>
        <w:t>。</w:t>
      </w:r>
    </w:p>
    <w:p>
      <w:pPr>
        <w:tabs>
          <w:tab w:val="left" w:pos="567"/>
          <w:tab w:val="left" w:pos="709"/>
          <w:tab w:val="left" w:pos="993"/>
        </w:tabs>
        <w:spacing w:line="420" w:lineRule="exact"/>
        <w:contextualSpacing/>
        <w:jc w:val="left"/>
        <w:rPr>
          <w:rFonts w:ascii="宋体" w:hAnsi="宋体" w:eastAsia="宋体" w:cs="Arial"/>
        </w:rPr>
      </w:pPr>
      <w:r>
        <w:rPr>
          <w:rFonts w:hint="eastAsia" w:ascii="宋体" w:hAnsi="宋体" w:eastAsia="宋体" w:cs="Arial"/>
        </w:rPr>
        <w:t xml:space="preserve">    附件</w:t>
      </w:r>
      <w:r>
        <w:rPr>
          <w:rFonts w:ascii="宋体" w:hAnsi="宋体" w:eastAsia="宋体" w:cs="Arial"/>
        </w:rPr>
        <w:t>1：</w:t>
      </w:r>
      <w:r>
        <w:rPr>
          <w:rFonts w:hint="eastAsia" w:ascii="宋体" w:hAnsi="宋体" w:eastAsia="宋体" w:cs="Arial"/>
        </w:rPr>
        <w:t>能效等级要求</w:t>
      </w:r>
    </w:p>
    <w:p>
      <w:pPr>
        <w:tabs>
          <w:tab w:val="left" w:pos="567"/>
          <w:tab w:val="left" w:pos="709"/>
          <w:tab w:val="left" w:pos="993"/>
        </w:tabs>
        <w:spacing w:line="420" w:lineRule="exact"/>
        <w:contextualSpacing/>
        <w:jc w:val="left"/>
        <w:rPr>
          <w:rFonts w:ascii="宋体" w:hAnsi="宋体" w:eastAsia="宋体" w:cs="Arial"/>
          <w:u w:val="single"/>
        </w:rPr>
      </w:pPr>
      <w:r>
        <w:rPr>
          <w:rFonts w:hint="eastAsia" w:ascii="宋体" w:hAnsi="宋体" w:eastAsia="宋体" w:cs="Arial"/>
        </w:rPr>
        <w:t xml:space="preserve">    附件： </w:t>
      </w:r>
      <w:r>
        <w:rPr>
          <w:rFonts w:hint="eastAsia" w:ascii="宋体" w:hAnsi="宋体" w:eastAsia="宋体" w:cs="Arial"/>
          <w:u w:val="single"/>
        </w:rPr>
        <w:t xml:space="preserve">             </w:t>
      </w:r>
    </w:p>
    <w:p>
      <w:pPr>
        <w:tabs>
          <w:tab w:val="left" w:pos="567"/>
          <w:tab w:val="left" w:pos="709"/>
          <w:tab w:val="left" w:pos="993"/>
        </w:tabs>
        <w:spacing w:line="420" w:lineRule="exact"/>
        <w:contextualSpacing/>
        <w:jc w:val="left"/>
        <w:rPr>
          <w:rFonts w:ascii="宋体" w:hAnsi="宋体" w:eastAsia="宋体" w:cs="Arial"/>
        </w:rPr>
      </w:pPr>
    </w:p>
    <w:p>
      <w:pPr>
        <w:tabs>
          <w:tab w:val="left" w:pos="567"/>
          <w:tab w:val="left" w:pos="709"/>
          <w:tab w:val="left" w:pos="993"/>
        </w:tabs>
        <w:spacing w:line="420" w:lineRule="exact"/>
        <w:contextualSpacing/>
        <w:jc w:val="left"/>
        <w:rPr>
          <w:rFonts w:ascii="宋体" w:hAnsi="宋体" w:eastAsia="宋体" w:cs="Arial"/>
        </w:rPr>
      </w:pPr>
    </w:p>
    <w:p>
      <w:pPr>
        <w:tabs>
          <w:tab w:val="left" w:pos="567"/>
          <w:tab w:val="left" w:pos="709"/>
          <w:tab w:val="left" w:pos="993"/>
        </w:tabs>
        <w:spacing w:line="420" w:lineRule="exact"/>
        <w:contextualSpacing/>
        <w:jc w:val="left"/>
        <w:rPr>
          <w:rFonts w:ascii="宋体" w:hAnsi="宋体" w:eastAsia="宋体" w:cs="Arial"/>
        </w:rPr>
      </w:pPr>
    </w:p>
    <w:p>
      <w:pPr>
        <w:tabs>
          <w:tab w:val="left" w:pos="567"/>
          <w:tab w:val="left" w:pos="709"/>
          <w:tab w:val="left" w:pos="993"/>
        </w:tabs>
        <w:spacing w:line="420" w:lineRule="exact"/>
        <w:contextualSpacing/>
        <w:jc w:val="left"/>
        <w:rPr>
          <w:rFonts w:ascii="宋体" w:hAnsi="宋体" w:eastAsia="宋体" w:cs="Arial"/>
        </w:rPr>
      </w:pPr>
      <w:r>
        <w:rPr>
          <w:rFonts w:hint="eastAsia" w:ascii="宋体" w:hAnsi="宋体" w:eastAsia="宋体" w:cs="Arial"/>
        </w:rPr>
        <w:t>买方（甲方）：                                卖方（乙方）：</w:t>
      </w:r>
    </w:p>
    <w:p>
      <w:pPr>
        <w:tabs>
          <w:tab w:val="left" w:pos="567"/>
          <w:tab w:val="left" w:pos="709"/>
          <w:tab w:val="left" w:pos="993"/>
        </w:tabs>
        <w:spacing w:line="420" w:lineRule="exact"/>
        <w:contextualSpacing/>
        <w:jc w:val="left"/>
        <w:rPr>
          <w:rFonts w:ascii="宋体" w:hAnsi="宋体" w:eastAsia="宋体" w:cs="Arial"/>
        </w:rPr>
      </w:pPr>
      <w:r>
        <w:rPr>
          <w:rFonts w:hint="eastAsia" w:ascii="宋体" w:hAnsi="宋体" w:eastAsia="宋体" w:cs="Arial"/>
        </w:rPr>
        <w:t xml:space="preserve">单位地址：                                   单位地址： </w:t>
      </w:r>
    </w:p>
    <w:p>
      <w:pPr>
        <w:tabs>
          <w:tab w:val="left" w:pos="567"/>
          <w:tab w:val="left" w:pos="709"/>
          <w:tab w:val="left" w:pos="993"/>
        </w:tabs>
        <w:spacing w:line="420" w:lineRule="exact"/>
        <w:contextualSpacing/>
        <w:jc w:val="left"/>
        <w:rPr>
          <w:rFonts w:ascii="宋体" w:hAnsi="宋体" w:eastAsia="宋体" w:cs="Arial"/>
        </w:rPr>
      </w:pPr>
      <w:r>
        <w:rPr>
          <w:rFonts w:hint="eastAsia" w:ascii="宋体" w:hAnsi="宋体" w:eastAsia="宋体" w:cs="Arial"/>
        </w:rPr>
        <w:t>授权代表：                                   授权代表：</w:t>
      </w:r>
    </w:p>
    <w:p>
      <w:pPr>
        <w:tabs>
          <w:tab w:val="left" w:pos="567"/>
          <w:tab w:val="left" w:pos="709"/>
          <w:tab w:val="left" w:pos="993"/>
        </w:tabs>
        <w:spacing w:line="420" w:lineRule="exact"/>
        <w:contextualSpacing/>
        <w:jc w:val="left"/>
        <w:rPr>
          <w:rFonts w:ascii="宋体" w:hAnsi="宋体" w:eastAsia="宋体" w:cs="Arial"/>
        </w:rPr>
      </w:pPr>
      <w:r>
        <w:rPr>
          <w:rFonts w:hint="eastAsia" w:ascii="宋体" w:hAnsi="宋体" w:eastAsia="宋体" w:cs="Arial"/>
        </w:rPr>
        <w:t xml:space="preserve">邮箱： </w:t>
      </w:r>
      <w:r>
        <w:rPr>
          <w:rFonts w:ascii="宋体" w:hAnsi="宋体" w:eastAsia="宋体" w:cs="Arial"/>
        </w:rPr>
        <w:t xml:space="preserve">                                      </w:t>
      </w:r>
      <w:r>
        <w:rPr>
          <w:rFonts w:hint="eastAsia" w:ascii="宋体" w:hAnsi="宋体" w:eastAsia="宋体" w:cs="Arial"/>
        </w:rPr>
        <w:t>邮箱：</w:t>
      </w:r>
    </w:p>
    <w:p>
      <w:pPr>
        <w:tabs>
          <w:tab w:val="left" w:pos="567"/>
          <w:tab w:val="left" w:pos="709"/>
          <w:tab w:val="left" w:pos="993"/>
        </w:tabs>
        <w:spacing w:line="420" w:lineRule="exact"/>
        <w:contextualSpacing/>
        <w:jc w:val="left"/>
        <w:rPr>
          <w:rFonts w:ascii="宋体" w:hAnsi="宋体" w:eastAsia="宋体" w:cs="Arial"/>
        </w:rPr>
      </w:pPr>
      <w:r>
        <w:rPr>
          <w:rFonts w:hint="eastAsia" w:ascii="宋体" w:hAnsi="宋体" w:eastAsia="宋体" w:cs="Arial"/>
        </w:rPr>
        <w:t>传真：                                       传真：</w:t>
      </w:r>
    </w:p>
    <w:p>
      <w:pPr>
        <w:tabs>
          <w:tab w:val="left" w:pos="567"/>
          <w:tab w:val="left" w:pos="709"/>
          <w:tab w:val="left" w:pos="993"/>
        </w:tabs>
        <w:spacing w:line="420" w:lineRule="exact"/>
        <w:contextualSpacing/>
        <w:jc w:val="left"/>
        <w:rPr>
          <w:rFonts w:ascii="宋体" w:hAnsi="宋体" w:eastAsia="宋体" w:cs="Arial"/>
        </w:rPr>
      </w:pPr>
      <w:r>
        <w:rPr>
          <w:rFonts w:hint="eastAsia" w:ascii="宋体" w:hAnsi="宋体" w:eastAsia="宋体" w:cs="Arial"/>
        </w:rPr>
        <w:t>电话：                                       电话：</w:t>
      </w:r>
    </w:p>
    <w:p>
      <w:pPr>
        <w:tabs>
          <w:tab w:val="left" w:pos="567"/>
          <w:tab w:val="left" w:pos="709"/>
          <w:tab w:val="left" w:pos="993"/>
        </w:tabs>
        <w:spacing w:line="420" w:lineRule="exact"/>
        <w:contextualSpacing/>
        <w:jc w:val="left"/>
        <w:rPr>
          <w:rFonts w:ascii="宋体" w:hAnsi="宋体" w:eastAsia="宋体" w:cs="Arial"/>
        </w:rPr>
      </w:pPr>
      <w:r>
        <w:rPr>
          <w:rFonts w:hint="eastAsia" w:ascii="宋体" w:hAnsi="宋体" w:eastAsia="宋体" w:cs="Arial"/>
        </w:rPr>
        <w:t>签订日期：                                   签订日期：</w:t>
      </w:r>
    </w:p>
    <w:p>
      <w:pPr>
        <w:widowControl/>
        <w:jc w:val="left"/>
        <w:rPr>
          <w:rFonts w:ascii="宋体" w:hAnsi="宋体" w:eastAsia="宋体" w:cs="Arial"/>
        </w:rPr>
      </w:pPr>
      <w:r>
        <w:rPr>
          <w:rFonts w:ascii="宋体" w:hAnsi="宋体" w:eastAsia="宋体" w:cs="Arial"/>
        </w:rPr>
        <w:br w:type="page"/>
      </w:r>
    </w:p>
    <w:p>
      <w:pPr>
        <w:tabs>
          <w:tab w:val="left" w:pos="567"/>
          <w:tab w:val="left" w:pos="709"/>
          <w:tab w:val="left" w:pos="993"/>
        </w:tabs>
        <w:spacing w:line="420" w:lineRule="exact"/>
        <w:contextualSpacing/>
        <w:jc w:val="left"/>
        <w:rPr>
          <w:rFonts w:ascii="宋体" w:hAnsi="宋体" w:eastAsia="宋体" w:cs="Arial"/>
        </w:rPr>
      </w:pPr>
      <w:r>
        <w:rPr>
          <w:rFonts w:hint="eastAsia" w:ascii="宋体" w:hAnsi="宋体" w:eastAsia="宋体" w:cs="Arial"/>
        </w:rPr>
        <w:t>附件</w:t>
      </w:r>
      <w:r>
        <w:rPr>
          <w:rFonts w:ascii="宋体" w:hAnsi="宋体" w:eastAsia="宋体" w:cs="Arial"/>
        </w:rPr>
        <w:t>1：能效等级要求</w:t>
      </w:r>
    </w:p>
    <w:tbl>
      <w:tblPr>
        <w:tblStyle w:val="3"/>
        <w:tblW w:w="9555" w:type="dxa"/>
        <w:tblInd w:w="93" w:type="dxa"/>
        <w:tblLayout w:type="fixed"/>
        <w:tblCellMar>
          <w:top w:w="0" w:type="dxa"/>
          <w:left w:w="108" w:type="dxa"/>
          <w:bottom w:w="0" w:type="dxa"/>
          <w:right w:w="108" w:type="dxa"/>
        </w:tblCellMar>
      </w:tblPr>
      <w:tblGrid>
        <w:gridCol w:w="480"/>
        <w:gridCol w:w="1335"/>
        <w:gridCol w:w="6660"/>
        <w:gridCol w:w="1080"/>
      </w:tblGrid>
      <w:tr>
        <w:tblPrEx>
          <w:tblCellMar>
            <w:top w:w="0" w:type="dxa"/>
            <w:left w:w="108" w:type="dxa"/>
            <w:bottom w:w="0" w:type="dxa"/>
            <w:right w:w="108" w:type="dxa"/>
          </w:tblCellMar>
        </w:tblPrEx>
        <w:trPr>
          <w:trHeight w:val="405" w:hRule="atLeast"/>
          <w:tblHeader/>
        </w:trPr>
        <w:tc>
          <w:tcPr>
            <w:tcW w:w="4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序号</w:t>
            </w:r>
          </w:p>
        </w:tc>
        <w:tc>
          <w:tcPr>
            <w:tcW w:w="1335" w:type="dxa"/>
            <w:tcBorders>
              <w:top w:val="single" w:color="auto" w:sz="4" w:space="0"/>
              <w:left w:val="nil"/>
              <w:bottom w:val="single" w:color="auto" w:sz="4" w:space="0"/>
              <w:right w:val="single" w:color="auto" w:sz="4" w:space="0"/>
            </w:tcBorders>
            <w:shd w:val="clear" w:color="auto" w:fill="auto"/>
            <w:noWrap/>
            <w:vAlign w:val="center"/>
          </w:tcPr>
          <w:p>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设备或部件名称</w:t>
            </w:r>
          </w:p>
        </w:tc>
        <w:tc>
          <w:tcPr>
            <w:tcW w:w="6660" w:type="dxa"/>
            <w:tcBorders>
              <w:top w:val="single" w:color="auto" w:sz="4" w:space="0"/>
              <w:left w:val="nil"/>
              <w:bottom w:val="single" w:color="auto" w:sz="4" w:space="0"/>
              <w:right w:val="single" w:color="auto" w:sz="4" w:space="0"/>
            </w:tcBorders>
            <w:shd w:val="clear" w:color="auto" w:fill="auto"/>
            <w:noWrap/>
            <w:vAlign w:val="center"/>
          </w:tcPr>
          <w:p>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能效等级要求</w:t>
            </w:r>
          </w:p>
        </w:tc>
        <w:tc>
          <w:tcPr>
            <w:tcW w:w="1080" w:type="dxa"/>
            <w:tcBorders>
              <w:top w:val="single" w:color="auto" w:sz="4" w:space="0"/>
              <w:left w:val="nil"/>
              <w:bottom w:val="single" w:color="auto" w:sz="4" w:space="0"/>
              <w:right w:val="single" w:color="auto" w:sz="4" w:space="0"/>
            </w:tcBorders>
            <w:shd w:val="clear" w:color="auto" w:fill="auto"/>
            <w:noWrap/>
            <w:vAlign w:val="center"/>
          </w:tcPr>
          <w:p>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备注</w:t>
            </w:r>
          </w:p>
        </w:tc>
      </w:tr>
      <w:tr>
        <w:tblPrEx>
          <w:tblCellMar>
            <w:top w:w="0" w:type="dxa"/>
            <w:left w:w="108" w:type="dxa"/>
            <w:bottom w:w="0" w:type="dxa"/>
            <w:right w:w="108" w:type="dxa"/>
          </w:tblCellMar>
        </w:tblPrEx>
        <w:trPr>
          <w:trHeight w:val="450" w:hRule="atLeast"/>
        </w:trPr>
        <w:tc>
          <w:tcPr>
            <w:tcW w:w="480" w:type="dxa"/>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1335"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容积式空气压缩机</w:t>
            </w:r>
          </w:p>
        </w:tc>
        <w:tc>
          <w:tcPr>
            <w:tcW w:w="6660" w:type="dxa"/>
            <w:tcBorders>
              <w:top w:val="nil"/>
              <w:left w:val="nil"/>
              <w:bottom w:val="single" w:color="auto" w:sz="4" w:space="0"/>
              <w:right w:val="single" w:color="auto" w:sz="4" w:space="0"/>
            </w:tcBorders>
            <w:shd w:val="clear" w:color="auto" w:fill="auto"/>
            <w:vAlign w:val="center"/>
          </w:tcPr>
          <w:p>
            <w:pPr>
              <w:widowControl/>
              <w:adjustRightInd w:val="0"/>
              <w:snapToGrid w:val="0"/>
              <w:rPr>
                <w:rFonts w:ascii="宋体" w:hAnsi="宋体" w:eastAsia="宋体" w:cs="宋体"/>
                <w:color w:val="000000"/>
                <w:kern w:val="0"/>
                <w:sz w:val="18"/>
                <w:szCs w:val="18"/>
              </w:rPr>
            </w:pPr>
            <w:r>
              <w:rPr>
                <w:rFonts w:hint="eastAsia" w:ascii="宋体" w:hAnsi="宋体" w:eastAsia="宋体" w:cs="宋体"/>
                <w:color w:val="000000"/>
                <w:kern w:val="0"/>
                <w:sz w:val="18"/>
                <w:szCs w:val="18"/>
              </w:rPr>
              <w:t>容积式空气压缩机的能效等级不低于GB19153-2019中1级能效。</w:t>
            </w:r>
          </w:p>
        </w:tc>
        <w:tc>
          <w:tcPr>
            <w:tcW w:w="1080" w:type="dxa"/>
            <w:tcBorders>
              <w:top w:val="nil"/>
              <w:left w:val="nil"/>
              <w:bottom w:val="single" w:color="auto" w:sz="4" w:space="0"/>
              <w:right w:val="single" w:color="auto" w:sz="4" w:space="0"/>
            </w:tcBorders>
            <w:shd w:val="clear" w:color="auto" w:fill="auto"/>
            <w:noWrap/>
            <w:vAlign w:val="center"/>
          </w:tcPr>
          <w:p>
            <w:pPr>
              <w:widowControl/>
              <w:adjustRightInd w:val="0"/>
              <w:snapToGrid w:val="0"/>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450" w:hRule="atLeast"/>
        </w:trPr>
        <w:tc>
          <w:tcPr>
            <w:tcW w:w="480" w:type="dxa"/>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w:t>
            </w:r>
          </w:p>
        </w:tc>
        <w:tc>
          <w:tcPr>
            <w:tcW w:w="1335"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单元式空气调节机</w:t>
            </w:r>
          </w:p>
        </w:tc>
        <w:tc>
          <w:tcPr>
            <w:tcW w:w="6660" w:type="dxa"/>
            <w:tcBorders>
              <w:top w:val="nil"/>
              <w:left w:val="nil"/>
              <w:bottom w:val="single" w:color="auto" w:sz="4" w:space="0"/>
              <w:right w:val="single" w:color="auto" w:sz="4" w:space="0"/>
            </w:tcBorders>
            <w:shd w:val="clear" w:color="auto" w:fill="auto"/>
            <w:vAlign w:val="center"/>
          </w:tcPr>
          <w:p>
            <w:pPr>
              <w:widowControl/>
              <w:adjustRightInd w:val="0"/>
              <w:snapToGrid w:val="0"/>
              <w:rPr>
                <w:rFonts w:ascii="宋体" w:hAnsi="宋体" w:eastAsia="宋体" w:cs="宋体"/>
                <w:color w:val="000000"/>
                <w:kern w:val="0"/>
                <w:sz w:val="18"/>
                <w:szCs w:val="18"/>
              </w:rPr>
            </w:pPr>
            <w:r>
              <w:rPr>
                <w:rFonts w:hint="eastAsia" w:ascii="宋体" w:hAnsi="宋体" w:eastAsia="宋体" w:cs="宋体"/>
                <w:color w:val="000000"/>
                <w:kern w:val="0"/>
                <w:sz w:val="18"/>
                <w:szCs w:val="18"/>
              </w:rPr>
              <w:t>单元式空气调节机的能效等级不低于GB19576-2019中1级能效。</w:t>
            </w:r>
          </w:p>
        </w:tc>
        <w:tc>
          <w:tcPr>
            <w:tcW w:w="1080" w:type="dxa"/>
            <w:tcBorders>
              <w:top w:val="nil"/>
              <w:left w:val="nil"/>
              <w:bottom w:val="single" w:color="auto" w:sz="4" w:space="0"/>
              <w:right w:val="single" w:color="auto" w:sz="4" w:space="0"/>
            </w:tcBorders>
            <w:shd w:val="clear" w:color="auto" w:fill="auto"/>
            <w:noWrap/>
            <w:vAlign w:val="center"/>
          </w:tcPr>
          <w:p>
            <w:pPr>
              <w:widowControl/>
              <w:adjustRightInd w:val="0"/>
              <w:snapToGrid w:val="0"/>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387" w:hRule="atLeast"/>
        </w:trPr>
        <w:tc>
          <w:tcPr>
            <w:tcW w:w="480" w:type="dxa"/>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w:t>
            </w:r>
          </w:p>
        </w:tc>
        <w:tc>
          <w:tcPr>
            <w:tcW w:w="1335"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冷水机组</w:t>
            </w:r>
          </w:p>
        </w:tc>
        <w:tc>
          <w:tcPr>
            <w:tcW w:w="6660" w:type="dxa"/>
            <w:tcBorders>
              <w:top w:val="nil"/>
              <w:left w:val="nil"/>
              <w:bottom w:val="single" w:color="auto" w:sz="4" w:space="0"/>
              <w:right w:val="single" w:color="auto" w:sz="4" w:space="0"/>
            </w:tcBorders>
            <w:shd w:val="clear" w:color="auto" w:fill="auto"/>
            <w:vAlign w:val="center"/>
          </w:tcPr>
          <w:p>
            <w:pPr>
              <w:widowControl/>
              <w:adjustRightInd w:val="0"/>
              <w:snapToGrid w:val="0"/>
              <w:rPr>
                <w:rFonts w:ascii="宋体" w:hAnsi="宋体" w:eastAsia="宋体" w:cs="宋体"/>
                <w:color w:val="000000"/>
                <w:kern w:val="0"/>
                <w:sz w:val="18"/>
                <w:szCs w:val="18"/>
              </w:rPr>
            </w:pPr>
            <w:r>
              <w:rPr>
                <w:rFonts w:hint="eastAsia" w:ascii="宋体" w:hAnsi="宋体" w:eastAsia="宋体" w:cs="宋体"/>
                <w:color w:val="000000"/>
                <w:kern w:val="0"/>
                <w:sz w:val="18"/>
                <w:szCs w:val="18"/>
              </w:rPr>
              <w:t>冷水机组的能效等级不低于GB19577-2015中1级能效。</w:t>
            </w:r>
          </w:p>
        </w:tc>
        <w:tc>
          <w:tcPr>
            <w:tcW w:w="1080" w:type="dxa"/>
            <w:tcBorders>
              <w:top w:val="nil"/>
              <w:left w:val="nil"/>
              <w:bottom w:val="single" w:color="auto" w:sz="4" w:space="0"/>
              <w:right w:val="single" w:color="auto" w:sz="4" w:space="0"/>
            </w:tcBorders>
            <w:shd w:val="clear" w:color="auto" w:fill="auto"/>
            <w:noWrap/>
            <w:vAlign w:val="center"/>
          </w:tcPr>
          <w:p>
            <w:pPr>
              <w:widowControl/>
              <w:adjustRightInd w:val="0"/>
              <w:snapToGrid w:val="0"/>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419" w:hRule="atLeast"/>
        </w:trPr>
        <w:tc>
          <w:tcPr>
            <w:tcW w:w="480" w:type="dxa"/>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w:t>
            </w:r>
          </w:p>
        </w:tc>
        <w:tc>
          <w:tcPr>
            <w:tcW w:w="1335"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通风机</w:t>
            </w:r>
          </w:p>
        </w:tc>
        <w:tc>
          <w:tcPr>
            <w:tcW w:w="6660" w:type="dxa"/>
            <w:tcBorders>
              <w:top w:val="nil"/>
              <w:left w:val="nil"/>
              <w:bottom w:val="single" w:color="auto" w:sz="4" w:space="0"/>
              <w:right w:val="single" w:color="auto" w:sz="4" w:space="0"/>
            </w:tcBorders>
            <w:shd w:val="clear" w:color="auto" w:fill="auto"/>
            <w:vAlign w:val="center"/>
          </w:tcPr>
          <w:p>
            <w:pPr>
              <w:widowControl/>
              <w:adjustRightInd w:val="0"/>
              <w:snapToGrid w:val="0"/>
              <w:rPr>
                <w:rFonts w:ascii="宋体" w:hAnsi="宋体" w:eastAsia="宋体" w:cs="宋体"/>
                <w:color w:val="000000"/>
                <w:kern w:val="0"/>
                <w:sz w:val="18"/>
                <w:szCs w:val="18"/>
              </w:rPr>
            </w:pPr>
            <w:r>
              <w:rPr>
                <w:rFonts w:hint="eastAsia" w:ascii="宋体" w:hAnsi="宋体" w:eastAsia="宋体" w:cs="宋体"/>
                <w:color w:val="000000"/>
                <w:kern w:val="0"/>
                <w:sz w:val="18"/>
                <w:szCs w:val="18"/>
              </w:rPr>
              <w:t>通风机的能效等级不低于GB19761-2020中2级能效。</w:t>
            </w:r>
          </w:p>
        </w:tc>
        <w:tc>
          <w:tcPr>
            <w:tcW w:w="1080" w:type="dxa"/>
            <w:tcBorders>
              <w:top w:val="nil"/>
              <w:left w:val="nil"/>
              <w:bottom w:val="single" w:color="auto" w:sz="4" w:space="0"/>
              <w:right w:val="single" w:color="auto" w:sz="4" w:space="0"/>
            </w:tcBorders>
            <w:shd w:val="clear" w:color="auto" w:fill="auto"/>
            <w:noWrap/>
            <w:vAlign w:val="center"/>
          </w:tcPr>
          <w:p>
            <w:pPr>
              <w:widowControl/>
              <w:adjustRightInd w:val="0"/>
              <w:snapToGrid w:val="0"/>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450" w:hRule="atLeast"/>
        </w:trPr>
        <w:tc>
          <w:tcPr>
            <w:tcW w:w="480" w:type="dxa"/>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w:t>
            </w:r>
          </w:p>
        </w:tc>
        <w:tc>
          <w:tcPr>
            <w:tcW w:w="1335"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清水离心泵</w:t>
            </w:r>
          </w:p>
        </w:tc>
        <w:tc>
          <w:tcPr>
            <w:tcW w:w="6660" w:type="dxa"/>
            <w:tcBorders>
              <w:top w:val="nil"/>
              <w:left w:val="nil"/>
              <w:bottom w:val="single" w:color="auto" w:sz="4" w:space="0"/>
              <w:right w:val="single" w:color="auto" w:sz="4" w:space="0"/>
            </w:tcBorders>
            <w:shd w:val="clear" w:color="auto" w:fill="auto"/>
            <w:vAlign w:val="center"/>
          </w:tcPr>
          <w:p>
            <w:pPr>
              <w:widowControl/>
              <w:adjustRightInd w:val="0"/>
              <w:snapToGrid w:val="0"/>
              <w:rPr>
                <w:rFonts w:ascii="宋体" w:hAnsi="宋体" w:eastAsia="宋体" w:cs="宋体"/>
                <w:color w:val="000000"/>
                <w:kern w:val="0"/>
                <w:sz w:val="18"/>
                <w:szCs w:val="18"/>
              </w:rPr>
            </w:pPr>
            <w:r>
              <w:rPr>
                <w:rFonts w:hint="eastAsia" w:ascii="宋体" w:hAnsi="宋体" w:eastAsia="宋体" w:cs="宋体"/>
                <w:color w:val="000000"/>
                <w:kern w:val="0"/>
                <w:sz w:val="18"/>
                <w:szCs w:val="18"/>
              </w:rPr>
              <w:t>清水离心泵的能效应满足GB19762-2007中节能评价值的要求。</w:t>
            </w:r>
          </w:p>
        </w:tc>
        <w:tc>
          <w:tcPr>
            <w:tcW w:w="1080" w:type="dxa"/>
            <w:tcBorders>
              <w:top w:val="nil"/>
              <w:left w:val="nil"/>
              <w:bottom w:val="single" w:color="auto" w:sz="4" w:space="0"/>
              <w:right w:val="single" w:color="auto" w:sz="4" w:space="0"/>
            </w:tcBorders>
            <w:shd w:val="clear" w:color="auto" w:fill="auto"/>
            <w:noWrap/>
            <w:vAlign w:val="center"/>
          </w:tcPr>
          <w:p>
            <w:pPr>
              <w:widowControl/>
              <w:adjustRightInd w:val="0"/>
              <w:snapToGrid w:val="0"/>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377" w:hRule="atLeast"/>
        </w:trPr>
        <w:tc>
          <w:tcPr>
            <w:tcW w:w="480" w:type="dxa"/>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w:t>
            </w:r>
          </w:p>
        </w:tc>
        <w:tc>
          <w:tcPr>
            <w:tcW w:w="1335"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电力变压器</w:t>
            </w:r>
          </w:p>
        </w:tc>
        <w:tc>
          <w:tcPr>
            <w:tcW w:w="6660" w:type="dxa"/>
            <w:tcBorders>
              <w:top w:val="nil"/>
              <w:left w:val="nil"/>
              <w:bottom w:val="single" w:color="auto" w:sz="4" w:space="0"/>
              <w:right w:val="single" w:color="auto" w:sz="4" w:space="0"/>
            </w:tcBorders>
            <w:shd w:val="clear" w:color="auto" w:fill="auto"/>
            <w:vAlign w:val="center"/>
          </w:tcPr>
          <w:p>
            <w:pPr>
              <w:widowControl/>
              <w:adjustRightInd w:val="0"/>
              <w:snapToGrid w:val="0"/>
              <w:rPr>
                <w:rFonts w:ascii="宋体" w:hAnsi="宋体" w:eastAsia="宋体" w:cs="宋体"/>
                <w:color w:val="000000"/>
                <w:kern w:val="0"/>
                <w:sz w:val="18"/>
                <w:szCs w:val="18"/>
              </w:rPr>
            </w:pPr>
            <w:r>
              <w:rPr>
                <w:rFonts w:hint="eastAsia" w:ascii="宋体" w:hAnsi="宋体" w:eastAsia="宋体" w:cs="宋体"/>
                <w:color w:val="000000"/>
                <w:kern w:val="0"/>
                <w:sz w:val="18"/>
                <w:szCs w:val="18"/>
              </w:rPr>
              <w:t>电力变压器的能效等级不低于GB20052-</w:t>
            </w:r>
            <w:r>
              <w:rPr>
                <w:rFonts w:ascii="宋体" w:hAnsi="宋体" w:eastAsia="宋体" w:cs="宋体"/>
                <w:color w:val="000000"/>
                <w:kern w:val="0"/>
                <w:sz w:val="18"/>
                <w:szCs w:val="18"/>
              </w:rPr>
              <w:t>2020</w:t>
            </w:r>
            <w:r>
              <w:rPr>
                <w:rFonts w:hint="eastAsia" w:ascii="宋体" w:hAnsi="宋体" w:eastAsia="宋体" w:cs="宋体"/>
                <w:color w:val="000000"/>
                <w:kern w:val="0"/>
                <w:sz w:val="18"/>
                <w:szCs w:val="18"/>
              </w:rPr>
              <w:t>中1级能效。</w:t>
            </w:r>
          </w:p>
        </w:tc>
        <w:tc>
          <w:tcPr>
            <w:tcW w:w="1080" w:type="dxa"/>
            <w:tcBorders>
              <w:top w:val="nil"/>
              <w:left w:val="nil"/>
              <w:bottom w:val="single" w:color="auto" w:sz="4" w:space="0"/>
              <w:right w:val="single" w:color="auto" w:sz="4" w:space="0"/>
            </w:tcBorders>
            <w:shd w:val="clear" w:color="auto" w:fill="auto"/>
            <w:noWrap/>
            <w:vAlign w:val="center"/>
          </w:tcPr>
          <w:p>
            <w:pPr>
              <w:widowControl/>
              <w:adjustRightInd w:val="0"/>
              <w:snapToGrid w:val="0"/>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450" w:hRule="atLeast"/>
        </w:trPr>
        <w:tc>
          <w:tcPr>
            <w:tcW w:w="480" w:type="dxa"/>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7</w:t>
            </w:r>
          </w:p>
        </w:tc>
        <w:tc>
          <w:tcPr>
            <w:tcW w:w="1335"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多联式空调（热泵）机组</w:t>
            </w:r>
          </w:p>
        </w:tc>
        <w:tc>
          <w:tcPr>
            <w:tcW w:w="6660" w:type="dxa"/>
            <w:tcBorders>
              <w:top w:val="nil"/>
              <w:left w:val="nil"/>
              <w:bottom w:val="single" w:color="auto" w:sz="4" w:space="0"/>
              <w:right w:val="single" w:color="auto" w:sz="4" w:space="0"/>
            </w:tcBorders>
            <w:shd w:val="clear" w:color="auto" w:fill="auto"/>
            <w:vAlign w:val="center"/>
          </w:tcPr>
          <w:p>
            <w:pPr>
              <w:widowControl/>
              <w:adjustRightInd w:val="0"/>
              <w:snapToGrid w:val="0"/>
              <w:rPr>
                <w:rFonts w:ascii="宋体" w:hAnsi="宋体" w:eastAsia="宋体" w:cs="宋体"/>
                <w:color w:val="000000"/>
                <w:kern w:val="0"/>
                <w:sz w:val="18"/>
                <w:szCs w:val="18"/>
              </w:rPr>
            </w:pPr>
            <w:r>
              <w:rPr>
                <w:rFonts w:hint="eastAsia" w:ascii="宋体" w:hAnsi="宋体" w:eastAsia="宋体" w:cs="宋体"/>
                <w:color w:val="000000"/>
                <w:kern w:val="0"/>
                <w:sz w:val="18"/>
                <w:szCs w:val="18"/>
              </w:rPr>
              <w:t>多联式空调（热泵）机组的能效等级不低于</w:t>
            </w:r>
            <w:r>
              <w:rPr>
                <w:rFonts w:ascii="宋体" w:hAnsi="宋体" w:eastAsia="宋体" w:cs="宋体"/>
                <w:color w:val="000000"/>
                <w:kern w:val="0"/>
                <w:sz w:val="18"/>
                <w:szCs w:val="18"/>
              </w:rPr>
              <w:t>GB21454</w:t>
            </w:r>
            <w:r>
              <w:rPr>
                <w:rFonts w:hint="eastAsia" w:ascii="宋体" w:hAnsi="宋体" w:eastAsia="宋体" w:cs="宋体"/>
                <w:color w:val="000000"/>
                <w:kern w:val="0"/>
                <w:sz w:val="18"/>
                <w:szCs w:val="18"/>
              </w:rPr>
              <w:t>-2008中1级能效。</w:t>
            </w:r>
          </w:p>
        </w:tc>
        <w:tc>
          <w:tcPr>
            <w:tcW w:w="1080" w:type="dxa"/>
            <w:tcBorders>
              <w:top w:val="nil"/>
              <w:left w:val="nil"/>
              <w:bottom w:val="single" w:color="auto" w:sz="4" w:space="0"/>
              <w:right w:val="single" w:color="auto" w:sz="4" w:space="0"/>
            </w:tcBorders>
            <w:shd w:val="clear" w:color="auto" w:fill="auto"/>
            <w:noWrap/>
            <w:vAlign w:val="center"/>
          </w:tcPr>
          <w:p>
            <w:pPr>
              <w:widowControl/>
              <w:adjustRightInd w:val="0"/>
              <w:snapToGrid w:val="0"/>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450" w:hRule="atLeast"/>
        </w:trPr>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8</w:t>
            </w:r>
          </w:p>
        </w:tc>
        <w:tc>
          <w:tcPr>
            <w:tcW w:w="1335"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房间空气调节器</w:t>
            </w:r>
          </w:p>
        </w:tc>
        <w:tc>
          <w:tcPr>
            <w:tcW w:w="6660"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rPr>
                <w:rFonts w:ascii="宋体" w:hAnsi="宋体" w:eastAsia="宋体" w:cs="宋体"/>
                <w:color w:val="000000"/>
                <w:kern w:val="0"/>
                <w:sz w:val="18"/>
                <w:szCs w:val="18"/>
              </w:rPr>
            </w:pPr>
            <w:r>
              <w:rPr>
                <w:rFonts w:hint="eastAsia" w:ascii="宋体" w:hAnsi="宋体" w:eastAsia="宋体" w:cs="宋体"/>
                <w:color w:val="000000"/>
                <w:kern w:val="0"/>
                <w:sz w:val="18"/>
                <w:szCs w:val="18"/>
              </w:rPr>
              <w:t>房间空气调节器的能效等级不低于GB21455-2019中1级能效。</w:t>
            </w:r>
          </w:p>
        </w:tc>
        <w:tc>
          <w:tcPr>
            <w:tcW w:w="1080" w:type="dxa"/>
            <w:tcBorders>
              <w:top w:val="single" w:color="auto" w:sz="4" w:space="0"/>
              <w:left w:val="nil"/>
              <w:bottom w:val="single" w:color="auto" w:sz="4" w:space="0"/>
              <w:right w:val="single" w:color="auto" w:sz="4" w:space="0"/>
            </w:tcBorders>
            <w:shd w:val="clear" w:color="auto" w:fill="auto"/>
            <w:noWrap/>
            <w:vAlign w:val="center"/>
          </w:tcPr>
          <w:p>
            <w:pPr>
              <w:widowControl/>
              <w:adjustRightInd w:val="0"/>
              <w:snapToGrid w:val="0"/>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450" w:hRule="atLeast"/>
        </w:trPr>
        <w:tc>
          <w:tcPr>
            <w:tcW w:w="480" w:type="dxa"/>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9</w:t>
            </w:r>
          </w:p>
        </w:tc>
        <w:tc>
          <w:tcPr>
            <w:tcW w:w="1335"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复印机、打印机、传真机</w:t>
            </w:r>
          </w:p>
        </w:tc>
        <w:tc>
          <w:tcPr>
            <w:tcW w:w="6660" w:type="dxa"/>
            <w:tcBorders>
              <w:top w:val="nil"/>
              <w:left w:val="nil"/>
              <w:bottom w:val="single" w:color="auto" w:sz="4" w:space="0"/>
              <w:right w:val="single" w:color="auto" w:sz="4" w:space="0"/>
            </w:tcBorders>
            <w:shd w:val="clear" w:color="auto" w:fill="auto"/>
            <w:vAlign w:val="center"/>
          </w:tcPr>
          <w:p>
            <w:pPr>
              <w:widowControl/>
              <w:adjustRightInd w:val="0"/>
              <w:snapToGrid w:val="0"/>
              <w:rPr>
                <w:rFonts w:ascii="宋体" w:hAnsi="宋体" w:eastAsia="宋体" w:cs="宋体"/>
                <w:color w:val="000000"/>
                <w:kern w:val="0"/>
                <w:sz w:val="18"/>
                <w:szCs w:val="18"/>
              </w:rPr>
            </w:pPr>
            <w:r>
              <w:rPr>
                <w:rFonts w:hint="eastAsia" w:ascii="宋体" w:hAnsi="宋体" w:eastAsia="宋体" w:cs="宋体"/>
                <w:color w:val="000000"/>
                <w:kern w:val="0"/>
                <w:sz w:val="18"/>
                <w:szCs w:val="18"/>
              </w:rPr>
              <w:t>复印机、打印机、传真机的能效等级不低于GB21521-2014 中1级能效。</w:t>
            </w:r>
          </w:p>
        </w:tc>
        <w:tc>
          <w:tcPr>
            <w:tcW w:w="1080" w:type="dxa"/>
            <w:tcBorders>
              <w:top w:val="nil"/>
              <w:left w:val="nil"/>
              <w:bottom w:val="single" w:color="auto" w:sz="4" w:space="0"/>
              <w:right w:val="single" w:color="auto" w:sz="4" w:space="0"/>
            </w:tcBorders>
            <w:shd w:val="clear" w:color="auto" w:fill="auto"/>
            <w:noWrap/>
            <w:vAlign w:val="center"/>
          </w:tcPr>
          <w:p>
            <w:pPr>
              <w:widowControl/>
              <w:adjustRightInd w:val="0"/>
              <w:snapToGrid w:val="0"/>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450" w:hRule="atLeast"/>
        </w:trPr>
        <w:tc>
          <w:tcPr>
            <w:tcW w:w="480" w:type="dxa"/>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10</w:t>
            </w:r>
          </w:p>
        </w:tc>
        <w:tc>
          <w:tcPr>
            <w:tcW w:w="1335"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工业锅炉</w:t>
            </w:r>
          </w:p>
        </w:tc>
        <w:tc>
          <w:tcPr>
            <w:tcW w:w="6660" w:type="dxa"/>
            <w:tcBorders>
              <w:top w:val="nil"/>
              <w:left w:val="nil"/>
              <w:bottom w:val="single" w:color="auto" w:sz="4" w:space="0"/>
              <w:right w:val="single" w:color="auto" w:sz="4" w:space="0"/>
            </w:tcBorders>
            <w:shd w:val="clear" w:color="auto" w:fill="auto"/>
            <w:vAlign w:val="center"/>
          </w:tcPr>
          <w:p>
            <w:pPr>
              <w:widowControl/>
              <w:adjustRightInd w:val="0"/>
              <w:snapToGrid w:val="0"/>
              <w:rPr>
                <w:rFonts w:ascii="宋体" w:hAnsi="宋体" w:eastAsia="宋体" w:cs="宋体"/>
                <w:color w:val="000000"/>
                <w:kern w:val="0"/>
                <w:sz w:val="18"/>
                <w:szCs w:val="18"/>
              </w:rPr>
            </w:pPr>
            <w:r>
              <w:rPr>
                <w:rFonts w:hint="eastAsia" w:ascii="宋体" w:hAnsi="宋体" w:eastAsia="宋体" w:cs="宋体"/>
                <w:color w:val="000000"/>
                <w:kern w:val="0"/>
                <w:sz w:val="18"/>
                <w:szCs w:val="18"/>
              </w:rPr>
              <w:t>工业锅炉的能效等级不低于GB24500-2020中1级能效。</w:t>
            </w:r>
          </w:p>
        </w:tc>
        <w:tc>
          <w:tcPr>
            <w:tcW w:w="1080" w:type="dxa"/>
            <w:tcBorders>
              <w:top w:val="nil"/>
              <w:left w:val="nil"/>
              <w:bottom w:val="single" w:color="auto" w:sz="4" w:space="0"/>
              <w:right w:val="single" w:color="auto" w:sz="4" w:space="0"/>
            </w:tcBorders>
            <w:shd w:val="clear" w:color="auto" w:fill="auto"/>
            <w:noWrap/>
            <w:vAlign w:val="center"/>
          </w:tcPr>
          <w:p>
            <w:pPr>
              <w:widowControl/>
              <w:adjustRightInd w:val="0"/>
              <w:snapToGrid w:val="0"/>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502" w:hRule="atLeast"/>
        </w:trPr>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color w:val="000000"/>
                <w:sz w:val="18"/>
                <w:szCs w:val="18"/>
              </w:rPr>
            </w:pPr>
            <w:r>
              <w:rPr>
                <w:rFonts w:hint="eastAsia" w:ascii="宋体" w:hAnsi="宋体" w:eastAsia="宋体" w:cs="Times New Roman"/>
                <w:color w:val="000000"/>
                <w:sz w:val="18"/>
                <w:szCs w:val="18"/>
              </w:rPr>
              <w:t>11</w:t>
            </w:r>
          </w:p>
        </w:tc>
        <w:tc>
          <w:tcPr>
            <w:tcW w:w="1335"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color w:val="000000"/>
                <w:sz w:val="18"/>
                <w:szCs w:val="18"/>
              </w:rPr>
            </w:pPr>
            <w:r>
              <w:rPr>
                <w:rFonts w:hint="eastAsia" w:ascii="宋体" w:hAnsi="宋体" w:eastAsia="宋体" w:cs="Times New Roman"/>
                <w:color w:val="000000"/>
                <w:sz w:val="18"/>
                <w:szCs w:val="18"/>
              </w:rPr>
              <w:t>微型计算机</w:t>
            </w:r>
          </w:p>
        </w:tc>
        <w:tc>
          <w:tcPr>
            <w:tcW w:w="666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rPr>
                <w:rFonts w:ascii="宋体" w:hAnsi="宋体" w:eastAsia="宋体" w:cs="宋体"/>
                <w:color w:val="000000"/>
                <w:sz w:val="18"/>
                <w:szCs w:val="18"/>
              </w:rPr>
            </w:pPr>
            <w:r>
              <w:rPr>
                <w:rFonts w:hint="eastAsia" w:ascii="宋体" w:hAnsi="宋体" w:eastAsia="宋体" w:cs="Times New Roman"/>
                <w:color w:val="000000"/>
                <w:sz w:val="18"/>
                <w:szCs w:val="18"/>
              </w:rPr>
              <w:t>微型计算机的能效等级不低GB28380-2012中1级能效。</w:t>
            </w:r>
          </w:p>
        </w:tc>
        <w:tc>
          <w:tcPr>
            <w:tcW w:w="1080" w:type="dxa"/>
            <w:tcBorders>
              <w:top w:val="single" w:color="auto" w:sz="4" w:space="0"/>
              <w:left w:val="nil"/>
              <w:bottom w:val="single" w:color="auto" w:sz="4" w:space="0"/>
              <w:right w:val="single" w:color="auto" w:sz="4" w:space="0"/>
            </w:tcBorders>
            <w:shd w:val="clear" w:color="auto" w:fill="auto"/>
            <w:noWrap/>
            <w:vAlign w:val="center"/>
          </w:tcPr>
          <w:p>
            <w:pPr>
              <w:widowControl/>
              <w:adjustRightInd w:val="0"/>
              <w:snapToGrid w:val="0"/>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410" w:hRule="atLeast"/>
        </w:trPr>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color w:val="000000"/>
                <w:sz w:val="18"/>
                <w:szCs w:val="18"/>
              </w:rPr>
            </w:pPr>
            <w:r>
              <w:rPr>
                <w:rFonts w:hint="eastAsia" w:ascii="宋体" w:hAnsi="宋体" w:eastAsia="宋体" w:cs="Times New Roman"/>
                <w:color w:val="000000"/>
                <w:sz w:val="18"/>
                <w:szCs w:val="18"/>
              </w:rPr>
              <w:t>12</w:t>
            </w:r>
          </w:p>
        </w:tc>
        <w:tc>
          <w:tcPr>
            <w:tcW w:w="1335"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color w:val="000000"/>
                <w:sz w:val="18"/>
                <w:szCs w:val="18"/>
              </w:rPr>
            </w:pPr>
            <w:r>
              <w:rPr>
                <w:rFonts w:hint="eastAsia" w:ascii="宋体" w:hAnsi="宋体" w:eastAsia="宋体" w:cs="Times New Roman"/>
                <w:color w:val="000000"/>
                <w:sz w:val="18"/>
                <w:szCs w:val="18"/>
              </w:rPr>
              <w:t>离心鼓风机</w:t>
            </w:r>
          </w:p>
        </w:tc>
        <w:tc>
          <w:tcPr>
            <w:tcW w:w="666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rPr>
                <w:rFonts w:ascii="宋体" w:hAnsi="宋体" w:eastAsia="宋体" w:cs="宋体"/>
                <w:color w:val="000000"/>
                <w:sz w:val="18"/>
                <w:szCs w:val="18"/>
              </w:rPr>
            </w:pPr>
            <w:r>
              <w:rPr>
                <w:rFonts w:hint="eastAsia" w:ascii="宋体" w:hAnsi="宋体" w:eastAsia="宋体" w:cs="Times New Roman"/>
                <w:color w:val="000000"/>
                <w:sz w:val="18"/>
                <w:szCs w:val="18"/>
              </w:rPr>
              <w:t>离心鼓风机的能效应满足GB28381-2012中节能评价值的要求。</w:t>
            </w:r>
          </w:p>
        </w:tc>
        <w:tc>
          <w:tcPr>
            <w:tcW w:w="1080" w:type="dxa"/>
            <w:tcBorders>
              <w:top w:val="single" w:color="auto" w:sz="4" w:space="0"/>
              <w:left w:val="nil"/>
              <w:bottom w:val="single" w:color="auto" w:sz="4" w:space="0"/>
              <w:right w:val="single" w:color="auto" w:sz="4" w:space="0"/>
            </w:tcBorders>
            <w:shd w:val="clear" w:color="auto" w:fill="auto"/>
            <w:noWrap/>
            <w:vAlign w:val="center"/>
          </w:tcPr>
          <w:p>
            <w:pPr>
              <w:widowControl/>
              <w:adjustRightInd w:val="0"/>
              <w:snapToGrid w:val="0"/>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415" w:hRule="atLeast"/>
        </w:trPr>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eastAsia="宋体" w:cs="Times New Roman"/>
                <w:color w:val="000000"/>
                <w:sz w:val="18"/>
                <w:szCs w:val="18"/>
              </w:rPr>
            </w:pPr>
            <w:r>
              <w:rPr>
                <w:rFonts w:hint="eastAsia" w:ascii="宋体" w:hAnsi="宋体" w:eastAsia="宋体" w:cs="Times New Roman"/>
                <w:color w:val="000000"/>
                <w:sz w:val="18"/>
                <w:szCs w:val="18"/>
              </w:rPr>
              <w:t>13</w:t>
            </w:r>
          </w:p>
        </w:tc>
        <w:tc>
          <w:tcPr>
            <w:tcW w:w="1335"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Times New Roman"/>
                <w:color w:val="000000"/>
                <w:sz w:val="18"/>
                <w:szCs w:val="18"/>
              </w:rPr>
            </w:pPr>
            <w:r>
              <w:rPr>
                <w:rFonts w:ascii="宋体" w:hAnsi="宋体" w:eastAsia="宋体" w:cs="Times New Roman"/>
                <w:color w:val="000000"/>
                <w:sz w:val="18"/>
                <w:szCs w:val="18"/>
              </w:rPr>
              <w:t>溴化锂吸收式冷水机组</w:t>
            </w:r>
          </w:p>
        </w:tc>
        <w:tc>
          <w:tcPr>
            <w:tcW w:w="666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left"/>
              <w:rPr>
                <w:rFonts w:ascii="宋体" w:hAnsi="宋体" w:eastAsia="宋体" w:cs="Times New Roman"/>
                <w:color w:val="000000"/>
                <w:sz w:val="18"/>
                <w:szCs w:val="18"/>
              </w:rPr>
            </w:pPr>
            <w:r>
              <w:rPr>
                <w:rFonts w:ascii="宋体" w:hAnsi="宋体" w:eastAsia="宋体" w:cs="Times New Roman"/>
                <w:color w:val="000000"/>
                <w:sz w:val="18"/>
                <w:szCs w:val="18"/>
              </w:rPr>
              <w:t>溴化锂吸收式冷水机组</w:t>
            </w:r>
            <w:r>
              <w:rPr>
                <w:rFonts w:hint="eastAsia" w:ascii="宋体" w:hAnsi="宋体" w:eastAsia="宋体" w:cs="宋体"/>
                <w:color w:val="000000"/>
                <w:kern w:val="0"/>
                <w:sz w:val="18"/>
                <w:szCs w:val="18"/>
              </w:rPr>
              <w:t>的能效等级不低于</w:t>
            </w:r>
            <w:r>
              <w:rPr>
                <w:rFonts w:hint="eastAsia" w:ascii="宋体" w:hAnsi="宋体" w:eastAsia="宋体" w:cs="Times New Roman"/>
                <w:color w:val="000000"/>
                <w:sz w:val="18"/>
                <w:szCs w:val="18"/>
              </w:rPr>
              <w:t>GB 29540-2013</w:t>
            </w:r>
            <w:r>
              <w:rPr>
                <w:rFonts w:hint="eastAsia" w:ascii="宋体" w:hAnsi="宋体" w:eastAsia="宋体" w:cs="宋体"/>
                <w:color w:val="000000"/>
                <w:kern w:val="0"/>
                <w:sz w:val="18"/>
                <w:szCs w:val="18"/>
              </w:rPr>
              <w:t>中1级能效</w:t>
            </w:r>
          </w:p>
        </w:tc>
        <w:tc>
          <w:tcPr>
            <w:tcW w:w="1080" w:type="dxa"/>
            <w:tcBorders>
              <w:top w:val="single" w:color="auto" w:sz="4" w:space="0"/>
              <w:left w:val="nil"/>
              <w:bottom w:val="single" w:color="auto" w:sz="4" w:space="0"/>
              <w:right w:val="single" w:color="auto" w:sz="4" w:space="0"/>
            </w:tcBorders>
            <w:shd w:val="clear" w:color="auto" w:fill="auto"/>
            <w:noWrap/>
          </w:tcPr>
          <w:p>
            <w:pPr>
              <w:adjustRightInd w:val="0"/>
              <w:snapToGrid w:val="0"/>
              <w:rPr>
                <w:rFonts w:ascii="Times New Roman" w:hAnsi="Times New Roman" w:eastAsia="宋体" w:cs="Times New Roman"/>
                <w:color w:val="000000"/>
                <w:szCs w:val="24"/>
              </w:rPr>
            </w:pPr>
          </w:p>
        </w:tc>
      </w:tr>
      <w:tr>
        <w:tblPrEx>
          <w:tblCellMar>
            <w:top w:w="0" w:type="dxa"/>
            <w:left w:w="108" w:type="dxa"/>
            <w:bottom w:w="0" w:type="dxa"/>
            <w:right w:w="108" w:type="dxa"/>
          </w:tblCellMar>
        </w:tblPrEx>
        <w:trPr>
          <w:trHeight w:val="520" w:hRule="atLeast"/>
        </w:trPr>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eastAsia="宋体" w:cs="Times New Roman"/>
                <w:color w:val="000000"/>
                <w:sz w:val="18"/>
                <w:szCs w:val="18"/>
              </w:rPr>
            </w:pPr>
            <w:r>
              <w:rPr>
                <w:rFonts w:hint="eastAsia" w:ascii="宋体" w:hAnsi="宋体" w:eastAsia="宋体" w:cs="Times New Roman"/>
                <w:color w:val="000000"/>
                <w:sz w:val="18"/>
                <w:szCs w:val="18"/>
              </w:rPr>
              <w:t>14</w:t>
            </w:r>
          </w:p>
        </w:tc>
        <w:tc>
          <w:tcPr>
            <w:tcW w:w="1335"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Times New Roman"/>
                <w:color w:val="000000"/>
                <w:sz w:val="18"/>
                <w:szCs w:val="18"/>
              </w:rPr>
            </w:pPr>
            <w:r>
              <w:rPr>
                <w:rFonts w:ascii="宋体" w:hAnsi="宋体" w:eastAsia="宋体" w:cs="Times New Roman"/>
                <w:color w:val="000000"/>
                <w:sz w:val="18"/>
                <w:szCs w:val="18"/>
              </w:rPr>
              <w:t>水(地)源热泵机组</w:t>
            </w:r>
          </w:p>
        </w:tc>
        <w:tc>
          <w:tcPr>
            <w:tcW w:w="666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left"/>
              <w:rPr>
                <w:rFonts w:ascii="宋体" w:hAnsi="宋体" w:eastAsia="宋体" w:cs="Times New Roman"/>
                <w:color w:val="000000"/>
                <w:sz w:val="18"/>
                <w:szCs w:val="18"/>
              </w:rPr>
            </w:pPr>
            <w:r>
              <w:rPr>
                <w:rFonts w:ascii="宋体" w:hAnsi="宋体" w:eastAsia="宋体" w:cs="Times New Roman"/>
                <w:color w:val="000000"/>
                <w:sz w:val="18"/>
                <w:szCs w:val="18"/>
              </w:rPr>
              <w:t>水(地)源热泵机组</w:t>
            </w:r>
            <w:r>
              <w:rPr>
                <w:rFonts w:hint="eastAsia" w:ascii="宋体" w:hAnsi="宋体" w:eastAsia="宋体" w:cs="宋体"/>
                <w:color w:val="000000"/>
                <w:kern w:val="0"/>
                <w:sz w:val="18"/>
                <w:szCs w:val="18"/>
              </w:rPr>
              <w:t>的能效等级不低于</w:t>
            </w:r>
            <w:r>
              <w:rPr>
                <w:rFonts w:hint="eastAsia" w:ascii="宋体" w:hAnsi="宋体" w:eastAsia="宋体" w:cs="Times New Roman"/>
                <w:color w:val="000000"/>
                <w:sz w:val="18"/>
                <w:szCs w:val="18"/>
              </w:rPr>
              <w:t>GB30721-2014</w:t>
            </w:r>
            <w:r>
              <w:rPr>
                <w:rFonts w:hint="eastAsia" w:ascii="宋体" w:hAnsi="宋体" w:eastAsia="宋体" w:cs="宋体"/>
                <w:color w:val="000000"/>
                <w:kern w:val="0"/>
                <w:sz w:val="18"/>
                <w:szCs w:val="18"/>
              </w:rPr>
              <w:t>中1级能效。</w:t>
            </w:r>
          </w:p>
        </w:tc>
        <w:tc>
          <w:tcPr>
            <w:tcW w:w="1080" w:type="dxa"/>
            <w:tcBorders>
              <w:top w:val="single" w:color="auto" w:sz="4" w:space="0"/>
              <w:left w:val="nil"/>
              <w:bottom w:val="single" w:color="auto" w:sz="4" w:space="0"/>
              <w:right w:val="single" w:color="auto" w:sz="4" w:space="0"/>
            </w:tcBorders>
            <w:shd w:val="clear" w:color="auto" w:fill="auto"/>
            <w:noWrap/>
          </w:tcPr>
          <w:p>
            <w:pPr>
              <w:adjustRightInd w:val="0"/>
              <w:snapToGrid w:val="0"/>
              <w:rPr>
                <w:rFonts w:ascii="Times New Roman" w:hAnsi="Times New Roman" w:eastAsia="宋体" w:cs="Times New Roman"/>
                <w:color w:val="000000"/>
                <w:szCs w:val="24"/>
              </w:rPr>
            </w:pPr>
          </w:p>
        </w:tc>
      </w:tr>
      <w:tr>
        <w:tblPrEx>
          <w:tblCellMar>
            <w:top w:w="0" w:type="dxa"/>
            <w:left w:w="108" w:type="dxa"/>
            <w:bottom w:w="0" w:type="dxa"/>
            <w:right w:w="108" w:type="dxa"/>
          </w:tblCellMar>
        </w:tblPrEx>
        <w:trPr>
          <w:trHeight w:val="520" w:hRule="atLeast"/>
        </w:trPr>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eastAsia="宋体" w:cs="Times New Roman"/>
                <w:color w:val="000000"/>
                <w:sz w:val="18"/>
                <w:szCs w:val="18"/>
              </w:rPr>
            </w:pPr>
            <w:r>
              <w:rPr>
                <w:rFonts w:hint="eastAsia" w:ascii="宋体" w:hAnsi="宋体" w:eastAsia="宋体" w:cs="Times New Roman"/>
                <w:color w:val="000000"/>
                <w:sz w:val="18"/>
                <w:szCs w:val="18"/>
              </w:rPr>
              <w:t>15</w:t>
            </w:r>
          </w:p>
        </w:tc>
        <w:tc>
          <w:tcPr>
            <w:tcW w:w="1335"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Times New Roman"/>
                <w:color w:val="000000"/>
                <w:sz w:val="18"/>
                <w:szCs w:val="18"/>
              </w:rPr>
            </w:pPr>
            <w:r>
              <w:rPr>
                <w:rFonts w:hint="eastAsia" w:ascii="宋体" w:hAnsi="宋体" w:eastAsia="宋体" w:cs="Times New Roman"/>
                <w:color w:val="000000"/>
                <w:sz w:val="18"/>
                <w:szCs w:val="18"/>
              </w:rPr>
              <w:t>风管送风式空调机组</w:t>
            </w:r>
          </w:p>
        </w:tc>
        <w:tc>
          <w:tcPr>
            <w:tcW w:w="666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left"/>
              <w:rPr>
                <w:rFonts w:ascii="宋体" w:hAnsi="宋体" w:eastAsia="宋体" w:cs="Times New Roman"/>
                <w:color w:val="000000"/>
                <w:sz w:val="18"/>
                <w:szCs w:val="18"/>
              </w:rPr>
            </w:pPr>
            <w:r>
              <w:rPr>
                <w:rFonts w:hint="eastAsia" w:ascii="宋体" w:hAnsi="宋体" w:eastAsia="宋体" w:cs="Times New Roman"/>
                <w:color w:val="000000"/>
                <w:sz w:val="18"/>
                <w:szCs w:val="18"/>
              </w:rPr>
              <w:t>风管送风式空调机组的能效等级不低于GB37479-2019中1级能效。</w:t>
            </w:r>
          </w:p>
        </w:tc>
        <w:tc>
          <w:tcPr>
            <w:tcW w:w="1080" w:type="dxa"/>
            <w:tcBorders>
              <w:top w:val="single" w:color="auto" w:sz="4" w:space="0"/>
              <w:left w:val="nil"/>
              <w:bottom w:val="single" w:color="auto" w:sz="4" w:space="0"/>
              <w:right w:val="single" w:color="auto" w:sz="4" w:space="0"/>
            </w:tcBorders>
            <w:shd w:val="clear" w:color="auto" w:fill="auto"/>
            <w:noWrap/>
          </w:tcPr>
          <w:p>
            <w:pPr>
              <w:adjustRightInd w:val="0"/>
              <w:snapToGrid w:val="0"/>
              <w:rPr>
                <w:rFonts w:ascii="Times New Roman" w:hAnsi="Times New Roman" w:eastAsia="宋体" w:cs="Times New Roman"/>
                <w:color w:val="000000"/>
                <w:szCs w:val="24"/>
              </w:rPr>
            </w:pPr>
          </w:p>
        </w:tc>
      </w:tr>
      <w:tr>
        <w:tblPrEx>
          <w:tblCellMar>
            <w:top w:w="0" w:type="dxa"/>
            <w:left w:w="108" w:type="dxa"/>
            <w:bottom w:w="0" w:type="dxa"/>
            <w:right w:w="108" w:type="dxa"/>
          </w:tblCellMar>
        </w:tblPrEx>
        <w:trPr>
          <w:trHeight w:val="556" w:hRule="atLeast"/>
        </w:trPr>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16</w:t>
            </w:r>
          </w:p>
        </w:tc>
        <w:tc>
          <w:tcPr>
            <w:tcW w:w="1335"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center"/>
              <w:rPr>
                <w:rFonts w:ascii="宋体" w:hAnsi="宋体" w:eastAsia="宋体" w:cs="宋体"/>
                <w:color w:val="000000"/>
                <w:kern w:val="0"/>
                <w:sz w:val="18"/>
                <w:szCs w:val="18"/>
              </w:rPr>
            </w:pPr>
            <w:r>
              <w:rPr>
                <w:rFonts w:ascii="宋体" w:hAnsi="宋体" w:eastAsia="宋体" w:cs="宋体"/>
                <w:color w:val="000000"/>
                <w:kern w:val="0"/>
                <w:sz w:val="18"/>
                <w:szCs w:val="18"/>
              </w:rPr>
              <w:t>玻璃纤维增强塑料冷却塔</w:t>
            </w:r>
          </w:p>
        </w:tc>
        <w:tc>
          <w:tcPr>
            <w:tcW w:w="6660"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rPr>
                <w:rFonts w:ascii="宋体" w:hAnsi="宋体" w:eastAsia="宋体" w:cs="宋体"/>
                <w:color w:val="000000"/>
                <w:kern w:val="0"/>
                <w:sz w:val="18"/>
                <w:szCs w:val="18"/>
              </w:rPr>
            </w:pPr>
            <w:r>
              <w:rPr>
                <w:rFonts w:ascii="宋体" w:hAnsi="宋体" w:eastAsia="宋体" w:cs="宋体"/>
                <w:color w:val="000000"/>
                <w:kern w:val="0"/>
                <w:sz w:val="18"/>
                <w:szCs w:val="18"/>
              </w:rPr>
              <w:t>玻璃纤维增强塑料冷却塔</w:t>
            </w:r>
            <w:r>
              <w:rPr>
                <w:rFonts w:hint="eastAsia" w:ascii="宋体" w:hAnsi="宋体" w:eastAsia="宋体" w:cs="宋体"/>
                <w:color w:val="000000"/>
                <w:kern w:val="0"/>
                <w:sz w:val="18"/>
                <w:szCs w:val="18"/>
              </w:rPr>
              <w:t>的冷却能力、耗电比、飘水率等3个能效指标应满足G</w:t>
            </w:r>
            <w:r>
              <w:rPr>
                <w:rFonts w:ascii="宋体" w:hAnsi="宋体" w:eastAsia="宋体" w:cs="宋体"/>
                <w:color w:val="000000"/>
                <w:kern w:val="0"/>
                <w:sz w:val="18"/>
                <w:szCs w:val="18"/>
              </w:rPr>
              <w:t>B</w:t>
            </w:r>
            <w:r>
              <w:rPr>
                <w:rFonts w:hint="eastAsia" w:ascii="宋体" w:hAnsi="宋体" w:eastAsia="宋体" w:cs="宋体"/>
                <w:color w:val="000000"/>
                <w:kern w:val="0"/>
                <w:sz w:val="18"/>
                <w:szCs w:val="18"/>
              </w:rPr>
              <w:t>/</w:t>
            </w:r>
            <w:r>
              <w:rPr>
                <w:rFonts w:ascii="宋体" w:hAnsi="宋体" w:eastAsia="宋体" w:cs="宋体"/>
                <w:color w:val="000000"/>
                <w:kern w:val="0"/>
                <w:sz w:val="18"/>
                <w:szCs w:val="18"/>
              </w:rPr>
              <w:t>T 7190.1</w:t>
            </w:r>
            <w:r>
              <w:rPr>
                <w:rFonts w:hint="eastAsia" w:ascii="宋体" w:hAnsi="宋体" w:eastAsia="宋体" w:cs="宋体"/>
                <w:color w:val="000000"/>
                <w:kern w:val="0"/>
                <w:sz w:val="18"/>
                <w:szCs w:val="18"/>
              </w:rPr>
              <w:t>和G</w:t>
            </w:r>
            <w:r>
              <w:rPr>
                <w:rFonts w:ascii="宋体" w:hAnsi="宋体" w:eastAsia="宋体" w:cs="宋体"/>
                <w:color w:val="000000"/>
                <w:kern w:val="0"/>
                <w:sz w:val="18"/>
                <w:szCs w:val="18"/>
              </w:rPr>
              <w:t>B</w:t>
            </w:r>
            <w:r>
              <w:rPr>
                <w:rFonts w:hint="eastAsia" w:ascii="宋体" w:hAnsi="宋体" w:eastAsia="宋体" w:cs="宋体"/>
                <w:color w:val="000000"/>
                <w:kern w:val="0"/>
                <w:sz w:val="18"/>
                <w:szCs w:val="18"/>
              </w:rPr>
              <w:t>/</w:t>
            </w:r>
            <w:r>
              <w:rPr>
                <w:rFonts w:ascii="宋体" w:hAnsi="宋体" w:eastAsia="宋体" w:cs="宋体"/>
                <w:color w:val="000000"/>
                <w:kern w:val="0"/>
                <w:sz w:val="18"/>
                <w:szCs w:val="18"/>
              </w:rPr>
              <w:t>T</w:t>
            </w:r>
            <w:r>
              <w:rPr>
                <w:rFonts w:hint="eastAsia" w:ascii="宋体" w:hAnsi="宋体" w:eastAsia="宋体" w:cs="宋体"/>
                <w:color w:val="000000"/>
                <w:kern w:val="0"/>
                <w:sz w:val="18"/>
                <w:szCs w:val="18"/>
              </w:rPr>
              <w:t xml:space="preserve"> </w:t>
            </w:r>
            <w:r>
              <w:rPr>
                <w:rFonts w:ascii="宋体" w:hAnsi="宋体" w:eastAsia="宋体" w:cs="宋体"/>
                <w:color w:val="000000"/>
                <w:kern w:val="0"/>
                <w:sz w:val="18"/>
                <w:szCs w:val="18"/>
              </w:rPr>
              <w:t>7190.</w:t>
            </w:r>
            <w:r>
              <w:rPr>
                <w:rFonts w:hint="eastAsia" w:ascii="宋体" w:hAnsi="宋体" w:eastAsia="宋体" w:cs="宋体"/>
                <w:color w:val="000000"/>
                <w:kern w:val="0"/>
                <w:sz w:val="18"/>
                <w:szCs w:val="18"/>
              </w:rPr>
              <w:t>2的</w:t>
            </w:r>
            <w:r>
              <w:rPr>
                <w:rFonts w:hint="eastAsia" w:ascii="黑体" w:hAnsi="宋体" w:eastAsia="黑体" w:cs="宋体"/>
                <w:color w:val="000000"/>
                <w:kern w:val="0"/>
                <w:sz w:val="18"/>
                <w:szCs w:val="18"/>
              </w:rPr>
              <w:t>5.1、5.3、5.4</w:t>
            </w:r>
            <w:r>
              <w:rPr>
                <w:rFonts w:hint="eastAsia" w:ascii="宋体" w:hAnsi="宋体" w:eastAsia="宋体" w:cs="宋体"/>
                <w:color w:val="000000"/>
                <w:kern w:val="0"/>
                <w:sz w:val="18"/>
                <w:szCs w:val="18"/>
              </w:rPr>
              <w:t>条款要求。</w:t>
            </w:r>
          </w:p>
        </w:tc>
        <w:tc>
          <w:tcPr>
            <w:tcW w:w="1080" w:type="dxa"/>
            <w:tcBorders>
              <w:top w:val="single" w:color="auto" w:sz="4" w:space="0"/>
              <w:left w:val="nil"/>
              <w:bottom w:val="single" w:color="auto" w:sz="4" w:space="0"/>
              <w:right w:val="single" w:color="auto" w:sz="4" w:space="0"/>
            </w:tcBorders>
            <w:shd w:val="clear" w:color="auto" w:fill="auto"/>
            <w:noWrap/>
            <w:vAlign w:val="center"/>
          </w:tcPr>
          <w:p>
            <w:pPr>
              <w:widowControl/>
              <w:adjustRightInd w:val="0"/>
              <w:snapToGrid w:val="0"/>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450" w:hRule="atLeast"/>
        </w:trPr>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17</w:t>
            </w:r>
          </w:p>
        </w:tc>
        <w:tc>
          <w:tcPr>
            <w:tcW w:w="1335"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电动机</w:t>
            </w:r>
          </w:p>
        </w:tc>
        <w:tc>
          <w:tcPr>
            <w:tcW w:w="6660"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rPr>
                <w:rFonts w:ascii="宋体" w:hAnsi="宋体" w:eastAsia="宋体" w:cs="宋体"/>
                <w:color w:val="000000"/>
                <w:kern w:val="0"/>
                <w:sz w:val="18"/>
                <w:szCs w:val="18"/>
              </w:rPr>
            </w:pPr>
            <w:r>
              <w:rPr>
                <w:rFonts w:hint="eastAsia" w:ascii="宋体" w:hAnsi="宋体" w:eastAsia="宋体" w:cs="宋体"/>
                <w:color w:val="000000"/>
                <w:kern w:val="0"/>
                <w:sz w:val="18"/>
                <w:szCs w:val="18"/>
              </w:rPr>
              <w:t>电动机的能效等级不低于GB18613-</w:t>
            </w:r>
            <w:r>
              <w:rPr>
                <w:rFonts w:ascii="宋体" w:hAnsi="宋体" w:eastAsia="宋体" w:cs="宋体"/>
                <w:color w:val="000000"/>
                <w:kern w:val="0"/>
                <w:sz w:val="18"/>
                <w:szCs w:val="18"/>
              </w:rPr>
              <w:t>2020</w:t>
            </w:r>
            <w:r>
              <w:rPr>
                <w:rFonts w:hint="eastAsia" w:ascii="宋体" w:hAnsi="宋体" w:eastAsia="宋体" w:cs="宋体"/>
                <w:color w:val="000000"/>
                <w:kern w:val="0"/>
                <w:sz w:val="18"/>
                <w:szCs w:val="18"/>
              </w:rPr>
              <w:t>中1级能效。</w:t>
            </w:r>
          </w:p>
        </w:tc>
        <w:tc>
          <w:tcPr>
            <w:tcW w:w="1080" w:type="dxa"/>
            <w:tcBorders>
              <w:top w:val="single" w:color="auto" w:sz="4" w:space="0"/>
              <w:left w:val="nil"/>
              <w:bottom w:val="single" w:color="auto" w:sz="4" w:space="0"/>
              <w:right w:val="single" w:color="auto" w:sz="4" w:space="0"/>
            </w:tcBorders>
            <w:shd w:val="clear" w:color="auto" w:fill="auto"/>
            <w:noWrap/>
            <w:vAlign w:val="center"/>
          </w:tcPr>
          <w:p>
            <w:pPr>
              <w:widowControl/>
              <w:adjustRightInd w:val="0"/>
              <w:snapToGrid w:val="0"/>
              <w:ind w:left="-107" w:leftChars="-51" w:right="-107" w:rightChars="-51"/>
              <w:rPr>
                <w:rFonts w:ascii="宋体" w:hAnsi="宋体" w:eastAsia="宋体" w:cs="宋体"/>
                <w:color w:val="000000"/>
                <w:kern w:val="0"/>
                <w:sz w:val="15"/>
                <w:szCs w:val="15"/>
              </w:rPr>
            </w:pPr>
          </w:p>
        </w:tc>
      </w:tr>
      <w:tr>
        <w:tblPrEx>
          <w:tblCellMar>
            <w:top w:w="0" w:type="dxa"/>
            <w:left w:w="108" w:type="dxa"/>
            <w:bottom w:w="0" w:type="dxa"/>
            <w:right w:w="108" w:type="dxa"/>
          </w:tblCellMar>
        </w:tblPrEx>
        <w:trPr>
          <w:trHeight w:val="515" w:hRule="atLeast"/>
        </w:trPr>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eastAsia="宋体" w:cs="Times New Roman"/>
                <w:color w:val="000000"/>
                <w:sz w:val="18"/>
                <w:szCs w:val="18"/>
              </w:rPr>
            </w:pPr>
            <w:r>
              <w:rPr>
                <w:rFonts w:hint="eastAsia" w:ascii="宋体" w:hAnsi="宋体" w:eastAsia="宋体" w:cs="Times New Roman"/>
                <w:color w:val="000000"/>
                <w:sz w:val="18"/>
                <w:szCs w:val="18"/>
              </w:rPr>
              <w:t>18</w:t>
            </w:r>
          </w:p>
        </w:tc>
        <w:tc>
          <w:tcPr>
            <w:tcW w:w="1335"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Times New Roman"/>
                <w:color w:val="000000"/>
                <w:sz w:val="18"/>
                <w:szCs w:val="18"/>
              </w:rPr>
            </w:pPr>
            <w:r>
              <w:rPr>
                <w:rFonts w:ascii="宋体" w:hAnsi="宋体" w:eastAsia="宋体" w:cs="Times New Roman"/>
                <w:color w:val="000000"/>
                <w:sz w:val="18"/>
                <w:szCs w:val="18"/>
              </w:rPr>
              <w:t>永磁同步电机</w:t>
            </w:r>
          </w:p>
        </w:tc>
        <w:tc>
          <w:tcPr>
            <w:tcW w:w="6660"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left"/>
              <w:rPr>
                <w:rFonts w:ascii="宋体" w:hAnsi="宋体" w:eastAsia="宋体" w:cs="Times New Roman"/>
                <w:color w:val="000000"/>
                <w:sz w:val="18"/>
                <w:szCs w:val="18"/>
              </w:rPr>
            </w:pPr>
            <w:r>
              <w:rPr>
                <w:rFonts w:ascii="宋体" w:hAnsi="宋体" w:eastAsia="宋体" w:cs="Times New Roman"/>
                <w:color w:val="000000"/>
                <w:sz w:val="18"/>
                <w:szCs w:val="18"/>
              </w:rPr>
              <w:t>永磁同步电机</w:t>
            </w:r>
            <w:r>
              <w:rPr>
                <w:rFonts w:hint="eastAsia" w:ascii="宋体" w:hAnsi="宋体" w:eastAsia="宋体" w:cs="宋体"/>
                <w:color w:val="000000"/>
                <w:kern w:val="0"/>
                <w:sz w:val="18"/>
                <w:szCs w:val="18"/>
              </w:rPr>
              <w:t>的能效等级不低于</w:t>
            </w:r>
            <w:r>
              <w:rPr>
                <w:rFonts w:hint="eastAsia" w:ascii="宋体" w:hAnsi="宋体" w:eastAsia="宋体" w:cs="Times New Roman"/>
                <w:color w:val="000000"/>
                <w:sz w:val="18"/>
                <w:szCs w:val="18"/>
              </w:rPr>
              <w:t>GB30253-2013</w:t>
            </w:r>
            <w:r>
              <w:rPr>
                <w:rFonts w:hint="eastAsia" w:ascii="宋体" w:hAnsi="宋体" w:eastAsia="宋体" w:cs="宋体"/>
                <w:color w:val="000000"/>
                <w:kern w:val="0"/>
                <w:sz w:val="18"/>
                <w:szCs w:val="18"/>
              </w:rPr>
              <w:t>中1级能效。</w:t>
            </w:r>
          </w:p>
        </w:tc>
        <w:tc>
          <w:tcPr>
            <w:tcW w:w="1080" w:type="dxa"/>
            <w:tcBorders>
              <w:top w:val="single" w:color="auto" w:sz="4" w:space="0"/>
              <w:left w:val="nil"/>
              <w:bottom w:val="single" w:color="auto" w:sz="4" w:space="0"/>
              <w:right w:val="single" w:color="auto" w:sz="4" w:space="0"/>
            </w:tcBorders>
            <w:shd w:val="clear" w:color="auto" w:fill="auto"/>
            <w:noWrap/>
            <w:vAlign w:val="center"/>
          </w:tcPr>
          <w:p>
            <w:pPr>
              <w:widowControl/>
              <w:adjustRightInd w:val="0"/>
              <w:snapToGrid w:val="0"/>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551" w:hRule="atLeast"/>
        </w:trPr>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color w:val="000000"/>
                <w:sz w:val="18"/>
                <w:szCs w:val="18"/>
              </w:rPr>
            </w:pPr>
            <w:r>
              <w:rPr>
                <w:rFonts w:hint="eastAsia" w:ascii="宋体" w:hAnsi="宋体" w:eastAsia="宋体" w:cs="Times New Roman"/>
                <w:color w:val="000000"/>
                <w:sz w:val="18"/>
                <w:szCs w:val="18"/>
              </w:rPr>
              <w:t>19</w:t>
            </w:r>
          </w:p>
        </w:tc>
        <w:tc>
          <w:tcPr>
            <w:tcW w:w="1335"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color w:val="000000"/>
                <w:sz w:val="18"/>
                <w:szCs w:val="18"/>
              </w:rPr>
            </w:pPr>
            <w:r>
              <w:rPr>
                <w:rFonts w:hint="eastAsia" w:ascii="宋体" w:hAnsi="宋体" w:eastAsia="宋体" w:cs="Times New Roman"/>
                <w:color w:val="000000"/>
                <w:sz w:val="18"/>
                <w:szCs w:val="18"/>
              </w:rPr>
              <w:t>管形荧光灯镇流器</w:t>
            </w:r>
          </w:p>
        </w:tc>
        <w:tc>
          <w:tcPr>
            <w:tcW w:w="666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rPr>
                <w:rFonts w:ascii="宋体" w:hAnsi="宋体" w:eastAsia="宋体" w:cs="Times New Roman"/>
                <w:color w:val="000000"/>
                <w:sz w:val="18"/>
                <w:szCs w:val="18"/>
              </w:rPr>
            </w:pPr>
            <w:r>
              <w:rPr>
                <w:rFonts w:hint="eastAsia" w:ascii="宋体" w:hAnsi="宋体" w:eastAsia="宋体" w:cs="Times New Roman"/>
                <w:color w:val="000000"/>
                <w:sz w:val="18"/>
                <w:szCs w:val="18"/>
              </w:rPr>
              <w:t>管形荧光灯镇流器</w:t>
            </w:r>
            <w:r>
              <w:rPr>
                <w:rFonts w:hint="eastAsia" w:ascii="宋体" w:hAnsi="宋体" w:eastAsia="宋体" w:cs="宋体"/>
                <w:color w:val="000000"/>
                <w:kern w:val="0"/>
                <w:sz w:val="18"/>
                <w:szCs w:val="18"/>
              </w:rPr>
              <w:t>的能效等级不低于</w:t>
            </w:r>
            <w:r>
              <w:rPr>
                <w:rFonts w:hint="eastAsia" w:ascii="宋体" w:hAnsi="宋体" w:eastAsia="宋体" w:cs="Times New Roman"/>
                <w:color w:val="000000"/>
                <w:sz w:val="18"/>
                <w:szCs w:val="18"/>
              </w:rPr>
              <w:t>GB17896-2012</w:t>
            </w:r>
            <w:r>
              <w:rPr>
                <w:rFonts w:hint="eastAsia" w:ascii="宋体" w:hAnsi="宋体" w:eastAsia="宋体" w:cs="宋体"/>
                <w:color w:val="000000"/>
                <w:kern w:val="0"/>
                <w:sz w:val="18"/>
                <w:szCs w:val="18"/>
              </w:rPr>
              <w:t>中1级能效</w:t>
            </w:r>
          </w:p>
        </w:tc>
        <w:tc>
          <w:tcPr>
            <w:tcW w:w="1080" w:type="dxa"/>
            <w:tcBorders>
              <w:top w:val="single" w:color="auto" w:sz="4" w:space="0"/>
              <w:left w:val="nil"/>
              <w:bottom w:val="single" w:color="auto" w:sz="4" w:space="0"/>
              <w:right w:val="single" w:color="auto" w:sz="4" w:space="0"/>
            </w:tcBorders>
            <w:shd w:val="clear" w:color="auto" w:fill="auto"/>
            <w:noWrap/>
            <w:vAlign w:val="center"/>
          </w:tcPr>
          <w:p>
            <w:pPr>
              <w:widowControl/>
              <w:adjustRightInd w:val="0"/>
              <w:snapToGrid w:val="0"/>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450" w:hRule="atLeast"/>
        </w:trPr>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20</w:t>
            </w:r>
          </w:p>
        </w:tc>
        <w:tc>
          <w:tcPr>
            <w:tcW w:w="1335"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单路输出式交流-直流和交流-交流外部电源</w:t>
            </w:r>
          </w:p>
        </w:tc>
        <w:tc>
          <w:tcPr>
            <w:tcW w:w="6660"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rPr>
                <w:rFonts w:ascii="宋体" w:hAnsi="宋体" w:eastAsia="宋体" w:cs="宋体"/>
                <w:color w:val="000000"/>
                <w:kern w:val="0"/>
                <w:sz w:val="18"/>
                <w:szCs w:val="18"/>
              </w:rPr>
            </w:pPr>
            <w:r>
              <w:rPr>
                <w:rFonts w:hint="eastAsia" w:ascii="宋体" w:hAnsi="宋体" w:eastAsia="宋体" w:cs="宋体"/>
                <w:color w:val="000000"/>
                <w:kern w:val="0"/>
                <w:sz w:val="18"/>
                <w:szCs w:val="18"/>
              </w:rPr>
              <w:t>单路输出式交流-直流和交流-交流外部电源的能效应满足GB20943-2013中节能评价值的要求。</w:t>
            </w:r>
          </w:p>
        </w:tc>
        <w:tc>
          <w:tcPr>
            <w:tcW w:w="1080" w:type="dxa"/>
            <w:tcBorders>
              <w:top w:val="single" w:color="auto" w:sz="4" w:space="0"/>
              <w:left w:val="nil"/>
              <w:bottom w:val="single" w:color="auto" w:sz="4" w:space="0"/>
              <w:right w:val="single" w:color="auto" w:sz="4" w:space="0"/>
            </w:tcBorders>
            <w:shd w:val="clear" w:color="auto" w:fill="auto"/>
            <w:noWrap/>
            <w:vAlign w:val="center"/>
          </w:tcPr>
          <w:p>
            <w:pPr>
              <w:widowControl/>
              <w:adjustRightInd w:val="0"/>
              <w:snapToGrid w:val="0"/>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450" w:hRule="atLeast"/>
        </w:trPr>
        <w:tc>
          <w:tcPr>
            <w:tcW w:w="480" w:type="dxa"/>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21</w:t>
            </w:r>
          </w:p>
        </w:tc>
        <w:tc>
          <w:tcPr>
            <w:tcW w:w="1335"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交流接触器</w:t>
            </w:r>
          </w:p>
        </w:tc>
        <w:tc>
          <w:tcPr>
            <w:tcW w:w="6660" w:type="dxa"/>
            <w:tcBorders>
              <w:top w:val="nil"/>
              <w:left w:val="nil"/>
              <w:bottom w:val="single" w:color="auto" w:sz="4" w:space="0"/>
              <w:right w:val="single" w:color="auto" w:sz="4" w:space="0"/>
            </w:tcBorders>
            <w:shd w:val="clear" w:color="auto" w:fill="auto"/>
            <w:vAlign w:val="center"/>
          </w:tcPr>
          <w:p>
            <w:pPr>
              <w:widowControl/>
              <w:adjustRightInd w:val="0"/>
              <w:snapToGrid w:val="0"/>
              <w:rPr>
                <w:rFonts w:ascii="宋体" w:hAnsi="宋体" w:eastAsia="宋体" w:cs="宋体"/>
                <w:color w:val="000000"/>
                <w:kern w:val="0"/>
                <w:sz w:val="18"/>
                <w:szCs w:val="18"/>
              </w:rPr>
            </w:pPr>
            <w:r>
              <w:rPr>
                <w:rFonts w:hint="eastAsia" w:ascii="宋体" w:hAnsi="宋体" w:eastAsia="宋体" w:cs="宋体"/>
                <w:color w:val="000000"/>
                <w:kern w:val="0"/>
                <w:sz w:val="18"/>
                <w:szCs w:val="18"/>
              </w:rPr>
              <w:t>交流接触器的能效等级不低于GB21518-2008中1级能效。</w:t>
            </w:r>
          </w:p>
        </w:tc>
        <w:tc>
          <w:tcPr>
            <w:tcW w:w="1080" w:type="dxa"/>
            <w:tcBorders>
              <w:top w:val="nil"/>
              <w:left w:val="nil"/>
              <w:bottom w:val="single" w:color="auto" w:sz="4" w:space="0"/>
              <w:right w:val="single" w:color="auto" w:sz="4" w:space="0"/>
            </w:tcBorders>
            <w:shd w:val="clear" w:color="auto" w:fill="auto"/>
            <w:noWrap/>
            <w:vAlign w:val="center"/>
          </w:tcPr>
          <w:p>
            <w:pPr>
              <w:widowControl/>
              <w:adjustRightInd w:val="0"/>
              <w:snapToGrid w:val="0"/>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436" w:hRule="atLeast"/>
        </w:trPr>
        <w:tc>
          <w:tcPr>
            <w:tcW w:w="480" w:type="dxa"/>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22</w:t>
            </w:r>
          </w:p>
        </w:tc>
        <w:tc>
          <w:tcPr>
            <w:tcW w:w="1335"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计算机显示器</w:t>
            </w:r>
          </w:p>
        </w:tc>
        <w:tc>
          <w:tcPr>
            <w:tcW w:w="6660" w:type="dxa"/>
            <w:tcBorders>
              <w:top w:val="nil"/>
              <w:left w:val="nil"/>
              <w:bottom w:val="single" w:color="auto" w:sz="4" w:space="0"/>
              <w:right w:val="single" w:color="auto" w:sz="4" w:space="0"/>
            </w:tcBorders>
            <w:shd w:val="clear" w:color="auto" w:fill="auto"/>
            <w:vAlign w:val="center"/>
          </w:tcPr>
          <w:p>
            <w:pPr>
              <w:widowControl/>
              <w:adjustRightInd w:val="0"/>
              <w:snapToGrid w:val="0"/>
              <w:rPr>
                <w:rFonts w:ascii="宋体" w:hAnsi="宋体" w:eastAsia="宋体" w:cs="宋体"/>
                <w:color w:val="000000"/>
                <w:kern w:val="0"/>
                <w:sz w:val="18"/>
                <w:szCs w:val="18"/>
              </w:rPr>
            </w:pPr>
            <w:r>
              <w:rPr>
                <w:rFonts w:hint="eastAsia" w:ascii="宋体" w:hAnsi="宋体" w:eastAsia="宋体" w:cs="宋体"/>
                <w:color w:val="000000"/>
                <w:kern w:val="0"/>
                <w:sz w:val="18"/>
                <w:szCs w:val="18"/>
              </w:rPr>
              <w:t>计算机显示器的能效等级不低于GB21520-2015中1级能效。</w:t>
            </w:r>
          </w:p>
        </w:tc>
        <w:tc>
          <w:tcPr>
            <w:tcW w:w="1080" w:type="dxa"/>
            <w:tcBorders>
              <w:top w:val="nil"/>
              <w:left w:val="nil"/>
              <w:bottom w:val="single" w:color="auto" w:sz="4" w:space="0"/>
              <w:right w:val="single" w:color="auto" w:sz="4" w:space="0"/>
            </w:tcBorders>
            <w:shd w:val="clear" w:color="auto" w:fill="auto"/>
            <w:noWrap/>
            <w:vAlign w:val="center"/>
          </w:tcPr>
          <w:p>
            <w:pPr>
              <w:widowControl/>
              <w:adjustRightInd w:val="0"/>
              <w:snapToGrid w:val="0"/>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450" w:hRule="atLeast"/>
        </w:trPr>
        <w:tc>
          <w:tcPr>
            <w:tcW w:w="480" w:type="dxa"/>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23</w:t>
            </w:r>
          </w:p>
        </w:tc>
        <w:tc>
          <w:tcPr>
            <w:tcW w:w="1335"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平板电视与机顶盒</w:t>
            </w:r>
          </w:p>
        </w:tc>
        <w:tc>
          <w:tcPr>
            <w:tcW w:w="6660" w:type="dxa"/>
            <w:tcBorders>
              <w:top w:val="nil"/>
              <w:left w:val="nil"/>
              <w:bottom w:val="single" w:color="auto" w:sz="4" w:space="0"/>
              <w:right w:val="single" w:color="auto" w:sz="4" w:space="0"/>
            </w:tcBorders>
            <w:shd w:val="clear" w:color="auto" w:fill="auto"/>
            <w:vAlign w:val="center"/>
          </w:tcPr>
          <w:p>
            <w:pPr>
              <w:widowControl/>
              <w:adjustRightInd w:val="0"/>
              <w:snapToGrid w:val="0"/>
              <w:rPr>
                <w:rFonts w:ascii="宋体" w:hAnsi="宋体" w:eastAsia="宋体" w:cs="宋体"/>
                <w:color w:val="000000"/>
                <w:kern w:val="0"/>
                <w:sz w:val="18"/>
                <w:szCs w:val="18"/>
              </w:rPr>
            </w:pPr>
            <w:r>
              <w:rPr>
                <w:rFonts w:hint="eastAsia" w:ascii="宋体" w:hAnsi="宋体" w:eastAsia="宋体" w:cs="宋体"/>
                <w:color w:val="000000"/>
                <w:kern w:val="0"/>
                <w:sz w:val="18"/>
                <w:szCs w:val="18"/>
              </w:rPr>
              <w:t>平板电视与机顶盒的能效等级不低于GB24850-2020中1级能效。</w:t>
            </w:r>
          </w:p>
        </w:tc>
        <w:tc>
          <w:tcPr>
            <w:tcW w:w="1080" w:type="dxa"/>
            <w:tcBorders>
              <w:top w:val="nil"/>
              <w:left w:val="nil"/>
              <w:bottom w:val="single" w:color="auto" w:sz="4" w:space="0"/>
              <w:right w:val="single" w:color="auto" w:sz="4" w:space="0"/>
            </w:tcBorders>
            <w:shd w:val="clear" w:color="auto" w:fill="auto"/>
            <w:noWrap/>
            <w:vAlign w:val="center"/>
          </w:tcPr>
          <w:p>
            <w:pPr>
              <w:widowControl/>
              <w:adjustRightInd w:val="0"/>
              <w:snapToGrid w:val="0"/>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433" w:hRule="atLeast"/>
        </w:trPr>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eastAsia="宋体" w:cs="Times New Roman"/>
                <w:color w:val="000000"/>
                <w:sz w:val="18"/>
                <w:szCs w:val="18"/>
              </w:rPr>
            </w:pPr>
            <w:r>
              <w:rPr>
                <w:rFonts w:hint="eastAsia" w:ascii="宋体" w:hAnsi="宋体" w:eastAsia="宋体" w:cs="Times New Roman"/>
                <w:color w:val="000000"/>
                <w:sz w:val="18"/>
                <w:szCs w:val="18"/>
              </w:rPr>
              <w:t>24</w:t>
            </w:r>
          </w:p>
        </w:tc>
        <w:tc>
          <w:tcPr>
            <w:tcW w:w="1335"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Times New Roman"/>
                <w:color w:val="000000"/>
                <w:sz w:val="18"/>
                <w:szCs w:val="18"/>
              </w:rPr>
            </w:pPr>
            <w:r>
              <w:rPr>
                <w:rFonts w:ascii="宋体" w:hAnsi="宋体" w:eastAsia="宋体" w:cs="Times New Roman"/>
                <w:color w:val="000000"/>
                <w:sz w:val="18"/>
                <w:szCs w:val="18"/>
              </w:rPr>
              <w:t>电弧焊机</w:t>
            </w:r>
          </w:p>
        </w:tc>
        <w:tc>
          <w:tcPr>
            <w:tcW w:w="666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left"/>
              <w:rPr>
                <w:rFonts w:ascii="宋体" w:hAnsi="宋体" w:eastAsia="宋体" w:cs="Times New Roman"/>
                <w:color w:val="000000"/>
                <w:sz w:val="18"/>
                <w:szCs w:val="18"/>
              </w:rPr>
            </w:pPr>
            <w:r>
              <w:rPr>
                <w:rFonts w:ascii="宋体" w:hAnsi="宋体" w:eastAsia="宋体" w:cs="Times New Roman"/>
                <w:color w:val="000000"/>
                <w:sz w:val="18"/>
                <w:szCs w:val="18"/>
              </w:rPr>
              <w:t>电弧焊机</w:t>
            </w:r>
            <w:r>
              <w:rPr>
                <w:rFonts w:hint="eastAsia" w:ascii="宋体" w:hAnsi="宋体" w:eastAsia="宋体" w:cs="宋体"/>
                <w:color w:val="000000"/>
                <w:kern w:val="0"/>
                <w:sz w:val="18"/>
                <w:szCs w:val="18"/>
              </w:rPr>
              <w:t>的能效等级不低于</w:t>
            </w:r>
            <w:r>
              <w:rPr>
                <w:rFonts w:hint="eastAsia" w:ascii="宋体" w:hAnsi="宋体" w:eastAsia="宋体" w:cs="Times New Roman"/>
                <w:color w:val="000000"/>
                <w:sz w:val="18"/>
                <w:szCs w:val="18"/>
              </w:rPr>
              <w:t>GB28736-2019</w:t>
            </w:r>
            <w:r>
              <w:rPr>
                <w:rFonts w:hint="eastAsia" w:ascii="宋体" w:hAnsi="宋体" w:eastAsia="宋体" w:cs="宋体"/>
                <w:color w:val="000000"/>
                <w:kern w:val="0"/>
                <w:sz w:val="18"/>
                <w:szCs w:val="18"/>
              </w:rPr>
              <w:t>中1级能效。</w:t>
            </w:r>
          </w:p>
        </w:tc>
        <w:tc>
          <w:tcPr>
            <w:tcW w:w="1080" w:type="dxa"/>
            <w:tcBorders>
              <w:top w:val="single" w:color="auto" w:sz="4" w:space="0"/>
              <w:left w:val="nil"/>
              <w:bottom w:val="single" w:color="auto" w:sz="4" w:space="0"/>
              <w:right w:val="single" w:color="auto" w:sz="4" w:space="0"/>
            </w:tcBorders>
            <w:shd w:val="clear" w:color="auto" w:fill="auto"/>
            <w:noWrap/>
          </w:tcPr>
          <w:p>
            <w:pPr>
              <w:adjustRightInd w:val="0"/>
              <w:snapToGrid w:val="0"/>
              <w:rPr>
                <w:rFonts w:ascii="Times New Roman" w:hAnsi="Times New Roman" w:eastAsia="宋体" w:cs="Times New Roman"/>
                <w:color w:val="000000"/>
                <w:szCs w:val="24"/>
              </w:rPr>
            </w:pPr>
          </w:p>
        </w:tc>
      </w:tr>
      <w:tr>
        <w:tblPrEx>
          <w:tblCellMar>
            <w:top w:w="0" w:type="dxa"/>
            <w:left w:w="108" w:type="dxa"/>
            <w:bottom w:w="0" w:type="dxa"/>
            <w:right w:w="108" w:type="dxa"/>
          </w:tblCellMar>
        </w:tblPrEx>
        <w:trPr>
          <w:trHeight w:val="553" w:hRule="atLeast"/>
        </w:trPr>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eastAsia="宋体" w:cs="Times New Roman"/>
                <w:color w:val="000000"/>
                <w:sz w:val="18"/>
                <w:szCs w:val="18"/>
              </w:rPr>
            </w:pPr>
            <w:r>
              <w:rPr>
                <w:rFonts w:hint="eastAsia" w:ascii="宋体" w:hAnsi="宋体" w:eastAsia="宋体" w:cs="Times New Roman"/>
                <w:color w:val="000000"/>
                <w:sz w:val="18"/>
                <w:szCs w:val="18"/>
              </w:rPr>
              <w:t>25</w:t>
            </w:r>
          </w:p>
        </w:tc>
        <w:tc>
          <w:tcPr>
            <w:tcW w:w="1335"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Times New Roman"/>
                <w:color w:val="000000"/>
                <w:sz w:val="18"/>
                <w:szCs w:val="18"/>
              </w:rPr>
            </w:pPr>
            <w:r>
              <w:rPr>
                <w:rFonts w:hint="eastAsia" w:ascii="宋体" w:hAnsi="宋体" w:eastAsia="宋体" w:cs="Times New Roman"/>
                <w:color w:val="000000"/>
                <w:sz w:val="18"/>
                <w:szCs w:val="18"/>
              </w:rPr>
              <w:t>高压三相笼型异步电动机</w:t>
            </w:r>
          </w:p>
        </w:tc>
        <w:tc>
          <w:tcPr>
            <w:tcW w:w="666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left"/>
              <w:rPr>
                <w:rFonts w:ascii="宋体" w:hAnsi="宋体" w:eastAsia="宋体" w:cs="Times New Roman"/>
                <w:color w:val="000000"/>
                <w:sz w:val="18"/>
                <w:szCs w:val="18"/>
              </w:rPr>
            </w:pPr>
            <w:r>
              <w:rPr>
                <w:rFonts w:hint="eastAsia" w:ascii="宋体" w:hAnsi="宋体" w:eastAsia="宋体" w:cs="Times New Roman"/>
                <w:color w:val="000000"/>
                <w:sz w:val="18"/>
                <w:szCs w:val="18"/>
              </w:rPr>
              <w:t>高压三相笼型异步电动机</w:t>
            </w:r>
            <w:r>
              <w:rPr>
                <w:rFonts w:hint="eastAsia" w:ascii="宋体" w:hAnsi="宋体" w:eastAsia="宋体" w:cs="宋体"/>
                <w:color w:val="000000"/>
                <w:kern w:val="0"/>
                <w:sz w:val="18"/>
                <w:szCs w:val="18"/>
              </w:rPr>
              <w:t>的能效等级不低于</w:t>
            </w:r>
            <w:r>
              <w:rPr>
                <w:rFonts w:hint="eastAsia" w:ascii="宋体" w:hAnsi="宋体" w:eastAsia="宋体" w:cs="Times New Roman"/>
                <w:color w:val="000000"/>
                <w:sz w:val="18"/>
                <w:szCs w:val="18"/>
              </w:rPr>
              <w:t>GB30254-2013</w:t>
            </w:r>
            <w:r>
              <w:rPr>
                <w:rFonts w:hint="eastAsia" w:ascii="宋体" w:hAnsi="宋体" w:eastAsia="宋体" w:cs="宋体"/>
                <w:color w:val="000000"/>
                <w:kern w:val="0"/>
                <w:sz w:val="18"/>
                <w:szCs w:val="18"/>
              </w:rPr>
              <w:t>中1级能效。</w:t>
            </w:r>
          </w:p>
        </w:tc>
        <w:tc>
          <w:tcPr>
            <w:tcW w:w="1080" w:type="dxa"/>
            <w:tcBorders>
              <w:top w:val="single" w:color="auto" w:sz="4" w:space="0"/>
              <w:left w:val="nil"/>
              <w:bottom w:val="single" w:color="auto" w:sz="4" w:space="0"/>
              <w:right w:val="single" w:color="auto" w:sz="4" w:space="0"/>
            </w:tcBorders>
            <w:shd w:val="clear" w:color="auto" w:fill="auto"/>
            <w:noWrap/>
          </w:tcPr>
          <w:p>
            <w:pPr>
              <w:adjustRightInd w:val="0"/>
              <w:snapToGrid w:val="0"/>
              <w:rPr>
                <w:rFonts w:ascii="Times New Roman" w:hAnsi="Times New Roman" w:eastAsia="宋体" w:cs="Times New Roman"/>
                <w:color w:val="000000"/>
                <w:szCs w:val="24"/>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entury">
    <w:panose1 w:val="02040604050505020304"/>
    <w:charset w:val="00"/>
    <w:family w:val="roman"/>
    <w:pitch w:val="default"/>
    <w:sig w:usb0="00000287" w:usb1="00000000" w:usb2="00000000" w:usb3="00000000" w:csb0="2000009F" w:csb1="DFD7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4BFD78"/>
    <w:multiLevelType w:val="singleLevel"/>
    <w:tmpl w:val="B64BFD78"/>
    <w:lvl w:ilvl="0" w:tentative="0">
      <w:start w:val="1"/>
      <w:numFmt w:val="chineseCounting"/>
      <w:suff w:val="nothing"/>
      <w:lvlText w:val="（%1）"/>
      <w:lvlJc w:val="left"/>
      <w:pPr>
        <w:ind w:left="0" w:firstLine="420"/>
      </w:pPr>
      <w:rPr>
        <w:rFonts w:hint="eastAsia"/>
      </w:rPr>
    </w:lvl>
  </w:abstractNum>
  <w:abstractNum w:abstractNumId="1">
    <w:nsid w:val="C094D4A8"/>
    <w:multiLevelType w:val="singleLevel"/>
    <w:tmpl w:val="C094D4A8"/>
    <w:lvl w:ilvl="0" w:tentative="0">
      <w:start w:val="6"/>
      <w:numFmt w:val="chineseCounting"/>
      <w:suff w:val="nothing"/>
      <w:lvlText w:val="（%1）"/>
      <w:lvlJc w:val="left"/>
      <w:pPr>
        <w:ind w:left="0" w:firstLine="420"/>
      </w:pPr>
      <w:rPr>
        <w:rFonts w:hint="eastAsia"/>
      </w:rPr>
    </w:lvl>
  </w:abstractNum>
  <w:abstractNum w:abstractNumId="2">
    <w:nsid w:val="2DE31EC0"/>
    <w:multiLevelType w:val="multilevel"/>
    <w:tmpl w:val="2DE31EC0"/>
    <w:lvl w:ilvl="0" w:tentative="0">
      <w:start w:val="1"/>
      <w:numFmt w:val="chineseCountingThousand"/>
      <w:lvlText w:val="(%1)"/>
      <w:lvlJc w:val="left"/>
      <w:pPr>
        <w:ind w:left="860" w:hanging="420"/>
      </w:pPr>
    </w:lvl>
    <w:lvl w:ilvl="1" w:tentative="0">
      <w:start w:val="1"/>
      <w:numFmt w:val="lowerLetter"/>
      <w:lvlText w:val="%2)"/>
      <w:lvlJc w:val="left"/>
      <w:pPr>
        <w:ind w:left="1280" w:hanging="420"/>
      </w:pPr>
    </w:lvl>
    <w:lvl w:ilvl="2" w:tentative="0">
      <w:start w:val="1"/>
      <w:numFmt w:val="lowerRoman"/>
      <w:lvlText w:val="%3."/>
      <w:lvlJc w:val="right"/>
      <w:pPr>
        <w:ind w:left="1700" w:hanging="420"/>
      </w:pPr>
    </w:lvl>
    <w:lvl w:ilvl="3" w:tentative="0">
      <w:start w:val="1"/>
      <w:numFmt w:val="decimal"/>
      <w:lvlText w:val="%4."/>
      <w:lvlJc w:val="left"/>
      <w:pPr>
        <w:ind w:left="2120" w:hanging="420"/>
      </w:pPr>
    </w:lvl>
    <w:lvl w:ilvl="4" w:tentative="0">
      <w:start w:val="1"/>
      <w:numFmt w:val="lowerLetter"/>
      <w:lvlText w:val="%5)"/>
      <w:lvlJc w:val="left"/>
      <w:pPr>
        <w:ind w:left="2540" w:hanging="420"/>
      </w:pPr>
    </w:lvl>
    <w:lvl w:ilvl="5" w:tentative="0">
      <w:start w:val="1"/>
      <w:numFmt w:val="lowerRoman"/>
      <w:lvlText w:val="%6."/>
      <w:lvlJc w:val="right"/>
      <w:pPr>
        <w:ind w:left="2960" w:hanging="420"/>
      </w:pPr>
    </w:lvl>
    <w:lvl w:ilvl="6" w:tentative="0">
      <w:start w:val="1"/>
      <w:numFmt w:val="decimal"/>
      <w:lvlText w:val="%7."/>
      <w:lvlJc w:val="left"/>
      <w:pPr>
        <w:ind w:left="3380" w:hanging="420"/>
      </w:pPr>
    </w:lvl>
    <w:lvl w:ilvl="7" w:tentative="0">
      <w:start w:val="1"/>
      <w:numFmt w:val="lowerLetter"/>
      <w:lvlText w:val="%8)"/>
      <w:lvlJc w:val="left"/>
      <w:pPr>
        <w:ind w:left="3800" w:hanging="420"/>
      </w:pPr>
    </w:lvl>
    <w:lvl w:ilvl="8" w:tentative="0">
      <w:start w:val="1"/>
      <w:numFmt w:val="lowerRoman"/>
      <w:lvlText w:val="%9."/>
      <w:lvlJc w:val="right"/>
      <w:pPr>
        <w:ind w:left="4220" w:hanging="420"/>
      </w:pPr>
    </w:lvl>
  </w:abstractNum>
  <w:abstractNum w:abstractNumId="3">
    <w:nsid w:val="2F020B51"/>
    <w:multiLevelType w:val="multilevel"/>
    <w:tmpl w:val="2F020B51"/>
    <w:lvl w:ilvl="0" w:tentative="0">
      <w:start w:val="1"/>
      <w:numFmt w:val="chineseCountingThousand"/>
      <w:lvlText w:val="(%1)"/>
      <w:lvlJc w:val="left"/>
      <w:pPr>
        <w:ind w:left="862" w:hanging="420"/>
      </w:pPr>
    </w:lvl>
    <w:lvl w:ilvl="1" w:tentative="0">
      <w:start w:val="1"/>
      <w:numFmt w:val="lowerLetter"/>
      <w:lvlText w:val="%2)"/>
      <w:lvlJc w:val="left"/>
      <w:pPr>
        <w:ind w:left="1282" w:hanging="420"/>
      </w:pPr>
    </w:lvl>
    <w:lvl w:ilvl="2" w:tentative="0">
      <w:start w:val="1"/>
      <w:numFmt w:val="lowerRoman"/>
      <w:lvlText w:val="%3."/>
      <w:lvlJc w:val="right"/>
      <w:pPr>
        <w:ind w:left="1702" w:hanging="420"/>
      </w:pPr>
    </w:lvl>
    <w:lvl w:ilvl="3" w:tentative="0">
      <w:start w:val="1"/>
      <w:numFmt w:val="decimal"/>
      <w:lvlText w:val="%4."/>
      <w:lvlJc w:val="left"/>
      <w:pPr>
        <w:ind w:left="2122" w:hanging="420"/>
      </w:pPr>
    </w:lvl>
    <w:lvl w:ilvl="4" w:tentative="0">
      <w:start w:val="1"/>
      <w:numFmt w:val="lowerLetter"/>
      <w:lvlText w:val="%5)"/>
      <w:lvlJc w:val="left"/>
      <w:pPr>
        <w:ind w:left="2542" w:hanging="420"/>
      </w:pPr>
    </w:lvl>
    <w:lvl w:ilvl="5" w:tentative="0">
      <w:start w:val="1"/>
      <w:numFmt w:val="lowerRoman"/>
      <w:lvlText w:val="%6."/>
      <w:lvlJc w:val="right"/>
      <w:pPr>
        <w:ind w:left="2962" w:hanging="420"/>
      </w:pPr>
    </w:lvl>
    <w:lvl w:ilvl="6" w:tentative="0">
      <w:start w:val="1"/>
      <w:numFmt w:val="decimal"/>
      <w:lvlText w:val="%7."/>
      <w:lvlJc w:val="left"/>
      <w:pPr>
        <w:ind w:left="3382" w:hanging="420"/>
      </w:pPr>
    </w:lvl>
    <w:lvl w:ilvl="7" w:tentative="0">
      <w:start w:val="1"/>
      <w:numFmt w:val="lowerLetter"/>
      <w:lvlText w:val="%8)"/>
      <w:lvlJc w:val="left"/>
      <w:pPr>
        <w:ind w:left="3802" w:hanging="420"/>
      </w:pPr>
    </w:lvl>
    <w:lvl w:ilvl="8" w:tentative="0">
      <w:start w:val="1"/>
      <w:numFmt w:val="lowerRoman"/>
      <w:lvlText w:val="%9."/>
      <w:lvlJc w:val="right"/>
      <w:pPr>
        <w:ind w:left="4222" w:hanging="420"/>
      </w:pPr>
    </w:lvl>
  </w:abstractNum>
  <w:abstractNum w:abstractNumId="4">
    <w:nsid w:val="383A50D4"/>
    <w:multiLevelType w:val="multilevel"/>
    <w:tmpl w:val="383A50D4"/>
    <w:lvl w:ilvl="0" w:tentative="0">
      <w:start w:val="1"/>
      <w:numFmt w:val="chineseCountingThousand"/>
      <w:lvlText w:val="(%1)"/>
      <w:lvlJc w:val="left"/>
      <w:pPr>
        <w:ind w:left="988" w:hanging="420"/>
      </w:pPr>
      <w:rPr>
        <w:b w:val="0"/>
      </w:rPr>
    </w:lvl>
    <w:lvl w:ilvl="1" w:tentative="0">
      <w:start w:val="1"/>
      <w:numFmt w:val="lowerLetter"/>
      <w:lvlText w:val="%2)"/>
      <w:lvlJc w:val="left"/>
      <w:pPr>
        <w:ind w:left="1408" w:hanging="420"/>
      </w:pPr>
    </w:lvl>
    <w:lvl w:ilvl="2" w:tentative="0">
      <w:start w:val="1"/>
      <w:numFmt w:val="lowerRoman"/>
      <w:lvlText w:val="%3."/>
      <w:lvlJc w:val="right"/>
      <w:pPr>
        <w:ind w:left="1828" w:hanging="420"/>
      </w:pPr>
    </w:lvl>
    <w:lvl w:ilvl="3" w:tentative="0">
      <w:start w:val="1"/>
      <w:numFmt w:val="decimal"/>
      <w:lvlText w:val="%4."/>
      <w:lvlJc w:val="left"/>
      <w:pPr>
        <w:ind w:left="2248" w:hanging="420"/>
      </w:pPr>
    </w:lvl>
    <w:lvl w:ilvl="4" w:tentative="0">
      <w:start w:val="1"/>
      <w:numFmt w:val="lowerLetter"/>
      <w:lvlText w:val="%5)"/>
      <w:lvlJc w:val="left"/>
      <w:pPr>
        <w:ind w:left="2668" w:hanging="420"/>
      </w:pPr>
    </w:lvl>
    <w:lvl w:ilvl="5" w:tentative="0">
      <w:start w:val="1"/>
      <w:numFmt w:val="lowerRoman"/>
      <w:lvlText w:val="%6."/>
      <w:lvlJc w:val="right"/>
      <w:pPr>
        <w:ind w:left="3088" w:hanging="420"/>
      </w:pPr>
    </w:lvl>
    <w:lvl w:ilvl="6" w:tentative="0">
      <w:start w:val="1"/>
      <w:numFmt w:val="decimal"/>
      <w:lvlText w:val="%7."/>
      <w:lvlJc w:val="left"/>
      <w:pPr>
        <w:ind w:left="3508" w:hanging="420"/>
      </w:pPr>
    </w:lvl>
    <w:lvl w:ilvl="7" w:tentative="0">
      <w:start w:val="1"/>
      <w:numFmt w:val="lowerLetter"/>
      <w:lvlText w:val="%8)"/>
      <w:lvlJc w:val="left"/>
      <w:pPr>
        <w:ind w:left="3928" w:hanging="420"/>
      </w:pPr>
    </w:lvl>
    <w:lvl w:ilvl="8" w:tentative="0">
      <w:start w:val="1"/>
      <w:numFmt w:val="lowerRoman"/>
      <w:lvlText w:val="%9."/>
      <w:lvlJc w:val="right"/>
      <w:pPr>
        <w:ind w:left="4348" w:hanging="420"/>
      </w:pPr>
    </w:lvl>
  </w:abstractNum>
  <w:abstractNum w:abstractNumId="5">
    <w:nsid w:val="3F0312A4"/>
    <w:multiLevelType w:val="multilevel"/>
    <w:tmpl w:val="3F0312A4"/>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2FB1DBA"/>
    <w:multiLevelType w:val="multilevel"/>
    <w:tmpl w:val="52FB1DBA"/>
    <w:lvl w:ilvl="0" w:tentative="0">
      <w:start w:val="1"/>
      <w:numFmt w:val="chineseCountingThousand"/>
      <w:lvlText w:val="(%1)"/>
      <w:lvlJc w:val="left"/>
      <w:pPr>
        <w:ind w:left="862" w:hanging="420"/>
      </w:pPr>
    </w:lvl>
    <w:lvl w:ilvl="1" w:tentative="0">
      <w:start w:val="1"/>
      <w:numFmt w:val="lowerLetter"/>
      <w:lvlText w:val="%2)"/>
      <w:lvlJc w:val="left"/>
      <w:pPr>
        <w:ind w:left="1282" w:hanging="420"/>
      </w:pPr>
    </w:lvl>
    <w:lvl w:ilvl="2" w:tentative="0">
      <w:start w:val="1"/>
      <w:numFmt w:val="lowerRoman"/>
      <w:lvlText w:val="%3."/>
      <w:lvlJc w:val="right"/>
      <w:pPr>
        <w:ind w:left="1702" w:hanging="420"/>
      </w:pPr>
    </w:lvl>
    <w:lvl w:ilvl="3" w:tentative="0">
      <w:start w:val="1"/>
      <w:numFmt w:val="decimal"/>
      <w:lvlText w:val="%4."/>
      <w:lvlJc w:val="left"/>
      <w:pPr>
        <w:ind w:left="2122" w:hanging="420"/>
      </w:pPr>
    </w:lvl>
    <w:lvl w:ilvl="4" w:tentative="0">
      <w:start w:val="1"/>
      <w:numFmt w:val="lowerLetter"/>
      <w:lvlText w:val="%5)"/>
      <w:lvlJc w:val="left"/>
      <w:pPr>
        <w:ind w:left="2542" w:hanging="420"/>
      </w:pPr>
    </w:lvl>
    <w:lvl w:ilvl="5" w:tentative="0">
      <w:start w:val="1"/>
      <w:numFmt w:val="lowerRoman"/>
      <w:lvlText w:val="%6."/>
      <w:lvlJc w:val="right"/>
      <w:pPr>
        <w:ind w:left="2962" w:hanging="420"/>
      </w:pPr>
    </w:lvl>
    <w:lvl w:ilvl="6" w:tentative="0">
      <w:start w:val="1"/>
      <w:numFmt w:val="decimal"/>
      <w:lvlText w:val="%7."/>
      <w:lvlJc w:val="left"/>
      <w:pPr>
        <w:ind w:left="3382" w:hanging="420"/>
      </w:pPr>
    </w:lvl>
    <w:lvl w:ilvl="7" w:tentative="0">
      <w:start w:val="1"/>
      <w:numFmt w:val="lowerLetter"/>
      <w:lvlText w:val="%8)"/>
      <w:lvlJc w:val="left"/>
      <w:pPr>
        <w:ind w:left="3802" w:hanging="420"/>
      </w:pPr>
    </w:lvl>
    <w:lvl w:ilvl="8" w:tentative="0">
      <w:start w:val="1"/>
      <w:numFmt w:val="lowerRoman"/>
      <w:lvlText w:val="%9."/>
      <w:lvlJc w:val="right"/>
      <w:pPr>
        <w:ind w:left="4222" w:hanging="420"/>
      </w:pPr>
    </w:lvl>
  </w:abstractNum>
  <w:abstractNum w:abstractNumId="7">
    <w:nsid w:val="5C236EFE"/>
    <w:multiLevelType w:val="multilevel"/>
    <w:tmpl w:val="5C236EFE"/>
    <w:lvl w:ilvl="0" w:tentative="0">
      <w:start w:val="1"/>
      <w:numFmt w:val="chineseCountingThousand"/>
      <w:lvlText w:val="(%1)"/>
      <w:lvlJc w:val="left"/>
      <w:pPr>
        <w:ind w:left="862" w:hanging="420"/>
      </w:pPr>
    </w:lvl>
    <w:lvl w:ilvl="1" w:tentative="0">
      <w:start w:val="1"/>
      <w:numFmt w:val="lowerLetter"/>
      <w:lvlText w:val="%2)"/>
      <w:lvlJc w:val="left"/>
      <w:pPr>
        <w:ind w:left="1282" w:hanging="420"/>
      </w:pPr>
    </w:lvl>
    <w:lvl w:ilvl="2" w:tentative="0">
      <w:start w:val="1"/>
      <w:numFmt w:val="lowerRoman"/>
      <w:lvlText w:val="%3."/>
      <w:lvlJc w:val="right"/>
      <w:pPr>
        <w:ind w:left="1702" w:hanging="420"/>
      </w:pPr>
    </w:lvl>
    <w:lvl w:ilvl="3" w:tentative="0">
      <w:start w:val="1"/>
      <w:numFmt w:val="decimal"/>
      <w:lvlText w:val="%4."/>
      <w:lvlJc w:val="left"/>
      <w:pPr>
        <w:ind w:left="2122" w:hanging="420"/>
      </w:pPr>
    </w:lvl>
    <w:lvl w:ilvl="4" w:tentative="0">
      <w:start w:val="1"/>
      <w:numFmt w:val="lowerLetter"/>
      <w:lvlText w:val="%5)"/>
      <w:lvlJc w:val="left"/>
      <w:pPr>
        <w:ind w:left="2542" w:hanging="420"/>
      </w:pPr>
    </w:lvl>
    <w:lvl w:ilvl="5" w:tentative="0">
      <w:start w:val="1"/>
      <w:numFmt w:val="lowerRoman"/>
      <w:lvlText w:val="%6."/>
      <w:lvlJc w:val="right"/>
      <w:pPr>
        <w:ind w:left="2962" w:hanging="420"/>
      </w:pPr>
    </w:lvl>
    <w:lvl w:ilvl="6" w:tentative="0">
      <w:start w:val="1"/>
      <w:numFmt w:val="decimal"/>
      <w:lvlText w:val="%7."/>
      <w:lvlJc w:val="left"/>
      <w:pPr>
        <w:ind w:left="3382" w:hanging="420"/>
      </w:pPr>
    </w:lvl>
    <w:lvl w:ilvl="7" w:tentative="0">
      <w:start w:val="1"/>
      <w:numFmt w:val="lowerLetter"/>
      <w:lvlText w:val="%8)"/>
      <w:lvlJc w:val="left"/>
      <w:pPr>
        <w:ind w:left="3802" w:hanging="420"/>
      </w:pPr>
    </w:lvl>
    <w:lvl w:ilvl="8" w:tentative="0">
      <w:start w:val="1"/>
      <w:numFmt w:val="lowerRoman"/>
      <w:lvlText w:val="%9."/>
      <w:lvlJc w:val="right"/>
      <w:pPr>
        <w:ind w:left="4222" w:hanging="420"/>
      </w:pPr>
    </w:lvl>
  </w:abstractNum>
  <w:abstractNum w:abstractNumId="8">
    <w:nsid w:val="6276077C"/>
    <w:multiLevelType w:val="multilevel"/>
    <w:tmpl w:val="6276077C"/>
    <w:lvl w:ilvl="0" w:tentative="0">
      <w:start w:val="1"/>
      <w:numFmt w:val="chineseCountingThousand"/>
      <w:lvlText w:val="%1、"/>
      <w:lvlJc w:val="left"/>
      <w:pPr>
        <w:ind w:left="846" w:hanging="420"/>
      </w:pPr>
    </w:lvl>
    <w:lvl w:ilvl="1" w:tentative="0">
      <w:start w:val="1"/>
      <w:numFmt w:val="chineseCountingThousand"/>
      <w:lvlText w:val="%2、"/>
      <w:lvlJc w:val="left"/>
      <w:pPr>
        <w:ind w:left="840" w:hanging="420"/>
      </w:pPr>
    </w:lvl>
    <w:lvl w:ilvl="2" w:tentative="0">
      <w:start w:val="1"/>
      <w:numFmt w:val="chineseCountingThousand"/>
      <w:lvlText w:val="%3、"/>
      <w:lvlJc w:val="left"/>
      <w:pPr>
        <w:ind w:left="1260" w:hanging="420"/>
      </w:pPr>
    </w:lvl>
    <w:lvl w:ilvl="3" w:tentative="0">
      <w:start w:val="1"/>
      <w:numFmt w:val="japaneseCounting"/>
      <w:lvlText w:val="（%4）"/>
      <w:lvlJc w:val="left"/>
      <w:pPr>
        <w:ind w:left="1980" w:hanging="720"/>
      </w:pPr>
      <w:rPr>
        <w:rFonts w:hint="default"/>
        <w:color w:val="auto"/>
      </w:rPr>
    </w:lvl>
    <w:lvl w:ilvl="4" w:tentative="0">
      <w:start w:val="1"/>
      <w:numFmt w:val="japaneseCounting"/>
      <w:lvlText w:val="%5、"/>
      <w:lvlJc w:val="left"/>
      <w:pPr>
        <w:ind w:left="2130" w:hanging="450"/>
      </w:pPr>
      <w:rPr>
        <w:rFonts w:hint="default"/>
      </w:r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64DF1B6A"/>
    <w:multiLevelType w:val="multilevel"/>
    <w:tmpl w:val="64DF1B6A"/>
    <w:lvl w:ilvl="0" w:tentative="0">
      <w:start w:val="1"/>
      <w:numFmt w:val="chineseCountingThousand"/>
      <w:lvlText w:val="(%1)"/>
      <w:lvlJc w:val="left"/>
      <w:pPr>
        <w:ind w:left="860" w:hanging="420"/>
      </w:pPr>
      <w:rPr>
        <w:color w:val="auto"/>
      </w:rPr>
    </w:lvl>
    <w:lvl w:ilvl="1" w:tentative="0">
      <w:start w:val="1"/>
      <w:numFmt w:val="lowerLetter"/>
      <w:lvlText w:val="%2)"/>
      <w:lvlJc w:val="left"/>
      <w:pPr>
        <w:ind w:left="1280" w:hanging="420"/>
      </w:pPr>
    </w:lvl>
    <w:lvl w:ilvl="2" w:tentative="0">
      <w:start w:val="1"/>
      <w:numFmt w:val="lowerRoman"/>
      <w:lvlText w:val="%3."/>
      <w:lvlJc w:val="right"/>
      <w:pPr>
        <w:ind w:left="1700" w:hanging="420"/>
      </w:pPr>
    </w:lvl>
    <w:lvl w:ilvl="3" w:tentative="0">
      <w:start w:val="1"/>
      <w:numFmt w:val="decimal"/>
      <w:lvlText w:val="%4."/>
      <w:lvlJc w:val="left"/>
      <w:pPr>
        <w:ind w:left="2120" w:hanging="420"/>
      </w:pPr>
    </w:lvl>
    <w:lvl w:ilvl="4" w:tentative="0">
      <w:start w:val="1"/>
      <w:numFmt w:val="lowerLetter"/>
      <w:lvlText w:val="%5)"/>
      <w:lvlJc w:val="left"/>
      <w:pPr>
        <w:ind w:left="2540" w:hanging="420"/>
      </w:pPr>
    </w:lvl>
    <w:lvl w:ilvl="5" w:tentative="0">
      <w:start w:val="1"/>
      <w:numFmt w:val="lowerRoman"/>
      <w:lvlText w:val="%6."/>
      <w:lvlJc w:val="right"/>
      <w:pPr>
        <w:ind w:left="2960" w:hanging="420"/>
      </w:pPr>
    </w:lvl>
    <w:lvl w:ilvl="6" w:tentative="0">
      <w:start w:val="1"/>
      <w:numFmt w:val="decimal"/>
      <w:lvlText w:val="%7."/>
      <w:lvlJc w:val="left"/>
      <w:pPr>
        <w:ind w:left="3380" w:hanging="420"/>
      </w:pPr>
    </w:lvl>
    <w:lvl w:ilvl="7" w:tentative="0">
      <w:start w:val="1"/>
      <w:numFmt w:val="lowerLetter"/>
      <w:lvlText w:val="%8)"/>
      <w:lvlJc w:val="left"/>
      <w:pPr>
        <w:ind w:left="3800" w:hanging="420"/>
      </w:pPr>
    </w:lvl>
    <w:lvl w:ilvl="8" w:tentative="0">
      <w:start w:val="1"/>
      <w:numFmt w:val="lowerRoman"/>
      <w:lvlText w:val="%9."/>
      <w:lvlJc w:val="right"/>
      <w:pPr>
        <w:ind w:left="4220" w:hanging="420"/>
      </w:pPr>
    </w:lvl>
  </w:abstractNum>
  <w:abstractNum w:abstractNumId="10">
    <w:nsid w:val="6E9C1FD8"/>
    <w:multiLevelType w:val="multilevel"/>
    <w:tmpl w:val="6E9C1FD8"/>
    <w:lvl w:ilvl="0" w:tentative="0">
      <w:start w:val="1"/>
      <w:numFmt w:val="chineseCountingThousand"/>
      <w:lvlText w:val="(%1)"/>
      <w:lvlJc w:val="left"/>
      <w:pPr>
        <w:ind w:left="862" w:hanging="420"/>
      </w:pPr>
    </w:lvl>
    <w:lvl w:ilvl="1" w:tentative="0">
      <w:start w:val="1"/>
      <w:numFmt w:val="lowerLetter"/>
      <w:lvlText w:val="%2)"/>
      <w:lvlJc w:val="left"/>
      <w:pPr>
        <w:ind w:left="1282" w:hanging="420"/>
      </w:pPr>
    </w:lvl>
    <w:lvl w:ilvl="2" w:tentative="0">
      <w:start w:val="1"/>
      <w:numFmt w:val="lowerRoman"/>
      <w:lvlText w:val="%3."/>
      <w:lvlJc w:val="right"/>
      <w:pPr>
        <w:ind w:left="1702" w:hanging="420"/>
      </w:pPr>
    </w:lvl>
    <w:lvl w:ilvl="3" w:tentative="0">
      <w:start w:val="1"/>
      <w:numFmt w:val="decimal"/>
      <w:lvlText w:val="%4."/>
      <w:lvlJc w:val="left"/>
      <w:pPr>
        <w:ind w:left="2122" w:hanging="420"/>
      </w:pPr>
    </w:lvl>
    <w:lvl w:ilvl="4" w:tentative="0">
      <w:start w:val="1"/>
      <w:numFmt w:val="lowerLetter"/>
      <w:lvlText w:val="%5)"/>
      <w:lvlJc w:val="left"/>
      <w:pPr>
        <w:ind w:left="2542" w:hanging="420"/>
      </w:pPr>
    </w:lvl>
    <w:lvl w:ilvl="5" w:tentative="0">
      <w:start w:val="1"/>
      <w:numFmt w:val="lowerRoman"/>
      <w:lvlText w:val="%6."/>
      <w:lvlJc w:val="right"/>
      <w:pPr>
        <w:ind w:left="2962" w:hanging="420"/>
      </w:pPr>
    </w:lvl>
    <w:lvl w:ilvl="6" w:tentative="0">
      <w:start w:val="1"/>
      <w:numFmt w:val="decimal"/>
      <w:lvlText w:val="%7."/>
      <w:lvlJc w:val="left"/>
      <w:pPr>
        <w:ind w:left="3382" w:hanging="420"/>
      </w:pPr>
    </w:lvl>
    <w:lvl w:ilvl="7" w:tentative="0">
      <w:start w:val="1"/>
      <w:numFmt w:val="lowerLetter"/>
      <w:lvlText w:val="%8)"/>
      <w:lvlJc w:val="left"/>
      <w:pPr>
        <w:ind w:left="3802" w:hanging="420"/>
      </w:pPr>
    </w:lvl>
    <w:lvl w:ilvl="8" w:tentative="0">
      <w:start w:val="1"/>
      <w:numFmt w:val="lowerRoman"/>
      <w:lvlText w:val="%9."/>
      <w:lvlJc w:val="right"/>
      <w:pPr>
        <w:ind w:left="4222" w:hanging="420"/>
      </w:pPr>
    </w:lvl>
  </w:abstractNum>
  <w:num w:numId="1">
    <w:abstractNumId w:val="8"/>
  </w:num>
  <w:num w:numId="2">
    <w:abstractNumId w:val="2"/>
  </w:num>
  <w:num w:numId="3">
    <w:abstractNumId w:val="5"/>
  </w:num>
  <w:num w:numId="4">
    <w:abstractNumId w:val="7"/>
  </w:num>
  <w:num w:numId="5">
    <w:abstractNumId w:val="0"/>
  </w:num>
  <w:num w:numId="6">
    <w:abstractNumId w:val="1"/>
  </w:num>
  <w:num w:numId="7">
    <w:abstractNumId w:val="10"/>
  </w:num>
  <w:num w:numId="8">
    <w:abstractNumId w:val="6"/>
  </w:num>
  <w:num w:numId="9">
    <w:abstractNumId w:val="4"/>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GJlYmQ5ZGIyOTg5ZmViOWM2MzhmNTE0ZWRiNGQifQ=="/>
  </w:docVars>
  <w:rsids>
    <w:rsidRoot w:val="7D1834A8"/>
    <w:rsid w:val="40785E5B"/>
    <w:rsid w:val="7D1834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annotation text"/>
    <w:basedOn w:val="1"/>
    <w:unhideWhenUsed/>
    <w:qFormat/>
    <w:uiPriority w:val="0"/>
    <w:pPr>
      <w:widowControl/>
      <w:spacing w:after="200" w:line="276" w:lineRule="auto"/>
      <w:jc w:val="left"/>
    </w:pPr>
    <w:rPr>
      <w:kern w:val="0"/>
      <w:sz w:val="22"/>
      <w:lang w:eastAsia="en-US" w:bidi="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2023-11-01T15:54:00Z</dcterms:created>
  <dc:creator>WPS_1615730574</dc:creator>
  <cp:lastModifiedBy>WPS_1615730574</cp:lastModifiedBy>
  <dcterms:modified xsi:type="dcterms:W3CDTF">2023-11-01T16:13:06Z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F428C63C16A34D9C91EC5F02B888109D_11</vt:lpwstr>
  </property>
</Properties>
</file>