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6E21CE">
      <w:pPr>
        <w:shd w:val="clear"/>
        <w:spacing w:line="560" w:lineRule="exact"/>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中国交建重庆轨道交通18号线北延工程项目</w:t>
      </w:r>
    </w:p>
    <w:p w14:paraId="4677D675">
      <w:pPr>
        <w:shd w:val="clear"/>
        <w:spacing w:line="560" w:lineRule="exact"/>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lang w:eastAsia="zh-CN"/>
        </w:rPr>
        <w:t>钢轨运输服务</w:t>
      </w:r>
      <w:r>
        <w:rPr>
          <w:rFonts w:hint="eastAsia" w:ascii="仿宋" w:hAnsi="仿宋" w:eastAsia="仿宋" w:cs="仿宋"/>
          <w:b/>
          <w:color w:val="auto"/>
          <w:sz w:val="32"/>
          <w:szCs w:val="32"/>
          <w:highlight w:val="none"/>
        </w:rPr>
        <w:t>招标公告</w:t>
      </w:r>
    </w:p>
    <w:p w14:paraId="035E60FB">
      <w:pPr>
        <w:pStyle w:val="5"/>
        <w:widowControl/>
        <w:shd w:val="clear"/>
        <w:spacing w:line="560" w:lineRule="exact"/>
        <w:rPr>
          <w:rFonts w:hint="eastAsia" w:ascii="仿宋" w:hAnsi="仿宋" w:eastAsia="仿宋" w:cs="仿宋"/>
          <w:color w:val="auto"/>
          <w:sz w:val="24"/>
          <w:highlight w:val="none"/>
        </w:rPr>
      </w:pPr>
      <w:bookmarkStart w:id="0" w:name="_Toc463907267"/>
      <w:bookmarkStart w:id="1" w:name="_Toc5872"/>
      <w:bookmarkStart w:id="2" w:name="_Toc24426"/>
      <w:bookmarkStart w:id="3" w:name="_Toc13314"/>
      <w:bookmarkStart w:id="4" w:name="_Toc464525994"/>
      <w:bookmarkStart w:id="5" w:name="_Toc459716590"/>
      <w:bookmarkStart w:id="6" w:name="_Toc463908698"/>
      <w:bookmarkStart w:id="7" w:name="_Toc15313"/>
      <w:r>
        <w:rPr>
          <w:rFonts w:hint="eastAsia" w:ascii="仿宋" w:hAnsi="仿宋" w:eastAsia="仿宋" w:cs="仿宋"/>
          <w:color w:val="auto"/>
          <w:sz w:val="24"/>
          <w:highlight w:val="none"/>
        </w:rPr>
        <w:t>1.招标条件</w:t>
      </w:r>
      <w:bookmarkEnd w:id="0"/>
      <w:bookmarkEnd w:id="1"/>
      <w:bookmarkEnd w:id="2"/>
      <w:bookmarkEnd w:id="3"/>
      <w:bookmarkEnd w:id="4"/>
      <w:bookmarkEnd w:id="5"/>
      <w:bookmarkEnd w:id="6"/>
    </w:p>
    <w:p w14:paraId="51CDD6F3">
      <w:pPr>
        <w:shd w:val="clear"/>
        <w:spacing w:line="480" w:lineRule="exact"/>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本项目中国交建重庆轨道交通18号线北延工程已由重庆市发展和改革委员会以渝发改交通〔2020〕1494号、渝发改交通函〔2021〕8号批准建设，建设资金已落实，项目</w:t>
      </w:r>
      <w:r>
        <w:rPr>
          <w:rFonts w:hint="eastAsia" w:ascii="仿宋" w:hAnsi="仿宋" w:eastAsia="仿宋" w:cs="仿宋"/>
          <w:color w:val="auto"/>
          <w:sz w:val="24"/>
          <w:szCs w:val="28"/>
          <w:highlight w:val="none"/>
          <w:u w:val="single"/>
          <w:lang w:val="en-US" w:eastAsia="zh-CN"/>
        </w:rPr>
        <w:t>钢轨运输服务</w:t>
      </w:r>
      <w:r>
        <w:rPr>
          <w:rFonts w:hint="eastAsia" w:ascii="仿宋" w:hAnsi="仿宋" w:eastAsia="仿宋" w:cs="仿宋"/>
          <w:color w:val="auto"/>
          <w:sz w:val="24"/>
          <w:szCs w:val="28"/>
          <w:highlight w:val="none"/>
        </w:rPr>
        <w:t>已具备招标条件，现采取</w:t>
      </w:r>
      <w:r>
        <w:rPr>
          <w:rFonts w:hint="eastAsia" w:ascii="仿宋" w:hAnsi="仿宋" w:eastAsia="仿宋" w:cs="仿宋"/>
          <w:color w:val="auto"/>
          <w:sz w:val="24"/>
          <w:szCs w:val="28"/>
          <w:highlight w:val="none"/>
          <w:u w:val="single"/>
        </w:rPr>
        <w:t>公开</w:t>
      </w:r>
      <w:r>
        <w:rPr>
          <w:rFonts w:hint="eastAsia" w:ascii="仿宋" w:hAnsi="仿宋" w:eastAsia="仿宋" w:cs="仿宋"/>
          <w:color w:val="auto"/>
          <w:sz w:val="24"/>
          <w:szCs w:val="28"/>
          <w:highlight w:val="none"/>
        </w:rPr>
        <w:t>招标。本次</w:t>
      </w:r>
      <w:r>
        <w:rPr>
          <w:rFonts w:hint="eastAsia" w:ascii="仿宋" w:hAnsi="仿宋" w:eastAsia="仿宋" w:cs="仿宋"/>
          <w:color w:val="auto"/>
          <w:sz w:val="24"/>
          <w:szCs w:val="28"/>
          <w:highlight w:val="none"/>
          <w:u w:val="single"/>
        </w:rPr>
        <w:t>公开招标</w:t>
      </w:r>
      <w:r>
        <w:rPr>
          <w:rFonts w:hint="eastAsia" w:ascii="仿宋" w:hAnsi="仿宋" w:eastAsia="仿宋" w:cs="仿宋"/>
          <w:color w:val="auto"/>
          <w:sz w:val="24"/>
          <w:szCs w:val="28"/>
          <w:highlight w:val="none"/>
        </w:rPr>
        <w:t>采用在</w:t>
      </w:r>
      <w:r>
        <w:rPr>
          <w:rFonts w:hint="eastAsia" w:ascii="仿宋" w:hAnsi="仿宋" w:eastAsia="仿宋" w:cs="仿宋"/>
          <w:color w:val="auto"/>
          <w:sz w:val="24"/>
          <w:szCs w:val="28"/>
          <w:highlight w:val="none"/>
          <w:u w:val="single"/>
        </w:rPr>
        <w:t>中交集团供应链管理信息系统</w:t>
      </w:r>
      <w:r>
        <w:rPr>
          <w:rFonts w:hint="eastAsia" w:ascii="仿宋" w:hAnsi="仿宋" w:eastAsia="仿宋" w:cs="仿宋"/>
          <w:b/>
          <w:color w:val="auto"/>
          <w:sz w:val="24"/>
          <w:szCs w:val="28"/>
          <w:highlight w:val="none"/>
        </w:rPr>
        <w:t>线上招标</w:t>
      </w:r>
      <w:r>
        <w:rPr>
          <w:rFonts w:hint="eastAsia" w:ascii="仿宋" w:hAnsi="仿宋" w:eastAsia="仿宋" w:cs="仿宋"/>
          <w:color w:val="auto"/>
          <w:sz w:val="24"/>
          <w:szCs w:val="28"/>
          <w:highlight w:val="none"/>
        </w:rPr>
        <w:t>的招标方式。</w:t>
      </w:r>
    </w:p>
    <w:p w14:paraId="24AC03F0">
      <w:pPr>
        <w:pStyle w:val="5"/>
        <w:widowControl/>
        <w:shd w:val="clear"/>
        <w:spacing w:line="560" w:lineRule="exact"/>
        <w:rPr>
          <w:rFonts w:hint="eastAsia" w:ascii="仿宋" w:hAnsi="仿宋" w:eastAsia="仿宋" w:cs="仿宋"/>
          <w:color w:val="auto"/>
          <w:sz w:val="24"/>
          <w:highlight w:val="none"/>
        </w:rPr>
      </w:pPr>
      <w:bookmarkStart w:id="8" w:name="_Toc463908699"/>
      <w:bookmarkStart w:id="9" w:name="_Toc13250"/>
      <w:bookmarkStart w:id="10" w:name="_Toc464525995"/>
      <w:bookmarkStart w:id="11" w:name="_Toc463907268"/>
      <w:bookmarkStart w:id="12" w:name="_Toc5003"/>
      <w:r>
        <w:rPr>
          <w:rFonts w:hint="eastAsia" w:ascii="仿宋" w:hAnsi="仿宋" w:eastAsia="仿宋" w:cs="仿宋"/>
          <w:color w:val="auto"/>
          <w:sz w:val="24"/>
          <w:highlight w:val="none"/>
        </w:rPr>
        <w:t>2.项目概况与招标内容</w:t>
      </w:r>
      <w:bookmarkEnd w:id="8"/>
      <w:bookmarkEnd w:id="9"/>
      <w:bookmarkEnd w:id="10"/>
      <w:bookmarkEnd w:id="11"/>
      <w:bookmarkEnd w:id="12"/>
    </w:p>
    <w:p w14:paraId="718C38C8">
      <w:pPr>
        <w:shd w:val="clear"/>
        <w:spacing w:line="560" w:lineRule="exact"/>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2.1 项目概况</w:t>
      </w:r>
    </w:p>
    <w:bookmarkEnd w:id="7"/>
    <w:p w14:paraId="05D89C89">
      <w:pPr>
        <w:shd w:val="clear"/>
        <w:spacing w:line="480" w:lineRule="exact"/>
        <w:ind w:firstLine="480" w:firstLineChars="200"/>
        <w:rPr>
          <w:rFonts w:hint="eastAsia" w:ascii="仿宋" w:hAnsi="仿宋" w:eastAsia="仿宋" w:cs="仿宋"/>
          <w:color w:val="auto"/>
          <w:sz w:val="24"/>
          <w:szCs w:val="28"/>
          <w:highlight w:val="none"/>
        </w:rPr>
      </w:pPr>
      <w:bookmarkStart w:id="13" w:name="_Toc463907269"/>
      <w:bookmarkStart w:id="14" w:name="_Toc11245"/>
      <w:bookmarkStart w:id="15" w:name="_Toc463908700"/>
      <w:r>
        <w:rPr>
          <w:rFonts w:hint="eastAsia" w:ascii="仿宋" w:hAnsi="仿宋" w:eastAsia="仿宋" w:cs="仿宋"/>
          <w:color w:val="auto"/>
          <w:sz w:val="24"/>
          <w:szCs w:val="28"/>
          <w:highlight w:val="none"/>
        </w:rPr>
        <w:t>重庆轨道交通18号线北延工程位于渝中区和九龙坡区，线路东起于小什字站，西至18号线工程（富华路～跳磴南）富华路站（不含），途经湖广会馆、凯旋路、十八梯、七星岗、菜园坝铁路枢纽、黄沙溪、时代天街等地。线路全长10.61km，均为地下线，共设站8座，均为地下站，平均站间距1.25km。设换乘车站3座，分别与5条轨道交通线路换乘。本工程不再新建主变电所及控制中心。小什字扩能改造工程进行二次招标。项目中标价42.17亿元，工期1460日历天。</w:t>
      </w:r>
    </w:p>
    <w:p w14:paraId="58EE383A">
      <w:pPr>
        <w:shd w:val="clear"/>
        <w:spacing w:line="560" w:lineRule="exact"/>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2.2 招标内容</w:t>
      </w:r>
    </w:p>
    <w:p w14:paraId="64149EB0">
      <w:pPr>
        <w:shd w:val="clear"/>
        <w:spacing w:line="480" w:lineRule="exact"/>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2.2.1 本次</w:t>
      </w:r>
      <w:r>
        <w:rPr>
          <w:rFonts w:hint="eastAsia" w:ascii="仿宋" w:hAnsi="仿宋" w:eastAsia="仿宋" w:cs="仿宋"/>
          <w:color w:val="auto"/>
          <w:sz w:val="24"/>
          <w:szCs w:val="28"/>
          <w:highlight w:val="none"/>
          <w:lang w:val="en-US" w:eastAsia="zh-CN"/>
        </w:rPr>
        <w:t>招标</w:t>
      </w:r>
      <w:r>
        <w:rPr>
          <w:rFonts w:hint="eastAsia" w:ascii="仿宋" w:hAnsi="仿宋" w:eastAsia="仿宋" w:cs="仿宋"/>
          <w:color w:val="auto"/>
          <w:sz w:val="24"/>
          <w:szCs w:val="28"/>
          <w:highlight w:val="none"/>
        </w:rPr>
        <w:t>分</w:t>
      </w:r>
      <w:r>
        <w:rPr>
          <w:rFonts w:hint="eastAsia" w:ascii="仿宋" w:hAnsi="仿宋" w:eastAsia="仿宋" w:cs="仿宋"/>
          <w:color w:val="auto"/>
          <w:sz w:val="24"/>
          <w:szCs w:val="28"/>
          <w:highlight w:val="none"/>
          <w:lang w:val="en-US" w:eastAsia="zh-CN"/>
        </w:rPr>
        <w:t>共1</w:t>
      </w:r>
      <w:r>
        <w:rPr>
          <w:rFonts w:hint="eastAsia" w:ascii="仿宋" w:hAnsi="仿宋" w:eastAsia="仿宋" w:cs="仿宋"/>
          <w:color w:val="auto"/>
          <w:sz w:val="24"/>
          <w:szCs w:val="28"/>
          <w:highlight w:val="none"/>
        </w:rPr>
        <w:t>个包件。</w:t>
      </w:r>
    </w:p>
    <w:p w14:paraId="7546B87C">
      <w:pPr>
        <w:shd w:val="clear"/>
        <w:spacing w:line="480" w:lineRule="exact"/>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2.2.2 本次招标的</w:t>
      </w:r>
      <w:r>
        <w:rPr>
          <w:rFonts w:hint="eastAsia" w:ascii="仿宋" w:hAnsi="仿宋" w:eastAsia="仿宋" w:cs="仿宋"/>
          <w:color w:val="auto"/>
          <w:sz w:val="24"/>
          <w:szCs w:val="28"/>
          <w:highlight w:val="none"/>
          <w:lang w:val="en-US" w:eastAsia="zh-CN"/>
        </w:rPr>
        <w:t>钢轨运输车辆的</w:t>
      </w:r>
      <w:r>
        <w:rPr>
          <w:rFonts w:hint="eastAsia" w:ascii="仿宋" w:hAnsi="仿宋" w:eastAsia="仿宋" w:cs="仿宋"/>
          <w:color w:val="auto"/>
          <w:sz w:val="24"/>
          <w:szCs w:val="28"/>
          <w:highlight w:val="none"/>
        </w:rPr>
        <w:t>质量</w:t>
      </w:r>
      <w:r>
        <w:rPr>
          <w:rFonts w:hint="eastAsia" w:ascii="仿宋" w:hAnsi="仿宋" w:eastAsia="仿宋" w:cs="仿宋"/>
          <w:color w:val="auto"/>
          <w:sz w:val="24"/>
          <w:szCs w:val="28"/>
          <w:highlight w:val="none"/>
          <w:lang w:val="en-US" w:eastAsia="zh-CN"/>
        </w:rPr>
        <w:t>需</w:t>
      </w:r>
      <w:r>
        <w:rPr>
          <w:rFonts w:hint="eastAsia" w:ascii="仿宋" w:hAnsi="仿宋" w:eastAsia="仿宋" w:cs="仿宋"/>
          <w:color w:val="auto"/>
          <w:sz w:val="24"/>
          <w:szCs w:val="28"/>
          <w:highlight w:val="none"/>
        </w:rPr>
        <w:t>符合国家标准要求。</w:t>
      </w:r>
    </w:p>
    <w:p w14:paraId="579E1438">
      <w:pPr>
        <w:shd w:val="clear"/>
        <w:spacing w:line="480" w:lineRule="exact"/>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2.2.3 本次</w:t>
      </w:r>
      <w:r>
        <w:rPr>
          <w:rFonts w:hint="eastAsia" w:ascii="仿宋" w:hAnsi="仿宋" w:eastAsia="仿宋" w:cs="仿宋"/>
          <w:color w:val="auto"/>
          <w:sz w:val="24"/>
          <w:szCs w:val="28"/>
          <w:highlight w:val="none"/>
          <w:lang w:eastAsia="zh-CN"/>
        </w:rPr>
        <w:t>钢轨运输服务</w:t>
      </w:r>
      <w:r>
        <w:rPr>
          <w:rFonts w:hint="eastAsia" w:ascii="仿宋" w:hAnsi="仿宋" w:eastAsia="仿宋" w:cs="仿宋"/>
          <w:color w:val="auto"/>
          <w:sz w:val="24"/>
          <w:szCs w:val="28"/>
          <w:highlight w:val="none"/>
        </w:rPr>
        <w:t>招标的供货期</w:t>
      </w:r>
      <w:r>
        <w:rPr>
          <w:rFonts w:hint="eastAsia" w:ascii="仿宋" w:hAnsi="仿宋" w:eastAsia="仿宋" w:cs="仿宋"/>
          <w:color w:val="auto"/>
          <w:sz w:val="24"/>
          <w:szCs w:val="28"/>
          <w:highlight w:val="none"/>
          <w:lang w:val="en-US" w:eastAsia="zh-CN"/>
        </w:rPr>
        <w:t>见钢轨运输服务</w:t>
      </w:r>
      <w:r>
        <w:rPr>
          <w:rFonts w:hint="eastAsia" w:ascii="仿宋" w:hAnsi="仿宋" w:eastAsia="仿宋" w:cs="仿宋"/>
          <w:color w:val="auto"/>
          <w:sz w:val="24"/>
          <w:szCs w:val="28"/>
          <w:highlight w:val="none"/>
          <w:lang w:eastAsia="zh-CN"/>
        </w:rPr>
        <w:t>需求一览表</w:t>
      </w:r>
      <w:r>
        <w:rPr>
          <w:rFonts w:hint="eastAsia" w:ascii="仿宋" w:hAnsi="仿宋" w:eastAsia="仿宋" w:cs="仿宋"/>
          <w:color w:val="auto"/>
          <w:sz w:val="24"/>
          <w:szCs w:val="28"/>
          <w:highlight w:val="none"/>
        </w:rPr>
        <w:t>。</w:t>
      </w:r>
    </w:p>
    <w:p w14:paraId="5A41B3D3">
      <w:pPr>
        <w:shd w:val="clear"/>
        <w:spacing w:line="480" w:lineRule="exact"/>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2.2.4 招标人不组织投标预备会，不组织现场考察，建议投标人自行进行现场踏勘，投标人可以选择多种运输方式和多种运输线路，投标人的综合费用不因运输方式和运输线路的变化而调整，投标人报价时应将此因素考虑在内。</w:t>
      </w:r>
    </w:p>
    <w:p w14:paraId="3438010D">
      <w:pPr>
        <w:pStyle w:val="5"/>
        <w:widowControl/>
        <w:shd w:val="clear"/>
        <w:spacing w:line="560" w:lineRule="exact"/>
        <w:rPr>
          <w:rFonts w:hint="eastAsia" w:ascii="仿宋" w:hAnsi="仿宋" w:eastAsia="仿宋" w:cs="仿宋"/>
          <w:color w:val="auto"/>
          <w:sz w:val="24"/>
          <w:highlight w:val="none"/>
        </w:rPr>
      </w:pPr>
      <w:bookmarkStart w:id="16" w:name="_Toc8846"/>
      <w:r>
        <w:rPr>
          <w:rFonts w:hint="eastAsia" w:ascii="仿宋" w:hAnsi="仿宋" w:eastAsia="仿宋" w:cs="仿宋"/>
          <w:color w:val="auto"/>
          <w:sz w:val="24"/>
          <w:highlight w:val="none"/>
        </w:rPr>
        <w:t>3.投标人资格要求</w:t>
      </w:r>
      <w:bookmarkEnd w:id="13"/>
      <w:bookmarkEnd w:id="14"/>
      <w:bookmarkEnd w:id="15"/>
      <w:bookmarkEnd w:id="16"/>
    </w:p>
    <w:p w14:paraId="449DF2BF">
      <w:pPr>
        <w:shd w:val="clear"/>
        <w:spacing w:line="400" w:lineRule="exact"/>
        <w:ind w:firstLine="480" w:firstLineChars="200"/>
        <w:rPr>
          <w:rFonts w:hint="eastAsia" w:ascii="仿宋" w:hAnsi="仿宋" w:eastAsia="仿宋" w:cs="仿宋"/>
          <w:color w:val="auto"/>
          <w:sz w:val="24"/>
          <w:szCs w:val="28"/>
          <w:highlight w:val="none"/>
        </w:rPr>
      </w:pPr>
      <w:r>
        <w:rPr>
          <w:rFonts w:ascii="仿宋" w:hAnsi="仿宋" w:eastAsia="仿宋" w:cs="仿宋"/>
          <w:color w:val="auto"/>
          <w:sz w:val="24"/>
          <w:szCs w:val="28"/>
          <w:highlight w:val="none"/>
        </w:rPr>
        <w:t>3.1</w:t>
      </w:r>
      <w:r>
        <w:rPr>
          <w:rFonts w:hint="eastAsia" w:ascii="仿宋" w:hAnsi="仿宋" w:eastAsia="仿宋" w:cs="仿宋"/>
          <w:b/>
          <w:bCs/>
          <w:color w:val="auto"/>
          <w:sz w:val="24"/>
          <w:szCs w:val="28"/>
          <w:highlight w:val="none"/>
        </w:rPr>
        <w:t>营业范围</w:t>
      </w:r>
      <w:r>
        <w:rPr>
          <w:rFonts w:ascii="仿宋" w:hAnsi="仿宋" w:eastAsia="仿宋" w:cs="仿宋"/>
          <w:b/>
          <w:bCs/>
          <w:color w:val="auto"/>
          <w:sz w:val="24"/>
          <w:szCs w:val="28"/>
          <w:highlight w:val="none"/>
        </w:rPr>
        <w:t>要求</w:t>
      </w:r>
      <w:r>
        <w:rPr>
          <w:rFonts w:ascii="仿宋" w:hAnsi="仿宋" w:eastAsia="仿宋" w:cs="仿宋"/>
          <w:color w:val="auto"/>
          <w:sz w:val="24"/>
          <w:szCs w:val="28"/>
          <w:highlight w:val="none"/>
        </w:rPr>
        <w:t>：</w:t>
      </w:r>
      <w:r>
        <w:rPr>
          <w:rFonts w:hint="eastAsia" w:ascii="仿宋" w:hAnsi="仿宋" w:eastAsia="仿宋" w:cs="仿宋"/>
          <w:color w:val="auto"/>
          <w:sz w:val="24"/>
          <w:szCs w:val="28"/>
          <w:highlight w:val="none"/>
        </w:rPr>
        <w:t>本次招标要求投标人为在中国境内依法注册、具备独立法人资格、增值税一般纳税人资格、合法有效营业执照。</w:t>
      </w:r>
    </w:p>
    <w:p w14:paraId="31992D3B">
      <w:pPr>
        <w:shd w:val="clear"/>
        <w:spacing w:line="480" w:lineRule="exact"/>
        <w:ind w:firstLine="564"/>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3.2</w:t>
      </w:r>
      <w:r>
        <w:rPr>
          <w:rFonts w:hint="eastAsia" w:ascii="仿宋" w:hAnsi="仿宋" w:eastAsia="仿宋" w:cs="仿宋"/>
          <w:b/>
          <w:bCs/>
          <w:color w:val="auto"/>
          <w:sz w:val="24"/>
          <w:szCs w:val="28"/>
          <w:highlight w:val="none"/>
        </w:rPr>
        <w:t>生产能力要求</w:t>
      </w:r>
      <w:r>
        <w:rPr>
          <w:rFonts w:hint="eastAsia" w:ascii="仿宋" w:hAnsi="仿宋" w:eastAsia="仿宋" w:cs="仿宋"/>
          <w:color w:val="auto"/>
          <w:sz w:val="24"/>
          <w:szCs w:val="28"/>
          <w:highlight w:val="none"/>
        </w:rPr>
        <w:t>：投标人</w:t>
      </w:r>
      <w:r>
        <w:rPr>
          <w:rFonts w:hint="eastAsia" w:ascii="仿宋" w:hAnsi="仿宋" w:eastAsia="仿宋" w:cs="仿宋"/>
          <w:color w:val="auto"/>
          <w:sz w:val="24"/>
          <w:szCs w:val="28"/>
          <w:highlight w:val="none"/>
          <w:lang w:val="en-US" w:eastAsia="zh-CN"/>
        </w:rPr>
        <w:t>提供钢轨运输服务的车辆设备</w:t>
      </w:r>
      <w:r>
        <w:rPr>
          <w:rFonts w:hint="eastAsia" w:ascii="仿宋" w:hAnsi="仿宋" w:eastAsia="仿宋" w:cs="仿宋"/>
          <w:color w:val="auto"/>
          <w:sz w:val="24"/>
          <w:szCs w:val="28"/>
          <w:highlight w:val="none"/>
        </w:rPr>
        <w:t>必须符合国家本行业政策的相关规定，满足招标人施工技术及供应要求。</w:t>
      </w:r>
    </w:p>
    <w:p w14:paraId="26E2308A">
      <w:pPr>
        <w:shd w:val="clear"/>
        <w:spacing w:line="480" w:lineRule="exact"/>
        <w:ind w:firstLine="480" w:firstLineChars="200"/>
        <w:rPr>
          <w:rFonts w:ascii="仿宋" w:hAnsi="仿宋" w:eastAsia="仿宋" w:cs="仿宋"/>
          <w:color w:val="auto"/>
          <w:sz w:val="24"/>
          <w:szCs w:val="28"/>
          <w:highlight w:val="none"/>
        </w:rPr>
      </w:pPr>
      <w:r>
        <w:rPr>
          <w:rFonts w:hint="eastAsia" w:ascii="仿宋" w:hAnsi="仿宋" w:eastAsia="仿宋" w:cs="仿宋"/>
          <w:color w:val="auto"/>
          <w:sz w:val="24"/>
          <w:szCs w:val="28"/>
          <w:highlight w:val="none"/>
        </w:rPr>
        <w:t>3.3</w:t>
      </w:r>
      <w:r>
        <w:rPr>
          <w:rFonts w:hint="eastAsia" w:ascii="仿宋" w:hAnsi="仿宋" w:eastAsia="仿宋" w:cs="仿宋"/>
          <w:b/>
          <w:bCs/>
          <w:color w:val="auto"/>
          <w:sz w:val="24"/>
          <w:szCs w:val="28"/>
          <w:highlight w:val="none"/>
        </w:rPr>
        <w:t>财务能力要求</w:t>
      </w:r>
      <w:r>
        <w:rPr>
          <w:rFonts w:hint="eastAsia" w:ascii="仿宋" w:hAnsi="仿宋" w:eastAsia="仿宋" w:cs="仿宋"/>
          <w:color w:val="auto"/>
          <w:sz w:val="24"/>
          <w:szCs w:val="28"/>
          <w:highlight w:val="none"/>
        </w:rPr>
        <w:t>：具有良好的财务状况（须提供最近三年的会计师事务所出具的财务审计报告，含资产负债表、现金流量表、损益表等）。</w:t>
      </w:r>
    </w:p>
    <w:p w14:paraId="6A9D84FD">
      <w:pPr>
        <w:shd w:val="clear"/>
        <w:spacing w:line="480" w:lineRule="exact"/>
        <w:ind w:firstLine="564"/>
        <w:rPr>
          <w:rFonts w:ascii="仿宋" w:hAnsi="仿宋" w:eastAsia="仿宋" w:cs="仿宋"/>
          <w:color w:val="auto"/>
          <w:sz w:val="24"/>
          <w:szCs w:val="28"/>
          <w:highlight w:val="none"/>
        </w:rPr>
      </w:pPr>
      <w:r>
        <w:rPr>
          <w:rFonts w:hint="eastAsia" w:ascii="仿宋" w:hAnsi="仿宋" w:eastAsia="仿宋" w:cs="仿宋"/>
          <w:color w:val="auto"/>
          <w:sz w:val="24"/>
          <w:szCs w:val="28"/>
          <w:highlight w:val="none"/>
        </w:rPr>
        <w:t>3.</w:t>
      </w:r>
      <w:r>
        <w:rPr>
          <w:rFonts w:hint="eastAsia" w:ascii="仿宋" w:hAnsi="仿宋" w:eastAsia="仿宋" w:cs="仿宋"/>
          <w:color w:val="auto"/>
          <w:sz w:val="24"/>
          <w:szCs w:val="28"/>
          <w:highlight w:val="none"/>
          <w:lang w:val="en-US" w:eastAsia="zh-CN"/>
        </w:rPr>
        <w:t>4</w:t>
      </w:r>
      <w:r>
        <w:rPr>
          <w:rFonts w:hint="eastAsia" w:ascii="仿宋" w:hAnsi="仿宋" w:eastAsia="仿宋" w:cs="仿宋"/>
          <w:b/>
          <w:bCs/>
          <w:color w:val="auto"/>
          <w:sz w:val="24"/>
          <w:szCs w:val="28"/>
          <w:highlight w:val="none"/>
          <w:lang w:eastAsia="zh-CN"/>
        </w:rPr>
        <w:t>业绩</w:t>
      </w:r>
      <w:r>
        <w:rPr>
          <w:rFonts w:hint="eastAsia" w:ascii="仿宋" w:hAnsi="仿宋" w:eastAsia="仿宋" w:cs="仿宋"/>
          <w:b/>
          <w:bCs/>
          <w:color w:val="auto"/>
          <w:sz w:val="24"/>
          <w:szCs w:val="28"/>
          <w:highlight w:val="none"/>
        </w:rPr>
        <w:t>要求</w:t>
      </w:r>
      <w:r>
        <w:rPr>
          <w:rFonts w:hint="eastAsia" w:ascii="仿宋" w:hAnsi="仿宋" w:eastAsia="仿宋" w:cs="仿宋"/>
          <w:color w:val="auto"/>
          <w:sz w:val="24"/>
          <w:szCs w:val="28"/>
          <w:highlight w:val="none"/>
        </w:rPr>
        <w:t>：须提供近</w:t>
      </w:r>
      <w:r>
        <w:rPr>
          <w:rFonts w:hint="eastAsia" w:ascii="仿宋" w:hAnsi="仿宋" w:eastAsia="仿宋" w:cs="仿宋"/>
          <w:color w:val="auto"/>
          <w:sz w:val="24"/>
          <w:szCs w:val="28"/>
          <w:highlight w:val="none"/>
          <w:lang w:val="en-US" w:eastAsia="zh-CN"/>
        </w:rPr>
        <w:t>5</w:t>
      </w:r>
      <w:r>
        <w:rPr>
          <w:rFonts w:hint="eastAsia" w:ascii="仿宋" w:hAnsi="仿宋" w:eastAsia="仿宋" w:cs="仿宋"/>
          <w:color w:val="auto"/>
          <w:sz w:val="24"/>
          <w:szCs w:val="28"/>
          <w:highlight w:val="none"/>
        </w:rPr>
        <w:t>年的</w:t>
      </w:r>
      <w:r>
        <w:rPr>
          <w:rFonts w:hint="eastAsia" w:ascii="仿宋" w:hAnsi="仿宋" w:eastAsia="仿宋" w:cs="仿宋"/>
          <w:color w:val="auto"/>
          <w:sz w:val="24"/>
          <w:szCs w:val="28"/>
          <w:highlight w:val="none"/>
          <w:lang w:val="en-US" w:eastAsia="zh-CN"/>
        </w:rPr>
        <w:t>运输服务</w:t>
      </w:r>
      <w:r>
        <w:rPr>
          <w:rFonts w:hint="eastAsia" w:ascii="仿宋" w:hAnsi="仿宋" w:eastAsia="仿宋" w:cs="仿宋"/>
          <w:color w:val="auto"/>
          <w:sz w:val="24"/>
          <w:szCs w:val="28"/>
          <w:highlight w:val="none"/>
          <w:lang w:eastAsia="zh-CN"/>
        </w:rPr>
        <w:t>业绩</w:t>
      </w:r>
      <w:r>
        <w:rPr>
          <w:rFonts w:hint="eastAsia" w:ascii="仿宋" w:hAnsi="仿宋" w:eastAsia="仿宋" w:cs="仿宋"/>
          <w:color w:val="auto"/>
          <w:sz w:val="24"/>
          <w:szCs w:val="28"/>
          <w:highlight w:val="none"/>
        </w:rPr>
        <w:t>（投标人、</w:t>
      </w:r>
      <w:r>
        <w:rPr>
          <w:rFonts w:hint="eastAsia" w:ascii="仿宋" w:hAnsi="仿宋" w:eastAsia="仿宋" w:cs="仿宋"/>
          <w:color w:val="auto"/>
          <w:sz w:val="24"/>
          <w:szCs w:val="28"/>
          <w:highlight w:val="none"/>
          <w:lang w:eastAsia="zh-CN"/>
        </w:rPr>
        <w:t>租赁业绩</w:t>
      </w:r>
      <w:r>
        <w:rPr>
          <w:rFonts w:hint="eastAsia" w:ascii="仿宋" w:hAnsi="仿宋" w:eastAsia="仿宋" w:cs="仿宋"/>
          <w:color w:val="auto"/>
          <w:sz w:val="24"/>
          <w:szCs w:val="28"/>
          <w:highlight w:val="none"/>
        </w:rPr>
        <w:t>合同签署方、发票销售方须一致，中标通知书扫描件或供货合同扫描件，原件备查），且没有因</w:t>
      </w:r>
      <w:r>
        <w:rPr>
          <w:rFonts w:hint="eastAsia" w:ascii="仿宋" w:hAnsi="仿宋" w:eastAsia="仿宋" w:cs="仿宋"/>
          <w:color w:val="auto"/>
          <w:sz w:val="24"/>
          <w:szCs w:val="28"/>
          <w:highlight w:val="none"/>
          <w:lang w:val="en-US" w:eastAsia="zh-CN"/>
        </w:rPr>
        <w:t>服务</w:t>
      </w:r>
      <w:r>
        <w:rPr>
          <w:rFonts w:hint="eastAsia" w:ascii="仿宋" w:hAnsi="仿宋" w:eastAsia="仿宋" w:cs="仿宋"/>
          <w:color w:val="auto"/>
          <w:sz w:val="24"/>
          <w:szCs w:val="28"/>
          <w:highlight w:val="none"/>
        </w:rPr>
        <w:t>不及时造成工程停工、中标人中途退出、甲乙双方提前终止合同等情况的。</w:t>
      </w:r>
    </w:p>
    <w:p w14:paraId="1AC3C2C7">
      <w:pPr>
        <w:shd w:val="clear"/>
        <w:spacing w:line="480" w:lineRule="exact"/>
        <w:ind w:firstLine="564"/>
        <w:rPr>
          <w:rFonts w:hint="eastAsia" w:ascii="仿宋" w:hAnsi="仿宋" w:eastAsia="仿宋" w:cs="仿宋"/>
          <w:color w:val="auto"/>
          <w:sz w:val="24"/>
          <w:szCs w:val="28"/>
          <w:highlight w:val="none"/>
          <w:lang w:eastAsia="zh-CN"/>
        </w:rPr>
      </w:pPr>
      <w:r>
        <w:rPr>
          <w:rFonts w:hint="eastAsia" w:ascii="仿宋" w:hAnsi="仿宋" w:eastAsia="仿宋" w:cs="仿宋"/>
          <w:bCs/>
          <w:color w:val="auto"/>
          <w:sz w:val="24"/>
          <w:szCs w:val="28"/>
          <w:highlight w:val="none"/>
        </w:rPr>
        <w:t>3.6</w:t>
      </w:r>
      <w:r>
        <w:rPr>
          <w:rFonts w:hint="eastAsia" w:ascii="仿宋" w:hAnsi="仿宋" w:eastAsia="仿宋" w:cs="仿宋"/>
          <w:b/>
          <w:color w:val="auto"/>
          <w:sz w:val="24"/>
          <w:szCs w:val="28"/>
          <w:highlight w:val="none"/>
        </w:rPr>
        <w:t>履约信用要求</w:t>
      </w:r>
      <w:r>
        <w:rPr>
          <w:rFonts w:hint="eastAsia" w:ascii="仿宋" w:hAnsi="仿宋" w:eastAsia="仿宋" w:cs="仿宋"/>
          <w:color w:val="auto"/>
          <w:sz w:val="24"/>
          <w:szCs w:val="28"/>
          <w:highlight w:val="none"/>
        </w:rPr>
        <w:t>:无不良履约记录、未列入工程所在地质量监督部门和中国交建企业黑名单。因质量原因被相关部门通报，正在进行整改的生产厂家和产品不得参与投标。生产商具有良好的社会信誉，近3年内没有骗取合同有关的犯罪或严重违法行为而引起的诉讼和仲裁；近3年不曾在合同中严重违约或被清退出场；财产未被接管或冻结，企业未处于禁止或取消投标状态；同时，要求企业基本户开户银行出具的资信证明或至少3家同类投标</w:t>
      </w:r>
      <w:r>
        <w:rPr>
          <w:rFonts w:hint="eastAsia" w:ascii="仿宋" w:hAnsi="仿宋" w:eastAsia="仿宋" w:cs="仿宋"/>
          <w:color w:val="auto"/>
          <w:sz w:val="24"/>
          <w:szCs w:val="28"/>
          <w:highlight w:val="none"/>
          <w:lang w:eastAsia="zh-CN"/>
        </w:rPr>
        <w:t>机械设备</w:t>
      </w:r>
      <w:r>
        <w:rPr>
          <w:rFonts w:hint="eastAsia" w:ascii="仿宋" w:hAnsi="仿宋" w:eastAsia="仿宋" w:cs="仿宋"/>
          <w:color w:val="auto"/>
          <w:sz w:val="24"/>
          <w:szCs w:val="28"/>
          <w:highlight w:val="none"/>
        </w:rPr>
        <w:t>已供</w:t>
      </w:r>
      <w:r>
        <w:rPr>
          <w:rFonts w:hint="eastAsia" w:ascii="仿宋" w:hAnsi="仿宋" w:eastAsia="仿宋" w:cs="仿宋"/>
          <w:color w:val="auto"/>
          <w:sz w:val="24"/>
          <w:szCs w:val="28"/>
          <w:highlight w:val="none"/>
          <w:lang w:eastAsia="zh-CN"/>
        </w:rPr>
        <w:t>承租方</w:t>
      </w:r>
      <w:r>
        <w:rPr>
          <w:rFonts w:hint="eastAsia" w:ascii="仿宋" w:hAnsi="仿宋" w:eastAsia="仿宋" w:cs="仿宋"/>
          <w:color w:val="auto"/>
          <w:sz w:val="24"/>
          <w:szCs w:val="28"/>
          <w:highlight w:val="none"/>
        </w:rPr>
        <w:t>或使用单位出具的履约情况证明。招标人有权忽略未对投标人履行合同能力构成实质性影响的微小偏差。如果在投标有效期内，对于受到通报批评或被列入重庆轨道交通建设市场从业黑名单或被中国交建列入黑名单的，招标人有权取消其投标资格；已经中标者，招标人有权取消其中标资格。近两年内未发生质量安全责任事故</w:t>
      </w:r>
      <w:r>
        <w:rPr>
          <w:rFonts w:hint="eastAsia" w:ascii="仿宋" w:hAnsi="仿宋" w:eastAsia="仿宋" w:cs="仿宋"/>
          <w:color w:val="auto"/>
          <w:sz w:val="24"/>
          <w:szCs w:val="28"/>
          <w:highlight w:val="none"/>
          <w:lang w:eastAsia="zh-CN"/>
        </w:rPr>
        <w:t>。</w:t>
      </w:r>
    </w:p>
    <w:p w14:paraId="1AA7561C">
      <w:pPr>
        <w:shd w:val="clear"/>
        <w:spacing w:line="480" w:lineRule="exact"/>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3.7</w:t>
      </w:r>
      <w:r>
        <w:rPr>
          <w:rFonts w:hint="eastAsia" w:ascii="仿宋" w:hAnsi="仿宋" w:eastAsia="仿宋" w:cs="仿宋"/>
          <w:b/>
          <w:color w:val="auto"/>
          <w:sz w:val="24"/>
          <w:szCs w:val="28"/>
          <w:highlight w:val="none"/>
        </w:rPr>
        <w:t>其他要求</w:t>
      </w:r>
      <w:r>
        <w:rPr>
          <w:rFonts w:hint="eastAsia" w:ascii="仿宋" w:hAnsi="仿宋" w:eastAsia="仿宋" w:cs="仿宋"/>
          <w:color w:val="auto"/>
          <w:sz w:val="24"/>
          <w:szCs w:val="28"/>
          <w:highlight w:val="none"/>
        </w:rPr>
        <w:t>：</w:t>
      </w:r>
    </w:p>
    <w:p w14:paraId="520521B1">
      <w:pPr>
        <w:shd w:val="clear"/>
        <w:spacing w:line="480" w:lineRule="exact"/>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参与本项目竞标的投标人须在中国交通建设股份有限公司或中国交建轨道交通事业部（轨道交通分公司）供应商网络范围内，须为中交集团供应链管理信息系统平台内的注册合格供应商，近三年内在中国交通建设集团内无不良行为记录，包括但不限于恶意竞标、围标、低价中标拒绝履约、与中国交建各级公司或项目发生法律诉讼、诉前保全等情况。</w:t>
      </w:r>
    </w:p>
    <w:p w14:paraId="0EF3E3EF">
      <w:pPr>
        <w:shd w:val="clear"/>
        <w:spacing w:line="480" w:lineRule="exact"/>
        <w:ind w:firstLine="564"/>
        <w:rPr>
          <w:rFonts w:hint="eastAsia" w:ascii="仿宋" w:hAnsi="仿宋" w:eastAsia="仿宋" w:cs="仿宋"/>
          <w:color w:val="auto"/>
          <w:sz w:val="24"/>
          <w:szCs w:val="28"/>
          <w:highlight w:val="none"/>
          <w:lang w:val="en-US" w:eastAsia="zh-CN"/>
        </w:rPr>
      </w:pPr>
      <w:r>
        <w:rPr>
          <w:rFonts w:hint="eastAsia" w:ascii="仿宋" w:hAnsi="仿宋" w:eastAsia="仿宋" w:cs="仿宋"/>
          <w:color w:val="auto"/>
          <w:sz w:val="24"/>
          <w:szCs w:val="28"/>
          <w:highlight w:val="none"/>
          <w:lang w:eastAsia="zh-CN"/>
        </w:rPr>
        <w:t>认可并遵守中交集团及项目单位关于黑名单和重点关注名单“一处失信、处处受限”联合惩戒以及诚信廉洁共</w:t>
      </w:r>
      <w:r>
        <w:rPr>
          <w:rFonts w:hint="eastAsia" w:ascii="仿宋" w:hAnsi="仿宋" w:eastAsia="仿宋" w:cs="仿宋"/>
          <w:color w:val="auto"/>
          <w:sz w:val="24"/>
          <w:szCs w:val="28"/>
          <w:highlight w:val="none"/>
          <w:lang w:val="en-US" w:eastAsia="zh-CN"/>
        </w:rPr>
        <w:t>建共享等相关规定。认可并</w:t>
      </w:r>
      <w:r>
        <w:rPr>
          <w:rFonts w:hint="eastAsia" w:ascii="仿宋" w:hAnsi="仿宋" w:eastAsia="仿宋" w:cs="仿宋"/>
          <w:color w:val="auto"/>
          <w:sz w:val="24"/>
          <w:szCs w:val="28"/>
          <w:highlight w:val="none"/>
          <w:lang w:eastAsia="zh-CN"/>
        </w:rPr>
        <w:t>遵守</w:t>
      </w:r>
      <w:r>
        <w:rPr>
          <w:rFonts w:hint="eastAsia" w:ascii="仿宋" w:hAnsi="仿宋" w:eastAsia="仿宋" w:cs="仿宋"/>
          <w:color w:val="auto"/>
          <w:sz w:val="24"/>
          <w:szCs w:val="28"/>
          <w:highlight w:val="none"/>
          <w:lang w:val="en-US" w:eastAsia="zh-CN"/>
        </w:rPr>
        <w:t>采购合规管理要求，配合中交集团做供应商合规审查，包括但不限于</w:t>
      </w:r>
      <w:r>
        <w:rPr>
          <w:rFonts w:hint="eastAsia" w:ascii="仿宋" w:hAnsi="仿宋" w:eastAsia="仿宋" w:cs="仿宋"/>
          <w:color w:val="auto"/>
          <w:sz w:val="24"/>
          <w:szCs w:val="28"/>
          <w:highlight w:val="none"/>
          <w:lang w:eastAsia="zh-CN"/>
        </w:rPr>
        <w:t>调查问卷</w:t>
      </w:r>
      <w:r>
        <w:rPr>
          <w:rFonts w:hint="eastAsia" w:ascii="仿宋" w:hAnsi="仿宋" w:eastAsia="仿宋" w:cs="仿宋"/>
          <w:color w:val="auto"/>
          <w:sz w:val="24"/>
          <w:szCs w:val="28"/>
          <w:highlight w:val="none"/>
          <w:lang w:val="en-US" w:eastAsia="zh-CN"/>
        </w:rPr>
        <w:t>和合规声明。</w:t>
      </w:r>
    </w:p>
    <w:p w14:paraId="606CD667">
      <w:pPr>
        <w:shd w:val="clear"/>
        <w:spacing w:line="480" w:lineRule="exact"/>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中标候选人应对招标人组织开展的现场考核工作予以积极配合（以了解中标候选人的生产能力、质量控制及技术服务水平等综合实力）；</w:t>
      </w:r>
      <w:r>
        <w:rPr>
          <w:rFonts w:hint="eastAsia" w:ascii="仿宋" w:hAnsi="仿宋" w:eastAsia="仿宋" w:cs="仿宋"/>
          <w:b/>
          <w:bCs/>
          <w:color w:val="auto"/>
          <w:sz w:val="24"/>
          <w:szCs w:val="28"/>
          <w:highlight w:val="none"/>
        </w:rPr>
        <w:t>投标人应确保提供的相关资料齐全并且真实有效，投标人提供资料不真实有效的按废标处理。</w:t>
      </w:r>
      <w:r>
        <w:rPr>
          <w:rFonts w:hint="eastAsia" w:ascii="仿宋" w:hAnsi="仿宋" w:eastAsia="仿宋" w:cs="仿宋"/>
          <w:color w:val="auto"/>
          <w:sz w:val="24"/>
          <w:szCs w:val="28"/>
          <w:highlight w:val="none"/>
        </w:rPr>
        <w:t>投标人必须保证中标签订合同后由中标人直接供应，否则视为中标人违约，扣除全部</w:t>
      </w:r>
      <w:r>
        <w:rPr>
          <w:rFonts w:hint="eastAsia" w:ascii="仿宋" w:hAnsi="仿宋" w:eastAsia="仿宋" w:cs="仿宋"/>
          <w:color w:val="auto"/>
          <w:sz w:val="24"/>
          <w:szCs w:val="28"/>
          <w:highlight w:val="none"/>
          <w:lang w:eastAsia="zh-CN"/>
        </w:rPr>
        <w:t>银行保函</w:t>
      </w:r>
      <w:r>
        <w:rPr>
          <w:rFonts w:hint="eastAsia" w:ascii="仿宋" w:hAnsi="仿宋" w:eastAsia="仿宋" w:cs="仿宋"/>
          <w:color w:val="auto"/>
          <w:sz w:val="24"/>
          <w:szCs w:val="28"/>
          <w:highlight w:val="none"/>
        </w:rPr>
        <w:t>。</w:t>
      </w:r>
    </w:p>
    <w:p w14:paraId="213C8C94">
      <w:pPr>
        <w:shd w:val="clear"/>
        <w:spacing w:line="480" w:lineRule="exact"/>
        <w:ind w:firstLine="480" w:firstLineChars="200"/>
        <w:rPr>
          <w:rFonts w:ascii="仿宋" w:hAnsi="仿宋" w:eastAsia="仿宋" w:cs="仿宋"/>
          <w:b w:val="0"/>
          <w:bCs w:val="0"/>
          <w:color w:val="auto"/>
          <w:sz w:val="24"/>
          <w:szCs w:val="28"/>
          <w:highlight w:val="none"/>
        </w:rPr>
      </w:pPr>
      <w:r>
        <w:rPr>
          <w:rFonts w:hint="eastAsia" w:ascii="仿宋" w:hAnsi="仿宋" w:eastAsia="仿宋" w:cs="仿宋"/>
          <w:b w:val="0"/>
          <w:bCs w:val="0"/>
          <w:color w:val="auto"/>
          <w:sz w:val="24"/>
          <w:szCs w:val="28"/>
          <w:highlight w:val="none"/>
        </w:rPr>
        <w:t>本次招标执行最高限价，招标人不接受超过最高限价的投标报价。</w:t>
      </w:r>
    </w:p>
    <w:p w14:paraId="66B1B54A">
      <w:pPr>
        <w:shd w:val="clear"/>
        <w:spacing w:line="480" w:lineRule="exact"/>
        <w:ind w:firstLine="480" w:firstLineChars="200"/>
        <w:rPr>
          <w:rFonts w:ascii="仿宋" w:hAnsi="仿宋" w:eastAsia="仿宋" w:cs="仿宋"/>
          <w:color w:val="auto"/>
          <w:sz w:val="24"/>
          <w:szCs w:val="28"/>
          <w:highlight w:val="none"/>
        </w:rPr>
      </w:pPr>
      <w:r>
        <w:rPr>
          <w:rFonts w:hint="eastAsia" w:ascii="仿宋" w:hAnsi="仿宋" w:eastAsia="仿宋" w:cs="仿宋"/>
          <w:color w:val="auto"/>
          <w:sz w:val="24"/>
          <w:szCs w:val="28"/>
          <w:highlight w:val="none"/>
        </w:rPr>
        <w:t>本次招标不接受联合体投标。单位负责人为同一人或者存在控股、管理关系的不同单位，不得参加同一包件投标，否则，相关投标均被否决。</w:t>
      </w:r>
    </w:p>
    <w:p w14:paraId="48DC0471">
      <w:pPr>
        <w:pStyle w:val="5"/>
        <w:shd w:val="clear"/>
        <w:spacing w:line="560" w:lineRule="exact"/>
        <w:rPr>
          <w:rFonts w:hint="eastAsia" w:ascii="仿宋" w:hAnsi="仿宋" w:eastAsia="仿宋" w:cs="仿宋"/>
          <w:color w:val="auto"/>
          <w:sz w:val="24"/>
          <w:highlight w:val="none"/>
        </w:rPr>
      </w:pPr>
      <w:bookmarkStart w:id="17" w:name="_Toc9052"/>
      <w:r>
        <w:rPr>
          <w:rFonts w:hint="eastAsia" w:ascii="仿宋" w:hAnsi="仿宋" w:eastAsia="仿宋" w:cs="仿宋"/>
          <w:color w:val="auto"/>
          <w:sz w:val="24"/>
          <w:highlight w:val="none"/>
        </w:rPr>
        <w:t>4.资格审查</w:t>
      </w:r>
      <w:bookmarkEnd w:id="17"/>
    </w:p>
    <w:p w14:paraId="738E4AA3">
      <w:pPr>
        <w:shd w:val="clear"/>
        <w:spacing w:line="480" w:lineRule="exact"/>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本次招标采取“资格后审”，即在评标时对投标人资格进行符合性审查，不符合投标文件要求的按废标处理。</w:t>
      </w:r>
    </w:p>
    <w:p w14:paraId="6F467BB0">
      <w:pPr>
        <w:pStyle w:val="5"/>
        <w:shd w:val="clear"/>
        <w:spacing w:line="560" w:lineRule="exact"/>
        <w:rPr>
          <w:rFonts w:hint="eastAsia" w:ascii="仿宋" w:hAnsi="仿宋" w:eastAsia="仿宋" w:cs="仿宋"/>
          <w:color w:val="auto"/>
          <w:sz w:val="24"/>
          <w:highlight w:val="none"/>
        </w:rPr>
      </w:pPr>
      <w:bookmarkStart w:id="18" w:name="_Toc463907272"/>
      <w:bookmarkStart w:id="19" w:name="_Toc463908703"/>
      <w:bookmarkStart w:id="20" w:name="_Toc13793"/>
      <w:bookmarkStart w:id="21" w:name="_Toc13151"/>
      <w:r>
        <w:rPr>
          <w:rFonts w:hint="eastAsia" w:ascii="仿宋" w:hAnsi="仿宋" w:eastAsia="仿宋" w:cs="仿宋"/>
          <w:color w:val="auto"/>
          <w:sz w:val="24"/>
          <w:highlight w:val="none"/>
        </w:rPr>
        <w:t>5.招标文件的获取</w:t>
      </w:r>
      <w:bookmarkEnd w:id="18"/>
      <w:bookmarkEnd w:id="19"/>
      <w:bookmarkEnd w:id="20"/>
      <w:bookmarkEnd w:id="21"/>
    </w:p>
    <w:p w14:paraId="42637F2A">
      <w:pPr>
        <w:shd w:val="clear"/>
        <w:spacing w:line="480" w:lineRule="exact"/>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5.1凡参加投标者，须注册成为中交集团供应链管理信息系统（http://ec.ccccltd.cn/PMS/）的在册供方并选择参与本次招标。（供应商所属单位为“中国交通建设股份有限公司”或“中国交建轨道交通事业部（轨道交通分公司）”层面的供应商，可直接选择参与；新注册时，请投标人参照供应商登录界面下方操作手册中相关说明，并仔细阅读“附件2：供应商准入审核要点”，推荐单位“</w:t>
      </w:r>
      <w:r>
        <w:rPr>
          <w:rFonts w:hint="eastAsia" w:ascii="仿宋" w:hAnsi="仿宋" w:eastAsia="仿宋" w:cs="仿宋"/>
          <w:color w:val="auto"/>
          <w:sz w:val="24"/>
          <w:szCs w:val="28"/>
          <w:highlight w:val="none"/>
          <w:lang w:val="en-US" w:eastAsia="zh-CN"/>
        </w:rPr>
        <w:t>中交第二公路工程局有限公司</w:t>
      </w:r>
      <w:r>
        <w:rPr>
          <w:rFonts w:hint="eastAsia" w:ascii="仿宋" w:hAnsi="仿宋" w:eastAsia="仿宋" w:cs="仿宋"/>
          <w:color w:val="auto"/>
          <w:sz w:val="24"/>
          <w:szCs w:val="28"/>
          <w:highlight w:val="none"/>
        </w:rPr>
        <w:t>”；如已注册且所属单位为其他子、分公司请选择增加合作意向单位“中国交建</w:t>
      </w:r>
      <w:r>
        <w:rPr>
          <w:rFonts w:hint="eastAsia" w:ascii="仿宋" w:hAnsi="仿宋" w:eastAsia="仿宋" w:cs="仿宋"/>
          <w:color w:val="auto"/>
          <w:sz w:val="24"/>
          <w:szCs w:val="28"/>
          <w:highlight w:val="none"/>
          <w:lang w:val="en-US" w:eastAsia="zh-CN"/>
        </w:rPr>
        <w:t>重庆</w:t>
      </w:r>
      <w:r>
        <w:rPr>
          <w:rFonts w:hint="eastAsia" w:ascii="仿宋" w:hAnsi="仿宋" w:eastAsia="仿宋" w:cs="仿宋"/>
          <w:color w:val="auto"/>
          <w:sz w:val="24"/>
          <w:szCs w:val="28"/>
          <w:highlight w:val="none"/>
        </w:rPr>
        <w:t>轨道交通</w:t>
      </w:r>
      <w:r>
        <w:rPr>
          <w:rFonts w:hint="eastAsia" w:ascii="仿宋" w:hAnsi="仿宋" w:eastAsia="仿宋" w:cs="仿宋"/>
          <w:color w:val="auto"/>
          <w:sz w:val="24"/>
          <w:szCs w:val="28"/>
          <w:highlight w:val="none"/>
          <w:lang w:val="en-US" w:eastAsia="zh-CN"/>
        </w:rPr>
        <w:t>18号线北延工程</w:t>
      </w:r>
      <w:r>
        <w:rPr>
          <w:rFonts w:hint="eastAsia" w:ascii="仿宋" w:hAnsi="仿宋" w:eastAsia="仿宋" w:cs="仿宋"/>
          <w:color w:val="auto"/>
          <w:sz w:val="24"/>
          <w:szCs w:val="28"/>
          <w:highlight w:val="none"/>
        </w:rPr>
        <w:t>”。</w:t>
      </w:r>
      <w:r>
        <w:rPr>
          <w:rFonts w:hint="eastAsia" w:ascii="仿宋" w:hAnsi="仿宋" w:eastAsia="仿宋" w:cs="仿宋"/>
          <w:color w:val="auto"/>
          <w:sz w:val="24"/>
          <w:szCs w:val="28"/>
          <w:highlight w:val="none"/>
          <w:u w:val="none"/>
        </w:rPr>
        <w:t>请于</w:t>
      </w:r>
      <w:r>
        <w:rPr>
          <w:rFonts w:hint="eastAsia" w:ascii="仿宋" w:hAnsi="仿宋" w:eastAsia="仿宋" w:cs="仿宋"/>
          <w:color w:val="auto"/>
          <w:sz w:val="24"/>
          <w:szCs w:val="28"/>
          <w:highlight w:val="none"/>
          <w:u w:val="single"/>
        </w:rPr>
        <w:t>202</w:t>
      </w:r>
      <w:r>
        <w:rPr>
          <w:rFonts w:hint="eastAsia" w:ascii="仿宋" w:hAnsi="仿宋" w:eastAsia="仿宋" w:cs="仿宋"/>
          <w:color w:val="auto"/>
          <w:sz w:val="24"/>
          <w:szCs w:val="28"/>
          <w:highlight w:val="none"/>
          <w:u w:val="single"/>
          <w:lang w:val="en-US" w:eastAsia="zh-CN"/>
        </w:rPr>
        <w:t>5</w:t>
      </w:r>
      <w:r>
        <w:rPr>
          <w:rFonts w:hint="eastAsia" w:ascii="仿宋" w:hAnsi="仿宋" w:eastAsia="仿宋" w:cs="仿宋"/>
          <w:color w:val="auto"/>
          <w:sz w:val="24"/>
          <w:szCs w:val="28"/>
          <w:highlight w:val="none"/>
          <w:u w:val="single"/>
        </w:rPr>
        <w:t>年</w:t>
      </w:r>
      <w:r>
        <w:rPr>
          <w:rFonts w:hint="eastAsia" w:ascii="仿宋" w:hAnsi="仿宋" w:eastAsia="仿宋" w:cs="仿宋"/>
          <w:color w:val="auto"/>
          <w:sz w:val="24"/>
          <w:szCs w:val="28"/>
          <w:highlight w:val="none"/>
          <w:u w:val="single"/>
          <w:lang w:val="en-US" w:eastAsia="zh-CN"/>
        </w:rPr>
        <w:t>5</w:t>
      </w:r>
      <w:r>
        <w:rPr>
          <w:rFonts w:hint="eastAsia" w:ascii="仿宋" w:hAnsi="仿宋" w:eastAsia="仿宋" w:cs="仿宋"/>
          <w:color w:val="auto"/>
          <w:sz w:val="24"/>
          <w:szCs w:val="28"/>
          <w:highlight w:val="none"/>
          <w:u w:val="single"/>
        </w:rPr>
        <w:t>月</w:t>
      </w:r>
      <w:r>
        <w:rPr>
          <w:rFonts w:hint="eastAsia" w:ascii="仿宋" w:hAnsi="仿宋" w:eastAsia="仿宋" w:cs="仿宋"/>
          <w:color w:val="auto"/>
          <w:sz w:val="24"/>
          <w:szCs w:val="28"/>
          <w:highlight w:val="none"/>
          <w:u w:val="single"/>
          <w:lang w:val="en-US" w:eastAsia="zh-CN"/>
        </w:rPr>
        <w:t>26</w:t>
      </w:r>
      <w:r>
        <w:rPr>
          <w:rFonts w:hint="eastAsia" w:ascii="仿宋" w:hAnsi="仿宋" w:eastAsia="仿宋" w:cs="仿宋"/>
          <w:color w:val="auto"/>
          <w:sz w:val="24"/>
          <w:szCs w:val="28"/>
          <w:highlight w:val="none"/>
          <w:u w:val="single"/>
        </w:rPr>
        <w:t>日</w:t>
      </w:r>
      <w:r>
        <w:rPr>
          <w:rFonts w:hint="eastAsia" w:ascii="仿宋" w:hAnsi="仿宋" w:eastAsia="仿宋" w:cs="仿宋"/>
          <w:color w:val="auto"/>
          <w:sz w:val="24"/>
          <w:szCs w:val="28"/>
          <w:highlight w:val="none"/>
          <w:u w:val="single"/>
          <w:lang w:val="en-US" w:eastAsia="zh-CN"/>
        </w:rPr>
        <w:t>14</w:t>
      </w:r>
      <w:r>
        <w:rPr>
          <w:rFonts w:hint="eastAsia" w:ascii="仿宋" w:hAnsi="仿宋" w:eastAsia="仿宋" w:cs="仿宋"/>
          <w:color w:val="auto"/>
          <w:sz w:val="24"/>
          <w:szCs w:val="28"/>
          <w:highlight w:val="none"/>
          <w:u w:val="single"/>
        </w:rPr>
        <w:t>时</w:t>
      </w:r>
      <w:r>
        <w:rPr>
          <w:rFonts w:hint="eastAsia" w:ascii="仿宋" w:hAnsi="仿宋" w:eastAsia="仿宋" w:cs="仿宋"/>
          <w:color w:val="auto"/>
          <w:sz w:val="24"/>
          <w:szCs w:val="28"/>
          <w:highlight w:val="none"/>
          <w:u w:val="single"/>
          <w:lang w:val="en-US" w:eastAsia="zh-CN"/>
        </w:rPr>
        <w:t>3</w:t>
      </w:r>
      <w:r>
        <w:rPr>
          <w:rFonts w:hint="eastAsia" w:ascii="仿宋" w:hAnsi="仿宋" w:eastAsia="仿宋" w:cs="仿宋"/>
          <w:color w:val="auto"/>
          <w:sz w:val="24"/>
          <w:szCs w:val="28"/>
          <w:highlight w:val="none"/>
          <w:u w:val="single"/>
        </w:rPr>
        <w:t>0分至202</w:t>
      </w:r>
      <w:r>
        <w:rPr>
          <w:rFonts w:hint="eastAsia" w:ascii="仿宋" w:hAnsi="仿宋" w:eastAsia="仿宋" w:cs="仿宋"/>
          <w:color w:val="auto"/>
          <w:sz w:val="24"/>
          <w:szCs w:val="28"/>
          <w:highlight w:val="none"/>
          <w:u w:val="single"/>
          <w:lang w:val="en-US" w:eastAsia="zh-CN"/>
        </w:rPr>
        <w:t>5</w:t>
      </w:r>
      <w:r>
        <w:rPr>
          <w:rFonts w:hint="eastAsia" w:ascii="仿宋" w:hAnsi="仿宋" w:eastAsia="仿宋" w:cs="仿宋"/>
          <w:color w:val="auto"/>
          <w:sz w:val="24"/>
          <w:szCs w:val="28"/>
          <w:highlight w:val="none"/>
          <w:u w:val="single"/>
        </w:rPr>
        <w:t>年</w:t>
      </w:r>
      <w:r>
        <w:rPr>
          <w:rFonts w:hint="eastAsia" w:ascii="仿宋" w:hAnsi="仿宋" w:eastAsia="仿宋" w:cs="仿宋"/>
          <w:color w:val="auto"/>
          <w:sz w:val="24"/>
          <w:szCs w:val="28"/>
          <w:highlight w:val="none"/>
          <w:u w:val="single"/>
          <w:lang w:val="en-US" w:eastAsia="zh-CN"/>
        </w:rPr>
        <w:t>5</w:t>
      </w:r>
      <w:r>
        <w:rPr>
          <w:rFonts w:hint="eastAsia" w:ascii="仿宋" w:hAnsi="仿宋" w:eastAsia="仿宋" w:cs="仿宋"/>
          <w:color w:val="auto"/>
          <w:sz w:val="24"/>
          <w:szCs w:val="28"/>
          <w:highlight w:val="none"/>
          <w:u w:val="single"/>
        </w:rPr>
        <w:t>月</w:t>
      </w:r>
      <w:r>
        <w:rPr>
          <w:rFonts w:hint="eastAsia" w:ascii="仿宋" w:hAnsi="仿宋" w:eastAsia="仿宋" w:cs="仿宋"/>
          <w:color w:val="auto"/>
          <w:sz w:val="24"/>
          <w:szCs w:val="28"/>
          <w:highlight w:val="none"/>
          <w:u w:val="single"/>
          <w:lang w:val="en-US" w:eastAsia="zh-CN"/>
        </w:rPr>
        <w:t>31</w:t>
      </w:r>
      <w:r>
        <w:rPr>
          <w:rFonts w:hint="eastAsia" w:ascii="仿宋" w:hAnsi="仿宋" w:eastAsia="仿宋" w:cs="仿宋"/>
          <w:color w:val="auto"/>
          <w:sz w:val="24"/>
          <w:szCs w:val="28"/>
          <w:highlight w:val="none"/>
          <w:u w:val="single"/>
        </w:rPr>
        <w:t>日</w:t>
      </w:r>
      <w:r>
        <w:rPr>
          <w:rFonts w:hint="eastAsia" w:ascii="仿宋" w:hAnsi="仿宋" w:eastAsia="仿宋" w:cs="仿宋"/>
          <w:color w:val="auto"/>
          <w:sz w:val="24"/>
          <w:szCs w:val="28"/>
          <w:highlight w:val="none"/>
          <w:u w:val="single"/>
          <w:lang w:val="en-US" w:eastAsia="zh-CN"/>
        </w:rPr>
        <w:t>14</w:t>
      </w:r>
      <w:r>
        <w:rPr>
          <w:rFonts w:hint="eastAsia" w:ascii="仿宋" w:hAnsi="仿宋" w:eastAsia="仿宋" w:cs="仿宋"/>
          <w:color w:val="auto"/>
          <w:sz w:val="24"/>
          <w:szCs w:val="28"/>
          <w:highlight w:val="none"/>
          <w:u w:val="single"/>
        </w:rPr>
        <w:t>时</w:t>
      </w:r>
      <w:r>
        <w:rPr>
          <w:rFonts w:hint="eastAsia" w:ascii="仿宋" w:hAnsi="仿宋" w:eastAsia="仿宋" w:cs="仿宋"/>
          <w:color w:val="auto"/>
          <w:sz w:val="24"/>
          <w:szCs w:val="28"/>
          <w:highlight w:val="none"/>
          <w:u w:val="single"/>
          <w:lang w:val="en-US" w:eastAsia="zh-CN"/>
        </w:rPr>
        <w:t>3</w:t>
      </w:r>
      <w:r>
        <w:rPr>
          <w:rFonts w:hint="eastAsia" w:ascii="仿宋" w:hAnsi="仿宋" w:eastAsia="仿宋" w:cs="仿宋"/>
          <w:color w:val="auto"/>
          <w:sz w:val="24"/>
          <w:szCs w:val="28"/>
          <w:highlight w:val="none"/>
          <w:u w:val="single"/>
        </w:rPr>
        <w:t>0分</w:t>
      </w:r>
      <w:r>
        <w:rPr>
          <w:rFonts w:hint="eastAsia" w:ascii="仿宋" w:hAnsi="仿宋" w:eastAsia="仿宋" w:cs="仿宋"/>
          <w:color w:val="auto"/>
          <w:sz w:val="24"/>
          <w:szCs w:val="28"/>
          <w:highlight w:val="none"/>
        </w:rPr>
        <w:t>，在中交集团供应链管理信息系统平台（http://ec.ccccltd.cn/PMS/）下载招标文件，本次招标不提供纸质版招标文件。</w:t>
      </w:r>
    </w:p>
    <w:p w14:paraId="6C6CC6D6">
      <w:pPr>
        <w:shd w:val="clear"/>
        <w:spacing w:line="480" w:lineRule="exact"/>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5.2本次招标的招标文件售价</w:t>
      </w:r>
      <w:r>
        <w:rPr>
          <w:rFonts w:hint="eastAsia" w:ascii="仿宋" w:hAnsi="仿宋" w:eastAsia="仿宋" w:cs="仿宋"/>
          <w:color w:val="auto"/>
          <w:sz w:val="24"/>
          <w:szCs w:val="28"/>
          <w:highlight w:val="none"/>
          <w:lang w:val="en-US" w:eastAsia="zh-CN"/>
        </w:rPr>
        <w:t>500</w:t>
      </w:r>
      <w:r>
        <w:rPr>
          <w:rFonts w:hint="eastAsia" w:ascii="仿宋" w:hAnsi="仿宋" w:eastAsia="仿宋" w:cs="仿宋"/>
          <w:color w:val="auto"/>
          <w:sz w:val="24"/>
          <w:szCs w:val="28"/>
          <w:highlight w:val="none"/>
        </w:rPr>
        <w:t>元</w:t>
      </w:r>
      <w:r>
        <w:rPr>
          <w:rFonts w:hint="eastAsia" w:ascii="仿宋" w:hAnsi="仿宋" w:eastAsia="仿宋" w:cs="仿宋"/>
          <w:color w:val="auto"/>
          <w:sz w:val="24"/>
          <w:szCs w:val="28"/>
          <w:highlight w:val="none"/>
          <w:lang w:val="en-US" w:eastAsia="zh-CN"/>
        </w:rPr>
        <w:t>每包件</w:t>
      </w:r>
      <w:r>
        <w:rPr>
          <w:rFonts w:hint="eastAsia" w:ascii="仿宋" w:hAnsi="仿宋" w:eastAsia="仿宋" w:cs="仿宋"/>
          <w:color w:val="auto"/>
          <w:sz w:val="24"/>
          <w:szCs w:val="28"/>
          <w:highlight w:val="none"/>
        </w:rPr>
        <w:t>（招标文件中提到的货币单位除有特别说明外，均指人民币元，下同），售后不退，招标人不提供投标人购买招标文件费用的发票。</w:t>
      </w:r>
    </w:p>
    <w:p w14:paraId="518EDE98">
      <w:pPr>
        <w:shd w:val="clear"/>
        <w:spacing w:line="480" w:lineRule="exact"/>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投标人应于</w:t>
      </w:r>
      <w:r>
        <w:rPr>
          <w:rFonts w:hint="eastAsia" w:ascii="仿宋" w:hAnsi="仿宋" w:eastAsia="仿宋" w:cs="仿宋"/>
          <w:color w:val="auto"/>
          <w:sz w:val="24"/>
          <w:szCs w:val="28"/>
          <w:highlight w:val="none"/>
          <w:u w:val="single"/>
        </w:rPr>
        <w:t>202</w:t>
      </w:r>
      <w:r>
        <w:rPr>
          <w:rFonts w:hint="eastAsia" w:ascii="仿宋" w:hAnsi="仿宋" w:eastAsia="仿宋" w:cs="仿宋"/>
          <w:color w:val="auto"/>
          <w:sz w:val="24"/>
          <w:szCs w:val="28"/>
          <w:highlight w:val="none"/>
          <w:u w:val="single"/>
          <w:lang w:val="en-US" w:eastAsia="zh-CN"/>
        </w:rPr>
        <w:t>5</w:t>
      </w:r>
      <w:r>
        <w:rPr>
          <w:rFonts w:hint="eastAsia" w:ascii="仿宋" w:hAnsi="仿宋" w:eastAsia="仿宋" w:cs="仿宋"/>
          <w:color w:val="auto"/>
          <w:sz w:val="24"/>
          <w:szCs w:val="28"/>
          <w:highlight w:val="none"/>
          <w:u w:val="single"/>
        </w:rPr>
        <w:t>年</w:t>
      </w:r>
      <w:r>
        <w:rPr>
          <w:rFonts w:hint="eastAsia" w:ascii="仿宋" w:hAnsi="仿宋" w:eastAsia="仿宋" w:cs="仿宋"/>
          <w:color w:val="auto"/>
          <w:sz w:val="24"/>
          <w:szCs w:val="28"/>
          <w:highlight w:val="none"/>
          <w:u w:val="single"/>
          <w:lang w:val="en-US" w:eastAsia="zh-CN"/>
        </w:rPr>
        <w:t>5</w:t>
      </w:r>
      <w:r>
        <w:rPr>
          <w:rFonts w:hint="eastAsia" w:ascii="仿宋" w:hAnsi="仿宋" w:eastAsia="仿宋" w:cs="仿宋"/>
          <w:color w:val="auto"/>
          <w:sz w:val="24"/>
          <w:szCs w:val="28"/>
          <w:highlight w:val="none"/>
          <w:u w:val="single"/>
        </w:rPr>
        <w:t>月</w:t>
      </w:r>
      <w:r>
        <w:rPr>
          <w:rFonts w:hint="eastAsia" w:ascii="仿宋" w:hAnsi="仿宋" w:eastAsia="仿宋" w:cs="仿宋"/>
          <w:color w:val="auto"/>
          <w:sz w:val="24"/>
          <w:szCs w:val="28"/>
          <w:highlight w:val="none"/>
          <w:u w:val="single"/>
          <w:lang w:val="en-US" w:eastAsia="zh-CN"/>
        </w:rPr>
        <w:t>31</w:t>
      </w:r>
      <w:r>
        <w:rPr>
          <w:rFonts w:hint="eastAsia" w:ascii="仿宋" w:hAnsi="仿宋" w:eastAsia="仿宋" w:cs="仿宋"/>
          <w:color w:val="auto"/>
          <w:sz w:val="24"/>
          <w:szCs w:val="28"/>
          <w:highlight w:val="none"/>
          <w:u w:val="single"/>
        </w:rPr>
        <w:t>日</w:t>
      </w:r>
      <w:r>
        <w:rPr>
          <w:rFonts w:hint="eastAsia" w:ascii="仿宋" w:hAnsi="仿宋" w:eastAsia="仿宋" w:cs="仿宋"/>
          <w:color w:val="auto"/>
          <w:sz w:val="24"/>
          <w:szCs w:val="28"/>
          <w:highlight w:val="none"/>
          <w:u w:val="single"/>
          <w:lang w:val="en-US" w:eastAsia="zh-CN"/>
        </w:rPr>
        <w:t>14</w:t>
      </w:r>
      <w:r>
        <w:rPr>
          <w:rFonts w:hint="eastAsia" w:ascii="仿宋" w:hAnsi="仿宋" w:eastAsia="仿宋" w:cs="仿宋"/>
          <w:color w:val="auto"/>
          <w:sz w:val="24"/>
          <w:szCs w:val="28"/>
          <w:highlight w:val="none"/>
          <w:u w:val="single"/>
        </w:rPr>
        <w:t>时</w:t>
      </w:r>
      <w:r>
        <w:rPr>
          <w:rFonts w:hint="eastAsia" w:ascii="仿宋" w:hAnsi="仿宋" w:eastAsia="仿宋" w:cs="仿宋"/>
          <w:color w:val="auto"/>
          <w:sz w:val="24"/>
          <w:szCs w:val="28"/>
          <w:highlight w:val="none"/>
          <w:u w:val="single"/>
          <w:lang w:val="en-US" w:eastAsia="zh-CN"/>
        </w:rPr>
        <w:t>3</w:t>
      </w:r>
      <w:r>
        <w:rPr>
          <w:rFonts w:hint="eastAsia" w:ascii="仿宋" w:hAnsi="仿宋" w:eastAsia="仿宋" w:cs="仿宋"/>
          <w:color w:val="auto"/>
          <w:sz w:val="24"/>
          <w:szCs w:val="28"/>
          <w:highlight w:val="none"/>
          <w:u w:val="single"/>
        </w:rPr>
        <w:t>0分</w:t>
      </w:r>
      <w:r>
        <w:rPr>
          <w:rFonts w:hint="eastAsia" w:ascii="仿宋" w:hAnsi="仿宋" w:eastAsia="仿宋" w:cs="仿宋"/>
          <w:color w:val="auto"/>
          <w:sz w:val="24"/>
          <w:szCs w:val="28"/>
          <w:highlight w:val="none"/>
        </w:rPr>
        <w:t>前以电汇方式缴纳招标文件费用，备注栏填写“</w:t>
      </w:r>
      <w:r>
        <w:rPr>
          <w:rFonts w:hint="eastAsia" w:ascii="仿宋" w:hAnsi="仿宋" w:eastAsia="仿宋" w:cs="仿宋"/>
          <w:color w:val="auto"/>
          <w:sz w:val="24"/>
          <w:szCs w:val="28"/>
          <w:highlight w:val="none"/>
          <w:lang w:val="en-US" w:eastAsia="zh-CN"/>
        </w:rPr>
        <w:t>钢轨运输服务</w:t>
      </w:r>
      <w:r>
        <w:rPr>
          <w:rFonts w:hint="eastAsia" w:ascii="仿宋" w:hAnsi="仿宋" w:eastAsia="仿宋" w:cs="仿宋"/>
          <w:color w:val="auto"/>
          <w:sz w:val="24"/>
          <w:szCs w:val="28"/>
          <w:highlight w:val="none"/>
        </w:rPr>
        <w:t>标书费用”，汇款需使用投标单位的开户行进行汇款，缴纳招标文件费用后，</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"mailto:将付款凭证发至邮箱****@163.com" </w:instrText>
      </w:r>
      <w:r>
        <w:rPr>
          <w:rFonts w:hint="eastAsia" w:ascii="仿宋" w:hAnsi="仿宋" w:eastAsia="仿宋" w:cs="仿宋"/>
          <w:color w:val="auto"/>
          <w:highlight w:val="none"/>
        </w:rPr>
        <w:fldChar w:fldCharType="separate"/>
      </w:r>
      <w:r>
        <w:rPr>
          <w:rFonts w:hint="eastAsia" w:ascii="仿宋" w:hAnsi="仿宋" w:eastAsia="仿宋" w:cs="仿宋"/>
          <w:color w:val="auto"/>
          <w:sz w:val="24"/>
          <w:szCs w:val="28"/>
          <w:highlight w:val="none"/>
        </w:rPr>
        <w:t>将付款凭证发至邮箱</w:t>
      </w:r>
      <w:r>
        <w:rPr>
          <w:rFonts w:hint="eastAsia" w:ascii="仿宋" w:hAnsi="仿宋" w:eastAsia="仿宋" w:cs="仿宋"/>
          <w:color w:val="auto"/>
          <w:sz w:val="24"/>
          <w:szCs w:val="28"/>
          <w:highlight w:val="none"/>
        </w:rPr>
        <w:fldChar w:fldCharType="end"/>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"mailto:544361726@qq.com" </w:instrText>
      </w:r>
      <w:r>
        <w:rPr>
          <w:rFonts w:hint="eastAsia" w:ascii="仿宋" w:hAnsi="仿宋" w:eastAsia="仿宋" w:cs="仿宋"/>
          <w:color w:val="auto"/>
          <w:highlight w:val="none"/>
        </w:rPr>
        <w:fldChar w:fldCharType="separate"/>
      </w:r>
      <w:r>
        <w:rPr>
          <w:rFonts w:hint="eastAsia" w:ascii="仿宋" w:hAnsi="仿宋" w:eastAsia="仿宋" w:cs="仿宋"/>
          <w:color w:val="auto"/>
          <w:sz w:val="24"/>
          <w:szCs w:val="28"/>
          <w:highlight w:val="none"/>
          <w:lang w:eastAsia="zh-CN"/>
        </w:rPr>
        <w:t>1546650943</w:t>
      </w:r>
      <w:r>
        <w:rPr>
          <w:rFonts w:hint="eastAsia" w:ascii="仿宋" w:hAnsi="仿宋" w:eastAsia="仿宋" w:cs="仿宋"/>
          <w:color w:val="auto"/>
          <w:sz w:val="24"/>
          <w:szCs w:val="28"/>
          <w:highlight w:val="none"/>
        </w:rPr>
        <w:t>@qq.com</w:t>
      </w:r>
      <w:r>
        <w:rPr>
          <w:rFonts w:hint="eastAsia" w:ascii="仿宋" w:hAnsi="仿宋" w:eastAsia="仿宋" w:cs="仿宋"/>
          <w:color w:val="auto"/>
          <w:sz w:val="24"/>
          <w:szCs w:val="28"/>
          <w:highlight w:val="none"/>
        </w:rPr>
        <w:fldChar w:fldCharType="end"/>
      </w:r>
      <w:r>
        <w:rPr>
          <w:rFonts w:hint="eastAsia" w:ascii="仿宋" w:hAnsi="仿宋" w:eastAsia="仿宋" w:cs="仿宋"/>
          <w:color w:val="auto"/>
          <w:sz w:val="24"/>
          <w:szCs w:val="28"/>
          <w:highlight w:val="none"/>
        </w:rPr>
        <w:t xml:space="preserve"> ，（标题栏填写“</w:t>
      </w:r>
      <w:r>
        <w:rPr>
          <w:rFonts w:hint="eastAsia" w:ascii="仿宋" w:hAnsi="仿宋" w:eastAsia="仿宋" w:cs="仿宋"/>
          <w:color w:val="auto"/>
          <w:sz w:val="24"/>
          <w:szCs w:val="28"/>
          <w:highlight w:val="none"/>
          <w:lang w:val="en-US" w:eastAsia="zh-CN"/>
        </w:rPr>
        <w:t>钢轨运输服务</w:t>
      </w:r>
      <w:r>
        <w:rPr>
          <w:rFonts w:hint="eastAsia" w:ascii="仿宋" w:hAnsi="仿宋" w:eastAsia="仿宋" w:cs="仿宋"/>
          <w:color w:val="auto"/>
          <w:sz w:val="24"/>
          <w:szCs w:val="28"/>
          <w:highlight w:val="none"/>
        </w:rPr>
        <w:t>标书费用”）方能下载招标文件。购买招标文件的费用及投标保证金请汇入以下账户：</w:t>
      </w:r>
    </w:p>
    <w:p w14:paraId="5BD5A842">
      <w:pPr>
        <w:shd w:val="clear"/>
        <w:spacing w:line="480" w:lineRule="exact"/>
        <w:ind w:left="1679" w:leftChars="228" w:hanging="1200" w:hangingChars="5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 xml:space="preserve">户    名：中国交通建设股份有限公司重庆轨道交通18号线北延工程施工总承包项目部 </w:t>
      </w:r>
    </w:p>
    <w:p w14:paraId="1C71D08F">
      <w:pPr>
        <w:shd w:val="clear"/>
        <w:spacing w:line="480" w:lineRule="exact"/>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开户银行：农业银行北京总行营业部</w:t>
      </w:r>
    </w:p>
    <w:p w14:paraId="6BDF8F67">
      <w:pPr>
        <w:shd w:val="clear"/>
        <w:spacing w:line="480" w:lineRule="exact"/>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账    号：011000079301</w:t>
      </w:r>
    </w:p>
    <w:p w14:paraId="0090C52D">
      <w:pPr>
        <w:shd w:val="clear"/>
        <w:spacing w:line="480" w:lineRule="exact"/>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CNAPS号码:103100000018</w:t>
      </w:r>
    </w:p>
    <w:p w14:paraId="057DA2DA">
      <w:pPr>
        <w:shd w:val="clear"/>
        <w:spacing w:line="480" w:lineRule="exact"/>
        <w:ind w:firstLine="480" w:firstLineChars="200"/>
        <w:rPr>
          <w:rFonts w:hint="eastAsia" w:ascii="仿宋" w:hAnsi="仿宋" w:eastAsia="仿宋" w:cs="仿宋"/>
          <w:color w:val="auto"/>
          <w:sz w:val="24"/>
          <w:szCs w:val="28"/>
          <w:highlight w:val="none"/>
          <w:lang w:val="en-US" w:eastAsia="zh-CN"/>
        </w:rPr>
      </w:pPr>
      <w:r>
        <w:rPr>
          <w:rFonts w:hint="eastAsia" w:ascii="仿宋" w:hAnsi="仿宋" w:eastAsia="仿宋" w:cs="仿宋"/>
          <w:color w:val="auto"/>
          <w:sz w:val="24"/>
          <w:szCs w:val="28"/>
          <w:highlight w:val="none"/>
        </w:rPr>
        <w:t>5.3投标保证金：投标保证金为10000元，于投标截止时间前递交，如未递交，招标人拒绝其投标。电汇时注明：中国交建重庆轨道交通18号线北延工程</w:t>
      </w:r>
      <w:r>
        <w:rPr>
          <w:rFonts w:hint="eastAsia" w:ascii="仿宋" w:hAnsi="仿宋" w:eastAsia="仿宋" w:cs="仿宋"/>
          <w:color w:val="auto"/>
          <w:sz w:val="24"/>
          <w:szCs w:val="28"/>
          <w:highlight w:val="none"/>
          <w:lang w:val="en-US" w:eastAsia="zh-CN"/>
        </w:rPr>
        <w:t>钢轨运输服务</w:t>
      </w:r>
      <w:r>
        <w:rPr>
          <w:rFonts w:hint="eastAsia" w:ascii="仿宋" w:hAnsi="仿宋" w:eastAsia="仿宋" w:cs="仿宋"/>
          <w:color w:val="auto"/>
          <w:sz w:val="24"/>
          <w:szCs w:val="28"/>
          <w:highlight w:val="none"/>
        </w:rPr>
        <w:t>投标保证金</w:t>
      </w:r>
      <w:r>
        <w:rPr>
          <w:rFonts w:hint="eastAsia" w:ascii="仿宋" w:hAnsi="仿宋" w:eastAsia="仿宋" w:cs="仿宋"/>
          <w:color w:val="auto"/>
          <w:sz w:val="24"/>
          <w:szCs w:val="28"/>
          <w:highlight w:val="none"/>
          <w:lang w:val="en-US" w:eastAsia="zh-CN"/>
        </w:rPr>
        <w:t>。</w:t>
      </w:r>
    </w:p>
    <w:p w14:paraId="4B23A90A">
      <w:pPr>
        <w:pStyle w:val="5"/>
        <w:shd w:val="clear"/>
        <w:spacing w:line="560" w:lineRule="exact"/>
        <w:rPr>
          <w:rFonts w:hint="eastAsia" w:ascii="仿宋" w:hAnsi="仿宋" w:eastAsia="仿宋" w:cs="仿宋"/>
          <w:color w:val="auto"/>
          <w:sz w:val="24"/>
          <w:highlight w:val="none"/>
        </w:rPr>
      </w:pPr>
      <w:bookmarkStart w:id="22" w:name="_Toc14399"/>
      <w:bookmarkStart w:id="23" w:name="_Toc26313"/>
      <w:bookmarkStart w:id="24" w:name="_Toc463908704"/>
      <w:bookmarkStart w:id="25" w:name="_Toc463907273"/>
      <w:r>
        <w:rPr>
          <w:rFonts w:hint="eastAsia" w:ascii="仿宋" w:hAnsi="仿宋" w:eastAsia="仿宋" w:cs="仿宋"/>
          <w:color w:val="auto"/>
          <w:sz w:val="24"/>
          <w:highlight w:val="none"/>
        </w:rPr>
        <w:t>6.投标文件的递交</w:t>
      </w:r>
      <w:bookmarkEnd w:id="22"/>
      <w:bookmarkEnd w:id="23"/>
      <w:bookmarkEnd w:id="24"/>
      <w:bookmarkEnd w:id="25"/>
    </w:p>
    <w:p w14:paraId="41FA4969">
      <w:pPr>
        <w:shd w:val="clear"/>
        <w:spacing w:line="480" w:lineRule="exact"/>
        <w:ind w:firstLine="480" w:firstLineChars="200"/>
        <w:rPr>
          <w:rFonts w:hint="eastAsia" w:ascii="仿宋" w:hAnsi="仿宋" w:eastAsia="仿宋" w:cs="仿宋"/>
          <w:color w:val="auto"/>
          <w:sz w:val="24"/>
          <w:szCs w:val="28"/>
          <w:highlight w:val="none"/>
          <w:u w:val="single"/>
        </w:rPr>
      </w:pPr>
      <w:r>
        <w:rPr>
          <w:rFonts w:hint="eastAsia" w:ascii="仿宋" w:hAnsi="仿宋" w:eastAsia="仿宋" w:cs="仿宋"/>
          <w:color w:val="auto"/>
          <w:sz w:val="24"/>
          <w:szCs w:val="28"/>
          <w:highlight w:val="none"/>
        </w:rPr>
        <w:t>6.1在中交集团供应链管理信息系统递交投标文件的时间为：</w:t>
      </w:r>
      <w:r>
        <w:rPr>
          <w:rFonts w:hint="eastAsia" w:ascii="仿宋" w:hAnsi="仿宋" w:eastAsia="仿宋" w:cs="仿宋"/>
          <w:color w:val="auto"/>
          <w:sz w:val="24"/>
          <w:szCs w:val="28"/>
          <w:highlight w:val="none"/>
          <w:u w:val="single"/>
        </w:rPr>
        <w:t>202</w:t>
      </w:r>
      <w:r>
        <w:rPr>
          <w:rFonts w:hint="eastAsia" w:ascii="仿宋" w:hAnsi="仿宋" w:eastAsia="仿宋" w:cs="仿宋"/>
          <w:color w:val="auto"/>
          <w:sz w:val="24"/>
          <w:szCs w:val="28"/>
          <w:highlight w:val="none"/>
          <w:u w:val="single"/>
          <w:lang w:val="en-US" w:eastAsia="zh-CN"/>
        </w:rPr>
        <w:t>5</w:t>
      </w:r>
      <w:r>
        <w:rPr>
          <w:rFonts w:hint="eastAsia" w:ascii="仿宋" w:hAnsi="仿宋" w:eastAsia="仿宋" w:cs="仿宋"/>
          <w:color w:val="auto"/>
          <w:sz w:val="24"/>
          <w:szCs w:val="28"/>
          <w:highlight w:val="none"/>
          <w:u w:val="single"/>
        </w:rPr>
        <w:t>年</w:t>
      </w:r>
      <w:r>
        <w:rPr>
          <w:rFonts w:hint="eastAsia" w:ascii="仿宋" w:hAnsi="仿宋" w:eastAsia="仿宋" w:cs="仿宋"/>
          <w:color w:val="auto"/>
          <w:sz w:val="24"/>
          <w:szCs w:val="28"/>
          <w:highlight w:val="none"/>
          <w:u w:val="single"/>
          <w:lang w:val="en-US" w:eastAsia="zh-CN"/>
        </w:rPr>
        <w:t>6</w:t>
      </w:r>
      <w:r>
        <w:rPr>
          <w:rFonts w:hint="eastAsia" w:ascii="仿宋" w:hAnsi="仿宋" w:eastAsia="仿宋" w:cs="仿宋"/>
          <w:color w:val="auto"/>
          <w:sz w:val="24"/>
          <w:szCs w:val="28"/>
          <w:highlight w:val="none"/>
          <w:u w:val="single"/>
        </w:rPr>
        <w:t>月</w:t>
      </w:r>
      <w:r>
        <w:rPr>
          <w:rFonts w:hint="eastAsia" w:ascii="仿宋" w:hAnsi="仿宋" w:eastAsia="仿宋" w:cs="仿宋"/>
          <w:color w:val="auto"/>
          <w:sz w:val="24"/>
          <w:szCs w:val="28"/>
          <w:highlight w:val="none"/>
          <w:u w:val="single"/>
          <w:lang w:val="en-US" w:eastAsia="zh-CN"/>
        </w:rPr>
        <w:t>15</w:t>
      </w:r>
      <w:r>
        <w:rPr>
          <w:rFonts w:hint="eastAsia" w:ascii="仿宋" w:hAnsi="仿宋" w:eastAsia="仿宋" w:cs="仿宋"/>
          <w:color w:val="auto"/>
          <w:sz w:val="24"/>
          <w:szCs w:val="28"/>
          <w:highlight w:val="none"/>
          <w:u w:val="single"/>
        </w:rPr>
        <w:t>日</w:t>
      </w:r>
      <w:r>
        <w:rPr>
          <w:rFonts w:hint="eastAsia" w:ascii="仿宋" w:hAnsi="仿宋" w:eastAsia="仿宋" w:cs="仿宋"/>
          <w:color w:val="auto"/>
          <w:sz w:val="24"/>
          <w:szCs w:val="28"/>
          <w:highlight w:val="none"/>
          <w:u w:val="single"/>
          <w:lang w:val="en-US" w:eastAsia="zh-CN"/>
        </w:rPr>
        <w:t>14</w:t>
      </w:r>
      <w:r>
        <w:rPr>
          <w:rFonts w:hint="eastAsia" w:ascii="仿宋" w:hAnsi="仿宋" w:eastAsia="仿宋" w:cs="仿宋"/>
          <w:color w:val="auto"/>
          <w:sz w:val="24"/>
          <w:szCs w:val="28"/>
          <w:highlight w:val="none"/>
          <w:u w:val="single"/>
        </w:rPr>
        <w:t>时</w:t>
      </w:r>
      <w:r>
        <w:rPr>
          <w:rFonts w:hint="eastAsia" w:ascii="仿宋" w:hAnsi="仿宋" w:eastAsia="仿宋" w:cs="仿宋"/>
          <w:color w:val="auto"/>
          <w:sz w:val="24"/>
          <w:szCs w:val="28"/>
          <w:highlight w:val="none"/>
          <w:u w:val="single"/>
          <w:lang w:val="en-US" w:eastAsia="zh-CN"/>
        </w:rPr>
        <w:t>3</w:t>
      </w:r>
      <w:r>
        <w:rPr>
          <w:rFonts w:hint="eastAsia" w:ascii="仿宋" w:hAnsi="仿宋" w:eastAsia="仿宋" w:cs="仿宋"/>
          <w:color w:val="auto"/>
          <w:sz w:val="24"/>
          <w:szCs w:val="28"/>
          <w:highlight w:val="none"/>
          <w:u w:val="single"/>
        </w:rPr>
        <w:t>0分至202</w:t>
      </w:r>
      <w:r>
        <w:rPr>
          <w:rFonts w:hint="eastAsia" w:ascii="仿宋" w:hAnsi="仿宋" w:eastAsia="仿宋" w:cs="仿宋"/>
          <w:color w:val="auto"/>
          <w:sz w:val="24"/>
          <w:szCs w:val="28"/>
          <w:highlight w:val="none"/>
          <w:u w:val="single"/>
          <w:lang w:val="en-US" w:eastAsia="zh-CN"/>
        </w:rPr>
        <w:t>5</w:t>
      </w:r>
      <w:r>
        <w:rPr>
          <w:rFonts w:hint="eastAsia" w:ascii="仿宋" w:hAnsi="仿宋" w:eastAsia="仿宋" w:cs="仿宋"/>
          <w:color w:val="auto"/>
          <w:sz w:val="24"/>
          <w:szCs w:val="28"/>
          <w:highlight w:val="none"/>
          <w:u w:val="single"/>
        </w:rPr>
        <w:t>年</w:t>
      </w:r>
      <w:r>
        <w:rPr>
          <w:rFonts w:hint="eastAsia" w:ascii="仿宋" w:hAnsi="仿宋" w:eastAsia="仿宋" w:cs="仿宋"/>
          <w:color w:val="auto"/>
          <w:sz w:val="24"/>
          <w:szCs w:val="28"/>
          <w:highlight w:val="none"/>
          <w:u w:val="single"/>
          <w:lang w:val="en-US" w:eastAsia="zh-CN"/>
        </w:rPr>
        <w:t>6</w:t>
      </w:r>
      <w:r>
        <w:rPr>
          <w:rFonts w:hint="eastAsia" w:ascii="仿宋" w:hAnsi="仿宋" w:eastAsia="仿宋" w:cs="仿宋"/>
          <w:color w:val="auto"/>
          <w:sz w:val="24"/>
          <w:szCs w:val="28"/>
          <w:highlight w:val="none"/>
          <w:u w:val="single"/>
        </w:rPr>
        <w:t>月</w:t>
      </w:r>
      <w:r>
        <w:rPr>
          <w:rFonts w:hint="eastAsia" w:ascii="仿宋" w:hAnsi="仿宋" w:eastAsia="仿宋" w:cs="仿宋"/>
          <w:color w:val="auto"/>
          <w:sz w:val="24"/>
          <w:szCs w:val="28"/>
          <w:highlight w:val="none"/>
          <w:u w:val="single"/>
          <w:lang w:val="en-US" w:eastAsia="zh-CN"/>
        </w:rPr>
        <w:t>16日14</w:t>
      </w:r>
      <w:r>
        <w:rPr>
          <w:rFonts w:hint="eastAsia" w:ascii="仿宋" w:hAnsi="仿宋" w:eastAsia="仿宋" w:cs="仿宋"/>
          <w:color w:val="auto"/>
          <w:sz w:val="24"/>
          <w:szCs w:val="28"/>
          <w:highlight w:val="none"/>
          <w:u w:val="single"/>
        </w:rPr>
        <w:t>时</w:t>
      </w:r>
      <w:r>
        <w:rPr>
          <w:rFonts w:hint="eastAsia" w:ascii="仿宋" w:hAnsi="仿宋" w:eastAsia="仿宋" w:cs="仿宋"/>
          <w:color w:val="auto"/>
          <w:sz w:val="24"/>
          <w:szCs w:val="28"/>
          <w:highlight w:val="none"/>
          <w:u w:val="single"/>
          <w:lang w:val="en-US" w:eastAsia="zh-CN"/>
        </w:rPr>
        <w:t>3</w:t>
      </w:r>
      <w:r>
        <w:rPr>
          <w:rFonts w:hint="eastAsia" w:ascii="仿宋" w:hAnsi="仿宋" w:eastAsia="仿宋" w:cs="仿宋"/>
          <w:color w:val="auto"/>
          <w:sz w:val="24"/>
          <w:szCs w:val="28"/>
          <w:highlight w:val="none"/>
          <w:u w:val="single"/>
        </w:rPr>
        <w:t>0分，投标截止时间为202</w:t>
      </w:r>
      <w:r>
        <w:rPr>
          <w:rFonts w:hint="eastAsia" w:ascii="仿宋" w:hAnsi="仿宋" w:eastAsia="仿宋" w:cs="仿宋"/>
          <w:color w:val="auto"/>
          <w:sz w:val="24"/>
          <w:szCs w:val="28"/>
          <w:highlight w:val="none"/>
          <w:u w:val="single"/>
          <w:lang w:val="en-US" w:eastAsia="zh-CN"/>
        </w:rPr>
        <w:t>5</w:t>
      </w:r>
      <w:r>
        <w:rPr>
          <w:rFonts w:hint="eastAsia" w:ascii="仿宋" w:hAnsi="仿宋" w:eastAsia="仿宋" w:cs="仿宋"/>
          <w:color w:val="auto"/>
          <w:sz w:val="24"/>
          <w:szCs w:val="28"/>
          <w:highlight w:val="none"/>
          <w:u w:val="single"/>
        </w:rPr>
        <w:t>年</w:t>
      </w:r>
      <w:r>
        <w:rPr>
          <w:rFonts w:hint="eastAsia" w:ascii="仿宋" w:hAnsi="仿宋" w:eastAsia="仿宋" w:cs="仿宋"/>
          <w:color w:val="auto"/>
          <w:sz w:val="24"/>
          <w:szCs w:val="28"/>
          <w:highlight w:val="none"/>
          <w:u w:val="single"/>
          <w:lang w:val="en-US" w:eastAsia="zh-CN"/>
        </w:rPr>
        <w:t>6</w:t>
      </w:r>
      <w:r>
        <w:rPr>
          <w:rFonts w:hint="eastAsia" w:ascii="仿宋" w:hAnsi="仿宋" w:eastAsia="仿宋" w:cs="仿宋"/>
          <w:color w:val="auto"/>
          <w:sz w:val="24"/>
          <w:szCs w:val="28"/>
          <w:highlight w:val="none"/>
          <w:u w:val="single"/>
        </w:rPr>
        <w:t>月</w:t>
      </w:r>
      <w:r>
        <w:rPr>
          <w:rFonts w:hint="eastAsia" w:ascii="仿宋" w:hAnsi="仿宋" w:eastAsia="仿宋" w:cs="仿宋"/>
          <w:color w:val="auto"/>
          <w:sz w:val="24"/>
          <w:szCs w:val="28"/>
          <w:highlight w:val="none"/>
          <w:u w:val="single"/>
          <w:lang w:val="en-US" w:eastAsia="zh-CN"/>
        </w:rPr>
        <w:t>16</w:t>
      </w:r>
      <w:r>
        <w:rPr>
          <w:rFonts w:hint="eastAsia" w:ascii="仿宋" w:hAnsi="仿宋" w:eastAsia="仿宋" w:cs="仿宋"/>
          <w:color w:val="auto"/>
          <w:sz w:val="24"/>
          <w:szCs w:val="28"/>
          <w:highlight w:val="none"/>
          <w:u w:val="single"/>
        </w:rPr>
        <w:t>日</w:t>
      </w:r>
      <w:r>
        <w:rPr>
          <w:rFonts w:hint="eastAsia" w:ascii="仿宋" w:hAnsi="仿宋" w:eastAsia="仿宋" w:cs="仿宋"/>
          <w:color w:val="auto"/>
          <w:sz w:val="24"/>
          <w:szCs w:val="28"/>
          <w:highlight w:val="none"/>
          <w:u w:val="single"/>
          <w:lang w:val="en-US" w:eastAsia="zh-CN"/>
        </w:rPr>
        <w:t>14</w:t>
      </w:r>
      <w:r>
        <w:rPr>
          <w:rFonts w:hint="eastAsia" w:ascii="仿宋" w:hAnsi="仿宋" w:eastAsia="仿宋" w:cs="仿宋"/>
          <w:color w:val="auto"/>
          <w:sz w:val="24"/>
          <w:szCs w:val="28"/>
          <w:highlight w:val="none"/>
          <w:u w:val="single"/>
        </w:rPr>
        <w:t>时</w:t>
      </w:r>
      <w:r>
        <w:rPr>
          <w:rFonts w:hint="eastAsia" w:ascii="仿宋" w:hAnsi="仿宋" w:eastAsia="仿宋" w:cs="仿宋"/>
          <w:color w:val="auto"/>
          <w:sz w:val="24"/>
          <w:szCs w:val="28"/>
          <w:highlight w:val="none"/>
          <w:u w:val="single"/>
          <w:lang w:val="en-US" w:eastAsia="zh-CN"/>
        </w:rPr>
        <w:t>3</w:t>
      </w:r>
      <w:r>
        <w:rPr>
          <w:rFonts w:hint="eastAsia" w:ascii="仿宋" w:hAnsi="仿宋" w:eastAsia="仿宋" w:cs="仿宋"/>
          <w:color w:val="auto"/>
          <w:sz w:val="24"/>
          <w:szCs w:val="28"/>
          <w:highlight w:val="none"/>
          <w:u w:val="single"/>
        </w:rPr>
        <w:t>0分。</w:t>
      </w:r>
    </w:p>
    <w:p w14:paraId="3D863DF0">
      <w:pPr>
        <w:shd w:val="clear"/>
        <w:spacing w:line="480" w:lineRule="exact"/>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投标人应当在规定递交投标文件时间范围内通过登录中交集团供应链管理信息系统上传，递交时间即为上传成功时间。</w:t>
      </w:r>
    </w:p>
    <w:p w14:paraId="6589E1FC">
      <w:pPr>
        <w:shd w:val="clear"/>
        <w:spacing w:line="480" w:lineRule="exact"/>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6.2逾期未上传成功，招标人不予受理。</w:t>
      </w:r>
    </w:p>
    <w:p w14:paraId="10E0EF78">
      <w:pPr>
        <w:pStyle w:val="5"/>
        <w:shd w:val="clear"/>
        <w:spacing w:line="560" w:lineRule="exact"/>
        <w:rPr>
          <w:rFonts w:hint="eastAsia" w:ascii="仿宋" w:hAnsi="仿宋" w:eastAsia="仿宋" w:cs="仿宋"/>
          <w:color w:val="auto"/>
          <w:sz w:val="24"/>
          <w:highlight w:val="none"/>
        </w:rPr>
      </w:pPr>
      <w:bookmarkStart w:id="26" w:name="_Toc463907275"/>
      <w:bookmarkStart w:id="27" w:name="_Toc10295"/>
      <w:bookmarkStart w:id="28" w:name="_Toc463908706"/>
      <w:bookmarkStart w:id="29" w:name="_Toc1621"/>
      <w:r>
        <w:rPr>
          <w:rFonts w:hint="eastAsia" w:ascii="仿宋" w:hAnsi="仿宋" w:eastAsia="仿宋" w:cs="仿宋"/>
          <w:color w:val="auto"/>
          <w:sz w:val="24"/>
          <w:highlight w:val="none"/>
        </w:rPr>
        <w:t>7.发布公告媒</w:t>
      </w:r>
      <w:bookmarkEnd w:id="26"/>
      <w:bookmarkEnd w:id="27"/>
      <w:bookmarkEnd w:id="28"/>
      <w:r>
        <w:rPr>
          <w:rFonts w:hint="eastAsia" w:ascii="仿宋" w:hAnsi="仿宋" w:eastAsia="仿宋" w:cs="仿宋"/>
          <w:color w:val="auto"/>
          <w:sz w:val="24"/>
          <w:highlight w:val="none"/>
        </w:rPr>
        <w:t>介</w:t>
      </w:r>
      <w:bookmarkEnd w:id="29"/>
    </w:p>
    <w:p w14:paraId="298A225B">
      <w:pPr>
        <w:shd w:val="clear"/>
        <w:spacing w:line="560" w:lineRule="exact"/>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中交集团供应链管理信息系统（网址：</w:t>
      </w:r>
      <w:r>
        <w:rPr>
          <w:rFonts w:hint="eastAsia" w:ascii="仿宋" w:hAnsi="仿宋" w:eastAsia="仿宋" w:cs="仿宋"/>
          <w:color w:val="auto"/>
          <w:sz w:val="24"/>
          <w:szCs w:val="28"/>
          <w:highlight w:val="none"/>
          <w:u w:val="single"/>
        </w:rPr>
        <w:t>http://ec.ccccltd.cn/PMS/</w:t>
      </w:r>
      <w:r>
        <w:rPr>
          <w:rFonts w:hint="eastAsia" w:ascii="仿宋" w:hAnsi="仿宋" w:eastAsia="仿宋" w:cs="仿宋"/>
          <w:color w:val="auto"/>
          <w:sz w:val="24"/>
          <w:szCs w:val="28"/>
          <w:highlight w:val="none"/>
        </w:rPr>
        <w:t>，下同）。</w:t>
      </w:r>
    </w:p>
    <w:p w14:paraId="7EA18218">
      <w:pPr>
        <w:pStyle w:val="5"/>
        <w:shd w:val="clear"/>
        <w:spacing w:line="560" w:lineRule="exact"/>
        <w:rPr>
          <w:rFonts w:hint="eastAsia" w:ascii="仿宋" w:hAnsi="仿宋" w:eastAsia="仿宋" w:cs="仿宋"/>
          <w:color w:val="auto"/>
          <w:sz w:val="24"/>
          <w:highlight w:val="none"/>
        </w:rPr>
      </w:pPr>
      <w:bookmarkStart w:id="30" w:name="_Toc21404"/>
      <w:bookmarkStart w:id="31" w:name="_Toc463907276"/>
      <w:bookmarkStart w:id="32" w:name="_Toc13930"/>
      <w:bookmarkStart w:id="33" w:name="_Toc463908707"/>
      <w:r>
        <w:rPr>
          <w:rFonts w:hint="eastAsia" w:ascii="仿宋" w:hAnsi="仿宋" w:eastAsia="仿宋" w:cs="仿宋"/>
          <w:color w:val="auto"/>
          <w:sz w:val="24"/>
          <w:highlight w:val="none"/>
        </w:rPr>
        <w:t>8.联系方式</w:t>
      </w:r>
      <w:bookmarkEnd w:id="30"/>
      <w:bookmarkEnd w:id="31"/>
      <w:bookmarkEnd w:id="32"/>
      <w:bookmarkEnd w:id="33"/>
    </w:p>
    <w:p w14:paraId="1B6A84A1">
      <w:pPr>
        <w:shd w:val="clear"/>
        <w:spacing w:line="480" w:lineRule="exact"/>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 xml:space="preserve">招 标 人：中国交建重庆轨道交通18号线北延工程施工总承包项目部 </w:t>
      </w:r>
    </w:p>
    <w:p w14:paraId="5D6B77F6">
      <w:pPr>
        <w:shd w:val="clear"/>
        <w:spacing w:line="480" w:lineRule="exact"/>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招标地址：重庆市渝中区经纬大道789号美源·美源17楼大会议室</w:t>
      </w:r>
    </w:p>
    <w:p w14:paraId="3F02B228">
      <w:pPr>
        <w:shd w:val="clear"/>
        <w:spacing w:line="480" w:lineRule="exact"/>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邮    编：401120</w:t>
      </w:r>
    </w:p>
    <w:p w14:paraId="3D928E1A">
      <w:pPr>
        <w:shd w:val="clear"/>
        <w:spacing w:line="480" w:lineRule="exact"/>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联 系 人：</w:t>
      </w:r>
      <w:r>
        <w:rPr>
          <w:rFonts w:hint="eastAsia" w:ascii="仿宋" w:hAnsi="仿宋" w:eastAsia="仿宋" w:cs="仿宋"/>
          <w:color w:val="auto"/>
          <w:sz w:val="24"/>
          <w:szCs w:val="28"/>
          <w:highlight w:val="none"/>
          <w:lang w:eastAsia="zh-CN"/>
        </w:rPr>
        <w:t>周先生</w:t>
      </w:r>
      <w:r>
        <w:rPr>
          <w:rFonts w:hint="eastAsia" w:ascii="仿宋" w:hAnsi="仿宋" w:eastAsia="仿宋" w:cs="仿宋"/>
          <w:color w:val="auto"/>
          <w:sz w:val="24"/>
          <w:szCs w:val="28"/>
          <w:highlight w:val="none"/>
        </w:rPr>
        <w:t xml:space="preserve"> </w:t>
      </w:r>
    </w:p>
    <w:p w14:paraId="74C74542">
      <w:pPr>
        <w:shd w:val="clear"/>
        <w:spacing w:line="480" w:lineRule="exact"/>
        <w:ind w:firstLine="480" w:firstLineChars="200"/>
        <w:rPr>
          <w:rFonts w:hint="eastAsia" w:ascii="仿宋" w:hAnsi="仿宋" w:eastAsia="仿宋" w:cs="仿宋"/>
          <w:color w:val="auto"/>
          <w:sz w:val="24"/>
          <w:szCs w:val="28"/>
          <w:highlight w:val="none"/>
          <w:lang w:eastAsia="zh-CN"/>
        </w:rPr>
      </w:pPr>
      <w:r>
        <w:rPr>
          <w:rFonts w:hint="eastAsia" w:ascii="仿宋" w:hAnsi="仿宋" w:eastAsia="仿宋" w:cs="仿宋"/>
          <w:color w:val="auto"/>
          <w:sz w:val="24"/>
          <w:szCs w:val="28"/>
          <w:highlight w:val="none"/>
        </w:rPr>
        <w:t>电    话：</w:t>
      </w:r>
      <w:r>
        <w:rPr>
          <w:rFonts w:hint="eastAsia" w:ascii="仿宋" w:hAnsi="仿宋" w:eastAsia="仿宋" w:cs="仿宋"/>
          <w:color w:val="auto"/>
          <w:sz w:val="24"/>
          <w:szCs w:val="28"/>
          <w:highlight w:val="none"/>
          <w:lang w:eastAsia="zh-CN"/>
        </w:rPr>
        <w:t>19923645375</w:t>
      </w:r>
    </w:p>
    <w:p w14:paraId="57D072D8">
      <w:pPr>
        <w:shd w:val="clear"/>
        <w:spacing w:line="480" w:lineRule="exact"/>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电子邮件：</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"mailto:544361726@qq.com" </w:instrText>
      </w:r>
      <w:r>
        <w:rPr>
          <w:rFonts w:hint="eastAsia" w:ascii="仿宋" w:hAnsi="仿宋" w:eastAsia="仿宋" w:cs="仿宋"/>
          <w:color w:val="auto"/>
          <w:highlight w:val="none"/>
        </w:rPr>
        <w:fldChar w:fldCharType="separate"/>
      </w:r>
      <w:r>
        <w:rPr>
          <w:rFonts w:hint="eastAsia" w:ascii="仿宋" w:hAnsi="仿宋" w:eastAsia="仿宋" w:cs="仿宋"/>
          <w:color w:val="auto"/>
          <w:sz w:val="24"/>
          <w:szCs w:val="28"/>
          <w:highlight w:val="none"/>
          <w:lang w:eastAsia="zh-CN"/>
        </w:rPr>
        <w:t>1546650943</w:t>
      </w:r>
      <w:r>
        <w:rPr>
          <w:rFonts w:hint="eastAsia" w:ascii="仿宋" w:hAnsi="仿宋" w:eastAsia="仿宋" w:cs="仿宋"/>
          <w:color w:val="auto"/>
          <w:sz w:val="24"/>
          <w:szCs w:val="28"/>
          <w:highlight w:val="none"/>
        </w:rPr>
        <w:t>@qq.com</w:t>
      </w:r>
      <w:r>
        <w:rPr>
          <w:rFonts w:hint="eastAsia" w:ascii="仿宋" w:hAnsi="仿宋" w:eastAsia="仿宋" w:cs="仿宋"/>
          <w:color w:val="auto"/>
          <w:sz w:val="24"/>
          <w:szCs w:val="28"/>
          <w:highlight w:val="none"/>
        </w:rPr>
        <w:fldChar w:fldCharType="end"/>
      </w:r>
      <w:r>
        <w:rPr>
          <w:rFonts w:hint="eastAsia" w:ascii="仿宋" w:hAnsi="仿宋" w:eastAsia="仿宋" w:cs="仿宋"/>
          <w:color w:val="auto"/>
          <w:sz w:val="24"/>
          <w:szCs w:val="28"/>
          <w:highlight w:val="none"/>
        </w:rPr>
        <w:t xml:space="preserve"> </w:t>
      </w:r>
    </w:p>
    <w:p w14:paraId="0F6ABC2A">
      <w:pPr>
        <w:shd w:val="clear"/>
        <w:spacing w:line="480" w:lineRule="exact"/>
        <w:ind w:left="1679" w:leftChars="228" w:hanging="1200" w:hangingChars="5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 xml:space="preserve">户    名：中国交通建设股份有限公司重庆轨道交通18号线北延工程施工总承包项目部 </w:t>
      </w:r>
    </w:p>
    <w:p w14:paraId="573DAFAA">
      <w:pPr>
        <w:shd w:val="clear"/>
        <w:spacing w:line="480" w:lineRule="exact"/>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开户银行：农业银行北京总行营业部</w:t>
      </w:r>
    </w:p>
    <w:p w14:paraId="0AD01767">
      <w:pPr>
        <w:shd w:val="clear"/>
        <w:spacing w:line="480" w:lineRule="exact"/>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账    号：011000079301</w:t>
      </w:r>
    </w:p>
    <w:p w14:paraId="6D8FBDA1">
      <w:pPr>
        <w:spacing w:line="480" w:lineRule="exact"/>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000000"/>
          <w:sz w:val="24"/>
          <w:szCs w:val="28"/>
          <w:highlight w:val="none"/>
        </w:rPr>
        <w:t>CNAPS号码:103100000018</w:t>
      </w:r>
    </w:p>
    <w:p w14:paraId="2173213C">
      <w:pPr>
        <w:shd w:val="clear"/>
        <w:spacing w:line="480" w:lineRule="exact"/>
        <w:ind w:firstLine="480" w:firstLineChars="200"/>
        <w:rPr>
          <w:rFonts w:hint="eastAsia" w:ascii="仿宋" w:hAnsi="仿宋" w:eastAsia="仿宋" w:cs="仿宋"/>
          <w:color w:val="auto"/>
          <w:sz w:val="24"/>
          <w:szCs w:val="28"/>
          <w:highlight w:val="none"/>
        </w:rPr>
      </w:pPr>
    </w:p>
    <w:p w14:paraId="5EFB006C">
      <w:pPr>
        <w:shd w:val="clear"/>
        <w:spacing w:line="480" w:lineRule="exact"/>
        <w:ind w:firstLine="480" w:firstLineChars="200"/>
        <w:rPr>
          <w:rFonts w:hint="eastAsia" w:ascii="仿宋" w:hAnsi="仿宋" w:eastAsia="仿宋" w:cs="仿宋"/>
          <w:color w:val="auto"/>
          <w:sz w:val="24"/>
          <w:szCs w:val="28"/>
          <w:highlight w:val="none"/>
        </w:rPr>
      </w:pPr>
    </w:p>
    <w:p w14:paraId="7966E871">
      <w:pPr>
        <w:shd w:val="clear"/>
        <w:spacing w:line="480" w:lineRule="exact"/>
        <w:ind w:firstLine="480" w:firstLineChars="200"/>
        <w:rPr>
          <w:rFonts w:hint="eastAsia" w:ascii="仿宋" w:hAnsi="仿宋" w:eastAsia="仿宋" w:cs="仿宋"/>
          <w:color w:val="auto"/>
          <w:sz w:val="24"/>
          <w:szCs w:val="28"/>
          <w:highlight w:val="none"/>
        </w:rPr>
      </w:pPr>
    </w:p>
    <w:p w14:paraId="088971BA">
      <w:pPr>
        <w:shd w:val="clear"/>
        <w:spacing w:line="560" w:lineRule="exact"/>
        <w:jc w:val="right"/>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中国交建重庆轨道交通18号线北延工程施工总承包项目部</w:t>
      </w:r>
    </w:p>
    <w:p w14:paraId="43CF2117">
      <w:pPr>
        <w:shd w:val="clear"/>
        <w:spacing w:line="560" w:lineRule="exact"/>
        <w:ind w:firstLine="480" w:firstLineChars="200"/>
        <w:jc w:val="center"/>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lang w:val="en-US" w:eastAsia="zh-CN"/>
        </w:rPr>
        <w:t xml:space="preserve">      </w:t>
      </w:r>
      <w:r>
        <w:rPr>
          <w:rFonts w:hint="eastAsia" w:ascii="仿宋" w:hAnsi="仿宋" w:eastAsia="仿宋" w:cs="仿宋"/>
          <w:color w:val="auto"/>
          <w:sz w:val="24"/>
          <w:szCs w:val="28"/>
          <w:highlight w:val="none"/>
        </w:rPr>
        <w:t>202</w:t>
      </w:r>
      <w:r>
        <w:rPr>
          <w:rFonts w:hint="eastAsia" w:ascii="仿宋" w:hAnsi="仿宋" w:eastAsia="仿宋" w:cs="仿宋"/>
          <w:color w:val="auto"/>
          <w:sz w:val="24"/>
          <w:szCs w:val="28"/>
          <w:highlight w:val="none"/>
          <w:lang w:val="en-US" w:eastAsia="zh-CN"/>
        </w:rPr>
        <w:t>5</w:t>
      </w:r>
      <w:r>
        <w:rPr>
          <w:rFonts w:hint="eastAsia" w:ascii="仿宋" w:hAnsi="仿宋" w:eastAsia="仿宋" w:cs="仿宋"/>
          <w:color w:val="auto"/>
          <w:sz w:val="24"/>
          <w:szCs w:val="28"/>
          <w:highlight w:val="none"/>
        </w:rPr>
        <w:t>年</w:t>
      </w:r>
      <w:r>
        <w:rPr>
          <w:rFonts w:hint="eastAsia" w:ascii="仿宋" w:hAnsi="仿宋" w:eastAsia="仿宋" w:cs="仿宋"/>
          <w:color w:val="auto"/>
          <w:sz w:val="24"/>
          <w:szCs w:val="28"/>
          <w:highlight w:val="none"/>
          <w:lang w:val="en-US" w:eastAsia="zh-CN"/>
        </w:rPr>
        <w:t>5</w:t>
      </w:r>
      <w:r>
        <w:rPr>
          <w:rFonts w:hint="eastAsia" w:ascii="仿宋" w:hAnsi="仿宋" w:eastAsia="仿宋" w:cs="仿宋"/>
          <w:color w:val="auto"/>
          <w:sz w:val="24"/>
          <w:szCs w:val="28"/>
          <w:highlight w:val="none"/>
        </w:rPr>
        <w:t>月</w:t>
      </w:r>
      <w:r>
        <w:rPr>
          <w:rFonts w:hint="eastAsia" w:ascii="仿宋" w:hAnsi="仿宋" w:eastAsia="仿宋" w:cs="仿宋"/>
          <w:color w:val="auto"/>
          <w:sz w:val="24"/>
          <w:szCs w:val="28"/>
          <w:highlight w:val="none"/>
          <w:lang w:val="en-US" w:eastAsia="zh-CN"/>
        </w:rPr>
        <w:t>26</w:t>
      </w:r>
      <w:bookmarkStart w:id="36" w:name="_GoBack"/>
      <w:bookmarkEnd w:id="36"/>
      <w:r>
        <w:rPr>
          <w:rFonts w:hint="eastAsia" w:ascii="仿宋" w:hAnsi="仿宋" w:eastAsia="仿宋" w:cs="仿宋"/>
          <w:color w:val="auto"/>
          <w:sz w:val="24"/>
          <w:szCs w:val="28"/>
          <w:highlight w:val="none"/>
        </w:rPr>
        <w:t>日</w:t>
      </w:r>
    </w:p>
    <w:p w14:paraId="28332D0F">
      <w:pPr>
        <w:shd w:val="clear"/>
        <w:spacing w:line="560" w:lineRule="exact"/>
        <w:ind w:firstLine="480" w:firstLineChars="200"/>
        <w:jc w:val="right"/>
        <w:rPr>
          <w:rFonts w:hint="eastAsia" w:ascii="仿宋" w:hAnsi="仿宋" w:eastAsia="仿宋" w:cs="仿宋"/>
          <w:color w:val="auto"/>
          <w:sz w:val="24"/>
          <w:szCs w:val="28"/>
          <w:highlight w:val="none"/>
        </w:rPr>
      </w:pPr>
    </w:p>
    <w:p w14:paraId="02C0998B">
      <w:pPr>
        <w:pStyle w:val="17"/>
        <w:shd w:val="clear"/>
        <w:rPr>
          <w:rFonts w:hint="eastAsia" w:ascii="仿宋" w:hAnsi="仿宋" w:eastAsia="仿宋" w:cs="仿宋"/>
          <w:color w:val="auto"/>
          <w:sz w:val="24"/>
          <w:szCs w:val="28"/>
          <w:highlight w:val="none"/>
        </w:rPr>
      </w:pPr>
    </w:p>
    <w:p w14:paraId="1FB62B3F">
      <w:pPr>
        <w:pStyle w:val="17"/>
        <w:shd w:val="clear"/>
        <w:rPr>
          <w:rFonts w:hint="eastAsia" w:ascii="仿宋" w:hAnsi="仿宋" w:eastAsia="仿宋" w:cs="仿宋"/>
          <w:color w:val="auto"/>
          <w:sz w:val="24"/>
          <w:szCs w:val="28"/>
          <w:highlight w:val="none"/>
        </w:rPr>
      </w:pPr>
    </w:p>
    <w:p w14:paraId="58FF579E">
      <w:pPr>
        <w:pStyle w:val="17"/>
        <w:shd w:val="clear"/>
        <w:rPr>
          <w:rFonts w:hint="eastAsia" w:ascii="仿宋" w:hAnsi="仿宋" w:eastAsia="仿宋" w:cs="仿宋"/>
          <w:color w:val="auto"/>
          <w:sz w:val="24"/>
          <w:szCs w:val="28"/>
          <w:highlight w:val="none"/>
        </w:rPr>
      </w:pPr>
    </w:p>
    <w:p w14:paraId="5E413D1A">
      <w:pPr>
        <w:pStyle w:val="17"/>
        <w:shd w:val="clear"/>
        <w:rPr>
          <w:rFonts w:hint="eastAsia" w:ascii="仿宋" w:hAnsi="仿宋" w:eastAsia="仿宋" w:cs="仿宋"/>
          <w:color w:val="auto"/>
          <w:sz w:val="24"/>
          <w:szCs w:val="28"/>
          <w:highlight w:val="none"/>
        </w:rPr>
        <w:sectPr>
          <w:footerReference r:id="rId3" w:type="default"/>
          <w:pgSz w:w="11906" w:h="16838"/>
          <w:pgMar w:top="1440" w:right="1797" w:bottom="1440" w:left="1797" w:header="851" w:footer="992" w:gutter="0"/>
          <w:pgNumType w:start="1"/>
          <w:cols w:space="425" w:num="1"/>
          <w:docGrid w:type="lines" w:linePitch="312" w:charSpace="0"/>
        </w:sectPr>
      </w:pPr>
    </w:p>
    <w:p w14:paraId="4586C256">
      <w:pPr>
        <w:pStyle w:val="5"/>
        <w:shd w:val="clear"/>
        <w:spacing w:line="560" w:lineRule="exact"/>
        <w:rPr>
          <w:rFonts w:hint="eastAsia" w:cs="仿宋"/>
          <w:color w:val="auto"/>
          <w:highlight w:val="none"/>
          <w:lang w:eastAsia="zh-CN"/>
        </w:rPr>
      </w:pPr>
      <w:bookmarkStart w:id="34" w:name="_Toc7196"/>
      <w:r>
        <w:rPr>
          <w:rFonts w:hint="eastAsia" w:ascii="仿宋" w:hAnsi="仿宋" w:eastAsia="仿宋" w:cs="仿宋"/>
          <w:color w:val="auto"/>
          <w:highlight w:val="none"/>
        </w:rPr>
        <w:t>附表1：招标公告附表</w:t>
      </w:r>
      <w:bookmarkEnd w:id="34"/>
    </w:p>
    <w:p w14:paraId="433345EB">
      <w:pPr>
        <w:spacing w:after="120"/>
        <w:jc w:val="center"/>
        <w:rPr>
          <w:rFonts w:hint="eastAsia" w:ascii="仿宋" w:hAnsi="仿宋" w:eastAsia="仿宋"/>
          <w:b/>
          <w:sz w:val="24"/>
          <w:szCs w:val="24"/>
          <w:lang w:val="en-US" w:eastAsia="zh-CN"/>
        </w:rPr>
      </w:pPr>
    </w:p>
    <w:p w14:paraId="2A6A866D">
      <w:pPr>
        <w:spacing w:after="120"/>
        <w:jc w:val="center"/>
        <w:rPr>
          <w:rFonts w:ascii="仿宋" w:hAnsi="仿宋" w:eastAsia="仿宋"/>
          <w:b/>
          <w:sz w:val="24"/>
          <w:szCs w:val="24"/>
        </w:rPr>
      </w:pPr>
      <w:r>
        <w:rPr>
          <w:rFonts w:hint="eastAsia" w:ascii="仿宋" w:hAnsi="仿宋" w:eastAsia="仿宋"/>
          <w:b/>
          <w:sz w:val="24"/>
          <w:szCs w:val="24"/>
          <w:lang w:val="en-US" w:eastAsia="zh-CN"/>
        </w:rPr>
        <w:t>中国交建重庆轨道交通18号线北延工程</w:t>
      </w:r>
      <w:r>
        <w:rPr>
          <w:rFonts w:hint="eastAsia" w:ascii="仿宋" w:hAnsi="仿宋" w:eastAsia="仿宋"/>
          <w:b/>
          <w:sz w:val="24"/>
          <w:szCs w:val="24"/>
        </w:rPr>
        <w:t>钢轨运输服务</w:t>
      </w:r>
      <w:r>
        <w:rPr>
          <w:rFonts w:ascii="仿宋" w:hAnsi="仿宋" w:eastAsia="仿宋"/>
          <w:b/>
          <w:sz w:val="24"/>
          <w:szCs w:val="24"/>
        </w:rPr>
        <w:t>招标需求一览表</w:t>
      </w:r>
    </w:p>
    <w:tbl>
      <w:tblPr>
        <w:tblStyle w:val="3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86"/>
        <w:gridCol w:w="1287"/>
        <w:gridCol w:w="1792"/>
        <w:gridCol w:w="1287"/>
        <w:gridCol w:w="1287"/>
        <w:gridCol w:w="1287"/>
        <w:gridCol w:w="1287"/>
        <w:gridCol w:w="1287"/>
        <w:gridCol w:w="1948"/>
        <w:gridCol w:w="1426"/>
      </w:tblGrid>
      <w:tr w14:paraId="501E7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000" w:type="pct"/>
            <w:gridSpan w:val="10"/>
            <w:tcBorders>
              <w:top w:val="nil"/>
              <w:left w:val="nil"/>
              <w:bottom w:val="nil"/>
              <w:right w:val="nil"/>
            </w:tcBorders>
            <w:shd w:val="clear" w:color="auto" w:fill="auto"/>
            <w:noWrap/>
            <w:vAlign w:val="center"/>
          </w:tcPr>
          <w:p w14:paraId="448DB49E">
            <w:pPr>
              <w:keepNext w:val="0"/>
              <w:keepLines w:val="0"/>
              <w:widowControl/>
              <w:suppressLineNumbers w:val="0"/>
              <w:jc w:val="left"/>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招标编号：ZGJJ-CQ18-2025-</w:t>
            </w:r>
            <w:r>
              <w:rPr>
                <w:rFonts w:hint="eastAsia" w:ascii="宋体" w:hAnsi="宋体" w:cs="宋体"/>
                <w:i w:val="0"/>
                <w:iCs w:val="0"/>
                <w:color w:val="000000"/>
                <w:kern w:val="0"/>
                <w:sz w:val="22"/>
                <w:szCs w:val="22"/>
                <w:highlight w:val="none"/>
                <w:u w:val="none"/>
                <w:lang w:val="en-US" w:eastAsia="zh-CN" w:bidi="ar"/>
              </w:rPr>
              <w:t>17</w:t>
            </w:r>
          </w:p>
        </w:tc>
      </w:tr>
      <w:tr w14:paraId="48EB6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8"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D876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序号</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869F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项目简称</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1BDD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物资名称</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C34F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规格型号</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45B1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计量单位</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D42D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包件数量</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015F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招标控制单价（元）</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68F6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收货人</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A30C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招标人</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A7ED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备注</w:t>
            </w:r>
          </w:p>
        </w:tc>
      </w:tr>
      <w:tr w14:paraId="229F9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7"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9675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4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31BF7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中国交建重庆轨道交通18号线北延工程</w:t>
            </w:r>
          </w:p>
        </w:tc>
        <w:tc>
          <w:tcPr>
            <w:tcW w:w="6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7732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钢轨运输费</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9FD7F">
            <w:pPr>
              <w:rPr>
                <w:rFonts w:hint="eastAsia" w:ascii="宋体" w:hAnsi="宋体" w:eastAsia="宋体" w:cs="宋体"/>
                <w:i w:val="0"/>
                <w:iCs w:val="0"/>
                <w:color w:val="000000"/>
                <w:sz w:val="22"/>
                <w:szCs w:val="22"/>
                <w:highlight w:val="none"/>
                <w:u w:val="none"/>
              </w:rPr>
            </w:pP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6039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吨</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9BA0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3600</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3D714">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rPr>
            </w:pPr>
            <w:r>
              <w:rPr>
                <w:rFonts w:hint="eastAsia" w:ascii="宋体" w:hAnsi="宋体" w:cs="宋体"/>
                <w:i w:val="0"/>
                <w:iCs w:val="0"/>
                <w:color w:val="000000"/>
                <w:kern w:val="0"/>
                <w:sz w:val="20"/>
                <w:szCs w:val="20"/>
                <w:highlight w:val="none"/>
                <w:u w:val="none"/>
                <w:lang w:val="en-US" w:eastAsia="zh-CN" w:bidi="ar"/>
              </w:rPr>
              <w:t>170</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F840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铺轨标</w:t>
            </w:r>
          </w:p>
        </w:tc>
        <w:tc>
          <w:tcPr>
            <w:tcW w:w="6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7AE3B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中国交建重庆轨道交通18号线北延工程施工总承包项目部</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8B794">
            <w:pPr>
              <w:jc w:val="center"/>
              <w:rPr>
                <w:rFonts w:hint="eastAsia" w:ascii="宋体" w:hAnsi="宋体" w:eastAsia="宋体" w:cs="宋体"/>
                <w:i w:val="0"/>
                <w:iCs w:val="0"/>
                <w:color w:val="000000"/>
                <w:sz w:val="22"/>
                <w:szCs w:val="22"/>
                <w:highlight w:val="none"/>
                <w:u w:val="none"/>
              </w:rPr>
            </w:pPr>
          </w:p>
        </w:tc>
      </w:tr>
      <w:tr w14:paraId="1B914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1"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D7AA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4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B35D7">
            <w:pPr>
              <w:jc w:val="center"/>
              <w:rPr>
                <w:rFonts w:hint="eastAsia" w:ascii="宋体" w:hAnsi="宋体" w:eastAsia="宋体" w:cs="宋体"/>
                <w:i w:val="0"/>
                <w:iCs w:val="0"/>
                <w:color w:val="000000"/>
                <w:sz w:val="22"/>
                <w:szCs w:val="22"/>
                <w:highlight w:val="none"/>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81CB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钢轨仓储费</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E6D27">
            <w:pPr>
              <w:rPr>
                <w:rFonts w:hint="eastAsia" w:ascii="宋体" w:hAnsi="宋体" w:eastAsia="宋体" w:cs="宋体"/>
                <w:i w:val="0"/>
                <w:iCs w:val="0"/>
                <w:color w:val="000000"/>
                <w:sz w:val="22"/>
                <w:szCs w:val="22"/>
                <w:highlight w:val="none"/>
                <w:u w:val="none"/>
              </w:rPr>
            </w:pP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3CA4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天*吨</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9591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108000</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7BA0E">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cs="宋体"/>
                <w:i w:val="0"/>
                <w:iCs w:val="0"/>
                <w:color w:val="000000"/>
                <w:sz w:val="20"/>
                <w:szCs w:val="20"/>
                <w:highlight w:val="none"/>
                <w:u w:val="none"/>
                <w:lang w:val="en-US" w:eastAsia="zh-CN"/>
              </w:rPr>
              <w:t>1</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DE3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铺轨标</w:t>
            </w:r>
          </w:p>
        </w:tc>
        <w:tc>
          <w:tcPr>
            <w:tcW w:w="6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A3EE6">
            <w:pPr>
              <w:jc w:val="center"/>
              <w:rPr>
                <w:rFonts w:hint="eastAsia" w:ascii="宋体" w:hAnsi="宋体" w:eastAsia="宋体" w:cs="宋体"/>
                <w:i w:val="0"/>
                <w:iCs w:val="0"/>
                <w:color w:val="000000"/>
                <w:sz w:val="22"/>
                <w:szCs w:val="22"/>
                <w:highlight w:val="none"/>
                <w:u w:val="none"/>
              </w:rPr>
            </w:pP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F3F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免30天仓储</w:t>
            </w:r>
          </w:p>
        </w:tc>
      </w:tr>
    </w:tbl>
    <w:p w14:paraId="41A3C723">
      <w:pPr>
        <w:rPr>
          <w:rFonts w:hint="eastAsia"/>
          <w:color w:val="auto"/>
          <w:highlight w:val="none"/>
        </w:rPr>
      </w:pPr>
    </w:p>
    <w:p w14:paraId="358A3D71">
      <w:pPr>
        <w:pStyle w:val="6"/>
        <w:shd w:val="clear"/>
        <w:rPr>
          <w:rFonts w:hint="eastAsia" w:ascii="仿宋" w:hAnsi="仿宋" w:eastAsia="仿宋" w:cs="仿宋"/>
          <w:b/>
          <w:bCs/>
          <w:color w:val="auto"/>
          <w:sz w:val="24"/>
          <w:szCs w:val="28"/>
          <w:highlight w:val="none"/>
        </w:rPr>
      </w:pPr>
      <w:r>
        <w:rPr>
          <w:rFonts w:hint="eastAsia" w:ascii="仿宋" w:hAnsi="仿宋" w:eastAsia="仿宋" w:cs="仿宋"/>
          <w:b/>
          <w:bCs/>
          <w:color w:val="auto"/>
          <w:sz w:val="24"/>
          <w:szCs w:val="28"/>
          <w:highlight w:val="none"/>
        </w:rPr>
        <w:t>注：</w:t>
      </w:r>
    </w:p>
    <w:p w14:paraId="0654A98E">
      <w:pPr>
        <w:pStyle w:val="6"/>
        <w:shd w:val="clear"/>
        <w:ind w:firstLine="482" w:firstLineChars="200"/>
        <w:rPr>
          <w:rFonts w:hint="eastAsia" w:ascii="仿宋" w:hAnsi="仿宋" w:eastAsia="仿宋" w:cs="仿宋"/>
          <w:b/>
          <w:bCs/>
          <w:color w:val="auto"/>
          <w:sz w:val="24"/>
          <w:szCs w:val="28"/>
          <w:highlight w:val="none"/>
        </w:rPr>
      </w:pPr>
      <w:r>
        <w:rPr>
          <w:rFonts w:hint="eastAsia" w:ascii="仿宋" w:hAnsi="仿宋" w:eastAsia="仿宋" w:cs="仿宋"/>
          <w:b/>
          <w:bCs/>
          <w:color w:val="auto"/>
          <w:sz w:val="24"/>
          <w:szCs w:val="28"/>
          <w:highlight w:val="none"/>
        </w:rPr>
        <w:t>1.以上数量均为预计数量，具体数量以实际使用量为准，招标人不承担因数量变动</w:t>
      </w:r>
      <w:r>
        <w:rPr>
          <w:rFonts w:hint="eastAsia" w:ascii="仿宋" w:hAnsi="仿宋" w:eastAsia="仿宋" w:cs="仿宋"/>
          <w:b/>
          <w:bCs/>
          <w:color w:val="auto"/>
          <w:sz w:val="24"/>
          <w:szCs w:val="28"/>
          <w:highlight w:val="none"/>
          <w:lang w:eastAsia="zh-CN"/>
        </w:rPr>
        <w:t>、</w:t>
      </w:r>
      <w:r>
        <w:rPr>
          <w:rFonts w:hint="eastAsia" w:ascii="仿宋" w:hAnsi="仿宋" w:eastAsia="仿宋" w:cs="仿宋"/>
          <w:b/>
          <w:bCs/>
          <w:color w:val="auto"/>
          <w:sz w:val="24"/>
          <w:szCs w:val="28"/>
          <w:highlight w:val="none"/>
          <w:lang w:val="en-US" w:eastAsia="zh-CN"/>
        </w:rPr>
        <w:t>使用时间段的变动</w:t>
      </w:r>
      <w:r>
        <w:rPr>
          <w:rFonts w:hint="eastAsia" w:ascii="仿宋" w:hAnsi="仿宋" w:eastAsia="仿宋" w:cs="仿宋"/>
          <w:b/>
          <w:bCs/>
          <w:color w:val="auto"/>
          <w:sz w:val="24"/>
          <w:szCs w:val="28"/>
          <w:highlight w:val="none"/>
        </w:rPr>
        <w:t>给投标人带来的任何损失。</w:t>
      </w:r>
    </w:p>
    <w:p w14:paraId="48FCA8B8">
      <w:pPr>
        <w:pStyle w:val="6"/>
        <w:shd w:val="clear"/>
        <w:ind w:firstLine="482" w:firstLineChars="200"/>
        <w:rPr>
          <w:rFonts w:hint="eastAsia" w:ascii="仿宋" w:hAnsi="仿宋" w:eastAsia="仿宋" w:cs="仿宋"/>
          <w:b/>
          <w:bCs/>
          <w:color w:val="auto"/>
          <w:sz w:val="24"/>
          <w:szCs w:val="28"/>
          <w:highlight w:val="none"/>
        </w:rPr>
      </w:pPr>
      <w:r>
        <w:rPr>
          <w:rFonts w:hint="eastAsia" w:ascii="仿宋" w:hAnsi="仿宋" w:eastAsia="仿宋" w:cs="仿宋"/>
          <w:b/>
          <w:bCs/>
          <w:color w:val="auto"/>
          <w:sz w:val="24"/>
          <w:szCs w:val="28"/>
          <w:highlight w:val="none"/>
        </w:rPr>
        <w:t>2.具体</w:t>
      </w:r>
      <w:r>
        <w:rPr>
          <w:rFonts w:hint="eastAsia" w:ascii="仿宋" w:hAnsi="仿宋" w:eastAsia="仿宋" w:cs="仿宋"/>
          <w:b/>
          <w:bCs/>
          <w:color w:val="auto"/>
          <w:sz w:val="24"/>
          <w:szCs w:val="28"/>
          <w:highlight w:val="none"/>
          <w:lang w:val="en-US" w:eastAsia="zh-CN"/>
        </w:rPr>
        <w:t>钢轨运输</w:t>
      </w:r>
      <w:r>
        <w:rPr>
          <w:rFonts w:hint="eastAsia" w:ascii="仿宋" w:hAnsi="仿宋" w:eastAsia="仿宋" w:cs="仿宋"/>
          <w:b/>
          <w:bCs/>
          <w:color w:val="auto"/>
          <w:sz w:val="24"/>
          <w:szCs w:val="28"/>
          <w:highlight w:val="none"/>
        </w:rPr>
        <w:t>时间根据</w:t>
      </w:r>
      <w:r>
        <w:rPr>
          <w:rFonts w:hint="eastAsia" w:ascii="仿宋" w:hAnsi="仿宋" w:eastAsia="仿宋" w:cs="仿宋"/>
          <w:b/>
          <w:bCs/>
          <w:color w:val="auto"/>
          <w:sz w:val="24"/>
          <w:szCs w:val="28"/>
          <w:highlight w:val="none"/>
          <w:lang w:val="en-US" w:eastAsia="zh-CN"/>
        </w:rPr>
        <w:t>现场实际需求时间确定</w:t>
      </w:r>
      <w:r>
        <w:rPr>
          <w:rFonts w:hint="eastAsia" w:ascii="仿宋" w:hAnsi="仿宋" w:eastAsia="仿宋" w:cs="仿宋"/>
          <w:b/>
          <w:bCs/>
          <w:color w:val="auto"/>
          <w:sz w:val="24"/>
          <w:szCs w:val="28"/>
          <w:highlight w:val="none"/>
        </w:rPr>
        <w:t>，投标人应充分考虑</w:t>
      </w:r>
      <w:r>
        <w:rPr>
          <w:rFonts w:hint="eastAsia" w:ascii="仿宋" w:hAnsi="仿宋" w:eastAsia="仿宋" w:cs="仿宋"/>
          <w:b/>
          <w:bCs/>
          <w:color w:val="auto"/>
          <w:sz w:val="24"/>
          <w:szCs w:val="28"/>
          <w:highlight w:val="none"/>
          <w:lang w:val="en-US" w:eastAsia="zh-CN"/>
        </w:rPr>
        <w:t>租赁时间</w:t>
      </w:r>
      <w:r>
        <w:rPr>
          <w:rFonts w:hint="eastAsia" w:ascii="仿宋" w:hAnsi="仿宋" w:eastAsia="仿宋" w:cs="仿宋"/>
          <w:b/>
          <w:bCs/>
          <w:color w:val="auto"/>
          <w:sz w:val="24"/>
          <w:szCs w:val="28"/>
          <w:highlight w:val="none"/>
        </w:rPr>
        <w:t>和数量，并予理解并接受。</w:t>
      </w:r>
    </w:p>
    <w:p w14:paraId="2C9BD3EC">
      <w:pPr>
        <w:pStyle w:val="6"/>
        <w:shd w:val="clear"/>
        <w:ind w:firstLine="482" w:firstLineChars="200"/>
        <w:rPr>
          <w:rFonts w:hint="eastAsia" w:ascii="仿宋" w:hAnsi="仿宋" w:eastAsia="仿宋" w:cs="仿宋"/>
          <w:b/>
          <w:bCs/>
          <w:color w:val="auto"/>
          <w:sz w:val="24"/>
          <w:szCs w:val="28"/>
          <w:highlight w:val="none"/>
        </w:rPr>
        <w:sectPr>
          <w:pgSz w:w="16838" w:h="11906" w:orient="landscape"/>
          <w:pgMar w:top="1797" w:right="1440" w:bottom="1797" w:left="1440" w:header="851" w:footer="992" w:gutter="0"/>
          <w:cols w:space="425" w:num="1"/>
          <w:docGrid w:type="lines" w:linePitch="312" w:charSpace="0"/>
        </w:sectPr>
      </w:pPr>
      <w:r>
        <w:rPr>
          <w:rFonts w:hint="eastAsia" w:ascii="仿宋" w:hAnsi="仿宋" w:eastAsia="仿宋" w:cs="仿宋"/>
          <w:b/>
          <w:bCs/>
          <w:color w:val="auto"/>
          <w:sz w:val="24"/>
          <w:szCs w:val="28"/>
          <w:highlight w:val="none"/>
          <w:lang w:val="en-US" w:eastAsia="zh-CN"/>
        </w:rPr>
        <w:t>3.招标限价：本次招标限总价为720000元，投标人投标价大于招标限价的投标文件招标人不予接受。</w:t>
      </w:r>
    </w:p>
    <w:p w14:paraId="50D52CA3">
      <w:pPr>
        <w:pStyle w:val="5"/>
        <w:shd w:val="clear"/>
        <w:spacing w:line="560" w:lineRule="exact"/>
        <w:rPr>
          <w:rFonts w:hint="eastAsia" w:ascii="仿宋" w:hAnsi="仿宋" w:eastAsia="仿宋" w:cs="仿宋"/>
          <w:color w:val="auto"/>
          <w:highlight w:val="none"/>
        </w:rPr>
      </w:pPr>
      <w:bookmarkStart w:id="35" w:name="_Toc27854"/>
      <w:r>
        <w:rPr>
          <w:rFonts w:hint="eastAsia" w:ascii="仿宋" w:hAnsi="仿宋" w:eastAsia="仿宋" w:cs="仿宋"/>
          <w:color w:val="auto"/>
          <w:highlight w:val="none"/>
        </w:rPr>
        <w:t>附件2：供应商审核要点</w:t>
      </w:r>
      <w:bookmarkEnd w:id="35"/>
    </w:p>
    <w:p w14:paraId="561B6B15">
      <w:pPr>
        <w:shd w:val="clear"/>
        <w:spacing w:line="480" w:lineRule="exact"/>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1、合作意向申请时，申请说明须写明欲参与事业部哪个项目何种</w:t>
      </w:r>
      <w:r>
        <w:rPr>
          <w:rFonts w:hint="eastAsia" w:ascii="仿宋" w:hAnsi="仿宋" w:eastAsia="仿宋" w:cs="仿宋"/>
          <w:color w:val="auto"/>
          <w:sz w:val="24"/>
          <w:szCs w:val="28"/>
          <w:highlight w:val="none"/>
          <w:lang w:val="en-US" w:eastAsia="zh-CN"/>
        </w:rPr>
        <w:t>物资或服务招标</w:t>
      </w:r>
      <w:r>
        <w:rPr>
          <w:rFonts w:hint="eastAsia" w:ascii="仿宋" w:hAnsi="仿宋" w:eastAsia="仿宋" w:cs="仿宋"/>
          <w:color w:val="auto"/>
          <w:sz w:val="24"/>
          <w:szCs w:val="28"/>
          <w:highlight w:val="none"/>
        </w:rPr>
        <w:t>采购。</w:t>
      </w:r>
    </w:p>
    <w:p w14:paraId="78B49599">
      <w:pPr>
        <w:shd w:val="clear"/>
        <w:spacing w:line="480" w:lineRule="exact"/>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2、基本信息里的工商注册号、税号、组织机构代码须与相关附件一致。</w:t>
      </w:r>
    </w:p>
    <w:p w14:paraId="7E3EFE50">
      <w:pPr>
        <w:shd w:val="clear"/>
        <w:spacing w:line="480" w:lineRule="exact"/>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3、基本信息里的住所信息、公司类型与营业执照一致。</w:t>
      </w:r>
    </w:p>
    <w:p w14:paraId="4C452764">
      <w:pPr>
        <w:shd w:val="clear"/>
        <w:spacing w:line="480" w:lineRule="exact"/>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4、基本信息里的注册资本单位为万元。</w:t>
      </w:r>
    </w:p>
    <w:p w14:paraId="5C5E04CA">
      <w:pPr>
        <w:shd w:val="clear"/>
        <w:spacing w:line="480" w:lineRule="exact"/>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5、基本信息里三证合一后的营业期限与组织机构代码有效期一致。</w:t>
      </w:r>
    </w:p>
    <w:p w14:paraId="427B68A9">
      <w:pPr>
        <w:shd w:val="clear"/>
        <w:spacing w:line="480" w:lineRule="exact"/>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6、基本信息里公司简介须填写，并明确主营产品。</w:t>
      </w:r>
    </w:p>
    <w:p w14:paraId="1BB61D2B">
      <w:pPr>
        <w:shd w:val="clear"/>
        <w:spacing w:line="480" w:lineRule="exact"/>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7、产品信息里须有参与本次投标的</w:t>
      </w:r>
      <w:r>
        <w:rPr>
          <w:rFonts w:hint="eastAsia" w:ascii="仿宋" w:hAnsi="仿宋" w:eastAsia="仿宋" w:cs="仿宋"/>
          <w:color w:val="auto"/>
          <w:sz w:val="24"/>
          <w:szCs w:val="28"/>
          <w:highlight w:val="none"/>
          <w:lang w:val="en-US" w:eastAsia="zh-CN"/>
        </w:rPr>
        <w:t>物资或服务</w:t>
      </w:r>
      <w:r>
        <w:rPr>
          <w:rFonts w:hint="eastAsia" w:ascii="仿宋" w:hAnsi="仿宋" w:eastAsia="仿宋" w:cs="仿宋"/>
          <w:color w:val="auto"/>
          <w:sz w:val="24"/>
          <w:szCs w:val="28"/>
          <w:highlight w:val="none"/>
        </w:rPr>
        <w:t>。</w:t>
      </w:r>
    </w:p>
    <w:p w14:paraId="21CA550B">
      <w:pPr>
        <w:shd w:val="clear"/>
        <w:spacing w:line="480" w:lineRule="exact"/>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8、资质文件里的附件资料应为清晰可辨、真实有效的原件扫描件，包括但不限于：三证合一的营业执照，增值税一般纳税人证明，真实有效的三标（质量、环境、职业健康安全）管理体系认证证书（集采目录内</w:t>
      </w:r>
      <w:r>
        <w:rPr>
          <w:rFonts w:hint="eastAsia" w:ascii="仿宋" w:hAnsi="仿宋" w:eastAsia="仿宋" w:cs="仿宋"/>
          <w:color w:val="auto"/>
          <w:sz w:val="24"/>
          <w:szCs w:val="28"/>
          <w:highlight w:val="none"/>
          <w:lang w:eastAsia="zh-CN"/>
        </w:rPr>
        <w:t>机械设备</w:t>
      </w:r>
      <w:r>
        <w:rPr>
          <w:rFonts w:hint="eastAsia" w:ascii="仿宋" w:hAnsi="仿宋" w:eastAsia="仿宋" w:cs="仿宋"/>
          <w:color w:val="auto"/>
          <w:sz w:val="24"/>
          <w:szCs w:val="28"/>
          <w:highlight w:val="none"/>
        </w:rPr>
        <w:t>供应商须有三标体系，集采目录外供应商须有质量体系），近三年内经审计的财务报表。</w:t>
      </w:r>
    </w:p>
    <w:p w14:paraId="34F50B88">
      <w:pPr>
        <w:shd w:val="clear"/>
        <w:spacing w:line="480" w:lineRule="exact"/>
        <w:ind w:firstLine="480" w:firstLineChars="200"/>
        <w:rPr>
          <w:rFonts w:hint="eastAsia" w:ascii="仿宋" w:hAnsi="仿宋" w:eastAsia="仿宋" w:cs="仿宋"/>
          <w:color w:val="auto"/>
          <w:sz w:val="24"/>
          <w:szCs w:val="28"/>
          <w:highlight w:val="none"/>
        </w:rPr>
      </w:pPr>
    </w:p>
    <w:p w14:paraId="40AB5D15">
      <w:pPr>
        <w:rPr>
          <w:rFonts w:hint="eastAsia"/>
        </w:rPr>
      </w:pPr>
    </w:p>
    <w:sectPr>
      <w:headerReference r:id="rId4" w:type="default"/>
      <w:footerReference r:id="rId5"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Cambria">
    <w:panose1 w:val="02040503050406030204"/>
    <w:charset w:val="00"/>
    <w:family w:val="roman"/>
    <w:pitch w:val="default"/>
    <w:sig w:usb0="E00006FF" w:usb1="420024FF" w:usb2="02000000" w:usb3="00000000" w:csb0="2000019F" w:csb1="00000000"/>
  </w:font>
  <w:font w:name="F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方正小标宋简体">
    <w:panose1 w:val="02000000000000000000"/>
    <w:charset w:val="86"/>
    <w:family w:val="script"/>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69395">
    <w:pPr>
      <w:pStyle w:val="1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13E0FE">
                          <w:pPr>
                            <w:pStyle w:val="19"/>
                            <w:jc w:val="center"/>
                          </w:pPr>
                          <w:r>
                            <w:fldChar w:fldCharType="begin"/>
                          </w:r>
                          <w:r>
                            <w:instrText xml:space="preserve"> PAGE   \* MERGEFORMAT </w:instrText>
                          </w:r>
                          <w:r>
                            <w:fldChar w:fldCharType="separate"/>
                          </w:r>
                          <w:r>
                            <w:rPr>
                              <w:lang w:val="zh-CN"/>
                            </w:rPr>
                            <w:t>81</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D13E0FE">
                    <w:pPr>
                      <w:pStyle w:val="19"/>
                      <w:jc w:val="center"/>
                    </w:pPr>
                    <w:r>
                      <w:fldChar w:fldCharType="begin"/>
                    </w:r>
                    <w:r>
                      <w:instrText xml:space="preserve"> PAGE   \* MERGEFORMAT </w:instrText>
                    </w:r>
                    <w:r>
                      <w:fldChar w:fldCharType="separate"/>
                    </w:r>
                    <w:r>
                      <w:rPr>
                        <w:lang w:val="zh-CN"/>
                      </w:rPr>
                      <w:t>81</w:t>
                    </w:r>
                    <w:r>
                      <w:rPr>
                        <w:lang w:val="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03513">
    <w:pPr>
      <w:pStyle w:val="1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4ED2D8">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094ED2D8">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E5AFF6">
    <w:pPr>
      <w:pStyle w:val="20"/>
      <w:jc w:val="both"/>
      <w:rPr>
        <w:rFonts w:hint="eastAsia" w:eastAsia="宋体"/>
        <w:b/>
        <w:lang w:val="en-US" w:eastAsia="zh-CN"/>
      </w:rPr>
    </w:pPr>
    <w:r>
      <w:rPr>
        <w:rFonts w:hint="eastAsia" w:ascii="宋体" w:hAnsi="宋体"/>
        <w:b/>
      </w:rPr>
      <w:t>工程名称：中国交建重庆轨道交通18号线北延工程</w:t>
    </w:r>
    <w:r>
      <w:rPr>
        <w:rFonts w:ascii="宋体" w:hAnsi="宋体"/>
        <w:b/>
      </w:rPr>
      <w:t xml:space="preserve">                 </w:t>
    </w:r>
    <w:r>
      <w:rPr>
        <w:rFonts w:hint="eastAsia" w:ascii="宋体" w:hAnsi="宋体"/>
        <w:b/>
      </w:rPr>
      <w:t>招标编号：</w:t>
    </w:r>
    <w:r>
      <w:rPr>
        <w:rFonts w:hint="eastAsia" w:ascii="方正小标宋简体" w:hAnsi="黑体" w:eastAsia="方正小标宋简体"/>
        <w:lang w:eastAsia="zh-CN"/>
      </w:rPr>
      <w:t>ZGJJ-CQ18-2025-17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AxMWZhMDUzY2NhNDMzOWZhZmY4NDI1MDNiYTU1M2YifQ=="/>
  </w:docVars>
  <w:rsids>
    <w:rsidRoot w:val="00172A27"/>
    <w:rsid w:val="00004DF6"/>
    <w:rsid w:val="00006821"/>
    <w:rsid w:val="00006ABB"/>
    <w:rsid w:val="00006F4D"/>
    <w:rsid w:val="00010F6C"/>
    <w:rsid w:val="000149A0"/>
    <w:rsid w:val="00020BD2"/>
    <w:rsid w:val="00026020"/>
    <w:rsid w:val="00026C46"/>
    <w:rsid w:val="00031587"/>
    <w:rsid w:val="0003307B"/>
    <w:rsid w:val="00033C7D"/>
    <w:rsid w:val="0003735A"/>
    <w:rsid w:val="00037E9D"/>
    <w:rsid w:val="000422B2"/>
    <w:rsid w:val="00044E85"/>
    <w:rsid w:val="00052303"/>
    <w:rsid w:val="00052DCA"/>
    <w:rsid w:val="000543BE"/>
    <w:rsid w:val="00055F0E"/>
    <w:rsid w:val="000637E7"/>
    <w:rsid w:val="000710E2"/>
    <w:rsid w:val="000772E0"/>
    <w:rsid w:val="00080E7C"/>
    <w:rsid w:val="000818C5"/>
    <w:rsid w:val="00085005"/>
    <w:rsid w:val="000857A9"/>
    <w:rsid w:val="000878AB"/>
    <w:rsid w:val="00092431"/>
    <w:rsid w:val="00093B29"/>
    <w:rsid w:val="00094CAA"/>
    <w:rsid w:val="00095AAE"/>
    <w:rsid w:val="000A05AD"/>
    <w:rsid w:val="000A2C56"/>
    <w:rsid w:val="000A41E4"/>
    <w:rsid w:val="000A4D14"/>
    <w:rsid w:val="000A7B8C"/>
    <w:rsid w:val="000B21C5"/>
    <w:rsid w:val="000B2DEA"/>
    <w:rsid w:val="000B37EC"/>
    <w:rsid w:val="000C4FF5"/>
    <w:rsid w:val="000C58BD"/>
    <w:rsid w:val="000D11C7"/>
    <w:rsid w:val="000D1A8F"/>
    <w:rsid w:val="000D2BC9"/>
    <w:rsid w:val="000D306E"/>
    <w:rsid w:val="000D4322"/>
    <w:rsid w:val="000D474C"/>
    <w:rsid w:val="000E0077"/>
    <w:rsid w:val="000E1EF0"/>
    <w:rsid w:val="000F27C0"/>
    <w:rsid w:val="000F4B7A"/>
    <w:rsid w:val="00102D60"/>
    <w:rsid w:val="00103876"/>
    <w:rsid w:val="00104A17"/>
    <w:rsid w:val="001075D6"/>
    <w:rsid w:val="0011314C"/>
    <w:rsid w:val="001261EE"/>
    <w:rsid w:val="00130ACC"/>
    <w:rsid w:val="00137FD6"/>
    <w:rsid w:val="00140D5B"/>
    <w:rsid w:val="001446CA"/>
    <w:rsid w:val="0014777A"/>
    <w:rsid w:val="00147BAE"/>
    <w:rsid w:val="00150DA5"/>
    <w:rsid w:val="00153A1C"/>
    <w:rsid w:val="0016005A"/>
    <w:rsid w:val="001603FA"/>
    <w:rsid w:val="00160B55"/>
    <w:rsid w:val="00161336"/>
    <w:rsid w:val="00162AC6"/>
    <w:rsid w:val="0017078C"/>
    <w:rsid w:val="00171715"/>
    <w:rsid w:val="001744DC"/>
    <w:rsid w:val="00175780"/>
    <w:rsid w:val="00176D52"/>
    <w:rsid w:val="00183793"/>
    <w:rsid w:val="001864B0"/>
    <w:rsid w:val="0018786A"/>
    <w:rsid w:val="00196D7B"/>
    <w:rsid w:val="001A00A1"/>
    <w:rsid w:val="001A2928"/>
    <w:rsid w:val="001B16D7"/>
    <w:rsid w:val="001B2286"/>
    <w:rsid w:val="001B2CAD"/>
    <w:rsid w:val="001B7C8F"/>
    <w:rsid w:val="001C04FA"/>
    <w:rsid w:val="001C4622"/>
    <w:rsid w:val="001C7132"/>
    <w:rsid w:val="001D0843"/>
    <w:rsid w:val="001D1100"/>
    <w:rsid w:val="001D59E1"/>
    <w:rsid w:val="001E1B4C"/>
    <w:rsid w:val="001E1F7C"/>
    <w:rsid w:val="001F2035"/>
    <w:rsid w:val="001F247C"/>
    <w:rsid w:val="001F384E"/>
    <w:rsid w:val="002053C3"/>
    <w:rsid w:val="0020678A"/>
    <w:rsid w:val="00207407"/>
    <w:rsid w:val="00212CD2"/>
    <w:rsid w:val="002144D0"/>
    <w:rsid w:val="002147A7"/>
    <w:rsid w:val="002166A0"/>
    <w:rsid w:val="00220153"/>
    <w:rsid w:val="00223D69"/>
    <w:rsid w:val="002317C4"/>
    <w:rsid w:val="00237C6C"/>
    <w:rsid w:val="00244B64"/>
    <w:rsid w:val="00250C63"/>
    <w:rsid w:val="002529AF"/>
    <w:rsid w:val="00252D59"/>
    <w:rsid w:val="002539AA"/>
    <w:rsid w:val="0025444C"/>
    <w:rsid w:val="00255577"/>
    <w:rsid w:val="00261A07"/>
    <w:rsid w:val="00266809"/>
    <w:rsid w:val="00267213"/>
    <w:rsid w:val="002679DE"/>
    <w:rsid w:val="002721B3"/>
    <w:rsid w:val="0027280F"/>
    <w:rsid w:val="00274C1F"/>
    <w:rsid w:val="0027599C"/>
    <w:rsid w:val="00276A2C"/>
    <w:rsid w:val="00281D4D"/>
    <w:rsid w:val="002827F0"/>
    <w:rsid w:val="0028641E"/>
    <w:rsid w:val="0029277A"/>
    <w:rsid w:val="00294B7F"/>
    <w:rsid w:val="002957BD"/>
    <w:rsid w:val="002A2F94"/>
    <w:rsid w:val="002A2FEF"/>
    <w:rsid w:val="002A46A3"/>
    <w:rsid w:val="002A5875"/>
    <w:rsid w:val="002A6D62"/>
    <w:rsid w:val="002B4497"/>
    <w:rsid w:val="002B5237"/>
    <w:rsid w:val="002C1E3B"/>
    <w:rsid w:val="002C5D43"/>
    <w:rsid w:val="002D3074"/>
    <w:rsid w:val="002D6FD9"/>
    <w:rsid w:val="002E097E"/>
    <w:rsid w:val="002E762A"/>
    <w:rsid w:val="002F1136"/>
    <w:rsid w:val="002F3246"/>
    <w:rsid w:val="002F4B89"/>
    <w:rsid w:val="00304373"/>
    <w:rsid w:val="00305A16"/>
    <w:rsid w:val="00305A7A"/>
    <w:rsid w:val="003061D7"/>
    <w:rsid w:val="0031320C"/>
    <w:rsid w:val="00315A1E"/>
    <w:rsid w:val="003171F5"/>
    <w:rsid w:val="0032062D"/>
    <w:rsid w:val="00324F66"/>
    <w:rsid w:val="00337874"/>
    <w:rsid w:val="0034166D"/>
    <w:rsid w:val="00344BDF"/>
    <w:rsid w:val="00347142"/>
    <w:rsid w:val="00351F7B"/>
    <w:rsid w:val="0035697E"/>
    <w:rsid w:val="00356B01"/>
    <w:rsid w:val="0036242C"/>
    <w:rsid w:val="003667E8"/>
    <w:rsid w:val="00366B57"/>
    <w:rsid w:val="00367F51"/>
    <w:rsid w:val="003822F3"/>
    <w:rsid w:val="00383745"/>
    <w:rsid w:val="00383D5C"/>
    <w:rsid w:val="0038478C"/>
    <w:rsid w:val="00387D39"/>
    <w:rsid w:val="0039020B"/>
    <w:rsid w:val="003A031C"/>
    <w:rsid w:val="003A03AE"/>
    <w:rsid w:val="003A11D1"/>
    <w:rsid w:val="003B497C"/>
    <w:rsid w:val="003D244A"/>
    <w:rsid w:val="003D2B90"/>
    <w:rsid w:val="003F4DE8"/>
    <w:rsid w:val="003F4F2C"/>
    <w:rsid w:val="00403664"/>
    <w:rsid w:val="00410C53"/>
    <w:rsid w:val="00416385"/>
    <w:rsid w:val="004314EA"/>
    <w:rsid w:val="004371BE"/>
    <w:rsid w:val="00443D1F"/>
    <w:rsid w:val="004455FA"/>
    <w:rsid w:val="0045696F"/>
    <w:rsid w:val="0046334F"/>
    <w:rsid w:val="0047568F"/>
    <w:rsid w:val="004835E9"/>
    <w:rsid w:val="00487E6E"/>
    <w:rsid w:val="004921EA"/>
    <w:rsid w:val="00495F44"/>
    <w:rsid w:val="0049660F"/>
    <w:rsid w:val="004A5FCC"/>
    <w:rsid w:val="004C3CC5"/>
    <w:rsid w:val="004C43E1"/>
    <w:rsid w:val="004D124C"/>
    <w:rsid w:val="004D42C0"/>
    <w:rsid w:val="004D4E63"/>
    <w:rsid w:val="004D52D1"/>
    <w:rsid w:val="004E34F3"/>
    <w:rsid w:val="004E353E"/>
    <w:rsid w:val="004F0B4F"/>
    <w:rsid w:val="004F3784"/>
    <w:rsid w:val="004F3F58"/>
    <w:rsid w:val="004F761E"/>
    <w:rsid w:val="004F7FFE"/>
    <w:rsid w:val="00503E0F"/>
    <w:rsid w:val="00507201"/>
    <w:rsid w:val="00507360"/>
    <w:rsid w:val="005103E5"/>
    <w:rsid w:val="00520555"/>
    <w:rsid w:val="00522517"/>
    <w:rsid w:val="005238FA"/>
    <w:rsid w:val="00527E19"/>
    <w:rsid w:val="005302BA"/>
    <w:rsid w:val="0053595B"/>
    <w:rsid w:val="005413DA"/>
    <w:rsid w:val="005575AB"/>
    <w:rsid w:val="00560F74"/>
    <w:rsid w:val="005622D8"/>
    <w:rsid w:val="00570AF3"/>
    <w:rsid w:val="00590961"/>
    <w:rsid w:val="00590D86"/>
    <w:rsid w:val="00591510"/>
    <w:rsid w:val="005940E8"/>
    <w:rsid w:val="0059496A"/>
    <w:rsid w:val="005950C5"/>
    <w:rsid w:val="005B0E66"/>
    <w:rsid w:val="005B129E"/>
    <w:rsid w:val="005B2F22"/>
    <w:rsid w:val="005B3184"/>
    <w:rsid w:val="005C2E44"/>
    <w:rsid w:val="005D360D"/>
    <w:rsid w:val="005D5908"/>
    <w:rsid w:val="005E2C7D"/>
    <w:rsid w:val="005F01D9"/>
    <w:rsid w:val="005F1AE2"/>
    <w:rsid w:val="005F2FEC"/>
    <w:rsid w:val="005F4D80"/>
    <w:rsid w:val="005F7D68"/>
    <w:rsid w:val="006117C1"/>
    <w:rsid w:val="00613324"/>
    <w:rsid w:val="00616B41"/>
    <w:rsid w:val="00617A31"/>
    <w:rsid w:val="00625EF1"/>
    <w:rsid w:val="00627A67"/>
    <w:rsid w:val="00642E82"/>
    <w:rsid w:val="00643671"/>
    <w:rsid w:val="00647C3C"/>
    <w:rsid w:val="00661B21"/>
    <w:rsid w:val="006655D1"/>
    <w:rsid w:val="00665EE2"/>
    <w:rsid w:val="0067158C"/>
    <w:rsid w:val="00674986"/>
    <w:rsid w:val="006776EC"/>
    <w:rsid w:val="00682FA4"/>
    <w:rsid w:val="006904C1"/>
    <w:rsid w:val="00697BE7"/>
    <w:rsid w:val="006A1B4E"/>
    <w:rsid w:val="006A406A"/>
    <w:rsid w:val="006A5EBA"/>
    <w:rsid w:val="006A6FB4"/>
    <w:rsid w:val="006B2BC9"/>
    <w:rsid w:val="006B3D16"/>
    <w:rsid w:val="006B42CA"/>
    <w:rsid w:val="006B4461"/>
    <w:rsid w:val="006B6731"/>
    <w:rsid w:val="006B714F"/>
    <w:rsid w:val="006C3C44"/>
    <w:rsid w:val="006C5300"/>
    <w:rsid w:val="006D7B4C"/>
    <w:rsid w:val="006E0792"/>
    <w:rsid w:val="006E1018"/>
    <w:rsid w:val="006E1B79"/>
    <w:rsid w:val="006E4770"/>
    <w:rsid w:val="006E4C89"/>
    <w:rsid w:val="006F4111"/>
    <w:rsid w:val="006F427A"/>
    <w:rsid w:val="006F5846"/>
    <w:rsid w:val="006F7E55"/>
    <w:rsid w:val="00700C57"/>
    <w:rsid w:val="00704264"/>
    <w:rsid w:val="00704385"/>
    <w:rsid w:val="007056BB"/>
    <w:rsid w:val="00707C2A"/>
    <w:rsid w:val="00713572"/>
    <w:rsid w:val="00720B99"/>
    <w:rsid w:val="00724552"/>
    <w:rsid w:val="0072776D"/>
    <w:rsid w:val="00733F97"/>
    <w:rsid w:val="00735421"/>
    <w:rsid w:val="007372BA"/>
    <w:rsid w:val="0074528C"/>
    <w:rsid w:val="00751468"/>
    <w:rsid w:val="007609E2"/>
    <w:rsid w:val="00761DA2"/>
    <w:rsid w:val="00762ED8"/>
    <w:rsid w:val="00763C2C"/>
    <w:rsid w:val="00764343"/>
    <w:rsid w:val="007708BA"/>
    <w:rsid w:val="00776115"/>
    <w:rsid w:val="00792B17"/>
    <w:rsid w:val="00795AAD"/>
    <w:rsid w:val="007A143C"/>
    <w:rsid w:val="007A1B59"/>
    <w:rsid w:val="007A3FD1"/>
    <w:rsid w:val="007A6B3B"/>
    <w:rsid w:val="007B0F01"/>
    <w:rsid w:val="007B3F8B"/>
    <w:rsid w:val="007B50AB"/>
    <w:rsid w:val="007B7118"/>
    <w:rsid w:val="007D1224"/>
    <w:rsid w:val="007D2621"/>
    <w:rsid w:val="007D5154"/>
    <w:rsid w:val="007E347C"/>
    <w:rsid w:val="007F2C9B"/>
    <w:rsid w:val="007F300D"/>
    <w:rsid w:val="00801AB7"/>
    <w:rsid w:val="008033AC"/>
    <w:rsid w:val="00807BE1"/>
    <w:rsid w:val="008107E3"/>
    <w:rsid w:val="008110F8"/>
    <w:rsid w:val="00812E9B"/>
    <w:rsid w:val="00813DC7"/>
    <w:rsid w:val="00816924"/>
    <w:rsid w:val="0081794E"/>
    <w:rsid w:val="00820D3C"/>
    <w:rsid w:val="008237DC"/>
    <w:rsid w:val="008306D7"/>
    <w:rsid w:val="00832E19"/>
    <w:rsid w:val="0084096F"/>
    <w:rsid w:val="00840982"/>
    <w:rsid w:val="00842FE3"/>
    <w:rsid w:val="00844DA4"/>
    <w:rsid w:val="00861248"/>
    <w:rsid w:val="00861E87"/>
    <w:rsid w:val="00865559"/>
    <w:rsid w:val="00866D79"/>
    <w:rsid w:val="00871F36"/>
    <w:rsid w:val="00874A5B"/>
    <w:rsid w:val="008806AE"/>
    <w:rsid w:val="00881617"/>
    <w:rsid w:val="00886692"/>
    <w:rsid w:val="0088711D"/>
    <w:rsid w:val="00890094"/>
    <w:rsid w:val="00891F63"/>
    <w:rsid w:val="008948D8"/>
    <w:rsid w:val="00894E8A"/>
    <w:rsid w:val="00896723"/>
    <w:rsid w:val="00896FAC"/>
    <w:rsid w:val="008B117A"/>
    <w:rsid w:val="008C529C"/>
    <w:rsid w:val="008C61B7"/>
    <w:rsid w:val="008D12CE"/>
    <w:rsid w:val="008D3550"/>
    <w:rsid w:val="008E0483"/>
    <w:rsid w:val="008E4934"/>
    <w:rsid w:val="008E4D11"/>
    <w:rsid w:val="008E615F"/>
    <w:rsid w:val="008E6569"/>
    <w:rsid w:val="008F00AD"/>
    <w:rsid w:val="008F1667"/>
    <w:rsid w:val="008F35D2"/>
    <w:rsid w:val="008F7307"/>
    <w:rsid w:val="00901B74"/>
    <w:rsid w:val="00902DC0"/>
    <w:rsid w:val="00905C1E"/>
    <w:rsid w:val="00906FAD"/>
    <w:rsid w:val="009120E7"/>
    <w:rsid w:val="00914893"/>
    <w:rsid w:val="00914A7E"/>
    <w:rsid w:val="00925BA2"/>
    <w:rsid w:val="0092616B"/>
    <w:rsid w:val="00931CE0"/>
    <w:rsid w:val="00937070"/>
    <w:rsid w:val="009371A1"/>
    <w:rsid w:val="009420B0"/>
    <w:rsid w:val="0094259F"/>
    <w:rsid w:val="00944C08"/>
    <w:rsid w:val="009630E5"/>
    <w:rsid w:val="0096456C"/>
    <w:rsid w:val="0096711D"/>
    <w:rsid w:val="00967488"/>
    <w:rsid w:val="009706E5"/>
    <w:rsid w:val="00971441"/>
    <w:rsid w:val="009741E9"/>
    <w:rsid w:val="00975008"/>
    <w:rsid w:val="00980FFA"/>
    <w:rsid w:val="009877AC"/>
    <w:rsid w:val="0098790F"/>
    <w:rsid w:val="009941E0"/>
    <w:rsid w:val="0099666A"/>
    <w:rsid w:val="00997685"/>
    <w:rsid w:val="009A092D"/>
    <w:rsid w:val="009A0E01"/>
    <w:rsid w:val="009A4CD8"/>
    <w:rsid w:val="009B0419"/>
    <w:rsid w:val="009B2E4E"/>
    <w:rsid w:val="009B4DE0"/>
    <w:rsid w:val="009C7590"/>
    <w:rsid w:val="009D1665"/>
    <w:rsid w:val="009D7FD8"/>
    <w:rsid w:val="009E2102"/>
    <w:rsid w:val="009E2FDC"/>
    <w:rsid w:val="009F2FAB"/>
    <w:rsid w:val="00A02368"/>
    <w:rsid w:val="00A0463A"/>
    <w:rsid w:val="00A1164E"/>
    <w:rsid w:val="00A11B25"/>
    <w:rsid w:val="00A12246"/>
    <w:rsid w:val="00A125EB"/>
    <w:rsid w:val="00A17690"/>
    <w:rsid w:val="00A1774C"/>
    <w:rsid w:val="00A23DC1"/>
    <w:rsid w:val="00A265F5"/>
    <w:rsid w:val="00A27B91"/>
    <w:rsid w:val="00A33614"/>
    <w:rsid w:val="00A52AB3"/>
    <w:rsid w:val="00A54A61"/>
    <w:rsid w:val="00A562E6"/>
    <w:rsid w:val="00A6211E"/>
    <w:rsid w:val="00A637D2"/>
    <w:rsid w:val="00A64EA0"/>
    <w:rsid w:val="00A70172"/>
    <w:rsid w:val="00A7567A"/>
    <w:rsid w:val="00A94763"/>
    <w:rsid w:val="00AA5728"/>
    <w:rsid w:val="00AB6761"/>
    <w:rsid w:val="00AB6D56"/>
    <w:rsid w:val="00AC1A58"/>
    <w:rsid w:val="00AC4210"/>
    <w:rsid w:val="00AC5CC2"/>
    <w:rsid w:val="00AD0992"/>
    <w:rsid w:val="00AE1652"/>
    <w:rsid w:val="00AE55C6"/>
    <w:rsid w:val="00AF2B3B"/>
    <w:rsid w:val="00AF50EA"/>
    <w:rsid w:val="00B10CB1"/>
    <w:rsid w:val="00B11431"/>
    <w:rsid w:val="00B120CF"/>
    <w:rsid w:val="00B15356"/>
    <w:rsid w:val="00B170E5"/>
    <w:rsid w:val="00B20C9E"/>
    <w:rsid w:val="00B23167"/>
    <w:rsid w:val="00B23913"/>
    <w:rsid w:val="00B46FD1"/>
    <w:rsid w:val="00B474A8"/>
    <w:rsid w:val="00B514E1"/>
    <w:rsid w:val="00B53F30"/>
    <w:rsid w:val="00B55A3D"/>
    <w:rsid w:val="00B624AC"/>
    <w:rsid w:val="00B70914"/>
    <w:rsid w:val="00B70F5D"/>
    <w:rsid w:val="00B73F70"/>
    <w:rsid w:val="00B7403A"/>
    <w:rsid w:val="00B84F28"/>
    <w:rsid w:val="00B9596B"/>
    <w:rsid w:val="00BA4390"/>
    <w:rsid w:val="00BA5D4B"/>
    <w:rsid w:val="00BB2986"/>
    <w:rsid w:val="00BB4163"/>
    <w:rsid w:val="00BC3877"/>
    <w:rsid w:val="00BD7B19"/>
    <w:rsid w:val="00BF4B7F"/>
    <w:rsid w:val="00BF5CEF"/>
    <w:rsid w:val="00C0086D"/>
    <w:rsid w:val="00C00F33"/>
    <w:rsid w:val="00C05D4E"/>
    <w:rsid w:val="00C12C03"/>
    <w:rsid w:val="00C13CC1"/>
    <w:rsid w:val="00C27CA7"/>
    <w:rsid w:val="00C4158F"/>
    <w:rsid w:val="00C43D98"/>
    <w:rsid w:val="00C50647"/>
    <w:rsid w:val="00C5076E"/>
    <w:rsid w:val="00C53440"/>
    <w:rsid w:val="00C544D0"/>
    <w:rsid w:val="00C67A08"/>
    <w:rsid w:val="00C67D9B"/>
    <w:rsid w:val="00C72B68"/>
    <w:rsid w:val="00C82533"/>
    <w:rsid w:val="00C93112"/>
    <w:rsid w:val="00C95A69"/>
    <w:rsid w:val="00C95C31"/>
    <w:rsid w:val="00C972B9"/>
    <w:rsid w:val="00CA0791"/>
    <w:rsid w:val="00CA74CF"/>
    <w:rsid w:val="00CB077E"/>
    <w:rsid w:val="00CB1E2B"/>
    <w:rsid w:val="00CC4AA0"/>
    <w:rsid w:val="00CC730F"/>
    <w:rsid w:val="00CE52E9"/>
    <w:rsid w:val="00CE551D"/>
    <w:rsid w:val="00CE618F"/>
    <w:rsid w:val="00CE7291"/>
    <w:rsid w:val="00CE7AE0"/>
    <w:rsid w:val="00CF3E6B"/>
    <w:rsid w:val="00CF5B74"/>
    <w:rsid w:val="00CF654D"/>
    <w:rsid w:val="00D02B1A"/>
    <w:rsid w:val="00D1371A"/>
    <w:rsid w:val="00D1783B"/>
    <w:rsid w:val="00D30898"/>
    <w:rsid w:val="00D30DB2"/>
    <w:rsid w:val="00D311DD"/>
    <w:rsid w:val="00D31C5D"/>
    <w:rsid w:val="00D35FC8"/>
    <w:rsid w:val="00D440FB"/>
    <w:rsid w:val="00D46E5F"/>
    <w:rsid w:val="00D5242C"/>
    <w:rsid w:val="00D57309"/>
    <w:rsid w:val="00D604A6"/>
    <w:rsid w:val="00D655C4"/>
    <w:rsid w:val="00D66B43"/>
    <w:rsid w:val="00D67E41"/>
    <w:rsid w:val="00D7714E"/>
    <w:rsid w:val="00D8335F"/>
    <w:rsid w:val="00D8453F"/>
    <w:rsid w:val="00D85842"/>
    <w:rsid w:val="00D87A05"/>
    <w:rsid w:val="00D9239C"/>
    <w:rsid w:val="00D931FD"/>
    <w:rsid w:val="00DA5978"/>
    <w:rsid w:val="00DC4285"/>
    <w:rsid w:val="00DC67F5"/>
    <w:rsid w:val="00DD57C8"/>
    <w:rsid w:val="00DE1155"/>
    <w:rsid w:val="00DE608D"/>
    <w:rsid w:val="00DF3D7F"/>
    <w:rsid w:val="00E07173"/>
    <w:rsid w:val="00E113B6"/>
    <w:rsid w:val="00E123D1"/>
    <w:rsid w:val="00E24A12"/>
    <w:rsid w:val="00E273C4"/>
    <w:rsid w:val="00E30B15"/>
    <w:rsid w:val="00E32CD3"/>
    <w:rsid w:val="00E3306A"/>
    <w:rsid w:val="00E40229"/>
    <w:rsid w:val="00E43678"/>
    <w:rsid w:val="00E51BA0"/>
    <w:rsid w:val="00E532A6"/>
    <w:rsid w:val="00E576A0"/>
    <w:rsid w:val="00E61ED2"/>
    <w:rsid w:val="00E71B81"/>
    <w:rsid w:val="00E74897"/>
    <w:rsid w:val="00E74A20"/>
    <w:rsid w:val="00E7502E"/>
    <w:rsid w:val="00E76BDB"/>
    <w:rsid w:val="00E76DEF"/>
    <w:rsid w:val="00E77462"/>
    <w:rsid w:val="00E818C5"/>
    <w:rsid w:val="00E86AA8"/>
    <w:rsid w:val="00E92B45"/>
    <w:rsid w:val="00E93FC4"/>
    <w:rsid w:val="00EA5C89"/>
    <w:rsid w:val="00EB68E9"/>
    <w:rsid w:val="00EC1C15"/>
    <w:rsid w:val="00ED7D11"/>
    <w:rsid w:val="00EE0CE7"/>
    <w:rsid w:val="00EE0FD7"/>
    <w:rsid w:val="00EF0F8F"/>
    <w:rsid w:val="00EF3DA2"/>
    <w:rsid w:val="00EF6D45"/>
    <w:rsid w:val="00EF6DF7"/>
    <w:rsid w:val="00F051F4"/>
    <w:rsid w:val="00F25A0D"/>
    <w:rsid w:val="00F30D46"/>
    <w:rsid w:val="00F463D6"/>
    <w:rsid w:val="00F517A7"/>
    <w:rsid w:val="00F539EB"/>
    <w:rsid w:val="00F6034F"/>
    <w:rsid w:val="00F71FD8"/>
    <w:rsid w:val="00F72717"/>
    <w:rsid w:val="00F77EB5"/>
    <w:rsid w:val="00F808D4"/>
    <w:rsid w:val="00F80A85"/>
    <w:rsid w:val="00F860B8"/>
    <w:rsid w:val="00F863DB"/>
    <w:rsid w:val="00F92B18"/>
    <w:rsid w:val="00FB0C0A"/>
    <w:rsid w:val="00FB2369"/>
    <w:rsid w:val="00FB375A"/>
    <w:rsid w:val="00FB5A50"/>
    <w:rsid w:val="00FB60B2"/>
    <w:rsid w:val="00FC1A4A"/>
    <w:rsid w:val="00FC2466"/>
    <w:rsid w:val="00FC42A3"/>
    <w:rsid w:val="00FC6AFD"/>
    <w:rsid w:val="00FD37D4"/>
    <w:rsid w:val="00FD4437"/>
    <w:rsid w:val="00FF5EF7"/>
    <w:rsid w:val="010D1F8E"/>
    <w:rsid w:val="011003FF"/>
    <w:rsid w:val="014B740B"/>
    <w:rsid w:val="016B1AA8"/>
    <w:rsid w:val="01A3073B"/>
    <w:rsid w:val="01CB1D31"/>
    <w:rsid w:val="02480511"/>
    <w:rsid w:val="02CC7660"/>
    <w:rsid w:val="02D867B9"/>
    <w:rsid w:val="0307165E"/>
    <w:rsid w:val="0327794F"/>
    <w:rsid w:val="03870CB3"/>
    <w:rsid w:val="03BA6239"/>
    <w:rsid w:val="03C374A3"/>
    <w:rsid w:val="03E37F1C"/>
    <w:rsid w:val="04695C6C"/>
    <w:rsid w:val="04A93609"/>
    <w:rsid w:val="04C81AE6"/>
    <w:rsid w:val="04EC5061"/>
    <w:rsid w:val="05552901"/>
    <w:rsid w:val="05616CEF"/>
    <w:rsid w:val="05740424"/>
    <w:rsid w:val="057E0A76"/>
    <w:rsid w:val="05980940"/>
    <w:rsid w:val="05CC64B2"/>
    <w:rsid w:val="06157A01"/>
    <w:rsid w:val="06514C09"/>
    <w:rsid w:val="06616DAA"/>
    <w:rsid w:val="06890291"/>
    <w:rsid w:val="06D1024D"/>
    <w:rsid w:val="072A7387"/>
    <w:rsid w:val="074D60F3"/>
    <w:rsid w:val="07BF4DF8"/>
    <w:rsid w:val="07D75762"/>
    <w:rsid w:val="07EF1AB7"/>
    <w:rsid w:val="08322783"/>
    <w:rsid w:val="084818B9"/>
    <w:rsid w:val="08CD5D6D"/>
    <w:rsid w:val="08FD3C6E"/>
    <w:rsid w:val="0A133B5F"/>
    <w:rsid w:val="0A171CC6"/>
    <w:rsid w:val="0A5239D9"/>
    <w:rsid w:val="0AA74CD1"/>
    <w:rsid w:val="0AF7625C"/>
    <w:rsid w:val="0AF935E9"/>
    <w:rsid w:val="0B324CBC"/>
    <w:rsid w:val="0B433508"/>
    <w:rsid w:val="0B9C7222"/>
    <w:rsid w:val="0BC437CB"/>
    <w:rsid w:val="0BD94DEF"/>
    <w:rsid w:val="0C047F54"/>
    <w:rsid w:val="0C3B2DF2"/>
    <w:rsid w:val="0D20322C"/>
    <w:rsid w:val="0D330BC5"/>
    <w:rsid w:val="0D365FA7"/>
    <w:rsid w:val="0D641577"/>
    <w:rsid w:val="0DA47D15"/>
    <w:rsid w:val="0E3219CE"/>
    <w:rsid w:val="0E440CF0"/>
    <w:rsid w:val="0E4E4929"/>
    <w:rsid w:val="0E9D5C61"/>
    <w:rsid w:val="0EC70BAC"/>
    <w:rsid w:val="0ED836B0"/>
    <w:rsid w:val="0EDE48D8"/>
    <w:rsid w:val="0F120ED9"/>
    <w:rsid w:val="0F7707B3"/>
    <w:rsid w:val="0F815A82"/>
    <w:rsid w:val="0FAB7138"/>
    <w:rsid w:val="10023BEB"/>
    <w:rsid w:val="104E6745"/>
    <w:rsid w:val="10815241"/>
    <w:rsid w:val="108D6CB0"/>
    <w:rsid w:val="10BB7C68"/>
    <w:rsid w:val="10C02CE5"/>
    <w:rsid w:val="10DD26F0"/>
    <w:rsid w:val="10E215D1"/>
    <w:rsid w:val="10F05692"/>
    <w:rsid w:val="111946B3"/>
    <w:rsid w:val="112A2198"/>
    <w:rsid w:val="114368F6"/>
    <w:rsid w:val="114C568C"/>
    <w:rsid w:val="114E4B3D"/>
    <w:rsid w:val="119A33B7"/>
    <w:rsid w:val="11AC69E5"/>
    <w:rsid w:val="121E7EF0"/>
    <w:rsid w:val="122E7811"/>
    <w:rsid w:val="12466F9B"/>
    <w:rsid w:val="127F6A4D"/>
    <w:rsid w:val="12F03C5E"/>
    <w:rsid w:val="12F31403"/>
    <w:rsid w:val="133B586F"/>
    <w:rsid w:val="136C05F7"/>
    <w:rsid w:val="13765BFC"/>
    <w:rsid w:val="139840E6"/>
    <w:rsid w:val="139C1C78"/>
    <w:rsid w:val="13B21675"/>
    <w:rsid w:val="140D1B11"/>
    <w:rsid w:val="141F4D49"/>
    <w:rsid w:val="143C1CDA"/>
    <w:rsid w:val="14695405"/>
    <w:rsid w:val="14C044BA"/>
    <w:rsid w:val="14C56AA3"/>
    <w:rsid w:val="14CF52C6"/>
    <w:rsid w:val="15320B93"/>
    <w:rsid w:val="15456DB9"/>
    <w:rsid w:val="16210488"/>
    <w:rsid w:val="1623620B"/>
    <w:rsid w:val="16476ADD"/>
    <w:rsid w:val="16605E49"/>
    <w:rsid w:val="16633F75"/>
    <w:rsid w:val="16AC6131"/>
    <w:rsid w:val="16F82D5C"/>
    <w:rsid w:val="16FF5FB3"/>
    <w:rsid w:val="172F47CE"/>
    <w:rsid w:val="176305BE"/>
    <w:rsid w:val="17D84EE7"/>
    <w:rsid w:val="18066181"/>
    <w:rsid w:val="18203DE5"/>
    <w:rsid w:val="1854299C"/>
    <w:rsid w:val="186122E6"/>
    <w:rsid w:val="188B0EC8"/>
    <w:rsid w:val="191C0837"/>
    <w:rsid w:val="197B765A"/>
    <w:rsid w:val="19924EC5"/>
    <w:rsid w:val="19BA36F1"/>
    <w:rsid w:val="19CC6629"/>
    <w:rsid w:val="19CD5230"/>
    <w:rsid w:val="19D40B38"/>
    <w:rsid w:val="19DB2D10"/>
    <w:rsid w:val="19E576EB"/>
    <w:rsid w:val="19EF27C1"/>
    <w:rsid w:val="1A1F60C5"/>
    <w:rsid w:val="1A6015A5"/>
    <w:rsid w:val="1A64622E"/>
    <w:rsid w:val="1A9418D5"/>
    <w:rsid w:val="1A9F2416"/>
    <w:rsid w:val="1AA262A5"/>
    <w:rsid w:val="1AB153E1"/>
    <w:rsid w:val="1AE9247C"/>
    <w:rsid w:val="1B457DC2"/>
    <w:rsid w:val="1BFC114A"/>
    <w:rsid w:val="1C0E5B57"/>
    <w:rsid w:val="1C4B569F"/>
    <w:rsid w:val="1C646E81"/>
    <w:rsid w:val="1C6836B2"/>
    <w:rsid w:val="1C901B01"/>
    <w:rsid w:val="1D074DB3"/>
    <w:rsid w:val="1D372F3E"/>
    <w:rsid w:val="1D3A7A5B"/>
    <w:rsid w:val="1D930C3C"/>
    <w:rsid w:val="1DBA2349"/>
    <w:rsid w:val="1DCF2A0A"/>
    <w:rsid w:val="1DD31B70"/>
    <w:rsid w:val="1E2314ED"/>
    <w:rsid w:val="1E2378D8"/>
    <w:rsid w:val="1ED31B4E"/>
    <w:rsid w:val="1EFE069E"/>
    <w:rsid w:val="1F24028F"/>
    <w:rsid w:val="1F7455D6"/>
    <w:rsid w:val="1FD62EF8"/>
    <w:rsid w:val="1FEE3750"/>
    <w:rsid w:val="1FF12FD3"/>
    <w:rsid w:val="1FFF476D"/>
    <w:rsid w:val="202A615C"/>
    <w:rsid w:val="204B2724"/>
    <w:rsid w:val="206F5F60"/>
    <w:rsid w:val="20AA5E4D"/>
    <w:rsid w:val="20CD65E4"/>
    <w:rsid w:val="20D00B4C"/>
    <w:rsid w:val="20D23ECD"/>
    <w:rsid w:val="20D24DD8"/>
    <w:rsid w:val="21031482"/>
    <w:rsid w:val="215E0ED9"/>
    <w:rsid w:val="216F0055"/>
    <w:rsid w:val="2284238D"/>
    <w:rsid w:val="229B549C"/>
    <w:rsid w:val="229F32CE"/>
    <w:rsid w:val="22A7378F"/>
    <w:rsid w:val="22AB359E"/>
    <w:rsid w:val="22D03893"/>
    <w:rsid w:val="23255A91"/>
    <w:rsid w:val="23390CD7"/>
    <w:rsid w:val="23412CD3"/>
    <w:rsid w:val="239702A7"/>
    <w:rsid w:val="23CF246B"/>
    <w:rsid w:val="23F602FF"/>
    <w:rsid w:val="248C5333"/>
    <w:rsid w:val="248C7495"/>
    <w:rsid w:val="24935A49"/>
    <w:rsid w:val="24FA5CC6"/>
    <w:rsid w:val="255F22C2"/>
    <w:rsid w:val="257761D8"/>
    <w:rsid w:val="259D0D19"/>
    <w:rsid w:val="26331504"/>
    <w:rsid w:val="267279EF"/>
    <w:rsid w:val="26917A06"/>
    <w:rsid w:val="26A911BA"/>
    <w:rsid w:val="26BC5A32"/>
    <w:rsid w:val="26D225E0"/>
    <w:rsid w:val="26F81250"/>
    <w:rsid w:val="26F866E7"/>
    <w:rsid w:val="271151BC"/>
    <w:rsid w:val="273558C4"/>
    <w:rsid w:val="274A3283"/>
    <w:rsid w:val="275C0F92"/>
    <w:rsid w:val="27DE5B37"/>
    <w:rsid w:val="27E34EE4"/>
    <w:rsid w:val="280F0050"/>
    <w:rsid w:val="28186EDD"/>
    <w:rsid w:val="28451961"/>
    <w:rsid w:val="285443B9"/>
    <w:rsid w:val="285A5748"/>
    <w:rsid w:val="289618DE"/>
    <w:rsid w:val="289A474C"/>
    <w:rsid w:val="28B32C5E"/>
    <w:rsid w:val="28B818E5"/>
    <w:rsid w:val="28D61288"/>
    <w:rsid w:val="28FB0CE8"/>
    <w:rsid w:val="29461586"/>
    <w:rsid w:val="29670A54"/>
    <w:rsid w:val="297D25DE"/>
    <w:rsid w:val="29923D7D"/>
    <w:rsid w:val="29B91F42"/>
    <w:rsid w:val="29C31499"/>
    <w:rsid w:val="29CC2961"/>
    <w:rsid w:val="29F87321"/>
    <w:rsid w:val="2A0B09D4"/>
    <w:rsid w:val="2A1F27A5"/>
    <w:rsid w:val="2A283077"/>
    <w:rsid w:val="2A5E49A0"/>
    <w:rsid w:val="2A603D04"/>
    <w:rsid w:val="2A66434E"/>
    <w:rsid w:val="2A8B2133"/>
    <w:rsid w:val="2AD16570"/>
    <w:rsid w:val="2AD168AE"/>
    <w:rsid w:val="2AEC76B8"/>
    <w:rsid w:val="2B97636B"/>
    <w:rsid w:val="2BD66E93"/>
    <w:rsid w:val="2C1A10A1"/>
    <w:rsid w:val="2C6800CE"/>
    <w:rsid w:val="2C747D8F"/>
    <w:rsid w:val="2CF04C4D"/>
    <w:rsid w:val="2D3A56F6"/>
    <w:rsid w:val="2D896E54"/>
    <w:rsid w:val="2DBA13DA"/>
    <w:rsid w:val="2DFB16FB"/>
    <w:rsid w:val="2E1A3B78"/>
    <w:rsid w:val="2E4A237E"/>
    <w:rsid w:val="2E7A5C0C"/>
    <w:rsid w:val="2E993CB8"/>
    <w:rsid w:val="2F594EBE"/>
    <w:rsid w:val="2F8527C6"/>
    <w:rsid w:val="2FA72C4B"/>
    <w:rsid w:val="2FB75050"/>
    <w:rsid w:val="2FC9431E"/>
    <w:rsid w:val="2FCD2275"/>
    <w:rsid w:val="2FF820D0"/>
    <w:rsid w:val="2FFD3D27"/>
    <w:rsid w:val="30186015"/>
    <w:rsid w:val="304C0D2F"/>
    <w:rsid w:val="305D3382"/>
    <w:rsid w:val="30D85BCB"/>
    <w:rsid w:val="30DB6CFA"/>
    <w:rsid w:val="30DD2A72"/>
    <w:rsid w:val="30ED65E3"/>
    <w:rsid w:val="30FC55EE"/>
    <w:rsid w:val="31A203EF"/>
    <w:rsid w:val="31D60C88"/>
    <w:rsid w:val="31DB5F16"/>
    <w:rsid w:val="31E213D5"/>
    <w:rsid w:val="3213392D"/>
    <w:rsid w:val="323460BD"/>
    <w:rsid w:val="32723E3C"/>
    <w:rsid w:val="32826DB5"/>
    <w:rsid w:val="32935B74"/>
    <w:rsid w:val="330D2854"/>
    <w:rsid w:val="334D3EDF"/>
    <w:rsid w:val="335A3B36"/>
    <w:rsid w:val="336575BA"/>
    <w:rsid w:val="3382513A"/>
    <w:rsid w:val="33942380"/>
    <w:rsid w:val="33A1789E"/>
    <w:rsid w:val="33AF6948"/>
    <w:rsid w:val="33F87E2A"/>
    <w:rsid w:val="34065920"/>
    <w:rsid w:val="340929D1"/>
    <w:rsid w:val="342B4257"/>
    <w:rsid w:val="34482B26"/>
    <w:rsid w:val="346850A1"/>
    <w:rsid w:val="348E0AE8"/>
    <w:rsid w:val="349E28C9"/>
    <w:rsid w:val="34CD5C87"/>
    <w:rsid w:val="34E6076C"/>
    <w:rsid w:val="34F814E8"/>
    <w:rsid w:val="3518688A"/>
    <w:rsid w:val="351D18FC"/>
    <w:rsid w:val="35413331"/>
    <w:rsid w:val="3566346F"/>
    <w:rsid w:val="359B7B2A"/>
    <w:rsid w:val="362510CF"/>
    <w:rsid w:val="363A225A"/>
    <w:rsid w:val="36996A0F"/>
    <w:rsid w:val="36B010E4"/>
    <w:rsid w:val="36BB1AA7"/>
    <w:rsid w:val="36ED60C1"/>
    <w:rsid w:val="37683FEB"/>
    <w:rsid w:val="37687D0A"/>
    <w:rsid w:val="37692622"/>
    <w:rsid w:val="37821BB0"/>
    <w:rsid w:val="37B32740"/>
    <w:rsid w:val="382323BA"/>
    <w:rsid w:val="38940A8F"/>
    <w:rsid w:val="389E7216"/>
    <w:rsid w:val="38E958B3"/>
    <w:rsid w:val="392E5474"/>
    <w:rsid w:val="395F1248"/>
    <w:rsid w:val="3978778C"/>
    <w:rsid w:val="397D3296"/>
    <w:rsid w:val="3980252A"/>
    <w:rsid w:val="39EA6BEE"/>
    <w:rsid w:val="3A1741D7"/>
    <w:rsid w:val="3A654204"/>
    <w:rsid w:val="3A712C96"/>
    <w:rsid w:val="3A86446F"/>
    <w:rsid w:val="3ACC01FB"/>
    <w:rsid w:val="3AE2662B"/>
    <w:rsid w:val="3AE73795"/>
    <w:rsid w:val="3B274CBC"/>
    <w:rsid w:val="3B632A68"/>
    <w:rsid w:val="3BA833D1"/>
    <w:rsid w:val="3BBD006B"/>
    <w:rsid w:val="3C1677A3"/>
    <w:rsid w:val="3C17152E"/>
    <w:rsid w:val="3C3436CC"/>
    <w:rsid w:val="3C572151"/>
    <w:rsid w:val="3C7C22B1"/>
    <w:rsid w:val="3C8438CF"/>
    <w:rsid w:val="3D412E66"/>
    <w:rsid w:val="3D4608DD"/>
    <w:rsid w:val="3D927B1E"/>
    <w:rsid w:val="3DAB5EF3"/>
    <w:rsid w:val="3DC63350"/>
    <w:rsid w:val="3E1858E1"/>
    <w:rsid w:val="3E1C0CB6"/>
    <w:rsid w:val="3E7E7767"/>
    <w:rsid w:val="3EA27CE8"/>
    <w:rsid w:val="3EF36285"/>
    <w:rsid w:val="3F041DDD"/>
    <w:rsid w:val="3F3D4137"/>
    <w:rsid w:val="3F633AAD"/>
    <w:rsid w:val="3F9E1AFC"/>
    <w:rsid w:val="3FC14C08"/>
    <w:rsid w:val="3FD8142B"/>
    <w:rsid w:val="3FF71031"/>
    <w:rsid w:val="400D75DF"/>
    <w:rsid w:val="40650E7A"/>
    <w:rsid w:val="4098518B"/>
    <w:rsid w:val="40B505BF"/>
    <w:rsid w:val="40B5405A"/>
    <w:rsid w:val="40CB0B39"/>
    <w:rsid w:val="411422B9"/>
    <w:rsid w:val="412A6BDD"/>
    <w:rsid w:val="414E093E"/>
    <w:rsid w:val="415753CB"/>
    <w:rsid w:val="41A05E52"/>
    <w:rsid w:val="41C81CCA"/>
    <w:rsid w:val="41D22905"/>
    <w:rsid w:val="41D6651F"/>
    <w:rsid w:val="423266E7"/>
    <w:rsid w:val="423749C2"/>
    <w:rsid w:val="42997462"/>
    <w:rsid w:val="42EA799C"/>
    <w:rsid w:val="42FD03FF"/>
    <w:rsid w:val="43395F8A"/>
    <w:rsid w:val="433B2F32"/>
    <w:rsid w:val="433E1A97"/>
    <w:rsid w:val="43AB380A"/>
    <w:rsid w:val="43F860E9"/>
    <w:rsid w:val="441F1541"/>
    <w:rsid w:val="44244D3C"/>
    <w:rsid w:val="442C18EF"/>
    <w:rsid w:val="442C50FD"/>
    <w:rsid w:val="44454DFE"/>
    <w:rsid w:val="44586B88"/>
    <w:rsid w:val="44691FB2"/>
    <w:rsid w:val="44900CBD"/>
    <w:rsid w:val="44A1408B"/>
    <w:rsid w:val="44A5631D"/>
    <w:rsid w:val="45067A1F"/>
    <w:rsid w:val="453334F2"/>
    <w:rsid w:val="45495EB9"/>
    <w:rsid w:val="4589726A"/>
    <w:rsid w:val="45AE3681"/>
    <w:rsid w:val="45B126E9"/>
    <w:rsid w:val="460A6A31"/>
    <w:rsid w:val="46382B94"/>
    <w:rsid w:val="463F4070"/>
    <w:rsid w:val="46497665"/>
    <w:rsid w:val="4661294C"/>
    <w:rsid w:val="46F44BF0"/>
    <w:rsid w:val="47334CE8"/>
    <w:rsid w:val="473D64AB"/>
    <w:rsid w:val="474D61BD"/>
    <w:rsid w:val="477677C8"/>
    <w:rsid w:val="477774DE"/>
    <w:rsid w:val="477809BC"/>
    <w:rsid w:val="47E841DE"/>
    <w:rsid w:val="480C6B20"/>
    <w:rsid w:val="481F1560"/>
    <w:rsid w:val="48254FD3"/>
    <w:rsid w:val="4861363B"/>
    <w:rsid w:val="486946D0"/>
    <w:rsid w:val="486960BF"/>
    <w:rsid w:val="49084A84"/>
    <w:rsid w:val="490B102D"/>
    <w:rsid w:val="493F78B6"/>
    <w:rsid w:val="494F1216"/>
    <w:rsid w:val="496833C9"/>
    <w:rsid w:val="496B3173"/>
    <w:rsid w:val="498C7BF9"/>
    <w:rsid w:val="4A483705"/>
    <w:rsid w:val="4A565DC4"/>
    <w:rsid w:val="4A786B43"/>
    <w:rsid w:val="4AB3633B"/>
    <w:rsid w:val="4AB774F0"/>
    <w:rsid w:val="4ABA1171"/>
    <w:rsid w:val="4AF4433B"/>
    <w:rsid w:val="4AF62D8E"/>
    <w:rsid w:val="4AFB5DBE"/>
    <w:rsid w:val="4B353EBE"/>
    <w:rsid w:val="4B603B32"/>
    <w:rsid w:val="4BA5752A"/>
    <w:rsid w:val="4BC10DEB"/>
    <w:rsid w:val="4C1902A4"/>
    <w:rsid w:val="4C704112"/>
    <w:rsid w:val="4C792099"/>
    <w:rsid w:val="4CB30DFF"/>
    <w:rsid w:val="4CF44781"/>
    <w:rsid w:val="4D174E2A"/>
    <w:rsid w:val="4D205169"/>
    <w:rsid w:val="4D4E7696"/>
    <w:rsid w:val="4D571FE4"/>
    <w:rsid w:val="4D6A4FCE"/>
    <w:rsid w:val="4D8E31A3"/>
    <w:rsid w:val="4D9E4DCB"/>
    <w:rsid w:val="4DA00EBF"/>
    <w:rsid w:val="4DDF63F8"/>
    <w:rsid w:val="4E2B5A5B"/>
    <w:rsid w:val="4E364FAF"/>
    <w:rsid w:val="4E5B5F65"/>
    <w:rsid w:val="4E831E70"/>
    <w:rsid w:val="4EB55AE8"/>
    <w:rsid w:val="4EB64BD7"/>
    <w:rsid w:val="4F993CB5"/>
    <w:rsid w:val="4FEE1816"/>
    <w:rsid w:val="503C24EB"/>
    <w:rsid w:val="503F30B6"/>
    <w:rsid w:val="51352898"/>
    <w:rsid w:val="51436013"/>
    <w:rsid w:val="517A0020"/>
    <w:rsid w:val="51B36E90"/>
    <w:rsid w:val="51E5765B"/>
    <w:rsid w:val="51FF0072"/>
    <w:rsid w:val="52E32DFB"/>
    <w:rsid w:val="532A6F99"/>
    <w:rsid w:val="53566988"/>
    <w:rsid w:val="53B024D4"/>
    <w:rsid w:val="53EC6FE0"/>
    <w:rsid w:val="540B693C"/>
    <w:rsid w:val="548C5E06"/>
    <w:rsid w:val="54B757EA"/>
    <w:rsid w:val="54C11A9D"/>
    <w:rsid w:val="54E16725"/>
    <w:rsid w:val="54F63735"/>
    <w:rsid w:val="551E37DA"/>
    <w:rsid w:val="552E2A84"/>
    <w:rsid w:val="55584C2E"/>
    <w:rsid w:val="55BB1EE0"/>
    <w:rsid w:val="55D36EE2"/>
    <w:rsid w:val="55E52FC3"/>
    <w:rsid w:val="55F52357"/>
    <w:rsid w:val="55F74A03"/>
    <w:rsid w:val="563331D0"/>
    <w:rsid w:val="568A4809"/>
    <w:rsid w:val="56A54D1F"/>
    <w:rsid w:val="56A6554F"/>
    <w:rsid w:val="56C33E06"/>
    <w:rsid w:val="570921CC"/>
    <w:rsid w:val="571E1BD8"/>
    <w:rsid w:val="57376486"/>
    <w:rsid w:val="573E7EB0"/>
    <w:rsid w:val="579A771F"/>
    <w:rsid w:val="57AD7220"/>
    <w:rsid w:val="57DD034C"/>
    <w:rsid w:val="57FB365A"/>
    <w:rsid w:val="580B6F3B"/>
    <w:rsid w:val="583C47A4"/>
    <w:rsid w:val="58781271"/>
    <w:rsid w:val="58B844B8"/>
    <w:rsid w:val="58E2409A"/>
    <w:rsid w:val="591E1500"/>
    <w:rsid w:val="592A0A07"/>
    <w:rsid w:val="59422C8B"/>
    <w:rsid w:val="59445639"/>
    <w:rsid w:val="597B5A94"/>
    <w:rsid w:val="59AB34AC"/>
    <w:rsid w:val="59AE4AAE"/>
    <w:rsid w:val="59BA568A"/>
    <w:rsid w:val="5A0671BC"/>
    <w:rsid w:val="5A162A97"/>
    <w:rsid w:val="5A5B165B"/>
    <w:rsid w:val="5AB55CD5"/>
    <w:rsid w:val="5AD9083A"/>
    <w:rsid w:val="5B125364"/>
    <w:rsid w:val="5B21787C"/>
    <w:rsid w:val="5B8B3E48"/>
    <w:rsid w:val="5B8D0407"/>
    <w:rsid w:val="5B9239D6"/>
    <w:rsid w:val="5C314FB3"/>
    <w:rsid w:val="5C330F99"/>
    <w:rsid w:val="5C497E29"/>
    <w:rsid w:val="5C7379B8"/>
    <w:rsid w:val="5C7B197F"/>
    <w:rsid w:val="5CB9039A"/>
    <w:rsid w:val="5D2C42B6"/>
    <w:rsid w:val="5D801540"/>
    <w:rsid w:val="5D8432F2"/>
    <w:rsid w:val="5D9F5965"/>
    <w:rsid w:val="5DF60358"/>
    <w:rsid w:val="5DF85362"/>
    <w:rsid w:val="5E827F42"/>
    <w:rsid w:val="5E9A33F1"/>
    <w:rsid w:val="5EAA2A27"/>
    <w:rsid w:val="5EB068B1"/>
    <w:rsid w:val="5EC268DA"/>
    <w:rsid w:val="5ED44189"/>
    <w:rsid w:val="5EE57EE3"/>
    <w:rsid w:val="5F597101"/>
    <w:rsid w:val="5F615535"/>
    <w:rsid w:val="5F877467"/>
    <w:rsid w:val="5FB174C5"/>
    <w:rsid w:val="60315815"/>
    <w:rsid w:val="60472632"/>
    <w:rsid w:val="60495D6B"/>
    <w:rsid w:val="604F4E8B"/>
    <w:rsid w:val="605D2485"/>
    <w:rsid w:val="609A4BD3"/>
    <w:rsid w:val="610B4D1F"/>
    <w:rsid w:val="61293D71"/>
    <w:rsid w:val="61836DFF"/>
    <w:rsid w:val="61CB0BA0"/>
    <w:rsid w:val="621F41A6"/>
    <w:rsid w:val="622229C4"/>
    <w:rsid w:val="62A74B0A"/>
    <w:rsid w:val="62D375CE"/>
    <w:rsid w:val="62F62CC6"/>
    <w:rsid w:val="630B44BC"/>
    <w:rsid w:val="630F445E"/>
    <w:rsid w:val="631B0553"/>
    <w:rsid w:val="631B655E"/>
    <w:rsid w:val="634B34EF"/>
    <w:rsid w:val="635F4625"/>
    <w:rsid w:val="63982F18"/>
    <w:rsid w:val="643779F6"/>
    <w:rsid w:val="643E3416"/>
    <w:rsid w:val="647D571D"/>
    <w:rsid w:val="64813804"/>
    <w:rsid w:val="64A34458"/>
    <w:rsid w:val="64B12593"/>
    <w:rsid w:val="64DE23A5"/>
    <w:rsid w:val="657C554C"/>
    <w:rsid w:val="65834F1A"/>
    <w:rsid w:val="65892862"/>
    <w:rsid w:val="65B04F76"/>
    <w:rsid w:val="65BD217A"/>
    <w:rsid w:val="65CF78B2"/>
    <w:rsid w:val="65D9533C"/>
    <w:rsid w:val="65F0429F"/>
    <w:rsid w:val="663F2A3E"/>
    <w:rsid w:val="6672542F"/>
    <w:rsid w:val="66962401"/>
    <w:rsid w:val="66A118F2"/>
    <w:rsid w:val="66FE1978"/>
    <w:rsid w:val="67237285"/>
    <w:rsid w:val="673C52B5"/>
    <w:rsid w:val="6745281B"/>
    <w:rsid w:val="67A62B41"/>
    <w:rsid w:val="67C64259"/>
    <w:rsid w:val="67F177C4"/>
    <w:rsid w:val="67FB6B5B"/>
    <w:rsid w:val="68582403"/>
    <w:rsid w:val="68744B81"/>
    <w:rsid w:val="689502D0"/>
    <w:rsid w:val="6899727C"/>
    <w:rsid w:val="68A408AD"/>
    <w:rsid w:val="68C258DC"/>
    <w:rsid w:val="68D34479"/>
    <w:rsid w:val="6918241C"/>
    <w:rsid w:val="69881641"/>
    <w:rsid w:val="69C97F64"/>
    <w:rsid w:val="69CA62E5"/>
    <w:rsid w:val="69EC21DC"/>
    <w:rsid w:val="6A071FB3"/>
    <w:rsid w:val="6A255B5C"/>
    <w:rsid w:val="6A270503"/>
    <w:rsid w:val="6A70612A"/>
    <w:rsid w:val="6A8D5BCD"/>
    <w:rsid w:val="6AD773DF"/>
    <w:rsid w:val="6AEF704E"/>
    <w:rsid w:val="6B100B79"/>
    <w:rsid w:val="6B236823"/>
    <w:rsid w:val="6C4A4304"/>
    <w:rsid w:val="6C4E249B"/>
    <w:rsid w:val="6CA54CC3"/>
    <w:rsid w:val="6D007F4F"/>
    <w:rsid w:val="6D7573B8"/>
    <w:rsid w:val="6DAB4FDF"/>
    <w:rsid w:val="6DC3634E"/>
    <w:rsid w:val="6DD037E4"/>
    <w:rsid w:val="6DD47053"/>
    <w:rsid w:val="6E1F0F0A"/>
    <w:rsid w:val="6E684CE3"/>
    <w:rsid w:val="6E780D69"/>
    <w:rsid w:val="6EA14120"/>
    <w:rsid w:val="6EC845F6"/>
    <w:rsid w:val="6EFD0C6F"/>
    <w:rsid w:val="6F48615B"/>
    <w:rsid w:val="6FF91044"/>
    <w:rsid w:val="705E166C"/>
    <w:rsid w:val="707B557B"/>
    <w:rsid w:val="70A11E25"/>
    <w:rsid w:val="70C90530"/>
    <w:rsid w:val="70CA3C65"/>
    <w:rsid w:val="71252CEF"/>
    <w:rsid w:val="713B28A2"/>
    <w:rsid w:val="71595031"/>
    <w:rsid w:val="716D375E"/>
    <w:rsid w:val="7197667A"/>
    <w:rsid w:val="71AB0D64"/>
    <w:rsid w:val="71B374B1"/>
    <w:rsid w:val="71B763EC"/>
    <w:rsid w:val="71D16C98"/>
    <w:rsid w:val="71D779E4"/>
    <w:rsid w:val="71E4418D"/>
    <w:rsid w:val="72166BBC"/>
    <w:rsid w:val="72244ED7"/>
    <w:rsid w:val="724327D2"/>
    <w:rsid w:val="724C5186"/>
    <w:rsid w:val="72652FD1"/>
    <w:rsid w:val="72A72085"/>
    <w:rsid w:val="72D33F0F"/>
    <w:rsid w:val="72DC1FC3"/>
    <w:rsid w:val="72E120BB"/>
    <w:rsid w:val="732A617B"/>
    <w:rsid w:val="7330306C"/>
    <w:rsid w:val="738A371D"/>
    <w:rsid w:val="73D3013A"/>
    <w:rsid w:val="73DC5934"/>
    <w:rsid w:val="73FF4B6A"/>
    <w:rsid w:val="741A535A"/>
    <w:rsid w:val="74313D25"/>
    <w:rsid w:val="747F58E7"/>
    <w:rsid w:val="750F0084"/>
    <w:rsid w:val="751A45EC"/>
    <w:rsid w:val="751C1388"/>
    <w:rsid w:val="75631B45"/>
    <w:rsid w:val="75664419"/>
    <w:rsid w:val="75F13D71"/>
    <w:rsid w:val="76170D4F"/>
    <w:rsid w:val="768271E5"/>
    <w:rsid w:val="76DC2B01"/>
    <w:rsid w:val="774D417D"/>
    <w:rsid w:val="77540A6C"/>
    <w:rsid w:val="77671C32"/>
    <w:rsid w:val="777C266C"/>
    <w:rsid w:val="77D154FC"/>
    <w:rsid w:val="77E837A3"/>
    <w:rsid w:val="77EA508C"/>
    <w:rsid w:val="77F02658"/>
    <w:rsid w:val="78135C28"/>
    <w:rsid w:val="78426622"/>
    <w:rsid w:val="78D05435"/>
    <w:rsid w:val="78FA19E0"/>
    <w:rsid w:val="790960C2"/>
    <w:rsid w:val="79126AB8"/>
    <w:rsid w:val="792E7F51"/>
    <w:rsid w:val="79554DEE"/>
    <w:rsid w:val="79757BB8"/>
    <w:rsid w:val="797F6D29"/>
    <w:rsid w:val="79872B48"/>
    <w:rsid w:val="799A58A0"/>
    <w:rsid w:val="79B3567F"/>
    <w:rsid w:val="79D73ACF"/>
    <w:rsid w:val="7A10730A"/>
    <w:rsid w:val="7A277D20"/>
    <w:rsid w:val="7A456C8B"/>
    <w:rsid w:val="7A612B91"/>
    <w:rsid w:val="7ABB5669"/>
    <w:rsid w:val="7B457F04"/>
    <w:rsid w:val="7B56264F"/>
    <w:rsid w:val="7B922FB4"/>
    <w:rsid w:val="7B9832E0"/>
    <w:rsid w:val="7BA12E73"/>
    <w:rsid w:val="7BD90596"/>
    <w:rsid w:val="7BF25B99"/>
    <w:rsid w:val="7C10751F"/>
    <w:rsid w:val="7C9604DF"/>
    <w:rsid w:val="7C9F1027"/>
    <w:rsid w:val="7CC06A9D"/>
    <w:rsid w:val="7CC320E9"/>
    <w:rsid w:val="7CEF75B9"/>
    <w:rsid w:val="7D1A504A"/>
    <w:rsid w:val="7D474925"/>
    <w:rsid w:val="7D9A5E49"/>
    <w:rsid w:val="7DAA1900"/>
    <w:rsid w:val="7DE1296D"/>
    <w:rsid w:val="7E062C51"/>
    <w:rsid w:val="7E274EEB"/>
    <w:rsid w:val="7E46743B"/>
    <w:rsid w:val="7E53749D"/>
    <w:rsid w:val="7E9140DE"/>
    <w:rsid w:val="7EB45910"/>
    <w:rsid w:val="7EC53666"/>
    <w:rsid w:val="7ED5599D"/>
    <w:rsid w:val="7ED6078F"/>
    <w:rsid w:val="7EE171D8"/>
    <w:rsid w:val="7EEC0CB4"/>
    <w:rsid w:val="7F5E3BA1"/>
    <w:rsid w:val="7F92554C"/>
    <w:rsid w:val="7FD80F2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0" w:semiHidden="0" w:name="heading 3"/>
    <w:lsdException w:qFormat="1" w:unhideWhenUsed="0" w:uiPriority="99" w:semiHidden="0" w:name="heading 4" w:locked="1"/>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qFormat="1" w:uiPriority="99" w:semiHidden="0" w:name="Body Text" w:locked="1"/>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qFormat="1" w:unhideWhenUsed="0" w:uiPriority="0" w:semiHidden="0" w:name="Body Text First Indent" w:locked="1"/>
    <w:lsdException w:qFormat="1" w:unhideWhenUsed="0" w:uiPriority="99" w:semiHidden="0" w:name="Body Text First Indent 2" w:locked="1"/>
    <w:lsdException w:uiPriority="99" w:name="Note Heading" w:locked="1"/>
    <w:lsdException w:qFormat="1" w:unhideWhenUsed="0" w:uiPriority="0" w:semiHidden="0" w:name="Body Text 2" w:locked="1"/>
    <w:lsdException w:uiPriority="99" w:name="Body Text 3" w:locked="1"/>
    <w:lsdException w:qFormat="1" w:unhideWhenUsed="0" w:uiPriority="0" w:semiHidden="0" w:name="Body Text Indent 2" w:locked="1"/>
    <w:lsdException w:qFormat="1" w:uiPriority="0" w:semiHidden="0" w:name="Body Text Indent 3" w:locked="1"/>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iPriority="99" w:name="Document Map" w:locked="1"/>
    <w:lsdException w:qFormat="1" w:unhideWhenUsed="0" w:uiPriority="0" w:semiHidden="0"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38"/>
    <w:qFormat/>
    <w:uiPriority w:val="99"/>
    <w:pPr>
      <w:keepNext/>
      <w:keepLines/>
      <w:jc w:val="center"/>
      <w:outlineLvl w:val="0"/>
    </w:pPr>
    <w:rPr>
      <w:rFonts w:eastAsia="仿宋"/>
      <w:b/>
      <w:bCs/>
      <w:kern w:val="44"/>
      <w:sz w:val="52"/>
      <w:szCs w:val="44"/>
    </w:rPr>
  </w:style>
  <w:style w:type="paragraph" w:styleId="5">
    <w:name w:val="heading 2"/>
    <w:basedOn w:val="6"/>
    <w:next w:val="6"/>
    <w:link w:val="37"/>
    <w:autoRedefine/>
    <w:qFormat/>
    <w:uiPriority w:val="99"/>
    <w:pPr>
      <w:keepNext/>
      <w:keepLines/>
      <w:jc w:val="left"/>
      <w:outlineLvl w:val="1"/>
    </w:pPr>
    <w:rPr>
      <w:rFonts w:ascii="仿宋" w:hAnsi="仿宋" w:eastAsia="仿宋"/>
      <w:b/>
      <w:bCs/>
      <w:sz w:val="28"/>
      <w:szCs w:val="28"/>
    </w:rPr>
  </w:style>
  <w:style w:type="paragraph" w:styleId="7">
    <w:name w:val="heading 3"/>
    <w:basedOn w:val="1"/>
    <w:next w:val="1"/>
    <w:link w:val="69"/>
    <w:autoRedefine/>
    <w:qFormat/>
    <w:uiPriority w:val="0"/>
    <w:pPr>
      <w:keepNext/>
      <w:keepLines/>
      <w:jc w:val="left"/>
      <w:outlineLvl w:val="2"/>
    </w:pPr>
    <w:rPr>
      <w:rFonts w:ascii="仿宋" w:hAnsi="仿宋" w:eastAsia="仿宋"/>
      <w:b/>
      <w:bCs/>
      <w:sz w:val="28"/>
      <w:szCs w:val="28"/>
    </w:rPr>
  </w:style>
  <w:style w:type="paragraph" w:styleId="8">
    <w:name w:val="heading 4"/>
    <w:basedOn w:val="1"/>
    <w:next w:val="1"/>
    <w:link w:val="41"/>
    <w:autoRedefine/>
    <w:qFormat/>
    <w:locked/>
    <w:uiPriority w:val="99"/>
    <w:pPr>
      <w:keepNext/>
      <w:keepLines/>
      <w:spacing w:line="372" w:lineRule="auto"/>
      <w:outlineLvl w:val="3"/>
    </w:pPr>
    <w:rPr>
      <w:rFonts w:ascii="Arial" w:hAnsi="Arial" w:eastAsia="黑体"/>
      <w:b/>
      <w:sz w:val="28"/>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locked/>
    <w:uiPriority w:val="0"/>
    <w:pPr>
      <w:spacing w:after="120"/>
      <w:ind w:firstLine="420" w:firstLineChars="100"/>
    </w:pPr>
    <w:rPr>
      <w:sz w:val="22"/>
      <w:szCs w:val="22"/>
    </w:rPr>
  </w:style>
  <w:style w:type="paragraph" w:styleId="3">
    <w:name w:val="Body Text"/>
    <w:basedOn w:val="1"/>
    <w:next w:val="1"/>
    <w:unhideWhenUsed/>
    <w:qFormat/>
    <w:locked/>
    <w:uiPriority w:val="99"/>
    <w:pPr>
      <w:spacing w:after="120"/>
    </w:pPr>
  </w:style>
  <w:style w:type="paragraph" w:customStyle="1" w:styleId="6">
    <w:name w:val="无间隔1"/>
    <w:autoRedefine/>
    <w:qFormat/>
    <w:uiPriority w:val="99"/>
    <w:pPr>
      <w:widowControl w:val="0"/>
      <w:jc w:val="both"/>
    </w:pPr>
    <w:rPr>
      <w:rFonts w:ascii="Calibri" w:hAnsi="Calibri" w:eastAsia="宋体" w:cs="Times New Roman"/>
      <w:kern w:val="2"/>
      <w:sz w:val="21"/>
      <w:szCs w:val="22"/>
      <w:lang w:val="en-US" w:eastAsia="zh-CN" w:bidi="ar-SA"/>
    </w:rPr>
  </w:style>
  <w:style w:type="paragraph" w:styleId="9">
    <w:name w:val="toc 7"/>
    <w:basedOn w:val="1"/>
    <w:next w:val="1"/>
    <w:autoRedefine/>
    <w:qFormat/>
    <w:uiPriority w:val="39"/>
    <w:pPr>
      <w:ind w:left="1260"/>
      <w:jc w:val="left"/>
    </w:pPr>
    <w:rPr>
      <w:sz w:val="18"/>
      <w:szCs w:val="18"/>
    </w:rPr>
  </w:style>
  <w:style w:type="paragraph" w:styleId="10">
    <w:name w:val="annotation text"/>
    <w:basedOn w:val="1"/>
    <w:link w:val="42"/>
    <w:qFormat/>
    <w:uiPriority w:val="99"/>
    <w:pPr>
      <w:jc w:val="left"/>
    </w:pPr>
  </w:style>
  <w:style w:type="paragraph" w:styleId="11">
    <w:name w:val="Body Text Indent"/>
    <w:basedOn w:val="1"/>
    <w:link w:val="44"/>
    <w:qFormat/>
    <w:uiPriority w:val="99"/>
    <w:pPr>
      <w:widowControl/>
      <w:spacing w:after="120" w:line="276" w:lineRule="auto"/>
      <w:ind w:left="420" w:leftChars="200"/>
      <w:jc w:val="left"/>
    </w:pPr>
    <w:rPr>
      <w:kern w:val="0"/>
      <w:sz w:val="20"/>
    </w:rPr>
  </w:style>
  <w:style w:type="paragraph" w:styleId="12">
    <w:name w:val="toc 5"/>
    <w:basedOn w:val="1"/>
    <w:next w:val="1"/>
    <w:qFormat/>
    <w:uiPriority w:val="39"/>
    <w:pPr>
      <w:ind w:left="840"/>
      <w:jc w:val="left"/>
    </w:pPr>
    <w:rPr>
      <w:sz w:val="18"/>
      <w:szCs w:val="18"/>
    </w:rPr>
  </w:style>
  <w:style w:type="paragraph" w:styleId="13">
    <w:name w:val="toc 3"/>
    <w:basedOn w:val="1"/>
    <w:next w:val="6"/>
    <w:autoRedefine/>
    <w:qFormat/>
    <w:uiPriority w:val="39"/>
    <w:pPr>
      <w:ind w:left="420"/>
      <w:jc w:val="left"/>
    </w:pPr>
    <w:rPr>
      <w:rFonts w:eastAsia="宋体"/>
      <w:iCs/>
      <w:sz w:val="20"/>
      <w:szCs w:val="20"/>
    </w:rPr>
  </w:style>
  <w:style w:type="paragraph" w:styleId="14">
    <w:name w:val="Plain Text"/>
    <w:basedOn w:val="1"/>
    <w:qFormat/>
    <w:locked/>
    <w:uiPriority w:val="0"/>
    <w:rPr>
      <w:rFonts w:ascii="华文细黑" w:hAnsi="华文细黑" w:cs="华文细黑"/>
      <w:kern w:val="0"/>
      <w:sz w:val="24"/>
      <w:szCs w:val="20"/>
    </w:rPr>
  </w:style>
  <w:style w:type="paragraph" w:styleId="15">
    <w:name w:val="toc 8"/>
    <w:basedOn w:val="1"/>
    <w:next w:val="1"/>
    <w:qFormat/>
    <w:uiPriority w:val="39"/>
    <w:pPr>
      <w:ind w:left="1470"/>
      <w:jc w:val="left"/>
    </w:pPr>
    <w:rPr>
      <w:sz w:val="18"/>
      <w:szCs w:val="18"/>
    </w:rPr>
  </w:style>
  <w:style w:type="paragraph" w:styleId="16">
    <w:name w:val="Date"/>
    <w:basedOn w:val="1"/>
    <w:next w:val="1"/>
    <w:link w:val="45"/>
    <w:autoRedefine/>
    <w:qFormat/>
    <w:uiPriority w:val="99"/>
    <w:pPr>
      <w:ind w:left="100" w:leftChars="2500"/>
    </w:pPr>
  </w:style>
  <w:style w:type="paragraph" w:styleId="17">
    <w:name w:val="Body Text Indent 2"/>
    <w:basedOn w:val="1"/>
    <w:autoRedefine/>
    <w:qFormat/>
    <w:locked/>
    <w:uiPriority w:val="0"/>
    <w:pPr>
      <w:spacing w:after="120" w:line="480" w:lineRule="auto"/>
      <w:ind w:left="420" w:leftChars="200"/>
    </w:pPr>
  </w:style>
  <w:style w:type="paragraph" w:styleId="18">
    <w:name w:val="Balloon Text"/>
    <w:basedOn w:val="1"/>
    <w:link w:val="46"/>
    <w:autoRedefine/>
    <w:qFormat/>
    <w:uiPriority w:val="99"/>
    <w:rPr>
      <w:sz w:val="18"/>
      <w:szCs w:val="18"/>
    </w:rPr>
  </w:style>
  <w:style w:type="paragraph" w:styleId="19">
    <w:name w:val="footer"/>
    <w:basedOn w:val="1"/>
    <w:link w:val="47"/>
    <w:autoRedefine/>
    <w:qFormat/>
    <w:uiPriority w:val="99"/>
    <w:pPr>
      <w:tabs>
        <w:tab w:val="center" w:pos="4153"/>
        <w:tab w:val="right" w:pos="8306"/>
      </w:tabs>
      <w:snapToGrid w:val="0"/>
      <w:jc w:val="left"/>
    </w:pPr>
    <w:rPr>
      <w:sz w:val="18"/>
      <w:szCs w:val="18"/>
    </w:rPr>
  </w:style>
  <w:style w:type="paragraph" w:styleId="20">
    <w:name w:val="header"/>
    <w:basedOn w:val="1"/>
    <w:link w:val="48"/>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autoRedefine/>
    <w:qFormat/>
    <w:uiPriority w:val="39"/>
    <w:pPr>
      <w:spacing w:before="120" w:after="120"/>
      <w:jc w:val="left"/>
    </w:pPr>
    <w:rPr>
      <w:b/>
      <w:bCs/>
      <w:caps/>
      <w:sz w:val="20"/>
      <w:szCs w:val="20"/>
    </w:rPr>
  </w:style>
  <w:style w:type="paragraph" w:styleId="22">
    <w:name w:val="toc 4"/>
    <w:basedOn w:val="1"/>
    <w:next w:val="1"/>
    <w:autoRedefine/>
    <w:qFormat/>
    <w:uiPriority w:val="39"/>
    <w:pPr>
      <w:ind w:left="630"/>
      <w:jc w:val="left"/>
    </w:pPr>
    <w:rPr>
      <w:sz w:val="18"/>
      <w:szCs w:val="18"/>
    </w:rPr>
  </w:style>
  <w:style w:type="paragraph" w:styleId="23">
    <w:name w:val="toc 6"/>
    <w:basedOn w:val="1"/>
    <w:next w:val="1"/>
    <w:autoRedefine/>
    <w:qFormat/>
    <w:uiPriority w:val="39"/>
    <w:pPr>
      <w:ind w:left="1050"/>
      <w:jc w:val="left"/>
    </w:pPr>
    <w:rPr>
      <w:sz w:val="18"/>
      <w:szCs w:val="18"/>
    </w:rPr>
  </w:style>
  <w:style w:type="paragraph" w:styleId="24">
    <w:name w:val="Body Text Indent 3"/>
    <w:basedOn w:val="1"/>
    <w:autoRedefine/>
    <w:unhideWhenUsed/>
    <w:qFormat/>
    <w:locked/>
    <w:uiPriority w:val="0"/>
    <w:pPr>
      <w:spacing w:after="120"/>
      <w:ind w:left="420" w:leftChars="200"/>
    </w:pPr>
    <w:rPr>
      <w:sz w:val="16"/>
      <w:szCs w:val="16"/>
    </w:rPr>
  </w:style>
  <w:style w:type="paragraph" w:styleId="25">
    <w:name w:val="toc 2"/>
    <w:basedOn w:val="1"/>
    <w:next w:val="1"/>
    <w:autoRedefine/>
    <w:qFormat/>
    <w:uiPriority w:val="39"/>
    <w:pPr>
      <w:ind w:left="210"/>
      <w:jc w:val="left"/>
    </w:pPr>
    <w:rPr>
      <w:rFonts w:eastAsia="宋体"/>
      <w:smallCaps/>
      <w:sz w:val="20"/>
      <w:szCs w:val="20"/>
    </w:rPr>
  </w:style>
  <w:style w:type="paragraph" w:styleId="26">
    <w:name w:val="toc 9"/>
    <w:basedOn w:val="1"/>
    <w:next w:val="1"/>
    <w:autoRedefine/>
    <w:qFormat/>
    <w:uiPriority w:val="39"/>
    <w:pPr>
      <w:ind w:left="1680"/>
      <w:jc w:val="left"/>
    </w:pPr>
    <w:rPr>
      <w:sz w:val="18"/>
      <w:szCs w:val="18"/>
    </w:rPr>
  </w:style>
  <w:style w:type="paragraph" w:styleId="27">
    <w:name w:val="Body Text 2"/>
    <w:basedOn w:val="1"/>
    <w:autoRedefine/>
    <w:qFormat/>
    <w:locked/>
    <w:uiPriority w:val="0"/>
    <w:pPr>
      <w:wordWrap w:val="0"/>
      <w:topLinePunct/>
      <w:adjustRightInd w:val="0"/>
      <w:snapToGrid w:val="0"/>
      <w:spacing w:after="120" w:line="480" w:lineRule="auto"/>
      <w:ind w:firstLine="560" w:firstLineChars="200"/>
      <w:jc w:val="left"/>
    </w:pPr>
    <w:rPr>
      <w:rFonts w:eastAsia="仿宋_GB2312"/>
      <w:sz w:val="32"/>
    </w:rPr>
  </w:style>
  <w:style w:type="paragraph" w:styleId="28">
    <w:name w:val="Normal (Web)"/>
    <w:basedOn w:val="1"/>
    <w:autoRedefine/>
    <w:qFormat/>
    <w:uiPriority w:val="99"/>
    <w:pPr>
      <w:widowControl/>
      <w:spacing w:before="100" w:beforeAutospacing="1" w:after="100" w:afterAutospacing="1"/>
      <w:jc w:val="left"/>
    </w:pPr>
    <w:rPr>
      <w:rFonts w:ascii="Arial Unicode MS" w:hAnsi="Arial Unicode MS" w:cs="Arial Unicode MS"/>
      <w:kern w:val="0"/>
      <w:sz w:val="24"/>
    </w:rPr>
  </w:style>
  <w:style w:type="paragraph" w:styleId="29">
    <w:name w:val="annotation subject"/>
    <w:basedOn w:val="10"/>
    <w:next w:val="10"/>
    <w:link w:val="43"/>
    <w:autoRedefine/>
    <w:qFormat/>
    <w:uiPriority w:val="99"/>
    <w:rPr>
      <w:b/>
      <w:bCs/>
    </w:rPr>
  </w:style>
  <w:style w:type="paragraph" w:styleId="30">
    <w:name w:val="Body Text First Indent 2"/>
    <w:basedOn w:val="11"/>
    <w:qFormat/>
    <w:locked/>
    <w:uiPriority w:val="99"/>
    <w:pPr>
      <w:ind w:firstLine="420" w:firstLineChars="200"/>
    </w:pPr>
    <w:rPr>
      <w:rFonts w:ascii="Times New Roman" w:hAnsi="Times New Roman"/>
      <w:szCs w:val="20"/>
    </w:rPr>
  </w:style>
  <w:style w:type="table" w:styleId="32">
    <w:name w:val="Table Grid"/>
    <w:basedOn w:val="3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FollowedHyperlink"/>
    <w:autoRedefine/>
    <w:qFormat/>
    <w:uiPriority w:val="99"/>
    <w:rPr>
      <w:rFonts w:cs="Times New Roman"/>
      <w:color w:val="800080"/>
      <w:u w:val="single"/>
    </w:rPr>
  </w:style>
  <w:style w:type="character" w:styleId="35">
    <w:name w:val="Hyperlink"/>
    <w:basedOn w:val="33"/>
    <w:autoRedefine/>
    <w:qFormat/>
    <w:uiPriority w:val="99"/>
    <w:rPr>
      <w:rFonts w:cs="Times New Roman"/>
      <w:color w:val="0000FF"/>
      <w:u w:val="single"/>
    </w:rPr>
  </w:style>
  <w:style w:type="character" w:styleId="36">
    <w:name w:val="annotation reference"/>
    <w:autoRedefine/>
    <w:qFormat/>
    <w:uiPriority w:val="99"/>
    <w:rPr>
      <w:rFonts w:cs="Times New Roman"/>
      <w:sz w:val="21"/>
      <w:szCs w:val="21"/>
    </w:rPr>
  </w:style>
  <w:style w:type="character" w:customStyle="1" w:styleId="37">
    <w:name w:val="标题 2 字符"/>
    <w:link w:val="5"/>
    <w:autoRedefine/>
    <w:qFormat/>
    <w:locked/>
    <w:uiPriority w:val="99"/>
    <w:rPr>
      <w:rFonts w:ascii="仿宋" w:hAnsi="仿宋" w:eastAsia="仿宋" w:cs="Times New Roman"/>
      <w:b/>
      <w:kern w:val="2"/>
      <w:sz w:val="28"/>
      <w:szCs w:val="28"/>
    </w:rPr>
  </w:style>
  <w:style w:type="character" w:customStyle="1" w:styleId="38">
    <w:name w:val="标题 1 字符"/>
    <w:link w:val="4"/>
    <w:autoRedefine/>
    <w:qFormat/>
    <w:locked/>
    <w:uiPriority w:val="99"/>
    <w:rPr>
      <w:rFonts w:eastAsia="仿宋" w:cs="Times New Roman"/>
      <w:b/>
      <w:bCs/>
      <w:kern w:val="44"/>
      <w:sz w:val="44"/>
      <w:szCs w:val="44"/>
    </w:rPr>
  </w:style>
  <w:style w:type="character" w:customStyle="1" w:styleId="39">
    <w:name w:val="Heading 2 Char"/>
    <w:autoRedefine/>
    <w:qFormat/>
    <w:locked/>
    <w:uiPriority w:val="99"/>
    <w:rPr>
      <w:rFonts w:ascii="仿宋" w:hAnsi="仿宋" w:eastAsia="仿宋" w:cs="Times New Roman"/>
      <w:b/>
      <w:bCs/>
      <w:sz w:val="28"/>
      <w:szCs w:val="28"/>
    </w:rPr>
  </w:style>
  <w:style w:type="character" w:customStyle="1" w:styleId="40">
    <w:name w:val="Heading 3 Char"/>
    <w:autoRedefine/>
    <w:qFormat/>
    <w:locked/>
    <w:uiPriority w:val="99"/>
    <w:rPr>
      <w:rFonts w:ascii="仿宋" w:hAnsi="仿宋" w:eastAsia="仿宋" w:cs="Times New Roman"/>
      <w:b/>
      <w:bCs/>
      <w:sz w:val="28"/>
      <w:szCs w:val="28"/>
    </w:rPr>
  </w:style>
  <w:style w:type="character" w:customStyle="1" w:styleId="41">
    <w:name w:val="标题 4 字符"/>
    <w:link w:val="8"/>
    <w:autoRedefine/>
    <w:semiHidden/>
    <w:qFormat/>
    <w:locked/>
    <w:uiPriority w:val="99"/>
    <w:rPr>
      <w:rFonts w:ascii="Cambria" w:hAnsi="Cambria" w:eastAsia="宋体" w:cs="Times New Roman"/>
      <w:b/>
      <w:bCs/>
      <w:sz w:val="28"/>
      <w:szCs w:val="28"/>
    </w:rPr>
  </w:style>
  <w:style w:type="character" w:customStyle="1" w:styleId="42">
    <w:name w:val="批注文字 字符"/>
    <w:link w:val="10"/>
    <w:autoRedefine/>
    <w:semiHidden/>
    <w:qFormat/>
    <w:locked/>
    <w:uiPriority w:val="99"/>
    <w:rPr>
      <w:rFonts w:ascii="Calibri" w:hAnsi="Calibri" w:cs="Times New Roman"/>
    </w:rPr>
  </w:style>
  <w:style w:type="character" w:customStyle="1" w:styleId="43">
    <w:name w:val="批注主题 字符"/>
    <w:link w:val="29"/>
    <w:semiHidden/>
    <w:qFormat/>
    <w:locked/>
    <w:uiPriority w:val="99"/>
    <w:rPr>
      <w:rFonts w:ascii="Calibri" w:hAnsi="Calibri" w:cs="Times New Roman"/>
      <w:b/>
      <w:bCs/>
      <w:kern w:val="2"/>
      <w:sz w:val="22"/>
      <w:szCs w:val="22"/>
    </w:rPr>
  </w:style>
  <w:style w:type="character" w:customStyle="1" w:styleId="44">
    <w:name w:val="正文文本缩进 字符"/>
    <w:link w:val="11"/>
    <w:semiHidden/>
    <w:qFormat/>
    <w:locked/>
    <w:uiPriority w:val="99"/>
    <w:rPr>
      <w:rFonts w:ascii="Calibri" w:hAnsi="Calibri" w:cs="Times New Roman"/>
    </w:rPr>
  </w:style>
  <w:style w:type="character" w:customStyle="1" w:styleId="45">
    <w:name w:val="日期 字符"/>
    <w:link w:val="16"/>
    <w:autoRedefine/>
    <w:semiHidden/>
    <w:qFormat/>
    <w:locked/>
    <w:uiPriority w:val="99"/>
    <w:rPr>
      <w:rFonts w:cs="Times New Roman"/>
    </w:rPr>
  </w:style>
  <w:style w:type="character" w:customStyle="1" w:styleId="46">
    <w:name w:val="批注框文本 字符"/>
    <w:link w:val="18"/>
    <w:autoRedefine/>
    <w:semiHidden/>
    <w:qFormat/>
    <w:locked/>
    <w:uiPriority w:val="99"/>
    <w:rPr>
      <w:rFonts w:cs="Times New Roman"/>
      <w:sz w:val="18"/>
      <w:szCs w:val="18"/>
    </w:rPr>
  </w:style>
  <w:style w:type="character" w:customStyle="1" w:styleId="47">
    <w:name w:val="页脚 字符"/>
    <w:link w:val="19"/>
    <w:qFormat/>
    <w:locked/>
    <w:uiPriority w:val="99"/>
    <w:rPr>
      <w:rFonts w:cs="Times New Roman"/>
      <w:sz w:val="18"/>
      <w:szCs w:val="18"/>
    </w:rPr>
  </w:style>
  <w:style w:type="character" w:customStyle="1" w:styleId="48">
    <w:name w:val="页眉 字符"/>
    <w:link w:val="20"/>
    <w:autoRedefine/>
    <w:semiHidden/>
    <w:qFormat/>
    <w:locked/>
    <w:uiPriority w:val="99"/>
    <w:rPr>
      <w:rFonts w:cs="Times New Roman"/>
      <w:sz w:val="18"/>
      <w:szCs w:val="18"/>
    </w:rPr>
  </w:style>
  <w:style w:type="paragraph" w:customStyle="1" w:styleId="49">
    <w:name w:val="TOC 标题1"/>
    <w:basedOn w:val="4"/>
    <w:next w:val="1"/>
    <w:qFormat/>
    <w:uiPriority w:val="99"/>
    <w:pPr>
      <w:widowControl/>
      <w:spacing w:before="480" w:line="276" w:lineRule="auto"/>
      <w:jc w:val="left"/>
      <w:outlineLvl w:val="9"/>
    </w:pPr>
    <w:rPr>
      <w:rFonts w:ascii="Cambria" w:hAnsi="Cambria" w:eastAsia="宋体"/>
      <w:color w:val="365F91"/>
      <w:kern w:val="0"/>
      <w:sz w:val="28"/>
      <w:szCs w:val="28"/>
    </w:rPr>
  </w:style>
  <w:style w:type="character" w:customStyle="1" w:styleId="50">
    <w:name w:val="font11"/>
    <w:autoRedefine/>
    <w:qFormat/>
    <w:uiPriority w:val="99"/>
    <w:rPr>
      <w:rFonts w:ascii="宋体" w:hAnsi="宋体" w:eastAsia="宋体" w:cs="宋体"/>
      <w:color w:val="000000"/>
      <w:sz w:val="20"/>
      <w:szCs w:val="20"/>
      <w:u w:val="single"/>
    </w:rPr>
  </w:style>
  <w:style w:type="character" w:customStyle="1" w:styleId="51">
    <w:name w:val="font31"/>
    <w:autoRedefine/>
    <w:qFormat/>
    <w:uiPriority w:val="99"/>
    <w:rPr>
      <w:rFonts w:ascii="仿宋" w:hAnsi="仿宋" w:eastAsia="仿宋" w:cs="仿宋"/>
      <w:color w:val="000000"/>
      <w:sz w:val="20"/>
      <w:szCs w:val="20"/>
      <w:u w:val="single"/>
    </w:rPr>
  </w:style>
  <w:style w:type="character" w:customStyle="1" w:styleId="52">
    <w:name w:val="标题 3 字符"/>
    <w:link w:val="7"/>
    <w:qFormat/>
    <w:locked/>
    <w:uiPriority w:val="99"/>
    <w:rPr>
      <w:rFonts w:ascii="仿宋" w:hAnsi="仿宋" w:eastAsia="仿宋" w:cs="Times New Roman"/>
      <w:b/>
      <w:kern w:val="2"/>
      <w:sz w:val="28"/>
      <w:szCs w:val="28"/>
    </w:rPr>
  </w:style>
  <w:style w:type="character" w:customStyle="1" w:styleId="53">
    <w:name w:val="font21"/>
    <w:basedOn w:val="33"/>
    <w:qFormat/>
    <w:uiPriority w:val="99"/>
    <w:rPr>
      <w:rFonts w:ascii="仿宋" w:hAnsi="仿宋" w:eastAsia="仿宋" w:cs="仿宋"/>
      <w:b/>
      <w:color w:val="000000"/>
      <w:sz w:val="21"/>
      <w:szCs w:val="21"/>
      <w:u w:val="none"/>
    </w:rPr>
  </w:style>
  <w:style w:type="character" w:customStyle="1" w:styleId="54">
    <w:name w:val="font01"/>
    <w:basedOn w:val="33"/>
    <w:qFormat/>
    <w:uiPriority w:val="99"/>
    <w:rPr>
      <w:rFonts w:ascii="F2" w:hAnsi="F2" w:cs="F2"/>
      <w:color w:val="000000"/>
      <w:sz w:val="22"/>
      <w:szCs w:val="22"/>
      <w:u w:val="none"/>
    </w:rPr>
  </w:style>
  <w:style w:type="character" w:customStyle="1" w:styleId="55">
    <w:name w:val="font41"/>
    <w:qFormat/>
    <w:uiPriority w:val="99"/>
    <w:rPr>
      <w:rFonts w:ascii="宋体" w:hAnsi="宋体" w:eastAsia="宋体" w:cs="宋体"/>
      <w:color w:val="000000"/>
      <w:sz w:val="22"/>
      <w:szCs w:val="22"/>
      <w:u w:val="none"/>
    </w:rPr>
  </w:style>
  <w:style w:type="character" w:customStyle="1" w:styleId="56">
    <w:name w:val="正文 含缩进 Char"/>
    <w:link w:val="57"/>
    <w:qFormat/>
    <w:locked/>
    <w:uiPriority w:val="99"/>
    <w:rPr>
      <w:rFonts w:eastAsia="宋体"/>
    </w:rPr>
  </w:style>
  <w:style w:type="paragraph" w:customStyle="1" w:styleId="57">
    <w:name w:val="正文 含缩进"/>
    <w:basedOn w:val="1"/>
    <w:link w:val="56"/>
    <w:qFormat/>
    <w:uiPriority w:val="99"/>
    <w:pPr>
      <w:spacing w:line="360" w:lineRule="auto"/>
      <w:ind w:firstLine="424" w:firstLineChars="202"/>
      <w:jc w:val="left"/>
    </w:pPr>
    <w:rPr>
      <w:rFonts w:ascii="Times New Roman" w:hAnsi="Times New Roman"/>
      <w:kern w:val="0"/>
      <w:sz w:val="20"/>
      <w:szCs w:val="20"/>
    </w:rPr>
  </w:style>
  <w:style w:type="paragraph" w:styleId="58">
    <w:name w:val="List Paragraph"/>
    <w:basedOn w:val="1"/>
    <w:qFormat/>
    <w:uiPriority w:val="34"/>
    <w:pPr>
      <w:widowControl/>
      <w:ind w:firstLine="420" w:firstLineChars="200"/>
      <w:jc w:val="left"/>
    </w:pPr>
    <w:rPr>
      <w:kern w:val="0"/>
      <w:sz w:val="24"/>
    </w:rPr>
  </w:style>
  <w:style w:type="paragraph" w:customStyle="1" w:styleId="59">
    <w:name w:val="样式 标题 2 + Times New Roman 四号 非加粗 段前: 5 磅 段后: 0 磅 行距: 固定值 20..."/>
    <w:basedOn w:val="5"/>
    <w:qFormat/>
    <w:uiPriority w:val="0"/>
    <w:pPr>
      <w:widowControl/>
      <w:spacing w:before="100" w:line="400" w:lineRule="exact"/>
    </w:pPr>
    <w:rPr>
      <w:rFonts w:ascii="Times New Roman" w:hAnsi="Times New Roman" w:eastAsia="黑体" w:cs="宋体"/>
      <w:b w:val="0"/>
      <w:bCs w:val="0"/>
      <w:kern w:val="0"/>
      <w:szCs w:val="20"/>
    </w:rPr>
  </w:style>
  <w:style w:type="paragraph" w:customStyle="1" w:styleId="60">
    <w:name w:val="列出段落1"/>
    <w:basedOn w:val="1"/>
    <w:qFormat/>
    <w:uiPriority w:val="34"/>
    <w:pPr>
      <w:spacing w:line="360" w:lineRule="auto"/>
      <w:ind w:firstLine="420" w:firstLineChars="200"/>
    </w:pPr>
    <w:rPr>
      <w:rFonts w:ascii="Times New Roman" w:hAnsi="Times New Roman"/>
      <w:sz w:val="24"/>
      <w:szCs w:val="20"/>
    </w:rPr>
  </w:style>
  <w:style w:type="paragraph" w:customStyle="1" w:styleId="61">
    <w:name w:val="列表段落1"/>
    <w:basedOn w:val="1"/>
    <w:qFormat/>
    <w:uiPriority w:val="34"/>
    <w:pPr>
      <w:ind w:firstLine="420" w:firstLineChars="200"/>
    </w:pPr>
  </w:style>
  <w:style w:type="paragraph" w:customStyle="1" w:styleId="62">
    <w:name w:val="Body Main"/>
    <w:basedOn w:val="1"/>
    <w:qFormat/>
    <w:uiPriority w:val="0"/>
    <w:pPr>
      <w:widowControl/>
      <w:autoSpaceDE w:val="0"/>
      <w:autoSpaceDN w:val="0"/>
      <w:adjustRightInd w:val="0"/>
      <w:spacing w:before="240"/>
    </w:pPr>
    <w:rPr>
      <w:rFonts w:ascii="Courier New" w:hAnsi="Courier New" w:cs="Courier New"/>
      <w:kern w:val="0"/>
      <w:sz w:val="20"/>
      <w:szCs w:val="20"/>
      <w:lang w:eastAsia="en-US"/>
    </w:rPr>
  </w:style>
  <w:style w:type="paragraph" w:customStyle="1" w:styleId="63">
    <w:name w:val="Default"/>
    <w:qFormat/>
    <w:uiPriority w:val="0"/>
    <w:pPr>
      <w:autoSpaceDE w:val="0"/>
      <w:autoSpaceDN w:val="0"/>
      <w:adjustRightInd w:val="0"/>
      <w:jc w:val="both"/>
    </w:pPr>
    <w:rPr>
      <w:rFonts w:ascii="Arial" w:hAnsi="Arial" w:eastAsia="Times New Roman" w:cs="Arial"/>
      <w:color w:val="000000"/>
      <w:sz w:val="24"/>
      <w:szCs w:val="24"/>
      <w:lang w:val="en-US" w:eastAsia="en-US" w:bidi="ar-SA"/>
    </w:rPr>
  </w:style>
  <w:style w:type="table" w:customStyle="1" w:styleId="64">
    <w:name w:val="Table Normal"/>
    <w:semiHidden/>
    <w:unhideWhenUsed/>
    <w:qFormat/>
    <w:uiPriority w:val="0"/>
    <w:tblPr>
      <w:tblCellMar>
        <w:top w:w="0" w:type="dxa"/>
        <w:left w:w="0" w:type="dxa"/>
        <w:bottom w:w="0" w:type="dxa"/>
        <w:right w:w="0" w:type="dxa"/>
      </w:tblCellMar>
    </w:tblPr>
  </w:style>
  <w:style w:type="character" w:customStyle="1" w:styleId="65">
    <w:name w:val="font61"/>
    <w:basedOn w:val="33"/>
    <w:qFormat/>
    <w:uiPriority w:val="0"/>
    <w:rPr>
      <w:rFonts w:hint="eastAsia" w:ascii="宋体" w:hAnsi="宋体" w:eastAsia="宋体" w:cs="宋体"/>
      <w:color w:val="000000"/>
      <w:sz w:val="22"/>
      <w:szCs w:val="22"/>
      <w:u w:val="none"/>
    </w:rPr>
  </w:style>
  <w:style w:type="character" w:customStyle="1" w:styleId="66">
    <w:name w:val="font51"/>
    <w:basedOn w:val="33"/>
    <w:qFormat/>
    <w:uiPriority w:val="0"/>
    <w:rPr>
      <w:rFonts w:hint="eastAsia" w:ascii="宋体" w:hAnsi="宋体" w:eastAsia="宋体" w:cs="宋体"/>
      <w:color w:val="000000"/>
      <w:sz w:val="22"/>
      <w:szCs w:val="22"/>
      <w:u w:val="none"/>
    </w:rPr>
  </w:style>
  <w:style w:type="character" w:customStyle="1" w:styleId="67">
    <w:name w:val="font71"/>
    <w:basedOn w:val="33"/>
    <w:qFormat/>
    <w:uiPriority w:val="0"/>
    <w:rPr>
      <w:rFonts w:ascii="Calibri" w:hAnsi="Calibri" w:cs="Calibri"/>
      <w:color w:val="000000"/>
      <w:sz w:val="22"/>
      <w:szCs w:val="22"/>
      <w:u w:val="none"/>
    </w:rPr>
  </w:style>
  <w:style w:type="character" w:customStyle="1" w:styleId="68">
    <w:name w:val="font121"/>
    <w:basedOn w:val="33"/>
    <w:qFormat/>
    <w:uiPriority w:val="0"/>
    <w:rPr>
      <w:rFonts w:ascii="Calibri" w:hAnsi="Calibri" w:cs="Calibri"/>
      <w:color w:val="000000"/>
      <w:sz w:val="22"/>
      <w:szCs w:val="22"/>
      <w:u w:val="none"/>
    </w:rPr>
  </w:style>
  <w:style w:type="character" w:customStyle="1" w:styleId="69">
    <w:name w:val="标题 3 Char"/>
    <w:link w:val="7"/>
    <w:qFormat/>
    <w:locked/>
    <w:uiPriority w:val="0"/>
    <w:rPr>
      <w:rFonts w:ascii="仿宋" w:hAnsi="仿宋" w:eastAsia="仿宋" w:cs="Times New Roman"/>
      <w:b/>
      <w:kern w:val="2"/>
      <w:sz w:val="28"/>
      <w:szCs w:val="28"/>
    </w:rPr>
  </w:style>
  <w:style w:type="paragraph" w:customStyle="1" w:styleId="70">
    <w:name w:val="正文1"/>
    <w:basedOn w:val="14"/>
    <w:qFormat/>
    <w:uiPriority w:val="0"/>
    <w:pPr>
      <w:spacing w:line="300" w:lineRule="auto"/>
    </w:pPr>
    <w:rPr>
      <w:rFonts w:ascii="Calibri" w:hAnsi="宋体" w:eastAsia="宋体" w:cs="宋体"/>
      <w:bCs/>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3359</Words>
  <Characters>3706</Characters>
  <Lines>427</Lines>
  <Paragraphs>120</Paragraphs>
  <TotalTime>0</TotalTime>
  <ScaleCrop>false</ScaleCrop>
  <LinksUpToDate>false</LinksUpToDate>
  <CharactersWithSpaces>3752</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2017-08-28T05:18:00Z</dcterms:created>
  <dc:creator>AutoBVT</dc:creator>
  <cp:lastModifiedBy>谢松桃-佛山铺轨</cp:lastModifiedBy>
  <cp:lastPrinted>2024-12-18T03:33:00Z</cp:lastPrinted>
  <dcterms:modified xsi:type="dcterms:W3CDTF">2025-05-26T00:23:17Z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CF5F56815FB84E45BD7234181CE3E68C_13</vt:lpwstr>
  </property>
  <property fmtid="{D5CDD505-2E9C-101B-9397-08002B2CF9AE}" pid="4" name="KSOTemplateDocerSaveRecord">
    <vt:lpwstr>eyJoZGlkIjoiNTAxMWZhMDUzY2NhNDMzOWZhZmY4NDI1MDNiYTU1M2YiLCJ1c2VySWQiOiIyNjc4NTg2ODQifQ==</vt:lpwstr>
  </property>
</Properties>
</file>