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right="57"/>
        <w:jc w:val="center"/>
        <w:outlineLvl w:val="0"/>
        <w:rPr>
          <w:rFonts w:hint="eastAsia" w:ascii="宋体" w:hAnsi="宋体" w:eastAsia="宋体" w:cs="宋体"/>
          <w:b/>
          <w:bCs/>
          <w:color w:val="auto"/>
          <w:sz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7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52"/>
        </w:rPr>
      </w:pPr>
      <w:r>
        <w:rPr>
          <w:rFonts w:hint="eastAsia" w:ascii="宋体" w:hAnsi="宋体" w:eastAsia="宋体" w:cs="宋体"/>
          <w:b/>
          <w:bCs/>
          <w:color w:val="auto"/>
          <w:sz w:val="52"/>
        </w:rPr>
        <w:t>上海振华重工（集团）股份有限公司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7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52"/>
        </w:rPr>
      </w:pPr>
      <w:r>
        <w:rPr>
          <w:rFonts w:hint="eastAsia" w:ascii="宋体" w:hAnsi="宋体" w:eastAsia="宋体" w:cs="宋体"/>
          <w:b/>
          <w:bCs/>
          <w:color w:val="auto"/>
          <w:sz w:val="52"/>
        </w:rPr>
        <w:t>南通分公司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" w:leftChars="27" w:right="57" w:firstLine="2168" w:firstLineChars="300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7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" w:leftChars="27" w:right="57" w:firstLine="2168" w:firstLineChars="300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7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" w:leftChars="27" w:right="57" w:firstLine="2168" w:firstLineChars="300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72"/>
        </w:rPr>
      </w:pPr>
      <w:r>
        <w:rPr>
          <w:rFonts w:hint="eastAsia" w:ascii="宋体" w:hAnsi="宋体" w:eastAsia="宋体" w:cs="宋体"/>
          <w:b/>
          <w:bCs/>
          <w:color w:val="auto"/>
          <w:sz w:val="72"/>
          <w:lang w:val="en-US" w:eastAsia="zh-CN"/>
        </w:rPr>
        <w:t>询 价</w:t>
      </w:r>
      <w:r>
        <w:rPr>
          <w:rFonts w:hint="eastAsia" w:ascii="宋体" w:hAnsi="宋体" w:eastAsia="宋体" w:cs="宋体"/>
          <w:b/>
          <w:bCs/>
          <w:color w:val="auto"/>
          <w:sz w:val="72"/>
        </w:rPr>
        <w:t xml:space="preserve"> 文 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7" w:firstLine="3132" w:firstLineChars="600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" w:right="57" w:firstLine="57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" w:right="57" w:firstLine="57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7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" w:right="57" w:firstLine="64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7" w:firstLine="643" w:firstLineChars="200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  <w:t>编号：</w:t>
      </w:r>
      <w:r>
        <w:rPr>
          <w:rFonts w:hint="eastAsia" w:ascii="宋体" w:hAnsi="宋体" w:cs="宋体"/>
          <w:b/>
          <w:bCs/>
          <w:color w:val="auto"/>
          <w:sz w:val="32"/>
          <w:highlight w:val="none"/>
          <w:lang w:val="en-US" w:eastAsia="zh-CN"/>
        </w:rPr>
        <w:t>FA00000139299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49" w:leftChars="306" w:right="57" w:hanging="1606" w:hangingChars="5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  <w:t>项目名称：</w:t>
      </w:r>
      <w:r>
        <w:rPr>
          <w:rFonts w:hint="eastAsia" w:ascii="宋体" w:hAnsi="宋体" w:cs="宋体"/>
          <w:b/>
          <w:bCs/>
          <w:color w:val="auto"/>
          <w:sz w:val="32"/>
          <w:highlight w:val="none"/>
          <w:lang w:val="en-US" w:eastAsia="zh-CN"/>
        </w:rPr>
        <w:t>上海振华重工南通分公司紧固件一批</w:t>
      </w: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  <w:t>的询价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49" w:leftChars="306" w:right="57" w:hanging="1606" w:hangingChars="5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  <w:lang w:val="en-US" w:eastAsia="zh-CN"/>
        </w:rPr>
        <w:t>询价单位</w:t>
      </w: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  <w:t>：上海振华重工（集团）股份有限公司</w:t>
      </w: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  <w:lang w:val="en-US" w:eastAsia="zh-CN"/>
        </w:rPr>
        <w:t>南通分公司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" w:right="57" w:firstLine="64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" w:right="57" w:firstLine="562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7" w:firstLine="2570" w:firstLineChars="800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  <w:t>二○</w:t>
      </w: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  <w:lang w:eastAsia="zh-CN"/>
        </w:rPr>
        <w:t>二</w:t>
      </w:r>
      <w:r>
        <w:rPr>
          <w:rFonts w:hint="eastAsia" w:ascii="宋体" w:hAnsi="宋体" w:cs="宋体"/>
          <w:b/>
          <w:bCs/>
          <w:color w:val="auto"/>
          <w:sz w:val="32"/>
          <w:highlight w:val="none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  <w:t>年</w:t>
      </w:r>
      <w:r>
        <w:rPr>
          <w:rFonts w:hint="eastAsia" w:ascii="宋体" w:hAnsi="宋体" w:cs="宋体"/>
          <w:b/>
          <w:bCs/>
          <w:color w:val="auto"/>
          <w:sz w:val="32"/>
          <w:highlight w:val="none"/>
          <w:lang w:val="en-US" w:eastAsia="zh-CN"/>
        </w:rPr>
        <w:t>十一</w:t>
      </w:r>
      <w:r>
        <w:rPr>
          <w:rFonts w:hint="eastAsia" w:ascii="宋体" w:hAnsi="宋体" w:cs="宋体"/>
          <w:b/>
          <w:bCs/>
          <w:color w:val="auto"/>
          <w:sz w:val="32"/>
          <w:highlight w:val="none"/>
          <w:lang w:eastAsia="zh-CN"/>
        </w:rPr>
        <w:t>月</w:t>
      </w:r>
      <w:r>
        <w:rPr>
          <w:rFonts w:hint="eastAsia" w:ascii="宋体" w:hAnsi="宋体" w:cs="宋体"/>
          <w:b/>
          <w:bCs/>
          <w:color w:val="auto"/>
          <w:sz w:val="32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  <w:t>日</w:t>
      </w:r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7"/>
        <w:jc w:val="center"/>
        <w:textAlignment w:val="auto"/>
        <w:outlineLvl w:val="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上海振华重工南通分公司</w:t>
      </w:r>
      <w:r>
        <w:rPr>
          <w:rFonts w:hint="eastAsia" w:ascii="宋体" w:hAnsi="宋体" w:eastAsia="宋体" w:cs="宋体"/>
          <w:b/>
          <w:bCs/>
          <w:color w:val="auto"/>
          <w:sz w:val="32"/>
          <w:highlight w:val="none"/>
        </w:rPr>
        <w:t>碳钢紧固件</w:t>
      </w:r>
      <w:r>
        <w:rPr>
          <w:rFonts w:hint="eastAsia"/>
          <w:b/>
          <w:bCs/>
          <w:sz w:val="36"/>
          <w:szCs w:val="36"/>
        </w:rPr>
        <w:t>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7"/>
        <w:jc w:val="center"/>
        <w:textAlignment w:val="auto"/>
        <w:outlineLvl w:val="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询价公告</w:t>
      </w: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400" w:lineRule="exact"/>
        <w:ind w:firstLine="48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上海振华重工（集团）股份有限公司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南通分公司对上海振华重工南通分公司紧固件一批的询价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进行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询价采购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，项目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拟采用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green"/>
          <w:lang w:val="en-US" w:eastAsia="zh-CN"/>
        </w:rPr>
        <w:t>公开询价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的方式选择供货商，中标单位和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上海振华重工（集团）股份有限公司南通分公司签订合同，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项目具体内容如下：</w:t>
      </w:r>
    </w:p>
    <w:tbl>
      <w:tblPr>
        <w:tblStyle w:val="8"/>
        <w:tblW w:w="9710" w:type="dxa"/>
        <w:tblInd w:w="-5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996"/>
        <w:gridCol w:w="72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504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</w:t>
            </w:r>
          </w:p>
        </w:tc>
        <w:tc>
          <w:tcPr>
            <w:tcW w:w="1996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7210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说明与要求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询价单位</w:t>
            </w:r>
            <w:r>
              <w:rPr>
                <w:rFonts w:hint="eastAsia"/>
                <w:lang w:eastAsia="zh-CN"/>
              </w:rPr>
              <w:t>：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上海振华重工（集团）股份有限公司南通分公司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询价</w:t>
            </w:r>
            <w:r>
              <w:rPr>
                <w:rFonts w:hint="eastAsia"/>
                <w:lang w:eastAsia="zh-CN"/>
              </w:rPr>
              <w:t>编号：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57" w:firstLine="643" w:firstLineChars="200"/>
              <w:textAlignment w:val="auto"/>
              <w:outlineLvl w:val="0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32"/>
                <w:highlight w:val="none"/>
                <w:lang w:val="en-US" w:eastAsia="zh-CN"/>
              </w:rPr>
              <w:t>FA00000139299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highlight w:val="green"/>
                <w:lang w:eastAsia="zh-CN"/>
              </w:rPr>
            </w:pPr>
            <w:r>
              <w:rPr>
                <w:rFonts w:hint="eastAsia"/>
                <w:highlight w:val="green"/>
                <w:lang w:eastAsia="zh-CN"/>
              </w:rPr>
              <w:t>项目名称：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bidi w:val="0"/>
              <w:rPr>
                <w:rFonts w:hint="eastAsia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上海振华重工南通分公司紧固件一批的询价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资质要求：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  <w:lang w:eastAsia="zh-CN"/>
              </w:rPr>
              <w:t>投标人须在中交集团供应链管理信息系统注册（网址：http://empm.ccccltd.cn）,并获批准，取得合同供方资格的生产方、代理商或供应商。</w:t>
            </w:r>
          </w:p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  <w:lang w:eastAsia="zh-CN"/>
              </w:rPr>
              <w:t>投标人近三年内无任何不良履约记录。</w:t>
            </w:r>
          </w:p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  <w:lang w:eastAsia="zh-CN"/>
              </w:rPr>
              <w:t>本次线上询比价要求投标人在人员、设备、资金等方面具备相应的能力。</w:t>
            </w:r>
          </w:p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  <w:lang w:eastAsia="zh-CN"/>
              </w:rPr>
              <w:t>本次招标不接受联合体</w:t>
            </w:r>
            <w:r>
              <w:rPr>
                <w:rFonts w:hint="eastAsia"/>
                <w:lang w:val="en-US" w:eastAsia="zh-CN"/>
              </w:rPr>
              <w:t>报价</w:t>
            </w:r>
            <w:r>
              <w:rPr>
                <w:rFonts w:hint="eastAsia"/>
                <w:lang w:eastAsia="zh-CN"/>
              </w:rPr>
              <w:t>。</w:t>
            </w:r>
          </w:p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  <w:r>
              <w:rPr>
                <w:rFonts w:hint="eastAsia"/>
                <w:lang w:eastAsia="zh-CN"/>
              </w:rPr>
              <w:t>单位负责人为同一人或者存在控股、管理关系的不同单位，不得参加同一包件投标，否则均按废标处理。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highlight w:val="green"/>
                <w:lang w:eastAsia="zh-CN"/>
              </w:rPr>
            </w:pPr>
            <w:r>
              <w:rPr>
                <w:rFonts w:hint="eastAsia"/>
                <w:highlight w:val="green"/>
                <w:lang w:eastAsia="zh-CN"/>
              </w:rPr>
              <w:t>询价采购内容：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bidi w:val="0"/>
              <w:rPr>
                <w:rFonts w:hint="default" w:eastAsia="宋体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紧固件一批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highlight w:val="green"/>
                <w:lang w:eastAsia="zh-CN"/>
              </w:rPr>
              <w:t>技术要求：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满足国标要求。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交货日期、交货递地点及联系人：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bidi w:val="0"/>
              <w:rPr>
                <w:rFonts w:hint="eastAsia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1.交货日期：按附件到货日期要求</w:t>
            </w:r>
          </w:p>
          <w:p>
            <w:pPr>
              <w:bidi w:val="0"/>
              <w:rPr>
                <w:rFonts w:hint="default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2.交货地点：南通市经济技术开发区振华路1号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3.交货联系人：顾云峰13485117552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现场踏勘及联系人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bidi w:val="0"/>
              <w:rPr>
                <w:rFonts w:hint="default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1.现场踏勘时间：公告期内，经联系确认后，均可进行现场踏勘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2.现场踏勘联系人：顾云峰13485117552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highlight w:val="green"/>
                <w:lang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包装运输要求</w:t>
            </w:r>
            <w:r>
              <w:rPr>
                <w:rFonts w:hint="eastAsia"/>
                <w:highlight w:val="green"/>
                <w:lang w:eastAsia="zh-CN"/>
              </w:rPr>
              <w:t>：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bidi w:val="0"/>
              <w:rPr>
                <w:rFonts w:hint="default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 xml:space="preserve"> </w:t>
            </w:r>
            <w:r>
              <w:rPr>
                <w:rFonts w:hint="default"/>
                <w:highlight w:val="green"/>
                <w:lang w:val="en-US" w:eastAsia="zh-CN"/>
              </w:rPr>
              <w:t>乙方应提供产品运至合同规定的最终目的地所需要的包装，以防止产品在</w:t>
            </w:r>
            <w:r>
              <w:rPr>
                <w:rFonts w:hint="eastAsia"/>
                <w:highlight w:val="green"/>
                <w:lang w:val="en-US" w:eastAsia="zh-CN"/>
              </w:rPr>
              <w:t xml:space="preserve">     </w:t>
            </w:r>
            <w:r>
              <w:rPr>
                <w:rFonts w:hint="default"/>
                <w:highlight w:val="green"/>
                <w:lang w:val="en-US" w:eastAsia="zh-CN"/>
              </w:rPr>
              <w:t>运转中损坏或变质。这类包装应采取防潮、防晒、防锈、防腐蚀、防震动及防止其它损坏的必要措施，从而保护产品能够经受多次搬运、装卸及远洋和内陆的长途运输。乙方应承担由于其包装或其保护措施不妥而引起产品锈蚀、损坏和丢失的任何损失的责任或费用。</w:t>
            </w:r>
          </w:p>
          <w:p>
            <w:pPr>
              <w:numPr>
                <w:ilvl w:val="0"/>
                <w:numId w:val="1"/>
              </w:numPr>
              <w:bidi w:val="0"/>
              <w:ind w:left="0" w:leftChars="0" w:firstLine="0" w:firstLineChars="0"/>
              <w:rPr>
                <w:rFonts w:hint="default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 xml:space="preserve"> </w:t>
            </w:r>
            <w:r>
              <w:rPr>
                <w:rFonts w:hint="default"/>
                <w:highlight w:val="green"/>
                <w:lang w:val="en-US" w:eastAsia="zh-CN"/>
              </w:rPr>
              <w:t>包装必须要符合所有的相关法律、法规的要求，包括与环境、职业健康和安全有关的法律、法规标准。</w:t>
            </w:r>
          </w:p>
          <w:p>
            <w:pPr>
              <w:numPr>
                <w:ilvl w:val="0"/>
                <w:numId w:val="1"/>
              </w:numPr>
              <w:bidi w:val="0"/>
              <w:ind w:left="0" w:leftChars="0" w:firstLine="0" w:firstLineChars="0"/>
              <w:rPr>
                <w:rFonts w:hint="default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 xml:space="preserve"> </w:t>
            </w:r>
            <w:r>
              <w:rPr>
                <w:rFonts w:hint="default"/>
                <w:highlight w:val="green"/>
                <w:lang w:val="en-US" w:eastAsia="zh-CN"/>
              </w:rPr>
              <w:t>除非另有书面约定，乙方产品的外包装必须是密封的。包装外观清洁，没有污垢、锈迹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highlight w:val="green"/>
                <w:lang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质量要求、质保时间及验收标准：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bidi w:val="0"/>
              <w:rPr>
                <w:rFonts w:hint="eastAsia"/>
                <w:highlight w:val="gree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 xml:space="preserve"> </w:t>
            </w:r>
            <w:r>
              <w:rPr>
                <w:rFonts w:hint="eastAsia"/>
                <w:highlight w:val="green"/>
              </w:rPr>
              <w:t>其交付的产品符合本合同、基础资料、法律法规、行业规范、标准和合理审慎服务商标准的要求，不存在任何缺陷。</w:t>
            </w:r>
          </w:p>
          <w:p>
            <w:pPr>
              <w:bidi w:val="0"/>
              <w:rPr>
                <w:rFonts w:hint="eastAsia"/>
                <w:highlight w:val="gree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2.</w:t>
            </w:r>
            <w:r>
              <w:rPr>
                <w:rFonts w:hint="eastAsia"/>
                <w:highlight w:val="green"/>
              </w:rPr>
              <w:t xml:space="preserve"> </w:t>
            </w:r>
            <w:r>
              <w:rPr>
                <w:rFonts w:hint="eastAsia"/>
                <w:highlight w:val="green"/>
                <w:lang w:val="en-US" w:eastAsia="zh-CN"/>
              </w:rPr>
              <w:t xml:space="preserve"> </w:t>
            </w:r>
            <w:r>
              <w:rPr>
                <w:rFonts w:hint="eastAsia"/>
                <w:highlight w:val="green"/>
              </w:rPr>
              <w:t>提供的产品必须符合国家及行业标准、满足甲方项目所需要的质量标准以及要求。如果甲方提供了技术要求标准，乙方所提供的产品必须满足该技术要求。产品质量经双方确认认可，或者通过政府验收合格，视为其产品质量合格。双方另有约定的除外。</w:t>
            </w:r>
          </w:p>
          <w:p>
            <w:pPr>
              <w:bidi w:val="0"/>
              <w:rPr>
                <w:rFonts w:hint="eastAsia"/>
                <w:highlight w:val="gree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 xml:space="preserve">3.  </w:t>
            </w:r>
            <w:r>
              <w:rPr>
                <w:rFonts w:hint="eastAsia"/>
                <w:highlight w:val="green"/>
              </w:rPr>
              <w:t>乙方如有任何对产品质量可能产生影响的变更，包括但不限于工艺条件、质量标准和主要原材料产地变动，需至少提前3天以书面形式通知甲方。由于上述变更而产生的质量问题，其损失由乙方承担。由于没有得到及时通知，甲方没有足够的时间完成对变更的控制而造成的损失由乙方承担。</w:t>
            </w:r>
          </w:p>
          <w:p>
            <w:pPr>
              <w:bidi w:val="0"/>
              <w:rPr>
                <w:rFonts w:hint="eastAsia"/>
                <w:highlight w:val="gree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 xml:space="preserve">4.  </w:t>
            </w:r>
            <w:r>
              <w:rPr>
                <w:rFonts w:hint="eastAsia"/>
                <w:highlight w:val="green"/>
              </w:rPr>
              <w:t>如果乙方产品存在质保期要求，则乙方质保期内，如因其执行的工作或工作成果存在任何缺陷或违反前述质保承诺，乙方应承担质保责任，并应采取修复措施或重新实施相关工作，直至消除该等缺陷。</w:t>
            </w:r>
          </w:p>
          <w:p>
            <w:pPr>
              <w:bidi w:val="0"/>
              <w:rPr>
                <w:rFonts w:hint="eastAsia"/>
                <w:highlight w:val="gree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 xml:space="preserve">5.  </w:t>
            </w:r>
            <w:r>
              <w:rPr>
                <w:rFonts w:hint="eastAsia"/>
                <w:highlight w:val="green"/>
              </w:rPr>
              <w:t>如果乙方产品存在质保期要求，则乙方交付的产品在质保期内出现任何属于本条第</w:t>
            </w:r>
            <w:r>
              <w:rPr>
                <w:rFonts w:hint="eastAsia"/>
                <w:highlight w:val="green"/>
                <w:lang w:val="en-US" w:eastAsia="zh-CN"/>
              </w:rPr>
              <w:t>1</w:t>
            </w:r>
            <w:r>
              <w:rPr>
                <w:rFonts w:hint="eastAsia"/>
                <w:highlight w:val="green"/>
              </w:rPr>
              <w:t>款规定的质量保证范围内的问题，甲方应及时通知乙方，乙方应在收到该等通知后1日内予以回复，并在甲方要求的合理时间内委派技术人员进行修复或整改。如乙方人员未能按时实施整改工作，甲方有权委托第三方执行该等工作，因此发生的费用经乙方确认后，全部由乙方承担。整改工作后的质保期自修复完成之日起重新计算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highlight w:val="green"/>
                <w:lang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项目付款方式：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bidi w:val="0"/>
              <w:rPr>
                <w:rFonts w:hint="eastAsia"/>
                <w:highlight w:val="green"/>
                <w:lang w:eastAsia="zh-CN"/>
              </w:rPr>
            </w:pPr>
            <w:r>
              <w:rPr>
                <w:rFonts w:hint="eastAsia"/>
                <w:highlight w:val="green"/>
                <w:lang w:eastAsia="zh-CN"/>
              </w:rPr>
              <w:t>产品验收通过并收到产品和相关的文件（包括但不限于产品合格证、质量保证书、检测报告、</w:t>
            </w:r>
            <w:r>
              <w:rPr>
                <w:rFonts w:hint="eastAsia"/>
                <w:highlight w:val="green"/>
                <w:lang w:val="en-US" w:eastAsia="zh-CN"/>
              </w:rPr>
              <w:t>竣工总结报告</w:t>
            </w:r>
            <w:r>
              <w:rPr>
                <w:rFonts w:hint="eastAsia"/>
                <w:highlight w:val="green"/>
                <w:lang w:eastAsia="zh-CN"/>
              </w:rPr>
              <w:t>和增值税专用发票发票）后【90】个工作日内向乙方支付合同总价的【100】%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504" w:type="dxa"/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询价资料的获取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bidi w:val="0"/>
              <w:ind w:left="210" w:hanging="210" w:hanging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请于</w:t>
            </w:r>
            <w:r>
              <w:rPr>
                <w:rFonts w:hint="eastAsia"/>
                <w:highlight w:val="green"/>
              </w:rPr>
              <w:t>202</w:t>
            </w:r>
            <w:r>
              <w:rPr>
                <w:rFonts w:hint="eastAsia"/>
                <w:highlight w:val="green"/>
                <w:lang w:val="en-US" w:eastAsia="zh-CN"/>
              </w:rPr>
              <w:t>4</w:t>
            </w:r>
            <w:r>
              <w:rPr>
                <w:rFonts w:hint="eastAsia"/>
                <w:highlight w:val="green"/>
              </w:rPr>
              <w:t>年</w:t>
            </w:r>
            <w:r>
              <w:rPr>
                <w:rFonts w:hint="eastAsia"/>
                <w:highlight w:val="green"/>
                <w:lang w:val="en-US" w:eastAsia="zh-CN"/>
              </w:rPr>
              <w:t>11</w:t>
            </w:r>
            <w:r>
              <w:rPr>
                <w:rFonts w:hint="eastAsia"/>
                <w:highlight w:val="green"/>
              </w:rPr>
              <w:t>月</w:t>
            </w:r>
            <w:r>
              <w:rPr>
                <w:rFonts w:hint="eastAsia"/>
                <w:highlight w:val="green"/>
                <w:lang w:val="en-US" w:eastAsia="zh-CN"/>
              </w:rPr>
              <w:t>1</w:t>
            </w:r>
            <w:r>
              <w:rPr>
                <w:rFonts w:hint="eastAsia"/>
                <w:highlight w:val="green"/>
              </w:rPr>
              <w:t>日</w:t>
            </w:r>
            <w:r>
              <w:rPr>
                <w:rFonts w:hint="eastAsia"/>
                <w:highlight w:val="green"/>
                <w:lang w:val="en-US" w:eastAsia="zh-CN"/>
              </w:rPr>
              <w:t>14</w:t>
            </w:r>
            <w:r>
              <w:rPr>
                <w:rFonts w:hint="eastAsia"/>
                <w:highlight w:val="green"/>
              </w:rPr>
              <w:t>时</w:t>
            </w:r>
            <w:r>
              <w:rPr>
                <w:rFonts w:hint="eastAsia"/>
                <w:highlight w:val="green"/>
                <w:lang w:val="en-US" w:eastAsia="zh-CN"/>
              </w:rPr>
              <w:t>30</w:t>
            </w:r>
            <w:r>
              <w:rPr>
                <w:rFonts w:hint="eastAsia"/>
                <w:highlight w:val="green"/>
              </w:rPr>
              <w:t>分至202</w:t>
            </w:r>
            <w:r>
              <w:rPr>
                <w:rFonts w:hint="eastAsia"/>
                <w:highlight w:val="green"/>
                <w:lang w:val="en-US" w:eastAsia="zh-CN"/>
              </w:rPr>
              <w:t>4</w:t>
            </w:r>
            <w:r>
              <w:rPr>
                <w:rFonts w:hint="eastAsia"/>
                <w:highlight w:val="green"/>
              </w:rPr>
              <w:t>年</w:t>
            </w:r>
            <w:r>
              <w:rPr>
                <w:rFonts w:hint="eastAsia"/>
                <w:highlight w:val="green"/>
                <w:lang w:val="en-US" w:eastAsia="zh-CN"/>
              </w:rPr>
              <w:t>11</w:t>
            </w:r>
            <w:r>
              <w:rPr>
                <w:rFonts w:hint="eastAsia"/>
                <w:highlight w:val="green"/>
              </w:rPr>
              <w:t>月</w:t>
            </w:r>
            <w:r>
              <w:rPr>
                <w:rFonts w:hint="eastAsia"/>
                <w:highlight w:val="green"/>
                <w:lang w:val="en-US" w:eastAsia="zh-CN"/>
              </w:rPr>
              <w:t>5</w:t>
            </w:r>
            <w:r>
              <w:rPr>
                <w:rFonts w:hint="eastAsia"/>
                <w:highlight w:val="green"/>
              </w:rPr>
              <w:t>日</w:t>
            </w:r>
            <w:r>
              <w:rPr>
                <w:rFonts w:hint="eastAsia"/>
                <w:highlight w:val="green"/>
                <w:lang w:val="en-US" w:eastAsia="zh-CN"/>
              </w:rPr>
              <w:t>14</w:t>
            </w:r>
            <w:r>
              <w:rPr>
                <w:rFonts w:hint="eastAsia"/>
                <w:highlight w:val="green"/>
              </w:rPr>
              <w:t>时</w:t>
            </w:r>
            <w:r>
              <w:rPr>
                <w:rFonts w:hint="eastAsia"/>
                <w:highlight w:val="green"/>
                <w:lang w:val="en-US" w:eastAsia="zh-CN"/>
              </w:rPr>
              <w:t>30分</w:t>
            </w:r>
            <w:r>
              <w:rPr>
                <w:rFonts w:hint="eastAsia"/>
              </w:rPr>
              <w:t>在中交集团供应链管理信息系统（网址：http://empm.ccccltd.cn）登陆后查看询价公告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0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bidi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99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报价资料的递交</w:t>
            </w:r>
          </w:p>
        </w:tc>
        <w:tc>
          <w:tcPr>
            <w:tcW w:w="721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bidi w:val="0"/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本次询价采用线上询比价的方式，投标人通过中交集团供应链管理信息系统，上传报价资料，详细可以参照中交集团供应链管理信息系统中供应商注意事项。</w:t>
            </w:r>
          </w:p>
          <w:p>
            <w:pPr>
              <w:bidi w:val="0"/>
              <w:ind w:left="210" w:hanging="210" w:hangingChars="100"/>
              <w:rPr>
                <w:rFonts w:hint="eastAsia"/>
                <w:highlight w:val="gree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报价单递交的时间为：</w:t>
            </w:r>
            <w:r>
              <w:rPr>
                <w:rFonts w:hint="eastAsia"/>
                <w:highlight w:val="green"/>
              </w:rPr>
              <w:t>202</w:t>
            </w:r>
            <w:r>
              <w:rPr>
                <w:rFonts w:hint="eastAsia"/>
                <w:highlight w:val="green"/>
                <w:lang w:val="en-US" w:eastAsia="zh-CN"/>
              </w:rPr>
              <w:t>4</w:t>
            </w:r>
            <w:r>
              <w:rPr>
                <w:rFonts w:hint="eastAsia"/>
                <w:highlight w:val="green"/>
              </w:rPr>
              <w:t>年</w:t>
            </w:r>
            <w:r>
              <w:rPr>
                <w:rFonts w:hint="eastAsia"/>
                <w:highlight w:val="green"/>
                <w:lang w:val="en-US" w:eastAsia="zh-CN"/>
              </w:rPr>
              <w:t>11</w:t>
            </w:r>
            <w:r>
              <w:rPr>
                <w:rFonts w:hint="eastAsia"/>
                <w:highlight w:val="green"/>
              </w:rPr>
              <w:t>月</w:t>
            </w:r>
            <w:r>
              <w:rPr>
                <w:rFonts w:hint="eastAsia"/>
                <w:highlight w:val="green"/>
                <w:lang w:val="en-US" w:eastAsia="zh-CN"/>
              </w:rPr>
              <w:t>1</w:t>
            </w:r>
            <w:r>
              <w:rPr>
                <w:rFonts w:hint="eastAsia"/>
                <w:highlight w:val="green"/>
              </w:rPr>
              <w:t>日</w:t>
            </w:r>
            <w:r>
              <w:rPr>
                <w:rFonts w:hint="eastAsia"/>
                <w:highlight w:val="green"/>
                <w:lang w:val="en-US" w:eastAsia="zh-CN"/>
              </w:rPr>
              <w:t>14</w:t>
            </w:r>
            <w:r>
              <w:rPr>
                <w:rFonts w:hint="eastAsia"/>
                <w:highlight w:val="green"/>
              </w:rPr>
              <w:t>时</w:t>
            </w:r>
            <w:r>
              <w:rPr>
                <w:rFonts w:hint="eastAsia"/>
                <w:highlight w:val="green"/>
                <w:lang w:val="en-US" w:eastAsia="zh-CN"/>
              </w:rPr>
              <w:t>30</w:t>
            </w:r>
            <w:r>
              <w:rPr>
                <w:rFonts w:hint="eastAsia"/>
                <w:highlight w:val="green"/>
              </w:rPr>
              <w:t>分至202</w:t>
            </w:r>
            <w:r>
              <w:rPr>
                <w:rFonts w:hint="eastAsia"/>
                <w:highlight w:val="green"/>
                <w:lang w:val="en-US" w:eastAsia="zh-CN"/>
              </w:rPr>
              <w:t>4</w:t>
            </w:r>
            <w:r>
              <w:rPr>
                <w:rFonts w:hint="eastAsia"/>
                <w:highlight w:val="green"/>
              </w:rPr>
              <w:t>年</w:t>
            </w:r>
            <w:r>
              <w:rPr>
                <w:rFonts w:hint="eastAsia"/>
                <w:highlight w:val="green"/>
                <w:lang w:val="en-US" w:eastAsia="zh-CN"/>
              </w:rPr>
              <w:t>11</w:t>
            </w:r>
            <w:r>
              <w:rPr>
                <w:rFonts w:hint="eastAsia"/>
                <w:highlight w:val="green"/>
              </w:rPr>
              <w:t>月</w:t>
            </w:r>
            <w:r>
              <w:rPr>
                <w:rFonts w:hint="eastAsia"/>
                <w:highlight w:val="green"/>
                <w:lang w:val="en-US" w:eastAsia="zh-CN"/>
              </w:rPr>
              <w:t>5</w:t>
            </w:r>
            <w:r>
              <w:rPr>
                <w:rFonts w:hint="eastAsia"/>
                <w:highlight w:val="green"/>
              </w:rPr>
              <w:t>日</w:t>
            </w:r>
            <w:r>
              <w:rPr>
                <w:rFonts w:hint="eastAsia"/>
                <w:highlight w:val="green"/>
                <w:lang w:val="en-US" w:eastAsia="zh-CN"/>
              </w:rPr>
              <w:t>14</w:t>
            </w:r>
            <w:r>
              <w:rPr>
                <w:rFonts w:hint="eastAsia"/>
                <w:highlight w:val="green"/>
              </w:rPr>
              <w:t>时</w:t>
            </w:r>
            <w:r>
              <w:rPr>
                <w:rFonts w:hint="eastAsia"/>
                <w:highlight w:val="green"/>
                <w:lang w:val="en-US" w:eastAsia="zh-CN"/>
              </w:rPr>
              <w:t>30分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逾期未上传报价单的或未按要求上传报价单的，招标人不予受理。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50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bidi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99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bidi w:val="0"/>
              <w:rPr>
                <w:rFonts w:hint="eastAsia"/>
                <w:highlight w:val="green"/>
                <w:lang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项目评标方式</w:t>
            </w:r>
          </w:p>
        </w:tc>
        <w:tc>
          <w:tcPr>
            <w:tcW w:w="721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bidi w:val="0"/>
              <w:rPr>
                <w:rFonts w:hint="eastAsia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分项合理最低价分别推荐第一中标候选人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bidi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9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bidi w:val="0"/>
              <w:rPr>
                <w:rFonts w:hint="eastAsia"/>
                <w:highlight w:val="green"/>
                <w:lang w:eastAsia="zh-CN"/>
              </w:rPr>
            </w:pPr>
            <w:r>
              <w:rPr>
                <w:rFonts w:hint="eastAsia"/>
                <w:highlight w:val="green"/>
              </w:rPr>
              <w:t>联系方式</w:t>
            </w:r>
          </w:p>
        </w:tc>
        <w:tc>
          <w:tcPr>
            <w:tcW w:w="72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bidi w:val="0"/>
              <w:rPr>
                <w:rFonts w:hint="eastAsia"/>
                <w:highlight w:val="green"/>
              </w:rPr>
            </w:pPr>
            <w:r>
              <w:rPr>
                <w:rFonts w:hint="eastAsia"/>
                <w:highlight w:val="green"/>
                <w:lang w:val="en-US" w:eastAsia="zh-CN"/>
              </w:rPr>
              <w:t>询价</w:t>
            </w:r>
            <w:r>
              <w:rPr>
                <w:rFonts w:hint="eastAsia"/>
                <w:highlight w:val="green"/>
              </w:rPr>
              <w:t>单位：上海振华重工（集团）股份有限公司南通分公司  </w:t>
            </w:r>
          </w:p>
          <w:p>
            <w:pPr>
              <w:bidi w:val="0"/>
              <w:rPr>
                <w:rFonts w:hint="eastAsia"/>
                <w:highlight w:val="green"/>
              </w:rPr>
            </w:pPr>
            <w:r>
              <w:rPr>
                <w:rFonts w:hint="eastAsia"/>
                <w:highlight w:val="green"/>
              </w:rPr>
              <w:t>地址：</w:t>
            </w:r>
            <w:r>
              <w:rPr>
                <w:rFonts w:hint="eastAsia"/>
                <w:highlight w:val="green"/>
                <w:lang w:val="en-US" w:eastAsia="zh-CN"/>
              </w:rPr>
              <w:t>江苏省南通市经济开发区振华路1号</w:t>
            </w:r>
            <w:r>
              <w:rPr>
                <w:rFonts w:hint="eastAsia"/>
                <w:highlight w:val="green"/>
              </w:rPr>
              <w:t> </w:t>
            </w:r>
          </w:p>
          <w:p>
            <w:pPr>
              <w:bidi w:val="0"/>
              <w:rPr>
                <w:rFonts w:hint="eastAsia" w:eastAsia="宋体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</w:rPr>
              <w:t>项目联系人：</w:t>
            </w:r>
            <w:r>
              <w:rPr>
                <w:rFonts w:hint="eastAsia"/>
                <w:highlight w:val="green"/>
                <w:lang w:val="en-US" w:eastAsia="zh-CN"/>
              </w:rPr>
              <w:t>黄晓颖</w:t>
            </w:r>
          </w:p>
          <w:p>
            <w:pPr>
              <w:bidi w:val="0"/>
              <w:rPr>
                <w:rFonts w:hint="default"/>
                <w:highlight w:val="green"/>
                <w:lang w:val="en-US" w:eastAsia="zh-CN"/>
              </w:rPr>
            </w:pPr>
            <w:r>
              <w:rPr>
                <w:rFonts w:hint="eastAsia"/>
                <w:highlight w:val="green"/>
              </w:rPr>
              <w:t>联系电话：</w:t>
            </w:r>
            <w:r>
              <w:rPr>
                <w:rFonts w:hint="eastAsia"/>
                <w:highlight w:val="green"/>
                <w:lang w:val="en-US" w:eastAsia="zh-CN"/>
              </w:rPr>
              <w:t>13951300787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5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99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报价文件要求：</w:t>
            </w:r>
          </w:p>
        </w:tc>
        <w:tc>
          <w:tcPr>
            <w:tcW w:w="72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1.营业执照  2.授权委托书 3.报价文件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备注：按附件模板进行报价，所有资料均需要加盖公章扫描PDF文件上传。</w:t>
            </w:r>
          </w:p>
        </w:tc>
      </w:tr>
    </w:tbl>
    <w:p>
      <w:pPr>
        <w:rPr>
          <w:rFonts w:hint="eastAsia" w:ascii="宋体" w:hAnsi="宋体" w:eastAsia="宋体" w:cs="宋体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400" w:lineRule="exac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snapToGrid/>
        <w:spacing w:line="400" w:lineRule="exac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bidi w:val="0"/>
        <w:rPr>
          <w:rFonts w:hint="default"/>
          <w:sz w:val="28"/>
          <w:szCs w:val="28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EU-F1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ED4B12"/>
    <w:multiLevelType w:val="singleLevel"/>
    <w:tmpl w:val="B8ED4B1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C4ABCD0"/>
    <w:multiLevelType w:val="singleLevel"/>
    <w:tmpl w:val="0C4ABCD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777A9"/>
    <w:rsid w:val="041A4527"/>
    <w:rsid w:val="07243BD2"/>
    <w:rsid w:val="0E7B36A2"/>
    <w:rsid w:val="116E6E34"/>
    <w:rsid w:val="1660525E"/>
    <w:rsid w:val="1C0F5991"/>
    <w:rsid w:val="1C9811C4"/>
    <w:rsid w:val="1D1618BD"/>
    <w:rsid w:val="1F7949FD"/>
    <w:rsid w:val="20A66AB8"/>
    <w:rsid w:val="20D45292"/>
    <w:rsid w:val="240777A9"/>
    <w:rsid w:val="259A799A"/>
    <w:rsid w:val="2E083E16"/>
    <w:rsid w:val="2E7B0D18"/>
    <w:rsid w:val="3C386383"/>
    <w:rsid w:val="3DFE1CAE"/>
    <w:rsid w:val="403448D2"/>
    <w:rsid w:val="4ED64308"/>
    <w:rsid w:val="4FAE6054"/>
    <w:rsid w:val="508712E5"/>
    <w:rsid w:val="515718BB"/>
    <w:rsid w:val="53CB5E62"/>
    <w:rsid w:val="54AF0214"/>
    <w:rsid w:val="555B1ED9"/>
    <w:rsid w:val="568A60E1"/>
    <w:rsid w:val="58F429C6"/>
    <w:rsid w:val="5AC51453"/>
    <w:rsid w:val="5D460356"/>
    <w:rsid w:val="65EF7E09"/>
    <w:rsid w:val="6C10366C"/>
    <w:rsid w:val="6DED3EA8"/>
    <w:rsid w:val="6E9D03C3"/>
    <w:rsid w:val="6FEF63E7"/>
    <w:rsid w:val="72CB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adjustRightInd w:val="0"/>
      <w:spacing w:before="120" w:after="120" w:line="360" w:lineRule="auto"/>
      <w:ind w:firstLine="454"/>
      <w:jc w:val="left"/>
      <w:textAlignment w:val="baseline"/>
      <w:outlineLvl w:val="1"/>
    </w:pPr>
    <w:rPr>
      <w:b/>
      <w:kern w:val="0"/>
      <w:sz w:val="32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3"/>
    <w:qFormat/>
    <w:uiPriority w:val="0"/>
    <w:pPr>
      <w:tabs>
        <w:tab w:val="left" w:pos="1212"/>
        <w:tab w:val="left" w:pos="3888"/>
      </w:tabs>
    </w:pPr>
    <w:rPr>
      <w:rFonts w:ascii="EU-F1" w:hAnsi="Calibri" w:eastAsia="黑体"/>
      <w:sz w:val="21"/>
    </w:rPr>
  </w:style>
  <w:style w:type="paragraph" w:customStyle="1" w:styleId="3">
    <w:name w:val="样式1"/>
    <w:basedOn w:val="1"/>
    <w:next w:val="4"/>
    <w:qFormat/>
    <w:uiPriority w:val="0"/>
    <w:pPr>
      <w:widowControl/>
      <w:tabs>
        <w:tab w:val="left" w:pos="1212"/>
        <w:tab w:val="left" w:pos="3888"/>
      </w:tabs>
      <w:snapToGrid w:val="0"/>
      <w:spacing w:line="336" w:lineRule="auto"/>
      <w:ind w:firstLine="432"/>
      <w:jc w:val="left"/>
    </w:pPr>
    <w:rPr>
      <w:rFonts w:ascii="宋体" w:hAnsi="宋体" w:eastAsia="宋体" w:cs="Times New Roman"/>
      <w:sz w:val="24"/>
      <w:szCs w:val="22"/>
    </w:rPr>
  </w:style>
  <w:style w:type="paragraph" w:styleId="4">
    <w:name w:val="Body Text"/>
    <w:basedOn w:val="1"/>
    <w:qFormat/>
    <w:uiPriority w:val="99"/>
    <w:rPr>
      <w:rFonts w:ascii="??_GB2312" w:hAnsi="Arial"/>
      <w:kern w:val="0"/>
      <w:sz w:val="28"/>
      <w:szCs w:val="28"/>
    </w:rPr>
  </w:style>
  <w:style w:type="paragraph" w:styleId="6">
    <w:name w:val="Plain Text"/>
    <w:basedOn w:val="1"/>
    <w:qFormat/>
    <w:uiPriority w:val="0"/>
    <w:rPr>
      <w:rFonts w:ascii="宋体" w:hAnsi="Courier New"/>
      <w:szCs w:val="20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font0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振华重工</Company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Office_11.8.0.16970_F1E327BC-269C-435d-A152-05C5408002CA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2023-08-24T07:43:00Z</dcterms:created>
  <dc:creator>沈伟</dc:creator>
  <cp:lastModifiedBy>admin</cp:lastModifiedBy>
  <cp:lastPrinted>2023-08-24T09:06:00Z</cp:lastPrinted>
  <dcterms:modified xsi:type="dcterms:W3CDTF">2024-11-01T05:33:30Z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2052-11.8.0.16970</vt:lpwstr>
  </property>
  <property fmtid="{D5CDD505-2E9C-101B-9397-08002B2CF9AE}" pid="3" name="ICV">
    <vt:lpwstr>0F2D797955BF45A2B42EBB255242AB64</vt:lpwstr>
  </property>
</Properties>
</file>